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9B4F" w14:textId="77777777" w:rsidR="00AD57E6" w:rsidRPr="00517C51" w:rsidRDefault="00AD57E6" w:rsidP="00E827BF">
      <w:pPr>
        <w:snapToGrid w:val="0"/>
        <w:spacing w:after="0" w:line="240" w:lineRule="auto"/>
        <w:ind w:right="17"/>
        <w:outlineLvl w:val="0"/>
        <w:rPr>
          <w:rFonts w:eastAsia="Times New Roman" w:cstheme="majorHAnsi"/>
          <w:b/>
          <w:bCs/>
          <w:sz w:val="24"/>
          <w:szCs w:val="24"/>
          <w:lang w:val="en-US"/>
        </w:rPr>
      </w:pPr>
      <w:r w:rsidRPr="00917C5B">
        <w:rPr>
          <w:rFonts w:eastAsia="Times New Roman" w:cstheme="majorHAnsi"/>
          <w:b/>
          <w:bCs/>
          <w:noProof/>
          <w:sz w:val="24"/>
          <w:szCs w:val="24"/>
          <w:lang w:eastAsia="en-GB"/>
        </w:rPr>
        <w:drawing>
          <wp:anchor distT="0" distB="0" distL="114300" distR="114300" simplePos="0" relativeHeight="251659264" behindDoc="1" locked="0" layoutInCell="1" allowOverlap="1" wp14:anchorId="7C188993" wp14:editId="5462CC01">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17C5B">
        <w:rPr>
          <w:rFonts w:eastAsia="Times New Roman" w:cstheme="majorHAnsi"/>
          <w:b/>
          <w:bCs/>
          <w:sz w:val="24"/>
          <w:szCs w:val="24"/>
          <w:lang w:val="en-US"/>
        </w:rPr>
        <w:t>1</w:t>
      </w:r>
      <w:r w:rsidRPr="00517C51">
        <w:rPr>
          <w:rFonts w:eastAsia="Times New Roman" w:cstheme="majorHAnsi"/>
          <w:b/>
          <w:bCs/>
          <w:sz w:val="24"/>
          <w:szCs w:val="24"/>
          <w:lang w:val="en-US"/>
        </w:rPr>
        <w:t>3th Meeting of the Conference of the Contracting Parties</w:t>
      </w:r>
    </w:p>
    <w:p w14:paraId="2E5ED535" w14:textId="77777777" w:rsidR="00AD57E6" w:rsidRPr="00517C51" w:rsidRDefault="00AD57E6" w:rsidP="00AD57E6">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07260BE1" w14:textId="77777777" w:rsidR="00AD57E6" w:rsidRPr="003E313C" w:rsidRDefault="00AD57E6" w:rsidP="00AD57E6">
      <w:pPr>
        <w:snapToGrid w:val="0"/>
        <w:spacing w:after="0" w:line="240" w:lineRule="auto"/>
        <w:ind w:right="17"/>
        <w:jc w:val="center"/>
        <w:outlineLvl w:val="0"/>
        <w:rPr>
          <w:rFonts w:eastAsia="Times New Roman" w:cstheme="majorHAnsi"/>
          <w:b/>
          <w:bCs/>
          <w:sz w:val="24"/>
          <w:szCs w:val="24"/>
          <w:lang w:val="en-US"/>
        </w:rPr>
      </w:pPr>
    </w:p>
    <w:p w14:paraId="59A25E00" w14:textId="77777777" w:rsidR="00AD57E6" w:rsidRPr="00517C51" w:rsidRDefault="00AD57E6" w:rsidP="00AD57E6">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44FD06BC" w14:textId="77777777" w:rsidR="00AD57E6" w:rsidRPr="00517C51" w:rsidRDefault="00AD57E6" w:rsidP="00AD57E6">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39F820E1" w14:textId="77777777" w:rsidR="00AD57E6" w:rsidRPr="00917C5B" w:rsidRDefault="00AD57E6" w:rsidP="00AD57E6">
      <w:pPr>
        <w:snapToGrid w:val="0"/>
        <w:spacing w:after="0" w:line="240" w:lineRule="auto"/>
        <w:jc w:val="center"/>
        <w:rPr>
          <w:b/>
          <w:sz w:val="28"/>
          <w:szCs w:val="28"/>
          <w:lang w:val="en-US"/>
        </w:rPr>
      </w:pPr>
    </w:p>
    <w:p w14:paraId="7F12359F" w14:textId="77777777" w:rsidR="00AD57E6" w:rsidRDefault="00AD57E6" w:rsidP="00AD57E6">
      <w:pPr>
        <w:snapToGrid w:val="0"/>
        <w:spacing w:after="0" w:line="240" w:lineRule="auto"/>
        <w:jc w:val="center"/>
        <w:rPr>
          <w:b/>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D57E6" w:rsidRPr="000E67F8" w14:paraId="2DFE142D" w14:textId="77777777" w:rsidTr="00724AD4">
        <w:tc>
          <w:tcPr>
            <w:tcW w:w="9360" w:type="dxa"/>
          </w:tcPr>
          <w:p w14:paraId="78A00573" w14:textId="7C7B0B3B" w:rsidR="00AD57E6" w:rsidRPr="000E67F8" w:rsidRDefault="00AD57E6" w:rsidP="00724AD4">
            <w:pPr>
              <w:snapToGrid w:val="0"/>
              <w:spacing w:after="0" w:line="240" w:lineRule="auto"/>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Pr>
                <w:rFonts w:eastAsia="Times New Roman" w:cstheme="majorHAnsi"/>
                <w:b/>
                <w:bCs/>
                <w:sz w:val="24"/>
                <w:szCs w:val="24"/>
                <w:lang w:val="en-US"/>
              </w:rPr>
              <w:t>Rep.5</w:t>
            </w:r>
          </w:p>
        </w:tc>
      </w:tr>
    </w:tbl>
    <w:p w14:paraId="0872F852" w14:textId="77777777" w:rsidR="00AD57E6" w:rsidRPr="00214CBC" w:rsidRDefault="00AD57E6" w:rsidP="00235415">
      <w:pPr>
        <w:snapToGrid w:val="0"/>
        <w:spacing w:after="0" w:line="240" w:lineRule="auto"/>
        <w:rPr>
          <w:rFonts w:asciiTheme="majorHAnsi" w:hAnsiTheme="majorHAnsi"/>
          <w:b/>
        </w:rPr>
      </w:pPr>
    </w:p>
    <w:p w14:paraId="3DAD1BA2" w14:textId="71795688" w:rsidR="00AD57E6" w:rsidRDefault="00AD57E6" w:rsidP="00AD57E6">
      <w:pPr>
        <w:snapToGrid w:val="0"/>
        <w:spacing w:after="0" w:line="240" w:lineRule="auto"/>
        <w:rPr>
          <w:rFonts w:asciiTheme="majorHAnsi" w:hAnsiTheme="majorHAnsi"/>
          <w:b/>
        </w:rPr>
      </w:pPr>
    </w:p>
    <w:p w14:paraId="39AC2624" w14:textId="77777777" w:rsidR="00825DB7" w:rsidRDefault="00825DB7" w:rsidP="00825DB7">
      <w:pPr>
        <w:snapToGrid w:val="0"/>
        <w:spacing w:after="0" w:line="240" w:lineRule="auto"/>
        <w:jc w:val="center"/>
        <w:rPr>
          <w:b/>
          <w:sz w:val="28"/>
          <w:szCs w:val="28"/>
        </w:rPr>
      </w:pPr>
      <w:r>
        <w:rPr>
          <w:b/>
          <w:sz w:val="28"/>
          <w:szCs w:val="28"/>
        </w:rPr>
        <w:t>Draft Daily Report</w:t>
      </w:r>
    </w:p>
    <w:p w14:paraId="1C40183C" w14:textId="2E2C659B" w:rsidR="00825DB7" w:rsidRDefault="00825DB7" w:rsidP="00825DB7">
      <w:pPr>
        <w:snapToGrid w:val="0"/>
        <w:spacing w:after="0" w:line="240" w:lineRule="auto"/>
        <w:jc w:val="center"/>
        <w:rPr>
          <w:b/>
          <w:sz w:val="28"/>
          <w:szCs w:val="28"/>
        </w:rPr>
      </w:pPr>
      <w:r>
        <w:rPr>
          <w:b/>
          <w:sz w:val="28"/>
          <w:szCs w:val="28"/>
        </w:rPr>
        <w:t xml:space="preserve">Day </w:t>
      </w:r>
      <w:r w:rsidR="008B2BA8">
        <w:rPr>
          <w:b/>
          <w:sz w:val="28"/>
          <w:szCs w:val="28"/>
        </w:rPr>
        <w:t>4</w:t>
      </w:r>
      <w:r w:rsidR="007D0A05">
        <w:rPr>
          <w:b/>
          <w:sz w:val="28"/>
          <w:szCs w:val="28"/>
        </w:rPr>
        <w:t xml:space="preserve"> – Thursday 25</w:t>
      </w:r>
      <w:bookmarkStart w:id="0" w:name="_GoBack"/>
      <w:bookmarkEnd w:id="0"/>
      <w:r>
        <w:rPr>
          <w:b/>
          <w:sz w:val="28"/>
          <w:szCs w:val="28"/>
        </w:rPr>
        <w:t xml:space="preserve"> October (Morning plenary session)</w:t>
      </w:r>
    </w:p>
    <w:p w14:paraId="56F98502" w14:textId="65E480A3" w:rsidR="00825DB7" w:rsidRDefault="00825DB7" w:rsidP="00AD57E6">
      <w:pPr>
        <w:snapToGrid w:val="0"/>
        <w:spacing w:after="0" w:line="240" w:lineRule="auto"/>
        <w:rPr>
          <w:rFonts w:asciiTheme="majorHAnsi" w:hAnsiTheme="majorHAnsi"/>
          <w:b/>
        </w:rPr>
      </w:pPr>
    </w:p>
    <w:p w14:paraId="0A27E7A7" w14:textId="77777777" w:rsidR="00825DB7" w:rsidRPr="00663138" w:rsidRDefault="00825DB7" w:rsidP="00AD57E6">
      <w:pPr>
        <w:snapToGrid w:val="0"/>
        <w:spacing w:after="0" w:line="240" w:lineRule="auto"/>
        <w:rPr>
          <w:rFonts w:asciiTheme="majorHAnsi" w:hAnsiTheme="majorHAnsi"/>
          <w:b/>
        </w:rPr>
      </w:pPr>
    </w:p>
    <w:p w14:paraId="3509F862" w14:textId="7247603E" w:rsidR="00AD57E6" w:rsidRPr="00663138" w:rsidRDefault="00AD57E6" w:rsidP="00AD57E6">
      <w:pPr>
        <w:snapToGrid w:val="0"/>
        <w:spacing w:after="0" w:line="240" w:lineRule="auto"/>
        <w:rPr>
          <w:rFonts w:asciiTheme="minorHAnsi" w:hAnsiTheme="minorHAnsi" w:cstheme="minorHAnsi"/>
          <w:b/>
        </w:rPr>
      </w:pPr>
      <w:r>
        <w:rPr>
          <w:rFonts w:asciiTheme="minorHAnsi" w:hAnsiTheme="minorHAnsi" w:cstheme="minorHAnsi"/>
          <w:b/>
        </w:rPr>
        <w:t xml:space="preserve">Thursday </w:t>
      </w:r>
      <w:r w:rsidRPr="00663138">
        <w:rPr>
          <w:rFonts w:asciiTheme="minorHAnsi" w:hAnsiTheme="minorHAnsi" w:cstheme="minorHAnsi"/>
          <w:b/>
        </w:rPr>
        <w:t>2</w:t>
      </w:r>
      <w:r>
        <w:rPr>
          <w:rFonts w:asciiTheme="minorHAnsi" w:hAnsiTheme="minorHAnsi" w:cstheme="minorHAnsi"/>
          <w:b/>
        </w:rPr>
        <w:t>5</w:t>
      </w:r>
      <w:r w:rsidRPr="00663138">
        <w:rPr>
          <w:rFonts w:asciiTheme="minorHAnsi" w:hAnsiTheme="minorHAnsi" w:cstheme="minorHAnsi"/>
          <w:b/>
        </w:rPr>
        <w:t xml:space="preserve"> October 2018</w:t>
      </w:r>
    </w:p>
    <w:p w14:paraId="1C128306" w14:textId="77777777" w:rsidR="00AA76DD" w:rsidRDefault="00AA76DD" w:rsidP="00AA76DD">
      <w:pPr>
        <w:snapToGrid w:val="0"/>
        <w:spacing w:after="0" w:line="240" w:lineRule="auto"/>
        <w:rPr>
          <w:b/>
          <w:bCs/>
        </w:rPr>
      </w:pPr>
    </w:p>
    <w:p w14:paraId="4885EB7E" w14:textId="77777777" w:rsidR="00825DB7" w:rsidRPr="00663138" w:rsidRDefault="00AD57E6" w:rsidP="00825DB7">
      <w:pPr>
        <w:snapToGrid w:val="0"/>
        <w:spacing w:after="0" w:line="240" w:lineRule="auto"/>
        <w:rPr>
          <w:b/>
          <w:bCs/>
        </w:rPr>
      </w:pPr>
      <w:r w:rsidRPr="00054877">
        <w:rPr>
          <w:b/>
          <w:bCs/>
        </w:rPr>
        <w:t>10.</w:t>
      </w:r>
      <w:r w:rsidR="00054877" w:rsidRPr="00054877">
        <w:rPr>
          <w:b/>
          <w:bCs/>
        </w:rPr>
        <w:t>20</w:t>
      </w:r>
      <w:r w:rsidR="00825DB7">
        <w:rPr>
          <w:b/>
          <w:bCs/>
        </w:rPr>
        <w:t xml:space="preserve"> </w:t>
      </w:r>
      <w:r w:rsidRPr="00054877">
        <w:rPr>
          <w:b/>
          <w:bCs/>
        </w:rPr>
        <w:t>–</w:t>
      </w:r>
      <w:r w:rsidR="00825DB7">
        <w:rPr>
          <w:b/>
          <w:bCs/>
        </w:rPr>
        <w:t xml:space="preserve"> </w:t>
      </w:r>
      <w:r w:rsidR="00054877" w:rsidRPr="00054877">
        <w:rPr>
          <w:b/>
          <w:bCs/>
        </w:rPr>
        <w:t>13</w:t>
      </w:r>
      <w:r w:rsidRPr="00054877">
        <w:rPr>
          <w:b/>
          <w:bCs/>
        </w:rPr>
        <w:t>.</w:t>
      </w:r>
      <w:r w:rsidR="00054877" w:rsidRPr="00054877">
        <w:rPr>
          <w:b/>
          <w:bCs/>
        </w:rPr>
        <w:t>00</w:t>
      </w:r>
      <w:r w:rsidR="00825DB7">
        <w:rPr>
          <w:b/>
          <w:bCs/>
        </w:rPr>
        <w:t xml:space="preserve"> Plenary session</w:t>
      </w:r>
    </w:p>
    <w:p w14:paraId="0CBB962B" w14:textId="09E12C5F" w:rsidR="00AD57E6" w:rsidRDefault="00AD57E6" w:rsidP="00AD57E6">
      <w:pPr>
        <w:tabs>
          <w:tab w:val="left" w:pos="1403"/>
        </w:tabs>
        <w:snapToGrid w:val="0"/>
        <w:spacing w:after="0" w:line="240" w:lineRule="auto"/>
        <w:rPr>
          <w:bCs/>
        </w:rPr>
      </w:pPr>
    </w:p>
    <w:p w14:paraId="7C14C2AD" w14:textId="77777777" w:rsidR="00825DB7" w:rsidRPr="002C17A8" w:rsidRDefault="00825DB7" w:rsidP="00825DB7">
      <w:pPr>
        <w:pBdr>
          <w:top w:val="single" w:sz="4" w:space="3" w:color="auto"/>
          <w:left w:val="single" w:sz="4" w:space="4" w:color="auto"/>
          <w:bottom w:val="single" w:sz="4" w:space="3" w:color="auto"/>
          <w:right w:val="single" w:sz="4" w:space="4" w:color="auto"/>
        </w:pBdr>
        <w:snapToGrid w:val="0"/>
        <w:spacing w:after="0" w:line="240" w:lineRule="auto"/>
        <w:rPr>
          <w:bCs/>
        </w:rPr>
      </w:pPr>
      <w:r w:rsidRPr="00663138">
        <w:rPr>
          <w:rFonts w:cs="Calibri"/>
          <w:b/>
          <w:bCs/>
        </w:rPr>
        <w:t>Agenda</w:t>
      </w:r>
      <w:r>
        <w:rPr>
          <w:rFonts w:cs="Calibri"/>
          <w:b/>
          <w:bCs/>
        </w:rPr>
        <w:t xml:space="preserve"> </w:t>
      </w:r>
      <w:r w:rsidRPr="00663138">
        <w:rPr>
          <w:rFonts w:cs="Calibri"/>
          <w:b/>
          <w:bCs/>
        </w:rPr>
        <w:t>item</w:t>
      </w:r>
      <w:r>
        <w:rPr>
          <w:rFonts w:cs="Calibri"/>
          <w:b/>
          <w:bCs/>
        </w:rPr>
        <w:t xml:space="preserve"> 18</w:t>
      </w:r>
      <w:r w:rsidRPr="00663138">
        <w:rPr>
          <w:rFonts w:cs="Calibri"/>
          <w:b/>
          <w:bCs/>
        </w:rPr>
        <w:t>:</w:t>
      </w:r>
      <w:r>
        <w:rPr>
          <w:rFonts w:cs="Calibri"/>
          <w:b/>
          <w:bCs/>
        </w:rPr>
        <w:t xml:space="preserve"> Consideration of the draft resolutions and recommendations submitted by Contracting Parties and the Standing Committee</w:t>
      </w:r>
      <w:r>
        <w:rPr>
          <w:b/>
          <w:bCs/>
        </w:rPr>
        <w:t xml:space="preserve"> </w:t>
      </w:r>
      <w:r w:rsidRPr="002C17A8">
        <w:rPr>
          <w:bCs/>
        </w:rPr>
        <w:t>(continued)</w:t>
      </w:r>
    </w:p>
    <w:p w14:paraId="437D4F13" w14:textId="77777777" w:rsidR="00825DB7" w:rsidRDefault="00825DB7" w:rsidP="00825DB7">
      <w:pPr>
        <w:snapToGrid w:val="0"/>
        <w:spacing w:after="0" w:line="240" w:lineRule="auto"/>
        <w:ind w:left="426"/>
        <w:jc w:val="both"/>
        <w:rPr>
          <w:bCs/>
        </w:rPr>
      </w:pPr>
    </w:p>
    <w:p w14:paraId="6B337AEB" w14:textId="0A3AB686" w:rsidR="00C04D26" w:rsidRDefault="000A5227" w:rsidP="00D6595B">
      <w:pPr>
        <w:snapToGrid w:val="0"/>
        <w:spacing w:after="0" w:line="240" w:lineRule="auto"/>
        <w:ind w:left="425" w:hanging="425"/>
        <w:rPr>
          <w:bCs/>
        </w:rPr>
      </w:pPr>
      <w:r>
        <w:rPr>
          <w:bCs/>
        </w:rPr>
        <w:t>1.</w:t>
      </w:r>
      <w:r>
        <w:rPr>
          <w:bCs/>
        </w:rPr>
        <w:tab/>
      </w:r>
      <w:r w:rsidR="00C04D26">
        <w:rPr>
          <w:bCs/>
        </w:rPr>
        <w:t xml:space="preserve">The </w:t>
      </w:r>
      <w:r w:rsidR="00C04D26" w:rsidRPr="00C04D26">
        <w:rPr>
          <w:b/>
          <w:bCs/>
        </w:rPr>
        <w:t>Conference</w:t>
      </w:r>
      <w:r w:rsidR="00C04D26">
        <w:rPr>
          <w:bCs/>
        </w:rPr>
        <w:t xml:space="preserve"> received nominations from each of the Ramsar regions for representation on the working group established to review draft resolutions that might have implications for the work of the Scientific and Technical Review Panel (STRP). The group would be composed of individuals from the following Contracting Parties (together with the Chair of the STRP and STRP members present at COP13):</w:t>
      </w:r>
    </w:p>
    <w:p w14:paraId="15B41BBD" w14:textId="3998D1FD" w:rsidR="00C04D26" w:rsidRDefault="00C04D26" w:rsidP="00D6595B">
      <w:pPr>
        <w:snapToGrid w:val="0"/>
        <w:spacing w:after="0" w:line="240" w:lineRule="auto"/>
        <w:rPr>
          <w:bCs/>
        </w:rPr>
      </w:pPr>
    </w:p>
    <w:p w14:paraId="50CDF8A8" w14:textId="0C74B51F" w:rsidR="00C04D26" w:rsidRPr="000A5227" w:rsidRDefault="00C04D26" w:rsidP="00D6595B">
      <w:pPr>
        <w:pStyle w:val="ListParagraph"/>
        <w:numPr>
          <w:ilvl w:val="0"/>
          <w:numId w:val="1"/>
        </w:numPr>
        <w:snapToGrid w:val="0"/>
        <w:spacing w:after="0" w:line="240" w:lineRule="auto"/>
        <w:ind w:left="850" w:hanging="425"/>
        <w:rPr>
          <w:bCs/>
        </w:rPr>
      </w:pPr>
      <w:r w:rsidRPr="000A5227">
        <w:rPr>
          <w:bCs/>
        </w:rPr>
        <w:t>Africa: Rwanda</w:t>
      </w:r>
    </w:p>
    <w:p w14:paraId="74551C22" w14:textId="0A4AD77F" w:rsidR="00C04D26" w:rsidRPr="000A5227" w:rsidRDefault="00C04D26" w:rsidP="00D6595B">
      <w:pPr>
        <w:pStyle w:val="ListParagraph"/>
        <w:numPr>
          <w:ilvl w:val="0"/>
          <w:numId w:val="1"/>
        </w:numPr>
        <w:snapToGrid w:val="0"/>
        <w:spacing w:after="0" w:line="240" w:lineRule="auto"/>
        <w:ind w:left="850" w:hanging="425"/>
        <w:rPr>
          <w:bCs/>
        </w:rPr>
      </w:pPr>
      <w:r w:rsidRPr="000A5227">
        <w:rPr>
          <w:bCs/>
        </w:rPr>
        <w:t>Asia: Bangladesh</w:t>
      </w:r>
    </w:p>
    <w:p w14:paraId="1091B28C" w14:textId="7439D064" w:rsidR="00C04D26" w:rsidRPr="000A5227" w:rsidRDefault="00C04D26" w:rsidP="00D6595B">
      <w:pPr>
        <w:pStyle w:val="ListParagraph"/>
        <w:numPr>
          <w:ilvl w:val="0"/>
          <w:numId w:val="1"/>
        </w:numPr>
        <w:snapToGrid w:val="0"/>
        <w:spacing w:after="0" w:line="240" w:lineRule="auto"/>
        <w:ind w:left="850" w:hanging="425"/>
        <w:rPr>
          <w:bCs/>
        </w:rPr>
      </w:pPr>
      <w:r w:rsidRPr="000A5227">
        <w:rPr>
          <w:bCs/>
        </w:rPr>
        <w:t>Europe: United Kingdom</w:t>
      </w:r>
    </w:p>
    <w:p w14:paraId="68FC8170" w14:textId="4EB56BA0" w:rsidR="00C04D26" w:rsidRPr="000A5227" w:rsidRDefault="00C04D26" w:rsidP="00D6595B">
      <w:pPr>
        <w:pStyle w:val="ListParagraph"/>
        <w:numPr>
          <w:ilvl w:val="0"/>
          <w:numId w:val="1"/>
        </w:numPr>
        <w:snapToGrid w:val="0"/>
        <w:spacing w:after="0" w:line="240" w:lineRule="auto"/>
        <w:ind w:left="850" w:hanging="425"/>
        <w:rPr>
          <w:bCs/>
        </w:rPr>
      </w:pPr>
      <w:r w:rsidRPr="000A5227">
        <w:rPr>
          <w:bCs/>
        </w:rPr>
        <w:t>Latin America and the Caribbean: Chile</w:t>
      </w:r>
    </w:p>
    <w:p w14:paraId="5540FEC4" w14:textId="3E63AA86" w:rsidR="00C04D26" w:rsidRPr="000A5227" w:rsidRDefault="00C04D26" w:rsidP="00D6595B">
      <w:pPr>
        <w:pStyle w:val="ListParagraph"/>
        <w:numPr>
          <w:ilvl w:val="0"/>
          <w:numId w:val="1"/>
        </w:numPr>
        <w:snapToGrid w:val="0"/>
        <w:spacing w:after="0" w:line="240" w:lineRule="auto"/>
        <w:ind w:left="850" w:hanging="425"/>
        <w:rPr>
          <w:bCs/>
        </w:rPr>
      </w:pPr>
      <w:r w:rsidRPr="000A5227">
        <w:rPr>
          <w:bCs/>
        </w:rPr>
        <w:t>North America: Mexico and the United States of America</w:t>
      </w:r>
    </w:p>
    <w:p w14:paraId="25D46B8C" w14:textId="426EB79E" w:rsidR="00C04D26" w:rsidRPr="000A5227" w:rsidRDefault="00C04D26" w:rsidP="00D6595B">
      <w:pPr>
        <w:pStyle w:val="ListParagraph"/>
        <w:numPr>
          <w:ilvl w:val="0"/>
          <w:numId w:val="1"/>
        </w:numPr>
        <w:snapToGrid w:val="0"/>
        <w:spacing w:after="0" w:line="240" w:lineRule="auto"/>
        <w:ind w:left="850" w:hanging="425"/>
        <w:rPr>
          <w:bCs/>
        </w:rPr>
      </w:pPr>
      <w:r w:rsidRPr="000A5227">
        <w:rPr>
          <w:bCs/>
        </w:rPr>
        <w:t>Oceania: New Zealand</w:t>
      </w:r>
    </w:p>
    <w:p w14:paraId="5185153E" w14:textId="77777777" w:rsidR="00C04D26" w:rsidRPr="000A5227" w:rsidRDefault="00C04D26" w:rsidP="00D6595B">
      <w:pPr>
        <w:snapToGrid w:val="0"/>
        <w:spacing w:after="0" w:line="240" w:lineRule="auto"/>
        <w:rPr>
          <w:bCs/>
        </w:rPr>
      </w:pPr>
    </w:p>
    <w:p w14:paraId="50F4DFCA" w14:textId="2BB96D36" w:rsidR="006463F3" w:rsidRDefault="000A5227" w:rsidP="00D6595B">
      <w:pPr>
        <w:snapToGrid w:val="0"/>
        <w:spacing w:after="0" w:line="240" w:lineRule="auto"/>
        <w:ind w:left="425" w:hanging="425"/>
        <w:rPr>
          <w:bCs/>
        </w:rPr>
      </w:pPr>
      <w:r w:rsidRPr="000A5227">
        <w:rPr>
          <w:bCs/>
        </w:rPr>
        <w:t>2.</w:t>
      </w:r>
      <w:r w:rsidRPr="000A5227">
        <w:rPr>
          <w:bCs/>
        </w:rPr>
        <w:tab/>
      </w:r>
      <w:r w:rsidR="006463F3" w:rsidRPr="00A76871">
        <w:rPr>
          <w:b/>
          <w:bCs/>
        </w:rPr>
        <w:t>Senegal</w:t>
      </w:r>
      <w:r w:rsidR="006463F3">
        <w:rPr>
          <w:bCs/>
        </w:rPr>
        <w:t xml:space="preserve">, speaking also on behalf of </w:t>
      </w:r>
      <w:r w:rsidR="006463F3" w:rsidRPr="00A76871">
        <w:rPr>
          <w:b/>
          <w:bCs/>
        </w:rPr>
        <w:t>Central African Republic</w:t>
      </w:r>
      <w:r w:rsidR="006463F3">
        <w:rPr>
          <w:bCs/>
        </w:rPr>
        <w:t xml:space="preserve">, </w:t>
      </w:r>
      <w:r w:rsidR="00330B31">
        <w:rPr>
          <w:bCs/>
        </w:rPr>
        <w:t xml:space="preserve">as </w:t>
      </w:r>
      <w:r w:rsidR="006463F3">
        <w:rPr>
          <w:bCs/>
        </w:rPr>
        <w:t>proponents of the draft resolution on peace and security contained in document COP13</w:t>
      </w:r>
      <w:r>
        <w:rPr>
          <w:bCs/>
        </w:rPr>
        <w:t xml:space="preserve"> </w:t>
      </w:r>
      <w:r w:rsidR="006463F3">
        <w:rPr>
          <w:bCs/>
        </w:rPr>
        <w:t xml:space="preserve">Doc.18.19, expressed concern over the process followed by </w:t>
      </w:r>
      <w:r w:rsidR="00C04D26">
        <w:rPr>
          <w:bCs/>
        </w:rPr>
        <w:t xml:space="preserve">Contracting </w:t>
      </w:r>
      <w:r w:rsidR="006463F3">
        <w:rPr>
          <w:bCs/>
        </w:rPr>
        <w:t>Parties that had met to discuss the text without the presence of the proponents.</w:t>
      </w:r>
    </w:p>
    <w:p w14:paraId="784BA226" w14:textId="089884D1" w:rsidR="006463F3" w:rsidRDefault="006463F3" w:rsidP="00D6595B">
      <w:pPr>
        <w:snapToGrid w:val="0"/>
        <w:spacing w:after="0" w:line="240" w:lineRule="auto"/>
        <w:ind w:left="425" w:hanging="425"/>
        <w:rPr>
          <w:bCs/>
        </w:rPr>
      </w:pPr>
    </w:p>
    <w:p w14:paraId="5E2C06E3" w14:textId="7BF2CD12" w:rsidR="006463F3" w:rsidRDefault="000A5227" w:rsidP="00D6595B">
      <w:pPr>
        <w:snapToGrid w:val="0"/>
        <w:spacing w:after="0" w:line="240" w:lineRule="auto"/>
        <w:ind w:left="425" w:hanging="425"/>
        <w:rPr>
          <w:bCs/>
        </w:rPr>
      </w:pPr>
      <w:r w:rsidRPr="000A5227">
        <w:rPr>
          <w:bCs/>
        </w:rPr>
        <w:t>3.</w:t>
      </w:r>
      <w:r w:rsidRPr="000A5227">
        <w:rPr>
          <w:bCs/>
        </w:rPr>
        <w:tab/>
      </w:r>
      <w:r w:rsidR="006463F3" w:rsidRPr="00A76871">
        <w:rPr>
          <w:b/>
          <w:bCs/>
        </w:rPr>
        <w:t>Brazil</w:t>
      </w:r>
      <w:r w:rsidR="006463F3">
        <w:rPr>
          <w:bCs/>
        </w:rPr>
        <w:t xml:space="preserve"> reported that </w:t>
      </w:r>
      <w:r w:rsidR="00A76871">
        <w:rPr>
          <w:bCs/>
        </w:rPr>
        <w:t xml:space="preserve">the working group </w:t>
      </w:r>
      <w:r w:rsidR="00252ECC">
        <w:rPr>
          <w:bCs/>
        </w:rPr>
        <w:t>established by the President</w:t>
      </w:r>
      <w:r w:rsidR="00C04D26">
        <w:rPr>
          <w:bCs/>
        </w:rPr>
        <w:t xml:space="preserve"> during the afternoon plenary session of 24 October</w:t>
      </w:r>
      <w:r w:rsidR="00252ECC">
        <w:rPr>
          <w:bCs/>
        </w:rPr>
        <w:t xml:space="preserve"> had met </w:t>
      </w:r>
      <w:r w:rsidR="00C04D26">
        <w:rPr>
          <w:bCs/>
        </w:rPr>
        <w:t>that evening</w:t>
      </w:r>
      <w:r w:rsidR="0097430E">
        <w:rPr>
          <w:bCs/>
        </w:rPr>
        <w:t xml:space="preserve"> and </w:t>
      </w:r>
      <w:r>
        <w:rPr>
          <w:bCs/>
        </w:rPr>
        <w:t xml:space="preserve">that </w:t>
      </w:r>
      <w:r w:rsidR="0097430E">
        <w:rPr>
          <w:bCs/>
        </w:rPr>
        <w:t>a revised text</w:t>
      </w:r>
      <w:r w:rsidR="00252ECC">
        <w:rPr>
          <w:b/>
          <w:bCs/>
        </w:rPr>
        <w:t xml:space="preserve"> </w:t>
      </w:r>
      <w:r w:rsidR="00252ECC" w:rsidRPr="00252ECC">
        <w:rPr>
          <w:bCs/>
        </w:rPr>
        <w:t>had been prepared</w:t>
      </w:r>
      <w:r w:rsidR="00252ECC">
        <w:rPr>
          <w:b/>
          <w:bCs/>
        </w:rPr>
        <w:t>.</w:t>
      </w:r>
    </w:p>
    <w:p w14:paraId="72E6509E" w14:textId="08AFB0F1" w:rsidR="00A76871" w:rsidRPr="000A5227" w:rsidRDefault="00A76871" w:rsidP="00D6595B">
      <w:pPr>
        <w:snapToGrid w:val="0"/>
        <w:spacing w:after="0" w:line="240" w:lineRule="auto"/>
        <w:ind w:left="425" w:hanging="425"/>
        <w:rPr>
          <w:bCs/>
        </w:rPr>
      </w:pPr>
    </w:p>
    <w:p w14:paraId="66AB3B48" w14:textId="1BB2059A" w:rsidR="00C04D26" w:rsidRDefault="00300251" w:rsidP="00D6595B">
      <w:pPr>
        <w:snapToGrid w:val="0"/>
        <w:spacing w:after="0" w:line="240" w:lineRule="auto"/>
        <w:ind w:left="425" w:hanging="425"/>
        <w:rPr>
          <w:bCs/>
        </w:rPr>
      </w:pPr>
      <w:r>
        <w:rPr>
          <w:bCs/>
        </w:rPr>
        <w:t>4</w:t>
      </w:r>
      <w:r w:rsidR="000A5227">
        <w:rPr>
          <w:bCs/>
        </w:rPr>
        <w:t>.</w:t>
      </w:r>
      <w:r w:rsidR="000A5227">
        <w:rPr>
          <w:bCs/>
        </w:rPr>
        <w:tab/>
      </w:r>
      <w:r w:rsidR="00C04D26">
        <w:rPr>
          <w:bCs/>
        </w:rPr>
        <w:t xml:space="preserve">The </w:t>
      </w:r>
      <w:r w:rsidR="00C04D26" w:rsidRPr="00EB188F">
        <w:rPr>
          <w:b/>
          <w:bCs/>
        </w:rPr>
        <w:t>Secretary General</w:t>
      </w:r>
      <w:r w:rsidR="00C04D26">
        <w:rPr>
          <w:bCs/>
        </w:rPr>
        <w:t xml:space="preserve"> reported that the matter had been </w:t>
      </w:r>
      <w:r w:rsidR="00B4340B">
        <w:rPr>
          <w:bCs/>
        </w:rPr>
        <w:t>referred to</w:t>
      </w:r>
      <w:r w:rsidR="00C04D26">
        <w:rPr>
          <w:bCs/>
        </w:rPr>
        <w:t xml:space="preserve"> the Conference Bureau</w:t>
      </w:r>
      <w:r w:rsidR="00EB188F">
        <w:rPr>
          <w:bCs/>
        </w:rPr>
        <w:t>.</w:t>
      </w:r>
    </w:p>
    <w:p w14:paraId="1D8CD05C" w14:textId="77777777" w:rsidR="006463F3" w:rsidRPr="008C7FB2" w:rsidRDefault="006463F3" w:rsidP="00AD57E6">
      <w:pPr>
        <w:tabs>
          <w:tab w:val="left" w:pos="1403"/>
        </w:tabs>
        <w:snapToGrid w:val="0"/>
        <w:spacing w:after="0" w:line="240" w:lineRule="auto"/>
        <w:rPr>
          <w:bCs/>
        </w:rPr>
      </w:pPr>
    </w:p>
    <w:p w14:paraId="5C378588" w14:textId="7C3EB53B" w:rsidR="00325672" w:rsidRPr="00325672" w:rsidRDefault="00325672" w:rsidP="00D6595B">
      <w:pPr>
        <w:keepNext/>
        <w:pBdr>
          <w:top w:val="single" w:sz="4" w:space="1" w:color="auto"/>
          <w:left w:val="single" w:sz="4" w:space="4" w:color="auto"/>
          <w:bottom w:val="single" w:sz="4" w:space="1" w:color="auto"/>
          <w:right w:val="single" w:sz="4" w:space="4" w:color="auto"/>
        </w:pBdr>
        <w:snapToGrid w:val="0"/>
        <w:spacing w:after="0" w:line="240" w:lineRule="auto"/>
        <w:rPr>
          <w:b/>
          <w:bCs/>
        </w:rPr>
      </w:pPr>
      <w:r w:rsidRPr="00325672">
        <w:rPr>
          <w:b/>
          <w:bCs/>
        </w:rPr>
        <w:lastRenderedPageBreak/>
        <w:t>18.26 Draft resolution on the enhanced conservation of sea turtle breeding, feeding and nursery areas and the designation of key areas as Ramsar Sites</w:t>
      </w:r>
    </w:p>
    <w:p w14:paraId="590AA1D3" w14:textId="24B966D3" w:rsidR="00325672" w:rsidRPr="000A5227" w:rsidRDefault="00325672" w:rsidP="00D6595B">
      <w:pPr>
        <w:keepNext/>
        <w:snapToGrid w:val="0"/>
        <w:spacing w:after="0" w:line="240" w:lineRule="auto"/>
        <w:rPr>
          <w:bCs/>
        </w:rPr>
      </w:pPr>
    </w:p>
    <w:p w14:paraId="77AA85F7" w14:textId="1D0FD78C" w:rsidR="00AA76DD" w:rsidRDefault="00A469E2" w:rsidP="00D6595B">
      <w:pPr>
        <w:snapToGrid w:val="0"/>
        <w:spacing w:after="0" w:line="240" w:lineRule="auto"/>
        <w:ind w:left="425" w:hanging="425"/>
        <w:rPr>
          <w:bCs/>
        </w:rPr>
      </w:pPr>
      <w:r>
        <w:rPr>
          <w:bCs/>
        </w:rPr>
        <w:t>5</w:t>
      </w:r>
      <w:r w:rsidR="000A5227" w:rsidRPr="000A5227">
        <w:rPr>
          <w:bCs/>
        </w:rPr>
        <w:t>.</w:t>
      </w:r>
      <w:r w:rsidR="000A5227" w:rsidRPr="000A5227">
        <w:rPr>
          <w:bCs/>
        </w:rPr>
        <w:tab/>
      </w:r>
      <w:r w:rsidR="00AA76DD" w:rsidRPr="001D54FF">
        <w:rPr>
          <w:b/>
          <w:bCs/>
        </w:rPr>
        <w:t>France</w:t>
      </w:r>
      <w:r w:rsidR="00D96195">
        <w:rPr>
          <w:bCs/>
        </w:rPr>
        <w:t xml:space="preserve"> and </w:t>
      </w:r>
      <w:r w:rsidR="00D96195" w:rsidRPr="00D96195">
        <w:rPr>
          <w:b/>
          <w:bCs/>
        </w:rPr>
        <w:t>Senegal</w:t>
      </w:r>
      <w:r w:rsidR="00D96195">
        <w:rPr>
          <w:bCs/>
        </w:rPr>
        <w:t xml:space="preserve"> presented the </w:t>
      </w:r>
      <w:r w:rsidR="00B362C6">
        <w:rPr>
          <w:bCs/>
        </w:rPr>
        <w:t>draft resolution</w:t>
      </w:r>
      <w:r w:rsidR="00D96195">
        <w:rPr>
          <w:bCs/>
        </w:rPr>
        <w:t xml:space="preserve"> in document</w:t>
      </w:r>
      <w:r w:rsidR="00B362C6">
        <w:rPr>
          <w:bCs/>
        </w:rPr>
        <w:t xml:space="preserve"> Ramsar COP13 Doc.18.26</w:t>
      </w:r>
      <w:r w:rsidR="00D96195">
        <w:rPr>
          <w:bCs/>
        </w:rPr>
        <w:t>, thanking Contracting Parties that had already provided technical support to improve the text and expressing readiness to take further proposed amendments on board.</w:t>
      </w:r>
    </w:p>
    <w:p w14:paraId="008FB265" w14:textId="729821F4" w:rsidR="0038080E" w:rsidRDefault="0038080E" w:rsidP="00D6595B">
      <w:pPr>
        <w:snapToGrid w:val="0"/>
        <w:spacing w:after="0" w:line="240" w:lineRule="auto"/>
        <w:ind w:left="425" w:hanging="425"/>
        <w:rPr>
          <w:bCs/>
        </w:rPr>
      </w:pPr>
    </w:p>
    <w:p w14:paraId="515B8FDE" w14:textId="6396AB6D" w:rsidR="00D96195" w:rsidRDefault="00A469E2" w:rsidP="00D6595B">
      <w:pPr>
        <w:snapToGrid w:val="0"/>
        <w:spacing w:after="0" w:line="240" w:lineRule="auto"/>
        <w:ind w:left="425" w:hanging="425"/>
        <w:rPr>
          <w:bCs/>
        </w:rPr>
      </w:pPr>
      <w:r>
        <w:rPr>
          <w:bCs/>
        </w:rPr>
        <w:t>6</w:t>
      </w:r>
      <w:r w:rsidR="006E0FF7">
        <w:rPr>
          <w:bCs/>
        </w:rPr>
        <w:t>.</w:t>
      </w:r>
      <w:r w:rsidR="006E0FF7">
        <w:rPr>
          <w:bCs/>
        </w:rPr>
        <w:tab/>
      </w:r>
      <w:r w:rsidR="00D96195">
        <w:rPr>
          <w:bCs/>
        </w:rPr>
        <w:t xml:space="preserve">Support for the draft resolution was expressed by </w:t>
      </w:r>
      <w:r w:rsidR="00D96195" w:rsidRPr="00D96195">
        <w:rPr>
          <w:b/>
          <w:bCs/>
        </w:rPr>
        <w:t>Argentina</w:t>
      </w:r>
      <w:r w:rsidR="00D96195">
        <w:rPr>
          <w:bCs/>
        </w:rPr>
        <w:t>,</w:t>
      </w:r>
      <w:r w:rsidR="00E13C31">
        <w:rPr>
          <w:bCs/>
        </w:rPr>
        <w:t xml:space="preserve"> </w:t>
      </w:r>
      <w:r w:rsidR="00C056F3" w:rsidRPr="00C056F3">
        <w:rPr>
          <w:b/>
          <w:bCs/>
        </w:rPr>
        <w:t>Bangladesh</w:t>
      </w:r>
      <w:r w:rsidR="00C056F3">
        <w:rPr>
          <w:bCs/>
        </w:rPr>
        <w:t xml:space="preserve">, </w:t>
      </w:r>
      <w:r w:rsidR="00E13C31" w:rsidRPr="00C056F3">
        <w:rPr>
          <w:b/>
          <w:bCs/>
        </w:rPr>
        <w:t>Benin</w:t>
      </w:r>
      <w:r w:rsidR="00E13C31">
        <w:rPr>
          <w:bCs/>
        </w:rPr>
        <w:t xml:space="preserve">, </w:t>
      </w:r>
      <w:r w:rsidR="00C056F3" w:rsidRPr="00C056F3">
        <w:rPr>
          <w:b/>
          <w:bCs/>
        </w:rPr>
        <w:t>Brazil</w:t>
      </w:r>
      <w:r w:rsidR="00C056F3">
        <w:rPr>
          <w:bCs/>
        </w:rPr>
        <w:t xml:space="preserve">, </w:t>
      </w:r>
      <w:r w:rsidR="00C056F3" w:rsidRPr="00C056F3">
        <w:rPr>
          <w:b/>
          <w:bCs/>
        </w:rPr>
        <w:t>Canada</w:t>
      </w:r>
      <w:r w:rsidR="00C056F3">
        <w:rPr>
          <w:bCs/>
        </w:rPr>
        <w:t xml:space="preserve">, </w:t>
      </w:r>
      <w:r w:rsidR="00E13C31" w:rsidRPr="00C056F3">
        <w:rPr>
          <w:b/>
          <w:bCs/>
        </w:rPr>
        <w:t>Colombia</w:t>
      </w:r>
      <w:r w:rsidR="00E13C31">
        <w:rPr>
          <w:bCs/>
        </w:rPr>
        <w:t>,</w:t>
      </w:r>
      <w:r w:rsidR="00C056F3">
        <w:rPr>
          <w:bCs/>
        </w:rPr>
        <w:t xml:space="preserve"> </w:t>
      </w:r>
      <w:r w:rsidR="00E13C31" w:rsidRPr="00C056F3">
        <w:rPr>
          <w:b/>
          <w:bCs/>
        </w:rPr>
        <w:t>Costa Rica</w:t>
      </w:r>
      <w:r w:rsidR="00E13C31">
        <w:rPr>
          <w:bCs/>
        </w:rPr>
        <w:t xml:space="preserve">, </w:t>
      </w:r>
      <w:r w:rsidR="006E0FF7" w:rsidRPr="00C056F3">
        <w:rPr>
          <w:b/>
          <w:bCs/>
        </w:rPr>
        <w:t>Côte d’Ivoire</w:t>
      </w:r>
      <w:r w:rsidR="006E0FF7">
        <w:rPr>
          <w:bCs/>
        </w:rPr>
        <w:t xml:space="preserve">, </w:t>
      </w:r>
      <w:r w:rsidR="00C056F3" w:rsidRPr="00C056F3">
        <w:rPr>
          <w:b/>
          <w:bCs/>
        </w:rPr>
        <w:t>Cuba</w:t>
      </w:r>
      <w:r w:rsidR="00C056F3">
        <w:rPr>
          <w:bCs/>
        </w:rPr>
        <w:t xml:space="preserve">, </w:t>
      </w:r>
      <w:r w:rsidR="00E13C31" w:rsidRPr="00C056F3">
        <w:rPr>
          <w:b/>
          <w:bCs/>
        </w:rPr>
        <w:t>Dominican Republic</w:t>
      </w:r>
      <w:r w:rsidR="00E13C31">
        <w:rPr>
          <w:bCs/>
        </w:rPr>
        <w:t xml:space="preserve">, </w:t>
      </w:r>
      <w:r w:rsidR="00E13C31" w:rsidRPr="00C056F3">
        <w:rPr>
          <w:b/>
          <w:bCs/>
        </w:rPr>
        <w:t>Ecuador</w:t>
      </w:r>
      <w:r w:rsidR="00E13C31">
        <w:rPr>
          <w:bCs/>
        </w:rPr>
        <w:t>,</w:t>
      </w:r>
      <w:r w:rsidR="00C056F3">
        <w:rPr>
          <w:bCs/>
        </w:rPr>
        <w:t xml:space="preserve"> </w:t>
      </w:r>
      <w:r w:rsidR="00C056F3" w:rsidRPr="00C056F3">
        <w:rPr>
          <w:b/>
          <w:bCs/>
        </w:rPr>
        <w:t>Equatorial Guinea</w:t>
      </w:r>
      <w:r w:rsidR="00C056F3">
        <w:rPr>
          <w:bCs/>
        </w:rPr>
        <w:t>,</w:t>
      </w:r>
      <w:r w:rsidR="00E13C31">
        <w:rPr>
          <w:bCs/>
        </w:rPr>
        <w:t xml:space="preserve"> </w:t>
      </w:r>
      <w:r w:rsidR="00E13C31" w:rsidRPr="00C056F3">
        <w:rPr>
          <w:b/>
          <w:bCs/>
        </w:rPr>
        <w:t>Guinea</w:t>
      </w:r>
      <w:r w:rsidR="00E13C31">
        <w:rPr>
          <w:bCs/>
        </w:rPr>
        <w:t xml:space="preserve">, </w:t>
      </w:r>
      <w:r w:rsidR="00C056F3" w:rsidRPr="00C056F3">
        <w:rPr>
          <w:b/>
          <w:bCs/>
        </w:rPr>
        <w:t>Guinea Bissau</w:t>
      </w:r>
      <w:r w:rsidR="00C056F3">
        <w:rPr>
          <w:bCs/>
        </w:rPr>
        <w:t xml:space="preserve">, </w:t>
      </w:r>
      <w:r w:rsidR="00C056F3" w:rsidRPr="00C056F3">
        <w:rPr>
          <w:b/>
          <w:bCs/>
        </w:rPr>
        <w:t>Honduras</w:t>
      </w:r>
      <w:r w:rsidR="00C056F3">
        <w:rPr>
          <w:bCs/>
        </w:rPr>
        <w:t xml:space="preserve">, </w:t>
      </w:r>
      <w:r w:rsidR="00C056F3" w:rsidRPr="00C056F3">
        <w:rPr>
          <w:b/>
          <w:bCs/>
        </w:rPr>
        <w:t>India</w:t>
      </w:r>
      <w:r w:rsidR="00C056F3">
        <w:rPr>
          <w:bCs/>
        </w:rPr>
        <w:t xml:space="preserve">, </w:t>
      </w:r>
      <w:r w:rsidR="00C056F3" w:rsidRPr="00C056F3">
        <w:rPr>
          <w:b/>
          <w:bCs/>
        </w:rPr>
        <w:t>Indonesia</w:t>
      </w:r>
      <w:r w:rsidR="00C056F3">
        <w:rPr>
          <w:bCs/>
        </w:rPr>
        <w:t xml:space="preserve">, </w:t>
      </w:r>
      <w:r w:rsidR="00C056F3" w:rsidRPr="00C056F3">
        <w:rPr>
          <w:b/>
          <w:bCs/>
        </w:rPr>
        <w:t>Kuwait</w:t>
      </w:r>
      <w:r w:rsidR="00C056F3">
        <w:rPr>
          <w:bCs/>
        </w:rPr>
        <w:t xml:space="preserve">, </w:t>
      </w:r>
      <w:r w:rsidR="00C056F3" w:rsidRPr="00C056F3">
        <w:rPr>
          <w:b/>
          <w:bCs/>
        </w:rPr>
        <w:t>Libya</w:t>
      </w:r>
      <w:r w:rsidR="00C056F3">
        <w:rPr>
          <w:bCs/>
        </w:rPr>
        <w:t xml:space="preserve">, </w:t>
      </w:r>
      <w:r w:rsidR="00E13C31" w:rsidRPr="00C056F3">
        <w:rPr>
          <w:b/>
          <w:bCs/>
        </w:rPr>
        <w:t>Myanmar</w:t>
      </w:r>
      <w:r w:rsidR="00E13C31">
        <w:rPr>
          <w:bCs/>
        </w:rPr>
        <w:t xml:space="preserve">, </w:t>
      </w:r>
      <w:r w:rsidR="00E13C31" w:rsidRPr="00C056F3">
        <w:rPr>
          <w:b/>
          <w:bCs/>
        </w:rPr>
        <w:t>New Zealand</w:t>
      </w:r>
      <w:r w:rsidR="00E13C31">
        <w:rPr>
          <w:bCs/>
        </w:rPr>
        <w:t xml:space="preserve"> on behalf of the Oceania region,</w:t>
      </w:r>
      <w:r w:rsidR="00C056F3">
        <w:rPr>
          <w:bCs/>
        </w:rPr>
        <w:t xml:space="preserve"> </w:t>
      </w:r>
      <w:r w:rsidR="00C056F3" w:rsidRPr="00C056F3">
        <w:rPr>
          <w:b/>
          <w:bCs/>
        </w:rPr>
        <w:t>Oman</w:t>
      </w:r>
      <w:r w:rsidR="00C056F3">
        <w:rPr>
          <w:bCs/>
        </w:rPr>
        <w:t xml:space="preserve">, </w:t>
      </w:r>
      <w:r w:rsidR="00C056F3" w:rsidRPr="00C056F3">
        <w:rPr>
          <w:b/>
          <w:bCs/>
        </w:rPr>
        <w:t>Panama</w:t>
      </w:r>
      <w:r w:rsidR="00C056F3">
        <w:rPr>
          <w:bCs/>
        </w:rPr>
        <w:t>,</w:t>
      </w:r>
      <w:r w:rsidR="00E13C31">
        <w:rPr>
          <w:bCs/>
        </w:rPr>
        <w:t xml:space="preserve"> </w:t>
      </w:r>
      <w:r w:rsidR="00C056F3" w:rsidRPr="00C056F3">
        <w:rPr>
          <w:b/>
          <w:bCs/>
        </w:rPr>
        <w:t>Seychelles</w:t>
      </w:r>
      <w:r w:rsidR="00C056F3">
        <w:rPr>
          <w:bCs/>
        </w:rPr>
        <w:t xml:space="preserve">, </w:t>
      </w:r>
      <w:r w:rsidR="00E13C31" w:rsidRPr="00C056F3">
        <w:rPr>
          <w:b/>
          <w:bCs/>
        </w:rPr>
        <w:t>South Africa</w:t>
      </w:r>
      <w:r w:rsidR="00E13C31">
        <w:rPr>
          <w:bCs/>
        </w:rPr>
        <w:t xml:space="preserve"> on behalf of the Africa region,</w:t>
      </w:r>
      <w:r w:rsidR="00D96195">
        <w:rPr>
          <w:bCs/>
        </w:rPr>
        <w:t xml:space="preserve"> </w:t>
      </w:r>
      <w:r w:rsidR="00C056F3" w:rsidRPr="00C056F3">
        <w:rPr>
          <w:b/>
          <w:bCs/>
        </w:rPr>
        <w:t>Sri</w:t>
      </w:r>
      <w:r w:rsidR="00C056F3">
        <w:rPr>
          <w:bCs/>
        </w:rPr>
        <w:t xml:space="preserve"> </w:t>
      </w:r>
      <w:r w:rsidR="00C056F3" w:rsidRPr="00C056F3">
        <w:rPr>
          <w:b/>
          <w:bCs/>
        </w:rPr>
        <w:t>Lanka</w:t>
      </w:r>
      <w:r w:rsidR="00C056F3">
        <w:rPr>
          <w:bCs/>
        </w:rPr>
        <w:t xml:space="preserve">, </w:t>
      </w:r>
      <w:r w:rsidR="00C056F3" w:rsidRPr="00C056F3">
        <w:rPr>
          <w:b/>
          <w:bCs/>
        </w:rPr>
        <w:t>Sudan</w:t>
      </w:r>
      <w:r w:rsidR="00C056F3">
        <w:rPr>
          <w:bCs/>
        </w:rPr>
        <w:t xml:space="preserve">, </w:t>
      </w:r>
      <w:r w:rsidR="00E13C31" w:rsidRPr="00C056F3">
        <w:rPr>
          <w:b/>
          <w:bCs/>
        </w:rPr>
        <w:t>Thailand</w:t>
      </w:r>
      <w:r w:rsidR="00C056F3">
        <w:rPr>
          <w:bCs/>
        </w:rPr>
        <w:t xml:space="preserve">, </w:t>
      </w:r>
      <w:r w:rsidR="006E0FF7">
        <w:rPr>
          <w:bCs/>
        </w:rPr>
        <w:t xml:space="preserve">the </w:t>
      </w:r>
      <w:r w:rsidR="00C056F3" w:rsidRPr="00C056F3">
        <w:rPr>
          <w:b/>
          <w:bCs/>
        </w:rPr>
        <w:t>United Arab Emirates</w:t>
      </w:r>
      <w:r w:rsidR="00C056F3">
        <w:rPr>
          <w:bCs/>
        </w:rPr>
        <w:t xml:space="preserve">, </w:t>
      </w:r>
      <w:r w:rsidR="006E0FF7">
        <w:rPr>
          <w:bCs/>
        </w:rPr>
        <w:t xml:space="preserve">the </w:t>
      </w:r>
      <w:r w:rsidR="00C056F3" w:rsidRPr="00C056F3">
        <w:rPr>
          <w:b/>
          <w:bCs/>
        </w:rPr>
        <w:t>United Republic of Tanzania</w:t>
      </w:r>
      <w:r w:rsidR="00C056F3">
        <w:rPr>
          <w:bCs/>
        </w:rPr>
        <w:t xml:space="preserve">, </w:t>
      </w:r>
      <w:r w:rsidR="006E0FF7">
        <w:rPr>
          <w:bCs/>
        </w:rPr>
        <w:t xml:space="preserve">the </w:t>
      </w:r>
      <w:r w:rsidR="00C056F3" w:rsidRPr="00C056F3">
        <w:rPr>
          <w:b/>
          <w:bCs/>
        </w:rPr>
        <w:t>United States of America</w:t>
      </w:r>
      <w:r w:rsidR="00C056F3">
        <w:rPr>
          <w:bCs/>
        </w:rPr>
        <w:t xml:space="preserve">, </w:t>
      </w:r>
      <w:r w:rsidR="00C056F3" w:rsidRPr="00C056F3">
        <w:rPr>
          <w:b/>
          <w:bCs/>
        </w:rPr>
        <w:t>Venezuela</w:t>
      </w:r>
      <w:r w:rsidR="00D510DD">
        <w:rPr>
          <w:b/>
          <w:bCs/>
        </w:rPr>
        <w:t xml:space="preserve"> (Bolivarian Republic of)</w:t>
      </w:r>
      <w:r w:rsidR="00C056F3">
        <w:rPr>
          <w:bCs/>
        </w:rPr>
        <w:t xml:space="preserve">, </w:t>
      </w:r>
      <w:r w:rsidR="00C056F3" w:rsidRPr="00C056F3">
        <w:rPr>
          <w:b/>
          <w:bCs/>
        </w:rPr>
        <w:t>Viet</w:t>
      </w:r>
      <w:r w:rsidR="00B06D39">
        <w:rPr>
          <w:b/>
          <w:bCs/>
        </w:rPr>
        <w:t xml:space="preserve"> N</w:t>
      </w:r>
      <w:r w:rsidR="00C056F3" w:rsidRPr="00C056F3">
        <w:rPr>
          <w:b/>
          <w:bCs/>
        </w:rPr>
        <w:t>am</w:t>
      </w:r>
      <w:r w:rsidR="00C056F3">
        <w:rPr>
          <w:bCs/>
        </w:rPr>
        <w:t xml:space="preserve"> and the observer from the </w:t>
      </w:r>
      <w:r w:rsidR="00C056F3" w:rsidRPr="00C056F3">
        <w:rPr>
          <w:b/>
          <w:bCs/>
        </w:rPr>
        <w:t>Secretariat of the Convention on Migratory Species</w:t>
      </w:r>
      <w:r w:rsidR="0038709F">
        <w:rPr>
          <w:b/>
          <w:bCs/>
        </w:rPr>
        <w:t xml:space="preserve"> </w:t>
      </w:r>
      <w:r w:rsidR="0038709F" w:rsidRPr="0038709F">
        <w:rPr>
          <w:bCs/>
        </w:rPr>
        <w:t>(CMS)</w:t>
      </w:r>
      <w:r w:rsidR="00C056F3">
        <w:rPr>
          <w:bCs/>
        </w:rPr>
        <w:t xml:space="preserve">. </w:t>
      </w:r>
      <w:r w:rsidR="0038709F">
        <w:rPr>
          <w:bCs/>
        </w:rPr>
        <w:t>A number of these interventions proposed specific amendments, especially to the list of Ramsar Sites contained in Annex 1 and</w:t>
      </w:r>
      <w:r w:rsidR="006E0FF7">
        <w:rPr>
          <w:bCs/>
        </w:rPr>
        <w:t xml:space="preserve"> in order</w:t>
      </w:r>
      <w:r w:rsidR="0038709F">
        <w:rPr>
          <w:bCs/>
        </w:rPr>
        <w:t xml:space="preserve"> to highlight collaboration</w:t>
      </w:r>
      <w:r w:rsidR="00C174CC">
        <w:rPr>
          <w:bCs/>
        </w:rPr>
        <w:t xml:space="preserve"> and synergies</w:t>
      </w:r>
      <w:r w:rsidR="0038709F">
        <w:rPr>
          <w:bCs/>
        </w:rPr>
        <w:t xml:space="preserve"> with other relevant international instruments, </w:t>
      </w:r>
      <w:r w:rsidR="00C174CC">
        <w:rPr>
          <w:bCs/>
        </w:rPr>
        <w:t>including</w:t>
      </w:r>
      <w:r w:rsidR="0038709F">
        <w:rPr>
          <w:bCs/>
        </w:rPr>
        <w:t xml:space="preserve"> the Inter-American Convention for the Protection and Conservation of Sea Turtles and those under the CMS. Contracting Parties also presented information concerning sea turtle conservation at national level</w:t>
      </w:r>
      <w:r w:rsidR="00C174CC">
        <w:rPr>
          <w:bCs/>
        </w:rPr>
        <w:t xml:space="preserve">, highlighting the need </w:t>
      </w:r>
      <w:r w:rsidR="007E6257">
        <w:rPr>
          <w:bCs/>
        </w:rPr>
        <w:t>for enhanced</w:t>
      </w:r>
      <w:r w:rsidR="00C174CC">
        <w:rPr>
          <w:bCs/>
        </w:rPr>
        <w:t xml:space="preserve"> capacity</w:t>
      </w:r>
      <w:r w:rsidR="007E6257">
        <w:rPr>
          <w:bCs/>
        </w:rPr>
        <w:t>, information exchange and access to expertise</w:t>
      </w:r>
      <w:r w:rsidR="0038709F">
        <w:rPr>
          <w:bCs/>
        </w:rPr>
        <w:t>.</w:t>
      </w:r>
    </w:p>
    <w:p w14:paraId="2DBED424" w14:textId="77777777" w:rsidR="00C056F3" w:rsidRDefault="00C056F3" w:rsidP="00D6595B">
      <w:pPr>
        <w:snapToGrid w:val="0"/>
        <w:spacing w:after="0" w:line="240" w:lineRule="auto"/>
        <w:ind w:left="425" w:hanging="425"/>
        <w:rPr>
          <w:bCs/>
        </w:rPr>
      </w:pPr>
    </w:p>
    <w:p w14:paraId="7D7822DC" w14:textId="263B7327" w:rsidR="003B43EC" w:rsidRDefault="00A469E2" w:rsidP="00D6595B">
      <w:pPr>
        <w:snapToGrid w:val="0"/>
        <w:spacing w:after="0" w:line="240" w:lineRule="auto"/>
        <w:ind w:left="425" w:hanging="425"/>
        <w:rPr>
          <w:bCs/>
        </w:rPr>
      </w:pPr>
      <w:r>
        <w:rPr>
          <w:bCs/>
        </w:rPr>
        <w:t>7</w:t>
      </w:r>
      <w:r w:rsidR="006E0FF7">
        <w:rPr>
          <w:bCs/>
        </w:rPr>
        <w:t>.</w:t>
      </w:r>
      <w:r w:rsidR="006E0FF7">
        <w:rPr>
          <w:bCs/>
        </w:rPr>
        <w:tab/>
      </w:r>
      <w:r w:rsidR="0038709F">
        <w:rPr>
          <w:bCs/>
        </w:rPr>
        <w:t xml:space="preserve">The </w:t>
      </w:r>
      <w:r w:rsidR="0038709F" w:rsidRPr="0038709F">
        <w:rPr>
          <w:b/>
          <w:bCs/>
        </w:rPr>
        <w:t>President</w:t>
      </w:r>
      <w:r w:rsidR="0038709F">
        <w:rPr>
          <w:bCs/>
        </w:rPr>
        <w:t xml:space="preserve"> requested all Contracting Parties with proposed amendments to send these in writing to the Secretariat so that the</w:t>
      </w:r>
      <w:r w:rsidR="006E0FF7">
        <w:rPr>
          <w:bCs/>
        </w:rPr>
        <w:t>y</w:t>
      </w:r>
      <w:r w:rsidR="0038709F">
        <w:rPr>
          <w:bCs/>
        </w:rPr>
        <w:t xml:space="preserve"> could be made available to the proponents (France and Senegal) for preparation of </w:t>
      </w:r>
      <w:r w:rsidR="00C174CC">
        <w:rPr>
          <w:bCs/>
        </w:rPr>
        <w:t xml:space="preserve">a revised text to be considered </w:t>
      </w:r>
      <w:r w:rsidR="007E6257">
        <w:rPr>
          <w:bCs/>
        </w:rPr>
        <w:t>during</w:t>
      </w:r>
      <w:r w:rsidR="00C174CC">
        <w:rPr>
          <w:bCs/>
        </w:rPr>
        <w:t xml:space="preserve"> a later session</w:t>
      </w:r>
      <w:r w:rsidR="0038709F">
        <w:rPr>
          <w:bCs/>
        </w:rPr>
        <w:t>.</w:t>
      </w:r>
    </w:p>
    <w:p w14:paraId="6404DA2C" w14:textId="2932BDE6" w:rsidR="00817E01" w:rsidRDefault="00817E01" w:rsidP="00D6595B">
      <w:pPr>
        <w:snapToGrid w:val="0"/>
        <w:spacing w:after="0" w:line="240" w:lineRule="auto"/>
        <w:rPr>
          <w:bCs/>
        </w:rPr>
      </w:pPr>
    </w:p>
    <w:p w14:paraId="5A007232" w14:textId="36694D85" w:rsidR="00817E01" w:rsidRPr="006E0FF7" w:rsidRDefault="00817E01" w:rsidP="00D6595B">
      <w:pPr>
        <w:pBdr>
          <w:top w:val="single" w:sz="4" w:space="3" w:color="auto"/>
          <w:left w:val="single" w:sz="4" w:space="4" w:color="auto"/>
          <w:bottom w:val="single" w:sz="4" w:space="3" w:color="auto"/>
          <w:right w:val="single" w:sz="4" w:space="4" w:color="auto"/>
        </w:pBdr>
        <w:snapToGrid w:val="0"/>
        <w:spacing w:after="0" w:line="240" w:lineRule="auto"/>
        <w:rPr>
          <w:b/>
          <w:bCs/>
        </w:rPr>
      </w:pPr>
      <w:r w:rsidRPr="006E0FF7">
        <w:rPr>
          <w:b/>
          <w:bCs/>
        </w:rPr>
        <w:t>18.12 Draft resolution on future implementation of scientific and technical aspects of the Convention for 2019-2021</w:t>
      </w:r>
    </w:p>
    <w:p w14:paraId="5E29D9AE" w14:textId="77777777" w:rsidR="00817E01" w:rsidRDefault="00817E01" w:rsidP="00D6595B">
      <w:pPr>
        <w:snapToGrid w:val="0"/>
        <w:spacing w:after="0" w:line="240" w:lineRule="auto"/>
        <w:ind w:left="425" w:hanging="425"/>
        <w:rPr>
          <w:bCs/>
        </w:rPr>
      </w:pPr>
    </w:p>
    <w:p w14:paraId="0690C92C" w14:textId="7827BFCF" w:rsidR="00817E01" w:rsidRPr="00817E01" w:rsidRDefault="00A469E2" w:rsidP="00D6595B">
      <w:pPr>
        <w:snapToGrid w:val="0"/>
        <w:spacing w:after="0" w:line="240" w:lineRule="auto"/>
        <w:ind w:left="425" w:hanging="425"/>
        <w:rPr>
          <w:bCs/>
        </w:rPr>
      </w:pPr>
      <w:r>
        <w:rPr>
          <w:bCs/>
        </w:rPr>
        <w:t>8</w:t>
      </w:r>
      <w:r w:rsidR="006E0FF7">
        <w:rPr>
          <w:bCs/>
        </w:rPr>
        <w:t>.</w:t>
      </w:r>
      <w:r w:rsidR="006E0FF7">
        <w:rPr>
          <w:bCs/>
        </w:rPr>
        <w:tab/>
      </w:r>
      <w:r w:rsidR="00817E01" w:rsidRPr="00817E01">
        <w:rPr>
          <w:bCs/>
        </w:rPr>
        <w:t xml:space="preserve">The </w:t>
      </w:r>
      <w:r w:rsidR="00817E01" w:rsidRPr="00054877">
        <w:rPr>
          <w:b/>
          <w:bCs/>
        </w:rPr>
        <w:t xml:space="preserve">Chair of the </w:t>
      </w:r>
      <w:r w:rsidR="006E0FF7">
        <w:rPr>
          <w:b/>
          <w:bCs/>
        </w:rPr>
        <w:t>STRP</w:t>
      </w:r>
      <w:r w:rsidR="006E0FF7" w:rsidRPr="006E0FF7">
        <w:rPr>
          <w:bCs/>
        </w:rPr>
        <w:t>,</w:t>
      </w:r>
      <w:r w:rsidR="00817E01" w:rsidRPr="00054877">
        <w:rPr>
          <w:b/>
          <w:bCs/>
        </w:rPr>
        <w:t xml:space="preserve"> </w:t>
      </w:r>
      <w:r w:rsidR="00054877">
        <w:rPr>
          <w:bCs/>
        </w:rPr>
        <w:t>Prof. Royal Gardner</w:t>
      </w:r>
      <w:r w:rsidR="006E0FF7">
        <w:rPr>
          <w:bCs/>
        </w:rPr>
        <w:t>,</w:t>
      </w:r>
      <w:r w:rsidR="00817E01" w:rsidRPr="00817E01">
        <w:rPr>
          <w:bCs/>
        </w:rPr>
        <w:t xml:space="preserve"> presented the draft resolution in document COP13 Doc.18.12 </w:t>
      </w:r>
      <w:r w:rsidR="00054877">
        <w:rPr>
          <w:bCs/>
        </w:rPr>
        <w:t>and drew attention to</w:t>
      </w:r>
      <w:r w:rsidR="00817E01" w:rsidRPr="00817E01">
        <w:rPr>
          <w:bCs/>
        </w:rPr>
        <w:t xml:space="preserve"> minor amendments</w:t>
      </w:r>
      <w:r w:rsidR="00054877">
        <w:rPr>
          <w:bCs/>
        </w:rPr>
        <w:t xml:space="preserve"> relating to two Annexes</w:t>
      </w:r>
      <w:r w:rsidR="00817E01" w:rsidRPr="00817E01">
        <w:rPr>
          <w:bCs/>
        </w:rPr>
        <w:t>.</w:t>
      </w:r>
    </w:p>
    <w:p w14:paraId="7B82521B" w14:textId="77777777" w:rsidR="00817E01" w:rsidRPr="006E0FF7" w:rsidRDefault="00817E01" w:rsidP="00D6595B">
      <w:pPr>
        <w:snapToGrid w:val="0"/>
        <w:spacing w:after="0" w:line="240" w:lineRule="auto"/>
        <w:ind w:left="425" w:hanging="425"/>
        <w:rPr>
          <w:bCs/>
        </w:rPr>
      </w:pPr>
    </w:p>
    <w:p w14:paraId="5194CDB1" w14:textId="27F64FE7" w:rsidR="00817E01" w:rsidRPr="00817E01" w:rsidRDefault="00A469E2" w:rsidP="00D6595B">
      <w:pPr>
        <w:snapToGrid w:val="0"/>
        <w:spacing w:after="0" w:line="240" w:lineRule="auto"/>
        <w:ind w:left="425" w:hanging="425"/>
        <w:rPr>
          <w:bCs/>
        </w:rPr>
      </w:pPr>
      <w:r>
        <w:rPr>
          <w:bCs/>
        </w:rPr>
        <w:t>9</w:t>
      </w:r>
      <w:r w:rsidR="006E0FF7" w:rsidRPr="006E0FF7">
        <w:rPr>
          <w:bCs/>
        </w:rPr>
        <w:t>.</w:t>
      </w:r>
      <w:r w:rsidR="006E0FF7" w:rsidRPr="006E0FF7">
        <w:rPr>
          <w:bCs/>
        </w:rPr>
        <w:tab/>
      </w:r>
      <w:r w:rsidR="00817E01" w:rsidRPr="00817E01">
        <w:rPr>
          <w:b/>
          <w:bCs/>
        </w:rPr>
        <w:t>Belgium</w:t>
      </w:r>
      <w:r w:rsidR="00817E01" w:rsidRPr="00054877">
        <w:rPr>
          <w:bCs/>
        </w:rPr>
        <w:t>,</w:t>
      </w:r>
      <w:r w:rsidR="00817E01" w:rsidRPr="00817E01">
        <w:rPr>
          <w:b/>
          <w:bCs/>
        </w:rPr>
        <w:t xml:space="preserve"> Bolivia (Plurinational State of)</w:t>
      </w:r>
      <w:r w:rsidR="00817E01" w:rsidRPr="00054877">
        <w:rPr>
          <w:bCs/>
        </w:rPr>
        <w:t>,</w:t>
      </w:r>
      <w:r w:rsidR="00817E01" w:rsidRPr="00817E01">
        <w:rPr>
          <w:b/>
          <w:bCs/>
        </w:rPr>
        <w:t xml:space="preserve"> Brazil</w:t>
      </w:r>
      <w:r w:rsidR="00817E01" w:rsidRPr="00054877">
        <w:rPr>
          <w:bCs/>
        </w:rPr>
        <w:t>,</w:t>
      </w:r>
      <w:r w:rsidR="00817E01" w:rsidRPr="00817E01">
        <w:rPr>
          <w:b/>
          <w:bCs/>
        </w:rPr>
        <w:t xml:space="preserve"> Burkina Faso</w:t>
      </w:r>
      <w:r w:rsidR="00817E01" w:rsidRPr="00054877">
        <w:rPr>
          <w:bCs/>
        </w:rPr>
        <w:t>,</w:t>
      </w:r>
      <w:r w:rsidR="00817E01" w:rsidRPr="00817E01">
        <w:rPr>
          <w:b/>
          <w:bCs/>
        </w:rPr>
        <w:t xml:space="preserve"> Canada</w:t>
      </w:r>
      <w:r w:rsidR="00817E01" w:rsidRPr="00054877">
        <w:rPr>
          <w:bCs/>
        </w:rPr>
        <w:t>,</w:t>
      </w:r>
      <w:r w:rsidR="00817E01" w:rsidRPr="00817E01">
        <w:rPr>
          <w:b/>
          <w:bCs/>
        </w:rPr>
        <w:t xml:space="preserve"> Chile</w:t>
      </w:r>
      <w:r w:rsidR="00817E01" w:rsidRPr="00054877">
        <w:rPr>
          <w:bCs/>
        </w:rPr>
        <w:t xml:space="preserve">, </w:t>
      </w:r>
      <w:r w:rsidR="00817E01" w:rsidRPr="00817E01">
        <w:rPr>
          <w:b/>
          <w:bCs/>
        </w:rPr>
        <w:t>China</w:t>
      </w:r>
      <w:r w:rsidR="00817E01" w:rsidRPr="00054877">
        <w:rPr>
          <w:bCs/>
        </w:rPr>
        <w:t>,</w:t>
      </w:r>
      <w:r w:rsidR="00817E01" w:rsidRPr="00817E01">
        <w:rPr>
          <w:b/>
          <w:bCs/>
        </w:rPr>
        <w:t xml:space="preserve"> Ecuador</w:t>
      </w:r>
      <w:r w:rsidR="00817E01" w:rsidRPr="00054877">
        <w:rPr>
          <w:bCs/>
        </w:rPr>
        <w:t>,</w:t>
      </w:r>
      <w:r w:rsidR="00817E01" w:rsidRPr="00817E01">
        <w:rPr>
          <w:b/>
          <w:bCs/>
        </w:rPr>
        <w:t xml:space="preserve"> New Zealand</w:t>
      </w:r>
      <w:r w:rsidR="00817E01" w:rsidRPr="00054877">
        <w:rPr>
          <w:bCs/>
        </w:rPr>
        <w:t>,</w:t>
      </w:r>
      <w:r w:rsidR="00817E01" w:rsidRPr="00817E01">
        <w:rPr>
          <w:b/>
          <w:bCs/>
        </w:rPr>
        <w:t xml:space="preserve"> Senegal</w:t>
      </w:r>
      <w:r w:rsidR="00817E01" w:rsidRPr="00054877">
        <w:rPr>
          <w:bCs/>
        </w:rPr>
        <w:t>,</w:t>
      </w:r>
      <w:r w:rsidR="00817E01" w:rsidRPr="00817E01">
        <w:rPr>
          <w:b/>
          <w:bCs/>
        </w:rPr>
        <w:t xml:space="preserve"> United Kingdom</w:t>
      </w:r>
      <w:r w:rsidR="00817E01" w:rsidRPr="00817E01">
        <w:rPr>
          <w:bCs/>
        </w:rPr>
        <w:t xml:space="preserve"> on behalf of the Member States of the European Union</w:t>
      </w:r>
      <w:r w:rsidR="00054877">
        <w:rPr>
          <w:bCs/>
        </w:rPr>
        <w:t xml:space="preserve">, </w:t>
      </w:r>
      <w:r w:rsidR="00817E01" w:rsidRPr="00817E01">
        <w:rPr>
          <w:b/>
          <w:bCs/>
        </w:rPr>
        <w:t>Switzerland</w:t>
      </w:r>
      <w:r w:rsidR="00817E01" w:rsidRPr="00054877">
        <w:rPr>
          <w:bCs/>
        </w:rPr>
        <w:t>,</w:t>
      </w:r>
      <w:r w:rsidR="00054877">
        <w:rPr>
          <w:b/>
          <w:bCs/>
        </w:rPr>
        <w:t xml:space="preserve"> </w:t>
      </w:r>
      <w:r w:rsidR="00054877" w:rsidRPr="00054877">
        <w:rPr>
          <w:bCs/>
        </w:rPr>
        <w:t>the</w:t>
      </w:r>
      <w:r w:rsidR="00817E01" w:rsidRPr="00817E01">
        <w:rPr>
          <w:b/>
          <w:bCs/>
        </w:rPr>
        <w:t xml:space="preserve"> United States of America</w:t>
      </w:r>
      <w:r w:rsidR="00054877">
        <w:rPr>
          <w:b/>
          <w:bCs/>
        </w:rPr>
        <w:t xml:space="preserve"> </w:t>
      </w:r>
      <w:r w:rsidR="00054877" w:rsidRPr="00054877">
        <w:rPr>
          <w:bCs/>
        </w:rPr>
        <w:t>and</w:t>
      </w:r>
      <w:r w:rsidR="00817E01" w:rsidRPr="00817E01">
        <w:rPr>
          <w:b/>
          <w:bCs/>
        </w:rPr>
        <w:t xml:space="preserve"> Venezuela (Bolivarian Republic of)</w:t>
      </w:r>
      <w:r w:rsidR="00817E01" w:rsidRPr="00817E01">
        <w:rPr>
          <w:bCs/>
        </w:rPr>
        <w:t xml:space="preserve"> all proposed amendments to the draft resolution.</w:t>
      </w:r>
    </w:p>
    <w:p w14:paraId="54A3F11E" w14:textId="77777777" w:rsidR="00817E01" w:rsidRPr="006E0FF7" w:rsidRDefault="00817E01" w:rsidP="00D6595B">
      <w:pPr>
        <w:snapToGrid w:val="0"/>
        <w:spacing w:after="0" w:line="240" w:lineRule="auto"/>
        <w:ind w:left="425" w:hanging="425"/>
        <w:rPr>
          <w:bCs/>
        </w:rPr>
      </w:pPr>
    </w:p>
    <w:p w14:paraId="3065E25E" w14:textId="2F641361" w:rsidR="00817E01" w:rsidRPr="00054877" w:rsidRDefault="006E0FF7" w:rsidP="00D6595B">
      <w:pPr>
        <w:snapToGrid w:val="0"/>
        <w:spacing w:after="0" w:line="240" w:lineRule="auto"/>
        <w:ind w:left="425" w:hanging="425"/>
        <w:rPr>
          <w:bCs/>
        </w:rPr>
      </w:pPr>
      <w:r w:rsidRPr="006E0FF7">
        <w:rPr>
          <w:bCs/>
        </w:rPr>
        <w:t>1</w:t>
      </w:r>
      <w:r w:rsidR="00A469E2">
        <w:rPr>
          <w:bCs/>
        </w:rPr>
        <w:t>0</w:t>
      </w:r>
      <w:r w:rsidRPr="006E0FF7">
        <w:rPr>
          <w:bCs/>
        </w:rPr>
        <w:t>.</w:t>
      </w:r>
      <w:r w:rsidRPr="006E0FF7">
        <w:rPr>
          <w:bCs/>
        </w:rPr>
        <w:tab/>
      </w:r>
      <w:r w:rsidR="00817E01" w:rsidRPr="00817E01">
        <w:rPr>
          <w:b/>
          <w:bCs/>
        </w:rPr>
        <w:t>Turkey</w:t>
      </w:r>
      <w:r w:rsidR="00817E01" w:rsidRPr="00817E01">
        <w:rPr>
          <w:bCs/>
        </w:rPr>
        <w:t xml:space="preserve"> </w:t>
      </w:r>
      <w:r w:rsidR="00054877">
        <w:rPr>
          <w:bCs/>
        </w:rPr>
        <w:t>made</w:t>
      </w:r>
      <w:r w:rsidR="00825DB7">
        <w:rPr>
          <w:bCs/>
        </w:rPr>
        <w:t xml:space="preserve"> the</w:t>
      </w:r>
      <w:r w:rsidR="00817E01" w:rsidRPr="00817E01">
        <w:rPr>
          <w:bCs/>
        </w:rPr>
        <w:t xml:space="preserve"> following statement </w:t>
      </w:r>
      <w:r w:rsidR="00054877">
        <w:rPr>
          <w:bCs/>
        </w:rPr>
        <w:t xml:space="preserve">for the record of </w:t>
      </w:r>
      <w:r w:rsidR="00054877" w:rsidRPr="00054877">
        <w:rPr>
          <w:bCs/>
        </w:rPr>
        <w:t>COP13</w:t>
      </w:r>
      <w:r w:rsidR="00817E01" w:rsidRPr="00054877">
        <w:rPr>
          <w:bCs/>
        </w:rPr>
        <w:t>:</w:t>
      </w:r>
    </w:p>
    <w:p w14:paraId="259287F7" w14:textId="0176E0C8" w:rsidR="00054877" w:rsidRPr="00054877" w:rsidRDefault="00054877" w:rsidP="00054877">
      <w:pPr>
        <w:tabs>
          <w:tab w:val="left" w:pos="1403"/>
        </w:tabs>
        <w:snapToGrid w:val="0"/>
        <w:spacing w:after="0" w:line="240" w:lineRule="auto"/>
        <w:rPr>
          <w:bCs/>
        </w:rPr>
      </w:pPr>
    </w:p>
    <w:p w14:paraId="5837ECE1" w14:textId="55363E4B" w:rsidR="00054877" w:rsidRPr="00054877" w:rsidRDefault="00151021" w:rsidP="006E0FF7">
      <w:pPr>
        <w:snapToGrid w:val="0"/>
        <w:spacing w:after="0" w:line="240" w:lineRule="auto"/>
        <w:ind w:left="851"/>
        <w:rPr>
          <w:lang w:val="en-US"/>
        </w:rPr>
      </w:pPr>
      <w:r>
        <w:rPr>
          <w:lang w:val="en-US"/>
        </w:rPr>
        <w:t>“</w:t>
      </w:r>
      <w:r w:rsidR="00054877" w:rsidRPr="00054877">
        <w:rPr>
          <w:lang w:val="en-US"/>
        </w:rPr>
        <w:t xml:space="preserve">Turkey puts its reservation on the acceptance of </w:t>
      </w:r>
      <w:r w:rsidR="006E0FF7">
        <w:rPr>
          <w:lang w:val="en-US"/>
        </w:rPr>
        <w:t>‘</w:t>
      </w:r>
      <w:r w:rsidR="00054877" w:rsidRPr="00054877">
        <w:rPr>
          <w:lang w:val="en-US"/>
        </w:rPr>
        <w:t>the United Nations Economic Commission for Europe (UNECE) Water Convention</w:t>
      </w:r>
      <w:r w:rsidR="006E0FF7">
        <w:rPr>
          <w:lang w:val="en-US"/>
        </w:rPr>
        <w:t>’</w:t>
      </w:r>
      <w:r w:rsidR="00054877" w:rsidRPr="00054877">
        <w:rPr>
          <w:lang w:val="en-US"/>
        </w:rPr>
        <w:t xml:space="preserve"> as an observer to be invited for the meetings and processes of the STRP for the 2019-2021 triennium. Any outcome that is likely to emerge as a result of a possible cooperation between the Ramsar Convention and the UNECE Water Convention does  no</w:t>
      </w:r>
      <w:r w:rsidR="00DB54F5">
        <w:rPr>
          <w:lang w:val="en-US"/>
        </w:rPr>
        <w:t>t have a</w:t>
      </w:r>
      <w:r w:rsidR="00054877" w:rsidRPr="00054877">
        <w:rPr>
          <w:lang w:val="en-US"/>
        </w:rPr>
        <w:t xml:space="preserve"> legally binding effect on Turkey. </w:t>
      </w:r>
    </w:p>
    <w:p w14:paraId="74874CD3" w14:textId="77777777" w:rsidR="00054877" w:rsidRPr="00054877" w:rsidRDefault="00054877" w:rsidP="000A5227">
      <w:pPr>
        <w:snapToGrid w:val="0"/>
        <w:spacing w:after="0" w:line="240" w:lineRule="auto"/>
        <w:ind w:left="851"/>
        <w:jc w:val="both"/>
        <w:rPr>
          <w:lang w:val="en-US"/>
        </w:rPr>
      </w:pPr>
    </w:p>
    <w:p w14:paraId="489A0829" w14:textId="1D00996B" w:rsidR="00054877" w:rsidRPr="00054877" w:rsidRDefault="00151021" w:rsidP="000A5227">
      <w:pPr>
        <w:tabs>
          <w:tab w:val="left" w:pos="1403"/>
        </w:tabs>
        <w:snapToGrid w:val="0"/>
        <w:spacing w:after="0" w:line="240" w:lineRule="auto"/>
        <w:ind w:left="851"/>
        <w:rPr>
          <w:bCs/>
        </w:rPr>
      </w:pPr>
      <w:r>
        <w:rPr>
          <w:lang w:val="en-US"/>
        </w:rPr>
        <w:t>“</w:t>
      </w:r>
      <w:r w:rsidR="00054877" w:rsidRPr="00054877">
        <w:rPr>
          <w:lang w:val="en-US"/>
        </w:rPr>
        <w:t xml:space="preserve">Turkey joins the consensus on </w:t>
      </w:r>
      <w:r w:rsidR="00DB54F5">
        <w:rPr>
          <w:lang w:val="en-US"/>
        </w:rPr>
        <w:t>the draft resolution</w:t>
      </w:r>
      <w:r w:rsidR="00054877" w:rsidRPr="00054877">
        <w:rPr>
          <w:lang w:val="en-US"/>
        </w:rPr>
        <w:t>, however, this is not to be construed as change of the Turkish position regarding the UNECE Convention on the Protection and Use of Transboundary Water Courses and International Lakes, as was expressed in COP12.</w:t>
      </w:r>
      <w:r>
        <w:rPr>
          <w:lang w:val="en-US"/>
        </w:rPr>
        <w:t>”</w:t>
      </w:r>
    </w:p>
    <w:p w14:paraId="4714DA30" w14:textId="77777777" w:rsidR="00817E01" w:rsidRPr="00817E01" w:rsidRDefault="00817E01" w:rsidP="00817E01">
      <w:pPr>
        <w:tabs>
          <w:tab w:val="left" w:pos="1403"/>
        </w:tabs>
        <w:snapToGrid w:val="0"/>
        <w:spacing w:after="0" w:line="240" w:lineRule="auto"/>
        <w:rPr>
          <w:bCs/>
        </w:rPr>
      </w:pPr>
    </w:p>
    <w:p w14:paraId="17F41B14" w14:textId="60B05763" w:rsidR="008B67E7" w:rsidRDefault="0095542A" w:rsidP="00825DB7">
      <w:pPr>
        <w:tabs>
          <w:tab w:val="left" w:pos="1403"/>
        </w:tabs>
        <w:snapToGrid w:val="0"/>
        <w:spacing w:after="0" w:line="240" w:lineRule="auto"/>
        <w:ind w:left="425" w:hanging="425"/>
        <w:rPr>
          <w:bCs/>
        </w:rPr>
      </w:pPr>
      <w:r>
        <w:rPr>
          <w:bCs/>
        </w:rPr>
        <w:t>1</w:t>
      </w:r>
      <w:r w:rsidR="00A469E2">
        <w:rPr>
          <w:bCs/>
        </w:rPr>
        <w:t>1</w:t>
      </w:r>
      <w:r>
        <w:rPr>
          <w:bCs/>
        </w:rPr>
        <w:t>.</w:t>
      </w:r>
      <w:r>
        <w:rPr>
          <w:bCs/>
        </w:rPr>
        <w:tab/>
      </w:r>
      <w:r w:rsidR="00817E01" w:rsidRPr="00817E01">
        <w:rPr>
          <w:bCs/>
        </w:rPr>
        <w:t xml:space="preserve">The </w:t>
      </w:r>
      <w:r w:rsidR="00817E01" w:rsidRPr="00393949">
        <w:rPr>
          <w:b/>
          <w:bCs/>
        </w:rPr>
        <w:t>President</w:t>
      </w:r>
      <w:r w:rsidR="00817E01" w:rsidRPr="00817E01">
        <w:rPr>
          <w:bCs/>
        </w:rPr>
        <w:t xml:space="preserve"> </w:t>
      </w:r>
      <w:r w:rsidR="00393949">
        <w:rPr>
          <w:bCs/>
        </w:rPr>
        <w:t>requested</w:t>
      </w:r>
      <w:r w:rsidR="00817E01" w:rsidRPr="00817E01">
        <w:rPr>
          <w:bCs/>
        </w:rPr>
        <w:t xml:space="preserve"> the </w:t>
      </w:r>
      <w:r w:rsidR="00817E01" w:rsidRPr="00817E01">
        <w:rPr>
          <w:b/>
          <w:bCs/>
        </w:rPr>
        <w:t>United States of America</w:t>
      </w:r>
      <w:r>
        <w:rPr>
          <w:bCs/>
        </w:rPr>
        <w:t xml:space="preserve"> to co</w:t>
      </w:r>
      <w:r w:rsidR="00817E01" w:rsidRPr="00817E01">
        <w:rPr>
          <w:bCs/>
        </w:rPr>
        <w:t>ordinate an informal group</w:t>
      </w:r>
      <w:r w:rsidR="00393949">
        <w:rPr>
          <w:bCs/>
        </w:rPr>
        <w:t xml:space="preserve"> of interested Contracting Parties</w:t>
      </w:r>
      <w:r w:rsidR="00817E01" w:rsidRPr="00817E01">
        <w:rPr>
          <w:bCs/>
        </w:rPr>
        <w:t xml:space="preserve"> to incorporate proposed amendments into the draft resolution and present a revised version for consideration at a later session. </w:t>
      </w:r>
    </w:p>
    <w:p w14:paraId="0ABF8860" w14:textId="77777777" w:rsidR="008B67E7" w:rsidRPr="008C7FB2" w:rsidRDefault="008B67E7" w:rsidP="008B67E7">
      <w:pPr>
        <w:tabs>
          <w:tab w:val="left" w:pos="1403"/>
        </w:tabs>
        <w:snapToGrid w:val="0"/>
        <w:spacing w:after="0" w:line="240" w:lineRule="auto"/>
        <w:rPr>
          <w:bCs/>
        </w:rPr>
      </w:pPr>
    </w:p>
    <w:p w14:paraId="70DF753F" w14:textId="77777777" w:rsidR="008B67E7" w:rsidRPr="00325672" w:rsidRDefault="008B67E7" w:rsidP="008B67E7">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rPr>
      </w:pPr>
      <w:r w:rsidRPr="00325672">
        <w:rPr>
          <w:b/>
          <w:bCs/>
        </w:rPr>
        <w:t>18.</w:t>
      </w:r>
      <w:r>
        <w:rPr>
          <w:b/>
          <w:bCs/>
        </w:rPr>
        <w:t>11</w:t>
      </w:r>
      <w:r w:rsidRPr="00325672">
        <w:rPr>
          <w:b/>
          <w:bCs/>
        </w:rPr>
        <w:t xml:space="preserve"> Draft resolution </w:t>
      </w:r>
      <w:r>
        <w:rPr>
          <w:b/>
          <w:bCs/>
        </w:rPr>
        <w:t>on Ramsar Advisory Missions</w:t>
      </w:r>
    </w:p>
    <w:p w14:paraId="47A1D415" w14:textId="77777777" w:rsidR="008B67E7" w:rsidRPr="0095542A" w:rsidRDefault="008B67E7" w:rsidP="008B67E7">
      <w:pPr>
        <w:tabs>
          <w:tab w:val="left" w:pos="1403"/>
        </w:tabs>
        <w:snapToGrid w:val="0"/>
        <w:spacing w:after="0" w:line="240" w:lineRule="auto"/>
        <w:rPr>
          <w:bCs/>
        </w:rPr>
      </w:pPr>
    </w:p>
    <w:p w14:paraId="2651F1F0" w14:textId="578D8BC3" w:rsidR="008B67E7" w:rsidRDefault="0095542A" w:rsidP="000A5227">
      <w:pPr>
        <w:tabs>
          <w:tab w:val="left" w:pos="1403"/>
        </w:tabs>
        <w:snapToGrid w:val="0"/>
        <w:spacing w:after="0" w:line="240" w:lineRule="auto"/>
        <w:ind w:left="425" w:hanging="425"/>
        <w:rPr>
          <w:bCs/>
        </w:rPr>
      </w:pPr>
      <w:r w:rsidRPr="0095542A">
        <w:rPr>
          <w:bCs/>
        </w:rPr>
        <w:t>1</w:t>
      </w:r>
      <w:r w:rsidR="00F36660">
        <w:rPr>
          <w:bCs/>
        </w:rPr>
        <w:t>2</w:t>
      </w:r>
      <w:r w:rsidRPr="0095542A">
        <w:rPr>
          <w:bCs/>
        </w:rPr>
        <w:t>.</w:t>
      </w:r>
      <w:r w:rsidRPr="0095542A">
        <w:rPr>
          <w:bCs/>
        </w:rPr>
        <w:tab/>
      </w:r>
      <w:r w:rsidR="008B67E7">
        <w:rPr>
          <w:b/>
          <w:bCs/>
        </w:rPr>
        <w:t>Burkina Faso</w:t>
      </w:r>
      <w:r w:rsidR="008B67E7">
        <w:rPr>
          <w:bCs/>
        </w:rPr>
        <w:t xml:space="preserve"> introduced the draft re</w:t>
      </w:r>
      <w:r>
        <w:rPr>
          <w:bCs/>
        </w:rPr>
        <w:t>solution in document COP13 Doc.</w:t>
      </w:r>
      <w:r w:rsidR="008B67E7">
        <w:rPr>
          <w:bCs/>
        </w:rPr>
        <w:t>18.11.</w:t>
      </w:r>
    </w:p>
    <w:p w14:paraId="30BB4287" w14:textId="77777777" w:rsidR="008B67E7" w:rsidRPr="0095542A" w:rsidRDefault="008B67E7" w:rsidP="000A5227">
      <w:pPr>
        <w:tabs>
          <w:tab w:val="left" w:pos="1403"/>
        </w:tabs>
        <w:snapToGrid w:val="0"/>
        <w:spacing w:after="0" w:line="240" w:lineRule="auto"/>
        <w:ind w:left="425" w:hanging="425"/>
        <w:rPr>
          <w:bCs/>
        </w:rPr>
      </w:pPr>
    </w:p>
    <w:p w14:paraId="790DF48D" w14:textId="2ADF7D38" w:rsidR="00393949" w:rsidRDefault="0095542A" w:rsidP="000A5227">
      <w:pPr>
        <w:tabs>
          <w:tab w:val="left" w:pos="1403"/>
        </w:tabs>
        <w:snapToGrid w:val="0"/>
        <w:spacing w:after="0" w:line="240" w:lineRule="auto"/>
        <w:ind w:left="425" w:hanging="425"/>
        <w:rPr>
          <w:bCs/>
        </w:rPr>
      </w:pPr>
      <w:r w:rsidRPr="0095542A">
        <w:rPr>
          <w:bCs/>
        </w:rPr>
        <w:t>1</w:t>
      </w:r>
      <w:r w:rsidR="00F36660">
        <w:rPr>
          <w:bCs/>
        </w:rPr>
        <w:t>3</w:t>
      </w:r>
      <w:r w:rsidRPr="0095542A">
        <w:rPr>
          <w:bCs/>
        </w:rPr>
        <w:t>.</w:t>
      </w:r>
      <w:r w:rsidRPr="0095542A">
        <w:rPr>
          <w:bCs/>
        </w:rPr>
        <w:tab/>
      </w:r>
      <w:r w:rsidR="008B67E7">
        <w:rPr>
          <w:b/>
          <w:bCs/>
        </w:rPr>
        <w:t>Algeria</w:t>
      </w:r>
      <w:r w:rsidR="008B67E7">
        <w:rPr>
          <w:bCs/>
        </w:rPr>
        <w:t xml:space="preserve">, </w:t>
      </w:r>
      <w:r w:rsidR="008B67E7">
        <w:rPr>
          <w:b/>
          <w:bCs/>
        </w:rPr>
        <w:t xml:space="preserve">Austria </w:t>
      </w:r>
      <w:r w:rsidR="008B67E7" w:rsidRPr="00393949">
        <w:rPr>
          <w:bCs/>
        </w:rPr>
        <w:t>on behalf of the Member States of the European Union</w:t>
      </w:r>
      <w:r w:rsidR="008B67E7">
        <w:rPr>
          <w:bCs/>
        </w:rPr>
        <w:t xml:space="preserve">, </w:t>
      </w:r>
      <w:r w:rsidR="008B67E7">
        <w:rPr>
          <w:b/>
          <w:bCs/>
        </w:rPr>
        <w:t>Benin</w:t>
      </w:r>
      <w:r w:rsidR="008B67E7">
        <w:rPr>
          <w:bCs/>
        </w:rPr>
        <w:t>,</w:t>
      </w:r>
      <w:r w:rsidR="008B67E7">
        <w:rPr>
          <w:b/>
          <w:bCs/>
        </w:rPr>
        <w:t xml:space="preserve"> Colombia</w:t>
      </w:r>
      <w:r w:rsidR="008B67E7">
        <w:rPr>
          <w:bCs/>
        </w:rPr>
        <w:t xml:space="preserve">, </w:t>
      </w:r>
      <w:r w:rsidR="008B67E7">
        <w:rPr>
          <w:b/>
          <w:bCs/>
        </w:rPr>
        <w:t>Dominican Republic</w:t>
      </w:r>
      <w:r w:rsidR="008B67E7">
        <w:rPr>
          <w:bCs/>
        </w:rPr>
        <w:t xml:space="preserve">, </w:t>
      </w:r>
      <w:r w:rsidR="008B67E7">
        <w:rPr>
          <w:b/>
          <w:bCs/>
        </w:rPr>
        <w:t>Gabon</w:t>
      </w:r>
      <w:r w:rsidR="008B67E7">
        <w:rPr>
          <w:bCs/>
        </w:rPr>
        <w:t>,</w:t>
      </w:r>
      <w:r w:rsidR="008B67E7">
        <w:rPr>
          <w:b/>
          <w:bCs/>
        </w:rPr>
        <w:t xml:space="preserve"> Guatemala</w:t>
      </w:r>
      <w:r w:rsidR="008B67E7">
        <w:rPr>
          <w:bCs/>
        </w:rPr>
        <w:t>,</w:t>
      </w:r>
      <w:r w:rsidR="008B67E7">
        <w:rPr>
          <w:b/>
          <w:bCs/>
        </w:rPr>
        <w:t xml:space="preserve"> Guinea</w:t>
      </w:r>
      <w:r w:rsidR="008B67E7">
        <w:rPr>
          <w:bCs/>
        </w:rPr>
        <w:t xml:space="preserve">, </w:t>
      </w:r>
      <w:r w:rsidR="008B67E7">
        <w:rPr>
          <w:b/>
          <w:bCs/>
        </w:rPr>
        <w:t>Japan</w:t>
      </w:r>
      <w:r w:rsidR="008B67E7">
        <w:rPr>
          <w:bCs/>
        </w:rPr>
        <w:t>,</w:t>
      </w:r>
      <w:r w:rsidR="008B67E7">
        <w:rPr>
          <w:b/>
          <w:bCs/>
        </w:rPr>
        <w:t xml:space="preserve"> Libya</w:t>
      </w:r>
      <w:r w:rsidR="008B67E7">
        <w:rPr>
          <w:bCs/>
        </w:rPr>
        <w:t xml:space="preserve">, </w:t>
      </w:r>
      <w:r w:rsidR="008B67E7">
        <w:rPr>
          <w:b/>
          <w:bCs/>
        </w:rPr>
        <w:t>Malaysia</w:t>
      </w:r>
      <w:r w:rsidR="008B67E7">
        <w:rPr>
          <w:bCs/>
        </w:rPr>
        <w:t>,</w:t>
      </w:r>
      <w:r w:rsidR="008B67E7">
        <w:rPr>
          <w:b/>
          <w:bCs/>
        </w:rPr>
        <w:t xml:space="preserve"> Mali</w:t>
      </w:r>
      <w:r w:rsidR="008B67E7">
        <w:rPr>
          <w:bCs/>
        </w:rPr>
        <w:t xml:space="preserve">, </w:t>
      </w:r>
      <w:r w:rsidR="008B67E7">
        <w:rPr>
          <w:b/>
          <w:bCs/>
        </w:rPr>
        <w:t>Mexico</w:t>
      </w:r>
      <w:r w:rsidR="008B67E7">
        <w:rPr>
          <w:bCs/>
        </w:rPr>
        <w:t xml:space="preserve">, </w:t>
      </w:r>
      <w:r w:rsidR="008B67E7">
        <w:rPr>
          <w:b/>
          <w:bCs/>
        </w:rPr>
        <w:t>Peru</w:t>
      </w:r>
      <w:r w:rsidR="008B67E7">
        <w:rPr>
          <w:bCs/>
        </w:rPr>
        <w:t>,</w:t>
      </w:r>
      <w:r w:rsidR="008B67E7">
        <w:rPr>
          <w:b/>
          <w:bCs/>
        </w:rPr>
        <w:t xml:space="preserve"> </w:t>
      </w:r>
      <w:r w:rsidR="008B67E7" w:rsidRPr="00B129CF">
        <w:rPr>
          <w:b/>
          <w:bCs/>
        </w:rPr>
        <w:t>Senegal</w:t>
      </w:r>
      <w:r w:rsidR="008B67E7">
        <w:rPr>
          <w:bCs/>
        </w:rPr>
        <w:t>,</w:t>
      </w:r>
      <w:r w:rsidR="008B67E7">
        <w:rPr>
          <w:b/>
          <w:bCs/>
        </w:rPr>
        <w:t xml:space="preserve"> </w:t>
      </w:r>
      <w:r w:rsidR="008B67E7" w:rsidRPr="00B129CF">
        <w:rPr>
          <w:b/>
          <w:bCs/>
        </w:rPr>
        <w:t>Sudan</w:t>
      </w:r>
      <w:r w:rsidR="008B67E7">
        <w:rPr>
          <w:bCs/>
        </w:rPr>
        <w:t xml:space="preserve">, </w:t>
      </w:r>
      <w:r w:rsidR="008B67E7">
        <w:rPr>
          <w:b/>
          <w:bCs/>
        </w:rPr>
        <w:t>Tunisia</w:t>
      </w:r>
      <w:r w:rsidR="008B67E7">
        <w:rPr>
          <w:bCs/>
        </w:rPr>
        <w:t>,</w:t>
      </w:r>
      <w:r w:rsidR="008B67E7">
        <w:rPr>
          <w:b/>
          <w:bCs/>
        </w:rPr>
        <w:t xml:space="preserve"> </w:t>
      </w:r>
      <w:r w:rsidR="008B67E7">
        <w:rPr>
          <w:bCs/>
        </w:rPr>
        <w:t xml:space="preserve">the </w:t>
      </w:r>
      <w:r w:rsidR="008B67E7">
        <w:rPr>
          <w:b/>
          <w:bCs/>
        </w:rPr>
        <w:t>United Republic of Tanzania</w:t>
      </w:r>
      <w:r w:rsidR="008B67E7">
        <w:rPr>
          <w:bCs/>
        </w:rPr>
        <w:t xml:space="preserve">, the </w:t>
      </w:r>
      <w:r w:rsidR="008B67E7">
        <w:rPr>
          <w:b/>
          <w:bCs/>
        </w:rPr>
        <w:t>United States of America</w:t>
      </w:r>
      <w:r w:rsidR="008B67E7">
        <w:rPr>
          <w:bCs/>
        </w:rPr>
        <w:t xml:space="preserve">, </w:t>
      </w:r>
      <w:r w:rsidR="008B67E7">
        <w:rPr>
          <w:b/>
          <w:bCs/>
        </w:rPr>
        <w:t>Uganda</w:t>
      </w:r>
      <w:r w:rsidR="008B67E7">
        <w:rPr>
          <w:bCs/>
        </w:rPr>
        <w:t xml:space="preserve">, </w:t>
      </w:r>
      <w:r w:rsidR="008B67E7">
        <w:rPr>
          <w:b/>
          <w:bCs/>
        </w:rPr>
        <w:t>Zimbabwe</w:t>
      </w:r>
      <w:r w:rsidR="008B67E7">
        <w:rPr>
          <w:bCs/>
        </w:rPr>
        <w:t xml:space="preserve"> and the observer from the </w:t>
      </w:r>
      <w:r w:rsidR="008B67E7">
        <w:rPr>
          <w:b/>
          <w:bCs/>
        </w:rPr>
        <w:t>World Wid</w:t>
      </w:r>
      <w:r w:rsidR="008B0DF1">
        <w:rPr>
          <w:b/>
          <w:bCs/>
        </w:rPr>
        <w:t>e</w:t>
      </w:r>
      <w:r w:rsidR="008B67E7">
        <w:rPr>
          <w:b/>
          <w:bCs/>
        </w:rPr>
        <w:t xml:space="preserve"> Fund for Nature </w:t>
      </w:r>
      <w:r w:rsidR="008B67E7">
        <w:rPr>
          <w:bCs/>
        </w:rPr>
        <w:t>(WWF)</w:t>
      </w:r>
      <w:r w:rsidR="008B67E7">
        <w:rPr>
          <w:b/>
          <w:bCs/>
        </w:rPr>
        <w:t xml:space="preserve"> </w:t>
      </w:r>
      <w:r w:rsidR="008B67E7">
        <w:rPr>
          <w:bCs/>
        </w:rPr>
        <w:t>all expressed support for the draft resolution</w:t>
      </w:r>
      <w:r w:rsidR="00393949">
        <w:rPr>
          <w:bCs/>
        </w:rPr>
        <w:t>, though a number of those intervening indicated that they would be submitting proposed amendments.</w:t>
      </w:r>
    </w:p>
    <w:p w14:paraId="5F66D56A" w14:textId="07162225" w:rsidR="00393949" w:rsidRPr="00E166EE" w:rsidRDefault="00393949" w:rsidP="000A5227">
      <w:pPr>
        <w:tabs>
          <w:tab w:val="left" w:pos="1403"/>
        </w:tabs>
        <w:snapToGrid w:val="0"/>
        <w:spacing w:after="0" w:line="240" w:lineRule="auto"/>
        <w:ind w:left="425" w:hanging="425"/>
        <w:rPr>
          <w:bCs/>
        </w:rPr>
      </w:pPr>
    </w:p>
    <w:p w14:paraId="7728A8B9" w14:textId="5AD39A98" w:rsidR="00393949" w:rsidRDefault="00E166EE" w:rsidP="000A5227">
      <w:pPr>
        <w:tabs>
          <w:tab w:val="left" w:pos="1403"/>
        </w:tabs>
        <w:snapToGrid w:val="0"/>
        <w:spacing w:after="0" w:line="240" w:lineRule="auto"/>
        <w:ind w:left="425" w:hanging="425"/>
        <w:rPr>
          <w:bCs/>
        </w:rPr>
      </w:pPr>
      <w:r w:rsidRPr="00E166EE">
        <w:rPr>
          <w:bCs/>
        </w:rPr>
        <w:t>1</w:t>
      </w:r>
      <w:r w:rsidR="00F36660">
        <w:rPr>
          <w:bCs/>
        </w:rPr>
        <w:t>4</w:t>
      </w:r>
      <w:r w:rsidRPr="00E166EE">
        <w:rPr>
          <w:bCs/>
        </w:rPr>
        <w:t>.</w:t>
      </w:r>
      <w:r w:rsidRPr="00E166EE">
        <w:rPr>
          <w:bCs/>
        </w:rPr>
        <w:tab/>
      </w:r>
      <w:r w:rsidR="00393949" w:rsidRPr="00393949">
        <w:rPr>
          <w:b/>
          <w:bCs/>
        </w:rPr>
        <w:t>Turkey</w:t>
      </w:r>
      <w:r w:rsidR="00393949">
        <w:rPr>
          <w:bCs/>
        </w:rPr>
        <w:t xml:space="preserve"> indicated its intention to enter a reservation concerning the reference to “transboundary context” in Annex 1 of the draft resolution.</w:t>
      </w:r>
    </w:p>
    <w:p w14:paraId="20A3BD80" w14:textId="77777777" w:rsidR="008B67E7" w:rsidRDefault="008B67E7" w:rsidP="000A5227">
      <w:pPr>
        <w:tabs>
          <w:tab w:val="left" w:pos="1403"/>
        </w:tabs>
        <w:snapToGrid w:val="0"/>
        <w:spacing w:after="0" w:line="240" w:lineRule="auto"/>
        <w:ind w:left="425" w:hanging="425"/>
        <w:rPr>
          <w:bCs/>
        </w:rPr>
      </w:pPr>
    </w:p>
    <w:p w14:paraId="44A98F52" w14:textId="02DE9D7A" w:rsidR="008B67E7" w:rsidRDefault="00E166EE" w:rsidP="000A5227">
      <w:pPr>
        <w:tabs>
          <w:tab w:val="left" w:pos="1403"/>
        </w:tabs>
        <w:snapToGrid w:val="0"/>
        <w:spacing w:after="0" w:line="240" w:lineRule="auto"/>
        <w:ind w:left="425" w:hanging="425"/>
        <w:rPr>
          <w:bCs/>
        </w:rPr>
      </w:pPr>
      <w:r>
        <w:rPr>
          <w:bCs/>
        </w:rPr>
        <w:t>1</w:t>
      </w:r>
      <w:r w:rsidR="00F36660">
        <w:rPr>
          <w:bCs/>
        </w:rPr>
        <w:t>5</w:t>
      </w:r>
      <w:r>
        <w:rPr>
          <w:bCs/>
        </w:rPr>
        <w:t>.</w:t>
      </w:r>
      <w:r>
        <w:rPr>
          <w:bCs/>
        </w:rPr>
        <w:tab/>
      </w:r>
      <w:r w:rsidR="001A3CA1">
        <w:rPr>
          <w:bCs/>
        </w:rPr>
        <w:t xml:space="preserve">In response to </w:t>
      </w:r>
      <w:r w:rsidR="008B67E7">
        <w:rPr>
          <w:bCs/>
        </w:rPr>
        <w:t xml:space="preserve">Contracting Parties </w:t>
      </w:r>
      <w:r w:rsidR="001A3CA1">
        <w:rPr>
          <w:bCs/>
        </w:rPr>
        <w:t>that had highlighted the value of</w:t>
      </w:r>
      <w:r w:rsidR="008B67E7">
        <w:rPr>
          <w:bCs/>
        </w:rPr>
        <w:t xml:space="preserve"> Ramsar Advisory Missions</w:t>
      </w:r>
      <w:r w:rsidR="00393949">
        <w:rPr>
          <w:bCs/>
        </w:rPr>
        <w:t xml:space="preserve"> (RAMs)</w:t>
      </w:r>
      <w:r w:rsidR="001A3CA1">
        <w:rPr>
          <w:bCs/>
        </w:rPr>
        <w:t xml:space="preserve"> and/or requested RAMs</w:t>
      </w:r>
      <w:r w:rsidR="008B67E7">
        <w:rPr>
          <w:bCs/>
        </w:rPr>
        <w:t xml:space="preserve">, the </w:t>
      </w:r>
      <w:r w:rsidR="008B67E7">
        <w:rPr>
          <w:b/>
          <w:bCs/>
        </w:rPr>
        <w:t>Secretary General</w:t>
      </w:r>
      <w:r w:rsidR="008B67E7">
        <w:rPr>
          <w:bCs/>
        </w:rPr>
        <w:t xml:space="preserve"> </w:t>
      </w:r>
      <w:r w:rsidR="001A3CA1">
        <w:rPr>
          <w:bCs/>
        </w:rPr>
        <w:t>concurred</w:t>
      </w:r>
      <w:r w:rsidR="008B67E7">
        <w:rPr>
          <w:bCs/>
        </w:rPr>
        <w:t xml:space="preserve"> that </w:t>
      </w:r>
      <w:r w:rsidR="001A3CA1">
        <w:rPr>
          <w:bCs/>
        </w:rPr>
        <w:t>such missions</w:t>
      </w:r>
      <w:r w:rsidR="008B67E7">
        <w:rPr>
          <w:bCs/>
        </w:rPr>
        <w:t xml:space="preserve"> were one of the main functions of the Secretariat</w:t>
      </w:r>
      <w:r w:rsidR="001A3CA1">
        <w:rPr>
          <w:bCs/>
        </w:rPr>
        <w:t xml:space="preserve"> and</w:t>
      </w:r>
      <w:r w:rsidR="008B67E7">
        <w:rPr>
          <w:bCs/>
        </w:rPr>
        <w:t xml:space="preserve"> took note of the needs expressed. </w:t>
      </w:r>
    </w:p>
    <w:p w14:paraId="37EC22FE" w14:textId="77777777" w:rsidR="008B67E7" w:rsidRDefault="008B67E7" w:rsidP="000A5227">
      <w:pPr>
        <w:tabs>
          <w:tab w:val="left" w:pos="1403"/>
        </w:tabs>
        <w:snapToGrid w:val="0"/>
        <w:spacing w:after="0" w:line="240" w:lineRule="auto"/>
        <w:ind w:left="425" w:hanging="425"/>
        <w:rPr>
          <w:bCs/>
        </w:rPr>
      </w:pPr>
    </w:p>
    <w:p w14:paraId="79073AD1" w14:textId="4C949575" w:rsidR="008B67E7" w:rsidRPr="002D358A" w:rsidRDefault="00E166EE" w:rsidP="000A5227">
      <w:pPr>
        <w:tabs>
          <w:tab w:val="left" w:pos="1403"/>
        </w:tabs>
        <w:snapToGrid w:val="0"/>
        <w:spacing w:after="0" w:line="240" w:lineRule="auto"/>
        <w:ind w:left="425" w:hanging="425"/>
        <w:rPr>
          <w:bCs/>
        </w:rPr>
      </w:pPr>
      <w:r>
        <w:rPr>
          <w:bCs/>
        </w:rPr>
        <w:t>1</w:t>
      </w:r>
      <w:r w:rsidR="007E5EE5">
        <w:rPr>
          <w:bCs/>
        </w:rPr>
        <w:t>6</w:t>
      </w:r>
      <w:r>
        <w:rPr>
          <w:bCs/>
        </w:rPr>
        <w:t>.</w:t>
      </w:r>
      <w:r>
        <w:rPr>
          <w:bCs/>
        </w:rPr>
        <w:tab/>
      </w:r>
      <w:r w:rsidR="008B67E7">
        <w:rPr>
          <w:bCs/>
        </w:rPr>
        <w:t xml:space="preserve">As several proposed amendments </w:t>
      </w:r>
      <w:r w:rsidR="001A3CA1">
        <w:rPr>
          <w:bCs/>
        </w:rPr>
        <w:t>concerned</w:t>
      </w:r>
      <w:r w:rsidR="008B67E7">
        <w:rPr>
          <w:bCs/>
        </w:rPr>
        <w:t xml:space="preserve"> </w:t>
      </w:r>
      <w:r w:rsidR="00393949">
        <w:rPr>
          <w:bCs/>
        </w:rPr>
        <w:t xml:space="preserve">the </w:t>
      </w:r>
      <w:r w:rsidR="001A3CA1">
        <w:rPr>
          <w:bCs/>
        </w:rPr>
        <w:t>financing</w:t>
      </w:r>
      <w:r w:rsidR="00393949">
        <w:rPr>
          <w:bCs/>
        </w:rPr>
        <w:t xml:space="preserve"> of RAMs,</w:t>
      </w:r>
      <w:r w:rsidR="008B67E7">
        <w:rPr>
          <w:bCs/>
        </w:rPr>
        <w:t xml:space="preserve"> the </w:t>
      </w:r>
      <w:r w:rsidR="008B67E7">
        <w:rPr>
          <w:b/>
          <w:bCs/>
        </w:rPr>
        <w:t>President</w:t>
      </w:r>
      <w:r w:rsidR="008B67E7">
        <w:rPr>
          <w:bCs/>
        </w:rPr>
        <w:t xml:space="preserve"> noted that the Finance</w:t>
      </w:r>
      <w:r w:rsidR="00393949">
        <w:rPr>
          <w:bCs/>
        </w:rPr>
        <w:t xml:space="preserve"> Committee</w:t>
      </w:r>
      <w:r w:rsidR="008B67E7">
        <w:rPr>
          <w:bCs/>
        </w:rPr>
        <w:t xml:space="preserve"> should be consulted and </w:t>
      </w:r>
      <w:r w:rsidR="001419A0">
        <w:rPr>
          <w:bCs/>
        </w:rPr>
        <w:t xml:space="preserve">he </w:t>
      </w:r>
      <w:r w:rsidR="00393949">
        <w:rPr>
          <w:bCs/>
        </w:rPr>
        <w:t>postponed</w:t>
      </w:r>
      <w:r w:rsidR="008B67E7">
        <w:rPr>
          <w:bCs/>
        </w:rPr>
        <w:t xml:space="preserve"> further discussion on the draft resolution until </w:t>
      </w:r>
      <w:r w:rsidR="00241FF7">
        <w:rPr>
          <w:bCs/>
        </w:rPr>
        <w:t>a later</w:t>
      </w:r>
      <w:r w:rsidR="008B67E7">
        <w:rPr>
          <w:bCs/>
        </w:rPr>
        <w:t xml:space="preserve"> session.</w:t>
      </w:r>
    </w:p>
    <w:p w14:paraId="25686E3F" w14:textId="77777777" w:rsidR="008B67E7" w:rsidRDefault="008B67E7" w:rsidP="008B67E7">
      <w:pPr>
        <w:tabs>
          <w:tab w:val="left" w:pos="1403"/>
        </w:tabs>
        <w:snapToGrid w:val="0"/>
        <w:spacing w:after="0" w:line="240" w:lineRule="auto"/>
        <w:rPr>
          <w:bCs/>
        </w:rPr>
      </w:pPr>
    </w:p>
    <w:p w14:paraId="5C1AC9BF" w14:textId="77777777" w:rsidR="008B67E7" w:rsidRDefault="008B67E7" w:rsidP="008B67E7">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rPr>
      </w:pPr>
      <w:r>
        <w:rPr>
          <w:b/>
          <w:bCs/>
        </w:rPr>
        <w:t>Agenda item 15.1 Wetland City Accreditation – Report of the Standing Committee</w:t>
      </w:r>
    </w:p>
    <w:p w14:paraId="0ABA9CA6" w14:textId="77777777" w:rsidR="008B67E7" w:rsidRDefault="008B67E7" w:rsidP="008B67E7">
      <w:pPr>
        <w:tabs>
          <w:tab w:val="left" w:pos="1403"/>
        </w:tabs>
        <w:snapToGrid w:val="0"/>
        <w:spacing w:after="0" w:line="240" w:lineRule="auto"/>
        <w:rPr>
          <w:b/>
          <w:bCs/>
        </w:rPr>
      </w:pPr>
    </w:p>
    <w:p w14:paraId="3418543D" w14:textId="1BD8AB56" w:rsidR="008B67E7" w:rsidRDefault="00E166EE" w:rsidP="000A5227">
      <w:pPr>
        <w:tabs>
          <w:tab w:val="left" w:pos="1403"/>
        </w:tabs>
        <w:snapToGrid w:val="0"/>
        <w:spacing w:after="0" w:line="240" w:lineRule="auto"/>
        <w:ind w:left="425" w:hanging="425"/>
        <w:rPr>
          <w:bCs/>
        </w:rPr>
      </w:pPr>
      <w:r>
        <w:rPr>
          <w:bCs/>
        </w:rPr>
        <w:t>1</w:t>
      </w:r>
      <w:r w:rsidR="002D6F72">
        <w:rPr>
          <w:bCs/>
        </w:rPr>
        <w:t>7</w:t>
      </w:r>
      <w:r>
        <w:rPr>
          <w:bCs/>
        </w:rPr>
        <w:t>.</w:t>
      </w:r>
      <w:r>
        <w:rPr>
          <w:bCs/>
        </w:rPr>
        <w:tab/>
      </w:r>
      <w:r w:rsidR="008B67E7" w:rsidRPr="0041666F">
        <w:rPr>
          <w:bCs/>
        </w:rPr>
        <w:t xml:space="preserve">The </w:t>
      </w:r>
      <w:r w:rsidR="008B67E7" w:rsidRPr="0041666F">
        <w:rPr>
          <w:b/>
          <w:bCs/>
        </w:rPr>
        <w:t>Chair of the Standing Committee</w:t>
      </w:r>
      <w:r w:rsidR="008B67E7" w:rsidRPr="0041666F">
        <w:rPr>
          <w:bCs/>
        </w:rPr>
        <w:t xml:space="preserve"> (Mr Jorge Rucks, Uruguay)</w:t>
      </w:r>
      <w:r w:rsidR="008B67E7">
        <w:rPr>
          <w:bCs/>
        </w:rPr>
        <w:t xml:space="preserve"> presented a summary of the work undertaken in response to Resolution XII.10 on Wetland City Accreditation, approved by COP12 in 2015. He explained the roles of the Standing Committee and Independent Advisory Committee and the process followed, including discussions at </w:t>
      </w:r>
      <w:r w:rsidR="002E43E8">
        <w:rPr>
          <w:bCs/>
        </w:rPr>
        <w:t xml:space="preserve">the </w:t>
      </w:r>
      <w:r w:rsidR="002E43E8" w:rsidRPr="002E43E8">
        <w:rPr>
          <w:bCs/>
        </w:rPr>
        <w:t>54th meeting</w:t>
      </w:r>
      <w:r w:rsidR="002E43E8">
        <w:rPr>
          <w:bCs/>
        </w:rPr>
        <w:t xml:space="preserve"> of the Standing Committee</w:t>
      </w:r>
      <w:r w:rsidR="008B67E7">
        <w:rPr>
          <w:bCs/>
        </w:rPr>
        <w:t xml:space="preserve">, which had resulted in the final list of nominated cities being presented </w:t>
      </w:r>
      <w:r w:rsidR="002E43E8">
        <w:rPr>
          <w:bCs/>
        </w:rPr>
        <w:t>at</w:t>
      </w:r>
      <w:r w:rsidR="008B67E7">
        <w:rPr>
          <w:bCs/>
        </w:rPr>
        <w:t xml:space="preserve"> COP13.</w:t>
      </w:r>
    </w:p>
    <w:p w14:paraId="24646A06" w14:textId="77777777" w:rsidR="008B67E7" w:rsidRDefault="008B67E7" w:rsidP="000A5227">
      <w:pPr>
        <w:tabs>
          <w:tab w:val="left" w:pos="1403"/>
        </w:tabs>
        <w:snapToGrid w:val="0"/>
        <w:spacing w:after="0" w:line="240" w:lineRule="auto"/>
        <w:ind w:left="425" w:hanging="425"/>
        <w:rPr>
          <w:bCs/>
        </w:rPr>
      </w:pPr>
    </w:p>
    <w:p w14:paraId="3B44350F" w14:textId="6231C381" w:rsidR="008B67E7" w:rsidRDefault="002E43E8" w:rsidP="000A5227">
      <w:pPr>
        <w:tabs>
          <w:tab w:val="left" w:pos="1403"/>
        </w:tabs>
        <w:snapToGrid w:val="0"/>
        <w:spacing w:after="0" w:line="240" w:lineRule="auto"/>
        <w:ind w:left="425" w:hanging="425"/>
        <w:rPr>
          <w:bCs/>
        </w:rPr>
      </w:pPr>
      <w:r>
        <w:rPr>
          <w:bCs/>
        </w:rPr>
        <w:t>1</w:t>
      </w:r>
      <w:r w:rsidR="002D6F72">
        <w:rPr>
          <w:bCs/>
        </w:rPr>
        <w:t>8</w:t>
      </w:r>
      <w:r>
        <w:rPr>
          <w:bCs/>
        </w:rPr>
        <w:t>.</w:t>
      </w:r>
      <w:r>
        <w:rPr>
          <w:bCs/>
        </w:rPr>
        <w:tab/>
      </w:r>
      <w:r w:rsidR="008B67E7">
        <w:rPr>
          <w:bCs/>
        </w:rPr>
        <w:t xml:space="preserve">The list was read out by the </w:t>
      </w:r>
      <w:r w:rsidR="008B67E7" w:rsidRPr="00B95210">
        <w:rPr>
          <w:b/>
          <w:bCs/>
        </w:rPr>
        <w:t>Secretariat</w:t>
      </w:r>
      <w:r w:rsidR="008B67E7">
        <w:rPr>
          <w:bCs/>
        </w:rPr>
        <w:t>:</w:t>
      </w:r>
    </w:p>
    <w:p w14:paraId="42B441DD" w14:textId="77777777" w:rsidR="008B67E7" w:rsidRDefault="008B67E7" w:rsidP="008B67E7">
      <w:pPr>
        <w:tabs>
          <w:tab w:val="left" w:pos="1403"/>
        </w:tabs>
        <w:snapToGrid w:val="0"/>
        <w:spacing w:after="0" w:line="240" w:lineRule="auto"/>
        <w:rPr>
          <w:bCs/>
        </w:rPr>
      </w:pPr>
    </w:p>
    <w:p w14:paraId="184F84B8" w14:textId="48785D10" w:rsidR="008B67E7" w:rsidRPr="00976F34" w:rsidRDefault="008B67E7" w:rsidP="000A5227">
      <w:pPr>
        <w:pStyle w:val="ListParagraph"/>
        <w:numPr>
          <w:ilvl w:val="0"/>
          <w:numId w:val="1"/>
        </w:numPr>
        <w:snapToGrid w:val="0"/>
        <w:spacing w:after="0" w:line="240" w:lineRule="auto"/>
        <w:ind w:left="850" w:hanging="425"/>
        <w:rPr>
          <w:bCs/>
        </w:rPr>
      </w:pPr>
      <w:r w:rsidRPr="00976F34">
        <w:rPr>
          <w:bCs/>
        </w:rPr>
        <w:t>China –</w:t>
      </w:r>
      <w:r>
        <w:rPr>
          <w:bCs/>
        </w:rPr>
        <w:t xml:space="preserve"> </w:t>
      </w:r>
      <w:r w:rsidRPr="000A5227">
        <w:rPr>
          <w:bCs/>
        </w:rPr>
        <w:t>Changde City, Changshu City, Dongying City, Haikou City, Hae</w:t>
      </w:r>
      <w:r w:rsidR="000A5227">
        <w:rPr>
          <w:bCs/>
        </w:rPr>
        <w:t>rbin City, Yinchuan City</w:t>
      </w:r>
    </w:p>
    <w:p w14:paraId="3DA33A9F" w14:textId="77777777" w:rsidR="008B67E7" w:rsidRPr="00E166EE" w:rsidRDefault="008B67E7" w:rsidP="000A5227">
      <w:pPr>
        <w:pStyle w:val="ListParagraph"/>
        <w:numPr>
          <w:ilvl w:val="0"/>
          <w:numId w:val="1"/>
        </w:numPr>
        <w:snapToGrid w:val="0"/>
        <w:spacing w:after="0" w:line="240" w:lineRule="auto"/>
        <w:ind w:left="850" w:hanging="425"/>
        <w:rPr>
          <w:bCs/>
          <w:lang w:val="fr-FR"/>
        </w:rPr>
      </w:pPr>
      <w:r w:rsidRPr="00E166EE">
        <w:rPr>
          <w:bCs/>
          <w:lang w:val="fr-FR"/>
        </w:rPr>
        <w:t>France – Amiens, Courteranges, Pont-Audemer, Saint-Omer</w:t>
      </w:r>
    </w:p>
    <w:p w14:paraId="3A0CACF2" w14:textId="77777777" w:rsidR="008B67E7" w:rsidRPr="00976F34" w:rsidRDefault="008B67E7" w:rsidP="000A5227">
      <w:pPr>
        <w:pStyle w:val="ListParagraph"/>
        <w:numPr>
          <w:ilvl w:val="0"/>
          <w:numId w:val="1"/>
        </w:numPr>
        <w:snapToGrid w:val="0"/>
        <w:spacing w:after="0" w:line="240" w:lineRule="auto"/>
        <w:ind w:left="850" w:hanging="425"/>
        <w:rPr>
          <w:bCs/>
        </w:rPr>
      </w:pPr>
      <w:r w:rsidRPr="00976F34">
        <w:rPr>
          <w:bCs/>
        </w:rPr>
        <w:t>Hungary – Tata</w:t>
      </w:r>
    </w:p>
    <w:p w14:paraId="135388D3" w14:textId="77777777" w:rsidR="008B67E7" w:rsidRPr="00976F34" w:rsidRDefault="008B67E7" w:rsidP="000A5227">
      <w:pPr>
        <w:pStyle w:val="ListParagraph"/>
        <w:numPr>
          <w:ilvl w:val="0"/>
          <w:numId w:val="1"/>
        </w:numPr>
        <w:snapToGrid w:val="0"/>
        <w:spacing w:after="0" w:line="240" w:lineRule="auto"/>
        <w:ind w:left="850" w:hanging="425"/>
        <w:rPr>
          <w:bCs/>
        </w:rPr>
      </w:pPr>
      <w:r w:rsidRPr="00976F34">
        <w:rPr>
          <w:bCs/>
        </w:rPr>
        <w:t xml:space="preserve">Republic of Korea – </w:t>
      </w:r>
      <w:r w:rsidRPr="000A5227">
        <w:rPr>
          <w:bCs/>
        </w:rPr>
        <w:t>Changnyeong County,</w:t>
      </w:r>
      <w:r w:rsidRPr="00976F34">
        <w:rPr>
          <w:bCs/>
        </w:rPr>
        <w:t xml:space="preserve"> Inje County,</w:t>
      </w:r>
      <w:r w:rsidRPr="000A5227">
        <w:rPr>
          <w:bCs/>
        </w:rPr>
        <w:t xml:space="preserve"> Jeju</w:t>
      </w:r>
      <w:r w:rsidRPr="00976F34">
        <w:rPr>
          <w:bCs/>
        </w:rPr>
        <w:t xml:space="preserve"> City, Suncheon City</w:t>
      </w:r>
    </w:p>
    <w:p w14:paraId="06B4B004" w14:textId="77777777" w:rsidR="008B67E7" w:rsidRPr="00976F34" w:rsidRDefault="008B67E7" w:rsidP="000A5227">
      <w:pPr>
        <w:pStyle w:val="ListParagraph"/>
        <w:numPr>
          <w:ilvl w:val="0"/>
          <w:numId w:val="1"/>
        </w:numPr>
        <w:snapToGrid w:val="0"/>
        <w:spacing w:after="0" w:line="240" w:lineRule="auto"/>
        <w:ind w:left="850" w:hanging="425"/>
        <w:rPr>
          <w:bCs/>
        </w:rPr>
      </w:pPr>
      <w:r w:rsidRPr="00976F34">
        <w:rPr>
          <w:bCs/>
        </w:rPr>
        <w:t xml:space="preserve">Madagascar – </w:t>
      </w:r>
      <w:r w:rsidRPr="000A5227">
        <w:rPr>
          <w:bCs/>
        </w:rPr>
        <w:t>Mitsinjo</w:t>
      </w:r>
    </w:p>
    <w:p w14:paraId="5CD1471E" w14:textId="77777777" w:rsidR="008B67E7" w:rsidRPr="00976F34" w:rsidRDefault="008B67E7" w:rsidP="000A5227">
      <w:pPr>
        <w:pStyle w:val="ListParagraph"/>
        <w:numPr>
          <w:ilvl w:val="0"/>
          <w:numId w:val="1"/>
        </w:numPr>
        <w:snapToGrid w:val="0"/>
        <w:spacing w:after="0" w:line="240" w:lineRule="auto"/>
        <w:ind w:left="850" w:hanging="425"/>
        <w:rPr>
          <w:bCs/>
        </w:rPr>
      </w:pPr>
      <w:r w:rsidRPr="00976F34">
        <w:rPr>
          <w:bCs/>
        </w:rPr>
        <w:t xml:space="preserve">Sri Lanka </w:t>
      </w:r>
      <w:r>
        <w:rPr>
          <w:bCs/>
        </w:rPr>
        <w:t>–</w:t>
      </w:r>
      <w:r w:rsidRPr="00976F34">
        <w:rPr>
          <w:bCs/>
        </w:rPr>
        <w:t xml:space="preserve"> Colombo</w:t>
      </w:r>
    </w:p>
    <w:p w14:paraId="63A2368B" w14:textId="77777777" w:rsidR="008B67E7" w:rsidRPr="00976F34" w:rsidRDefault="008B67E7" w:rsidP="000A5227">
      <w:pPr>
        <w:pStyle w:val="ListParagraph"/>
        <w:numPr>
          <w:ilvl w:val="0"/>
          <w:numId w:val="1"/>
        </w:numPr>
        <w:snapToGrid w:val="0"/>
        <w:spacing w:after="0" w:line="240" w:lineRule="auto"/>
        <w:ind w:left="850" w:hanging="425"/>
        <w:rPr>
          <w:bCs/>
        </w:rPr>
      </w:pPr>
      <w:r w:rsidRPr="00976F34">
        <w:rPr>
          <w:bCs/>
        </w:rPr>
        <w:t xml:space="preserve">Tunisia – </w:t>
      </w:r>
      <w:r w:rsidRPr="000A5227">
        <w:rPr>
          <w:bCs/>
        </w:rPr>
        <w:t>Ghar el Melh</w:t>
      </w:r>
    </w:p>
    <w:p w14:paraId="61135ADF" w14:textId="77777777" w:rsidR="008B67E7" w:rsidRDefault="008B67E7" w:rsidP="008B67E7">
      <w:pPr>
        <w:tabs>
          <w:tab w:val="left" w:pos="1403"/>
        </w:tabs>
        <w:snapToGrid w:val="0"/>
        <w:spacing w:after="0" w:line="240" w:lineRule="auto"/>
        <w:rPr>
          <w:bCs/>
        </w:rPr>
      </w:pPr>
    </w:p>
    <w:p w14:paraId="3E91F7D3" w14:textId="2A260DB9" w:rsidR="008B67E7" w:rsidRDefault="002D6F72" w:rsidP="000A5227">
      <w:pPr>
        <w:tabs>
          <w:tab w:val="left" w:pos="1403"/>
        </w:tabs>
        <w:snapToGrid w:val="0"/>
        <w:spacing w:after="0" w:line="240" w:lineRule="auto"/>
        <w:ind w:left="425" w:hanging="425"/>
        <w:rPr>
          <w:bCs/>
        </w:rPr>
      </w:pPr>
      <w:r>
        <w:rPr>
          <w:bCs/>
        </w:rPr>
        <w:t>19</w:t>
      </w:r>
      <w:r w:rsidR="002E43E8">
        <w:rPr>
          <w:bCs/>
        </w:rPr>
        <w:t>.</w:t>
      </w:r>
      <w:r w:rsidR="002E43E8">
        <w:rPr>
          <w:bCs/>
        </w:rPr>
        <w:tab/>
      </w:r>
      <w:r w:rsidR="008B67E7">
        <w:rPr>
          <w:bCs/>
        </w:rPr>
        <w:t xml:space="preserve">The </w:t>
      </w:r>
      <w:r w:rsidR="008B67E7" w:rsidRPr="00C50037">
        <w:rPr>
          <w:b/>
          <w:bCs/>
        </w:rPr>
        <w:t>Conference</w:t>
      </w:r>
      <w:r w:rsidR="008B67E7">
        <w:rPr>
          <w:bCs/>
        </w:rPr>
        <w:t xml:space="preserve"> approved by acclamation the awarding of Wetland City Accreditation to those cities listed.</w:t>
      </w:r>
    </w:p>
    <w:p w14:paraId="00DD3931" w14:textId="77777777" w:rsidR="008B67E7" w:rsidRPr="002E43E8" w:rsidRDefault="008B67E7" w:rsidP="000A5227">
      <w:pPr>
        <w:tabs>
          <w:tab w:val="left" w:pos="1403"/>
        </w:tabs>
        <w:snapToGrid w:val="0"/>
        <w:spacing w:after="0" w:line="240" w:lineRule="auto"/>
        <w:ind w:left="425" w:hanging="425"/>
        <w:rPr>
          <w:bCs/>
        </w:rPr>
      </w:pPr>
    </w:p>
    <w:p w14:paraId="41E7B09E" w14:textId="10E92E3A" w:rsidR="008B67E7" w:rsidRDefault="002E43E8" w:rsidP="000A5227">
      <w:pPr>
        <w:tabs>
          <w:tab w:val="left" w:pos="1403"/>
        </w:tabs>
        <w:snapToGrid w:val="0"/>
        <w:spacing w:after="0" w:line="240" w:lineRule="auto"/>
        <w:ind w:left="425" w:hanging="425"/>
        <w:rPr>
          <w:bCs/>
        </w:rPr>
      </w:pPr>
      <w:r w:rsidRPr="002E43E8">
        <w:rPr>
          <w:bCs/>
        </w:rPr>
        <w:t>2</w:t>
      </w:r>
      <w:r w:rsidR="002D6F72">
        <w:rPr>
          <w:bCs/>
        </w:rPr>
        <w:t>0</w:t>
      </w:r>
      <w:r w:rsidRPr="002E43E8">
        <w:rPr>
          <w:bCs/>
        </w:rPr>
        <w:t>.</w:t>
      </w:r>
      <w:r w:rsidRPr="002E43E8">
        <w:rPr>
          <w:bCs/>
        </w:rPr>
        <w:tab/>
      </w:r>
      <w:r w:rsidR="008B67E7" w:rsidRPr="00F46DC1">
        <w:rPr>
          <w:b/>
          <w:bCs/>
        </w:rPr>
        <w:t>China</w:t>
      </w:r>
      <w:r w:rsidR="008B67E7">
        <w:rPr>
          <w:bCs/>
        </w:rPr>
        <w:t xml:space="preserve">, </w:t>
      </w:r>
      <w:r w:rsidR="008B67E7" w:rsidRPr="00F46DC1">
        <w:rPr>
          <w:b/>
          <w:bCs/>
        </w:rPr>
        <w:t>Hungary</w:t>
      </w:r>
      <w:r w:rsidR="008B67E7">
        <w:rPr>
          <w:bCs/>
        </w:rPr>
        <w:t xml:space="preserve">, </w:t>
      </w:r>
      <w:r w:rsidR="008B67E7" w:rsidRPr="00F46DC1">
        <w:rPr>
          <w:b/>
          <w:bCs/>
        </w:rPr>
        <w:t>Iran (Islamic Republic of)</w:t>
      </w:r>
      <w:r w:rsidR="008B67E7">
        <w:rPr>
          <w:bCs/>
        </w:rPr>
        <w:t xml:space="preserve"> and </w:t>
      </w:r>
      <w:r w:rsidR="008B67E7" w:rsidRPr="00B95210">
        <w:rPr>
          <w:b/>
          <w:bCs/>
        </w:rPr>
        <w:t>Jordan</w:t>
      </w:r>
      <w:r w:rsidR="008B67E7">
        <w:rPr>
          <w:bCs/>
        </w:rPr>
        <w:t xml:space="preserve"> welcomed the accreditation scheme and congratulated those cities whose nominations had been approved.</w:t>
      </w:r>
    </w:p>
    <w:p w14:paraId="706F707E" w14:textId="77777777" w:rsidR="008B67E7" w:rsidRDefault="008B67E7" w:rsidP="000A5227">
      <w:pPr>
        <w:tabs>
          <w:tab w:val="left" w:pos="1403"/>
        </w:tabs>
        <w:snapToGrid w:val="0"/>
        <w:spacing w:after="0" w:line="240" w:lineRule="auto"/>
        <w:ind w:left="425" w:hanging="425"/>
        <w:rPr>
          <w:bCs/>
        </w:rPr>
      </w:pPr>
    </w:p>
    <w:p w14:paraId="7E3B87EF" w14:textId="61A17DCF" w:rsidR="008B67E7" w:rsidRDefault="002E43E8" w:rsidP="000A5227">
      <w:pPr>
        <w:tabs>
          <w:tab w:val="left" w:pos="1403"/>
        </w:tabs>
        <w:snapToGrid w:val="0"/>
        <w:spacing w:after="0" w:line="240" w:lineRule="auto"/>
        <w:ind w:left="425" w:hanging="425"/>
        <w:rPr>
          <w:bCs/>
        </w:rPr>
      </w:pPr>
      <w:r>
        <w:rPr>
          <w:bCs/>
        </w:rPr>
        <w:t>2</w:t>
      </w:r>
      <w:r w:rsidR="002D6F72">
        <w:rPr>
          <w:bCs/>
        </w:rPr>
        <w:t>1</w:t>
      </w:r>
      <w:r>
        <w:rPr>
          <w:bCs/>
        </w:rPr>
        <w:t>.</w:t>
      </w:r>
      <w:r>
        <w:rPr>
          <w:bCs/>
        </w:rPr>
        <w:tab/>
      </w:r>
      <w:r w:rsidR="008B67E7">
        <w:rPr>
          <w:bCs/>
        </w:rPr>
        <w:t xml:space="preserve">In response to points raised by </w:t>
      </w:r>
      <w:r w:rsidR="008B67E7" w:rsidRPr="00F46DC1">
        <w:rPr>
          <w:b/>
          <w:bCs/>
        </w:rPr>
        <w:t>Hungary</w:t>
      </w:r>
      <w:r w:rsidR="008B67E7">
        <w:rPr>
          <w:bCs/>
        </w:rPr>
        <w:t xml:space="preserve">, </w:t>
      </w:r>
      <w:r w:rsidR="008B67E7" w:rsidRPr="00F46DC1">
        <w:rPr>
          <w:b/>
          <w:bCs/>
        </w:rPr>
        <w:t>Iran (Islamic Republic of)</w:t>
      </w:r>
      <w:r w:rsidR="008B67E7">
        <w:rPr>
          <w:bCs/>
        </w:rPr>
        <w:t xml:space="preserve"> and </w:t>
      </w:r>
      <w:r w:rsidR="008B67E7" w:rsidRPr="00F46DC1">
        <w:rPr>
          <w:b/>
          <w:bCs/>
        </w:rPr>
        <w:t>Jordan</w:t>
      </w:r>
      <w:r w:rsidR="008B67E7">
        <w:rPr>
          <w:bCs/>
        </w:rPr>
        <w:t xml:space="preserve">, the </w:t>
      </w:r>
      <w:r w:rsidR="008B67E7" w:rsidRPr="002E43E8">
        <w:rPr>
          <w:b/>
          <w:bCs/>
        </w:rPr>
        <w:t>Secretariat</w:t>
      </w:r>
      <w:r w:rsidR="008B67E7">
        <w:rPr>
          <w:b/>
          <w:bCs/>
        </w:rPr>
        <w:t xml:space="preserve"> </w:t>
      </w:r>
      <w:r w:rsidR="008B67E7">
        <w:rPr>
          <w:bCs/>
        </w:rPr>
        <w:t xml:space="preserve">provided further information on the </w:t>
      </w:r>
      <w:r>
        <w:rPr>
          <w:bCs/>
        </w:rPr>
        <w:t xml:space="preserve">Wetland City Accreditation </w:t>
      </w:r>
      <w:r w:rsidR="008B67E7">
        <w:rPr>
          <w:bCs/>
        </w:rPr>
        <w:t xml:space="preserve">process, noting the limited role </w:t>
      </w:r>
      <w:r w:rsidR="008B67E7">
        <w:rPr>
          <w:bCs/>
        </w:rPr>
        <w:lastRenderedPageBreak/>
        <w:t>of the Secretariat and drawing attention to a degree of ambiguity in the wording of Resolution</w:t>
      </w:r>
      <w:r w:rsidR="004165A4">
        <w:rPr>
          <w:bCs/>
        </w:rPr>
        <w:t> </w:t>
      </w:r>
      <w:r w:rsidR="008B67E7">
        <w:rPr>
          <w:bCs/>
        </w:rPr>
        <w:t>XII.10.</w:t>
      </w:r>
    </w:p>
    <w:p w14:paraId="4CDAC6E5" w14:textId="77777777" w:rsidR="008B67E7" w:rsidRDefault="008B67E7" w:rsidP="000A5227">
      <w:pPr>
        <w:tabs>
          <w:tab w:val="left" w:pos="1403"/>
        </w:tabs>
        <w:snapToGrid w:val="0"/>
        <w:spacing w:after="0" w:line="240" w:lineRule="auto"/>
        <w:ind w:left="425" w:hanging="425"/>
        <w:rPr>
          <w:bCs/>
        </w:rPr>
      </w:pPr>
    </w:p>
    <w:p w14:paraId="000D2EC4" w14:textId="0B646723" w:rsidR="008B67E7" w:rsidRDefault="002E43E8" w:rsidP="000A5227">
      <w:pPr>
        <w:tabs>
          <w:tab w:val="left" w:pos="1403"/>
        </w:tabs>
        <w:snapToGrid w:val="0"/>
        <w:spacing w:after="0" w:line="240" w:lineRule="auto"/>
        <w:ind w:left="425" w:hanging="425"/>
        <w:rPr>
          <w:bCs/>
        </w:rPr>
      </w:pPr>
      <w:r w:rsidRPr="002E43E8">
        <w:rPr>
          <w:bCs/>
        </w:rPr>
        <w:t>2</w:t>
      </w:r>
      <w:r w:rsidR="002D6F72">
        <w:rPr>
          <w:bCs/>
        </w:rPr>
        <w:t>2</w:t>
      </w:r>
      <w:r w:rsidRPr="002E43E8">
        <w:rPr>
          <w:bCs/>
        </w:rPr>
        <w:t>.</w:t>
      </w:r>
      <w:r w:rsidRPr="002E43E8">
        <w:rPr>
          <w:bCs/>
        </w:rPr>
        <w:tab/>
      </w:r>
      <w:r w:rsidR="008B67E7" w:rsidRPr="00A25F1B">
        <w:rPr>
          <w:b/>
          <w:bCs/>
        </w:rPr>
        <w:t>Republic of Korea</w:t>
      </w:r>
      <w:r w:rsidR="008B67E7">
        <w:rPr>
          <w:bCs/>
        </w:rPr>
        <w:t xml:space="preserve"> and </w:t>
      </w:r>
      <w:r w:rsidR="008B67E7" w:rsidRPr="00A25F1B">
        <w:rPr>
          <w:b/>
          <w:bCs/>
        </w:rPr>
        <w:t>Tunisia</w:t>
      </w:r>
      <w:r w:rsidR="008B67E7">
        <w:rPr>
          <w:bCs/>
        </w:rPr>
        <w:t>, in their capacity as Co-Chairs of the Independent Advisory Committee (IAC), undertook to provide further information concerning the process followed and the selection criteria applied, and drew attention to a side event on 26 October that would address these points. They thanked the IAC members, Contracting Parties, city representatives and the Secretariat for their committed support.</w:t>
      </w:r>
    </w:p>
    <w:p w14:paraId="04FB40C2" w14:textId="77777777" w:rsidR="00817E01" w:rsidRPr="00BE6F68" w:rsidRDefault="00817E01" w:rsidP="00D510DD">
      <w:pPr>
        <w:snapToGrid w:val="0"/>
        <w:spacing w:after="0" w:line="240" w:lineRule="auto"/>
        <w:rPr>
          <w:rFonts w:asciiTheme="minorHAnsi" w:hAnsiTheme="minorHAnsi" w:cstheme="minorHAnsi"/>
        </w:rPr>
      </w:pPr>
    </w:p>
    <w:p w14:paraId="1AABFA52" w14:textId="77777777" w:rsidR="00817E01" w:rsidRPr="007E6257" w:rsidRDefault="00817E01" w:rsidP="007E6257">
      <w:pPr>
        <w:tabs>
          <w:tab w:val="left" w:pos="1403"/>
        </w:tabs>
        <w:snapToGrid w:val="0"/>
        <w:spacing w:after="0" w:line="240" w:lineRule="auto"/>
        <w:rPr>
          <w:bCs/>
        </w:rPr>
      </w:pPr>
    </w:p>
    <w:sectPr w:rsidR="00817E01" w:rsidRPr="007E6257" w:rsidSect="003E313C">
      <w:footerReference w:type="even" r:id="rId9"/>
      <w:footerReference w:type="default" r:id="rId10"/>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80F41" w16cid:durableId="1F7C4F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F2E8" w14:textId="77777777" w:rsidR="00D706D9" w:rsidRDefault="00D706D9" w:rsidP="00AD57E6">
      <w:pPr>
        <w:spacing w:after="0" w:line="240" w:lineRule="auto"/>
      </w:pPr>
      <w:r>
        <w:separator/>
      </w:r>
    </w:p>
  </w:endnote>
  <w:endnote w:type="continuationSeparator" w:id="0">
    <w:p w14:paraId="10836177" w14:textId="77777777" w:rsidR="00D706D9" w:rsidRDefault="00D706D9" w:rsidP="00AD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0968625"/>
      <w:docPartObj>
        <w:docPartGallery w:val="Page Numbers (Bottom of Page)"/>
        <w:docPartUnique/>
      </w:docPartObj>
    </w:sdtPr>
    <w:sdtEndPr>
      <w:rPr>
        <w:rStyle w:val="PageNumber"/>
      </w:rPr>
    </w:sdtEndPr>
    <w:sdtContent>
      <w:p w14:paraId="35246D7E" w14:textId="1C51DEC7" w:rsidR="00AD57E6" w:rsidRDefault="00AD57E6" w:rsidP="0055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CB66A" w14:textId="77777777" w:rsidR="00AD57E6" w:rsidRDefault="00AD57E6" w:rsidP="00AD5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6333" w14:textId="7E5EB753" w:rsidR="00AD57E6" w:rsidRDefault="00AD57E6" w:rsidP="003E313C">
    <w:pPr>
      <w:pStyle w:val="Footer"/>
      <w:tabs>
        <w:tab w:val="clear" w:pos="4680"/>
        <w:tab w:val="clear" w:pos="9360"/>
        <w:tab w:val="center" w:pos="4678"/>
        <w:tab w:val="left" w:pos="8789"/>
      </w:tabs>
      <w:ind w:right="-52"/>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Pr>
        <w:sz w:val="20"/>
        <w:szCs w:val="20"/>
      </w:rPr>
      <w:t>5</w:t>
    </w:r>
    <w:r w:rsidR="002E43E8">
      <w:rPr>
        <w:sz w:val="20"/>
        <w:szCs w:val="20"/>
      </w:rPr>
      <w:tab/>
    </w:r>
    <w:r w:rsidR="002E43E8">
      <w:rPr>
        <w:sz w:val="20"/>
        <w:szCs w:val="20"/>
      </w:rPr>
      <w:tab/>
    </w:r>
    <w:r w:rsidR="003E313C" w:rsidRPr="003E313C">
      <w:rPr>
        <w:sz w:val="20"/>
        <w:szCs w:val="20"/>
      </w:rPr>
      <w:fldChar w:fldCharType="begin"/>
    </w:r>
    <w:r w:rsidR="003E313C" w:rsidRPr="003E313C">
      <w:rPr>
        <w:sz w:val="20"/>
        <w:szCs w:val="20"/>
      </w:rPr>
      <w:instrText xml:space="preserve"> PAGE   \* MERGEFORMAT </w:instrText>
    </w:r>
    <w:r w:rsidR="003E313C" w:rsidRPr="003E313C">
      <w:rPr>
        <w:sz w:val="20"/>
        <w:szCs w:val="20"/>
      </w:rPr>
      <w:fldChar w:fldCharType="separate"/>
    </w:r>
    <w:r w:rsidR="007D0A05">
      <w:rPr>
        <w:noProof/>
        <w:sz w:val="20"/>
        <w:szCs w:val="20"/>
      </w:rPr>
      <w:t>2</w:t>
    </w:r>
    <w:r w:rsidR="003E313C" w:rsidRPr="003E313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AB24" w14:textId="77777777" w:rsidR="00D706D9" w:rsidRDefault="00D706D9" w:rsidP="00AD57E6">
      <w:pPr>
        <w:spacing w:after="0" w:line="240" w:lineRule="auto"/>
      </w:pPr>
      <w:r>
        <w:separator/>
      </w:r>
    </w:p>
  </w:footnote>
  <w:footnote w:type="continuationSeparator" w:id="0">
    <w:p w14:paraId="2246B60E" w14:textId="77777777" w:rsidR="00D706D9" w:rsidRDefault="00D706D9" w:rsidP="00AD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29FC"/>
    <w:multiLevelType w:val="hybridMultilevel"/>
    <w:tmpl w:val="C76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72"/>
    <w:rsid w:val="0003193E"/>
    <w:rsid w:val="00054877"/>
    <w:rsid w:val="0005550A"/>
    <w:rsid w:val="00073196"/>
    <w:rsid w:val="000A5227"/>
    <w:rsid w:val="000B4404"/>
    <w:rsid w:val="00110658"/>
    <w:rsid w:val="001110F7"/>
    <w:rsid w:val="0012269F"/>
    <w:rsid w:val="0012531F"/>
    <w:rsid w:val="001419A0"/>
    <w:rsid w:val="00151021"/>
    <w:rsid w:val="00181423"/>
    <w:rsid w:val="00185F66"/>
    <w:rsid w:val="001A3CA1"/>
    <w:rsid w:val="001B5896"/>
    <w:rsid w:val="001D54FF"/>
    <w:rsid w:val="001E321F"/>
    <w:rsid w:val="001E7D36"/>
    <w:rsid w:val="00225E22"/>
    <w:rsid w:val="00235415"/>
    <w:rsid w:val="00241FF7"/>
    <w:rsid w:val="00251D46"/>
    <w:rsid w:val="00252ECC"/>
    <w:rsid w:val="0027709C"/>
    <w:rsid w:val="00285177"/>
    <w:rsid w:val="00293198"/>
    <w:rsid w:val="00293A0F"/>
    <w:rsid w:val="002D6F72"/>
    <w:rsid w:val="002E3148"/>
    <w:rsid w:val="002E43E8"/>
    <w:rsid w:val="00300251"/>
    <w:rsid w:val="00314DAA"/>
    <w:rsid w:val="00325672"/>
    <w:rsid w:val="00330860"/>
    <w:rsid w:val="00330B31"/>
    <w:rsid w:val="003338EF"/>
    <w:rsid w:val="00337799"/>
    <w:rsid w:val="00374B63"/>
    <w:rsid w:val="0038080E"/>
    <w:rsid w:val="0038709F"/>
    <w:rsid w:val="00393004"/>
    <w:rsid w:val="00393949"/>
    <w:rsid w:val="00393DBF"/>
    <w:rsid w:val="003E313C"/>
    <w:rsid w:val="004165A4"/>
    <w:rsid w:val="004233C8"/>
    <w:rsid w:val="00462B6A"/>
    <w:rsid w:val="00462CFC"/>
    <w:rsid w:val="004B39A2"/>
    <w:rsid w:val="004E74FC"/>
    <w:rsid w:val="0050088B"/>
    <w:rsid w:val="00501F54"/>
    <w:rsid w:val="00511BBC"/>
    <w:rsid w:val="00512A26"/>
    <w:rsid w:val="005220A7"/>
    <w:rsid w:val="00525483"/>
    <w:rsid w:val="00551895"/>
    <w:rsid w:val="00552EA6"/>
    <w:rsid w:val="00567023"/>
    <w:rsid w:val="005B006E"/>
    <w:rsid w:val="005C68D1"/>
    <w:rsid w:val="00633735"/>
    <w:rsid w:val="0064380D"/>
    <w:rsid w:val="006463F3"/>
    <w:rsid w:val="0065638C"/>
    <w:rsid w:val="00673E2A"/>
    <w:rsid w:val="006809D3"/>
    <w:rsid w:val="00690A80"/>
    <w:rsid w:val="00693B6E"/>
    <w:rsid w:val="006A06EE"/>
    <w:rsid w:val="006C48A3"/>
    <w:rsid w:val="006E0FF7"/>
    <w:rsid w:val="006F19C3"/>
    <w:rsid w:val="0076389A"/>
    <w:rsid w:val="00764DE2"/>
    <w:rsid w:val="00790E53"/>
    <w:rsid w:val="007D0A05"/>
    <w:rsid w:val="007E5EE5"/>
    <w:rsid w:val="007E6257"/>
    <w:rsid w:val="007E7653"/>
    <w:rsid w:val="007F2C9D"/>
    <w:rsid w:val="007F366A"/>
    <w:rsid w:val="00817831"/>
    <w:rsid w:val="00817E01"/>
    <w:rsid w:val="00825DB7"/>
    <w:rsid w:val="008A5EA5"/>
    <w:rsid w:val="008B07B7"/>
    <w:rsid w:val="008B0DF1"/>
    <w:rsid w:val="008B2BA8"/>
    <w:rsid w:val="008B67E7"/>
    <w:rsid w:val="008C7FB2"/>
    <w:rsid w:val="008D5039"/>
    <w:rsid w:val="008F3F4D"/>
    <w:rsid w:val="008F5B84"/>
    <w:rsid w:val="008F5E86"/>
    <w:rsid w:val="009009C5"/>
    <w:rsid w:val="0095542A"/>
    <w:rsid w:val="0097430E"/>
    <w:rsid w:val="00980017"/>
    <w:rsid w:val="009D2410"/>
    <w:rsid w:val="009E4591"/>
    <w:rsid w:val="00A15A80"/>
    <w:rsid w:val="00A30986"/>
    <w:rsid w:val="00A469E2"/>
    <w:rsid w:val="00A57690"/>
    <w:rsid w:val="00A7091D"/>
    <w:rsid w:val="00A76871"/>
    <w:rsid w:val="00A85C76"/>
    <w:rsid w:val="00A963B7"/>
    <w:rsid w:val="00AA19CF"/>
    <w:rsid w:val="00AA76DD"/>
    <w:rsid w:val="00AB316B"/>
    <w:rsid w:val="00AB3F5D"/>
    <w:rsid w:val="00AB62A5"/>
    <w:rsid w:val="00AD57E6"/>
    <w:rsid w:val="00AF2A96"/>
    <w:rsid w:val="00B014CA"/>
    <w:rsid w:val="00B06D39"/>
    <w:rsid w:val="00B1083B"/>
    <w:rsid w:val="00B21E2F"/>
    <w:rsid w:val="00B362C6"/>
    <w:rsid w:val="00B4340B"/>
    <w:rsid w:val="00BB0088"/>
    <w:rsid w:val="00BB7B6B"/>
    <w:rsid w:val="00BC759E"/>
    <w:rsid w:val="00C04D26"/>
    <w:rsid w:val="00C056F3"/>
    <w:rsid w:val="00C13B8A"/>
    <w:rsid w:val="00C174CC"/>
    <w:rsid w:val="00C35A26"/>
    <w:rsid w:val="00C47C52"/>
    <w:rsid w:val="00C62AFA"/>
    <w:rsid w:val="00C64477"/>
    <w:rsid w:val="00C73C1E"/>
    <w:rsid w:val="00C86501"/>
    <w:rsid w:val="00CA1E51"/>
    <w:rsid w:val="00CB2A5D"/>
    <w:rsid w:val="00CC4F5C"/>
    <w:rsid w:val="00D25FDD"/>
    <w:rsid w:val="00D35A15"/>
    <w:rsid w:val="00D473B1"/>
    <w:rsid w:val="00D510DD"/>
    <w:rsid w:val="00D6595B"/>
    <w:rsid w:val="00D706D9"/>
    <w:rsid w:val="00D96195"/>
    <w:rsid w:val="00DA3925"/>
    <w:rsid w:val="00DB0A09"/>
    <w:rsid w:val="00DB54F5"/>
    <w:rsid w:val="00DF7BD7"/>
    <w:rsid w:val="00E00E2F"/>
    <w:rsid w:val="00E13C31"/>
    <w:rsid w:val="00E166EE"/>
    <w:rsid w:val="00E30B9E"/>
    <w:rsid w:val="00E44000"/>
    <w:rsid w:val="00E55FBE"/>
    <w:rsid w:val="00E61E1C"/>
    <w:rsid w:val="00E65907"/>
    <w:rsid w:val="00E76B33"/>
    <w:rsid w:val="00E827BF"/>
    <w:rsid w:val="00EB188F"/>
    <w:rsid w:val="00EE0BD3"/>
    <w:rsid w:val="00F20179"/>
    <w:rsid w:val="00F36660"/>
    <w:rsid w:val="00F471F6"/>
    <w:rsid w:val="00FA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CE84D"/>
  <w15:docId w15:val="{44D2825A-CA48-4B95-AE98-C065F015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6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E6"/>
    <w:rPr>
      <w:rFonts w:ascii="Calibri" w:eastAsia="Calibri" w:hAnsi="Calibri" w:cs="Times New Roman"/>
      <w:sz w:val="22"/>
      <w:szCs w:val="22"/>
    </w:rPr>
  </w:style>
  <w:style w:type="paragraph" w:styleId="Footer">
    <w:name w:val="footer"/>
    <w:basedOn w:val="Normal"/>
    <w:link w:val="FooterChar"/>
    <w:uiPriority w:val="99"/>
    <w:unhideWhenUsed/>
    <w:rsid w:val="00AD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E6"/>
    <w:rPr>
      <w:rFonts w:ascii="Calibri" w:eastAsia="Calibri" w:hAnsi="Calibri" w:cs="Times New Roman"/>
      <w:sz w:val="22"/>
      <w:szCs w:val="22"/>
    </w:rPr>
  </w:style>
  <w:style w:type="character" w:styleId="PageNumber">
    <w:name w:val="page number"/>
    <w:basedOn w:val="DefaultParagraphFont"/>
    <w:uiPriority w:val="99"/>
    <w:semiHidden/>
    <w:unhideWhenUsed/>
    <w:rsid w:val="00AD57E6"/>
  </w:style>
  <w:style w:type="character" w:styleId="CommentReference">
    <w:name w:val="annotation reference"/>
    <w:basedOn w:val="DefaultParagraphFont"/>
    <w:uiPriority w:val="99"/>
    <w:semiHidden/>
    <w:unhideWhenUsed/>
    <w:rsid w:val="00393949"/>
    <w:rPr>
      <w:sz w:val="16"/>
      <w:szCs w:val="16"/>
    </w:rPr>
  </w:style>
  <w:style w:type="paragraph" w:styleId="CommentText">
    <w:name w:val="annotation text"/>
    <w:basedOn w:val="Normal"/>
    <w:link w:val="CommentTextChar"/>
    <w:uiPriority w:val="99"/>
    <w:semiHidden/>
    <w:unhideWhenUsed/>
    <w:rsid w:val="00393949"/>
    <w:pPr>
      <w:spacing w:line="240" w:lineRule="auto"/>
    </w:pPr>
    <w:rPr>
      <w:sz w:val="20"/>
      <w:szCs w:val="20"/>
    </w:rPr>
  </w:style>
  <w:style w:type="character" w:customStyle="1" w:styleId="CommentTextChar">
    <w:name w:val="Comment Text Char"/>
    <w:basedOn w:val="DefaultParagraphFont"/>
    <w:link w:val="CommentText"/>
    <w:uiPriority w:val="99"/>
    <w:semiHidden/>
    <w:rsid w:val="003939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3949"/>
    <w:rPr>
      <w:b/>
      <w:bCs/>
    </w:rPr>
  </w:style>
  <w:style w:type="character" w:customStyle="1" w:styleId="CommentSubjectChar">
    <w:name w:val="Comment Subject Char"/>
    <w:basedOn w:val="CommentTextChar"/>
    <w:link w:val="CommentSubject"/>
    <w:uiPriority w:val="99"/>
    <w:semiHidden/>
    <w:rsid w:val="003939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9394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3949"/>
    <w:rPr>
      <w:rFonts w:ascii="Times New Roman" w:eastAsia="Calibri" w:hAnsi="Times New Roman" w:cs="Times New Roman"/>
      <w:sz w:val="18"/>
      <w:szCs w:val="18"/>
    </w:rPr>
  </w:style>
  <w:style w:type="paragraph" w:styleId="ListParagraph">
    <w:name w:val="List Paragraph"/>
    <w:basedOn w:val="Normal"/>
    <w:uiPriority w:val="34"/>
    <w:qFormat/>
    <w:rsid w:val="000A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F0F7-AF2C-4970-A64C-6AC598FB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6959</Characters>
  <Application>Microsoft Office Word</Application>
  <DocSecurity>0</DocSecurity>
  <Lines>158</Lines>
  <Paragraphs>58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4</cp:revision>
  <dcterms:created xsi:type="dcterms:W3CDTF">2018-10-25T19:03:00Z</dcterms:created>
  <dcterms:modified xsi:type="dcterms:W3CDTF">2018-10-25T20:19:00Z</dcterms:modified>
</cp:coreProperties>
</file>