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89EC8" w14:textId="10B265EF" w:rsidR="004433BE" w:rsidRPr="0066320E" w:rsidRDefault="004433BE" w:rsidP="00C61794">
      <w:pPr>
        <w:widowControl/>
        <w:ind w:right="17"/>
        <w:jc w:val="center"/>
        <w:outlineLvl w:val="0"/>
        <w:rPr>
          <w:rFonts w:ascii="Calibri" w:eastAsia="Times New Roman" w:hAnsi="Calibri" w:cstheme="majorHAnsi"/>
          <w:b/>
          <w:bCs/>
          <w:sz w:val="24"/>
          <w:szCs w:val="24"/>
          <w:lang w:val="uz-Cyrl-UZ"/>
        </w:rPr>
      </w:pPr>
      <w:r w:rsidRPr="00B20BAF">
        <w:rPr>
          <w:rFonts w:ascii="Calibri" w:hAnsi="Calibri"/>
          <w:b/>
          <w:bCs/>
          <w:noProof/>
          <w:sz w:val="28"/>
          <w:szCs w:val="28"/>
          <w:lang w:val="en-GB" w:eastAsia="en-GB"/>
        </w:rPr>
        <w:drawing>
          <wp:anchor distT="0" distB="0" distL="114300" distR="114300" simplePos="0" relativeHeight="251659264" behindDoc="1" locked="0" layoutInCell="1" allowOverlap="1" wp14:anchorId="7A6BA480" wp14:editId="0AF967AF">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66320E">
        <w:rPr>
          <w:rFonts w:ascii="Calibri" w:hAnsi="Calibri"/>
          <w:b/>
          <w:bCs/>
          <w:sz w:val="24"/>
          <w:szCs w:val="24"/>
          <w:lang w:val="uz-Cyrl-UZ"/>
        </w:rPr>
        <w:t>13ª Reunión de la Conferencia de las Partes Contratantes</w:t>
      </w:r>
    </w:p>
    <w:p w14:paraId="18F06229" w14:textId="77777777" w:rsidR="004433BE" w:rsidRPr="0066320E" w:rsidRDefault="004433BE" w:rsidP="00C35AEB">
      <w:pPr>
        <w:widowControl/>
        <w:ind w:right="17"/>
        <w:jc w:val="center"/>
        <w:outlineLvl w:val="0"/>
        <w:rPr>
          <w:rFonts w:ascii="Calibri" w:eastAsia="Times New Roman" w:hAnsi="Calibri" w:cstheme="majorHAnsi"/>
          <w:b/>
          <w:bCs/>
          <w:sz w:val="24"/>
          <w:szCs w:val="24"/>
          <w:lang w:val="uz-Cyrl-UZ"/>
        </w:rPr>
      </w:pPr>
      <w:r w:rsidRPr="0066320E">
        <w:rPr>
          <w:rFonts w:ascii="Calibri" w:hAnsi="Calibri"/>
          <w:b/>
          <w:bCs/>
          <w:sz w:val="24"/>
          <w:szCs w:val="24"/>
          <w:lang w:val="uz-Cyrl-UZ"/>
        </w:rPr>
        <w:t>en la Convención de Ramsar sobre los Humedales</w:t>
      </w:r>
    </w:p>
    <w:p w14:paraId="58F280E8" w14:textId="77777777" w:rsidR="004433BE" w:rsidRPr="0066320E" w:rsidRDefault="004433BE" w:rsidP="00C35AEB">
      <w:pPr>
        <w:widowControl/>
        <w:ind w:right="17"/>
        <w:jc w:val="center"/>
        <w:outlineLvl w:val="0"/>
        <w:rPr>
          <w:rFonts w:ascii="Calibri" w:eastAsia="Times New Roman" w:hAnsi="Calibri" w:cstheme="majorHAnsi"/>
          <w:b/>
          <w:bCs/>
          <w:sz w:val="24"/>
          <w:szCs w:val="24"/>
          <w:lang w:val="uz-Cyrl-UZ"/>
        </w:rPr>
      </w:pPr>
    </w:p>
    <w:p w14:paraId="6A481F18" w14:textId="77777777" w:rsidR="004433BE" w:rsidRPr="0066320E" w:rsidRDefault="004433BE" w:rsidP="00C35AEB">
      <w:pPr>
        <w:widowControl/>
        <w:ind w:right="17"/>
        <w:jc w:val="center"/>
        <w:outlineLvl w:val="0"/>
        <w:rPr>
          <w:rFonts w:ascii="Calibri" w:eastAsia="Times New Roman" w:hAnsi="Calibri" w:cstheme="majorHAnsi"/>
          <w:b/>
          <w:bCs/>
          <w:sz w:val="24"/>
          <w:szCs w:val="24"/>
          <w:lang w:val="uz-Cyrl-UZ"/>
        </w:rPr>
      </w:pPr>
      <w:r w:rsidRPr="0066320E">
        <w:rPr>
          <w:rFonts w:ascii="Calibri" w:hAnsi="Calibri"/>
          <w:b/>
          <w:bCs/>
          <w:sz w:val="24"/>
          <w:szCs w:val="24"/>
          <w:lang w:val="uz-Cyrl-UZ"/>
        </w:rPr>
        <w:t>“Humedales para un futuro urbano sostenible”</w:t>
      </w:r>
    </w:p>
    <w:p w14:paraId="6BDDBB40" w14:textId="77777777" w:rsidR="004433BE" w:rsidRPr="0066320E" w:rsidRDefault="004433BE" w:rsidP="00C35AEB">
      <w:pPr>
        <w:widowControl/>
        <w:ind w:right="17"/>
        <w:jc w:val="center"/>
        <w:outlineLvl w:val="0"/>
        <w:rPr>
          <w:rFonts w:ascii="Calibri" w:eastAsia="Times New Roman" w:hAnsi="Calibri" w:cstheme="majorHAnsi"/>
          <w:b/>
          <w:bCs/>
          <w:sz w:val="24"/>
          <w:szCs w:val="24"/>
          <w:lang w:val="uz-Cyrl-UZ"/>
        </w:rPr>
      </w:pPr>
      <w:r w:rsidRPr="0066320E">
        <w:rPr>
          <w:rFonts w:ascii="Calibri" w:hAnsi="Calibri"/>
          <w:b/>
          <w:bCs/>
          <w:sz w:val="24"/>
          <w:szCs w:val="24"/>
          <w:lang w:val="uz-Cyrl-UZ"/>
        </w:rPr>
        <w:t>Dubái, Emiratos Árabes Unidos, 21 a 29 de octubre de 2018</w:t>
      </w:r>
    </w:p>
    <w:p w14:paraId="346576CB" w14:textId="77777777" w:rsidR="004433BE" w:rsidRPr="0066320E" w:rsidRDefault="004433BE" w:rsidP="00701331">
      <w:pPr>
        <w:widowControl/>
        <w:ind w:right="17"/>
        <w:jc w:val="center"/>
        <w:outlineLvl w:val="0"/>
        <w:rPr>
          <w:rFonts w:ascii="Calibri" w:eastAsia="Times New Roman" w:hAnsi="Calibri" w:cstheme="majorHAnsi"/>
          <w:b/>
          <w:bCs/>
          <w:sz w:val="28"/>
          <w:szCs w:val="28"/>
          <w:lang w:val="uz-Cyrl-UZ"/>
        </w:rPr>
      </w:pPr>
    </w:p>
    <w:p w14:paraId="338B1CFE" w14:textId="77777777" w:rsidR="004433BE" w:rsidRPr="0066320E" w:rsidRDefault="004433BE" w:rsidP="00701331">
      <w:pPr>
        <w:widowControl/>
        <w:ind w:right="17"/>
        <w:jc w:val="center"/>
        <w:outlineLvl w:val="0"/>
        <w:rPr>
          <w:rFonts w:ascii="Calibri" w:eastAsia="Times New Roman" w:hAnsi="Calibri" w:cstheme="majorHAnsi"/>
          <w:b/>
          <w:bCs/>
          <w:sz w:val="28"/>
          <w:szCs w:val="28"/>
          <w:lang w:val="uz-Cyrl-UZ"/>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C3701C" w:rsidRPr="0066320E" w14:paraId="33A92E1D" w14:textId="77777777" w:rsidTr="00D81947">
        <w:tc>
          <w:tcPr>
            <w:tcW w:w="9360" w:type="dxa"/>
          </w:tcPr>
          <w:p w14:paraId="3AC506F8" w14:textId="77777777" w:rsidR="00C3701C" w:rsidRPr="0066320E" w:rsidRDefault="00C3701C" w:rsidP="00E25C8E">
            <w:pPr>
              <w:widowControl/>
              <w:ind w:right="67"/>
              <w:jc w:val="right"/>
              <w:outlineLvl w:val="0"/>
              <w:rPr>
                <w:rFonts w:ascii="Calibri" w:eastAsia="Times New Roman" w:hAnsi="Calibri" w:cstheme="majorHAnsi"/>
                <w:b/>
                <w:bCs/>
                <w:sz w:val="24"/>
                <w:szCs w:val="24"/>
                <w:lang w:val="uz-Cyrl-UZ"/>
              </w:rPr>
            </w:pPr>
            <w:r w:rsidRPr="0066320E">
              <w:rPr>
                <w:rFonts w:ascii="Calibri" w:hAnsi="Calibri"/>
                <w:b/>
                <w:bCs/>
                <w:sz w:val="24"/>
                <w:szCs w:val="24"/>
                <w:lang w:val="uz-Cyrl-UZ"/>
              </w:rPr>
              <w:t>Ramsar COP13 Doc.18.8 Rev.1</w:t>
            </w:r>
          </w:p>
        </w:tc>
      </w:tr>
    </w:tbl>
    <w:p w14:paraId="66897F66" w14:textId="77777777" w:rsidR="00C35AEB" w:rsidRPr="0066320E" w:rsidRDefault="00C35AEB" w:rsidP="00C35AEB">
      <w:pPr>
        <w:widowControl/>
        <w:ind w:right="17"/>
        <w:jc w:val="center"/>
        <w:outlineLvl w:val="0"/>
        <w:rPr>
          <w:rFonts w:ascii="Calibri" w:hAnsi="Calibri"/>
          <w:sz w:val="28"/>
          <w:lang w:val="uz-Cyrl-UZ"/>
        </w:rPr>
      </w:pPr>
      <w:r w:rsidRPr="0066320E">
        <w:rPr>
          <w:rFonts w:ascii="Calibri" w:hAnsi="Calibri"/>
          <w:b/>
          <w:bCs/>
          <w:lang w:val="uz-Cyrl-UZ"/>
        </w:rPr>
        <w:tab/>
      </w:r>
    </w:p>
    <w:p w14:paraId="27AEE72B" w14:textId="6EBB4171" w:rsidR="00FB6906" w:rsidRPr="0066320E" w:rsidRDefault="004433BE" w:rsidP="00E25C8E">
      <w:pPr>
        <w:widowControl/>
        <w:ind w:right="17"/>
        <w:jc w:val="center"/>
        <w:outlineLvl w:val="0"/>
        <w:rPr>
          <w:rFonts w:ascii="Calibri" w:eastAsia="Calibri" w:hAnsi="Calibri" w:cs="Calibri"/>
          <w:sz w:val="28"/>
          <w:szCs w:val="28"/>
          <w:lang w:val="uz-Cyrl-UZ"/>
        </w:rPr>
      </w:pPr>
      <w:r w:rsidRPr="0066320E">
        <w:rPr>
          <w:b/>
          <w:sz w:val="28"/>
          <w:lang w:val="uz-Cyrl-UZ"/>
        </w:rPr>
        <w:t xml:space="preserve">Proyecto de resolución sobre las iniciativas regionales de Ramsar </w:t>
      </w:r>
      <w:r w:rsidR="009D116A" w:rsidRPr="0066320E">
        <w:rPr>
          <w:b/>
          <w:sz w:val="28"/>
          <w:lang w:val="uz-Cyrl-UZ"/>
        </w:rPr>
        <w:br/>
      </w:r>
      <w:r w:rsidRPr="0066320E">
        <w:rPr>
          <w:b/>
          <w:sz w:val="28"/>
          <w:lang w:val="uz-Cyrl-UZ"/>
        </w:rPr>
        <w:t>para 2019-2021</w:t>
      </w:r>
    </w:p>
    <w:p w14:paraId="2A84D240" w14:textId="77777777" w:rsidR="00E25C8E" w:rsidRPr="0066320E" w:rsidRDefault="00E25C8E" w:rsidP="00701331">
      <w:pPr>
        <w:widowControl/>
        <w:spacing w:before="7"/>
        <w:rPr>
          <w:rFonts w:ascii="Calibri" w:eastAsia="Calibri" w:hAnsi="Calibri" w:cs="Calibri"/>
          <w:b/>
          <w:bCs/>
          <w:lang w:val="uz-Cyrl-UZ"/>
        </w:rPr>
      </w:pPr>
    </w:p>
    <w:p w14:paraId="6C63E99A" w14:textId="728247A6" w:rsidR="00FB6906" w:rsidRPr="0066320E" w:rsidRDefault="000B16EA" w:rsidP="00701331">
      <w:pPr>
        <w:widowControl/>
        <w:ind w:left="425" w:hanging="425"/>
        <w:rPr>
          <w:rFonts w:ascii="Calibri" w:hAnsi="Calibri"/>
          <w:lang w:val="uz-Cyrl-UZ"/>
        </w:rPr>
      </w:pPr>
      <w:r w:rsidRPr="0066320E">
        <w:rPr>
          <w:lang w:val="uz-Cyrl-UZ"/>
        </w:rPr>
        <w:t>1.</w:t>
      </w:r>
      <w:r w:rsidRPr="0066320E">
        <w:rPr>
          <w:rFonts w:ascii="Calibri" w:hAnsi="Calibri"/>
          <w:lang w:val="uz-Cyrl-UZ"/>
        </w:rPr>
        <w:tab/>
      </w:r>
      <w:r w:rsidRPr="0066320E">
        <w:rPr>
          <w:lang w:val="uz-Cyrl-UZ"/>
        </w:rPr>
        <w:t>RECORDANDO que las iniciativas regionales en el marco de la Convención de Ramsar, entre las que se incluyen centros regionales de formación y creación de capacidad y redes regionales para facilitar la cooperación, tienen por objeto servir de medios operativos para brindar un apoyo eficaz con miras a mejorar la aplicación de la Convención en regiones geográficas concretas, por medio de la cooperación internacional de carácter voluntario en cuestiones de interés común relativas a los humedales;</w:t>
      </w:r>
    </w:p>
    <w:p w14:paraId="5005B001" w14:textId="77777777" w:rsidR="00FB6906" w:rsidRPr="0066320E" w:rsidRDefault="00FB6906" w:rsidP="00701331">
      <w:pPr>
        <w:widowControl/>
        <w:ind w:left="425" w:hanging="425"/>
        <w:rPr>
          <w:rFonts w:ascii="Calibri" w:hAnsi="Calibri"/>
          <w:lang w:val="uz-Cyrl-UZ"/>
        </w:rPr>
      </w:pPr>
    </w:p>
    <w:p w14:paraId="6A2F4A34" w14:textId="7938A83A" w:rsidR="002F3FA7" w:rsidRPr="0066320E" w:rsidRDefault="00A40A30" w:rsidP="002F3FA7">
      <w:pPr>
        <w:widowControl/>
        <w:tabs>
          <w:tab w:val="left" w:pos="687"/>
        </w:tabs>
        <w:ind w:left="425" w:hanging="425"/>
        <w:rPr>
          <w:rFonts w:ascii="Calibri" w:hAnsi="Calibri"/>
          <w:lang w:val="uz-Cyrl-UZ"/>
        </w:rPr>
      </w:pPr>
      <w:r w:rsidRPr="0066320E">
        <w:rPr>
          <w:rFonts w:ascii="Calibri" w:hAnsi="Calibri"/>
          <w:lang w:val="uz-Cyrl-UZ"/>
        </w:rPr>
        <w:t>2</w:t>
      </w:r>
      <w:r w:rsidR="009D116A" w:rsidRPr="0066320E">
        <w:rPr>
          <w:rFonts w:ascii="Calibri" w:hAnsi="Calibri"/>
          <w:lang w:val="uz-Cyrl-UZ"/>
        </w:rPr>
        <w:t>.</w:t>
      </w:r>
      <w:r w:rsidRPr="0066320E">
        <w:rPr>
          <w:rFonts w:ascii="Calibri" w:hAnsi="Calibri"/>
          <w:lang w:val="uz-Cyrl-UZ"/>
        </w:rPr>
        <w:tab/>
      </w:r>
      <w:r w:rsidRPr="0066320E">
        <w:rPr>
          <w:lang w:val="uz-Cyrl-UZ"/>
        </w:rPr>
        <w:t>RECORDANDO ADEMÁS que la Conferencia de las Partes ha reconocido la importancia de las iniciativas regionales de Ramsar  en varias resoluciones; y</w:t>
      </w:r>
    </w:p>
    <w:p w14:paraId="51491592" w14:textId="77777777" w:rsidR="004401C9" w:rsidRPr="0066320E" w:rsidRDefault="004401C9" w:rsidP="00701331">
      <w:pPr>
        <w:widowControl/>
        <w:ind w:left="425" w:hanging="425"/>
        <w:rPr>
          <w:rFonts w:ascii="Calibri" w:hAnsi="Calibri"/>
          <w:lang w:val="uz-Cyrl-UZ"/>
        </w:rPr>
      </w:pPr>
    </w:p>
    <w:p w14:paraId="25061E7D" w14:textId="06F18547" w:rsidR="002F3FA7" w:rsidRPr="0066320E" w:rsidRDefault="004401C9" w:rsidP="00701331">
      <w:pPr>
        <w:widowControl/>
        <w:ind w:left="425" w:hanging="425"/>
        <w:rPr>
          <w:rFonts w:ascii="Calibri" w:hAnsi="Calibri"/>
          <w:lang w:val="uz-Cyrl-UZ"/>
        </w:rPr>
      </w:pPr>
      <w:r w:rsidRPr="0066320E">
        <w:rPr>
          <w:rFonts w:ascii="Calibri" w:hAnsi="Calibri"/>
          <w:lang w:val="uz-Cyrl-UZ"/>
        </w:rPr>
        <w:t>3</w:t>
      </w:r>
      <w:r w:rsidR="009D116A" w:rsidRPr="0066320E">
        <w:rPr>
          <w:rFonts w:ascii="Calibri" w:hAnsi="Calibri"/>
          <w:lang w:val="uz-Cyrl-UZ"/>
        </w:rPr>
        <w:t>.</w:t>
      </w:r>
      <w:r w:rsidRPr="0066320E">
        <w:rPr>
          <w:rFonts w:ascii="Calibri" w:hAnsi="Calibri"/>
          <w:lang w:val="uz-Cyrl-UZ"/>
        </w:rPr>
        <w:tab/>
      </w:r>
      <w:r w:rsidRPr="0066320E">
        <w:rPr>
          <w:lang w:val="uz-Cyrl-UZ"/>
        </w:rPr>
        <w:t>RECORDANDO ADEMÁS que, en su 12ª reunión (COP12), mediante la Resolución XII.8, la Conferencia de las Partes</w:t>
      </w:r>
      <w:r w:rsidR="00CF5060" w:rsidRPr="0066320E">
        <w:rPr>
          <w:rStyle w:val="FootnoteReference"/>
          <w:rFonts w:ascii="Calibri" w:hAnsi="Calibri"/>
          <w:lang w:val="uz-Cyrl-UZ"/>
        </w:rPr>
        <w:footnoteReference w:id="2"/>
      </w:r>
      <w:r w:rsidRPr="0066320E">
        <w:rPr>
          <w:lang w:val="uz-Cyrl-UZ"/>
        </w:rPr>
        <w:t xml:space="preserve"> encargó al Comité Permanente que emprendiera un examen de los actuales </w:t>
      </w:r>
      <w:r w:rsidRPr="0066320E">
        <w:rPr>
          <w:i/>
          <w:lang w:val="uz-Cyrl-UZ"/>
        </w:rPr>
        <w:t>Lineamientos Operativos para las iniciativas regionales</w:t>
      </w:r>
      <w:r w:rsidRPr="0066320E">
        <w:rPr>
          <w:lang w:val="uz-Cyrl-UZ"/>
        </w:rPr>
        <w:t xml:space="preserve"> y que formulara recomendaciones para mejorarlos, y que la labor emprendida con este fin condujo al marco operativo que figura en la decisión SC52-16 del Comité Permanente; y</w:t>
      </w:r>
    </w:p>
    <w:p w14:paraId="6F97C007" w14:textId="44F1DA32" w:rsidR="00FB6906" w:rsidRPr="0066320E" w:rsidRDefault="00FB6906" w:rsidP="00701331">
      <w:pPr>
        <w:widowControl/>
        <w:ind w:left="425" w:hanging="425"/>
        <w:rPr>
          <w:rFonts w:ascii="Calibri" w:hAnsi="Calibri"/>
          <w:lang w:val="uz-Cyrl-UZ"/>
        </w:rPr>
      </w:pPr>
    </w:p>
    <w:p w14:paraId="2BAEAF26" w14:textId="77777777" w:rsidR="00FB6906" w:rsidRPr="0066320E" w:rsidRDefault="00535964" w:rsidP="00101F88">
      <w:pPr>
        <w:pStyle w:val="BodyText"/>
        <w:keepNext/>
        <w:widowControl/>
        <w:ind w:left="425" w:hanging="425"/>
        <w:jc w:val="center"/>
        <w:rPr>
          <w:lang w:val="uz-Cyrl-UZ"/>
        </w:rPr>
      </w:pPr>
      <w:r w:rsidRPr="0066320E">
        <w:rPr>
          <w:lang w:val="uz-Cyrl-UZ"/>
        </w:rPr>
        <w:t>LA CONFERENCIA DE LAS PARTES CONTRATANTES</w:t>
      </w:r>
    </w:p>
    <w:p w14:paraId="67822024" w14:textId="5EECF45C" w:rsidR="00FB6906" w:rsidRPr="0066320E" w:rsidRDefault="00FB6906" w:rsidP="00101F88">
      <w:pPr>
        <w:keepNext/>
        <w:widowControl/>
        <w:ind w:left="425" w:hanging="425"/>
        <w:rPr>
          <w:rFonts w:ascii="Calibri" w:hAnsi="Calibri"/>
          <w:lang w:val="uz-Cyrl-UZ"/>
        </w:rPr>
      </w:pPr>
    </w:p>
    <w:p w14:paraId="436766CE" w14:textId="7FEED1BE" w:rsidR="00483295" w:rsidRPr="0066320E" w:rsidRDefault="0016154F" w:rsidP="00BE0894">
      <w:pPr>
        <w:ind w:left="425" w:hanging="425"/>
        <w:rPr>
          <w:rFonts w:ascii="Calibri" w:hAnsi="Calibri" w:cs="Calibri"/>
          <w:lang w:val="uz-Cyrl-UZ"/>
        </w:rPr>
      </w:pPr>
      <w:r w:rsidRPr="0066320E">
        <w:rPr>
          <w:rFonts w:ascii="Calibri" w:hAnsi="Calibri"/>
          <w:lang w:val="uz-Cyrl-UZ"/>
        </w:rPr>
        <w:t xml:space="preserve">4. </w:t>
      </w:r>
      <w:r w:rsidRPr="0066320E">
        <w:rPr>
          <w:rFonts w:ascii="Calibri" w:hAnsi="Calibri"/>
          <w:lang w:val="uz-Cyrl-UZ"/>
        </w:rPr>
        <w:tab/>
        <w:t>DECIDE que las iniciativas regionales se denominan a partir de ahora “iniciativas regionales de Ramsar”, con la sigla “IRR”;</w:t>
      </w:r>
    </w:p>
    <w:p w14:paraId="55511B73" w14:textId="77777777" w:rsidR="00483295" w:rsidRPr="0066320E" w:rsidRDefault="00483295" w:rsidP="00101F88">
      <w:pPr>
        <w:keepNext/>
        <w:widowControl/>
        <w:ind w:left="425" w:hanging="425"/>
        <w:rPr>
          <w:rFonts w:ascii="Calibri" w:hAnsi="Calibri"/>
          <w:lang w:val="uz-Cyrl-UZ"/>
        </w:rPr>
      </w:pPr>
    </w:p>
    <w:p w14:paraId="0617EF08" w14:textId="07BF1BFF" w:rsidR="00FB6906" w:rsidRPr="0066320E" w:rsidRDefault="00927838" w:rsidP="00701331">
      <w:pPr>
        <w:widowControl/>
        <w:ind w:left="425" w:hanging="425"/>
        <w:rPr>
          <w:rFonts w:ascii="Calibri" w:hAnsi="Calibri"/>
          <w:lang w:val="uz-Cyrl-UZ"/>
        </w:rPr>
      </w:pPr>
      <w:r w:rsidRPr="0066320E">
        <w:rPr>
          <w:rFonts w:ascii="Calibri" w:hAnsi="Calibri"/>
          <w:lang w:val="uz-Cyrl-UZ"/>
        </w:rPr>
        <w:t>5.</w:t>
      </w:r>
      <w:r w:rsidRPr="0066320E">
        <w:rPr>
          <w:rFonts w:ascii="Calibri" w:hAnsi="Calibri"/>
          <w:lang w:val="uz-Cyrl-UZ"/>
        </w:rPr>
        <w:tab/>
      </w:r>
      <w:r w:rsidRPr="0066320E">
        <w:rPr>
          <w:lang w:val="uz-Cyrl-UZ"/>
        </w:rPr>
        <w:t>REAFIRMA la eficacia de la cooperación regional mediante redes y centros agrupados bajo el término de “iniciativas regionales de Ramsar” (IRR) para apoyar una mejor aplicación de la Convención sobre los Humedales y sus resoluciones;</w:t>
      </w:r>
    </w:p>
    <w:p w14:paraId="1F9489C9" w14:textId="77777777" w:rsidR="00FB6906" w:rsidRPr="0066320E" w:rsidRDefault="00FB6906" w:rsidP="00C3701C">
      <w:pPr>
        <w:widowControl/>
        <w:rPr>
          <w:rFonts w:ascii="Calibri" w:hAnsi="Calibri"/>
          <w:lang w:val="uz-Cyrl-UZ"/>
        </w:rPr>
      </w:pPr>
    </w:p>
    <w:p w14:paraId="2076B9E4" w14:textId="71AA84E9" w:rsidR="00FB6906" w:rsidRPr="0066320E" w:rsidRDefault="00D271D3" w:rsidP="00701331">
      <w:pPr>
        <w:widowControl/>
        <w:ind w:left="425" w:hanging="425"/>
        <w:rPr>
          <w:rFonts w:ascii="Calibri" w:hAnsi="Calibri"/>
          <w:lang w:val="uz-Cyrl-UZ"/>
        </w:rPr>
      </w:pPr>
      <w:r w:rsidRPr="0066320E">
        <w:rPr>
          <w:rFonts w:ascii="Calibri" w:hAnsi="Calibri"/>
          <w:lang w:val="uz-Cyrl-UZ"/>
        </w:rPr>
        <w:t>6.</w:t>
      </w:r>
      <w:r w:rsidRPr="0066320E">
        <w:rPr>
          <w:rFonts w:ascii="Calibri" w:hAnsi="Calibri"/>
          <w:lang w:val="uz-Cyrl-UZ"/>
        </w:rPr>
        <w:tab/>
      </w:r>
      <w:r w:rsidR="00927838" w:rsidRPr="0066320E">
        <w:rPr>
          <w:lang w:val="uz-Cyrl-UZ"/>
        </w:rPr>
        <w:t xml:space="preserve">DECIDE que toda IRR dirigida conjuntamente por varias Partes Contratantes a fin de mejorar la aplicación de la Convención deberá cumplir  los principios enumeradas en el  párrafo 8 de la presente resolución para ser reconocida formalmente en el marco de la Convención como iniciativa regional de Ramsar, y que los </w:t>
      </w:r>
      <w:r w:rsidR="00927838" w:rsidRPr="0066320E">
        <w:rPr>
          <w:i/>
          <w:lang w:val="uz-Cyrl-UZ"/>
        </w:rPr>
        <w:t>Lineamientos operativos</w:t>
      </w:r>
      <w:r w:rsidR="00927838" w:rsidRPr="0066320E">
        <w:rPr>
          <w:lang w:val="uz-Cyrl-UZ"/>
        </w:rPr>
        <w:t xml:space="preserve"> aprobados en la Decisión SC52-16 pueden aplicarse según proceda a cada IRR, teniendo en cuenta que estos serán revisados en la 14ª reunión de la Conferencia de las Partes (COP14);</w:t>
      </w:r>
    </w:p>
    <w:p w14:paraId="70D19A15" w14:textId="77777777" w:rsidR="004433BE" w:rsidRPr="0066320E" w:rsidRDefault="004433BE" w:rsidP="00701331">
      <w:pPr>
        <w:widowControl/>
        <w:ind w:left="425" w:hanging="425"/>
        <w:rPr>
          <w:rFonts w:ascii="Calibri" w:hAnsi="Calibri"/>
          <w:lang w:val="uz-Cyrl-UZ"/>
        </w:rPr>
      </w:pPr>
    </w:p>
    <w:p w14:paraId="05C61974" w14:textId="33DB3CDB" w:rsidR="00FB6906" w:rsidRPr="0066320E" w:rsidRDefault="00927838" w:rsidP="00701331">
      <w:pPr>
        <w:widowControl/>
        <w:ind w:left="425" w:hanging="425"/>
        <w:rPr>
          <w:rFonts w:ascii="Calibri" w:hAnsi="Calibri"/>
          <w:lang w:val="uz-Cyrl-UZ"/>
        </w:rPr>
      </w:pPr>
      <w:r w:rsidRPr="0066320E">
        <w:rPr>
          <w:lang w:val="uz-Cyrl-UZ"/>
        </w:rPr>
        <w:lastRenderedPageBreak/>
        <w:t>7.</w:t>
      </w:r>
      <w:r w:rsidRPr="0066320E">
        <w:rPr>
          <w:rFonts w:ascii="Calibri" w:hAnsi="Calibri"/>
          <w:lang w:val="uz-Cyrl-UZ"/>
        </w:rPr>
        <w:tab/>
      </w:r>
      <w:r w:rsidRPr="0066320E">
        <w:rPr>
          <w:lang w:val="uz-Cyrl-UZ"/>
        </w:rPr>
        <w:t>PIDE a las Partes Contratantes que participen en alguna iniciativa regional de Ramsar actual o futura que se esfuercen por que la IRR cumpla plenamente los principios que se enumeran en el párrafo 8 de la presente resolución;</w:t>
      </w:r>
    </w:p>
    <w:p w14:paraId="72AEF2E3" w14:textId="3CA8DB56" w:rsidR="00085A5C" w:rsidRPr="0066320E" w:rsidRDefault="00085A5C" w:rsidP="00701331">
      <w:pPr>
        <w:widowControl/>
        <w:ind w:left="425" w:hanging="425"/>
        <w:rPr>
          <w:rFonts w:ascii="Calibri" w:hAnsi="Calibri"/>
          <w:lang w:val="uz-Cyrl-UZ"/>
        </w:rPr>
      </w:pPr>
    </w:p>
    <w:p w14:paraId="40624EEE" w14:textId="31960C8C" w:rsidR="00193404" w:rsidRPr="0066320E" w:rsidRDefault="00B20BAF" w:rsidP="00882E49">
      <w:pPr>
        <w:widowControl/>
        <w:ind w:left="425" w:hanging="425"/>
        <w:rPr>
          <w:rFonts w:ascii="Calibri" w:hAnsi="Calibri"/>
          <w:highlight w:val="yellow"/>
          <w:lang w:val="uz-Cyrl-UZ"/>
        </w:rPr>
      </w:pPr>
      <w:r w:rsidRPr="00B20BAF">
        <w:rPr>
          <w:lang w:val="fr-FR"/>
        </w:rPr>
        <w:t>8</w:t>
      </w:r>
      <w:r w:rsidR="00927838" w:rsidRPr="0066320E">
        <w:rPr>
          <w:rFonts w:ascii="Calibri" w:hAnsi="Calibri"/>
          <w:lang w:val="uz-Cyrl-UZ"/>
        </w:rPr>
        <w:tab/>
        <w:t>DECIDE que las IRR, a fin de mantener su reconocimiento formal como tales, deberán observar los principios siguientes;</w:t>
      </w:r>
    </w:p>
    <w:p w14:paraId="2E97EFA5" w14:textId="0DF23EFC" w:rsidR="00E50235" w:rsidRPr="0066320E" w:rsidRDefault="00193404" w:rsidP="0098701A">
      <w:pPr>
        <w:pStyle w:val="ListParagraph"/>
        <w:widowControl/>
        <w:numPr>
          <w:ilvl w:val="0"/>
          <w:numId w:val="17"/>
        </w:numPr>
        <w:rPr>
          <w:rFonts w:ascii="Calibri" w:hAnsi="Calibri"/>
          <w:lang w:val="uz-Cyrl-UZ"/>
        </w:rPr>
      </w:pPr>
      <w:r w:rsidRPr="0066320E">
        <w:rPr>
          <w:rFonts w:ascii="Calibri" w:hAnsi="Calibri"/>
          <w:lang w:val="uz-Cyrl-UZ"/>
        </w:rPr>
        <w:t>las IRR deben ser aprobadas por la Conferencia de las Partes Contratantes (COP) o entre períodos de sesiones por el Comité Permanente, si son nuevas;</w:t>
      </w:r>
    </w:p>
    <w:p w14:paraId="6EA33CAB" w14:textId="27142A82" w:rsidR="00E50235" w:rsidRPr="0066320E" w:rsidRDefault="00E50235" w:rsidP="0098701A">
      <w:pPr>
        <w:pStyle w:val="ListParagraph"/>
        <w:widowControl/>
        <w:numPr>
          <w:ilvl w:val="0"/>
          <w:numId w:val="17"/>
        </w:numPr>
        <w:rPr>
          <w:rFonts w:ascii="Calibri" w:hAnsi="Calibri"/>
          <w:lang w:val="uz-Cyrl-UZ"/>
        </w:rPr>
      </w:pPr>
      <w:r w:rsidRPr="0066320E">
        <w:rPr>
          <w:rFonts w:ascii="Calibri" w:hAnsi="Calibri"/>
          <w:lang w:val="uz-Cyrl-UZ"/>
        </w:rPr>
        <w:t>las IRR habrán de estar sujetas al examen de cada una de las COP;</w:t>
      </w:r>
    </w:p>
    <w:p w14:paraId="378D355E" w14:textId="33D298A2" w:rsidR="00263BAB" w:rsidRPr="0066320E" w:rsidRDefault="00E50235" w:rsidP="0098701A">
      <w:pPr>
        <w:pStyle w:val="ListParagraph"/>
        <w:widowControl/>
        <w:numPr>
          <w:ilvl w:val="0"/>
          <w:numId w:val="17"/>
        </w:numPr>
        <w:rPr>
          <w:rFonts w:ascii="Calibri" w:hAnsi="Calibri"/>
          <w:lang w:val="uz-Cyrl-UZ"/>
        </w:rPr>
      </w:pPr>
      <w:r w:rsidRPr="0066320E">
        <w:rPr>
          <w:rFonts w:ascii="Calibri" w:hAnsi="Calibri"/>
          <w:lang w:val="uz-Cyrl-UZ"/>
        </w:rPr>
        <w:t>las IRR deben elaborar un mandato, que debe comprender su propio reglamento, estructura, forma de gobernanza e integración, incluida la situación de participación de la Secretaría de la Convención de Ramsar en la IRR, y ser congruente con las decisiones y resoluciones de la Conferencia de las Partes en la Convención de Ramsar;</w:t>
      </w:r>
    </w:p>
    <w:p w14:paraId="68F53A6C" w14:textId="0A408F25" w:rsidR="0061585F" w:rsidRPr="0066320E" w:rsidRDefault="00E50235" w:rsidP="0098701A">
      <w:pPr>
        <w:pStyle w:val="ListParagraph"/>
        <w:widowControl/>
        <w:numPr>
          <w:ilvl w:val="0"/>
          <w:numId w:val="17"/>
        </w:numPr>
        <w:rPr>
          <w:rFonts w:ascii="Calibri" w:hAnsi="Calibri"/>
          <w:lang w:val="uz-Cyrl-UZ"/>
        </w:rPr>
      </w:pPr>
      <w:r w:rsidRPr="0066320E">
        <w:rPr>
          <w:rFonts w:ascii="Calibri" w:hAnsi="Calibri"/>
          <w:lang w:val="uz-Cyrl-UZ"/>
        </w:rPr>
        <w:t>las IRR deben asumir responsabilidad financiera;</w:t>
      </w:r>
    </w:p>
    <w:p w14:paraId="26B810A0" w14:textId="74972E45" w:rsidR="0061585F" w:rsidRPr="0066320E" w:rsidRDefault="0061585F" w:rsidP="0098701A">
      <w:pPr>
        <w:pStyle w:val="ListParagraph"/>
        <w:widowControl/>
        <w:numPr>
          <w:ilvl w:val="0"/>
          <w:numId w:val="17"/>
        </w:numPr>
        <w:rPr>
          <w:rFonts w:ascii="Calibri" w:hAnsi="Calibri"/>
          <w:lang w:val="uz-Cyrl-UZ"/>
        </w:rPr>
      </w:pPr>
      <w:r w:rsidRPr="0066320E">
        <w:rPr>
          <w:rFonts w:ascii="Calibri" w:hAnsi="Calibri"/>
          <w:lang w:val="uz-Cyrl-UZ"/>
        </w:rPr>
        <w:t>las IRR deberían emprender tareas que estén relacionadas con la aplicación de la Convención en su región y pueden hablar solo en nombre propio, utilizando únicamente su propio logotipo;</w:t>
      </w:r>
    </w:p>
    <w:p w14:paraId="5FCD2987" w14:textId="7F68F85A" w:rsidR="008A3440" w:rsidRPr="0066320E" w:rsidRDefault="008A3440" w:rsidP="0098701A">
      <w:pPr>
        <w:pStyle w:val="ListParagraph"/>
        <w:widowControl/>
        <w:numPr>
          <w:ilvl w:val="0"/>
          <w:numId w:val="17"/>
        </w:numPr>
        <w:rPr>
          <w:rFonts w:ascii="Calibri" w:hAnsi="Calibri"/>
          <w:lang w:val="uz-Cyrl-UZ"/>
        </w:rPr>
      </w:pPr>
      <w:r w:rsidRPr="0066320E">
        <w:rPr>
          <w:rFonts w:ascii="Calibri" w:hAnsi="Calibri"/>
          <w:lang w:val="uz-Cyrl-UZ"/>
        </w:rPr>
        <w:t>las IRR deben presentar a la Secretaria, siguiendo el formato aprobado por el Comité Permanente, un informe anual sobre los progresos realizados y un resumen financiero al finalizar cada año, junto con un plan de trabajo y presupuesto para el año siguiente;</w:t>
      </w:r>
    </w:p>
    <w:p w14:paraId="2A6FA928" w14:textId="70F8A21C" w:rsidR="008A3440" w:rsidRPr="0066320E" w:rsidRDefault="008A3440" w:rsidP="0098701A">
      <w:pPr>
        <w:pStyle w:val="ListParagraph"/>
        <w:widowControl/>
        <w:numPr>
          <w:ilvl w:val="0"/>
          <w:numId w:val="17"/>
        </w:numPr>
        <w:rPr>
          <w:rFonts w:ascii="Calibri" w:hAnsi="Calibri"/>
          <w:lang w:val="uz-Cyrl-UZ"/>
        </w:rPr>
      </w:pPr>
      <w:r w:rsidRPr="0066320E">
        <w:rPr>
          <w:rFonts w:ascii="Calibri" w:hAnsi="Calibri"/>
          <w:lang w:val="uz-Cyrl-UZ"/>
        </w:rPr>
        <w:t>las IRR que se hayan establecido con menos de seis años de anterioridad y que deseen solicitar fondos con cargo al presupuesto básico de la Convención de Ramsar para sus etapas iniciales deben solicitarlo en el presupuesto presentado para el año siguiente;</w:t>
      </w:r>
    </w:p>
    <w:p w14:paraId="43166622" w14:textId="18107C96" w:rsidR="008A3440" w:rsidRPr="0066320E" w:rsidRDefault="008A3440" w:rsidP="008A3440">
      <w:pPr>
        <w:widowControl/>
        <w:rPr>
          <w:rFonts w:ascii="Calibri" w:hAnsi="Calibri"/>
          <w:lang w:val="uz-Cyrl-UZ"/>
        </w:rPr>
      </w:pPr>
    </w:p>
    <w:p w14:paraId="4B884AAD" w14:textId="094A8505" w:rsidR="0085055B" w:rsidRPr="0066320E" w:rsidRDefault="00D271D3" w:rsidP="00C61794">
      <w:pPr>
        <w:widowControl/>
        <w:ind w:left="425" w:hanging="425"/>
        <w:rPr>
          <w:rFonts w:ascii="Calibri" w:hAnsi="Calibri"/>
          <w:lang w:val="uz-Cyrl-UZ"/>
        </w:rPr>
      </w:pPr>
      <w:r w:rsidRPr="0066320E">
        <w:rPr>
          <w:rFonts w:ascii="Calibri" w:hAnsi="Calibri"/>
          <w:lang w:val="uz-Cyrl-UZ"/>
        </w:rPr>
        <w:t>9.</w:t>
      </w:r>
      <w:r w:rsidRPr="0066320E">
        <w:rPr>
          <w:rFonts w:ascii="Calibri" w:hAnsi="Calibri"/>
          <w:lang w:val="uz-Cyrl-UZ"/>
        </w:rPr>
        <w:tab/>
        <w:t xml:space="preserve">RESTABLECE el Grupo de trabajo (de composición abierta) sobre las iniciativas regionales de Ramsar con arreglo al artículo 25 del </w:t>
      </w:r>
      <w:r w:rsidR="008D7C0C">
        <w:rPr>
          <w:rFonts w:ascii="Calibri" w:hAnsi="Calibri"/>
          <w:lang w:val="uz-Cyrl-UZ"/>
        </w:rPr>
        <w:t>r</w:t>
      </w:r>
      <w:r w:rsidRPr="0066320E">
        <w:rPr>
          <w:rFonts w:ascii="Calibri" w:hAnsi="Calibri"/>
          <w:lang w:val="uz-Cyrl-UZ"/>
        </w:rPr>
        <w:t xml:space="preserve">eglamento, que habrá de redactar nuevos </w:t>
      </w:r>
      <w:r w:rsidRPr="0066320E">
        <w:rPr>
          <w:rFonts w:ascii="Calibri" w:hAnsi="Calibri"/>
          <w:i/>
          <w:lang w:val="uz-Cyrl-UZ"/>
        </w:rPr>
        <w:t>Lineamientos operativos destinados a las iniciativas regionales de Ramsar</w:t>
      </w:r>
      <w:r w:rsidRPr="0066320E">
        <w:rPr>
          <w:rFonts w:ascii="Calibri" w:hAnsi="Calibri"/>
          <w:lang w:val="uz-Cyrl-UZ"/>
        </w:rPr>
        <w:t>, y presentará sus recomendaciones al Comité Permanente en su 58ª reunión; estas habrán de incluir un proyecto de resolución para que sea examinado por el Comité Permanente</w:t>
      </w:r>
      <w:r w:rsidRPr="0066320E">
        <w:rPr>
          <w:lang w:val="uz-Cyrl-UZ"/>
        </w:rPr>
        <w:t xml:space="preserve">. </w:t>
      </w:r>
      <w:r w:rsidRPr="0066320E">
        <w:rPr>
          <w:rFonts w:ascii="Calibri" w:hAnsi="Calibri"/>
          <w:lang w:val="uz-Cyrl-UZ"/>
        </w:rPr>
        <w:t>Ese proyecto de resolución habrá de tener en cuenta los principios enumerados en el párrafo 8 de la presente resolución, así como la diversidad de IRR y sus necesidades específicas;</w:t>
      </w:r>
    </w:p>
    <w:p w14:paraId="1E445274" w14:textId="288A39AD" w:rsidR="0085055B" w:rsidRPr="0066320E" w:rsidRDefault="0085055B" w:rsidP="008A3440">
      <w:pPr>
        <w:widowControl/>
        <w:rPr>
          <w:rFonts w:ascii="Calibri" w:hAnsi="Calibri"/>
          <w:lang w:val="uz-Cyrl-UZ"/>
        </w:rPr>
      </w:pPr>
    </w:p>
    <w:p w14:paraId="237BC220" w14:textId="0E9A8C17" w:rsidR="008A3440" w:rsidRPr="0066320E" w:rsidRDefault="00D271D3" w:rsidP="00C61794">
      <w:pPr>
        <w:widowControl/>
        <w:ind w:left="425" w:hanging="425"/>
        <w:rPr>
          <w:rFonts w:ascii="Calibri" w:hAnsi="Calibri"/>
          <w:lang w:val="uz-Cyrl-UZ"/>
        </w:rPr>
      </w:pPr>
      <w:r w:rsidRPr="0066320E">
        <w:rPr>
          <w:rFonts w:ascii="Calibri" w:hAnsi="Calibri"/>
          <w:lang w:val="uz-Cyrl-UZ"/>
        </w:rPr>
        <w:t>10.</w:t>
      </w:r>
      <w:r w:rsidRPr="0066320E">
        <w:rPr>
          <w:rFonts w:ascii="Calibri" w:hAnsi="Calibri"/>
          <w:lang w:val="uz-Cyrl-UZ"/>
        </w:rPr>
        <w:tab/>
        <w:t xml:space="preserve">PIDE al Comité Ejecutivo que considere las recomendaciones sobre los </w:t>
      </w:r>
      <w:r w:rsidRPr="0066320E">
        <w:rPr>
          <w:rFonts w:ascii="Calibri" w:hAnsi="Calibri"/>
          <w:i/>
          <w:lang w:val="uz-Cyrl-UZ"/>
        </w:rPr>
        <w:t>Lineamientos operativos destinados a las iniciativas regionales de Ramsar</w:t>
      </w:r>
      <w:r w:rsidRPr="0066320E">
        <w:rPr>
          <w:rFonts w:ascii="Calibri" w:hAnsi="Calibri"/>
          <w:lang w:val="uz-Cyrl-UZ"/>
        </w:rPr>
        <w:t xml:space="preserve"> formuladas por el Grupo de trabajo sobre las iniciativas regionales de Ramsar que se ha restablecido, y que las presente para que sean examinadas en la COP14, y PIDE ADEMÁS al Comité Permanente que, en su 56ª reunión, facilite el funcionamiento del Grupo de trabajo y le asigne fondos del excedente del presupuesto básico, y;  </w:t>
      </w:r>
    </w:p>
    <w:p w14:paraId="1BCB1E68" w14:textId="77777777" w:rsidR="00FB6906" w:rsidRPr="0066320E" w:rsidRDefault="00FB6906" w:rsidP="00701331">
      <w:pPr>
        <w:widowControl/>
        <w:ind w:left="425" w:hanging="425"/>
        <w:rPr>
          <w:rFonts w:ascii="Calibri" w:hAnsi="Calibri"/>
          <w:lang w:val="uz-Cyrl-UZ"/>
        </w:rPr>
      </w:pPr>
    </w:p>
    <w:p w14:paraId="5A5A3626" w14:textId="330E0B0A" w:rsidR="00FB6906" w:rsidRPr="0066320E" w:rsidRDefault="00D271D3" w:rsidP="00701331">
      <w:pPr>
        <w:widowControl/>
        <w:ind w:left="425" w:hanging="425"/>
        <w:rPr>
          <w:rFonts w:ascii="Calibri" w:hAnsi="Calibri"/>
          <w:lang w:val="uz-Cyrl-UZ"/>
        </w:rPr>
      </w:pPr>
      <w:r w:rsidRPr="0066320E">
        <w:rPr>
          <w:rFonts w:ascii="Calibri" w:hAnsi="Calibri"/>
          <w:lang w:val="uz-Cyrl-UZ"/>
        </w:rPr>
        <w:t>11.</w:t>
      </w:r>
      <w:r w:rsidRPr="0066320E">
        <w:rPr>
          <w:rFonts w:ascii="Calibri" w:hAnsi="Calibri"/>
          <w:lang w:val="uz-Cyrl-UZ"/>
        </w:rPr>
        <w:tab/>
      </w:r>
      <w:r w:rsidRPr="0066320E">
        <w:rPr>
          <w:lang w:val="uz-Cyrl-UZ"/>
        </w:rPr>
        <w:t>APRUEBA las IRR existentes que se enumeran a continuación considerando que realizan su actividad en el marco de la Convención sobre los Humedales hasta la 14ª reunión de la Conferencia de las Partes Contratantes.</w:t>
      </w:r>
      <w:r w:rsidRPr="0066320E">
        <w:rPr>
          <w:rFonts w:ascii="Calibri" w:hAnsi="Calibri"/>
          <w:lang w:val="uz-Cyrl-UZ"/>
        </w:rPr>
        <w:t xml:space="preserve"> Esta lista incluye lo siguiente:</w:t>
      </w:r>
    </w:p>
    <w:p w14:paraId="34111848" w14:textId="77777777" w:rsidR="004433BE" w:rsidRPr="0066320E" w:rsidRDefault="004433BE" w:rsidP="00701331">
      <w:pPr>
        <w:pStyle w:val="BodyText"/>
        <w:widowControl/>
        <w:ind w:left="425" w:firstLine="0"/>
        <w:rPr>
          <w:lang w:val="uz-Cyrl-UZ"/>
        </w:rPr>
      </w:pPr>
    </w:p>
    <w:p w14:paraId="51DC3CC0" w14:textId="77777777" w:rsidR="00FB6906" w:rsidRPr="0066320E" w:rsidRDefault="00535964" w:rsidP="00701331">
      <w:pPr>
        <w:pStyle w:val="BodyText"/>
        <w:widowControl/>
        <w:ind w:left="425" w:firstLine="0"/>
        <w:rPr>
          <w:lang w:val="uz-Cyrl-UZ"/>
        </w:rPr>
      </w:pPr>
      <w:r w:rsidRPr="0066320E">
        <w:rPr>
          <w:lang w:val="uz-Cyrl-UZ"/>
        </w:rPr>
        <w:t>Cuatro centros regionales de Ramsar para la formación y creación de capacidad:</w:t>
      </w:r>
    </w:p>
    <w:p w14:paraId="09136FA4" w14:textId="77777777" w:rsidR="00FB6906" w:rsidRPr="0066320E" w:rsidRDefault="00535964" w:rsidP="00701331">
      <w:pPr>
        <w:pStyle w:val="BodyText"/>
        <w:widowControl/>
        <w:numPr>
          <w:ilvl w:val="1"/>
          <w:numId w:val="14"/>
        </w:numPr>
        <w:ind w:left="850" w:hanging="425"/>
        <w:rPr>
          <w:lang w:val="uz-Cyrl-UZ"/>
        </w:rPr>
      </w:pPr>
      <w:r w:rsidRPr="0066320E">
        <w:rPr>
          <w:lang w:val="uz-Cyrl-UZ"/>
        </w:rPr>
        <w:t>Centro Ramsar para África Oriental (RAMCEA),</w:t>
      </w:r>
    </w:p>
    <w:p w14:paraId="49AE8A8B" w14:textId="77777777" w:rsidR="00FB6906" w:rsidRPr="0066320E" w:rsidRDefault="00535964" w:rsidP="00701331">
      <w:pPr>
        <w:pStyle w:val="BodyText"/>
        <w:widowControl/>
        <w:numPr>
          <w:ilvl w:val="1"/>
          <w:numId w:val="14"/>
        </w:numPr>
        <w:ind w:left="850" w:hanging="425"/>
        <w:rPr>
          <w:lang w:val="uz-Cyrl-UZ"/>
        </w:rPr>
      </w:pPr>
      <w:r w:rsidRPr="0066320E">
        <w:rPr>
          <w:lang w:val="uz-Cyrl-UZ"/>
        </w:rPr>
        <w:t>Centro Regional Ramsar para la Capacitación e Investigación sobre Humedales en el Hemisferio Occidental (CREHO),</w:t>
      </w:r>
    </w:p>
    <w:p w14:paraId="4805D787" w14:textId="77777777" w:rsidR="00FB6906" w:rsidRPr="0066320E" w:rsidRDefault="00535964" w:rsidP="00701331">
      <w:pPr>
        <w:pStyle w:val="BodyText"/>
        <w:widowControl/>
        <w:numPr>
          <w:ilvl w:val="1"/>
          <w:numId w:val="14"/>
        </w:numPr>
        <w:ind w:left="850" w:hanging="425"/>
        <w:rPr>
          <w:lang w:val="uz-Cyrl-UZ"/>
        </w:rPr>
      </w:pPr>
      <w:r w:rsidRPr="0066320E">
        <w:rPr>
          <w:lang w:val="uz-Cyrl-UZ"/>
        </w:rPr>
        <w:t>Centro Regional Ramsar para Asia Central y Occidental (RRC-CWA),</w:t>
      </w:r>
    </w:p>
    <w:p w14:paraId="6B2254E6" w14:textId="03805052" w:rsidR="00927838" w:rsidRPr="0066320E" w:rsidRDefault="00535964" w:rsidP="00701331">
      <w:pPr>
        <w:pStyle w:val="BodyText"/>
        <w:widowControl/>
        <w:numPr>
          <w:ilvl w:val="1"/>
          <w:numId w:val="14"/>
        </w:numPr>
        <w:ind w:left="850" w:hanging="425"/>
        <w:rPr>
          <w:lang w:val="uz-Cyrl-UZ"/>
        </w:rPr>
      </w:pPr>
      <w:r w:rsidRPr="0066320E">
        <w:rPr>
          <w:lang w:val="uz-Cyrl-UZ"/>
        </w:rPr>
        <w:t>Centro Regional Ramsar para Asia Oriental (RRC-EA), y</w:t>
      </w:r>
    </w:p>
    <w:p w14:paraId="28BC76A4" w14:textId="77777777" w:rsidR="00927838" w:rsidRPr="0066320E" w:rsidRDefault="00927838" w:rsidP="00701331">
      <w:pPr>
        <w:pStyle w:val="BodyText"/>
        <w:widowControl/>
        <w:ind w:left="425" w:firstLine="0"/>
        <w:rPr>
          <w:lang w:val="uz-Cyrl-UZ"/>
        </w:rPr>
      </w:pPr>
    </w:p>
    <w:p w14:paraId="232A3880" w14:textId="6ADEE190" w:rsidR="00FB6906" w:rsidRPr="0066320E" w:rsidRDefault="00535964" w:rsidP="00B20BAF">
      <w:pPr>
        <w:pStyle w:val="BodyText"/>
        <w:keepNext/>
        <w:widowControl/>
        <w:ind w:left="425" w:firstLine="0"/>
        <w:rPr>
          <w:lang w:val="uz-Cyrl-UZ"/>
        </w:rPr>
      </w:pPr>
      <w:bookmarkStart w:id="0" w:name="_GoBack"/>
      <w:r w:rsidRPr="0066320E">
        <w:rPr>
          <w:lang w:val="uz-Cyrl-UZ"/>
        </w:rPr>
        <w:lastRenderedPageBreak/>
        <w:t>Quince redes de Ramsar para la cooperación regional:</w:t>
      </w:r>
    </w:p>
    <w:bookmarkEnd w:id="0"/>
    <w:p w14:paraId="25C653E7"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los humedales costeros de África Occidental (WaCoWet),</w:t>
      </w:r>
    </w:p>
    <w:p w14:paraId="448D90BF"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la cuenca del río Níger (NigerWet),</w:t>
      </w:r>
    </w:p>
    <w:p w14:paraId="05F6C256"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la cuenca del río Senegal,</w:t>
      </w:r>
    </w:p>
    <w:p w14:paraId="668A13A3"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sobre Conservación y el Uso Sostenible de los Humedales Altoandinos,</w:t>
      </w:r>
    </w:p>
    <w:p w14:paraId="5A204F78"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sobre Conservación y Uso Sustentable de la Cuenca del Plata,</w:t>
      </w:r>
    </w:p>
    <w:p w14:paraId="2495A715"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los Humedales del Caribe (CariWet),</w:t>
      </w:r>
    </w:p>
    <w:p w14:paraId="1C37871B"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la Conservación y el Uso Racional de Manglares y Corales,</w:t>
      </w:r>
    </w:p>
    <w:p w14:paraId="1946CC4F"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la cuenca del río Amazonas,</w:t>
      </w:r>
    </w:p>
    <w:p w14:paraId="4C18C0B3" w14:textId="77777777" w:rsidR="00FB6906" w:rsidRPr="0066320E" w:rsidRDefault="00535964" w:rsidP="00701331">
      <w:pPr>
        <w:pStyle w:val="BodyText"/>
        <w:widowControl/>
        <w:numPr>
          <w:ilvl w:val="1"/>
          <w:numId w:val="14"/>
        </w:numPr>
        <w:ind w:left="850" w:hanging="425"/>
        <w:rPr>
          <w:lang w:val="uz-Cyrl-UZ"/>
        </w:rPr>
      </w:pPr>
      <w:r w:rsidRPr="0066320E">
        <w:rPr>
          <w:lang w:val="uz-Cyrl-UZ"/>
        </w:rPr>
        <w:t>Alianza de la Vía Migratoria Asia Oriental-Australasia,</w:t>
      </w:r>
    </w:p>
    <w:p w14:paraId="6CA5703C"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Asia Central,</w:t>
      </w:r>
    </w:p>
    <w:p w14:paraId="21CFAC81"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Indo-Birmana,</w:t>
      </w:r>
    </w:p>
    <w:p w14:paraId="37198A56"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los Humedales del Mediterráneo (MedWet),</w:t>
      </w:r>
    </w:p>
    <w:p w14:paraId="69DCC4EE"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los humedales de los Cárpatos (CWI),</w:t>
      </w:r>
    </w:p>
    <w:p w14:paraId="557BC76F" w14:textId="77777777"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los humedales nórdico-bálticos (NorBalWet),</w:t>
      </w:r>
    </w:p>
    <w:p w14:paraId="089ED986" w14:textId="18275E4E" w:rsidR="00FB6906" w:rsidRPr="0066320E" w:rsidRDefault="00535964" w:rsidP="00701331">
      <w:pPr>
        <w:pStyle w:val="BodyText"/>
        <w:widowControl/>
        <w:numPr>
          <w:ilvl w:val="1"/>
          <w:numId w:val="14"/>
        </w:numPr>
        <w:ind w:left="850" w:hanging="425"/>
        <w:rPr>
          <w:lang w:val="uz-Cyrl-UZ"/>
        </w:rPr>
      </w:pPr>
      <w:r w:rsidRPr="0066320E">
        <w:rPr>
          <w:lang w:val="uz-Cyrl-UZ"/>
        </w:rPr>
        <w:t>Iniciativa regional de Ramsar para los humedales costeros del mar Negro y el mar de Azov (BlackSeaWet);</w:t>
      </w:r>
    </w:p>
    <w:p w14:paraId="510BA83E" w14:textId="7983B275" w:rsidR="00FB6906" w:rsidRPr="0066320E" w:rsidRDefault="00FB6906" w:rsidP="00701331">
      <w:pPr>
        <w:widowControl/>
        <w:tabs>
          <w:tab w:val="left" w:pos="3546"/>
        </w:tabs>
        <w:ind w:left="425" w:hanging="425"/>
        <w:rPr>
          <w:rFonts w:ascii="Calibri" w:hAnsi="Calibri"/>
          <w:lang w:val="uz-Cyrl-UZ"/>
        </w:rPr>
      </w:pPr>
    </w:p>
    <w:p w14:paraId="5486B119" w14:textId="4C621ACE" w:rsidR="000D117F" w:rsidRPr="0066320E" w:rsidRDefault="00927838" w:rsidP="00D271D3">
      <w:pPr>
        <w:widowControl/>
        <w:ind w:left="425" w:hanging="425"/>
        <w:rPr>
          <w:rFonts w:ascii="Calibri" w:hAnsi="Calibri"/>
          <w:lang w:val="uz-Cyrl-UZ"/>
        </w:rPr>
      </w:pPr>
      <w:r w:rsidRPr="0066320E">
        <w:rPr>
          <w:rFonts w:ascii="Calibri" w:hAnsi="Calibri"/>
          <w:lang w:val="uz-Cyrl-UZ"/>
        </w:rPr>
        <w:t>12.</w:t>
      </w:r>
      <w:r w:rsidRPr="0066320E">
        <w:rPr>
          <w:rFonts w:ascii="Calibri" w:hAnsi="Calibri"/>
          <w:lang w:val="uz-Cyrl-UZ"/>
        </w:rPr>
        <w:tab/>
      </w:r>
      <w:r w:rsidRPr="0066320E">
        <w:rPr>
          <w:lang w:val="uz-Cyrl-UZ"/>
        </w:rPr>
        <w:t>PIDE al Comité Permanente que apruebe las propuestas de nuevas iniciativas presentadas entre períodos de sesiones antes de la 14ª reunión de la Conferencia de las Partes Contratantes (COP14), sobre la base de una evaluación positiva de la conformidad de su estructura y plan de trabajo con los principios enumerados en el párrafo 8 de la presente resolución;</w:t>
      </w:r>
    </w:p>
    <w:p w14:paraId="450736F7" w14:textId="77777777" w:rsidR="00FB6906" w:rsidRPr="0066320E" w:rsidRDefault="00FB6906" w:rsidP="00701331">
      <w:pPr>
        <w:widowControl/>
        <w:ind w:left="425" w:hanging="425"/>
        <w:rPr>
          <w:rFonts w:ascii="Calibri" w:hAnsi="Calibri"/>
          <w:lang w:val="uz-Cyrl-UZ"/>
        </w:rPr>
      </w:pPr>
    </w:p>
    <w:p w14:paraId="7673624E" w14:textId="3A9BB6C9" w:rsidR="00FB6906" w:rsidRPr="0066320E" w:rsidRDefault="00927838" w:rsidP="00701331">
      <w:pPr>
        <w:widowControl/>
        <w:ind w:left="425" w:hanging="425"/>
        <w:rPr>
          <w:rFonts w:ascii="Calibri" w:hAnsi="Calibri"/>
          <w:lang w:val="uz-Cyrl-UZ"/>
        </w:rPr>
      </w:pPr>
      <w:r w:rsidRPr="0066320E">
        <w:rPr>
          <w:lang w:val="uz-Cyrl-UZ"/>
        </w:rPr>
        <w:t>13.</w:t>
      </w:r>
      <w:r w:rsidRPr="0066320E">
        <w:rPr>
          <w:rFonts w:ascii="Calibri" w:hAnsi="Calibri"/>
          <w:lang w:val="uz-Cyrl-UZ"/>
        </w:rPr>
        <w:tab/>
      </w:r>
      <w:r w:rsidRPr="0066320E">
        <w:rPr>
          <w:lang w:val="uz-Cyrl-UZ"/>
        </w:rPr>
        <w:t>ENCARGA a la Secretaría de Ramsar que abra la convocatoria de propuestas de nuevas IRR, que deberán ser aprobadas por la Conferencia de las Partes en la COP14 o por el Comité Permanente en sus reuniones anteriores a la COP14;</w:t>
      </w:r>
    </w:p>
    <w:p w14:paraId="438F34A9" w14:textId="77777777" w:rsidR="00FB6906" w:rsidRPr="0066320E" w:rsidRDefault="00FB6906" w:rsidP="00701331">
      <w:pPr>
        <w:widowControl/>
        <w:ind w:left="425" w:hanging="425"/>
        <w:rPr>
          <w:rFonts w:ascii="Calibri" w:hAnsi="Calibri"/>
          <w:lang w:val="uz-Cyrl-UZ"/>
        </w:rPr>
      </w:pPr>
    </w:p>
    <w:p w14:paraId="7A011124" w14:textId="61D6E595" w:rsidR="0034426A" w:rsidRPr="0066320E" w:rsidRDefault="00927838" w:rsidP="00701331">
      <w:pPr>
        <w:widowControl/>
        <w:ind w:left="425" w:hanging="425"/>
        <w:rPr>
          <w:rFonts w:ascii="Calibri" w:hAnsi="Calibri"/>
          <w:lang w:val="uz-Cyrl-UZ"/>
        </w:rPr>
      </w:pPr>
      <w:r w:rsidRPr="0066320E">
        <w:rPr>
          <w:lang w:val="uz-Cyrl-UZ"/>
        </w:rPr>
        <w:t>14.</w:t>
      </w:r>
      <w:r w:rsidRPr="0066320E">
        <w:rPr>
          <w:rFonts w:ascii="Calibri" w:hAnsi="Calibri"/>
          <w:lang w:val="uz-Cyrl-UZ"/>
        </w:rPr>
        <w:tab/>
      </w:r>
      <w:r w:rsidRPr="0066320E">
        <w:rPr>
          <w:lang w:val="uz-Cyrl-UZ"/>
        </w:rPr>
        <w:t>OBSERVANDO que la Resolución </w:t>
      </w:r>
      <w:r w:rsidRPr="0066320E">
        <w:rPr>
          <w:highlight w:val="yellow"/>
          <w:lang w:val="uz-Cyrl-UZ"/>
        </w:rPr>
        <w:t>XIII.xx</w:t>
      </w:r>
      <w:r w:rsidRPr="0066320E">
        <w:rPr>
          <w:lang w:val="uz-Cyrl-UZ"/>
        </w:rPr>
        <w:t xml:space="preserve">, sobre </w:t>
      </w:r>
      <w:r w:rsidRPr="0066320E">
        <w:rPr>
          <w:i/>
          <w:lang w:val="uz-Cyrl-UZ"/>
        </w:rPr>
        <w:t>Asuntos financieros y presupuestarios</w:t>
      </w:r>
      <w:r w:rsidRPr="0066320E">
        <w:rPr>
          <w:lang w:val="uz-Cyrl-UZ"/>
        </w:rPr>
        <w:t xml:space="preserve"> incluye en el presupuesto básico de la Convención para 2019-2021 una partida presupuestaria</w:t>
      </w:r>
      <w:r w:rsidR="0066320E">
        <w:rPr>
          <w:lang w:val="uz-Cyrl-UZ"/>
        </w:rPr>
        <w:t xml:space="preserve"> </w:t>
      </w:r>
      <w:r w:rsidRPr="0066320E">
        <w:rPr>
          <w:lang w:val="uz-Cyrl-UZ"/>
        </w:rPr>
        <w:t>“Apoyo a las iniciativas regionales de Ramsar”,</w:t>
      </w:r>
      <w:r w:rsidR="0066320E">
        <w:rPr>
          <w:lang w:val="uz-Cyrl-UZ"/>
        </w:rPr>
        <w:t xml:space="preserve"> </w:t>
      </w:r>
      <w:r w:rsidRPr="0066320E">
        <w:rPr>
          <w:lang w:val="uz-Cyrl-UZ"/>
        </w:rPr>
        <w:t>para brindar apoyo para sufragar los gastos de funcionamiento durante las etapas iniciales de las IRR establecidas con menos de seis años de anterioridad;</w:t>
      </w:r>
      <w:r w:rsidRPr="0066320E">
        <w:rPr>
          <w:rFonts w:ascii="Calibri" w:hAnsi="Calibri"/>
          <w:lang w:val="uz-Cyrl-UZ"/>
        </w:rPr>
        <w:t xml:space="preserve"> </w:t>
      </w:r>
    </w:p>
    <w:p w14:paraId="4D660737" w14:textId="0BB96FEA" w:rsidR="0034426A" w:rsidRPr="0066320E" w:rsidRDefault="0034426A" w:rsidP="00C3701C">
      <w:pPr>
        <w:widowControl/>
        <w:rPr>
          <w:rFonts w:ascii="Calibri" w:hAnsi="Calibri"/>
          <w:lang w:val="uz-Cyrl-UZ"/>
        </w:rPr>
      </w:pPr>
    </w:p>
    <w:p w14:paraId="2D2E6EFB" w14:textId="0C326B56" w:rsidR="00FB6906" w:rsidRPr="0066320E" w:rsidRDefault="00F6501C" w:rsidP="00701331">
      <w:pPr>
        <w:widowControl/>
        <w:ind w:left="425" w:hanging="425"/>
        <w:rPr>
          <w:rFonts w:ascii="Calibri" w:hAnsi="Calibri"/>
          <w:lang w:val="uz-Cyrl-UZ"/>
        </w:rPr>
      </w:pPr>
      <w:r w:rsidRPr="0066320E">
        <w:rPr>
          <w:lang w:val="uz-Cyrl-UZ"/>
        </w:rPr>
        <w:t>15.</w:t>
      </w:r>
      <w:r w:rsidRPr="0066320E">
        <w:rPr>
          <w:rFonts w:ascii="Calibri" w:hAnsi="Calibri"/>
          <w:lang w:val="uz-Cyrl-UZ"/>
        </w:rPr>
        <w:tab/>
        <w:t>DECIDE que los niveles de apoyo financiero destinado a las IRR con cargo al presupuesto básico de la Convención para los años 2019, 2020 y 2021 los determine el Comité Permanente cada año, basándose en los informes anuales más recientes y los planes de trabajo actualizados de estas, que se deberán presentar en el formato y el calendario requeridos y teniendo en cuenta las recomendaciones concretas del Subgrupo de Finanzas al Comité Permanente;</w:t>
      </w:r>
    </w:p>
    <w:p w14:paraId="696457D1" w14:textId="77777777" w:rsidR="00FB6906" w:rsidRPr="0066320E" w:rsidRDefault="00FB6906" w:rsidP="00701331">
      <w:pPr>
        <w:widowControl/>
        <w:ind w:left="425" w:hanging="425"/>
        <w:rPr>
          <w:rFonts w:ascii="Calibri" w:hAnsi="Calibri"/>
          <w:lang w:val="uz-Cyrl-UZ"/>
        </w:rPr>
      </w:pPr>
    </w:p>
    <w:p w14:paraId="4989D573" w14:textId="3A546F0D" w:rsidR="00FB6906" w:rsidRPr="0066320E" w:rsidRDefault="00F6501C" w:rsidP="00701331">
      <w:pPr>
        <w:widowControl/>
        <w:ind w:left="425" w:hanging="425"/>
        <w:rPr>
          <w:rFonts w:ascii="Calibri" w:hAnsi="Calibri"/>
          <w:lang w:val="uz-Cyrl-UZ"/>
        </w:rPr>
      </w:pPr>
      <w:r w:rsidRPr="0066320E">
        <w:rPr>
          <w:lang w:val="uz-Cyrl-UZ"/>
        </w:rPr>
        <w:t>16.</w:t>
      </w:r>
      <w:r w:rsidRPr="0066320E">
        <w:rPr>
          <w:rFonts w:ascii="Calibri" w:hAnsi="Calibri"/>
          <w:lang w:val="uz-Cyrl-UZ"/>
        </w:rPr>
        <w:tab/>
      </w:r>
      <w:r w:rsidRPr="0066320E">
        <w:rPr>
          <w:lang w:val="uz-Cyrl-UZ"/>
        </w:rPr>
        <w:t>INSTA a las IRR que reciban apoyo financiero con cargo al presupuesto básico para 2019-2021 a consideren utilizar parte de dicho apoyo para tratar de encontrar financiación sostenible procedente de otras fuentes, particularmente durante los últimos años en que cumplan los requisitos para ese apoyo;</w:t>
      </w:r>
    </w:p>
    <w:p w14:paraId="47CE8587" w14:textId="1CCA0492" w:rsidR="00FB6906" w:rsidRPr="0066320E" w:rsidRDefault="00FB6906" w:rsidP="00701331">
      <w:pPr>
        <w:widowControl/>
        <w:ind w:left="425" w:hanging="425"/>
        <w:rPr>
          <w:rFonts w:ascii="Calibri" w:hAnsi="Calibri"/>
          <w:lang w:val="uz-Cyrl-UZ"/>
        </w:rPr>
      </w:pPr>
    </w:p>
    <w:p w14:paraId="0940F341" w14:textId="0D1E1E8C" w:rsidR="006E7320" w:rsidRPr="0066320E" w:rsidRDefault="00F6501C" w:rsidP="006E7320">
      <w:pPr>
        <w:widowControl/>
        <w:ind w:left="425" w:hanging="425"/>
        <w:rPr>
          <w:rFonts w:ascii="Calibri" w:hAnsi="Calibri"/>
          <w:lang w:val="uz-Cyrl-UZ"/>
        </w:rPr>
      </w:pPr>
      <w:r w:rsidRPr="0066320E">
        <w:rPr>
          <w:rFonts w:ascii="Calibri" w:hAnsi="Calibri"/>
          <w:lang w:val="uz-Cyrl-UZ"/>
        </w:rPr>
        <w:t>17.</w:t>
      </w:r>
      <w:r w:rsidRPr="0066320E">
        <w:rPr>
          <w:rFonts w:ascii="Calibri" w:hAnsi="Calibri"/>
          <w:lang w:val="uz-Cyrl-UZ"/>
        </w:rPr>
        <w:tab/>
      </w:r>
      <w:r w:rsidRPr="0066320E">
        <w:rPr>
          <w:rFonts w:ascii="Calibri" w:hAnsi="Calibri"/>
          <w:color w:val="262626"/>
          <w:lang w:val="uz-Cyrl-UZ"/>
        </w:rPr>
        <w:t xml:space="preserve">PIDE a la Secretaría que, con arreglo a su marco jurídico y mandato </w:t>
      </w:r>
      <w:r w:rsidR="009D116A" w:rsidRPr="0066320E">
        <w:rPr>
          <w:rFonts w:ascii="Calibri" w:hAnsi="Calibri"/>
          <w:color w:val="262626"/>
          <w:lang w:val="uz-Cyrl-UZ"/>
        </w:rPr>
        <w:t>vigentes</w:t>
      </w:r>
      <w:r w:rsidRPr="0066320E">
        <w:rPr>
          <w:rFonts w:ascii="Calibri" w:hAnsi="Calibri"/>
          <w:color w:val="262626"/>
          <w:lang w:val="uz-Cyrl-UZ"/>
        </w:rPr>
        <w:t>, preste asistencia, según proceda, a las Partes Contratantes en lo que concierne a la administración de loproyectos financiados con cargo a recursos complementarios, lo que incluye, entre otras cosas, la recaudación de fondos satisfactoria para las IRR; y PIDE ADEMÁS al personal de la Secretaría que se señale en el Anexo 4 de la Resolución </w:t>
      </w:r>
      <w:r w:rsidRPr="0066320E">
        <w:rPr>
          <w:rFonts w:ascii="Calibri" w:hAnsi="Calibri"/>
          <w:highlight w:val="yellow"/>
          <w:lang w:val="uz-Cyrl-UZ"/>
        </w:rPr>
        <w:t>XIII.xx</w:t>
      </w:r>
      <w:r w:rsidRPr="0066320E">
        <w:rPr>
          <w:rFonts w:ascii="Calibri" w:hAnsi="Calibri"/>
          <w:lang w:val="uz-Cyrl-UZ"/>
        </w:rPr>
        <w:t xml:space="preserve"> </w:t>
      </w:r>
      <w:r w:rsidRPr="0066320E">
        <w:rPr>
          <w:rFonts w:ascii="Calibri" w:hAnsi="Calibri"/>
          <w:color w:val="262626"/>
          <w:lang w:val="uz-Cyrl-UZ"/>
        </w:rPr>
        <w:t xml:space="preserve">como personal con cargo a los fondos del </w:t>
      </w:r>
      <w:r w:rsidRPr="0066320E">
        <w:rPr>
          <w:rFonts w:ascii="Calibri" w:hAnsi="Calibri"/>
          <w:color w:val="262626"/>
          <w:lang w:val="uz-Cyrl-UZ"/>
        </w:rPr>
        <w:lastRenderedPageBreak/>
        <w:t>presupuesto básico que no participe en administración cotidiana de los proyectos que se financien con cargo a recursos complementarios, dado que esa función sería responsabilidad del personal de la Secretaría financiado con cargo a recursos complementarios para esa finalidad específica;</w:t>
      </w:r>
    </w:p>
    <w:p w14:paraId="036506C5" w14:textId="5C582734" w:rsidR="006E7320" w:rsidRPr="0066320E" w:rsidRDefault="006E7320" w:rsidP="00C61794">
      <w:pPr>
        <w:widowControl/>
        <w:ind w:left="425" w:hanging="425"/>
        <w:rPr>
          <w:rFonts w:ascii="Calibri" w:hAnsi="Calibri"/>
          <w:lang w:val="uz-Cyrl-UZ"/>
        </w:rPr>
      </w:pPr>
    </w:p>
    <w:p w14:paraId="466D5509" w14:textId="0CDAA1CC" w:rsidR="00FB6906" w:rsidRPr="0066320E" w:rsidRDefault="00F6501C" w:rsidP="00701331">
      <w:pPr>
        <w:widowControl/>
        <w:ind w:left="425" w:hanging="425"/>
        <w:rPr>
          <w:rFonts w:ascii="Calibri" w:hAnsi="Calibri"/>
          <w:lang w:val="uz-Cyrl-UZ"/>
        </w:rPr>
      </w:pPr>
      <w:r w:rsidRPr="0066320E">
        <w:rPr>
          <w:rFonts w:ascii="Calibri" w:hAnsi="Calibri"/>
          <w:lang w:val="uz-Cyrl-UZ"/>
        </w:rPr>
        <w:t>18.</w:t>
      </w:r>
      <w:r w:rsidRPr="0066320E">
        <w:rPr>
          <w:rFonts w:ascii="Calibri" w:hAnsi="Calibri"/>
          <w:lang w:val="uz-Cyrl-UZ"/>
        </w:rPr>
        <w:tab/>
      </w:r>
      <w:r w:rsidRPr="0066320E">
        <w:rPr>
          <w:lang w:val="uz-Cyrl-UZ"/>
        </w:rPr>
        <w:t>ALIENTA a las Partes Contratantes e INVITA  a otros posibles donantes, tanto bilaterales como multilaterales, a apoyar a las IRR, independientemente de si estas también reciben financiación con cargo al presupuesto básico de la Convención, e INVITA a las Partes Contratantes pertenecientes a la región geográfica de una IRR que consideren la posibilidad de prestar ayuda financiera, según proceda;</w:t>
      </w:r>
    </w:p>
    <w:p w14:paraId="47A9C1C6" w14:textId="77777777" w:rsidR="00D33635" w:rsidRPr="0066320E" w:rsidRDefault="00D33635" w:rsidP="00C3701C">
      <w:pPr>
        <w:widowControl/>
        <w:ind w:left="425" w:hanging="425"/>
        <w:rPr>
          <w:rFonts w:ascii="Calibri" w:hAnsi="Calibri"/>
          <w:lang w:val="uz-Cyrl-UZ"/>
        </w:rPr>
      </w:pPr>
    </w:p>
    <w:p w14:paraId="603B075C" w14:textId="3A7DB4F3" w:rsidR="00D33635" w:rsidRPr="0066320E" w:rsidRDefault="00F6501C" w:rsidP="00D33635">
      <w:pPr>
        <w:widowControl/>
        <w:ind w:left="425" w:hanging="425"/>
        <w:rPr>
          <w:rFonts w:ascii="Calibri" w:hAnsi="Calibri"/>
          <w:lang w:val="uz-Cyrl-UZ"/>
        </w:rPr>
      </w:pPr>
      <w:r w:rsidRPr="0066320E">
        <w:rPr>
          <w:lang w:val="uz-Cyrl-UZ"/>
        </w:rPr>
        <w:t>19.</w:t>
      </w:r>
      <w:r w:rsidRPr="0066320E">
        <w:rPr>
          <w:rFonts w:ascii="Calibri" w:hAnsi="Calibri"/>
          <w:lang w:val="uz-Cyrl-UZ"/>
        </w:rPr>
        <w:t xml:space="preserve"> </w:t>
      </w:r>
      <w:r w:rsidRPr="0066320E">
        <w:rPr>
          <w:rFonts w:ascii="Calibri" w:hAnsi="Calibri"/>
          <w:lang w:val="uz-Cyrl-UZ"/>
        </w:rPr>
        <w:tab/>
        <w:t xml:space="preserve">RECONOCIENDO que la IRR Iniciativa para los Humedales Mediterráneos es independiente de la Convención desde el punto de vista financiero y tiene su propio presupuesto provisional para el próximo trienio, que se adjunta a la presente resolución para fines informativos en respuesta a una petición de MedWet y no constituye un precedente para las IRR (véase el Anexo 1, Cuadros 1 y 2); </w:t>
      </w:r>
    </w:p>
    <w:p w14:paraId="6B642231" w14:textId="77777777" w:rsidR="00FB6906" w:rsidRPr="0066320E" w:rsidRDefault="00FB6906" w:rsidP="00C61794">
      <w:pPr>
        <w:widowControl/>
        <w:ind w:left="425" w:hanging="425"/>
        <w:rPr>
          <w:rFonts w:ascii="Calibri" w:hAnsi="Calibri"/>
          <w:lang w:val="uz-Cyrl-UZ"/>
        </w:rPr>
      </w:pPr>
    </w:p>
    <w:p w14:paraId="7B80AF87" w14:textId="03939DB5" w:rsidR="00FB6906" w:rsidRPr="0066320E" w:rsidRDefault="00D271D3" w:rsidP="00701331">
      <w:pPr>
        <w:widowControl/>
        <w:ind w:left="425" w:hanging="425"/>
        <w:rPr>
          <w:rFonts w:ascii="Calibri" w:hAnsi="Calibri"/>
          <w:lang w:val="uz-Cyrl-UZ"/>
        </w:rPr>
      </w:pPr>
      <w:r w:rsidRPr="0066320E">
        <w:rPr>
          <w:rFonts w:ascii="Calibri" w:hAnsi="Calibri"/>
          <w:lang w:val="uz-Cyrl-UZ"/>
        </w:rPr>
        <w:t>20.</w:t>
      </w:r>
      <w:r w:rsidRPr="0066320E">
        <w:rPr>
          <w:rFonts w:ascii="Calibri" w:hAnsi="Calibri"/>
          <w:lang w:val="uz-Cyrl-UZ"/>
        </w:rPr>
        <w:tab/>
      </w:r>
      <w:r w:rsidRPr="0066320E">
        <w:rPr>
          <w:lang w:val="uz-Cyrl-UZ"/>
        </w:rPr>
        <w:t>ENCARGA a la Secretaría que publicite a las IRR escala mundial como mecanismo para brindar cooperación internacional y apoyo para la aplicación de los objetivos de la Convención con el fin de complementar los esfuerzos de las Autoridades Administrativas y los Coordinadores Nacionales de Ramsar en el plano nacional;</w:t>
      </w:r>
    </w:p>
    <w:p w14:paraId="11B1CF15" w14:textId="77777777" w:rsidR="00B87B57" w:rsidRPr="0066320E" w:rsidRDefault="00B87B57" w:rsidP="00701331">
      <w:pPr>
        <w:widowControl/>
        <w:ind w:left="425" w:hanging="425"/>
        <w:rPr>
          <w:rFonts w:ascii="Calibri" w:hAnsi="Calibri"/>
          <w:lang w:val="uz-Cyrl-UZ"/>
        </w:rPr>
      </w:pPr>
    </w:p>
    <w:p w14:paraId="6DFC2615" w14:textId="4C0833A0" w:rsidR="00FB6906" w:rsidRPr="0066320E" w:rsidRDefault="00F6501C" w:rsidP="00701331">
      <w:pPr>
        <w:widowControl/>
        <w:ind w:left="425" w:hanging="425"/>
        <w:rPr>
          <w:rFonts w:ascii="Calibri" w:hAnsi="Calibri"/>
          <w:lang w:val="uz-Cyrl-UZ"/>
        </w:rPr>
      </w:pPr>
      <w:r w:rsidRPr="0066320E">
        <w:rPr>
          <w:rFonts w:ascii="Calibri" w:hAnsi="Calibri"/>
          <w:lang w:val="uz-Cyrl-UZ"/>
        </w:rPr>
        <w:t>21.</w:t>
      </w:r>
      <w:r w:rsidRPr="0066320E">
        <w:rPr>
          <w:rFonts w:ascii="Calibri" w:hAnsi="Calibri"/>
          <w:lang w:val="uz-Cyrl-UZ"/>
        </w:rPr>
        <w:tab/>
        <w:t>PIDE a las IRR que mantengan contactos activos y periódicos con la Secretaría y ENCARGA a la Secretaría que proporcione asesoramiento a las IRR sobre la manera de reforzar su capacidad y eficacia;</w:t>
      </w:r>
    </w:p>
    <w:p w14:paraId="7D4DDA94" w14:textId="77777777" w:rsidR="00FB6906" w:rsidRPr="0066320E" w:rsidRDefault="00FB6906" w:rsidP="00701331">
      <w:pPr>
        <w:widowControl/>
        <w:ind w:left="425" w:hanging="425"/>
        <w:rPr>
          <w:rFonts w:ascii="Calibri" w:hAnsi="Calibri"/>
          <w:lang w:val="uz-Cyrl-UZ"/>
        </w:rPr>
      </w:pPr>
    </w:p>
    <w:p w14:paraId="2EC74FC9" w14:textId="71B16800" w:rsidR="00FB6906" w:rsidRPr="0066320E" w:rsidRDefault="00F6501C" w:rsidP="00701331">
      <w:pPr>
        <w:widowControl/>
        <w:ind w:left="425" w:hanging="425"/>
        <w:rPr>
          <w:rFonts w:ascii="Calibri" w:hAnsi="Calibri"/>
          <w:lang w:val="uz-Cyrl-UZ"/>
        </w:rPr>
      </w:pPr>
      <w:r w:rsidRPr="0066320E">
        <w:rPr>
          <w:rFonts w:ascii="Calibri" w:hAnsi="Calibri"/>
          <w:lang w:val="uz-Cyrl-UZ"/>
        </w:rPr>
        <w:t>22.</w:t>
      </w:r>
      <w:r w:rsidRPr="0066320E">
        <w:rPr>
          <w:rFonts w:ascii="Calibri" w:hAnsi="Calibri"/>
          <w:lang w:val="uz-Cyrl-UZ"/>
        </w:rPr>
        <w:tab/>
      </w:r>
      <w:r w:rsidRPr="0066320E">
        <w:rPr>
          <w:lang w:val="uz-Cyrl-UZ"/>
        </w:rPr>
        <w:t>PIDE a la Secretaría que continúe publicando en el sitio web de la Convención la información facilitada por las IRR, incluidos los informes sobre sus éxitos y planes de trabajo;</w:t>
      </w:r>
    </w:p>
    <w:p w14:paraId="2F4C9AC7" w14:textId="77777777" w:rsidR="00FB6906" w:rsidRPr="0066320E" w:rsidRDefault="00FB6906" w:rsidP="00701331">
      <w:pPr>
        <w:widowControl/>
        <w:ind w:left="425" w:hanging="425"/>
        <w:rPr>
          <w:rFonts w:ascii="Calibri" w:hAnsi="Calibri"/>
          <w:lang w:val="uz-Cyrl-UZ"/>
        </w:rPr>
      </w:pPr>
    </w:p>
    <w:p w14:paraId="28DA8615" w14:textId="69287DB4" w:rsidR="00FB6906" w:rsidRPr="0066320E" w:rsidRDefault="00F6501C" w:rsidP="00701331">
      <w:pPr>
        <w:widowControl/>
        <w:ind w:left="425" w:hanging="425"/>
        <w:rPr>
          <w:rFonts w:ascii="Calibri" w:hAnsi="Calibri"/>
          <w:lang w:val="uz-Cyrl-UZ"/>
        </w:rPr>
      </w:pPr>
      <w:r w:rsidRPr="0066320E">
        <w:rPr>
          <w:rFonts w:ascii="Calibri" w:hAnsi="Calibri"/>
          <w:lang w:val="uz-Cyrl-UZ"/>
        </w:rPr>
        <w:t>23.</w:t>
      </w:r>
      <w:r w:rsidRPr="0066320E">
        <w:rPr>
          <w:rFonts w:ascii="Calibri" w:hAnsi="Calibri"/>
          <w:lang w:val="uz-Cyrl-UZ"/>
        </w:rPr>
        <w:tab/>
      </w:r>
      <w:r w:rsidRPr="0066320E">
        <w:rPr>
          <w:lang w:val="uz-Cyrl-UZ"/>
        </w:rPr>
        <w:t>ALIENTA a las Partes Contratantes, según proceda, a invitar a las organizaciones intergubernamentales, internacionales y no gubernamentales regionales, y a las organizaciones de los pueblos indígenas y las comunidades locales, como así a invitar a organismos de cuencas fluviales o aguas subterráneas transfronterizas, a participar en las IRR o a colaborar con ellas;</w:t>
      </w:r>
    </w:p>
    <w:p w14:paraId="03A792E2" w14:textId="4EBA9F06" w:rsidR="00315D83" w:rsidRPr="0066320E" w:rsidRDefault="00315D83" w:rsidP="00701331">
      <w:pPr>
        <w:widowControl/>
        <w:ind w:left="425" w:hanging="425"/>
        <w:rPr>
          <w:rFonts w:ascii="Calibri" w:hAnsi="Calibri"/>
          <w:lang w:val="uz-Cyrl-UZ"/>
        </w:rPr>
      </w:pPr>
    </w:p>
    <w:p w14:paraId="6873887D" w14:textId="516B558E" w:rsidR="00315D83" w:rsidRPr="0066320E" w:rsidRDefault="00F6501C" w:rsidP="00701331">
      <w:pPr>
        <w:widowControl/>
        <w:ind w:left="425" w:hanging="425"/>
        <w:rPr>
          <w:rFonts w:ascii="Calibri" w:hAnsi="Calibri"/>
          <w:lang w:val="uz-Cyrl-UZ"/>
        </w:rPr>
      </w:pPr>
      <w:r w:rsidRPr="0066320E">
        <w:rPr>
          <w:lang w:val="uz-Cyrl-UZ"/>
        </w:rPr>
        <w:t>24.</w:t>
      </w:r>
      <w:r w:rsidRPr="0066320E">
        <w:rPr>
          <w:rFonts w:ascii="Calibri" w:hAnsi="Calibri"/>
          <w:lang w:val="uz-Cyrl-UZ"/>
        </w:rPr>
        <w:t xml:space="preserve"> </w:t>
      </w:r>
      <w:r w:rsidRPr="0066320E">
        <w:rPr>
          <w:rFonts w:ascii="Calibri" w:hAnsi="Calibri"/>
          <w:lang w:val="uz-Cyrl-UZ"/>
        </w:rPr>
        <w:tab/>
        <w:t>ALIENTA a las Partes Contratantes interesadas a que inviten a los Coordinadores Nacionales designados por las Partes para las cuestiones científicas y técnicas (para el GECT) y para el programa de programa de comunicación, creación de capacidad, educación, concienciación y participación (CECoP) de la Convención, a que participen activamente en la organización, la labor y los proyectos de las IRR, cuando proceda;</w:t>
      </w:r>
    </w:p>
    <w:p w14:paraId="676B20E2" w14:textId="13D96009" w:rsidR="00315D83" w:rsidRPr="0066320E" w:rsidRDefault="00315D83" w:rsidP="00701331">
      <w:pPr>
        <w:widowControl/>
        <w:ind w:left="425" w:hanging="425"/>
        <w:rPr>
          <w:rFonts w:ascii="Calibri" w:hAnsi="Calibri"/>
          <w:lang w:val="uz-Cyrl-UZ"/>
        </w:rPr>
      </w:pPr>
    </w:p>
    <w:p w14:paraId="1545FC42" w14:textId="50C90C16" w:rsidR="00315D83" w:rsidRPr="0066320E" w:rsidRDefault="00315D83" w:rsidP="00701331">
      <w:pPr>
        <w:widowControl/>
        <w:ind w:left="425" w:hanging="425"/>
        <w:rPr>
          <w:rFonts w:ascii="Calibri" w:hAnsi="Calibri"/>
          <w:lang w:val="uz-Cyrl-UZ"/>
        </w:rPr>
      </w:pPr>
      <w:r w:rsidRPr="0066320E">
        <w:rPr>
          <w:rFonts w:ascii="Calibri" w:hAnsi="Calibri"/>
          <w:lang w:val="uz-Cyrl-UZ"/>
        </w:rPr>
        <w:t xml:space="preserve">25. </w:t>
      </w:r>
      <w:r w:rsidRPr="0066320E">
        <w:rPr>
          <w:rFonts w:ascii="Calibri" w:hAnsi="Calibri"/>
          <w:lang w:val="uz-Cyrl-UZ"/>
        </w:rPr>
        <w:tab/>
        <w:t>ALIENTA a las Partes Contratantes interesadas a que tomen las medidas necesarias para lograr la sostenibilidad financiera de las IRR, preferentemente recurriendo a una variedad de fuentes, así como para establecer mecanismos y procedimientos para garantizar su sostenibilidad más allá de los plazos de proyectos específicos, y a que procuren que las IRR dependan de un único donante principal, aumentando de ese modo las posibilidades de estabilidad financiera de la IRR;</w:t>
      </w:r>
    </w:p>
    <w:p w14:paraId="048245A1" w14:textId="14B5E62A" w:rsidR="00516990" w:rsidRPr="0066320E" w:rsidRDefault="00516990" w:rsidP="00701331">
      <w:pPr>
        <w:widowControl/>
        <w:ind w:left="425" w:hanging="425"/>
        <w:rPr>
          <w:rFonts w:ascii="Calibri" w:hAnsi="Calibri"/>
          <w:lang w:val="uz-Cyrl-UZ"/>
        </w:rPr>
      </w:pPr>
    </w:p>
    <w:p w14:paraId="214BA756" w14:textId="4F852AE8" w:rsidR="00516990" w:rsidRPr="0066320E" w:rsidRDefault="00516990" w:rsidP="00701331">
      <w:pPr>
        <w:widowControl/>
        <w:ind w:left="425" w:hanging="425"/>
        <w:rPr>
          <w:rFonts w:ascii="Calibri" w:hAnsi="Calibri"/>
          <w:lang w:val="uz-Cyrl-UZ"/>
        </w:rPr>
      </w:pPr>
      <w:r w:rsidRPr="0066320E">
        <w:rPr>
          <w:rFonts w:ascii="Calibri" w:hAnsi="Calibri"/>
          <w:lang w:val="uz-Cyrl-UZ"/>
        </w:rPr>
        <w:t xml:space="preserve">26. </w:t>
      </w:r>
      <w:r w:rsidRPr="0066320E">
        <w:rPr>
          <w:rFonts w:ascii="Calibri" w:hAnsi="Calibri"/>
          <w:lang w:val="uz-Cyrl-UZ"/>
        </w:rPr>
        <w:tab/>
        <w:t>ALIENTA a las Partes Contratantes interesadas a que identifiquen donantes que estén dispuestos a proporcionar apoyo adicional a la IRR, especialmente mediante proyectos y programas de cooperación específicos;</w:t>
      </w:r>
    </w:p>
    <w:p w14:paraId="0EF778CC" w14:textId="46E1ED52" w:rsidR="00EE46C3" w:rsidRPr="0066320E" w:rsidRDefault="00EE46C3" w:rsidP="00701331">
      <w:pPr>
        <w:widowControl/>
        <w:ind w:left="425" w:hanging="425"/>
        <w:rPr>
          <w:rFonts w:ascii="Calibri" w:hAnsi="Calibri"/>
          <w:lang w:val="uz-Cyrl-UZ"/>
        </w:rPr>
      </w:pPr>
    </w:p>
    <w:p w14:paraId="747022AF" w14:textId="25D72F1A" w:rsidR="00EE46C3" w:rsidRPr="0066320E" w:rsidRDefault="00EE46C3" w:rsidP="00EE46C3">
      <w:pPr>
        <w:widowControl/>
        <w:ind w:left="425" w:hanging="425"/>
        <w:rPr>
          <w:rFonts w:ascii="Calibri" w:hAnsi="Calibri"/>
          <w:lang w:val="uz-Cyrl-UZ"/>
        </w:rPr>
      </w:pPr>
      <w:r w:rsidRPr="0066320E">
        <w:rPr>
          <w:rFonts w:ascii="Calibri" w:hAnsi="Calibri"/>
          <w:lang w:val="uz-Cyrl-UZ"/>
        </w:rPr>
        <w:lastRenderedPageBreak/>
        <w:t>27.</w:t>
      </w:r>
      <w:r w:rsidRPr="0066320E">
        <w:rPr>
          <w:rFonts w:ascii="Calibri" w:hAnsi="Calibri"/>
          <w:lang w:val="uz-Cyrl-UZ"/>
        </w:rPr>
        <w:tab/>
        <w:t xml:space="preserve">INVITA a las Organizaciones Internacionales Asociadas (OIA) a la Convención a que se asocien con las IRR y apoyen sus actividades, en especial por medio de actividades destinadas a la creación de capacidad y la recaudación de fondos; </w:t>
      </w:r>
    </w:p>
    <w:p w14:paraId="62569989" w14:textId="72A46DC9" w:rsidR="00FB6906" w:rsidRPr="0066320E" w:rsidRDefault="00FB6906" w:rsidP="0016154F">
      <w:pPr>
        <w:widowControl/>
        <w:tabs>
          <w:tab w:val="left" w:pos="2295"/>
        </w:tabs>
        <w:rPr>
          <w:rFonts w:ascii="Calibri" w:hAnsi="Calibri"/>
          <w:lang w:val="uz-Cyrl-UZ"/>
        </w:rPr>
      </w:pPr>
    </w:p>
    <w:p w14:paraId="2F4D08AB" w14:textId="1DBE0965" w:rsidR="00FB6906" w:rsidRPr="0066320E" w:rsidRDefault="00F6501C" w:rsidP="00701331">
      <w:pPr>
        <w:widowControl/>
        <w:ind w:left="425" w:hanging="425"/>
        <w:rPr>
          <w:rFonts w:ascii="Calibri" w:hAnsi="Calibri"/>
          <w:lang w:val="uz-Cyrl-UZ"/>
        </w:rPr>
      </w:pPr>
      <w:r w:rsidRPr="0066320E">
        <w:rPr>
          <w:rFonts w:ascii="Calibri" w:hAnsi="Calibri"/>
          <w:lang w:val="uz-Cyrl-UZ"/>
        </w:rPr>
        <w:t>28.</w:t>
      </w:r>
      <w:r w:rsidRPr="0066320E">
        <w:rPr>
          <w:rFonts w:ascii="Calibri" w:hAnsi="Calibri"/>
          <w:lang w:val="uz-Cyrl-UZ"/>
        </w:rPr>
        <w:tab/>
      </w:r>
      <w:r w:rsidRPr="0066320E">
        <w:rPr>
          <w:lang w:val="uz-Cyrl-UZ"/>
        </w:rPr>
        <w:t>ENCARGA a la Secretaría que prepare una evaluación resumida del funcionamiento y los éxitos de las IRR que ejerzan su actividad durante el período 2019-2021 para su examen por el Comité Permanente y su presentación a la COP14;</w:t>
      </w:r>
    </w:p>
    <w:p w14:paraId="7D346535" w14:textId="77777777" w:rsidR="008766A7" w:rsidRPr="0066320E" w:rsidRDefault="008766A7" w:rsidP="00701331">
      <w:pPr>
        <w:widowControl/>
        <w:ind w:left="425" w:hanging="425"/>
        <w:rPr>
          <w:rFonts w:ascii="Calibri" w:hAnsi="Calibri"/>
          <w:lang w:val="uz-Cyrl-UZ"/>
        </w:rPr>
      </w:pPr>
    </w:p>
    <w:p w14:paraId="7854D83F" w14:textId="13D3C4B3" w:rsidR="008766A7" w:rsidRPr="0066320E" w:rsidRDefault="000B7EB0" w:rsidP="00C61794">
      <w:pPr>
        <w:widowControl/>
        <w:ind w:left="425" w:hanging="425"/>
        <w:rPr>
          <w:rFonts w:ascii="Calibri" w:hAnsi="Calibri"/>
          <w:lang w:val="uz-Cyrl-UZ"/>
        </w:rPr>
      </w:pPr>
      <w:r w:rsidRPr="0066320E">
        <w:rPr>
          <w:rFonts w:ascii="Calibri" w:hAnsi="Calibri"/>
          <w:lang w:val="uz-Cyrl-UZ"/>
        </w:rPr>
        <w:t>29.</w:t>
      </w:r>
      <w:r w:rsidRPr="0066320E">
        <w:rPr>
          <w:rFonts w:ascii="Calibri" w:hAnsi="Calibri"/>
          <w:lang w:val="uz-Cyrl-UZ"/>
        </w:rPr>
        <w:tab/>
        <w:t xml:space="preserve">DECIDE que las resoluciones y decisiones anteriores relativas a las IRR </w:t>
      </w:r>
      <w:r w:rsidRPr="00D81947">
        <w:rPr>
          <w:rFonts w:ascii="Calibri" w:hAnsi="Calibri"/>
          <w:lang w:val="uz-Cyrl-UZ"/>
        </w:rPr>
        <w:t>dejan de ser válidas en tanto no guarden conformidad con la presente resolución.</w:t>
      </w:r>
    </w:p>
    <w:p w14:paraId="169F39A2" w14:textId="77777777" w:rsidR="008766A7" w:rsidRPr="0066320E" w:rsidRDefault="008766A7" w:rsidP="00701331">
      <w:pPr>
        <w:widowControl/>
        <w:ind w:left="425" w:hanging="425"/>
        <w:rPr>
          <w:rFonts w:ascii="Calibri" w:hAnsi="Calibri"/>
          <w:lang w:val="uz-Cyrl-UZ"/>
        </w:rPr>
      </w:pPr>
    </w:p>
    <w:p w14:paraId="37AECD28" w14:textId="104B6E16" w:rsidR="00363E39" w:rsidRPr="0066320E" w:rsidRDefault="00CF5060" w:rsidP="00363E39">
      <w:pPr>
        <w:widowControl/>
        <w:ind w:left="425" w:hanging="425"/>
        <w:rPr>
          <w:rFonts w:ascii="Calibri" w:hAnsi="Calibri"/>
          <w:lang w:val="uz-Cyrl-UZ"/>
        </w:rPr>
      </w:pPr>
      <w:r w:rsidRPr="0066320E">
        <w:rPr>
          <w:rFonts w:ascii="Calibri" w:hAnsi="Calibri"/>
          <w:lang w:val="uz-Cyrl-UZ"/>
        </w:rPr>
        <w:t>30.</w:t>
      </w:r>
      <w:r w:rsidRPr="0066320E">
        <w:rPr>
          <w:rFonts w:ascii="Calibri" w:hAnsi="Calibri"/>
          <w:lang w:val="uz-Cyrl-UZ"/>
        </w:rPr>
        <w:tab/>
        <w:t xml:space="preserve">ENCARGA al asesor jurídico de la Secretaría que examine las resoluciones y decisiones en vigor pertinentes a fin de determinan cuáles no guardan conformidad con la presente resolución y las decisiones pertinentes, y que proponga cuáles deberían ser suprimidas o derogadas, y DECIDE ADEMÁS que los resultados del examen se podrán </w:t>
      </w:r>
      <w:r w:rsidR="00D81947">
        <w:rPr>
          <w:rFonts w:ascii="Calibri" w:hAnsi="Calibri"/>
          <w:lang w:val="uz-Cyrl-UZ"/>
        </w:rPr>
        <w:t>comunicar</w:t>
      </w:r>
      <w:r w:rsidRPr="0066320E">
        <w:rPr>
          <w:rFonts w:ascii="Calibri" w:hAnsi="Calibri"/>
          <w:lang w:val="uz-Cyrl-UZ"/>
        </w:rPr>
        <w:t xml:space="preserve"> al Grupo de trabajo sobre las IRR, con miras a su consolidación y presentación a la reunión SC58 para su aprobación, y a su inclusión en un </w:t>
      </w:r>
      <w:r w:rsidRPr="00D81947">
        <w:rPr>
          <w:rFonts w:ascii="Calibri" w:hAnsi="Calibri"/>
          <w:lang w:val="uz-Cyrl-UZ"/>
        </w:rPr>
        <w:t>nuevo proyecto de resolución sobre las IRR que podrá</w:t>
      </w:r>
      <w:r w:rsidRPr="0066320E">
        <w:rPr>
          <w:rFonts w:ascii="Calibri" w:hAnsi="Calibri"/>
          <w:lang w:val="uz-Cyrl-UZ"/>
        </w:rPr>
        <w:t xml:space="preserve"> ser suprimido posteriormente, entre otras, </w:t>
      </w:r>
    </w:p>
    <w:p w14:paraId="2763258A" w14:textId="23AD0F85" w:rsidR="00701331" w:rsidRPr="0066320E" w:rsidRDefault="00535964" w:rsidP="00701331">
      <w:pPr>
        <w:pStyle w:val="BodyText"/>
        <w:widowControl/>
        <w:numPr>
          <w:ilvl w:val="1"/>
          <w:numId w:val="14"/>
        </w:numPr>
        <w:ind w:left="850" w:hanging="425"/>
        <w:rPr>
          <w:lang w:val="uz-Cyrl-UZ"/>
        </w:rPr>
      </w:pPr>
      <w:r w:rsidRPr="0066320E">
        <w:rPr>
          <w:lang w:val="uz-Cyrl-UZ"/>
        </w:rPr>
        <w:t>Resolución VIII.30 (2003-2005),</w:t>
      </w:r>
      <w:bookmarkStart w:id="1" w:name="_bookmark0"/>
      <w:bookmarkEnd w:id="1"/>
    </w:p>
    <w:p w14:paraId="344D27FC" w14:textId="21A3E09F" w:rsidR="00FB6906" w:rsidRPr="0066320E" w:rsidRDefault="00535964" w:rsidP="00701331">
      <w:pPr>
        <w:pStyle w:val="BodyText"/>
        <w:widowControl/>
        <w:numPr>
          <w:ilvl w:val="1"/>
          <w:numId w:val="14"/>
        </w:numPr>
        <w:ind w:left="850" w:hanging="425"/>
        <w:rPr>
          <w:lang w:val="uz-Cyrl-UZ"/>
        </w:rPr>
      </w:pPr>
      <w:r w:rsidRPr="0066320E">
        <w:rPr>
          <w:lang w:val="uz-Cyrl-UZ"/>
        </w:rPr>
        <w:t>Resolución IX.7 (2006-2008),</w:t>
      </w:r>
    </w:p>
    <w:p w14:paraId="26ED0429" w14:textId="4703D246" w:rsidR="00701331" w:rsidRPr="0066320E" w:rsidRDefault="00535964" w:rsidP="00701331">
      <w:pPr>
        <w:pStyle w:val="BodyText"/>
        <w:widowControl/>
        <w:numPr>
          <w:ilvl w:val="1"/>
          <w:numId w:val="14"/>
        </w:numPr>
        <w:ind w:left="850" w:hanging="425"/>
        <w:rPr>
          <w:lang w:val="uz-Cyrl-UZ"/>
        </w:rPr>
      </w:pPr>
      <w:r w:rsidRPr="0066320E">
        <w:rPr>
          <w:lang w:val="uz-Cyrl-UZ"/>
        </w:rPr>
        <w:t>Resolución X.6 (2009-2012),</w:t>
      </w:r>
    </w:p>
    <w:p w14:paraId="5A22CCFE" w14:textId="78A6B1E6" w:rsidR="00ED418E" w:rsidRPr="0066320E" w:rsidRDefault="00ED418E" w:rsidP="00701331">
      <w:pPr>
        <w:pStyle w:val="BodyText"/>
        <w:widowControl/>
        <w:numPr>
          <w:ilvl w:val="1"/>
          <w:numId w:val="14"/>
        </w:numPr>
        <w:ind w:left="850" w:hanging="425"/>
        <w:rPr>
          <w:lang w:val="uz-Cyrl-UZ"/>
        </w:rPr>
      </w:pPr>
      <w:r w:rsidRPr="0066320E">
        <w:rPr>
          <w:lang w:val="uz-Cyrl-UZ"/>
        </w:rPr>
        <w:t>Resolución XI.5 (2013-2015), y</w:t>
      </w:r>
    </w:p>
    <w:p w14:paraId="699B0AE3" w14:textId="38CB0D25" w:rsidR="00ED418E" w:rsidRPr="0066320E" w:rsidRDefault="00ED418E" w:rsidP="00C61794">
      <w:pPr>
        <w:pStyle w:val="BodyText"/>
        <w:widowControl/>
        <w:numPr>
          <w:ilvl w:val="1"/>
          <w:numId w:val="14"/>
        </w:numPr>
        <w:ind w:left="850" w:hanging="425"/>
        <w:rPr>
          <w:lang w:val="uz-Cyrl-UZ"/>
        </w:rPr>
      </w:pPr>
      <w:r w:rsidRPr="0066320E">
        <w:rPr>
          <w:lang w:val="uz-Cyrl-UZ"/>
        </w:rPr>
        <w:t>Resolución XII.8 (2016-2018).</w:t>
      </w:r>
    </w:p>
    <w:p w14:paraId="32BB0110" w14:textId="5FDB958A" w:rsidR="00ED418E" w:rsidRPr="0066320E" w:rsidRDefault="00ED418E" w:rsidP="00C61794">
      <w:pPr>
        <w:pStyle w:val="BodyText"/>
        <w:widowControl/>
        <w:ind w:left="119" w:firstLine="0"/>
        <w:rPr>
          <w:lang w:val="uz-Cyrl-UZ"/>
        </w:rPr>
      </w:pPr>
    </w:p>
    <w:p w14:paraId="2C222AA4" w14:textId="77777777" w:rsidR="009A3838" w:rsidRPr="0066320E" w:rsidRDefault="009A3838" w:rsidP="00C61794">
      <w:pPr>
        <w:rPr>
          <w:rFonts w:ascii="Calibri" w:hAnsi="Calibri"/>
          <w:b/>
          <w:lang w:val="uz-Cyrl-UZ"/>
        </w:rPr>
      </w:pPr>
      <w:bookmarkStart w:id="2" w:name="_Hlk528138363"/>
      <w:r w:rsidRPr="0066320E">
        <w:rPr>
          <w:lang w:val="uz-Cyrl-UZ"/>
        </w:rPr>
        <w:br w:type="page"/>
      </w:r>
    </w:p>
    <w:p w14:paraId="74F5F96E" w14:textId="23C9D72B" w:rsidR="00273AB5" w:rsidRPr="0066320E" w:rsidRDefault="00273AB5" w:rsidP="00C3701C">
      <w:pPr>
        <w:pStyle w:val="BodyText"/>
        <w:widowControl/>
        <w:ind w:left="0" w:firstLine="0"/>
        <w:rPr>
          <w:b/>
          <w:lang w:val="uz-Cyrl-UZ"/>
        </w:rPr>
      </w:pPr>
      <w:r w:rsidRPr="0066320E">
        <w:rPr>
          <w:b/>
          <w:lang w:val="uz-Cyrl-UZ"/>
        </w:rPr>
        <w:lastRenderedPageBreak/>
        <w:t>Anexo 1 – Presupuesto para el trienio 2019-2021, para MedWet</w:t>
      </w:r>
    </w:p>
    <w:bookmarkEnd w:id="2"/>
    <w:p w14:paraId="1B6EEF4B" w14:textId="77777777" w:rsidR="00273AB5" w:rsidRPr="0066320E" w:rsidRDefault="00273AB5" w:rsidP="00C3701C">
      <w:pPr>
        <w:contextualSpacing/>
        <w:rPr>
          <w:rFonts w:ascii="Calibri" w:hAnsi="Calibri"/>
          <w:lang w:val="uz-Cyrl-UZ"/>
        </w:rPr>
      </w:pPr>
    </w:p>
    <w:p w14:paraId="09DECD51" w14:textId="4DBF3A11" w:rsidR="00273AB5" w:rsidRPr="0066320E" w:rsidRDefault="001C1837" w:rsidP="00273AB5">
      <w:pPr>
        <w:pStyle w:val="p1"/>
        <w:rPr>
          <w:rFonts w:ascii="Calibri" w:hAnsi="Calibri"/>
          <w:b/>
          <w:sz w:val="22"/>
          <w:lang w:val="uz-Cyrl-UZ"/>
        </w:rPr>
      </w:pPr>
      <w:r w:rsidRPr="0066320E">
        <w:rPr>
          <w:rFonts w:ascii="Calibri" w:hAnsi="Calibri"/>
          <w:b/>
          <w:sz w:val="22"/>
          <w:lang w:val="uz-Cyrl-UZ"/>
        </w:rPr>
        <w:t>Cuadro 1. Presupuesto para el funcionamiento de la Iniciativa MedWet para 2019-2021</w:t>
      </w:r>
    </w:p>
    <w:p w14:paraId="43775153" w14:textId="77777777" w:rsidR="00273AB5" w:rsidRPr="0066320E" w:rsidRDefault="00273AB5" w:rsidP="00273AB5">
      <w:pPr>
        <w:pStyle w:val="p1"/>
        <w:rPr>
          <w:rFonts w:ascii="Calibri" w:hAnsi="Calibri"/>
          <w:b/>
          <w:sz w:val="22"/>
          <w:lang w:val="uz-Cyrl-UZ"/>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2"/>
        <w:gridCol w:w="1417"/>
        <w:gridCol w:w="1417"/>
        <w:gridCol w:w="1417"/>
      </w:tblGrid>
      <w:tr w:rsidR="00C61794" w:rsidRPr="0066320E" w14:paraId="47178915" w14:textId="77777777" w:rsidTr="00FE452C">
        <w:trPr>
          <w:trHeight w:val="480"/>
        </w:trPr>
        <w:tc>
          <w:tcPr>
            <w:tcW w:w="4762" w:type="dxa"/>
            <w:shd w:val="clear" w:color="auto" w:fill="EAF1DD" w:themeFill="accent3" w:themeFillTint="33"/>
            <w:vAlign w:val="center"/>
            <w:hideMark/>
          </w:tcPr>
          <w:p w14:paraId="5377C022" w14:textId="77777777" w:rsidR="00273AB5" w:rsidRPr="0066320E" w:rsidRDefault="00273AB5" w:rsidP="008A3440">
            <w:pPr>
              <w:rPr>
                <w:rFonts w:ascii="Calibri" w:hAnsi="Calibri"/>
                <w:b/>
                <w:color w:val="000000"/>
                <w:lang w:val="uz-Cyrl-UZ"/>
              </w:rPr>
            </w:pPr>
            <w:bookmarkStart w:id="3" w:name="OLE_LINK1"/>
            <w:r w:rsidRPr="0066320E">
              <w:rPr>
                <w:rFonts w:ascii="Calibri" w:hAnsi="Calibri"/>
                <w:b/>
                <w:color w:val="000000"/>
                <w:lang w:val="uz-Cyrl-UZ"/>
              </w:rPr>
              <w:t>PARTIDA PRESUPUESTARIA</w:t>
            </w:r>
          </w:p>
        </w:tc>
        <w:tc>
          <w:tcPr>
            <w:tcW w:w="1417" w:type="dxa"/>
            <w:shd w:val="clear" w:color="auto" w:fill="EAF1DD" w:themeFill="accent3" w:themeFillTint="33"/>
            <w:vAlign w:val="center"/>
            <w:hideMark/>
          </w:tcPr>
          <w:p w14:paraId="3412B02B" w14:textId="77777777" w:rsidR="00273AB5" w:rsidRPr="0066320E" w:rsidRDefault="00273AB5" w:rsidP="008A3440">
            <w:pPr>
              <w:jc w:val="center"/>
              <w:rPr>
                <w:rFonts w:ascii="Calibri" w:hAnsi="Calibri"/>
                <w:b/>
                <w:color w:val="000000"/>
                <w:lang w:val="uz-Cyrl-UZ"/>
              </w:rPr>
            </w:pPr>
            <w:r w:rsidRPr="0066320E">
              <w:rPr>
                <w:rFonts w:ascii="Calibri" w:hAnsi="Calibri"/>
                <w:b/>
                <w:color w:val="000000"/>
                <w:lang w:val="uz-Cyrl-UZ"/>
              </w:rPr>
              <w:t>2019</w:t>
            </w:r>
          </w:p>
        </w:tc>
        <w:tc>
          <w:tcPr>
            <w:tcW w:w="1417" w:type="dxa"/>
            <w:shd w:val="clear" w:color="auto" w:fill="EAF1DD" w:themeFill="accent3" w:themeFillTint="33"/>
            <w:vAlign w:val="center"/>
            <w:hideMark/>
          </w:tcPr>
          <w:p w14:paraId="4BFD36F7" w14:textId="77777777" w:rsidR="00273AB5" w:rsidRPr="0066320E" w:rsidRDefault="00273AB5" w:rsidP="008A3440">
            <w:pPr>
              <w:jc w:val="center"/>
              <w:rPr>
                <w:rFonts w:ascii="Calibri" w:hAnsi="Calibri"/>
                <w:b/>
                <w:color w:val="000000"/>
                <w:lang w:val="uz-Cyrl-UZ"/>
              </w:rPr>
            </w:pPr>
            <w:r w:rsidRPr="0066320E">
              <w:rPr>
                <w:rFonts w:ascii="Calibri" w:hAnsi="Calibri"/>
                <w:b/>
                <w:color w:val="000000"/>
                <w:lang w:val="uz-Cyrl-UZ"/>
              </w:rPr>
              <w:t>2020</w:t>
            </w:r>
          </w:p>
        </w:tc>
        <w:tc>
          <w:tcPr>
            <w:tcW w:w="1417" w:type="dxa"/>
            <w:shd w:val="clear" w:color="auto" w:fill="EAF1DD" w:themeFill="accent3" w:themeFillTint="33"/>
            <w:vAlign w:val="center"/>
            <w:hideMark/>
          </w:tcPr>
          <w:p w14:paraId="4C32774C" w14:textId="77777777" w:rsidR="00273AB5" w:rsidRPr="0066320E" w:rsidRDefault="00273AB5" w:rsidP="008A3440">
            <w:pPr>
              <w:jc w:val="center"/>
              <w:rPr>
                <w:rFonts w:ascii="Calibri" w:hAnsi="Calibri"/>
                <w:b/>
                <w:color w:val="000000"/>
                <w:lang w:val="uz-Cyrl-UZ"/>
              </w:rPr>
            </w:pPr>
            <w:r w:rsidRPr="0066320E">
              <w:rPr>
                <w:rFonts w:ascii="Calibri" w:hAnsi="Calibri"/>
                <w:b/>
                <w:color w:val="000000"/>
                <w:lang w:val="uz-Cyrl-UZ"/>
              </w:rPr>
              <w:t>2021</w:t>
            </w:r>
          </w:p>
        </w:tc>
      </w:tr>
      <w:tr w:rsidR="00C61794" w:rsidRPr="0066320E" w14:paraId="32A95A97" w14:textId="77777777" w:rsidTr="00C61794">
        <w:trPr>
          <w:trHeight w:val="300"/>
        </w:trPr>
        <w:tc>
          <w:tcPr>
            <w:tcW w:w="4762" w:type="dxa"/>
            <w:shd w:val="clear" w:color="auto" w:fill="auto"/>
            <w:vAlign w:val="center"/>
          </w:tcPr>
          <w:p w14:paraId="6CF2C8BD" w14:textId="77777777" w:rsidR="00273AB5" w:rsidRPr="0066320E" w:rsidRDefault="00273AB5" w:rsidP="008A3440">
            <w:pPr>
              <w:rPr>
                <w:rFonts w:ascii="Calibri" w:hAnsi="Calibri"/>
                <w:b/>
                <w:color w:val="000000" w:themeColor="text1"/>
                <w:lang w:val="uz-Cyrl-UZ"/>
              </w:rPr>
            </w:pPr>
          </w:p>
        </w:tc>
        <w:tc>
          <w:tcPr>
            <w:tcW w:w="1417" w:type="dxa"/>
            <w:shd w:val="clear" w:color="auto" w:fill="auto"/>
            <w:vAlign w:val="center"/>
          </w:tcPr>
          <w:p w14:paraId="390BD9E5" w14:textId="77777777" w:rsidR="00273AB5" w:rsidRPr="0066320E" w:rsidRDefault="00273AB5" w:rsidP="008A3440">
            <w:pPr>
              <w:rPr>
                <w:rFonts w:ascii="Calibri" w:hAnsi="Calibri"/>
                <w:b/>
                <w:color w:val="000000" w:themeColor="text1"/>
                <w:lang w:val="uz-Cyrl-UZ"/>
              </w:rPr>
            </w:pPr>
          </w:p>
        </w:tc>
        <w:tc>
          <w:tcPr>
            <w:tcW w:w="1417" w:type="dxa"/>
            <w:shd w:val="clear" w:color="auto" w:fill="auto"/>
            <w:vAlign w:val="center"/>
          </w:tcPr>
          <w:p w14:paraId="16B2FAF0" w14:textId="77777777" w:rsidR="00273AB5" w:rsidRPr="0066320E" w:rsidRDefault="00273AB5" w:rsidP="008A3440">
            <w:pPr>
              <w:rPr>
                <w:rFonts w:ascii="Calibri" w:hAnsi="Calibri"/>
                <w:b/>
                <w:color w:val="000000" w:themeColor="text1"/>
                <w:lang w:val="uz-Cyrl-UZ"/>
              </w:rPr>
            </w:pPr>
          </w:p>
        </w:tc>
        <w:tc>
          <w:tcPr>
            <w:tcW w:w="1417" w:type="dxa"/>
            <w:shd w:val="clear" w:color="auto" w:fill="auto"/>
            <w:vAlign w:val="center"/>
          </w:tcPr>
          <w:p w14:paraId="6B518D5F" w14:textId="77777777" w:rsidR="00273AB5" w:rsidRPr="0066320E" w:rsidRDefault="00273AB5" w:rsidP="008A3440">
            <w:pPr>
              <w:rPr>
                <w:rFonts w:ascii="Calibri" w:hAnsi="Calibri"/>
                <w:b/>
                <w:color w:val="000000" w:themeColor="text1"/>
                <w:lang w:val="uz-Cyrl-UZ"/>
              </w:rPr>
            </w:pPr>
          </w:p>
        </w:tc>
      </w:tr>
      <w:tr w:rsidR="00C61794" w:rsidRPr="0066320E" w14:paraId="56188EA9" w14:textId="77777777" w:rsidTr="00FE452C">
        <w:trPr>
          <w:trHeight w:val="300"/>
        </w:trPr>
        <w:tc>
          <w:tcPr>
            <w:tcW w:w="4762" w:type="dxa"/>
            <w:shd w:val="clear" w:color="auto" w:fill="FBD4B4" w:themeFill="accent6" w:themeFillTint="66"/>
            <w:vAlign w:val="center"/>
            <w:hideMark/>
          </w:tcPr>
          <w:p w14:paraId="26052E0C"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GASTOS</w:t>
            </w:r>
          </w:p>
        </w:tc>
        <w:tc>
          <w:tcPr>
            <w:tcW w:w="1417" w:type="dxa"/>
            <w:shd w:val="clear" w:color="auto" w:fill="FBD4B4" w:themeFill="accent6" w:themeFillTint="66"/>
            <w:vAlign w:val="center"/>
            <w:hideMark/>
          </w:tcPr>
          <w:p w14:paraId="2FC43802"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 </w:t>
            </w:r>
          </w:p>
        </w:tc>
        <w:tc>
          <w:tcPr>
            <w:tcW w:w="1417" w:type="dxa"/>
            <w:shd w:val="clear" w:color="auto" w:fill="FBD4B4" w:themeFill="accent6" w:themeFillTint="66"/>
            <w:vAlign w:val="center"/>
            <w:hideMark/>
          </w:tcPr>
          <w:p w14:paraId="15A580AB"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 </w:t>
            </w:r>
          </w:p>
        </w:tc>
        <w:tc>
          <w:tcPr>
            <w:tcW w:w="1417" w:type="dxa"/>
            <w:shd w:val="clear" w:color="auto" w:fill="FBD4B4" w:themeFill="accent6" w:themeFillTint="66"/>
            <w:vAlign w:val="center"/>
            <w:hideMark/>
          </w:tcPr>
          <w:p w14:paraId="0945CEBB"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 </w:t>
            </w:r>
          </w:p>
        </w:tc>
      </w:tr>
      <w:tr w:rsidR="00C61794" w:rsidRPr="0066320E" w14:paraId="69C93825" w14:textId="77777777" w:rsidTr="00FE452C">
        <w:trPr>
          <w:trHeight w:val="511"/>
        </w:trPr>
        <w:tc>
          <w:tcPr>
            <w:tcW w:w="4762" w:type="dxa"/>
            <w:shd w:val="clear" w:color="auto" w:fill="FDE9D9" w:themeFill="accent6" w:themeFillTint="33"/>
            <w:vAlign w:val="center"/>
            <w:hideMark/>
          </w:tcPr>
          <w:p w14:paraId="0725C21D"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COORDINADOR</w:t>
            </w:r>
          </w:p>
        </w:tc>
        <w:tc>
          <w:tcPr>
            <w:tcW w:w="1417" w:type="dxa"/>
            <w:shd w:val="clear" w:color="auto" w:fill="FDE9D9" w:themeFill="accent6" w:themeFillTint="33"/>
            <w:vAlign w:val="center"/>
            <w:hideMark/>
          </w:tcPr>
          <w:p w14:paraId="4E948868" w14:textId="77777777" w:rsidR="00273AB5" w:rsidRPr="0066320E" w:rsidRDefault="00273AB5" w:rsidP="008A3440">
            <w:pPr>
              <w:rPr>
                <w:rFonts w:ascii="Calibri" w:hAnsi="Calibri"/>
                <w:b/>
                <w:color w:val="000000"/>
                <w:lang w:val="uz-Cyrl-UZ"/>
              </w:rPr>
            </w:pPr>
          </w:p>
        </w:tc>
        <w:tc>
          <w:tcPr>
            <w:tcW w:w="1417" w:type="dxa"/>
            <w:shd w:val="clear" w:color="auto" w:fill="FDE9D9" w:themeFill="accent6" w:themeFillTint="33"/>
            <w:vAlign w:val="center"/>
            <w:hideMark/>
          </w:tcPr>
          <w:p w14:paraId="3341EEA0" w14:textId="77777777" w:rsidR="00273AB5" w:rsidRPr="0066320E" w:rsidRDefault="00273AB5" w:rsidP="008A3440">
            <w:pPr>
              <w:rPr>
                <w:rFonts w:ascii="Calibri" w:hAnsi="Calibri"/>
                <w:b/>
                <w:color w:val="000000"/>
                <w:lang w:val="uz-Cyrl-UZ"/>
              </w:rPr>
            </w:pPr>
          </w:p>
        </w:tc>
        <w:tc>
          <w:tcPr>
            <w:tcW w:w="1417" w:type="dxa"/>
            <w:shd w:val="clear" w:color="auto" w:fill="FDE9D9" w:themeFill="accent6" w:themeFillTint="33"/>
            <w:vAlign w:val="center"/>
            <w:hideMark/>
          </w:tcPr>
          <w:p w14:paraId="036C38BC" w14:textId="77777777" w:rsidR="00273AB5" w:rsidRPr="0066320E" w:rsidRDefault="00273AB5" w:rsidP="008A3440">
            <w:pPr>
              <w:rPr>
                <w:rFonts w:ascii="Calibri" w:hAnsi="Calibri"/>
                <w:b/>
                <w:color w:val="000000"/>
                <w:lang w:val="uz-Cyrl-UZ"/>
              </w:rPr>
            </w:pPr>
          </w:p>
        </w:tc>
      </w:tr>
      <w:tr w:rsidR="00C61794" w:rsidRPr="0066320E" w14:paraId="2A2D4DD8" w14:textId="77777777" w:rsidTr="00C61794">
        <w:trPr>
          <w:trHeight w:val="353"/>
        </w:trPr>
        <w:tc>
          <w:tcPr>
            <w:tcW w:w="4762" w:type="dxa"/>
            <w:shd w:val="clear" w:color="auto" w:fill="auto"/>
            <w:vAlign w:val="center"/>
            <w:hideMark/>
          </w:tcPr>
          <w:p w14:paraId="677BD7F4"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Coordinador a tiempo parcial</w:t>
            </w:r>
          </w:p>
        </w:tc>
        <w:tc>
          <w:tcPr>
            <w:tcW w:w="1417" w:type="dxa"/>
            <w:shd w:val="clear" w:color="auto" w:fill="auto"/>
            <w:vAlign w:val="center"/>
            <w:hideMark/>
          </w:tcPr>
          <w:p w14:paraId="151896CB"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48.000</w:t>
            </w:r>
          </w:p>
        </w:tc>
        <w:tc>
          <w:tcPr>
            <w:tcW w:w="1417" w:type="dxa"/>
            <w:shd w:val="clear" w:color="auto" w:fill="auto"/>
            <w:vAlign w:val="center"/>
            <w:hideMark/>
          </w:tcPr>
          <w:p w14:paraId="6B5D937B"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48.000</w:t>
            </w:r>
          </w:p>
        </w:tc>
        <w:tc>
          <w:tcPr>
            <w:tcW w:w="1417" w:type="dxa"/>
            <w:shd w:val="clear" w:color="auto" w:fill="auto"/>
            <w:vAlign w:val="center"/>
            <w:hideMark/>
          </w:tcPr>
          <w:p w14:paraId="7FEFB630"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48.000</w:t>
            </w:r>
          </w:p>
        </w:tc>
      </w:tr>
      <w:tr w:rsidR="00C61794" w:rsidRPr="0066320E" w14:paraId="324DB173" w14:textId="77777777" w:rsidTr="00FE452C">
        <w:trPr>
          <w:trHeight w:val="315"/>
        </w:trPr>
        <w:tc>
          <w:tcPr>
            <w:tcW w:w="4762" w:type="dxa"/>
            <w:shd w:val="clear" w:color="000000" w:fill="FDE9D9" w:themeFill="accent6" w:themeFillTint="33"/>
            <w:vAlign w:val="center"/>
            <w:hideMark/>
          </w:tcPr>
          <w:p w14:paraId="27101B6E"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GASTOS DE PERSONAL</w:t>
            </w:r>
          </w:p>
        </w:tc>
        <w:tc>
          <w:tcPr>
            <w:tcW w:w="1417" w:type="dxa"/>
            <w:shd w:val="clear" w:color="000000" w:fill="FDE9D9" w:themeFill="accent6" w:themeFillTint="33"/>
            <w:vAlign w:val="center"/>
            <w:hideMark/>
          </w:tcPr>
          <w:p w14:paraId="2FF91B23" w14:textId="77777777" w:rsidR="00273AB5" w:rsidRPr="0066320E" w:rsidRDefault="00273AB5" w:rsidP="008A3440">
            <w:pPr>
              <w:rPr>
                <w:rFonts w:ascii="Calibri" w:hAnsi="Calibri"/>
                <w:b/>
                <w:color w:val="000000"/>
                <w:lang w:val="uz-Cyrl-UZ"/>
              </w:rPr>
            </w:pPr>
            <w:r w:rsidRPr="0066320E">
              <w:rPr>
                <w:rFonts w:ascii="Calibri" w:hAnsi="Calibri"/>
                <w:color w:val="000000"/>
                <w:lang w:val="uz-Cyrl-UZ"/>
              </w:rPr>
              <w:t> </w:t>
            </w:r>
          </w:p>
        </w:tc>
        <w:tc>
          <w:tcPr>
            <w:tcW w:w="1417" w:type="dxa"/>
            <w:shd w:val="clear" w:color="000000" w:fill="FDE9D9" w:themeFill="accent6" w:themeFillTint="33"/>
            <w:vAlign w:val="center"/>
            <w:hideMark/>
          </w:tcPr>
          <w:p w14:paraId="0292CED5" w14:textId="77777777" w:rsidR="00273AB5" w:rsidRPr="0066320E" w:rsidRDefault="00273AB5" w:rsidP="008A3440">
            <w:pPr>
              <w:rPr>
                <w:rFonts w:ascii="Calibri" w:hAnsi="Calibri"/>
                <w:b/>
                <w:color w:val="000000"/>
                <w:lang w:val="uz-Cyrl-UZ"/>
              </w:rPr>
            </w:pPr>
            <w:r w:rsidRPr="0066320E">
              <w:rPr>
                <w:rFonts w:ascii="Calibri" w:hAnsi="Calibri"/>
                <w:color w:val="000000"/>
                <w:lang w:val="uz-Cyrl-UZ"/>
              </w:rPr>
              <w:t> </w:t>
            </w:r>
          </w:p>
        </w:tc>
        <w:tc>
          <w:tcPr>
            <w:tcW w:w="1417" w:type="dxa"/>
            <w:shd w:val="clear" w:color="000000" w:fill="FDE9D9" w:themeFill="accent6" w:themeFillTint="33"/>
            <w:vAlign w:val="center"/>
            <w:hideMark/>
          </w:tcPr>
          <w:p w14:paraId="55156EEF" w14:textId="77777777" w:rsidR="00273AB5" w:rsidRPr="0066320E" w:rsidRDefault="00273AB5" w:rsidP="008A3440">
            <w:pPr>
              <w:rPr>
                <w:rFonts w:ascii="Calibri" w:hAnsi="Calibri"/>
                <w:b/>
                <w:color w:val="000000"/>
                <w:lang w:val="uz-Cyrl-UZ"/>
              </w:rPr>
            </w:pPr>
            <w:r w:rsidRPr="0066320E">
              <w:rPr>
                <w:rFonts w:ascii="Calibri" w:hAnsi="Calibri"/>
                <w:color w:val="000000"/>
                <w:lang w:val="uz-Cyrl-UZ"/>
              </w:rPr>
              <w:t> </w:t>
            </w:r>
          </w:p>
        </w:tc>
      </w:tr>
      <w:tr w:rsidR="00C61794" w:rsidRPr="0066320E" w14:paraId="1B1F5BDD" w14:textId="77777777" w:rsidTr="00C61794">
        <w:trPr>
          <w:trHeight w:val="396"/>
        </w:trPr>
        <w:tc>
          <w:tcPr>
            <w:tcW w:w="4762" w:type="dxa"/>
            <w:shd w:val="clear" w:color="auto" w:fill="auto"/>
            <w:vAlign w:val="center"/>
            <w:hideMark/>
          </w:tcPr>
          <w:p w14:paraId="699D6576"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Todos los sueldos, incluidos impuestos y cargas sociales</w:t>
            </w:r>
          </w:p>
        </w:tc>
        <w:tc>
          <w:tcPr>
            <w:tcW w:w="1417" w:type="dxa"/>
            <w:shd w:val="clear" w:color="auto" w:fill="auto"/>
            <w:vAlign w:val="center"/>
            <w:hideMark/>
          </w:tcPr>
          <w:p w14:paraId="564A5428"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90.000</w:t>
            </w:r>
          </w:p>
        </w:tc>
        <w:tc>
          <w:tcPr>
            <w:tcW w:w="1417" w:type="dxa"/>
            <w:shd w:val="clear" w:color="auto" w:fill="auto"/>
            <w:vAlign w:val="center"/>
            <w:hideMark/>
          </w:tcPr>
          <w:p w14:paraId="7C8B58C5"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90.000</w:t>
            </w:r>
          </w:p>
        </w:tc>
        <w:tc>
          <w:tcPr>
            <w:tcW w:w="1417" w:type="dxa"/>
            <w:shd w:val="clear" w:color="auto" w:fill="auto"/>
            <w:vAlign w:val="center"/>
            <w:hideMark/>
          </w:tcPr>
          <w:p w14:paraId="08D98065"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90.000</w:t>
            </w:r>
          </w:p>
        </w:tc>
      </w:tr>
      <w:tr w:rsidR="00C61794" w:rsidRPr="0066320E" w14:paraId="773C2BB3" w14:textId="77777777" w:rsidTr="00FE452C">
        <w:trPr>
          <w:trHeight w:val="315"/>
        </w:trPr>
        <w:tc>
          <w:tcPr>
            <w:tcW w:w="4762" w:type="dxa"/>
            <w:shd w:val="clear" w:color="000000" w:fill="FDE9D9" w:themeFill="accent6" w:themeFillTint="33"/>
            <w:vAlign w:val="center"/>
            <w:hideMark/>
          </w:tcPr>
          <w:p w14:paraId="1D13F777"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EXPERTOS Y CONSULTORES</w:t>
            </w:r>
          </w:p>
        </w:tc>
        <w:tc>
          <w:tcPr>
            <w:tcW w:w="1417" w:type="dxa"/>
            <w:shd w:val="clear" w:color="000000" w:fill="FDE9D9" w:themeFill="accent6" w:themeFillTint="33"/>
            <w:vAlign w:val="center"/>
            <w:hideMark/>
          </w:tcPr>
          <w:p w14:paraId="22096354"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5D3451D9"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3B34E4D9" w14:textId="77777777" w:rsidR="00273AB5" w:rsidRPr="0066320E" w:rsidRDefault="00273AB5" w:rsidP="008A3440">
            <w:pPr>
              <w:jc w:val="right"/>
              <w:rPr>
                <w:rFonts w:ascii="Calibri" w:hAnsi="Calibri"/>
                <w:color w:val="000000"/>
                <w:lang w:val="uz-Cyrl-UZ"/>
              </w:rPr>
            </w:pPr>
          </w:p>
        </w:tc>
      </w:tr>
      <w:tr w:rsidR="00C61794" w:rsidRPr="0066320E" w14:paraId="485B3E87" w14:textId="77777777" w:rsidTr="00C61794">
        <w:trPr>
          <w:trHeight w:val="420"/>
        </w:trPr>
        <w:tc>
          <w:tcPr>
            <w:tcW w:w="4762" w:type="dxa"/>
            <w:shd w:val="clear" w:color="auto" w:fill="auto"/>
            <w:vAlign w:val="center"/>
            <w:hideMark/>
          </w:tcPr>
          <w:p w14:paraId="5A656E2F"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Necesidades ordinarias (STN, MeRSiM-Net y Com)</w:t>
            </w:r>
          </w:p>
        </w:tc>
        <w:tc>
          <w:tcPr>
            <w:tcW w:w="1417" w:type="dxa"/>
            <w:shd w:val="clear" w:color="auto" w:fill="auto"/>
            <w:vAlign w:val="center"/>
            <w:hideMark/>
          </w:tcPr>
          <w:p w14:paraId="0040DA2B"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29.000</w:t>
            </w:r>
          </w:p>
        </w:tc>
        <w:tc>
          <w:tcPr>
            <w:tcW w:w="1417" w:type="dxa"/>
            <w:shd w:val="clear" w:color="auto" w:fill="auto"/>
            <w:vAlign w:val="center"/>
            <w:hideMark/>
          </w:tcPr>
          <w:p w14:paraId="52FE55F9"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29.000</w:t>
            </w:r>
          </w:p>
        </w:tc>
        <w:tc>
          <w:tcPr>
            <w:tcW w:w="1417" w:type="dxa"/>
            <w:shd w:val="clear" w:color="auto" w:fill="auto"/>
            <w:vAlign w:val="center"/>
            <w:hideMark/>
          </w:tcPr>
          <w:p w14:paraId="02350DB3"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29.000</w:t>
            </w:r>
          </w:p>
        </w:tc>
      </w:tr>
      <w:tr w:rsidR="00C61794" w:rsidRPr="0066320E" w14:paraId="7CBFADC9" w14:textId="77777777" w:rsidTr="00C61794">
        <w:trPr>
          <w:trHeight w:val="405"/>
        </w:trPr>
        <w:tc>
          <w:tcPr>
            <w:tcW w:w="4762" w:type="dxa"/>
            <w:shd w:val="clear" w:color="auto" w:fill="auto"/>
            <w:vAlign w:val="center"/>
            <w:hideMark/>
          </w:tcPr>
          <w:p w14:paraId="6F7AAB37"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Otros expertos</w:t>
            </w:r>
          </w:p>
        </w:tc>
        <w:tc>
          <w:tcPr>
            <w:tcW w:w="1417" w:type="dxa"/>
            <w:shd w:val="clear" w:color="auto" w:fill="auto"/>
            <w:vAlign w:val="center"/>
            <w:hideMark/>
          </w:tcPr>
          <w:p w14:paraId="50075C95"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3.000</w:t>
            </w:r>
          </w:p>
        </w:tc>
        <w:tc>
          <w:tcPr>
            <w:tcW w:w="1417" w:type="dxa"/>
            <w:shd w:val="clear" w:color="auto" w:fill="auto"/>
            <w:vAlign w:val="center"/>
            <w:hideMark/>
          </w:tcPr>
          <w:p w14:paraId="4577A6DB"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3.000</w:t>
            </w:r>
          </w:p>
        </w:tc>
        <w:tc>
          <w:tcPr>
            <w:tcW w:w="1417" w:type="dxa"/>
            <w:shd w:val="clear" w:color="auto" w:fill="auto"/>
            <w:vAlign w:val="center"/>
            <w:hideMark/>
          </w:tcPr>
          <w:p w14:paraId="1A48FA86"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3.000</w:t>
            </w:r>
          </w:p>
        </w:tc>
      </w:tr>
      <w:tr w:rsidR="00C61794" w:rsidRPr="0066320E" w14:paraId="17CB8587" w14:textId="77777777" w:rsidTr="00FE452C">
        <w:trPr>
          <w:trHeight w:val="315"/>
        </w:trPr>
        <w:tc>
          <w:tcPr>
            <w:tcW w:w="4762" w:type="dxa"/>
            <w:shd w:val="clear" w:color="000000" w:fill="FDE9D9" w:themeFill="accent6" w:themeFillTint="33"/>
            <w:vAlign w:val="center"/>
            <w:hideMark/>
          </w:tcPr>
          <w:p w14:paraId="607AE051"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 xml:space="preserve">VIAJES OFICIALES </w:t>
            </w:r>
          </w:p>
        </w:tc>
        <w:tc>
          <w:tcPr>
            <w:tcW w:w="1417" w:type="dxa"/>
            <w:shd w:val="clear" w:color="000000" w:fill="FDE9D9" w:themeFill="accent6" w:themeFillTint="33"/>
            <w:vAlign w:val="center"/>
            <w:hideMark/>
          </w:tcPr>
          <w:p w14:paraId="64FC7DA2"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456C9382"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7163AC07" w14:textId="77777777" w:rsidR="00273AB5" w:rsidRPr="0066320E" w:rsidRDefault="00273AB5" w:rsidP="008A3440">
            <w:pPr>
              <w:jc w:val="right"/>
              <w:rPr>
                <w:rFonts w:ascii="Calibri" w:hAnsi="Calibri"/>
                <w:color w:val="000000"/>
                <w:lang w:val="uz-Cyrl-UZ"/>
              </w:rPr>
            </w:pPr>
          </w:p>
        </w:tc>
      </w:tr>
      <w:tr w:rsidR="00C61794" w:rsidRPr="0066320E" w14:paraId="016768CA" w14:textId="77777777" w:rsidTr="00C61794">
        <w:trPr>
          <w:trHeight w:val="315"/>
        </w:trPr>
        <w:tc>
          <w:tcPr>
            <w:tcW w:w="4762" w:type="dxa"/>
            <w:shd w:val="clear" w:color="auto" w:fill="auto"/>
            <w:vAlign w:val="center"/>
            <w:hideMark/>
          </w:tcPr>
          <w:p w14:paraId="75CE3E9E"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Coordinador de MedWet</w:t>
            </w:r>
          </w:p>
        </w:tc>
        <w:tc>
          <w:tcPr>
            <w:tcW w:w="1417" w:type="dxa"/>
            <w:shd w:val="clear" w:color="auto" w:fill="auto"/>
            <w:vAlign w:val="center"/>
            <w:hideMark/>
          </w:tcPr>
          <w:p w14:paraId="0445248B"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6.000</w:t>
            </w:r>
          </w:p>
        </w:tc>
        <w:tc>
          <w:tcPr>
            <w:tcW w:w="1417" w:type="dxa"/>
            <w:shd w:val="clear" w:color="auto" w:fill="auto"/>
            <w:vAlign w:val="center"/>
            <w:hideMark/>
          </w:tcPr>
          <w:p w14:paraId="6B97A6C2"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6.000</w:t>
            </w:r>
          </w:p>
        </w:tc>
        <w:tc>
          <w:tcPr>
            <w:tcW w:w="1417" w:type="dxa"/>
            <w:shd w:val="clear" w:color="auto" w:fill="auto"/>
            <w:vAlign w:val="center"/>
            <w:hideMark/>
          </w:tcPr>
          <w:p w14:paraId="33E55E82"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6.000</w:t>
            </w:r>
          </w:p>
        </w:tc>
      </w:tr>
      <w:tr w:rsidR="00C61794" w:rsidRPr="0066320E" w14:paraId="6241B79F" w14:textId="77777777" w:rsidTr="00C61794">
        <w:trPr>
          <w:trHeight w:val="315"/>
        </w:trPr>
        <w:tc>
          <w:tcPr>
            <w:tcW w:w="4762" w:type="dxa"/>
            <w:shd w:val="clear" w:color="auto" w:fill="auto"/>
            <w:vAlign w:val="center"/>
            <w:hideMark/>
          </w:tcPr>
          <w:p w14:paraId="772BAC66"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Personal de la Secretaría de MedWet</w:t>
            </w:r>
          </w:p>
        </w:tc>
        <w:tc>
          <w:tcPr>
            <w:tcW w:w="1417" w:type="dxa"/>
            <w:shd w:val="clear" w:color="auto" w:fill="auto"/>
            <w:vAlign w:val="center"/>
            <w:hideMark/>
          </w:tcPr>
          <w:p w14:paraId="6181CCE6"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4.000</w:t>
            </w:r>
          </w:p>
        </w:tc>
        <w:tc>
          <w:tcPr>
            <w:tcW w:w="1417" w:type="dxa"/>
            <w:shd w:val="clear" w:color="auto" w:fill="auto"/>
            <w:vAlign w:val="center"/>
            <w:hideMark/>
          </w:tcPr>
          <w:p w14:paraId="4B9E8512"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4.000</w:t>
            </w:r>
          </w:p>
        </w:tc>
        <w:tc>
          <w:tcPr>
            <w:tcW w:w="1417" w:type="dxa"/>
            <w:shd w:val="clear" w:color="auto" w:fill="auto"/>
            <w:vAlign w:val="center"/>
            <w:hideMark/>
          </w:tcPr>
          <w:p w14:paraId="1B63E480"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4.000</w:t>
            </w:r>
          </w:p>
        </w:tc>
      </w:tr>
      <w:tr w:rsidR="00C61794" w:rsidRPr="0066320E" w14:paraId="788AC563" w14:textId="77777777" w:rsidTr="00C61794">
        <w:trPr>
          <w:trHeight w:val="315"/>
        </w:trPr>
        <w:tc>
          <w:tcPr>
            <w:tcW w:w="4762" w:type="dxa"/>
            <w:shd w:val="clear" w:color="auto" w:fill="auto"/>
            <w:vAlign w:val="center"/>
            <w:hideMark/>
          </w:tcPr>
          <w:p w14:paraId="0E2E46A6" w14:textId="5E60650A" w:rsidR="00273AB5" w:rsidRPr="0066320E" w:rsidRDefault="00273AB5" w:rsidP="008A3440">
            <w:pPr>
              <w:rPr>
                <w:rFonts w:ascii="Calibri" w:hAnsi="Calibri"/>
                <w:color w:val="000000"/>
                <w:lang w:val="uz-Cyrl-UZ"/>
              </w:rPr>
            </w:pPr>
            <w:r w:rsidRPr="0066320E">
              <w:rPr>
                <w:rFonts w:ascii="Calibri" w:hAnsi="Calibri"/>
                <w:color w:val="000000"/>
                <w:lang w:val="uz-Cyrl-UZ"/>
              </w:rPr>
              <w:t>MedWet/Com y MedWet</w:t>
            </w:r>
            <w:r w:rsidR="0066320E" w:rsidRPr="0066320E">
              <w:rPr>
                <w:rFonts w:ascii="Calibri" w:hAnsi="Calibri"/>
                <w:color w:val="000000"/>
                <w:lang w:val="uz-Cyrl-UZ"/>
              </w:rPr>
              <w:t>/SG</w:t>
            </w:r>
          </w:p>
        </w:tc>
        <w:tc>
          <w:tcPr>
            <w:tcW w:w="1417" w:type="dxa"/>
            <w:shd w:val="clear" w:color="auto" w:fill="auto"/>
            <w:vAlign w:val="center"/>
            <w:hideMark/>
          </w:tcPr>
          <w:p w14:paraId="205919C2"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3.000</w:t>
            </w:r>
          </w:p>
        </w:tc>
        <w:tc>
          <w:tcPr>
            <w:tcW w:w="1417" w:type="dxa"/>
            <w:shd w:val="clear" w:color="auto" w:fill="auto"/>
            <w:vAlign w:val="center"/>
            <w:hideMark/>
          </w:tcPr>
          <w:p w14:paraId="153DFDF2"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3.000</w:t>
            </w:r>
          </w:p>
        </w:tc>
        <w:tc>
          <w:tcPr>
            <w:tcW w:w="1417" w:type="dxa"/>
            <w:shd w:val="clear" w:color="auto" w:fill="auto"/>
            <w:vAlign w:val="center"/>
            <w:hideMark/>
          </w:tcPr>
          <w:p w14:paraId="0643F7EC"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15.000</w:t>
            </w:r>
          </w:p>
        </w:tc>
      </w:tr>
      <w:tr w:rsidR="00C61794" w:rsidRPr="0066320E" w14:paraId="1BBF9C9B" w14:textId="77777777" w:rsidTr="00FE452C">
        <w:trPr>
          <w:trHeight w:val="315"/>
        </w:trPr>
        <w:tc>
          <w:tcPr>
            <w:tcW w:w="4762" w:type="dxa"/>
            <w:shd w:val="clear" w:color="000000" w:fill="FDE9D9" w:themeFill="accent6" w:themeFillTint="33"/>
            <w:vAlign w:val="center"/>
            <w:hideMark/>
          </w:tcPr>
          <w:p w14:paraId="7EC3710E"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GASTOS DE OFICINA</w:t>
            </w:r>
          </w:p>
        </w:tc>
        <w:tc>
          <w:tcPr>
            <w:tcW w:w="1417" w:type="dxa"/>
            <w:shd w:val="clear" w:color="000000" w:fill="FDE9D9" w:themeFill="accent6" w:themeFillTint="33"/>
            <w:vAlign w:val="center"/>
            <w:hideMark/>
          </w:tcPr>
          <w:p w14:paraId="2AD51D4C"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4CD1C626"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26AB7BF8" w14:textId="77777777" w:rsidR="00273AB5" w:rsidRPr="0066320E" w:rsidRDefault="00273AB5" w:rsidP="008A3440">
            <w:pPr>
              <w:jc w:val="right"/>
              <w:rPr>
                <w:rFonts w:ascii="Calibri" w:hAnsi="Calibri"/>
                <w:color w:val="000000"/>
                <w:lang w:val="uz-Cyrl-UZ"/>
              </w:rPr>
            </w:pPr>
          </w:p>
        </w:tc>
      </w:tr>
      <w:tr w:rsidR="00C61794" w:rsidRPr="0066320E" w14:paraId="5BA9FDF6" w14:textId="77777777" w:rsidTr="00C61794">
        <w:trPr>
          <w:trHeight w:val="315"/>
        </w:trPr>
        <w:tc>
          <w:tcPr>
            <w:tcW w:w="4762" w:type="dxa"/>
            <w:shd w:val="clear" w:color="auto" w:fill="auto"/>
            <w:vAlign w:val="center"/>
            <w:hideMark/>
          </w:tcPr>
          <w:p w14:paraId="20E7B30A"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Administración de oficina</w:t>
            </w:r>
          </w:p>
        </w:tc>
        <w:tc>
          <w:tcPr>
            <w:tcW w:w="1417" w:type="dxa"/>
            <w:shd w:val="clear" w:color="auto" w:fill="auto"/>
            <w:vAlign w:val="center"/>
            <w:hideMark/>
          </w:tcPr>
          <w:p w14:paraId="73CC3A1B"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18.000</w:t>
            </w:r>
          </w:p>
        </w:tc>
        <w:tc>
          <w:tcPr>
            <w:tcW w:w="1417" w:type="dxa"/>
            <w:shd w:val="clear" w:color="auto" w:fill="auto"/>
            <w:vAlign w:val="center"/>
            <w:hideMark/>
          </w:tcPr>
          <w:p w14:paraId="7CDE15D7"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18.000</w:t>
            </w:r>
          </w:p>
        </w:tc>
        <w:tc>
          <w:tcPr>
            <w:tcW w:w="1417" w:type="dxa"/>
            <w:shd w:val="clear" w:color="auto" w:fill="auto"/>
            <w:vAlign w:val="center"/>
            <w:hideMark/>
          </w:tcPr>
          <w:p w14:paraId="6EF8D901"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18.000</w:t>
            </w:r>
          </w:p>
        </w:tc>
      </w:tr>
      <w:tr w:rsidR="00C61794" w:rsidRPr="0066320E" w14:paraId="6F6F8A9E" w14:textId="77777777" w:rsidTr="00FE452C">
        <w:trPr>
          <w:trHeight w:val="315"/>
        </w:trPr>
        <w:tc>
          <w:tcPr>
            <w:tcW w:w="4762" w:type="dxa"/>
            <w:shd w:val="clear" w:color="000000" w:fill="FDE9D9" w:themeFill="accent6" w:themeFillTint="33"/>
            <w:vAlign w:val="center"/>
            <w:hideMark/>
          </w:tcPr>
          <w:p w14:paraId="2380B749"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SERVICIOS DE COMUNICACIONES</w:t>
            </w:r>
          </w:p>
        </w:tc>
        <w:tc>
          <w:tcPr>
            <w:tcW w:w="1417" w:type="dxa"/>
            <w:shd w:val="clear" w:color="000000" w:fill="FDE9D9" w:themeFill="accent6" w:themeFillTint="33"/>
            <w:vAlign w:val="center"/>
            <w:hideMark/>
          </w:tcPr>
          <w:p w14:paraId="1C043B19"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695BDDCF"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04594317" w14:textId="77777777" w:rsidR="00273AB5" w:rsidRPr="0066320E" w:rsidRDefault="00273AB5" w:rsidP="008A3440">
            <w:pPr>
              <w:jc w:val="right"/>
              <w:rPr>
                <w:rFonts w:ascii="Calibri" w:hAnsi="Calibri"/>
                <w:color w:val="000000"/>
                <w:lang w:val="uz-Cyrl-UZ"/>
              </w:rPr>
            </w:pPr>
          </w:p>
        </w:tc>
      </w:tr>
      <w:tr w:rsidR="00C61794" w:rsidRPr="0066320E" w14:paraId="651DA962" w14:textId="77777777" w:rsidTr="00C61794">
        <w:trPr>
          <w:trHeight w:val="315"/>
        </w:trPr>
        <w:tc>
          <w:tcPr>
            <w:tcW w:w="4762" w:type="dxa"/>
            <w:shd w:val="clear" w:color="auto" w:fill="auto"/>
            <w:vAlign w:val="center"/>
            <w:hideMark/>
          </w:tcPr>
          <w:p w14:paraId="2525B142"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Sitio web y difusión</w:t>
            </w:r>
          </w:p>
        </w:tc>
        <w:tc>
          <w:tcPr>
            <w:tcW w:w="1417" w:type="dxa"/>
            <w:shd w:val="clear" w:color="auto" w:fill="auto"/>
            <w:vAlign w:val="center"/>
            <w:hideMark/>
          </w:tcPr>
          <w:p w14:paraId="320DED25"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1.500</w:t>
            </w:r>
          </w:p>
        </w:tc>
        <w:tc>
          <w:tcPr>
            <w:tcW w:w="1417" w:type="dxa"/>
            <w:shd w:val="clear" w:color="auto" w:fill="auto"/>
            <w:vAlign w:val="center"/>
            <w:hideMark/>
          </w:tcPr>
          <w:p w14:paraId="5B4F78CF"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1.500</w:t>
            </w:r>
          </w:p>
        </w:tc>
        <w:tc>
          <w:tcPr>
            <w:tcW w:w="1417" w:type="dxa"/>
            <w:shd w:val="clear" w:color="auto" w:fill="auto"/>
            <w:vAlign w:val="center"/>
            <w:hideMark/>
          </w:tcPr>
          <w:p w14:paraId="12DA8B46"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1.500</w:t>
            </w:r>
          </w:p>
        </w:tc>
      </w:tr>
      <w:tr w:rsidR="00C61794" w:rsidRPr="0066320E" w14:paraId="23F851CC" w14:textId="77777777" w:rsidTr="00C61794">
        <w:trPr>
          <w:trHeight w:val="315"/>
        </w:trPr>
        <w:tc>
          <w:tcPr>
            <w:tcW w:w="4762" w:type="dxa"/>
            <w:shd w:val="clear" w:color="auto" w:fill="auto"/>
            <w:vAlign w:val="center"/>
            <w:hideMark/>
          </w:tcPr>
          <w:p w14:paraId="3DF81434"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Herramientas de comunicación</w:t>
            </w:r>
          </w:p>
        </w:tc>
        <w:tc>
          <w:tcPr>
            <w:tcW w:w="1417" w:type="dxa"/>
            <w:shd w:val="clear" w:color="auto" w:fill="auto"/>
            <w:vAlign w:val="center"/>
            <w:hideMark/>
          </w:tcPr>
          <w:p w14:paraId="712BF58A"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3.500</w:t>
            </w:r>
          </w:p>
        </w:tc>
        <w:tc>
          <w:tcPr>
            <w:tcW w:w="1417" w:type="dxa"/>
            <w:shd w:val="clear" w:color="auto" w:fill="auto"/>
            <w:vAlign w:val="center"/>
            <w:hideMark/>
          </w:tcPr>
          <w:p w14:paraId="3E77A97E"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3.500</w:t>
            </w:r>
          </w:p>
        </w:tc>
        <w:tc>
          <w:tcPr>
            <w:tcW w:w="1417" w:type="dxa"/>
            <w:shd w:val="clear" w:color="auto" w:fill="auto"/>
            <w:vAlign w:val="center"/>
            <w:hideMark/>
          </w:tcPr>
          <w:p w14:paraId="0FAE1214"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3.500</w:t>
            </w:r>
          </w:p>
        </w:tc>
      </w:tr>
      <w:tr w:rsidR="00C61794" w:rsidRPr="0066320E" w14:paraId="762E097B" w14:textId="77777777" w:rsidTr="00FE452C">
        <w:trPr>
          <w:trHeight w:val="315"/>
        </w:trPr>
        <w:tc>
          <w:tcPr>
            <w:tcW w:w="4762" w:type="dxa"/>
            <w:shd w:val="clear" w:color="000000" w:fill="FDE9D9" w:themeFill="accent6" w:themeFillTint="33"/>
            <w:vAlign w:val="center"/>
            <w:hideMark/>
          </w:tcPr>
          <w:p w14:paraId="0866D25C"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VARIOS</w:t>
            </w:r>
          </w:p>
        </w:tc>
        <w:tc>
          <w:tcPr>
            <w:tcW w:w="1417" w:type="dxa"/>
            <w:shd w:val="clear" w:color="000000" w:fill="FDE9D9" w:themeFill="accent6" w:themeFillTint="33"/>
            <w:vAlign w:val="center"/>
            <w:hideMark/>
          </w:tcPr>
          <w:p w14:paraId="6BA0BF54"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10D8E44B" w14:textId="77777777" w:rsidR="00273AB5" w:rsidRPr="0066320E" w:rsidRDefault="00273AB5" w:rsidP="008A3440">
            <w:pPr>
              <w:jc w:val="right"/>
              <w:rPr>
                <w:rFonts w:ascii="Calibri" w:hAnsi="Calibri"/>
                <w:color w:val="000000"/>
                <w:lang w:val="uz-Cyrl-UZ"/>
              </w:rPr>
            </w:pPr>
          </w:p>
        </w:tc>
        <w:tc>
          <w:tcPr>
            <w:tcW w:w="1417" w:type="dxa"/>
            <w:shd w:val="clear" w:color="000000" w:fill="FDE9D9" w:themeFill="accent6" w:themeFillTint="33"/>
            <w:vAlign w:val="center"/>
            <w:hideMark/>
          </w:tcPr>
          <w:p w14:paraId="6BBABE93" w14:textId="77777777" w:rsidR="00273AB5" w:rsidRPr="0066320E" w:rsidRDefault="00273AB5" w:rsidP="008A3440">
            <w:pPr>
              <w:jc w:val="right"/>
              <w:rPr>
                <w:rFonts w:ascii="Calibri" w:hAnsi="Calibri"/>
                <w:color w:val="000000"/>
                <w:lang w:val="uz-Cyrl-UZ"/>
              </w:rPr>
            </w:pPr>
          </w:p>
        </w:tc>
      </w:tr>
      <w:tr w:rsidR="00C61794" w:rsidRPr="0066320E" w14:paraId="27AA51DA" w14:textId="77777777" w:rsidTr="00C61794">
        <w:trPr>
          <w:trHeight w:val="315"/>
        </w:trPr>
        <w:tc>
          <w:tcPr>
            <w:tcW w:w="4762" w:type="dxa"/>
            <w:shd w:val="clear" w:color="auto" w:fill="auto"/>
            <w:vAlign w:val="center"/>
            <w:hideMark/>
          </w:tcPr>
          <w:p w14:paraId="5F2EAC17"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Gastos varios</w:t>
            </w:r>
          </w:p>
        </w:tc>
        <w:tc>
          <w:tcPr>
            <w:tcW w:w="1417" w:type="dxa"/>
            <w:shd w:val="clear" w:color="auto" w:fill="auto"/>
            <w:vAlign w:val="center"/>
            <w:hideMark/>
          </w:tcPr>
          <w:p w14:paraId="1C8CEAAA"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2.000</w:t>
            </w:r>
          </w:p>
        </w:tc>
        <w:tc>
          <w:tcPr>
            <w:tcW w:w="1417" w:type="dxa"/>
            <w:shd w:val="clear" w:color="auto" w:fill="auto"/>
            <w:vAlign w:val="center"/>
            <w:hideMark/>
          </w:tcPr>
          <w:p w14:paraId="65133C58"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2.500</w:t>
            </w:r>
          </w:p>
        </w:tc>
        <w:tc>
          <w:tcPr>
            <w:tcW w:w="1417" w:type="dxa"/>
            <w:shd w:val="clear" w:color="auto" w:fill="auto"/>
            <w:vAlign w:val="center"/>
            <w:hideMark/>
          </w:tcPr>
          <w:p w14:paraId="2DFEEBD7"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2.000</w:t>
            </w:r>
          </w:p>
        </w:tc>
      </w:tr>
      <w:tr w:rsidR="00C61794" w:rsidRPr="0066320E" w14:paraId="19CDC6E0" w14:textId="77777777" w:rsidTr="00FE452C">
        <w:trPr>
          <w:trHeight w:val="555"/>
        </w:trPr>
        <w:tc>
          <w:tcPr>
            <w:tcW w:w="4762" w:type="dxa"/>
            <w:shd w:val="clear" w:color="000000" w:fill="FBD4B4" w:themeFill="accent6" w:themeFillTint="66"/>
            <w:vAlign w:val="center"/>
            <w:hideMark/>
          </w:tcPr>
          <w:p w14:paraId="4C12DB41"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 xml:space="preserve">TOTAL DE GASTOS </w:t>
            </w:r>
          </w:p>
        </w:tc>
        <w:tc>
          <w:tcPr>
            <w:tcW w:w="1417" w:type="dxa"/>
            <w:shd w:val="clear" w:color="000000" w:fill="FBD4B4" w:themeFill="accent6" w:themeFillTint="66"/>
            <w:vAlign w:val="center"/>
            <w:hideMark/>
          </w:tcPr>
          <w:p w14:paraId="0A723C43" w14:textId="77777777" w:rsidR="00273AB5" w:rsidRPr="0066320E" w:rsidRDefault="00273AB5" w:rsidP="008A3440">
            <w:pPr>
              <w:jc w:val="right"/>
              <w:rPr>
                <w:rFonts w:ascii="Calibri" w:hAnsi="Calibri"/>
                <w:b/>
                <w:color w:val="000000" w:themeColor="text1"/>
                <w:lang w:val="uz-Cyrl-UZ"/>
              </w:rPr>
            </w:pPr>
            <w:r w:rsidRPr="0066320E">
              <w:rPr>
                <w:rFonts w:ascii="Calibri" w:hAnsi="Calibri"/>
                <w:b/>
                <w:color w:val="000000" w:themeColor="text1"/>
                <w:lang w:val="uz-Cyrl-UZ"/>
              </w:rPr>
              <w:t xml:space="preserve">208.000   </w:t>
            </w:r>
          </w:p>
        </w:tc>
        <w:tc>
          <w:tcPr>
            <w:tcW w:w="1417" w:type="dxa"/>
            <w:shd w:val="clear" w:color="000000" w:fill="FBD4B4" w:themeFill="accent6" w:themeFillTint="66"/>
            <w:vAlign w:val="center"/>
            <w:hideMark/>
          </w:tcPr>
          <w:p w14:paraId="5B7E7C2D" w14:textId="77777777" w:rsidR="00273AB5" w:rsidRPr="0066320E" w:rsidRDefault="00273AB5" w:rsidP="008A3440">
            <w:pPr>
              <w:jc w:val="right"/>
              <w:rPr>
                <w:rFonts w:ascii="Calibri" w:hAnsi="Calibri"/>
                <w:b/>
                <w:color w:val="000000" w:themeColor="text1"/>
                <w:lang w:val="uz-Cyrl-UZ"/>
              </w:rPr>
            </w:pPr>
            <w:r w:rsidRPr="0066320E">
              <w:rPr>
                <w:rFonts w:ascii="Calibri" w:hAnsi="Calibri"/>
                <w:b/>
                <w:color w:val="000000" w:themeColor="text1"/>
                <w:lang w:val="uz-Cyrl-UZ"/>
              </w:rPr>
              <w:t xml:space="preserve">211.500   </w:t>
            </w:r>
          </w:p>
        </w:tc>
        <w:tc>
          <w:tcPr>
            <w:tcW w:w="1417" w:type="dxa"/>
            <w:shd w:val="clear" w:color="000000" w:fill="FBD4B4" w:themeFill="accent6" w:themeFillTint="66"/>
            <w:vAlign w:val="center"/>
            <w:hideMark/>
          </w:tcPr>
          <w:p w14:paraId="1E6EC023" w14:textId="77777777" w:rsidR="00273AB5" w:rsidRPr="0066320E" w:rsidRDefault="00273AB5" w:rsidP="008A3440">
            <w:pPr>
              <w:jc w:val="right"/>
              <w:rPr>
                <w:rFonts w:ascii="Calibri" w:hAnsi="Calibri"/>
                <w:b/>
                <w:color w:val="000000" w:themeColor="text1"/>
                <w:lang w:val="uz-Cyrl-UZ"/>
              </w:rPr>
            </w:pPr>
            <w:r w:rsidRPr="0066320E">
              <w:rPr>
                <w:rFonts w:ascii="Calibri" w:hAnsi="Calibri"/>
                <w:b/>
                <w:color w:val="000000" w:themeColor="text1"/>
                <w:lang w:val="uz-Cyrl-UZ"/>
              </w:rPr>
              <w:t xml:space="preserve">220.000   </w:t>
            </w:r>
          </w:p>
        </w:tc>
      </w:tr>
      <w:tr w:rsidR="00C61794" w:rsidRPr="0066320E" w14:paraId="6C340A8B" w14:textId="77777777" w:rsidTr="00FE452C">
        <w:trPr>
          <w:trHeight w:val="349"/>
        </w:trPr>
        <w:tc>
          <w:tcPr>
            <w:tcW w:w="4762" w:type="dxa"/>
            <w:shd w:val="clear" w:color="000000" w:fill="B6DDE8" w:themeFill="accent5" w:themeFillTint="66"/>
            <w:vAlign w:val="center"/>
            <w:hideMark/>
          </w:tcPr>
          <w:p w14:paraId="06532FC8"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INGRESOS</w:t>
            </w:r>
          </w:p>
        </w:tc>
        <w:tc>
          <w:tcPr>
            <w:tcW w:w="1417" w:type="dxa"/>
            <w:shd w:val="clear" w:color="000000" w:fill="B6DDE8" w:themeFill="accent5" w:themeFillTint="66"/>
            <w:vAlign w:val="center"/>
            <w:hideMark/>
          </w:tcPr>
          <w:p w14:paraId="405CCC2B" w14:textId="77777777" w:rsidR="00273AB5" w:rsidRPr="0066320E" w:rsidRDefault="00273AB5" w:rsidP="008A3440">
            <w:pPr>
              <w:jc w:val="right"/>
              <w:rPr>
                <w:rFonts w:ascii="Calibri" w:hAnsi="Calibri"/>
                <w:color w:val="000000" w:themeColor="text1"/>
                <w:lang w:val="uz-Cyrl-UZ"/>
              </w:rPr>
            </w:pPr>
          </w:p>
        </w:tc>
        <w:tc>
          <w:tcPr>
            <w:tcW w:w="1417" w:type="dxa"/>
            <w:shd w:val="clear" w:color="000000" w:fill="B6DDE8" w:themeFill="accent5" w:themeFillTint="66"/>
            <w:vAlign w:val="center"/>
            <w:hideMark/>
          </w:tcPr>
          <w:p w14:paraId="43117685" w14:textId="77777777" w:rsidR="00273AB5" w:rsidRPr="0066320E" w:rsidRDefault="00273AB5" w:rsidP="008A3440">
            <w:pPr>
              <w:jc w:val="right"/>
              <w:rPr>
                <w:rFonts w:ascii="Calibri" w:hAnsi="Calibri"/>
                <w:color w:val="000000" w:themeColor="text1"/>
                <w:lang w:val="uz-Cyrl-UZ"/>
              </w:rPr>
            </w:pPr>
          </w:p>
        </w:tc>
        <w:tc>
          <w:tcPr>
            <w:tcW w:w="1417" w:type="dxa"/>
            <w:shd w:val="clear" w:color="000000" w:fill="B6DDE8" w:themeFill="accent5" w:themeFillTint="66"/>
            <w:vAlign w:val="center"/>
            <w:hideMark/>
          </w:tcPr>
          <w:p w14:paraId="0FFCB18C" w14:textId="77777777" w:rsidR="00273AB5" w:rsidRPr="0066320E" w:rsidRDefault="00273AB5" w:rsidP="008A3440">
            <w:pPr>
              <w:jc w:val="right"/>
              <w:rPr>
                <w:rFonts w:ascii="Calibri" w:hAnsi="Calibri"/>
                <w:color w:val="000000" w:themeColor="text1"/>
                <w:lang w:val="uz-Cyrl-UZ"/>
              </w:rPr>
            </w:pPr>
          </w:p>
        </w:tc>
      </w:tr>
      <w:tr w:rsidR="00C61794" w:rsidRPr="0066320E" w14:paraId="4CE629D5" w14:textId="77777777" w:rsidTr="00C61794">
        <w:trPr>
          <w:trHeight w:val="343"/>
        </w:trPr>
        <w:tc>
          <w:tcPr>
            <w:tcW w:w="4762" w:type="dxa"/>
            <w:shd w:val="clear" w:color="auto" w:fill="auto"/>
            <w:vAlign w:val="center"/>
            <w:hideMark/>
          </w:tcPr>
          <w:p w14:paraId="238569AA"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Contribución de los países de MedWet</w:t>
            </w:r>
          </w:p>
        </w:tc>
        <w:tc>
          <w:tcPr>
            <w:tcW w:w="1417" w:type="dxa"/>
            <w:shd w:val="clear" w:color="auto" w:fill="auto"/>
            <w:vAlign w:val="center"/>
            <w:hideMark/>
          </w:tcPr>
          <w:p w14:paraId="50335947"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129.378</w:t>
            </w:r>
          </w:p>
        </w:tc>
        <w:tc>
          <w:tcPr>
            <w:tcW w:w="1417" w:type="dxa"/>
            <w:shd w:val="clear" w:color="auto" w:fill="auto"/>
            <w:vAlign w:val="center"/>
            <w:hideMark/>
          </w:tcPr>
          <w:p w14:paraId="5CF4CD50"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129.378</w:t>
            </w:r>
          </w:p>
        </w:tc>
        <w:tc>
          <w:tcPr>
            <w:tcW w:w="1417" w:type="dxa"/>
            <w:shd w:val="clear" w:color="auto" w:fill="auto"/>
            <w:vAlign w:val="center"/>
            <w:hideMark/>
          </w:tcPr>
          <w:p w14:paraId="36754BB5"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129.378</w:t>
            </w:r>
          </w:p>
        </w:tc>
      </w:tr>
      <w:tr w:rsidR="00C61794" w:rsidRPr="0066320E" w14:paraId="78AC7D4D" w14:textId="77777777" w:rsidTr="00C61794">
        <w:trPr>
          <w:trHeight w:val="315"/>
        </w:trPr>
        <w:tc>
          <w:tcPr>
            <w:tcW w:w="4762" w:type="dxa"/>
            <w:shd w:val="clear" w:color="auto" w:fill="auto"/>
            <w:vAlign w:val="center"/>
            <w:hideMark/>
          </w:tcPr>
          <w:p w14:paraId="34DFAA5E" w14:textId="77777777" w:rsidR="00273AB5" w:rsidRPr="0066320E" w:rsidRDefault="00273AB5" w:rsidP="008A3440">
            <w:pPr>
              <w:rPr>
                <w:rFonts w:ascii="Calibri" w:hAnsi="Calibri"/>
                <w:color w:val="000000"/>
                <w:lang w:val="uz-Cyrl-UZ"/>
              </w:rPr>
            </w:pPr>
            <w:r w:rsidRPr="0066320E">
              <w:rPr>
                <w:rFonts w:ascii="Calibri" w:hAnsi="Calibri"/>
                <w:color w:val="000000"/>
                <w:lang w:val="uz-Cyrl-UZ"/>
              </w:rPr>
              <w:t>Agence de l'Eau</w:t>
            </w:r>
          </w:p>
        </w:tc>
        <w:tc>
          <w:tcPr>
            <w:tcW w:w="1417" w:type="dxa"/>
            <w:shd w:val="clear" w:color="auto" w:fill="auto"/>
            <w:vAlign w:val="center"/>
            <w:hideMark/>
          </w:tcPr>
          <w:p w14:paraId="0397B7C3"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15.000</w:t>
            </w:r>
          </w:p>
        </w:tc>
        <w:tc>
          <w:tcPr>
            <w:tcW w:w="1417" w:type="dxa"/>
            <w:shd w:val="clear" w:color="auto" w:fill="auto"/>
            <w:vAlign w:val="center"/>
            <w:hideMark/>
          </w:tcPr>
          <w:p w14:paraId="6E715E9F" w14:textId="77777777" w:rsidR="00273AB5" w:rsidRPr="0066320E" w:rsidRDefault="00273AB5" w:rsidP="008A3440">
            <w:pPr>
              <w:jc w:val="right"/>
              <w:rPr>
                <w:rFonts w:ascii="Calibri" w:hAnsi="Calibri"/>
                <w:color w:val="000000"/>
                <w:lang w:val="uz-Cyrl-UZ"/>
              </w:rPr>
            </w:pPr>
          </w:p>
        </w:tc>
        <w:tc>
          <w:tcPr>
            <w:tcW w:w="1417" w:type="dxa"/>
            <w:shd w:val="clear" w:color="auto" w:fill="auto"/>
            <w:vAlign w:val="center"/>
            <w:hideMark/>
          </w:tcPr>
          <w:p w14:paraId="0E47EF1A" w14:textId="77777777" w:rsidR="00273AB5" w:rsidRPr="0066320E" w:rsidRDefault="00273AB5" w:rsidP="008A3440">
            <w:pPr>
              <w:jc w:val="right"/>
              <w:rPr>
                <w:rFonts w:ascii="Calibri" w:hAnsi="Calibri"/>
                <w:color w:val="000000"/>
                <w:lang w:val="uz-Cyrl-UZ"/>
              </w:rPr>
            </w:pPr>
          </w:p>
        </w:tc>
      </w:tr>
      <w:tr w:rsidR="00C61794" w:rsidRPr="0066320E" w14:paraId="1DF030EF" w14:textId="77777777" w:rsidTr="00C61794">
        <w:trPr>
          <w:trHeight w:val="315"/>
        </w:trPr>
        <w:tc>
          <w:tcPr>
            <w:tcW w:w="4762" w:type="dxa"/>
            <w:shd w:val="clear" w:color="auto" w:fill="auto"/>
            <w:vAlign w:val="center"/>
            <w:hideMark/>
          </w:tcPr>
          <w:p w14:paraId="0C4FF068" w14:textId="77777777" w:rsidR="00273AB5" w:rsidRPr="0066320E" w:rsidRDefault="00273AB5" w:rsidP="008A3440">
            <w:pPr>
              <w:jc w:val="both"/>
              <w:rPr>
                <w:rFonts w:ascii="Calibri" w:hAnsi="Calibri"/>
                <w:color w:val="000000"/>
                <w:lang w:val="uz-Cyrl-UZ"/>
              </w:rPr>
            </w:pPr>
            <w:r w:rsidRPr="0066320E">
              <w:rPr>
                <w:rFonts w:ascii="Calibri" w:hAnsi="Calibri"/>
                <w:color w:val="000000"/>
                <w:lang w:val="uz-Cyrl-UZ"/>
              </w:rPr>
              <w:t>Por conseguir de otros donantes</w:t>
            </w:r>
          </w:p>
        </w:tc>
        <w:tc>
          <w:tcPr>
            <w:tcW w:w="1417" w:type="dxa"/>
            <w:shd w:val="clear" w:color="auto" w:fill="auto"/>
            <w:vAlign w:val="center"/>
            <w:hideMark/>
          </w:tcPr>
          <w:p w14:paraId="71C67BF4"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 xml:space="preserve">89.122,00   </w:t>
            </w:r>
          </w:p>
        </w:tc>
        <w:tc>
          <w:tcPr>
            <w:tcW w:w="1417" w:type="dxa"/>
            <w:shd w:val="clear" w:color="auto" w:fill="auto"/>
            <w:vAlign w:val="center"/>
            <w:hideMark/>
          </w:tcPr>
          <w:p w14:paraId="668E25FE"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 xml:space="preserve">107.622,00   </w:t>
            </w:r>
          </w:p>
        </w:tc>
        <w:tc>
          <w:tcPr>
            <w:tcW w:w="1417" w:type="dxa"/>
            <w:shd w:val="clear" w:color="auto" w:fill="auto"/>
            <w:vAlign w:val="center"/>
            <w:hideMark/>
          </w:tcPr>
          <w:p w14:paraId="76545FE8"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 xml:space="preserve">116.122,00   </w:t>
            </w:r>
          </w:p>
        </w:tc>
      </w:tr>
      <w:tr w:rsidR="00C61794" w:rsidRPr="0066320E" w14:paraId="089A36B4" w14:textId="77777777" w:rsidTr="00FE452C">
        <w:trPr>
          <w:trHeight w:val="413"/>
        </w:trPr>
        <w:tc>
          <w:tcPr>
            <w:tcW w:w="4762" w:type="dxa"/>
            <w:shd w:val="clear" w:color="000000" w:fill="B6DDE8" w:themeFill="accent5" w:themeFillTint="66"/>
            <w:vAlign w:val="center"/>
            <w:hideMark/>
          </w:tcPr>
          <w:p w14:paraId="2291F8CC" w14:textId="77777777" w:rsidR="00273AB5" w:rsidRPr="0066320E" w:rsidRDefault="00273AB5" w:rsidP="008A3440">
            <w:pPr>
              <w:rPr>
                <w:rFonts w:ascii="Calibri" w:hAnsi="Calibri"/>
                <w:b/>
                <w:color w:val="000000" w:themeColor="text1"/>
                <w:lang w:val="uz-Cyrl-UZ"/>
              </w:rPr>
            </w:pPr>
            <w:r w:rsidRPr="0066320E">
              <w:rPr>
                <w:rFonts w:ascii="Calibri" w:hAnsi="Calibri"/>
                <w:b/>
                <w:color w:val="000000" w:themeColor="text1"/>
                <w:lang w:val="uz-Cyrl-UZ"/>
              </w:rPr>
              <w:t>TOTAL DE INGRESOS</w:t>
            </w:r>
          </w:p>
        </w:tc>
        <w:tc>
          <w:tcPr>
            <w:tcW w:w="1417" w:type="dxa"/>
            <w:shd w:val="clear" w:color="000000" w:fill="B6DDE8" w:themeFill="accent5" w:themeFillTint="66"/>
            <w:vAlign w:val="center"/>
            <w:hideMark/>
          </w:tcPr>
          <w:p w14:paraId="550277E2" w14:textId="77777777" w:rsidR="00273AB5" w:rsidRPr="0066320E" w:rsidRDefault="00273AB5" w:rsidP="008A3440">
            <w:pPr>
              <w:jc w:val="right"/>
              <w:rPr>
                <w:rFonts w:ascii="Calibri" w:hAnsi="Calibri"/>
                <w:b/>
                <w:color w:val="000000" w:themeColor="text1"/>
                <w:lang w:val="uz-Cyrl-UZ"/>
              </w:rPr>
            </w:pPr>
            <w:r w:rsidRPr="0066320E">
              <w:rPr>
                <w:rFonts w:ascii="Calibri" w:hAnsi="Calibri"/>
                <w:b/>
                <w:color w:val="000000" w:themeColor="text1"/>
                <w:lang w:val="uz-Cyrl-UZ"/>
              </w:rPr>
              <w:t>208.000</w:t>
            </w:r>
          </w:p>
        </w:tc>
        <w:tc>
          <w:tcPr>
            <w:tcW w:w="1417" w:type="dxa"/>
            <w:shd w:val="clear" w:color="000000" w:fill="B6DDE8" w:themeFill="accent5" w:themeFillTint="66"/>
            <w:vAlign w:val="center"/>
            <w:hideMark/>
          </w:tcPr>
          <w:p w14:paraId="5ABE07C5" w14:textId="77777777" w:rsidR="00273AB5" w:rsidRPr="0066320E" w:rsidRDefault="00273AB5" w:rsidP="008A3440">
            <w:pPr>
              <w:jc w:val="right"/>
              <w:rPr>
                <w:rFonts w:ascii="Calibri" w:hAnsi="Calibri"/>
                <w:b/>
                <w:color w:val="000000" w:themeColor="text1"/>
                <w:lang w:val="uz-Cyrl-UZ"/>
              </w:rPr>
            </w:pPr>
            <w:r w:rsidRPr="0066320E">
              <w:rPr>
                <w:rFonts w:ascii="Calibri" w:hAnsi="Calibri"/>
                <w:b/>
                <w:color w:val="000000" w:themeColor="text1"/>
                <w:lang w:val="uz-Cyrl-UZ"/>
              </w:rPr>
              <w:t>211.500</w:t>
            </w:r>
          </w:p>
        </w:tc>
        <w:tc>
          <w:tcPr>
            <w:tcW w:w="1417" w:type="dxa"/>
            <w:shd w:val="clear" w:color="000000" w:fill="B6DDE8" w:themeFill="accent5" w:themeFillTint="66"/>
            <w:vAlign w:val="center"/>
            <w:hideMark/>
          </w:tcPr>
          <w:p w14:paraId="473CF545" w14:textId="77777777" w:rsidR="00273AB5" w:rsidRPr="0066320E" w:rsidRDefault="00273AB5" w:rsidP="008A3440">
            <w:pPr>
              <w:jc w:val="right"/>
              <w:rPr>
                <w:rFonts w:ascii="Calibri" w:hAnsi="Calibri"/>
                <w:b/>
                <w:color w:val="000000" w:themeColor="text1"/>
                <w:lang w:val="uz-Cyrl-UZ"/>
              </w:rPr>
            </w:pPr>
            <w:r w:rsidRPr="0066320E">
              <w:rPr>
                <w:rFonts w:ascii="Calibri" w:hAnsi="Calibri"/>
                <w:b/>
                <w:color w:val="000000" w:themeColor="text1"/>
                <w:lang w:val="uz-Cyrl-UZ"/>
              </w:rPr>
              <w:t>220.000</w:t>
            </w:r>
          </w:p>
        </w:tc>
      </w:tr>
      <w:bookmarkEnd w:id="3"/>
    </w:tbl>
    <w:p w14:paraId="62CF2895" w14:textId="77777777" w:rsidR="00033233" w:rsidRPr="0066320E" w:rsidRDefault="00033233" w:rsidP="00273AB5">
      <w:pPr>
        <w:rPr>
          <w:rFonts w:ascii="Calibri" w:hAnsi="Calibri"/>
          <w:b/>
          <w:lang w:val="uz-Cyrl-UZ"/>
        </w:rPr>
      </w:pPr>
    </w:p>
    <w:p w14:paraId="3FBC8DBF" w14:textId="59F85052" w:rsidR="004E2BC8" w:rsidRPr="0066320E" w:rsidRDefault="004E2BC8">
      <w:pPr>
        <w:rPr>
          <w:rFonts w:ascii="Calibri" w:hAnsi="Calibri" w:cs="Calibri"/>
          <w:b/>
          <w:lang w:val="uz-Cyrl-UZ"/>
        </w:rPr>
      </w:pPr>
      <w:r w:rsidRPr="0066320E">
        <w:rPr>
          <w:lang w:val="uz-Cyrl-UZ"/>
        </w:rPr>
        <w:br w:type="page"/>
      </w:r>
    </w:p>
    <w:p w14:paraId="1F315AAE" w14:textId="60B4F1A0" w:rsidR="00273AB5" w:rsidRPr="0066320E" w:rsidRDefault="00273AB5" w:rsidP="00273AB5">
      <w:pPr>
        <w:rPr>
          <w:rFonts w:ascii="Calibri" w:hAnsi="Calibri" w:cs="Calibri"/>
          <w:b/>
          <w:lang w:val="uz-Cyrl-UZ"/>
        </w:rPr>
      </w:pPr>
      <w:r w:rsidRPr="0066320E">
        <w:rPr>
          <w:rFonts w:ascii="Calibri" w:hAnsi="Calibri"/>
          <w:b/>
          <w:lang w:val="uz-Cyrl-UZ"/>
        </w:rPr>
        <w:lastRenderedPageBreak/>
        <w:t xml:space="preserve">Cuadro 2. Contribución de los </w:t>
      </w:r>
      <w:r w:rsidR="00D81947">
        <w:rPr>
          <w:rFonts w:ascii="Calibri" w:hAnsi="Calibri"/>
          <w:b/>
          <w:lang w:val="uz-Cyrl-UZ"/>
        </w:rPr>
        <w:t>Estados</w:t>
      </w:r>
      <w:r w:rsidRPr="0066320E">
        <w:rPr>
          <w:rFonts w:ascii="Calibri" w:hAnsi="Calibri"/>
          <w:b/>
          <w:lang w:val="uz-Cyrl-UZ"/>
        </w:rPr>
        <w:t xml:space="preserve"> con arreglo a la Escala de cuotas de las Naciones Unidas para 2016-2018 (en euros)</w:t>
      </w:r>
    </w:p>
    <w:p w14:paraId="6FE3119E" w14:textId="77777777" w:rsidR="004E2BC8" w:rsidRPr="0066320E" w:rsidRDefault="004E2BC8" w:rsidP="00273AB5">
      <w:pPr>
        <w:rPr>
          <w:rFonts w:ascii="Calibri" w:hAnsi="Calibri"/>
          <w:lang w:val="uz-Cyrl-UZ"/>
        </w:rPr>
      </w:pPr>
    </w:p>
    <w:tbl>
      <w:tblPr>
        <w:tblW w:w="8977" w:type="dxa"/>
        <w:tblCellMar>
          <w:left w:w="70" w:type="dxa"/>
          <w:right w:w="70" w:type="dxa"/>
        </w:tblCellMar>
        <w:tblLook w:val="04A0" w:firstRow="1" w:lastRow="0" w:firstColumn="1" w:lastColumn="0" w:noHBand="0" w:noVBand="1"/>
      </w:tblPr>
      <w:tblGrid>
        <w:gridCol w:w="2500"/>
        <w:gridCol w:w="1560"/>
        <w:gridCol w:w="1884"/>
        <w:gridCol w:w="1616"/>
        <w:gridCol w:w="1417"/>
      </w:tblGrid>
      <w:tr w:rsidR="00273AB5" w:rsidRPr="0066320E" w14:paraId="7A043A42" w14:textId="77777777" w:rsidTr="008A3440">
        <w:trPr>
          <w:trHeight w:val="600"/>
        </w:trPr>
        <w:tc>
          <w:tcPr>
            <w:tcW w:w="25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3707D08" w14:textId="154CCB80" w:rsidR="00273AB5" w:rsidRPr="0066320E" w:rsidRDefault="00D81947" w:rsidP="008A3440">
            <w:pPr>
              <w:rPr>
                <w:rFonts w:ascii="Calibri" w:hAnsi="Calibri"/>
                <w:b/>
                <w:color w:val="000000"/>
                <w:lang w:val="uz-Cyrl-UZ"/>
              </w:rPr>
            </w:pPr>
            <w:r>
              <w:rPr>
                <w:rFonts w:ascii="Calibri" w:hAnsi="Calibri"/>
                <w:b/>
                <w:color w:val="000000"/>
                <w:lang w:val="uz-Cyrl-UZ"/>
              </w:rPr>
              <w:t>Estado</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4D79821C" w14:textId="4B98BBB6" w:rsidR="00273AB5" w:rsidRPr="0066320E" w:rsidRDefault="00273AB5" w:rsidP="00D81947">
            <w:pPr>
              <w:jc w:val="center"/>
              <w:rPr>
                <w:rFonts w:ascii="Calibri" w:hAnsi="Calibri"/>
                <w:b/>
                <w:color w:val="000000"/>
                <w:lang w:val="uz-Cyrl-UZ"/>
              </w:rPr>
            </w:pPr>
            <w:r w:rsidRPr="0066320E">
              <w:rPr>
                <w:rFonts w:ascii="Calibri" w:hAnsi="Calibri"/>
                <w:b/>
                <w:color w:val="000000"/>
                <w:lang w:val="uz-Cyrl-UZ"/>
              </w:rPr>
              <w:t xml:space="preserve">Naciones Unidas 2018, todos los </w:t>
            </w:r>
            <w:r w:rsidR="00D81947">
              <w:rPr>
                <w:rFonts w:ascii="Calibri" w:hAnsi="Calibri"/>
                <w:b/>
                <w:color w:val="000000"/>
                <w:lang w:val="uz-Cyrl-UZ"/>
              </w:rPr>
              <w:t>Estados</w:t>
            </w:r>
          </w:p>
        </w:tc>
        <w:tc>
          <w:tcPr>
            <w:tcW w:w="1884" w:type="dxa"/>
            <w:tcBorders>
              <w:top w:val="single" w:sz="4" w:space="0" w:color="auto"/>
              <w:left w:val="nil"/>
              <w:bottom w:val="single" w:sz="4" w:space="0" w:color="auto"/>
              <w:right w:val="single" w:sz="4" w:space="0" w:color="auto"/>
            </w:tcBorders>
            <w:shd w:val="clear" w:color="000000" w:fill="DDEBF7"/>
            <w:vAlign w:val="center"/>
            <w:hideMark/>
          </w:tcPr>
          <w:p w14:paraId="49813CB8" w14:textId="77777777" w:rsidR="00273AB5" w:rsidRPr="0066320E" w:rsidRDefault="00273AB5" w:rsidP="008A3440">
            <w:pPr>
              <w:jc w:val="center"/>
              <w:rPr>
                <w:rFonts w:ascii="Calibri" w:hAnsi="Calibri"/>
                <w:b/>
                <w:color w:val="000000"/>
                <w:lang w:val="uz-Cyrl-UZ"/>
              </w:rPr>
            </w:pPr>
            <w:r w:rsidRPr="0066320E">
              <w:rPr>
                <w:rFonts w:ascii="Calibri" w:hAnsi="Calibri"/>
                <w:b/>
                <w:color w:val="000000"/>
                <w:lang w:val="uz-Cyrl-UZ"/>
              </w:rPr>
              <w:t>Naciones Unidas, 2018</w:t>
            </w:r>
          </w:p>
          <w:p w14:paraId="7E0342CB" w14:textId="6419F020" w:rsidR="00273AB5" w:rsidRPr="0066320E" w:rsidRDefault="00273AB5" w:rsidP="008A3440">
            <w:pPr>
              <w:jc w:val="center"/>
              <w:rPr>
                <w:rFonts w:ascii="Calibri" w:hAnsi="Calibri"/>
                <w:b/>
                <w:color w:val="000000"/>
                <w:lang w:val="uz-Cyrl-UZ"/>
              </w:rPr>
            </w:pPr>
            <w:r w:rsidRPr="0066320E">
              <w:rPr>
                <w:rFonts w:ascii="Calibri" w:hAnsi="Calibri"/>
                <w:b/>
                <w:color w:val="000000"/>
                <w:lang w:val="uz-Cyrl-UZ"/>
              </w:rPr>
              <w:t>Estados de</w:t>
            </w:r>
            <w:r w:rsidR="00D81947">
              <w:rPr>
                <w:rFonts w:ascii="Calibri" w:hAnsi="Calibri"/>
                <w:b/>
                <w:color w:val="000000"/>
                <w:lang w:val="uz-Cyrl-UZ"/>
              </w:rPr>
              <w:t>l</w:t>
            </w:r>
            <w:r w:rsidRPr="0066320E">
              <w:rPr>
                <w:rFonts w:ascii="Calibri" w:hAnsi="Calibri"/>
                <w:b/>
                <w:color w:val="000000"/>
                <w:lang w:val="uz-Cyrl-UZ"/>
              </w:rPr>
              <w:t xml:space="preserve"> Med.</w:t>
            </w:r>
          </w:p>
        </w:tc>
        <w:tc>
          <w:tcPr>
            <w:tcW w:w="1616" w:type="dxa"/>
            <w:tcBorders>
              <w:top w:val="single" w:sz="4" w:space="0" w:color="auto"/>
              <w:left w:val="nil"/>
              <w:bottom w:val="single" w:sz="4" w:space="0" w:color="auto"/>
              <w:right w:val="single" w:sz="4" w:space="0" w:color="auto"/>
            </w:tcBorders>
            <w:shd w:val="clear" w:color="000000" w:fill="DDEBF7"/>
            <w:noWrap/>
            <w:vAlign w:val="bottom"/>
            <w:hideMark/>
          </w:tcPr>
          <w:p w14:paraId="5E2671C9"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 xml:space="preserve"> Euro</w:t>
            </w:r>
          </w:p>
        </w:tc>
        <w:tc>
          <w:tcPr>
            <w:tcW w:w="1417" w:type="dxa"/>
            <w:tcBorders>
              <w:top w:val="single" w:sz="4" w:space="0" w:color="auto"/>
              <w:left w:val="nil"/>
              <w:bottom w:val="single" w:sz="4" w:space="0" w:color="auto"/>
              <w:right w:val="single" w:sz="4" w:space="0" w:color="auto"/>
            </w:tcBorders>
            <w:shd w:val="clear" w:color="000000" w:fill="DDEBF7"/>
            <w:noWrap/>
            <w:vAlign w:val="bottom"/>
            <w:hideMark/>
          </w:tcPr>
          <w:p w14:paraId="03E81898" w14:textId="77777777" w:rsidR="00273AB5" w:rsidRPr="0066320E" w:rsidRDefault="00273AB5" w:rsidP="008A3440">
            <w:pPr>
              <w:rPr>
                <w:rFonts w:ascii="Calibri" w:hAnsi="Calibri"/>
                <w:b/>
                <w:color w:val="000000"/>
                <w:lang w:val="uz-Cyrl-UZ"/>
              </w:rPr>
            </w:pPr>
            <w:r w:rsidRPr="0066320E">
              <w:rPr>
                <w:rFonts w:ascii="Calibri" w:hAnsi="Calibri"/>
                <w:b/>
                <w:color w:val="000000"/>
                <w:lang w:val="uz-Cyrl-UZ"/>
              </w:rPr>
              <w:t>Porcentaje</w:t>
            </w:r>
          </w:p>
        </w:tc>
      </w:tr>
      <w:tr w:rsidR="00D81947" w:rsidRPr="0066320E" w14:paraId="76F020E4"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E249F7F"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Albania</w:t>
            </w:r>
          </w:p>
        </w:tc>
        <w:tc>
          <w:tcPr>
            <w:tcW w:w="1560" w:type="dxa"/>
            <w:tcBorders>
              <w:top w:val="nil"/>
              <w:left w:val="nil"/>
              <w:bottom w:val="single" w:sz="4" w:space="0" w:color="auto"/>
              <w:right w:val="single" w:sz="4" w:space="0" w:color="auto"/>
            </w:tcBorders>
            <w:shd w:val="clear" w:color="auto" w:fill="auto"/>
            <w:noWrap/>
            <w:vAlign w:val="bottom"/>
            <w:hideMark/>
          </w:tcPr>
          <w:p w14:paraId="7E0784D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0,008</w:t>
            </w:r>
          </w:p>
        </w:tc>
        <w:tc>
          <w:tcPr>
            <w:tcW w:w="1884" w:type="dxa"/>
            <w:tcBorders>
              <w:top w:val="nil"/>
              <w:left w:val="nil"/>
              <w:bottom w:val="single" w:sz="4" w:space="0" w:color="auto"/>
              <w:right w:val="single" w:sz="4" w:space="0" w:color="auto"/>
            </w:tcBorders>
            <w:shd w:val="clear" w:color="auto" w:fill="auto"/>
            <w:noWrap/>
            <w:vAlign w:val="bottom"/>
            <w:hideMark/>
          </w:tcPr>
          <w:p w14:paraId="017FB3F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0,056</w:t>
            </w:r>
          </w:p>
        </w:tc>
        <w:tc>
          <w:tcPr>
            <w:tcW w:w="1616" w:type="dxa"/>
            <w:tcBorders>
              <w:top w:val="nil"/>
              <w:left w:val="nil"/>
              <w:bottom w:val="single" w:sz="4" w:space="0" w:color="auto"/>
              <w:right w:val="single" w:sz="4" w:space="0" w:color="auto"/>
            </w:tcBorders>
            <w:shd w:val="clear" w:color="auto" w:fill="auto"/>
            <w:noWrap/>
            <w:vAlign w:val="bottom"/>
            <w:hideMark/>
          </w:tcPr>
          <w:p w14:paraId="1B28342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514   </w:t>
            </w:r>
          </w:p>
        </w:tc>
        <w:tc>
          <w:tcPr>
            <w:tcW w:w="1417" w:type="dxa"/>
            <w:tcBorders>
              <w:top w:val="nil"/>
              <w:left w:val="nil"/>
              <w:bottom w:val="single" w:sz="4" w:space="0" w:color="auto"/>
              <w:right w:val="single" w:sz="4" w:space="0" w:color="auto"/>
            </w:tcBorders>
            <w:shd w:val="clear" w:color="auto" w:fill="auto"/>
            <w:noWrap/>
            <w:vAlign w:val="bottom"/>
            <w:hideMark/>
          </w:tcPr>
          <w:p w14:paraId="70653D5E"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280D1D59"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52AB60C"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Andorra</w:t>
            </w:r>
          </w:p>
        </w:tc>
        <w:tc>
          <w:tcPr>
            <w:tcW w:w="1560" w:type="dxa"/>
            <w:tcBorders>
              <w:top w:val="nil"/>
              <w:left w:val="nil"/>
              <w:bottom w:val="single" w:sz="4" w:space="0" w:color="auto"/>
              <w:right w:val="single" w:sz="4" w:space="0" w:color="auto"/>
            </w:tcBorders>
            <w:shd w:val="clear" w:color="auto" w:fill="auto"/>
            <w:noWrap/>
            <w:vAlign w:val="bottom"/>
            <w:hideMark/>
          </w:tcPr>
          <w:p w14:paraId="0296E7DE"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0,006</w:t>
            </w:r>
          </w:p>
        </w:tc>
        <w:tc>
          <w:tcPr>
            <w:tcW w:w="1884" w:type="dxa"/>
            <w:tcBorders>
              <w:top w:val="nil"/>
              <w:left w:val="nil"/>
              <w:bottom w:val="single" w:sz="4" w:space="0" w:color="auto"/>
              <w:right w:val="single" w:sz="4" w:space="0" w:color="auto"/>
            </w:tcBorders>
            <w:shd w:val="clear" w:color="auto" w:fill="auto"/>
            <w:noWrap/>
            <w:vAlign w:val="bottom"/>
            <w:hideMark/>
          </w:tcPr>
          <w:p w14:paraId="7249ECB6"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0,042</w:t>
            </w:r>
          </w:p>
        </w:tc>
        <w:tc>
          <w:tcPr>
            <w:tcW w:w="1616" w:type="dxa"/>
            <w:tcBorders>
              <w:top w:val="nil"/>
              <w:left w:val="nil"/>
              <w:bottom w:val="single" w:sz="4" w:space="0" w:color="auto"/>
              <w:right w:val="single" w:sz="4" w:space="0" w:color="auto"/>
            </w:tcBorders>
            <w:shd w:val="clear" w:color="auto" w:fill="auto"/>
            <w:noWrap/>
            <w:vAlign w:val="bottom"/>
            <w:hideMark/>
          </w:tcPr>
          <w:p w14:paraId="190B03C0"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514   </w:t>
            </w:r>
          </w:p>
        </w:tc>
        <w:tc>
          <w:tcPr>
            <w:tcW w:w="1417" w:type="dxa"/>
            <w:tcBorders>
              <w:top w:val="nil"/>
              <w:left w:val="nil"/>
              <w:bottom w:val="single" w:sz="4" w:space="0" w:color="auto"/>
              <w:right w:val="single" w:sz="4" w:space="0" w:color="auto"/>
            </w:tcBorders>
            <w:shd w:val="clear" w:color="auto" w:fill="auto"/>
            <w:noWrap/>
            <w:vAlign w:val="bottom"/>
            <w:hideMark/>
          </w:tcPr>
          <w:p w14:paraId="569B8A1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522F847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2BB162"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Argelia</w:t>
            </w:r>
          </w:p>
        </w:tc>
        <w:tc>
          <w:tcPr>
            <w:tcW w:w="1560" w:type="dxa"/>
            <w:tcBorders>
              <w:top w:val="nil"/>
              <w:left w:val="nil"/>
              <w:bottom w:val="single" w:sz="4" w:space="0" w:color="auto"/>
              <w:right w:val="single" w:sz="4" w:space="0" w:color="auto"/>
            </w:tcBorders>
            <w:shd w:val="clear" w:color="auto" w:fill="auto"/>
            <w:noWrap/>
            <w:vAlign w:val="bottom"/>
            <w:hideMark/>
          </w:tcPr>
          <w:p w14:paraId="1940AC1C"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0,161</w:t>
            </w:r>
          </w:p>
        </w:tc>
        <w:tc>
          <w:tcPr>
            <w:tcW w:w="1884" w:type="dxa"/>
            <w:tcBorders>
              <w:top w:val="nil"/>
              <w:left w:val="nil"/>
              <w:bottom w:val="single" w:sz="4" w:space="0" w:color="auto"/>
              <w:right w:val="single" w:sz="4" w:space="0" w:color="auto"/>
            </w:tcBorders>
            <w:shd w:val="clear" w:color="auto" w:fill="auto"/>
            <w:noWrap/>
            <w:vAlign w:val="bottom"/>
            <w:hideMark/>
          </w:tcPr>
          <w:p w14:paraId="611767C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1,123</w:t>
            </w:r>
          </w:p>
        </w:tc>
        <w:tc>
          <w:tcPr>
            <w:tcW w:w="1616" w:type="dxa"/>
            <w:tcBorders>
              <w:top w:val="nil"/>
              <w:left w:val="nil"/>
              <w:bottom w:val="single" w:sz="4" w:space="0" w:color="auto"/>
              <w:right w:val="single" w:sz="4" w:space="0" w:color="auto"/>
            </w:tcBorders>
            <w:shd w:val="clear" w:color="auto" w:fill="auto"/>
            <w:noWrap/>
            <w:vAlign w:val="bottom"/>
            <w:hideMark/>
          </w:tcPr>
          <w:p w14:paraId="59F5A45F" w14:textId="3D660345"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w:t>
            </w:r>
            <w:r>
              <w:rPr>
                <w:rFonts w:ascii="Calibri" w:hAnsi="Calibri"/>
                <w:color w:val="000000"/>
                <w:lang w:val="uz-Cyrl-UZ"/>
              </w:rPr>
              <w:t>.</w:t>
            </w:r>
            <w:r w:rsidRPr="0066320E">
              <w:rPr>
                <w:rFonts w:ascii="Calibri" w:hAnsi="Calibri"/>
                <w:color w:val="000000"/>
                <w:lang w:val="uz-Cyrl-UZ"/>
              </w:rPr>
              <w:t xml:space="preserve">466   </w:t>
            </w:r>
          </w:p>
        </w:tc>
        <w:tc>
          <w:tcPr>
            <w:tcW w:w="1417" w:type="dxa"/>
            <w:tcBorders>
              <w:top w:val="nil"/>
              <w:left w:val="nil"/>
              <w:bottom w:val="single" w:sz="4" w:space="0" w:color="auto"/>
              <w:right w:val="single" w:sz="4" w:space="0" w:color="auto"/>
            </w:tcBorders>
            <w:shd w:val="clear" w:color="auto" w:fill="auto"/>
            <w:noWrap/>
            <w:vAlign w:val="bottom"/>
            <w:hideMark/>
          </w:tcPr>
          <w:p w14:paraId="3FAFB13F"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1,1 %</w:t>
            </w:r>
          </w:p>
        </w:tc>
      </w:tr>
      <w:tr w:rsidR="00D81947" w:rsidRPr="0066320E" w14:paraId="598D11CA"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3F9CD7C"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Bosnia y Herzegovina</w:t>
            </w:r>
          </w:p>
        </w:tc>
        <w:tc>
          <w:tcPr>
            <w:tcW w:w="1560" w:type="dxa"/>
            <w:tcBorders>
              <w:top w:val="nil"/>
              <w:left w:val="nil"/>
              <w:bottom w:val="single" w:sz="4" w:space="0" w:color="auto"/>
              <w:right w:val="single" w:sz="4" w:space="0" w:color="auto"/>
            </w:tcBorders>
            <w:shd w:val="clear" w:color="auto" w:fill="auto"/>
            <w:noWrap/>
            <w:vAlign w:val="bottom"/>
            <w:hideMark/>
          </w:tcPr>
          <w:p w14:paraId="214CB20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0,013</w:t>
            </w:r>
          </w:p>
        </w:tc>
        <w:tc>
          <w:tcPr>
            <w:tcW w:w="1884" w:type="dxa"/>
            <w:tcBorders>
              <w:top w:val="nil"/>
              <w:left w:val="nil"/>
              <w:bottom w:val="single" w:sz="4" w:space="0" w:color="auto"/>
              <w:right w:val="single" w:sz="4" w:space="0" w:color="auto"/>
            </w:tcBorders>
            <w:shd w:val="clear" w:color="auto" w:fill="auto"/>
            <w:noWrap/>
            <w:vAlign w:val="bottom"/>
            <w:hideMark/>
          </w:tcPr>
          <w:p w14:paraId="1655FE20"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0,091</w:t>
            </w:r>
          </w:p>
        </w:tc>
        <w:tc>
          <w:tcPr>
            <w:tcW w:w="1616" w:type="dxa"/>
            <w:tcBorders>
              <w:top w:val="nil"/>
              <w:left w:val="nil"/>
              <w:bottom w:val="single" w:sz="4" w:space="0" w:color="auto"/>
              <w:right w:val="single" w:sz="4" w:space="0" w:color="auto"/>
            </w:tcBorders>
            <w:shd w:val="clear" w:color="auto" w:fill="auto"/>
            <w:noWrap/>
            <w:vAlign w:val="bottom"/>
            <w:hideMark/>
          </w:tcPr>
          <w:p w14:paraId="7C02CDB7"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514   </w:t>
            </w:r>
          </w:p>
        </w:tc>
        <w:tc>
          <w:tcPr>
            <w:tcW w:w="1417" w:type="dxa"/>
            <w:tcBorders>
              <w:top w:val="nil"/>
              <w:left w:val="nil"/>
              <w:bottom w:val="single" w:sz="4" w:space="0" w:color="auto"/>
              <w:right w:val="single" w:sz="4" w:space="0" w:color="auto"/>
            </w:tcBorders>
            <w:shd w:val="clear" w:color="auto" w:fill="auto"/>
            <w:noWrap/>
            <w:vAlign w:val="bottom"/>
            <w:hideMark/>
          </w:tcPr>
          <w:p w14:paraId="129AD93F"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5AF0A4AE"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F04C4D"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Bulgaria</w:t>
            </w:r>
          </w:p>
        </w:tc>
        <w:tc>
          <w:tcPr>
            <w:tcW w:w="1560" w:type="dxa"/>
            <w:tcBorders>
              <w:top w:val="nil"/>
              <w:left w:val="nil"/>
              <w:bottom w:val="single" w:sz="4" w:space="0" w:color="auto"/>
              <w:right w:val="single" w:sz="4" w:space="0" w:color="auto"/>
            </w:tcBorders>
            <w:shd w:val="clear" w:color="auto" w:fill="auto"/>
            <w:noWrap/>
            <w:vAlign w:val="bottom"/>
            <w:hideMark/>
          </w:tcPr>
          <w:p w14:paraId="04ABD841"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0,045</w:t>
            </w:r>
          </w:p>
        </w:tc>
        <w:tc>
          <w:tcPr>
            <w:tcW w:w="1884" w:type="dxa"/>
            <w:tcBorders>
              <w:top w:val="nil"/>
              <w:left w:val="nil"/>
              <w:bottom w:val="single" w:sz="4" w:space="0" w:color="auto"/>
              <w:right w:val="single" w:sz="4" w:space="0" w:color="auto"/>
            </w:tcBorders>
            <w:shd w:val="clear" w:color="auto" w:fill="auto"/>
            <w:noWrap/>
            <w:vAlign w:val="bottom"/>
            <w:hideMark/>
          </w:tcPr>
          <w:p w14:paraId="4F93E48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0,314</w:t>
            </w:r>
          </w:p>
        </w:tc>
        <w:tc>
          <w:tcPr>
            <w:tcW w:w="1616" w:type="dxa"/>
            <w:tcBorders>
              <w:top w:val="nil"/>
              <w:left w:val="nil"/>
              <w:bottom w:val="single" w:sz="4" w:space="0" w:color="auto"/>
              <w:right w:val="single" w:sz="4" w:space="0" w:color="auto"/>
            </w:tcBorders>
            <w:shd w:val="clear" w:color="auto" w:fill="auto"/>
            <w:noWrap/>
            <w:vAlign w:val="bottom"/>
            <w:hideMark/>
          </w:tcPr>
          <w:p w14:paraId="77B290E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86E4F9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449A13E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CEA89F7"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Chipre</w:t>
            </w:r>
          </w:p>
        </w:tc>
        <w:tc>
          <w:tcPr>
            <w:tcW w:w="1560" w:type="dxa"/>
            <w:tcBorders>
              <w:top w:val="nil"/>
              <w:left w:val="nil"/>
              <w:bottom w:val="single" w:sz="4" w:space="0" w:color="auto"/>
              <w:right w:val="single" w:sz="4" w:space="0" w:color="auto"/>
            </w:tcBorders>
            <w:shd w:val="clear" w:color="auto" w:fill="auto"/>
            <w:noWrap/>
            <w:vAlign w:val="bottom"/>
            <w:hideMark/>
          </w:tcPr>
          <w:p w14:paraId="2CBBB20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0,043</w:t>
            </w:r>
          </w:p>
        </w:tc>
        <w:tc>
          <w:tcPr>
            <w:tcW w:w="1884" w:type="dxa"/>
            <w:tcBorders>
              <w:top w:val="nil"/>
              <w:left w:val="nil"/>
              <w:bottom w:val="single" w:sz="4" w:space="0" w:color="auto"/>
              <w:right w:val="single" w:sz="4" w:space="0" w:color="auto"/>
            </w:tcBorders>
            <w:shd w:val="clear" w:color="auto" w:fill="auto"/>
            <w:noWrap/>
            <w:vAlign w:val="bottom"/>
            <w:hideMark/>
          </w:tcPr>
          <w:p w14:paraId="37A8B21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0,300</w:t>
            </w:r>
          </w:p>
        </w:tc>
        <w:tc>
          <w:tcPr>
            <w:tcW w:w="1616" w:type="dxa"/>
            <w:tcBorders>
              <w:top w:val="nil"/>
              <w:left w:val="nil"/>
              <w:bottom w:val="single" w:sz="4" w:space="0" w:color="auto"/>
              <w:right w:val="single" w:sz="4" w:space="0" w:color="auto"/>
            </w:tcBorders>
            <w:shd w:val="clear" w:color="auto" w:fill="auto"/>
            <w:noWrap/>
            <w:vAlign w:val="bottom"/>
            <w:hideMark/>
          </w:tcPr>
          <w:p w14:paraId="5DC430F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A98023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40EE0DDB"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5FA84E5"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Croacia</w:t>
            </w:r>
          </w:p>
        </w:tc>
        <w:tc>
          <w:tcPr>
            <w:tcW w:w="1560" w:type="dxa"/>
            <w:tcBorders>
              <w:top w:val="nil"/>
              <w:left w:val="nil"/>
              <w:bottom w:val="single" w:sz="4" w:space="0" w:color="auto"/>
              <w:right w:val="single" w:sz="4" w:space="0" w:color="auto"/>
            </w:tcBorders>
            <w:shd w:val="clear" w:color="auto" w:fill="auto"/>
            <w:noWrap/>
            <w:vAlign w:val="bottom"/>
            <w:hideMark/>
          </w:tcPr>
          <w:p w14:paraId="56C9285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0,099</w:t>
            </w:r>
          </w:p>
        </w:tc>
        <w:tc>
          <w:tcPr>
            <w:tcW w:w="1884" w:type="dxa"/>
            <w:tcBorders>
              <w:top w:val="nil"/>
              <w:left w:val="nil"/>
              <w:bottom w:val="single" w:sz="4" w:space="0" w:color="auto"/>
              <w:right w:val="single" w:sz="4" w:space="0" w:color="auto"/>
            </w:tcBorders>
            <w:shd w:val="clear" w:color="auto" w:fill="auto"/>
            <w:noWrap/>
            <w:vAlign w:val="bottom"/>
            <w:hideMark/>
          </w:tcPr>
          <w:p w14:paraId="7E1CB78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0,690</w:t>
            </w:r>
          </w:p>
        </w:tc>
        <w:tc>
          <w:tcPr>
            <w:tcW w:w="1616" w:type="dxa"/>
            <w:tcBorders>
              <w:top w:val="nil"/>
              <w:left w:val="nil"/>
              <w:bottom w:val="single" w:sz="4" w:space="0" w:color="auto"/>
              <w:right w:val="single" w:sz="4" w:space="0" w:color="auto"/>
            </w:tcBorders>
            <w:shd w:val="clear" w:color="auto" w:fill="auto"/>
            <w:noWrap/>
            <w:vAlign w:val="bottom"/>
            <w:hideMark/>
          </w:tcPr>
          <w:p w14:paraId="2EBA1C9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901   </w:t>
            </w:r>
          </w:p>
        </w:tc>
        <w:tc>
          <w:tcPr>
            <w:tcW w:w="1417" w:type="dxa"/>
            <w:tcBorders>
              <w:top w:val="nil"/>
              <w:left w:val="nil"/>
              <w:bottom w:val="single" w:sz="4" w:space="0" w:color="auto"/>
              <w:right w:val="single" w:sz="4" w:space="0" w:color="auto"/>
            </w:tcBorders>
            <w:shd w:val="clear" w:color="auto" w:fill="auto"/>
            <w:noWrap/>
            <w:vAlign w:val="bottom"/>
            <w:hideMark/>
          </w:tcPr>
          <w:p w14:paraId="34E7EFF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0,7 %</w:t>
            </w:r>
          </w:p>
        </w:tc>
      </w:tr>
      <w:tr w:rsidR="00D81947" w:rsidRPr="0066320E" w14:paraId="4A4466CD"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79661B4"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Egipto</w:t>
            </w:r>
          </w:p>
        </w:tc>
        <w:tc>
          <w:tcPr>
            <w:tcW w:w="1560" w:type="dxa"/>
            <w:tcBorders>
              <w:top w:val="nil"/>
              <w:left w:val="nil"/>
              <w:bottom w:val="single" w:sz="4" w:space="0" w:color="auto"/>
              <w:right w:val="single" w:sz="4" w:space="0" w:color="auto"/>
            </w:tcBorders>
            <w:shd w:val="clear" w:color="auto" w:fill="auto"/>
            <w:noWrap/>
            <w:vAlign w:val="bottom"/>
            <w:hideMark/>
          </w:tcPr>
          <w:p w14:paraId="2F2EF36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0,152</w:t>
            </w:r>
          </w:p>
        </w:tc>
        <w:tc>
          <w:tcPr>
            <w:tcW w:w="1884" w:type="dxa"/>
            <w:tcBorders>
              <w:top w:val="nil"/>
              <w:left w:val="nil"/>
              <w:bottom w:val="single" w:sz="4" w:space="0" w:color="auto"/>
              <w:right w:val="single" w:sz="4" w:space="0" w:color="auto"/>
            </w:tcBorders>
            <w:shd w:val="clear" w:color="auto" w:fill="auto"/>
            <w:noWrap/>
            <w:vAlign w:val="bottom"/>
            <w:hideMark/>
          </w:tcPr>
          <w:p w14:paraId="373BCAE6"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1,060</w:t>
            </w:r>
          </w:p>
        </w:tc>
        <w:tc>
          <w:tcPr>
            <w:tcW w:w="1616" w:type="dxa"/>
            <w:tcBorders>
              <w:top w:val="nil"/>
              <w:left w:val="nil"/>
              <w:bottom w:val="single" w:sz="4" w:space="0" w:color="auto"/>
              <w:right w:val="single" w:sz="4" w:space="0" w:color="auto"/>
            </w:tcBorders>
            <w:shd w:val="clear" w:color="auto" w:fill="auto"/>
            <w:noWrap/>
            <w:vAlign w:val="bottom"/>
            <w:hideMark/>
          </w:tcPr>
          <w:p w14:paraId="0BE39A4C" w14:textId="0D9832DB"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w:t>
            </w:r>
            <w:r>
              <w:rPr>
                <w:rFonts w:ascii="Calibri" w:hAnsi="Calibri"/>
                <w:color w:val="000000"/>
                <w:lang w:val="uz-Cyrl-UZ"/>
              </w:rPr>
              <w:t>.</w:t>
            </w:r>
            <w:r w:rsidRPr="0066320E">
              <w:rPr>
                <w:rFonts w:ascii="Calibri" w:hAnsi="Calibri"/>
                <w:color w:val="000000"/>
                <w:lang w:val="uz-Cyrl-UZ"/>
              </w:rPr>
              <w:t xml:space="preserve">384   </w:t>
            </w:r>
          </w:p>
        </w:tc>
        <w:tc>
          <w:tcPr>
            <w:tcW w:w="1417" w:type="dxa"/>
            <w:tcBorders>
              <w:top w:val="nil"/>
              <w:left w:val="nil"/>
              <w:bottom w:val="single" w:sz="4" w:space="0" w:color="auto"/>
              <w:right w:val="single" w:sz="4" w:space="0" w:color="auto"/>
            </w:tcBorders>
            <w:shd w:val="clear" w:color="auto" w:fill="auto"/>
            <w:noWrap/>
            <w:vAlign w:val="bottom"/>
            <w:hideMark/>
          </w:tcPr>
          <w:p w14:paraId="35A306B0"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1,1 %</w:t>
            </w:r>
          </w:p>
        </w:tc>
      </w:tr>
      <w:tr w:rsidR="00D81947" w:rsidRPr="0066320E" w14:paraId="3F2DD87D"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D28B0A6"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Eslovenia</w:t>
            </w:r>
          </w:p>
        </w:tc>
        <w:tc>
          <w:tcPr>
            <w:tcW w:w="1560" w:type="dxa"/>
            <w:tcBorders>
              <w:top w:val="nil"/>
              <w:left w:val="nil"/>
              <w:bottom w:val="single" w:sz="4" w:space="0" w:color="auto"/>
              <w:right w:val="single" w:sz="4" w:space="0" w:color="auto"/>
            </w:tcBorders>
            <w:shd w:val="clear" w:color="auto" w:fill="auto"/>
            <w:noWrap/>
            <w:vAlign w:val="bottom"/>
            <w:hideMark/>
          </w:tcPr>
          <w:p w14:paraId="5D0D928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0,084</w:t>
            </w:r>
          </w:p>
        </w:tc>
        <w:tc>
          <w:tcPr>
            <w:tcW w:w="1884" w:type="dxa"/>
            <w:tcBorders>
              <w:top w:val="nil"/>
              <w:left w:val="nil"/>
              <w:bottom w:val="single" w:sz="4" w:space="0" w:color="auto"/>
              <w:right w:val="single" w:sz="4" w:space="0" w:color="auto"/>
            </w:tcBorders>
            <w:shd w:val="clear" w:color="auto" w:fill="auto"/>
            <w:noWrap/>
            <w:vAlign w:val="bottom"/>
            <w:hideMark/>
          </w:tcPr>
          <w:p w14:paraId="6CBBA7D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0,586</w:t>
            </w:r>
          </w:p>
        </w:tc>
        <w:tc>
          <w:tcPr>
            <w:tcW w:w="1616" w:type="dxa"/>
            <w:tcBorders>
              <w:top w:val="nil"/>
              <w:left w:val="nil"/>
              <w:bottom w:val="single" w:sz="4" w:space="0" w:color="auto"/>
              <w:right w:val="single" w:sz="4" w:space="0" w:color="auto"/>
            </w:tcBorders>
            <w:shd w:val="clear" w:color="auto" w:fill="auto"/>
            <w:noWrap/>
            <w:vAlign w:val="bottom"/>
            <w:hideMark/>
          </w:tcPr>
          <w:p w14:paraId="7623295D"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765   </w:t>
            </w:r>
          </w:p>
        </w:tc>
        <w:tc>
          <w:tcPr>
            <w:tcW w:w="1417" w:type="dxa"/>
            <w:tcBorders>
              <w:top w:val="nil"/>
              <w:left w:val="nil"/>
              <w:bottom w:val="single" w:sz="4" w:space="0" w:color="auto"/>
              <w:right w:val="single" w:sz="4" w:space="0" w:color="auto"/>
            </w:tcBorders>
            <w:shd w:val="clear" w:color="auto" w:fill="auto"/>
            <w:noWrap/>
            <w:vAlign w:val="bottom"/>
            <w:hideMark/>
          </w:tcPr>
          <w:p w14:paraId="3DF6C69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0,6 %</w:t>
            </w:r>
          </w:p>
        </w:tc>
      </w:tr>
      <w:tr w:rsidR="00D81947" w:rsidRPr="0066320E" w14:paraId="4DBCC814"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CD70561"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España</w:t>
            </w:r>
          </w:p>
        </w:tc>
        <w:tc>
          <w:tcPr>
            <w:tcW w:w="1560" w:type="dxa"/>
            <w:tcBorders>
              <w:top w:val="nil"/>
              <w:left w:val="nil"/>
              <w:bottom w:val="single" w:sz="4" w:space="0" w:color="auto"/>
              <w:right w:val="single" w:sz="4" w:space="0" w:color="auto"/>
            </w:tcBorders>
            <w:shd w:val="clear" w:color="auto" w:fill="auto"/>
            <w:noWrap/>
            <w:vAlign w:val="bottom"/>
            <w:hideMark/>
          </w:tcPr>
          <w:p w14:paraId="3FF64F80"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2,443</w:t>
            </w:r>
          </w:p>
        </w:tc>
        <w:tc>
          <w:tcPr>
            <w:tcW w:w="1884" w:type="dxa"/>
            <w:tcBorders>
              <w:top w:val="nil"/>
              <w:left w:val="nil"/>
              <w:bottom w:val="single" w:sz="4" w:space="0" w:color="auto"/>
              <w:right w:val="single" w:sz="4" w:space="0" w:color="auto"/>
            </w:tcBorders>
            <w:shd w:val="clear" w:color="auto" w:fill="auto"/>
            <w:noWrap/>
            <w:vAlign w:val="bottom"/>
            <w:hideMark/>
          </w:tcPr>
          <w:p w14:paraId="6754C59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17,039</w:t>
            </w:r>
          </w:p>
        </w:tc>
        <w:tc>
          <w:tcPr>
            <w:tcW w:w="1616" w:type="dxa"/>
            <w:tcBorders>
              <w:top w:val="nil"/>
              <w:left w:val="nil"/>
              <w:bottom w:val="single" w:sz="4" w:space="0" w:color="auto"/>
              <w:right w:val="single" w:sz="4" w:space="0" w:color="auto"/>
            </w:tcBorders>
            <w:shd w:val="clear" w:color="auto" w:fill="auto"/>
            <w:noWrap/>
            <w:vAlign w:val="bottom"/>
            <w:hideMark/>
          </w:tcPr>
          <w:p w14:paraId="3A2D988F" w14:textId="22E3A54C"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22</w:t>
            </w:r>
            <w:r>
              <w:rPr>
                <w:rFonts w:ascii="Calibri" w:hAnsi="Calibri"/>
                <w:color w:val="000000"/>
                <w:lang w:val="uz-Cyrl-UZ"/>
              </w:rPr>
              <w:t>.</w:t>
            </w:r>
            <w:r w:rsidRPr="0066320E">
              <w:rPr>
                <w:rFonts w:ascii="Calibri" w:hAnsi="Calibri"/>
                <w:color w:val="000000"/>
                <w:lang w:val="uz-Cyrl-UZ"/>
              </w:rPr>
              <w:t xml:space="preserve">241   </w:t>
            </w:r>
          </w:p>
        </w:tc>
        <w:tc>
          <w:tcPr>
            <w:tcW w:w="1417" w:type="dxa"/>
            <w:tcBorders>
              <w:top w:val="nil"/>
              <w:left w:val="nil"/>
              <w:bottom w:val="single" w:sz="4" w:space="0" w:color="auto"/>
              <w:right w:val="single" w:sz="4" w:space="0" w:color="auto"/>
            </w:tcBorders>
            <w:shd w:val="clear" w:color="auto" w:fill="auto"/>
            <w:noWrap/>
            <w:vAlign w:val="bottom"/>
            <w:hideMark/>
          </w:tcPr>
          <w:p w14:paraId="02428A3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17,2 %</w:t>
            </w:r>
          </w:p>
        </w:tc>
      </w:tr>
      <w:tr w:rsidR="00D81947" w:rsidRPr="0066320E" w14:paraId="707F9375"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E548347"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Francia</w:t>
            </w:r>
          </w:p>
        </w:tc>
        <w:tc>
          <w:tcPr>
            <w:tcW w:w="1560" w:type="dxa"/>
            <w:tcBorders>
              <w:top w:val="nil"/>
              <w:left w:val="nil"/>
              <w:bottom w:val="single" w:sz="4" w:space="0" w:color="auto"/>
              <w:right w:val="single" w:sz="4" w:space="0" w:color="auto"/>
            </w:tcBorders>
            <w:shd w:val="clear" w:color="auto" w:fill="auto"/>
            <w:noWrap/>
            <w:vAlign w:val="bottom"/>
            <w:hideMark/>
          </w:tcPr>
          <w:p w14:paraId="6B3D2DB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4,859</w:t>
            </w:r>
          </w:p>
        </w:tc>
        <w:tc>
          <w:tcPr>
            <w:tcW w:w="1884" w:type="dxa"/>
            <w:tcBorders>
              <w:top w:val="nil"/>
              <w:left w:val="nil"/>
              <w:bottom w:val="single" w:sz="4" w:space="0" w:color="auto"/>
              <w:right w:val="single" w:sz="4" w:space="0" w:color="auto"/>
            </w:tcBorders>
            <w:shd w:val="clear" w:color="auto" w:fill="auto"/>
            <w:noWrap/>
            <w:vAlign w:val="bottom"/>
            <w:hideMark/>
          </w:tcPr>
          <w:p w14:paraId="2510513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33,889</w:t>
            </w:r>
          </w:p>
        </w:tc>
        <w:tc>
          <w:tcPr>
            <w:tcW w:w="1616" w:type="dxa"/>
            <w:tcBorders>
              <w:top w:val="nil"/>
              <w:left w:val="nil"/>
              <w:bottom w:val="single" w:sz="4" w:space="0" w:color="auto"/>
              <w:right w:val="single" w:sz="4" w:space="0" w:color="auto"/>
            </w:tcBorders>
            <w:shd w:val="clear" w:color="auto" w:fill="auto"/>
            <w:noWrap/>
            <w:vAlign w:val="bottom"/>
            <w:hideMark/>
          </w:tcPr>
          <w:p w14:paraId="7E07EB83" w14:textId="12490EC2"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44</w:t>
            </w:r>
            <w:r>
              <w:rPr>
                <w:rFonts w:ascii="Calibri" w:hAnsi="Calibri"/>
                <w:color w:val="000000"/>
                <w:lang w:val="uz-Cyrl-UZ"/>
              </w:rPr>
              <w:t>.</w:t>
            </w:r>
            <w:r w:rsidRPr="0066320E">
              <w:rPr>
                <w:rFonts w:ascii="Calibri" w:hAnsi="Calibri"/>
                <w:color w:val="000000"/>
                <w:lang w:val="uz-Cyrl-UZ"/>
              </w:rPr>
              <w:t xml:space="preserve">235   </w:t>
            </w:r>
          </w:p>
        </w:tc>
        <w:tc>
          <w:tcPr>
            <w:tcW w:w="1417" w:type="dxa"/>
            <w:tcBorders>
              <w:top w:val="nil"/>
              <w:left w:val="nil"/>
              <w:bottom w:val="single" w:sz="4" w:space="0" w:color="auto"/>
              <w:right w:val="single" w:sz="4" w:space="0" w:color="auto"/>
            </w:tcBorders>
            <w:shd w:val="clear" w:color="auto" w:fill="auto"/>
            <w:noWrap/>
            <w:vAlign w:val="bottom"/>
            <w:hideMark/>
          </w:tcPr>
          <w:p w14:paraId="10E30691"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34,2 %</w:t>
            </w:r>
          </w:p>
        </w:tc>
      </w:tr>
      <w:tr w:rsidR="00D81947" w:rsidRPr="0066320E" w14:paraId="534694E0"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948E4D7"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Grecia</w:t>
            </w:r>
          </w:p>
        </w:tc>
        <w:tc>
          <w:tcPr>
            <w:tcW w:w="1560" w:type="dxa"/>
            <w:tcBorders>
              <w:top w:val="nil"/>
              <w:left w:val="nil"/>
              <w:bottom w:val="single" w:sz="4" w:space="0" w:color="auto"/>
              <w:right w:val="single" w:sz="4" w:space="0" w:color="auto"/>
            </w:tcBorders>
            <w:shd w:val="clear" w:color="auto" w:fill="auto"/>
            <w:noWrap/>
            <w:vAlign w:val="bottom"/>
            <w:hideMark/>
          </w:tcPr>
          <w:p w14:paraId="2C7FF75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0,471</w:t>
            </w:r>
          </w:p>
        </w:tc>
        <w:tc>
          <w:tcPr>
            <w:tcW w:w="1884" w:type="dxa"/>
            <w:tcBorders>
              <w:top w:val="nil"/>
              <w:left w:val="nil"/>
              <w:bottom w:val="single" w:sz="4" w:space="0" w:color="auto"/>
              <w:right w:val="single" w:sz="4" w:space="0" w:color="auto"/>
            </w:tcBorders>
            <w:shd w:val="clear" w:color="auto" w:fill="auto"/>
            <w:noWrap/>
            <w:vAlign w:val="bottom"/>
            <w:hideMark/>
          </w:tcPr>
          <w:p w14:paraId="4440289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3,285</w:t>
            </w:r>
          </w:p>
        </w:tc>
        <w:tc>
          <w:tcPr>
            <w:tcW w:w="1616" w:type="dxa"/>
            <w:tcBorders>
              <w:top w:val="nil"/>
              <w:left w:val="nil"/>
              <w:bottom w:val="single" w:sz="4" w:space="0" w:color="auto"/>
              <w:right w:val="single" w:sz="4" w:space="0" w:color="auto"/>
            </w:tcBorders>
            <w:shd w:val="clear" w:color="auto" w:fill="auto"/>
            <w:noWrap/>
            <w:vAlign w:val="bottom"/>
            <w:hideMark/>
          </w:tcPr>
          <w:p w14:paraId="6C61B883" w14:textId="17C7DA28"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4</w:t>
            </w:r>
            <w:r>
              <w:rPr>
                <w:rFonts w:ascii="Calibri" w:hAnsi="Calibri"/>
                <w:color w:val="000000"/>
                <w:lang w:val="uz-Cyrl-UZ"/>
              </w:rPr>
              <w:t>.</w:t>
            </w:r>
            <w:r w:rsidRPr="0066320E">
              <w:rPr>
                <w:rFonts w:ascii="Calibri" w:hAnsi="Calibri"/>
                <w:color w:val="000000"/>
                <w:lang w:val="uz-Cyrl-UZ"/>
              </w:rPr>
              <w:t xml:space="preserve">288   </w:t>
            </w:r>
          </w:p>
        </w:tc>
        <w:tc>
          <w:tcPr>
            <w:tcW w:w="1417" w:type="dxa"/>
            <w:tcBorders>
              <w:top w:val="nil"/>
              <w:left w:val="nil"/>
              <w:bottom w:val="single" w:sz="4" w:space="0" w:color="auto"/>
              <w:right w:val="single" w:sz="4" w:space="0" w:color="auto"/>
            </w:tcBorders>
            <w:shd w:val="clear" w:color="auto" w:fill="auto"/>
            <w:noWrap/>
            <w:vAlign w:val="bottom"/>
            <w:hideMark/>
          </w:tcPr>
          <w:p w14:paraId="7BF0785D"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3,3 %</w:t>
            </w:r>
          </w:p>
        </w:tc>
      </w:tr>
      <w:tr w:rsidR="00D81947" w:rsidRPr="0066320E" w14:paraId="58FC3D6D"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5CA3069"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Israel</w:t>
            </w:r>
          </w:p>
        </w:tc>
        <w:tc>
          <w:tcPr>
            <w:tcW w:w="1560" w:type="dxa"/>
            <w:tcBorders>
              <w:top w:val="nil"/>
              <w:left w:val="nil"/>
              <w:bottom w:val="single" w:sz="4" w:space="0" w:color="auto"/>
              <w:right w:val="single" w:sz="4" w:space="0" w:color="auto"/>
            </w:tcBorders>
            <w:shd w:val="clear" w:color="auto" w:fill="auto"/>
            <w:noWrap/>
            <w:vAlign w:val="bottom"/>
            <w:hideMark/>
          </w:tcPr>
          <w:p w14:paraId="48B0209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0,43</w:t>
            </w:r>
          </w:p>
        </w:tc>
        <w:tc>
          <w:tcPr>
            <w:tcW w:w="1884" w:type="dxa"/>
            <w:tcBorders>
              <w:top w:val="nil"/>
              <w:left w:val="nil"/>
              <w:bottom w:val="single" w:sz="4" w:space="0" w:color="auto"/>
              <w:right w:val="single" w:sz="4" w:space="0" w:color="auto"/>
            </w:tcBorders>
            <w:shd w:val="clear" w:color="auto" w:fill="auto"/>
            <w:noWrap/>
            <w:vAlign w:val="bottom"/>
            <w:hideMark/>
          </w:tcPr>
          <w:p w14:paraId="27DED84F"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2,999</w:t>
            </w:r>
          </w:p>
        </w:tc>
        <w:tc>
          <w:tcPr>
            <w:tcW w:w="1616" w:type="dxa"/>
            <w:tcBorders>
              <w:top w:val="nil"/>
              <w:left w:val="nil"/>
              <w:bottom w:val="single" w:sz="4" w:space="0" w:color="auto"/>
              <w:right w:val="single" w:sz="4" w:space="0" w:color="auto"/>
            </w:tcBorders>
            <w:shd w:val="clear" w:color="auto" w:fill="auto"/>
            <w:noWrap/>
            <w:vAlign w:val="bottom"/>
            <w:hideMark/>
          </w:tcPr>
          <w:p w14:paraId="2B1D22EC" w14:textId="6908F46A"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w:t>
            </w:r>
            <w:r>
              <w:rPr>
                <w:rFonts w:ascii="Calibri" w:hAnsi="Calibri"/>
                <w:color w:val="000000"/>
                <w:lang w:val="uz-Cyrl-UZ"/>
              </w:rPr>
              <w:t>.</w:t>
            </w:r>
            <w:r w:rsidRPr="0066320E">
              <w:rPr>
                <w:rFonts w:ascii="Calibri" w:hAnsi="Calibri"/>
                <w:color w:val="000000"/>
                <w:lang w:val="uz-Cyrl-UZ"/>
              </w:rPr>
              <w:t xml:space="preserve">915   </w:t>
            </w:r>
          </w:p>
        </w:tc>
        <w:tc>
          <w:tcPr>
            <w:tcW w:w="1417" w:type="dxa"/>
            <w:tcBorders>
              <w:top w:val="nil"/>
              <w:left w:val="nil"/>
              <w:bottom w:val="single" w:sz="4" w:space="0" w:color="auto"/>
              <w:right w:val="single" w:sz="4" w:space="0" w:color="auto"/>
            </w:tcBorders>
            <w:shd w:val="clear" w:color="auto" w:fill="auto"/>
            <w:noWrap/>
            <w:vAlign w:val="bottom"/>
            <w:hideMark/>
          </w:tcPr>
          <w:p w14:paraId="17D1718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3,0 %</w:t>
            </w:r>
          </w:p>
        </w:tc>
      </w:tr>
      <w:tr w:rsidR="00D81947" w:rsidRPr="0066320E" w14:paraId="50586060" w14:textId="77777777" w:rsidTr="008A3440">
        <w:trPr>
          <w:trHeight w:val="354"/>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FCD5716"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Italia*</w:t>
            </w:r>
          </w:p>
        </w:tc>
        <w:tc>
          <w:tcPr>
            <w:tcW w:w="1560" w:type="dxa"/>
            <w:tcBorders>
              <w:top w:val="nil"/>
              <w:left w:val="nil"/>
              <w:bottom w:val="single" w:sz="4" w:space="0" w:color="auto"/>
              <w:right w:val="single" w:sz="4" w:space="0" w:color="auto"/>
            </w:tcBorders>
            <w:shd w:val="clear" w:color="auto" w:fill="auto"/>
            <w:noWrap/>
            <w:vAlign w:val="bottom"/>
            <w:hideMark/>
          </w:tcPr>
          <w:p w14:paraId="6392D4AF"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3,748</w:t>
            </w:r>
          </w:p>
        </w:tc>
        <w:tc>
          <w:tcPr>
            <w:tcW w:w="1884" w:type="dxa"/>
            <w:tcBorders>
              <w:top w:val="nil"/>
              <w:left w:val="nil"/>
              <w:bottom w:val="single" w:sz="4" w:space="0" w:color="auto"/>
              <w:right w:val="single" w:sz="4" w:space="0" w:color="auto"/>
            </w:tcBorders>
            <w:shd w:val="clear" w:color="auto" w:fill="auto"/>
            <w:noWrap/>
            <w:vAlign w:val="bottom"/>
            <w:hideMark/>
          </w:tcPr>
          <w:p w14:paraId="12F63AC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26,140</w:t>
            </w:r>
          </w:p>
        </w:tc>
        <w:tc>
          <w:tcPr>
            <w:tcW w:w="1616" w:type="dxa"/>
            <w:tcBorders>
              <w:top w:val="nil"/>
              <w:left w:val="nil"/>
              <w:bottom w:val="single" w:sz="4" w:space="0" w:color="auto"/>
              <w:right w:val="single" w:sz="4" w:space="0" w:color="auto"/>
            </w:tcBorders>
            <w:shd w:val="clear" w:color="auto" w:fill="auto"/>
            <w:noWrap/>
            <w:vAlign w:val="bottom"/>
            <w:hideMark/>
          </w:tcPr>
          <w:p w14:paraId="0B39D224" w14:textId="17957614"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28</w:t>
            </w:r>
            <w:r>
              <w:rPr>
                <w:rFonts w:ascii="Calibri" w:hAnsi="Calibri"/>
                <w:color w:val="000000"/>
                <w:lang w:val="uz-Cyrl-UZ"/>
              </w:rPr>
              <w:t>.</w:t>
            </w:r>
            <w:r w:rsidRPr="0066320E">
              <w:rPr>
                <w:rFonts w:ascii="Calibri" w:hAnsi="Calibri"/>
                <w:color w:val="000000"/>
                <w:lang w:val="uz-Cyrl-UZ"/>
              </w:rPr>
              <w:t xml:space="preserve">500   </w:t>
            </w:r>
          </w:p>
        </w:tc>
        <w:tc>
          <w:tcPr>
            <w:tcW w:w="1417" w:type="dxa"/>
            <w:tcBorders>
              <w:top w:val="nil"/>
              <w:left w:val="nil"/>
              <w:bottom w:val="single" w:sz="4" w:space="0" w:color="auto"/>
              <w:right w:val="single" w:sz="4" w:space="0" w:color="auto"/>
            </w:tcBorders>
            <w:shd w:val="clear" w:color="auto" w:fill="auto"/>
            <w:noWrap/>
            <w:vAlign w:val="bottom"/>
            <w:hideMark/>
          </w:tcPr>
          <w:p w14:paraId="443F6D7E"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22,0 %</w:t>
            </w:r>
          </w:p>
        </w:tc>
      </w:tr>
      <w:tr w:rsidR="00D81947" w:rsidRPr="0066320E" w14:paraId="44C41DB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9762867"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Jordania</w:t>
            </w:r>
          </w:p>
        </w:tc>
        <w:tc>
          <w:tcPr>
            <w:tcW w:w="1560" w:type="dxa"/>
            <w:tcBorders>
              <w:top w:val="nil"/>
              <w:left w:val="nil"/>
              <w:bottom w:val="single" w:sz="4" w:space="0" w:color="auto"/>
              <w:right w:val="single" w:sz="4" w:space="0" w:color="auto"/>
            </w:tcBorders>
            <w:shd w:val="clear" w:color="auto" w:fill="auto"/>
            <w:noWrap/>
            <w:vAlign w:val="bottom"/>
            <w:hideMark/>
          </w:tcPr>
          <w:p w14:paraId="74F8D5F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0,02</w:t>
            </w:r>
          </w:p>
        </w:tc>
        <w:tc>
          <w:tcPr>
            <w:tcW w:w="1884" w:type="dxa"/>
            <w:tcBorders>
              <w:top w:val="nil"/>
              <w:left w:val="nil"/>
              <w:bottom w:val="single" w:sz="4" w:space="0" w:color="auto"/>
              <w:right w:val="single" w:sz="4" w:space="0" w:color="auto"/>
            </w:tcBorders>
            <w:shd w:val="clear" w:color="auto" w:fill="auto"/>
            <w:noWrap/>
            <w:vAlign w:val="bottom"/>
            <w:hideMark/>
          </w:tcPr>
          <w:p w14:paraId="0935BA81"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0,139</w:t>
            </w:r>
          </w:p>
        </w:tc>
        <w:tc>
          <w:tcPr>
            <w:tcW w:w="1616" w:type="dxa"/>
            <w:tcBorders>
              <w:top w:val="nil"/>
              <w:left w:val="nil"/>
              <w:bottom w:val="single" w:sz="4" w:space="0" w:color="auto"/>
              <w:right w:val="single" w:sz="4" w:space="0" w:color="auto"/>
            </w:tcBorders>
            <w:shd w:val="clear" w:color="auto" w:fill="auto"/>
            <w:noWrap/>
            <w:vAlign w:val="bottom"/>
            <w:hideMark/>
          </w:tcPr>
          <w:p w14:paraId="6D40A2E1"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3B57E8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3082921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2B4EE6A" w14:textId="77777777" w:rsidR="00D81947" w:rsidRPr="0066320E" w:rsidRDefault="00D81947" w:rsidP="0082578C">
            <w:pPr>
              <w:rPr>
                <w:rFonts w:ascii="Calibri" w:hAnsi="Calibri"/>
                <w:color w:val="000000"/>
                <w:lang w:val="uz-Cyrl-UZ"/>
              </w:rPr>
            </w:pPr>
            <w:r w:rsidRPr="0066320E">
              <w:rPr>
                <w:rFonts w:ascii="Calibri" w:hAnsi="Calibri"/>
                <w:color w:val="000000"/>
                <w:lang w:val="uz-Cyrl-UZ"/>
              </w:rPr>
              <w:t>la ex República Yugoslava de Macedonia</w:t>
            </w:r>
          </w:p>
        </w:tc>
        <w:tc>
          <w:tcPr>
            <w:tcW w:w="1560" w:type="dxa"/>
            <w:tcBorders>
              <w:top w:val="nil"/>
              <w:left w:val="nil"/>
              <w:bottom w:val="single" w:sz="4" w:space="0" w:color="auto"/>
              <w:right w:val="single" w:sz="4" w:space="0" w:color="auto"/>
            </w:tcBorders>
            <w:shd w:val="clear" w:color="auto" w:fill="auto"/>
            <w:noWrap/>
            <w:vAlign w:val="bottom"/>
            <w:hideMark/>
          </w:tcPr>
          <w:p w14:paraId="622B38C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0,007</w:t>
            </w:r>
          </w:p>
        </w:tc>
        <w:tc>
          <w:tcPr>
            <w:tcW w:w="1884" w:type="dxa"/>
            <w:tcBorders>
              <w:top w:val="nil"/>
              <w:left w:val="nil"/>
              <w:bottom w:val="single" w:sz="4" w:space="0" w:color="auto"/>
              <w:right w:val="single" w:sz="4" w:space="0" w:color="auto"/>
            </w:tcBorders>
            <w:shd w:val="clear" w:color="auto" w:fill="auto"/>
            <w:noWrap/>
            <w:vAlign w:val="bottom"/>
            <w:hideMark/>
          </w:tcPr>
          <w:p w14:paraId="2F2E86E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0,049</w:t>
            </w:r>
          </w:p>
        </w:tc>
        <w:tc>
          <w:tcPr>
            <w:tcW w:w="1616" w:type="dxa"/>
            <w:tcBorders>
              <w:top w:val="nil"/>
              <w:left w:val="nil"/>
              <w:bottom w:val="single" w:sz="4" w:space="0" w:color="auto"/>
              <w:right w:val="single" w:sz="4" w:space="0" w:color="auto"/>
            </w:tcBorders>
            <w:shd w:val="clear" w:color="auto" w:fill="auto"/>
            <w:noWrap/>
            <w:vAlign w:val="bottom"/>
            <w:hideMark/>
          </w:tcPr>
          <w:p w14:paraId="26F95C5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758B0C7"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503D52DE"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C2B675B"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Líbano</w:t>
            </w:r>
          </w:p>
        </w:tc>
        <w:tc>
          <w:tcPr>
            <w:tcW w:w="1560" w:type="dxa"/>
            <w:tcBorders>
              <w:top w:val="nil"/>
              <w:left w:val="nil"/>
              <w:bottom w:val="single" w:sz="4" w:space="0" w:color="auto"/>
              <w:right w:val="single" w:sz="4" w:space="0" w:color="auto"/>
            </w:tcBorders>
            <w:shd w:val="clear" w:color="auto" w:fill="auto"/>
            <w:noWrap/>
            <w:vAlign w:val="bottom"/>
            <w:hideMark/>
          </w:tcPr>
          <w:p w14:paraId="4828D03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0,046</w:t>
            </w:r>
          </w:p>
        </w:tc>
        <w:tc>
          <w:tcPr>
            <w:tcW w:w="1884" w:type="dxa"/>
            <w:tcBorders>
              <w:top w:val="nil"/>
              <w:left w:val="nil"/>
              <w:bottom w:val="single" w:sz="4" w:space="0" w:color="auto"/>
              <w:right w:val="single" w:sz="4" w:space="0" w:color="auto"/>
            </w:tcBorders>
            <w:shd w:val="clear" w:color="auto" w:fill="auto"/>
            <w:noWrap/>
            <w:vAlign w:val="bottom"/>
            <w:hideMark/>
          </w:tcPr>
          <w:p w14:paraId="60C8DD1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0,321</w:t>
            </w:r>
          </w:p>
        </w:tc>
        <w:tc>
          <w:tcPr>
            <w:tcW w:w="1616" w:type="dxa"/>
            <w:tcBorders>
              <w:top w:val="nil"/>
              <w:left w:val="nil"/>
              <w:bottom w:val="single" w:sz="4" w:space="0" w:color="auto"/>
              <w:right w:val="single" w:sz="4" w:space="0" w:color="auto"/>
            </w:tcBorders>
            <w:shd w:val="clear" w:color="auto" w:fill="auto"/>
            <w:noWrap/>
            <w:vAlign w:val="bottom"/>
            <w:hideMark/>
          </w:tcPr>
          <w:p w14:paraId="14D6B903"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C847306"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00B7DC3C"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BA0F67F"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Libia</w:t>
            </w:r>
          </w:p>
        </w:tc>
        <w:tc>
          <w:tcPr>
            <w:tcW w:w="1560" w:type="dxa"/>
            <w:tcBorders>
              <w:top w:val="nil"/>
              <w:left w:val="nil"/>
              <w:bottom w:val="single" w:sz="4" w:space="0" w:color="auto"/>
              <w:right w:val="single" w:sz="4" w:space="0" w:color="auto"/>
            </w:tcBorders>
            <w:shd w:val="clear" w:color="auto" w:fill="auto"/>
            <w:noWrap/>
            <w:vAlign w:val="bottom"/>
            <w:hideMark/>
          </w:tcPr>
          <w:p w14:paraId="491D5CE6"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0,125</w:t>
            </w:r>
          </w:p>
        </w:tc>
        <w:tc>
          <w:tcPr>
            <w:tcW w:w="1884" w:type="dxa"/>
            <w:tcBorders>
              <w:top w:val="nil"/>
              <w:left w:val="nil"/>
              <w:bottom w:val="single" w:sz="4" w:space="0" w:color="auto"/>
              <w:right w:val="single" w:sz="4" w:space="0" w:color="auto"/>
            </w:tcBorders>
            <w:shd w:val="clear" w:color="auto" w:fill="auto"/>
            <w:noWrap/>
            <w:vAlign w:val="bottom"/>
            <w:hideMark/>
          </w:tcPr>
          <w:p w14:paraId="0681B99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0,872</w:t>
            </w:r>
          </w:p>
        </w:tc>
        <w:tc>
          <w:tcPr>
            <w:tcW w:w="1616" w:type="dxa"/>
            <w:tcBorders>
              <w:top w:val="nil"/>
              <w:left w:val="nil"/>
              <w:bottom w:val="single" w:sz="4" w:space="0" w:color="auto"/>
              <w:right w:val="single" w:sz="4" w:space="0" w:color="auto"/>
            </w:tcBorders>
            <w:shd w:val="clear" w:color="auto" w:fill="auto"/>
            <w:noWrap/>
            <w:vAlign w:val="bottom"/>
            <w:hideMark/>
          </w:tcPr>
          <w:p w14:paraId="39B903F6" w14:textId="5BDFA27F"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w:t>
            </w:r>
            <w:r>
              <w:rPr>
                <w:rFonts w:ascii="Calibri" w:hAnsi="Calibri"/>
                <w:color w:val="000000"/>
                <w:lang w:val="uz-Cyrl-UZ"/>
              </w:rPr>
              <w:t>.</w:t>
            </w:r>
            <w:r w:rsidRPr="0066320E">
              <w:rPr>
                <w:rFonts w:ascii="Calibri" w:hAnsi="Calibri"/>
                <w:color w:val="000000"/>
                <w:lang w:val="uz-Cyrl-UZ"/>
              </w:rPr>
              <w:t xml:space="preserve">138   </w:t>
            </w:r>
          </w:p>
        </w:tc>
        <w:tc>
          <w:tcPr>
            <w:tcW w:w="1417" w:type="dxa"/>
            <w:tcBorders>
              <w:top w:val="nil"/>
              <w:left w:val="nil"/>
              <w:bottom w:val="single" w:sz="4" w:space="0" w:color="auto"/>
              <w:right w:val="single" w:sz="4" w:space="0" w:color="auto"/>
            </w:tcBorders>
            <w:shd w:val="clear" w:color="auto" w:fill="auto"/>
            <w:noWrap/>
            <w:vAlign w:val="bottom"/>
            <w:hideMark/>
          </w:tcPr>
          <w:p w14:paraId="09D9B9C1"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0,9 %</w:t>
            </w:r>
          </w:p>
        </w:tc>
      </w:tr>
      <w:tr w:rsidR="00D81947" w:rsidRPr="0066320E" w14:paraId="257B21D6"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888A956"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Malta</w:t>
            </w:r>
          </w:p>
        </w:tc>
        <w:tc>
          <w:tcPr>
            <w:tcW w:w="1560" w:type="dxa"/>
            <w:tcBorders>
              <w:top w:val="nil"/>
              <w:left w:val="nil"/>
              <w:bottom w:val="single" w:sz="4" w:space="0" w:color="auto"/>
              <w:right w:val="single" w:sz="4" w:space="0" w:color="auto"/>
            </w:tcBorders>
            <w:shd w:val="clear" w:color="auto" w:fill="auto"/>
            <w:noWrap/>
            <w:vAlign w:val="bottom"/>
            <w:hideMark/>
          </w:tcPr>
          <w:p w14:paraId="1DD5234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0,016</w:t>
            </w:r>
          </w:p>
        </w:tc>
        <w:tc>
          <w:tcPr>
            <w:tcW w:w="1884" w:type="dxa"/>
            <w:tcBorders>
              <w:top w:val="nil"/>
              <w:left w:val="nil"/>
              <w:bottom w:val="single" w:sz="4" w:space="0" w:color="auto"/>
              <w:right w:val="single" w:sz="4" w:space="0" w:color="auto"/>
            </w:tcBorders>
            <w:shd w:val="clear" w:color="auto" w:fill="auto"/>
            <w:noWrap/>
            <w:vAlign w:val="bottom"/>
            <w:hideMark/>
          </w:tcPr>
          <w:p w14:paraId="14B75ABC"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0,112</w:t>
            </w:r>
          </w:p>
        </w:tc>
        <w:tc>
          <w:tcPr>
            <w:tcW w:w="1616" w:type="dxa"/>
            <w:tcBorders>
              <w:top w:val="nil"/>
              <w:left w:val="nil"/>
              <w:bottom w:val="single" w:sz="4" w:space="0" w:color="auto"/>
              <w:right w:val="single" w:sz="4" w:space="0" w:color="auto"/>
            </w:tcBorders>
            <w:shd w:val="clear" w:color="auto" w:fill="auto"/>
            <w:noWrap/>
            <w:vAlign w:val="bottom"/>
            <w:hideMark/>
          </w:tcPr>
          <w:p w14:paraId="5920AAC3"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543CF7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1DD67F73"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FCDD027"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Marruecos</w:t>
            </w:r>
          </w:p>
        </w:tc>
        <w:tc>
          <w:tcPr>
            <w:tcW w:w="1560" w:type="dxa"/>
            <w:tcBorders>
              <w:top w:val="nil"/>
              <w:left w:val="nil"/>
              <w:bottom w:val="single" w:sz="4" w:space="0" w:color="auto"/>
              <w:right w:val="single" w:sz="4" w:space="0" w:color="auto"/>
            </w:tcBorders>
            <w:shd w:val="clear" w:color="auto" w:fill="auto"/>
            <w:noWrap/>
            <w:vAlign w:val="bottom"/>
            <w:hideMark/>
          </w:tcPr>
          <w:p w14:paraId="15B757F7"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0,054</w:t>
            </w:r>
          </w:p>
        </w:tc>
        <w:tc>
          <w:tcPr>
            <w:tcW w:w="1884" w:type="dxa"/>
            <w:tcBorders>
              <w:top w:val="nil"/>
              <w:left w:val="nil"/>
              <w:bottom w:val="single" w:sz="4" w:space="0" w:color="auto"/>
              <w:right w:val="single" w:sz="4" w:space="0" w:color="auto"/>
            </w:tcBorders>
            <w:shd w:val="clear" w:color="auto" w:fill="auto"/>
            <w:noWrap/>
            <w:vAlign w:val="bottom"/>
            <w:hideMark/>
          </w:tcPr>
          <w:p w14:paraId="35B6528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0,377</w:t>
            </w:r>
          </w:p>
        </w:tc>
        <w:tc>
          <w:tcPr>
            <w:tcW w:w="1616" w:type="dxa"/>
            <w:tcBorders>
              <w:top w:val="nil"/>
              <w:left w:val="nil"/>
              <w:bottom w:val="single" w:sz="4" w:space="0" w:color="auto"/>
              <w:right w:val="single" w:sz="4" w:space="0" w:color="auto"/>
            </w:tcBorders>
            <w:shd w:val="clear" w:color="auto" w:fill="auto"/>
            <w:noWrap/>
            <w:vAlign w:val="bottom"/>
            <w:hideMark/>
          </w:tcPr>
          <w:p w14:paraId="2E880C6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450E10D"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23B36C3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8E41C71"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Mónaco</w:t>
            </w:r>
          </w:p>
        </w:tc>
        <w:tc>
          <w:tcPr>
            <w:tcW w:w="1560" w:type="dxa"/>
            <w:tcBorders>
              <w:top w:val="nil"/>
              <w:left w:val="nil"/>
              <w:bottom w:val="single" w:sz="4" w:space="0" w:color="auto"/>
              <w:right w:val="single" w:sz="4" w:space="0" w:color="auto"/>
            </w:tcBorders>
            <w:shd w:val="clear" w:color="auto" w:fill="auto"/>
            <w:noWrap/>
            <w:vAlign w:val="bottom"/>
            <w:hideMark/>
          </w:tcPr>
          <w:p w14:paraId="722407B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0,01</w:t>
            </w:r>
          </w:p>
        </w:tc>
        <w:tc>
          <w:tcPr>
            <w:tcW w:w="1884" w:type="dxa"/>
            <w:tcBorders>
              <w:top w:val="nil"/>
              <w:left w:val="nil"/>
              <w:bottom w:val="single" w:sz="4" w:space="0" w:color="auto"/>
              <w:right w:val="single" w:sz="4" w:space="0" w:color="auto"/>
            </w:tcBorders>
            <w:shd w:val="clear" w:color="auto" w:fill="auto"/>
            <w:noWrap/>
            <w:vAlign w:val="bottom"/>
            <w:hideMark/>
          </w:tcPr>
          <w:p w14:paraId="6B48200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0,070</w:t>
            </w:r>
          </w:p>
        </w:tc>
        <w:tc>
          <w:tcPr>
            <w:tcW w:w="1616" w:type="dxa"/>
            <w:tcBorders>
              <w:top w:val="nil"/>
              <w:left w:val="nil"/>
              <w:bottom w:val="single" w:sz="4" w:space="0" w:color="auto"/>
              <w:right w:val="single" w:sz="4" w:space="0" w:color="auto"/>
            </w:tcBorders>
            <w:shd w:val="clear" w:color="auto" w:fill="auto"/>
            <w:noWrap/>
            <w:vAlign w:val="bottom"/>
            <w:hideMark/>
          </w:tcPr>
          <w:p w14:paraId="4901FA8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BF4A6E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04FBFFB2"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54B6FB2"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Montenegro</w:t>
            </w:r>
          </w:p>
        </w:tc>
        <w:tc>
          <w:tcPr>
            <w:tcW w:w="1560" w:type="dxa"/>
            <w:tcBorders>
              <w:top w:val="nil"/>
              <w:left w:val="nil"/>
              <w:bottom w:val="single" w:sz="4" w:space="0" w:color="auto"/>
              <w:right w:val="single" w:sz="4" w:space="0" w:color="auto"/>
            </w:tcBorders>
            <w:shd w:val="clear" w:color="auto" w:fill="auto"/>
            <w:noWrap/>
            <w:vAlign w:val="bottom"/>
            <w:hideMark/>
          </w:tcPr>
          <w:p w14:paraId="2A08C0D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0,004</w:t>
            </w:r>
          </w:p>
        </w:tc>
        <w:tc>
          <w:tcPr>
            <w:tcW w:w="1884" w:type="dxa"/>
            <w:tcBorders>
              <w:top w:val="nil"/>
              <w:left w:val="nil"/>
              <w:bottom w:val="single" w:sz="4" w:space="0" w:color="auto"/>
              <w:right w:val="single" w:sz="4" w:space="0" w:color="auto"/>
            </w:tcBorders>
            <w:shd w:val="clear" w:color="auto" w:fill="auto"/>
            <w:noWrap/>
            <w:vAlign w:val="bottom"/>
            <w:hideMark/>
          </w:tcPr>
          <w:p w14:paraId="2CDB4616"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0,028</w:t>
            </w:r>
          </w:p>
        </w:tc>
        <w:tc>
          <w:tcPr>
            <w:tcW w:w="1616" w:type="dxa"/>
            <w:tcBorders>
              <w:top w:val="nil"/>
              <w:left w:val="nil"/>
              <w:bottom w:val="single" w:sz="4" w:space="0" w:color="auto"/>
              <w:right w:val="single" w:sz="4" w:space="0" w:color="auto"/>
            </w:tcBorders>
            <w:shd w:val="clear" w:color="auto" w:fill="auto"/>
            <w:noWrap/>
            <w:vAlign w:val="bottom"/>
            <w:hideMark/>
          </w:tcPr>
          <w:p w14:paraId="731C7A21"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26863069"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766C30C0"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28CF115"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Portugal</w:t>
            </w:r>
          </w:p>
        </w:tc>
        <w:tc>
          <w:tcPr>
            <w:tcW w:w="1560" w:type="dxa"/>
            <w:tcBorders>
              <w:top w:val="nil"/>
              <w:left w:val="nil"/>
              <w:bottom w:val="single" w:sz="4" w:space="0" w:color="auto"/>
              <w:right w:val="single" w:sz="4" w:space="0" w:color="auto"/>
            </w:tcBorders>
            <w:shd w:val="clear" w:color="auto" w:fill="auto"/>
            <w:noWrap/>
            <w:vAlign w:val="bottom"/>
            <w:hideMark/>
          </w:tcPr>
          <w:p w14:paraId="04098CEC"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0,392</w:t>
            </w:r>
          </w:p>
        </w:tc>
        <w:tc>
          <w:tcPr>
            <w:tcW w:w="1884" w:type="dxa"/>
            <w:tcBorders>
              <w:top w:val="nil"/>
              <w:left w:val="nil"/>
              <w:bottom w:val="single" w:sz="4" w:space="0" w:color="auto"/>
              <w:right w:val="single" w:sz="4" w:space="0" w:color="auto"/>
            </w:tcBorders>
            <w:shd w:val="clear" w:color="auto" w:fill="auto"/>
            <w:noWrap/>
            <w:vAlign w:val="bottom"/>
            <w:hideMark/>
          </w:tcPr>
          <w:p w14:paraId="7D6FE87C"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2.734</w:t>
            </w:r>
          </w:p>
        </w:tc>
        <w:tc>
          <w:tcPr>
            <w:tcW w:w="1616" w:type="dxa"/>
            <w:tcBorders>
              <w:top w:val="nil"/>
              <w:left w:val="nil"/>
              <w:bottom w:val="single" w:sz="4" w:space="0" w:color="auto"/>
              <w:right w:val="single" w:sz="4" w:space="0" w:color="auto"/>
            </w:tcBorders>
            <w:shd w:val="clear" w:color="auto" w:fill="auto"/>
            <w:noWrap/>
            <w:vAlign w:val="bottom"/>
            <w:hideMark/>
          </w:tcPr>
          <w:p w14:paraId="4936EA70" w14:textId="2D69DC0C"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3</w:t>
            </w:r>
            <w:r>
              <w:rPr>
                <w:rFonts w:ascii="Calibri" w:hAnsi="Calibri"/>
                <w:color w:val="000000"/>
                <w:lang w:val="uz-Cyrl-UZ"/>
              </w:rPr>
              <w:t>.</w:t>
            </w:r>
            <w:r w:rsidRPr="0066320E">
              <w:rPr>
                <w:rFonts w:ascii="Calibri" w:hAnsi="Calibri"/>
                <w:color w:val="000000"/>
                <w:lang w:val="uz-Cyrl-UZ"/>
              </w:rPr>
              <w:t xml:space="preserve">569   </w:t>
            </w:r>
          </w:p>
        </w:tc>
        <w:tc>
          <w:tcPr>
            <w:tcW w:w="1417" w:type="dxa"/>
            <w:tcBorders>
              <w:top w:val="nil"/>
              <w:left w:val="nil"/>
              <w:bottom w:val="single" w:sz="4" w:space="0" w:color="auto"/>
              <w:right w:val="single" w:sz="4" w:space="0" w:color="auto"/>
            </w:tcBorders>
            <w:shd w:val="clear" w:color="auto" w:fill="auto"/>
            <w:noWrap/>
            <w:vAlign w:val="bottom"/>
            <w:hideMark/>
          </w:tcPr>
          <w:p w14:paraId="5ACC9B3C"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2,8 %</w:t>
            </w:r>
          </w:p>
        </w:tc>
      </w:tr>
      <w:tr w:rsidR="00D81947" w:rsidRPr="0066320E" w14:paraId="01086A63"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F971B6E"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República Árabe Siria</w:t>
            </w:r>
          </w:p>
        </w:tc>
        <w:tc>
          <w:tcPr>
            <w:tcW w:w="1560" w:type="dxa"/>
            <w:tcBorders>
              <w:top w:val="nil"/>
              <w:left w:val="nil"/>
              <w:bottom w:val="single" w:sz="4" w:space="0" w:color="auto"/>
              <w:right w:val="single" w:sz="4" w:space="0" w:color="auto"/>
            </w:tcBorders>
            <w:shd w:val="clear" w:color="auto" w:fill="auto"/>
            <w:noWrap/>
            <w:vAlign w:val="bottom"/>
            <w:hideMark/>
          </w:tcPr>
          <w:p w14:paraId="5304112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0,024</w:t>
            </w:r>
          </w:p>
        </w:tc>
        <w:tc>
          <w:tcPr>
            <w:tcW w:w="1884" w:type="dxa"/>
            <w:tcBorders>
              <w:top w:val="nil"/>
              <w:left w:val="nil"/>
              <w:bottom w:val="single" w:sz="4" w:space="0" w:color="auto"/>
              <w:right w:val="single" w:sz="4" w:space="0" w:color="auto"/>
            </w:tcBorders>
            <w:shd w:val="clear" w:color="auto" w:fill="auto"/>
            <w:noWrap/>
            <w:vAlign w:val="bottom"/>
            <w:hideMark/>
          </w:tcPr>
          <w:p w14:paraId="5E138007"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0,167</w:t>
            </w:r>
          </w:p>
        </w:tc>
        <w:tc>
          <w:tcPr>
            <w:tcW w:w="1616" w:type="dxa"/>
            <w:tcBorders>
              <w:top w:val="nil"/>
              <w:left w:val="nil"/>
              <w:bottom w:val="single" w:sz="4" w:space="0" w:color="auto"/>
              <w:right w:val="single" w:sz="4" w:space="0" w:color="auto"/>
            </w:tcBorders>
            <w:shd w:val="clear" w:color="auto" w:fill="auto"/>
            <w:noWrap/>
            <w:vAlign w:val="bottom"/>
            <w:hideMark/>
          </w:tcPr>
          <w:p w14:paraId="2D236B7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2DF067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170BD156"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AE6194E"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Serbia</w:t>
            </w:r>
          </w:p>
        </w:tc>
        <w:tc>
          <w:tcPr>
            <w:tcW w:w="1560" w:type="dxa"/>
            <w:tcBorders>
              <w:top w:val="nil"/>
              <w:left w:val="nil"/>
              <w:bottom w:val="single" w:sz="4" w:space="0" w:color="auto"/>
              <w:right w:val="single" w:sz="4" w:space="0" w:color="auto"/>
            </w:tcBorders>
            <w:shd w:val="clear" w:color="auto" w:fill="auto"/>
            <w:noWrap/>
            <w:vAlign w:val="bottom"/>
            <w:hideMark/>
          </w:tcPr>
          <w:p w14:paraId="286587CD"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0,032</w:t>
            </w:r>
          </w:p>
        </w:tc>
        <w:tc>
          <w:tcPr>
            <w:tcW w:w="1884" w:type="dxa"/>
            <w:tcBorders>
              <w:top w:val="nil"/>
              <w:left w:val="nil"/>
              <w:bottom w:val="single" w:sz="4" w:space="0" w:color="auto"/>
              <w:right w:val="single" w:sz="4" w:space="0" w:color="auto"/>
            </w:tcBorders>
            <w:shd w:val="clear" w:color="auto" w:fill="auto"/>
            <w:noWrap/>
            <w:vAlign w:val="bottom"/>
            <w:hideMark/>
          </w:tcPr>
          <w:p w14:paraId="5A1786D5"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0,223</w:t>
            </w:r>
          </w:p>
        </w:tc>
        <w:tc>
          <w:tcPr>
            <w:tcW w:w="1616" w:type="dxa"/>
            <w:tcBorders>
              <w:top w:val="nil"/>
              <w:left w:val="nil"/>
              <w:bottom w:val="single" w:sz="4" w:space="0" w:color="auto"/>
              <w:right w:val="single" w:sz="4" w:space="0" w:color="auto"/>
            </w:tcBorders>
            <w:shd w:val="clear" w:color="auto" w:fill="auto"/>
            <w:noWrap/>
            <w:vAlign w:val="bottom"/>
            <w:hideMark/>
          </w:tcPr>
          <w:p w14:paraId="539C7E8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5AF097D"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3BA1D254"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B6A8A50"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Túnez</w:t>
            </w:r>
          </w:p>
        </w:tc>
        <w:tc>
          <w:tcPr>
            <w:tcW w:w="1560" w:type="dxa"/>
            <w:tcBorders>
              <w:top w:val="nil"/>
              <w:left w:val="nil"/>
              <w:bottom w:val="single" w:sz="4" w:space="0" w:color="auto"/>
              <w:right w:val="single" w:sz="4" w:space="0" w:color="auto"/>
            </w:tcBorders>
            <w:shd w:val="clear" w:color="auto" w:fill="auto"/>
            <w:noWrap/>
            <w:vAlign w:val="bottom"/>
            <w:hideMark/>
          </w:tcPr>
          <w:p w14:paraId="0148F024"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0,028</w:t>
            </w:r>
          </w:p>
        </w:tc>
        <w:tc>
          <w:tcPr>
            <w:tcW w:w="1884" w:type="dxa"/>
            <w:tcBorders>
              <w:top w:val="nil"/>
              <w:left w:val="nil"/>
              <w:bottom w:val="single" w:sz="4" w:space="0" w:color="auto"/>
              <w:right w:val="single" w:sz="4" w:space="0" w:color="auto"/>
            </w:tcBorders>
            <w:shd w:val="clear" w:color="auto" w:fill="auto"/>
            <w:noWrap/>
            <w:vAlign w:val="bottom"/>
            <w:hideMark/>
          </w:tcPr>
          <w:p w14:paraId="663136B8"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0,195</w:t>
            </w:r>
          </w:p>
        </w:tc>
        <w:tc>
          <w:tcPr>
            <w:tcW w:w="1616" w:type="dxa"/>
            <w:tcBorders>
              <w:top w:val="nil"/>
              <w:left w:val="nil"/>
              <w:bottom w:val="single" w:sz="4" w:space="0" w:color="auto"/>
              <w:right w:val="single" w:sz="4" w:space="0" w:color="auto"/>
            </w:tcBorders>
            <w:shd w:val="clear" w:color="auto" w:fill="auto"/>
            <w:noWrap/>
            <w:vAlign w:val="bottom"/>
            <w:hideMark/>
          </w:tcPr>
          <w:p w14:paraId="090D200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792F3DA"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0,4 %</w:t>
            </w:r>
          </w:p>
        </w:tc>
      </w:tr>
      <w:tr w:rsidR="00D81947" w:rsidRPr="0066320E" w14:paraId="03E35241"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A0EBC14" w14:textId="77777777" w:rsidR="00D81947" w:rsidRPr="0066320E" w:rsidRDefault="00D81947" w:rsidP="008A3440">
            <w:pPr>
              <w:rPr>
                <w:rFonts w:ascii="Calibri" w:hAnsi="Calibri"/>
                <w:color w:val="000000"/>
                <w:lang w:val="uz-Cyrl-UZ"/>
              </w:rPr>
            </w:pPr>
            <w:r w:rsidRPr="0066320E">
              <w:rPr>
                <w:rFonts w:ascii="Calibri" w:hAnsi="Calibri"/>
                <w:color w:val="000000"/>
                <w:lang w:val="uz-Cyrl-UZ"/>
              </w:rPr>
              <w:t>Turquía</w:t>
            </w:r>
          </w:p>
        </w:tc>
        <w:tc>
          <w:tcPr>
            <w:tcW w:w="1560" w:type="dxa"/>
            <w:tcBorders>
              <w:top w:val="nil"/>
              <w:left w:val="nil"/>
              <w:bottom w:val="single" w:sz="4" w:space="0" w:color="auto"/>
              <w:right w:val="single" w:sz="4" w:space="0" w:color="auto"/>
            </w:tcBorders>
            <w:shd w:val="clear" w:color="auto" w:fill="auto"/>
            <w:noWrap/>
            <w:vAlign w:val="bottom"/>
            <w:hideMark/>
          </w:tcPr>
          <w:p w14:paraId="325223C2"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1,018</w:t>
            </w:r>
          </w:p>
        </w:tc>
        <w:tc>
          <w:tcPr>
            <w:tcW w:w="1884" w:type="dxa"/>
            <w:tcBorders>
              <w:top w:val="nil"/>
              <w:left w:val="nil"/>
              <w:bottom w:val="single" w:sz="4" w:space="0" w:color="auto"/>
              <w:right w:val="single" w:sz="4" w:space="0" w:color="auto"/>
            </w:tcBorders>
            <w:shd w:val="clear" w:color="auto" w:fill="auto"/>
            <w:noWrap/>
            <w:vAlign w:val="bottom"/>
            <w:hideMark/>
          </w:tcPr>
          <w:p w14:paraId="143290D0"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7,100</w:t>
            </w:r>
          </w:p>
        </w:tc>
        <w:tc>
          <w:tcPr>
            <w:tcW w:w="1616" w:type="dxa"/>
            <w:tcBorders>
              <w:top w:val="nil"/>
              <w:left w:val="nil"/>
              <w:bottom w:val="single" w:sz="4" w:space="0" w:color="auto"/>
              <w:right w:val="single" w:sz="4" w:space="0" w:color="auto"/>
            </w:tcBorders>
            <w:shd w:val="clear" w:color="auto" w:fill="auto"/>
            <w:noWrap/>
            <w:vAlign w:val="bottom"/>
            <w:hideMark/>
          </w:tcPr>
          <w:p w14:paraId="72EA2C0A" w14:textId="512B8024"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9</w:t>
            </w:r>
            <w:r>
              <w:rPr>
                <w:rFonts w:ascii="Calibri" w:hAnsi="Calibri"/>
                <w:color w:val="000000"/>
                <w:lang w:val="uz-Cyrl-UZ"/>
              </w:rPr>
              <w:t>.</w:t>
            </w:r>
            <w:r w:rsidRPr="0066320E">
              <w:rPr>
                <w:rFonts w:ascii="Calibri" w:hAnsi="Calibri"/>
                <w:color w:val="000000"/>
                <w:lang w:val="uz-Cyrl-UZ"/>
              </w:rPr>
              <w:t xml:space="preserve">268   </w:t>
            </w:r>
          </w:p>
        </w:tc>
        <w:tc>
          <w:tcPr>
            <w:tcW w:w="1417" w:type="dxa"/>
            <w:tcBorders>
              <w:top w:val="nil"/>
              <w:left w:val="nil"/>
              <w:bottom w:val="single" w:sz="4" w:space="0" w:color="auto"/>
              <w:right w:val="single" w:sz="4" w:space="0" w:color="auto"/>
            </w:tcBorders>
            <w:shd w:val="clear" w:color="auto" w:fill="auto"/>
            <w:noWrap/>
            <w:vAlign w:val="bottom"/>
            <w:hideMark/>
          </w:tcPr>
          <w:p w14:paraId="1CA8697B" w14:textId="77777777" w:rsidR="00D81947" w:rsidRPr="0066320E" w:rsidRDefault="00D81947" w:rsidP="008A3440">
            <w:pPr>
              <w:jc w:val="right"/>
              <w:rPr>
                <w:rFonts w:ascii="Calibri" w:hAnsi="Calibri"/>
                <w:color w:val="000000"/>
                <w:lang w:val="uz-Cyrl-UZ"/>
              </w:rPr>
            </w:pPr>
            <w:r w:rsidRPr="0066320E">
              <w:rPr>
                <w:rFonts w:ascii="Calibri" w:hAnsi="Calibri"/>
                <w:color w:val="000000"/>
                <w:lang w:val="uz-Cyrl-UZ"/>
              </w:rPr>
              <w:t>7,2 %</w:t>
            </w:r>
          </w:p>
        </w:tc>
      </w:tr>
      <w:tr w:rsidR="00273AB5" w:rsidRPr="0066320E" w14:paraId="2708A54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ED8F2CC" w14:textId="77777777" w:rsidR="00273AB5" w:rsidRPr="0066320E" w:rsidRDefault="00273AB5" w:rsidP="008A3440">
            <w:pPr>
              <w:rPr>
                <w:rFonts w:ascii="Calibri" w:hAnsi="Calibri"/>
                <w:color w:val="000000"/>
                <w:lang w:val="uz-Cyrl-UZ"/>
              </w:rPr>
            </w:pPr>
          </w:p>
        </w:tc>
        <w:tc>
          <w:tcPr>
            <w:tcW w:w="1560" w:type="dxa"/>
            <w:tcBorders>
              <w:top w:val="nil"/>
              <w:left w:val="nil"/>
              <w:bottom w:val="single" w:sz="4" w:space="0" w:color="auto"/>
              <w:right w:val="single" w:sz="4" w:space="0" w:color="auto"/>
            </w:tcBorders>
            <w:shd w:val="clear" w:color="auto" w:fill="auto"/>
            <w:noWrap/>
            <w:vAlign w:val="bottom"/>
            <w:hideMark/>
          </w:tcPr>
          <w:p w14:paraId="43E76190"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14,338</w:t>
            </w:r>
          </w:p>
        </w:tc>
        <w:tc>
          <w:tcPr>
            <w:tcW w:w="1884" w:type="dxa"/>
            <w:tcBorders>
              <w:top w:val="nil"/>
              <w:left w:val="nil"/>
              <w:bottom w:val="single" w:sz="4" w:space="0" w:color="auto"/>
              <w:right w:val="single" w:sz="4" w:space="0" w:color="auto"/>
            </w:tcBorders>
            <w:shd w:val="clear" w:color="auto" w:fill="auto"/>
            <w:noWrap/>
            <w:vAlign w:val="bottom"/>
            <w:hideMark/>
          </w:tcPr>
          <w:p w14:paraId="1E96A8E8" w14:textId="77777777" w:rsidR="00273AB5" w:rsidRPr="0066320E" w:rsidRDefault="00273AB5" w:rsidP="008A3440">
            <w:pPr>
              <w:jc w:val="right"/>
              <w:rPr>
                <w:rFonts w:ascii="Calibri" w:hAnsi="Calibri"/>
                <w:color w:val="000000"/>
                <w:lang w:val="uz-Cyrl-UZ"/>
              </w:rPr>
            </w:pPr>
            <w:r w:rsidRPr="0066320E">
              <w:rPr>
                <w:rFonts w:ascii="Calibri" w:hAnsi="Calibri"/>
                <w:color w:val="000000"/>
                <w:lang w:val="uz-Cyrl-UZ"/>
              </w:rPr>
              <w:t>100</w:t>
            </w:r>
          </w:p>
        </w:tc>
        <w:tc>
          <w:tcPr>
            <w:tcW w:w="1616" w:type="dxa"/>
            <w:tcBorders>
              <w:top w:val="nil"/>
              <w:left w:val="nil"/>
              <w:bottom w:val="single" w:sz="4" w:space="0" w:color="auto"/>
              <w:right w:val="single" w:sz="4" w:space="0" w:color="auto"/>
            </w:tcBorders>
            <w:shd w:val="clear" w:color="auto" w:fill="auto"/>
            <w:noWrap/>
            <w:vAlign w:val="bottom"/>
            <w:hideMark/>
          </w:tcPr>
          <w:p w14:paraId="14DA8CB9" w14:textId="0CDFBF5F" w:rsidR="00273AB5" w:rsidRPr="0066320E" w:rsidRDefault="00273AB5" w:rsidP="008A3440">
            <w:pPr>
              <w:jc w:val="right"/>
              <w:rPr>
                <w:rFonts w:ascii="Calibri" w:hAnsi="Calibri"/>
                <w:b/>
                <w:color w:val="000000"/>
                <w:lang w:val="uz-Cyrl-UZ"/>
              </w:rPr>
            </w:pPr>
            <w:r w:rsidRPr="0066320E">
              <w:rPr>
                <w:rFonts w:ascii="Calibri" w:hAnsi="Calibri"/>
                <w:b/>
                <w:color w:val="000000"/>
                <w:lang w:val="uz-Cyrl-UZ"/>
              </w:rPr>
              <w:t>129</w:t>
            </w:r>
            <w:r w:rsidR="00D81947">
              <w:rPr>
                <w:rFonts w:ascii="Calibri" w:hAnsi="Calibri"/>
                <w:b/>
                <w:color w:val="000000"/>
                <w:lang w:val="uz-Cyrl-UZ"/>
              </w:rPr>
              <w:t>.</w:t>
            </w:r>
            <w:r w:rsidRPr="0066320E">
              <w:rPr>
                <w:rFonts w:ascii="Calibri" w:hAnsi="Calibri"/>
                <w:b/>
                <w:color w:val="000000"/>
                <w:lang w:val="uz-Cyrl-UZ"/>
              </w:rPr>
              <w:t xml:space="preserve">378   </w:t>
            </w:r>
          </w:p>
        </w:tc>
        <w:tc>
          <w:tcPr>
            <w:tcW w:w="1417" w:type="dxa"/>
            <w:tcBorders>
              <w:top w:val="nil"/>
              <w:left w:val="nil"/>
              <w:bottom w:val="single" w:sz="4" w:space="0" w:color="auto"/>
              <w:right w:val="single" w:sz="4" w:space="0" w:color="auto"/>
            </w:tcBorders>
            <w:shd w:val="clear" w:color="auto" w:fill="auto"/>
            <w:noWrap/>
            <w:vAlign w:val="bottom"/>
            <w:hideMark/>
          </w:tcPr>
          <w:p w14:paraId="1F5550C7" w14:textId="77777777" w:rsidR="00273AB5" w:rsidRPr="0066320E" w:rsidRDefault="00273AB5" w:rsidP="008A3440">
            <w:pPr>
              <w:jc w:val="right"/>
              <w:rPr>
                <w:rFonts w:ascii="Calibri" w:hAnsi="Calibri"/>
                <w:b/>
                <w:color w:val="000000"/>
                <w:lang w:val="uz-Cyrl-UZ"/>
              </w:rPr>
            </w:pPr>
            <w:r w:rsidRPr="0066320E">
              <w:rPr>
                <w:rFonts w:ascii="Calibri" w:hAnsi="Calibri"/>
                <w:b/>
                <w:color w:val="000000"/>
                <w:lang w:val="uz-Cyrl-UZ"/>
              </w:rPr>
              <w:t>100 %</w:t>
            </w:r>
          </w:p>
        </w:tc>
      </w:tr>
    </w:tbl>
    <w:p w14:paraId="11B97D79" w14:textId="709EF7A1" w:rsidR="00273AB5" w:rsidRPr="0066320E" w:rsidRDefault="00273AB5" w:rsidP="00273AB5">
      <w:pPr>
        <w:rPr>
          <w:rFonts w:ascii="Calibri" w:hAnsi="Calibri"/>
          <w:lang w:val="uz-Cyrl-UZ"/>
        </w:rPr>
      </w:pPr>
      <w:r w:rsidRPr="0066320E">
        <w:rPr>
          <w:rFonts w:ascii="Calibri" w:hAnsi="Calibri"/>
          <w:lang w:val="uz-Cyrl-UZ"/>
        </w:rPr>
        <w:t>*Bajo la condición de aprobaciones anuales en cumplimiento de la legislación italiana, como contribución voluntaria. A pedido de Italia, se aplica el umbral del 22 % de las Naciones Unidas a la contribución de Italia.</w:t>
      </w:r>
    </w:p>
    <w:p w14:paraId="140F34EB" w14:textId="77777777" w:rsidR="00273AB5" w:rsidRPr="0066320E" w:rsidRDefault="00273AB5" w:rsidP="00273AB5">
      <w:pPr>
        <w:rPr>
          <w:rFonts w:ascii="Calibri" w:hAnsi="Calibri"/>
          <w:lang w:val="uz-Cyrl-UZ"/>
        </w:rPr>
      </w:pPr>
    </w:p>
    <w:p w14:paraId="778B9DA0" w14:textId="714752FD" w:rsidR="00483295" w:rsidRPr="0066320E" w:rsidRDefault="00273AB5" w:rsidP="00D81947">
      <w:pPr>
        <w:rPr>
          <w:b/>
          <w:bCs/>
          <w:lang w:val="uz-Cyrl-UZ"/>
        </w:rPr>
      </w:pPr>
      <w:r w:rsidRPr="0066320E">
        <w:rPr>
          <w:rFonts w:ascii="Calibri" w:hAnsi="Calibri"/>
          <w:b/>
          <w:lang w:val="uz-Cyrl-UZ"/>
        </w:rPr>
        <w:t>Nota</w:t>
      </w:r>
      <w:r w:rsidRPr="0066320E">
        <w:rPr>
          <w:rFonts w:ascii="Calibri" w:hAnsi="Calibri"/>
          <w:lang w:val="uz-Cyrl-UZ"/>
        </w:rPr>
        <w:t>. Las contribuciones anuales de los países que participan en la Iniciativa MedWet se calcularon sobre la base de las Escala de cuotas de las Naciones Unidas para 2018. Cuando la Escala de cuotas de las Naciones Unidas sea actualizada por medio de la aprobación de</w:t>
      </w:r>
      <w:r w:rsidR="00030325">
        <w:rPr>
          <w:rFonts w:ascii="Calibri" w:hAnsi="Calibri"/>
          <w:lang w:val="uz-Cyrl-UZ"/>
        </w:rPr>
        <w:t xml:space="preserve"> </w:t>
      </w:r>
      <w:r w:rsidRPr="0066320E">
        <w:rPr>
          <w:rFonts w:ascii="Calibri" w:hAnsi="Calibri"/>
          <w:lang w:val="uz-Cyrl-UZ"/>
        </w:rPr>
        <w:t>la Asamblea General de las Naciones Unidas, se modificarán las contribuciones de los países del modo consiguiente</w:t>
      </w:r>
      <w:r w:rsidRPr="0066320E">
        <w:rPr>
          <w:lang w:val="uz-Cyrl-UZ"/>
        </w:rPr>
        <w:t>.</w:t>
      </w:r>
    </w:p>
    <w:p w14:paraId="3AC5945B" w14:textId="77777777" w:rsidR="00253068" w:rsidRPr="0066320E" w:rsidRDefault="00253068" w:rsidP="00C3701C">
      <w:pPr>
        <w:pStyle w:val="Heading2"/>
        <w:widowControl/>
        <w:spacing w:before="117"/>
        <w:ind w:left="0"/>
        <w:rPr>
          <w:b w:val="0"/>
          <w:sz w:val="22"/>
          <w:lang w:val="uz-Cyrl-UZ"/>
        </w:rPr>
      </w:pPr>
    </w:p>
    <w:sectPr w:rsidR="00253068" w:rsidRPr="0066320E" w:rsidSect="00C10C10">
      <w:footerReference w:type="default" r:id="rId9"/>
      <w:pgSz w:w="11910" w:h="16840"/>
      <w:pgMar w:top="1440" w:right="1440" w:bottom="1440" w:left="1440" w:header="0" w:footer="713"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1F731" w16cid:durableId="1F80DBF9"/>
  <w16cid:commentId w16cid:paraId="6AAF6BB7" w16cid:durableId="1F80DC07"/>
  <w16cid:commentId w16cid:paraId="76B812B1" w16cid:durableId="1F80DC1B"/>
  <w16cid:commentId w16cid:paraId="0E54A5B2" w16cid:durableId="1F80DE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3999" w14:textId="77777777" w:rsidR="00F77DC8" w:rsidRDefault="00F77DC8">
      <w:r>
        <w:separator/>
      </w:r>
    </w:p>
  </w:endnote>
  <w:endnote w:type="continuationSeparator" w:id="0">
    <w:p w14:paraId="6BFBF214" w14:textId="77777777" w:rsidR="00F77DC8" w:rsidRDefault="00F77DC8">
      <w:r>
        <w:continuationSeparator/>
      </w:r>
    </w:p>
  </w:endnote>
  <w:endnote w:type="continuationNotice" w:id="1">
    <w:p w14:paraId="27439DED" w14:textId="77777777" w:rsidR="00F77DC8" w:rsidRDefault="00F77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5EF" w14:textId="778839F4" w:rsidR="00D81947" w:rsidRPr="004433BE" w:rsidRDefault="00D81947" w:rsidP="004433BE">
    <w:pPr>
      <w:pStyle w:val="Footer"/>
      <w:rPr>
        <w:rFonts w:ascii="Calibri" w:hAnsi="Calibri"/>
        <w:sz w:val="20"/>
        <w:szCs w:val="20"/>
      </w:rPr>
    </w:pPr>
    <w:r>
      <w:rPr>
        <w:rFonts w:ascii="Calibri" w:hAnsi="Calibri"/>
        <w:sz w:val="20"/>
        <w:szCs w:val="20"/>
      </w:rPr>
      <w:t>Ramsar COP13 Doc.18.8 Rev.1</w:t>
    </w:r>
    <w:r>
      <w:rPr>
        <w:rFonts w:ascii="Calibri" w:hAnsi="Calibri"/>
        <w:sz w:val="20"/>
        <w:szCs w:val="20"/>
      </w:rPr>
      <w:tab/>
    </w:r>
    <w:r>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B20BAF">
      <w:rPr>
        <w:rFonts w:ascii="Calibri" w:hAnsi="Calibri"/>
        <w:noProof/>
        <w:sz w:val="20"/>
        <w:szCs w:val="20"/>
      </w:rPr>
      <w:t>2</w:t>
    </w:r>
    <w:r w:rsidRPr="00CB5417">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69CA" w14:textId="77777777" w:rsidR="00F77DC8" w:rsidRDefault="00F77DC8">
      <w:r>
        <w:separator/>
      </w:r>
    </w:p>
  </w:footnote>
  <w:footnote w:type="continuationSeparator" w:id="0">
    <w:p w14:paraId="0CA1C7D9" w14:textId="77777777" w:rsidR="00F77DC8" w:rsidRDefault="00F77DC8">
      <w:r>
        <w:continuationSeparator/>
      </w:r>
    </w:p>
  </w:footnote>
  <w:footnote w:type="continuationNotice" w:id="1">
    <w:p w14:paraId="0430C61A" w14:textId="77777777" w:rsidR="00F77DC8" w:rsidRDefault="00F77DC8"/>
  </w:footnote>
  <w:footnote w:id="2">
    <w:p w14:paraId="74AE8867" w14:textId="5153AC33" w:rsidR="00D81947" w:rsidRDefault="00D81947">
      <w:pPr>
        <w:pStyle w:val="FootnoteText"/>
      </w:pPr>
      <w:r>
        <w:rPr>
          <w:rStyle w:val="FootnoteReference"/>
        </w:rPr>
        <w:footnoteRef/>
      </w:r>
      <w:r>
        <w:t xml:space="preserve"> Con la excepción de Turquía, que formuló una reserva.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F78"/>
    <w:multiLevelType w:val="hybridMultilevel"/>
    <w:tmpl w:val="1F987522"/>
    <w:lvl w:ilvl="0" w:tplc="24645798">
      <w:start w:val="1"/>
      <w:numFmt w:val="decimal"/>
      <w:lvlText w:val="%1."/>
      <w:lvlJc w:val="left"/>
      <w:pPr>
        <w:ind w:left="686" w:hanging="567"/>
        <w:jc w:val="right"/>
      </w:pPr>
      <w:rPr>
        <w:rFonts w:ascii="Calibri" w:eastAsia="Calibri" w:hAnsi="Calibri" w:hint="default"/>
        <w:sz w:val="22"/>
        <w:szCs w:val="22"/>
      </w:rPr>
    </w:lvl>
    <w:lvl w:ilvl="1" w:tplc="EB3631EE">
      <w:start w:val="1"/>
      <w:numFmt w:val="bullet"/>
      <w:lvlText w:val="-"/>
      <w:lvlJc w:val="left"/>
      <w:pPr>
        <w:ind w:left="666" w:hanging="360"/>
      </w:pPr>
      <w:rPr>
        <w:rFonts w:ascii="Calibri" w:eastAsia="Calibri" w:hAnsi="Calibri"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1"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2" w15:restartNumberingAfterBreak="0">
    <w:nsid w:val="227F12A9"/>
    <w:multiLevelType w:val="hybridMultilevel"/>
    <w:tmpl w:val="AD7E4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81753"/>
    <w:multiLevelType w:val="multilevel"/>
    <w:tmpl w:val="F79472D4"/>
    <w:lvl w:ilvl="0">
      <w:start w:val="2"/>
      <w:numFmt w:val="decimal"/>
      <w:lvlText w:val="%1"/>
      <w:lvlJc w:val="left"/>
      <w:pPr>
        <w:ind w:left="828" w:hanging="709"/>
      </w:pPr>
      <w:rPr>
        <w:rFonts w:hint="default"/>
      </w:rPr>
    </w:lvl>
    <w:lvl w:ilvl="1">
      <w:start w:val="1"/>
      <w:numFmt w:val="decimal"/>
      <w:lvlText w:val="%1.%2"/>
      <w:lvlJc w:val="left"/>
      <w:pPr>
        <w:ind w:left="828"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1"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4" w15:restartNumberingAfterBreak="0">
    <w:nsid w:val="30892E6D"/>
    <w:multiLevelType w:val="hybridMultilevel"/>
    <w:tmpl w:val="9D0EA6B6"/>
    <w:lvl w:ilvl="0" w:tplc="2CB8F47A">
      <w:start w:val="1"/>
      <w:numFmt w:val="decimal"/>
      <w:lvlText w:val="%1"/>
      <w:lvlJc w:val="left"/>
      <w:pPr>
        <w:ind w:left="479" w:hanging="360"/>
      </w:pPr>
      <w:rPr>
        <w:rFonts w:eastAsiaTheme="minorHAnsi" w:hAnsiTheme="minorHAnsi" w:cstheme="minorBidi" w:hint="default"/>
        <w:sz w:val="13"/>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34EF664B"/>
    <w:multiLevelType w:val="multilevel"/>
    <w:tmpl w:val="B7E69A22"/>
    <w:lvl w:ilvl="0">
      <w:start w:val="1"/>
      <w:numFmt w:val="decimal"/>
      <w:lvlText w:val="%1"/>
      <w:lvlJc w:val="left"/>
      <w:pPr>
        <w:ind w:left="839" w:hanging="721"/>
      </w:pPr>
      <w:rPr>
        <w:rFonts w:hint="default"/>
      </w:rPr>
    </w:lvl>
    <w:lvl w:ilvl="1">
      <w:start w:val="1"/>
      <w:numFmt w:val="decimal"/>
      <w:lvlText w:val="%1.%2"/>
      <w:lvlJc w:val="left"/>
      <w:pPr>
        <w:ind w:left="839" w:hanging="721"/>
      </w:pPr>
      <w:rPr>
        <w:rFonts w:ascii="Calibri" w:eastAsia="Calibri" w:hAnsi="Calibri" w:hint="default"/>
        <w:sz w:val="22"/>
        <w:szCs w:val="22"/>
      </w:rPr>
    </w:lvl>
    <w:lvl w:ilvl="2">
      <w:start w:val="1"/>
      <w:numFmt w:val="bullet"/>
      <w:lvlText w:val="•"/>
      <w:lvlJc w:val="left"/>
      <w:pPr>
        <w:ind w:left="2525" w:hanging="721"/>
      </w:pPr>
      <w:rPr>
        <w:rFonts w:hint="default"/>
      </w:rPr>
    </w:lvl>
    <w:lvl w:ilvl="3">
      <w:start w:val="1"/>
      <w:numFmt w:val="bullet"/>
      <w:lvlText w:val="•"/>
      <w:lvlJc w:val="left"/>
      <w:pPr>
        <w:ind w:left="3367" w:hanging="721"/>
      </w:pPr>
      <w:rPr>
        <w:rFonts w:hint="default"/>
      </w:rPr>
    </w:lvl>
    <w:lvl w:ilvl="4">
      <w:start w:val="1"/>
      <w:numFmt w:val="bullet"/>
      <w:lvlText w:val="•"/>
      <w:lvlJc w:val="left"/>
      <w:pPr>
        <w:ind w:left="4210" w:hanging="721"/>
      </w:pPr>
      <w:rPr>
        <w:rFonts w:hint="default"/>
      </w:rPr>
    </w:lvl>
    <w:lvl w:ilvl="5">
      <w:start w:val="1"/>
      <w:numFmt w:val="bullet"/>
      <w:lvlText w:val="•"/>
      <w:lvlJc w:val="left"/>
      <w:pPr>
        <w:ind w:left="5053" w:hanging="721"/>
      </w:pPr>
      <w:rPr>
        <w:rFonts w:hint="default"/>
      </w:rPr>
    </w:lvl>
    <w:lvl w:ilvl="6">
      <w:start w:val="1"/>
      <w:numFmt w:val="bullet"/>
      <w:lvlText w:val="•"/>
      <w:lvlJc w:val="left"/>
      <w:pPr>
        <w:ind w:left="5895" w:hanging="721"/>
      </w:pPr>
      <w:rPr>
        <w:rFonts w:hint="default"/>
      </w:rPr>
    </w:lvl>
    <w:lvl w:ilvl="7">
      <w:start w:val="1"/>
      <w:numFmt w:val="bullet"/>
      <w:lvlText w:val="•"/>
      <w:lvlJc w:val="left"/>
      <w:pPr>
        <w:ind w:left="6738" w:hanging="721"/>
      </w:pPr>
      <w:rPr>
        <w:rFonts w:hint="default"/>
      </w:rPr>
    </w:lvl>
    <w:lvl w:ilvl="8">
      <w:start w:val="1"/>
      <w:numFmt w:val="bullet"/>
      <w:lvlText w:val="•"/>
      <w:lvlJc w:val="left"/>
      <w:pPr>
        <w:ind w:left="7581" w:hanging="721"/>
      </w:pPr>
      <w:rPr>
        <w:rFonts w:hint="default"/>
      </w:rPr>
    </w:lvl>
  </w:abstractNum>
  <w:abstractNum w:abstractNumId="6" w15:restartNumberingAfterBreak="0">
    <w:nsid w:val="409B3ACB"/>
    <w:multiLevelType w:val="hybridMultilevel"/>
    <w:tmpl w:val="8FCE56FC"/>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7" w15:restartNumberingAfterBreak="0">
    <w:nsid w:val="44037C59"/>
    <w:multiLevelType w:val="multilevel"/>
    <w:tmpl w:val="868C31BE"/>
    <w:lvl w:ilvl="0">
      <w:start w:val="7"/>
      <w:numFmt w:val="decimal"/>
      <w:lvlText w:val="%1"/>
      <w:lvlJc w:val="left"/>
      <w:pPr>
        <w:ind w:left="827" w:hanging="709"/>
      </w:pPr>
      <w:rPr>
        <w:rFonts w:hint="default"/>
      </w:rPr>
    </w:lvl>
    <w:lvl w:ilvl="1">
      <w:start w:val="4"/>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8" w15:restartNumberingAfterBreak="0">
    <w:nsid w:val="45120DD7"/>
    <w:multiLevelType w:val="multilevel"/>
    <w:tmpl w:val="988E11E4"/>
    <w:lvl w:ilvl="0">
      <w:start w:val="4"/>
      <w:numFmt w:val="decimal"/>
      <w:lvlText w:val="%1"/>
      <w:lvlJc w:val="left"/>
      <w:pPr>
        <w:ind w:left="826" w:hanging="709"/>
      </w:pPr>
      <w:rPr>
        <w:rFonts w:hint="default"/>
      </w:rPr>
    </w:lvl>
    <w:lvl w:ilvl="1">
      <w:start w:val="1"/>
      <w:numFmt w:val="decimal"/>
      <w:lvlText w:val="%1.%2"/>
      <w:lvlJc w:val="left"/>
      <w:pPr>
        <w:ind w:left="826"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9" w15:restartNumberingAfterBreak="0">
    <w:nsid w:val="4DD9520B"/>
    <w:multiLevelType w:val="multilevel"/>
    <w:tmpl w:val="BF28DF42"/>
    <w:lvl w:ilvl="0">
      <w:start w:val="7"/>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0" w15:restartNumberingAfterBreak="0">
    <w:nsid w:val="55F13E21"/>
    <w:multiLevelType w:val="hybridMultilevel"/>
    <w:tmpl w:val="90C2F328"/>
    <w:lvl w:ilvl="0" w:tplc="04090019">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15:restartNumberingAfterBreak="0">
    <w:nsid w:val="5C685582"/>
    <w:multiLevelType w:val="hybridMultilevel"/>
    <w:tmpl w:val="47BA41C6"/>
    <w:lvl w:ilvl="0" w:tplc="D8A0FAD0">
      <w:start w:val="1"/>
      <w:numFmt w:val="lowerRoman"/>
      <w:lvlText w:val="%1."/>
      <w:lvlJc w:val="left"/>
      <w:pPr>
        <w:ind w:left="426" w:hanging="284"/>
      </w:pPr>
      <w:rPr>
        <w:rFonts w:ascii="Calibri" w:eastAsia="Calibri" w:hAnsi="Calibri" w:hint="default"/>
        <w:spacing w:val="-1"/>
        <w:sz w:val="22"/>
        <w:szCs w:val="22"/>
      </w:rPr>
    </w:lvl>
    <w:lvl w:ilvl="1" w:tplc="8380442C">
      <w:start w:val="1"/>
      <w:numFmt w:val="bullet"/>
      <w:lvlText w:val="•"/>
      <w:lvlJc w:val="left"/>
      <w:pPr>
        <w:ind w:left="1285" w:hanging="284"/>
      </w:pPr>
      <w:rPr>
        <w:rFonts w:hint="default"/>
      </w:rPr>
    </w:lvl>
    <w:lvl w:ilvl="2" w:tplc="AB16E7AA">
      <w:start w:val="1"/>
      <w:numFmt w:val="bullet"/>
      <w:lvlText w:val="•"/>
      <w:lvlJc w:val="left"/>
      <w:pPr>
        <w:ind w:left="2143" w:hanging="284"/>
      </w:pPr>
      <w:rPr>
        <w:rFonts w:hint="default"/>
      </w:rPr>
    </w:lvl>
    <w:lvl w:ilvl="3" w:tplc="17AA3BEC">
      <w:start w:val="1"/>
      <w:numFmt w:val="bullet"/>
      <w:lvlText w:val="•"/>
      <w:lvlJc w:val="left"/>
      <w:pPr>
        <w:ind w:left="3002" w:hanging="284"/>
      </w:pPr>
      <w:rPr>
        <w:rFonts w:hint="default"/>
      </w:rPr>
    </w:lvl>
    <w:lvl w:ilvl="4" w:tplc="57E8DE24">
      <w:start w:val="1"/>
      <w:numFmt w:val="bullet"/>
      <w:lvlText w:val="•"/>
      <w:lvlJc w:val="left"/>
      <w:pPr>
        <w:ind w:left="3860" w:hanging="284"/>
      </w:pPr>
      <w:rPr>
        <w:rFonts w:hint="default"/>
      </w:rPr>
    </w:lvl>
    <w:lvl w:ilvl="5" w:tplc="C6821F60">
      <w:start w:val="1"/>
      <w:numFmt w:val="bullet"/>
      <w:lvlText w:val="•"/>
      <w:lvlJc w:val="left"/>
      <w:pPr>
        <w:ind w:left="4718" w:hanging="284"/>
      </w:pPr>
      <w:rPr>
        <w:rFonts w:hint="default"/>
      </w:rPr>
    </w:lvl>
    <w:lvl w:ilvl="6" w:tplc="172653AA">
      <w:start w:val="1"/>
      <w:numFmt w:val="bullet"/>
      <w:lvlText w:val="•"/>
      <w:lvlJc w:val="left"/>
      <w:pPr>
        <w:ind w:left="5577" w:hanging="284"/>
      </w:pPr>
      <w:rPr>
        <w:rFonts w:hint="default"/>
      </w:rPr>
    </w:lvl>
    <w:lvl w:ilvl="7" w:tplc="30CA3E52">
      <w:start w:val="1"/>
      <w:numFmt w:val="bullet"/>
      <w:lvlText w:val="•"/>
      <w:lvlJc w:val="left"/>
      <w:pPr>
        <w:ind w:left="6435" w:hanging="284"/>
      </w:pPr>
      <w:rPr>
        <w:rFonts w:hint="default"/>
      </w:rPr>
    </w:lvl>
    <w:lvl w:ilvl="8" w:tplc="615A5598">
      <w:start w:val="1"/>
      <w:numFmt w:val="bullet"/>
      <w:lvlText w:val="•"/>
      <w:lvlJc w:val="left"/>
      <w:pPr>
        <w:ind w:left="7294" w:hanging="284"/>
      </w:pPr>
      <w:rPr>
        <w:rFonts w:hint="default"/>
      </w:rPr>
    </w:lvl>
  </w:abstractNum>
  <w:abstractNum w:abstractNumId="12" w15:restartNumberingAfterBreak="0">
    <w:nsid w:val="5D4A1D50"/>
    <w:multiLevelType w:val="multilevel"/>
    <w:tmpl w:val="7D5CAD52"/>
    <w:lvl w:ilvl="0">
      <w:start w:val="6"/>
      <w:numFmt w:val="decimal"/>
      <w:lvlText w:val="%1"/>
      <w:lvlJc w:val="left"/>
      <w:pPr>
        <w:ind w:left="828" w:hanging="709"/>
      </w:pPr>
      <w:rPr>
        <w:rFonts w:hint="default"/>
      </w:rPr>
    </w:lvl>
    <w:lvl w:ilvl="1">
      <w:start w:val="1"/>
      <w:numFmt w:val="decimal"/>
      <w:lvlText w:val="%1.%2"/>
      <w:lvlJc w:val="left"/>
      <w:pPr>
        <w:ind w:left="828"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1"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3" w15:restartNumberingAfterBreak="0">
    <w:nsid w:val="6640643D"/>
    <w:multiLevelType w:val="multilevel"/>
    <w:tmpl w:val="C43A6E4A"/>
    <w:lvl w:ilvl="0">
      <w:start w:val="3"/>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4" w15:restartNumberingAfterBreak="0">
    <w:nsid w:val="6CA545DA"/>
    <w:multiLevelType w:val="hybridMultilevel"/>
    <w:tmpl w:val="FAF6735A"/>
    <w:lvl w:ilvl="0" w:tplc="E3942C06">
      <w:start w:val="1"/>
      <w:numFmt w:val="decimal"/>
      <w:lvlText w:val="%1."/>
      <w:lvlJc w:val="left"/>
      <w:pPr>
        <w:ind w:left="704" w:hanging="425"/>
        <w:jc w:val="right"/>
      </w:pPr>
      <w:rPr>
        <w:rFonts w:ascii="Calibri" w:eastAsia="Calibri" w:hAnsi="Calibri" w:hint="default"/>
        <w:sz w:val="22"/>
        <w:szCs w:val="22"/>
      </w:rPr>
    </w:lvl>
    <w:lvl w:ilvl="1" w:tplc="301C0378">
      <w:start w:val="1"/>
      <w:numFmt w:val="lowerLetter"/>
      <w:lvlText w:val="%2."/>
      <w:lvlJc w:val="left"/>
      <w:pPr>
        <w:ind w:left="1128" w:hanging="425"/>
      </w:pPr>
      <w:rPr>
        <w:rFonts w:ascii="Calibri" w:eastAsia="Calibri" w:hAnsi="Calibri" w:hint="default"/>
        <w:spacing w:val="-1"/>
        <w:sz w:val="22"/>
        <w:szCs w:val="22"/>
      </w:rPr>
    </w:lvl>
    <w:lvl w:ilvl="2" w:tplc="63F63838">
      <w:start w:val="1"/>
      <w:numFmt w:val="bullet"/>
      <w:lvlText w:val="•"/>
      <w:lvlJc w:val="left"/>
      <w:pPr>
        <w:ind w:left="968" w:hanging="425"/>
      </w:pPr>
      <w:rPr>
        <w:rFonts w:hint="default"/>
      </w:rPr>
    </w:lvl>
    <w:lvl w:ilvl="3" w:tplc="213EAB60">
      <w:start w:val="1"/>
      <w:numFmt w:val="bullet"/>
      <w:lvlText w:val="•"/>
      <w:lvlJc w:val="left"/>
      <w:pPr>
        <w:ind w:left="1128" w:hanging="425"/>
      </w:pPr>
      <w:rPr>
        <w:rFonts w:hint="default"/>
      </w:rPr>
    </w:lvl>
    <w:lvl w:ilvl="4" w:tplc="0470A994">
      <w:start w:val="1"/>
      <w:numFmt w:val="bullet"/>
      <w:lvlText w:val="•"/>
      <w:lvlJc w:val="left"/>
      <w:pPr>
        <w:ind w:left="2291" w:hanging="425"/>
      </w:pPr>
      <w:rPr>
        <w:rFonts w:hint="default"/>
      </w:rPr>
    </w:lvl>
    <w:lvl w:ilvl="5" w:tplc="10EA4422">
      <w:start w:val="1"/>
      <w:numFmt w:val="bullet"/>
      <w:lvlText w:val="•"/>
      <w:lvlJc w:val="left"/>
      <w:pPr>
        <w:ind w:left="3453" w:hanging="425"/>
      </w:pPr>
      <w:rPr>
        <w:rFonts w:hint="default"/>
      </w:rPr>
    </w:lvl>
    <w:lvl w:ilvl="6" w:tplc="5D7016D0">
      <w:start w:val="1"/>
      <w:numFmt w:val="bullet"/>
      <w:lvlText w:val="•"/>
      <w:lvlJc w:val="left"/>
      <w:pPr>
        <w:ind w:left="4616" w:hanging="425"/>
      </w:pPr>
      <w:rPr>
        <w:rFonts w:hint="default"/>
      </w:rPr>
    </w:lvl>
    <w:lvl w:ilvl="7" w:tplc="7DDE12FE">
      <w:start w:val="1"/>
      <w:numFmt w:val="bullet"/>
      <w:lvlText w:val="•"/>
      <w:lvlJc w:val="left"/>
      <w:pPr>
        <w:ind w:left="5778" w:hanging="425"/>
      </w:pPr>
      <w:rPr>
        <w:rFonts w:hint="default"/>
      </w:rPr>
    </w:lvl>
    <w:lvl w:ilvl="8" w:tplc="D8362326">
      <w:start w:val="1"/>
      <w:numFmt w:val="bullet"/>
      <w:lvlText w:val="•"/>
      <w:lvlJc w:val="left"/>
      <w:pPr>
        <w:ind w:left="6941" w:hanging="425"/>
      </w:pPr>
      <w:rPr>
        <w:rFonts w:hint="default"/>
      </w:rPr>
    </w:lvl>
  </w:abstractNum>
  <w:abstractNum w:abstractNumId="15" w15:restartNumberingAfterBreak="0">
    <w:nsid w:val="6D8F5C04"/>
    <w:multiLevelType w:val="multilevel"/>
    <w:tmpl w:val="897009E4"/>
    <w:lvl w:ilvl="0">
      <w:start w:val="8"/>
      <w:numFmt w:val="decimal"/>
      <w:lvlText w:val="%1"/>
      <w:lvlJc w:val="left"/>
      <w:pPr>
        <w:ind w:left="826" w:hanging="709"/>
      </w:pPr>
      <w:rPr>
        <w:rFonts w:hint="default"/>
      </w:rPr>
    </w:lvl>
    <w:lvl w:ilvl="1">
      <w:start w:val="1"/>
      <w:numFmt w:val="decimal"/>
      <w:lvlText w:val="%1.%2"/>
      <w:lvlJc w:val="left"/>
      <w:pPr>
        <w:ind w:left="1276"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6" w15:restartNumberingAfterBreak="0">
    <w:nsid w:val="76D81BC4"/>
    <w:multiLevelType w:val="hybridMultilevel"/>
    <w:tmpl w:val="BFE6862C"/>
    <w:lvl w:ilvl="0" w:tplc="9CE23708">
      <w:start w:val="8"/>
      <w:numFmt w:val="bullet"/>
      <w:lvlText w:val=""/>
      <w:lvlJc w:val="left"/>
      <w:pPr>
        <w:ind w:left="780" w:hanging="360"/>
      </w:pPr>
      <w:rPr>
        <w:rFonts w:ascii="Symbol" w:eastAsia="Calibri" w:hAnsi="Symbol" w:cs="Calibr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796B3E30"/>
    <w:multiLevelType w:val="multilevel"/>
    <w:tmpl w:val="C3785C7E"/>
    <w:lvl w:ilvl="0">
      <w:start w:val="5"/>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num w:numId="1">
    <w:abstractNumId w:val="15"/>
  </w:num>
  <w:num w:numId="2">
    <w:abstractNumId w:val="7"/>
  </w:num>
  <w:num w:numId="3">
    <w:abstractNumId w:val="9"/>
  </w:num>
  <w:num w:numId="4">
    <w:abstractNumId w:val="12"/>
  </w:num>
  <w:num w:numId="5">
    <w:abstractNumId w:val="17"/>
  </w:num>
  <w:num w:numId="6">
    <w:abstractNumId w:val="8"/>
  </w:num>
  <w:num w:numId="7">
    <w:abstractNumId w:val="13"/>
  </w:num>
  <w:num w:numId="8">
    <w:abstractNumId w:val="3"/>
  </w:num>
  <w:num w:numId="9">
    <w:abstractNumId w:val="5"/>
  </w:num>
  <w:num w:numId="10">
    <w:abstractNumId w:val="0"/>
  </w:num>
  <w:num w:numId="11">
    <w:abstractNumId w:val="14"/>
  </w:num>
  <w:num w:numId="12">
    <w:abstractNumId w:val="11"/>
  </w:num>
  <w:num w:numId="13">
    <w:abstractNumId w:val="4"/>
  </w:num>
  <w:num w:numId="14">
    <w:abstractNumId w:val="1"/>
  </w:num>
  <w:num w:numId="15">
    <w:abstractNumId w:val="6"/>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6"/>
    <w:rsid w:val="000023AA"/>
    <w:rsid w:val="00004D8F"/>
    <w:rsid w:val="00007C5B"/>
    <w:rsid w:val="0001184B"/>
    <w:rsid w:val="0001509C"/>
    <w:rsid w:val="00030325"/>
    <w:rsid w:val="00033233"/>
    <w:rsid w:val="0004374F"/>
    <w:rsid w:val="0004513D"/>
    <w:rsid w:val="00051891"/>
    <w:rsid w:val="00054E75"/>
    <w:rsid w:val="00061734"/>
    <w:rsid w:val="00085A5C"/>
    <w:rsid w:val="00095094"/>
    <w:rsid w:val="000A1A6D"/>
    <w:rsid w:val="000A762C"/>
    <w:rsid w:val="000B16EA"/>
    <w:rsid w:val="000B28B5"/>
    <w:rsid w:val="000B2FBF"/>
    <w:rsid w:val="000B3EE1"/>
    <w:rsid w:val="000B7EB0"/>
    <w:rsid w:val="000D07CD"/>
    <w:rsid w:val="000D117F"/>
    <w:rsid w:val="000D698B"/>
    <w:rsid w:val="000E7F96"/>
    <w:rsid w:val="00101F88"/>
    <w:rsid w:val="001122B9"/>
    <w:rsid w:val="00136829"/>
    <w:rsid w:val="00140DA3"/>
    <w:rsid w:val="00144D21"/>
    <w:rsid w:val="0016154F"/>
    <w:rsid w:val="00166206"/>
    <w:rsid w:val="00167846"/>
    <w:rsid w:val="001848F5"/>
    <w:rsid w:val="00185E5F"/>
    <w:rsid w:val="00186BA6"/>
    <w:rsid w:val="00193404"/>
    <w:rsid w:val="001A1C01"/>
    <w:rsid w:val="001B61DC"/>
    <w:rsid w:val="001C1837"/>
    <w:rsid w:val="001C3594"/>
    <w:rsid w:val="001D6710"/>
    <w:rsid w:val="001E0020"/>
    <w:rsid w:val="001E049A"/>
    <w:rsid w:val="001E287B"/>
    <w:rsid w:val="001F769E"/>
    <w:rsid w:val="00201896"/>
    <w:rsid w:val="0020234A"/>
    <w:rsid w:val="00207ED1"/>
    <w:rsid w:val="00211F65"/>
    <w:rsid w:val="00217173"/>
    <w:rsid w:val="00220CCA"/>
    <w:rsid w:val="00231C19"/>
    <w:rsid w:val="002366F6"/>
    <w:rsid w:val="00253068"/>
    <w:rsid w:val="00260F79"/>
    <w:rsid w:val="00263BAB"/>
    <w:rsid w:val="0026417B"/>
    <w:rsid w:val="00273AB5"/>
    <w:rsid w:val="00277FD4"/>
    <w:rsid w:val="0028256D"/>
    <w:rsid w:val="0028606B"/>
    <w:rsid w:val="0029197B"/>
    <w:rsid w:val="002A70E6"/>
    <w:rsid w:val="002B1A31"/>
    <w:rsid w:val="002D3BC7"/>
    <w:rsid w:val="002E246C"/>
    <w:rsid w:val="002E2738"/>
    <w:rsid w:val="002F3FA7"/>
    <w:rsid w:val="00305397"/>
    <w:rsid w:val="00306A68"/>
    <w:rsid w:val="00315D83"/>
    <w:rsid w:val="00342B7A"/>
    <w:rsid w:val="0034426A"/>
    <w:rsid w:val="0034689D"/>
    <w:rsid w:val="00363E39"/>
    <w:rsid w:val="00381336"/>
    <w:rsid w:val="003825B3"/>
    <w:rsid w:val="00392125"/>
    <w:rsid w:val="0039652B"/>
    <w:rsid w:val="00396A76"/>
    <w:rsid w:val="003A18A2"/>
    <w:rsid w:val="003C2733"/>
    <w:rsid w:val="003D0DAD"/>
    <w:rsid w:val="003E1854"/>
    <w:rsid w:val="003F259A"/>
    <w:rsid w:val="004401C9"/>
    <w:rsid w:val="004433BE"/>
    <w:rsid w:val="004433DA"/>
    <w:rsid w:val="00445041"/>
    <w:rsid w:val="00457E6A"/>
    <w:rsid w:val="004630D2"/>
    <w:rsid w:val="00474E1E"/>
    <w:rsid w:val="00483295"/>
    <w:rsid w:val="004C0B3F"/>
    <w:rsid w:val="004D0FFE"/>
    <w:rsid w:val="004E2BC8"/>
    <w:rsid w:val="004E6D6A"/>
    <w:rsid w:val="004F09EE"/>
    <w:rsid w:val="004F290C"/>
    <w:rsid w:val="004F652C"/>
    <w:rsid w:val="0050044F"/>
    <w:rsid w:val="0050791B"/>
    <w:rsid w:val="00516990"/>
    <w:rsid w:val="005264D4"/>
    <w:rsid w:val="00531F6A"/>
    <w:rsid w:val="00533DF2"/>
    <w:rsid w:val="00535964"/>
    <w:rsid w:val="0053657F"/>
    <w:rsid w:val="00552A89"/>
    <w:rsid w:val="00555205"/>
    <w:rsid w:val="0056612A"/>
    <w:rsid w:val="00572DCA"/>
    <w:rsid w:val="005768FB"/>
    <w:rsid w:val="00590904"/>
    <w:rsid w:val="005960EC"/>
    <w:rsid w:val="005A64F8"/>
    <w:rsid w:val="005C10C9"/>
    <w:rsid w:val="005C2A7B"/>
    <w:rsid w:val="005D0A02"/>
    <w:rsid w:val="005D4EBF"/>
    <w:rsid w:val="005F108F"/>
    <w:rsid w:val="005F7CCE"/>
    <w:rsid w:val="00604AE1"/>
    <w:rsid w:val="00610A1D"/>
    <w:rsid w:val="0061236C"/>
    <w:rsid w:val="0061585F"/>
    <w:rsid w:val="00632DA0"/>
    <w:rsid w:val="00636993"/>
    <w:rsid w:val="00641736"/>
    <w:rsid w:val="00643D52"/>
    <w:rsid w:val="006614BC"/>
    <w:rsid w:val="0066320E"/>
    <w:rsid w:val="00697FCC"/>
    <w:rsid w:val="006A4E01"/>
    <w:rsid w:val="006B3686"/>
    <w:rsid w:val="006C2DD8"/>
    <w:rsid w:val="006E1796"/>
    <w:rsid w:val="006E6B08"/>
    <w:rsid w:val="006E7320"/>
    <w:rsid w:val="00701331"/>
    <w:rsid w:val="007116D8"/>
    <w:rsid w:val="007220A2"/>
    <w:rsid w:val="0072592B"/>
    <w:rsid w:val="00732A68"/>
    <w:rsid w:val="00732D5C"/>
    <w:rsid w:val="007616FD"/>
    <w:rsid w:val="00770067"/>
    <w:rsid w:val="00777C74"/>
    <w:rsid w:val="0078450A"/>
    <w:rsid w:val="007A3FE0"/>
    <w:rsid w:val="007A6E04"/>
    <w:rsid w:val="007B2F17"/>
    <w:rsid w:val="007D7F9A"/>
    <w:rsid w:val="007E5593"/>
    <w:rsid w:val="00805561"/>
    <w:rsid w:val="0080757E"/>
    <w:rsid w:val="0081147A"/>
    <w:rsid w:val="00815C42"/>
    <w:rsid w:val="0082578C"/>
    <w:rsid w:val="0083594D"/>
    <w:rsid w:val="00841D4A"/>
    <w:rsid w:val="0085055B"/>
    <w:rsid w:val="00855CB6"/>
    <w:rsid w:val="00862E19"/>
    <w:rsid w:val="008753E7"/>
    <w:rsid w:val="008766A7"/>
    <w:rsid w:val="00882E49"/>
    <w:rsid w:val="0089764E"/>
    <w:rsid w:val="008A3440"/>
    <w:rsid w:val="008A415B"/>
    <w:rsid w:val="008C1110"/>
    <w:rsid w:val="008C2E10"/>
    <w:rsid w:val="008C69D5"/>
    <w:rsid w:val="008D7923"/>
    <w:rsid w:val="008D7C0C"/>
    <w:rsid w:val="008F6FFC"/>
    <w:rsid w:val="0090007E"/>
    <w:rsid w:val="0091091D"/>
    <w:rsid w:val="00912E90"/>
    <w:rsid w:val="009141EB"/>
    <w:rsid w:val="00914EBD"/>
    <w:rsid w:val="00926038"/>
    <w:rsid w:val="00927647"/>
    <w:rsid w:val="00927838"/>
    <w:rsid w:val="00935AA2"/>
    <w:rsid w:val="009439DB"/>
    <w:rsid w:val="00951735"/>
    <w:rsid w:val="00971443"/>
    <w:rsid w:val="009750EB"/>
    <w:rsid w:val="0098162B"/>
    <w:rsid w:val="00986EE5"/>
    <w:rsid w:val="0098701A"/>
    <w:rsid w:val="00992B0F"/>
    <w:rsid w:val="00996D54"/>
    <w:rsid w:val="009A345F"/>
    <w:rsid w:val="009A3838"/>
    <w:rsid w:val="009A6130"/>
    <w:rsid w:val="009B4841"/>
    <w:rsid w:val="009D116A"/>
    <w:rsid w:val="009F21FF"/>
    <w:rsid w:val="00A234C6"/>
    <w:rsid w:val="00A253FF"/>
    <w:rsid w:val="00A266CA"/>
    <w:rsid w:val="00A2689A"/>
    <w:rsid w:val="00A30D37"/>
    <w:rsid w:val="00A40A30"/>
    <w:rsid w:val="00A56EFF"/>
    <w:rsid w:val="00A57F67"/>
    <w:rsid w:val="00A67DC5"/>
    <w:rsid w:val="00A7767D"/>
    <w:rsid w:val="00A903B1"/>
    <w:rsid w:val="00AA627C"/>
    <w:rsid w:val="00AB1C1D"/>
    <w:rsid w:val="00AF0A29"/>
    <w:rsid w:val="00B03AA2"/>
    <w:rsid w:val="00B15A43"/>
    <w:rsid w:val="00B20BAF"/>
    <w:rsid w:val="00B22B24"/>
    <w:rsid w:val="00B2705F"/>
    <w:rsid w:val="00B349C5"/>
    <w:rsid w:val="00B433F7"/>
    <w:rsid w:val="00B43EAF"/>
    <w:rsid w:val="00B8181C"/>
    <w:rsid w:val="00B87B57"/>
    <w:rsid w:val="00B92C4E"/>
    <w:rsid w:val="00B9690C"/>
    <w:rsid w:val="00BA455D"/>
    <w:rsid w:val="00BB5E6C"/>
    <w:rsid w:val="00BB7C6B"/>
    <w:rsid w:val="00BC7BF3"/>
    <w:rsid w:val="00BE0894"/>
    <w:rsid w:val="00BF3A67"/>
    <w:rsid w:val="00C10C10"/>
    <w:rsid w:val="00C35AEB"/>
    <w:rsid w:val="00C3701C"/>
    <w:rsid w:val="00C61794"/>
    <w:rsid w:val="00C713D1"/>
    <w:rsid w:val="00C80E7B"/>
    <w:rsid w:val="00CA15B6"/>
    <w:rsid w:val="00CA1848"/>
    <w:rsid w:val="00CA4FCE"/>
    <w:rsid w:val="00CB2E9B"/>
    <w:rsid w:val="00CE04A3"/>
    <w:rsid w:val="00CF5060"/>
    <w:rsid w:val="00D036C3"/>
    <w:rsid w:val="00D054DE"/>
    <w:rsid w:val="00D15003"/>
    <w:rsid w:val="00D1631E"/>
    <w:rsid w:val="00D271D3"/>
    <w:rsid w:val="00D33635"/>
    <w:rsid w:val="00D44DAF"/>
    <w:rsid w:val="00D51A6C"/>
    <w:rsid w:val="00D6541C"/>
    <w:rsid w:val="00D729FA"/>
    <w:rsid w:val="00D815F3"/>
    <w:rsid w:val="00D81947"/>
    <w:rsid w:val="00D95A9C"/>
    <w:rsid w:val="00D975BC"/>
    <w:rsid w:val="00DB3ECF"/>
    <w:rsid w:val="00DC0C48"/>
    <w:rsid w:val="00DC2925"/>
    <w:rsid w:val="00DF6F87"/>
    <w:rsid w:val="00E25C8E"/>
    <w:rsid w:val="00E46958"/>
    <w:rsid w:val="00E50235"/>
    <w:rsid w:val="00E53B91"/>
    <w:rsid w:val="00E56E3E"/>
    <w:rsid w:val="00E60154"/>
    <w:rsid w:val="00E62035"/>
    <w:rsid w:val="00E677E3"/>
    <w:rsid w:val="00E727B2"/>
    <w:rsid w:val="00E85B73"/>
    <w:rsid w:val="00E9030A"/>
    <w:rsid w:val="00E97817"/>
    <w:rsid w:val="00EC152B"/>
    <w:rsid w:val="00EC2507"/>
    <w:rsid w:val="00ED02AF"/>
    <w:rsid w:val="00ED1061"/>
    <w:rsid w:val="00ED15FD"/>
    <w:rsid w:val="00ED418E"/>
    <w:rsid w:val="00EE13CC"/>
    <w:rsid w:val="00EE23C3"/>
    <w:rsid w:val="00EE46C3"/>
    <w:rsid w:val="00F179C4"/>
    <w:rsid w:val="00F22F18"/>
    <w:rsid w:val="00F23E9D"/>
    <w:rsid w:val="00F360B6"/>
    <w:rsid w:val="00F6501C"/>
    <w:rsid w:val="00F77DC8"/>
    <w:rsid w:val="00F91EE8"/>
    <w:rsid w:val="00FA3BD0"/>
    <w:rsid w:val="00FA7110"/>
    <w:rsid w:val="00FB0A9D"/>
    <w:rsid w:val="00FB4AAE"/>
    <w:rsid w:val="00FB6906"/>
    <w:rsid w:val="00FC13CB"/>
    <w:rsid w:val="00FC398A"/>
    <w:rsid w:val="00FD0658"/>
    <w:rsid w:val="00FE452C"/>
    <w:rsid w:val="00FE6D69"/>
    <w:rsid w:val="00FF36EE"/>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2920A2"/>
  <w15:docId w15:val="{D694C37E-D714-48DF-90DC-A6F80BD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paragraph" w:styleId="Heading3">
    <w:name w:val="heading 3"/>
    <w:basedOn w:val="Normal"/>
    <w:uiPriority w:val="1"/>
    <w:qFormat/>
    <w:pPr>
      <w:ind w:left="171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4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5"/>
    <w:rPr>
      <w:rFonts w:ascii="Segoe UI" w:hAnsi="Segoe UI" w:cs="Segoe UI"/>
      <w:sz w:val="18"/>
      <w:szCs w:val="18"/>
    </w:rPr>
  </w:style>
  <w:style w:type="character" w:styleId="CommentReference">
    <w:name w:val="annotation reference"/>
    <w:basedOn w:val="DefaultParagraphFont"/>
    <w:uiPriority w:val="99"/>
    <w:semiHidden/>
    <w:unhideWhenUsed/>
    <w:rsid w:val="00926038"/>
    <w:rPr>
      <w:sz w:val="16"/>
      <w:szCs w:val="16"/>
    </w:rPr>
  </w:style>
  <w:style w:type="paragraph" w:styleId="CommentText">
    <w:name w:val="annotation text"/>
    <w:basedOn w:val="Normal"/>
    <w:link w:val="CommentTextChar"/>
    <w:uiPriority w:val="99"/>
    <w:semiHidden/>
    <w:unhideWhenUsed/>
    <w:rsid w:val="00926038"/>
    <w:rPr>
      <w:sz w:val="20"/>
      <w:szCs w:val="20"/>
    </w:rPr>
  </w:style>
  <w:style w:type="character" w:customStyle="1" w:styleId="CommentTextChar">
    <w:name w:val="Comment Text Char"/>
    <w:basedOn w:val="DefaultParagraphFont"/>
    <w:link w:val="CommentText"/>
    <w:uiPriority w:val="99"/>
    <w:semiHidden/>
    <w:rsid w:val="00926038"/>
    <w:rPr>
      <w:sz w:val="20"/>
      <w:szCs w:val="20"/>
    </w:rPr>
  </w:style>
  <w:style w:type="paragraph" w:styleId="CommentSubject">
    <w:name w:val="annotation subject"/>
    <w:basedOn w:val="CommentText"/>
    <w:next w:val="CommentText"/>
    <w:link w:val="CommentSubjectChar"/>
    <w:uiPriority w:val="99"/>
    <w:semiHidden/>
    <w:unhideWhenUsed/>
    <w:rsid w:val="00926038"/>
    <w:rPr>
      <w:b/>
      <w:bCs/>
    </w:rPr>
  </w:style>
  <w:style w:type="character" w:customStyle="1" w:styleId="CommentSubjectChar">
    <w:name w:val="Comment Subject Char"/>
    <w:basedOn w:val="CommentTextChar"/>
    <w:link w:val="CommentSubject"/>
    <w:uiPriority w:val="99"/>
    <w:semiHidden/>
    <w:rsid w:val="00926038"/>
    <w:rPr>
      <w:b/>
      <w:bCs/>
      <w:sz w:val="20"/>
      <w:szCs w:val="20"/>
    </w:rPr>
  </w:style>
  <w:style w:type="paragraph" w:styleId="FootnoteText">
    <w:name w:val="footnote text"/>
    <w:basedOn w:val="Normal"/>
    <w:link w:val="FootnoteTextChar"/>
    <w:uiPriority w:val="99"/>
    <w:semiHidden/>
    <w:unhideWhenUsed/>
    <w:rsid w:val="006614BC"/>
    <w:rPr>
      <w:sz w:val="20"/>
      <w:szCs w:val="20"/>
    </w:rPr>
  </w:style>
  <w:style w:type="character" w:customStyle="1" w:styleId="FootnoteTextChar">
    <w:name w:val="Footnote Text Char"/>
    <w:basedOn w:val="DefaultParagraphFont"/>
    <w:link w:val="FootnoteText"/>
    <w:uiPriority w:val="99"/>
    <w:semiHidden/>
    <w:rsid w:val="006614BC"/>
    <w:rPr>
      <w:sz w:val="20"/>
      <w:szCs w:val="20"/>
    </w:rPr>
  </w:style>
  <w:style w:type="character" w:styleId="FootnoteReference">
    <w:name w:val="footnote reference"/>
    <w:basedOn w:val="DefaultParagraphFont"/>
    <w:uiPriority w:val="99"/>
    <w:semiHidden/>
    <w:unhideWhenUsed/>
    <w:rsid w:val="006614BC"/>
    <w:rPr>
      <w:vertAlign w:val="superscript"/>
    </w:rPr>
  </w:style>
  <w:style w:type="paragraph" w:styleId="Header">
    <w:name w:val="header"/>
    <w:basedOn w:val="Normal"/>
    <w:link w:val="HeaderChar"/>
    <w:uiPriority w:val="99"/>
    <w:unhideWhenUsed/>
    <w:rsid w:val="00C10C10"/>
    <w:pPr>
      <w:tabs>
        <w:tab w:val="center" w:pos="4513"/>
        <w:tab w:val="right" w:pos="9026"/>
      </w:tabs>
    </w:pPr>
  </w:style>
  <w:style w:type="character" w:customStyle="1" w:styleId="HeaderChar">
    <w:name w:val="Header Char"/>
    <w:basedOn w:val="DefaultParagraphFont"/>
    <w:link w:val="Header"/>
    <w:uiPriority w:val="99"/>
    <w:rsid w:val="00C10C10"/>
  </w:style>
  <w:style w:type="paragraph" w:styleId="Footer">
    <w:name w:val="footer"/>
    <w:basedOn w:val="Normal"/>
    <w:link w:val="FooterChar"/>
    <w:uiPriority w:val="99"/>
    <w:unhideWhenUsed/>
    <w:rsid w:val="00C10C10"/>
    <w:pPr>
      <w:tabs>
        <w:tab w:val="center" w:pos="4513"/>
        <w:tab w:val="right" w:pos="9026"/>
      </w:tabs>
    </w:pPr>
  </w:style>
  <w:style w:type="character" w:customStyle="1" w:styleId="FooterChar">
    <w:name w:val="Footer Char"/>
    <w:basedOn w:val="DefaultParagraphFont"/>
    <w:link w:val="Footer"/>
    <w:uiPriority w:val="99"/>
    <w:rsid w:val="00C10C10"/>
  </w:style>
  <w:style w:type="paragraph" w:customStyle="1" w:styleId="p1">
    <w:name w:val="p1"/>
    <w:basedOn w:val="Normal"/>
    <w:rsid w:val="00273AB5"/>
    <w:pPr>
      <w:widowControl/>
    </w:pPr>
    <w:rPr>
      <w:rFonts w:ascii="Times" w:hAnsi="Times"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565C-68CD-4FEE-87DB-C6AE940B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14222</Characters>
  <Application>Microsoft Office Word</Application>
  <DocSecurity>0</DocSecurity>
  <Lines>118</Lines>
  <Paragraphs>33</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IUCN</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2</cp:revision>
  <dcterms:created xsi:type="dcterms:W3CDTF">2018-10-29T05:13:00Z</dcterms:created>
  <dcterms:modified xsi:type="dcterms:W3CDTF">2018-10-29T05:13:00Z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2018-04-26T00:00:00Z</vt:filetime>
  </property>
</Properties>
</file>