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89EC8" w14:textId="04715619" w:rsidR="004433BE" w:rsidRPr="00540562" w:rsidRDefault="004433BE" w:rsidP="0071051C">
      <w:pPr>
        <w:widowControl/>
        <w:ind w:right="17"/>
        <w:jc w:val="center"/>
        <w:outlineLvl w:val="0"/>
        <w:rPr>
          <w:rFonts w:ascii="Calibri" w:hAnsi="Calibri"/>
          <w:b/>
          <w:sz w:val="24"/>
          <w:lang w:val="es-ES_tradnl"/>
        </w:rPr>
      </w:pPr>
      <w:r w:rsidRPr="00540562">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7A6BA480" wp14:editId="0E92C8DA">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DD637B" w:rsidRPr="00540562">
        <w:rPr>
          <w:rFonts w:ascii="Calibri" w:eastAsia="Times New Roman" w:hAnsi="Calibri" w:cstheme="majorHAnsi"/>
          <w:b/>
          <w:bCs/>
          <w:sz w:val="24"/>
          <w:szCs w:val="24"/>
          <w:lang w:val="es-ES_tradnl"/>
        </w:rPr>
        <w:t xml:space="preserve">13ª </w:t>
      </w:r>
      <w:r w:rsidR="00DD637B" w:rsidRPr="00540562">
        <w:rPr>
          <w:rFonts w:ascii="Calibri" w:hAnsi="Calibri"/>
          <w:b/>
          <w:sz w:val="24"/>
          <w:lang w:val="es-ES_tradnl"/>
        </w:rPr>
        <w:t>Reunión de la Conferencia de las Partes Contratantes</w:t>
      </w:r>
    </w:p>
    <w:p w14:paraId="18F06229" w14:textId="30935E5B" w:rsidR="004433BE" w:rsidRPr="00540562" w:rsidRDefault="00DD637B" w:rsidP="00701331">
      <w:pPr>
        <w:widowControl/>
        <w:ind w:right="17"/>
        <w:jc w:val="center"/>
        <w:outlineLvl w:val="0"/>
        <w:rPr>
          <w:rFonts w:ascii="Calibri" w:eastAsia="Times New Roman" w:hAnsi="Calibri" w:cstheme="majorHAnsi"/>
          <w:b/>
          <w:bCs/>
          <w:sz w:val="24"/>
          <w:szCs w:val="24"/>
          <w:lang w:val="es-ES_tradnl"/>
        </w:rPr>
      </w:pPr>
      <w:r w:rsidRPr="00540562">
        <w:rPr>
          <w:rFonts w:ascii="Calibri" w:eastAsia="Times New Roman" w:hAnsi="Calibri" w:cstheme="majorHAnsi"/>
          <w:b/>
          <w:bCs/>
          <w:sz w:val="24"/>
          <w:szCs w:val="24"/>
          <w:lang w:val="es-ES_tradnl"/>
        </w:rPr>
        <w:t>en la Convención de Ramsar sobre los Humedales</w:t>
      </w:r>
    </w:p>
    <w:p w14:paraId="58F280E8" w14:textId="77777777" w:rsidR="004433BE" w:rsidRPr="00540562" w:rsidRDefault="004433BE" w:rsidP="00701331">
      <w:pPr>
        <w:widowControl/>
        <w:ind w:right="17"/>
        <w:jc w:val="center"/>
        <w:outlineLvl w:val="0"/>
        <w:rPr>
          <w:rFonts w:ascii="Calibri" w:eastAsia="Times New Roman" w:hAnsi="Calibri" w:cstheme="majorHAnsi"/>
          <w:b/>
          <w:bCs/>
          <w:sz w:val="24"/>
          <w:szCs w:val="24"/>
          <w:lang w:val="es-ES_tradnl"/>
        </w:rPr>
      </w:pPr>
    </w:p>
    <w:p w14:paraId="6B94E752" w14:textId="77777777" w:rsidR="00DD637B" w:rsidRPr="00540562" w:rsidRDefault="004433BE" w:rsidP="00DD637B">
      <w:pPr>
        <w:ind w:right="17"/>
        <w:jc w:val="center"/>
        <w:outlineLvl w:val="0"/>
        <w:rPr>
          <w:rFonts w:ascii="Calibri" w:eastAsia="Times New Roman" w:hAnsi="Calibri" w:cstheme="majorHAnsi"/>
          <w:b/>
          <w:bCs/>
          <w:sz w:val="24"/>
          <w:szCs w:val="24"/>
          <w:lang w:val="es-ES_tradnl"/>
        </w:rPr>
      </w:pPr>
      <w:r w:rsidRPr="00540562">
        <w:rPr>
          <w:rFonts w:ascii="Calibri" w:eastAsia="Times New Roman" w:hAnsi="Calibri" w:cstheme="majorHAnsi"/>
          <w:b/>
          <w:bCs/>
          <w:sz w:val="24"/>
          <w:szCs w:val="24"/>
          <w:lang w:val="es-ES_tradnl"/>
        </w:rPr>
        <w:t>“</w:t>
      </w:r>
      <w:r w:rsidR="00DD637B" w:rsidRPr="00540562">
        <w:rPr>
          <w:rFonts w:ascii="Calibri" w:eastAsia="Times New Roman" w:hAnsi="Calibri" w:cstheme="majorHAnsi"/>
          <w:b/>
          <w:bCs/>
          <w:sz w:val="24"/>
          <w:szCs w:val="24"/>
          <w:lang w:val="es-ES_tradnl"/>
        </w:rPr>
        <w:t>Humedales para un futuro urbano sostenible”</w:t>
      </w:r>
    </w:p>
    <w:p w14:paraId="4A7B1E70" w14:textId="77777777" w:rsidR="00DD637B" w:rsidRPr="00540562" w:rsidRDefault="00DD637B" w:rsidP="00DD637B">
      <w:pPr>
        <w:ind w:right="17"/>
        <w:jc w:val="center"/>
        <w:outlineLvl w:val="0"/>
        <w:rPr>
          <w:rFonts w:ascii="Calibri" w:eastAsia="Times New Roman" w:hAnsi="Calibri" w:cstheme="majorHAnsi"/>
          <w:b/>
          <w:bCs/>
          <w:sz w:val="24"/>
          <w:szCs w:val="24"/>
          <w:lang w:val="es-ES_tradnl"/>
        </w:rPr>
      </w:pPr>
      <w:r w:rsidRPr="00540562">
        <w:rPr>
          <w:rFonts w:ascii="Calibri" w:eastAsia="Times New Roman" w:hAnsi="Calibri" w:cstheme="majorHAnsi"/>
          <w:b/>
          <w:bCs/>
          <w:sz w:val="24"/>
          <w:szCs w:val="24"/>
          <w:lang w:val="es-ES_tradnl"/>
        </w:rPr>
        <w:t>Dubái, Emiratos Árabes Unidos,</w:t>
      </w:r>
    </w:p>
    <w:p w14:paraId="6BDDBB40" w14:textId="1D6DECF5" w:rsidR="004433BE" w:rsidRPr="00540562" w:rsidRDefault="00DD637B" w:rsidP="00DD637B">
      <w:pPr>
        <w:widowControl/>
        <w:ind w:right="17"/>
        <w:jc w:val="center"/>
        <w:outlineLvl w:val="0"/>
        <w:rPr>
          <w:rFonts w:ascii="Calibri" w:eastAsia="Times New Roman" w:hAnsi="Calibri" w:cstheme="majorHAnsi"/>
          <w:b/>
          <w:bCs/>
          <w:sz w:val="24"/>
          <w:szCs w:val="24"/>
          <w:lang w:val="es-ES_tradnl"/>
        </w:rPr>
      </w:pPr>
      <w:r w:rsidRPr="00540562">
        <w:rPr>
          <w:rFonts w:ascii="Calibri" w:eastAsia="Times New Roman" w:hAnsi="Calibri" w:cstheme="majorHAnsi"/>
          <w:b/>
          <w:bCs/>
          <w:sz w:val="24"/>
          <w:szCs w:val="24"/>
          <w:lang w:val="es-ES_tradnl"/>
        </w:rPr>
        <w:t>21 a 29 de octubre de 2018</w:t>
      </w:r>
    </w:p>
    <w:p w14:paraId="346576CB" w14:textId="77777777" w:rsidR="004433BE" w:rsidRPr="00540562" w:rsidRDefault="004433BE" w:rsidP="00701331">
      <w:pPr>
        <w:widowControl/>
        <w:ind w:right="17"/>
        <w:jc w:val="center"/>
        <w:outlineLvl w:val="0"/>
        <w:rPr>
          <w:rFonts w:ascii="Calibri" w:eastAsia="Times New Roman" w:hAnsi="Calibri" w:cstheme="majorHAnsi"/>
          <w:b/>
          <w:bCs/>
          <w:sz w:val="28"/>
          <w:szCs w:val="28"/>
          <w:lang w:val="es-ES_tradnl"/>
        </w:rPr>
      </w:pPr>
    </w:p>
    <w:p w14:paraId="338B1CFE" w14:textId="77777777" w:rsidR="004433BE" w:rsidRPr="00540562" w:rsidRDefault="004433BE" w:rsidP="00701331">
      <w:pPr>
        <w:widowControl/>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4433BE" w:rsidRPr="00540562" w14:paraId="46188BC3" w14:textId="77777777" w:rsidTr="00F6501C">
        <w:tc>
          <w:tcPr>
            <w:tcW w:w="4708" w:type="dxa"/>
          </w:tcPr>
          <w:p w14:paraId="7AE40E8B" w14:textId="77777777" w:rsidR="004433BE" w:rsidRPr="00540562" w:rsidRDefault="004433BE" w:rsidP="00701331">
            <w:pPr>
              <w:widowControl/>
              <w:ind w:right="17"/>
              <w:jc w:val="center"/>
              <w:outlineLvl w:val="0"/>
              <w:rPr>
                <w:rFonts w:ascii="Calibri" w:eastAsia="Times New Roman" w:hAnsi="Calibri" w:cstheme="majorHAnsi"/>
                <w:b/>
                <w:bCs/>
                <w:sz w:val="24"/>
                <w:szCs w:val="24"/>
                <w:lang w:val="es-ES_tradnl"/>
              </w:rPr>
            </w:pPr>
          </w:p>
        </w:tc>
        <w:tc>
          <w:tcPr>
            <w:tcW w:w="4652" w:type="dxa"/>
          </w:tcPr>
          <w:p w14:paraId="1A0ED546" w14:textId="58B09B24" w:rsidR="004433BE" w:rsidRPr="00540562" w:rsidRDefault="0052475A" w:rsidP="00701331">
            <w:pPr>
              <w:widowControl/>
              <w:ind w:right="67"/>
              <w:jc w:val="right"/>
              <w:outlineLvl w:val="0"/>
              <w:rPr>
                <w:rFonts w:ascii="Calibri" w:eastAsia="Times New Roman" w:hAnsi="Calibri" w:cstheme="majorHAnsi"/>
                <w:b/>
                <w:bCs/>
                <w:sz w:val="24"/>
                <w:szCs w:val="24"/>
                <w:lang w:val="es-ES_tradnl"/>
              </w:rPr>
            </w:pPr>
            <w:r w:rsidRPr="0052475A">
              <w:rPr>
                <w:rFonts w:ascii="Calibri" w:eastAsia="Times New Roman" w:hAnsi="Calibri" w:cstheme="majorHAnsi"/>
                <w:b/>
                <w:bCs/>
                <w:sz w:val="24"/>
                <w:szCs w:val="24"/>
                <w:lang w:val="es-ES_tradnl"/>
              </w:rPr>
              <w:t>Ramsar COP13 Doc.18.8</w:t>
            </w:r>
          </w:p>
        </w:tc>
      </w:tr>
    </w:tbl>
    <w:p w14:paraId="36B68D8F" w14:textId="77777777" w:rsidR="004433BE" w:rsidRPr="00540562" w:rsidRDefault="004433BE" w:rsidP="0071051C">
      <w:pPr>
        <w:widowControl/>
        <w:ind w:right="17"/>
        <w:jc w:val="center"/>
        <w:outlineLvl w:val="0"/>
        <w:rPr>
          <w:rFonts w:ascii="Calibri" w:hAnsi="Calibri"/>
          <w:b/>
          <w:sz w:val="28"/>
          <w:lang w:val="es-ES_tradnl"/>
        </w:rPr>
      </w:pPr>
    </w:p>
    <w:p w14:paraId="27AEE72B" w14:textId="43190E0A" w:rsidR="00FB6906" w:rsidRPr="00540562" w:rsidRDefault="00DD637B" w:rsidP="0052475A">
      <w:pPr>
        <w:widowControl/>
        <w:ind w:right="17"/>
        <w:jc w:val="center"/>
        <w:outlineLvl w:val="0"/>
        <w:rPr>
          <w:rFonts w:ascii="Calibri" w:hAnsi="Calibri"/>
          <w:sz w:val="28"/>
          <w:lang w:val="es-ES_tradnl"/>
        </w:rPr>
      </w:pPr>
      <w:r w:rsidRPr="00540562">
        <w:rPr>
          <w:rFonts w:ascii="Calibri" w:hAnsi="Calibri"/>
          <w:b/>
          <w:sz w:val="28"/>
          <w:lang w:val="es-ES_tradnl"/>
        </w:rPr>
        <w:t xml:space="preserve">Proyecto de resolución </w:t>
      </w:r>
      <w:r w:rsidR="0052475A">
        <w:rPr>
          <w:rFonts w:ascii="Calibri" w:hAnsi="Calibri"/>
          <w:b/>
          <w:sz w:val="28"/>
          <w:lang w:val="es-ES_tradnl"/>
        </w:rPr>
        <w:t>sobre las i</w:t>
      </w:r>
      <w:r w:rsidRPr="00540562">
        <w:rPr>
          <w:rFonts w:ascii="Calibri"/>
          <w:b/>
          <w:spacing w:val="-1"/>
          <w:sz w:val="28"/>
          <w:lang w:val="es-ES_tradnl"/>
        </w:rPr>
        <w:t xml:space="preserve">niciativas regionales de Ramsar </w:t>
      </w:r>
      <w:r w:rsidR="0052475A">
        <w:rPr>
          <w:rFonts w:ascii="Calibri"/>
          <w:b/>
          <w:spacing w:val="-1"/>
          <w:sz w:val="28"/>
          <w:lang w:val="es-ES_tradnl"/>
        </w:rPr>
        <w:br/>
      </w:r>
      <w:r w:rsidRPr="00540562">
        <w:rPr>
          <w:rFonts w:ascii="Calibri"/>
          <w:b/>
          <w:spacing w:val="-1"/>
          <w:sz w:val="28"/>
          <w:lang w:val="es-ES_tradnl"/>
        </w:rPr>
        <w:t xml:space="preserve">para </w:t>
      </w:r>
      <w:r w:rsidR="0052475A">
        <w:rPr>
          <w:rFonts w:ascii="Calibri"/>
          <w:b/>
          <w:spacing w:val="-1"/>
          <w:sz w:val="28"/>
          <w:lang w:val="es-ES_tradnl"/>
        </w:rPr>
        <w:t xml:space="preserve">2019-2021 </w:t>
      </w:r>
      <w:r w:rsidRPr="00540562">
        <w:rPr>
          <w:rFonts w:ascii="Calibri"/>
          <w:b/>
          <w:spacing w:val="-1"/>
          <w:sz w:val="28"/>
          <w:lang w:val="es-ES_tradnl"/>
        </w:rPr>
        <w:t xml:space="preserve">y su </w:t>
      </w:r>
      <w:r w:rsidR="005F09A6" w:rsidRPr="00540562">
        <w:rPr>
          <w:rFonts w:ascii="Calibri"/>
          <w:b/>
          <w:spacing w:val="-1"/>
          <w:sz w:val="28"/>
          <w:lang w:val="es-ES_tradnl"/>
        </w:rPr>
        <w:t>ma</w:t>
      </w:r>
      <w:r w:rsidR="005F09A6">
        <w:rPr>
          <w:rFonts w:ascii="Calibri"/>
          <w:b/>
          <w:spacing w:val="-1"/>
          <w:sz w:val="28"/>
          <w:lang w:val="es-ES_tradnl"/>
        </w:rPr>
        <w:t>r</w:t>
      </w:r>
      <w:r w:rsidR="005F09A6" w:rsidRPr="00540562">
        <w:rPr>
          <w:rFonts w:ascii="Calibri"/>
          <w:b/>
          <w:spacing w:val="-1"/>
          <w:sz w:val="28"/>
          <w:lang w:val="es-ES_tradnl"/>
        </w:rPr>
        <w:t>co</w:t>
      </w:r>
      <w:r w:rsidRPr="00540562">
        <w:rPr>
          <w:rFonts w:ascii="Calibri"/>
          <w:b/>
          <w:spacing w:val="-1"/>
          <w:sz w:val="28"/>
          <w:lang w:val="es-ES_tradnl"/>
        </w:rPr>
        <w:t xml:space="preserve"> operativo</w:t>
      </w:r>
    </w:p>
    <w:p w14:paraId="1E6E587B" w14:textId="77777777" w:rsidR="0052475A" w:rsidRDefault="0052475A" w:rsidP="00701331">
      <w:pPr>
        <w:widowControl/>
        <w:spacing w:before="7"/>
        <w:rPr>
          <w:rFonts w:ascii="Calibri" w:eastAsia="Calibri" w:hAnsi="Calibri" w:cs="Calibri"/>
          <w:b/>
          <w:bCs/>
          <w:lang w:val="es-ES_tradnl"/>
        </w:rPr>
      </w:pPr>
    </w:p>
    <w:p w14:paraId="6095174E" w14:textId="77777777" w:rsidR="0052475A" w:rsidRDefault="0052475A" w:rsidP="00701331">
      <w:pPr>
        <w:widowControl/>
        <w:spacing w:before="7"/>
        <w:rPr>
          <w:rFonts w:ascii="Calibri" w:eastAsia="Calibri" w:hAnsi="Calibri" w:cs="Calibri"/>
          <w:b/>
          <w:bCs/>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52475A" w:rsidRPr="0052475A" w14:paraId="22809BCE" w14:textId="77777777" w:rsidTr="006C21F8">
        <w:tc>
          <w:tcPr>
            <w:tcW w:w="9360" w:type="dxa"/>
          </w:tcPr>
          <w:p w14:paraId="555C2228" w14:textId="77777777" w:rsidR="0052475A" w:rsidRPr="00540562" w:rsidRDefault="0052475A" w:rsidP="0052475A">
            <w:pPr>
              <w:rPr>
                <w:b/>
                <w:lang w:val="es-ES_tradnl"/>
              </w:rPr>
            </w:pPr>
            <w:r w:rsidRPr="00540562">
              <w:rPr>
                <w:b/>
                <w:lang w:val="es-ES_tradnl"/>
              </w:rPr>
              <w:t>Nota de la Secretaría</w:t>
            </w:r>
          </w:p>
          <w:p w14:paraId="4A97415C" w14:textId="77777777" w:rsidR="0052475A" w:rsidRPr="00540562" w:rsidRDefault="0052475A" w:rsidP="0052475A">
            <w:pPr>
              <w:rPr>
                <w:lang w:val="es-ES_tradnl"/>
              </w:rPr>
            </w:pPr>
          </w:p>
          <w:p w14:paraId="078C0AA2" w14:textId="21116EE5" w:rsidR="0052475A" w:rsidRPr="0052475A" w:rsidRDefault="0052475A" w:rsidP="0052475A">
            <w:pPr>
              <w:rPr>
                <w:lang w:val="es-ES_tradnl"/>
              </w:rPr>
            </w:pPr>
            <w:r w:rsidRPr="00540562">
              <w:rPr>
                <w:lang w:val="es-ES_tradnl"/>
              </w:rPr>
              <w:t xml:space="preserve">Mediante la Decisión SC54-30, </w:t>
            </w:r>
            <w:r w:rsidRPr="00540562">
              <w:rPr>
                <w:rFonts w:cs="Calibri"/>
                <w:bCs/>
                <w:lang w:val="es-ES_tradnl"/>
              </w:rPr>
              <w:t>El Comité Permanente encargó a la Secretaría que editara, finalizara y publicara el proyecto de resolución contenido en el documento SC54-Com.11 y su anexo para su examen en la COP13, incluyendo el texto del proyecto de resolución y el anexo entre corchetes pero sin modificaciones adicionales, señalando que las Partes tenían distintos puntos de vista que habría que tratar en mayor medida en la COP</w:t>
            </w:r>
            <w:r w:rsidRPr="00540562">
              <w:rPr>
                <w:lang w:val="es-ES_tradnl"/>
              </w:rPr>
              <w:t>.</w:t>
            </w:r>
          </w:p>
        </w:tc>
      </w:tr>
    </w:tbl>
    <w:p w14:paraId="7BE71D81" w14:textId="34D81472" w:rsidR="00FB6906" w:rsidRPr="0052475A" w:rsidRDefault="00FB6906" w:rsidP="00701331">
      <w:pPr>
        <w:widowControl/>
        <w:spacing w:before="7"/>
        <w:rPr>
          <w:rFonts w:ascii="Calibri" w:eastAsia="Calibri" w:hAnsi="Calibri" w:cs="Calibri"/>
          <w:b/>
          <w:bCs/>
          <w:lang w:val="es-ES"/>
        </w:rPr>
      </w:pPr>
    </w:p>
    <w:p w14:paraId="522CA07B" w14:textId="370B27E4" w:rsidR="000B16EA" w:rsidRPr="0052475A" w:rsidRDefault="000B16EA" w:rsidP="00701331">
      <w:pPr>
        <w:widowControl/>
        <w:contextualSpacing/>
        <w:rPr>
          <w:rFonts w:cs="Calibri"/>
          <w:bCs/>
          <w:lang w:val="es-ES"/>
        </w:rPr>
      </w:pPr>
    </w:p>
    <w:p w14:paraId="6C63E99A" w14:textId="7BFDE2E1" w:rsidR="00FB6906" w:rsidRPr="00540562" w:rsidRDefault="000B16EA" w:rsidP="0071051C">
      <w:pPr>
        <w:widowControl/>
        <w:ind w:left="425" w:hanging="425"/>
        <w:rPr>
          <w:rFonts w:eastAsia="Calibri" w:cs="Calibri"/>
          <w:lang w:val="es-ES_tradnl"/>
        </w:rPr>
      </w:pPr>
      <w:r w:rsidRPr="0052475A">
        <w:rPr>
          <w:rFonts w:eastAsia="Calibri" w:cs="Calibri"/>
          <w:lang w:val="es-ES"/>
        </w:rPr>
        <w:t xml:space="preserve"> </w:t>
      </w:r>
      <w:r w:rsidR="00927838" w:rsidRPr="00540562">
        <w:rPr>
          <w:rFonts w:eastAsia="Calibri" w:cs="Calibri"/>
          <w:lang w:val="es-ES_tradnl"/>
        </w:rPr>
        <w:t>[</w:t>
      </w:r>
      <w:r w:rsidR="00A40A30" w:rsidRPr="00540562">
        <w:rPr>
          <w:lang w:val="es-ES_tradnl"/>
        </w:rPr>
        <w:t>1.</w:t>
      </w:r>
      <w:r w:rsidR="00A40A30" w:rsidRPr="00540562">
        <w:rPr>
          <w:lang w:val="es-ES_tradnl"/>
        </w:rPr>
        <w:tab/>
      </w:r>
      <w:r w:rsidR="00DD637B" w:rsidRPr="00540562">
        <w:rPr>
          <w:lang w:val="es-ES_tradnl"/>
        </w:rPr>
        <w:t>RECORDANDO que las iniciativas regionales en el marco de la Convención de Ramsar, entre las que se incluyen centros regionales de formación y creación de capacidad y redes regionales para facilitar la cooperación, tienen por objeto servir de medios operativos para brindar un apoyo eficaz con miras a mejorar la aplicación de la Convención y su Plan Estratégico en regiones geográficas concretas, por medio de la cooperación internacional en cuestiones de interés común relativas a los humedales</w:t>
      </w:r>
      <w:r w:rsidR="00535964" w:rsidRPr="00540562">
        <w:rPr>
          <w:lang w:val="es-ES_tradnl"/>
        </w:rPr>
        <w:t>;</w:t>
      </w:r>
    </w:p>
    <w:p w14:paraId="5005B001" w14:textId="77777777" w:rsidR="00FB6906" w:rsidRPr="00540562" w:rsidRDefault="00FB6906" w:rsidP="0071051C">
      <w:pPr>
        <w:widowControl/>
        <w:ind w:left="425" w:hanging="425"/>
        <w:rPr>
          <w:rFonts w:eastAsia="Calibri" w:cs="Calibri"/>
          <w:lang w:val="es-ES_tradnl"/>
        </w:rPr>
      </w:pPr>
    </w:p>
    <w:p w14:paraId="1D29BA7F" w14:textId="5648B6C5" w:rsidR="00CA15B6" w:rsidRPr="00540562" w:rsidRDefault="00A40A30" w:rsidP="0071051C">
      <w:pPr>
        <w:widowControl/>
        <w:tabs>
          <w:tab w:val="left" w:pos="687"/>
        </w:tabs>
        <w:ind w:left="425" w:hanging="425"/>
        <w:rPr>
          <w:lang w:val="es-ES_tradnl"/>
        </w:rPr>
      </w:pPr>
      <w:r w:rsidRPr="00540562">
        <w:rPr>
          <w:lang w:val="es-ES_tradnl"/>
        </w:rPr>
        <w:t>2.</w:t>
      </w:r>
      <w:r w:rsidRPr="00540562">
        <w:rPr>
          <w:lang w:val="es-ES_tradnl"/>
        </w:rPr>
        <w:tab/>
      </w:r>
      <w:r w:rsidR="00DD637B" w:rsidRPr="00540562">
        <w:rPr>
          <w:lang w:val="es-ES_tradnl"/>
        </w:rPr>
        <w:t xml:space="preserve">RECORDANDO ADEMÁS que la Conferencia de las Partes Contratantes ha reconocido la importancia de las iniciativas regionales para la promoción de los objetivos de la Convención </w:t>
      </w:r>
      <w:r w:rsidR="00724F74">
        <w:rPr>
          <w:lang w:val="es-ES_tradnl"/>
        </w:rPr>
        <w:t>en la Resolución VIII.30 (2002) sobre</w:t>
      </w:r>
      <w:r w:rsidR="00DD637B" w:rsidRPr="00540562">
        <w:rPr>
          <w:lang w:val="es-ES_tradnl"/>
        </w:rPr>
        <w:t xml:space="preserve"> </w:t>
      </w:r>
      <w:r w:rsidR="00DD637B" w:rsidRPr="00540562">
        <w:rPr>
          <w:i/>
          <w:lang w:val="es-ES_tradnl"/>
        </w:rPr>
        <w:t>Iniciativas regionales para aplicar la Convención en mayor grado</w:t>
      </w:r>
      <w:r w:rsidR="00724F74">
        <w:rPr>
          <w:lang w:val="es-ES_tradnl"/>
        </w:rPr>
        <w:t>, la Resolución IX.7 (2005) sobre</w:t>
      </w:r>
      <w:r w:rsidR="00DD637B" w:rsidRPr="00540562">
        <w:rPr>
          <w:lang w:val="es-ES_tradnl"/>
        </w:rPr>
        <w:t xml:space="preserve"> </w:t>
      </w:r>
      <w:r w:rsidR="00DD637B" w:rsidRPr="00540562">
        <w:rPr>
          <w:i/>
          <w:lang w:val="es-ES_tradnl"/>
        </w:rPr>
        <w:t>Iniciativas regionales en el marco de la Convención de Ramsar</w:t>
      </w:r>
      <w:r w:rsidR="00DD637B" w:rsidRPr="00540562">
        <w:rPr>
          <w:lang w:val="es-ES_tradnl"/>
        </w:rPr>
        <w:t>, la Resolución X.6 (2008)</w:t>
      </w:r>
      <w:r w:rsidR="00724F74">
        <w:rPr>
          <w:lang w:val="es-ES_tradnl"/>
        </w:rPr>
        <w:t xml:space="preserve"> sobre</w:t>
      </w:r>
      <w:r w:rsidR="00DD637B" w:rsidRPr="00540562">
        <w:rPr>
          <w:lang w:val="es-ES_tradnl"/>
        </w:rPr>
        <w:t xml:space="preserve"> </w:t>
      </w:r>
      <w:r w:rsidR="00DD637B" w:rsidRPr="00540562">
        <w:rPr>
          <w:i/>
          <w:lang w:val="es-ES_tradnl"/>
        </w:rPr>
        <w:t>Iniciativas regionales para 2009-2012 en el marco de la Convención de Ramsar</w:t>
      </w:r>
      <w:r w:rsidR="00724F74">
        <w:rPr>
          <w:lang w:val="es-ES_tradnl"/>
        </w:rPr>
        <w:t>, la Resolución XI.5 (2012) sobre</w:t>
      </w:r>
      <w:r w:rsidR="00DD637B" w:rsidRPr="00540562">
        <w:rPr>
          <w:lang w:val="es-ES_tradnl"/>
        </w:rPr>
        <w:t xml:space="preserve"> </w:t>
      </w:r>
      <w:r w:rsidR="00DD637B" w:rsidRPr="00540562">
        <w:rPr>
          <w:i/>
          <w:lang w:val="es-ES_tradnl"/>
        </w:rPr>
        <w:t>Iniciativas regionales para 2013-2015 en el marco de la Convención de Ramsar</w:t>
      </w:r>
      <w:r w:rsidR="00724F74">
        <w:rPr>
          <w:lang w:val="es-ES_tradnl"/>
        </w:rPr>
        <w:t xml:space="preserve"> y la Resolución XII.8 (2015) sobre</w:t>
      </w:r>
      <w:r w:rsidR="00DD637B" w:rsidRPr="00540562">
        <w:rPr>
          <w:lang w:val="es-ES_tradnl"/>
        </w:rPr>
        <w:t xml:space="preserve"> </w:t>
      </w:r>
      <w:r w:rsidR="00DD637B" w:rsidRPr="00540562">
        <w:rPr>
          <w:i/>
          <w:lang w:val="es-ES_tradnl"/>
        </w:rPr>
        <w:t>Iniciativas regional</w:t>
      </w:r>
      <w:r w:rsidR="00540562">
        <w:rPr>
          <w:i/>
          <w:lang w:val="es-ES_tradnl"/>
        </w:rPr>
        <w:t>es para 2016-</w:t>
      </w:r>
      <w:r w:rsidR="00DD637B" w:rsidRPr="00540562">
        <w:rPr>
          <w:i/>
          <w:lang w:val="es-ES_tradnl"/>
        </w:rPr>
        <w:t>2018 en el marco de la Convención de Ramsar</w:t>
      </w:r>
      <w:r w:rsidR="00DD637B" w:rsidRPr="00540562">
        <w:rPr>
          <w:lang w:val="es-ES_tradnl"/>
        </w:rPr>
        <w:t>, y que en la COP12 (Punta del Este, 2015), la Conferencia de las Partes aprobó varias iniciativas regionales considerando que realizan su actividad en el marco de la Convención durante el período 2016-2018</w:t>
      </w:r>
      <w:r w:rsidR="00535964" w:rsidRPr="00540562">
        <w:rPr>
          <w:lang w:val="es-ES_tradnl"/>
        </w:rPr>
        <w:t>;</w:t>
      </w:r>
    </w:p>
    <w:p w14:paraId="51491592" w14:textId="77777777" w:rsidR="004401C9" w:rsidRPr="00540562" w:rsidRDefault="004401C9" w:rsidP="0071051C">
      <w:pPr>
        <w:widowControl/>
        <w:ind w:left="425" w:hanging="425"/>
        <w:rPr>
          <w:lang w:val="es-ES_tradnl"/>
        </w:rPr>
      </w:pPr>
    </w:p>
    <w:p w14:paraId="64E46DE8" w14:textId="52387B9F" w:rsidR="00FB6906" w:rsidRPr="00540562" w:rsidRDefault="004401C9" w:rsidP="0071051C">
      <w:pPr>
        <w:widowControl/>
        <w:ind w:left="425" w:hanging="425"/>
        <w:rPr>
          <w:lang w:val="es-ES_tradnl"/>
        </w:rPr>
      </w:pPr>
      <w:r w:rsidRPr="00540562">
        <w:rPr>
          <w:lang w:val="es-ES_tradnl"/>
        </w:rPr>
        <w:t>3.</w:t>
      </w:r>
      <w:r w:rsidR="00CA15B6" w:rsidRPr="00540562">
        <w:rPr>
          <w:lang w:val="es-ES_tradnl"/>
        </w:rPr>
        <w:tab/>
      </w:r>
      <w:r w:rsidR="00DD637B" w:rsidRPr="00540562">
        <w:rPr>
          <w:lang w:val="es-ES_tradnl"/>
        </w:rPr>
        <w:t xml:space="preserve">RECORDANDO ADEMÁS que, en su 12ª reunión (COP12), mediante la Resolución XII.8, la Conferencia de las Partes Contratantes encargó al Comité Permanente que emprendiera un examen de los actuales </w:t>
      </w:r>
      <w:r w:rsidR="00540562">
        <w:rPr>
          <w:lang w:val="es-ES_tradnl"/>
        </w:rPr>
        <w:t>L</w:t>
      </w:r>
      <w:r w:rsidR="00DD637B" w:rsidRPr="00540562">
        <w:rPr>
          <w:lang w:val="es-ES_tradnl"/>
        </w:rPr>
        <w:t>ineamientos</w:t>
      </w:r>
      <w:r w:rsidR="00540562">
        <w:rPr>
          <w:lang w:val="es-ES_tradnl"/>
        </w:rPr>
        <w:t xml:space="preserve"> O</w:t>
      </w:r>
      <w:r w:rsidR="00DD637B" w:rsidRPr="00540562">
        <w:rPr>
          <w:lang w:val="es-ES_tradnl"/>
        </w:rPr>
        <w:t>perativos para las iniciativas regionales y que formulara recomendaciones para mejorarlos, y que la labor empr</w:t>
      </w:r>
      <w:r w:rsidR="00540562">
        <w:rPr>
          <w:lang w:val="es-ES_tradnl"/>
        </w:rPr>
        <w:t>endida con este fin condujo al marco o</w:t>
      </w:r>
      <w:r w:rsidR="00DD637B" w:rsidRPr="00540562">
        <w:rPr>
          <w:lang w:val="es-ES_tradnl"/>
        </w:rPr>
        <w:t>perativo que figura en el Anexo 1; y</w:t>
      </w:r>
    </w:p>
    <w:p w14:paraId="2A5939F8" w14:textId="77777777" w:rsidR="00E56E3E" w:rsidRPr="00540562" w:rsidRDefault="00E56E3E" w:rsidP="0071051C">
      <w:pPr>
        <w:widowControl/>
        <w:ind w:left="425" w:hanging="425"/>
        <w:rPr>
          <w:lang w:val="es-ES_tradnl"/>
        </w:rPr>
      </w:pPr>
    </w:p>
    <w:p w14:paraId="3CDC6EE9" w14:textId="31DC8191" w:rsidR="00FB6906" w:rsidRPr="00540562" w:rsidRDefault="00A40A30" w:rsidP="0071051C">
      <w:pPr>
        <w:widowControl/>
        <w:ind w:left="425" w:hanging="425"/>
        <w:rPr>
          <w:rFonts w:eastAsia="Calibri" w:cs="Calibri"/>
          <w:lang w:val="es-ES_tradnl"/>
        </w:rPr>
      </w:pPr>
      <w:r w:rsidRPr="00540562">
        <w:rPr>
          <w:lang w:val="es-ES_tradnl"/>
        </w:rPr>
        <w:lastRenderedPageBreak/>
        <w:t>4.</w:t>
      </w:r>
      <w:r w:rsidRPr="00540562">
        <w:rPr>
          <w:lang w:val="es-ES_tradnl"/>
        </w:rPr>
        <w:tab/>
      </w:r>
      <w:r w:rsidR="00DD637B" w:rsidRPr="00540562">
        <w:rPr>
          <w:lang w:val="es-ES_tradnl"/>
        </w:rPr>
        <w:t xml:space="preserve">TENIENDO EN CUENTA la experiencia adquirida durante los años de funcionamiento de las iniciativas regionales, la aplicación de los Lineamientos </w:t>
      </w:r>
      <w:r w:rsidR="00DD637B" w:rsidRPr="00540562">
        <w:rPr>
          <w:spacing w:val="-1"/>
          <w:lang w:val="es-ES_tradnl"/>
        </w:rPr>
        <w:t>Operativos</w:t>
      </w:r>
      <w:r w:rsidR="00DD637B" w:rsidRPr="00540562">
        <w:rPr>
          <w:lang w:val="es-ES_tradnl"/>
        </w:rPr>
        <w:t xml:space="preserve"> para seleccionar y apoyar a las iniciativas, y las conclusiones extraídas del examen de su eficacia</w:t>
      </w:r>
      <w:r w:rsidR="00535964" w:rsidRPr="00540562">
        <w:rPr>
          <w:lang w:val="es-ES_tradnl"/>
        </w:rPr>
        <w:t>;</w:t>
      </w:r>
    </w:p>
    <w:p w14:paraId="6F97C007" w14:textId="77777777" w:rsidR="00FB6906" w:rsidRPr="00540562" w:rsidRDefault="00FB6906" w:rsidP="0071051C">
      <w:pPr>
        <w:widowControl/>
        <w:ind w:left="425" w:hanging="425"/>
        <w:rPr>
          <w:rFonts w:eastAsia="Calibri" w:cs="Calibri"/>
          <w:lang w:val="es-ES_tradnl"/>
        </w:rPr>
      </w:pPr>
    </w:p>
    <w:p w14:paraId="2BAEAF26" w14:textId="7B5B73E5" w:rsidR="00FB6906" w:rsidRPr="00540562" w:rsidRDefault="00DD637B" w:rsidP="0071051C">
      <w:pPr>
        <w:pStyle w:val="BodyText"/>
        <w:widowControl/>
        <w:ind w:left="425" w:hanging="425"/>
        <w:jc w:val="center"/>
        <w:rPr>
          <w:rFonts w:asciiTheme="minorHAnsi" w:hAnsiTheme="minorHAnsi"/>
          <w:lang w:val="es-ES_tradnl"/>
        </w:rPr>
      </w:pPr>
      <w:r w:rsidRPr="00540562">
        <w:rPr>
          <w:lang w:val="es-ES_tradnl"/>
        </w:rPr>
        <w:t>LA CONFERENCIA DE LAS PARTES CONTRATANTE</w:t>
      </w:r>
      <w:r w:rsidR="00535964" w:rsidRPr="00540562">
        <w:rPr>
          <w:rFonts w:asciiTheme="minorHAnsi" w:hAnsiTheme="minorHAnsi"/>
          <w:lang w:val="es-ES_tradnl"/>
        </w:rPr>
        <w:t>S</w:t>
      </w:r>
    </w:p>
    <w:p w14:paraId="67822024" w14:textId="77777777" w:rsidR="00FB6906" w:rsidRPr="00540562" w:rsidRDefault="00FB6906" w:rsidP="0071051C">
      <w:pPr>
        <w:widowControl/>
        <w:ind w:left="425" w:hanging="425"/>
        <w:rPr>
          <w:rFonts w:eastAsia="Calibri" w:cs="Calibri"/>
          <w:lang w:val="es-ES_tradnl"/>
        </w:rPr>
      </w:pPr>
    </w:p>
    <w:p w14:paraId="0617EF08" w14:textId="3A88D3DF" w:rsidR="00FB6906" w:rsidRPr="00540562" w:rsidRDefault="00927838" w:rsidP="0071051C">
      <w:pPr>
        <w:widowControl/>
        <w:ind w:left="425" w:hanging="425"/>
        <w:rPr>
          <w:lang w:val="es-ES_tradnl"/>
        </w:rPr>
      </w:pPr>
      <w:r w:rsidRPr="00540562">
        <w:rPr>
          <w:lang w:val="es-ES_tradnl"/>
        </w:rPr>
        <w:t>5.</w:t>
      </w:r>
      <w:r w:rsidRPr="00540562">
        <w:rPr>
          <w:lang w:val="es-ES_tradnl"/>
        </w:rPr>
        <w:tab/>
      </w:r>
      <w:r w:rsidR="00DD637B" w:rsidRPr="00540562">
        <w:rPr>
          <w:lang w:val="es-ES_tradnl"/>
        </w:rPr>
        <w:t>REAFIRMA la eficacia de la cooperación regional mediante redes y centros agrupados bajo el término de “iniciativas regionales de Ramsar” (IRR) para apoyar una mejor aplicación de la Convención sobre los Humedales y su Plan Estratégico para 2016-2024</w:t>
      </w:r>
      <w:r w:rsidR="00535964" w:rsidRPr="00540562">
        <w:rPr>
          <w:lang w:val="es-ES_tradnl"/>
        </w:rPr>
        <w:t>;</w:t>
      </w:r>
    </w:p>
    <w:p w14:paraId="5F39B33C" w14:textId="77777777" w:rsidR="00FB6906" w:rsidRPr="00540562" w:rsidRDefault="00FB6906" w:rsidP="0071051C">
      <w:pPr>
        <w:widowControl/>
        <w:ind w:left="425" w:hanging="425"/>
        <w:rPr>
          <w:rFonts w:eastAsia="Calibri" w:cs="Calibri"/>
          <w:lang w:val="es-ES_tradnl"/>
        </w:rPr>
      </w:pPr>
    </w:p>
    <w:p w14:paraId="439E00E1" w14:textId="6EBF77F4" w:rsidR="00FB6906" w:rsidRPr="00540562" w:rsidRDefault="00927838" w:rsidP="0071051C">
      <w:pPr>
        <w:widowControl/>
        <w:ind w:left="425" w:hanging="425"/>
        <w:rPr>
          <w:lang w:val="es-ES_tradnl"/>
        </w:rPr>
      </w:pPr>
      <w:r w:rsidRPr="00540562">
        <w:rPr>
          <w:lang w:val="es-ES_tradnl"/>
        </w:rPr>
        <w:t>6.</w:t>
      </w:r>
      <w:r w:rsidRPr="00540562">
        <w:rPr>
          <w:lang w:val="es-ES_tradnl"/>
        </w:rPr>
        <w:tab/>
      </w:r>
      <w:r w:rsidR="00540562">
        <w:rPr>
          <w:lang w:val="es-ES_tradnl"/>
        </w:rPr>
        <w:t>APRUEBA el m</w:t>
      </w:r>
      <w:r w:rsidR="00DD637B" w:rsidRPr="00540562">
        <w:rPr>
          <w:lang w:val="es-ES_tradnl"/>
        </w:rPr>
        <w:t>arco operativo para las iniciativas regionales de Ramsar que se adjunta a la presente resolución para que este reemplace a todas las versiones anteriores de las orientaciones y lineamientos operativos destinados a las iniciativas regionales de Ramsar</w:t>
      </w:r>
      <w:r w:rsidR="00535964" w:rsidRPr="00540562">
        <w:rPr>
          <w:lang w:val="es-ES_tradnl"/>
        </w:rPr>
        <w:t>;</w:t>
      </w:r>
    </w:p>
    <w:p w14:paraId="1F9489C9" w14:textId="77777777" w:rsidR="00FB6906" w:rsidRPr="00540562" w:rsidRDefault="00FB6906" w:rsidP="0071051C">
      <w:pPr>
        <w:widowControl/>
        <w:ind w:left="425" w:hanging="425"/>
        <w:rPr>
          <w:lang w:val="es-ES_tradnl"/>
        </w:rPr>
      </w:pPr>
    </w:p>
    <w:p w14:paraId="2076B9E4" w14:textId="7D5AF94E" w:rsidR="00FB6906" w:rsidRPr="00540562" w:rsidRDefault="00927838" w:rsidP="0071051C">
      <w:pPr>
        <w:widowControl/>
        <w:ind w:left="425" w:hanging="425"/>
        <w:rPr>
          <w:lang w:val="es-ES_tradnl"/>
        </w:rPr>
      </w:pPr>
      <w:r w:rsidRPr="00540562">
        <w:rPr>
          <w:lang w:val="es-ES_tradnl"/>
        </w:rPr>
        <w:t>7.</w:t>
      </w:r>
      <w:r w:rsidRPr="00540562">
        <w:rPr>
          <w:lang w:val="es-ES_tradnl"/>
        </w:rPr>
        <w:tab/>
      </w:r>
      <w:r w:rsidR="00DD637B" w:rsidRPr="00540562">
        <w:rPr>
          <w:lang w:val="es-ES_tradnl"/>
        </w:rPr>
        <w:t xml:space="preserve">DECIDE que toda iniciativa regional dirigida conjuntamente por varias Partes Contratantes a fin de mejorar la aplicación de la Convención deberá cumplir las condiciones enumeradas en el </w:t>
      </w:r>
      <w:r w:rsidR="00540562" w:rsidRPr="00540562">
        <w:rPr>
          <w:lang w:val="es-ES_tradnl"/>
        </w:rPr>
        <w:t>marco o</w:t>
      </w:r>
      <w:r w:rsidR="00DD637B" w:rsidRPr="00540562">
        <w:rPr>
          <w:lang w:val="es-ES_tradnl"/>
        </w:rPr>
        <w:t>perativo adjunto para ser reconocida formalmente en el marco de la Convención como iniciativa regional de Ramsar</w:t>
      </w:r>
      <w:r w:rsidR="00535964" w:rsidRPr="00540562">
        <w:rPr>
          <w:lang w:val="es-ES_tradnl"/>
        </w:rPr>
        <w:t>;</w:t>
      </w:r>
    </w:p>
    <w:p w14:paraId="70D19A15" w14:textId="77777777" w:rsidR="004433BE" w:rsidRPr="00540562" w:rsidRDefault="004433BE" w:rsidP="0071051C">
      <w:pPr>
        <w:widowControl/>
        <w:ind w:left="425" w:hanging="425"/>
        <w:rPr>
          <w:rFonts w:eastAsia="Calibri" w:cs="Calibri"/>
          <w:lang w:val="es-ES_tradnl"/>
        </w:rPr>
      </w:pPr>
    </w:p>
    <w:p w14:paraId="05C61974" w14:textId="13E05B40" w:rsidR="00FB6906" w:rsidRPr="00540562" w:rsidRDefault="00927838" w:rsidP="0071051C">
      <w:pPr>
        <w:widowControl/>
        <w:ind w:left="425" w:hanging="425"/>
        <w:rPr>
          <w:lang w:val="es-ES_tradnl"/>
        </w:rPr>
      </w:pPr>
      <w:r w:rsidRPr="00540562">
        <w:rPr>
          <w:lang w:val="es-ES_tradnl"/>
        </w:rPr>
        <w:t>8.</w:t>
      </w:r>
      <w:r w:rsidRPr="00540562">
        <w:rPr>
          <w:lang w:val="es-ES_tradnl"/>
        </w:rPr>
        <w:tab/>
      </w:r>
      <w:r w:rsidR="00DD637B" w:rsidRPr="00540562">
        <w:rPr>
          <w:lang w:val="es-ES_tradnl"/>
        </w:rPr>
        <w:t xml:space="preserve">PIDE a las Partes Contratantes que participen en alguna iniciativa regional de Ramsar actual o futura que se esfuercen por que la IRR cumpla plenamente el </w:t>
      </w:r>
      <w:r w:rsidR="00540562">
        <w:rPr>
          <w:lang w:val="es-ES_tradnl"/>
        </w:rPr>
        <w:t>marco o</w:t>
      </w:r>
      <w:r w:rsidR="00DD637B" w:rsidRPr="00540562">
        <w:rPr>
          <w:lang w:val="es-ES_tradnl"/>
        </w:rPr>
        <w:t>perativo adjunto</w:t>
      </w:r>
      <w:r w:rsidR="00535964" w:rsidRPr="00540562">
        <w:rPr>
          <w:lang w:val="es-ES_tradnl"/>
        </w:rPr>
        <w:t>;</w:t>
      </w:r>
    </w:p>
    <w:p w14:paraId="1BCB1E68" w14:textId="77777777" w:rsidR="00FB6906" w:rsidRPr="00540562" w:rsidRDefault="00FB6906" w:rsidP="0071051C">
      <w:pPr>
        <w:widowControl/>
        <w:ind w:left="425" w:hanging="425"/>
        <w:rPr>
          <w:lang w:val="es-ES_tradnl"/>
        </w:rPr>
      </w:pPr>
    </w:p>
    <w:p w14:paraId="5A5A3626" w14:textId="211950A9" w:rsidR="00FB6906" w:rsidRPr="00540562" w:rsidRDefault="00927838" w:rsidP="0071051C">
      <w:pPr>
        <w:widowControl/>
        <w:ind w:left="425" w:hanging="425"/>
        <w:rPr>
          <w:lang w:val="es-ES_tradnl"/>
        </w:rPr>
      </w:pPr>
      <w:r w:rsidRPr="00540562">
        <w:rPr>
          <w:lang w:val="es-ES_tradnl"/>
        </w:rPr>
        <w:t>9.</w:t>
      </w:r>
      <w:r w:rsidRPr="00540562">
        <w:rPr>
          <w:lang w:val="es-ES_tradnl"/>
        </w:rPr>
        <w:tab/>
      </w:r>
      <w:r w:rsidR="00DD637B" w:rsidRPr="00540562">
        <w:rPr>
          <w:lang w:val="es-ES_tradnl"/>
        </w:rPr>
        <w:t>APRUEBA las IRR existentes que se enumeran a continuación considerando que realizan su actividad en el marco de la Convención sobre los Humedales hasta la 14ª reunión de la Conferencia de las Partes Contratantes. Esta lista incluye lo siguiente</w:t>
      </w:r>
      <w:r w:rsidR="00535964" w:rsidRPr="00540562">
        <w:rPr>
          <w:lang w:val="es-ES_tradnl"/>
        </w:rPr>
        <w:t>:</w:t>
      </w:r>
    </w:p>
    <w:p w14:paraId="34111848" w14:textId="77777777" w:rsidR="004433BE" w:rsidRPr="00540562" w:rsidRDefault="004433BE" w:rsidP="00701331">
      <w:pPr>
        <w:pStyle w:val="BodyText"/>
        <w:widowControl/>
        <w:ind w:left="425" w:firstLine="0"/>
        <w:rPr>
          <w:rFonts w:asciiTheme="minorHAnsi" w:hAnsiTheme="minorHAnsi"/>
          <w:lang w:val="es-ES_tradnl"/>
        </w:rPr>
      </w:pPr>
    </w:p>
    <w:p w14:paraId="51DC3CC0" w14:textId="23BB9849" w:rsidR="00FB6906" w:rsidRPr="00540562" w:rsidRDefault="00DD637B" w:rsidP="0071051C">
      <w:pPr>
        <w:pStyle w:val="BodyText"/>
        <w:widowControl/>
        <w:ind w:left="425" w:firstLine="0"/>
        <w:rPr>
          <w:rFonts w:asciiTheme="minorHAnsi" w:hAnsiTheme="minorHAnsi"/>
          <w:lang w:val="es-ES_tradnl"/>
        </w:rPr>
      </w:pPr>
      <w:r w:rsidRPr="00540562">
        <w:rPr>
          <w:lang w:val="es-ES_tradnl"/>
        </w:rPr>
        <w:t>Cuatro centros regionales de Ramsar para la formación y creación de capacidad</w:t>
      </w:r>
      <w:r w:rsidR="00535964" w:rsidRPr="00540562">
        <w:rPr>
          <w:rFonts w:asciiTheme="minorHAnsi" w:hAnsiTheme="minorHAnsi"/>
          <w:lang w:val="es-ES_tradnl"/>
        </w:rPr>
        <w:t>:</w:t>
      </w:r>
    </w:p>
    <w:p w14:paraId="09136FA4" w14:textId="0B9563CC" w:rsidR="00FB6906" w:rsidRPr="00540562" w:rsidRDefault="00DD637B"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Centro Ramsar para África Oriental </w:t>
      </w:r>
      <w:r w:rsidR="00535964" w:rsidRPr="00540562">
        <w:rPr>
          <w:rFonts w:asciiTheme="minorHAnsi" w:hAnsiTheme="minorHAnsi"/>
          <w:lang w:val="es-ES_tradnl"/>
        </w:rPr>
        <w:t>(RAMCEA),</w:t>
      </w:r>
    </w:p>
    <w:p w14:paraId="49AE8A8B" w14:textId="0776FB32" w:rsidR="00FB6906" w:rsidRPr="00540562" w:rsidRDefault="00DD637B"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Centro Regional Ramsar para la Capacitación e Investigación sobre Humedales en el Hemisferio Occidental </w:t>
      </w:r>
      <w:r w:rsidR="00535964" w:rsidRPr="00540562">
        <w:rPr>
          <w:rFonts w:asciiTheme="minorHAnsi" w:hAnsiTheme="minorHAnsi"/>
          <w:lang w:val="es-ES_tradnl"/>
        </w:rPr>
        <w:t>(CREHO),</w:t>
      </w:r>
    </w:p>
    <w:p w14:paraId="4805D787" w14:textId="4A400975" w:rsidR="00FB6906" w:rsidRPr="00540562" w:rsidRDefault="00DD637B"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Centro Regional Ramsar para Asia Central y Occidental </w:t>
      </w:r>
      <w:r w:rsidR="00535964" w:rsidRPr="00540562">
        <w:rPr>
          <w:rFonts w:asciiTheme="minorHAnsi" w:hAnsiTheme="minorHAnsi"/>
          <w:lang w:val="es-ES_tradnl"/>
        </w:rPr>
        <w:t>(RRC-CWA),</w:t>
      </w:r>
    </w:p>
    <w:p w14:paraId="6B2254E6" w14:textId="32F077C0" w:rsidR="00927838" w:rsidRPr="00540562" w:rsidRDefault="00DD637B"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Centro Regional Ramsar para Asia Oriental </w:t>
      </w:r>
      <w:r w:rsidR="00535964" w:rsidRPr="00540562">
        <w:rPr>
          <w:rFonts w:asciiTheme="minorHAnsi" w:hAnsiTheme="minorHAnsi"/>
          <w:lang w:val="es-ES_tradnl"/>
        </w:rPr>
        <w:t xml:space="preserve">(RRC-EA), </w:t>
      </w:r>
      <w:r w:rsidRPr="00540562">
        <w:rPr>
          <w:rFonts w:asciiTheme="minorHAnsi" w:hAnsiTheme="minorHAnsi"/>
          <w:lang w:val="es-ES_tradnl"/>
        </w:rPr>
        <w:t>y</w:t>
      </w:r>
    </w:p>
    <w:p w14:paraId="28BC76A4" w14:textId="77777777" w:rsidR="00927838" w:rsidRPr="00540562" w:rsidRDefault="00927838" w:rsidP="00701331">
      <w:pPr>
        <w:pStyle w:val="BodyText"/>
        <w:widowControl/>
        <w:ind w:left="425" w:firstLine="0"/>
        <w:rPr>
          <w:rFonts w:asciiTheme="minorHAnsi" w:hAnsiTheme="minorHAnsi"/>
          <w:lang w:val="es-ES_tradnl"/>
        </w:rPr>
      </w:pPr>
    </w:p>
    <w:p w14:paraId="232A3880" w14:textId="16EE37BE" w:rsidR="00FB6906" w:rsidRPr="00540562" w:rsidRDefault="00DD637B" w:rsidP="0071051C">
      <w:pPr>
        <w:pStyle w:val="BodyText"/>
        <w:widowControl/>
        <w:ind w:left="425" w:firstLine="0"/>
        <w:rPr>
          <w:rFonts w:asciiTheme="minorHAnsi" w:hAnsiTheme="minorHAnsi"/>
          <w:lang w:val="es-ES_tradnl"/>
        </w:rPr>
      </w:pPr>
      <w:r w:rsidRPr="00540562">
        <w:rPr>
          <w:lang w:val="es-ES_tradnl"/>
        </w:rPr>
        <w:t>Quince redes de Ramsar para la cooperación regional</w:t>
      </w:r>
      <w:r w:rsidR="00535964" w:rsidRPr="00540562">
        <w:rPr>
          <w:rFonts w:asciiTheme="minorHAnsi" w:hAnsiTheme="minorHAnsi"/>
          <w:lang w:val="es-ES_tradnl"/>
        </w:rPr>
        <w:t>:</w:t>
      </w:r>
    </w:p>
    <w:p w14:paraId="25C653E7" w14:textId="05FF5313" w:rsidR="00FB6906" w:rsidRPr="00540562" w:rsidRDefault="00DD637B"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Iniciativa regional de Ramsar para los humedales costeros de África Occidental </w:t>
      </w:r>
      <w:r w:rsidR="00535964" w:rsidRPr="00540562">
        <w:rPr>
          <w:rFonts w:asciiTheme="minorHAnsi" w:hAnsiTheme="minorHAnsi"/>
          <w:lang w:val="es-ES_tradnl"/>
        </w:rPr>
        <w:t>(WaCoWet),</w:t>
      </w:r>
    </w:p>
    <w:p w14:paraId="448D90BF" w14:textId="04E7C88E" w:rsidR="00FB6906" w:rsidRPr="00540562" w:rsidRDefault="00DD637B"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Iniciativa regional de Ramsar para la cuenca del río Níger </w:t>
      </w:r>
      <w:r w:rsidR="00535964" w:rsidRPr="00540562">
        <w:rPr>
          <w:rFonts w:asciiTheme="minorHAnsi" w:hAnsiTheme="minorHAnsi"/>
          <w:lang w:val="es-ES_tradnl"/>
        </w:rPr>
        <w:t>(NigerWet),</w:t>
      </w:r>
    </w:p>
    <w:p w14:paraId="05F6C256" w14:textId="07AF0067"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Iniciativa regional de Ramsar para la cuenca del río Senegal</w:t>
      </w:r>
      <w:r w:rsidR="00535964" w:rsidRPr="00540562">
        <w:rPr>
          <w:rFonts w:asciiTheme="minorHAnsi" w:hAnsiTheme="minorHAnsi"/>
          <w:lang w:val="es-ES_tradnl"/>
        </w:rPr>
        <w:t>,</w:t>
      </w:r>
    </w:p>
    <w:p w14:paraId="668A13A3" w14:textId="36A7DCA3"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Iniciativa regional de Ramsar sobre Conservación y el Uso Sostenible de los Humedales Altoandinos</w:t>
      </w:r>
      <w:r w:rsidR="00535964" w:rsidRPr="00540562">
        <w:rPr>
          <w:rFonts w:asciiTheme="minorHAnsi" w:hAnsiTheme="minorHAnsi"/>
          <w:lang w:val="es-ES_tradnl"/>
        </w:rPr>
        <w:t>,</w:t>
      </w:r>
    </w:p>
    <w:p w14:paraId="5A204F78" w14:textId="4798321E"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Iniciativa regional de Ramsar sobre Conservación y Uso Sustentable de la Cuenca del Plata</w:t>
      </w:r>
      <w:r w:rsidR="00535964" w:rsidRPr="00540562">
        <w:rPr>
          <w:rFonts w:asciiTheme="minorHAnsi" w:hAnsiTheme="minorHAnsi"/>
          <w:lang w:val="es-ES_tradnl"/>
        </w:rPr>
        <w:t>,</w:t>
      </w:r>
    </w:p>
    <w:p w14:paraId="2495A715" w14:textId="67CEEA02"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Iniciativa regional de los Humedales del Caribe </w:t>
      </w:r>
      <w:r w:rsidR="00535964" w:rsidRPr="00540562">
        <w:rPr>
          <w:rFonts w:asciiTheme="minorHAnsi" w:hAnsiTheme="minorHAnsi"/>
          <w:lang w:val="es-ES_tradnl"/>
        </w:rPr>
        <w:t>(CariWet),</w:t>
      </w:r>
    </w:p>
    <w:p w14:paraId="1C37871B" w14:textId="7EC8459A"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Iniciativa regional de Ramsar para la Conservación y el Uso Racional de Manglares y Corales</w:t>
      </w:r>
      <w:r w:rsidR="00535964" w:rsidRPr="00540562">
        <w:rPr>
          <w:rFonts w:asciiTheme="minorHAnsi" w:hAnsiTheme="minorHAnsi"/>
          <w:lang w:val="es-ES_tradnl"/>
        </w:rPr>
        <w:t>,</w:t>
      </w:r>
    </w:p>
    <w:p w14:paraId="1946CC4F" w14:textId="2A6907BC"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Iniciativa regional de Ramsar para la cuenca del río Amazonas</w:t>
      </w:r>
      <w:r w:rsidR="00535964" w:rsidRPr="00540562">
        <w:rPr>
          <w:rFonts w:asciiTheme="minorHAnsi" w:hAnsiTheme="minorHAnsi"/>
          <w:lang w:val="es-ES_tradnl"/>
        </w:rPr>
        <w:t>,</w:t>
      </w:r>
    </w:p>
    <w:p w14:paraId="4C18C0B3" w14:textId="5DEDF977"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Alianza de la Vía Migratoria Asia Oriental-Australasia</w:t>
      </w:r>
      <w:r w:rsidR="00535964" w:rsidRPr="00540562">
        <w:rPr>
          <w:rFonts w:asciiTheme="minorHAnsi" w:hAnsiTheme="minorHAnsi"/>
          <w:lang w:val="es-ES_tradnl"/>
        </w:rPr>
        <w:t>,</w:t>
      </w:r>
    </w:p>
    <w:p w14:paraId="6CA5703C" w14:textId="43E13246"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Iniciativa regional de Ramsar para Asia Central</w:t>
      </w:r>
      <w:r w:rsidR="00535964" w:rsidRPr="00540562">
        <w:rPr>
          <w:rFonts w:asciiTheme="minorHAnsi" w:hAnsiTheme="minorHAnsi"/>
          <w:lang w:val="es-ES_tradnl"/>
        </w:rPr>
        <w:t>,</w:t>
      </w:r>
    </w:p>
    <w:p w14:paraId="21CFAC81" w14:textId="6F18EFA9"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Iniciativa regional de Ramsar Indo-Birmana</w:t>
      </w:r>
      <w:r w:rsidR="00535964" w:rsidRPr="00540562">
        <w:rPr>
          <w:rFonts w:asciiTheme="minorHAnsi" w:hAnsiTheme="minorHAnsi"/>
          <w:lang w:val="es-ES_tradnl"/>
        </w:rPr>
        <w:t>,</w:t>
      </w:r>
    </w:p>
    <w:p w14:paraId="37198A56" w14:textId="02C320A8"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Iniciativa regional de Ramsar para los Humedales del Mediterráneo </w:t>
      </w:r>
      <w:r w:rsidR="00535964" w:rsidRPr="00540562">
        <w:rPr>
          <w:rFonts w:asciiTheme="minorHAnsi" w:hAnsiTheme="minorHAnsi"/>
          <w:lang w:val="es-ES_tradnl"/>
        </w:rPr>
        <w:t>(MedWet),</w:t>
      </w:r>
    </w:p>
    <w:p w14:paraId="69DCC4EE" w14:textId="6F681EC9"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Iniciativa regional de Ramsar para los humedales de los Cárpatos </w:t>
      </w:r>
      <w:r w:rsidR="00535964" w:rsidRPr="00540562">
        <w:rPr>
          <w:rFonts w:asciiTheme="minorHAnsi" w:hAnsiTheme="minorHAnsi"/>
          <w:lang w:val="es-ES_tradnl"/>
        </w:rPr>
        <w:t>(CWI),</w:t>
      </w:r>
    </w:p>
    <w:p w14:paraId="557BC76F" w14:textId="7122E7EF"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Iniciativa regional de Ramsar para los humedales nórdico-bálticos </w:t>
      </w:r>
      <w:r w:rsidR="00535964" w:rsidRPr="00540562">
        <w:rPr>
          <w:rFonts w:asciiTheme="minorHAnsi" w:hAnsiTheme="minorHAnsi"/>
          <w:lang w:val="es-ES_tradnl"/>
        </w:rPr>
        <w:t>(NorBalWet),</w:t>
      </w:r>
    </w:p>
    <w:p w14:paraId="089ED986" w14:textId="6ECDF2B2" w:rsidR="00FB6906" w:rsidRPr="00540562" w:rsidRDefault="00BE5859" w:rsidP="0071051C">
      <w:pPr>
        <w:pStyle w:val="BodyText"/>
        <w:widowControl/>
        <w:numPr>
          <w:ilvl w:val="1"/>
          <w:numId w:val="1"/>
        </w:numPr>
        <w:ind w:left="850" w:hanging="425"/>
        <w:rPr>
          <w:rFonts w:asciiTheme="minorHAnsi" w:hAnsiTheme="minorHAnsi"/>
          <w:lang w:val="es-ES_tradnl"/>
        </w:rPr>
      </w:pPr>
      <w:r w:rsidRPr="00540562">
        <w:rPr>
          <w:spacing w:val="-1"/>
          <w:lang w:val="es-ES_tradnl"/>
        </w:rPr>
        <w:t xml:space="preserve">Iniciativa regional de Ramsar para los humedales costeros del mar Negro y el mar de Azov </w:t>
      </w:r>
      <w:r w:rsidR="00535964" w:rsidRPr="00540562">
        <w:rPr>
          <w:rFonts w:asciiTheme="minorHAnsi" w:hAnsiTheme="minorHAnsi"/>
          <w:lang w:val="es-ES_tradnl"/>
        </w:rPr>
        <w:t>(BlackSeaWet)</w:t>
      </w:r>
      <w:r w:rsidR="00641736" w:rsidRPr="00540562">
        <w:rPr>
          <w:rFonts w:asciiTheme="minorHAnsi" w:hAnsiTheme="minorHAnsi"/>
          <w:lang w:val="es-ES_tradnl"/>
        </w:rPr>
        <w:t>;</w:t>
      </w:r>
    </w:p>
    <w:p w14:paraId="510BA83E" w14:textId="4BC193AA" w:rsidR="00FB6906" w:rsidRPr="00540562" w:rsidRDefault="00C10C10" w:rsidP="0071051C">
      <w:pPr>
        <w:widowControl/>
        <w:tabs>
          <w:tab w:val="left" w:pos="3546"/>
        </w:tabs>
        <w:ind w:left="425" w:hanging="425"/>
        <w:rPr>
          <w:rFonts w:eastAsia="Calibri" w:cs="Calibri"/>
          <w:lang w:val="es-ES_tradnl"/>
        </w:rPr>
      </w:pPr>
      <w:r w:rsidRPr="00540562">
        <w:rPr>
          <w:rFonts w:eastAsia="Calibri" w:cs="Calibri"/>
          <w:lang w:val="es-ES_tradnl"/>
        </w:rPr>
        <w:lastRenderedPageBreak/>
        <w:tab/>
      </w:r>
    </w:p>
    <w:p w14:paraId="47424610" w14:textId="7E784524" w:rsidR="000D117F" w:rsidRPr="00540562" w:rsidRDefault="00927838" w:rsidP="00701331">
      <w:pPr>
        <w:widowControl/>
        <w:ind w:left="425" w:hanging="425"/>
        <w:rPr>
          <w:rFonts w:eastAsia="Calibri" w:cs="Calibri"/>
          <w:lang w:val="es-ES_tradnl"/>
        </w:rPr>
      </w:pPr>
      <w:r w:rsidRPr="00540562">
        <w:rPr>
          <w:lang w:val="es-ES_tradnl"/>
        </w:rPr>
        <w:t>10.</w:t>
      </w:r>
      <w:r w:rsidRPr="00540562">
        <w:rPr>
          <w:lang w:val="es-ES_tradnl"/>
        </w:rPr>
        <w:tab/>
      </w:r>
      <w:r w:rsidR="00E11B3F" w:rsidRPr="00540562">
        <w:rPr>
          <w:lang w:val="es-ES_tradnl"/>
        </w:rPr>
        <w:t xml:space="preserve">PIDE al Comité Permanente que apruebe las propuestas de nuevas iniciativas presentadas entre períodos de sesiones antes de la 14ª reunión de la Conferencia de las Partes Contratantes (COP14), sobre la base de una evaluación positiva de la conformidad de su estructura </w:t>
      </w:r>
      <w:r w:rsidR="00540562">
        <w:rPr>
          <w:lang w:val="es-ES_tradnl"/>
        </w:rPr>
        <w:t>y plan de trabajo con el nuevo m</w:t>
      </w:r>
      <w:r w:rsidR="00E11B3F" w:rsidRPr="00540562">
        <w:rPr>
          <w:lang w:val="es-ES_tradnl"/>
        </w:rPr>
        <w:t>arco operativo para las iniciativas regionales</w:t>
      </w:r>
      <w:r w:rsidR="000D117F" w:rsidRPr="00540562">
        <w:rPr>
          <w:rFonts w:eastAsia="Calibri" w:cs="Calibri"/>
          <w:lang w:val="es-ES_tradnl"/>
        </w:rPr>
        <w:t>;</w:t>
      </w:r>
    </w:p>
    <w:p w14:paraId="5486B119" w14:textId="77777777" w:rsidR="000D117F" w:rsidRPr="00540562" w:rsidRDefault="000D117F" w:rsidP="00701331">
      <w:pPr>
        <w:widowControl/>
        <w:ind w:left="425" w:hanging="425"/>
        <w:rPr>
          <w:rFonts w:eastAsia="Calibri" w:cs="Calibri"/>
          <w:lang w:val="es-ES_tradnl"/>
        </w:rPr>
      </w:pPr>
    </w:p>
    <w:p w14:paraId="4E44EB64" w14:textId="174D829D" w:rsidR="00FB6906" w:rsidRPr="00540562" w:rsidRDefault="00927838" w:rsidP="0071051C">
      <w:pPr>
        <w:widowControl/>
        <w:ind w:left="425" w:hanging="425"/>
        <w:rPr>
          <w:lang w:val="es-ES_tradnl"/>
        </w:rPr>
      </w:pPr>
      <w:r w:rsidRPr="00540562">
        <w:rPr>
          <w:rFonts w:eastAsia="Calibri" w:cs="Calibri"/>
          <w:lang w:val="es-ES_tradnl"/>
        </w:rPr>
        <w:t>11.</w:t>
      </w:r>
      <w:r w:rsidRPr="00540562">
        <w:rPr>
          <w:rFonts w:eastAsia="Calibri" w:cs="Calibri"/>
          <w:lang w:val="es-ES_tradnl"/>
        </w:rPr>
        <w:tab/>
      </w:r>
      <w:r w:rsidR="00E11B3F" w:rsidRPr="00540562">
        <w:rPr>
          <w:lang w:val="es-ES_tradnl"/>
        </w:rPr>
        <w:t>ENCARGA a las iniciativas regionales de Ramsar antes mencionadas y a cualquier nueva IRR que presenten informes anuales s</w:t>
      </w:r>
      <w:r w:rsidR="00540562">
        <w:rPr>
          <w:lang w:val="es-ES_tradnl"/>
        </w:rPr>
        <w:t>obre su cumplimiento del nuevo m</w:t>
      </w:r>
      <w:r w:rsidR="00E11B3F" w:rsidRPr="00540562">
        <w:rPr>
          <w:lang w:val="es-ES_tradnl"/>
        </w:rPr>
        <w:t xml:space="preserve">arco </w:t>
      </w:r>
      <w:r w:rsidR="00540562">
        <w:rPr>
          <w:lang w:val="es-ES_tradnl"/>
        </w:rPr>
        <w:t>o</w:t>
      </w:r>
      <w:r w:rsidR="00E11B3F" w:rsidRPr="00540562">
        <w:rPr>
          <w:lang w:val="es-ES_tradnl"/>
        </w:rPr>
        <w:t xml:space="preserve">perativo, siguiendo el formato aprobado por el Comité Permanente, a fin de mantener su reconocimiento oficial como </w:t>
      </w:r>
      <w:r w:rsidR="00E11B3F" w:rsidRPr="00540562">
        <w:rPr>
          <w:spacing w:val="-1"/>
          <w:lang w:val="es-ES_tradnl"/>
        </w:rPr>
        <w:t>IRR</w:t>
      </w:r>
      <w:r w:rsidR="00535964" w:rsidRPr="00540562">
        <w:rPr>
          <w:lang w:val="es-ES_tradnl"/>
        </w:rPr>
        <w:t>;</w:t>
      </w:r>
    </w:p>
    <w:p w14:paraId="450736F7" w14:textId="77777777" w:rsidR="00FB6906" w:rsidRPr="00540562" w:rsidRDefault="00FB6906" w:rsidP="0071051C">
      <w:pPr>
        <w:widowControl/>
        <w:ind w:left="425" w:hanging="425"/>
        <w:rPr>
          <w:lang w:val="es-ES_tradnl"/>
        </w:rPr>
      </w:pPr>
    </w:p>
    <w:p w14:paraId="7673624E" w14:textId="272671E5" w:rsidR="00FB6906" w:rsidRPr="00540562" w:rsidRDefault="00927838" w:rsidP="0071051C">
      <w:pPr>
        <w:widowControl/>
        <w:ind w:left="425" w:hanging="425"/>
        <w:rPr>
          <w:lang w:val="es-ES_tradnl"/>
        </w:rPr>
      </w:pPr>
      <w:r w:rsidRPr="00540562">
        <w:rPr>
          <w:lang w:val="es-ES_tradnl"/>
        </w:rPr>
        <w:t>12.</w:t>
      </w:r>
      <w:r w:rsidRPr="00540562">
        <w:rPr>
          <w:lang w:val="es-ES_tradnl"/>
        </w:rPr>
        <w:tab/>
      </w:r>
      <w:r w:rsidR="00E11B3F" w:rsidRPr="00540562">
        <w:rPr>
          <w:lang w:val="es-ES_tradnl"/>
        </w:rPr>
        <w:t>ENCARGA a la Secretaría de Ramsar que abra la convocatoria de propuestas de nuevas iniciativas regionales, que deberán ser aprobadas por la Conferencia de las Partes Contratantes en la COP14 o por el Comité Permanente en sus reuniones anteriores a la COP14</w:t>
      </w:r>
      <w:r w:rsidR="00535964" w:rsidRPr="00540562">
        <w:rPr>
          <w:rFonts w:eastAsia="Calibri" w:cs="Calibri"/>
          <w:lang w:val="es-ES_tradnl"/>
        </w:rPr>
        <w:t>;</w:t>
      </w:r>
    </w:p>
    <w:p w14:paraId="438F34A9" w14:textId="77777777" w:rsidR="00FB6906" w:rsidRPr="00540562" w:rsidRDefault="00FB6906" w:rsidP="0071051C">
      <w:pPr>
        <w:widowControl/>
        <w:ind w:left="425" w:hanging="425"/>
        <w:rPr>
          <w:lang w:val="es-ES_tradnl"/>
        </w:rPr>
      </w:pPr>
    </w:p>
    <w:p w14:paraId="67E407A4" w14:textId="36135F8B" w:rsidR="00FB6906" w:rsidRPr="00540562" w:rsidRDefault="00927838" w:rsidP="0071051C">
      <w:pPr>
        <w:widowControl/>
        <w:ind w:left="425" w:hanging="425"/>
        <w:rPr>
          <w:lang w:val="es-ES_tradnl"/>
        </w:rPr>
      </w:pPr>
      <w:r w:rsidRPr="00540562">
        <w:rPr>
          <w:lang w:val="es-ES_tradnl"/>
        </w:rPr>
        <w:t>13.</w:t>
      </w:r>
      <w:r w:rsidRPr="00540562">
        <w:rPr>
          <w:lang w:val="es-ES_tradnl"/>
        </w:rPr>
        <w:tab/>
      </w:r>
      <w:r w:rsidR="004D79D5" w:rsidRPr="00540562">
        <w:rPr>
          <w:lang w:val="es-ES_tradnl"/>
        </w:rPr>
        <w:t>DECIDE incluir apoyo financiero en la partida del presupuesto básico de la Convención “Apoyo a las iniciativas regionales de Ramsar”, indicada en la Resolución XIII.</w:t>
      </w:r>
      <w:r w:rsidR="0052475A" w:rsidRPr="0052475A">
        <w:rPr>
          <w:highlight w:val="yellow"/>
          <w:lang w:val="es-ES_tradnl"/>
        </w:rPr>
        <w:t>xx</w:t>
      </w:r>
      <w:r w:rsidR="004D79D5" w:rsidRPr="00540562">
        <w:rPr>
          <w:lang w:val="es-ES_tradnl"/>
        </w:rPr>
        <w:t xml:space="preserve"> sobre </w:t>
      </w:r>
      <w:r w:rsidR="004D79D5" w:rsidRPr="00540562">
        <w:rPr>
          <w:i/>
          <w:lang w:val="es-ES_tradnl"/>
        </w:rPr>
        <w:t>Asuntos financieros y presupuestarios</w:t>
      </w:r>
      <w:r w:rsidR="004D79D5" w:rsidRPr="00540562">
        <w:rPr>
          <w:lang w:val="es-ES_tradnl"/>
        </w:rPr>
        <w:t>, para brindar apoyo a las IRR durante las etapas iniciales contribuyendo a sufragar sus gastos de funcionamiento. Se facilitará esa financiación inicial durante no más de dos períodos consecutivos entre reuniones de la Conferencia de las Partes Contratantes a las iniciativas regionales establecidas después de la COP12</w:t>
      </w:r>
      <w:r w:rsidR="004D79D5" w:rsidRPr="00540562">
        <w:rPr>
          <w:rFonts w:eastAsia="Calibri" w:cs="Calibri"/>
          <w:vertAlign w:val="superscript"/>
          <w:lang w:val="es-ES_tradnl"/>
        </w:rPr>
        <w:footnoteReference w:id="2"/>
      </w:r>
      <w:r w:rsidR="004D79D5" w:rsidRPr="00540562">
        <w:rPr>
          <w:lang w:val="es-ES_tradnl"/>
        </w:rPr>
        <w:t xml:space="preserve"> y a cualquier IRR nueva adicional, siempre y cuando cumplan plenamente las condiciones definidas en el </w:t>
      </w:r>
      <w:r w:rsidR="004D79D5" w:rsidRPr="00540562">
        <w:rPr>
          <w:i/>
          <w:lang w:val="es-ES_tradnl"/>
        </w:rPr>
        <w:t xml:space="preserve">Marco </w:t>
      </w:r>
      <w:r w:rsidR="00540562">
        <w:rPr>
          <w:i/>
          <w:lang w:val="es-ES_tradnl"/>
        </w:rPr>
        <w:t>o</w:t>
      </w:r>
      <w:r w:rsidR="004D79D5" w:rsidRPr="00540562">
        <w:rPr>
          <w:i/>
          <w:lang w:val="es-ES_tradnl"/>
        </w:rPr>
        <w:t>perativo</w:t>
      </w:r>
      <w:r w:rsidR="00535964" w:rsidRPr="00540562">
        <w:rPr>
          <w:lang w:val="es-ES_tradnl"/>
        </w:rPr>
        <w:t>;</w:t>
      </w:r>
    </w:p>
    <w:p w14:paraId="32060D06" w14:textId="77777777" w:rsidR="00FB6906" w:rsidRPr="00540562" w:rsidRDefault="00FB6906" w:rsidP="0071051C">
      <w:pPr>
        <w:widowControl/>
        <w:ind w:left="425" w:hanging="425"/>
        <w:rPr>
          <w:rFonts w:eastAsia="Calibri" w:cs="Calibri"/>
          <w:lang w:val="es-ES_tradnl"/>
        </w:rPr>
      </w:pPr>
    </w:p>
    <w:p w14:paraId="2D2E6EFB" w14:textId="75947C46" w:rsidR="00FB6906" w:rsidRPr="00540562" w:rsidRDefault="00F6501C" w:rsidP="0071051C">
      <w:pPr>
        <w:widowControl/>
        <w:ind w:left="425" w:hanging="425"/>
        <w:rPr>
          <w:lang w:val="es-ES_tradnl"/>
        </w:rPr>
      </w:pPr>
      <w:r w:rsidRPr="00540562">
        <w:rPr>
          <w:lang w:val="es-ES_tradnl"/>
        </w:rPr>
        <w:t>14.</w:t>
      </w:r>
      <w:r w:rsidRPr="00540562">
        <w:rPr>
          <w:lang w:val="es-ES_tradnl"/>
        </w:rPr>
        <w:tab/>
      </w:r>
      <w:r w:rsidR="004D79D5" w:rsidRPr="00540562">
        <w:rPr>
          <w:lang w:val="es-ES_tradnl"/>
        </w:rPr>
        <w:t>DECIDE que los niveles de apoyo financiero destinado a las IRR con cargo al presupuesto básico de la Convención para los años 2019, 2020 y 2021 los determine el Comité Permanente cada año, basándose en los informes anuales más recientes y los planes de trabajo actualizados de estas, que se deberán presentar en el formato y el calendario requeridos y teniendo en cuenta las recomendaciones concretas del Subgrupo de Finanzas al Comité Permanente</w:t>
      </w:r>
      <w:r w:rsidR="00535964" w:rsidRPr="00540562">
        <w:rPr>
          <w:lang w:val="es-ES_tradnl"/>
        </w:rPr>
        <w:t>;</w:t>
      </w:r>
    </w:p>
    <w:p w14:paraId="696457D1" w14:textId="77777777" w:rsidR="00FB6906" w:rsidRPr="00540562" w:rsidRDefault="00FB6906" w:rsidP="0071051C">
      <w:pPr>
        <w:widowControl/>
        <w:ind w:left="425" w:hanging="425"/>
        <w:rPr>
          <w:lang w:val="es-ES_tradnl"/>
        </w:rPr>
      </w:pPr>
    </w:p>
    <w:p w14:paraId="4989D573" w14:textId="06DDD2E9" w:rsidR="00FB6906" w:rsidRPr="00540562" w:rsidRDefault="00F6501C" w:rsidP="0071051C">
      <w:pPr>
        <w:widowControl/>
        <w:ind w:left="425" w:hanging="425"/>
        <w:rPr>
          <w:lang w:val="es-ES_tradnl"/>
        </w:rPr>
      </w:pPr>
      <w:r w:rsidRPr="00540562">
        <w:rPr>
          <w:lang w:val="es-ES_tradnl"/>
        </w:rPr>
        <w:t>15.</w:t>
      </w:r>
      <w:r w:rsidRPr="00540562">
        <w:rPr>
          <w:lang w:val="es-ES_tradnl"/>
        </w:rPr>
        <w:tab/>
      </w:r>
      <w:r w:rsidR="004D79D5" w:rsidRPr="00540562">
        <w:rPr>
          <w:lang w:val="es-ES_tradnl"/>
        </w:rPr>
        <w:t>INSTA a las IRR que reciban apoyo financiero con cargo al presupuesto básico a que utilicen parte de dicho apoyo para tratar de encontrar financiación sostenible a largo plazo procedente de otras fuentes, particularmente durante el segundo trienio en el que cumplan los requisitos para ese apoyo</w:t>
      </w:r>
      <w:r w:rsidR="00535964" w:rsidRPr="00540562">
        <w:rPr>
          <w:lang w:val="es-ES_tradnl"/>
        </w:rPr>
        <w:t>;</w:t>
      </w:r>
    </w:p>
    <w:p w14:paraId="47CE8587" w14:textId="77777777" w:rsidR="00FB6906" w:rsidRPr="00540562" w:rsidRDefault="00FB6906" w:rsidP="0071051C">
      <w:pPr>
        <w:widowControl/>
        <w:ind w:left="425" w:hanging="425"/>
        <w:rPr>
          <w:lang w:val="es-ES_tradnl"/>
        </w:rPr>
      </w:pPr>
    </w:p>
    <w:p w14:paraId="58E56355" w14:textId="06F0FB75" w:rsidR="00FB6906" w:rsidRPr="00540562" w:rsidRDefault="00F6501C" w:rsidP="0071051C">
      <w:pPr>
        <w:widowControl/>
        <w:ind w:left="425" w:hanging="425"/>
        <w:rPr>
          <w:lang w:val="es-ES_tradnl"/>
        </w:rPr>
      </w:pPr>
      <w:r w:rsidRPr="00540562">
        <w:rPr>
          <w:lang w:val="es-ES_tradnl"/>
        </w:rPr>
        <w:t>16.</w:t>
      </w:r>
      <w:r w:rsidRPr="00540562">
        <w:rPr>
          <w:lang w:val="es-ES_tradnl"/>
        </w:rPr>
        <w:tab/>
      </w:r>
      <w:r w:rsidR="004D79D5" w:rsidRPr="00540562">
        <w:rPr>
          <w:lang w:val="es-ES_tradnl"/>
        </w:rPr>
        <w:t>ENCARGA a la Secretaría que apoye, según proceda, las actividades de recaudación de fondos de las IRR y la administración de los fondos externos recibidos para su apoyo con arreglo a los términos de referencia financieros de la Convención</w:t>
      </w:r>
      <w:r w:rsidR="00535964" w:rsidRPr="00540562">
        <w:rPr>
          <w:lang w:val="es-ES_tradnl"/>
        </w:rPr>
        <w:t>;</w:t>
      </w:r>
    </w:p>
    <w:p w14:paraId="7320A52B" w14:textId="77777777" w:rsidR="00FB6906" w:rsidRPr="00540562" w:rsidRDefault="00FB6906" w:rsidP="0071051C">
      <w:pPr>
        <w:widowControl/>
        <w:ind w:left="425" w:hanging="425"/>
        <w:rPr>
          <w:lang w:val="es-ES_tradnl"/>
        </w:rPr>
      </w:pPr>
    </w:p>
    <w:p w14:paraId="466D5509" w14:textId="4DA85228" w:rsidR="00FB6906" w:rsidRPr="00540562" w:rsidRDefault="00F6501C" w:rsidP="0071051C">
      <w:pPr>
        <w:widowControl/>
        <w:ind w:left="425" w:hanging="425"/>
        <w:rPr>
          <w:lang w:val="es-ES_tradnl"/>
        </w:rPr>
      </w:pPr>
      <w:r w:rsidRPr="00540562">
        <w:rPr>
          <w:lang w:val="es-ES_tradnl"/>
        </w:rPr>
        <w:t>17.</w:t>
      </w:r>
      <w:r w:rsidRPr="00540562">
        <w:rPr>
          <w:lang w:val="es-ES_tradnl"/>
        </w:rPr>
        <w:tab/>
      </w:r>
      <w:r w:rsidR="004D79D5" w:rsidRPr="00540562">
        <w:rPr>
          <w:lang w:val="es-ES_tradnl"/>
        </w:rPr>
        <w:t>ALIENTA a las Partes Contratantes y a otros posibles donantes a apoyar a las IRR, independientemente de si estas también reciben financiación con cargo al presupuesto básico de la Convención, e INSTA a las Partes Contratantes pertenecientes a la región geográfica de una IRR que aún no lo hayan hecho a que proporcionen cartas oficiales de apoyo y ayuda financiera</w:t>
      </w:r>
      <w:r w:rsidR="00535964" w:rsidRPr="00540562">
        <w:rPr>
          <w:lang w:val="es-ES_tradnl"/>
        </w:rPr>
        <w:t>;</w:t>
      </w:r>
    </w:p>
    <w:p w14:paraId="6B642231" w14:textId="77777777" w:rsidR="00FB6906" w:rsidRPr="00540562" w:rsidRDefault="00FB6906" w:rsidP="0071051C">
      <w:pPr>
        <w:widowControl/>
        <w:ind w:left="425" w:hanging="425"/>
        <w:jc w:val="right"/>
        <w:rPr>
          <w:lang w:val="es-ES_tradnl"/>
        </w:rPr>
      </w:pPr>
    </w:p>
    <w:p w14:paraId="7B80AF87" w14:textId="65EB5D91" w:rsidR="00FB6906" w:rsidRPr="00540562" w:rsidRDefault="00F6501C" w:rsidP="0071051C">
      <w:pPr>
        <w:widowControl/>
        <w:ind w:left="425" w:hanging="425"/>
        <w:rPr>
          <w:lang w:val="es-ES_tradnl"/>
        </w:rPr>
      </w:pPr>
      <w:r w:rsidRPr="00540562">
        <w:rPr>
          <w:lang w:val="es-ES_tradnl"/>
        </w:rPr>
        <w:t>18.</w:t>
      </w:r>
      <w:r w:rsidRPr="00540562">
        <w:rPr>
          <w:lang w:val="es-ES_tradnl"/>
        </w:rPr>
        <w:tab/>
      </w:r>
      <w:r w:rsidR="004D79D5" w:rsidRPr="00540562">
        <w:rPr>
          <w:lang w:val="es-ES_tradnl"/>
        </w:rPr>
        <w:t xml:space="preserve">ENCARGA a la Secretaría que publicite a escala mundial las IRR como mecanismo para brindar cooperación internacional y apoyo para la aplicación de los objetivos de la Convención con el fin </w:t>
      </w:r>
      <w:r w:rsidR="004D79D5" w:rsidRPr="00540562">
        <w:rPr>
          <w:lang w:val="es-ES_tradnl"/>
        </w:rPr>
        <w:lastRenderedPageBreak/>
        <w:t>de complementar los esfuerzos de las Autoridades Administrativas de Ramsar en el plano nacional</w:t>
      </w:r>
      <w:r w:rsidR="00535964" w:rsidRPr="00540562">
        <w:rPr>
          <w:lang w:val="es-ES_tradnl"/>
        </w:rPr>
        <w:t>;</w:t>
      </w:r>
    </w:p>
    <w:p w14:paraId="12DAC675" w14:textId="77777777" w:rsidR="00FB6906" w:rsidRPr="00540562" w:rsidRDefault="00FB6906" w:rsidP="0071051C">
      <w:pPr>
        <w:widowControl/>
        <w:ind w:left="425" w:hanging="425"/>
        <w:rPr>
          <w:lang w:val="es-ES_tradnl"/>
        </w:rPr>
      </w:pPr>
    </w:p>
    <w:p w14:paraId="6DFC2615" w14:textId="4FFB0B91" w:rsidR="00FB6906" w:rsidRPr="00540562" w:rsidRDefault="00F6501C" w:rsidP="0071051C">
      <w:pPr>
        <w:widowControl/>
        <w:ind w:left="425" w:hanging="425"/>
        <w:rPr>
          <w:lang w:val="es-ES_tradnl"/>
        </w:rPr>
      </w:pPr>
      <w:r w:rsidRPr="00540562">
        <w:rPr>
          <w:lang w:val="es-ES_tradnl"/>
        </w:rPr>
        <w:t>19.</w:t>
      </w:r>
      <w:r w:rsidRPr="00540562">
        <w:rPr>
          <w:lang w:val="es-ES_tradnl"/>
        </w:rPr>
        <w:tab/>
      </w:r>
      <w:r w:rsidR="004D79D5" w:rsidRPr="00540562">
        <w:rPr>
          <w:lang w:val="es-ES_tradnl"/>
        </w:rPr>
        <w:t>PIDE a las IRR que mantengan contactos activos y periódicos con la Secretaría y ENCARGA a la Secretaría que proporcione asesoramiento a las IRR sobre la manera de reforzar su capacidad y eficacia</w:t>
      </w:r>
      <w:r w:rsidR="00535964" w:rsidRPr="00540562">
        <w:rPr>
          <w:lang w:val="es-ES_tradnl"/>
        </w:rPr>
        <w:t>;</w:t>
      </w:r>
    </w:p>
    <w:p w14:paraId="7D4DDA94" w14:textId="77777777" w:rsidR="00FB6906" w:rsidRPr="00540562" w:rsidRDefault="00FB6906" w:rsidP="0071051C">
      <w:pPr>
        <w:widowControl/>
        <w:ind w:left="425" w:hanging="425"/>
        <w:rPr>
          <w:lang w:val="es-ES_tradnl"/>
        </w:rPr>
      </w:pPr>
    </w:p>
    <w:p w14:paraId="2EC74FC9" w14:textId="02B5F603" w:rsidR="00FB6906" w:rsidRPr="00540562" w:rsidRDefault="00F6501C" w:rsidP="0071051C">
      <w:pPr>
        <w:widowControl/>
        <w:ind w:left="425" w:hanging="425"/>
        <w:rPr>
          <w:lang w:val="es-ES_tradnl"/>
        </w:rPr>
      </w:pPr>
      <w:r w:rsidRPr="00540562">
        <w:rPr>
          <w:lang w:val="es-ES_tradnl"/>
        </w:rPr>
        <w:t>20.</w:t>
      </w:r>
      <w:r w:rsidRPr="00540562">
        <w:rPr>
          <w:lang w:val="es-ES_tradnl"/>
        </w:rPr>
        <w:tab/>
      </w:r>
      <w:r w:rsidR="004D79D5" w:rsidRPr="00540562">
        <w:rPr>
          <w:lang w:val="es-ES_tradnl"/>
        </w:rPr>
        <w:t>PIDE a la Secretaría que continúe publicando en el sitio web de la Convención la información facilitada por las IRR, incluidos los informes sobre sus éxitos y planes de trabajo</w:t>
      </w:r>
      <w:r w:rsidR="00535964" w:rsidRPr="00540562">
        <w:rPr>
          <w:lang w:val="es-ES_tradnl"/>
        </w:rPr>
        <w:t>;</w:t>
      </w:r>
    </w:p>
    <w:p w14:paraId="2F4C9AC7" w14:textId="77777777" w:rsidR="00FB6906" w:rsidRPr="00540562" w:rsidRDefault="00FB6906" w:rsidP="0071051C">
      <w:pPr>
        <w:widowControl/>
        <w:ind w:left="425" w:hanging="425"/>
        <w:rPr>
          <w:lang w:val="es-ES_tradnl"/>
        </w:rPr>
      </w:pPr>
    </w:p>
    <w:p w14:paraId="28DA8615" w14:textId="42FCC535" w:rsidR="00FB6906" w:rsidRPr="00540562" w:rsidRDefault="00F6501C" w:rsidP="0071051C">
      <w:pPr>
        <w:widowControl/>
        <w:ind w:left="425" w:hanging="425"/>
        <w:rPr>
          <w:lang w:val="es-ES_tradnl"/>
        </w:rPr>
      </w:pPr>
      <w:r w:rsidRPr="00540562">
        <w:rPr>
          <w:lang w:val="es-ES_tradnl"/>
        </w:rPr>
        <w:t>21.</w:t>
      </w:r>
      <w:r w:rsidRPr="00540562">
        <w:rPr>
          <w:lang w:val="es-ES_tradnl"/>
        </w:rPr>
        <w:tab/>
      </w:r>
      <w:r w:rsidR="004D79D5" w:rsidRPr="00540562">
        <w:rPr>
          <w:lang w:val="es-ES_tradnl"/>
        </w:rPr>
        <w:t>ALIENTA a las Partes Contratantes a invitar a las organizaciones intergubernamentales, internacionales y no gubernamentales regionales, incluidos los organismos de cuencas fluviales o aguas subterráneas transfronterizas, a participar en las IRR</w:t>
      </w:r>
      <w:r w:rsidR="00535964" w:rsidRPr="00540562">
        <w:rPr>
          <w:lang w:val="es-ES_tradnl"/>
        </w:rPr>
        <w:t>;</w:t>
      </w:r>
    </w:p>
    <w:p w14:paraId="62569989" w14:textId="77777777" w:rsidR="00FB6906" w:rsidRPr="00540562" w:rsidRDefault="00FB6906" w:rsidP="0071051C">
      <w:pPr>
        <w:widowControl/>
        <w:ind w:left="425" w:hanging="425"/>
        <w:rPr>
          <w:lang w:val="es-ES_tradnl"/>
        </w:rPr>
      </w:pPr>
    </w:p>
    <w:p w14:paraId="2F4D08AB" w14:textId="10CD7FEA" w:rsidR="00FB6906" w:rsidRPr="00540562" w:rsidRDefault="00F6501C" w:rsidP="0071051C">
      <w:pPr>
        <w:widowControl/>
        <w:ind w:left="425" w:hanging="425"/>
        <w:rPr>
          <w:lang w:val="es-ES_tradnl"/>
        </w:rPr>
      </w:pPr>
      <w:r w:rsidRPr="00540562">
        <w:rPr>
          <w:lang w:val="es-ES_tradnl"/>
        </w:rPr>
        <w:t>22.</w:t>
      </w:r>
      <w:r w:rsidRPr="00540562">
        <w:rPr>
          <w:lang w:val="es-ES_tradnl"/>
        </w:rPr>
        <w:tab/>
      </w:r>
      <w:r w:rsidR="00EF2D52" w:rsidRPr="00540562">
        <w:rPr>
          <w:lang w:val="es-ES_tradnl"/>
        </w:rPr>
        <w:t xml:space="preserve">ENCARGA a la Secretaría que prepare una evaluación resumida del funcionamiento y los éxitos de las IRR que ejerzan su actividad durante el período 2019-2021 para su examen por el Comité Permanente y su presentación a la </w:t>
      </w:r>
      <w:r w:rsidR="00EF2D52" w:rsidRPr="00540562">
        <w:rPr>
          <w:spacing w:val="-1"/>
          <w:lang w:val="es-ES_tradnl"/>
        </w:rPr>
        <w:t>COP14</w:t>
      </w:r>
      <w:r w:rsidR="00535964" w:rsidRPr="00540562">
        <w:rPr>
          <w:rFonts w:eastAsia="Calibri" w:cs="Calibri"/>
          <w:lang w:val="es-ES_tradnl"/>
        </w:rPr>
        <w:t xml:space="preserve">; </w:t>
      </w:r>
      <w:r w:rsidR="00EF2D52" w:rsidRPr="00540562">
        <w:rPr>
          <w:rFonts w:eastAsia="Calibri" w:cs="Calibri"/>
          <w:lang w:val="es-ES_tradnl"/>
        </w:rPr>
        <w:t>y</w:t>
      </w:r>
    </w:p>
    <w:p w14:paraId="3952512D" w14:textId="77777777" w:rsidR="00FB6906" w:rsidRPr="00540562" w:rsidRDefault="00FB6906" w:rsidP="0071051C">
      <w:pPr>
        <w:widowControl/>
        <w:ind w:left="425" w:hanging="425"/>
        <w:rPr>
          <w:lang w:val="es-ES_tradnl"/>
        </w:rPr>
      </w:pPr>
    </w:p>
    <w:p w14:paraId="26010903" w14:textId="36B0E649" w:rsidR="00FB6906" w:rsidRPr="00540562" w:rsidRDefault="00F6501C" w:rsidP="0071051C">
      <w:pPr>
        <w:widowControl/>
        <w:ind w:left="425" w:hanging="425"/>
        <w:rPr>
          <w:lang w:val="es-ES_tradnl"/>
        </w:rPr>
      </w:pPr>
      <w:r w:rsidRPr="00540562">
        <w:rPr>
          <w:lang w:val="es-ES_tradnl"/>
        </w:rPr>
        <w:t>23.</w:t>
      </w:r>
      <w:r w:rsidRPr="00540562">
        <w:rPr>
          <w:lang w:val="es-ES_tradnl"/>
        </w:rPr>
        <w:tab/>
      </w:r>
      <w:r w:rsidR="00EF2D52" w:rsidRPr="00540562">
        <w:rPr>
          <w:spacing w:val="-2"/>
          <w:lang w:val="es-ES_tradnl"/>
        </w:rPr>
        <w:t>DEROGA</w:t>
      </w:r>
      <w:r w:rsidR="00EF2D52" w:rsidRPr="00540562">
        <w:rPr>
          <w:lang w:val="es-ES_tradnl"/>
        </w:rPr>
        <w:t xml:space="preserve"> y sustituye a las siguientes resoluciones sobre IRR, cada una de las cuales se refiere un período de tiempo específico</w:t>
      </w:r>
      <w:r w:rsidR="00535964" w:rsidRPr="00540562">
        <w:rPr>
          <w:lang w:val="es-ES_tradnl"/>
        </w:rPr>
        <w:t>:</w:t>
      </w:r>
    </w:p>
    <w:p w14:paraId="2763258A" w14:textId="33719A5B" w:rsidR="00701331" w:rsidRPr="00540562" w:rsidRDefault="00117837" w:rsidP="0071051C">
      <w:pPr>
        <w:pStyle w:val="BodyText"/>
        <w:widowControl/>
        <w:numPr>
          <w:ilvl w:val="1"/>
          <w:numId w:val="1"/>
        </w:numPr>
        <w:ind w:left="850" w:hanging="425"/>
        <w:rPr>
          <w:rFonts w:asciiTheme="minorHAnsi" w:hAnsiTheme="minorHAnsi"/>
          <w:lang w:val="es-ES_tradnl"/>
        </w:rPr>
      </w:pPr>
      <w:r w:rsidRPr="00540562">
        <w:rPr>
          <w:rFonts w:asciiTheme="minorHAnsi" w:hAnsiTheme="minorHAnsi"/>
          <w:lang w:val="es-ES_tradnl"/>
        </w:rPr>
        <w:t>Resolución</w:t>
      </w:r>
      <w:r w:rsidR="00535964" w:rsidRPr="00540562">
        <w:rPr>
          <w:rFonts w:asciiTheme="minorHAnsi" w:hAnsiTheme="minorHAnsi"/>
          <w:lang w:val="es-ES_tradnl"/>
        </w:rPr>
        <w:t xml:space="preserve"> VIII.30 (2003-2005)</w:t>
      </w:r>
      <w:r w:rsidR="00220CCA" w:rsidRPr="00540562">
        <w:rPr>
          <w:rFonts w:asciiTheme="minorHAnsi" w:hAnsiTheme="minorHAnsi"/>
          <w:lang w:val="es-ES_tradnl"/>
        </w:rPr>
        <w:t>,</w:t>
      </w:r>
      <w:bookmarkStart w:id="0" w:name="_bookmark0"/>
      <w:bookmarkEnd w:id="0"/>
    </w:p>
    <w:p w14:paraId="344D27FC" w14:textId="0B8D3A0F" w:rsidR="00FB6906" w:rsidRPr="00540562" w:rsidRDefault="00117837" w:rsidP="0071051C">
      <w:pPr>
        <w:pStyle w:val="BodyText"/>
        <w:widowControl/>
        <w:numPr>
          <w:ilvl w:val="1"/>
          <w:numId w:val="1"/>
        </w:numPr>
        <w:ind w:left="850" w:hanging="425"/>
        <w:rPr>
          <w:rFonts w:asciiTheme="minorHAnsi" w:hAnsiTheme="minorHAnsi"/>
          <w:lang w:val="es-ES_tradnl"/>
        </w:rPr>
      </w:pPr>
      <w:r w:rsidRPr="00540562">
        <w:rPr>
          <w:rFonts w:asciiTheme="minorHAnsi" w:hAnsiTheme="minorHAnsi"/>
          <w:lang w:val="es-ES_tradnl"/>
        </w:rPr>
        <w:t>Resolución</w:t>
      </w:r>
      <w:r w:rsidR="00535964" w:rsidRPr="00540562">
        <w:rPr>
          <w:rFonts w:asciiTheme="minorHAnsi" w:hAnsiTheme="minorHAnsi"/>
          <w:lang w:val="es-ES_tradnl"/>
        </w:rPr>
        <w:t xml:space="preserve"> IX.7 (2006-2008),</w:t>
      </w:r>
    </w:p>
    <w:p w14:paraId="26ED0429" w14:textId="41789E34" w:rsidR="00701331" w:rsidRPr="00540562" w:rsidRDefault="00117837" w:rsidP="0071051C">
      <w:pPr>
        <w:pStyle w:val="BodyText"/>
        <w:widowControl/>
        <w:numPr>
          <w:ilvl w:val="1"/>
          <w:numId w:val="1"/>
        </w:numPr>
        <w:ind w:left="850" w:hanging="425"/>
        <w:rPr>
          <w:rFonts w:asciiTheme="minorHAnsi" w:hAnsiTheme="minorHAnsi"/>
          <w:lang w:val="es-ES_tradnl"/>
        </w:rPr>
      </w:pPr>
      <w:r w:rsidRPr="00540562">
        <w:rPr>
          <w:rFonts w:asciiTheme="minorHAnsi" w:hAnsiTheme="minorHAnsi"/>
          <w:lang w:val="es-ES_tradnl"/>
        </w:rPr>
        <w:t>Resolución</w:t>
      </w:r>
      <w:r w:rsidR="00535964" w:rsidRPr="00540562">
        <w:rPr>
          <w:rFonts w:asciiTheme="minorHAnsi" w:hAnsiTheme="minorHAnsi"/>
          <w:lang w:val="es-ES_tradnl"/>
        </w:rPr>
        <w:t xml:space="preserve"> X.6 (2009-2012), </w:t>
      </w:r>
    </w:p>
    <w:p w14:paraId="4A3CCE90" w14:textId="5820FC31" w:rsidR="00701331" w:rsidRPr="00540562" w:rsidRDefault="00117837" w:rsidP="0071051C">
      <w:pPr>
        <w:pStyle w:val="BodyText"/>
        <w:widowControl/>
        <w:numPr>
          <w:ilvl w:val="1"/>
          <w:numId w:val="1"/>
        </w:numPr>
        <w:ind w:left="850" w:hanging="425"/>
        <w:rPr>
          <w:rFonts w:asciiTheme="minorHAnsi" w:hAnsiTheme="minorHAnsi"/>
          <w:lang w:val="es-ES_tradnl"/>
        </w:rPr>
      </w:pPr>
      <w:r w:rsidRPr="00540562">
        <w:rPr>
          <w:rFonts w:asciiTheme="minorHAnsi" w:hAnsiTheme="minorHAnsi"/>
          <w:lang w:val="es-ES_tradnl"/>
        </w:rPr>
        <w:t>Resolución</w:t>
      </w:r>
      <w:r w:rsidR="00535964" w:rsidRPr="00540562">
        <w:rPr>
          <w:rFonts w:asciiTheme="minorHAnsi" w:hAnsiTheme="minorHAnsi"/>
          <w:lang w:val="es-ES_tradnl"/>
        </w:rPr>
        <w:t xml:space="preserve"> XI.5 (2013-2015), </w:t>
      </w:r>
      <w:r w:rsidR="00EF2D52" w:rsidRPr="00540562">
        <w:rPr>
          <w:rFonts w:asciiTheme="minorHAnsi" w:hAnsiTheme="minorHAnsi"/>
          <w:lang w:val="es-ES_tradnl"/>
        </w:rPr>
        <w:t>y</w:t>
      </w:r>
      <w:r w:rsidR="00535964" w:rsidRPr="00540562">
        <w:rPr>
          <w:rFonts w:asciiTheme="minorHAnsi" w:hAnsiTheme="minorHAnsi"/>
          <w:lang w:val="es-ES_tradnl"/>
        </w:rPr>
        <w:t xml:space="preserve"> </w:t>
      </w:r>
    </w:p>
    <w:p w14:paraId="0F03CFE2" w14:textId="017C4534" w:rsidR="00FB6906" w:rsidRPr="00540562" w:rsidRDefault="00117837" w:rsidP="0071051C">
      <w:pPr>
        <w:pStyle w:val="BodyText"/>
        <w:widowControl/>
        <w:numPr>
          <w:ilvl w:val="1"/>
          <w:numId w:val="1"/>
        </w:numPr>
        <w:ind w:left="850" w:hanging="425"/>
        <w:rPr>
          <w:rFonts w:asciiTheme="minorHAnsi" w:hAnsiTheme="minorHAnsi"/>
          <w:lang w:val="es-ES_tradnl"/>
        </w:rPr>
      </w:pPr>
      <w:r w:rsidRPr="00540562">
        <w:rPr>
          <w:rFonts w:asciiTheme="minorHAnsi" w:hAnsiTheme="minorHAnsi"/>
          <w:lang w:val="es-ES_tradnl"/>
        </w:rPr>
        <w:t>Resolución</w:t>
      </w:r>
      <w:r w:rsidR="00535964" w:rsidRPr="00540562">
        <w:rPr>
          <w:rFonts w:asciiTheme="minorHAnsi" w:hAnsiTheme="minorHAnsi"/>
          <w:lang w:val="es-ES_tradnl"/>
        </w:rPr>
        <w:t xml:space="preserve"> XII.8 (2016-2018).</w:t>
      </w:r>
      <w:r w:rsidR="00051891" w:rsidRPr="00540562">
        <w:rPr>
          <w:rFonts w:asciiTheme="minorHAnsi" w:hAnsiTheme="minorHAnsi"/>
          <w:lang w:val="es-ES_tradnl"/>
        </w:rPr>
        <w:t>]</w:t>
      </w:r>
    </w:p>
    <w:p w14:paraId="12BDC9C6" w14:textId="77777777" w:rsidR="00220CCA" w:rsidRPr="00540562" w:rsidRDefault="00220CCA" w:rsidP="0071051C">
      <w:pPr>
        <w:pStyle w:val="BodyText"/>
        <w:widowControl/>
        <w:numPr>
          <w:ilvl w:val="1"/>
          <w:numId w:val="1"/>
        </w:numPr>
        <w:rPr>
          <w:rFonts w:asciiTheme="minorHAnsi" w:hAnsiTheme="minorHAnsi"/>
          <w:lang w:val="es-ES_tradnl"/>
        </w:rPr>
      </w:pPr>
      <w:r w:rsidRPr="00540562">
        <w:rPr>
          <w:rFonts w:asciiTheme="minorHAnsi" w:hAnsiTheme="minorHAnsi"/>
          <w:lang w:val="es-ES_tradnl"/>
        </w:rPr>
        <w:br w:type="page"/>
      </w:r>
    </w:p>
    <w:p w14:paraId="204AC2B5" w14:textId="02E99DC8" w:rsidR="00FB6906" w:rsidRPr="00540562" w:rsidRDefault="00051891" w:rsidP="0071051C">
      <w:pPr>
        <w:pStyle w:val="Heading2"/>
        <w:widowControl/>
        <w:spacing w:before="117"/>
        <w:rPr>
          <w:rFonts w:asciiTheme="minorHAnsi" w:hAnsiTheme="minorHAnsi"/>
          <w:b w:val="0"/>
          <w:lang w:val="es-ES_tradnl"/>
        </w:rPr>
      </w:pPr>
      <w:r w:rsidRPr="00540562">
        <w:rPr>
          <w:rFonts w:asciiTheme="minorHAnsi" w:hAnsiTheme="minorHAnsi"/>
          <w:spacing w:val="-1"/>
          <w:lang w:val="es-ES_tradnl"/>
        </w:rPr>
        <w:lastRenderedPageBreak/>
        <w:t>[</w:t>
      </w:r>
      <w:r w:rsidR="00EF2D52" w:rsidRPr="00540562">
        <w:rPr>
          <w:rFonts w:asciiTheme="minorHAnsi" w:hAnsiTheme="minorHAnsi"/>
          <w:spacing w:val="-1"/>
          <w:lang w:val="es-ES_tradnl"/>
        </w:rPr>
        <w:t>Anexo</w:t>
      </w:r>
      <w:r w:rsidR="00535964" w:rsidRPr="00540562">
        <w:rPr>
          <w:rFonts w:asciiTheme="minorHAnsi" w:hAnsiTheme="minorHAnsi"/>
          <w:spacing w:val="-9"/>
          <w:lang w:val="es-ES_tradnl"/>
        </w:rPr>
        <w:t xml:space="preserve"> </w:t>
      </w:r>
      <w:r w:rsidR="004433BE" w:rsidRPr="00540562">
        <w:rPr>
          <w:rFonts w:asciiTheme="minorHAnsi" w:hAnsiTheme="minorHAnsi"/>
          <w:spacing w:val="-9"/>
          <w:lang w:val="es-ES_tradnl"/>
        </w:rPr>
        <w:t>1</w:t>
      </w:r>
    </w:p>
    <w:p w14:paraId="2D35D1D0" w14:textId="5DB5FDFF" w:rsidR="00FB6906" w:rsidRPr="00540562" w:rsidRDefault="00EF2D52" w:rsidP="0071051C">
      <w:pPr>
        <w:widowControl/>
        <w:ind w:left="240"/>
        <w:rPr>
          <w:rFonts w:eastAsia="Calibri" w:cs="Calibri"/>
          <w:sz w:val="24"/>
          <w:szCs w:val="24"/>
          <w:lang w:val="es-ES_tradnl"/>
        </w:rPr>
      </w:pPr>
      <w:r w:rsidRPr="00540562">
        <w:rPr>
          <w:b/>
          <w:spacing w:val="-1"/>
          <w:sz w:val="24"/>
          <w:lang w:val="es-ES_tradnl"/>
        </w:rPr>
        <w:t xml:space="preserve">Marco operativo para las </w:t>
      </w:r>
      <w:r w:rsidR="00117837" w:rsidRPr="00540562">
        <w:rPr>
          <w:b/>
          <w:spacing w:val="-1"/>
          <w:sz w:val="24"/>
          <w:lang w:val="es-ES_tradnl"/>
        </w:rPr>
        <w:t>iniciativas</w:t>
      </w:r>
      <w:r w:rsidRPr="00540562">
        <w:rPr>
          <w:b/>
          <w:spacing w:val="-1"/>
          <w:sz w:val="24"/>
          <w:lang w:val="es-ES_tradnl"/>
        </w:rPr>
        <w:t xml:space="preserve"> regionales de Ramsar</w:t>
      </w:r>
    </w:p>
    <w:p w14:paraId="04BEDD6D" w14:textId="77777777" w:rsidR="00FB6906" w:rsidRPr="00540562" w:rsidRDefault="00FB6906" w:rsidP="0071051C">
      <w:pPr>
        <w:widowControl/>
        <w:spacing w:before="5"/>
        <w:rPr>
          <w:b/>
          <w:lang w:val="es-ES_tradnl"/>
        </w:rPr>
      </w:pPr>
    </w:p>
    <w:p w14:paraId="29414F4E" w14:textId="214E77E4" w:rsidR="00FB6906" w:rsidRPr="00540562" w:rsidRDefault="00EF2D52" w:rsidP="0071051C">
      <w:pPr>
        <w:pStyle w:val="Heading3"/>
        <w:widowControl/>
        <w:ind w:left="1389" w:right="1510"/>
        <w:jc w:val="center"/>
        <w:rPr>
          <w:rFonts w:asciiTheme="minorHAnsi" w:hAnsiTheme="minorHAnsi"/>
          <w:b w:val="0"/>
          <w:lang w:val="es-ES_tradnl"/>
        </w:rPr>
      </w:pPr>
      <w:r w:rsidRPr="00540562">
        <w:rPr>
          <w:rFonts w:cs="Calibri"/>
          <w:lang w:val="es-ES_tradnl"/>
        </w:rPr>
        <w:t>Sección</w:t>
      </w:r>
      <w:r w:rsidR="00535964" w:rsidRPr="00540562">
        <w:rPr>
          <w:rFonts w:asciiTheme="minorHAnsi" w:hAnsiTheme="minorHAnsi"/>
          <w:spacing w:val="-1"/>
          <w:lang w:val="es-ES_tradnl"/>
        </w:rPr>
        <w:t xml:space="preserve"> </w:t>
      </w:r>
      <w:r w:rsidR="00535964" w:rsidRPr="00540562">
        <w:rPr>
          <w:rFonts w:asciiTheme="minorHAnsi" w:hAnsiTheme="minorHAnsi"/>
          <w:lang w:val="es-ES_tradnl"/>
        </w:rPr>
        <w:t>1:</w:t>
      </w:r>
      <w:r w:rsidR="00535964" w:rsidRPr="00540562">
        <w:rPr>
          <w:rFonts w:asciiTheme="minorHAnsi" w:hAnsiTheme="minorHAnsi"/>
          <w:spacing w:val="-3"/>
          <w:lang w:val="es-ES_tradnl"/>
        </w:rPr>
        <w:t xml:space="preserve"> </w:t>
      </w:r>
      <w:r w:rsidRPr="00540562">
        <w:rPr>
          <w:lang w:val="es-ES_tradnl"/>
        </w:rPr>
        <w:t>Propósito de las Iniciativas Regionales de Ramsar</w:t>
      </w:r>
    </w:p>
    <w:p w14:paraId="498C195C" w14:textId="77777777" w:rsidR="00FB6906" w:rsidRPr="00540562" w:rsidRDefault="00FB6906" w:rsidP="0071051C">
      <w:pPr>
        <w:widowControl/>
        <w:spacing w:before="10"/>
        <w:rPr>
          <w:b/>
          <w:lang w:val="es-ES_tradnl"/>
        </w:rPr>
      </w:pPr>
    </w:p>
    <w:p w14:paraId="1EB5B6D7" w14:textId="5A5A181B" w:rsidR="00FB6906" w:rsidRPr="00540562" w:rsidRDefault="00641736" w:rsidP="0071051C">
      <w:pPr>
        <w:pStyle w:val="BodyText"/>
        <w:widowControl/>
        <w:tabs>
          <w:tab w:val="left" w:pos="840"/>
        </w:tabs>
        <w:spacing w:line="260" w:lineRule="exact"/>
        <w:ind w:left="425" w:hanging="425"/>
        <w:rPr>
          <w:rFonts w:asciiTheme="minorHAnsi" w:hAnsiTheme="minorHAnsi"/>
          <w:lang w:val="es-ES_tradnl"/>
        </w:rPr>
      </w:pPr>
      <w:r w:rsidRPr="00540562">
        <w:rPr>
          <w:rFonts w:asciiTheme="minorHAnsi" w:hAnsiTheme="minorHAnsi"/>
          <w:spacing w:val="-1"/>
          <w:lang w:val="es-ES_tradnl"/>
        </w:rPr>
        <w:t>1.1</w:t>
      </w:r>
      <w:r w:rsidRPr="00540562">
        <w:rPr>
          <w:rFonts w:asciiTheme="minorHAnsi" w:hAnsiTheme="minorHAnsi"/>
          <w:spacing w:val="-1"/>
          <w:lang w:val="es-ES_tradnl"/>
        </w:rPr>
        <w:tab/>
      </w:r>
      <w:r w:rsidR="00EF2D52" w:rsidRPr="00540562">
        <w:rPr>
          <w:spacing w:val="-1"/>
          <w:lang w:val="es-ES_tradnl"/>
        </w:rPr>
        <w:t>La finalidad de las iniciativas regionales de Ramsar (IRR) es promover la cooperación regional entre las Partes Contratantes y otros miembros, si procede, para la aplicación de la Convención de Ramsar sobre los Humedales en regiones concretas</w:t>
      </w:r>
      <w:r w:rsidR="00535964" w:rsidRPr="00540562">
        <w:rPr>
          <w:rFonts w:asciiTheme="minorHAnsi" w:hAnsiTheme="minorHAnsi"/>
          <w:spacing w:val="-1"/>
          <w:lang w:val="es-ES_tradnl"/>
        </w:rPr>
        <w:t>.</w:t>
      </w:r>
    </w:p>
    <w:p w14:paraId="3C341678" w14:textId="77777777" w:rsidR="00FB6906" w:rsidRPr="00540562" w:rsidRDefault="00FB6906" w:rsidP="0071051C">
      <w:pPr>
        <w:widowControl/>
        <w:spacing w:before="7"/>
        <w:ind w:left="425" w:hanging="425"/>
        <w:rPr>
          <w:rFonts w:eastAsia="Calibri" w:cs="Calibri"/>
          <w:lang w:val="es-ES_tradnl"/>
        </w:rPr>
      </w:pPr>
    </w:p>
    <w:p w14:paraId="354ED48F" w14:textId="1E56DE8A" w:rsidR="00FB6906" w:rsidRPr="00540562" w:rsidRDefault="00641736" w:rsidP="0071051C">
      <w:pPr>
        <w:pStyle w:val="BodyText"/>
        <w:widowControl/>
        <w:tabs>
          <w:tab w:val="left" w:pos="840"/>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1.2</w:t>
      </w:r>
      <w:r w:rsidRPr="00540562">
        <w:rPr>
          <w:rFonts w:asciiTheme="minorHAnsi" w:hAnsiTheme="minorHAnsi"/>
          <w:spacing w:val="-1"/>
          <w:lang w:val="es-ES_tradnl"/>
        </w:rPr>
        <w:tab/>
      </w:r>
      <w:r w:rsidR="00EF2D52" w:rsidRPr="00540562">
        <w:rPr>
          <w:spacing w:val="-1"/>
          <w:lang w:val="es-ES_tradnl"/>
        </w:rPr>
        <w:t>Las IRR tienen por objeto aumentar la capacidad de las Partes Contratantes para aplicar la Convención y las resoluciones adoptadas por la Conferencia de las Partes Contratantes en regiones concretas y lograr los objetivos y metas del Plan Estratégico de la Convención de Ramsar</w:t>
      </w:r>
      <w:r w:rsidR="00535964" w:rsidRPr="00540562">
        <w:rPr>
          <w:rFonts w:asciiTheme="minorHAnsi" w:hAnsiTheme="minorHAnsi"/>
          <w:spacing w:val="-1"/>
          <w:lang w:val="es-ES_tradnl"/>
        </w:rPr>
        <w:t>.</w:t>
      </w:r>
    </w:p>
    <w:p w14:paraId="2C3D390F" w14:textId="77777777" w:rsidR="00FB6906" w:rsidRPr="00540562" w:rsidRDefault="00FB6906" w:rsidP="0071051C">
      <w:pPr>
        <w:widowControl/>
        <w:spacing w:before="8"/>
        <w:rPr>
          <w:rFonts w:eastAsia="Calibri" w:cs="Calibri"/>
          <w:lang w:val="es-ES_tradnl"/>
        </w:rPr>
      </w:pPr>
    </w:p>
    <w:p w14:paraId="43C2B663" w14:textId="4D5B9914" w:rsidR="00FB6906" w:rsidRPr="00540562" w:rsidRDefault="00EF2D52" w:rsidP="0071051C">
      <w:pPr>
        <w:pStyle w:val="Heading3"/>
        <w:widowControl/>
        <w:ind w:left="1389" w:right="1510"/>
        <w:jc w:val="center"/>
        <w:rPr>
          <w:rFonts w:asciiTheme="minorHAnsi" w:hAnsiTheme="minorHAnsi"/>
          <w:b w:val="0"/>
          <w:lang w:val="es-ES_tradnl"/>
        </w:rPr>
      </w:pPr>
      <w:r w:rsidRPr="00540562">
        <w:rPr>
          <w:lang w:val="es-ES_tradnl"/>
        </w:rPr>
        <w:t>Sección 2: Aprobación y reconocimiento de las iniciativas regionales de Ramsar</w:t>
      </w:r>
    </w:p>
    <w:p w14:paraId="1FDBC7D0" w14:textId="77777777" w:rsidR="00FB6906" w:rsidRPr="00540562" w:rsidRDefault="00FB6906" w:rsidP="0071051C">
      <w:pPr>
        <w:widowControl/>
        <w:spacing w:before="12"/>
        <w:rPr>
          <w:b/>
          <w:lang w:val="es-ES_tradnl"/>
        </w:rPr>
      </w:pPr>
    </w:p>
    <w:p w14:paraId="4D8D33DA" w14:textId="4E0C62DD" w:rsidR="00FB6906" w:rsidRPr="00540562" w:rsidRDefault="00641736" w:rsidP="0071051C">
      <w:pPr>
        <w:pStyle w:val="BodyText"/>
        <w:widowControl/>
        <w:tabs>
          <w:tab w:val="left" w:pos="829"/>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2.1</w:t>
      </w:r>
      <w:r w:rsidRPr="00540562">
        <w:rPr>
          <w:rFonts w:asciiTheme="minorHAnsi" w:hAnsiTheme="minorHAnsi"/>
          <w:spacing w:val="-1"/>
          <w:lang w:val="es-ES_tradnl"/>
        </w:rPr>
        <w:tab/>
      </w:r>
      <w:r w:rsidR="00EF2D52" w:rsidRPr="00540562">
        <w:rPr>
          <w:spacing w:val="-1"/>
          <w:lang w:val="es-ES_tradnl"/>
        </w:rPr>
        <w:t>La Conferencia de las Partes reconoce formalmente una lista de las IRR que realizan su actividad en el marco de la Convención mediante una resolución. Este reconocimiento se otorga para el período hasta la próxima reunión de la Conferencia de las Partes Contratantes (COP</w:t>
      </w:r>
      <w:r w:rsidR="00535964" w:rsidRPr="00540562">
        <w:rPr>
          <w:rFonts w:asciiTheme="minorHAnsi" w:hAnsiTheme="minorHAnsi"/>
          <w:spacing w:val="-1"/>
          <w:lang w:val="es-ES_tradnl"/>
        </w:rPr>
        <w:t>).</w:t>
      </w:r>
    </w:p>
    <w:p w14:paraId="3D0B225D" w14:textId="77777777" w:rsidR="00FB6906" w:rsidRPr="00540562" w:rsidRDefault="00FB6906" w:rsidP="0071051C">
      <w:pPr>
        <w:pStyle w:val="BodyText"/>
        <w:widowControl/>
        <w:tabs>
          <w:tab w:val="left" w:pos="840"/>
        </w:tabs>
        <w:spacing w:line="260" w:lineRule="exact"/>
        <w:ind w:left="425" w:hanging="425"/>
        <w:rPr>
          <w:rFonts w:asciiTheme="minorHAnsi" w:hAnsiTheme="minorHAnsi"/>
          <w:spacing w:val="-1"/>
          <w:lang w:val="es-ES_tradnl"/>
        </w:rPr>
      </w:pPr>
    </w:p>
    <w:p w14:paraId="6F322066" w14:textId="4C39A6E1" w:rsidR="00FB6906" w:rsidRPr="00540562" w:rsidRDefault="00641736" w:rsidP="0071051C">
      <w:pPr>
        <w:pStyle w:val="BodyText"/>
        <w:widowControl/>
        <w:tabs>
          <w:tab w:val="left" w:pos="829"/>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2.2</w:t>
      </w:r>
      <w:r w:rsidRPr="00540562">
        <w:rPr>
          <w:rFonts w:asciiTheme="minorHAnsi" w:hAnsiTheme="minorHAnsi"/>
          <w:spacing w:val="-1"/>
          <w:lang w:val="es-ES_tradnl"/>
        </w:rPr>
        <w:tab/>
      </w:r>
      <w:r w:rsidR="00EF2D52" w:rsidRPr="00540562">
        <w:rPr>
          <w:spacing w:val="-1"/>
          <w:lang w:val="es-ES_tradnl"/>
        </w:rPr>
        <w:t>El Comité Permanente de la Convención de Ramsar sobre los Humedales puede aprobar a una nueva iniciativa regional de Ramsar propuesta por las Partes Contratantes entre períodos de sesiones. Esa aprobación es válida hasta la siguiente COP</w:t>
      </w:r>
      <w:r w:rsidR="00535964" w:rsidRPr="00540562">
        <w:rPr>
          <w:rFonts w:asciiTheme="minorHAnsi" w:hAnsiTheme="minorHAnsi"/>
          <w:spacing w:val="-1"/>
          <w:lang w:val="es-ES_tradnl"/>
        </w:rPr>
        <w:t>.</w:t>
      </w:r>
    </w:p>
    <w:p w14:paraId="7111E85B" w14:textId="77777777" w:rsidR="00FB6906" w:rsidRPr="00540562" w:rsidRDefault="00FB6906" w:rsidP="0071051C">
      <w:pPr>
        <w:pStyle w:val="BodyText"/>
        <w:widowControl/>
        <w:tabs>
          <w:tab w:val="left" w:pos="840"/>
        </w:tabs>
        <w:spacing w:line="260" w:lineRule="exact"/>
        <w:ind w:left="425" w:hanging="425"/>
        <w:rPr>
          <w:rFonts w:asciiTheme="minorHAnsi" w:hAnsiTheme="minorHAnsi"/>
          <w:spacing w:val="-1"/>
          <w:lang w:val="es-ES_tradnl"/>
        </w:rPr>
      </w:pPr>
    </w:p>
    <w:p w14:paraId="570BDC46" w14:textId="5AC3E379" w:rsidR="00FB6906" w:rsidRPr="00540562" w:rsidRDefault="00641736" w:rsidP="0071051C">
      <w:pPr>
        <w:pStyle w:val="BodyText"/>
        <w:widowControl/>
        <w:tabs>
          <w:tab w:val="left" w:pos="829"/>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2.3</w:t>
      </w:r>
      <w:r w:rsidRPr="00540562">
        <w:rPr>
          <w:rFonts w:asciiTheme="minorHAnsi" w:hAnsiTheme="minorHAnsi"/>
          <w:spacing w:val="-1"/>
          <w:lang w:val="es-ES_tradnl"/>
        </w:rPr>
        <w:tab/>
      </w:r>
      <w:r w:rsidR="00EF2D52" w:rsidRPr="00540562">
        <w:rPr>
          <w:spacing w:val="-1"/>
          <w:lang w:val="es-ES_tradnl"/>
        </w:rPr>
        <w:t>El Comité Permanente también puede proponer a la Conferencia de las Partes Contratantes que retire el reconocimiento de una IRR que haya sido aprobada en la COP anterior si esta no presenta informes sobre sus actividades o deja de cumplir el presente marco operativo</w:t>
      </w:r>
      <w:r w:rsidR="00535964" w:rsidRPr="00540562">
        <w:rPr>
          <w:rFonts w:asciiTheme="minorHAnsi" w:hAnsiTheme="minorHAnsi"/>
          <w:spacing w:val="-1"/>
          <w:lang w:val="es-ES_tradnl"/>
        </w:rPr>
        <w:t>.</w:t>
      </w:r>
    </w:p>
    <w:p w14:paraId="7D0E54F3" w14:textId="77777777" w:rsidR="00FB6906" w:rsidRPr="00540562" w:rsidRDefault="00FB6906" w:rsidP="0071051C">
      <w:pPr>
        <w:pStyle w:val="BodyText"/>
        <w:widowControl/>
        <w:tabs>
          <w:tab w:val="left" w:pos="840"/>
        </w:tabs>
        <w:spacing w:line="260" w:lineRule="exact"/>
        <w:ind w:left="425" w:hanging="425"/>
        <w:rPr>
          <w:rFonts w:asciiTheme="minorHAnsi" w:hAnsiTheme="minorHAnsi"/>
          <w:spacing w:val="-1"/>
          <w:lang w:val="es-ES_tradnl"/>
        </w:rPr>
      </w:pPr>
    </w:p>
    <w:p w14:paraId="29DDE138" w14:textId="27FA7BB7" w:rsidR="00FB6906" w:rsidRPr="00540562" w:rsidRDefault="00641736"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2.4</w:t>
      </w:r>
      <w:r w:rsidRPr="00540562">
        <w:rPr>
          <w:rFonts w:asciiTheme="minorHAnsi" w:hAnsiTheme="minorHAnsi"/>
          <w:spacing w:val="-1"/>
          <w:lang w:val="es-ES_tradnl"/>
        </w:rPr>
        <w:tab/>
      </w:r>
      <w:r w:rsidR="00EF2D52" w:rsidRPr="00540562">
        <w:rPr>
          <w:spacing w:val="-1"/>
          <w:lang w:val="es-ES_tradnl"/>
        </w:rPr>
        <w:t>A fin de reunir los criterios para obtener el reconocimiento formal como “iniciativa regional de Ramsar”, los asociados de un mecanismo de cooperación regional deberán cumplir las condiciones que se enumeran en el presente marco operativo para las IRR</w:t>
      </w:r>
      <w:r w:rsidR="00535964" w:rsidRPr="00540562">
        <w:rPr>
          <w:rFonts w:asciiTheme="minorHAnsi" w:hAnsiTheme="minorHAnsi"/>
          <w:spacing w:val="-1"/>
          <w:lang w:val="es-ES_tradnl"/>
        </w:rPr>
        <w:t>.</w:t>
      </w:r>
    </w:p>
    <w:p w14:paraId="4015ED65" w14:textId="77777777" w:rsidR="00FB6906" w:rsidRPr="00540562" w:rsidRDefault="00FB6906" w:rsidP="0071051C">
      <w:pPr>
        <w:widowControl/>
        <w:spacing w:before="8"/>
        <w:rPr>
          <w:rFonts w:eastAsia="Calibri" w:cs="Calibri"/>
          <w:lang w:val="es-ES_tradnl"/>
        </w:rPr>
      </w:pPr>
    </w:p>
    <w:p w14:paraId="2441238B" w14:textId="4F68DE64" w:rsidR="00FB6906" w:rsidRPr="00540562" w:rsidRDefault="00EF2D52" w:rsidP="0071051C">
      <w:pPr>
        <w:pStyle w:val="Heading3"/>
        <w:widowControl/>
        <w:ind w:left="1389" w:right="1510"/>
        <w:jc w:val="center"/>
        <w:rPr>
          <w:rFonts w:asciiTheme="minorHAnsi" w:hAnsiTheme="minorHAnsi"/>
          <w:b w:val="0"/>
          <w:lang w:val="es-ES_tradnl"/>
        </w:rPr>
      </w:pPr>
      <w:r w:rsidRPr="00540562">
        <w:rPr>
          <w:lang w:val="es-ES_tradnl"/>
        </w:rPr>
        <w:t>Sección 3: Condición de las iniciativas regionales de Ramsar</w:t>
      </w:r>
    </w:p>
    <w:p w14:paraId="71FD5BE4" w14:textId="77777777" w:rsidR="00FB6906" w:rsidRPr="00540562" w:rsidRDefault="00FB6906" w:rsidP="0071051C">
      <w:pPr>
        <w:widowControl/>
        <w:spacing w:before="7"/>
        <w:rPr>
          <w:b/>
          <w:lang w:val="es-ES_tradnl"/>
        </w:rPr>
      </w:pPr>
    </w:p>
    <w:p w14:paraId="0A2C84DB" w14:textId="6EF0EE9C" w:rsidR="006E6B08" w:rsidRPr="00540562" w:rsidRDefault="001122B9" w:rsidP="00EF2D52">
      <w:pPr>
        <w:pStyle w:val="BodyText"/>
        <w:widowControl/>
        <w:tabs>
          <w:tab w:val="left" w:pos="827"/>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3.1</w:t>
      </w:r>
      <w:r w:rsidRPr="00540562">
        <w:rPr>
          <w:rFonts w:asciiTheme="minorHAnsi" w:hAnsiTheme="minorHAnsi"/>
          <w:spacing w:val="-1"/>
          <w:lang w:val="es-ES_tradnl"/>
        </w:rPr>
        <w:tab/>
      </w:r>
      <w:r w:rsidR="00EF2D52" w:rsidRPr="00540562">
        <w:rPr>
          <w:spacing w:val="-1"/>
          <w:lang w:val="es-ES_tradnl"/>
        </w:rPr>
        <w:t xml:space="preserve">Las IRR reconocidas oficialmente por la Convención están integradas por las Partes Contratantes y dirigidas </w:t>
      </w:r>
      <w:bookmarkStart w:id="1" w:name="_GoBack"/>
      <w:bookmarkEnd w:id="1"/>
      <w:r w:rsidR="00EF2D52" w:rsidRPr="00540562">
        <w:rPr>
          <w:spacing w:val="-1"/>
          <w:lang w:val="es-ES_tradnl"/>
        </w:rPr>
        <w:t>por las Autoridades Administrativas nacionales de Ramsar como medios operativos para apoyar la aplicación eficaz de la Convención y su Plan Estratégico</w:t>
      </w:r>
      <w:r w:rsidR="005F7CCE" w:rsidRPr="00540562">
        <w:rPr>
          <w:rFonts w:asciiTheme="minorHAnsi" w:hAnsiTheme="minorHAnsi"/>
          <w:spacing w:val="-1"/>
          <w:lang w:val="es-ES_tradnl"/>
        </w:rPr>
        <w:t>.</w:t>
      </w:r>
    </w:p>
    <w:p w14:paraId="468FA391" w14:textId="77777777" w:rsidR="00FB6906" w:rsidRPr="00540562" w:rsidRDefault="00FB6906" w:rsidP="0071051C">
      <w:pPr>
        <w:pStyle w:val="BodyText"/>
        <w:widowControl/>
        <w:tabs>
          <w:tab w:val="left" w:pos="828"/>
        </w:tabs>
        <w:spacing w:line="260" w:lineRule="exact"/>
        <w:ind w:left="425" w:hanging="425"/>
        <w:rPr>
          <w:rFonts w:asciiTheme="minorHAnsi" w:hAnsiTheme="minorHAnsi"/>
          <w:spacing w:val="-1"/>
          <w:lang w:val="es-ES_tradnl"/>
        </w:rPr>
      </w:pPr>
    </w:p>
    <w:p w14:paraId="0F82BF3B" w14:textId="46A27D78" w:rsidR="00FB6906" w:rsidRPr="00540562" w:rsidRDefault="00912E90" w:rsidP="0071051C">
      <w:pPr>
        <w:pStyle w:val="BodyText"/>
        <w:widowControl/>
        <w:tabs>
          <w:tab w:val="left" w:pos="827"/>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3.2</w:t>
      </w:r>
      <w:r w:rsidRPr="00540562">
        <w:rPr>
          <w:rFonts w:asciiTheme="minorHAnsi" w:hAnsiTheme="minorHAnsi"/>
          <w:spacing w:val="-1"/>
          <w:lang w:val="es-ES_tradnl"/>
        </w:rPr>
        <w:tab/>
      </w:r>
      <w:r w:rsidR="00EF2D52" w:rsidRPr="00540562">
        <w:rPr>
          <w:spacing w:val="-1"/>
          <w:lang w:val="es-ES_tradnl"/>
        </w:rPr>
        <w:t xml:space="preserve">Las Autoridades Administrativas responsables de la aplicación de la Convención de Ramsar a escala nacional también son responsables del desarrollo de la IRR y </w:t>
      </w:r>
      <w:r w:rsidR="00117837">
        <w:rPr>
          <w:spacing w:val="-1"/>
          <w:lang w:val="es-ES_tradnl"/>
        </w:rPr>
        <w:t xml:space="preserve">del </w:t>
      </w:r>
      <w:r w:rsidR="00EF2D52" w:rsidRPr="00540562">
        <w:rPr>
          <w:spacing w:val="-1"/>
          <w:lang w:val="es-ES_tradnl"/>
        </w:rPr>
        <w:t xml:space="preserve">programa de trabajo, en el que </w:t>
      </w:r>
      <w:r w:rsidR="00EF2D52" w:rsidRPr="00117837">
        <w:rPr>
          <w:spacing w:val="-1"/>
          <w:lang w:val="es-ES_tradnl"/>
        </w:rPr>
        <w:t>participan</w:t>
      </w:r>
      <w:r w:rsidR="00535964" w:rsidRPr="00540562">
        <w:rPr>
          <w:rFonts w:asciiTheme="minorHAnsi" w:hAnsiTheme="minorHAnsi"/>
          <w:spacing w:val="-1"/>
          <w:lang w:val="es-ES_tradnl"/>
        </w:rPr>
        <w:t>.</w:t>
      </w:r>
    </w:p>
    <w:p w14:paraId="25EEEDD6" w14:textId="77777777" w:rsidR="00FB6906" w:rsidRPr="00540562" w:rsidRDefault="00FB6906" w:rsidP="0071051C">
      <w:pPr>
        <w:pStyle w:val="BodyText"/>
        <w:widowControl/>
        <w:tabs>
          <w:tab w:val="left" w:pos="828"/>
        </w:tabs>
        <w:spacing w:line="260" w:lineRule="exact"/>
        <w:ind w:left="425" w:hanging="425"/>
        <w:rPr>
          <w:rFonts w:asciiTheme="minorHAnsi" w:hAnsiTheme="minorHAnsi"/>
          <w:spacing w:val="-1"/>
          <w:lang w:val="es-ES_tradnl"/>
        </w:rPr>
      </w:pPr>
    </w:p>
    <w:p w14:paraId="5A26F572" w14:textId="6185566F" w:rsidR="00FB6906" w:rsidRPr="00540562" w:rsidRDefault="00912E90" w:rsidP="0071051C">
      <w:pPr>
        <w:pStyle w:val="BodyText"/>
        <w:widowControl/>
        <w:tabs>
          <w:tab w:val="left" w:pos="827"/>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3.3</w:t>
      </w:r>
      <w:r w:rsidRPr="00540562">
        <w:rPr>
          <w:rFonts w:asciiTheme="minorHAnsi" w:hAnsiTheme="minorHAnsi"/>
          <w:spacing w:val="-1"/>
          <w:lang w:val="es-ES_tradnl"/>
        </w:rPr>
        <w:tab/>
      </w:r>
      <w:r w:rsidR="00EF2D52" w:rsidRPr="00540562">
        <w:rPr>
          <w:spacing w:val="-1"/>
          <w:lang w:val="es-ES_tradnl"/>
        </w:rPr>
        <w:t>Los programas de trabajo de las IRR responden a las resoluciones pertinentes adoptadas por la Conferencia de las Partes y a las decisiones tomadas por el Comité Permanente entre períodos de sesiones y apoyan la aplicación del Plan Estratégico de Ramsar para 2016-2024</w:t>
      </w:r>
      <w:r w:rsidR="00535964" w:rsidRPr="00540562">
        <w:rPr>
          <w:rFonts w:asciiTheme="minorHAnsi" w:hAnsiTheme="minorHAnsi"/>
          <w:spacing w:val="-1"/>
          <w:lang w:val="es-ES_tradnl"/>
        </w:rPr>
        <w:t>.</w:t>
      </w:r>
    </w:p>
    <w:p w14:paraId="23A2F3ED" w14:textId="77777777" w:rsidR="00FB6906" w:rsidRPr="00540562" w:rsidRDefault="00FB6906" w:rsidP="0071051C">
      <w:pPr>
        <w:widowControl/>
        <w:spacing w:before="3"/>
        <w:rPr>
          <w:lang w:val="es-ES_tradnl"/>
        </w:rPr>
      </w:pPr>
    </w:p>
    <w:p w14:paraId="3D7498F3" w14:textId="5351CE9E" w:rsidR="00FB6906" w:rsidRPr="00540562" w:rsidRDefault="00EF2D52" w:rsidP="0071051C">
      <w:pPr>
        <w:pStyle w:val="Heading3"/>
        <w:keepNext/>
        <w:widowControl/>
        <w:ind w:right="1830"/>
        <w:jc w:val="center"/>
        <w:rPr>
          <w:rFonts w:asciiTheme="minorHAnsi" w:hAnsiTheme="minorHAnsi"/>
          <w:b w:val="0"/>
          <w:lang w:val="es-ES_tradnl"/>
        </w:rPr>
      </w:pPr>
      <w:r w:rsidRPr="00540562">
        <w:rPr>
          <w:lang w:val="es-ES_tradnl"/>
        </w:rPr>
        <w:t>Sección 4: Función de las iniciativas regionales de Ramsar</w:t>
      </w:r>
    </w:p>
    <w:p w14:paraId="3D1C718D" w14:textId="77777777" w:rsidR="00FB6906" w:rsidRPr="00540562" w:rsidRDefault="00FB6906" w:rsidP="0071051C">
      <w:pPr>
        <w:keepNext/>
        <w:widowControl/>
        <w:spacing w:before="8"/>
        <w:rPr>
          <w:b/>
          <w:lang w:val="es-ES_tradnl"/>
        </w:rPr>
      </w:pPr>
    </w:p>
    <w:p w14:paraId="2C64EB99" w14:textId="42CED102" w:rsidR="00FB6906" w:rsidRPr="00540562" w:rsidRDefault="007D7F9A" w:rsidP="0071051C">
      <w:pPr>
        <w:pStyle w:val="BodyText"/>
        <w:widowControl/>
        <w:tabs>
          <w:tab w:val="left" w:pos="827"/>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4.1</w:t>
      </w:r>
      <w:r w:rsidRPr="00540562">
        <w:rPr>
          <w:rFonts w:asciiTheme="minorHAnsi" w:hAnsiTheme="minorHAnsi"/>
          <w:spacing w:val="-1"/>
          <w:lang w:val="es-ES_tradnl"/>
        </w:rPr>
        <w:tab/>
      </w:r>
      <w:r w:rsidR="00EF2D52" w:rsidRPr="00540562">
        <w:rPr>
          <w:spacing w:val="-1"/>
          <w:lang w:val="es-ES_tradnl"/>
        </w:rPr>
        <w:t xml:space="preserve">Las IRR complementan los planes de acción y programas de trabajo nacionales para la conservación, el manejo y la restauración de los humedales, a fin de coordinar las actividades a </w:t>
      </w:r>
      <w:r w:rsidR="00EF2D52" w:rsidRPr="00540562">
        <w:rPr>
          <w:spacing w:val="-1"/>
          <w:lang w:val="es-ES_tradnl"/>
        </w:rPr>
        <w:lastRenderedPageBreak/>
        <w:t>nivel regional, llevadas a cabo conjuntamente por varias Partes que colaboran en la Convención de Ramsar</w:t>
      </w:r>
      <w:r w:rsidR="00535964" w:rsidRPr="00540562">
        <w:rPr>
          <w:rFonts w:asciiTheme="minorHAnsi" w:hAnsiTheme="minorHAnsi"/>
          <w:spacing w:val="-1"/>
          <w:lang w:val="es-ES_tradnl"/>
        </w:rPr>
        <w:t>.</w:t>
      </w:r>
    </w:p>
    <w:p w14:paraId="619BB165" w14:textId="315B3C2B" w:rsidR="00FB6906" w:rsidRPr="00540562" w:rsidRDefault="00FB6906" w:rsidP="0071051C">
      <w:pPr>
        <w:pStyle w:val="BodyText"/>
        <w:widowControl/>
        <w:tabs>
          <w:tab w:val="left" w:pos="827"/>
        </w:tabs>
        <w:spacing w:line="260" w:lineRule="exact"/>
        <w:ind w:left="425" w:hanging="425"/>
        <w:rPr>
          <w:rFonts w:asciiTheme="minorHAnsi" w:hAnsiTheme="minorHAnsi"/>
          <w:spacing w:val="-1"/>
          <w:lang w:val="es-ES_tradnl"/>
        </w:rPr>
      </w:pPr>
    </w:p>
    <w:p w14:paraId="2CF15FB6" w14:textId="7B15593C" w:rsidR="00FB6906" w:rsidRPr="00540562" w:rsidRDefault="00641736"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4.2</w:t>
      </w:r>
      <w:r w:rsidRPr="00540562">
        <w:rPr>
          <w:rFonts w:asciiTheme="minorHAnsi" w:hAnsiTheme="minorHAnsi"/>
          <w:spacing w:val="-1"/>
          <w:lang w:val="es-ES_tradnl"/>
        </w:rPr>
        <w:tab/>
      </w:r>
      <w:r w:rsidR="00EF2D52" w:rsidRPr="00540562">
        <w:rPr>
          <w:spacing w:val="-1"/>
          <w:lang w:val="es-ES_tradnl"/>
        </w:rPr>
        <w:t>Las IRR aportan una capacidad adicional para centrarse en la aplicación de la Convención y su Plan Estratégico en la región, particularmente mediante el desarrollo y la ejecución de proyectos regionales, cursos de formación y otras actividades regionales de creación de capacidad</w:t>
      </w:r>
      <w:r w:rsidR="00535964" w:rsidRPr="00540562">
        <w:rPr>
          <w:rFonts w:asciiTheme="minorHAnsi" w:hAnsiTheme="minorHAnsi"/>
          <w:spacing w:val="-1"/>
          <w:lang w:val="es-ES_tradnl"/>
        </w:rPr>
        <w:t>.</w:t>
      </w:r>
    </w:p>
    <w:p w14:paraId="42F191CC" w14:textId="77777777" w:rsidR="00FB6906" w:rsidRPr="00540562" w:rsidRDefault="00FB6906" w:rsidP="0071051C">
      <w:pPr>
        <w:pStyle w:val="BodyText"/>
        <w:widowControl/>
        <w:tabs>
          <w:tab w:val="left" w:pos="827"/>
        </w:tabs>
        <w:spacing w:line="260" w:lineRule="exact"/>
        <w:ind w:left="425" w:hanging="425"/>
        <w:rPr>
          <w:rFonts w:asciiTheme="minorHAnsi" w:hAnsiTheme="minorHAnsi"/>
          <w:spacing w:val="-1"/>
          <w:lang w:val="es-ES_tradnl"/>
        </w:rPr>
      </w:pPr>
    </w:p>
    <w:p w14:paraId="4873204B" w14:textId="00059D7B" w:rsidR="00FB6906" w:rsidRPr="00540562" w:rsidRDefault="00641736"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4.3</w:t>
      </w:r>
      <w:r w:rsidRPr="00540562">
        <w:rPr>
          <w:rFonts w:asciiTheme="minorHAnsi" w:hAnsiTheme="minorHAnsi"/>
          <w:spacing w:val="-1"/>
          <w:lang w:val="es-ES_tradnl"/>
        </w:rPr>
        <w:tab/>
      </w:r>
      <w:r w:rsidR="00EF2D52" w:rsidRPr="00540562">
        <w:rPr>
          <w:spacing w:val="-1"/>
          <w:lang w:val="es-ES_tradnl"/>
        </w:rPr>
        <w:t>La facilitación de oportunidades de formación y creación de capacidad deberá centrarse en las Autoridades Administrativas, sin restringirse a ellas, e incluir a todos los interesados pertinentes, según proceda</w:t>
      </w:r>
      <w:r w:rsidR="00535964" w:rsidRPr="00540562">
        <w:rPr>
          <w:rFonts w:asciiTheme="minorHAnsi" w:hAnsiTheme="minorHAnsi"/>
          <w:spacing w:val="-1"/>
          <w:lang w:val="es-ES_tradnl"/>
        </w:rPr>
        <w:t>.</w:t>
      </w:r>
    </w:p>
    <w:p w14:paraId="03AAA747" w14:textId="77777777" w:rsidR="00FB6906" w:rsidRPr="00540562" w:rsidRDefault="00FB6906" w:rsidP="0071051C">
      <w:pPr>
        <w:pStyle w:val="BodyText"/>
        <w:widowControl/>
        <w:tabs>
          <w:tab w:val="left" w:pos="827"/>
        </w:tabs>
        <w:spacing w:line="260" w:lineRule="exact"/>
        <w:ind w:left="425" w:hanging="425"/>
        <w:rPr>
          <w:rFonts w:asciiTheme="minorHAnsi" w:hAnsiTheme="minorHAnsi"/>
          <w:spacing w:val="-1"/>
          <w:lang w:val="es-ES_tradnl"/>
        </w:rPr>
      </w:pPr>
    </w:p>
    <w:p w14:paraId="44E013F4" w14:textId="5EE82AC7" w:rsidR="00FB6906" w:rsidRPr="00540562" w:rsidRDefault="00641736"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4.4</w:t>
      </w:r>
      <w:r w:rsidRPr="00540562">
        <w:rPr>
          <w:rFonts w:asciiTheme="minorHAnsi" w:hAnsiTheme="minorHAnsi"/>
          <w:spacing w:val="-1"/>
          <w:lang w:val="es-ES_tradnl"/>
        </w:rPr>
        <w:tab/>
      </w:r>
      <w:r w:rsidR="00EF2D52" w:rsidRPr="00540562">
        <w:rPr>
          <w:spacing w:val="-1"/>
          <w:lang w:val="es-ES_tradnl"/>
        </w:rPr>
        <w:t>Más allá de la cooperación regional de las Autoridades Administrativas nacionales de Ramsar, se alienta a las IRR a trabajar en colaboración con otras organizaciones pertinentes, particularmente con las Organizaciones Internacionales Asociadas a la Convención y otros asociados adecuados</w:t>
      </w:r>
      <w:r w:rsidR="00535964" w:rsidRPr="00540562">
        <w:rPr>
          <w:rFonts w:asciiTheme="minorHAnsi" w:hAnsiTheme="minorHAnsi"/>
          <w:spacing w:val="-1"/>
          <w:lang w:val="es-ES_tradnl"/>
        </w:rPr>
        <w:t>.</w:t>
      </w:r>
    </w:p>
    <w:p w14:paraId="636A4437" w14:textId="77777777" w:rsidR="00FB6906" w:rsidRPr="00540562" w:rsidRDefault="00FB6906" w:rsidP="0071051C">
      <w:pPr>
        <w:pStyle w:val="BodyText"/>
        <w:widowControl/>
        <w:tabs>
          <w:tab w:val="left" w:pos="827"/>
        </w:tabs>
        <w:spacing w:line="260" w:lineRule="exact"/>
        <w:ind w:left="425" w:hanging="425"/>
        <w:rPr>
          <w:rFonts w:asciiTheme="minorHAnsi" w:hAnsiTheme="minorHAnsi"/>
          <w:spacing w:val="-1"/>
          <w:lang w:val="es-ES_tradnl"/>
        </w:rPr>
      </w:pPr>
    </w:p>
    <w:p w14:paraId="62BFD25A" w14:textId="0D94A7D3" w:rsidR="000B2FBF" w:rsidRPr="00540562" w:rsidRDefault="00641736" w:rsidP="00641736">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4.5</w:t>
      </w:r>
      <w:r w:rsidRPr="00540562">
        <w:rPr>
          <w:rFonts w:asciiTheme="minorHAnsi" w:hAnsiTheme="minorHAnsi"/>
          <w:spacing w:val="-1"/>
          <w:lang w:val="es-ES_tradnl"/>
        </w:rPr>
        <w:tab/>
      </w:r>
      <w:r w:rsidR="00EF2D52" w:rsidRPr="00540562">
        <w:rPr>
          <w:spacing w:val="-1"/>
          <w:lang w:val="es-ES_tradnl"/>
        </w:rPr>
        <w:t xml:space="preserve">Las IRR no realizan tareas asignadas a la Secretaría de la Convención </w:t>
      </w:r>
      <w:r w:rsidR="00117837">
        <w:rPr>
          <w:spacing w:val="-1"/>
          <w:lang w:val="es-ES_tradnl"/>
        </w:rPr>
        <w:t xml:space="preserve">de Ramsar </w:t>
      </w:r>
      <w:r w:rsidR="00EF2D52" w:rsidRPr="00540562">
        <w:rPr>
          <w:spacing w:val="-1"/>
          <w:lang w:val="es-ES_tradnl"/>
        </w:rPr>
        <w:t>y no actúan</w:t>
      </w:r>
      <w:r w:rsidR="00117837">
        <w:rPr>
          <w:spacing w:val="-1"/>
          <w:lang w:val="es-ES_tradnl"/>
        </w:rPr>
        <w:t xml:space="preserve"> como oficinas regionales de dicha Secretaría</w:t>
      </w:r>
      <w:r w:rsidR="003E1854" w:rsidRPr="00540562">
        <w:rPr>
          <w:rFonts w:asciiTheme="minorHAnsi" w:hAnsiTheme="minorHAnsi"/>
          <w:spacing w:val="-1"/>
          <w:lang w:val="es-ES_tradnl"/>
        </w:rPr>
        <w:t>.</w:t>
      </w:r>
      <w:r w:rsidR="000B2FBF" w:rsidRPr="00540562">
        <w:rPr>
          <w:rFonts w:asciiTheme="minorHAnsi" w:hAnsiTheme="minorHAnsi"/>
          <w:spacing w:val="-1"/>
          <w:lang w:val="es-ES_tradnl"/>
        </w:rPr>
        <w:t xml:space="preserve"> </w:t>
      </w:r>
    </w:p>
    <w:p w14:paraId="0AA13B3A" w14:textId="77777777" w:rsidR="000B2FBF" w:rsidRPr="00540562" w:rsidRDefault="000B2FBF" w:rsidP="00701331">
      <w:pPr>
        <w:pStyle w:val="ListParagraph"/>
        <w:widowControl/>
        <w:rPr>
          <w:lang w:val="es-ES_tradnl"/>
        </w:rPr>
      </w:pPr>
    </w:p>
    <w:p w14:paraId="7EC7E43E" w14:textId="1AF701B4" w:rsidR="00FB6906" w:rsidRPr="00540562" w:rsidRDefault="00EF2D52" w:rsidP="0071051C">
      <w:pPr>
        <w:pStyle w:val="Heading3"/>
        <w:widowControl/>
        <w:ind w:left="1388" w:right="1510"/>
        <w:jc w:val="center"/>
        <w:rPr>
          <w:rFonts w:asciiTheme="minorHAnsi" w:hAnsiTheme="minorHAnsi"/>
          <w:b w:val="0"/>
          <w:lang w:val="es-ES_tradnl"/>
        </w:rPr>
      </w:pPr>
      <w:r w:rsidRPr="00540562">
        <w:rPr>
          <w:lang w:val="es-ES_tradnl"/>
        </w:rPr>
        <w:t>Sección 5: Mandato de las iniciativas regionales de Ramsar</w:t>
      </w:r>
    </w:p>
    <w:p w14:paraId="558C1ECD" w14:textId="77777777" w:rsidR="00FB6906" w:rsidRPr="00540562" w:rsidRDefault="00FB6906" w:rsidP="0071051C">
      <w:pPr>
        <w:widowControl/>
        <w:spacing w:before="7"/>
        <w:rPr>
          <w:b/>
          <w:lang w:val="es-ES_tradnl"/>
        </w:rPr>
      </w:pPr>
    </w:p>
    <w:p w14:paraId="7B86771C" w14:textId="37BB0152" w:rsidR="00FB6906" w:rsidRPr="00540562" w:rsidRDefault="001C1837"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5.1</w:t>
      </w:r>
      <w:r w:rsidRPr="00540562">
        <w:rPr>
          <w:rFonts w:asciiTheme="minorHAnsi" w:hAnsiTheme="minorHAnsi"/>
          <w:spacing w:val="-1"/>
          <w:lang w:val="es-ES_tradnl"/>
        </w:rPr>
        <w:tab/>
      </w:r>
      <w:r w:rsidR="00EF2D52" w:rsidRPr="00540562">
        <w:rPr>
          <w:spacing w:val="-1"/>
          <w:lang w:val="es-ES_tradnl"/>
        </w:rPr>
        <w:t>Las IRR elaboran su mandato con arreglo a la finalidad y función de las IRR descritas en el presente marco operativo</w:t>
      </w:r>
      <w:r w:rsidR="00535964" w:rsidRPr="00540562">
        <w:rPr>
          <w:rFonts w:asciiTheme="minorHAnsi" w:hAnsiTheme="minorHAnsi"/>
          <w:spacing w:val="-1"/>
          <w:lang w:val="es-ES_tradnl"/>
        </w:rPr>
        <w:t>.</w:t>
      </w:r>
    </w:p>
    <w:p w14:paraId="709468CD" w14:textId="77777777" w:rsidR="00FB6906" w:rsidRPr="00540562" w:rsidRDefault="00FB6906" w:rsidP="0071051C">
      <w:pPr>
        <w:pStyle w:val="BodyText"/>
        <w:widowControl/>
        <w:tabs>
          <w:tab w:val="left" w:pos="828"/>
        </w:tabs>
        <w:spacing w:line="260" w:lineRule="exact"/>
        <w:ind w:left="425" w:hanging="425"/>
        <w:rPr>
          <w:rFonts w:asciiTheme="minorHAnsi" w:hAnsiTheme="minorHAnsi"/>
          <w:spacing w:val="-1"/>
          <w:lang w:val="es-ES_tradnl"/>
        </w:rPr>
      </w:pPr>
    </w:p>
    <w:p w14:paraId="08857597" w14:textId="1C971333" w:rsidR="00FB6906" w:rsidRPr="00540562" w:rsidRDefault="001C1837"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5.2</w:t>
      </w:r>
      <w:r w:rsidRPr="00540562">
        <w:rPr>
          <w:rFonts w:asciiTheme="minorHAnsi" w:hAnsiTheme="minorHAnsi"/>
          <w:spacing w:val="-1"/>
          <w:lang w:val="es-ES_tradnl"/>
        </w:rPr>
        <w:tab/>
      </w:r>
      <w:r w:rsidR="00EF2D52" w:rsidRPr="00540562">
        <w:rPr>
          <w:spacing w:val="-1"/>
          <w:lang w:val="es-ES_tradnl"/>
        </w:rPr>
        <w:t>Las IRR trabajan con coordinadores nacionales designados por las Partes para las cuestiones científicas y técnicas (para el Grupo de Examen Científico y Técnico o GECT) y para el programa sobre comunicación y divulgación de la Convención (comunicación, creación de capacidad, educación, concienciación y participación, CECoP), con miras a aumentar la capacidad de aplicación en la región</w:t>
      </w:r>
      <w:r w:rsidR="00535964" w:rsidRPr="00540562">
        <w:rPr>
          <w:rFonts w:asciiTheme="minorHAnsi" w:hAnsiTheme="minorHAnsi"/>
          <w:spacing w:val="-1"/>
          <w:lang w:val="es-ES_tradnl"/>
        </w:rPr>
        <w:t>.</w:t>
      </w:r>
    </w:p>
    <w:p w14:paraId="02FCD1BD" w14:textId="77777777" w:rsidR="00FB6906" w:rsidRPr="00540562" w:rsidRDefault="00FB6906" w:rsidP="0071051C">
      <w:pPr>
        <w:pStyle w:val="BodyText"/>
        <w:widowControl/>
        <w:tabs>
          <w:tab w:val="left" w:pos="828"/>
        </w:tabs>
        <w:spacing w:line="260" w:lineRule="exact"/>
        <w:ind w:left="425" w:hanging="425"/>
        <w:rPr>
          <w:rFonts w:asciiTheme="minorHAnsi" w:hAnsiTheme="minorHAnsi"/>
          <w:spacing w:val="-1"/>
          <w:lang w:val="es-ES_tradnl"/>
        </w:rPr>
      </w:pPr>
    </w:p>
    <w:p w14:paraId="3806F5C2" w14:textId="7C09E8C1" w:rsidR="00FB6906" w:rsidRPr="00540562" w:rsidRDefault="001C1837" w:rsidP="0071051C">
      <w:pPr>
        <w:pStyle w:val="BodyText"/>
        <w:widowControl/>
        <w:tabs>
          <w:tab w:val="left" w:pos="829"/>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5.3</w:t>
      </w:r>
      <w:r w:rsidRPr="00540562">
        <w:rPr>
          <w:rFonts w:asciiTheme="minorHAnsi" w:hAnsiTheme="minorHAnsi"/>
          <w:spacing w:val="-1"/>
          <w:lang w:val="es-ES_tradnl"/>
        </w:rPr>
        <w:tab/>
      </w:r>
      <w:r w:rsidR="00EF2D52" w:rsidRPr="00540562">
        <w:rPr>
          <w:spacing w:val="-1"/>
          <w:lang w:val="es-ES_tradnl"/>
        </w:rPr>
        <w:t>Las IRR presentan informes sobre los progresos realizados en su labor y resúmenes financieros a finales de cada año, junto con un plan de trabajo y un presupuesto para el año siguiente. Esto permite al Comité Permanente confirmar que cumplen el marco operativo y, cuando procede, asignar fondos con cargo al presupuesto básico de Ramsar a las IRR que reúnan los requisitos y los soliciten para sus etapas iniciales</w:t>
      </w:r>
      <w:r w:rsidR="00535964" w:rsidRPr="00540562">
        <w:rPr>
          <w:rFonts w:asciiTheme="minorHAnsi" w:hAnsiTheme="minorHAnsi"/>
          <w:spacing w:val="-1"/>
          <w:lang w:val="es-ES_tradnl"/>
        </w:rPr>
        <w:t>.</w:t>
      </w:r>
    </w:p>
    <w:p w14:paraId="7E0EF2DC" w14:textId="77777777" w:rsidR="00FB6906" w:rsidRPr="00540562" w:rsidRDefault="00FB6906" w:rsidP="0071051C">
      <w:pPr>
        <w:widowControl/>
        <w:spacing w:before="3"/>
        <w:rPr>
          <w:rFonts w:eastAsia="Calibri" w:cs="Calibri"/>
          <w:lang w:val="es-ES_tradnl"/>
        </w:rPr>
      </w:pPr>
    </w:p>
    <w:p w14:paraId="1E87DB88" w14:textId="1C2E6F06" w:rsidR="00FB6906" w:rsidRPr="00540562" w:rsidRDefault="00EF2D52" w:rsidP="00EF2D52">
      <w:pPr>
        <w:pStyle w:val="Heading3"/>
        <w:widowControl/>
        <w:ind w:left="1418" w:right="1829"/>
        <w:rPr>
          <w:rFonts w:asciiTheme="minorHAnsi" w:hAnsiTheme="minorHAnsi"/>
          <w:b w:val="0"/>
          <w:lang w:val="es-ES_tradnl"/>
        </w:rPr>
      </w:pPr>
      <w:r w:rsidRPr="00540562">
        <w:rPr>
          <w:lang w:val="es-ES_tradnl"/>
        </w:rPr>
        <w:t>Sección 6: Gobernanza de las iniciativas regionales de Ramsar</w:t>
      </w:r>
    </w:p>
    <w:p w14:paraId="43E87E46" w14:textId="77777777" w:rsidR="00FB6906" w:rsidRPr="00540562" w:rsidRDefault="00FB6906" w:rsidP="0071051C">
      <w:pPr>
        <w:widowControl/>
        <w:spacing w:before="2"/>
        <w:rPr>
          <w:rFonts w:eastAsia="Calibri" w:cs="Calibri"/>
          <w:lang w:val="es-ES_tradnl"/>
        </w:rPr>
      </w:pPr>
    </w:p>
    <w:p w14:paraId="4941128E" w14:textId="68C78ABF" w:rsidR="00FB6906" w:rsidRPr="00540562" w:rsidRDefault="001C1837" w:rsidP="0071051C">
      <w:pPr>
        <w:pStyle w:val="BodyText"/>
        <w:widowControl/>
        <w:tabs>
          <w:tab w:val="left" w:pos="829"/>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6.1</w:t>
      </w:r>
      <w:r w:rsidRPr="00540562">
        <w:rPr>
          <w:rFonts w:asciiTheme="minorHAnsi" w:hAnsiTheme="minorHAnsi"/>
          <w:spacing w:val="-1"/>
          <w:lang w:val="es-ES_tradnl"/>
        </w:rPr>
        <w:tab/>
      </w:r>
      <w:r w:rsidR="00EF2D52" w:rsidRPr="00540562">
        <w:rPr>
          <w:spacing w:val="-1"/>
          <w:lang w:val="es-ES_tradnl"/>
        </w:rPr>
        <w:t>Las Partes Contratantes que participan en una IRR establecen sus propios mecanismos de gobernanza y asesoramiento para proporcionar coordinación, orientaciones y conocimientos de manera transparente y equitativa. El Comité Permanente verifica que dichos acuerdos de administración sean compatibles con el presente marco operativo y con la Convención en general</w:t>
      </w:r>
      <w:r w:rsidR="00535964" w:rsidRPr="00540562">
        <w:rPr>
          <w:rFonts w:asciiTheme="minorHAnsi" w:hAnsiTheme="minorHAnsi"/>
          <w:spacing w:val="-1"/>
          <w:lang w:val="es-ES_tradnl"/>
        </w:rPr>
        <w:t>.</w:t>
      </w:r>
    </w:p>
    <w:p w14:paraId="57EABDD0" w14:textId="77777777" w:rsidR="00D975BC" w:rsidRPr="00540562" w:rsidRDefault="00D975BC" w:rsidP="0071051C">
      <w:pPr>
        <w:pStyle w:val="BodyText"/>
        <w:widowControl/>
        <w:tabs>
          <w:tab w:val="left" w:pos="829"/>
        </w:tabs>
        <w:spacing w:line="260" w:lineRule="exact"/>
        <w:ind w:left="425" w:hanging="425"/>
        <w:rPr>
          <w:rFonts w:asciiTheme="minorHAnsi" w:hAnsiTheme="minorHAnsi"/>
          <w:spacing w:val="-1"/>
          <w:lang w:val="es-ES_tradnl"/>
        </w:rPr>
      </w:pPr>
    </w:p>
    <w:p w14:paraId="02B652B0" w14:textId="4FCDAEFF" w:rsidR="00FB6906" w:rsidRPr="00540562" w:rsidRDefault="001C1837" w:rsidP="0071051C">
      <w:pPr>
        <w:pStyle w:val="BodyText"/>
        <w:widowControl/>
        <w:tabs>
          <w:tab w:val="left" w:pos="829"/>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6.2</w:t>
      </w:r>
      <w:r w:rsidRPr="00540562">
        <w:rPr>
          <w:rFonts w:asciiTheme="minorHAnsi" w:hAnsiTheme="minorHAnsi"/>
          <w:spacing w:val="-1"/>
          <w:lang w:val="es-ES_tradnl"/>
        </w:rPr>
        <w:tab/>
      </w:r>
      <w:r w:rsidR="00EF2D52" w:rsidRPr="00540562">
        <w:rPr>
          <w:spacing w:val="-1"/>
          <w:lang w:val="es-ES_tradnl"/>
        </w:rPr>
        <w:t>El mecanismo de gobierno de cada IRR se reúne periódicamente, brinda orientaciones y define los mandatos, las reglas y los principios de procedimiento, además de supervisar el programa de trabajo y los recursos de la IRR. Gestiona las actividades de la IRR y aporta información pertinente a los miembros, observadores y asociados. Los procedimientos operativos de la IRR se publican y comparten con la Secretaría de la Convención de Ramsar</w:t>
      </w:r>
      <w:r w:rsidR="00535964" w:rsidRPr="00540562">
        <w:rPr>
          <w:rFonts w:asciiTheme="minorHAnsi" w:hAnsiTheme="minorHAnsi"/>
          <w:spacing w:val="-1"/>
          <w:lang w:val="es-ES_tradnl"/>
        </w:rPr>
        <w:t>.</w:t>
      </w:r>
    </w:p>
    <w:p w14:paraId="278EE8F4" w14:textId="77777777" w:rsidR="00FB6906" w:rsidRPr="00540562" w:rsidRDefault="00FB6906" w:rsidP="0071051C">
      <w:pPr>
        <w:pStyle w:val="BodyText"/>
        <w:widowControl/>
        <w:tabs>
          <w:tab w:val="left" w:pos="829"/>
        </w:tabs>
        <w:spacing w:line="260" w:lineRule="exact"/>
        <w:ind w:left="425" w:hanging="425"/>
        <w:rPr>
          <w:rFonts w:asciiTheme="minorHAnsi" w:hAnsiTheme="minorHAnsi"/>
          <w:spacing w:val="-1"/>
          <w:lang w:val="es-ES_tradnl"/>
        </w:rPr>
      </w:pPr>
    </w:p>
    <w:p w14:paraId="308BA944" w14:textId="11E26C7A" w:rsidR="00FB6906" w:rsidRPr="00540562" w:rsidRDefault="001C1837"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6.3</w:t>
      </w:r>
      <w:r w:rsidRPr="00540562">
        <w:rPr>
          <w:rFonts w:asciiTheme="minorHAnsi" w:hAnsiTheme="minorHAnsi"/>
          <w:spacing w:val="-1"/>
          <w:lang w:val="es-ES_tradnl"/>
        </w:rPr>
        <w:tab/>
      </w:r>
      <w:r w:rsidR="000D5123" w:rsidRPr="00540562">
        <w:rPr>
          <w:spacing w:val="-1"/>
          <w:lang w:val="es-ES_tradnl"/>
        </w:rPr>
        <w:t xml:space="preserve">La Secretaría de la Convención de Ramsar participa en el mecanismo de gobierno de cada IRR. Las tareas concretas de la Secretaría de la Convención son: concienciarlo de la necesidad de que la IRR cumpla con el programa y las prioridades de la Convención de Ramsar y las solicitudes formuladas por la Conferencia de las Partes Contratantes y el Comité Permanente; alentar a la </w:t>
      </w:r>
      <w:r w:rsidR="000D5123" w:rsidRPr="00540562">
        <w:rPr>
          <w:spacing w:val="-1"/>
          <w:lang w:val="es-ES_tradnl"/>
        </w:rPr>
        <w:lastRenderedPageBreak/>
        <w:t xml:space="preserve">IRR a realizar un uso óptimo de las herramientas de Ramsar y de la experiencia y el asesoramiento brindados por los grupos de trabajo de Ramsar (el Grupo de Examen Científico y Técnico y el </w:t>
      </w:r>
      <w:r w:rsidR="00117837">
        <w:rPr>
          <w:spacing w:val="-1"/>
          <w:lang w:val="es-ES_tradnl"/>
        </w:rPr>
        <w:t>órgano responsable de la c</w:t>
      </w:r>
      <w:r w:rsidR="000D5123" w:rsidRPr="00540562">
        <w:rPr>
          <w:spacing w:val="-1"/>
          <w:lang w:val="es-ES_tradnl"/>
        </w:rPr>
        <w:t>omunicación, creación de capacidad, educación, concienciación y participación o CECoP) y facilitar la divulgación de las experiencias de la IRR en los procedimientos mundiales de Ramsar</w:t>
      </w:r>
      <w:r w:rsidR="00535964" w:rsidRPr="00540562">
        <w:rPr>
          <w:rFonts w:asciiTheme="minorHAnsi" w:hAnsiTheme="minorHAnsi"/>
          <w:spacing w:val="-1"/>
          <w:lang w:val="es-ES_tradnl"/>
        </w:rPr>
        <w:t>.</w:t>
      </w:r>
    </w:p>
    <w:p w14:paraId="78E97143" w14:textId="77777777" w:rsidR="00FB6906" w:rsidRPr="00540562" w:rsidRDefault="00FB6906" w:rsidP="0071051C">
      <w:pPr>
        <w:widowControl/>
        <w:spacing w:before="8"/>
        <w:rPr>
          <w:rFonts w:eastAsia="Calibri" w:cs="Calibri"/>
          <w:lang w:val="es-ES_tradnl"/>
        </w:rPr>
      </w:pPr>
    </w:p>
    <w:p w14:paraId="2EAB1632" w14:textId="3D59110C" w:rsidR="00FB6906" w:rsidRPr="00540562" w:rsidRDefault="000D5123" w:rsidP="000D5123">
      <w:pPr>
        <w:pStyle w:val="Heading3"/>
        <w:widowControl/>
        <w:ind w:left="1418" w:right="1830"/>
        <w:jc w:val="center"/>
        <w:rPr>
          <w:rFonts w:asciiTheme="minorHAnsi" w:hAnsiTheme="minorHAnsi"/>
          <w:b w:val="0"/>
          <w:lang w:val="es-ES_tradnl"/>
        </w:rPr>
      </w:pPr>
      <w:r w:rsidRPr="00540562">
        <w:rPr>
          <w:lang w:val="es-ES_tradnl"/>
        </w:rPr>
        <w:t>Sección 7: Financiación de las iniciativas regionales de Ramsar</w:t>
      </w:r>
    </w:p>
    <w:p w14:paraId="747F4391" w14:textId="77777777" w:rsidR="00FB6906" w:rsidRPr="00540562" w:rsidRDefault="00FB6906" w:rsidP="0071051C">
      <w:pPr>
        <w:widowControl/>
        <w:spacing w:before="10"/>
        <w:rPr>
          <w:b/>
          <w:lang w:val="es-ES_tradnl"/>
        </w:rPr>
      </w:pPr>
    </w:p>
    <w:p w14:paraId="515015D9" w14:textId="7E75E0A7" w:rsidR="00FB6906" w:rsidRPr="00540562" w:rsidRDefault="001C1837"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7.1</w:t>
      </w:r>
      <w:r w:rsidRPr="00540562">
        <w:rPr>
          <w:rFonts w:asciiTheme="minorHAnsi" w:hAnsiTheme="minorHAnsi"/>
          <w:spacing w:val="-1"/>
          <w:lang w:val="es-ES_tradnl"/>
        </w:rPr>
        <w:tab/>
      </w:r>
      <w:r w:rsidR="000D5123" w:rsidRPr="00540562">
        <w:rPr>
          <w:spacing w:val="-1"/>
          <w:lang w:val="es-ES_tradnl"/>
        </w:rPr>
        <w:t>Las Partes Contratantes y otros miembros que participan en una IRR apoyan a la IRR en la que participan e identifican a los donantes que estén dispuestos a proporcionar apoyo adicional, especialmente a través de proyectos y programas de cooperación específicos</w:t>
      </w:r>
      <w:r w:rsidR="00535964" w:rsidRPr="00540562">
        <w:rPr>
          <w:rFonts w:asciiTheme="minorHAnsi" w:hAnsiTheme="minorHAnsi"/>
          <w:spacing w:val="-1"/>
          <w:lang w:val="es-ES_tradnl"/>
        </w:rPr>
        <w:t>.</w:t>
      </w:r>
    </w:p>
    <w:p w14:paraId="08630F8F" w14:textId="77777777" w:rsidR="00FB6906" w:rsidRPr="00540562" w:rsidRDefault="00FB6906" w:rsidP="0071051C">
      <w:pPr>
        <w:pStyle w:val="BodyText"/>
        <w:widowControl/>
        <w:tabs>
          <w:tab w:val="left" w:pos="828"/>
        </w:tabs>
        <w:spacing w:line="260" w:lineRule="exact"/>
        <w:ind w:left="425" w:hanging="425"/>
        <w:rPr>
          <w:rFonts w:asciiTheme="minorHAnsi" w:hAnsiTheme="minorHAnsi"/>
          <w:spacing w:val="-1"/>
          <w:lang w:val="es-ES_tradnl"/>
        </w:rPr>
      </w:pPr>
    </w:p>
    <w:p w14:paraId="5B589FBD" w14:textId="0B385CDF" w:rsidR="00FB6906" w:rsidRPr="00540562" w:rsidRDefault="001C1837" w:rsidP="0071051C">
      <w:pPr>
        <w:pStyle w:val="BodyText"/>
        <w:widowControl/>
        <w:tabs>
          <w:tab w:val="left" w:pos="828"/>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7.2</w:t>
      </w:r>
      <w:r w:rsidRPr="00540562">
        <w:rPr>
          <w:rFonts w:asciiTheme="minorHAnsi" w:hAnsiTheme="minorHAnsi"/>
          <w:spacing w:val="-1"/>
          <w:lang w:val="es-ES_tradnl"/>
        </w:rPr>
        <w:tab/>
      </w:r>
      <w:r w:rsidR="000D5123" w:rsidRPr="00540562">
        <w:rPr>
          <w:spacing w:val="-1"/>
          <w:lang w:val="es-ES_tradnl"/>
        </w:rPr>
        <w:t>El Comité Permanente asigna cada año fondos con cargo al presupuesto básico de la Convención de Ramsar para apoyar en sus etapas iniciales a las IRR nuevas que lo soliciten en sus informes anuales</w:t>
      </w:r>
      <w:r w:rsidR="00535964" w:rsidRPr="00540562">
        <w:rPr>
          <w:rFonts w:asciiTheme="minorHAnsi" w:hAnsiTheme="minorHAnsi"/>
          <w:spacing w:val="-1"/>
          <w:lang w:val="es-ES_tradnl"/>
        </w:rPr>
        <w:t>.</w:t>
      </w:r>
    </w:p>
    <w:p w14:paraId="71F4F7BD" w14:textId="77777777" w:rsidR="00FB6906" w:rsidRPr="00540562" w:rsidRDefault="00FB6906" w:rsidP="0071051C">
      <w:pPr>
        <w:pStyle w:val="BodyText"/>
        <w:widowControl/>
        <w:tabs>
          <w:tab w:val="left" w:pos="828"/>
        </w:tabs>
        <w:spacing w:line="260" w:lineRule="exact"/>
        <w:ind w:left="425" w:hanging="425"/>
        <w:rPr>
          <w:rFonts w:asciiTheme="minorHAnsi" w:hAnsiTheme="minorHAnsi"/>
          <w:spacing w:val="-1"/>
          <w:lang w:val="es-ES_tradnl"/>
        </w:rPr>
      </w:pPr>
    </w:p>
    <w:p w14:paraId="44E461C0" w14:textId="0F2010DD" w:rsidR="00FB6906" w:rsidRPr="00540562" w:rsidRDefault="001C1837" w:rsidP="0071051C">
      <w:pPr>
        <w:pStyle w:val="BodyText"/>
        <w:widowControl/>
        <w:tabs>
          <w:tab w:val="left" w:pos="827"/>
        </w:tabs>
        <w:spacing w:line="260" w:lineRule="exact"/>
        <w:ind w:left="425" w:hanging="425"/>
        <w:rPr>
          <w:rFonts w:asciiTheme="minorHAnsi" w:hAnsiTheme="minorHAnsi"/>
          <w:spacing w:val="-1"/>
          <w:lang w:val="es-ES_tradnl"/>
        </w:rPr>
      </w:pPr>
      <w:r w:rsidRPr="00540562">
        <w:rPr>
          <w:rFonts w:asciiTheme="minorHAnsi" w:hAnsiTheme="minorHAnsi"/>
          <w:spacing w:val="-1"/>
          <w:lang w:val="es-ES_tradnl"/>
        </w:rPr>
        <w:t>7.3</w:t>
      </w:r>
      <w:r w:rsidRPr="00540562">
        <w:rPr>
          <w:rFonts w:asciiTheme="minorHAnsi" w:hAnsiTheme="minorHAnsi"/>
          <w:spacing w:val="-1"/>
          <w:lang w:val="es-ES_tradnl"/>
        </w:rPr>
        <w:tab/>
      </w:r>
      <w:r w:rsidR="000D5123" w:rsidRPr="00540562">
        <w:rPr>
          <w:spacing w:val="-1"/>
          <w:lang w:val="es-ES_tradnl"/>
        </w:rPr>
        <w:t>Las IRR deben tomar las medidas necesarias para lograr la sostenibilidad financiera a partir de diversas fuentes, así como para establecer mecanismos y procedimientos que aseguren su funcionamiento más allá de los períodos específicos de los proyectos, y para evitar volverse  dependientes y exponerse a la disponibilidad de un solo donante  principal</w:t>
      </w:r>
      <w:r w:rsidR="00535964" w:rsidRPr="00540562">
        <w:rPr>
          <w:rFonts w:asciiTheme="minorHAnsi" w:hAnsiTheme="minorHAnsi"/>
          <w:spacing w:val="-1"/>
          <w:lang w:val="es-ES_tradnl"/>
        </w:rPr>
        <w:t>.</w:t>
      </w:r>
      <w:r w:rsidR="00051891" w:rsidRPr="00540562">
        <w:rPr>
          <w:rFonts w:asciiTheme="minorHAnsi" w:hAnsiTheme="minorHAnsi"/>
          <w:spacing w:val="-1"/>
          <w:lang w:val="es-ES_tradnl"/>
        </w:rPr>
        <w:t>]</w:t>
      </w:r>
    </w:p>
    <w:sectPr w:rsidR="00FB6906" w:rsidRPr="00540562" w:rsidSect="0071051C">
      <w:footerReference w:type="default" r:id="rId10"/>
      <w:pgSz w:w="11910" w:h="16840"/>
      <w:pgMar w:top="1440" w:right="1440" w:bottom="1440" w:left="1440" w:header="0" w:footer="713"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283FF" w15:done="0"/>
  <w15:commentEx w15:paraId="57451EFB" w15:done="0"/>
  <w15:commentEx w15:paraId="60666BF0" w15:done="0"/>
  <w15:commentEx w15:paraId="6669C8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E8018" w14:textId="77777777" w:rsidR="00117837" w:rsidRDefault="00117837">
      <w:r>
        <w:separator/>
      </w:r>
    </w:p>
  </w:endnote>
  <w:endnote w:type="continuationSeparator" w:id="0">
    <w:p w14:paraId="586F987E" w14:textId="77777777" w:rsidR="00117837" w:rsidRDefault="00117837">
      <w:r>
        <w:continuationSeparator/>
      </w:r>
    </w:p>
  </w:endnote>
  <w:endnote w:type="continuationNotice" w:id="1">
    <w:p w14:paraId="3EAACA46" w14:textId="77777777" w:rsidR="00117837" w:rsidRDefault="0011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15EF" w14:textId="659A5CAA" w:rsidR="00117837" w:rsidRPr="0052475A" w:rsidRDefault="0052475A" w:rsidP="0052475A">
    <w:pPr>
      <w:pStyle w:val="Footer"/>
      <w:rPr>
        <w:rFonts w:ascii="Calibri" w:hAnsi="Calibri"/>
        <w:sz w:val="20"/>
        <w:szCs w:val="20"/>
        <w:lang w:val="en-GB"/>
      </w:rPr>
    </w:pPr>
    <w:r>
      <w:rPr>
        <w:rFonts w:ascii="Calibri" w:hAnsi="Calibri"/>
        <w:sz w:val="20"/>
        <w:szCs w:val="20"/>
        <w:lang w:val="en-GB"/>
      </w:rPr>
      <w:t>Ramsar COP13 Doc.18.8</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Pr>
        <w:rFonts w:ascii="Calibri" w:hAnsi="Calibri"/>
        <w:noProof/>
        <w:sz w:val="20"/>
        <w:szCs w:val="20"/>
        <w:lang w:val="en-GB"/>
      </w:rPr>
      <w:t>7</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6DD6F" w14:textId="77777777" w:rsidR="00117837" w:rsidRDefault="00117837">
      <w:r>
        <w:separator/>
      </w:r>
    </w:p>
  </w:footnote>
  <w:footnote w:type="continuationSeparator" w:id="0">
    <w:p w14:paraId="1CA9AFF2" w14:textId="77777777" w:rsidR="00117837" w:rsidRDefault="00117837">
      <w:r>
        <w:continuationSeparator/>
      </w:r>
    </w:p>
  </w:footnote>
  <w:footnote w:type="continuationNotice" w:id="1">
    <w:p w14:paraId="565A39DA" w14:textId="77777777" w:rsidR="00117837" w:rsidRDefault="00117837"/>
  </w:footnote>
  <w:footnote w:id="2">
    <w:p w14:paraId="1371C0FD" w14:textId="1EF204F1" w:rsidR="00117837" w:rsidRPr="0052475A" w:rsidRDefault="00117837" w:rsidP="004D79D5">
      <w:pPr>
        <w:pStyle w:val="FootnoteText"/>
        <w:rPr>
          <w:lang w:val="es-ES"/>
        </w:rPr>
      </w:pPr>
      <w:r>
        <w:rPr>
          <w:rStyle w:val="FootnoteReference"/>
        </w:rPr>
        <w:footnoteRef/>
      </w:r>
      <w:r w:rsidRPr="0052475A">
        <w:rPr>
          <w:lang w:val="es-ES"/>
        </w:rPr>
        <w:t xml:space="preserve"> </w:t>
      </w:r>
      <w:r w:rsidRPr="00117837">
        <w:rPr>
          <w:lang w:val="es-ES_tradnl"/>
        </w:rPr>
        <w:t>Esto concierne a las iniciativas regionales de Ramsar para la cuenca del río Senegal, la cuenca del río Amazonas, Asia Central, Indo</w:t>
      </w:r>
      <w:r>
        <w:rPr>
          <w:lang w:val="es-ES_tradnl"/>
        </w:rPr>
        <w:t>-Bi</w:t>
      </w:r>
      <w:r w:rsidRPr="00117837">
        <w:rPr>
          <w:lang w:val="es-ES_tradnl"/>
        </w:rPr>
        <w:t xml:space="preserve">rmana y </w:t>
      </w:r>
      <w:r w:rsidR="005F09A6">
        <w:rPr>
          <w:lang w:val="es-ES_tradnl"/>
        </w:rPr>
        <w:t xml:space="preserve">a cualquier </w:t>
      </w:r>
      <w:r w:rsidRPr="00117837">
        <w:rPr>
          <w:lang w:val="es-ES_tradnl"/>
        </w:rPr>
        <w:t>IRR nueva adicional, siempre y cuando cumpla</w:t>
      </w:r>
      <w:r w:rsidR="005F09A6">
        <w:rPr>
          <w:lang w:val="es-ES_tradnl"/>
        </w:rPr>
        <w:t>n</w:t>
      </w:r>
      <w:r w:rsidRPr="00117837">
        <w:rPr>
          <w:lang w:val="es-ES_tradnl"/>
        </w:rPr>
        <w:t xml:space="preserve"> plenamente las condiciones definidas en el marco operativo</w:t>
      </w:r>
      <w:r w:rsidRPr="0052475A">
        <w:rPr>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ATHE Tobias">
    <w15:presenceInfo w15:providerId="None" w15:userId="SALATHE Tob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doNotTrackFormattin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6"/>
    <w:rsid w:val="00001735"/>
    <w:rsid w:val="000037BB"/>
    <w:rsid w:val="0000673A"/>
    <w:rsid w:val="00014168"/>
    <w:rsid w:val="00017A16"/>
    <w:rsid w:val="00026E09"/>
    <w:rsid w:val="00027880"/>
    <w:rsid w:val="00035824"/>
    <w:rsid w:val="00037CE0"/>
    <w:rsid w:val="00043F6C"/>
    <w:rsid w:val="0004513D"/>
    <w:rsid w:val="00047F0B"/>
    <w:rsid w:val="00050684"/>
    <w:rsid w:val="00051891"/>
    <w:rsid w:val="00053929"/>
    <w:rsid w:val="00054588"/>
    <w:rsid w:val="000545FE"/>
    <w:rsid w:val="00054E75"/>
    <w:rsid w:val="000559F6"/>
    <w:rsid w:val="00074DE8"/>
    <w:rsid w:val="00084345"/>
    <w:rsid w:val="0008558F"/>
    <w:rsid w:val="00086D29"/>
    <w:rsid w:val="00094B2D"/>
    <w:rsid w:val="000A0BA6"/>
    <w:rsid w:val="000A1A6D"/>
    <w:rsid w:val="000A23E6"/>
    <w:rsid w:val="000A3E3E"/>
    <w:rsid w:val="000B16EA"/>
    <w:rsid w:val="000B2FBF"/>
    <w:rsid w:val="000B5976"/>
    <w:rsid w:val="000B5E36"/>
    <w:rsid w:val="000C2489"/>
    <w:rsid w:val="000C24A6"/>
    <w:rsid w:val="000D117F"/>
    <w:rsid w:val="000D5123"/>
    <w:rsid w:val="000D5C76"/>
    <w:rsid w:val="000D7A25"/>
    <w:rsid w:val="000E0A0C"/>
    <w:rsid w:val="000E1EFA"/>
    <w:rsid w:val="000E2FA0"/>
    <w:rsid w:val="000E43E7"/>
    <w:rsid w:val="000E47E9"/>
    <w:rsid w:val="000E5C4A"/>
    <w:rsid w:val="000E7F5A"/>
    <w:rsid w:val="00104C57"/>
    <w:rsid w:val="001122B9"/>
    <w:rsid w:val="00113669"/>
    <w:rsid w:val="00115F7F"/>
    <w:rsid w:val="00116740"/>
    <w:rsid w:val="00117837"/>
    <w:rsid w:val="0012096C"/>
    <w:rsid w:val="00127828"/>
    <w:rsid w:val="00127F25"/>
    <w:rsid w:val="001318E0"/>
    <w:rsid w:val="00140936"/>
    <w:rsid w:val="00142170"/>
    <w:rsid w:val="00144437"/>
    <w:rsid w:val="00152340"/>
    <w:rsid w:val="00152A89"/>
    <w:rsid w:val="00154481"/>
    <w:rsid w:val="00161BDA"/>
    <w:rsid w:val="00171618"/>
    <w:rsid w:val="0017258E"/>
    <w:rsid w:val="001753DF"/>
    <w:rsid w:val="001819B1"/>
    <w:rsid w:val="001848F5"/>
    <w:rsid w:val="00184D20"/>
    <w:rsid w:val="00185E5F"/>
    <w:rsid w:val="00195725"/>
    <w:rsid w:val="00196D8A"/>
    <w:rsid w:val="001A2D10"/>
    <w:rsid w:val="001B3501"/>
    <w:rsid w:val="001B3567"/>
    <w:rsid w:val="001C1837"/>
    <w:rsid w:val="001C5E41"/>
    <w:rsid w:val="001C77BC"/>
    <w:rsid w:val="001D377D"/>
    <w:rsid w:val="001D48BB"/>
    <w:rsid w:val="001D59BC"/>
    <w:rsid w:val="001D5D73"/>
    <w:rsid w:val="001E00E3"/>
    <w:rsid w:val="001E3E41"/>
    <w:rsid w:val="001E5EC8"/>
    <w:rsid w:val="001E7FE1"/>
    <w:rsid w:val="001F2349"/>
    <w:rsid w:val="001F4718"/>
    <w:rsid w:val="001F4DDA"/>
    <w:rsid w:val="002005D2"/>
    <w:rsid w:val="00200A5F"/>
    <w:rsid w:val="00201896"/>
    <w:rsid w:val="0020298B"/>
    <w:rsid w:val="00203352"/>
    <w:rsid w:val="00206111"/>
    <w:rsid w:val="00210AF1"/>
    <w:rsid w:val="0021231B"/>
    <w:rsid w:val="002137E0"/>
    <w:rsid w:val="00215F1A"/>
    <w:rsid w:val="002200CD"/>
    <w:rsid w:val="00220CCA"/>
    <w:rsid w:val="00221A3D"/>
    <w:rsid w:val="00224F6C"/>
    <w:rsid w:val="00225E16"/>
    <w:rsid w:val="002334DA"/>
    <w:rsid w:val="00237A73"/>
    <w:rsid w:val="0024641B"/>
    <w:rsid w:val="00253AD8"/>
    <w:rsid w:val="00255E00"/>
    <w:rsid w:val="00257935"/>
    <w:rsid w:val="002741AC"/>
    <w:rsid w:val="00275F13"/>
    <w:rsid w:val="002774F1"/>
    <w:rsid w:val="002800B0"/>
    <w:rsid w:val="00280B69"/>
    <w:rsid w:val="002819C0"/>
    <w:rsid w:val="00287E74"/>
    <w:rsid w:val="00292E9A"/>
    <w:rsid w:val="00295556"/>
    <w:rsid w:val="00295BB5"/>
    <w:rsid w:val="002976A2"/>
    <w:rsid w:val="002A3794"/>
    <w:rsid w:val="002A5A4D"/>
    <w:rsid w:val="002B09A3"/>
    <w:rsid w:val="002B4262"/>
    <w:rsid w:val="002D0A78"/>
    <w:rsid w:val="002D2DEF"/>
    <w:rsid w:val="002D5A4D"/>
    <w:rsid w:val="002E22AF"/>
    <w:rsid w:val="002E625C"/>
    <w:rsid w:val="002F777F"/>
    <w:rsid w:val="00300B74"/>
    <w:rsid w:val="003049EE"/>
    <w:rsid w:val="00305397"/>
    <w:rsid w:val="0032078D"/>
    <w:rsid w:val="00324398"/>
    <w:rsid w:val="00330993"/>
    <w:rsid w:val="00332A8F"/>
    <w:rsid w:val="00342B01"/>
    <w:rsid w:val="0034705C"/>
    <w:rsid w:val="0036112F"/>
    <w:rsid w:val="003628BA"/>
    <w:rsid w:val="00366485"/>
    <w:rsid w:val="003709C3"/>
    <w:rsid w:val="00375FCC"/>
    <w:rsid w:val="00380EC6"/>
    <w:rsid w:val="0038459F"/>
    <w:rsid w:val="00384FC3"/>
    <w:rsid w:val="0038537F"/>
    <w:rsid w:val="00385BFA"/>
    <w:rsid w:val="00396A76"/>
    <w:rsid w:val="00397FF9"/>
    <w:rsid w:val="003A0946"/>
    <w:rsid w:val="003A0F32"/>
    <w:rsid w:val="003A3804"/>
    <w:rsid w:val="003A4D34"/>
    <w:rsid w:val="003A52BE"/>
    <w:rsid w:val="003A5866"/>
    <w:rsid w:val="003A6E9F"/>
    <w:rsid w:val="003B37AC"/>
    <w:rsid w:val="003C2733"/>
    <w:rsid w:val="003C5A76"/>
    <w:rsid w:val="003C5EDB"/>
    <w:rsid w:val="003C7CC4"/>
    <w:rsid w:val="003C7EBA"/>
    <w:rsid w:val="003D0DAD"/>
    <w:rsid w:val="003D4CD6"/>
    <w:rsid w:val="003E1854"/>
    <w:rsid w:val="003E2BD2"/>
    <w:rsid w:val="00401204"/>
    <w:rsid w:val="00402A2F"/>
    <w:rsid w:val="004041FA"/>
    <w:rsid w:val="0040477E"/>
    <w:rsid w:val="00414576"/>
    <w:rsid w:val="0041739A"/>
    <w:rsid w:val="004228C7"/>
    <w:rsid w:val="00425795"/>
    <w:rsid w:val="00427597"/>
    <w:rsid w:val="0042798B"/>
    <w:rsid w:val="00433599"/>
    <w:rsid w:val="0043429E"/>
    <w:rsid w:val="00434913"/>
    <w:rsid w:val="004401C9"/>
    <w:rsid w:val="004433BE"/>
    <w:rsid w:val="00445041"/>
    <w:rsid w:val="00447020"/>
    <w:rsid w:val="004474F8"/>
    <w:rsid w:val="004511D8"/>
    <w:rsid w:val="00453475"/>
    <w:rsid w:val="0046274A"/>
    <w:rsid w:val="00462CC1"/>
    <w:rsid w:val="00462F31"/>
    <w:rsid w:val="004630D2"/>
    <w:rsid w:val="004667D7"/>
    <w:rsid w:val="00475DB6"/>
    <w:rsid w:val="00477550"/>
    <w:rsid w:val="0048010C"/>
    <w:rsid w:val="0048290F"/>
    <w:rsid w:val="004844A8"/>
    <w:rsid w:val="00485FA9"/>
    <w:rsid w:val="004917DE"/>
    <w:rsid w:val="00496803"/>
    <w:rsid w:val="00497723"/>
    <w:rsid w:val="004A30D4"/>
    <w:rsid w:val="004A3F01"/>
    <w:rsid w:val="004A475B"/>
    <w:rsid w:val="004A5F5B"/>
    <w:rsid w:val="004A7403"/>
    <w:rsid w:val="004B18A0"/>
    <w:rsid w:val="004B5A34"/>
    <w:rsid w:val="004B6688"/>
    <w:rsid w:val="004B6B4E"/>
    <w:rsid w:val="004B7276"/>
    <w:rsid w:val="004C41DE"/>
    <w:rsid w:val="004C50D6"/>
    <w:rsid w:val="004D75A9"/>
    <w:rsid w:val="004D79D5"/>
    <w:rsid w:val="004E6D6A"/>
    <w:rsid w:val="004F6425"/>
    <w:rsid w:val="004F777E"/>
    <w:rsid w:val="00504B4E"/>
    <w:rsid w:val="00512493"/>
    <w:rsid w:val="00513890"/>
    <w:rsid w:val="00515C6D"/>
    <w:rsid w:val="0051640B"/>
    <w:rsid w:val="00517F3D"/>
    <w:rsid w:val="005214A8"/>
    <w:rsid w:val="005244A4"/>
    <w:rsid w:val="0052475A"/>
    <w:rsid w:val="005261C9"/>
    <w:rsid w:val="00526D4F"/>
    <w:rsid w:val="00527783"/>
    <w:rsid w:val="00530F36"/>
    <w:rsid w:val="00535964"/>
    <w:rsid w:val="00535C1D"/>
    <w:rsid w:val="00535CA9"/>
    <w:rsid w:val="005375FA"/>
    <w:rsid w:val="00540562"/>
    <w:rsid w:val="00546A0D"/>
    <w:rsid w:val="00547F19"/>
    <w:rsid w:val="005509E0"/>
    <w:rsid w:val="0055500B"/>
    <w:rsid w:val="00555150"/>
    <w:rsid w:val="005558D7"/>
    <w:rsid w:val="00563604"/>
    <w:rsid w:val="00564549"/>
    <w:rsid w:val="0056612A"/>
    <w:rsid w:val="00566733"/>
    <w:rsid w:val="00574B36"/>
    <w:rsid w:val="0057586B"/>
    <w:rsid w:val="005768FB"/>
    <w:rsid w:val="00576C9C"/>
    <w:rsid w:val="00581219"/>
    <w:rsid w:val="005814B5"/>
    <w:rsid w:val="00584A66"/>
    <w:rsid w:val="00587A55"/>
    <w:rsid w:val="00593D88"/>
    <w:rsid w:val="00593E83"/>
    <w:rsid w:val="005A6C06"/>
    <w:rsid w:val="005A71F7"/>
    <w:rsid w:val="005C2A7B"/>
    <w:rsid w:val="005C336A"/>
    <w:rsid w:val="005C5A2B"/>
    <w:rsid w:val="005C6B2A"/>
    <w:rsid w:val="005D3E9D"/>
    <w:rsid w:val="005D4EBF"/>
    <w:rsid w:val="005D794B"/>
    <w:rsid w:val="005E7EC6"/>
    <w:rsid w:val="005F09A6"/>
    <w:rsid w:val="005F108F"/>
    <w:rsid w:val="005F719C"/>
    <w:rsid w:val="005F7CCE"/>
    <w:rsid w:val="0060432C"/>
    <w:rsid w:val="00604AED"/>
    <w:rsid w:val="00605EF1"/>
    <w:rsid w:val="006062B9"/>
    <w:rsid w:val="0060720F"/>
    <w:rsid w:val="00617A2D"/>
    <w:rsid w:val="006256D3"/>
    <w:rsid w:val="00627BB7"/>
    <w:rsid w:val="00636993"/>
    <w:rsid w:val="00641736"/>
    <w:rsid w:val="00644A13"/>
    <w:rsid w:val="0065136E"/>
    <w:rsid w:val="006526C3"/>
    <w:rsid w:val="00652BB6"/>
    <w:rsid w:val="006614BC"/>
    <w:rsid w:val="0066183B"/>
    <w:rsid w:val="006662D3"/>
    <w:rsid w:val="00670212"/>
    <w:rsid w:val="00670D71"/>
    <w:rsid w:val="006771F3"/>
    <w:rsid w:val="00685E4D"/>
    <w:rsid w:val="00697244"/>
    <w:rsid w:val="006A4E01"/>
    <w:rsid w:val="006A5629"/>
    <w:rsid w:val="006A5932"/>
    <w:rsid w:val="006A6327"/>
    <w:rsid w:val="006B3686"/>
    <w:rsid w:val="006C2DD8"/>
    <w:rsid w:val="006C30D2"/>
    <w:rsid w:val="006D430C"/>
    <w:rsid w:val="006E1796"/>
    <w:rsid w:val="006E2AE7"/>
    <w:rsid w:val="006E4C28"/>
    <w:rsid w:val="006E6B08"/>
    <w:rsid w:val="006E7C00"/>
    <w:rsid w:val="006E7DCE"/>
    <w:rsid w:val="006F07EA"/>
    <w:rsid w:val="006F26EC"/>
    <w:rsid w:val="006F5FF0"/>
    <w:rsid w:val="00701331"/>
    <w:rsid w:val="007035E9"/>
    <w:rsid w:val="007050FF"/>
    <w:rsid w:val="0070741A"/>
    <w:rsid w:val="0071051C"/>
    <w:rsid w:val="007116D8"/>
    <w:rsid w:val="00713917"/>
    <w:rsid w:val="0071768F"/>
    <w:rsid w:val="0072447B"/>
    <w:rsid w:val="00724F74"/>
    <w:rsid w:val="00732D5C"/>
    <w:rsid w:val="00737D3A"/>
    <w:rsid w:val="00752764"/>
    <w:rsid w:val="00765F63"/>
    <w:rsid w:val="00766962"/>
    <w:rsid w:val="00770067"/>
    <w:rsid w:val="007729A6"/>
    <w:rsid w:val="00775287"/>
    <w:rsid w:val="007810B7"/>
    <w:rsid w:val="00783A4F"/>
    <w:rsid w:val="00797569"/>
    <w:rsid w:val="007A5F59"/>
    <w:rsid w:val="007A6E04"/>
    <w:rsid w:val="007C04F3"/>
    <w:rsid w:val="007C0595"/>
    <w:rsid w:val="007C0A88"/>
    <w:rsid w:val="007C7711"/>
    <w:rsid w:val="007D204F"/>
    <w:rsid w:val="007D33F4"/>
    <w:rsid w:val="007D4B10"/>
    <w:rsid w:val="007D7F9A"/>
    <w:rsid w:val="007E15CC"/>
    <w:rsid w:val="007E1EB4"/>
    <w:rsid w:val="007F3ABE"/>
    <w:rsid w:val="007F53B3"/>
    <w:rsid w:val="007F56D5"/>
    <w:rsid w:val="007F578A"/>
    <w:rsid w:val="007F5AC3"/>
    <w:rsid w:val="0081147A"/>
    <w:rsid w:val="00814271"/>
    <w:rsid w:val="00817804"/>
    <w:rsid w:val="00820B50"/>
    <w:rsid w:val="008314BC"/>
    <w:rsid w:val="008328E9"/>
    <w:rsid w:val="00834D43"/>
    <w:rsid w:val="0083594D"/>
    <w:rsid w:val="00835BCB"/>
    <w:rsid w:val="00835CDC"/>
    <w:rsid w:val="00837229"/>
    <w:rsid w:val="00843C7C"/>
    <w:rsid w:val="00850894"/>
    <w:rsid w:val="00850B09"/>
    <w:rsid w:val="008554A4"/>
    <w:rsid w:val="008556E3"/>
    <w:rsid w:val="00863B9D"/>
    <w:rsid w:val="00863BE6"/>
    <w:rsid w:val="00864739"/>
    <w:rsid w:val="00864EFB"/>
    <w:rsid w:val="008653F3"/>
    <w:rsid w:val="008672DA"/>
    <w:rsid w:val="00867988"/>
    <w:rsid w:val="00870060"/>
    <w:rsid w:val="008739F7"/>
    <w:rsid w:val="00874155"/>
    <w:rsid w:val="008775BC"/>
    <w:rsid w:val="00882108"/>
    <w:rsid w:val="00882F1B"/>
    <w:rsid w:val="0088319C"/>
    <w:rsid w:val="008917BB"/>
    <w:rsid w:val="0089764E"/>
    <w:rsid w:val="008A1B8F"/>
    <w:rsid w:val="008A70CE"/>
    <w:rsid w:val="008B168D"/>
    <w:rsid w:val="008B2D0F"/>
    <w:rsid w:val="008B2F1A"/>
    <w:rsid w:val="008B3DE9"/>
    <w:rsid w:val="008B4E88"/>
    <w:rsid w:val="008B68E5"/>
    <w:rsid w:val="008C25E4"/>
    <w:rsid w:val="008C2DAE"/>
    <w:rsid w:val="008C5818"/>
    <w:rsid w:val="008C6D60"/>
    <w:rsid w:val="008D44C1"/>
    <w:rsid w:val="008D4D9C"/>
    <w:rsid w:val="008E3844"/>
    <w:rsid w:val="008F10E3"/>
    <w:rsid w:val="0090007E"/>
    <w:rsid w:val="0090537A"/>
    <w:rsid w:val="009059A9"/>
    <w:rsid w:val="00912E90"/>
    <w:rsid w:val="00914EBD"/>
    <w:rsid w:val="00915BCC"/>
    <w:rsid w:val="009173D4"/>
    <w:rsid w:val="009210BF"/>
    <w:rsid w:val="009215D0"/>
    <w:rsid w:val="00921FC4"/>
    <w:rsid w:val="00924F28"/>
    <w:rsid w:val="0092515E"/>
    <w:rsid w:val="00926038"/>
    <w:rsid w:val="00927838"/>
    <w:rsid w:val="00932741"/>
    <w:rsid w:val="009330EE"/>
    <w:rsid w:val="00936962"/>
    <w:rsid w:val="00942FBD"/>
    <w:rsid w:val="00944CD5"/>
    <w:rsid w:val="00945EC3"/>
    <w:rsid w:val="00947333"/>
    <w:rsid w:val="0094770B"/>
    <w:rsid w:val="009556A4"/>
    <w:rsid w:val="009570C3"/>
    <w:rsid w:val="00962CF8"/>
    <w:rsid w:val="00964F7B"/>
    <w:rsid w:val="00973256"/>
    <w:rsid w:val="009750EB"/>
    <w:rsid w:val="00975C1C"/>
    <w:rsid w:val="0098162B"/>
    <w:rsid w:val="009823CD"/>
    <w:rsid w:val="0098635C"/>
    <w:rsid w:val="009923F0"/>
    <w:rsid w:val="00996053"/>
    <w:rsid w:val="00996D54"/>
    <w:rsid w:val="009A345F"/>
    <w:rsid w:val="009A50F6"/>
    <w:rsid w:val="009B2267"/>
    <w:rsid w:val="009B240C"/>
    <w:rsid w:val="009B2E3B"/>
    <w:rsid w:val="009C6783"/>
    <w:rsid w:val="009E0AE8"/>
    <w:rsid w:val="009E5374"/>
    <w:rsid w:val="009F0C64"/>
    <w:rsid w:val="009F345D"/>
    <w:rsid w:val="009F649F"/>
    <w:rsid w:val="009F6641"/>
    <w:rsid w:val="00A04F8C"/>
    <w:rsid w:val="00A06DA0"/>
    <w:rsid w:val="00A13218"/>
    <w:rsid w:val="00A227A3"/>
    <w:rsid w:val="00A2328C"/>
    <w:rsid w:val="00A2689A"/>
    <w:rsid w:val="00A3567A"/>
    <w:rsid w:val="00A40A30"/>
    <w:rsid w:val="00A426D5"/>
    <w:rsid w:val="00A60B73"/>
    <w:rsid w:val="00A80069"/>
    <w:rsid w:val="00A80080"/>
    <w:rsid w:val="00A822DC"/>
    <w:rsid w:val="00A92960"/>
    <w:rsid w:val="00A958D9"/>
    <w:rsid w:val="00A978A7"/>
    <w:rsid w:val="00AA5995"/>
    <w:rsid w:val="00AA627C"/>
    <w:rsid w:val="00AB4951"/>
    <w:rsid w:val="00AB6479"/>
    <w:rsid w:val="00AD7A3B"/>
    <w:rsid w:val="00AD7C44"/>
    <w:rsid w:val="00AE17B0"/>
    <w:rsid w:val="00AE258F"/>
    <w:rsid w:val="00AE5C42"/>
    <w:rsid w:val="00AF794B"/>
    <w:rsid w:val="00B10468"/>
    <w:rsid w:val="00B11441"/>
    <w:rsid w:val="00B119F5"/>
    <w:rsid w:val="00B16D9D"/>
    <w:rsid w:val="00B16E5D"/>
    <w:rsid w:val="00B225CF"/>
    <w:rsid w:val="00B26AC8"/>
    <w:rsid w:val="00B270C7"/>
    <w:rsid w:val="00B306A1"/>
    <w:rsid w:val="00B31515"/>
    <w:rsid w:val="00B315A0"/>
    <w:rsid w:val="00B322EE"/>
    <w:rsid w:val="00B34A18"/>
    <w:rsid w:val="00B40452"/>
    <w:rsid w:val="00B45DD6"/>
    <w:rsid w:val="00B468CE"/>
    <w:rsid w:val="00B579CB"/>
    <w:rsid w:val="00B57A7C"/>
    <w:rsid w:val="00B626CD"/>
    <w:rsid w:val="00B62741"/>
    <w:rsid w:val="00B630AB"/>
    <w:rsid w:val="00B70083"/>
    <w:rsid w:val="00B7307A"/>
    <w:rsid w:val="00B85963"/>
    <w:rsid w:val="00B92319"/>
    <w:rsid w:val="00B968CD"/>
    <w:rsid w:val="00BA03E7"/>
    <w:rsid w:val="00BB28F6"/>
    <w:rsid w:val="00BB3481"/>
    <w:rsid w:val="00BB41D4"/>
    <w:rsid w:val="00BC2609"/>
    <w:rsid w:val="00BD3CB9"/>
    <w:rsid w:val="00BD42D5"/>
    <w:rsid w:val="00BD59AB"/>
    <w:rsid w:val="00BD79BD"/>
    <w:rsid w:val="00BE5859"/>
    <w:rsid w:val="00BF490E"/>
    <w:rsid w:val="00BF633F"/>
    <w:rsid w:val="00BF6F46"/>
    <w:rsid w:val="00BF73E3"/>
    <w:rsid w:val="00BF7A4E"/>
    <w:rsid w:val="00C0046E"/>
    <w:rsid w:val="00C0054E"/>
    <w:rsid w:val="00C069E4"/>
    <w:rsid w:val="00C10C10"/>
    <w:rsid w:val="00C13145"/>
    <w:rsid w:val="00C213F5"/>
    <w:rsid w:val="00C23238"/>
    <w:rsid w:val="00C31BEE"/>
    <w:rsid w:val="00C356F8"/>
    <w:rsid w:val="00C454D5"/>
    <w:rsid w:val="00C5099D"/>
    <w:rsid w:val="00C60BF3"/>
    <w:rsid w:val="00C6619D"/>
    <w:rsid w:val="00C85B7B"/>
    <w:rsid w:val="00C8628B"/>
    <w:rsid w:val="00C9457F"/>
    <w:rsid w:val="00CA0185"/>
    <w:rsid w:val="00CA15B6"/>
    <w:rsid w:val="00CA2B6A"/>
    <w:rsid w:val="00CA3345"/>
    <w:rsid w:val="00CA49F4"/>
    <w:rsid w:val="00CA5FCD"/>
    <w:rsid w:val="00CB78E1"/>
    <w:rsid w:val="00CC7618"/>
    <w:rsid w:val="00CD2E7F"/>
    <w:rsid w:val="00CE0918"/>
    <w:rsid w:val="00CE3F58"/>
    <w:rsid w:val="00CE3FB4"/>
    <w:rsid w:val="00CE5D67"/>
    <w:rsid w:val="00CE6954"/>
    <w:rsid w:val="00CE750F"/>
    <w:rsid w:val="00CF424A"/>
    <w:rsid w:val="00CF70B7"/>
    <w:rsid w:val="00D036E6"/>
    <w:rsid w:val="00D03FFC"/>
    <w:rsid w:val="00D054DE"/>
    <w:rsid w:val="00D160CB"/>
    <w:rsid w:val="00D20554"/>
    <w:rsid w:val="00D245A1"/>
    <w:rsid w:val="00D260E5"/>
    <w:rsid w:val="00D26352"/>
    <w:rsid w:val="00D415E2"/>
    <w:rsid w:val="00D41E38"/>
    <w:rsid w:val="00D42055"/>
    <w:rsid w:val="00D473A8"/>
    <w:rsid w:val="00D47544"/>
    <w:rsid w:val="00D57270"/>
    <w:rsid w:val="00D60902"/>
    <w:rsid w:val="00D63B5F"/>
    <w:rsid w:val="00D647C3"/>
    <w:rsid w:val="00D7005A"/>
    <w:rsid w:val="00D7109B"/>
    <w:rsid w:val="00D729FA"/>
    <w:rsid w:val="00D7405C"/>
    <w:rsid w:val="00D74E54"/>
    <w:rsid w:val="00D75864"/>
    <w:rsid w:val="00D84F8C"/>
    <w:rsid w:val="00D87670"/>
    <w:rsid w:val="00D90DE6"/>
    <w:rsid w:val="00D9633A"/>
    <w:rsid w:val="00D975BC"/>
    <w:rsid w:val="00DA078C"/>
    <w:rsid w:val="00DA2E73"/>
    <w:rsid w:val="00DB14A5"/>
    <w:rsid w:val="00DB201E"/>
    <w:rsid w:val="00DB3C70"/>
    <w:rsid w:val="00DB3ECF"/>
    <w:rsid w:val="00DB45A0"/>
    <w:rsid w:val="00DB575A"/>
    <w:rsid w:val="00DC22FE"/>
    <w:rsid w:val="00DC401F"/>
    <w:rsid w:val="00DC442A"/>
    <w:rsid w:val="00DC6EF9"/>
    <w:rsid w:val="00DD421F"/>
    <w:rsid w:val="00DD637B"/>
    <w:rsid w:val="00DE18C3"/>
    <w:rsid w:val="00DF2386"/>
    <w:rsid w:val="00DF24E6"/>
    <w:rsid w:val="00DF6F87"/>
    <w:rsid w:val="00DF7FE7"/>
    <w:rsid w:val="00E04309"/>
    <w:rsid w:val="00E05C73"/>
    <w:rsid w:val="00E11B3F"/>
    <w:rsid w:val="00E12F7E"/>
    <w:rsid w:val="00E144A6"/>
    <w:rsid w:val="00E31D5C"/>
    <w:rsid w:val="00E31F1B"/>
    <w:rsid w:val="00E33ADB"/>
    <w:rsid w:val="00E37DA5"/>
    <w:rsid w:val="00E46367"/>
    <w:rsid w:val="00E463A6"/>
    <w:rsid w:val="00E46958"/>
    <w:rsid w:val="00E52600"/>
    <w:rsid w:val="00E53B91"/>
    <w:rsid w:val="00E56E3E"/>
    <w:rsid w:val="00E60154"/>
    <w:rsid w:val="00E63F0B"/>
    <w:rsid w:val="00E6621D"/>
    <w:rsid w:val="00E7399C"/>
    <w:rsid w:val="00E85A06"/>
    <w:rsid w:val="00E85B73"/>
    <w:rsid w:val="00E86330"/>
    <w:rsid w:val="00E97817"/>
    <w:rsid w:val="00EA12A7"/>
    <w:rsid w:val="00EA3A7F"/>
    <w:rsid w:val="00EB29A7"/>
    <w:rsid w:val="00EC152B"/>
    <w:rsid w:val="00EC2507"/>
    <w:rsid w:val="00EC3563"/>
    <w:rsid w:val="00EC7CC2"/>
    <w:rsid w:val="00ED1061"/>
    <w:rsid w:val="00ED15FD"/>
    <w:rsid w:val="00ED18C5"/>
    <w:rsid w:val="00EE13CC"/>
    <w:rsid w:val="00EE2F54"/>
    <w:rsid w:val="00EF2D52"/>
    <w:rsid w:val="00EF563A"/>
    <w:rsid w:val="00EF69A9"/>
    <w:rsid w:val="00F00282"/>
    <w:rsid w:val="00F046BD"/>
    <w:rsid w:val="00F078F1"/>
    <w:rsid w:val="00F15B01"/>
    <w:rsid w:val="00F179C4"/>
    <w:rsid w:val="00F22681"/>
    <w:rsid w:val="00F22D7A"/>
    <w:rsid w:val="00F23573"/>
    <w:rsid w:val="00F3129C"/>
    <w:rsid w:val="00F32D03"/>
    <w:rsid w:val="00F344DE"/>
    <w:rsid w:val="00F36298"/>
    <w:rsid w:val="00F377B4"/>
    <w:rsid w:val="00F4075D"/>
    <w:rsid w:val="00F416ED"/>
    <w:rsid w:val="00F460E1"/>
    <w:rsid w:val="00F53F42"/>
    <w:rsid w:val="00F540A6"/>
    <w:rsid w:val="00F54AEE"/>
    <w:rsid w:val="00F55404"/>
    <w:rsid w:val="00F55D39"/>
    <w:rsid w:val="00F5754E"/>
    <w:rsid w:val="00F647ED"/>
    <w:rsid w:val="00F6501C"/>
    <w:rsid w:val="00F67844"/>
    <w:rsid w:val="00F73E71"/>
    <w:rsid w:val="00F77C57"/>
    <w:rsid w:val="00F84367"/>
    <w:rsid w:val="00F86EF4"/>
    <w:rsid w:val="00F95B43"/>
    <w:rsid w:val="00FA27E8"/>
    <w:rsid w:val="00FB2AFA"/>
    <w:rsid w:val="00FB5804"/>
    <w:rsid w:val="00FB5E1D"/>
    <w:rsid w:val="00FB6220"/>
    <w:rsid w:val="00FB6906"/>
    <w:rsid w:val="00FC191C"/>
    <w:rsid w:val="00FC1B4E"/>
    <w:rsid w:val="00FE275F"/>
    <w:rsid w:val="00FF0D7A"/>
    <w:rsid w:val="00FF16AA"/>
    <w:rsid w:val="00FF50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29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1C"/>
  </w:style>
  <w:style w:type="paragraph" w:styleId="Heading1">
    <w:name w:val="heading 1"/>
    <w:basedOn w:val="Normal"/>
    <w:link w:val="Heading1Char"/>
    <w:uiPriority w:val="1"/>
    <w:qFormat/>
    <w:rsid w:val="0071051C"/>
    <w:pPr>
      <w:outlineLvl w:val="0"/>
    </w:pPr>
    <w:rPr>
      <w:rFonts w:ascii="Calibri" w:eastAsia="Calibri" w:hAnsi="Calibri"/>
      <w:b/>
      <w:bCs/>
      <w:sz w:val="28"/>
      <w:szCs w:val="28"/>
    </w:rPr>
  </w:style>
  <w:style w:type="paragraph" w:styleId="Heading2">
    <w:name w:val="heading 2"/>
    <w:basedOn w:val="Normal"/>
    <w:uiPriority w:val="1"/>
    <w:qFormat/>
    <w:pPr>
      <w:ind w:left="240"/>
      <w:outlineLvl w:val="1"/>
    </w:pPr>
    <w:rPr>
      <w:rFonts w:ascii="Calibri" w:eastAsia="Calibri" w:hAnsi="Calibri"/>
      <w:b/>
      <w:bCs/>
      <w:sz w:val="24"/>
      <w:szCs w:val="24"/>
    </w:rPr>
  </w:style>
  <w:style w:type="paragraph" w:styleId="Heading3">
    <w:name w:val="heading 3"/>
    <w:basedOn w:val="Normal"/>
    <w:uiPriority w:val="1"/>
    <w:qFormat/>
    <w:pPr>
      <w:ind w:left="171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051C"/>
    <w:pPr>
      <w:ind w:left="827" w:hanging="708"/>
    </w:pPr>
    <w:rPr>
      <w:rFonts w:ascii="Calibri" w:eastAsia="Calibri" w:hAnsi="Calibri"/>
    </w:rPr>
  </w:style>
  <w:style w:type="paragraph" w:styleId="ListParagraph">
    <w:name w:val="List Paragraph"/>
    <w:basedOn w:val="Normal"/>
    <w:uiPriority w:val="34"/>
    <w:qFormat/>
    <w:rsid w:val="0071051C"/>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0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F5"/>
    <w:rPr>
      <w:rFonts w:ascii="Segoe UI" w:hAnsi="Segoe UI" w:cs="Segoe UI"/>
      <w:sz w:val="18"/>
      <w:szCs w:val="18"/>
    </w:rPr>
  </w:style>
  <w:style w:type="character" w:styleId="CommentReference">
    <w:name w:val="annotation reference"/>
    <w:basedOn w:val="DefaultParagraphFont"/>
    <w:uiPriority w:val="99"/>
    <w:semiHidden/>
    <w:unhideWhenUsed/>
    <w:rsid w:val="00926038"/>
    <w:rPr>
      <w:sz w:val="16"/>
      <w:szCs w:val="16"/>
    </w:rPr>
  </w:style>
  <w:style w:type="paragraph" w:styleId="CommentText">
    <w:name w:val="annotation text"/>
    <w:basedOn w:val="Normal"/>
    <w:link w:val="CommentTextChar"/>
    <w:uiPriority w:val="99"/>
    <w:semiHidden/>
    <w:unhideWhenUsed/>
    <w:rsid w:val="0071051C"/>
    <w:rPr>
      <w:sz w:val="20"/>
      <w:szCs w:val="20"/>
    </w:rPr>
  </w:style>
  <w:style w:type="character" w:customStyle="1" w:styleId="CommentTextChar">
    <w:name w:val="Comment Text Char"/>
    <w:basedOn w:val="DefaultParagraphFont"/>
    <w:link w:val="CommentText"/>
    <w:uiPriority w:val="99"/>
    <w:semiHidden/>
    <w:rsid w:val="00926038"/>
    <w:rPr>
      <w:sz w:val="20"/>
      <w:szCs w:val="20"/>
    </w:rPr>
  </w:style>
  <w:style w:type="paragraph" w:styleId="CommentSubject">
    <w:name w:val="annotation subject"/>
    <w:basedOn w:val="CommentText"/>
    <w:next w:val="CommentText"/>
    <w:link w:val="CommentSubjectChar"/>
    <w:uiPriority w:val="99"/>
    <w:semiHidden/>
    <w:unhideWhenUsed/>
    <w:rsid w:val="0071051C"/>
    <w:rPr>
      <w:b/>
      <w:bCs/>
    </w:rPr>
  </w:style>
  <w:style w:type="character" w:customStyle="1" w:styleId="CommentSubjectChar">
    <w:name w:val="Comment Subject Char"/>
    <w:basedOn w:val="CommentTextChar"/>
    <w:link w:val="CommentSubject"/>
    <w:uiPriority w:val="99"/>
    <w:semiHidden/>
    <w:rsid w:val="00926038"/>
    <w:rPr>
      <w:b/>
      <w:bCs/>
      <w:sz w:val="20"/>
      <w:szCs w:val="20"/>
    </w:rPr>
  </w:style>
  <w:style w:type="paragraph" w:styleId="FootnoteText">
    <w:name w:val="footnote text"/>
    <w:basedOn w:val="Normal"/>
    <w:link w:val="FootnoteTextChar"/>
    <w:uiPriority w:val="99"/>
    <w:semiHidden/>
    <w:unhideWhenUsed/>
    <w:rsid w:val="0071051C"/>
    <w:rPr>
      <w:sz w:val="20"/>
      <w:szCs w:val="20"/>
    </w:rPr>
  </w:style>
  <w:style w:type="character" w:customStyle="1" w:styleId="FootnoteTextChar">
    <w:name w:val="Footnote Text Char"/>
    <w:basedOn w:val="DefaultParagraphFont"/>
    <w:link w:val="FootnoteText"/>
    <w:uiPriority w:val="99"/>
    <w:semiHidden/>
    <w:rsid w:val="006614BC"/>
    <w:rPr>
      <w:sz w:val="20"/>
      <w:szCs w:val="20"/>
    </w:rPr>
  </w:style>
  <w:style w:type="character" w:styleId="FootnoteReference">
    <w:name w:val="footnote reference"/>
    <w:basedOn w:val="DefaultParagraphFont"/>
    <w:uiPriority w:val="99"/>
    <w:semiHidden/>
    <w:unhideWhenUsed/>
    <w:rsid w:val="006614BC"/>
    <w:rPr>
      <w:vertAlign w:val="superscript"/>
    </w:rPr>
  </w:style>
  <w:style w:type="paragraph" w:styleId="Header">
    <w:name w:val="header"/>
    <w:basedOn w:val="Normal"/>
    <w:link w:val="HeaderChar"/>
    <w:uiPriority w:val="99"/>
    <w:unhideWhenUsed/>
    <w:rsid w:val="0071051C"/>
    <w:pPr>
      <w:tabs>
        <w:tab w:val="center" w:pos="4513"/>
        <w:tab w:val="right" w:pos="9026"/>
      </w:tabs>
    </w:pPr>
  </w:style>
  <w:style w:type="character" w:customStyle="1" w:styleId="HeaderChar">
    <w:name w:val="Header Char"/>
    <w:basedOn w:val="DefaultParagraphFont"/>
    <w:link w:val="Header"/>
    <w:uiPriority w:val="99"/>
    <w:rsid w:val="00C10C10"/>
  </w:style>
  <w:style w:type="paragraph" w:styleId="Footer">
    <w:name w:val="footer"/>
    <w:basedOn w:val="Normal"/>
    <w:link w:val="FooterChar"/>
    <w:uiPriority w:val="99"/>
    <w:unhideWhenUsed/>
    <w:rsid w:val="0071051C"/>
    <w:pPr>
      <w:tabs>
        <w:tab w:val="center" w:pos="4513"/>
        <w:tab w:val="right" w:pos="9026"/>
      </w:tabs>
    </w:pPr>
  </w:style>
  <w:style w:type="character" w:customStyle="1" w:styleId="FooterChar">
    <w:name w:val="Footer Char"/>
    <w:basedOn w:val="DefaultParagraphFont"/>
    <w:link w:val="Footer"/>
    <w:uiPriority w:val="99"/>
    <w:rsid w:val="00C10C10"/>
  </w:style>
  <w:style w:type="paragraph" w:styleId="Revision">
    <w:name w:val="Revision"/>
    <w:hidden/>
    <w:uiPriority w:val="99"/>
    <w:semiHidden/>
    <w:rsid w:val="0071051C"/>
    <w:pPr>
      <w:widowControl/>
      <w:ind w:left="425" w:hanging="425"/>
    </w:pPr>
    <w:rPr>
      <w:rFonts w:ascii="Calibri" w:eastAsia="Calibri" w:hAnsi="Calibri" w:cs="Times New Roman"/>
      <w:lang w:val="en-GB"/>
    </w:rPr>
  </w:style>
  <w:style w:type="paragraph" w:customStyle="1" w:styleId="ColorfulList-Accent11">
    <w:name w:val="Colorful List - Accent 11"/>
    <w:basedOn w:val="Normal"/>
    <w:uiPriority w:val="34"/>
    <w:qFormat/>
    <w:rsid w:val="0071051C"/>
    <w:pPr>
      <w:widowControl/>
      <w:ind w:left="720" w:hanging="425"/>
      <w:contextualSpacing/>
    </w:pPr>
    <w:rPr>
      <w:rFonts w:ascii="Calibri" w:eastAsia="Calibri" w:hAnsi="Calibri" w:cs="Times New Roman"/>
      <w:lang w:val="en-GB"/>
    </w:rPr>
  </w:style>
  <w:style w:type="character" w:styleId="Hyperlink">
    <w:name w:val="Hyperlink"/>
    <w:basedOn w:val="DefaultParagraphFont"/>
    <w:uiPriority w:val="99"/>
    <w:unhideWhenUsed/>
    <w:rsid w:val="0071051C"/>
    <w:rPr>
      <w:color w:val="0000FF" w:themeColor="hyperlink"/>
      <w:u w:val="single"/>
    </w:rPr>
  </w:style>
  <w:style w:type="table" w:styleId="TableGrid">
    <w:name w:val="Table Grid"/>
    <w:basedOn w:val="TableNormal"/>
    <w:uiPriority w:val="59"/>
    <w:rsid w:val="0071051C"/>
    <w:pPr>
      <w:widowControl/>
      <w:ind w:left="425" w:hanging="425"/>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051C"/>
    <w:pPr>
      <w:widowControl/>
      <w:ind w:left="425" w:hanging="425"/>
    </w:pPr>
    <w:rPr>
      <w:rFonts w:ascii="Calibri" w:eastAsia="Calibri" w:hAnsi="Calibri" w:cs="Times New Roman"/>
      <w:lang w:val="en-GB"/>
    </w:rPr>
  </w:style>
  <w:style w:type="character" w:styleId="FollowedHyperlink">
    <w:name w:val="FollowedHyperlink"/>
    <w:basedOn w:val="DefaultParagraphFont"/>
    <w:uiPriority w:val="99"/>
    <w:semiHidden/>
    <w:unhideWhenUsed/>
    <w:rsid w:val="0071051C"/>
    <w:rPr>
      <w:color w:val="800080" w:themeColor="followedHyperlink"/>
      <w:u w:val="single"/>
    </w:rPr>
  </w:style>
  <w:style w:type="character" w:customStyle="1" w:styleId="Heading1Char">
    <w:name w:val="Heading 1 Char"/>
    <w:basedOn w:val="DefaultParagraphFont"/>
    <w:link w:val="Heading1"/>
    <w:uiPriority w:val="1"/>
    <w:rsid w:val="0071051C"/>
    <w:rPr>
      <w:rFonts w:ascii="Calibri" w:eastAsia="Calibri" w:hAnsi="Calibri"/>
      <w:b/>
      <w:bCs/>
      <w:sz w:val="28"/>
      <w:szCs w:val="28"/>
    </w:rPr>
  </w:style>
  <w:style w:type="character" w:customStyle="1" w:styleId="BodyTextChar">
    <w:name w:val="Body Text Char"/>
    <w:basedOn w:val="DefaultParagraphFont"/>
    <w:link w:val="BodyText"/>
    <w:uiPriority w:val="1"/>
    <w:rsid w:val="0071051C"/>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1C"/>
  </w:style>
  <w:style w:type="paragraph" w:styleId="Heading1">
    <w:name w:val="heading 1"/>
    <w:basedOn w:val="Normal"/>
    <w:link w:val="Heading1Char"/>
    <w:uiPriority w:val="1"/>
    <w:qFormat/>
    <w:rsid w:val="0071051C"/>
    <w:pPr>
      <w:outlineLvl w:val="0"/>
    </w:pPr>
    <w:rPr>
      <w:rFonts w:ascii="Calibri" w:eastAsia="Calibri" w:hAnsi="Calibri"/>
      <w:b/>
      <w:bCs/>
      <w:sz w:val="28"/>
      <w:szCs w:val="28"/>
    </w:rPr>
  </w:style>
  <w:style w:type="paragraph" w:styleId="Heading2">
    <w:name w:val="heading 2"/>
    <w:basedOn w:val="Normal"/>
    <w:uiPriority w:val="1"/>
    <w:qFormat/>
    <w:pPr>
      <w:ind w:left="240"/>
      <w:outlineLvl w:val="1"/>
    </w:pPr>
    <w:rPr>
      <w:rFonts w:ascii="Calibri" w:eastAsia="Calibri" w:hAnsi="Calibri"/>
      <w:b/>
      <w:bCs/>
      <w:sz w:val="24"/>
      <w:szCs w:val="24"/>
    </w:rPr>
  </w:style>
  <w:style w:type="paragraph" w:styleId="Heading3">
    <w:name w:val="heading 3"/>
    <w:basedOn w:val="Normal"/>
    <w:uiPriority w:val="1"/>
    <w:qFormat/>
    <w:pPr>
      <w:ind w:left="171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051C"/>
    <w:pPr>
      <w:ind w:left="827" w:hanging="708"/>
    </w:pPr>
    <w:rPr>
      <w:rFonts w:ascii="Calibri" w:eastAsia="Calibri" w:hAnsi="Calibri"/>
    </w:rPr>
  </w:style>
  <w:style w:type="paragraph" w:styleId="ListParagraph">
    <w:name w:val="List Paragraph"/>
    <w:basedOn w:val="Normal"/>
    <w:uiPriority w:val="34"/>
    <w:qFormat/>
    <w:rsid w:val="0071051C"/>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0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F5"/>
    <w:rPr>
      <w:rFonts w:ascii="Segoe UI" w:hAnsi="Segoe UI" w:cs="Segoe UI"/>
      <w:sz w:val="18"/>
      <w:szCs w:val="18"/>
    </w:rPr>
  </w:style>
  <w:style w:type="character" w:styleId="CommentReference">
    <w:name w:val="annotation reference"/>
    <w:basedOn w:val="DefaultParagraphFont"/>
    <w:uiPriority w:val="99"/>
    <w:semiHidden/>
    <w:unhideWhenUsed/>
    <w:rsid w:val="00926038"/>
    <w:rPr>
      <w:sz w:val="16"/>
      <w:szCs w:val="16"/>
    </w:rPr>
  </w:style>
  <w:style w:type="paragraph" w:styleId="CommentText">
    <w:name w:val="annotation text"/>
    <w:basedOn w:val="Normal"/>
    <w:link w:val="CommentTextChar"/>
    <w:uiPriority w:val="99"/>
    <w:semiHidden/>
    <w:unhideWhenUsed/>
    <w:rsid w:val="0071051C"/>
    <w:rPr>
      <w:sz w:val="20"/>
      <w:szCs w:val="20"/>
    </w:rPr>
  </w:style>
  <w:style w:type="character" w:customStyle="1" w:styleId="CommentTextChar">
    <w:name w:val="Comment Text Char"/>
    <w:basedOn w:val="DefaultParagraphFont"/>
    <w:link w:val="CommentText"/>
    <w:uiPriority w:val="99"/>
    <w:semiHidden/>
    <w:rsid w:val="00926038"/>
    <w:rPr>
      <w:sz w:val="20"/>
      <w:szCs w:val="20"/>
    </w:rPr>
  </w:style>
  <w:style w:type="paragraph" w:styleId="CommentSubject">
    <w:name w:val="annotation subject"/>
    <w:basedOn w:val="CommentText"/>
    <w:next w:val="CommentText"/>
    <w:link w:val="CommentSubjectChar"/>
    <w:uiPriority w:val="99"/>
    <w:semiHidden/>
    <w:unhideWhenUsed/>
    <w:rsid w:val="0071051C"/>
    <w:rPr>
      <w:b/>
      <w:bCs/>
    </w:rPr>
  </w:style>
  <w:style w:type="character" w:customStyle="1" w:styleId="CommentSubjectChar">
    <w:name w:val="Comment Subject Char"/>
    <w:basedOn w:val="CommentTextChar"/>
    <w:link w:val="CommentSubject"/>
    <w:uiPriority w:val="99"/>
    <w:semiHidden/>
    <w:rsid w:val="00926038"/>
    <w:rPr>
      <w:b/>
      <w:bCs/>
      <w:sz w:val="20"/>
      <w:szCs w:val="20"/>
    </w:rPr>
  </w:style>
  <w:style w:type="paragraph" w:styleId="FootnoteText">
    <w:name w:val="footnote text"/>
    <w:basedOn w:val="Normal"/>
    <w:link w:val="FootnoteTextChar"/>
    <w:uiPriority w:val="99"/>
    <w:semiHidden/>
    <w:unhideWhenUsed/>
    <w:rsid w:val="0071051C"/>
    <w:rPr>
      <w:sz w:val="20"/>
      <w:szCs w:val="20"/>
    </w:rPr>
  </w:style>
  <w:style w:type="character" w:customStyle="1" w:styleId="FootnoteTextChar">
    <w:name w:val="Footnote Text Char"/>
    <w:basedOn w:val="DefaultParagraphFont"/>
    <w:link w:val="FootnoteText"/>
    <w:uiPriority w:val="99"/>
    <w:semiHidden/>
    <w:rsid w:val="006614BC"/>
    <w:rPr>
      <w:sz w:val="20"/>
      <w:szCs w:val="20"/>
    </w:rPr>
  </w:style>
  <w:style w:type="character" w:styleId="FootnoteReference">
    <w:name w:val="footnote reference"/>
    <w:basedOn w:val="DefaultParagraphFont"/>
    <w:uiPriority w:val="99"/>
    <w:semiHidden/>
    <w:unhideWhenUsed/>
    <w:rsid w:val="006614BC"/>
    <w:rPr>
      <w:vertAlign w:val="superscript"/>
    </w:rPr>
  </w:style>
  <w:style w:type="paragraph" w:styleId="Header">
    <w:name w:val="header"/>
    <w:basedOn w:val="Normal"/>
    <w:link w:val="HeaderChar"/>
    <w:uiPriority w:val="99"/>
    <w:unhideWhenUsed/>
    <w:rsid w:val="0071051C"/>
    <w:pPr>
      <w:tabs>
        <w:tab w:val="center" w:pos="4513"/>
        <w:tab w:val="right" w:pos="9026"/>
      </w:tabs>
    </w:pPr>
  </w:style>
  <w:style w:type="character" w:customStyle="1" w:styleId="HeaderChar">
    <w:name w:val="Header Char"/>
    <w:basedOn w:val="DefaultParagraphFont"/>
    <w:link w:val="Header"/>
    <w:uiPriority w:val="99"/>
    <w:rsid w:val="00C10C10"/>
  </w:style>
  <w:style w:type="paragraph" w:styleId="Footer">
    <w:name w:val="footer"/>
    <w:basedOn w:val="Normal"/>
    <w:link w:val="FooterChar"/>
    <w:uiPriority w:val="99"/>
    <w:unhideWhenUsed/>
    <w:rsid w:val="0071051C"/>
    <w:pPr>
      <w:tabs>
        <w:tab w:val="center" w:pos="4513"/>
        <w:tab w:val="right" w:pos="9026"/>
      </w:tabs>
    </w:pPr>
  </w:style>
  <w:style w:type="character" w:customStyle="1" w:styleId="FooterChar">
    <w:name w:val="Footer Char"/>
    <w:basedOn w:val="DefaultParagraphFont"/>
    <w:link w:val="Footer"/>
    <w:uiPriority w:val="99"/>
    <w:rsid w:val="00C10C10"/>
  </w:style>
  <w:style w:type="paragraph" w:styleId="Revision">
    <w:name w:val="Revision"/>
    <w:hidden/>
    <w:uiPriority w:val="99"/>
    <w:semiHidden/>
    <w:rsid w:val="0071051C"/>
    <w:pPr>
      <w:widowControl/>
      <w:ind w:left="425" w:hanging="425"/>
    </w:pPr>
    <w:rPr>
      <w:rFonts w:ascii="Calibri" w:eastAsia="Calibri" w:hAnsi="Calibri" w:cs="Times New Roman"/>
      <w:lang w:val="en-GB"/>
    </w:rPr>
  </w:style>
  <w:style w:type="paragraph" w:customStyle="1" w:styleId="ColorfulList-Accent11">
    <w:name w:val="Colorful List - Accent 11"/>
    <w:basedOn w:val="Normal"/>
    <w:uiPriority w:val="34"/>
    <w:qFormat/>
    <w:rsid w:val="0071051C"/>
    <w:pPr>
      <w:widowControl/>
      <w:ind w:left="720" w:hanging="425"/>
      <w:contextualSpacing/>
    </w:pPr>
    <w:rPr>
      <w:rFonts w:ascii="Calibri" w:eastAsia="Calibri" w:hAnsi="Calibri" w:cs="Times New Roman"/>
      <w:lang w:val="en-GB"/>
    </w:rPr>
  </w:style>
  <w:style w:type="character" w:styleId="Hyperlink">
    <w:name w:val="Hyperlink"/>
    <w:basedOn w:val="DefaultParagraphFont"/>
    <w:uiPriority w:val="99"/>
    <w:unhideWhenUsed/>
    <w:rsid w:val="0071051C"/>
    <w:rPr>
      <w:color w:val="0000FF" w:themeColor="hyperlink"/>
      <w:u w:val="single"/>
    </w:rPr>
  </w:style>
  <w:style w:type="table" w:styleId="TableGrid">
    <w:name w:val="Table Grid"/>
    <w:basedOn w:val="TableNormal"/>
    <w:uiPriority w:val="59"/>
    <w:rsid w:val="0071051C"/>
    <w:pPr>
      <w:widowControl/>
      <w:ind w:left="425" w:hanging="425"/>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051C"/>
    <w:pPr>
      <w:widowControl/>
      <w:ind w:left="425" w:hanging="425"/>
    </w:pPr>
    <w:rPr>
      <w:rFonts w:ascii="Calibri" w:eastAsia="Calibri" w:hAnsi="Calibri" w:cs="Times New Roman"/>
      <w:lang w:val="en-GB"/>
    </w:rPr>
  </w:style>
  <w:style w:type="character" w:styleId="FollowedHyperlink">
    <w:name w:val="FollowedHyperlink"/>
    <w:basedOn w:val="DefaultParagraphFont"/>
    <w:uiPriority w:val="99"/>
    <w:semiHidden/>
    <w:unhideWhenUsed/>
    <w:rsid w:val="0071051C"/>
    <w:rPr>
      <w:color w:val="800080" w:themeColor="followedHyperlink"/>
      <w:u w:val="single"/>
    </w:rPr>
  </w:style>
  <w:style w:type="character" w:customStyle="1" w:styleId="Heading1Char">
    <w:name w:val="Heading 1 Char"/>
    <w:basedOn w:val="DefaultParagraphFont"/>
    <w:link w:val="Heading1"/>
    <w:uiPriority w:val="1"/>
    <w:rsid w:val="0071051C"/>
    <w:rPr>
      <w:rFonts w:ascii="Calibri" w:eastAsia="Calibri" w:hAnsi="Calibri"/>
      <w:b/>
      <w:bCs/>
      <w:sz w:val="28"/>
      <w:szCs w:val="28"/>
    </w:rPr>
  </w:style>
  <w:style w:type="character" w:customStyle="1" w:styleId="BodyTextChar">
    <w:name w:val="Body Text Char"/>
    <w:basedOn w:val="DefaultParagraphFont"/>
    <w:link w:val="BodyText"/>
    <w:uiPriority w:val="1"/>
    <w:rsid w:val="0071051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3607">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0265258">
      <w:bodyDiv w:val="1"/>
      <w:marLeft w:val="0"/>
      <w:marRight w:val="0"/>
      <w:marTop w:val="0"/>
      <w:marBottom w:val="0"/>
      <w:divBdr>
        <w:top w:val="none" w:sz="0" w:space="0" w:color="auto"/>
        <w:left w:val="none" w:sz="0" w:space="0" w:color="auto"/>
        <w:bottom w:val="none" w:sz="0" w:space="0" w:color="auto"/>
        <w:right w:val="none" w:sz="0" w:space="0" w:color="auto"/>
      </w:divBdr>
    </w:div>
    <w:div w:id="92360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F093-7505-4226-A0C3-F9B3AB04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2469</Words>
  <Characters>15064</Characters>
  <Application>Microsoft Office Word</Application>
  <DocSecurity>4</DocSecurity>
  <Lines>278</Lines>
  <Paragraphs>66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2</cp:revision>
  <dcterms:created xsi:type="dcterms:W3CDTF">2018-07-21T15:32:00Z</dcterms:created>
  <dcterms:modified xsi:type="dcterms:W3CDTF">2018-07-21T15:32:00Z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2018-04-26T00:00:00Z</vt:filetime>
  </property>
</Properties>
</file>