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55CCE" w14:textId="77777777" w:rsidR="00A10400" w:rsidRPr="00717EE0" w:rsidRDefault="00A10400" w:rsidP="00A10400">
      <w:pPr>
        <w:ind w:right="14"/>
        <w:jc w:val="center"/>
        <w:outlineLvl w:val="0"/>
        <w:rPr>
          <w:rFonts w:cstheme="majorHAnsi"/>
          <w:b/>
          <w:bCs/>
          <w:sz w:val="24"/>
          <w:szCs w:val="24"/>
          <w:lang w:val="fr-FR"/>
        </w:rPr>
      </w:pPr>
      <w:r w:rsidRPr="00717EE0">
        <w:rPr>
          <w:rFonts w:cstheme="majorHAnsi"/>
          <w:b/>
          <w:bCs/>
          <w:noProof/>
          <w:sz w:val="24"/>
          <w:szCs w:val="24"/>
          <w:lang w:eastAsia="en-GB"/>
        </w:rPr>
        <w:drawing>
          <wp:anchor distT="0" distB="0" distL="114300" distR="114300" simplePos="0" relativeHeight="251659264" behindDoc="1" locked="0" layoutInCell="1" allowOverlap="1" wp14:anchorId="35CC0B05" wp14:editId="6FCF871F">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717EE0">
        <w:rPr>
          <w:rFonts w:cstheme="majorHAnsi"/>
          <w:b/>
          <w:bCs/>
          <w:sz w:val="24"/>
          <w:szCs w:val="24"/>
          <w:lang w:val="fr-FR"/>
        </w:rPr>
        <w:t>13</w:t>
      </w:r>
      <w:r w:rsidRPr="00717EE0">
        <w:rPr>
          <w:rFonts w:cstheme="majorHAnsi"/>
          <w:b/>
          <w:bCs/>
          <w:sz w:val="24"/>
          <w:szCs w:val="24"/>
          <w:vertAlign w:val="superscript"/>
          <w:lang w:val="fr-FR"/>
        </w:rPr>
        <w:t>e</w:t>
      </w:r>
      <w:r w:rsidRPr="00717EE0">
        <w:rPr>
          <w:rFonts w:cstheme="majorHAnsi"/>
          <w:b/>
          <w:bCs/>
          <w:sz w:val="24"/>
          <w:szCs w:val="24"/>
          <w:lang w:val="fr-FR"/>
        </w:rPr>
        <w:t xml:space="preserve"> Session de la Conférence des Parties contractantes </w:t>
      </w:r>
    </w:p>
    <w:p w14:paraId="07D5EE48" w14:textId="77777777" w:rsidR="00A10400" w:rsidRPr="00717EE0" w:rsidRDefault="00A10400" w:rsidP="00A10400">
      <w:pPr>
        <w:ind w:right="14"/>
        <w:jc w:val="center"/>
        <w:outlineLvl w:val="0"/>
        <w:rPr>
          <w:rFonts w:cstheme="majorHAnsi"/>
          <w:b/>
          <w:bCs/>
          <w:sz w:val="24"/>
          <w:szCs w:val="24"/>
          <w:lang w:val="fr-FR"/>
        </w:rPr>
      </w:pPr>
      <w:r w:rsidRPr="00717EE0">
        <w:rPr>
          <w:rFonts w:cstheme="majorHAnsi"/>
          <w:b/>
          <w:bCs/>
          <w:sz w:val="24"/>
          <w:szCs w:val="24"/>
          <w:lang w:val="fr-FR"/>
        </w:rPr>
        <w:t>à la Convention de Ramsar sur les zones humides</w:t>
      </w:r>
    </w:p>
    <w:p w14:paraId="3522F069" w14:textId="77777777" w:rsidR="00A10400" w:rsidRPr="0016013A" w:rsidRDefault="00A10400" w:rsidP="00A10400">
      <w:pPr>
        <w:ind w:right="14"/>
        <w:jc w:val="center"/>
        <w:outlineLvl w:val="0"/>
        <w:rPr>
          <w:rFonts w:cstheme="majorHAnsi"/>
          <w:b/>
          <w:bCs/>
          <w:lang w:val="fr-FR"/>
        </w:rPr>
      </w:pPr>
    </w:p>
    <w:p w14:paraId="186DC516" w14:textId="77777777" w:rsidR="00A10400" w:rsidRPr="00717EE0" w:rsidRDefault="00A10400" w:rsidP="00A10400">
      <w:pPr>
        <w:ind w:right="14"/>
        <w:jc w:val="center"/>
        <w:outlineLvl w:val="0"/>
        <w:rPr>
          <w:rFonts w:cstheme="majorHAnsi"/>
          <w:b/>
          <w:bCs/>
          <w:sz w:val="24"/>
          <w:szCs w:val="24"/>
          <w:lang w:val="fr-FR"/>
        </w:rPr>
      </w:pPr>
      <w:r w:rsidRPr="00717EE0">
        <w:rPr>
          <w:rFonts w:cstheme="majorHAnsi"/>
          <w:b/>
          <w:bCs/>
          <w:sz w:val="24"/>
          <w:szCs w:val="24"/>
          <w:lang w:val="fr-FR"/>
        </w:rPr>
        <w:t>« Les zones humides pour un avenir urbain durable »</w:t>
      </w:r>
    </w:p>
    <w:p w14:paraId="462EA7C5" w14:textId="77777777" w:rsidR="00A10400" w:rsidRPr="0016013A" w:rsidRDefault="00A10400" w:rsidP="00A10400">
      <w:pPr>
        <w:ind w:right="14"/>
        <w:jc w:val="center"/>
        <w:outlineLvl w:val="0"/>
        <w:rPr>
          <w:rFonts w:cstheme="majorHAnsi"/>
          <w:b/>
          <w:bCs/>
          <w:lang w:val="fr-FR"/>
        </w:rPr>
      </w:pPr>
      <w:r w:rsidRPr="00717EE0">
        <w:rPr>
          <w:rFonts w:cstheme="majorHAnsi"/>
          <w:b/>
          <w:bCs/>
          <w:sz w:val="24"/>
          <w:szCs w:val="24"/>
          <w:lang w:val="fr-FR"/>
        </w:rPr>
        <w:t>Dubaï, Émirats arabes unis, 21 au 29 octobre 2018</w:t>
      </w:r>
    </w:p>
    <w:p w14:paraId="06E7150D" w14:textId="77777777" w:rsidR="00A10400" w:rsidRDefault="00A10400" w:rsidP="00A10400">
      <w:pPr>
        <w:ind w:right="17"/>
        <w:jc w:val="center"/>
        <w:outlineLvl w:val="0"/>
        <w:rPr>
          <w:rFonts w:cstheme="majorHAnsi"/>
          <w:b/>
          <w:bCs/>
          <w:sz w:val="28"/>
          <w:szCs w:val="28"/>
          <w:lang w:val="fr-FR"/>
        </w:rPr>
      </w:pPr>
    </w:p>
    <w:p w14:paraId="6A1F3716" w14:textId="77777777" w:rsidR="00A10400" w:rsidRDefault="00A10400" w:rsidP="00A10400">
      <w:pPr>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A10400" w:rsidRPr="0016013A" w14:paraId="265B1C01" w14:textId="77777777" w:rsidTr="005860CA">
        <w:tc>
          <w:tcPr>
            <w:tcW w:w="4708" w:type="dxa"/>
          </w:tcPr>
          <w:p w14:paraId="4A913D01" w14:textId="77777777" w:rsidR="00A10400" w:rsidRPr="0016013A" w:rsidRDefault="00A10400" w:rsidP="005860CA">
            <w:pPr>
              <w:ind w:right="17"/>
              <w:jc w:val="center"/>
              <w:outlineLvl w:val="0"/>
              <w:rPr>
                <w:rFonts w:cstheme="majorHAnsi"/>
                <w:b/>
                <w:bCs/>
                <w:lang w:val="fr-FR"/>
              </w:rPr>
            </w:pPr>
          </w:p>
        </w:tc>
        <w:tc>
          <w:tcPr>
            <w:tcW w:w="4652" w:type="dxa"/>
          </w:tcPr>
          <w:p w14:paraId="40DE2C6D" w14:textId="07E6997E" w:rsidR="00A10400" w:rsidRPr="00717EE0" w:rsidRDefault="00847296" w:rsidP="00A10400">
            <w:pPr>
              <w:ind w:right="67"/>
              <w:jc w:val="right"/>
              <w:outlineLvl w:val="0"/>
              <w:rPr>
                <w:rFonts w:cstheme="majorHAnsi"/>
                <w:b/>
                <w:bCs/>
                <w:sz w:val="24"/>
                <w:szCs w:val="24"/>
                <w:lang w:val="fr-FR"/>
              </w:rPr>
            </w:pPr>
            <w:r w:rsidRPr="00847296">
              <w:rPr>
                <w:rFonts w:cstheme="majorHAnsi"/>
                <w:b/>
                <w:bCs/>
                <w:sz w:val="24"/>
                <w:szCs w:val="24"/>
                <w:lang w:val="fr-FR"/>
              </w:rPr>
              <w:t>Ramsar COP13 Doc.18.8</w:t>
            </w:r>
          </w:p>
        </w:tc>
      </w:tr>
    </w:tbl>
    <w:p w14:paraId="104E1401" w14:textId="77777777" w:rsidR="00A10400" w:rsidRPr="0016013A" w:rsidRDefault="00A10400" w:rsidP="00A10400">
      <w:pPr>
        <w:rPr>
          <w:b/>
          <w:sz w:val="28"/>
          <w:szCs w:val="28"/>
          <w:lang w:val="fr-FR"/>
        </w:rPr>
      </w:pPr>
    </w:p>
    <w:p w14:paraId="03E2B772" w14:textId="6AC7E0AD" w:rsidR="00DF2386" w:rsidRPr="00324E19" w:rsidRDefault="00A10400" w:rsidP="00847296">
      <w:pPr>
        <w:tabs>
          <w:tab w:val="center" w:pos="4513"/>
          <w:tab w:val="left" w:pos="6547"/>
        </w:tabs>
        <w:ind w:left="0" w:firstLine="0"/>
        <w:jc w:val="center"/>
        <w:rPr>
          <w:rFonts w:cs="Arial"/>
          <w:b/>
          <w:sz w:val="28"/>
          <w:szCs w:val="28"/>
          <w:lang w:val="fr-FR"/>
        </w:rPr>
      </w:pPr>
      <w:r w:rsidRPr="0016013A">
        <w:rPr>
          <w:b/>
          <w:sz w:val="28"/>
          <w:szCs w:val="28"/>
          <w:lang w:val="fr-FR"/>
        </w:rPr>
        <w:t xml:space="preserve">Projet de résolution </w:t>
      </w:r>
      <w:r w:rsidR="00847296">
        <w:rPr>
          <w:b/>
          <w:sz w:val="28"/>
          <w:szCs w:val="28"/>
          <w:lang w:val="fr-FR"/>
        </w:rPr>
        <w:t xml:space="preserve">sur les </w:t>
      </w:r>
      <w:r w:rsidR="000E1EFA" w:rsidRPr="00324E19">
        <w:rPr>
          <w:rFonts w:cs="Arial"/>
          <w:b/>
          <w:sz w:val="28"/>
          <w:szCs w:val="28"/>
          <w:lang w:val="fr-FR"/>
        </w:rPr>
        <w:t>Initiatives</w:t>
      </w:r>
      <w:r w:rsidR="00324E19" w:rsidRPr="00324E19">
        <w:rPr>
          <w:rFonts w:cs="Arial"/>
          <w:b/>
          <w:sz w:val="28"/>
          <w:szCs w:val="28"/>
          <w:lang w:val="fr-FR"/>
        </w:rPr>
        <w:t xml:space="preserve"> régionales Ramsar</w:t>
      </w:r>
      <w:r>
        <w:rPr>
          <w:rFonts w:cs="Arial"/>
          <w:b/>
          <w:sz w:val="28"/>
          <w:szCs w:val="28"/>
          <w:lang w:val="fr-FR"/>
        </w:rPr>
        <w:t xml:space="preserve"> </w:t>
      </w:r>
      <w:r w:rsidR="004A5F5B" w:rsidRPr="00324E19">
        <w:rPr>
          <w:rFonts w:cs="Arial"/>
          <w:b/>
          <w:sz w:val="28"/>
          <w:szCs w:val="28"/>
          <w:lang w:val="fr-FR"/>
        </w:rPr>
        <w:t>2019-2021</w:t>
      </w:r>
      <w:r w:rsidR="00F55404" w:rsidRPr="00324E19">
        <w:rPr>
          <w:rFonts w:cs="Arial"/>
          <w:b/>
          <w:sz w:val="28"/>
          <w:szCs w:val="28"/>
          <w:lang w:val="fr-FR"/>
        </w:rPr>
        <w:t xml:space="preserve"> </w:t>
      </w:r>
      <w:r w:rsidR="00847296">
        <w:rPr>
          <w:rFonts w:cs="Arial"/>
          <w:b/>
          <w:sz w:val="28"/>
          <w:szCs w:val="28"/>
          <w:lang w:val="fr-FR"/>
        </w:rPr>
        <w:br/>
      </w:r>
      <w:r w:rsidR="00324E19" w:rsidRPr="00324E19">
        <w:rPr>
          <w:rFonts w:cs="Arial"/>
          <w:b/>
          <w:sz w:val="28"/>
          <w:szCs w:val="28"/>
          <w:lang w:val="fr-FR"/>
        </w:rPr>
        <w:t xml:space="preserve">et </w:t>
      </w:r>
      <w:r>
        <w:rPr>
          <w:rFonts w:cs="Arial"/>
          <w:b/>
          <w:sz w:val="28"/>
          <w:szCs w:val="28"/>
          <w:lang w:val="fr-FR"/>
        </w:rPr>
        <w:t xml:space="preserve">leur </w:t>
      </w:r>
      <w:r w:rsidR="00324E19" w:rsidRPr="00324E19">
        <w:rPr>
          <w:rFonts w:cs="Arial"/>
          <w:b/>
          <w:sz w:val="28"/>
          <w:szCs w:val="28"/>
          <w:lang w:val="fr-FR"/>
        </w:rPr>
        <w:t>Cadre opérationnel</w:t>
      </w:r>
    </w:p>
    <w:p w14:paraId="2BA44E3B" w14:textId="77777777" w:rsidR="00DF2386" w:rsidRDefault="00DF2386" w:rsidP="00BF7A4E">
      <w:pPr>
        <w:rPr>
          <w:rFonts w:ascii="Garamond" w:hAnsi="Garamond" w:cs="Arial"/>
          <w:lang w:val="fr-FR"/>
        </w:rPr>
      </w:pPr>
    </w:p>
    <w:p w14:paraId="237663BB" w14:textId="77777777" w:rsidR="00A10400" w:rsidRDefault="00A10400" w:rsidP="00BF7A4E">
      <w:pPr>
        <w:rPr>
          <w:rFonts w:ascii="Garamond" w:hAnsi="Garamond" w:cs="Arial"/>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847296" w:rsidRPr="00847296" w14:paraId="3091F8E8" w14:textId="77777777" w:rsidTr="00FA38D5">
        <w:tc>
          <w:tcPr>
            <w:tcW w:w="9360" w:type="dxa"/>
          </w:tcPr>
          <w:p w14:paraId="1E60889E" w14:textId="77777777" w:rsidR="00847296" w:rsidRPr="00DF669C" w:rsidRDefault="00847296" w:rsidP="00847296">
            <w:pPr>
              <w:rPr>
                <w:b/>
                <w:bCs/>
                <w:lang w:val="fr-CA"/>
              </w:rPr>
            </w:pPr>
            <w:r>
              <w:rPr>
                <w:b/>
                <w:bCs/>
                <w:lang w:val="fr-CA"/>
              </w:rPr>
              <w:t>Note du Secrétariat</w:t>
            </w:r>
          </w:p>
          <w:p w14:paraId="7865EA70" w14:textId="77777777" w:rsidR="00847296" w:rsidRPr="00DF669C" w:rsidRDefault="00847296" w:rsidP="00847296">
            <w:pPr>
              <w:pStyle w:val="ColorfulList-Accent11"/>
              <w:ind w:left="0"/>
              <w:rPr>
                <w:lang w:val="fr-CA"/>
              </w:rPr>
            </w:pPr>
          </w:p>
          <w:p w14:paraId="6A67F0E9" w14:textId="3D65F3EB" w:rsidR="00847296" w:rsidRPr="00847296" w:rsidRDefault="00847296" w:rsidP="00847296">
            <w:pPr>
              <w:pStyle w:val="ColorfulList-Accent11"/>
              <w:ind w:left="0"/>
              <w:rPr>
                <w:rFonts w:cs="Calibri"/>
                <w:lang w:val="fr-CA"/>
              </w:rPr>
            </w:pPr>
            <w:r>
              <w:rPr>
                <w:rFonts w:cstheme="majorHAnsi"/>
                <w:lang w:val="fr-CA"/>
              </w:rPr>
              <w:t xml:space="preserve">DD </w:t>
            </w:r>
            <w:r>
              <w:rPr>
                <w:rFonts w:cstheme="majorHAnsi"/>
                <w:lang w:val="fr-CA"/>
              </w:rPr>
              <w:tab/>
              <w:t>Dans la Décision SC54-30, l</w:t>
            </w:r>
            <w:r w:rsidRPr="009C4013">
              <w:rPr>
                <w:rFonts w:cstheme="majorHAnsi"/>
                <w:lang w:val="fr-CA"/>
              </w:rPr>
              <w:t xml:space="preserve">e Comité permanent </w:t>
            </w:r>
            <w:r>
              <w:rPr>
                <w:rFonts w:cstheme="majorHAnsi"/>
                <w:lang w:val="fr-CA"/>
              </w:rPr>
              <w:t xml:space="preserve">a donné instruction au Secrétariat </w:t>
            </w:r>
            <w:r w:rsidRPr="00733571">
              <w:rPr>
                <w:rFonts w:cstheme="majorHAnsi"/>
                <w:lang w:val="fr-CA"/>
              </w:rPr>
              <w:t>de réviser, finaliser et publier le projet de résolution contenu dans le document</w:t>
            </w:r>
            <w:r>
              <w:rPr>
                <w:rFonts w:cstheme="majorHAnsi"/>
                <w:lang w:val="fr-CA"/>
              </w:rPr>
              <w:t xml:space="preserve"> </w:t>
            </w:r>
            <w:r w:rsidRPr="00F51E83">
              <w:rPr>
                <w:rFonts w:cstheme="majorHAnsi"/>
                <w:bCs/>
                <w:lang w:val="fr-FR"/>
              </w:rPr>
              <w:t>SC54-Com.11 et son annexe pour examen à la COP13, avec le texte du projet de résolution et celui de l’annexe placés entre crochets, mais sans autre amendement, notant que les opinions très diverses des Parties nécessitent des discussions plus approfondies à la COP</w:t>
            </w:r>
            <w:r>
              <w:rPr>
                <w:rFonts w:cstheme="majorHAnsi"/>
                <w:bCs/>
                <w:lang w:val="fr-FR"/>
              </w:rPr>
              <w:t>.</w:t>
            </w:r>
          </w:p>
        </w:tc>
      </w:tr>
    </w:tbl>
    <w:p w14:paraId="0FDCC0AC" w14:textId="77777777" w:rsidR="00A10400" w:rsidRPr="00847296" w:rsidRDefault="00A10400" w:rsidP="00BF7A4E">
      <w:pPr>
        <w:rPr>
          <w:rFonts w:ascii="Garamond" w:hAnsi="Garamond" w:cs="Arial"/>
          <w:lang w:val="fr-FR"/>
        </w:rPr>
      </w:pPr>
    </w:p>
    <w:p w14:paraId="717BEB08" w14:textId="77777777" w:rsidR="009E0AE8" w:rsidRPr="00847296" w:rsidRDefault="009E0AE8" w:rsidP="00BF7A4E">
      <w:pPr>
        <w:rPr>
          <w:rFonts w:cs="Arial"/>
          <w:b/>
          <w:lang w:val="fr-FR"/>
        </w:rPr>
      </w:pPr>
    </w:p>
    <w:p w14:paraId="62A13917" w14:textId="56F43B6E" w:rsidR="00F86EF4" w:rsidRPr="00546D9F" w:rsidRDefault="00B21A0F" w:rsidP="00DE18C3">
      <w:pPr>
        <w:pStyle w:val="BodyText"/>
        <w:widowControl/>
        <w:ind w:left="425" w:hanging="425"/>
        <w:rPr>
          <w:lang w:val="fr-CA"/>
        </w:rPr>
      </w:pPr>
      <w:r>
        <w:rPr>
          <w:spacing w:val="-1"/>
          <w:lang w:val="fr-CA"/>
        </w:rPr>
        <w:t>[</w:t>
      </w:r>
      <w:r w:rsidR="00DE18C3" w:rsidRPr="00546D9F">
        <w:rPr>
          <w:spacing w:val="-1"/>
          <w:lang w:val="fr-CA"/>
        </w:rPr>
        <w:t>1.</w:t>
      </w:r>
      <w:r w:rsidR="00DE18C3" w:rsidRPr="00546D9F">
        <w:rPr>
          <w:spacing w:val="-1"/>
          <w:lang w:val="fr-CA"/>
        </w:rPr>
        <w:tab/>
      </w:r>
      <w:r w:rsidR="00B451EB">
        <w:rPr>
          <w:spacing w:val="-1"/>
          <w:lang w:val="fr-CA"/>
        </w:rPr>
        <w:t xml:space="preserve">RAPPELANT que les Initiatives régionales dans le cadre de la Convention de Ramsar, qui comprennent des centres régionaux pour la formation et le renforcement des capacités et des réseaux régionaux facilitant la coopération, sont conçues comme des moyens opérationnels de fournir un appui efficace pour une </w:t>
      </w:r>
      <w:r w:rsidR="003C40FB">
        <w:rPr>
          <w:spacing w:val="-1"/>
          <w:lang w:val="fr-CA"/>
        </w:rPr>
        <w:t>mise en œuvre</w:t>
      </w:r>
      <w:r w:rsidR="00B451EB">
        <w:rPr>
          <w:spacing w:val="-1"/>
          <w:lang w:val="fr-CA"/>
        </w:rPr>
        <w:t xml:space="preserve"> améliorée de la Convention et de son Plan stratégique dans des régions géographiques </w:t>
      </w:r>
      <w:r w:rsidR="0011341E">
        <w:rPr>
          <w:spacing w:val="-1"/>
          <w:lang w:val="fr-CA"/>
        </w:rPr>
        <w:t>données</w:t>
      </w:r>
      <w:r w:rsidR="00B451EB">
        <w:rPr>
          <w:spacing w:val="-1"/>
          <w:lang w:val="fr-CA"/>
        </w:rPr>
        <w:t xml:space="preserve">, dans le cadre de la coopération internationale aux questions relatives aux zones humides d’intérêt commun; </w:t>
      </w:r>
    </w:p>
    <w:p w14:paraId="5E181F77" w14:textId="77777777" w:rsidR="00F86EF4" w:rsidRPr="00546D9F" w:rsidRDefault="00F86EF4" w:rsidP="00DE18C3">
      <w:pPr>
        <w:spacing w:before="1"/>
        <w:rPr>
          <w:rFonts w:cs="Calibri"/>
          <w:lang w:val="fr-CA"/>
        </w:rPr>
      </w:pPr>
    </w:p>
    <w:p w14:paraId="5E7BF896" w14:textId="340C33EB" w:rsidR="00F86EF4" w:rsidRPr="00546D9F" w:rsidRDefault="00DE18C3" w:rsidP="00CC7C98">
      <w:pPr>
        <w:pStyle w:val="BodyText"/>
        <w:ind w:left="434"/>
        <w:rPr>
          <w:lang w:val="fr-CA"/>
        </w:rPr>
      </w:pPr>
      <w:r w:rsidRPr="00546D9F">
        <w:rPr>
          <w:spacing w:val="-1"/>
          <w:lang w:val="fr-CA"/>
        </w:rPr>
        <w:t>2.</w:t>
      </w:r>
      <w:r w:rsidRPr="00546D9F">
        <w:rPr>
          <w:spacing w:val="-1"/>
          <w:lang w:val="fr-CA"/>
        </w:rPr>
        <w:tab/>
      </w:r>
      <w:r w:rsidR="00B451EB">
        <w:rPr>
          <w:spacing w:val="-1"/>
          <w:lang w:val="fr-CA"/>
        </w:rPr>
        <w:t>RAPPELANT AUSSI que la Conférence des Parties contractantes a reconnu l’</w:t>
      </w:r>
      <w:r w:rsidR="00C951B5">
        <w:rPr>
          <w:spacing w:val="-1"/>
          <w:lang w:val="fr-CA"/>
        </w:rPr>
        <w:t>importance des Initiatives régionales pour la promotion des objectifs de la Convention dans la Résolution </w:t>
      </w:r>
      <w:r w:rsidR="00B21A0F">
        <w:rPr>
          <w:spacing w:val="-1"/>
          <w:lang w:val="fr-CA"/>
        </w:rPr>
        <w:t>VIII.30</w:t>
      </w:r>
      <w:r w:rsidR="00A25B0F" w:rsidRPr="00546D9F">
        <w:rPr>
          <w:spacing w:val="-1"/>
          <w:lang w:val="fr-CA"/>
        </w:rPr>
        <w:t>,</w:t>
      </w:r>
      <w:r w:rsidR="00196D8A" w:rsidRPr="00546D9F">
        <w:rPr>
          <w:spacing w:val="-1"/>
          <w:lang w:val="fr-CA"/>
        </w:rPr>
        <w:t xml:space="preserve"> </w:t>
      </w:r>
      <w:r w:rsidR="00A25B0F" w:rsidRPr="00546D9F">
        <w:rPr>
          <w:i/>
          <w:spacing w:val="-1"/>
          <w:lang w:val="fr-CA"/>
        </w:rPr>
        <w:t>Initiatives régionales pour renforcer la mise en œuvre de la Convention</w:t>
      </w:r>
      <w:r w:rsidR="00F86EF4" w:rsidRPr="00546D9F">
        <w:rPr>
          <w:spacing w:val="-1"/>
          <w:lang w:val="fr-CA"/>
        </w:rPr>
        <w:t xml:space="preserve">, </w:t>
      </w:r>
      <w:r w:rsidR="00A25B0F" w:rsidRPr="00546D9F">
        <w:rPr>
          <w:spacing w:val="-1"/>
          <w:lang w:val="fr-CA"/>
        </w:rPr>
        <w:t>la Ré</w:t>
      </w:r>
      <w:r w:rsidR="00196D8A" w:rsidRPr="00546D9F">
        <w:rPr>
          <w:spacing w:val="-1"/>
          <w:lang w:val="fr-CA"/>
        </w:rPr>
        <w:t xml:space="preserve">solution </w:t>
      </w:r>
      <w:r w:rsidR="00F86EF4" w:rsidRPr="00546D9F">
        <w:rPr>
          <w:spacing w:val="-1"/>
          <w:lang w:val="fr-CA"/>
        </w:rPr>
        <w:t>IX.7</w:t>
      </w:r>
      <w:r w:rsidR="00A25B0F" w:rsidRPr="00546D9F">
        <w:rPr>
          <w:spacing w:val="-1"/>
          <w:lang w:val="fr-CA"/>
        </w:rPr>
        <w:t>,</w:t>
      </w:r>
      <w:r w:rsidR="00867988" w:rsidRPr="00546D9F">
        <w:rPr>
          <w:spacing w:val="-1"/>
          <w:lang w:val="fr-CA"/>
        </w:rPr>
        <w:t xml:space="preserve"> </w:t>
      </w:r>
      <w:r w:rsidR="007F33DC" w:rsidRPr="00546D9F">
        <w:rPr>
          <w:i/>
          <w:spacing w:val="-1"/>
          <w:lang w:val="fr-CA"/>
        </w:rPr>
        <w:t>Initiatives régionales dans le cadre de la Convention de Ramsar</w:t>
      </w:r>
      <w:r w:rsidR="00F86EF4" w:rsidRPr="00546D9F">
        <w:rPr>
          <w:spacing w:val="-1"/>
          <w:lang w:val="fr-CA"/>
        </w:rPr>
        <w:t>,</w:t>
      </w:r>
      <w:r w:rsidR="00A25B0F" w:rsidRPr="00546D9F">
        <w:rPr>
          <w:spacing w:val="-1"/>
          <w:lang w:val="fr-CA"/>
        </w:rPr>
        <w:t xml:space="preserve"> la</w:t>
      </w:r>
      <w:r w:rsidR="00F86EF4" w:rsidRPr="00546D9F">
        <w:rPr>
          <w:spacing w:val="-2"/>
          <w:lang w:val="fr-CA"/>
        </w:rPr>
        <w:t xml:space="preserve"> </w:t>
      </w:r>
      <w:r w:rsidR="00867988" w:rsidRPr="00546D9F">
        <w:rPr>
          <w:spacing w:val="-2"/>
          <w:lang w:val="fr-CA"/>
        </w:rPr>
        <w:t>R</w:t>
      </w:r>
      <w:r w:rsidR="00A25B0F" w:rsidRPr="00546D9F">
        <w:rPr>
          <w:spacing w:val="-2"/>
          <w:lang w:val="fr-CA"/>
        </w:rPr>
        <w:t>é</w:t>
      </w:r>
      <w:r w:rsidR="00867988" w:rsidRPr="00546D9F">
        <w:rPr>
          <w:spacing w:val="-2"/>
          <w:lang w:val="fr-CA"/>
        </w:rPr>
        <w:t xml:space="preserve">solution </w:t>
      </w:r>
      <w:r w:rsidR="00B21A0F">
        <w:rPr>
          <w:spacing w:val="-1"/>
          <w:lang w:val="fr-CA"/>
        </w:rPr>
        <w:t>X.6</w:t>
      </w:r>
      <w:r w:rsidR="00A25B0F" w:rsidRPr="00546D9F">
        <w:rPr>
          <w:spacing w:val="-1"/>
          <w:lang w:val="fr-CA"/>
        </w:rPr>
        <w:t xml:space="preserve">, </w:t>
      </w:r>
      <w:r w:rsidR="007F33DC" w:rsidRPr="00546D9F">
        <w:rPr>
          <w:i/>
          <w:spacing w:val="-1"/>
          <w:lang w:val="fr-CA"/>
        </w:rPr>
        <w:t>Initiatives régionales 2009-2012 dans le cadre de la Convention de Ramsar</w:t>
      </w:r>
      <w:r w:rsidR="00F86EF4" w:rsidRPr="00546D9F">
        <w:rPr>
          <w:lang w:val="fr-CA"/>
        </w:rPr>
        <w:t xml:space="preserve">, </w:t>
      </w:r>
      <w:r w:rsidR="00A25B0F" w:rsidRPr="00546D9F">
        <w:rPr>
          <w:lang w:val="fr-CA"/>
        </w:rPr>
        <w:t>la Ré</w:t>
      </w:r>
      <w:r w:rsidR="00867988" w:rsidRPr="00546D9F">
        <w:rPr>
          <w:lang w:val="fr-CA"/>
        </w:rPr>
        <w:t xml:space="preserve">solution </w:t>
      </w:r>
      <w:r w:rsidR="00F86EF4" w:rsidRPr="00546D9F">
        <w:rPr>
          <w:spacing w:val="-1"/>
          <w:lang w:val="fr-CA"/>
        </w:rPr>
        <w:t>XI.5</w:t>
      </w:r>
      <w:r w:rsidR="00A25B0F" w:rsidRPr="00546D9F">
        <w:rPr>
          <w:spacing w:val="-1"/>
          <w:lang w:val="fr-CA"/>
        </w:rPr>
        <w:t>,</w:t>
      </w:r>
      <w:r w:rsidR="003B37AC" w:rsidRPr="00546D9F">
        <w:rPr>
          <w:spacing w:val="-1"/>
          <w:lang w:val="fr-CA"/>
        </w:rPr>
        <w:t xml:space="preserve"> </w:t>
      </w:r>
      <w:r w:rsidR="007F33DC" w:rsidRPr="00546D9F">
        <w:rPr>
          <w:i/>
          <w:spacing w:val="-1"/>
          <w:lang w:val="fr-CA"/>
        </w:rPr>
        <w:t>Initiatives ré</w:t>
      </w:r>
      <w:r w:rsidR="00867988" w:rsidRPr="00546D9F">
        <w:rPr>
          <w:i/>
          <w:spacing w:val="-1"/>
          <w:lang w:val="fr-CA"/>
        </w:rPr>
        <w:t>gional</w:t>
      </w:r>
      <w:r w:rsidR="007F33DC" w:rsidRPr="00546D9F">
        <w:rPr>
          <w:i/>
          <w:spacing w:val="-1"/>
          <w:lang w:val="fr-CA"/>
        </w:rPr>
        <w:t>es</w:t>
      </w:r>
      <w:r w:rsidR="00867988" w:rsidRPr="00546D9F">
        <w:rPr>
          <w:i/>
          <w:spacing w:val="-1"/>
          <w:lang w:val="fr-CA"/>
        </w:rPr>
        <w:t xml:space="preserve"> 2013-2015 </w:t>
      </w:r>
      <w:r w:rsidR="007F33DC" w:rsidRPr="00546D9F">
        <w:rPr>
          <w:i/>
          <w:spacing w:val="-1"/>
          <w:lang w:val="fr-CA"/>
        </w:rPr>
        <w:t>dans le cadre de la Convention de Ramsar</w:t>
      </w:r>
      <w:r w:rsidR="00F86EF4" w:rsidRPr="00546D9F">
        <w:rPr>
          <w:spacing w:val="-1"/>
          <w:lang w:val="fr-CA"/>
        </w:rPr>
        <w:t xml:space="preserve"> </w:t>
      </w:r>
      <w:r w:rsidR="00A25B0F" w:rsidRPr="00546D9F">
        <w:rPr>
          <w:spacing w:val="-1"/>
          <w:lang w:val="fr-CA"/>
        </w:rPr>
        <w:t>et la Ré</w:t>
      </w:r>
      <w:r w:rsidR="00867988" w:rsidRPr="00546D9F">
        <w:rPr>
          <w:spacing w:val="-1"/>
          <w:lang w:val="fr-CA"/>
        </w:rPr>
        <w:t>solution</w:t>
      </w:r>
      <w:r w:rsidR="00B21A0F">
        <w:rPr>
          <w:spacing w:val="-1"/>
          <w:lang w:val="fr-CA"/>
        </w:rPr>
        <w:t xml:space="preserve"> XII.8</w:t>
      </w:r>
      <w:r w:rsidR="00A25B0F" w:rsidRPr="00546D9F">
        <w:rPr>
          <w:spacing w:val="-1"/>
          <w:lang w:val="fr-CA"/>
        </w:rPr>
        <w:t>,</w:t>
      </w:r>
      <w:r w:rsidR="00867988" w:rsidRPr="00546D9F">
        <w:rPr>
          <w:spacing w:val="-1"/>
          <w:lang w:val="fr-CA"/>
        </w:rPr>
        <w:t xml:space="preserve"> </w:t>
      </w:r>
      <w:r w:rsidR="007F33DC" w:rsidRPr="00546D9F">
        <w:rPr>
          <w:i/>
          <w:spacing w:val="-1"/>
          <w:lang w:val="fr-CA"/>
        </w:rPr>
        <w:t xml:space="preserve">Initiatives régionales </w:t>
      </w:r>
      <w:r w:rsidR="00867988" w:rsidRPr="00546D9F">
        <w:rPr>
          <w:i/>
          <w:spacing w:val="-1"/>
          <w:lang w:val="fr-CA"/>
        </w:rPr>
        <w:t xml:space="preserve">2016-2018 </w:t>
      </w:r>
      <w:r w:rsidR="007F33DC" w:rsidRPr="00546D9F">
        <w:rPr>
          <w:i/>
          <w:spacing w:val="-1"/>
          <w:lang w:val="fr-CA"/>
        </w:rPr>
        <w:t>dans le cadre de la Convention de Ramsar</w:t>
      </w:r>
      <w:r w:rsidR="00F86EF4" w:rsidRPr="00546D9F">
        <w:rPr>
          <w:spacing w:val="-1"/>
          <w:lang w:val="fr-CA"/>
        </w:rPr>
        <w:t>,</w:t>
      </w:r>
      <w:r w:rsidR="00F86EF4" w:rsidRPr="00546D9F">
        <w:rPr>
          <w:lang w:val="fr-CA"/>
        </w:rPr>
        <w:t xml:space="preserve"> </w:t>
      </w:r>
      <w:r w:rsidR="003C6DC2">
        <w:rPr>
          <w:lang w:val="fr-CA"/>
        </w:rPr>
        <w:t>et qu’à la</w:t>
      </w:r>
      <w:r w:rsidR="000B5976" w:rsidRPr="00546D9F">
        <w:rPr>
          <w:spacing w:val="-3"/>
          <w:lang w:val="fr-CA"/>
        </w:rPr>
        <w:t xml:space="preserve"> COP12 </w:t>
      </w:r>
      <w:r w:rsidR="003C6DC2">
        <w:rPr>
          <w:spacing w:val="-3"/>
          <w:lang w:val="fr-CA"/>
        </w:rPr>
        <w:t xml:space="preserve">(Punta del Este, 2015), la Conférence des Parties a approuvé plusieurs Initiatives régionales fonctionnant dans le cadre de la Convention en </w:t>
      </w:r>
      <w:r w:rsidR="00F86EF4" w:rsidRPr="00546D9F">
        <w:rPr>
          <w:spacing w:val="-1"/>
          <w:lang w:val="fr-CA"/>
        </w:rPr>
        <w:t>2016-2018;</w:t>
      </w:r>
    </w:p>
    <w:p w14:paraId="54FC82F5" w14:textId="77777777" w:rsidR="00F86EF4" w:rsidRPr="00546D9F" w:rsidRDefault="00F86EF4" w:rsidP="00DE18C3">
      <w:pPr>
        <w:spacing w:before="1"/>
        <w:rPr>
          <w:rFonts w:cs="Calibri"/>
          <w:lang w:val="fr-CA"/>
        </w:rPr>
      </w:pPr>
    </w:p>
    <w:p w14:paraId="7638E37E" w14:textId="67FC1400" w:rsidR="00F86EF4" w:rsidRPr="00546D9F" w:rsidRDefault="00DE18C3" w:rsidP="00DE18C3">
      <w:pPr>
        <w:pStyle w:val="BodyText"/>
        <w:widowControl/>
        <w:spacing w:line="239" w:lineRule="auto"/>
        <w:ind w:left="425" w:hanging="425"/>
        <w:rPr>
          <w:spacing w:val="1"/>
          <w:lang w:val="fr-CA"/>
        </w:rPr>
      </w:pPr>
      <w:r w:rsidRPr="00546D9F">
        <w:rPr>
          <w:spacing w:val="-1"/>
          <w:lang w:val="fr-CA"/>
        </w:rPr>
        <w:t>3.</w:t>
      </w:r>
      <w:r w:rsidRPr="00546D9F">
        <w:rPr>
          <w:spacing w:val="-1"/>
          <w:lang w:val="fr-CA"/>
        </w:rPr>
        <w:tab/>
      </w:r>
      <w:r w:rsidR="00B21A0F">
        <w:rPr>
          <w:spacing w:val="-1"/>
          <w:lang w:val="fr-CA"/>
        </w:rPr>
        <w:t>RAPPELANT EN OUTRE</w:t>
      </w:r>
      <w:r w:rsidR="003C6DC2">
        <w:rPr>
          <w:spacing w:val="-1"/>
          <w:lang w:val="fr-CA"/>
        </w:rPr>
        <w:t xml:space="preserve"> qu</w:t>
      </w:r>
      <w:r w:rsidR="00B21A0F">
        <w:rPr>
          <w:spacing w:val="-1"/>
          <w:lang w:val="fr-CA"/>
        </w:rPr>
        <w:t>’à sa 12</w:t>
      </w:r>
      <w:r w:rsidR="00B21A0F" w:rsidRPr="00B21A0F">
        <w:rPr>
          <w:spacing w:val="-1"/>
          <w:vertAlign w:val="superscript"/>
          <w:lang w:val="fr-CA"/>
        </w:rPr>
        <w:t>e</w:t>
      </w:r>
      <w:r w:rsidR="00B21A0F">
        <w:rPr>
          <w:spacing w:val="-1"/>
          <w:lang w:val="fr-CA"/>
        </w:rPr>
        <w:t xml:space="preserve"> Session, la Conférence des Parties contractantes a chargé</w:t>
      </w:r>
      <w:r w:rsidR="00F86EF4" w:rsidRPr="00546D9F">
        <w:rPr>
          <w:lang w:val="fr-CA"/>
        </w:rPr>
        <w:t xml:space="preserve"> </w:t>
      </w:r>
      <w:r w:rsidR="003C6DC2">
        <w:rPr>
          <w:lang w:val="fr-CA"/>
        </w:rPr>
        <w:t>le Comité permanent</w:t>
      </w:r>
      <w:r w:rsidR="00B21A0F">
        <w:rPr>
          <w:lang w:val="fr-CA"/>
        </w:rPr>
        <w:t xml:space="preserve">, dans la Résolution XII.8, d’entreprendre l’examen </w:t>
      </w:r>
      <w:r w:rsidR="00B21A0F" w:rsidRPr="00B21A0F">
        <w:rPr>
          <w:lang w:val="fr-CA"/>
        </w:rPr>
        <w:t xml:space="preserve">des </w:t>
      </w:r>
      <w:r w:rsidR="003C6DC2" w:rsidRPr="00B21A0F">
        <w:rPr>
          <w:spacing w:val="-1"/>
          <w:lang w:val="fr-CA"/>
        </w:rPr>
        <w:t xml:space="preserve">Directives opérationnelles pour les </w:t>
      </w:r>
      <w:r w:rsidR="0011341E" w:rsidRPr="00B21A0F">
        <w:rPr>
          <w:spacing w:val="-1"/>
          <w:lang w:val="fr-CA"/>
        </w:rPr>
        <w:t>I</w:t>
      </w:r>
      <w:r w:rsidR="003C6DC2" w:rsidRPr="00B21A0F">
        <w:rPr>
          <w:spacing w:val="-1"/>
          <w:lang w:val="fr-CA"/>
        </w:rPr>
        <w:t>nitiatives régionales</w:t>
      </w:r>
      <w:r w:rsidR="003C6DC2">
        <w:rPr>
          <w:i/>
          <w:spacing w:val="-1"/>
          <w:lang w:val="fr-CA"/>
        </w:rPr>
        <w:t xml:space="preserve"> </w:t>
      </w:r>
      <w:r w:rsidR="00B21A0F">
        <w:rPr>
          <w:spacing w:val="-1"/>
          <w:lang w:val="fr-CA"/>
        </w:rPr>
        <w:t>en vigueur et de formuler des recommandations en vue de les améliorer et que les travaux entrepris ont conduit au Cadre opérationnel qui figure en annexe 1 à la présente Résolution</w:t>
      </w:r>
      <w:r w:rsidR="003C6DC2">
        <w:rPr>
          <w:lang w:val="fr-CA"/>
        </w:rPr>
        <w:t xml:space="preserve">; </w:t>
      </w:r>
      <w:r w:rsidR="003C6DC2">
        <w:rPr>
          <w:spacing w:val="-1"/>
          <w:lang w:val="fr-CA"/>
        </w:rPr>
        <w:t>et</w:t>
      </w:r>
    </w:p>
    <w:p w14:paraId="7F7C4797" w14:textId="77777777" w:rsidR="00F86EF4" w:rsidRPr="00546D9F" w:rsidRDefault="00F86EF4" w:rsidP="00DE18C3">
      <w:pPr>
        <w:spacing w:before="12"/>
        <w:rPr>
          <w:rFonts w:cs="Calibri"/>
          <w:sz w:val="24"/>
          <w:szCs w:val="24"/>
          <w:lang w:val="fr-CA"/>
        </w:rPr>
      </w:pPr>
    </w:p>
    <w:p w14:paraId="5DD35E92" w14:textId="058C3273" w:rsidR="00F86EF4" w:rsidRPr="00546D9F" w:rsidRDefault="00DE18C3" w:rsidP="00DE18C3">
      <w:pPr>
        <w:pStyle w:val="BodyText"/>
        <w:widowControl/>
        <w:ind w:left="425" w:hanging="425"/>
        <w:rPr>
          <w:lang w:val="fr-CA"/>
        </w:rPr>
      </w:pPr>
      <w:r w:rsidRPr="00546D9F">
        <w:rPr>
          <w:spacing w:val="-1"/>
          <w:lang w:val="fr-CA"/>
        </w:rPr>
        <w:t>4.</w:t>
      </w:r>
      <w:r w:rsidRPr="00546D9F">
        <w:rPr>
          <w:spacing w:val="-1"/>
          <w:lang w:val="fr-CA"/>
        </w:rPr>
        <w:tab/>
      </w:r>
      <w:r w:rsidR="003C6DC2">
        <w:rPr>
          <w:spacing w:val="-1"/>
          <w:lang w:val="fr-CA"/>
        </w:rPr>
        <w:t xml:space="preserve">TENANT COMPTE de l’expérience </w:t>
      </w:r>
      <w:r w:rsidR="003F1522">
        <w:rPr>
          <w:spacing w:val="-1"/>
          <w:lang w:val="fr-CA"/>
        </w:rPr>
        <w:t>acquise</w:t>
      </w:r>
      <w:r w:rsidR="003C6DC2">
        <w:rPr>
          <w:spacing w:val="-1"/>
          <w:lang w:val="fr-CA"/>
        </w:rPr>
        <w:t xml:space="preserve"> durant les années </w:t>
      </w:r>
      <w:r w:rsidR="003F1522">
        <w:rPr>
          <w:spacing w:val="-1"/>
          <w:lang w:val="fr-CA"/>
        </w:rPr>
        <w:t>de fonctionnement</w:t>
      </w:r>
      <w:r w:rsidR="003C6DC2">
        <w:rPr>
          <w:spacing w:val="-1"/>
          <w:lang w:val="fr-CA"/>
        </w:rPr>
        <w:t xml:space="preserve"> de</w:t>
      </w:r>
      <w:r w:rsidR="00B21A0F">
        <w:rPr>
          <w:spacing w:val="-1"/>
          <w:lang w:val="fr-CA"/>
        </w:rPr>
        <w:t>s</w:t>
      </w:r>
      <w:r w:rsidR="003C6DC2">
        <w:rPr>
          <w:spacing w:val="-1"/>
          <w:lang w:val="fr-CA"/>
        </w:rPr>
        <w:t xml:space="preserve"> Initiatives régionales, de l’application des </w:t>
      </w:r>
      <w:r w:rsidR="003C6DC2" w:rsidRPr="00B21A0F">
        <w:rPr>
          <w:spacing w:val="-1"/>
          <w:lang w:val="fr-CA"/>
        </w:rPr>
        <w:t>Directives opérationnelles</w:t>
      </w:r>
      <w:r w:rsidR="00F86EF4" w:rsidRPr="00546D9F">
        <w:rPr>
          <w:spacing w:val="-1"/>
          <w:lang w:val="fr-CA"/>
        </w:rPr>
        <w:t xml:space="preserve"> </w:t>
      </w:r>
      <w:r w:rsidR="003C6DC2">
        <w:rPr>
          <w:spacing w:val="-1"/>
          <w:lang w:val="fr-CA"/>
        </w:rPr>
        <w:t xml:space="preserve">pour sélectionner et </w:t>
      </w:r>
      <w:r w:rsidR="004B2D2C">
        <w:rPr>
          <w:spacing w:val="-1"/>
          <w:lang w:val="fr-CA"/>
        </w:rPr>
        <w:t>soutenir</w:t>
      </w:r>
      <w:r w:rsidR="003C6DC2">
        <w:rPr>
          <w:spacing w:val="-1"/>
          <w:lang w:val="fr-CA"/>
        </w:rPr>
        <w:t xml:space="preserve"> les Initiatives</w:t>
      </w:r>
      <w:r w:rsidR="0011341E" w:rsidRPr="0011341E">
        <w:rPr>
          <w:lang w:val="fr-CA"/>
        </w:rPr>
        <w:t xml:space="preserve"> </w:t>
      </w:r>
      <w:r w:rsidR="0011341E">
        <w:rPr>
          <w:lang w:val="fr-CA"/>
        </w:rPr>
        <w:t>régionales</w:t>
      </w:r>
      <w:r w:rsidR="003C6DC2">
        <w:rPr>
          <w:spacing w:val="-1"/>
          <w:lang w:val="fr-CA"/>
        </w:rPr>
        <w:t>, et des conclusions tirées de l’évaluation de leur efficacité</w:t>
      </w:r>
      <w:r w:rsidR="00F86EF4" w:rsidRPr="00546D9F">
        <w:rPr>
          <w:spacing w:val="-1"/>
          <w:lang w:val="fr-CA"/>
        </w:rPr>
        <w:t>;</w:t>
      </w:r>
    </w:p>
    <w:p w14:paraId="10DFE47A" w14:textId="77777777" w:rsidR="00F86EF4" w:rsidRPr="00546D9F" w:rsidRDefault="00F86EF4" w:rsidP="00BF7A4E">
      <w:pPr>
        <w:ind w:left="567" w:hanging="567"/>
        <w:rPr>
          <w:rFonts w:cs="Calibri"/>
          <w:lang w:val="fr-CA"/>
        </w:rPr>
      </w:pPr>
    </w:p>
    <w:p w14:paraId="784CE333" w14:textId="1DC51777" w:rsidR="00F86EF4" w:rsidRPr="00546D9F" w:rsidRDefault="00546D9F" w:rsidP="00BF7A4E">
      <w:pPr>
        <w:pStyle w:val="BodyText"/>
        <w:widowControl/>
        <w:ind w:left="575" w:right="294" w:firstLine="0"/>
        <w:jc w:val="center"/>
        <w:rPr>
          <w:spacing w:val="-1"/>
          <w:lang w:val="fr-CA"/>
        </w:rPr>
      </w:pPr>
      <w:r>
        <w:rPr>
          <w:spacing w:val="-1"/>
          <w:lang w:val="fr-CA"/>
        </w:rPr>
        <w:t>LA CONFÉRENCE DES PARTIES CONTRACTANTES</w:t>
      </w:r>
    </w:p>
    <w:p w14:paraId="38B51549" w14:textId="77777777" w:rsidR="00F86EF4" w:rsidRPr="00546D9F" w:rsidRDefault="00F86EF4" w:rsidP="00BF7A4E">
      <w:pPr>
        <w:pStyle w:val="BodyText"/>
        <w:widowControl/>
        <w:ind w:left="575" w:right="294" w:firstLine="0"/>
        <w:jc w:val="center"/>
        <w:rPr>
          <w:lang w:val="fr-CA"/>
        </w:rPr>
      </w:pPr>
    </w:p>
    <w:p w14:paraId="15FE71CE" w14:textId="6A01D587" w:rsidR="00F86EF4" w:rsidRPr="00546D9F" w:rsidRDefault="00DE18C3" w:rsidP="00DE18C3">
      <w:pPr>
        <w:pStyle w:val="BodyText"/>
        <w:widowControl/>
        <w:ind w:left="425" w:hanging="425"/>
        <w:rPr>
          <w:spacing w:val="-1"/>
          <w:lang w:val="fr-CA"/>
        </w:rPr>
      </w:pPr>
      <w:r w:rsidRPr="00546D9F">
        <w:rPr>
          <w:spacing w:val="-1"/>
          <w:lang w:val="fr-CA"/>
        </w:rPr>
        <w:t>5.</w:t>
      </w:r>
      <w:r w:rsidRPr="00546D9F">
        <w:rPr>
          <w:spacing w:val="-1"/>
          <w:lang w:val="fr-CA"/>
        </w:rPr>
        <w:tab/>
      </w:r>
      <w:r w:rsidR="00F86EF4" w:rsidRPr="00546D9F">
        <w:rPr>
          <w:spacing w:val="-1"/>
          <w:lang w:val="fr-CA"/>
        </w:rPr>
        <w:t>R</w:t>
      </w:r>
      <w:r w:rsidR="004B2D2C">
        <w:rPr>
          <w:spacing w:val="-1"/>
          <w:lang w:val="fr-CA"/>
        </w:rPr>
        <w:t>ÉAFFIRME l’efficacité de la coopération régionale dans le cadre des réseaux et centres regroupés sous le nom d’Initiatives régionales Ramsar (IRR) pour soutenir une application améliorée de la Convention sur les zones humides et de son Plan stratégique 2016</w:t>
      </w:r>
      <w:r w:rsidR="004B2D2C">
        <w:rPr>
          <w:spacing w:val="-1"/>
          <w:lang w:val="fr-CA"/>
        </w:rPr>
        <w:noBreakHyphen/>
        <w:t xml:space="preserve">2024. </w:t>
      </w:r>
    </w:p>
    <w:p w14:paraId="5D60AEF8" w14:textId="77777777" w:rsidR="006A6327" w:rsidRPr="00546D9F" w:rsidRDefault="006A6327" w:rsidP="00BF7A4E">
      <w:pPr>
        <w:pStyle w:val="BodyText"/>
        <w:widowControl/>
        <w:tabs>
          <w:tab w:val="left" w:pos="548"/>
        </w:tabs>
        <w:spacing w:before="36"/>
        <w:ind w:right="920" w:firstLine="0"/>
        <w:jc w:val="right"/>
        <w:rPr>
          <w:lang w:val="fr-CA"/>
        </w:rPr>
      </w:pPr>
    </w:p>
    <w:p w14:paraId="612556B4" w14:textId="2609647D" w:rsidR="008E3844" w:rsidRPr="00546D9F" w:rsidRDefault="00DE18C3" w:rsidP="00DE18C3">
      <w:pPr>
        <w:pStyle w:val="BodyText"/>
        <w:widowControl/>
        <w:ind w:left="425" w:hanging="425"/>
        <w:rPr>
          <w:spacing w:val="-1"/>
          <w:lang w:val="fr-CA"/>
        </w:rPr>
      </w:pPr>
      <w:r w:rsidRPr="00546D9F">
        <w:rPr>
          <w:spacing w:val="-1"/>
          <w:lang w:val="fr-CA"/>
        </w:rPr>
        <w:t>6.</w:t>
      </w:r>
      <w:r w:rsidRPr="00546D9F">
        <w:rPr>
          <w:spacing w:val="-1"/>
          <w:lang w:val="fr-CA"/>
        </w:rPr>
        <w:tab/>
      </w:r>
      <w:r w:rsidR="006A6327" w:rsidRPr="00546D9F">
        <w:rPr>
          <w:spacing w:val="-1"/>
          <w:lang w:val="fr-CA"/>
        </w:rPr>
        <w:t>ADOPT</w:t>
      </w:r>
      <w:r w:rsidR="004B2D2C">
        <w:rPr>
          <w:spacing w:val="-1"/>
          <w:lang w:val="fr-CA"/>
        </w:rPr>
        <w:t xml:space="preserve">E le </w:t>
      </w:r>
      <w:r w:rsidR="004B2D2C" w:rsidRPr="00B21A0F">
        <w:rPr>
          <w:spacing w:val="-1"/>
          <w:lang w:val="fr-CA"/>
        </w:rPr>
        <w:t>Cadre opérationnel pour les Initiatives régionales Ramsar</w:t>
      </w:r>
      <w:r w:rsidR="0032078D" w:rsidRPr="00546D9F">
        <w:rPr>
          <w:spacing w:val="-1"/>
          <w:lang w:val="fr-CA"/>
        </w:rPr>
        <w:t>,</w:t>
      </w:r>
      <w:r w:rsidR="006A6327" w:rsidRPr="00546D9F">
        <w:rPr>
          <w:spacing w:val="-1"/>
          <w:lang w:val="fr-CA"/>
        </w:rPr>
        <w:t xml:space="preserve"> </w:t>
      </w:r>
      <w:r w:rsidR="004B2D2C">
        <w:rPr>
          <w:spacing w:val="-1"/>
          <w:lang w:val="fr-CA"/>
        </w:rPr>
        <w:t>qui figure en annexe à la présente Résolution, et qui remplace toutes les versions précédentes d’orientation</w:t>
      </w:r>
      <w:r w:rsidR="0083679E">
        <w:rPr>
          <w:spacing w:val="-1"/>
          <w:lang w:val="fr-CA"/>
        </w:rPr>
        <w:t>s et de Direct</w:t>
      </w:r>
      <w:r w:rsidR="00300B22">
        <w:rPr>
          <w:spacing w:val="-1"/>
          <w:lang w:val="fr-CA"/>
        </w:rPr>
        <w:t>iv</w:t>
      </w:r>
      <w:r w:rsidR="0083679E">
        <w:rPr>
          <w:spacing w:val="-1"/>
          <w:lang w:val="fr-CA"/>
        </w:rPr>
        <w:t xml:space="preserve">es opérationnelles pour les Initiatives régionales Ramsar. </w:t>
      </w:r>
      <w:r w:rsidR="004B2D2C">
        <w:rPr>
          <w:spacing w:val="-1"/>
          <w:lang w:val="fr-CA"/>
        </w:rPr>
        <w:t xml:space="preserve"> </w:t>
      </w:r>
    </w:p>
    <w:p w14:paraId="707C25D5" w14:textId="77777777" w:rsidR="008E3844" w:rsidRPr="00546D9F" w:rsidRDefault="008E3844" w:rsidP="00DE18C3">
      <w:pPr>
        <w:pStyle w:val="BodyText"/>
        <w:widowControl/>
        <w:ind w:left="425" w:hanging="425"/>
        <w:rPr>
          <w:spacing w:val="-1"/>
          <w:lang w:val="fr-CA"/>
        </w:rPr>
      </w:pPr>
    </w:p>
    <w:p w14:paraId="65C4528A" w14:textId="11311B7F" w:rsidR="006A6327" w:rsidRPr="00546D9F" w:rsidRDefault="00DE18C3" w:rsidP="00DE18C3">
      <w:pPr>
        <w:pStyle w:val="BodyText"/>
        <w:widowControl/>
        <w:ind w:left="425" w:hanging="425"/>
        <w:rPr>
          <w:spacing w:val="-1"/>
          <w:lang w:val="fr-CA"/>
        </w:rPr>
      </w:pPr>
      <w:r w:rsidRPr="00546D9F">
        <w:rPr>
          <w:spacing w:val="-1"/>
          <w:lang w:val="fr-CA"/>
        </w:rPr>
        <w:t>7.</w:t>
      </w:r>
      <w:r w:rsidRPr="00546D9F">
        <w:rPr>
          <w:spacing w:val="-1"/>
          <w:lang w:val="fr-CA"/>
        </w:rPr>
        <w:tab/>
      </w:r>
      <w:r w:rsidR="0083679E">
        <w:rPr>
          <w:spacing w:val="-1"/>
          <w:lang w:val="fr-CA"/>
        </w:rPr>
        <w:t xml:space="preserve">DÉCIDE que toute </w:t>
      </w:r>
      <w:r w:rsidR="00B21A0F">
        <w:rPr>
          <w:spacing w:val="-1"/>
          <w:lang w:val="fr-CA"/>
        </w:rPr>
        <w:t>i</w:t>
      </w:r>
      <w:r w:rsidR="0083679E">
        <w:rPr>
          <w:spacing w:val="-1"/>
          <w:lang w:val="fr-CA"/>
        </w:rPr>
        <w:t xml:space="preserve">nitiative régionale dirigée conjointement par plusieurs Parties contractantes pour une application améliorée de la Convention doit remplir les conditions figurant dans le </w:t>
      </w:r>
      <w:r w:rsidR="0083679E">
        <w:rPr>
          <w:i/>
          <w:spacing w:val="-1"/>
          <w:lang w:val="fr-CA"/>
        </w:rPr>
        <w:t xml:space="preserve">Cadre opérationnel </w:t>
      </w:r>
      <w:r w:rsidR="0083679E">
        <w:rPr>
          <w:spacing w:val="-1"/>
          <w:lang w:val="fr-CA"/>
        </w:rPr>
        <w:t>ci</w:t>
      </w:r>
      <w:r w:rsidR="0083679E">
        <w:rPr>
          <w:spacing w:val="-1"/>
          <w:lang w:val="fr-CA"/>
        </w:rPr>
        <w:noBreakHyphen/>
        <w:t>joint afin d’être officiellement reconnu</w:t>
      </w:r>
      <w:r w:rsidR="00B1111B">
        <w:rPr>
          <w:spacing w:val="-1"/>
          <w:lang w:val="fr-CA"/>
        </w:rPr>
        <w:t>e</w:t>
      </w:r>
      <w:r w:rsidR="0083679E">
        <w:rPr>
          <w:spacing w:val="-1"/>
          <w:lang w:val="fr-CA"/>
        </w:rPr>
        <w:t xml:space="preserve"> dans le cadre de la Convention, comme une Initiative régionale Ramsar. </w:t>
      </w:r>
    </w:p>
    <w:p w14:paraId="379F6335" w14:textId="77777777" w:rsidR="00F86EF4" w:rsidRPr="00546D9F" w:rsidRDefault="00F86EF4" w:rsidP="00BF7A4E">
      <w:pPr>
        <w:pStyle w:val="ListParagraph"/>
        <w:rPr>
          <w:rFonts w:cs="Calibri"/>
          <w:lang w:val="fr-CA"/>
        </w:rPr>
      </w:pPr>
    </w:p>
    <w:p w14:paraId="78ADB161" w14:textId="2E208CCC" w:rsidR="0032078D" w:rsidRPr="00546D9F" w:rsidRDefault="00DE18C3" w:rsidP="00DE18C3">
      <w:pPr>
        <w:pStyle w:val="BodyText"/>
        <w:widowControl/>
        <w:ind w:left="425" w:hanging="425"/>
        <w:rPr>
          <w:spacing w:val="-1"/>
          <w:lang w:val="fr-CA"/>
        </w:rPr>
      </w:pPr>
      <w:r w:rsidRPr="00546D9F">
        <w:rPr>
          <w:spacing w:val="-1"/>
          <w:lang w:val="fr-CA"/>
        </w:rPr>
        <w:t>8.</w:t>
      </w:r>
      <w:r w:rsidRPr="00546D9F">
        <w:rPr>
          <w:spacing w:val="-1"/>
          <w:lang w:val="fr-CA"/>
        </w:rPr>
        <w:tab/>
      </w:r>
      <w:r w:rsidR="0083679E">
        <w:rPr>
          <w:spacing w:val="-1"/>
          <w:lang w:val="fr-CA"/>
        </w:rPr>
        <w:t>DEMANDE aux Parties contractantes qui participent à toute I</w:t>
      </w:r>
      <w:r w:rsidR="00FC6489">
        <w:rPr>
          <w:spacing w:val="-1"/>
          <w:lang w:val="fr-CA"/>
        </w:rPr>
        <w:t>RR</w:t>
      </w:r>
      <w:r w:rsidR="0083679E">
        <w:rPr>
          <w:spacing w:val="-1"/>
          <w:lang w:val="fr-CA"/>
        </w:rPr>
        <w:t xml:space="preserve"> actuelle ou future de s’efforcer d’assurer la pleine conformité de l’IRR avec le </w:t>
      </w:r>
      <w:r w:rsidR="0083679E" w:rsidRPr="00FC6489">
        <w:rPr>
          <w:spacing w:val="-1"/>
          <w:lang w:val="fr-CA"/>
        </w:rPr>
        <w:t>Cadre opérationnel</w:t>
      </w:r>
      <w:r w:rsidR="0083679E">
        <w:rPr>
          <w:i/>
          <w:spacing w:val="-1"/>
          <w:lang w:val="fr-CA"/>
        </w:rPr>
        <w:t xml:space="preserve"> </w:t>
      </w:r>
      <w:r w:rsidR="0083679E">
        <w:rPr>
          <w:spacing w:val="-1"/>
          <w:lang w:val="fr-CA"/>
        </w:rPr>
        <w:t>ci</w:t>
      </w:r>
      <w:r w:rsidR="0083679E">
        <w:rPr>
          <w:spacing w:val="-1"/>
          <w:lang w:val="fr-CA"/>
        </w:rPr>
        <w:noBreakHyphen/>
        <w:t>joint.</w:t>
      </w:r>
    </w:p>
    <w:p w14:paraId="3A7AE13B" w14:textId="77777777" w:rsidR="0032078D" w:rsidRPr="00546D9F" w:rsidRDefault="0032078D" w:rsidP="00DE18C3">
      <w:pPr>
        <w:pStyle w:val="BodyText"/>
        <w:widowControl/>
        <w:ind w:left="425" w:hanging="425"/>
        <w:rPr>
          <w:spacing w:val="-1"/>
          <w:lang w:val="fr-CA"/>
        </w:rPr>
      </w:pPr>
    </w:p>
    <w:p w14:paraId="7A56DDCA" w14:textId="77777777" w:rsidR="00FC6489" w:rsidRDefault="00DE18C3" w:rsidP="00DE18C3">
      <w:pPr>
        <w:pStyle w:val="BodyText"/>
        <w:widowControl/>
        <w:ind w:left="425" w:hanging="425"/>
        <w:rPr>
          <w:spacing w:val="-1"/>
          <w:lang w:val="fr-CA"/>
        </w:rPr>
      </w:pPr>
      <w:r w:rsidRPr="00546D9F">
        <w:rPr>
          <w:spacing w:val="-1"/>
          <w:lang w:val="fr-CA"/>
        </w:rPr>
        <w:t>9.</w:t>
      </w:r>
      <w:r w:rsidRPr="00546D9F">
        <w:rPr>
          <w:spacing w:val="-1"/>
          <w:lang w:val="fr-CA"/>
        </w:rPr>
        <w:tab/>
      </w:r>
      <w:r w:rsidR="0083679E">
        <w:rPr>
          <w:spacing w:val="-1"/>
          <w:lang w:val="fr-CA"/>
        </w:rPr>
        <w:t>APPROUVE les I</w:t>
      </w:r>
      <w:r w:rsidR="00FC6489">
        <w:rPr>
          <w:spacing w:val="-1"/>
          <w:lang w:val="fr-CA"/>
        </w:rPr>
        <w:t>RR</w:t>
      </w:r>
      <w:r w:rsidR="0083679E">
        <w:rPr>
          <w:spacing w:val="-1"/>
          <w:lang w:val="fr-CA"/>
        </w:rPr>
        <w:t xml:space="preserve"> existantes, énumérées ci</w:t>
      </w:r>
      <w:r w:rsidR="0083679E">
        <w:rPr>
          <w:spacing w:val="-1"/>
          <w:lang w:val="fr-CA"/>
        </w:rPr>
        <w:noBreakHyphen/>
        <w:t>dessous comme fonctionnant dans le cadre de la Convention sur les zones humides jusqu’à la 14</w:t>
      </w:r>
      <w:r w:rsidR="0083679E" w:rsidRPr="0083679E">
        <w:rPr>
          <w:spacing w:val="-1"/>
          <w:vertAlign w:val="superscript"/>
          <w:lang w:val="fr-CA"/>
        </w:rPr>
        <w:t>e</w:t>
      </w:r>
      <w:r w:rsidR="0083679E">
        <w:rPr>
          <w:spacing w:val="-1"/>
          <w:lang w:val="fr-CA"/>
        </w:rPr>
        <w:t> Session de la Conférence des Parties</w:t>
      </w:r>
      <w:r w:rsidR="00FC6489">
        <w:rPr>
          <w:spacing w:val="-1"/>
          <w:lang w:val="fr-CA"/>
        </w:rPr>
        <w:t xml:space="preserve"> contractantes (COP14)</w:t>
      </w:r>
      <w:r w:rsidR="0083679E">
        <w:rPr>
          <w:spacing w:val="-1"/>
          <w:lang w:val="fr-CA"/>
        </w:rPr>
        <w:t>. Cette liste comprend :</w:t>
      </w:r>
    </w:p>
    <w:p w14:paraId="6AAA956F" w14:textId="71878152" w:rsidR="003C5EDB" w:rsidRPr="00546D9F" w:rsidRDefault="0083679E" w:rsidP="00DE18C3">
      <w:pPr>
        <w:pStyle w:val="BodyText"/>
        <w:widowControl/>
        <w:ind w:left="425" w:hanging="425"/>
        <w:rPr>
          <w:spacing w:val="-1"/>
          <w:lang w:val="fr-CA"/>
        </w:rPr>
      </w:pPr>
      <w:r>
        <w:rPr>
          <w:spacing w:val="-1"/>
          <w:lang w:val="fr-CA"/>
        </w:rPr>
        <w:t xml:space="preserve"> </w:t>
      </w:r>
      <w:r w:rsidR="00F86EF4" w:rsidRPr="00546D9F">
        <w:rPr>
          <w:spacing w:val="-1"/>
          <w:lang w:val="fr-CA"/>
        </w:rPr>
        <w:t xml:space="preserve"> </w:t>
      </w:r>
    </w:p>
    <w:p w14:paraId="171F6C2D" w14:textId="4C0CB48D" w:rsidR="00F86EF4" w:rsidRPr="00EA2857" w:rsidRDefault="00EA2857" w:rsidP="00DE18C3">
      <w:pPr>
        <w:ind w:firstLine="0"/>
        <w:rPr>
          <w:rFonts w:cs="Calibri"/>
          <w:lang w:val="fr-FR"/>
        </w:rPr>
      </w:pPr>
      <w:r w:rsidRPr="00EA2857">
        <w:rPr>
          <w:rFonts w:cs="Calibri"/>
          <w:lang w:val="fr-FR"/>
        </w:rPr>
        <w:t>Quatre centres régionaux</w:t>
      </w:r>
      <w:r w:rsidR="00F86EF4" w:rsidRPr="00EA2857">
        <w:rPr>
          <w:rFonts w:cs="Calibri"/>
          <w:lang w:val="fr-FR"/>
        </w:rPr>
        <w:t xml:space="preserve"> Ramsar </w:t>
      </w:r>
      <w:r w:rsidRPr="00EA2857">
        <w:rPr>
          <w:rFonts w:cs="Calibri"/>
          <w:lang w:val="fr-FR"/>
        </w:rPr>
        <w:t xml:space="preserve">pour la formation et le renforcement des capacités </w:t>
      </w:r>
      <w:r w:rsidR="00F86EF4" w:rsidRPr="00EA2857">
        <w:rPr>
          <w:rFonts w:cs="Calibri"/>
          <w:lang w:val="fr-FR"/>
        </w:rPr>
        <w:t xml:space="preserve">: </w:t>
      </w:r>
    </w:p>
    <w:p w14:paraId="5526CA8A" w14:textId="77777777" w:rsidR="009A4B16" w:rsidRPr="009A4B16" w:rsidRDefault="009A4B16" w:rsidP="009A4B16">
      <w:pPr>
        <w:pStyle w:val="ListParagraph"/>
        <w:numPr>
          <w:ilvl w:val="0"/>
          <w:numId w:val="37"/>
        </w:numPr>
        <w:rPr>
          <w:rFonts w:cs="Calibri"/>
          <w:lang w:val="fr-FR"/>
        </w:rPr>
      </w:pPr>
      <w:r w:rsidRPr="009A4B16">
        <w:rPr>
          <w:rFonts w:cs="Calibri"/>
          <w:lang w:val="fr-FR"/>
        </w:rPr>
        <w:t>Centre Ramsar pour l’Afrique de l’Est (RAMCEA);</w:t>
      </w:r>
    </w:p>
    <w:p w14:paraId="4C350086" w14:textId="0EF5A280" w:rsidR="009A4B16" w:rsidRPr="009A4B16" w:rsidRDefault="009A4B16" w:rsidP="009A4B16">
      <w:pPr>
        <w:pStyle w:val="ListParagraph"/>
        <w:numPr>
          <w:ilvl w:val="0"/>
          <w:numId w:val="37"/>
        </w:numPr>
        <w:rPr>
          <w:rFonts w:cs="Calibri"/>
          <w:lang w:val="fr-FR"/>
        </w:rPr>
      </w:pPr>
      <w:r w:rsidRPr="009A4B16">
        <w:rPr>
          <w:rFonts w:cs="Calibri"/>
          <w:lang w:val="fr-FR"/>
        </w:rPr>
        <w:t>Centre régional Ramsar pour la formation et la recherche sur les zones humides de l’hémisphère occidental (CREHO);</w:t>
      </w:r>
    </w:p>
    <w:p w14:paraId="28620034" w14:textId="0067BC0E" w:rsidR="009A4B16" w:rsidRPr="009A4B16" w:rsidRDefault="009A4B16" w:rsidP="009A4B16">
      <w:pPr>
        <w:pStyle w:val="ListParagraph"/>
        <w:numPr>
          <w:ilvl w:val="0"/>
          <w:numId w:val="37"/>
        </w:numPr>
        <w:rPr>
          <w:rFonts w:cs="Calibri"/>
          <w:lang w:val="fr-FR"/>
        </w:rPr>
      </w:pPr>
      <w:r w:rsidRPr="009A4B16">
        <w:rPr>
          <w:rFonts w:cs="Calibri"/>
          <w:lang w:val="fr-FR"/>
        </w:rPr>
        <w:t>Centre régional Ramsar – Asie centrale et de l’Ouest (RRC-CWA);</w:t>
      </w:r>
    </w:p>
    <w:p w14:paraId="6883F183" w14:textId="094A69EF" w:rsidR="00F86EF4" w:rsidRPr="009A4B16" w:rsidRDefault="009A4B16" w:rsidP="009A4B16">
      <w:pPr>
        <w:pStyle w:val="ListParagraph"/>
        <w:numPr>
          <w:ilvl w:val="0"/>
          <w:numId w:val="37"/>
        </w:numPr>
        <w:contextualSpacing w:val="0"/>
        <w:rPr>
          <w:rFonts w:cs="Calibri"/>
          <w:lang w:val="fr-FR"/>
        </w:rPr>
      </w:pPr>
      <w:r w:rsidRPr="009A4B16">
        <w:rPr>
          <w:rFonts w:cs="Calibri"/>
          <w:lang w:val="fr-FR"/>
        </w:rPr>
        <w:t>Centre régional Ramsar – Asie de l’Est (RRC-EA);</w:t>
      </w:r>
      <w:r w:rsidR="00E52600" w:rsidRPr="009A4B16">
        <w:rPr>
          <w:rFonts w:cs="Calibri"/>
          <w:lang w:val="fr-FR"/>
        </w:rPr>
        <w:t xml:space="preserve"> </w:t>
      </w:r>
      <w:r w:rsidR="0083679E">
        <w:rPr>
          <w:rFonts w:cs="Calibri"/>
          <w:lang w:val="fr-FR"/>
        </w:rPr>
        <w:t>et</w:t>
      </w:r>
    </w:p>
    <w:p w14:paraId="76791934" w14:textId="77777777" w:rsidR="00FC6489" w:rsidRDefault="00FC6489" w:rsidP="00DE18C3">
      <w:pPr>
        <w:ind w:firstLine="0"/>
        <w:rPr>
          <w:rFonts w:cs="Calibri"/>
          <w:lang w:val="fr-FR"/>
        </w:rPr>
      </w:pPr>
    </w:p>
    <w:p w14:paraId="28D5226E" w14:textId="2940447D" w:rsidR="00F86EF4" w:rsidRPr="009A4B16" w:rsidRDefault="00EA2857" w:rsidP="00DE18C3">
      <w:pPr>
        <w:ind w:firstLine="0"/>
        <w:rPr>
          <w:rFonts w:cs="Calibri"/>
          <w:lang w:val="fr-FR"/>
        </w:rPr>
      </w:pPr>
      <w:r>
        <w:rPr>
          <w:rFonts w:cs="Calibri"/>
          <w:lang w:val="fr-FR"/>
        </w:rPr>
        <w:t xml:space="preserve">Quinze réseaux </w:t>
      </w:r>
      <w:r w:rsidR="00F86EF4" w:rsidRPr="009A4B16">
        <w:rPr>
          <w:rFonts w:cs="Calibri"/>
          <w:lang w:val="fr-FR"/>
        </w:rPr>
        <w:t xml:space="preserve">Ramsar </w:t>
      </w:r>
      <w:r>
        <w:rPr>
          <w:rFonts w:cs="Calibri"/>
          <w:lang w:val="fr-FR"/>
        </w:rPr>
        <w:t>de</w:t>
      </w:r>
      <w:r w:rsidR="00F86EF4" w:rsidRPr="009A4B16">
        <w:rPr>
          <w:rFonts w:cs="Calibri"/>
          <w:lang w:val="fr-FR"/>
        </w:rPr>
        <w:t xml:space="preserve"> </w:t>
      </w:r>
      <w:r w:rsidRPr="009A4B16">
        <w:rPr>
          <w:rFonts w:cs="Calibri"/>
          <w:lang w:val="fr-FR"/>
        </w:rPr>
        <w:t>coopération</w:t>
      </w:r>
      <w:r>
        <w:rPr>
          <w:rFonts w:cs="Calibri"/>
          <w:lang w:val="fr-FR"/>
        </w:rPr>
        <w:t xml:space="preserve"> régionale </w:t>
      </w:r>
      <w:r w:rsidR="00F86EF4" w:rsidRPr="009A4B16">
        <w:rPr>
          <w:rFonts w:cs="Calibri"/>
          <w:lang w:val="fr-FR"/>
        </w:rPr>
        <w:t>:</w:t>
      </w:r>
    </w:p>
    <w:p w14:paraId="59220C77" w14:textId="77777777" w:rsidR="009A4B16" w:rsidRPr="009A4B16" w:rsidRDefault="009A4B16" w:rsidP="009A4B16">
      <w:pPr>
        <w:pStyle w:val="ListParagraph"/>
        <w:numPr>
          <w:ilvl w:val="0"/>
          <w:numId w:val="37"/>
        </w:numPr>
        <w:rPr>
          <w:rFonts w:cs="Calibri"/>
          <w:lang w:val="fr-FR"/>
        </w:rPr>
      </w:pPr>
      <w:r w:rsidRPr="009A4B16">
        <w:rPr>
          <w:rFonts w:cs="Calibri"/>
          <w:lang w:val="fr-FR"/>
        </w:rPr>
        <w:t>Réseau pour les zones humides côtières d’Afrique de l’Ouest (WaCoWet);</w:t>
      </w:r>
    </w:p>
    <w:p w14:paraId="15D4E94E" w14:textId="16EE95E5" w:rsidR="00F86EF4" w:rsidRPr="009A4B16" w:rsidRDefault="009A4B16" w:rsidP="009A4B16">
      <w:pPr>
        <w:pStyle w:val="ListParagraph"/>
        <w:numPr>
          <w:ilvl w:val="0"/>
          <w:numId w:val="37"/>
        </w:numPr>
        <w:contextualSpacing w:val="0"/>
        <w:rPr>
          <w:rFonts w:cs="Calibri"/>
          <w:lang w:val="fr-FR"/>
        </w:rPr>
      </w:pPr>
      <w:r w:rsidRPr="009A4B16">
        <w:rPr>
          <w:rFonts w:cs="Calibri"/>
          <w:lang w:val="fr-FR"/>
        </w:rPr>
        <w:t>Réseau du bassin du Niger (NigerWet);</w:t>
      </w:r>
    </w:p>
    <w:p w14:paraId="24070C1C" w14:textId="151329D0" w:rsidR="00F86EF4" w:rsidRPr="009A4B16" w:rsidRDefault="009A4B16" w:rsidP="009A4B16">
      <w:pPr>
        <w:pStyle w:val="ListParagraph"/>
        <w:numPr>
          <w:ilvl w:val="0"/>
          <w:numId w:val="37"/>
        </w:numPr>
        <w:contextualSpacing w:val="0"/>
        <w:rPr>
          <w:rFonts w:cs="Calibri"/>
          <w:lang w:val="fr-FR"/>
        </w:rPr>
      </w:pPr>
      <w:r w:rsidRPr="009A4B16">
        <w:rPr>
          <w:rFonts w:cs="Calibri"/>
          <w:lang w:val="fr-FR"/>
        </w:rPr>
        <w:t>Initiative pour le bassin du Sénégal</w:t>
      </w:r>
      <w:r w:rsidR="00F72C78">
        <w:rPr>
          <w:rFonts w:cs="Calibri"/>
          <w:lang w:val="fr-FR"/>
        </w:rPr>
        <w:t>;</w:t>
      </w:r>
    </w:p>
    <w:p w14:paraId="345CDB09" w14:textId="77777777" w:rsidR="009A4B16" w:rsidRPr="009A4B16" w:rsidRDefault="009A4B16" w:rsidP="009A4B16">
      <w:pPr>
        <w:pStyle w:val="ListParagraph"/>
        <w:numPr>
          <w:ilvl w:val="0"/>
          <w:numId w:val="37"/>
        </w:numPr>
        <w:rPr>
          <w:rFonts w:cs="Calibri"/>
          <w:lang w:val="fr-FR"/>
        </w:rPr>
      </w:pPr>
      <w:r w:rsidRPr="009A4B16">
        <w:rPr>
          <w:rFonts w:cs="Calibri"/>
          <w:lang w:val="fr-FR"/>
        </w:rPr>
        <w:t xml:space="preserve">Initiative régionale pour la conservation et l’utilisation rationnelle des zones humides des Hautes Andes; </w:t>
      </w:r>
    </w:p>
    <w:p w14:paraId="694BBAD7" w14:textId="19D37385" w:rsidR="009A4B16" w:rsidRPr="009A4B16" w:rsidRDefault="009A4B16" w:rsidP="009A4B16">
      <w:pPr>
        <w:pStyle w:val="ListParagraph"/>
        <w:numPr>
          <w:ilvl w:val="0"/>
          <w:numId w:val="37"/>
        </w:numPr>
        <w:rPr>
          <w:rFonts w:cs="Calibri"/>
          <w:lang w:val="fr-FR"/>
        </w:rPr>
      </w:pPr>
      <w:r w:rsidRPr="009A4B16">
        <w:rPr>
          <w:rFonts w:cs="Calibri"/>
          <w:lang w:val="fr-FR"/>
        </w:rPr>
        <w:t xml:space="preserve">Initiative régionale pour la conservation et l’utilisation rationnelle des zones humides fluviales du bassin du </w:t>
      </w:r>
      <w:r w:rsidR="009839D4" w:rsidRPr="004C2F96">
        <w:rPr>
          <w:rFonts w:cs="Arial"/>
          <w:lang w:val="fr-FR"/>
        </w:rPr>
        <w:t>R</w:t>
      </w:r>
      <w:r w:rsidR="009839D4">
        <w:rPr>
          <w:rFonts w:cs="Calibri"/>
          <w:lang w:val="fr-FR"/>
        </w:rPr>
        <w:t>í</w:t>
      </w:r>
      <w:r w:rsidR="009839D4" w:rsidRPr="004C2F96">
        <w:rPr>
          <w:rFonts w:cs="Arial"/>
          <w:lang w:val="fr-FR"/>
        </w:rPr>
        <w:t>o</w:t>
      </w:r>
      <w:r w:rsidRPr="009A4B16">
        <w:rPr>
          <w:rFonts w:cs="Calibri"/>
          <w:lang w:val="fr-FR"/>
        </w:rPr>
        <w:t xml:space="preserve"> de la Plata;</w:t>
      </w:r>
    </w:p>
    <w:p w14:paraId="194BAA64" w14:textId="1753DF01" w:rsidR="009A4B16" w:rsidRPr="009A4B16" w:rsidRDefault="009A4B16" w:rsidP="009A4B16">
      <w:pPr>
        <w:pStyle w:val="ListParagraph"/>
        <w:numPr>
          <w:ilvl w:val="0"/>
          <w:numId w:val="37"/>
        </w:numPr>
        <w:rPr>
          <w:rFonts w:cs="Calibri"/>
          <w:lang w:val="fr-FR"/>
        </w:rPr>
      </w:pPr>
      <w:r w:rsidRPr="009A4B16">
        <w:rPr>
          <w:rFonts w:cs="Calibri"/>
          <w:lang w:val="fr-FR"/>
        </w:rPr>
        <w:t>Initiative régionale pour les zones humides des Caraïbes (CariWet);</w:t>
      </w:r>
    </w:p>
    <w:p w14:paraId="044334C0" w14:textId="079EEE01" w:rsidR="00F86EF4" w:rsidRPr="009A4B16" w:rsidRDefault="009A4B16" w:rsidP="009A4B16">
      <w:pPr>
        <w:pStyle w:val="ListParagraph"/>
        <w:numPr>
          <w:ilvl w:val="0"/>
          <w:numId w:val="37"/>
        </w:numPr>
        <w:contextualSpacing w:val="0"/>
        <w:rPr>
          <w:rFonts w:cs="Calibri"/>
          <w:lang w:val="fr-FR"/>
        </w:rPr>
      </w:pPr>
      <w:r w:rsidRPr="009A4B16">
        <w:rPr>
          <w:rFonts w:cs="Calibri"/>
          <w:lang w:val="fr-FR"/>
        </w:rPr>
        <w:t>Initiative régionale pour la conservation et l’utilisation rationnelle des mangroves et des récifs coralliens;</w:t>
      </w:r>
    </w:p>
    <w:p w14:paraId="214B5D74" w14:textId="4B988232" w:rsidR="00F86EF4" w:rsidRPr="009A4B16" w:rsidRDefault="009A4B16" w:rsidP="009A4B16">
      <w:pPr>
        <w:pStyle w:val="ListParagraph"/>
        <w:numPr>
          <w:ilvl w:val="0"/>
          <w:numId w:val="37"/>
        </w:numPr>
        <w:contextualSpacing w:val="0"/>
        <w:rPr>
          <w:rFonts w:cs="Calibri"/>
          <w:lang w:val="fr-FR"/>
        </w:rPr>
      </w:pPr>
      <w:r w:rsidRPr="009A4B16">
        <w:rPr>
          <w:rFonts w:cs="Calibri"/>
          <w:lang w:val="fr-FR"/>
        </w:rPr>
        <w:t>Initiative pour le bassin de l’Amazone</w:t>
      </w:r>
      <w:r w:rsidR="00F72C78">
        <w:rPr>
          <w:rFonts w:cs="Calibri"/>
          <w:lang w:val="fr-FR"/>
        </w:rPr>
        <w:t>;</w:t>
      </w:r>
    </w:p>
    <w:p w14:paraId="313D4498" w14:textId="4D58328F" w:rsidR="009A4B16" w:rsidRPr="009A4B16" w:rsidRDefault="009A4B16" w:rsidP="009A4B16">
      <w:pPr>
        <w:pStyle w:val="ListParagraph"/>
        <w:numPr>
          <w:ilvl w:val="0"/>
          <w:numId w:val="37"/>
        </w:numPr>
        <w:contextualSpacing w:val="0"/>
        <w:rPr>
          <w:rFonts w:cs="Calibri"/>
          <w:lang w:val="fr-FR"/>
        </w:rPr>
      </w:pPr>
      <w:r w:rsidRPr="009A4B16">
        <w:rPr>
          <w:rFonts w:cs="Calibri"/>
          <w:lang w:val="fr-FR"/>
        </w:rPr>
        <w:t>Partenariat pour la voie de migration Asie de l’Est-Australasie</w:t>
      </w:r>
      <w:r w:rsidR="00F72C78">
        <w:rPr>
          <w:rFonts w:cs="Calibri"/>
          <w:lang w:val="fr-FR"/>
        </w:rPr>
        <w:t>;</w:t>
      </w:r>
      <w:r w:rsidRPr="009A4B16">
        <w:rPr>
          <w:rFonts w:cs="Calibri"/>
          <w:lang w:val="fr-FR"/>
        </w:rPr>
        <w:t xml:space="preserve"> </w:t>
      </w:r>
    </w:p>
    <w:p w14:paraId="446C0051" w14:textId="34C7A7BC" w:rsidR="009A4B16" w:rsidRPr="009A4B16" w:rsidRDefault="009A4B16" w:rsidP="009A4B16">
      <w:pPr>
        <w:pStyle w:val="ListParagraph"/>
        <w:numPr>
          <w:ilvl w:val="0"/>
          <w:numId w:val="37"/>
        </w:numPr>
        <w:rPr>
          <w:rFonts w:cs="Calibri"/>
          <w:lang w:val="fr-FR"/>
        </w:rPr>
      </w:pPr>
      <w:r w:rsidRPr="009A4B16">
        <w:rPr>
          <w:rFonts w:cs="Calibri"/>
          <w:lang w:val="fr-FR"/>
        </w:rPr>
        <w:t xml:space="preserve">Initiative pour l’Asie centrale; </w:t>
      </w:r>
    </w:p>
    <w:p w14:paraId="762E4E57" w14:textId="5D277249" w:rsidR="00F86EF4" w:rsidRPr="009A4B16" w:rsidRDefault="009A4B16" w:rsidP="009A4B16">
      <w:pPr>
        <w:pStyle w:val="ListParagraph"/>
        <w:numPr>
          <w:ilvl w:val="0"/>
          <w:numId w:val="37"/>
        </w:numPr>
        <w:contextualSpacing w:val="0"/>
        <w:rPr>
          <w:rFonts w:cs="Calibri"/>
          <w:lang w:val="fr-FR"/>
        </w:rPr>
      </w:pPr>
      <w:r w:rsidRPr="009A4B16">
        <w:rPr>
          <w:rFonts w:cs="Calibri"/>
          <w:lang w:val="fr-FR"/>
        </w:rPr>
        <w:t>Initiative indo-birmane</w:t>
      </w:r>
      <w:r w:rsidR="00F72C78">
        <w:rPr>
          <w:rFonts w:cs="Calibri"/>
          <w:lang w:val="fr-FR"/>
        </w:rPr>
        <w:t>;</w:t>
      </w:r>
    </w:p>
    <w:p w14:paraId="5E1D8C21" w14:textId="77777777" w:rsidR="009A4B16" w:rsidRPr="009A4B16" w:rsidRDefault="009A4B16" w:rsidP="009A4B16">
      <w:pPr>
        <w:pStyle w:val="ListParagraph"/>
        <w:numPr>
          <w:ilvl w:val="0"/>
          <w:numId w:val="37"/>
        </w:numPr>
        <w:rPr>
          <w:rFonts w:cs="Calibri"/>
          <w:lang w:val="fr-FR"/>
        </w:rPr>
      </w:pPr>
      <w:r w:rsidRPr="009A4B16">
        <w:rPr>
          <w:rFonts w:cs="Calibri"/>
          <w:lang w:val="fr-FR"/>
        </w:rPr>
        <w:t>Initiative pour les zones humides méditerranéennes (MedWet);</w:t>
      </w:r>
    </w:p>
    <w:p w14:paraId="2E95B085" w14:textId="6C877A42" w:rsidR="009A4B16" w:rsidRPr="009A4B16" w:rsidRDefault="009A4B16" w:rsidP="009A4B16">
      <w:pPr>
        <w:pStyle w:val="ListParagraph"/>
        <w:numPr>
          <w:ilvl w:val="0"/>
          <w:numId w:val="37"/>
        </w:numPr>
        <w:rPr>
          <w:rFonts w:cs="Calibri"/>
          <w:lang w:val="fr-FR"/>
        </w:rPr>
      </w:pPr>
      <w:r w:rsidRPr="009A4B16">
        <w:rPr>
          <w:rFonts w:cs="Calibri"/>
          <w:lang w:val="fr-FR"/>
        </w:rPr>
        <w:t>Initiative pour les zones humides des Carpates;</w:t>
      </w:r>
    </w:p>
    <w:p w14:paraId="3FA1B2B0" w14:textId="246A3595" w:rsidR="009A4B16" w:rsidRPr="009A4B16" w:rsidRDefault="009A4B16" w:rsidP="009A4B16">
      <w:pPr>
        <w:pStyle w:val="ListParagraph"/>
        <w:numPr>
          <w:ilvl w:val="0"/>
          <w:numId w:val="37"/>
        </w:numPr>
        <w:rPr>
          <w:rFonts w:cs="Calibri"/>
          <w:lang w:val="fr-FR"/>
        </w:rPr>
      </w:pPr>
      <w:r w:rsidRPr="009A4B16">
        <w:rPr>
          <w:rFonts w:cs="Calibri"/>
          <w:lang w:val="fr-FR"/>
        </w:rPr>
        <w:t>Initiative pour les zones humides nordiques-baltiques (NorBalWet); et</w:t>
      </w:r>
    </w:p>
    <w:p w14:paraId="7B9F93DC" w14:textId="6A7A9C87" w:rsidR="00F86EF4" w:rsidRDefault="009A4B16" w:rsidP="009A4B16">
      <w:pPr>
        <w:pStyle w:val="ListParagraph"/>
        <w:numPr>
          <w:ilvl w:val="0"/>
          <w:numId w:val="37"/>
        </w:numPr>
        <w:contextualSpacing w:val="0"/>
        <w:rPr>
          <w:rFonts w:cs="Calibri"/>
          <w:lang w:val="fr-FR"/>
        </w:rPr>
      </w:pPr>
      <w:r w:rsidRPr="009A4B16">
        <w:rPr>
          <w:rFonts w:cs="Calibri"/>
          <w:lang w:val="fr-FR"/>
        </w:rPr>
        <w:t>Initiative régionale pour les zones humides côtières de la mer Noire et de la mer d’Azov (BlackSeaWet)</w:t>
      </w:r>
      <w:r w:rsidR="00F72C78">
        <w:rPr>
          <w:rFonts w:cs="Calibri"/>
          <w:lang w:val="fr-FR"/>
        </w:rPr>
        <w:t>.</w:t>
      </w:r>
    </w:p>
    <w:p w14:paraId="5B61516A" w14:textId="77777777" w:rsidR="00FC6489" w:rsidRDefault="00FC6489" w:rsidP="00FC6489">
      <w:pPr>
        <w:rPr>
          <w:rFonts w:cs="Calibri"/>
          <w:lang w:val="fr-FR"/>
        </w:rPr>
      </w:pPr>
    </w:p>
    <w:p w14:paraId="279D9DDD" w14:textId="0BD1ADBA" w:rsidR="00FC6489" w:rsidRPr="00FC6489" w:rsidRDefault="00FC6489" w:rsidP="00FC6489">
      <w:pPr>
        <w:rPr>
          <w:rFonts w:cs="Calibri"/>
          <w:lang w:val="fr-FR"/>
        </w:rPr>
      </w:pPr>
      <w:r>
        <w:rPr>
          <w:rFonts w:cs="Calibri"/>
          <w:lang w:val="fr-FR"/>
        </w:rPr>
        <w:lastRenderedPageBreak/>
        <w:t>10.</w:t>
      </w:r>
      <w:r>
        <w:rPr>
          <w:rFonts w:cs="Calibri"/>
          <w:lang w:val="fr-FR"/>
        </w:rPr>
        <w:tab/>
        <w:t>DEMANDE que le Comité permanent approuve les propositions de nouvelles initiatives soumises dans la période intersessions, avant la COP14, sous réserve d’une évaluation positive de la conformité de leur structure et de leur plan de travail avec le nouveau Cadre opérationnel pour les Initiatives régionales Ramsar.</w:t>
      </w:r>
    </w:p>
    <w:p w14:paraId="33F86771" w14:textId="77777777" w:rsidR="00F86EF4" w:rsidRPr="00D47561" w:rsidRDefault="00F86EF4" w:rsidP="00BF7A4E">
      <w:pPr>
        <w:spacing w:before="1"/>
        <w:rPr>
          <w:rFonts w:cs="Calibri"/>
          <w:lang w:val="fr-FR"/>
        </w:rPr>
      </w:pPr>
    </w:p>
    <w:p w14:paraId="56B5DA43" w14:textId="01BE946A" w:rsidR="00F22681" w:rsidRDefault="00DE18C3" w:rsidP="00DE18C3">
      <w:pPr>
        <w:pStyle w:val="BodyText"/>
        <w:widowControl/>
        <w:ind w:left="425" w:hanging="425"/>
        <w:rPr>
          <w:spacing w:val="-1"/>
          <w:lang w:val="fr-CA"/>
        </w:rPr>
      </w:pPr>
      <w:r w:rsidRPr="00B4642B">
        <w:rPr>
          <w:spacing w:val="-1"/>
          <w:lang w:val="fr-CA"/>
        </w:rPr>
        <w:t>1</w:t>
      </w:r>
      <w:r w:rsidR="00FC6489">
        <w:rPr>
          <w:spacing w:val="-1"/>
          <w:lang w:val="fr-CA"/>
        </w:rPr>
        <w:t>1</w:t>
      </w:r>
      <w:r w:rsidRPr="00B4642B">
        <w:rPr>
          <w:spacing w:val="-1"/>
          <w:lang w:val="fr-CA"/>
        </w:rPr>
        <w:t>.</w:t>
      </w:r>
      <w:r w:rsidRPr="00B4642B">
        <w:rPr>
          <w:spacing w:val="-1"/>
          <w:lang w:val="fr-CA"/>
        </w:rPr>
        <w:tab/>
      </w:r>
      <w:r w:rsidR="00B4642B">
        <w:rPr>
          <w:spacing w:val="-1"/>
          <w:lang w:val="fr-CA"/>
        </w:rPr>
        <w:t>DONNE INSTRUCTION aux I</w:t>
      </w:r>
      <w:r w:rsidR="00FC6489">
        <w:rPr>
          <w:spacing w:val="-1"/>
          <w:lang w:val="fr-CA"/>
        </w:rPr>
        <w:t>RR</w:t>
      </w:r>
      <w:r w:rsidR="00B4642B">
        <w:rPr>
          <w:spacing w:val="-1"/>
          <w:lang w:val="fr-CA"/>
        </w:rPr>
        <w:t xml:space="preserve"> figurant dans la liste qui précède </w:t>
      </w:r>
      <w:r w:rsidR="00FC6489">
        <w:rPr>
          <w:spacing w:val="-1"/>
          <w:lang w:val="fr-CA"/>
        </w:rPr>
        <w:t xml:space="preserve">et à toute nouvelle IRR </w:t>
      </w:r>
      <w:r w:rsidR="00B4642B">
        <w:rPr>
          <w:spacing w:val="-1"/>
          <w:lang w:val="fr-CA"/>
        </w:rPr>
        <w:t>de soumettre des rapports annuels sur leur conformité avec le nouveau Cadre opérationnel, selon la présentation approuvée par le Comité permanent</w:t>
      </w:r>
      <w:r w:rsidR="00F86EF4" w:rsidRPr="00B4642B">
        <w:rPr>
          <w:spacing w:val="-1"/>
          <w:lang w:val="fr-CA"/>
        </w:rPr>
        <w:t xml:space="preserve">, </w:t>
      </w:r>
      <w:r w:rsidR="00B4642B">
        <w:rPr>
          <w:spacing w:val="-1"/>
          <w:lang w:val="fr-CA"/>
        </w:rPr>
        <w:t>afin de maintenir leur reconnaissance officielle en tant qu’I</w:t>
      </w:r>
      <w:r w:rsidR="00FC6489">
        <w:rPr>
          <w:spacing w:val="-1"/>
          <w:lang w:val="fr-CA"/>
        </w:rPr>
        <w:t>RR.</w:t>
      </w:r>
    </w:p>
    <w:p w14:paraId="075050C5" w14:textId="77777777" w:rsidR="00FC6489" w:rsidRPr="00B4642B" w:rsidRDefault="00FC6489" w:rsidP="00DE18C3">
      <w:pPr>
        <w:pStyle w:val="BodyText"/>
        <w:widowControl/>
        <w:ind w:left="425" w:hanging="425"/>
        <w:rPr>
          <w:spacing w:val="-1"/>
          <w:lang w:val="fr-CA"/>
        </w:rPr>
      </w:pPr>
    </w:p>
    <w:p w14:paraId="55109338" w14:textId="2797AE68" w:rsidR="00F86EF4" w:rsidRPr="00B4642B" w:rsidRDefault="00DE18C3" w:rsidP="00DE18C3">
      <w:pPr>
        <w:pStyle w:val="BodyText"/>
        <w:widowControl/>
        <w:ind w:left="425" w:hanging="425"/>
        <w:rPr>
          <w:spacing w:val="-1"/>
          <w:lang w:val="fr-CA"/>
        </w:rPr>
      </w:pPr>
      <w:r w:rsidRPr="00B4642B">
        <w:rPr>
          <w:spacing w:val="-1"/>
          <w:lang w:val="fr-CA"/>
        </w:rPr>
        <w:t>12.</w:t>
      </w:r>
      <w:r w:rsidRPr="00B4642B">
        <w:rPr>
          <w:spacing w:val="-1"/>
          <w:lang w:val="fr-CA"/>
        </w:rPr>
        <w:tab/>
      </w:r>
      <w:r w:rsidR="00B4642B">
        <w:rPr>
          <w:spacing w:val="-1"/>
          <w:lang w:val="fr-CA"/>
        </w:rPr>
        <w:t xml:space="preserve">DONNE INSTRUCTION au Secrétariat d’ouvrir l’appel à propositions pour de nouvelles initiatives régionales pour la période </w:t>
      </w:r>
      <w:r w:rsidR="00E12F7E" w:rsidRPr="00B4642B">
        <w:rPr>
          <w:spacing w:val="-1"/>
          <w:lang w:val="fr-CA"/>
        </w:rPr>
        <w:t>2019-2021</w:t>
      </w:r>
      <w:r w:rsidR="003A0946" w:rsidRPr="00B4642B">
        <w:rPr>
          <w:spacing w:val="-1"/>
          <w:lang w:val="fr-CA"/>
        </w:rPr>
        <w:t>,</w:t>
      </w:r>
      <w:r w:rsidR="00E12F7E" w:rsidRPr="00B4642B">
        <w:rPr>
          <w:spacing w:val="-1"/>
          <w:lang w:val="fr-CA"/>
        </w:rPr>
        <w:t xml:space="preserve"> </w:t>
      </w:r>
      <w:r w:rsidR="00B4642B">
        <w:rPr>
          <w:spacing w:val="-1"/>
          <w:lang w:val="fr-CA"/>
        </w:rPr>
        <w:t xml:space="preserve">qui seront approuvées par </w:t>
      </w:r>
      <w:r w:rsidR="00FC6489">
        <w:rPr>
          <w:spacing w:val="-1"/>
          <w:lang w:val="fr-CA"/>
        </w:rPr>
        <w:t xml:space="preserve">la Conférence des Parties </w:t>
      </w:r>
      <w:r w:rsidR="00FC6489" w:rsidRPr="001364E6">
        <w:rPr>
          <w:spacing w:val="-1"/>
          <w:lang w:val="fr-CA"/>
        </w:rPr>
        <w:t>contractantes</w:t>
      </w:r>
      <w:r w:rsidR="00FC6489">
        <w:rPr>
          <w:spacing w:val="-1"/>
          <w:lang w:val="fr-CA"/>
        </w:rPr>
        <w:t xml:space="preserve"> à la COP14 ou par </w:t>
      </w:r>
      <w:r w:rsidR="00B4642B">
        <w:rPr>
          <w:spacing w:val="-1"/>
          <w:lang w:val="fr-CA"/>
        </w:rPr>
        <w:t xml:space="preserve">le Comité permanent </w:t>
      </w:r>
      <w:r w:rsidR="00FC6489">
        <w:rPr>
          <w:spacing w:val="-1"/>
          <w:lang w:val="fr-CA"/>
        </w:rPr>
        <w:t>lors de ses réunions précédant la COP14</w:t>
      </w:r>
      <w:r w:rsidR="00B4642B">
        <w:rPr>
          <w:spacing w:val="-1"/>
          <w:lang w:val="fr-CA"/>
        </w:rPr>
        <w:t xml:space="preserve">. </w:t>
      </w:r>
    </w:p>
    <w:p w14:paraId="75793F84" w14:textId="77777777" w:rsidR="00FB5E1D" w:rsidRPr="00B4642B" w:rsidRDefault="00FB5E1D" w:rsidP="00BF7A4E">
      <w:pPr>
        <w:spacing w:before="11"/>
        <w:ind w:left="0" w:firstLine="0"/>
        <w:jc w:val="both"/>
        <w:rPr>
          <w:spacing w:val="-1"/>
          <w:lang w:val="fr-CA"/>
        </w:rPr>
      </w:pPr>
    </w:p>
    <w:p w14:paraId="77ECA601" w14:textId="676944BB" w:rsidR="00F86EF4" w:rsidRPr="00E800A3" w:rsidRDefault="00DE18C3" w:rsidP="00DE18C3">
      <w:pPr>
        <w:pStyle w:val="BodyText"/>
        <w:widowControl/>
        <w:ind w:left="425" w:hanging="425"/>
        <w:rPr>
          <w:spacing w:val="-1"/>
          <w:lang w:val="fr-CA"/>
        </w:rPr>
      </w:pPr>
      <w:r w:rsidRPr="00B4642B">
        <w:rPr>
          <w:spacing w:val="-1"/>
          <w:lang w:val="fr-CA"/>
        </w:rPr>
        <w:t>13.</w:t>
      </w:r>
      <w:r w:rsidRPr="00B4642B">
        <w:rPr>
          <w:spacing w:val="-1"/>
          <w:lang w:val="fr-CA"/>
        </w:rPr>
        <w:tab/>
      </w:r>
      <w:r w:rsidR="00F86EF4" w:rsidRPr="00B4642B">
        <w:rPr>
          <w:spacing w:val="-1"/>
          <w:lang w:val="fr-CA"/>
        </w:rPr>
        <w:t>D</w:t>
      </w:r>
      <w:r w:rsidR="00B4642B">
        <w:rPr>
          <w:spacing w:val="-1"/>
          <w:lang w:val="fr-CA"/>
        </w:rPr>
        <w:t>ÉCIDE d’inclure un appui financier dans la ligne du budget administratif de la Convention « Appui aux Initi</w:t>
      </w:r>
      <w:r w:rsidR="0008017C" w:rsidRPr="00B4642B">
        <w:rPr>
          <w:spacing w:val="-1"/>
          <w:lang w:val="fr-CA"/>
        </w:rPr>
        <w:t>atives régionales</w:t>
      </w:r>
      <w:r w:rsidR="00F86EF4" w:rsidRPr="00B4642B">
        <w:rPr>
          <w:spacing w:val="-1"/>
          <w:lang w:val="fr-CA"/>
        </w:rPr>
        <w:t xml:space="preserve"> R</w:t>
      </w:r>
      <w:r w:rsidR="00D63B5F" w:rsidRPr="00B4642B">
        <w:rPr>
          <w:spacing w:val="-1"/>
          <w:lang w:val="fr-CA"/>
        </w:rPr>
        <w:t>amsar</w:t>
      </w:r>
      <w:r w:rsidR="00B4642B">
        <w:rPr>
          <w:spacing w:val="-1"/>
          <w:lang w:val="fr-CA"/>
        </w:rPr>
        <w:t> »</w:t>
      </w:r>
      <w:r w:rsidR="00F86EF4" w:rsidRPr="00B4642B">
        <w:rPr>
          <w:spacing w:val="-1"/>
          <w:lang w:val="fr-CA"/>
        </w:rPr>
        <w:t xml:space="preserve">, </w:t>
      </w:r>
      <w:r w:rsidR="00B4642B">
        <w:rPr>
          <w:spacing w:val="-1"/>
          <w:lang w:val="fr-CA"/>
        </w:rPr>
        <w:t>comme indiqué dans la Résolution</w:t>
      </w:r>
      <w:r w:rsidR="00F86EF4" w:rsidRPr="00B4642B">
        <w:rPr>
          <w:spacing w:val="-1"/>
          <w:lang w:val="fr-CA"/>
        </w:rPr>
        <w:t xml:space="preserve"> </w:t>
      </w:r>
      <w:r w:rsidR="00F77C57" w:rsidRPr="00B4642B">
        <w:rPr>
          <w:spacing w:val="-1"/>
          <w:lang w:val="fr-CA"/>
        </w:rPr>
        <w:t>XIII</w:t>
      </w:r>
      <w:r w:rsidR="00847296">
        <w:rPr>
          <w:spacing w:val="-1"/>
          <w:lang w:val="fr-CA"/>
        </w:rPr>
        <w:t>.</w:t>
      </w:r>
      <w:bookmarkStart w:id="0" w:name="_GoBack"/>
      <w:bookmarkEnd w:id="0"/>
      <w:r w:rsidR="00847296" w:rsidRPr="00847296">
        <w:rPr>
          <w:spacing w:val="-1"/>
          <w:highlight w:val="yellow"/>
          <w:lang w:val="fr-CA"/>
        </w:rPr>
        <w:t>xx</w:t>
      </w:r>
      <w:r w:rsidR="0008017C" w:rsidRPr="00B4642B">
        <w:rPr>
          <w:spacing w:val="-1"/>
          <w:lang w:val="fr-CA"/>
        </w:rPr>
        <w:t>,</w:t>
      </w:r>
      <w:r w:rsidR="00E31F1B" w:rsidRPr="00B4642B">
        <w:rPr>
          <w:spacing w:val="-1"/>
          <w:lang w:val="fr-CA"/>
        </w:rPr>
        <w:t xml:space="preserve"> </w:t>
      </w:r>
      <w:r w:rsidR="0008017C" w:rsidRPr="00B4642B">
        <w:rPr>
          <w:i/>
          <w:spacing w:val="-1"/>
          <w:lang w:val="fr-CA"/>
        </w:rPr>
        <w:t>Questions financières et budgétaires</w:t>
      </w:r>
      <w:r w:rsidR="00B4642B">
        <w:rPr>
          <w:spacing w:val="-1"/>
          <w:lang w:val="fr-CA"/>
        </w:rPr>
        <w:t xml:space="preserve">, pour fournir un appui de départ pour les coûts de fonctionnement des </w:t>
      </w:r>
      <w:r w:rsidR="00FC6489">
        <w:rPr>
          <w:spacing w:val="-1"/>
          <w:lang w:val="fr-CA"/>
        </w:rPr>
        <w:t>IRR et que c</w:t>
      </w:r>
      <w:r w:rsidR="00B4642B">
        <w:rPr>
          <w:spacing w:val="-1"/>
          <w:lang w:val="fr-CA"/>
        </w:rPr>
        <w:t xml:space="preserve">e financement de départ sera </w:t>
      </w:r>
      <w:r w:rsidR="008108BD">
        <w:rPr>
          <w:spacing w:val="-1"/>
          <w:lang w:val="fr-CA"/>
        </w:rPr>
        <w:t xml:space="preserve">accordé, au maximum, </w:t>
      </w:r>
      <w:r w:rsidR="00B4642B">
        <w:rPr>
          <w:spacing w:val="-1"/>
          <w:lang w:val="fr-CA"/>
        </w:rPr>
        <w:t>pour deux périodes consécutives</w:t>
      </w:r>
      <w:r w:rsidR="008108BD">
        <w:rPr>
          <w:spacing w:val="-1"/>
          <w:lang w:val="fr-CA"/>
        </w:rPr>
        <w:t xml:space="preserve"> </w:t>
      </w:r>
      <w:r w:rsidR="00B4642B">
        <w:rPr>
          <w:spacing w:val="-1"/>
          <w:lang w:val="fr-CA"/>
        </w:rPr>
        <w:t>entre les sessions de la Conférence des Parties contractantes</w:t>
      </w:r>
      <w:r w:rsidR="008108BD">
        <w:rPr>
          <w:spacing w:val="-1"/>
          <w:lang w:val="fr-CA"/>
        </w:rPr>
        <w:t>,</w:t>
      </w:r>
      <w:r w:rsidR="00B4642B">
        <w:rPr>
          <w:spacing w:val="-1"/>
          <w:lang w:val="fr-CA"/>
        </w:rPr>
        <w:t xml:space="preserve"> aux </w:t>
      </w:r>
      <w:r w:rsidR="00E800A3">
        <w:rPr>
          <w:spacing w:val="-1"/>
          <w:lang w:val="fr-CA"/>
        </w:rPr>
        <w:t>IRR</w:t>
      </w:r>
      <w:r w:rsidR="00B4642B">
        <w:rPr>
          <w:spacing w:val="-1"/>
          <w:lang w:val="fr-CA"/>
        </w:rPr>
        <w:t xml:space="preserve"> établies après la </w:t>
      </w:r>
      <w:r w:rsidR="00B4642B" w:rsidRPr="00B4642B">
        <w:rPr>
          <w:spacing w:val="-1"/>
          <w:lang w:val="fr-CA"/>
        </w:rPr>
        <w:t>COP12</w:t>
      </w:r>
      <w:r w:rsidR="00B4642B" w:rsidRPr="00B4642B">
        <w:rPr>
          <w:vertAlign w:val="superscript"/>
          <w:lang w:val="fr-CA"/>
        </w:rPr>
        <w:footnoteReference w:id="1"/>
      </w:r>
      <w:r w:rsidR="00B4642B" w:rsidRPr="00B4642B">
        <w:rPr>
          <w:spacing w:val="-1"/>
          <w:lang w:val="fr-CA"/>
        </w:rPr>
        <w:t xml:space="preserve"> </w:t>
      </w:r>
      <w:r w:rsidR="00B4642B">
        <w:rPr>
          <w:spacing w:val="-1"/>
          <w:lang w:val="fr-CA"/>
        </w:rPr>
        <w:t xml:space="preserve">et </w:t>
      </w:r>
      <w:r w:rsidR="008108BD">
        <w:rPr>
          <w:spacing w:val="-1"/>
          <w:lang w:val="fr-CA"/>
        </w:rPr>
        <w:t xml:space="preserve">à </w:t>
      </w:r>
      <w:r w:rsidR="00B4642B">
        <w:rPr>
          <w:spacing w:val="-1"/>
          <w:lang w:val="fr-CA"/>
        </w:rPr>
        <w:t xml:space="preserve">toute nouvelle </w:t>
      </w:r>
      <w:r w:rsidR="00E800A3">
        <w:rPr>
          <w:spacing w:val="-1"/>
          <w:lang w:val="fr-CA"/>
        </w:rPr>
        <w:t>IRR</w:t>
      </w:r>
      <w:r w:rsidR="00843158">
        <w:rPr>
          <w:spacing w:val="-1"/>
          <w:lang w:val="fr-CA"/>
        </w:rPr>
        <w:t xml:space="preserve"> </w:t>
      </w:r>
      <w:r w:rsidR="00B4642B">
        <w:rPr>
          <w:spacing w:val="-1"/>
          <w:lang w:val="fr-CA"/>
        </w:rPr>
        <w:t xml:space="preserve">à condition qu’elle satisfasse intégralement aux conditions définies dans le </w:t>
      </w:r>
      <w:r w:rsidR="00B4642B" w:rsidRPr="00E800A3">
        <w:rPr>
          <w:spacing w:val="-1"/>
          <w:lang w:val="fr-CA"/>
        </w:rPr>
        <w:t>Cadre opérationnel</w:t>
      </w:r>
      <w:r w:rsidR="00B4642B">
        <w:rPr>
          <w:i/>
          <w:spacing w:val="-1"/>
          <w:lang w:val="fr-CA"/>
        </w:rPr>
        <w:t>.</w:t>
      </w:r>
    </w:p>
    <w:p w14:paraId="4CA96C53" w14:textId="77777777" w:rsidR="00F86EF4" w:rsidRPr="00B4642B" w:rsidRDefault="00F86EF4" w:rsidP="00BF7A4E">
      <w:pPr>
        <w:rPr>
          <w:rFonts w:cs="Calibri"/>
          <w:lang w:val="fr-CA"/>
        </w:rPr>
      </w:pPr>
    </w:p>
    <w:p w14:paraId="1AAD7EA7" w14:textId="3C37348D" w:rsidR="00F86EF4" w:rsidRPr="00B4642B" w:rsidRDefault="00DE18C3" w:rsidP="00DE18C3">
      <w:pPr>
        <w:pStyle w:val="BodyText"/>
        <w:widowControl/>
        <w:ind w:left="425" w:hanging="425"/>
        <w:rPr>
          <w:spacing w:val="-1"/>
          <w:lang w:val="fr-CA"/>
        </w:rPr>
      </w:pPr>
      <w:r w:rsidRPr="00B4642B">
        <w:rPr>
          <w:spacing w:val="-1"/>
          <w:lang w:val="fr-CA"/>
        </w:rPr>
        <w:t>14.</w:t>
      </w:r>
      <w:r w:rsidRPr="00B4642B">
        <w:rPr>
          <w:spacing w:val="-1"/>
          <w:lang w:val="fr-CA"/>
        </w:rPr>
        <w:tab/>
      </w:r>
      <w:r w:rsidR="00F86EF4" w:rsidRPr="00B4642B">
        <w:rPr>
          <w:spacing w:val="-1"/>
          <w:lang w:val="fr-CA"/>
        </w:rPr>
        <w:t>D</w:t>
      </w:r>
      <w:r w:rsidR="007E1F37">
        <w:rPr>
          <w:spacing w:val="-1"/>
          <w:lang w:val="fr-CA"/>
        </w:rPr>
        <w:t xml:space="preserve">ÉCIDE que le niveau d’appui financier du budget administratif de la Convention aux </w:t>
      </w:r>
      <w:r w:rsidR="00E800A3">
        <w:rPr>
          <w:spacing w:val="-1"/>
          <w:lang w:val="fr-CA"/>
        </w:rPr>
        <w:t xml:space="preserve">IRR </w:t>
      </w:r>
      <w:r w:rsidR="007E1F37">
        <w:rPr>
          <w:spacing w:val="-1"/>
          <w:lang w:val="fr-CA"/>
        </w:rPr>
        <w:t xml:space="preserve">éligibles pour les années </w:t>
      </w:r>
      <w:r w:rsidR="00F86EF4" w:rsidRPr="00B4642B">
        <w:rPr>
          <w:spacing w:val="-1"/>
          <w:lang w:val="fr-CA"/>
        </w:rPr>
        <w:t xml:space="preserve">2019, 2020 </w:t>
      </w:r>
      <w:r w:rsidR="007E1F37">
        <w:rPr>
          <w:spacing w:val="-1"/>
          <w:lang w:val="fr-CA"/>
        </w:rPr>
        <w:t>et</w:t>
      </w:r>
      <w:r w:rsidR="00F86EF4" w:rsidRPr="00B4642B">
        <w:rPr>
          <w:spacing w:val="-1"/>
          <w:lang w:val="fr-CA"/>
        </w:rPr>
        <w:t xml:space="preserve"> 2021 </w:t>
      </w:r>
      <w:r w:rsidR="007E1F37">
        <w:rPr>
          <w:spacing w:val="-1"/>
          <w:lang w:val="fr-CA"/>
        </w:rPr>
        <w:t>sera déterminé chaque année par le Comité permanent, d’après les rapports annuels les plus récents et les plans de travail actualisés qui seront soumis conformément à la présentation et au calendrier requis en application des recommandations spécifiques du Sous-groupe sur les finances du Comité permanent.</w:t>
      </w:r>
    </w:p>
    <w:p w14:paraId="0CE07F9F" w14:textId="77777777" w:rsidR="00F86EF4" w:rsidRPr="00B4642B" w:rsidRDefault="00F86EF4" w:rsidP="00DE18C3">
      <w:pPr>
        <w:pStyle w:val="BodyText"/>
        <w:widowControl/>
        <w:ind w:left="425" w:hanging="425"/>
        <w:rPr>
          <w:spacing w:val="-1"/>
          <w:lang w:val="fr-CA"/>
        </w:rPr>
      </w:pPr>
    </w:p>
    <w:p w14:paraId="1B8CBE05" w14:textId="534BDE2D" w:rsidR="00F86EF4" w:rsidRPr="00B4642B" w:rsidRDefault="00DE18C3" w:rsidP="00DE18C3">
      <w:pPr>
        <w:pStyle w:val="BodyText"/>
        <w:widowControl/>
        <w:ind w:left="425" w:hanging="425"/>
        <w:rPr>
          <w:spacing w:val="-1"/>
          <w:lang w:val="fr-CA"/>
        </w:rPr>
      </w:pPr>
      <w:r w:rsidRPr="00B4642B">
        <w:rPr>
          <w:spacing w:val="-1"/>
          <w:lang w:val="fr-CA"/>
        </w:rPr>
        <w:t>15.</w:t>
      </w:r>
      <w:r w:rsidRPr="00B4642B">
        <w:rPr>
          <w:spacing w:val="-1"/>
          <w:lang w:val="fr-CA"/>
        </w:rPr>
        <w:tab/>
      </w:r>
      <w:r w:rsidR="007E1F37">
        <w:rPr>
          <w:spacing w:val="-1"/>
          <w:lang w:val="fr-CA"/>
        </w:rPr>
        <w:t xml:space="preserve">DEMANDE aux </w:t>
      </w:r>
      <w:r w:rsidR="00E800A3">
        <w:rPr>
          <w:spacing w:val="-1"/>
          <w:lang w:val="fr-CA"/>
        </w:rPr>
        <w:t>IRR</w:t>
      </w:r>
      <w:r w:rsidR="007E1F37">
        <w:rPr>
          <w:spacing w:val="-1"/>
          <w:lang w:val="fr-CA"/>
        </w:rPr>
        <w:t xml:space="preserve"> qui reçoivent un appui financier du budget administratif d’utiliser une partie de cet appui pour rechercher un financement durable à long terme d’autres sources, en particulier durant la deuxième période triennale pendant laquelle elles sont éligibles à cet appui. </w:t>
      </w:r>
    </w:p>
    <w:p w14:paraId="22558DDD" w14:textId="77777777" w:rsidR="00C0046E" w:rsidRPr="00B4642B" w:rsidRDefault="00C0046E" w:rsidP="00DE18C3">
      <w:pPr>
        <w:pStyle w:val="BodyText"/>
        <w:widowControl/>
        <w:ind w:left="425" w:hanging="425"/>
        <w:rPr>
          <w:spacing w:val="-1"/>
          <w:lang w:val="fr-CA"/>
        </w:rPr>
      </w:pPr>
    </w:p>
    <w:p w14:paraId="333115FB" w14:textId="0EDA951A" w:rsidR="00C0046E" w:rsidRPr="00B4642B" w:rsidRDefault="00DE18C3" w:rsidP="00DE18C3">
      <w:pPr>
        <w:pStyle w:val="BodyText"/>
        <w:widowControl/>
        <w:ind w:left="425" w:hanging="425"/>
        <w:rPr>
          <w:spacing w:val="-1"/>
          <w:lang w:val="fr-CA"/>
        </w:rPr>
      </w:pPr>
      <w:r w:rsidRPr="00B4642B">
        <w:rPr>
          <w:spacing w:val="-1"/>
          <w:lang w:val="fr-CA"/>
        </w:rPr>
        <w:t>16.</w:t>
      </w:r>
      <w:r w:rsidRPr="00B4642B">
        <w:rPr>
          <w:spacing w:val="-1"/>
          <w:lang w:val="fr-CA"/>
        </w:rPr>
        <w:tab/>
      </w:r>
      <w:r w:rsidR="007E1F37">
        <w:rPr>
          <w:spacing w:val="-1"/>
          <w:lang w:val="fr-CA"/>
        </w:rPr>
        <w:t xml:space="preserve">DONNE INSTRUCTION au Secrétariat de soutenir, comme il convient, les activités d’appels de fonds des </w:t>
      </w:r>
      <w:r w:rsidR="00E800A3">
        <w:rPr>
          <w:spacing w:val="-1"/>
          <w:lang w:val="fr-CA"/>
        </w:rPr>
        <w:t>IRR</w:t>
      </w:r>
      <w:r w:rsidR="007E1F37">
        <w:rPr>
          <w:spacing w:val="-1"/>
          <w:lang w:val="fr-CA"/>
        </w:rPr>
        <w:t xml:space="preserve"> et l’administration des fonds externes </w:t>
      </w:r>
      <w:r w:rsidR="006917CE">
        <w:rPr>
          <w:spacing w:val="-1"/>
          <w:lang w:val="fr-CA"/>
        </w:rPr>
        <w:t xml:space="preserve">reçus pour leur appui conformément au </w:t>
      </w:r>
      <w:r w:rsidR="00433ABF" w:rsidRPr="00433ABF">
        <w:rPr>
          <w:spacing w:val="-1"/>
          <w:lang w:val="fr-CA"/>
        </w:rPr>
        <w:t>règlement</w:t>
      </w:r>
      <w:r w:rsidR="006917CE" w:rsidRPr="00433ABF">
        <w:rPr>
          <w:spacing w:val="-1"/>
          <w:lang w:val="fr-CA"/>
        </w:rPr>
        <w:t xml:space="preserve"> financier</w:t>
      </w:r>
      <w:r w:rsidR="006917CE">
        <w:rPr>
          <w:spacing w:val="-1"/>
          <w:lang w:val="fr-CA"/>
        </w:rPr>
        <w:t xml:space="preserve"> de la Convention. </w:t>
      </w:r>
    </w:p>
    <w:p w14:paraId="01AB55E8" w14:textId="77777777" w:rsidR="00B31515" w:rsidRPr="00B4642B" w:rsidRDefault="00B31515" w:rsidP="00DE18C3">
      <w:pPr>
        <w:pStyle w:val="BodyText"/>
        <w:widowControl/>
        <w:ind w:left="425" w:hanging="425"/>
        <w:rPr>
          <w:spacing w:val="-1"/>
          <w:lang w:val="fr-CA"/>
        </w:rPr>
      </w:pPr>
    </w:p>
    <w:p w14:paraId="3E1572E7" w14:textId="34726E5A" w:rsidR="00F86EF4" w:rsidRPr="00B4642B" w:rsidRDefault="00DE18C3" w:rsidP="00DE18C3">
      <w:pPr>
        <w:pStyle w:val="BodyText"/>
        <w:widowControl/>
        <w:ind w:left="425" w:hanging="425"/>
        <w:rPr>
          <w:spacing w:val="-1"/>
          <w:lang w:val="fr-CA"/>
        </w:rPr>
      </w:pPr>
      <w:r w:rsidRPr="00B4642B">
        <w:rPr>
          <w:spacing w:val="-1"/>
          <w:lang w:val="fr-CA"/>
        </w:rPr>
        <w:t>17.</w:t>
      </w:r>
      <w:r w:rsidRPr="00B4642B">
        <w:rPr>
          <w:spacing w:val="-1"/>
          <w:lang w:val="fr-CA"/>
        </w:rPr>
        <w:tab/>
      </w:r>
      <w:r w:rsidR="00F86EF4" w:rsidRPr="00B4642B">
        <w:rPr>
          <w:spacing w:val="-1"/>
          <w:lang w:val="fr-CA"/>
        </w:rPr>
        <w:t>ENCOURAGE</w:t>
      </w:r>
      <w:r w:rsidR="006917CE">
        <w:rPr>
          <w:spacing w:val="-1"/>
          <w:lang w:val="fr-CA"/>
        </w:rPr>
        <w:t xml:space="preserve"> les Parties contractantes et autres donateurs potentiels à soutenir les </w:t>
      </w:r>
      <w:r w:rsidR="00E800A3">
        <w:rPr>
          <w:spacing w:val="-1"/>
          <w:lang w:val="fr-CA"/>
        </w:rPr>
        <w:t>IRR</w:t>
      </w:r>
      <w:r w:rsidR="008108BD">
        <w:rPr>
          <w:spacing w:val="-1"/>
          <w:lang w:val="fr-CA"/>
        </w:rPr>
        <w:t>,</w:t>
      </w:r>
      <w:r w:rsidR="006917CE">
        <w:rPr>
          <w:spacing w:val="-1"/>
          <w:lang w:val="fr-CA"/>
        </w:rPr>
        <w:t xml:space="preserve"> qu’elles reçoivent </w:t>
      </w:r>
      <w:r w:rsidR="008108BD">
        <w:rPr>
          <w:spacing w:val="-1"/>
          <w:lang w:val="fr-CA"/>
        </w:rPr>
        <w:t xml:space="preserve">ou non </w:t>
      </w:r>
      <w:r w:rsidR="006917CE">
        <w:rPr>
          <w:spacing w:val="-1"/>
          <w:lang w:val="fr-CA"/>
        </w:rPr>
        <w:t xml:space="preserve">un financement du budget administratif de la Convention et PRIE INSTAMMENT les Parties contractantes qui ont un lien géographique avec une </w:t>
      </w:r>
      <w:r w:rsidR="00E800A3">
        <w:rPr>
          <w:spacing w:val="-1"/>
          <w:lang w:val="fr-CA"/>
        </w:rPr>
        <w:t xml:space="preserve">IRR </w:t>
      </w:r>
      <w:r w:rsidR="006917CE">
        <w:rPr>
          <w:spacing w:val="-1"/>
          <w:lang w:val="fr-CA"/>
        </w:rPr>
        <w:t xml:space="preserve">et qui ne l’ont pas encore fait, de fournir des lettres d’appui officielles ainsi qu’un </w:t>
      </w:r>
      <w:r w:rsidR="0011341E">
        <w:rPr>
          <w:spacing w:val="-1"/>
          <w:lang w:val="fr-CA"/>
        </w:rPr>
        <w:t>soutien</w:t>
      </w:r>
      <w:r w:rsidR="006917CE">
        <w:rPr>
          <w:spacing w:val="-1"/>
          <w:lang w:val="fr-CA"/>
        </w:rPr>
        <w:t xml:space="preserve"> financier. </w:t>
      </w:r>
    </w:p>
    <w:p w14:paraId="57E5EC52" w14:textId="77777777" w:rsidR="00F86EF4" w:rsidRPr="00B4642B" w:rsidRDefault="00F86EF4" w:rsidP="00DE18C3">
      <w:pPr>
        <w:pStyle w:val="BodyText"/>
        <w:widowControl/>
        <w:ind w:left="425" w:hanging="425"/>
        <w:rPr>
          <w:spacing w:val="-1"/>
          <w:lang w:val="fr-CA"/>
        </w:rPr>
      </w:pPr>
    </w:p>
    <w:p w14:paraId="2AA7FA61" w14:textId="4393DE02" w:rsidR="00F86EF4" w:rsidRPr="00B4642B" w:rsidRDefault="00DE18C3" w:rsidP="00DE18C3">
      <w:pPr>
        <w:pStyle w:val="BodyText"/>
        <w:widowControl/>
        <w:ind w:left="425" w:hanging="425"/>
        <w:rPr>
          <w:spacing w:val="-1"/>
          <w:lang w:val="fr-CA"/>
        </w:rPr>
      </w:pPr>
      <w:r w:rsidRPr="00B4642B">
        <w:rPr>
          <w:spacing w:val="-1"/>
          <w:lang w:val="fr-CA"/>
        </w:rPr>
        <w:t>18.</w:t>
      </w:r>
      <w:r w:rsidRPr="00B4642B">
        <w:rPr>
          <w:spacing w:val="-1"/>
          <w:lang w:val="fr-CA"/>
        </w:rPr>
        <w:tab/>
      </w:r>
      <w:r w:rsidR="006917CE">
        <w:rPr>
          <w:spacing w:val="-1"/>
          <w:lang w:val="fr-CA"/>
        </w:rPr>
        <w:t xml:space="preserve">DONNE INSTRUCTION au Secrétariat de promouvoir, au niveau mondial, les </w:t>
      </w:r>
      <w:r w:rsidR="00E800A3">
        <w:rPr>
          <w:spacing w:val="-1"/>
          <w:lang w:val="fr-CA"/>
        </w:rPr>
        <w:t>IRR</w:t>
      </w:r>
      <w:r w:rsidR="006917CE">
        <w:rPr>
          <w:spacing w:val="-1"/>
          <w:lang w:val="fr-CA"/>
        </w:rPr>
        <w:t xml:space="preserve"> comme </w:t>
      </w:r>
      <w:r w:rsidR="008108BD">
        <w:rPr>
          <w:spacing w:val="-1"/>
          <w:lang w:val="fr-CA"/>
        </w:rPr>
        <w:t>mécanismes d’a</w:t>
      </w:r>
      <w:r w:rsidR="006917CE">
        <w:rPr>
          <w:spacing w:val="-1"/>
          <w:lang w:val="fr-CA"/>
        </w:rPr>
        <w:t xml:space="preserve">ppui et </w:t>
      </w:r>
      <w:r w:rsidR="008108BD">
        <w:rPr>
          <w:spacing w:val="-1"/>
          <w:lang w:val="fr-CA"/>
        </w:rPr>
        <w:t>de</w:t>
      </w:r>
      <w:r w:rsidR="006917CE">
        <w:rPr>
          <w:spacing w:val="-1"/>
          <w:lang w:val="fr-CA"/>
        </w:rPr>
        <w:t xml:space="preserve"> coopération internationaux à l’application des objectifs de la Convention compl</w:t>
      </w:r>
      <w:r w:rsidR="008108BD">
        <w:rPr>
          <w:spacing w:val="-1"/>
          <w:lang w:val="fr-CA"/>
        </w:rPr>
        <w:t>é</w:t>
      </w:r>
      <w:r w:rsidR="006917CE">
        <w:rPr>
          <w:spacing w:val="-1"/>
          <w:lang w:val="fr-CA"/>
        </w:rPr>
        <w:t>t</w:t>
      </w:r>
      <w:r w:rsidR="008108BD">
        <w:rPr>
          <w:spacing w:val="-1"/>
          <w:lang w:val="fr-CA"/>
        </w:rPr>
        <w:t>a</w:t>
      </w:r>
      <w:r w:rsidR="006917CE">
        <w:rPr>
          <w:spacing w:val="-1"/>
          <w:lang w:val="fr-CA"/>
        </w:rPr>
        <w:t>nt les efforts des Autorités administratives Ramsar au niveau national.</w:t>
      </w:r>
    </w:p>
    <w:p w14:paraId="093D26FF" w14:textId="77777777" w:rsidR="00F86EF4" w:rsidRPr="00B4642B" w:rsidRDefault="00F86EF4" w:rsidP="00DE18C3">
      <w:pPr>
        <w:pStyle w:val="BodyText"/>
        <w:widowControl/>
        <w:ind w:left="425" w:hanging="425"/>
        <w:rPr>
          <w:spacing w:val="-1"/>
          <w:lang w:val="fr-CA"/>
        </w:rPr>
      </w:pPr>
    </w:p>
    <w:p w14:paraId="0A0DAA41" w14:textId="134BAB1A" w:rsidR="00F86EF4" w:rsidRPr="00B4642B" w:rsidRDefault="00DE18C3" w:rsidP="00DE18C3">
      <w:pPr>
        <w:pStyle w:val="BodyText"/>
        <w:widowControl/>
        <w:ind w:left="425" w:hanging="425"/>
        <w:rPr>
          <w:spacing w:val="-1"/>
          <w:lang w:val="fr-CA"/>
        </w:rPr>
      </w:pPr>
      <w:r w:rsidRPr="00B4642B">
        <w:rPr>
          <w:spacing w:val="-1"/>
          <w:lang w:val="fr-CA"/>
        </w:rPr>
        <w:t>19.</w:t>
      </w:r>
      <w:r w:rsidRPr="00B4642B">
        <w:rPr>
          <w:spacing w:val="-1"/>
          <w:lang w:val="fr-CA"/>
        </w:rPr>
        <w:tab/>
      </w:r>
      <w:r w:rsidR="006917CE">
        <w:rPr>
          <w:spacing w:val="-1"/>
          <w:lang w:val="fr-CA"/>
        </w:rPr>
        <w:t xml:space="preserve">DEMANDE aux </w:t>
      </w:r>
      <w:r w:rsidR="00E800A3">
        <w:rPr>
          <w:spacing w:val="-1"/>
          <w:lang w:val="fr-CA"/>
        </w:rPr>
        <w:t>IRR</w:t>
      </w:r>
      <w:r w:rsidR="006917CE">
        <w:rPr>
          <w:spacing w:val="-1"/>
          <w:lang w:val="fr-CA"/>
        </w:rPr>
        <w:t xml:space="preserve"> de maintenir un contact actif et régulier avec le Secrétariat et DONNE INSTRUCTION au Secrétariat de conseiller les </w:t>
      </w:r>
      <w:r w:rsidR="00E800A3">
        <w:rPr>
          <w:spacing w:val="-1"/>
          <w:lang w:val="fr-CA"/>
        </w:rPr>
        <w:t>IRR sur les moyens de renforcer</w:t>
      </w:r>
      <w:r w:rsidR="006917CE">
        <w:rPr>
          <w:spacing w:val="-1"/>
          <w:lang w:val="fr-CA"/>
        </w:rPr>
        <w:t xml:space="preserve"> leurs capacités et leur efficacité. </w:t>
      </w:r>
    </w:p>
    <w:p w14:paraId="49493A22" w14:textId="77777777" w:rsidR="00F86EF4" w:rsidRPr="00B4642B" w:rsidRDefault="00F86EF4" w:rsidP="00DE18C3">
      <w:pPr>
        <w:pStyle w:val="BodyText"/>
        <w:widowControl/>
        <w:ind w:left="425" w:hanging="425"/>
        <w:rPr>
          <w:spacing w:val="-1"/>
          <w:lang w:val="fr-CA"/>
        </w:rPr>
      </w:pPr>
    </w:p>
    <w:p w14:paraId="1947FEE0" w14:textId="03130082" w:rsidR="00F86EF4" w:rsidRPr="00B4642B" w:rsidRDefault="00DE18C3" w:rsidP="00DE18C3">
      <w:pPr>
        <w:pStyle w:val="BodyText"/>
        <w:widowControl/>
        <w:ind w:left="425" w:hanging="425"/>
        <w:rPr>
          <w:spacing w:val="-1"/>
          <w:lang w:val="fr-CA"/>
        </w:rPr>
      </w:pPr>
      <w:r w:rsidRPr="00B4642B">
        <w:rPr>
          <w:spacing w:val="-1"/>
          <w:lang w:val="fr-CA"/>
        </w:rPr>
        <w:t>20.</w:t>
      </w:r>
      <w:r w:rsidRPr="00B4642B">
        <w:rPr>
          <w:spacing w:val="-1"/>
          <w:lang w:val="fr-CA"/>
        </w:rPr>
        <w:tab/>
      </w:r>
      <w:r w:rsidR="00115078">
        <w:rPr>
          <w:spacing w:val="-1"/>
          <w:lang w:val="fr-CA"/>
        </w:rPr>
        <w:t xml:space="preserve">DEMANDE au Secrétariat de continuer de publier sur le site web de la Convention des informations fournies par les </w:t>
      </w:r>
      <w:r w:rsidR="00E800A3">
        <w:rPr>
          <w:spacing w:val="-1"/>
          <w:lang w:val="fr-CA"/>
        </w:rPr>
        <w:t>IRR</w:t>
      </w:r>
      <w:r w:rsidR="00115078">
        <w:rPr>
          <w:spacing w:val="-1"/>
          <w:lang w:val="fr-CA"/>
        </w:rPr>
        <w:t>, y compris des rapports sur leur</w:t>
      </w:r>
      <w:r w:rsidR="008108BD">
        <w:rPr>
          <w:spacing w:val="-1"/>
          <w:lang w:val="fr-CA"/>
        </w:rPr>
        <w:t>s</w:t>
      </w:r>
      <w:r w:rsidR="00115078">
        <w:rPr>
          <w:spacing w:val="-1"/>
          <w:lang w:val="fr-CA"/>
        </w:rPr>
        <w:t xml:space="preserve"> </w:t>
      </w:r>
      <w:r w:rsidR="0011341E">
        <w:rPr>
          <w:spacing w:val="-1"/>
          <w:lang w:val="fr-CA"/>
        </w:rPr>
        <w:t>réalisations</w:t>
      </w:r>
      <w:r w:rsidR="00115078">
        <w:rPr>
          <w:spacing w:val="-1"/>
          <w:lang w:val="fr-CA"/>
        </w:rPr>
        <w:t xml:space="preserve"> et leurs plans de travail. </w:t>
      </w:r>
    </w:p>
    <w:p w14:paraId="7A0986A7" w14:textId="77777777" w:rsidR="00F86EF4" w:rsidRPr="00B4642B" w:rsidRDefault="00F86EF4" w:rsidP="00DE18C3">
      <w:pPr>
        <w:pStyle w:val="BodyText"/>
        <w:widowControl/>
        <w:ind w:left="425" w:hanging="425"/>
        <w:rPr>
          <w:spacing w:val="-1"/>
          <w:lang w:val="fr-CA"/>
        </w:rPr>
      </w:pPr>
    </w:p>
    <w:p w14:paraId="5A7FA61C" w14:textId="2EA5B4E9" w:rsidR="00F86EF4" w:rsidRPr="00B4642B" w:rsidRDefault="00DE18C3" w:rsidP="00DE18C3">
      <w:pPr>
        <w:pStyle w:val="BodyText"/>
        <w:widowControl/>
        <w:ind w:left="425" w:hanging="425"/>
        <w:rPr>
          <w:spacing w:val="-1"/>
          <w:lang w:val="fr-CA"/>
        </w:rPr>
      </w:pPr>
      <w:r w:rsidRPr="00B4642B">
        <w:rPr>
          <w:spacing w:val="-1"/>
          <w:lang w:val="fr-CA"/>
        </w:rPr>
        <w:t>21.</w:t>
      </w:r>
      <w:r w:rsidRPr="00B4642B">
        <w:rPr>
          <w:spacing w:val="-1"/>
          <w:lang w:val="fr-CA"/>
        </w:rPr>
        <w:tab/>
      </w:r>
      <w:r w:rsidR="00F86EF4" w:rsidRPr="00B4642B">
        <w:rPr>
          <w:spacing w:val="-1"/>
          <w:lang w:val="fr-CA"/>
        </w:rPr>
        <w:t>ENCOURAGE</w:t>
      </w:r>
      <w:r w:rsidR="00115078">
        <w:rPr>
          <w:spacing w:val="-1"/>
          <w:lang w:val="fr-CA"/>
        </w:rPr>
        <w:t xml:space="preserve"> les Parties contractantes à inviter les organisations régionales intergouvernementales, internationales et non gouvernementales, y compris les organisations de bassins fluviaux et souterrains transfrontaliers, à participer aux </w:t>
      </w:r>
      <w:r w:rsidR="00E800A3">
        <w:rPr>
          <w:spacing w:val="-1"/>
          <w:lang w:val="fr-CA"/>
        </w:rPr>
        <w:t>IRR</w:t>
      </w:r>
      <w:r w:rsidR="00115078">
        <w:rPr>
          <w:spacing w:val="-1"/>
          <w:lang w:val="fr-CA"/>
        </w:rPr>
        <w:t xml:space="preserve">. </w:t>
      </w:r>
      <w:r w:rsidR="00F22681" w:rsidRPr="00B4642B">
        <w:rPr>
          <w:spacing w:val="-1"/>
          <w:lang w:val="fr-CA"/>
        </w:rPr>
        <w:t xml:space="preserve"> </w:t>
      </w:r>
    </w:p>
    <w:p w14:paraId="6E145A4F" w14:textId="77777777" w:rsidR="00F86EF4" w:rsidRPr="00B4642B" w:rsidRDefault="00F86EF4" w:rsidP="00DE18C3">
      <w:pPr>
        <w:pStyle w:val="BodyText"/>
        <w:widowControl/>
        <w:ind w:left="425" w:hanging="425"/>
        <w:rPr>
          <w:spacing w:val="-1"/>
          <w:lang w:val="fr-CA"/>
        </w:rPr>
      </w:pPr>
    </w:p>
    <w:p w14:paraId="1DD9763F" w14:textId="21CBC3EC" w:rsidR="00F86EF4" w:rsidRPr="00B4642B" w:rsidRDefault="00DE18C3" w:rsidP="00DE18C3">
      <w:pPr>
        <w:pStyle w:val="BodyText"/>
        <w:widowControl/>
        <w:ind w:left="425" w:hanging="425"/>
        <w:rPr>
          <w:spacing w:val="-1"/>
          <w:lang w:val="fr-CA"/>
        </w:rPr>
      </w:pPr>
      <w:r w:rsidRPr="00B4642B">
        <w:rPr>
          <w:spacing w:val="-1"/>
          <w:lang w:val="fr-CA"/>
        </w:rPr>
        <w:t>22.</w:t>
      </w:r>
      <w:r w:rsidRPr="00B4642B">
        <w:rPr>
          <w:spacing w:val="-1"/>
          <w:lang w:val="fr-CA"/>
        </w:rPr>
        <w:tab/>
      </w:r>
      <w:r w:rsidR="00115078">
        <w:rPr>
          <w:spacing w:val="-1"/>
          <w:lang w:val="fr-CA"/>
        </w:rPr>
        <w:t xml:space="preserve">DONNE INSTRUCTION au </w:t>
      </w:r>
      <w:r w:rsidR="00E800A3">
        <w:rPr>
          <w:spacing w:val="-1"/>
          <w:lang w:val="fr-CA"/>
        </w:rPr>
        <w:t>Secrétariat</w:t>
      </w:r>
      <w:r w:rsidR="00115078">
        <w:rPr>
          <w:spacing w:val="-1"/>
          <w:lang w:val="fr-CA"/>
        </w:rPr>
        <w:t xml:space="preserve"> de préparer une brève évaluation du fonctionnement et </w:t>
      </w:r>
      <w:r w:rsidR="008108BD">
        <w:rPr>
          <w:spacing w:val="-1"/>
          <w:lang w:val="fr-CA"/>
        </w:rPr>
        <w:t xml:space="preserve">des </w:t>
      </w:r>
      <w:r w:rsidR="0011341E">
        <w:rPr>
          <w:spacing w:val="-1"/>
          <w:lang w:val="fr-CA"/>
        </w:rPr>
        <w:t>réalisations</w:t>
      </w:r>
      <w:r w:rsidR="00115078">
        <w:rPr>
          <w:spacing w:val="-1"/>
          <w:lang w:val="fr-CA"/>
        </w:rPr>
        <w:t xml:space="preserve"> des </w:t>
      </w:r>
      <w:r w:rsidR="00E800A3">
        <w:rPr>
          <w:spacing w:val="-1"/>
          <w:lang w:val="fr-CA"/>
        </w:rPr>
        <w:t>IRR</w:t>
      </w:r>
      <w:r w:rsidR="00CC7C98">
        <w:rPr>
          <w:spacing w:val="-1"/>
          <w:lang w:val="fr-CA"/>
        </w:rPr>
        <w:t xml:space="preserve"> actives durant la période </w:t>
      </w:r>
      <w:r w:rsidR="00AE17B0" w:rsidRPr="00B4642B">
        <w:rPr>
          <w:spacing w:val="-1"/>
          <w:lang w:val="fr-CA"/>
        </w:rPr>
        <w:t>2019</w:t>
      </w:r>
      <w:r w:rsidR="00CC7C98">
        <w:rPr>
          <w:spacing w:val="-1"/>
          <w:lang w:val="fr-CA"/>
        </w:rPr>
        <w:noBreakHyphen/>
      </w:r>
      <w:r w:rsidR="00AE17B0" w:rsidRPr="00B4642B">
        <w:rPr>
          <w:spacing w:val="-1"/>
          <w:lang w:val="fr-CA"/>
        </w:rPr>
        <w:t>2021</w:t>
      </w:r>
      <w:r w:rsidR="00F86EF4" w:rsidRPr="00B4642B">
        <w:rPr>
          <w:spacing w:val="-1"/>
          <w:lang w:val="fr-CA"/>
        </w:rPr>
        <w:t xml:space="preserve">, </w:t>
      </w:r>
      <w:r w:rsidR="00CC7C98">
        <w:rPr>
          <w:spacing w:val="-1"/>
          <w:lang w:val="fr-CA"/>
        </w:rPr>
        <w:t xml:space="preserve">pour examen </w:t>
      </w:r>
      <w:r w:rsidR="00E800A3">
        <w:rPr>
          <w:spacing w:val="-1"/>
          <w:lang w:val="fr-CA"/>
        </w:rPr>
        <w:t>par le Comité permanent et soumission à la COP14</w:t>
      </w:r>
      <w:r w:rsidR="00CC7C98">
        <w:rPr>
          <w:spacing w:val="-1"/>
          <w:lang w:val="fr-CA"/>
        </w:rPr>
        <w:t xml:space="preserve">. </w:t>
      </w:r>
    </w:p>
    <w:p w14:paraId="3A9A17F1" w14:textId="77777777" w:rsidR="00E37DA5" w:rsidRPr="00B4642B" w:rsidRDefault="00E37DA5" w:rsidP="00DE18C3">
      <w:pPr>
        <w:pStyle w:val="BodyText"/>
        <w:widowControl/>
        <w:ind w:left="425" w:hanging="425"/>
        <w:rPr>
          <w:spacing w:val="-1"/>
          <w:lang w:val="fr-CA"/>
        </w:rPr>
      </w:pPr>
    </w:p>
    <w:p w14:paraId="1A245DB1" w14:textId="54FFE7C0" w:rsidR="00564549" w:rsidRPr="00CC7C98" w:rsidRDefault="00DE18C3" w:rsidP="00564549">
      <w:pPr>
        <w:rPr>
          <w:rFonts w:cstheme="minorBidi"/>
          <w:spacing w:val="-1"/>
          <w:lang w:val="fr-CA"/>
        </w:rPr>
      </w:pPr>
      <w:r w:rsidRPr="00CC7C98">
        <w:rPr>
          <w:rFonts w:cstheme="minorBidi"/>
          <w:spacing w:val="-1"/>
          <w:lang w:val="fr-CA"/>
        </w:rPr>
        <w:t>23.</w:t>
      </w:r>
      <w:r w:rsidRPr="00CC7C98">
        <w:rPr>
          <w:rFonts w:cstheme="minorBidi"/>
          <w:spacing w:val="-1"/>
          <w:lang w:val="fr-CA"/>
        </w:rPr>
        <w:tab/>
      </w:r>
      <w:r w:rsidR="00CC7C98" w:rsidRPr="00CC7C98">
        <w:rPr>
          <w:rFonts w:cstheme="minorBidi"/>
          <w:spacing w:val="-1"/>
          <w:lang w:val="fr-CA"/>
        </w:rPr>
        <w:t xml:space="preserve">ABROGE et remplace les Résolutions suivantes sur les </w:t>
      </w:r>
      <w:r w:rsidR="00E800A3">
        <w:rPr>
          <w:rFonts w:cstheme="minorBidi"/>
          <w:spacing w:val="-1"/>
          <w:lang w:val="fr-CA"/>
        </w:rPr>
        <w:t>IRR</w:t>
      </w:r>
      <w:r w:rsidR="00CC7C98" w:rsidRPr="00CC7C98">
        <w:rPr>
          <w:rFonts w:cstheme="minorBidi"/>
          <w:spacing w:val="-1"/>
          <w:lang w:val="fr-CA"/>
        </w:rPr>
        <w:t xml:space="preserve">, chacune d’entre elles </w:t>
      </w:r>
      <w:r w:rsidR="00E800A3">
        <w:rPr>
          <w:rFonts w:cstheme="minorBidi"/>
          <w:spacing w:val="-1"/>
          <w:lang w:val="fr-CA"/>
        </w:rPr>
        <w:t>portant sur</w:t>
      </w:r>
      <w:r w:rsidR="00CC7C98" w:rsidRPr="00CC7C98">
        <w:rPr>
          <w:rFonts w:cstheme="minorBidi"/>
          <w:spacing w:val="-1"/>
          <w:lang w:val="fr-CA"/>
        </w:rPr>
        <w:t xml:space="preserve"> une période de temps spécifique :</w:t>
      </w:r>
      <w:r w:rsidR="00566733" w:rsidRPr="00CC7C98">
        <w:rPr>
          <w:rFonts w:cstheme="minorBidi"/>
          <w:spacing w:val="-1"/>
          <w:lang w:val="fr-CA"/>
        </w:rPr>
        <w:t xml:space="preserve"> </w:t>
      </w:r>
    </w:p>
    <w:p w14:paraId="68344B52" w14:textId="6DEBAAA1" w:rsidR="00EC3563" w:rsidRPr="00CC7C98" w:rsidRDefault="00EC3563" w:rsidP="00564549">
      <w:pPr>
        <w:pStyle w:val="ListParagraph"/>
        <w:numPr>
          <w:ilvl w:val="0"/>
          <w:numId w:val="37"/>
        </w:numPr>
        <w:ind w:left="850" w:hanging="425"/>
        <w:contextualSpacing w:val="0"/>
        <w:rPr>
          <w:rFonts w:cs="Calibri"/>
          <w:lang w:val="fr-CA"/>
        </w:rPr>
      </w:pPr>
      <w:r w:rsidRPr="00CC7C98">
        <w:rPr>
          <w:rFonts w:cs="Calibri"/>
          <w:lang w:val="fr-CA"/>
        </w:rPr>
        <w:t>R</w:t>
      </w:r>
      <w:r w:rsidR="00CC7C98" w:rsidRPr="00CC7C98">
        <w:rPr>
          <w:rFonts w:cs="Calibri"/>
          <w:lang w:val="fr-CA"/>
        </w:rPr>
        <w:t>é</w:t>
      </w:r>
      <w:r w:rsidRPr="00CC7C98">
        <w:rPr>
          <w:rFonts w:cs="Calibri"/>
          <w:lang w:val="fr-CA"/>
        </w:rPr>
        <w:t>solution VIII.30 (2003-2005),</w:t>
      </w:r>
    </w:p>
    <w:p w14:paraId="6959E10E" w14:textId="1792F8A5" w:rsidR="00564549" w:rsidRPr="00CC7C98" w:rsidRDefault="00EC3563" w:rsidP="00564549">
      <w:pPr>
        <w:pStyle w:val="ListParagraph"/>
        <w:numPr>
          <w:ilvl w:val="0"/>
          <w:numId w:val="37"/>
        </w:numPr>
        <w:ind w:left="850" w:hanging="425"/>
        <w:contextualSpacing w:val="0"/>
        <w:rPr>
          <w:rFonts w:cs="Calibri"/>
          <w:lang w:val="fr-CA"/>
        </w:rPr>
      </w:pPr>
      <w:r w:rsidRPr="00CC7C98">
        <w:rPr>
          <w:rFonts w:cs="Calibri"/>
          <w:lang w:val="fr-CA"/>
        </w:rPr>
        <w:t>R</w:t>
      </w:r>
      <w:r w:rsidR="00CC7C98" w:rsidRPr="00CC7C98">
        <w:rPr>
          <w:rFonts w:cs="Calibri"/>
          <w:lang w:val="fr-CA"/>
        </w:rPr>
        <w:t>é</w:t>
      </w:r>
      <w:r w:rsidRPr="00CC7C98">
        <w:rPr>
          <w:rFonts w:cs="Calibri"/>
          <w:lang w:val="fr-CA"/>
        </w:rPr>
        <w:t xml:space="preserve">solution IX.7 (2006-2008), </w:t>
      </w:r>
    </w:p>
    <w:p w14:paraId="37C2B479" w14:textId="11FE446F" w:rsidR="00564549" w:rsidRPr="00CC7C98" w:rsidRDefault="00EC3563" w:rsidP="00564549">
      <w:pPr>
        <w:pStyle w:val="ListParagraph"/>
        <w:numPr>
          <w:ilvl w:val="0"/>
          <w:numId w:val="37"/>
        </w:numPr>
        <w:ind w:left="850" w:hanging="425"/>
        <w:contextualSpacing w:val="0"/>
        <w:rPr>
          <w:rFonts w:cs="Calibri"/>
          <w:lang w:val="fr-CA"/>
        </w:rPr>
      </w:pPr>
      <w:r w:rsidRPr="00CC7C98">
        <w:rPr>
          <w:rFonts w:cs="Calibri"/>
          <w:lang w:val="fr-CA"/>
        </w:rPr>
        <w:t>R</w:t>
      </w:r>
      <w:r w:rsidR="00CC7C98" w:rsidRPr="00CC7C98">
        <w:rPr>
          <w:rFonts w:cs="Calibri"/>
          <w:lang w:val="fr-CA"/>
        </w:rPr>
        <w:t>é</w:t>
      </w:r>
      <w:r w:rsidRPr="00CC7C98">
        <w:rPr>
          <w:rFonts w:cs="Calibri"/>
          <w:lang w:val="fr-CA"/>
        </w:rPr>
        <w:t xml:space="preserve">solution X.6 (2009-2012), </w:t>
      </w:r>
    </w:p>
    <w:p w14:paraId="6995DE28" w14:textId="6E6B5AA3" w:rsidR="00EC3563" w:rsidRPr="00CC7C98" w:rsidRDefault="00EC3563" w:rsidP="00564549">
      <w:pPr>
        <w:pStyle w:val="ListParagraph"/>
        <w:numPr>
          <w:ilvl w:val="0"/>
          <w:numId w:val="37"/>
        </w:numPr>
        <w:ind w:left="850" w:hanging="425"/>
        <w:contextualSpacing w:val="0"/>
        <w:rPr>
          <w:rFonts w:cs="Calibri"/>
          <w:lang w:val="fr-CA"/>
        </w:rPr>
      </w:pPr>
      <w:r w:rsidRPr="00CC7C98">
        <w:rPr>
          <w:rFonts w:cs="Calibri"/>
          <w:lang w:val="fr-CA"/>
        </w:rPr>
        <w:t>R</w:t>
      </w:r>
      <w:r w:rsidR="00CC7C98" w:rsidRPr="00CC7C98">
        <w:rPr>
          <w:rFonts w:cs="Calibri"/>
          <w:lang w:val="fr-CA"/>
        </w:rPr>
        <w:t>é</w:t>
      </w:r>
      <w:r w:rsidRPr="00CC7C98">
        <w:rPr>
          <w:rFonts w:cs="Calibri"/>
          <w:lang w:val="fr-CA"/>
        </w:rPr>
        <w:t xml:space="preserve">solution XI.5 (2013-2015), </w:t>
      </w:r>
      <w:r w:rsidR="00CC7C98">
        <w:rPr>
          <w:rFonts w:cs="Calibri"/>
          <w:lang w:val="fr-CA"/>
        </w:rPr>
        <w:t>et</w:t>
      </w:r>
      <w:r w:rsidRPr="00CC7C98">
        <w:rPr>
          <w:rFonts w:cs="Calibri"/>
          <w:lang w:val="fr-CA"/>
        </w:rPr>
        <w:t xml:space="preserve"> </w:t>
      </w:r>
    </w:p>
    <w:p w14:paraId="648E5E37" w14:textId="786A9DC4" w:rsidR="00EC3563" w:rsidRPr="00CC7C98" w:rsidRDefault="00EA12A7" w:rsidP="00564549">
      <w:pPr>
        <w:pStyle w:val="ListParagraph"/>
        <w:numPr>
          <w:ilvl w:val="0"/>
          <w:numId w:val="37"/>
        </w:numPr>
        <w:ind w:left="850" w:hanging="425"/>
        <w:contextualSpacing w:val="0"/>
        <w:rPr>
          <w:rFonts w:cs="Calibri"/>
          <w:lang w:val="fr-CA"/>
        </w:rPr>
      </w:pPr>
      <w:r w:rsidRPr="00CC7C98">
        <w:rPr>
          <w:rFonts w:cs="Calibri"/>
          <w:lang w:val="fr-CA"/>
        </w:rPr>
        <w:t>R</w:t>
      </w:r>
      <w:r w:rsidR="00CC7C98" w:rsidRPr="00CC7C98">
        <w:rPr>
          <w:rFonts w:cs="Calibri"/>
          <w:lang w:val="fr-CA"/>
        </w:rPr>
        <w:t>é</w:t>
      </w:r>
      <w:r w:rsidRPr="00CC7C98">
        <w:rPr>
          <w:rFonts w:cs="Calibri"/>
          <w:lang w:val="fr-CA"/>
        </w:rPr>
        <w:t>solution XII.8 (2016-2018).</w:t>
      </w:r>
      <w:r w:rsidR="00E800A3">
        <w:rPr>
          <w:rFonts w:cs="Calibri"/>
          <w:lang w:val="fr-CA"/>
        </w:rPr>
        <w:t>]</w:t>
      </w:r>
    </w:p>
    <w:p w14:paraId="1648DDBE" w14:textId="77777777" w:rsidR="00CC7C98" w:rsidRPr="00CC7C98" w:rsidRDefault="00CC7C98" w:rsidP="00253AD8">
      <w:pPr>
        <w:pStyle w:val="BodyText"/>
        <w:widowControl/>
        <w:tabs>
          <w:tab w:val="left" w:pos="548"/>
        </w:tabs>
        <w:spacing w:line="232" w:lineRule="auto"/>
        <w:ind w:right="121"/>
        <w:rPr>
          <w:b/>
          <w:sz w:val="24"/>
          <w:szCs w:val="24"/>
          <w:lang w:val="fr-CA"/>
        </w:rPr>
      </w:pPr>
    </w:p>
    <w:p w14:paraId="4014AA36" w14:textId="77777777" w:rsidR="00CC7C98" w:rsidRDefault="00CC7C98">
      <w:pPr>
        <w:rPr>
          <w:rFonts w:cstheme="minorBidi"/>
          <w:b/>
          <w:sz w:val="24"/>
          <w:szCs w:val="24"/>
          <w:lang w:val="fr-CA"/>
        </w:rPr>
      </w:pPr>
      <w:r>
        <w:rPr>
          <w:b/>
          <w:sz w:val="24"/>
          <w:szCs w:val="24"/>
          <w:lang w:val="fr-CA"/>
        </w:rPr>
        <w:br w:type="page"/>
      </w:r>
    </w:p>
    <w:p w14:paraId="1615F1E6" w14:textId="01042F3D" w:rsidR="00F86EF4" w:rsidRPr="00CC7C98" w:rsidRDefault="00BF04CF" w:rsidP="00253AD8">
      <w:pPr>
        <w:pStyle w:val="BodyText"/>
        <w:widowControl/>
        <w:tabs>
          <w:tab w:val="left" w:pos="548"/>
        </w:tabs>
        <w:spacing w:line="232" w:lineRule="auto"/>
        <w:ind w:right="121"/>
        <w:rPr>
          <w:b/>
          <w:sz w:val="24"/>
          <w:szCs w:val="24"/>
          <w:lang w:val="fr-CA"/>
        </w:rPr>
      </w:pPr>
      <w:r>
        <w:rPr>
          <w:b/>
          <w:sz w:val="24"/>
          <w:szCs w:val="24"/>
          <w:lang w:val="fr-CA"/>
        </w:rPr>
        <w:lastRenderedPageBreak/>
        <w:t>[</w:t>
      </w:r>
      <w:r w:rsidR="00253AD8" w:rsidRPr="00CC7C98">
        <w:rPr>
          <w:b/>
          <w:sz w:val="24"/>
          <w:szCs w:val="24"/>
          <w:lang w:val="fr-CA"/>
        </w:rPr>
        <w:t>Annex</w:t>
      </w:r>
      <w:r w:rsidR="00CC7C98">
        <w:rPr>
          <w:b/>
          <w:sz w:val="24"/>
          <w:szCs w:val="24"/>
          <w:lang w:val="fr-CA"/>
        </w:rPr>
        <w:t>e</w:t>
      </w:r>
      <w:r w:rsidR="00253AD8" w:rsidRPr="00CC7C98">
        <w:rPr>
          <w:b/>
          <w:sz w:val="24"/>
          <w:szCs w:val="24"/>
          <w:lang w:val="fr-CA"/>
        </w:rPr>
        <w:t xml:space="preserve"> </w:t>
      </w:r>
      <w:r w:rsidR="009A787F">
        <w:rPr>
          <w:b/>
          <w:sz w:val="24"/>
          <w:szCs w:val="24"/>
          <w:lang w:val="fr-CA"/>
        </w:rPr>
        <w:t>1</w:t>
      </w:r>
    </w:p>
    <w:p w14:paraId="62EDB628" w14:textId="77777777" w:rsidR="00F86EF4" w:rsidRPr="00CC7C98" w:rsidRDefault="00F86EF4" w:rsidP="00BF7A4E">
      <w:pPr>
        <w:pStyle w:val="BodyText"/>
        <w:widowControl/>
        <w:tabs>
          <w:tab w:val="left" w:pos="548"/>
        </w:tabs>
        <w:spacing w:line="232" w:lineRule="auto"/>
        <w:ind w:right="121"/>
        <w:jc w:val="right"/>
        <w:rPr>
          <w:rFonts w:cs="Calibri"/>
          <w:b/>
          <w:sz w:val="24"/>
          <w:szCs w:val="24"/>
          <w:lang w:val="fr-CA"/>
        </w:rPr>
      </w:pPr>
    </w:p>
    <w:p w14:paraId="5471FFCF" w14:textId="69679985" w:rsidR="00F86EF4" w:rsidRPr="00CC7C98" w:rsidRDefault="00CC7C98" w:rsidP="00253AD8">
      <w:pPr>
        <w:pStyle w:val="BodyText"/>
        <w:widowControl/>
        <w:tabs>
          <w:tab w:val="left" w:pos="548"/>
        </w:tabs>
        <w:spacing w:line="232" w:lineRule="auto"/>
        <w:ind w:right="121"/>
        <w:rPr>
          <w:rFonts w:cs="Calibri"/>
          <w:sz w:val="24"/>
          <w:szCs w:val="24"/>
          <w:lang w:val="fr-CA"/>
        </w:rPr>
      </w:pPr>
      <w:r>
        <w:rPr>
          <w:rFonts w:cs="Calibri"/>
          <w:b/>
          <w:sz w:val="24"/>
          <w:szCs w:val="24"/>
          <w:lang w:val="fr-CA"/>
        </w:rPr>
        <w:t>Cadre opérationnel pour les Initiatives régionales Ramsar</w:t>
      </w:r>
    </w:p>
    <w:p w14:paraId="346F9BE4" w14:textId="77777777" w:rsidR="005C6B2A" w:rsidRPr="00CC7C98" w:rsidRDefault="005C6B2A" w:rsidP="00BF7A4E">
      <w:pPr>
        <w:pStyle w:val="BodyText"/>
        <w:widowControl/>
        <w:tabs>
          <w:tab w:val="left" w:pos="548"/>
        </w:tabs>
        <w:spacing w:line="232" w:lineRule="auto"/>
        <w:ind w:right="121"/>
        <w:jc w:val="center"/>
        <w:rPr>
          <w:rFonts w:cs="Calibri"/>
          <w:lang w:val="fr-CA"/>
        </w:rPr>
      </w:pPr>
    </w:p>
    <w:p w14:paraId="38BC3EB0" w14:textId="04ED8748" w:rsidR="00F86EF4" w:rsidRPr="00CC7C98" w:rsidRDefault="009A787F" w:rsidP="00BF7A4E">
      <w:pPr>
        <w:pStyle w:val="BodyText"/>
        <w:widowControl/>
        <w:spacing w:line="232" w:lineRule="auto"/>
        <w:ind w:left="0" w:right="121" w:firstLine="0"/>
        <w:jc w:val="center"/>
        <w:rPr>
          <w:rFonts w:cs="Calibri"/>
          <w:b/>
          <w:lang w:val="fr-CA"/>
        </w:rPr>
      </w:pPr>
      <w:r>
        <w:rPr>
          <w:rFonts w:cs="Calibri"/>
          <w:b/>
          <w:lang w:val="fr-CA"/>
        </w:rPr>
        <w:t>Section</w:t>
      </w:r>
      <w:r w:rsidR="00F86EF4" w:rsidRPr="00CC7C98">
        <w:rPr>
          <w:rFonts w:cs="Calibri"/>
          <w:b/>
          <w:lang w:val="fr-CA"/>
        </w:rPr>
        <w:t xml:space="preserve"> 1</w:t>
      </w:r>
      <w:r w:rsidR="00CC7C98">
        <w:rPr>
          <w:rFonts w:cs="Calibri"/>
          <w:b/>
          <w:lang w:val="fr-CA"/>
        </w:rPr>
        <w:t xml:space="preserve"> </w:t>
      </w:r>
      <w:r w:rsidR="00F86EF4" w:rsidRPr="00CC7C98">
        <w:rPr>
          <w:rFonts w:cs="Calibri"/>
          <w:b/>
          <w:lang w:val="fr-CA"/>
        </w:rPr>
        <w:t xml:space="preserve">: </w:t>
      </w:r>
      <w:r w:rsidR="00CC7C98">
        <w:rPr>
          <w:rFonts w:cs="Calibri"/>
          <w:b/>
          <w:lang w:val="fr-CA"/>
        </w:rPr>
        <w:t>But des Initiatives régionales Ramsar</w:t>
      </w:r>
    </w:p>
    <w:p w14:paraId="28BDBD02" w14:textId="77777777" w:rsidR="00F86EF4" w:rsidRPr="00CC7C98" w:rsidRDefault="00F86EF4" w:rsidP="00BF7A4E">
      <w:pPr>
        <w:pStyle w:val="BodyText"/>
        <w:widowControl/>
        <w:spacing w:line="232" w:lineRule="auto"/>
        <w:ind w:left="0" w:right="121" w:firstLine="0"/>
        <w:rPr>
          <w:rFonts w:cs="Calibri"/>
          <w:lang w:val="fr-CA"/>
        </w:rPr>
      </w:pPr>
    </w:p>
    <w:p w14:paraId="1208ABC1" w14:textId="1BF7F106" w:rsidR="00F86EF4" w:rsidRPr="00CC7C98" w:rsidRDefault="00564549" w:rsidP="00564549">
      <w:pPr>
        <w:pStyle w:val="BodyText"/>
        <w:widowControl/>
        <w:ind w:left="567" w:hanging="567"/>
        <w:rPr>
          <w:rFonts w:cs="Calibri"/>
          <w:lang w:val="fr-CA"/>
        </w:rPr>
      </w:pPr>
      <w:r w:rsidRPr="00CC7C98">
        <w:rPr>
          <w:rFonts w:cs="Calibri"/>
          <w:lang w:val="fr-CA"/>
        </w:rPr>
        <w:t>1.1</w:t>
      </w:r>
      <w:r w:rsidRPr="00CC7C98">
        <w:rPr>
          <w:rFonts w:cs="Calibri"/>
          <w:lang w:val="fr-CA"/>
        </w:rPr>
        <w:tab/>
      </w:r>
      <w:r w:rsidR="00CC7C98">
        <w:rPr>
          <w:rFonts w:cs="Calibri"/>
          <w:lang w:val="fr-CA"/>
        </w:rPr>
        <w:t xml:space="preserve">Les Initiatives régionales Ramsar (IRR) ont vocation </w:t>
      </w:r>
      <w:r w:rsidR="0011341E">
        <w:rPr>
          <w:rFonts w:cs="Calibri"/>
          <w:lang w:val="fr-CA"/>
        </w:rPr>
        <w:t>à</w:t>
      </w:r>
      <w:r w:rsidR="00CC7C98">
        <w:rPr>
          <w:rFonts w:cs="Calibri"/>
          <w:lang w:val="fr-CA"/>
        </w:rPr>
        <w:t xml:space="preserve"> promouvoir la coopération régionale entre les Parties contractantes</w:t>
      </w:r>
      <w:r w:rsidR="009A787F">
        <w:rPr>
          <w:rFonts w:cs="Calibri"/>
          <w:lang w:val="fr-CA"/>
        </w:rPr>
        <w:t xml:space="preserve"> et d’autres membres, le cas échéant,</w:t>
      </w:r>
      <w:r w:rsidR="00CC7C98">
        <w:rPr>
          <w:rFonts w:cs="Calibri"/>
          <w:lang w:val="fr-CA"/>
        </w:rPr>
        <w:t xml:space="preserve"> </w:t>
      </w:r>
      <w:r w:rsidR="00B76AEA">
        <w:rPr>
          <w:rFonts w:cs="Calibri"/>
          <w:lang w:val="fr-CA"/>
        </w:rPr>
        <w:t>pour la mise en œuvre</w:t>
      </w:r>
      <w:r w:rsidR="00CC7C98">
        <w:rPr>
          <w:rFonts w:cs="Calibri"/>
          <w:lang w:val="fr-CA"/>
        </w:rPr>
        <w:t xml:space="preserve"> de la Convention de Ramsar sur les zones humides</w:t>
      </w:r>
      <w:r w:rsidR="00B76AEA">
        <w:rPr>
          <w:rFonts w:cs="Calibri"/>
          <w:lang w:val="fr-CA"/>
        </w:rPr>
        <w:t>,</w:t>
      </w:r>
      <w:r w:rsidR="00CC7C98">
        <w:rPr>
          <w:rFonts w:cs="Calibri"/>
          <w:lang w:val="fr-CA"/>
        </w:rPr>
        <w:t xml:space="preserve"> dans des régions </w:t>
      </w:r>
      <w:r w:rsidR="0011341E">
        <w:rPr>
          <w:rFonts w:cs="Calibri"/>
          <w:lang w:val="fr-CA"/>
        </w:rPr>
        <w:t>données</w:t>
      </w:r>
      <w:r w:rsidR="00CC7C98">
        <w:rPr>
          <w:rFonts w:cs="Calibri"/>
          <w:lang w:val="fr-CA"/>
        </w:rPr>
        <w:t>.</w:t>
      </w:r>
      <w:r w:rsidR="00F86EF4" w:rsidRPr="00CC7C98">
        <w:rPr>
          <w:rFonts w:cs="Calibri"/>
          <w:lang w:val="fr-CA"/>
        </w:rPr>
        <w:t xml:space="preserve"> </w:t>
      </w:r>
    </w:p>
    <w:p w14:paraId="71B1BD2A" w14:textId="77777777" w:rsidR="00F86EF4" w:rsidRPr="00CC7C98" w:rsidRDefault="00F86EF4" w:rsidP="00BF7A4E">
      <w:pPr>
        <w:pStyle w:val="BodyText"/>
        <w:widowControl/>
        <w:spacing w:line="232" w:lineRule="auto"/>
        <w:ind w:left="720" w:right="121" w:firstLine="0"/>
        <w:rPr>
          <w:rFonts w:cs="Calibri"/>
          <w:lang w:val="fr-CA"/>
        </w:rPr>
      </w:pPr>
    </w:p>
    <w:p w14:paraId="4AB2DAFC" w14:textId="3D39B276" w:rsidR="00F86EF4" w:rsidRPr="00CC7C98" w:rsidRDefault="003049EE" w:rsidP="00564549">
      <w:pPr>
        <w:pStyle w:val="BodyText"/>
        <w:widowControl/>
        <w:ind w:left="567" w:hanging="567"/>
        <w:rPr>
          <w:rFonts w:cs="Calibri"/>
          <w:lang w:val="fr-CA"/>
        </w:rPr>
      </w:pPr>
      <w:r w:rsidRPr="00CC7C98">
        <w:rPr>
          <w:rFonts w:cs="Calibri"/>
          <w:lang w:val="fr-CA"/>
        </w:rPr>
        <w:t>1.2</w:t>
      </w:r>
      <w:r w:rsidRPr="00CC7C98">
        <w:rPr>
          <w:rFonts w:cs="Calibri"/>
          <w:lang w:val="fr-CA"/>
        </w:rPr>
        <w:tab/>
      </w:r>
      <w:r w:rsidR="00CC7C98">
        <w:rPr>
          <w:rFonts w:cs="Calibri"/>
          <w:lang w:val="fr-CA"/>
        </w:rPr>
        <w:t>Les IRR ont pour but</w:t>
      </w:r>
      <w:r w:rsidR="00DD4EA1">
        <w:rPr>
          <w:rFonts w:cs="Calibri"/>
          <w:lang w:val="fr-CA"/>
        </w:rPr>
        <w:t>,</w:t>
      </w:r>
      <w:r w:rsidR="00DD4EA1" w:rsidRPr="00DD4EA1">
        <w:rPr>
          <w:rFonts w:cs="Calibri"/>
          <w:lang w:val="fr-CA"/>
        </w:rPr>
        <w:t xml:space="preserve"> </w:t>
      </w:r>
      <w:r w:rsidR="00DD4EA1">
        <w:rPr>
          <w:rFonts w:cs="Calibri"/>
          <w:lang w:val="fr-CA"/>
        </w:rPr>
        <w:t>dans des régions données,</w:t>
      </w:r>
      <w:r w:rsidR="00CC7C98">
        <w:rPr>
          <w:rFonts w:cs="Calibri"/>
          <w:lang w:val="fr-CA"/>
        </w:rPr>
        <w:t xml:space="preserve"> de renforcer l</w:t>
      </w:r>
      <w:r w:rsidR="00B76AEA">
        <w:rPr>
          <w:rFonts w:cs="Calibri"/>
          <w:lang w:val="fr-CA"/>
        </w:rPr>
        <w:t>es</w:t>
      </w:r>
      <w:r w:rsidR="00CC7C98">
        <w:rPr>
          <w:rFonts w:cs="Calibri"/>
          <w:lang w:val="fr-CA"/>
        </w:rPr>
        <w:t xml:space="preserve"> capacité</w:t>
      </w:r>
      <w:r w:rsidR="00B76AEA">
        <w:rPr>
          <w:rFonts w:cs="Calibri"/>
          <w:lang w:val="fr-CA"/>
        </w:rPr>
        <w:t>s</w:t>
      </w:r>
      <w:r w:rsidR="00CC7C98">
        <w:rPr>
          <w:rFonts w:cs="Calibri"/>
          <w:lang w:val="fr-CA"/>
        </w:rPr>
        <w:t xml:space="preserve"> </w:t>
      </w:r>
      <w:r w:rsidR="00B76AEA">
        <w:rPr>
          <w:rFonts w:cs="Calibri"/>
          <w:lang w:val="fr-CA"/>
        </w:rPr>
        <w:t xml:space="preserve">des Parties contractantes en matière </w:t>
      </w:r>
      <w:r w:rsidR="003F5A29">
        <w:rPr>
          <w:rFonts w:cs="Calibri"/>
          <w:lang w:val="fr-CA"/>
        </w:rPr>
        <w:t xml:space="preserve">d’application de la Convention </w:t>
      </w:r>
      <w:r w:rsidR="00CC7C98">
        <w:rPr>
          <w:rFonts w:cs="Calibri"/>
          <w:lang w:val="fr-CA"/>
        </w:rPr>
        <w:t xml:space="preserve">et </w:t>
      </w:r>
      <w:r w:rsidR="003F5A29">
        <w:rPr>
          <w:rFonts w:cs="Calibri"/>
          <w:lang w:val="fr-CA"/>
        </w:rPr>
        <w:t>d</w:t>
      </w:r>
      <w:r w:rsidR="00CC7C98">
        <w:rPr>
          <w:rFonts w:cs="Calibri"/>
          <w:lang w:val="fr-CA"/>
        </w:rPr>
        <w:t xml:space="preserve">es Résolutions adoptées par la Conférence des Parties contractantes et </w:t>
      </w:r>
      <w:r w:rsidR="00B76AEA">
        <w:rPr>
          <w:rFonts w:cs="Calibri"/>
          <w:lang w:val="fr-CA"/>
        </w:rPr>
        <w:t xml:space="preserve">de les aider à </w:t>
      </w:r>
      <w:r w:rsidR="00CC7C98">
        <w:rPr>
          <w:rFonts w:cs="Calibri"/>
          <w:lang w:val="fr-CA"/>
        </w:rPr>
        <w:t>atteindre les buts et objectifs du Plan stratégique de la Convention de Ramsar.</w:t>
      </w:r>
    </w:p>
    <w:p w14:paraId="4A87D096" w14:textId="77777777" w:rsidR="00F86EF4" w:rsidRPr="00CC7C98" w:rsidRDefault="00F86EF4" w:rsidP="00BF7A4E">
      <w:pPr>
        <w:pStyle w:val="BodyText"/>
        <w:widowControl/>
        <w:spacing w:line="232" w:lineRule="auto"/>
        <w:ind w:left="0" w:right="121" w:firstLine="0"/>
        <w:rPr>
          <w:rFonts w:cs="Calibri"/>
          <w:lang w:val="fr-CA"/>
        </w:rPr>
      </w:pPr>
    </w:p>
    <w:p w14:paraId="5759D891" w14:textId="209020B4" w:rsidR="00F86EF4" w:rsidRPr="00CC7C98" w:rsidRDefault="006263BE" w:rsidP="00BF7A4E">
      <w:pPr>
        <w:pStyle w:val="BodyText"/>
        <w:widowControl/>
        <w:spacing w:line="232" w:lineRule="auto"/>
        <w:ind w:left="0" w:right="121" w:firstLine="0"/>
        <w:jc w:val="center"/>
        <w:rPr>
          <w:rFonts w:cs="Calibri"/>
          <w:b/>
          <w:lang w:val="fr-CA"/>
        </w:rPr>
      </w:pPr>
      <w:r>
        <w:rPr>
          <w:rFonts w:cs="Calibri"/>
          <w:b/>
          <w:lang w:val="fr-CA"/>
        </w:rPr>
        <w:t>Section</w:t>
      </w:r>
      <w:r w:rsidR="00F86EF4" w:rsidRPr="00CC7C98">
        <w:rPr>
          <w:rFonts w:cs="Calibri"/>
          <w:b/>
          <w:lang w:val="fr-CA"/>
        </w:rPr>
        <w:t xml:space="preserve"> 2</w:t>
      </w:r>
      <w:r w:rsidR="00CC7C98">
        <w:rPr>
          <w:rFonts w:cs="Calibri"/>
          <w:b/>
          <w:lang w:val="fr-CA"/>
        </w:rPr>
        <w:t xml:space="preserve"> </w:t>
      </w:r>
      <w:r w:rsidR="00F86EF4" w:rsidRPr="00CC7C98">
        <w:rPr>
          <w:rFonts w:cs="Calibri"/>
          <w:b/>
          <w:lang w:val="fr-CA"/>
        </w:rPr>
        <w:t xml:space="preserve">: </w:t>
      </w:r>
      <w:r w:rsidR="001364E6">
        <w:rPr>
          <w:rFonts w:cs="Calibri"/>
          <w:b/>
          <w:lang w:val="fr-CA"/>
        </w:rPr>
        <w:t xml:space="preserve">Approbation et reconnaissance des Initiatives régionales Ramsar </w:t>
      </w:r>
    </w:p>
    <w:p w14:paraId="2CD616DB" w14:textId="77777777" w:rsidR="00F86EF4" w:rsidRPr="00CC7C98" w:rsidRDefault="00F86EF4" w:rsidP="00BF7A4E">
      <w:pPr>
        <w:pStyle w:val="BodyText"/>
        <w:widowControl/>
        <w:spacing w:line="232" w:lineRule="auto"/>
        <w:ind w:left="0" w:right="121" w:firstLine="0"/>
        <w:rPr>
          <w:rFonts w:cs="Calibri"/>
          <w:lang w:val="fr-CA"/>
        </w:rPr>
      </w:pPr>
    </w:p>
    <w:p w14:paraId="2C37A3C8" w14:textId="54436717" w:rsidR="00AE17B0" w:rsidRPr="00CC7C98" w:rsidRDefault="00AE17B0" w:rsidP="00564549">
      <w:pPr>
        <w:pStyle w:val="BodyText"/>
        <w:widowControl/>
        <w:ind w:left="567" w:hanging="567"/>
        <w:rPr>
          <w:rFonts w:cs="Calibri"/>
          <w:lang w:val="fr-CA"/>
        </w:rPr>
      </w:pPr>
      <w:r w:rsidRPr="00CC7C98">
        <w:rPr>
          <w:rFonts w:cs="Calibri"/>
          <w:lang w:val="fr-CA"/>
        </w:rPr>
        <w:t>2.1</w:t>
      </w:r>
      <w:r w:rsidRPr="00CC7C98">
        <w:rPr>
          <w:rFonts w:cs="Calibri"/>
          <w:lang w:val="fr-CA"/>
        </w:rPr>
        <w:tab/>
      </w:r>
      <w:r w:rsidR="001364E6">
        <w:rPr>
          <w:rFonts w:cs="Calibri"/>
          <w:lang w:val="fr-CA"/>
        </w:rPr>
        <w:t>La Conférence des Parties reconnaît officiellement</w:t>
      </w:r>
      <w:r w:rsidR="00102C2D">
        <w:rPr>
          <w:rFonts w:cs="Calibri"/>
          <w:lang w:val="fr-CA"/>
        </w:rPr>
        <w:t>, dans une Résolution,</w:t>
      </w:r>
      <w:r w:rsidR="001364E6">
        <w:rPr>
          <w:rFonts w:cs="Calibri"/>
          <w:lang w:val="fr-CA"/>
        </w:rPr>
        <w:t xml:space="preserve"> une liste d’IRR qui fonctionnent dans le cadre de la Convention</w:t>
      </w:r>
      <w:r w:rsidR="00102C2D">
        <w:rPr>
          <w:rFonts w:cs="Calibri"/>
          <w:lang w:val="fr-CA"/>
        </w:rPr>
        <w:t xml:space="preserve"> et ce,</w:t>
      </w:r>
      <w:r w:rsidR="001364E6">
        <w:rPr>
          <w:rFonts w:cs="Calibri"/>
          <w:lang w:val="fr-CA"/>
        </w:rPr>
        <w:t xml:space="preserve"> pour la période qui va jusqu’à la session suivante de la Conférence des Parties</w:t>
      </w:r>
      <w:r w:rsidR="006263BE">
        <w:rPr>
          <w:rFonts w:cs="Calibri"/>
          <w:lang w:val="fr-CA"/>
        </w:rPr>
        <w:t xml:space="preserve"> contractantes</w:t>
      </w:r>
      <w:r w:rsidR="001364E6">
        <w:rPr>
          <w:rFonts w:cs="Calibri"/>
          <w:lang w:val="fr-CA"/>
        </w:rPr>
        <w:t xml:space="preserve"> (COP). </w:t>
      </w:r>
    </w:p>
    <w:p w14:paraId="6D92E96C" w14:textId="77777777" w:rsidR="00AE17B0" w:rsidRPr="00CC7C98" w:rsidRDefault="00AE17B0" w:rsidP="00564549">
      <w:pPr>
        <w:pStyle w:val="BodyText"/>
        <w:widowControl/>
        <w:ind w:left="567" w:hanging="567"/>
        <w:rPr>
          <w:rFonts w:cs="Calibri"/>
          <w:lang w:val="fr-CA"/>
        </w:rPr>
      </w:pPr>
    </w:p>
    <w:p w14:paraId="3794053E" w14:textId="69D9D516" w:rsidR="0043429E" w:rsidRPr="00CC7C98" w:rsidRDefault="00AE17B0" w:rsidP="00564549">
      <w:pPr>
        <w:pStyle w:val="BodyText"/>
        <w:widowControl/>
        <w:ind w:left="567" w:hanging="567"/>
        <w:rPr>
          <w:rFonts w:cs="Calibri"/>
          <w:lang w:val="fr-CA"/>
        </w:rPr>
      </w:pPr>
      <w:r w:rsidRPr="00CC7C98">
        <w:rPr>
          <w:rFonts w:cs="Calibri"/>
          <w:lang w:val="fr-CA"/>
        </w:rPr>
        <w:t>2.2</w:t>
      </w:r>
      <w:r w:rsidRPr="00CC7C98">
        <w:rPr>
          <w:rFonts w:cs="Calibri"/>
          <w:lang w:val="fr-CA"/>
        </w:rPr>
        <w:tab/>
      </w:r>
      <w:r w:rsidR="001364E6">
        <w:rPr>
          <w:rFonts w:cs="Calibri"/>
          <w:lang w:val="fr-CA"/>
        </w:rPr>
        <w:t xml:space="preserve">Le Comité permanent de la Convention de Ramsar sur les zones humides peut approuver, dans la période intersession, une nouvelle Initiative régionale Ramsar proposée par </w:t>
      </w:r>
      <w:r w:rsidR="006263BE">
        <w:rPr>
          <w:rFonts w:cs="Calibri"/>
          <w:lang w:val="fr-CA"/>
        </w:rPr>
        <w:t>des</w:t>
      </w:r>
      <w:r w:rsidR="001364E6">
        <w:rPr>
          <w:rFonts w:cs="Calibri"/>
          <w:lang w:val="fr-CA"/>
        </w:rPr>
        <w:t xml:space="preserve"> Partie</w:t>
      </w:r>
      <w:r w:rsidR="006263BE">
        <w:rPr>
          <w:rFonts w:cs="Calibri"/>
          <w:lang w:val="fr-CA"/>
        </w:rPr>
        <w:t>s</w:t>
      </w:r>
      <w:r w:rsidR="001364E6">
        <w:rPr>
          <w:rFonts w:cs="Calibri"/>
          <w:lang w:val="fr-CA"/>
        </w:rPr>
        <w:t xml:space="preserve"> contractante</w:t>
      </w:r>
      <w:r w:rsidR="006263BE">
        <w:rPr>
          <w:rFonts w:cs="Calibri"/>
          <w:lang w:val="fr-CA"/>
        </w:rPr>
        <w:t>s</w:t>
      </w:r>
      <w:r w:rsidR="001364E6">
        <w:rPr>
          <w:rFonts w:cs="Calibri"/>
          <w:lang w:val="fr-CA"/>
        </w:rPr>
        <w:t xml:space="preserve">. Cette approbation est valable jusqu’à la session suivante de la COP. </w:t>
      </w:r>
    </w:p>
    <w:p w14:paraId="65A01AF7" w14:textId="77777777" w:rsidR="0043429E" w:rsidRPr="00CC7C98" w:rsidRDefault="0043429E" w:rsidP="00564549">
      <w:pPr>
        <w:pStyle w:val="BodyText"/>
        <w:widowControl/>
        <w:ind w:left="567" w:hanging="567"/>
        <w:rPr>
          <w:rFonts w:cs="Calibri"/>
          <w:lang w:val="fr-CA"/>
        </w:rPr>
      </w:pPr>
    </w:p>
    <w:p w14:paraId="3BF2A598" w14:textId="64D09FC8" w:rsidR="0043429E" w:rsidRPr="00CC7C98" w:rsidRDefault="0043429E" w:rsidP="00564549">
      <w:pPr>
        <w:pStyle w:val="BodyText"/>
        <w:widowControl/>
        <w:ind w:left="567" w:hanging="567"/>
        <w:rPr>
          <w:rFonts w:cs="Calibri"/>
          <w:lang w:val="fr-CA"/>
        </w:rPr>
      </w:pPr>
      <w:r w:rsidRPr="00CC7C98">
        <w:rPr>
          <w:rFonts w:cs="Calibri"/>
          <w:lang w:val="fr-CA"/>
        </w:rPr>
        <w:t xml:space="preserve">2.3 </w:t>
      </w:r>
      <w:r w:rsidRPr="00CC7C98">
        <w:rPr>
          <w:rFonts w:cs="Calibri"/>
          <w:lang w:val="fr-CA"/>
        </w:rPr>
        <w:tab/>
      </w:r>
      <w:r w:rsidR="001364E6">
        <w:rPr>
          <w:rFonts w:cs="Calibri"/>
          <w:lang w:val="fr-CA"/>
        </w:rPr>
        <w:t xml:space="preserve">Le Comité permanent peut aussi proposer à la Conférence des Parties </w:t>
      </w:r>
      <w:r w:rsidR="006263BE">
        <w:rPr>
          <w:rFonts w:cs="Calibri"/>
          <w:lang w:val="fr-CA"/>
        </w:rPr>
        <w:t xml:space="preserve">contractantes </w:t>
      </w:r>
      <w:r w:rsidR="001364E6">
        <w:rPr>
          <w:rFonts w:cs="Calibri"/>
          <w:lang w:val="fr-CA"/>
        </w:rPr>
        <w:t xml:space="preserve">de </w:t>
      </w:r>
      <w:r w:rsidR="00FE77A9">
        <w:rPr>
          <w:rFonts w:cs="Calibri"/>
          <w:lang w:val="fr-CA"/>
        </w:rPr>
        <w:t xml:space="preserve">ne plus reconnaître </w:t>
      </w:r>
      <w:r w:rsidR="001364E6">
        <w:rPr>
          <w:rFonts w:cs="Calibri"/>
          <w:lang w:val="fr-CA"/>
        </w:rPr>
        <w:t xml:space="preserve">une IRR ayant été approuvée lors d’une COP précédente si cette IRR n’a pas fait rapport sur ses activités ou ne respecte plus le présent Cadre opérationnel. </w:t>
      </w:r>
    </w:p>
    <w:p w14:paraId="0D175BF1" w14:textId="77777777" w:rsidR="0043429E" w:rsidRPr="00CC7C98" w:rsidRDefault="0043429E" w:rsidP="00564549">
      <w:pPr>
        <w:pStyle w:val="BodyText"/>
        <w:widowControl/>
        <w:ind w:left="567" w:hanging="567"/>
        <w:rPr>
          <w:rFonts w:cs="Calibri"/>
          <w:lang w:val="fr-CA"/>
        </w:rPr>
      </w:pPr>
    </w:p>
    <w:p w14:paraId="3811D629" w14:textId="69802661" w:rsidR="00AE17B0" w:rsidRPr="00CC7C98" w:rsidRDefault="0043429E" w:rsidP="00564549">
      <w:pPr>
        <w:pStyle w:val="BodyText"/>
        <w:widowControl/>
        <w:ind w:left="567" w:hanging="567"/>
        <w:rPr>
          <w:rFonts w:cs="Calibri"/>
          <w:lang w:val="fr-CA"/>
        </w:rPr>
      </w:pPr>
      <w:r w:rsidRPr="00CC7C98">
        <w:rPr>
          <w:rFonts w:cs="Calibri"/>
          <w:lang w:val="fr-CA"/>
        </w:rPr>
        <w:t xml:space="preserve">2.4 </w:t>
      </w:r>
      <w:r w:rsidRPr="00CC7C98">
        <w:rPr>
          <w:rFonts w:cs="Calibri"/>
          <w:lang w:val="fr-CA"/>
        </w:rPr>
        <w:tab/>
      </w:r>
      <w:r w:rsidR="004775FD">
        <w:rPr>
          <w:rFonts w:cs="Calibri"/>
          <w:lang w:val="fr-CA"/>
        </w:rPr>
        <w:t>Pour remplir les critères de reconnaissance officielle en tant qu’ « Initiative régionale Ramsar », les partenaires d’un mécanisme de coopération régional doivent remplir les conditions énumérées dans le présent Cadre opérationnel.</w:t>
      </w:r>
    </w:p>
    <w:p w14:paraId="5D35EA3B" w14:textId="77777777" w:rsidR="00255E00" w:rsidRPr="00CC7C98" w:rsidRDefault="00255E00" w:rsidP="00BF7A4E">
      <w:pPr>
        <w:pStyle w:val="BodyText"/>
        <w:widowControl/>
        <w:spacing w:line="232" w:lineRule="auto"/>
        <w:ind w:left="0" w:right="121" w:firstLine="0"/>
        <w:rPr>
          <w:rFonts w:cs="Calibri"/>
          <w:lang w:val="fr-CA"/>
        </w:rPr>
      </w:pPr>
    </w:p>
    <w:p w14:paraId="7867C806" w14:textId="249C68B4" w:rsidR="00F86EF4" w:rsidRPr="00CC7C98" w:rsidRDefault="006263BE" w:rsidP="00BF7A4E">
      <w:pPr>
        <w:pStyle w:val="BodyText"/>
        <w:widowControl/>
        <w:spacing w:line="232" w:lineRule="auto"/>
        <w:ind w:left="0" w:right="121" w:firstLine="0"/>
        <w:jc w:val="center"/>
        <w:rPr>
          <w:rFonts w:cs="Calibri"/>
          <w:b/>
          <w:lang w:val="fr-CA"/>
        </w:rPr>
      </w:pPr>
      <w:r>
        <w:rPr>
          <w:rFonts w:cs="Calibri"/>
          <w:b/>
          <w:lang w:val="fr-CA"/>
        </w:rPr>
        <w:t>Section</w:t>
      </w:r>
      <w:r w:rsidR="003A0F32" w:rsidRPr="00CC7C98">
        <w:rPr>
          <w:rFonts w:cs="Calibri"/>
          <w:b/>
          <w:lang w:val="fr-CA"/>
        </w:rPr>
        <w:t xml:space="preserve"> 3</w:t>
      </w:r>
      <w:r w:rsidR="00CC7C98">
        <w:rPr>
          <w:rFonts w:cs="Calibri"/>
          <w:b/>
          <w:lang w:val="fr-CA"/>
        </w:rPr>
        <w:t xml:space="preserve"> </w:t>
      </w:r>
      <w:r w:rsidR="003A0F32" w:rsidRPr="00CC7C98">
        <w:rPr>
          <w:rFonts w:cs="Calibri"/>
          <w:b/>
          <w:lang w:val="fr-CA"/>
        </w:rPr>
        <w:t xml:space="preserve">: </w:t>
      </w:r>
      <w:r w:rsidR="007D55B7">
        <w:rPr>
          <w:rFonts w:cs="Calibri"/>
          <w:b/>
          <w:lang w:val="fr-CA"/>
        </w:rPr>
        <w:t>Statut des Initiatives régionales Ramsar</w:t>
      </w:r>
    </w:p>
    <w:p w14:paraId="40719247" w14:textId="77777777" w:rsidR="00F86EF4" w:rsidRPr="00CC7C98" w:rsidRDefault="00F86EF4" w:rsidP="00BF7A4E">
      <w:pPr>
        <w:pStyle w:val="BodyText"/>
        <w:widowControl/>
        <w:spacing w:line="232" w:lineRule="auto"/>
        <w:ind w:left="0" w:right="121" w:firstLine="0"/>
        <w:rPr>
          <w:rFonts w:cs="Calibri"/>
          <w:lang w:val="fr-CA"/>
        </w:rPr>
      </w:pPr>
    </w:p>
    <w:p w14:paraId="6005909F" w14:textId="6A0474CE" w:rsidR="00F22D7A" w:rsidRPr="00CC7C98" w:rsidRDefault="00F86EF4" w:rsidP="00564549">
      <w:pPr>
        <w:pStyle w:val="BodyText"/>
        <w:widowControl/>
        <w:ind w:left="567" w:hanging="567"/>
        <w:rPr>
          <w:rFonts w:cs="Calibri"/>
          <w:lang w:val="fr-CA"/>
        </w:rPr>
      </w:pPr>
      <w:r w:rsidRPr="00CC7C98">
        <w:rPr>
          <w:rFonts w:cs="Calibri"/>
          <w:lang w:val="fr-CA"/>
        </w:rPr>
        <w:t>3.1</w:t>
      </w:r>
      <w:r w:rsidRPr="00CC7C98">
        <w:rPr>
          <w:rFonts w:cs="Calibri"/>
          <w:lang w:val="fr-CA"/>
        </w:rPr>
        <w:tab/>
      </w:r>
      <w:r w:rsidR="00FE77A9">
        <w:rPr>
          <w:rFonts w:cs="Calibri"/>
          <w:lang w:val="fr-CA"/>
        </w:rPr>
        <w:t>Une</w:t>
      </w:r>
      <w:r w:rsidR="007D55B7">
        <w:rPr>
          <w:rFonts w:cs="Calibri"/>
          <w:lang w:val="fr-CA"/>
        </w:rPr>
        <w:t xml:space="preserve"> IRR </w:t>
      </w:r>
      <w:r w:rsidR="006263BE">
        <w:rPr>
          <w:rFonts w:cs="Calibri"/>
          <w:lang w:val="fr-CA"/>
        </w:rPr>
        <w:t xml:space="preserve">officiellement reconnue par la Convention </w:t>
      </w:r>
      <w:r w:rsidR="00FE77A9">
        <w:rPr>
          <w:rFonts w:cs="Calibri"/>
          <w:lang w:val="fr-CA"/>
        </w:rPr>
        <w:t>est</w:t>
      </w:r>
      <w:r w:rsidR="007D55B7">
        <w:rPr>
          <w:rFonts w:cs="Calibri"/>
          <w:lang w:val="fr-CA"/>
        </w:rPr>
        <w:t xml:space="preserve"> </w:t>
      </w:r>
      <w:r w:rsidR="006263BE">
        <w:rPr>
          <w:rFonts w:cs="Calibri"/>
          <w:lang w:val="fr-CA"/>
        </w:rPr>
        <w:t>constituée de Parties contractantes et dirigée par des Autorités administratives Ramsar en tant que moyen opérationnel de soutenir</w:t>
      </w:r>
      <w:r w:rsidR="007D55B7">
        <w:rPr>
          <w:rFonts w:cs="Calibri"/>
          <w:lang w:val="fr-CA"/>
        </w:rPr>
        <w:t xml:space="preserve"> l’application de la Convention</w:t>
      </w:r>
      <w:r w:rsidR="006263BE">
        <w:rPr>
          <w:rFonts w:cs="Calibri"/>
          <w:lang w:val="fr-CA"/>
        </w:rPr>
        <w:t xml:space="preserve"> et de son Plan stratégique</w:t>
      </w:r>
      <w:r w:rsidR="007D55B7">
        <w:rPr>
          <w:rFonts w:cs="Calibri"/>
          <w:lang w:val="fr-CA"/>
        </w:rPr>
        <w:t xml:space="preserve">. </w:t>
      </w:r>
    </w:p>
    <w:p w14:paraId="508A1401" w14:textId="77777777" w:rsidR="00F22D7A" w:rsidRPr="00CC7C98" w:rsidRDefault="00F22D7A" w:rsidP="00564549">
      <w:pPr>
        <w:pStyle w:val="BodyText"/>
        <w:widowControl/>
        <w:ind w:left="567" w:hanging="567"/>
        <w:rPr>
          <w:rFonts w:cs="Calibri"/>
          <w:lang w:val="fr-CA"/>
        </w:rPr>
      </w:pPr>
    </w:p>
    <w:p w14:paraId="4F0F2C3C" w14:textId="0FF88B98" w:rsidR="00F86EF4" w:rsidRPr="00CC7C98" w:rsidRDefault="00F22D7A" w:rsidP="00564549">
      <w:pPr>
        <w:pStyle w:val="BodyText"/>
        <w:widowControl/>
        <w:ind w:left="567" w:hanging="567"/>
        <w:rPr>
          <w:rFonts w:cs="Calibri"/>
          <w:lang w:val="fr-CA"/>
        </w:rPr>
      </w:pPr>
      <w:r w:rsidRPr="00CC7C98">
        <w:rPr>
          <w:rFonts w:cs="Calibri"/>
          <w:lang w:val="fr-CA"/>
        </w:rPr>
        <w:t>3.2</w:t>
      </w:r>
      <w:r w:rsidRPr="00CC7C98">
        <w:rPr>
          <w:rFonts w:cs="Calibri"/>
          <w:lang w:val="fr-CA"/>
        </w:rPr>
        <w:tab/>
      </w:r>
      <w:r w:rsidR="007D55B7">
        <w:rPr>
          <w:rFonts w:cs="Calibri"/>
          <w:lang w:val="fr-CA"/>
        </w:rPr>
        <w:t>Les Autorités administratives responsables de l’application de la Convention au niveau national sont également responsables de l</w:t>
      </w:r>
      <w:r w:rsidR="001554D1">
        <w:rPr>
          <w:rFonts w:cs="Calibri"/>
          <w:lang w:val="fr-CA"/>
        </w:rPr>
        <w:t>a conception</w:t>
      </w:r>
      <w:r w:rsidR="007D55B7">
        <w:rPr>
          <w:rFonts w:cs="Calibri"/>
          <w:lang w:val="fr-CA"/>
        </w:rPr>
        <w:t xml:space="preserve"> de l’IRR </w:t>
      </w:r>
      <w:r w:rsidR="001554D1">
        <w:rPr>
          <w:rFonts w:cs="Calibri"/>
          <w:lang w:val="fr-CA"/>
        </w:rPr>
        <w:t>à la</w:t>
      </w:r>
      <w:r w:rsidR="007D55B7">
        <w:rPr>
          <w:rFonts w:cs="Calibri"/>
          <w:lang w:val="fr-CA"/>
        </w:rPr>
        <w:t>quel</w:t>
      </w:r>
      <w:r w:rsidR="001554D1">
        <w:rPr>
          <w:rFonts w:cs="Calibri"/>
          <w:lang w:val="fr-CA"/>
        </w:rPr>
        <w:t>le</w:t>
      </w:r>
      <w:r w:rsidR="007D55B7">
        <w:rPr>
          <w:rFonts w:cs="Calibri"/>
          <w:lang w:val="fr-CA"/>
        </w:rPr>
        <w:t xml:space="preserve"> elles prennent part</w:t>
      </w:r>
      <w:r w:rsidR="001554D1">
        <w:rPr>
          <w:rFonts w:cs="Calibri"/>
          <w:lang w:val="fr-CA"/>
        </w:rPr>
        <w:t>, et de son programme de travail</w:t>
      </w:r>
      <w:r w:rsidR="007D55B7">
        <w:rPr>
          <w:rFonts w:cs="Calibri"/>
          <w:lang w:val="fr-CA"/>
        </w:rPr>
        <w:t xml:space="preserve">. </w:t>
      </w:r>
    </w:p>
    <w:p w14:paraId="1420DAD5" w14:textId="77777777" w:rsidR="00F86EF4" w:rsidRPr="00CC7C98" w:rsidRDefault="00F86EF4" w:rsidP="00564549">
      <w:pPr>
        <w:pStyle w:val="BodyText"/>
        <w:widowControl/>
        <w:ind w:left="567" w:hanging="567"/>
        <w:rPr>
          <w:rFonts w:cs="Calibri"/>
          <w:lang w:val="fr-CA"/>
        </w:rPr>
      </w:pPr>
    </w:p>
    <w:p w14:paraId="4B77D979" w14:textId="0D5F94C0" w:rsidR="00F86EF4" w:rsidRPr="00CC7C98" w:rsidRDefault="00F22D7A" w:rsidP="00564549">
      <w:pPr>
        <w:pStyle w:val="BodyText"/>
        <w:widowControl/>
        <w:ind w:left="567" w:hanging="567"/>
        <w:rPr>
          <w:rFonts w:cs="Calibri"/>
          <w:lang w:val="fr-CA"/>
        </w:rPr>
      </w:pPr>
      <w:r w:rsidRPr="00CC7C98">
        <w:rPr>
          <w:rFonts w:cs="Calibri"/>
          <w:lang w:val="fr-CA"/>
        </w:rPr>
        <w:t>3.</w:t>
      </w:r>
      <w:r w:rsidR="006263BE">
        <w:rPr>
          <w:rFonts w:cs="Calibri"/>
          <w:lang w:val="fr-CA"/>
        </w:rPr>
        <w:t>3</w:t>
      </w:r>
      <w:r w:rsidR="00B270C7" w:rsidRPr="00CC7C98">
        <w:rPr>
          <w:rFonts w:cs="Calibri"/>
          <w:lang w:val="fr-CA"/>
        </w:rPr>
        <w:tab/>
      </w:r>
      <w:r w:rsidR="007D55B7">
        <w:rPr>
          <w:rFonts w:cs="Calibri"/>
          <w:lang w:val="fr-CA"/>
        </w:rPr>
        <w:t xml:space="preserve">Le programme de travail des IRR </w:t>
      </w:r>
      <w:r w:rsidR="001554D1">
        <w:rPr>
          <w:rFonts w:cs="Calibri"/>
          <w:lang w:val="fr-CA"/>
        </w:rPr>
        <w:t xml:space="preserve">satisfait </w:t>
      </w:r>
      <w:r w:rsidR="007D55B7">
        <w:rPr>
          <w:rFonts w:cs="Calibri"/>
          <w:lang w:val="fr-CA"/>
        </w:rPr>
        <w:t>aux Résolutions pertinentes adoptées par la Conférence des Parties et aux décisions prises par le Comité permanent dans la période intersession</w:t>
      </w:r>
      <w:r w:rsidR="001554D1">
        <w:rPr>
          <w:rFonts w:cs="Calibri"/>
          <w:lang w:val="fr-CA"/>
        </w:rPr>
        <w:t>,</w:t>
      </w:r>
      <w:r w:rsidR="007D55B7">
        <w:rPr>
          <w:rFonts w:cs="Calibri"/>
          <w:lang w:val="fr-CA"/>
        </w:rPr>
        <w:t xml:space="preserve"> et soutient l’application du Plan stratégique Ramsar </w:t>
      </w:r>
      <w:r w:rsidR="00BF73E3" w:rsidRPr="00CC7C98">
        <w:rPr>
          <w:rFonts w:cs="Calibri"/>
          <w:lang w:val="fr-CA"/>
        </w:rPr>
        <w:t>2016-2024</w:t>
      </w:r>
      <w:r w:rsidR="00F86EF4" w:rsidRPr="00CC7C98">
        <w:rPr>
          <w:rFonts w:cs="Calibri"/>
          <w:lang w:val="fr-CA"/>
        </w:rPr>
        <w:t xml:space="preserve">. </w:t>
      </w:r>
    </w:p>
    <w:p w14:paraId="0159B4BA" w14:textId="77777777" w:rsidR="00462CC1" w:rsidRPr="00CC7C98" w:rsidRDefault="00462CC1" w:rsidP="00BF7A4E">
      <w:pPr>
        <w:pStyle w:val="BodyText"/>
        <w:widowControl/>
        <w:spacing w:line="232" w:lineRule="auto"/>
        <w:ind w:left="0" w:right="121" w:firstLine="0"/>
        <w:rPr>
          <w:rFonts w:cs="Calibri"/>
          <w:lang w:val="fr-CA"/>
        </w:rPr>
      </w:pPr>
    </w:p>
    <w:p w14:paraId="7D4EADEC" w14:textId="1E2F22F3" w:rsidR="00F86EF4" w:rsidRPr="00CC7C98" w:rsidRDefault="006263BE" w:rsidP="00BF7A4E">
      <w:pPr>
        <w:pStyle w:val="BodyText"/>
        <w:keepNext/>
        <w:widowControl/>
        <w:spacing w:line="233" w:lineRule="auto"/>
        <w:ind w:left="0" w:right="119" w:firstLine="0"/>
        <w:jc w:val="center"/>
        <w:rPr>
          <w:rFonts w:cs="Calibri"/>
          <w:b/>
          <w:lang w:val="fr-CA"/>
        </w:rPr>
      </w:pPr>
      <w:r>
        <w:rPr>
          <w:rFonts w:cs="Calibri"/>
          <w:b/>
          <w:lang w:val="fr-CA"/>
        </w:rPr>
        <w:t>Section</w:t>
      </w:r>
      <w:r w:rsidR="00F86EF4" w:rsidRPr="00CC7C98">
        <w:rPr>
          <w:rFonts w:cs="Calibri"/>
          <w:b/>
          <w:lang w:val="fr-CA"/>
        </w:rPr>
        <w:t xml:space="preserve"> 4</w:t>
      </w:r>
      <w:r w:rsidR="007D55B7">
        <w:rPr>
          <w:rFonts w:cs="Calibri"/>
          <w:b/>
          <w:lang w:val="fr-CA"/>
        </w:rPr>
        <w:t xml:space="preserve"> </w:t>
      </w:r>
      <w:r w:rsidR="00F86EF4" w:rsidRPr="00CC7C98">
        <w:rPr>
          <w:rFonts w:cs="Calibri"/>
          <w:b/>
          <w:lang w:val="fr-CA"/>
        </w:rPr>
        <w:t>: R</w:t>
      </w:r>
      <w:r w:rsidR="007D55B7">
        <w:rPr>
          <w:rFonts w:cs="Calibri"/>
          <w:b/>
          <w:lang w:val="fr-CA"/>
        </w:rPr>
        <w:t>ô</w:t>
      </w:r>
      <w:r w:rsidR="00F86EF4" w:rsidRPr="00CC7C98">
        <w:rPr>
          <w:rFonts w:cs="Calibri"/>
          <w:b/>
          <w:lang w:val="fr-CA"/>
        </w:rPr>
        <w:t xml:space="preserve">le </w:t>
      </w:r>
      <w:r w:rsidR="007D55B7">
        <w:rPr>
          <w:rFonts w:cs="Calibri"/>
          <w:b/>
          <w:lang w:val="fr-CA"/>
        </w:rPr>
        <w:t>des Initiatives régionales Ramsar</w:t>
      </w:r>
    </w:p>
    <w:p w14:paraId="4E7331FE" w14:textId="77777777" w:rsidR="00F86EF4" w:rsidRPr="00CC7C98" w:rsidRDefault="00F86EF4" w:rsidP="00BF7A4E">
      <w:pPr>
        <w:pStyle w:val="BodyText"/>
        <w:keepNext/>
        <w:widowControl/>
        <w:spacing w:line="233" w:lineRule="auto"/>
        <w:ind w:left="709" w:right="119" w:hanging="709"/>
        <w:rPr>
          <w:rFonts w:cs="Calibri"/>
          <w:lang w:val="fr-CA"/>
        </w:rPr>
      </w:pPr>
    </w:p>
    <w:p w14:paraId="3451AF79" w14:textId="4D0FFB7E" w:rsidR="00F86EF4" w:rsidRPr="00CC7C98" w:rsidRDefault="00B270C7" w:rsidP="00564549">
      <w:pPr>
        <w:pStyle w:val="BodyText"/>
        <w:widowControl/>
        <w:ind w:left="567" w:hanging="567"/>
        <w:rPr>
          <w:rFonts w:cs="Calibri"/>
          <w:lang w:val="fr-CA"/>
        </w:rPr>
      </w:pPr>
      <w:r w:rsidRPr="00CC7C98">
        <w:rPr>
          <w:rFonts w:cs="Calibri"/>
          <w:lang w:val="fr-CA"/>
        </w:rPr>
        <w:t>4.1</w:t>
      </w:r>
      <w:r w:rsidRPr="00CC7C98">
        <w:rPr>
          <w:rFonts w:cs="Calibri"/>
          <w:lang w:val="fr-CA"/>
        </w:rPr>
        <w:tab/>
      </w:r>
      <w:r w:rsidR="007D55B7">
        <w:rPr>
          <w:rFonts w:cs="Calibri"/>
          <w:lang w:val="fr-CA"/>
        </w:rPr>
        <w:t xml:space="preserve">Les IRR </w:t>
      </w:r>
      <w:r w:rsidR="006263BE">
        <w:rPr>
          <w:rFonts w:cs="Calibri"/>
          <w:lang w:val="fr-CA"/>
        </w:rPr>
        <w:t>contribuent aux</w:t>
      </w:r>
      <w:r w:rsidR="007D55B7">
        <w:rPr>
          <w:rFonts w:cs="Calibri"/>
          <w:lang w:val="fr-CA"/>
        </w:rPr>
        <w:t xml:space="preserve"> plans d’action nationaux </w:t>
      </w:r>
      <w:r w:rsidR="006263BE">
        <w:rPr>
          <w:rFonts w:cs="Calibri"/>
          <w:lang w:val="fr-CA"/>
        </w:rPr>
        <w:t>et aux</w:t>
      </w:r>
      <w:r w:rsidR="007D55B7">
        <w:rPr>
          <w:rFonts w:cs="Calibri"/>
          <w:lang w:val="fr-CA"/>
        </w:rPr>
        <w:t xml:space="preserve"> programmes de travail nationaux pour la conservation, la gestion et la restauration des zones humides</w:t>
      </w:r>
      <w:r w:rsidR="006263BE">
        <w:rPr>
          <w:rFonts w:cs="Calibri"/>
          <w:lang w:val="fr-CA"/>
        </w:rPr>
        <w:t>, pour coordonner les</w:t>
      </w:r>
      <w:r w:rsidR="007D55B7">
        <w:rPr>
          <w:rFonts w:cs="Calibri"/>
          <w:lang w:val="fr-CA"/>
        </w:rPr>
        <w:t xml:space="preserve"> activités </w:t>
      </w:r>
      <w:r w:rsidR="007D55B7">
        <w:rPr>
          <w:rFonts w:cs="Calibri"/>
          <w:lang w:val="fr-CA"/>
        </w:rPr>
        <w:lastRenderedPageBreak/>
        <w:t xml:space="preserve">au niveau </w:t>
      </w:r>
      <w:r w:rsidR="006263BE">
        <w:rPr>
          <w:rFonts w:cs="Calibri"/>
          <w:lang w:val="fr-CA"/>
        </w:rPr>
        <w:t>régional,</w:t>
      </w:r>
      <w:r w:rsidR="007D55B7">
        <w:rPr>
          <w:rFonts w:cs="Calibri"/>
          <w:lang w:val="fr-CA"/>
        </w:rPr>
        <w:t xml:space="preserve"> menées conjointement par plusieurs Parties à la Convention </w:t>
      </w:r>
      <w:r w:rsidR="0011341E">
        <w:rPr>
          <w:rFonts w:cs="Calibri"/>
          <w:lang w:val="fr-CA"/>
        </w:rPr>
        <w:t xml:space="preserve">qui </w:t>
      </w:r>
      <w:r w:rsidR="007D55B7">
        <w:rPr>
          <w:rFonts w:cs="Calibri"/>
          <w:lang w:val="fr-CA"/>
        </w:rPr>
        <w:t>collabor</w:t>
      </w:r>
      <w:r w:rsidR="0011341E">
        <w:rPr>
          <w:rFonts w:cs="Calibri"/>
          <w:lang w:val="fr-CA"/>
        </w:rPr>
        <w:t>e</w:t>
      </w:r>
      <w:r w:rsidR="007D55B7">
        <w:rPr>
          <w:rFonts w:cs="Calibri"/>
          <w:lang w:val="fr-CA"/>
        </w:rPr>
        <w:t xml:space="preserve">nt. </w:t>
      </w:r>
    </w:p>
    <w:p w14:paraId="3CC57266" w14:textId="77777777" w:rsidR="00B270C7" w:rsidRPr="00CC7C98" w:rsidRDefault="00B270C7" w:rsidP="00564549">
      <w:pPr>
        <w:pStyle w:val="BodyText"/>
        <w:widowControl/>
        <w:ind w:left="567" w:hanging="567"/>
        <w:rPr>
          <w:rFonts w:cs="Calibri"/>
          <w:lang w:val="fr-CA"/>
        </w:rPr>
      </w:pPr>
    </w:p>
    <w:p w14:paraId="227C2409" w14:textId="6F637AF0" w:rsidR="006C30D2" w:rsidRPr="00CC7C98" w:rsidRDefault="00F86EF4" w:rsidP="00564549">
      <w:pPr>
        <w:pStyle w:val="BodyText"/>
        <w:widowControl/>
        <w:ind w:left="567" w:hanging="567"/>
        <w:rPr>
          <w:rFonts w:cs="Calibri"/>
          <w:lang w:val="fr-CA"/>
        </w:rPr>
      </w:pPr>
      <w:r w:rsidRPr="00CC7C98">
        <w:rPr>
          <w:rFonts w:cs="Calibri"/>
          <w:lang w:val="fr-CA"/>
        </w:rPr>
        <w:t>4.2</w:t>
      </w:r>
      <w:r w:rsidRPr="00CC7C98">
        <w:rPr>
          <w:rFonts w:cs="Calibri"/>
          <w:lang w:val="fr-CA"/>
        </w:rPr>
        <w:tab/>
      </w:r>
      <w:r w:rsidR="00897A9D">
        <w:rPr>
          <w:rFonts w:cs="Calibri"/>
          <w:lang w:val="fr-CA"/>
        </w:rPr>
        <w:t xml:space="preserve">Les IRR </w:t>
      </w:r>
      <w:r w:rsidR="006A65FA">
        <w:rPr>
          <w:rFonts w:cs="Calibri"/>
          <w:lang w:val="fr-CA"/>
        </w:rPr>
        <w:t>apportent</w:t>
      </w:r>
      <w:r w:rsidR="00897A9D">
        <w:rPr>
          <w:rFonts w:cs="Calibri"/>
          <w:lang w:val="fr-CA"/>
        </w:rPr>
        <w:t xml:space="preserve"> une capacité supplémentaire de </w:t>
      </w:r>
      <w:r w:rsidR="00BC3517">
        <w:rPr>
          <w:rFonts w:cs="Calibri"/>
          <w:lang w:val="fr-CA"/>
        </w:rPr>
        <w:t>concentration sur</w:t>
      </w:r>
      <w:r w:rsidR="00897A9D">
        <w:rPr>
          <w:rFonts w:cs="Calibri"/>
          <w:lang w:val="fr-CA"/>
        </w:rPr>
        <w:t xml:space="preserve"> l’application de la Convention et de son Plan stratégique dans la région, en particulier par l’élaboration et l’exécution de projets régionaux, cours de formation et autres activités régionales de renforcement des capacités.</w:t>
      </w:r>
    </w:p>
    <w:p w14:paraId="2FF3C627" w14:textId="77777777" w:rsidR="006C30D2" w:rsidRPr="00CC7C98" w:rsidRDefault="006C30D2" w:rsidP="00564549">
      <w:pPr>
        <w:pStyle w:val="BodyText"/>
        <w:widowControl/>
        <w:ind w:left="567" w:hanging="567"/>
        <w:rPr>
          <w:rFonts w:cs="Calibri"/>
          <w:lang w:val="fr-CA"/>
        </w:rPr>
      </w:pPr>
    </w:p>
    <w:p w14:paraId="55171E56" w14:textId="2C211A0F" w:rsidR="006C30D2" w:rsidRPr="00CC7C98" w:rsidRDefault="00A80069" w:rsidP="00564549">
      <w:pPr>
        <w:pStyle w:val="BodyText"/>
        <w:widowControl/>
        <w:ind w:left="567" w:hanging="567"/>
        <w:rPr>
          <w:rFonts w:cs="Calibri"/>
          <w:lang w:val="fr-CA"/>
        </w:rPr>
      </w:pPr>
      <w:r w:rsidRPr="00CC7C98">
        <w:rPr>
          <w:rFonts w:cs="Calibri"/>
          <w:lang w:val="fr-CA"/>
        </w:rPr>
        <w:t>4.</w:t>
      </w:r>
      <w:r w:rsidR="006263BE">
        <w:rPr>
          <w:rFonts w:cs="Calibri"/>
          <w:lang w:val="fr-CA"/>
        </w:rPr>
        <w:t>3</w:t>
      </w:r>
      <w:r w:rsidRPr="00CC7C98">
        <w:rPr>
          <w:rFonts w:cs="Calibri"/>
          <w:lang w:val="fr-CA"/>
        </w:rPr>
        <w:t xml:space="preserve"> </w:t>
      </w:r>
      <w:r w:rsidRPr="00CC7C98">
        <w:rPr>
          <w:rFonts w:cs="Calibri"/>
          <w:lang w:val="fr-CA"/>
        </w:rPr>
        <w:tab/>
      </w:r>
      <w:r w:rsidR="00897A9D">
        <w:rPr>
          <w:rFonts w:cs="Calibri"/>
          <w:lang w:val="fr-CA"/>
        </w:rPr>
        <w:t xml:space="preserve">L’organisation d’activités de formation et de renforcement des capacités doit être axée, </w:t>
      </w:r>
      <w:r w:rsidR="00BC3517">
        <w:rPr>
          <w:rFonts w:cs="Calibri"/>
          <w:lang w:val="fr-CA"/>
        </w:rPr>
        <w:t>mais pas exclusivement</w:t>
      </w:r>
      <w:r w:rsidR="00897A9D">
        <w:rPr>
          <w:rFonts w:cs="Calibri"/>
          <w:lang w:val="fr-CA"/>
        </w:rPr>
        <w:t xml:space="preserve">, sur les Autorités administratives nationales, et comprendre tous les acteurs pertinents, </w:t>
      </w:r>
      <w:r w:rsidR="00BC3517">
        <w:rPr>
          <w:rFonts w:cs="Calibri"/>
          <w:lang w:val="fr-CA"/>
        </w:rPr>
        <w:t>selon les besoins</w:t>
      </w:r>
      <w:r w:rsidR="00897A9D">
        <w:rPr>
          <w:rFonts w:cs="Calibri"/>
          <w:lang w:val="fr-CA"/>
        </w:rPr>
        <w:t>.</w:t>
      </w:r>
    </w:p>
    <w:p w14:paraId="4978DE23" w14:textId="77777777" w:rsidR="00F86EF4" w:rsidRPr="00CC7C98" w:rsidRDefault="00F86EF4" w:rsidP="00564549">
      <w:pPr>
        <w:pStyle w:val="BodyText"/>
        <w:widowControl/>
        <w:ind w:left="567" w:hanging="567"/>
        <w:rPr>
          <w:rFonts w:cs="Calibri"/>
          <w:lang w:val="fr-CA"/>
        </w:rPr>
      </w:pPr>
    </w:p>
    <w:p w14:paraId="3B66579E" w14:textId="77777777" w:rsidR="006263BE" w:rsidRDefault="00F86EF4" w:rsidP="00564549">
      <w:pPr>
        <w:pStyle w:val="BodyText"/>
        <w:widowControl/>
        <w:ind w:left="567" w:hanging="567"/>
        <w:rPr>
          <w:rFonts w:cs="Calibri"/>
          <w:lang w:val="fr-CA"/>
        </w:rPr>
      </w:pPr>
      <w:r w:rsidRPr="00CC7C98">
        <w:rPr>
          <w:rFonts w:cs="Calibri"/>
          <w:lang w:val="fr-CA"/>
        </w:rPr>
        <w:t>4.</w:t>
      </w:r>
      <w:r w:rsidR="006263BE">
        <w:rPr>
          <w:rFonts w:cs="Calibri"/>
          <w:lang w:val="fr-CA"/>
        </w:rPr>
        <w:t>4</w:t>
      </w:r>
      <w:r w:rsidRPr="00CC7C98">
        <w:rPr>
          <w:rFonts w:cs="Calibri"/>
          <w:lang w:val="fr-CA"/>
        </w:rPr>
        <w:tab/>
      </w:r>
      <w:r w:rsidR="00897A9D">
        <w:rPr>
          <w:rFonts w:cs="Calibri"/>
          <w:lang w:val="fr-CA"/>
        </w:rPr>
        <w:t>Au</w:t>
      </w:r>
      <w:r w:rsidR="00897A9D">
        <w:rPr>
          <w:rFonts w:cs="Calibri"/>
          <w:lang w:val="fr-CA"/>
        </w:rPr>
        <w:noBreakHyphen/>
        <w:t xml:space="preserve">delà de la coopération régionale </w:t>
      </w:r>
      <w:r w:rsidR="00BC3517">
        <w:rPr>
          <w:rFonts w:cs="Calibri"/>
          <w:lang w:val="fr-CA"/>
        </w:rPr>
        <w:t>entre les</w:t>
      </w:r>
      <w:r w:rsidR="00897A9D">
        <w:rPr>
          <w:rFonts w:cs="Calibri"/>
          <w:lang w:val="fr-CA"/>
        </w:rPr>
        <w:t xml:space="preserve"> Autorités administratives Ramsar nationales, les IRR sont invitées à travailler en partenariat avec d’autres organisations compétentes, en particulier les Organisations internationales partenaires de la Convention.</w:t>
      </w:r>
    </w:p>
    <w:p w14:paraId="7B652D93" w14:textId="77777777" w:rsidR="006263BE" w:rsidRDefault="006263BE" w:rsidP="00564549">
      <w:pPr>
        <w:pStyle w:val="BodyText"/>
        <w:widowControl/>
        <w:ind w:left="567" w:hanging="567"/>
        <w:rPr>
          <w:rFonts w:cs="Calibri"/>
          <w:lang w:val="fr-CA"/>
        </w:rPr>
      </w:pPr>
    </w:p>
    <w:p w14:paraId="2A40C88F" w14:textId="140A0677" w:rsidR="00F54AEE" w:rsidRPr="00CC7C98" w:rsidRDefault="006263BE" w:rsidP="00564549">
      <w:pPr>
        <w:pStyle w:val="BodyText"/>
        <w:widowControl/>
        <w:ind w:left="567" w:hanging="567"/>
        <w:rPr>
          <w:rFonts w:cs="Calibri"/>
          <w:lang w:val="fr-CA"/>
        </w:rPr>
      </w:pPr>
      <w:r>
        <w:rPr>
          <w:rFonts w:cs="Calibri"/>
          <w:lang w:val="fr-CA"/>
        </w:rPr>
        <w:t>4.5</w:t>
      </w:r>
      <w:r>
        <w:rPr>
          <w:rFonts w:cs="Calibri"/>
          <w:lang w:val="fr-CA"/>
        </w:rPr>
        <w:tab/>
        <w:t>Les IRR n’entreprennent pas des t</w:t>
      </w:r>
      <w:r w:rsidR="00C74496">
        <w:rPr>
          <w:rFonts w:cs="Calibri"/>
          <w:lang w:val="fr-CA"/>
        </w:rPr>
        <w:t>â</w:t>
      </w:r>
      <w:r>
        <w:rPr>
          <w:rFonts w:cs="Calibri"/>
          <w:lang w:val="fr-CA"/>
        </w:rPr>
        <w:t>ches assignées au Secrétariat de la Convention de Ramsar</w:t>
      </w:r>
      <w:r w:rsidR="00C74496">
        <w:rPr>
          <w:rFonts w:cs="Calibri"/>
          <w:lang w:val="fr-CA"/>
        </w:rPr>
        <w:t xml:space="preserve"> et ne sont pas des bureaux régionaux du Secrétariat.</w:t>
      </w:r>
      <w:r w:rsidR="003A0F32" w:rsidRPr="00CC7C98">
        <w:rPr>
          <w:rFonts w:cs="Calibri"/>
          <w:lang w:val="fr-CA"/>
        </w:rPr>
        <w:t xml:space="preserve"> </w:t>
      </w:r>
    </w:p>
    <w:p w14:paraId="2DFFE009" w14:textId="77777777" w:rsidR="00F86EF4" w:rsidRPr="00CC7C98" w:rsidRDefault="00F86EF4" w:rsidP="00BF7A4E">
      <w:pPr>
        <w:pStyle w:val="BodyText"/>
        <w:widowControl/>
        <w:spacing w:line="232" w:lineRule="auto"/>
        <w:ind w:left="709" w:right="121" w:hanging="709"/>
        <w:rPr>
          <w:rFonts w:cs="Calibri"/>
          <w:lang w:val="fr-CA"/>
        </w:rPr>
      </w:pPr>
    </w:p>
    <w:p w14:paraId="4C428506" w14:textId="1CEF4A92" w:rsidR="00F86EF4" w:rsidRPr="00CC7C98" w:rsidRDefault="00C74496" w:rsidP="00BF7A4E">
      <w:pPr>
        <w:pStyle w:val="BodyText"/>
        <w:widowControl/>
        <w:spacing w:line="232" w:lineRule="auto"/>
        <w:ind w:left="0" w:right="121" w:firstLine="0"/>
        <w:jc w:val="center"/>
        <w:rPr>
          <w:rFonts w:cs="Calibri"/>
          <w:b/>
          <w:lang w:val="fr-CA"/>
        </w:rPr>
      </w:pPr>
      <w:r>
        <w:rPr>
          <w:rFonts w:cs="Calibri"/>
          <w:b/>
          <w:lang w:val="fr-CA"/>
        </w:rPr>
        <w:t>Section</w:t>
      </w:r>
      <w:r w:rsidR="00F86EF4" w:rsidRPr="00CC7C98">
        <w:rPr>
          <w:rFonts w:cs="Calibri"/>
          <w:b/>
          <w:lang w:val="fr-CA"/>
        </w:rPr>
        <w:t xml:space="preserve"> 5</w:t>
      </w:r>
      <w:r w:rsidR="00897A9D">
        <w:rPr>
          <w:rFonts w:cs="Calibri"/>
          <w:b/>
          <w:lang w:val="fr-CA"/>
        </w:rPr>
        <w:t xml:space="preserve"> </w:t>
      </w:r>
      <w:r w:rsidR="00F86EF4" w:rsidRPr="00CC7C98">
        <w:rPr>
          <w:rFonts w:cs="Calibri"/>
          <w:b/>
          <w:lang w:val="fr-CA"/>
        </w:rPr>
        <w:t>: Mandat</w:t>
      </w:r>
      <w:r w:rsidR="00897A9D">
        <w:rPr>
          <w:rFonts w:cs="Calibri"/>
          <w:b/>
          <w:lang w:val="fr-CA"/>
        </w:rPr>
        <w:t xml:space="preserve"> des Initiatives régionales Ramsar</w:t>
      </w:r>
    </w:p>
    <w:p w14:paraId="2EF60329" w14:textId="77777777" w:rsidR="00F86EF4" w:rsidRPr="00CC7C98" w:rsidRDefault="00F86EF4" w:rsidP="00BF7A4E">
      <w:pPr>
        <w:pStyle w:val="BodyText"/>
        <w:widowControl/>
        <w:spacing w:line="232" w:lineRule="auto"/>
        <w:ind w:left="0" w:right="121" w:firstLine="0"/>
        <w:rPr>
          <w:rFonts w:cs="Calibri"/>
          <w:lang w:val="fr-CA"/>
        </w:rPr>
      </w:pPr>
    </w:p>
    <w:p w14:paraId="2EE3F66A" w14:textId="52698D20" w:rsidR="009A50F6" w:rsidRPr="00CC7C98" w:rsidRDefault="00F86EF4" w:rsidP="00564549">
      <w:pPr>
        <w:pStyle w:val="BodyText"/>
        <w:widowControl/>
        <w:ind w:left="567" w:hanging="567"/>
        <w:rPr>
          <w:rFonts w:cs="Calibri"/>
          <w:lang w:val="fr-CA"/>
        </w:rPr>
      </w:pPr>
      <w:r w:rsidRPr="00CC7C98">
        <w:rPr>
          <w:rFonts w:cs="Calibri"/>
          <w:lang w:val="fr-CA"/>
        </w:rPr>
        <w:t>5.1</w:t>
      </w:r>
      <w:r w:rsidRPr="00CC7C98">
        <w:rPr>
          <w:rFonts w:cs="Calibri"/>
          <w:lang w:val="fr-CA"/>
        </w:rPr>
        <w:tab/>
      </w:r>
      <w:r w:rsidR="003A145B">
        <w:rPr>
          <w:rFonts w:cs="Calibri"/>
          <w:lang w:val="fr-CA"/>
        </w:rPr>
        <w:t xml:space="preserve">Les IRR </w:t>
      </w:r>
      <w:r w:rsidR="00CE77D2">
        <w:rPr>
          <w:rFonts w:cs="Calibri"/>
          <w:lang w:val="fr-CA"/>
        </w:rPr>
        <w:t>rédigent</w:t>
      </w:r>
      <w:r w:rsidR="003A145B">
        <w:rPr>
          <w:rFonts w:cs="Calibri"/>
          <w:lang w:val="fr-CA"/>
        </w:rPr>
        <w:t xml:space="preserve"> leur mandat conformément au but et au rôle des IRR décrits dans ce Cadre opérationnel.</w:t>
      </w:r>
      <w:r w:rsidR="00FC191C" w:rsidRPr="00CC7C98">
        <w:rPr>
          <w:rFonts w:cs="Calibri"/>
          <w:lang w:val="fr-CA"/>
        </w:rPr>
        <w:t xml:space="preserve"> </w:t>
      </w:r>
    </w:p>
    <w:p w14:paraId="7A711506" w14:textId="77777777" w:rsidR="00F86EF4" w:rsidRPr="00CC7C98" w:rsidRDefault="00F86EF4" w:rsidP="00564549">
      <w:pPr>
        <w:pStyle w:val="BodyText"/>
        <w:widowControl/>
        <w:ind w:left="567" w:hanging="567"/>
        <w:rPr>
          <w:rFonts w:cs="Calibri"/>
          <w:lang w:val="fr-CA"/>
        </w:rPr>
      </w:pPr>
    </w:p>
    <w:p w14:paraId="5F40832F" w14:textId="377AA4BC" w:rsidR="00F86EF4" w:rsidRPr="00CC7C98" w:rsidRDefault="003A145B" w:rsidP="00564549">
      <w:pPr>
        <w:pStyle w:val="BodyText"/>
        <w:widowControl/>
        <w:ind w:left="567" w:hanging="567"/>
        <w:rPr>
          <w:rFonts w:cs="Calibri"/>
          <w:lang w:val="fr-CA"/>
        </w:rPr>
      </w:pPr>
      <w:r>
        <w:rPr>
          <w:rFonts w:cs="Calibri"/>
          <w:lang w:val="fr-CA"/>
        </w:rPr>
        <w:t>5.2</w:t>
      </w:r>
      <w:r>
        <w:rPr>
          <w:rFonts w:cs="Calibri"/>
          <w:lang w:val="fr-CA"/>
        </w:rPr>
        <w:tab/>
        <w:t>Les IRR travaillent avec les correspondants nationaux désignés par les Parties pour les questions scientifiques et techniques (pour le Groupe d’évaluation scientifique et technique, GEST) et pour le programme de communication et d’information de la Convention (communication, renforcement des capacités, éducation, sensibilisation et participation, CESP), afin de renforcer l</w:t>
      </w:r>
      <w:r w:rsidR="00CE77D2">
        <w:rPr>
          <w:rFonts w:cs="Calibri"/>
          <w:lang w:val="fr-CA"/>
        </w:rPr>
        <w:t>es</w:t>
      </w:r>
      <w:r>
        <w:rPr>
          <w:rFonts w:cs="Calibri"/>
          <w:lang w:val="fr-CA"/>
        </w:rPr>
        <w:t xml:space="preserve"> capacité</w:t>
      </w:r>
      <w:r w:rsidR="00CE77D2">
        <w:rPr>
          <w:rFonts w:cs="Calibri"/>
          <w:lang w:val="fr-CA"/>
        </w:rPr>
        <w:t>s</w:t>
      </w:r>
      <w:r>
        <w:rPr>
          <w:rFonts w:cs="Calibri"/>
          <w:lang w:val="fr-CA"/>
        </w:rPr>
        <w:t xml:space="preserve"> d’application dans la région. </w:t>
      </w:r>
    </w:p>
    <w:p w14:paraId="48F59397" w14:textId="77777777" w:rsidR="00697244" w:rsidRPr="00CC7C98" w:rsidRDefault="00697244" w:rsidP="00564549">
      <w:pPr>
        <w:pStyle w:val="BodyText"/>
        <w:widowControl/>
        <w:ind w:left="567" w:hanging="567"/>
        <w:rPr>
          <w:rFonts w:cs="Calibri"/>
          <w:lang w:val="fr-CA"/>
        </w:rPr>
      </w:pPr>
    </w:p>
    <w:p w14:paraId="102BE8D1" w14:textId="744D40BC" w:rsidR="00697244" w:rsidRPr="00CC7C98" w:rsidRDefault="00697244" w:rsidP="00564549">
      <w:pPr>
        <w:pStyle w:val="BodyText"/>
        <w:widowControl/>
        <w:ind w:left="567" w:hanging="567"/>
        <w:rPr>
          <w:rFonts w:cs="Calibri"/>
          <w:lang w:val="fr-CA"/>
        </w:rPr>
      </w:pPr>
      <w:r w:rsidRPr="00CC7C98">
        <w:rPr>
          <w:rFonts w:cs="Calibri"/>
          <w:lang w:val="fr-CA"/>
        </w:rPr>
        <w:t>5.3</w:t>
      </w:r>
      <w:r w:rsidRPr="00CC7C98">
        <w:rPr>
          <w:rFonts w:cs="Calibri"/>
          <w:lang w:val="fr-CA"/>
        </w:rPr>
        <w:tab/>
      </w:r>
      <w:r w:rsidR="003A145B">
        <w:rPr>
          <w:rFonts w:cs="Calibri"/>
          <w:lang w:val="fr-CA"/>
        </w:rPr>
        <w:t>Les IRR soumettent</w:t>
      </w:r>
      <w:r w:rsidR="00CE77D2">
        <w:rPr>
          <w:rFonts w:cs="Calibri"/>
          <w:lang w:val="fr-CA"/>
        </w:rPr>
        <w:t xml:space="preserve"> </w:t>
      </w:r>
      <w:r w:rsidR="003A145B">
        <w:rPr>
          <w:rFonts w:cs="Calibri"/>
          <w:lang w:val="fr-CA"/>
        </w:rPr>
        <w:t xml:space="preserve"> des rapports sur les progrès de leurs travaux et des résumés financiers à la fin de chaque année, ainsi qu’un plan de travail et budget pour l’année suivante. Ainsi, le Comité permanent peut confirmer qu’elles respectent le Cadre opérationnel et, le cas échéant, attribuer des fonds de départ du budget administratif </w:t>
      </w:r>
      <w:r w:rsidR="00DD4EA1">
        <w:rPr>
          <w:rFonts w:cs="Calibri"/>
          <w:lang w:val="fr-CA"/>
        </w:rPr>
        <w:t xml:space="preserve">de la Convention de </w:t>
      </w:r>
      <w:r w:rsidR="003A145B">
        <w:rPr>
          <w:rFonts w:cs="Calibri"/>
          <w:lang w:val="fr-CA"/>
        </w:rPr>
        <w:t>Ramsar aux IRR qui sont éligibles et le demandent.</w:t>
      </w:r>
    </w:p>
    <w:p w14:paraId="7F8F4F0C" w14:textId="77777777" w:rsidR="00F86EF4" w:rsidRPr="00CC7C98" w:rsidRDefault="00F86EF4" w:rsidP="00BF7A4E">
      <w:pPr>
        <w:pStyle w:val="BodyText"/>
        <w:widowControl/>
        <w:spacing w:line="232" w:lineRule="auto"/>
        <w:ind w:left="0" w:right="121" w:firstLine="0"/>
        <w:rPr>
          <w:rFonts w:cs="Calibri"/>
          <w:lang w:val="fr-CA"/>
        </w:rPr>
      </w:pPr>
    </w:p>
    <w:p w14:paraId="37D8773F" w14:textId="32507EED" w:rsidR="00F86EF4" w:rsidRPr="00CC7C98" w:rsidRDefault="00C74496" w:rsidP="00BF7A4E">
      <w:pPr>
        <w:pStyle w:val="BodyText"/>
        <w:widowControl/>
        <w:spacing w:line="232" w:lineRule="auto"/>
        <w:ind w:left="0" w:right="121" w:firstLine="0"/>
        <w:jc w:val="center"/>
        <w:rPr>
          <w:rFonts w:cs="Calibri"/>
          <w:b/>
          <w:lang w:val="fr-CA"/>
        </w:rPr>
      </w:pPr>
      <w:r>
        <w:rPr>
          <w:rFonts w:cs="Calibri"/>
          <w:b/>
          <w:lang w:val="fr-CA"/>
        </w:rPr>
        <w:t>Section</w:t>
      </w:r>
      <w:r w:rsidR="00F86EF4" w:rsidRPr="00CC7C98">
        <w:rPr>
          <w:rFonts w:cs="Calibri"/>
          <w:b/>
          <w:lang w:val="fr-CA"/>
        </w:rPr>
        <w:t xml:space="preserve"> 6</w:t>
      </w:r>
      <w:r w:rsidR="00897A9D">
        <w:rPr>
          <w:rFonts w:cs="Calibri"/>
          <w:b/>
          <w:lang w:val="fr-CA"/>
        </w:rPr>
        <w:t xml:space="preserve"> </w:t>
      </w:r>
      <w:r w:rsidR="00F86EF4" w:rsidRPr="00CC7C98">
        <w:rPr>
          <w:rFonts w:cs="Calibri"/>
          <w:b/>
          <w:lang w:val="fr-CA"/>
        </w:rPr>
        <w:t>: Go</w:t>
      </w:r>
      <w:r w:rsidR="003A145B">
        <w:rPr>
          <w:rFonts w:cs="Calibri"/>
          <w:b/>
          <w:lang w:val="fr-CA"/>
        </w:rPr>
        <w:t xml:space="preserve">uvernance des Initiatives régionales Ramsar </w:t>
      </w:r>
    </w:p>
    <w:p w14:paraId="06637758" w14:textId="77777777" w:rsidR="00F86EF4" w:rsidRPr="00CC7C98" w:rsidRDefault="00F86EF4" w:rsidP="00564549">
      <w:pPr>
        <w:pStyle w:val="BodyText"/>
        <w:widowControl/>
        <w:ind w:left="567" w:hanging="567"/>
        <w:rPr>
          <w:rFonts w:cs="Calibri"/>
          <w:lang w:val="fr-CA"/>
        </w:rPr>
      </w:pPr>
    </w:p>
    <w:p w14:paraId="53FF4F92" w14:textId="793AA68B" w:rsidR="00EB29A7" w:rsidRPr="00CC7C98" w:rsidRDefault="00F86EF4" w:rsidP="00564549">
      <w:pPr>
        <w:pStyle w:val="BodyText"/>
        <w:widowControl/>
        <w:ind w:left="567" w:hanging="567"/>
        <w:rPr>
          <w:rFonts w:cs="Calibri"/>
          <w:lang w:val="fr-CA"/>
        </w:rPr>
      </w:pPr>
      <w:r w:rsidRPr="00CC7C98">
        <w:rPr>
          <w:rFonts w:cs="Calibri"/>
          <w:lang w:val="fr-CA"/>
        </w:rPr>
        <w:t>6.1</w:t>
      </w:r>
      <w:r w:rsidRPr="00CC7C98">
        <w:rPr>
          <w:rFonts w:cs="Calibri"/>
          <w:lang w:val="fr-CA"/>
        </w:rPr>
        <w:tab/>
      </w:r>
      <w:r w:rsidR="001E613D">
        <w:rPr>
          <w:rFonts w:cs="Calibri"/>
          <w:lang w:val="fr-CA"/>
        </w:rPr>
        <w:t xml:space="preserve">Les Parties contractantes qui participent à une IRR établissent leurs propres mécanismes de gouvernance et consultatifs afin d’assurer la coordination, les orientations et la réflexion d’une manière transparente et équitable. Le Comité permanent vérifie que ces accords d’administration sont compatibles avec le Cadre opérationnel et entrent dans le cadre de la Convention. </w:t>
      </w:r>
    </w:p>
    <w:p w14:paraId="5700C318" w14:textId="77777777" w:rsidR="00AE258F" w:rsidRPr="00CC7C98" w:rsidRDefault="00AE258F" w:rsidP="00564549">
      <w:pPr>
        <w:pStyle w:val="BodyText"/>
        <w:widowControl/>
        <w:ind w:left="567" w:hanging="567"/>
        <w:rPr>
          <w:rFonts w:cs="Calibri"/>
          <w:lang w:val="fr-CA"/>
        </w:rPr>
      </w:pPr>
    </w:p>
    <w:p w14:paraId="2DAA014E" w14:textId="473E043E" w:rsidR="00F86EF4" w:rsidRPr="00CC7C98" w:rsidRDefault="007F578A" w:rsidP="00564549">
      <w:pPr>
        <w:pStyle w:val="BodyText"/>
        <w:widowControl/>
        <w:ind w:left="567" w:hanging="567"/>
        <w:rPr>
          <w:rFonts w:cs="Calibri"/>
          <w:lang w:val="fr-CA"/>
        </w:rPr>
      </w:pPr>
      <w:r w:rsidRPr="00CC7C98">
        <w:rPr>
          <w:rFonts w:cs="Calibri"/>
          <w:lang w:val="fr-CA"/>
        </w:rPr>
        <w:t>6.</w:t>
      </w:r>
      <w:r w:rsidR="00C74496">
        <w:rPr>
          <w:rFonts w:cs="Calibri"/>
          <w:lang w:val="fr-CA"/>
        </w:rPr>
        <w:t>2</w:t>
      </w:r>
      <w:r w:rsidRPr="00CC7C98">
        <w:rPr>
          <w:rFonts w:cs="Calibri"/>
          <w:lang w:val="fr-CA"/>
        </w:rPr>
        <w:tab/>
      </w:r>
      <w:r w:rsidR="00DD6118">
        <w:rPr>
          <w:rFonts w:cs="Calibri"/>
          <w:lang w:val="fr-CA"/>
        </w:rPr>
        <w:t>L</w:t>
      </w:r>
      <w:r w:rsidR="00C74496">
        <w:rPr>
          <w:rFonts w:cs="Calibri"/>
          <w:lang w:val="fr-CA"/>
        </w:rPr>
        <w:t>e mécanisme gouvernant</w:t>
      </w:r>
      <w:r w:rsidR="00DD6118">
        <w:rPr>
          <w:rFonts w:cs="Calibri"/>
          <w:lang w:val="fr-CA"/>
        </w:rPr>
        <w:t xml:space="preserve"> chaque IRR se réunit régulièrement, </w:t>
      </w:r>
      <w:r w:rsidR="005352E6">
        <w:rPr>
          <w:rFonts w:cs="Calibri"/>
          <w:lang w:val="fr-CA"/>
        </w:rPr>
        <w:t>donne</w:t>
      </w:r>
      <w:r w:rsidR="00DD6118">
        <w:rPr>
          <w:rFonts w:cs="Calibri"/>
          <w:lang w:val="fr-CA"/>
        </w:rPr>
        <w:t xml:space="preserve"> des orientations, définit les mandats, les règles et les principes de procédure et surveille le programme de travail de l’IRR et ses ressources. </w:t>
      </w:r>
      <w:r w:rsidR="00C74496">
        <w:rPr>
          <w:rFonts w:cs="Calibri"/>
          <w:lang w:val="fr-CA"/>
        </w:rPr>
        <w:t>Il</w:t>
      </w:r>
      <w:r w:rsidR="00DD6118">
        <w:rPr>
          <w:rFonts w:cs="Calibri"/>
          <w:lang w:val="fr-CA"/>
        </w:rPr>
        <w:t xml:space="preserve"> gère les activités de l’IRR et fournit à ses membres, observateurs et partenaires les informations pertinentes. Les procédures de fonctionnement de</w:t>
      </w:r>
      <w:r w:rsidR="00DD4EA1">
        <w:rPr>
          <w:rFonts w:cs="Calibri"/>
          <w:lang w:val="fr-CA"/>
        </w:rPr>
        <w:t xml:space="preserve"> chaque </w:t>
      </w:r>
      <w:r w:rsidR="00DD6118">
        <w:rPr>
          <w:rFonts w:cs="Calibri"/>
          <w:lang w:val="fr-CA"/>
        </w:rPr>
        <w:t>IRR sont rendues publiques et communiquées au Secrétariat de la Convention de Ramsar.</w:t>
      </w:r>
      <w:r w:rsidR="00F86EF4" w:rsidRPr="00CC7C98">
        <w:rPr>
          <w:rFonts w:cs="Calibri"/>
          <w:lang w:val="fr-CA"/>
        </w:rPr>
        <w:t xml:space="preserve"> </w:t>
      </w:r>
    </w:p>
    <w:p w14:paraId="6E00CAB3" w14:textId="77777777" w:rsidR="00F86EF4" w:rsidRPr="00CC7C98" w:rsidRDefault="00F86EF4" w:rsidP="00564549">
      <w:pPr>
        <w:pStyle w:val="BodyText"/>
        <w:widowControl/>
        <w:ind w:left="567" w:hanging="567"/>
        <w:rPr>
          <w:rFonts w:cs="Calibri"/>
          <w:lang w:val="fr-CA"/>
        </w:rPr>
      </w:pPr>
    </w:p>
    <w:p w14:paraId="2F6D2C2A" w14:textId="727CC967" w:rsidR="00F86EF4" w:rsidRPr="00CC7C98" w:rsidRDefault="00F86EF4" w:rsidP="00564549">
      <w:pPr>
        <w:pStyle w:val="BodyText"/>
        <w:widowControl/>
        <w:ind w:left="567" w:hanging="567"/>
        <w:rPr>
          <w:rFonts w:cs="Calibri"/>
          <w:lang w:val="fr-CA"/>
        </w:rPr>
      </w:pPr>
      <w:r w:rsidRPr="00CC7C98">
        <w:rPr>
          <w:rFonts w:cs="Calibri"/>
          <w:lang w:val="fr-CA"/>
        </w:rPr>
        <w:t>6.</w:t>
      </w:r>
      <w:r w:rsidR="00C74496">
        <w:rPr>
          <w:rFonts w:cs="Calibri"/>
          <w:lang w:val="fr-CA"/>
        </w:rPr>
        <w:t>3</w:t>
      </w:r>
      <w:r w:rsidRPr="00CC7C98">
        <w:rPr>
          <w:rFonts w:cs="Calibri"/>
          <w:lang w:val="fr-CA"/>
        </w:rPr>
        <w:tab/>
      </w:r>
      <w:r w:rsidR="00DD6118">
        <w:rPr>
          <w:rFonts w:cs="Calibri"/>
          <w:lang w:val="fr-CA"/>
        </w:rPr>
        <w:t xml:space="preserve">Le Secrétariat de la Convention </w:t>
      </w:r>
      <w:r w:rsidR="00C74496">
        <w:rPr>
          <w:rFonts w:cs="Calibri"/>
          <w:lang w:val="fr-CA"/>
        </w:rPr>
        <w:t>participe au mécanisme gouvernant</w:t>
      </w:r>
      <w:r w:rsidR="00DD6118">
        <w:rPr>
          <w:rFonts w:cs="Calibri"/>
          <w:lang w:val="fr-CA"/>
        </w:rPr>
        <w:t xml:space="preserve"> chaque IRR. Les tâches spécifiques du Secrétariat sont : </w:t>
      </w:r>
      <w:r w:rsidR="005352E6">
        <w:rPr>
          <w:rFonts w:cs="Calibri"/>
          <w:lang w:val="fr-CA"/>
        </w:rPr>
        <w:t>faire en sorte que</w:t>
      </w:r>
      <w:r w:rsidR="00DD6118">
        <w:rPr>
          <w:rFonts w:cs="Calibri"/>
          <w:lang w:val="fr-CA"/>
        </w:rPr>
        <w:t xml:space="preserve"> </w:t>
      </w:r>
      <w:r w:rsidR="00C74496">
        <w:rPr>
          <w:rFonts w:cs="Calibri"/>
          <w:lang w:val="fr-CA"/>
        </w:rPr>
        <w:t>le mécanisme</w:t>
      </w:r>
      <w:r w:rsidR="00DD6118">
        <w:rPr>
          <w:rFonts w:cs="Calibri"/>
          <w:lang w:val="fr-CA"/>
        </w:rPr>
        <w:t xml:space="preserve"> </w:t>
      </w:r>
      <w:r w:rsidR="005352E6">
        <w:rPr>
          <w:rFonts w:cs="Calibri"/>
          <w:lang w:val="fr-CA"/>
        </w:rPr>
        <w:t>soit conscient de</w:t>
      </w:r>
      <w:r w:rsidR="00DD6118">
        <w:rPr>
          <w:rFonts w:cs="Calibri"/>
          <w:lang w:val="fr-CA"/>
        </w:rPr>
        <w:t xml:space="preserve"> la nécessité </w:t>
      </w:r>
      <w:r w:rsidR="00DD6118">
        <w:rPr>
          <w:rFonts w:cs="Calibri"/>
          <w:lang w:val="fr-CA"/>
        </w:rPr>
        <w:lastRenderedPageBreak/>
        <w:t>que l’IRR satisfasse au programme et aux priorités de la Convention et aux demandes formulées par la Conférence des Parties</w:t>
      </w:r>
      <w:r w:rsidR="00C74496">
        <w:rPr>
          <w:rFonts w:cs="Calibri"/>
          <w:lang w:val="fr-CA"/>
        </w:rPr>
        <w:t xml:space="preserve"> contractantes</w:t>
      </w:r>
      <w:r w:rsidR="00DD6118">
        <w:rPr>
          <w:rFonts w:cs="Calibri"/>
          <w:lang w:val="fr-CA"/>
        </w:rPr>
        <w:t xml:space="preserve"> et le Comité permanent; encourager l’IRR à faire une utilisation optimale des outils </w:t>
      </w:r>
      <w:r w:rsidR="00DD4EA1">
        <w:rPr>
          <w:rFonts w:cs="Calibri"/>
          <w:lang w:val="fr-CA"/>
        </w:rPr>
        <w:t xml:space="preserve">de la Convention de </w:t>
      </w:r>
      <w:r w:rsidR="00DD6118">
        <w:rPr>
          <w:rFonts w:cs="Calibri"/>
          <w:lang w:val="fr-CA"/>
        </w:rPr>
        <w:t xml:space="preserve">Ramsar et de l’expérience et des avis fournis par les groupes </w:t>
      </w:r>
      <w:r w:rsidR="005352E6">
        <w:rPr>
          <w:rFonts w:cs="Calibri"/>
          <w:lang w:val="fr-CA"/>
        </w:rPr>
        <w:t xml:space="preserve">experts </w:t>
      </w:r>
      <w:r w:rsidR="00DD6118">
        <w:rPr>
          <w:rFonts w:cs="Calibri"/>
          <w:lang w:val="fr-CA"/>
        </w:rPr>
        <w:t>(</w:t>
      </w:r>
      <w:r w:rsidR="001E78D9">
        <w:rPr>
          <w:rFonts w:cs="Calibri"/>
          <w:lang w:val="fr-CA"/>
        </w:rPr>
        <w:t>G</w:t>
      </w:r>
      <w:r w:rsidR="00DD4EA1">
        <w:rPr>
          <w:rFonts w:cs="Calibri"/>
          <w:lang w:val="fr-CA"/>
        </w:rPr>
        <w:t>EST</w:t>
      </w:r>
      <w:r w:rsidR="00C74496">
        <w:rPr>
          <w:rFonts w:cs="Calibri"/>
          <w:lang w:val="fr-CA"/>
        </w:rPr>
        <w:t xml:space="preserve"> et organes</w:t>
      </w:r>
      <w:r w:rsidR="00DD4EA1">
        <w:rPr>
          <w:rFonts w:cs="Calibri"/>
          <w:lang w:val="fr-CA"/>
        </w:rPr>
        <w:t xml:space="preserve"> de</w:t>
      </w:r>
      <w:r w:rsidR="00C74496">
        <w:rPr>
          <w:rFonts w:cs="Calibri"/>
          <w:lang w:val="fr-CA"/>
        </w:rPr>
        <w:t xml:space="preserve"> CESP)</w:t>
      </w:r>
      <w:r w:rsidR="00DD6118">
        <w:rPr>
          <w:rFonts w:cs="Calibri"/>
          <w:lang w:val="fr-CA"/>
        </w:rPr>
        <w:t xml:space="preserve">; et faciliter la diffusion de l’expérience des IRR dans les processus mondiaux de </w:t>
      </w:r>
      <w:r w:rsidR="00DD4EA1">
        <w:rPr>
          <w:rFonts w:cs="Calibri"/>
          <w:lang w:val="fr-CA"/>
        </w:rPr>
        <w:t xml:space="preserve">la Convention de </w:t>
      </w:r>
      <w:r w:rsidR="00DD6118">
        <w:rPr>
          <w:rFonts w:cs="Calibri"/>
          <w:lang w:val="fr-CA"/>
        </w:rPr>
        <w:t>Ramsar.</w:t>
      </w:r>
    </w:p>
    <w:p w14:paraId="0A4419E8" w14:textId="77777777" w:rsidR="00F86EF4" w:rsidRPr="00CC7C98" w:rsidRDefault="00F86EF4" w:rsidP="00BF7A4E">
      <w:pPr>
        <w:pStyle w:val="BodyText"/>
        <w:widowControl/>
        <w:spacing w:line="232" w:lineRule="auto"/>
        <w:ind w:left="0" w:right="121" w:firstLine="0"/>
        <w:rPr>
          <w:rFonts w:cs="Calibri"/>
          <w:lang w:val="fr-CA"/>
        </w:rPr>
      </w:pPr>
    </w:p>
    <w:p w14:paraId="71A29A2B" w14:textId="1DEFEDA1" w:rsidR="00F86EF4" w:rsidRPr="00CC7C98" w:rsidRDefault="00C74496" w:rsidP="00BF7A4E">
      <w:pPr>
        <w:pStyle w:val="BodyText"/>
        <w:widowControl/>
        <w:spacing w:line="232" w:lineRule="auto"/>
        <w:ind w:left="0" w:right="121" w:firstLine="0"/>
        <w:jc w:val="center"/>
        <w:rPr>
          <w:rFonts w:cs="Calibri"/>
          <w:b/>
          <w:lang w:val="fr-CA"/>
        </w:rPr>
      </w:pPr>
      <w:r>
        <w:rPr>
          <w:rFonts w:cs="Calibri"/>
          <w:b/>
          <w:lang w:val="fr-CA"/>
        </w:rPr>
        <w:t>Section</w:t>
      </w:r>
      <w:r w:rsidR="00F86EF4" w:rsidRPr="00CC7C98">
        <w:rPr>
          <w:rFonts w:cs="Calibri"/>
          <w:b/>
          <w:lang w:val="fr-CA"/>
        </w:rPr>
        <w:t xml:space="preserve"> 7</w:t>
      </w:r>
      <w:r w:rsidR="00DD6118">
        <w:rPr>
          <w:rFonts w:cs="Calibri"/>
          <w:b/>
          <w:lang w:val="fr-CA"/>
        </w:rPr>
        <w:t xml:space="preserve"> </w:t>
      </w:r>
      <w:r w:rsidR="00F86EF4" w:rsidRPr="00CC7C98">
        <w:rPr>
          <w:rFonts w:cs="Calibri"/>
          <w:b/>
          <w:lang w:val="fr-CA"/>
        </w:rPr>
        <w:t xml:space="preserve">: </w:t>
      </w:r>
      <w:r w:rsidR="00DD6118">
        <w:rPr>
          <w:rFonts w:cs="Calibri"/>
          <w:b/>
          <w:lang w:val="fr-CA"/>
        </w:rPr>
        <w:t>Financement des Initiatives régionales Ramsar</w:t>
      </w:r>
    </w:p>
    <w:p w14:paraId="06014901" w14:textId="77777777" w:rsidR="00F86EF4" w:rsidRPr="00CC7C98" w:rsidRDefault="00F86EF4" w:rsidP="00564549">
      <w:pPr>
        <w:pStyle w:val="BodyText"/>
        <w:widowControl/>
        <w:ind w:left="567" w:hanging="567"/>
        <w:rPr>
          <w:rFonts w:cs="Calibri"/>
          <w:lang w:val="fr-CA"/>
        </w:rPr>
      </w:pPr>
    </w:p>
    <w:p w14:paraId="7A5A55B2" w14:textId="7DA4D9C6" w:rsidR="00F86EF4" w:rsidRPr="00CC7C98" w:rsidRDefault="00F86EF4" w:rsidP="00564549">
      <w:pPr>
        <w:pStyle w:val="BodyText"/>
        <w:widowControl/>
        <w:ind w:left="567" w:hanging="567"/>
        <w:rPr>
          <w:rFonts w:cs="Calibri"/>
          <w:lang w:val="fr-CA"/>
        </w:rPr>
      </w:pPr>
      <w:r w:rsidRPr="00CC7C98">
        <w:rPr>
          <w:rFonts w:cs="Calibri"/>
          <w:lang w:val="fr-CA"/>
        </w:rPr>
        <w:t>7.1</w:t>
      </w:r>
      <w:r w:rsidRPr="00CC7C98">
        <w:rPr>
          <w:rFonts w:cs="Calibri"/>
          <w:lang w:val="fr-CA"/>
        </w:rPr>
        <w:tab/>
      </w:r>
      <w:r w:rsidR="00C74496">
        <w:rPr>
          <w:rFonts w:cs="Calibri"/>
          <w:lang w:val="fr-CA"/>
        </w:rPr>
        <w:t>L</w:t>
      </w:r>
      <w:r w:rsidR="00B24F75">
        <w:rPr>
          <w:rFonts w:cs="Calibri"/>
          <w:lang w:val="fr-CA"/>
        </w:rPr>
        <w:t xml:space="preserve">es Parties contractantes </w:t>
      </w:r>
      <w:r w:rsidR="00C74496">
        <w:rPr>
          <w:rFonts w:cs="Calibri"/>
          <w:lang w:val="fr-CA"/>
        </w:rPr>
        <w:t xml:space="preserve">et autres membres </w:t>
      </w:r>
      <w:r w:rsidR="00B24F75">
        <w:rPr>
          <w:rFonts w:cs="Calibri"/>
          <w:lang w:val="fr-CA"/>
        </w:rPr>
        <w:t xml:space="preserve">participant à une IRR </w:t>
      </w:r>
      <w:r w:rsidR="00C74496">
        <w:rPr>
          <w:rFonts w:cs="Calibri"/>
          <w:lang w:val="fr-CA"/>
        </w:rPr>
        <w:t>la soutiennent</w:t>
      </w:r>
      <w:r w:rsidR="00B24F75">
        <w:rPr>
          <w:rFonts w:cs="Calibri"/>
          <w:lang w:val="fr-CA"/>
        </w:rPr>
        <w:t xml:space="preserve"> financièrement </w:t>
      </w:r>
      <w:r w:rsidR="00C74496">
        <w:rPr>
          <w:rFonts w:cs="Calibri"/>
          <w:lang w:val="fr-CA"/>
        </w:rPr>
        <w:t>et</w:t>
      </w:r>
      <w:r w:rsidR="00B24F75">
        <w:rPr>
          <w:rFonts w:cs="Calibri"/>
          <w:lang w:val="fr-CA"/>
        </w:rPr>
        <w:t xml:space="preserve"> identifie</w:t>
      </w:r>
      <w:r w:rsidR="00C74496">
        <w:rPr>
          <w:rFonts w:cs="Calibri"/>
          <w:lang w:val="fr-CA"/>
        </w:rPr>
        <w:t>nt</w:t>
      </w:r>
      <w:r w:rsidR="00B24F75">
        <w:rPr>
          <w:rFonts w:cs="Calibri"/>
          <w:lang w:val="fr-CA"/>
        </w:rPr>
        <w:t xml:space="preserve"> des donateurs qui seraient prêts à fournir un appui additionnel, notamment dans le cadre de projets et de programmes de coopération spécifiques. </w:t>
      </w:r>
    </w:p>
    <w:p w14:paraId="76967F8D" w14:textId="77777777" w:rsidR="00F86EF4" w:rsidRPr="00CC7C98" w:rsidRDefault="00F86EF4" w:rsidP="00564549">
      <w:pPr>
        <w:pStyle w:val="BodyText"/>
        <w:widowControl/>
        <w:ind w:left="567" w:hanging="567"/>
        <w:rPr>
          <w:rFonts w:cs="Calibri"/>
          <w:lang w:val="fr-CA"/>
        </w:rPr>
      </w:pPr>
    </w:p>
    <w:p w14:paraId="26007A15" w14:textId="1C1F3483" w:rsidR="00F86EF4" w:rsidRPr="00CC7C98" w:rsidRDefault="00F86EF4" w:rsidP="00564549">
      <w:pPr>
        <w:pStyle w:val="BodyText"/>
        <w:widowControl/>
        <w:ind w:left="567" w:hanging="567"/>
        <w:rPr>
          <w:rFonts w:cs="Calibri"/>
          <w:lang w:val="fr-CA"/>
        </w:rPr>
      </w:pPr>
      <w:r w:rsidRPr="00CC7C98">
        <w:rPr>
          <w:rFonts w:cs="Calibri"/>
          <w:lang w:val="fr-CA"/>
        </w:rPr>
        <w:t>7.2</w:t>
      </w:r>
      <w:r w:rsidRPr="00CC7C98">
        <w:rPr>
          <w:rFonts w:cs="Calibri"/>
          <w:lang w:val="fr-CA"/>
        </w:rPr>
        <w:tab/>
      </w:r>
      <w:r w:rsidR="00B24F75">
        <w:rPr>
          <w:rFonts w:cs="Calibri"/>
          <w:lang w:val="fr-CA"/>
        </w:rPr>
        <w:t>Le Comité permanent attribue des fonds d’appui de départ du budget administratif de la Convention</w:t>
      </w:r>
      <w:r w:rsidR="00F06840">
        <w:rPr>
          <w:rFonts w:cs="Calibri"/>
          <w:lang w:val="fr-CA"/>
        </w:rPr>
        <w:t>,</w:t>
      </w:r>
      <w:r w:rsidR="00B24F75">
        <w:rPr>
          <w:rFonts w:cs="Calibri"/>
          <w:lang w:val="fr-CA"/>
        </w:rPr>
        <w:t xml:space="preserve"> sur une base annuelle</w:t>
      </w:r>
      <w:r w:rsidR="00F06840">
        <w:rPr>
          <w:rFonts w:cs="Calibri"/>
          <w:lang w:val="fr-CA"/>
        </w:rPr>
        <w:t>,</w:t>
      </w:r>
      <w:r w:rsidR="00B24F75">
        <w:rPr>
          <w:rFonts w:cs="Calibri"/>
          <w:lang w:val="fr-CA"/>
        </w:rPr>
        <w:t xml:space="preserve"> aux nouvelles IRR qui le demandent dans leurs rapports annuels.</w:t>
      </w:r>
      <w:r w:rsidR="009823CD" w:rsidRPr="00CC7C98">
        <w:rPr>
          <w:rFonts w:cs="Calibri"/>
          <w:lang w:val="fr-CA"/>
        </w:rPr>
        <w:t xml:space="preserve"> </w:t>
      </w:r>
    </w:p>
    <w:p w14:paraId="7B582D5A" w14:textId="77777777" w:rsidR="00F86EF4" w:rsidRPr="00CC7C98" w:rsidRDefault="00F86EF4" w:rsidP="00564549">
      <w:pPr>
        <w:pStyle w:val="BodyText"/>
        <w:widowControl/>
        <w:ind w:left="567" w:hanging="567"/>
        <w:rPr>
          <w:rFonts w:cs="Calibri"/>
          <w:lang w:val="fr-CA"/>
        </w:rPr>
      </w:pPr>
    </w:p>
    <w:p w14:paraId="00D0C41B" w14:textId="34AA36C7" w:rsidR="00F86EF4" w:rsidRPr="00CC7C98" w:rsidRDefault="00F86EF4" w:rsidP="00564549">
      <w:pPr>
        <w:pStyle w:val="BodyText"/>
        <w:widowControl/>
        <w:ind w:left="567" w:hanging="567"/>
        <w:rPr>
          <w:rFonts w:cs="Calibri"/>
          <w:lang w:val="fr-CA"/>
        </w:rPr>
      </w:pPr>
      <w:r w:rsidRPr="00CC7C98">
        <w:rPr>
          <w:rFonts w:cs="Calibri"/>
          <w:lang w:val="fr-CA"/>
        </w:rPr>
        <w:t>7.</w:t>
      </w:r>
      <w:r w:rsidR="00C74496">
        <w:rPr>
          <w:rFonts w:cs="Calibri"/>
          <w:lang w:val="fr-CA"/>
        </w:rPr>
        <w:t>3</w:t>
      </w:r>
      <w:r w:rsidRPr="00CC7C98">
        <w:rPr>
          <w:rFonts w:cs="Calibri"/>
          <w:lang w:val="fr-CA"/>
        </w:rPr>
        <w:tab/>
      </w:r>
      <w:r w:rsidR="00B24F75">
        <w:rPr>
          <w:rFonts w:cs="Calibri"/>
          <w:lang w:val="fr-CA"/>
        </w:rPr>
        <w:t xml:space="preserve">Les IRR doivent </w:t>
      </w:r>
      <w:r w:rsidR="00C74496">
        <w:rPr>
          <w:rFonts w:cs="Calibri"/>
          <w:lang w:val="fr-CA"/>
        </w:rPr>
        <w:t xml:space="preserve">prendre les mesures nécessaires pour </w:t>
      </w:r>
      <w:r w:rsidR="0011341E">
        <w:rPr>
          <w:rFonts w:cs="Calibri"/>
          <w:lang w:val="fr-CA"/>
        </w:rPr>
        <w:t>se doter d’un financement durable,</w:t>
      </w:r>
      <w:r w:rsidR="00B24F75">
        <w:rPr>
          <w:rFonts w:cs="Calibri"/>
          <w:lang w:val="fr-CA"/>
        </w:rPr>
        <w:t xml:space="preserve"> de différentes sources</w:t>
      </w:r>
      <w:r w:rsidR="00C74496">
        <w:rPr>
          <w:rFonts w:cs="Calibri"/>
          <w:lang w:val="fr-CA"/>
        </w:rPr>
        <w:t xml:space="preserve"> et établir des mécanismes et procédures</w:t>
      </w:r>
      <w:r w:rsidR="00B24F75">
        <w:rPr>
          <w:rFonts w:cs="Calibri"/>
          <w:lang w:val="fr-CA"/>
        </w:rPr>
        <w:t xml:space="preserve"> </w:t>
      </w:r>
      <w:r w:rsidR="00B33772">
        <w:rPr>
          <w:rFonts w:cs="Calibri"/>
          <w:lang w:val="fr-CA"/>
        </w:rPr>
        <w:t>p</w:t>
      </w:r>
      <w:r w:rsidR="00B24F75">
        <w:rPr>
          <w:rFonts w:cs="Calibri"/>
          <w:lang w:val="fr-CA"/>
        </w:rPr>
        <w:t xml:space="preserve">our </w:t>
      </w:r>
      <w:r w:rsidR="00F06840">
        <w:rPr>
          <w:rFonts w:cs="Calibri"/>
          <w:lang w:val="fr-CA"/>
        </w:rPr>
        <w:t>pérenniser</w:t>
      </w:r>
      <w:r w:rsidR="00B24F75">
        <w:rPr>
          <w:rFonts w:cs="Calibri"/>
          <w:lang w:val="fr-CA"/>
        </w:rPr>
        <w:t xml:space="preserve"> leur fonctionnement au</w:t>
      </w:r>
      <w:r w:rsidR="00B24F75">
        <w:rPr>
          <w:rFonts w:cs="Calibri"/>
          <w:lang w:val="fr-CA"/>
        </w:rPr>
        <w:noBreakHyphen/>
        <w:t>delà de périodes de projets spécifiques et empêcher que les IRR ne deviennent dépendantes et exposées au</w:t>
      </w:r>
      <w:r w:rsidR="0011341E">
        <w:rPr>
          <w:rFonts w:cs="Calibri"/>
          <w:lang w:val="fr-CA"/>
        </w:rPr>
        <w:t xml:space="preserve"> risque de n’avoir qu’un seul</w:t>
      </w:r>
      <w:r w:rsidR="00B24F75">
        <w:rPr>
          <w:rFonts w:cs="Calibri"/>
          <w:lang w:val="fr-CA"/>
        </w:rPr>
        <w:t xml:space="preserve"> donateur principal.</w:t>
      </w:r>
      <w:r w:rsidR="00BF04CF">
        <w:rPr>
          <w:rFonts w:cs="Calibri"/>
          <w:lang w:val="fr-CA"/>
        </w:rPr>
        <w:t>]</w:t>
      </w:r>
    </w:p>
    <w:p w14:paraId="63FFF8FA" w14:textId="77777777" w:rsidR="00C23238" w:rsidRPr="00CC7C98" w:rsidRDefault="00C23238" w:rsidP="00564549">
      <w:pPr>
        <w:pStyle w:val="BodyText"/>
        <w:widowControl/>
        <w:ind w:left="567" w:hanging="567"/>
        <w:rPr>
          <w:rFonts w:cs="Calibri"/>
          <w:lang w:val="fr-CA"/>
        </w:rPr>
      </w:pPr>
    </w:p>
    <w:p w14:paraId="4589D274" w14:textId="77777777" w:rsidR="00447020" w:rsidRPr="00CC7C98" w:rsidRDefault="00447020" w:rsidP="00447020">
      <w:pPr>
        <w:pStyle w:val="BodyText"/>
        <w:widowControl/>
        <w:spacing w:line="232" w:lineRule="auto"/>
        <w:ind w:left="709" w:right="121" w:hanging="709"/>
        <w:rPr>
          <w:lang w:val="fr-CA"/>
        </w:rPr>
      </w:pPr>
    </w:p>
    <w:sectPr w:rsidR="00447020" w:rsidRPr="00CC7C98" w:rsidSect="002137E0">
      <w:headerReference w:type="default" r:id="rId10"/>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4C883" w14:textId="77777777" w:rsidR="004317F5" w:rsidRDefault="004317F5" w:rsidP="00DF2386">
      <w:r>
        <w:separator/>
      </w:r>
    </w:p>
  </w:endnote>
  <w:endnote w:type="continuationSeparator" w:id="0">
    <w:p w14:paraId="67F664F6" w14:textId="77777777" w:rsidR="004317F5" w:rsidRDefault="004317F5"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5ADAF" w14:textId="7AF43BA9" w:rsidR="002A3794" w:rsidRPr="00847296" w:rsidRDefault="00847296" w:rsidP="00847296">
    <w:pPr>
      <w:pStyle w:val="Footer"/>
      <w:rPr>
        <w:sz w:val="20"/>
        <w:szCs w:val="20"/>
      </w:rPr>
    </w:pPr>
    <w:r>
      <w:rPr>
        <w:sz w:val="20"/>
        <w:szCs w:val="20"/>
      </w:rPr>
      <w:t>Ramsar COP13 Doc.18.8</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Pr>
        <w:noProof/>
        <w:sz w:val="20"/>
        <w:szCs w:val="20"/>
      </w:rPr>
      <w:t>7</w:t>
    </w:r>
    <w:r w:rsidRPr="00CB5417">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13501" w14:textId="77777777" w:rsidR="004317F5" w:rsidRDefault="004317F5" w:rsidP="00DF2386">
      <w:r>
        <w:separator/>
      </w:r>
    </w:p>
  </w:footnote>
  <w:footnote w:type="continuationSeparator" w:id="0">
    <w:p w14:paraId="0692F52B" w14:textId="77777777" w:rsidR="004317F5" w:rsidRDefault="004317F5" w:rsidP="00DF2386">
      <w:r>
        <w:continuationSeparator/>
      </w:r>
    </w:p>
  </w:footnote>
  <w:footnote w:id="1">
    <w:p w14:paraId="5337CCAD" w14:textId="087BCD4A" w:rsidR="00B4642B" w:rsidRPr="00B4642B" w:rsidRDefault="00B4642B" w:rsidP="00B4642B">
      <w:pPr>
        <w:pStyle w:val="FootnoteText"/>
        <w:ind w:left="170" w:hanging="170"/>
        <w:rPr>
          <w:lang w:val="fr-CA"/>
        </w:rPr>
      </w:pPr>
      <w:r w:rsidRPr="00B4642B">
        <w:rPr>
          <w:rStyle w:val="FootnoteReference"/>
          <w:lang w:val="fr-CA"/>
        </w:rPr>
        <w:footnoteRef/>
      </w:r>
      <w:r w:rsidRPr="00B4642B">
        <w:rPr>
          <w:lang w:val="fr-CA"/>
        </w:rPr>
        <w:t xml:space="preserve">  </w:t>
      </w:r>
      <w:r w:rsidR="007E1F37">
        <w:rPr>
          <w:lang w:val="fr-CA"/>
        </w:rPr>
        <w:t xml:space="preserve">Cela concerne </w:t>
      </w:r>
      <w:r w:rsidR="00E800A3">
        <w:rPr>
          <w:lang w:val="fr-CA"/>
        </w:rPr>
        <w:t xml:space="preserve">les Initiatives régionales Ramsar </w:t>
      </w:r>
      <w:r w:rsidR="007E1F37">
        <w:rPr>
          <w:lang w:val="fr-CA"/>
        </w:rPr>
        <w:t>pour le bassin du Sénégal, pour le bassin de l’Amazone, pour l’Asie centrale et indo</w:t>
      </w:r>
      <w:r w:rsidR="007E1F37">
        <w:rPr>
          <w:lang w:val="fr-CA"/>
        </w:rPr>
        <w:noBreakHyphen/>
        <w:t xml:space="preserve">birmane ainsi que toute nouvelle </w:t>
      </w:r>
      <w:r w:rsidR="00E800A3">
        <w:rPr>
          <w:lang w:val="fr-CA"/>
        </w:rPr>
        <w:t>IRR</w:t>
      </w:r>
      <w:r w:rsidR="007E1F37">
        <w:rPr>
          <w:lang w:val="fr-CA"/>
        </w:rPr>
        <w:t xml:space="preserve"> à condition qu’elle satisfasse intégralement aux conditions définies dans le Cadre opérationnel.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71D9A" w14:textId="77777777" w:rsidR="002A3794" w:rsidRDefault="002A3794">
    <w:pPr>
      <w:pStyle w:val="Header"/>
    </w:pPr>
  </w:p>
  <w:p w14:paraId="3DD74C4D" w14:textId="77777777" w:rsidR="002A3794" w:rsidRDefault="002A3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072E1FB8"/>
    <w:multiLevelType w:val="hybridMultilevel"/>
    <w:tmpl w:val="C7A0F8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8A56053"/>
    <w:multiLevelType w:val="hybridMultilevel"/>
    <w:tmpl w:val="C7A0F8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B06647"/>
    <w:multiLevelType w:val="hybridMultilevel"/>
    <w:tmpl w:val="F4BA277A"/>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8">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nsid w:val="1BED167A"/>
    <w:multiLevelType w:val="hybridMultilevel"/>
    <w:tmpl w:val="FA88C432"/>
    <w:lvl w:ilvl="0" w:tplc="2AA4334A">
      <w:start w:val="1"/>
      <w:numFmt w:val="decimal"/>
      <w:lvlText w:val="%1."/>
      <w:lvlJc w:val="left"/>
      <w:pPr>
        <w:ind w:left="9501" w:hanging="428"/>
        <w:jc w:val="right"/>
      </w:pPr>
      <w:rPr>
        <w:rFonts w:ascii="Calibri" w:eastAsia="Calibri" w:hAnsi="Calibri" w:hint="default"/>
        <w:sz w:val="22"/>
        <w:szCs w:val="22"/>
      </w:rPr>
    </w:lvl>
    <w:lvl w:ilvl="1" w:tplc="1A3A61B8">
      <w:start w:val="1"/>
      <w:numFmt w:val="bullet"/>
      <w:lvlText w:val="•"/>
      <w:lvlJc w:val="left"/>
      <w:pPr>
        <w:ind w:left="1681" w:hanging="428"/>
      </w:pPr>
      <w:rPr>
        <w:rFonts w:hint="default"/>
      </w:rPr>
    </w:lvl>
    <w:lvl w:ilvl="2" w:tplc="5266AB46">
      <w:start w:val="1"/>
      <w:numFmt w:val="bullet"/>
      <w:lvlText w:val="•"/>
      <w:lvlJc w:val="left"/>
      <w:pPr>
        <w:ind w:left="2556" w:hanging="428"/>
      </w:pPr>
      <w:rPr>
        <w:rFonts w:hint="default"/>
      </w:rPr>
    </w:lvl>
    <w:lvl w:ilvl="3" w:tplc="4AA03970">
      <w:start w:val="1"/>
      <w:numFmt w:val="bullet"/>
      <w:lvlText w:val="•"/>
      <w:lvlJc w:val="left"/>
      <w:pPr>
        <w:ind w:left="3430" w:hanging="428"/>
      </w:pPr>
      <w:rPr>
        <w:rFonts w:hint="default"/>
      </w:rPr>
    </w:lvl>
    <w:lvl w:ilvl="4" w:tplc="C57CD486">
      <w:start w:val="1"/>
      <w:numFmt w:val="bullet"/>
      <w:lvlText w:val="•"/>
      <w:lvlJc w:val="left"/>
      <w:pPr>
        <w:ind w:left="4304" w:hanging="428"/>
      </w:pPr>
      <w:rPr>
        <w:rFonts w:hint="default"/>
      </w:rPr>
    </w:lvl>
    <w:lvl w:ilvl="5" w:tplc="D6FC1A76">
      <w:start w:val="1"/>
      <w:numFmt w:val="bullet"/>
      <w:lvlText w:val="•"/>
      <w:lvlJc w:val="left"/>
      <w:pPr>
        <w:ind w:left="5179" w:hanging="428"/>
      </w:pPr>
      <w:rPr>
        <w:rFonts w:hint="default"/>
      </w:rPr>
    </w:lvl>
    <w:lvl w:ilvl="6" w:tplc="74B4AE12">
      <w:start w:val="1"/>
      <w:numFmt w:val="bullet"/>
      <w:lvlText w:val="•"/>
      <w:lvlJc w:val="left"/>
      <w:pPr>
        <w:ind w:left="6053" w:hanging="428"/>
      </w:pPr>
      <w:rPr>
        <w:rFonts w:hint="default"/>
      </w:rPr>
    </w:lvl>
    <w:lvl w:ilvl="7" w:tplc="6686A034">
      <w:start w:val="1"/>
      <w:numFmt w:val="bullet"/>
      <w:lvlText w:val="•"/>
      <w:lvlJc w:val="left"/>
      <w:pPr>
        <w:ind w:left="6928" w:hanging="428"/>
      </w:pPr>
      <w:rPr>
        <w:rFonts w:hint="default"/>
      </w:rPr>
    </w:lvl>
    <w:lvl w:ilvl="8" w:tplc="8A568D56">
      <w:start w:val="1"/>
      <w:numFmt w:val="bullet"/>
      <w:lvlText w:val="•"/>
      <w:lvlJc w:val="left"/>
      <w:pPr>
        <w:ind w:left="7802" w:hanging="428"/>
      </w:pPr>
      <w:rPr>
        <w:rFonts w:hint="default"/>
      </w:rPr>
    </w:lvl>
  </w:abstractNum>
  <w:abstractNum w:abstractNumId="1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4">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5">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B8D6888"/>
    <w:multiLevelType w:val="hybridMultilevel"/>
    <w:tmpl w:val="1DAA8202"/>
    <w:lvl w:ilvl="0" w:tplc="507C1A66">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7">
    <w:nsid w:val="2EDA248E"/>
    <w:multiLevelType w:val="hybridMultilevel"/>
    <w:tmpl w:val="A3323CDC"/>
    <w:lvl w:ilvl="0" w:tplc="2B26A95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8">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9407D2F"/>
    <w:multiLevelType w:val="multilevel"/>
    <w:tmpl w:val="99D61A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B631689"/>
    <w:multiLevelType w:val="hybridMultilevel"/>
    <w:tmpl w:val="715E89C4"/>
    <w:lvl w:ilvl="0" w:tplc="9FEA7BF2">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5">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2375C7"/>
    <w:multiLevelType w:val="hybridMultilevel"/>
    <w:tmpl w:val="1DD03BCC"/>
    <w:lvl w:ilvl="0" w:tplc="C6125868">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8">
    <w:nsid w:val="5229453F"/>
    <w:multiLevelType w:val="hybridMultilevel"/>
    <w:tmpl w:val="992228E0"/>
    <w:lvl w:ilvl="0" w:tplc="636EFA08">
      <w:numFmt w:val="bullet"/>
      <w:lvlText w:val="-"/>
      <w:lvlJc w:val="left"/>
      <w:pPr>
        <w:ind w:left="907" w:hanging="360"/>
      </w:pPr>
      <w:rPr>
        <w:rFonts w:ascii="Calibri" w:eastAsia="Calibri" w:hAnsi="Calibri" w:cs="Calibri" w:hint="default"/>
      </w:rPr>
    </w:lvl>
    <w:lvl w:ilvl="1" w:tplc="040C0003" w:tentative="1">
      <w:start w:val="1"/>
      <w:numFmt w:val="bullet"/>
      <w:lvlText w:val="o"/>
      <w:lvlJc w:val="left"/>
      <w:pPr>
        <w:ind w:left="1627" w:hanging="360"/>
      </w:pPr>
      <w:rPr>
        <w:rFonts w:ascii="Courier New" w:hAnsi="Courier New" w:cs="Courier New" w:hint="default"/>
      </w:rPr>
    </w:lvl>
    <w:lvl w:ilvl="2" w:tplc="040C0005" w:tentative="1">
      <w:start w:val="1"/>
      <w:numFmt w:val="bullet"/>
      <w:lvlText w:val=""/>
      <w:lvlJc w:val="left"/>
      <w:pPr>
        <w:ind w:left="2347" w:hanging="360"/>
      </w:pPr>
      <w:rPr>
        <w:rFonts w:ascii="Wingdings" w:hAnsi="Wingdings" w:hint="default"/>
      </w:rPr>
    </w:lvl>
    <w:lvl w:ilvl="3" w:tplc="040C0001" w:tentative="1">
      <w:start w:val="1"/>
      <w:numFmt w:val="bullet"/>
      <w:lvlText w:val=""/>
      <w:lvlJc w:val="left"/>
      <w:pPr>
        <w:ind w:left="3067" w:hanging="360"/>
      </w:pPr>
      <w:rPr>
        <w:rFonts w:ascii="Symbol" w:hAnsi="Symbol" w:hint="default"/>
      </w:rPr>
    </w:lvl>
    <w:lvl w:ilvl="4" w:tplc="040C0003" w:tentative="1">
      <w:start w:val="1"/>
      <w:numFmt w:val="bullet"/>
      <w:lvlText w:val="o"/>
      <w:lvlJc w:val="left"/>
      <w:pPr>
        <w:ind w:left="3787" w:hanging="360"/>
      </w:pPr>
      <w:rPr>
        <w:rFonts w:ascii="Courier New" w:hAnsi="Courier New" w:cs="Courier New" w:hint="default"/>
      </w:rPr>
    </w:lvl>
    <w:lvl w:ilvl="5" w:tplc="040C0005" w:tentative="1">
      <w:start w:val="1"/>
      <w:numFmt w:val="bullet"/>
      <w:lvlText w:val=""/>
      <w:lvlJc w:val="left"/>
      <w:pPr>
        <w:ind w:left="4507" w:hanging="360"/>
      </w:pPr>
      <w:rPr>
        <w:rFonts w:ascii="Wingdings" w:hAnsi="Wingdings" w:hint="default"/>
      </w:rPr>
    </w:lvl>
    <w:lvl w:ilvl="6" w:tplc="040C0001" w:tentative="1">
      <w:start w:val="1"/>
      <w:numFmt w:val="bullet"/>
      <w:lvlText w:val=""/>
      <w:lvlJc w:val="left"/>
      <w:pPr>
        <w:ind w:left="5227" w:hanging="360"/>
      </w:pPr>
      <w:rPr>
        <w:rFonts w:ascii="Symbol" w:hAnsi="Symbol" w:hint="default"/>
      </w:rPr>
    </w:lvl>
    <w:lvl w:ilvl="7" w:tplc="040C0003" w:tentative="1">
      <w:start w:val="1"/>
      <w:numFmt w:val="bullet"/>
      <w:lvlText w:val="o"/>
      <w:lvlJc w:val="left"/>
      <w:pPr>
        <w:ind w:left="5947" w:hanging="360"/>
      </w:pPr>
      <w:rPr>
        <w:rFonts w:ascii="Courier New" w:hAnsi="Courier New" w:cs="Courier New" w:hint="default"/>
      </w:rPr>
    </w:lvl>
    <w:lvl w:ilvl="8" w:tplc="040C0005" w:tentative="1">
      <w:start w:val="1"/>
      <w:numFmt w:val="bullet"/>
      <w:lvlText w:val=""/>
      <w:lvlJc w:val="left"/>
      <w:pPr>
        <w:ind w:left="6667" w:hanging="360"/>
      </w:pPr>
      <w:rPr>
        <w:rFonts w:ascii="Wingdings" w:hAnsi="Wingdings" w:hint="default"/>
      </w:rPr>
    </w:lvl>
  </w:abstractNum>
  <w:abstractNum w:abstractNumId="29">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ADF6324"/>
    <w:multiLevelType w:val="hybridMultilevel"/>
    <w:tmpl w:val="570A876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2">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nsid w:val="5C0A3127"/>
    <w:multiLevelType w:val="hybridMultilevel"/>
    <w:tmpl w:val="E2A687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5">
    <w:nsid w:val="5FC96209"/>
    <w:multiLevelType w:val="hybridMultilevel"/>
    <w:tmpl w:val="6D1C5C92"/>
    <w:lvl w:ilvl="0" w:tplc="E47E757A">
      <w:start w:val="1"/>
      <w:numFmt w:val="lowerLetter"/>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36">
    <w:nsid w:val="60C9470C"/>
    <w:multiLevelType w:val="hybridMultilevel"/>
    <w:tmpl w:val="9CC601A8"/>
    <w:lvl w:ilvl="0" w:tplc="D5D605D2">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7">
    <w:nsid w:val="65A24F91"/>
    <w:multiLevelType w:val="hybridMultilevel"/>
    <w:tmpl w:val="CC1C0E26"/>
    <w:lvl w:ilvl="0" w:tplc="3E48D884">
      <w:numFmt w:val="bullet"/>
      <w:lvlText w:val="-"/>
      <w:lvlJc w:val="left"/>
      <w:pPr>
        <w:ind w:left="907" w:hanging="360"/>
      </w:pPr>
      <w:rPr>
        <w:rFonts w:ascii="Calibri" w:eastAsia="Calibri" w:hAnsi="Calibri" w:cs="Calibri" w:hint="default"/>
      </w:rPr>
    </w:lvl>
    <w:lvl w:ilvl="1" w:tplc="040C0003" w:tentative="1">
      <w:start w:val="1"/>
      <w:numFmt w:val="bullet"/>
      <w:lvlText w:val="o"/>
      <w:lvlJc w:val="left"/>
      <w:pPr>
        <w:ind w:left="1627" w:hanging="360"/>
      </w:pPr>
      <w:rPr>
        <w:rFonts w:ascii="Courier New" w:hAnsi="Courier New" w:cs="Courier New" w:hint="default"/>
      </w:rPr>
    </w:lvl>
    <w:lvl w:ilvl="2" w:tplc="040C0005" w:tentative="1">
      <w:start w:val="1"/>
      <w:numFmt w:val="bullet"/>
      <w:lvlText w:val=""/>
      <w:lvlJc w:val="left"/>
      <w:pPr>
        <w:ind w:left="2347" w:hanging="360"/>
      </w:pPr>
      <w:rPr>
        <w:rFonts w:ascii="Wingdings" w:hAnsi="Wingdings" w:hint="default"/>
      </w:rPr>
    </w:lvl>
    <w:lvl w:ilvl="3" w:tplc="040C0001" w:tentative="1">
      <w:start w:val="1"/>
      <w:numFmt w:val="bullet"/>
      <w:lvlText w:val=""/>
      <w:lvlJc w:val="left"/>
      <w:pPr>
        <w:ind w:left="3067" w:hanging="360"/>
      </w:pPr>
      <w:rPr>
        <w:rFonts w:ascii="Symbol" w:hAnsi="Symbol" w:hint="default"/>
      </w:rPr>
    </w:lvl>
    <w:lvl w:ilvl="4" w:tplc="040C0003" w:tentative="1">
      <w:start w:val="1"/>
      <w:numFmt w:val="bullet"/>
      <w:lvlText w:val="o"/>
      <w:lvlJc w:val="left"/>
      <w:pPr>
        <w:ind w:left="3787" w:hanging="360"/>
      </w:pPr>
      <w:rPr>
        <w:rFonts w:ascii="Courier New" w:hAnsi="Courier New" w:cs="Courier New" w:hint="default"/>
      </w:rPr>
    </w:lvl>
    <w:lvl w:ilvl="5" w:tplc="040C0005" w:tentative="1">
      <w:start w:val="1"/>
      <w:numFmt w:val="bullet"/>
      <w:lvlText w:val=""/>
      <w:lvlJc w:val="left"/>
      <w:pPr>
        <w:ind w:left="4507" w:hanging="360"/>
      </w:pPr>
      <w:rPr>
        <w:rFonts w:ascii="Wingdings" w:hAnsi="Wingdings" w:hint="default"/>
      </w:rPr>
    </w:lvl>
    <w:lvl w:ilvl="6" w:tplc="040C0001" w:tentative="1">
      <w:start w:val="1"/>
      <w:numFmt w:val="bullet"/>
      <w:lvlText w:val=""/>
      <w:lvlJc w:val="left"/>
      <w:pPr>
        <w:ind w:left="5227" w:hanging="360"/>
      </w:pPr>
      <w:rPr>
        <w:rFonts w:ascii="Symbol" w:hAnsi="Symbol" w:hint="default"/>
      </w:rPr>
    </w:lvl>
    <w:lvl w:ilvl="7" w:tplc="040C0003" w:tentative="1">
      <w:start w:val="1"/>
      <w:numFmt w:val="bullet"/>
      <w:lvlText w:val="o"/>
      <w:lvlJc w:val="left"/>
      <w:pPr>
        <w:ind w:left="5947" w:hanging="360"/>
      </w:pPr>
      <w:rPr>
        <w:rFonts w:ascii="Courier New" w:hAnsi="Courier New" w:cs="Courier New" w:hint="default"/>
      </w:rPr>
    </w:lvl>
    <w:lvl w:ilvl="8" w:tplc="040C0005" w:tentative="1">
      <w:start w:val="1"/>
      <w:numFmt w:val="bullet"/>
      <w:lvlText w:val=""/>
      <w:lvlJc w:val="left"/>
      <w:pPr>
        <w:ind w:left="6667" w:hanging="360"/>
      </w:pPr>
      <w:rPr>
        <w:rFonts w:ascii="Wingdings" w:hAnsi="Wingdings" w:hint="default"/>
      </w:rPr>
    </w:lvl>
  </w:abstractNum>
  <w:abstractNum w:abstractNumId="38">
    <w:nsid w:val="672A01B2"/>
    <w:multiLevelType w:val="hybridMultilevel"/>
    <w:tmpl w:val="87FA26B2"/>
    <w:lvl w:ilvl="0" w:tplc="880007C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1">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9"/>
  </w:num>
  <w:num w:numId="7">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
  </w:num>
  <w:num w:numId="13">
    <w:abstractNumId w:val="22"/>
  </w:num>
  <w:num w:numId="14">
    <w:abstractNumId w:val="15"/>
  </w:num>
  <w:num w:numId="15">
    <w:abstractNumId w:val="3"/>
  </w:num>
  <w:num w:numId="16">
    <w:abstractNumId w:val="19"/>
  </w:num>
  <w:num w:numId="17">
    <w:abstractNumId w:val="26"/>
  </w:num>
  <w:num w:numId="18">
    <w:abstractNumId w:val="42"/>
  </w:num>
  <w:num w:numId="19">
    <w:abstractNumId w:val="41"/>
  </w:num>
  <w:num w:numId="20">
    <w:abstractNumId w:val="31"/>
  </w:num>
  <w:num w:numId="21">
    <w:abstractNumId w:val="34"/>
  </w:num>
  <w:num w:numId="22">
    <w:abstractNumId w:val="20"/>
  </w:num>
  <w:num w:numId="23">
    <w:abstractNumId w:val="29"/>
  </w:num>
  <w:num w:numId="24">
    <w:abstractNumId w:val="25"/>
  </w:num>
  <w:num w:numId="25">
    <w:abstractNumId w:val="40"/>
  </w:num>
  <w:num w:numId="26">
    <w:abstractNumId w:val="12"/>
  </w:num>
  <w:num w:numId="27">
    <w:abstractNumId w:val="0"/>
  </w:num>
  <w:num w:numId="28">
    <w:abstractNumId w:val="14"/>
  </w:num>
  <w:num w:numId="29">
    <w:abstractNumId w:val="5"/>
  </w:num>
  <w:num w:numId="30">
    <w:abstractNumId w:val="4"/>
  </w:num>
  <w:num w:numId="31">
    <w:abstractNumId w:val="36"/>
  </w:num>
  <w:num w:numId="32">
    <w:abstractNumId w:val="27"/>
  </w:num>
  <w:num w:numId="33">
    <w:abstractNumId w:val="24"/>
  </w:num>
  <w:num w:numId="34">
    <w:abstractNumId w:val="16"/>
  </w:num>
  <w:num w:numId="35">
    <w:abstractNumId w:val="9"/>
  </w:num>
  <w:num w:numId="36">
    <w:abstractNumId w:val="37"/>
  </w:num>
  <w:num w:numId="37">
    <w:abstractNumId w:val="28"/>
  </w:num>
  <w:num w:numId="38">
    <w:abstractNumId w:val="23"/>
  </w:num>
  <w:num w:numId="39">
    <w:abstractNumId w:val="38"/>
  </w:num>
  <w:num w:numId="40">
    <w:abstractNumId w:val="35"/>
  </w:num>
  <w:num w:numId="41">
    <w:abstractNumId w:val="2"/>
  </w:num>
  <w:num w:numId="42">
    <w:abstractNumId w:val="17"/>
  </w:num>
  <w:num w:numId="43">
    <w:abstractNumId w:val="30"/>
  </w:num>
  <w:num w:numId="44">
    <w:abstractNumId w:val="33"/>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86"/>
    <w:rsid w:val="00001735"/>
    <w:rsid w:val="00002B52"/>
    <w:rsid w:val="000037BB"/>
    <w:rsid w:val="0000673A"/>
    <w:rsid w:val="00014168"/>
    <w:rsid w:val="00017A16"/>
    <w:rsid w:val="00026E09"/>
    <w:rsid w:val="00027880"/>
    <w:rsid w:val="00035824"/>
    <w:rsid w:val="00037CE0"/>
    <w:rsid w:val="00043687"/>
    <w:rsid w:val="00043F6C"/>
    <w:rsid w:val="00047F0B"/>
    <w:rsid w:val="00050684"/>
    <w:rsid w:val="000515F3"/>
    <w:rsid w:val="00053929"/>
    <w:rsid w:val="00054588"/>
    <w:rsid w:val="000545FE"/>
    <w:rsid w:val="000559F6"/>
    <w:rsid w:val="00070271"/>
    <w:rsid w:val="00074DE8"/>
    <w:rsid w:val="0008017C"/>
    <w:rsid w:val="00084345"/>
    <w:rsid w:val="0008558F"/>
    <w:rsid w:val="00086D29"/>
    <w:rsid w:val="00094B2D"/>
    <w:rsid w:val="000A0BA6"/>
    <w:rsid w:val="000A23E6"/>
    <w:rsid w:val="000A3E3E"/>
    <w:rsid w:val="000B5976"/>
    <w:rsid w:val="000B5E36"/>
    <w:rsid w:val="000C2489"/>
    <w:rsid w:val="000C24A6"/>
    <w:rsid w:val="000D5C76"/>
    <w:rsid w:val="000D7A25"/>
    <w:rsid w:val="000E0A0C"/>
    <w:rsid w:val="000E1EFA"/>
    <w:rsid w:val="000E2FA0"/>
    <w:rsid w:val="000E43E7"/>
    <w:rsid w:val="000E47E9"/>
    <w:rsid w:val="000E5C4A"/>
    <w:rsid w:val="000E7F5A"/>
    <w:rsid w:val="00102C2D"/>
    <w:rsid w:val="00104C57"/>
    <w:rsid w:val="0011341E"/>
    <w:rsid w:val="00113669"/>
    <w:rsid w:val="00115078"/>
    <w:rsid w:val="00115F7F"/>
    <w:rsid w:val="00116740"/>
    <w:rsid w:val="0012096C"/>
    <w:rsid w:val="00127828"/>
    <w:rsid w:val="00127F25"/>
    <w:rsid w:val="001318E0"/>
    <w:rsid w:val="001364E6"/>
    <w:rsid w:val="00140936"/>
    <w:rsid w:val="00142170"/>
    <w:rsid w:val="00144437"/>
    <w:rsid w:val="00152340"/>
    <w:rsid w:val="00152A89"/>
    <w:rsid w:val="00154481"/>
    <w:rsid w:val="001554D1"/>
    <w:rsid w:val="00161BDA"/>
    <w:rsid w:val="00171618"/>
    <w:rsid w:val="0017258E"/>
    <w:rsid w:val="001753DF"/>
    <w:rsid w:val="001819B1"/>
    <w:rsid w:val="00184D20"/>
    <w:rsid w:val="00192C72"/>
    <w:rsid w:val="00195725"/>
    <w:rsid w:val="00196D8A"/>
    <w:rsid w:val="001A2D10"/>
    <w:rsid w:val="001B3501"/>
    <w:rsid w:val="001B3567"/>
    <w:rsid w:val="001C5E41"/>
    <w:rsid w:val="001C77BC"/>
    <w:rsid w:val="001D377D"/>
    <w:rsid w:val="001D48BB"/>
    <w:rsid w:val="001D59BC"/>
    <w:rsid w:val="001D5D73"/>
    <w:rsid w:val="001E00E3"/>
    <w:rsid w:val="001E3E41"/>
    <w:rsid w:val="001E5EC8"/>
    <w:rsid w:val="001E613D"/>
    <w:rsid w:val="001E78D9"/>
    <w:rsid w:val="001E7FE1"/>
    <w:rsid w:val="001F2349"/>
    <w:rsid w:val="001F4718"/>
    <w:rsid w:val="001F4DDA"/>
    <w:rsid w:val="002005D2"/>
    <w:rsid w:val="00200A5F"/>
    <w:rsid w:val="0020298B"/>
    <w:rsid w:val="00203352"/>
    <w:rsid w:val="00206111"/>
    <w:rsid w:val="00210AF1"/>
    <w:rsid w:val="0021231B"/>
    <w:rsid w:val="002137E0"/>
    <w:rsid w:val="00215F1A"/>
    <w:rsid w:val="00221A3D"/>
    <w:rsid w:val="00224F6C"/>
    <w:rsid w:val="00225E16"/>
    <w:rsid w:val="002334DA"/>
    <w:rsid w:val="00245171"/>
    <w:rsid w:val="0024641B"/>
    <w:rsid w:val="00253AD8"/>
    <w:rsid w:val="00255E00"/>
    <w:rsid w:val="00257935"/>
    <w:rsid w:val="002741AC"/>
    <w:rsid w:val="00275F13"/>
    <w:rsid w:val="002774F1"/>
    <w:rsid w:val="002800B0"/>
    <w:rsid w:val="00280B69"/>
    <w:rsid w:val="002819C0"/>
    <w:rsid w:val="00287E74"/>
    <w:rsid w:val="00292E9A"/>
    <w:rsid w:val="00295556"/>
    <w:rsid w:val="00295BB5"/>
    <w:rsid w:val="002976A2"/>
    <w:rsid w:val="002A3794"/>
    <w:rsid w:val="002A5A4D"/>
    <w:rsid w:val="002B09A3"/>
    <w:rsid w:val="002B4262"/>
    <w:rsid w:val="002D0A78"/>
    <w:rsid w:val="002D2DEF"/>
    <w:rsid w:val="002D5A4D"/>
    <w:rsid w:val="002E22AF"/>
    <w:rsid w:val="002E625C"/>
    <w:rsid w:val="002F2DAE"/>
    <w:rsid w:val="002F777F"/>
    <w:rsid w:val="00300B22"/>
    <w:rsid w:val="00300B74"/>
    <w:rsid w:val="003049EE"/>
    <w:rsid w:val="0032078D"/>
    <w:rsid w:val="00324398"/>
    <w:rsid w:val="00324E19"/>
    <w:rsid w:val="00330993"/>
    <w:rsid w:val="00331E75"/>
    <w:rsid w:val="00332A8F"/>
    <w:rsid w:val="00342B01"/>
    <w:rsid w:val="0034705C"/>
    <w:rsid w:val="0036112F"/>
    <w:rsid w:val="003628BA"/>
    <w:rsid w:val="00366485"/>
    <w:rsid w:val="003709C3"/>
    <w:rsid w:val="00375FCC"/>
    <w:rsid w:val="00380EC6"/>
    <w:rsid w:val="0038459F"/>
    <w:rsid w:val="00384FC3"/>
    <w:rsid w:val="0038537F"/>
    <w:rsid w:val="00385BFA"/>
    <w:rsid w:val="00397FF9"/>
    <w:rsid w:val="003A0946"/>
    <w:rsid w:val="003A0F32"/>
    <w:rsid w:val="003A145B"/>
    <w:rsid w:val="003A3804"/>
    <w:rsid w:val="003A4D34"/>
    <w:rsid w:val="003A52BE"/>
    <w:rsid w:val="003A5866"/>
    <w:rsid w:val="003A6A13"/>
    <w:rsid w:val="003A6E9F"/>
    <w:rsid w:val="003B0680"/>
    <w:rsid w:val="003B37AC"/>
    <w:rsid w:val="003C40FB"/>
    <w:rsid w:val="003C5A76"/>
    <w:rsid w:val="003C5EDB"/>
    <w:rsid w:val="003C6DC2"/>
    <w:rsid w:val="003C7CC4"/>
    <w:rsid w:val="003C7EBA"/>
    <w:rsid w:val="003D4CD6"/>
    <w:rsid w:val="003E2BD2"/>
    <w:rsid w:val="003F1522"/>
    <w:rsid w:val="003F5A29"/>
    <w:rsid w:val="00401204"/>
    <w:rsid w:val="00402A2F"/>
    <w:rsid w:val="004041FA"/>
    <w:rsid w:val="0040477E"/>
    <w:rsid w:val="00414576"/>
    <w:rsid w:val="0041739A"/>
    <w:rsid w:val="004228C7"/>
    <w:rsid w:val="00425795"/>
    <w:rsid w:val="00427597"/>
    <w:rsid w:val="0042798B"/>
    <w:rsid w:val="004317F5"/>
    <w:rsid w:val="00432B9E"/>
    <w:rsid w:val="00433599"/>
    <w:rsid w:val="00433ABF"/>
    <w:rsid w:val="0043429E"/>
    <w:rsid w:val="00434913"/>
    <w:rsid w:val="00447020"/>
    <w:rsid w:val="004474F8"/>
    <w:rsid w:val="004511D8"/>
    <w:rsid w:val="00453475"/>
    <w:rsid w:val="0046274A"/>
    <w:rsid w:val="00462CC1"/>
    <w:rsid w:val="00462F31"/>
    <w:rsid w:val="004667D7"/>
    <w:rsid w:val="00475DB6"/>
    <w:rsid w:val="00477550"/>
    <w:rsid w:val="004775FD"/>
    <w:rsid w:val="0048010C"/>
    <w:rsid w:val="00481916"/>
    <w:rsid w:val="0048290F"/>
    <w:rsid w:val="004844A8"/>
    <w:rsid w:val="00485FA9"/>
    <w:rsid w:val="004917DE"/>
    <w:rsid w:val="00493B4F"/>
    <w:rsid w:val="00495477"/>
    <w:rsid w:val="00496803"/>
    <w:rsid w:val="00497723"/>
    <w:rsid w:val="004A03D3"/>
    <w:rsid w:val="004A30D4"/>
    <w:rsid w:val="004A3F01"/>
    <w:rsid w:val="004A475B"/>
    <w:rsid w:val="004A5F5B"/>
    <w:rsid w:val="004A7403"/>
    <w:rsid w:val="004B18A0"/>
    <w:rsid w:val="004B2D2C"/>
    <w:rsid w:val="004B5A34"/>
    <w:rsid w:val="004B6688"/>
    <w:rsid w:val="004B6B4E"/>
    <w:rsid w:val="004B7276"/>
    <w:rsid w:val="004C2F96"/>
    <w:rsid w:val="004C41DE"/>
    <w:rsid w:val="004C50D6"/>
    <w:rsid w:val="004D1BBF"/>
    <w:rsid w:val="004D75A9"/>
    <w:rsid w:val="004F6425"/>
    <w:rsid w:val="004F777E"/>
    <w:rsid w:val="00503402"/>
    <w:rsid w:val="00504B4E"/>
    <w:rsid w:val="00512493"/>
    <w:rsid w:val="00513890"/>
    <w:rsid w:val="00515C6D"/>
    <w:rsid w:val="0051640B"/>
    <w:rsid w:val="00517F3D"/>
    <w:rsid w:val="005214A8"/>
    <w:rsid w:val="005244A4"/>
    <w:rsid w:val="005261C9"/>
    <w:rsid w:val="00526D4F"/>
    <w:rsid w:val="00527783"/>
    <w:rsid w:val="00530F36"/>
    <w:rsid w:val="005352E6"/>
    <w:rsid w:val="00535C1D"/>
    <w:rsid w:val="00535CA9"/>
    <w:rsid w:val="005375FA"/>
    <w:rsid w:val="00546A0D"/>
    <w:rsid w:val="00546D9F"/>
    <w:rsid w:val="00547F19"/>
    <w:rsid w:val="005509E0"/>
    <w:rsid w:val="0055500B"/>
    <w:rsid w:val="00555150"/>
    <w:rsid w:val="005558D7"/>
    <w:rsid w:val="0056287A"/>
    <w:rsid w:val="00563604"/>
    <w:rsid w:val="00564549"/>
    <w:rsid w:val="00566733"/>
    <w:rsid w:val="00574B36"/>
    <w:rsid w:val="00575644"/>
    <w:rsid w:val="0057586B"/>
    <w:rsid w:val="00576C9C"/>
    <w:rsid w:val="00581219"/>
    <w:rsid w:val="005814B5"/>
    <w:rsid w:val="00584A66"/>
    <w:rsid w:val="00587A55"/>
    <w:rsid w:val="00593D88"/>
    <w:rsid w:val="00593E83"/>
    <w:rsid w:val="005A6C06"/>
    <w:rsid w:val="005A71F7"/>
    <w:rsid w:val="005B0EBF"/>
    <w:rsid w:val="005C336A"/>
    <w:rsid w:val="005C5A2B"/>
    <w:rsid w:val="005C6B2A"/>
    <w:rsid w:val="005D3E9D"/>
    <w:rsid w:val="005D4BFA"/>
    <w:rsid w:val="005D794B"/>
    <w:rsid w:val="005E7EC6"/>
    <w:rsid w:val="005F099E"/>
    <w:rsid w:val="005F719C"/>
    <w:rsid w:val="0060432C"/>
    <w:rsid w:val="00604AED"/>
    <w:rsid w:val="00605EF1"/>
    <w:rsid w:val="006062B9"/>
    <w:rsid w:val="0060720F"/>
    <w:rsid w:val="00617A2D"/>
    <w:rsid w:val="00621137"/>
    <w:rsid w:val="006256D3"/>
    <w:rsid w:val="006263BE"/>
    <w:rsid w:val="00627BB7"/>
    <w:rsid w:val="00644A13"/>
    <w:rsid w:val="0065136E"/>
    <w:rsid w:val="006526C3"/>
    <w:rsid w:val="00652BB6"/>
    <w:rsid w:val="0066183B"/>
    <w:rsid w:val="006662D3"/>
    <w:rsid w:val="00670212"/>
    <w:rsid w:val="00670D71"/>
    <w:rsid w:val="006771F3"/>
    <w:rsid w:val="00685E4D"/>
    <w:rsid w:val="006917CE"/>
    <w:rsid w:val="00697244"/>
    <w:rsid w:val="006A5629"/>
    <w:rsid w:val="006A5932"/>
    <w:rsid w:val="006A6327"/>
    <w:rsid w:val="006A65FA"/>
    <w:rsid w:val="006C30D2"/>
    <w:rsid w:val="006D430C"/>
    <w:rsid w:val="006D71E0"/>
    <w:rsid w:val="006E2AE7"/>
    <w:rsid w:val="006E4C28"/>
    <w:rsid w:val="006E7C00"/>
    <w:rsid w:val="006E7DCE"/>
    <w:rsid w:val="006F07EA"/>
    <w:rsid w:val="006F26EC"/>
    <w:rsid w:val="006F5FF0"/>
    <w:rsid w:val="007035E9"/>
    <w:rsid w:val="007050FF"/>
    <w:rsid w:val="0070741A"/>
    <w:rsid w:val="00713917"/>
    <w:rsid w:val="0071409C"/>
    <w:rsid w:val="0071768F"/>
    <w:rsid w:val="0072447B"/>
    <w:rsid w:val="00737D3A"/>
    <w:rsid w:val="00752764"/>
    <w:rsid w:val="00765F63"/>
    <w:rsid w:val="00766962"/>
    <w:rsid w:val="007729A6"/>
    <w:rsid w:val="00775287"/>
    <w:rsid w:val="007810B7"/>
    <w:rsid w:val="00783A4F"/>
    <w:rsid w:val="00797569"/>
    <w:rsid w:val="007A5F59"/>
    <w:rsid w:val="007C04F3"/>
    <w:rsid w:val="007C0595"/>
    <w:rsid w:val="007C0A88"/>
    <w:rsid w:val="007C7711"/>
    <w:rsid w:val="007D204F"/>
    <w:rsid w:val="007D33F4"/>
    <w:rsid w:val="007D4B10"/>
    <w:rsid w:val="007D55B7"/>
    <w:rsid w:val="007E00CA"/>
    <w:rsid w:val="007E15CC"/>
    <w:rsid w:val="007E1EB4"/>
    <w:rsid w:val="007E1F37"/>
    <w:rsid w:val="007F33DC"/>
    <w:rsid w:val="007F3ABE"/>
    <w:rsid w:val="007F53B3"/>
    <w:rsid w:val="007F56D5"/>
    <w:rsid w:val="007F578A"/>
    <w:rsid w:val="007F5AC3"/>
    <w:rsid w:val="008108BD"/>
    <w:rsid w:val="00814271"/>
    <w:rsid w:val="00817804"/>
    <w:rsid w:val="00820B50"/>
    <w:rsid w:val="00826870"/>
    <w:rsid w:val="008314BC"/>
    <w:rsid w:val="008328E9"/>
    <w:rsid w:val="00834D43"/>
    <w:rsid w:val="00835BCB"/>
    <w:rsid w:val="00835CDC"/>
    <w:rsid w:val="0083679E"/>
    <w:rsid w:val="00837229"/>
    <w:rsid w:val="00843158"/>
    <w:rsid w:val="00843C7C"/>
    <w:rsid w:val="00847296"/>
    <w:rsid w:val="00850894"/>
    <w:rsid w:val="00850B09"/>
    <w:rsid w:val="008554A4"/>
    <w:rsid w:val="008556E3"/>
    <w:rsid w:val="00863B9D"/>
    <w:rsid w:val="00863BE6"/>
    <w:rsid w:val="00864739"/>
    <w:rsid w:val="00864EFB"/>
    <w:rsid w:val="008653F3"/>
    <w:rsid w:val="008672DA"/>
    <w:rsid w:val="00867988"/>
    <w:rsid w:val="00870060"/>
    <w:rsid w:val="008739F7"/>
    <w:rsid w:val="00874155"/>
    <w:rsid w:val="008775BC"/>
    <w:rsid w:val="00882108"/>
    <w:rsid w:val="00882F1B"/>
    <w:rsid w:val="0088319C"/>
    <w:rsid w:val="008837C1"/>
    <w:rsid w:val="008917BB"/>
    <w:rsid w:val="00897A9D"/>
    <w:rsid w:val="008A1B8F"/>
    <w:rsid w:val="008A70CE"/>
    <w:rsid w:val="008B168D"/>
    <w:rsid w:val="008B2D0F"/>
    <w:rsid w:val="008B2F1A"/>
    <w:rsid w:val="008B3DE9"/>
    <w:rsid w:val="008B4E88"/>
    <w:rsid w:val="008B68E5"/>
    <w:rsid w:val="008C25E4"/>
    <w:rsid w:val="008C2DAE"/>
    <w:rsid w:val="008C5818"/>
    <w:rsid w:val="008C6D60"/>
    <w:rsid w:val="008D44C1"/>
    <w:rsid w:val="008D4D9C"/>
    <w:rsid w:val="008E3844"/>
    <w:rsid w:val="0090537A"/>
    <w:rsid w:val="009059A9"/>
    <w:rsid w:val="00915BCC"/>
    <w:rsid w:val="009173D4"/>
    <w:rsid w:val="009210BF"/>
    <w:rsid w:val="009215D0"/>
    <w:rsid w:val="00921FC4"/>
    <w:rsid w:val="00924F28"/>
    <w:rsid w:val="0092515E"/>
    <w:rsid w:val="00932741"/>
    <w:rsid w:val="009330EE"/>
    <w:rsid w:val="00936962"/>
    <w:rsid w:val="00942FBD"/>
    <w:rsid w:val="00944CD5"/>
    <w:rsid w:val="00945EC3"/>
    <w:rsid w:val="00947333"/>
    <w:rsid w:val="0094770B"/>
    <w:rsid w:val="009556A4"/>
    <w:rsid w:val="009570C3"/>
    <w:rsid w:val="009622AB"/>
    <w:rsid w:val="00962CF8"/>
    <w:rsid w:val="00964F7B"/>
    <w:rsid w:val="00973256"/>
    <w:rsid w:val="00975C1C"/>
    <w:rsid w:val="009823CD"/>
    <w:rsid w:val="009839D4"/>
    <w:rsid w:val="0098635C"/>
    <w:rsid w:val="009923F0"/>
    <w:rsid w:val="00996053"/>
    <w:rsid w:val="009A4B16"/>
    <w:rsid w:val="009A50F6"/>
    <w:rsid w:val="009A787F"/>
    <w:rsid w:val="009B2267"/>
    <w:rsid w:val="009B240C"/>
    <w:rsid w:val="009B2E3B"/>
    <w:rsid w:val="009C6783"/>
    <w:rsid w:val="009E0AE8"/>
    <w:rsid w:val="009E5374"/>
    <w:rsid w:val="009F0C64"/>
    <w:rsid w:val="009F345D"/>
    <w:rsid w:val="009F649F"/>
    <w:rsid w:val="009F6641"/>
    <w:rsid w:val="00A04F8C"/>
    <w:rsid w:val="00A06DA0"/>
    <w:rsid w:val="00A10400"/>
    <w:rsid w:val="00A13218"/>
    <w:rsid w:val="00A227A3"/>
    <w:rsid w:val="00A2328C"/>
    <w:rsid w:val="00A25B0F"/>
    <w:rsid w:val="00A3567A"/>
    <w:rsid w:val="00A426D5"/>
    <w:rsid w:val="00A42E63"/>
    <w:rsid w:val="00A60B73"/>
    <w:rsid w:val="00A80069"/>
    <w:rsid w:val="00A80080"/>
    <w:rsid w:val="00A822DC"/>
    <w:rsid w:val="00A92960"/>
    <w:rsid w:val="00A958D9"/>
    <w:rsid w:val="00A978A7"/>
    <w:rsid w:val="00AA5995"/>
    <w:rsid w:val="00AB4951"/>
    <w:rsid w:val="00AB6479"/>
    <w:rsid w:val="00AD7A3B"/>
    <w:rsid w:val="00AD7C44"/>
    <w:rsid w:val="00AE17B0"/>
    <w:rsid w:val="00AE258F"/>
    <w:rsid w:val="00AE5C42"/>
    <w:rsid w:val="00AF44D3"/>
    <w:rsid w:val="00AF794B"/>
    <w:rsid w:val="00B10468"/>
    <w:rsid w:val="00B1111B"/>
    <w:rsid w:val="00B11441"/>
    <w:rsid w:val="00B119F5"/>
    <w:rsid w:val="00B15F51"/>
    <w:rsid w:val="00B16D9D"/>
    <w:rsid w:val="00B16E5D"/>
    <w:rsid w:val="00B21A0F"/>
    <w:rsid w:val="00B225CF"/>
    <w:rsid w:val="00B24F75"/>
    <w:rsid w:val="00B26AC8"/>
    <w:rsid w:val="00B270C7"/>
    <w:rsid w:val="00B27D4A"/>
    <w:rsid w:val="00B306A1"/>
    <w:rsid w:val="00B31515"/>
    <w:rsid w:val="00B315A0"/>
    <w:rsid w:val="00B322EE"/>
    <w:rsid w:val="00B33772"/>
    <w:rsid w:val="00B34A18"/>
    <w:rsid w:val="00B40452"/>
    <w:rsid w:val="00B451EB"/>
    <w:rsid w:val="00B45DD6"/>
    <w:rsid w:val="00B4642B"/>
    <w:rsid w:val="00B468CE"/>
    <w:rsid w:val="00B579CB"/>
    <w:rsid w:val="00B57A7C"/>
    <w:rsid w:val="00B626CD"/>
    <w:rsid w:val="00B62741"/>
    <w:rsid w:val="00B630AB"/>
    <w:rsid w:val="00B70083"/>
    <w:rsid w:val="00B7307A"/>
    <w:rsid w:val="00B76AEA"/>
    <w:rsid w:val="00B85963"/>
    <w:rsid w:val="00B92319"/>
    <w:rsid w:val="00B968CD"/>
    <w:rsid w:val="00BA03E7"/>
    <w:rsid w:val="00BB28F6"/>
    <w:rsid w:val="00BB3481"/>
    <w:rsid w:val="00BB41D4"/>
    <w:rsid w:val="00BC2609"/>
    <w:rsid w:val="00BC3517"/>
    <w:rsid w:val="00BD3CB9"/>
    <w:rsid w:val="00BD42D5"/>
    <w:rsid w:val="00BD59AB"/>
    <w:rsid w:val="00BD79BD"/>
    <w:rsid w:val="00BF04CF"/>
    <w:rsid w:val="00BF633F"/>
    <w:rsid w:val="00BF6F46"/>
    <w:rsid w:val="00BF73E3"/>
    <w:rsid w:val="00BF7A4E"/>
    <w:rsid w:val="00C0046E"/>
    <w:rsid w:val="00C0054E"/>
    <w:rsid w:val="00C069E4"/>
    <w:rsid w:val="00C13145"/>
    <w:rsid w:val="00C146C7"/>
    <w:rsid w:val="00C213F5"/>
    <w:rsid w:val="00C23238"/>
    <w:rsid w:val="00C31BEE"/>
    <w:rsid w:val="00C356F8"/>
    <w:rsid w:val="00C40D7B"/>
    <w:rsid w:val="00C454D5"/>
    <w:rsid w:val="00C5099D"/>
    <w:rsid w:val="00C53297"/>
    <w:rsid w:val="00C60BF3"/>
    <w:rsid w:val="00C6619D"/>
    <w:rsid w:val="00C74496"/>
    <w:rsid w:val="00C85B7B"/>
    <w:rsid w:val="00C8628B"/>
    <w:rsid w:val="00C9457F"/>
    <w:rsid w:val="00C951B5"/>
    <w:rsid w:val="00C9538D"/>
    <w:rsid w:val="00CA0185"/>
    <w:rsid w:val="00CA2B6A"/>
    <w:rsid w:val="00CA3345"/>
    <w:rsid w:val="00CA49F4"/>
    <w:rsid w:val="00CA5FCD"/>
    <w:rsid w:val="00CA7C23"/>
    <w:rsid w:val="00CB78E1"/>
    <w:rsid w:val="00CC7618"/>
    <w:rsid w:val="00CC7C98"/>
    <w:rsid w:val="00CD2E7F"/>
    <w:rsid w:val="00CE0918"/>
    <w:rsid w:val="00CE3FB4"/>
    <w:rsid w:val="00CE5D67"/>
    <w:rsid w:val="00CE6954"/>
    <w:rsid w:val="00CE750F"/>
    <w:rsid w:val="00CE77D2"/>
    <w:rsid w:val="00CF424A"/>
    <w:rsid w:val="00CF70B7"/>
    <w:rsid w:val="00D036E6"/>
    <w:rsid w:val="00D03FFC"/>
    <w:rsid w:val="00D160CB"/>
    <w:rsid w:val="00D20554"/>
    <w:rsid w:val="00D22924"/>
    <w:rsid w:val="00D245A1"/>
    <w:rsid w:val="00D260E5"/>
    <w:rsid w:val="00D26352"/>
    <w:rsid w:val="00D34F82"/>
    <w:rsid w:val="00D376FD"/>
    <w:rsid w:val="00D415E2"/>
    <w:rsid w:val="00D41E38"/>
    <w:rsid w:val="00D42055"/>
    <w:rsid w:val="00D473A8"/>
    <w:rsid w:val="00D47544"/>
    <w:rsid w:val="00D47561"/>
    <w:rsid w:val="00D57270"/>
    <w:rsid w:val="00D60902"/>
    <w:rsid w:val="00D622D7"/>
    <w:rsid w:val="00D63B5F"/>
    <w:rsid w:val="00D647C3"/>
    <w:rsid w:val="00D7005A"/>
    <w:rsid w:val="00D7109B"/>
    <w:rsid w:val="00D73C9F"/>
    <w:rsid w:val="00D7405C"/>
    <w:rsid w:val="00D74E54"/>
    <w:rsid w:val="00D75864"/>
    <w:rsid w:val="00D84F8C"/>
    <w:rsid w:val="00D87670"/>
    <w:rsid w:val="00D90DE6"/>
    <w:rsid w:val="00D9633A"/>
    <w:rsid w:val="00DA078C"/>
    <w:rsid w:val="00DA2E73"/>
    <w:rsid w:val="00DB14A5"/>
    <w:rsid w:val="00DB201E"/>
    <w:rsid w:val="00DB3C70"/>
    <w:rsid w:val="00DB45A0"/>
    <w:rsid w:val="00DB575A"/>
    <w:rsid w:val="00DC22FE"/>
    <w:rsid w:val="00DC401F"/>
    <w:rsid w:val="00DC442A"/>
    <w:rsid w:val="00DC6EF9"/>
    <w:rsid w:val="00DD421F"/>
    <w:rsid w:val="00DD4EA1"/>
    <w:rsid w:val="00DD6118"/>
    <w:rsid w:val="00DE18C3"/>
    <w:rsid w:val="00DF2386"/>
    <w:rsid w:val="00DF24E6"/>
    <w:rsid w:val="00DF669C"/>
    <w:rsid w:val="00DF7FE7"/>
    <w:rsid w:val="00E04309"/>
    <w:rsid w:val="00E05C73"/>
    <w:rsid w:val="00E12F7E"/>
    <w:rsid w:val="00E144A6"/>
    <w:rsid w:val="00E31F1B"/>
    <w:rsid w:val="00E33ADB"/>
    <w:rsid w:val="00E37DA5"/>
    <w:rsid w:val="00E46367"/>
    <w:rsid w:val="00E463A6"/>
    <w:rsid w:val="00E52600"/>
    <w:rsid w:val="00E610FF"/>
    <w:rsid w:val="00E63F0B"/>
    <w:rsid w:val="00E6621D"/>
    <w:rsid w:val="00E7399C"/>
    <w:rsid w:val="00E800A3"/>
    <w:rsid w:val="00E85A06"/>
    <w:rsid w:val="00E86330"/>
    <w:rsid w:val="00EA12A7"/>
    <w:rsid w:val="00EA2857"/>
    <w:rsid w:val="00EA3A7F"/>
    <w:rsid w:val="00EA6E8D"/>
    <w:rsid w:val="00EB29A7"/>
    <w:rsid w:val="00EC3563"/>
    <w:rsid w:val="00EC7CC2"/>
    <w:rsid w:val="00ED18C5"/>
    <w:rsid w:val="00EE2F54"/>
    <w:rsid w:val="00EF563A"/>
    <w:rsid w:val="00EF69A9"/>
    <w:rsid w:val="00F00282"/>
    <w:rsid w:val="00F046BD"/>
    <w:rsid w:val="00F06840"/>
    <w:rsid w:val="00F078F1"/>
    <w:rsid w:val="00F15B01"/>
    <w:rsid w:val="00F22681"/>
    <w:rsid w:val="00F22D7A"/>
    <w:rsid w:val="00F23573"/>
    <w:rsid w:val="00F3129C"/>
    <w:rsid w:val="00F32D03"/>
    <w:rsid w:val="00F344DE"/>
    <w:rsid w:val="00F36298"/>
    <w:rsid w:val="00F377B4"/>
    <w:rsid w:val="00F4075D"/>
    <w:rsid w:val="00F416ED"/>
    <w:rsid w:val="00F45DAF"/>
    <w:rsid w:val="00F460E1"/>
    <w:rsid w:val="00F51E83"/>
    <w:rsid w:val="00F53F42"/>
    <w:rsid w:val="00F540A3"/>
    <w:rsid w:val="00F540A6"/>
    <w:rsid w:val="00F54AEE"/>
    <w:rsid w:val="00F55404"/>
    <w:rsid w:val="00F55D39"/>
    <w:rsid w:val="00F5754E"/>
    <w:rsid w:val="00F647ED"/>
    <w:rsid w:val="00F67844"/>
    <w:rsid w:val="00F72C78"/>
    <w:rsid w:val="00F73E71"/>
    <w:rsid w:val="00F77C57"/>
    <w:rsid w:val="00F84367"/>
    <w:rsid w:val="00F86EF4"/>
    <w:rsid w:val="00F92EE4"/>
    <w:rsid w:val="00F95B43"/>
    <w:rsid w:val="00FA27E8"/>
    <w:rsid w:val="00FB2AFA"/>
    <w:rsid w:val="00FB5804"/>
    <w:rsid w:val="00FB5E1D"/>
    <w:rsid w:val="00FB6220"/>
    <w:rsid w:val="00FC191C"/>
    <w:rsid w:val="00FC1B4E"/>
    <w:rsid w:val="00FC6489"/>
    <w:rsid w:val="00FE275F"/>
    <w:rsid w:val="00FE77A9"/>
    <w:rsid w:val="00FF0D7A"/>
    <w:rsid w:val="00FF16AA"/>
    <w:rsid w:val="00FF50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78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86"/>
    <w:rPr>
      <w:rFonts w:ascii="Calibri" w:eastAsia="Calibri" w:hAnsi="Calibri" w:cs="Times New Roman"/>
    </w:rPr>
  </w:style>
  <w:style w:type="paragraph" w:styleId="Heading1">
    <w:name w:val="heading 1"/>
    <w:basedOn w:val="Normal"/>
    <w:link w:val="Heading1Char"/>
    <w:uiPriority w:val="1"/>
    <w:qFormat/>
    <w:rsid w:val="00F86EF4"/>
    <w:pPr>
      <w:widowControl w:val="0"/>
      <w:ind w:left="573" w:firstLine="0"/>
      <w:outlineLvl w:val="0"/>
    </w:pPr>
    <w:rPr>
      <w:rFonts w:cstheme="minorBid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styleId="FollowedHyperlink">
    <w:name w:val="FollowedHyperlink"/>
    <w:basedOn w:val="DefaultParagraphFont"/>
    <w:uiPriority w:val="99"/>
    <w:semiHidden/>
    <w:unhideWhenUsed/>
    <w:rsid w:val="00870060"/>
    <w:rPr>
      <w:color w:val="800080" w:themeColor="followedHyperlink"/>
      <w:u w:val="single"/>
    </w:rPr>
  </w:style>
  <w:style w:type="character" w:customStyle="1" w:styleId="Heading1Char">
    <w:name w:val="Heading 1 Char"/>
    <w:basedOn w:val="DefaultParagraphFont"/>
    <w:link w:val="Heading1"/>
    <w:uiPriority w:val="1"/>
    <w:rsid w:val="00F86EF4"/>
    <w:rPr>
      <w:rFonts w:ascii="Calibri" w:eastAsia="Calibri" w:hAnsi="Calibri"/>
      <w:b/>
      <w:bCs/>
      <w:sz w:val="28"/>
      <w:szCs w:val="28"/>
      <w:lang w:val="en-US"/>
    </w:rPr>
  </w:style>
  <w:style w:type="paragraph" w:styleId="BodyText">
    <w:name w:val="Body Text"/>
    <w:basedOn w:val="Normal"/>
    <w:link w:val="BodyTextChar"/>
    <w:uiPriority w:val="1"/>
    <w:qFormat/>
    <w:rsid w:val="00F86EF4"/>
    <w:pPr>
      <w:widowControl w:val="0"/>
      <w:ind w:left="547" w:hanging="427"/>
    </w:pPr>
    <w:rPr>
      <w:rFonts w:cstheme="minorBidi"/>
      <w:lang w:val="en-US"/>
    </w:rPr>
  </w:style>
  <w:style w:type="character" w:customStyle="1" w:styleId="BodyTextChar">
    <w:name w:val="Body Text Char"/>
    <w:basedOn w:val="DefaultParagraphFont"/>
    <w:link w:val="BodyText"/>
    <w:uiPriority w:val="1"/>
    <w:rsid w:val="00F86EF4"/>
    <w:rPr>
      <w:rFonts w:ascii="Calibri" w:eastAsia="Calibri" w:hAnsi="Calibri"/>
      <w:lang w:val="en-US"/>
    </w:rPr>
  </w:style>
  <w:style w:type="paragraph" w:customStyle="1" w:styleId="TableParagraph">
    <w:name w:val="Table Paragraph"/>
    <w:basedOn w:val="Normal"/>
    <w:uiPriority w:val="1"/>
    <w:qFormat/>
    <w:rsid w:val="00F86EF4"/>
    <w:pPr>
      <w:widowControl w:val="0"/>
      <w:ind w:left="0" w:firstLine="0"/>
    </w:pPr>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86"/>
    <w:rPr>
      <w:rFonts w:ascii="Calibri" w:eastAsia="Calibri" w:hAnsi="Calibri" w:cs="Times New Roman"/>
    </w:rPr>
  </w:style>
  <w:style w:type="paragraph" w:styleId="Heading1">
    <w:name w:val="heading 1"/>
    <w:basedOn w:val="Normal"/>
    <w:link w:val="Heading1Char"/>
    <w:uiPriority w:val="1"/>
    <w:qFormat/>
    <w:rsid w:val="00F86EF4"/>
    <w:pPr>
      <w:widowControl w:val="0"/>
      <w:ind w:left="573" w:firstLine="0"/>
      <w:outlineLvl w:val="0"/>
    </w:pPr>
    <w:rPr>
      <w:rFonts w:cstheme="minorBid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styleId="FollowedHyperlink">
    <w:name w:val="FollowedHyperlink"/>
    <w:basedOn w:val="DefaultParagraphFont"/>
    <w:uiPriority w:val="99"/>
    <w:semiHidden/>
    <w:unhideWhenUsed/>
    <w:rsid w:val="00870060"/>
    <w:rPr>
      <w:color w:val="800080" w:themeColor="followedHyperlink"/>
      <w:u w:val="single"/>
    </w:rPr>
  </w:style>
  <w:style w:type="character" w:customStyle="1" w:styleId="Heading1Char">
    <w:name w:val="Heading 1 Char"/>
    <w:basedOn w:val="DefaultParagraphFont"/>
    <w:link w:val="Heading1"/>
    <w:uiPriority w:val="1"/>
    <w:rsid w:val="00F86EF4"/>
    <w:rPr>
      <w:rFonts w:ascii="Calibri" w:eastAsia="Calibri" w:hAnsi="Calibri"/>
      <w:b/>
      <w:bCs/>
      <w:sz w:val="28"/>
      <w:szCs w:val="28"/>
      <w:lang w:val="en-US"/>
    </w:rPr>
  </w:style>
  <w:style w:type="paragraph" w:styleId="BodyText">
    <w:name w:val="Body Text"/>
    <w:basedOn w:val="Normal"/>
    <w:link w:val="BodyTextChar"/>
    <w:uiPriority w:val="1"/>
    <w:qFormat/>
    <w:rsid w:val="00F86EF4"/>
    <w:pPr>
      <w:widowControl w:val="0"/>
      <w:ind w:left="547" w:hanging="427"/>
    </w:pPr>
    <w:rPr>
      <w:rFonts w:cstheme="minorBidi"/>
      <w:lang w:val="en-US"/>
    </w:rPr>
  </w:style>
  <w:style w:type="character" w:customStyle="1" w:styleId="BodyTextChar">
    <w:name w:val="Body Text Char"/>
    <w:basedOn w:val="DefaultParagraphFont"/>
    <w:link w:val="BodyText"/>
    <w:uiPriority w:val="1"/>
    <w:rsid w:val="00F86EF4"/>
    <w:rPr>
      <w:rFonts w:ascii="Calibri" w:eastAsia="Calibri" w:hAnsi="Calibri"/>
      <w:lang w:val="en-US"/>
    </w:rPr>
  </w:style>
  <w:style w:type="paragraph" w:customStyle="1" w:styleId="TableParagraph">
    <w:name w:val="Table Paragraph"/>
    <w:basedOn w:val="Normal"/>
    <w:uiPriority w:val="1"/>
    <w:qFormat/>
    <w:rsid w:val="00F86EF4"/>
    <w:pPr>
      <w:widowControl w:val="0"/>
      <w:ind w:left="0" w:firstLine="0"/>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3607">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10265258">
      <w:bodyDiv w:val="1"/>
      <w:marLeft w:val="0"/>
      <w:marRight w:val="0"/>
      <w:marTop w:val="0"/>
      <w:marBottom w:val="0"/>
      <w:divBdr>
        <w:top w:val="none" w:sz="0" w:space="0" w:color="auto"/>
        <w:left w:val="none" w:sz="0" w:space="0" w:color="auto"/>
        <w:bottom w:val="none" w:sz="0" w:space="0" w:color="auto"/>
        <w:right w:val="none" w:sz="0" w:space="0" w:color="auto"/>
      </w:divBdr>
    </w:div>
    <w:div w:id="9236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3BE0C-5779-4061-A6F6-A4E038A82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2517</Words>
  <Characters>14554</Characters>
  <Application>Microsoft Office Word</Application>
  <DocSecurity>4</DocSecurity>
  <Lines>255</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Ramsar\JenningsE</cp:lastModifiedBy>
  <cp:revision>2</cp:revision>
  <cp:lastPrinted>2016-10-06T13:08:00Z</cp:lastPrinted>
  <dcterms:created xsi:type="dcterms:W3CDTF">2018-07-21T17:40:00Z</dcterms:created>
  <dcterms:modified xsi:type="dcterms:W3CDTF">2018-07-21T17:40:00Z</dcterms:modified>
</cp:coreProperties>
</file>