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75F5C" w14:textId="77777777" w:rsidR="00EB2B6F" w:rsidRPr="00E860BB" w:rsidRDefault="00EB2B6F" w:rsidP="00EB2B6F">
      <w:pPr>
        <w:ind w:right="17"/>
        <w:jc w:val="center"/>
        <w:outlineLvl w:val="0"/>
        <w:rPr>
          <w:rFonts w:asciiTheme="minorHAnsi" w:hAnsiTheme="minorHAnsi" w:cstheme="minorHAnsi"/>
          <w:b/>
          <w:bCs/>
        </w:rPr>
      </w:pPr>
      <w:r>
        <w:rPr>
          <w:rFonts w:asciiTheme="minorHAnsi" w:hAnsiTheme="minorHAnsi"/>
          <w:b/>
          <w:bCs/>
          <w:noProof/>
          <w:sz w:val="28"/>
          <w:szCs w:val="28"/>
          <w:lang w:val="en-GB"/>
        </w:rPr>
        <w:drawing>
          <wp:anchor distT="0" distB="0" distL="114300" distR="114300" simplePos="0" relativeHeight="251659264" behindDoc="1" locked="0" layoutInCell="1" allowOverlap="1" wp14:anchorId="4CDCEC58" wp14:editId="5263D7CA">
            <wp:simplePos x="0" y="0"/>
            <wp:positionH relativeFrom="column">
              <wp:posOffset>-200025</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rPr>
        <w:t>13ª Reunión de la Conferencia de las Partes Contratantes</w:t>
      </w:r>
    </w:p>
    <w:p w14:paraId="54122C2E" w14:textId="77777777" w:rsidR="00EB2B6F" w:rsidRPr="00E860BB" w:rsidRDefault="00EB2B6F" w:rsidP="00EB2B6F">
      <w:pPr>
        <w:ind w:right="17"/>
        <w:jc w:val="center"/>
        <w:outlineLvl w:val="0"/>
        <w:rPr>
          <w:rFonts w:asciiTheme="minorHAnsi" w:hAnsiTheme="minorHAnsi" w:cstheme="minorHAnsi"/>
          <w:b/>
          <w:bCs/>
        </w:rPr>
      </w:pPr>
      <w:r>
        <w:rPr>
          <w:rFonts w:asciiTheme="minorHAnsi" w:hAnsiTheme="minorHAnsi"/>
          <w:b/>
          <w:bCs/>
        </w:rPr>
        <w:t>en la Convención de Ramsar sobre los Humedales</w:t>
      </w:r>
    </w:p>
    <w:p w14:paraId="5835BFCB" w14:textId="77777777" w:rsidR="00EB2B6F" w:rsidRPr="0050786D" w:rsidRDefault="00EB2B6F" w:rsidP="00EB2B6F">
      <w:pPr>
        <w:ind w:right="17"/>
        <w:jc w:val="center"/>
        <w:outlineLvl w:val="0"/>
        <w:rPr>
          <w:rFonts w:asciiTheme="minorHAnsi" w:hAnsiTheme="minorHAnsi" w:cstheme="minorHAnsi"/>
          <w:b/>
          <w:bCs/>
          <w:lang w:val="fr-FR"/>
        </w:rPr>
      </w:pPr>
    </w:p>
    <w:p w14:paraId="210BBBD8" w14:textId="77777777" w:rsidR="00EB2B6F" w:rsidRPr="00E860BB" w:rsidRDefault="00EB2B6F" w:rsidP="00EB2B6F">
      <w:pPr>
        <w:ind w:right="17"/>
        <w:jc w:val="center"/>
        <w:outlineLvl w:val="0"/>
        <w:rPr>
          <w:rFonts w:asciiTheme="minorHAnsi" w:hAnsiTheme="minorHAnsi" w:cstheme="minorHAnsi"/>
          <w:b/>
          <w:bCs/>
        </w:rPr>
      </w:pPr>
      <w:r>
        <w:rPr>
          <w:rFonts w:asciiTheme="minorHAnsi" w:hAnsiTheme="minorHAnsi"/>
          <w:b/>
          <w:bCs/>
        </w:rPr>
        <w:t>“Humedales para un futuro urbano sostenible”</w:t>
      </w:r>
    </w:p>
    <w:p w14:paraId="5A3212ED" w14:textId="77777777" w:rsidR="00EB2B6F" w:rsidRPr="00E860BB" w:rsidRDefault="00EB2B6F" w:rsidP="00EB2B6F">
      <w:pPr>
        <w:ind w:right="17"/>
        <w:jc w:val="center"/>
        <w:outlineLvl w:val="0"/>
        <w:rPr>
          <w:rFonts w:asciiTheme="minorHAnsi" w:hAnsiTheme="minorHAnsi" w:cstheme="minorHAnsi"/>
          <w:b/>
          <w:bCs/>
        </w:rPr>
      </w:pPr>
      <w:r>
        <w:rPr>
          <w:rFonts w:asciiTheme="minorHAnsi" w:hAnsiTheme="minorHAnsi"/>
          <w:b/>
          <w:bCs/>
        </w:rPr>
        <w:t>Dubái, Emiratos Árabes Unidos, 21 a 29 de octubre de 2018</w:t>
      </w:r>
    </w:p>
    <w:p w14:paraId="4E0CF68C" w14:textId="77777777" w:rsidR="00EB2B6F" w:rsidRPr="00E860BB" w:rsidRDefault="00EB2B6F" w:rsidP="00EB2B6F">
      <w:pPr>
        <w:ind w:right="17"/>
        <w:jc w:val="center"/>
        <w:outlineLvl w:val="0"/>
        <w:rPr>
          <w:rFonts w:asciiTheme="minorHAnsi" w:hAnsiTheme="minorHAnsi" w:cstheme="minorHAnsi"/>
          <w:b/>
          <w:bCs/>
          <w:sz w:val="28"/>
          <w:szCs w:val="28"/>
        </w:rPr>
      </w:pPr>
    </w:p>
    <w:p w14:paraId="625B3AA4" w14:textId="77777777" w:rsidR="00EB2B6F" w:rsidRPr="00E860BB" w:rsidRDefault="00EB2B6F" w:rsidP="00EB2B6F">
      <w:pPr>
        <w:ind w:right="17"/>
        <w:jc w:val="center"/>
        <w:outlineLvl w:val="0"/>
        <w:rPr>
          <w:rFonts w:asciiTheme="minorHAnsi" w:hAnsiTheme="minorHAnsi" w:cstheme="minorHAnsi"/>
          <w:b/>
          <w:bCs/>
          <w:sz w:val="28"/>
          <w:szCs w:val="28"/>
        </w:rPr>
      </w:pPr>
    </w:p>
    <w:tbl>
      <w:tblPr>
        <w:tblW w:w="954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540"/>
      </w:tblGrid>
      <w:tr w:rsidR="002E40B3" w:rsidRPr="00E860BB" w14:paraId="1DE87AE2" w14:textId="77777777" w:rsidTr="002E40B3">
        <w:tc>
          <w:tcPr>
            <w:tcW w:w="9540" w:type="dxa"/>
          </w:tcPr>
          <w:p w14:paraId="2FFD27B1" w14:textId="77777777" w:rsidR="002E40B3" w:rsidRPr="00E860BB" w:rsidRDefault="002E40B3" w:rsidP="00EB2B6F">
            <w:pPr>
              <w:ind w:right="17"/>
              <w:jc w:val="right"/>
              <w:outlineLvl w:val="0"/>
              <w:rPr>
                <w:rFonts w:asciiTheme="minorHAnsi" w:hAnsiTheme="minorHAnsi" w:cstheme="minorHAnsi"/>
                <w:b/>
                <w:bCs/>
              </w:rPr>
            </w:pPr>
            <w:r>
              <w:rPr>
                <w:rFonts w:asciiTheme="minorHAnsi" w:hAnsiTheme="minorHAnsi"/>
                <w:b/>
                <w:bCs/>
              </w:rPr>
              <w:t>Ramsar COP13 Doc.18.7 Rev.1</w:t>
            </w:r>
          </w:p>
        </w:tc>
      </w:tr>
    </w:tbl>
    <w:p w14:paraId="54A7E4F2" w14:textId="77777777" w:rsidR="00EB2B6F" w:rsidRPr="00E860BB" w:rsidRDefault="00EB2B6F" w:rsidP="00EB2B6F">
      <w:pPr>
        <w:ind w:right="17"/>
        <w:jc w:val="center"/>
        <w:outlineLvl w:val="0"/>
        <w:rPr>
          <w:rFonts w:asciiTheme="minorHAnsi" w:hAnsiTheme="minorHAnsi" w:cstheme="minorHAnsi"/>
          <w:b/>
          <w:bCs/>
          <w:sz w:val="28"/>
          <w:szCs w:val="28"/>
        </w:rPr>
      </w:pPr>
    </w:p>
    <w:p w14:paraId="48070CCD" w14:textId="621EDF70" w:rsidR="008969EB" w:rsidRPr="00E860BB" w:rsidRDefault="00EB2B6F" w:rsidP="002E40B3">
      <w:pPr>
        <w:ind w:left="0" w:right="17" w:firstLine="0"/>
        <w:jc w:val="center"/>
        <w:outlineLvl w:val="0"/>
        <w:rPr>
          <w:rFonts w:asciiTheme="minorHAnsi" w:eastAsiaTheme="minorHAnsi" w:hAnsiTheme="minorHAnsi" w:cstheme="minorHAnsi"/>
          <w:b/>
          <w:color w:val="000000"/>
          <w:sz w:val="28"/>
          <w:szCs w:val="28"/>
        </w:rPr>
      </w:pPr>
      <w:r>
        <w:rPr>
          <w:rFonts w:asciiTheme="minorHAnsi" w:hAnsiTheme="minorHAnsi"/>
          <w:b/>
          <w:sz w:val="28"/>
          <w:szCs w:val="28"/>
        </w:rPr>
        <w:t>Proyecto de resolución sobre la mejora de la visibilidad de la Convención y de las sinergias con otros acuerdos multilaterales sobre el medio ambiente e instituciones internacionales</w:t>
      </w:r>
    </w:p>
    <w:p w14:paraId="5182FC19" w14:textId="77777777" w:rsidR="008969EB" w:rsidRPr="00E860BB" w:rsidRDefault="008969EB" w:rsidP="006B4ED5">
      <w:pPr>
        <w:suppressAutoHyphens/>
        <w:rPr>
          <w:rFonts w:asciiTheme="minorHAnsi" w:hAnsiTheme="minorHAnsi" w:cstheme="minorHAnsi"/>
          <w:b/>
          <w:sz w:val="28"/>
          <w:szCs w:val="28"/>
        </w:rPr>
      </w:pPr>
    </w:p>
    <w:p w14:paraId="290E2CF1" w14:textId="77777777" w:rsidR="00F443F7" w:rsidRPr="00E860BB" w:rsidRDefault="00F443F7" w:rsidP="006B4ED5">
      <w:pPr>
        <w:suppressAutoHyphens/>
        <w:rPr>
          <w:rFonts w:asciiTheme="minorHAnsi" w:hAnsiTheme="minorHAnsi" w:cstheme="minorHAnsi"/>
          <w:b/>
          <w:sz w:val="28"/>
          <w:szCs w:val="28"/>
        </w:rPr>
      </w:pPr>
    </w:p>
    <w:p w14:paraId="1FDED592" w14:textId="77777777" w:rsidR="008969EB" w:rsidRPr="0027508B" w:rsidRDefault="00603967" w:rsidP="00254AC8">
      <w:pPr>
        <w:rPr>
          <w:rFonts w:asciiTheme="minorHAnsi" w:hAnsiTheme="minorHAnsi" w:cstheme="minorHAnsi"/>
          <w:sz w:val="22"/>
          <w:szCs w:val="22"/>
        </w:rPr>
      </w:pPr>
      <w:r>
        <w:rPr>
          <w:rFonts w:asciiTheme="minorHAnsi" w:hAnsiTheme="minorHAnsi"/>
          <w:sz w:val="22"/>
          <w:szCs w:val="22"/>
        </w:rPr>
        <w:t>1.</w:t>
      </w:r>
      <w:r>
        <w:rPr>
          <w:rFonts w:asciiTheme="minorHAnsi" w:hAnsiTheme="minorHAnsi"/>
          <w:sz w:val="22"/>
          <w:szCs w:val="22"/>
        </w:rPr>
        <w:tab/>
      </w:r>
      <w:r w:rsidRPr="0027508B">
        <w:rPr>
          <w:rFonts w:asciiTheme="minorHAnsi" w:hAnsiTheme="minorHAnsi" w:cstheme="minorHAnsi"/>
          <w:sz w:val="22"/>
          <w:szCs w:val="22"/>
        </w:rPr>
        <w:t xml:space="preserve">RECORDANDO que la Resolución XI.1, sobre </w:t>
      </w:r>
      <w:r w:rsidRPr="0027508B">
        <w:rPr>
          <w:rFonts w:asciiTheme="minorHAnsi" w:hAnsiTheme="minorHAnsi" w:cstheme="minorHAnsi"/>
          <w:i/>
          <w:sz w:val="22"/>
          <w:szCs w:val="22"/>
        </w:rPr>
        <w:t>Acogida institucional de la Secretaría de Ramsar,</w:t>
      </w:r>
      <w:r w:rsidRPr="0027508B">
        <w:rPr>
          <w:rFonts w:asciiTheme="minorHAnsi" w:hAnsiTheme="minorHAnsi" w:cstheme="minorHAnsi"/>
          <w:sz w:val="22"/>
          <w:szCs w:val="22"/>
        </w:rPr>
        <w:t xml:space="preserve"> en sus párrafos 17 y 18, encargó al Comité Permanente y a las Partes Contratantes que formularan estrategias para estudiar la posibilidad de incorporar los idiomas de las Naciones Unidas en la Convención, ampliar la visibilidad y la envergadura de la Convención, entre otras cosas, mediante la mejora del compromiso político de alto nivel en su labor en el ámbito nacional, regional y mundial, mejorar las sinergias con los acuerdos multilaterales sobre el medio ambiente (AMMA) y otras instituciones internacionales inclusive a través de iniciativas regionales, y mejorar la participación en las iniciativas del Programa de las Naciones Unidas para el Medio Ambiente (PNUMA);</w:t>
      </w:r>
    </w:p>
    <w:p w14:paraId="42B40879" w14:textId="77777777" w:rsidR="00E53C6B" w:rsidRPr="0027508B" w:rsidRDefault="00E53C6B" w:rsidP="00254AC8">
      <w:pPr>
        <w:suppressAutoHyphens/>
        <w:ind w:left="0" w:firstLine="0"/>
        <w:rPr>
          <w:rFonts w:asciiTheme="minorHAnsi" w:hAnsiTheme="minorHAnsi" w:cstheme="minorHAnsi"/>
          <w:sz w:val="22"/>
          <w:szCs w:val="22"/>
        </w:rPr>
      </w:pPr>
    </w:p>
    <w:p w14:paraId="0FB5D9E9" w14:textId="77777777" w:rsidR="00E53C6B" w:rsidRPr="0027508B" w:rsidRDefault="00603967" w:rsidP="00254AC8">
      <w:pPr>
        <w:suppressAutoHyphens/>
        <w:rPr>
          <w:rFonts w:asciiTheme="minorHAnsi" w:hAnsiTheme="minorHAnsi" w:cstheme="minorHAnsi"/>
          <w:sz w:val="22"/>
          <w:szCs w:val="22"/>
        </w:rPr>
      </w:pPr>
      <w:r w:rsidRPr="0027508B">
        <w:rPr>
          <w:rFonts w:asciiTheme="minorHAnsi" w:hAnsiTheme="minorHAnsi" w:cstheme="minorHAnsi"/>
          <w:bCs/>
          <w:sz w:val="22"/>
          <w:szCs w:val="22"/>
        </w:rPr>
        <w:t>2.</w:t>
      </w:r>
      <w:r w:rsidRPr="0027508B">
        <w:rPr>
          <w:rFonts w:asciiTheme="minorHAnsi" w:hAnsiTheme="minorHAnsi" w:cstheme="minorHAnsi"/>
          <w:bCs/>
          <w:sz w:val="22"/>
          <w:szCs w:val="22"/>
        </w:rPr>
        <w:tab/>
      </w:r>
      <w:r w:rsidRPr="0027508B">
        <w:rPr>
          <w:rFonts w:asciiTheme="minorHAnsi" w:hAnsiTheme="minorHAnsi" w:cstheme="minorHAnsi"/>
          <w:sz w:val="22"/>
          <w:szCs w:val="22"/>
        </w:rPr>
        <w:t xml:space="preserve">RECORDANDO ASIMISMO que la Resolución XII.3, sobre </w:t>
      </w:r>
      <w:r w:rsidRPr="0027508B">
        <w:rPr>
          <w:rFonts w:asciiTheme="minorHAnsi" w:hAnsiTheme="minorHAnsi" w:cstheme="minorHAnsi"/>
          <w:i/>
          <w:sz w:val="22"/>
          <w:szCs w:val="22"/>
        </w:rPr>
        <w:t>Mejora de los idiomas, la visibilidad y la envergadura de la Convención, y de las sinergias con otros acuerdos multilaterales sobre el medio ambiente y otras instituciones internacionales</w:t>
      </w:r>
      <w:r w:rsidRPr="0027508B">
        <w:rPr>
          <w:rFonts w:asciiTheme="minorHAnsi" w:hAnsiTheme="minorHAnsi" w:cstheme="minorHAnsi"/>
          <w:sz w:val="22"/>
          <w:szCs w:val="22"/>
        </w:rPr>
        <w:t xml:space="preserve">, encarga a la Secretaría que informe anualmente al Comité Permanente sobre los progresos en la aplicación de la Resolución XI.6 sobre </w:t>
      </w:r>
      <w:r w:rsidRPr="0027508B">
        <w:rPr>
          <w:rFonts w:asciiTheme="minorHAnsi" w:hAnsiTheme="minorHAnsi" w:cstheme="minorHAnsi"/>
          <w:i/>
          <w:sz w:val="22"/>
          <w:szCs w:val="22"/>
        </w:rPr>
        <w:t>Asociaciones de colaboración y sinergias con acuerdos multilaterales sobre el medio ambiente y otras instituciones</w:t>
      </w:r>
      <w:r w:rsidRPr="0027508B">
        <w:rPr>
          <w:rFonts w:asciiTheme="minorHAnsi" w:hAnsiTheme="minorHAnsi" w:cstheme="minorHAnsi"/>
          <w:sz w:val="22"/>
          <w:szCs w:val="22"/>
        </w:rPr>
        <w:t>;</w:t>
      </w:r>
      <w:r w:rsidRPr="0027508B">
        <w:rPr>
          <w:rFonts w:asciiTheme="minorHAnsi" w:hAnsiTheme="minorHAnsi" w:cstheme="minorHAnsi"/>
          <w:bCs/>
          <w:sz w:val="22"/>
          <w:szCs w:val="22"/>
        </w:rPr>
        <w:t xml:space="preserve"> </w:t>
      </w:r>
    </w:p>
    <w:p w14:paraId="4E756BDA" w14:textId="77777777" w:rsidR="00E53C6B" w:rsidRPr="0027508B" w:rsidRDefault="00E53C6B" w:rsidP="00254AC8">
      <w:pPr>
        <w:suppressAutoHyphens/>
        <w:rPr>
          <w:rFonts w:asciiTheme="minorHAnsi" w:hAnsiTheme="minorHAnsi" w:cstheme="minorHAnsi"/>
          <w:sz w:val="22"/>
          <w:szCs w:val="22"/>
        </w:rPr>
      </w:pPr>
    </w:p>
    <w:p w14:paraId="09B76A7B" w14:textId="77777777" w:rsidR="00E53C6B" w:rsidRPr="0027508B" w:rsidRDefault="00603967" w:rsidP="00254AC8">
      <w:pPr>
        <w:rPr>
          <w:rFonts w:asciiTheme="minorHAnsi" w:hAnsiTheme="minorHAnsi" w:cstheme="minorHAnsi"/>
          <w:bCs/>
          <w:sz w:val="22"/>
          <w:szCs w:val="22"/>
        </w:rPr>
      </w:pPr>
      <w:r w:rsidRPr="0027508B">
        <w:rPr>
          <w:rFonts w:asciiTheme="minorHAnsi" w:hAnsiTheme="minorHAnsi" w:cstheme="minorHAnsi"/>
          <w:sz w:val="22"/>
          <w:szCs w:val="22"/>
        </w:rPr>
        <w:t>3.</w:t>
      </w:r>
      <w:r w:rsidRPr="0027508B">
        <w:rPr>
          <w:rFonts w:asciiTheme="minorHAnsi" w:hAnsiTheme="minorHAnsi" w:cstheme="minorHAnsi"/>
          <w:sz w:val="22"/>
          <w:szCs w:val="22"/>
        </w:rPr>
        <w:tab/>
        <w:t>TOMANDO NOTA de que la Resolución XII.3 pide que la Secretaria General informe a la Conferencia de las Partes Contratantes en su 13ª reunión sobre las oportunidades para que la Convención siga aumentando su contribución a la Agenda de Desarrollo Sostenible y los Objetivos de Desarrollo Sostenible (ODS) para después de 2015 en lo que respecta a los humedales;</w:t>
      </w:r>
    </w:p>
    <w:p w14:paraId="5C7CB3D1" w14:textId="77777777" w:rsidR="00E53C6B" w:rsidRPr="0027508B" w:rsidRDefault="00E53C6B" w:rsidP="00254AC8">
      <w:pPr>
        <w:tabs>
          <w:tab w:val="left" w:pos="709"/>
        </w:tabs>
        <w:suppressAutoHyphens/>
        <w:rPr>
          <w:rFonts w:asciiTheme="minorHAnsi" w:hAnsiTheme="minorHAnsi" w:cstheme="minorHAnsi"/>
          <w:sz w:val="22"/>
          <w:szCs w:val="22"/>
        </w:rPr>
      </w:pPr>
    </w:p>
    <w:p w14:paraId="370B4F8A" w14:textId="77777777" w:rsidR="00E53C6B" w:rsidRPr="0027508B" w:rsidRDefault="00603967" w:rsidP="00254AC8">
      <w:pPr>
        <w:rPr>
          <w:rFonts w:asciiTheme="minorHAnsi" w:hAnsiTheme="minorHAnsi" w:cstheme="minorHAnsi"/>
          <w:bCs/>
          <w:sz w:val="22"/>
          <w:szCs w:val="22"/>
        </w:rPr>
      </w:pPr>
      <w:r w:rsidRPr="0027508B">
        <w:rPr>
          <w:rFonts w:asciiTheme="minorHAnsi" w:hAnsiTheme="minorHAnsi" w:cstheme="minorHAnsi"/>
          <w:bCs/>
          <w:sz w:val="22"/>
          <w:szCs w:val="22"/>
        </w:rPr>
        <w:t>4.</w:t>
      </w:r>
      <w:r w:rsidRPr="0027508B">
        <w:rPr>
          <w:rFonts w:asciiTheme="minorHAnsi" w:hAnsiTheme="minorHAnsi" w:cstheme="minorHAnsi"/>
          <w:bCs/>
          <w:sz w:val="22"/>
          <w:szCs w:val="22"/>
        </w:rPr>
        <w:tab/>
      </w:r>
      <w:r w:rsidRPr="0027508B">
        <w:rPr>
          <w:rFonts w:asciiTheme="minorHAnsi" w:hAnsiTheme="minorHAnsi" w:cstheme="minorHAnsi"/>
          <w:sz w:val="22"/>
          <w:szCs w:val="22"/>
        </w:rPr>
        <w:t xml:space="preserve">TOMANDO NOTA ASIMISMO de que encarga a la Secretaría que continúe trabajando para intensificar la colaboración con la Perspectiva del Patrimonio Mundial (World Heritage Outlook) de la Unión Internacional para la Conservación de la Naturaleza (UICN), el Programa de las Naciones Unidas para el Medio Ambiente (PNUMA), la Base de Datos sobre Recursos Mundiales (GRID, por sus siglas en inglés) del PNUMA, el Programa de las Naciones Unidas para el Desarrollo (PNUD), la Organización de las Naciones Unidas para la Educación, la Ciencia y la Cultura (UNESCO, por sus siglas en inglés), las comisiones económicas regionales de las Naciones Unidas, el Banco Mundial, la Organización Mundial de la Salud (OMS), la Organización Meteorológica Mundial (OMM), la Organización de las Naciones Unidas para la Alimentación y la Agricultura (FAO, por sus siglas en inglés), el Fondo para el Medio Ambiente Mundial (FMAM), la Plataforma Intergubernamental sobre Diversidad Biológica y Servicios de los </w:t>
      </w:r>
      <w:r w:rsidRPr="0027508B">
        <w:rPr>
          <w:rFonts w:asciiTheme="minorHAnsi" w:hAnsiTheme="minorHAnsi" w:cstheme="minorHAnsi"/>
          <w:sz w:val="22"/>
          <w:szCs w:val="22"/>
        </w:rPr>
        <w:lastRenderedPageBreak/>
        <w:t>Ecosistemas (IPBES, por sus siglas en inglés) y otros, y que informe al Comité Permanente y a las Partes Contratantes de forma periódica sobre los progresos realizados;</w:t>
      </w:r>
      <w:r w:rsidRPr="0027508B">
        <w:rPr>
          <w:rFonts w:asciiTheme="minorHAnsi" w:hAnsiTheme="minorHAnsi" w:cstheme="minorHAnsi"/>
          <w:bCs/>
          <w:sz w:val="22"/>
          <w:szCs w:val="22"/>
        </w:rPr>
        <w:t xml:space="preserve"> </w:t>
      </w:r>
    </w:p>
    <w:p w14:paraId="47F72937" w14:textId="77777777" w:rsidR="00E53C6B" w:rsidRPr="0027508B" w:rsidRDefault="00E53C6B" w:rsidP="00254AC8">
      <w:pPr>
        <w:pStyle w:val="ListParagraph"/>
        <w:suppressAutoHyphens/>
        <w:ind w:left="425"/>
        <w:jc w:val="left"/>
        <w:rPr>
          <w:rFonts w:asciiTheme="minorHAnsi" w:hAnsiTheme="minorHAnsi" w:cstheme="minorHAnsi"/>
        </w:rPr>
      </w:pPr>
    </w:p>
    <w:p w14:paraId="6FF4F2C7" w14:textId="79B49979" w:rsidR="00E53C6B" w:rsidRPr="0027508B" w:rsidRDefault="00603967" w:rsidP="00254AC8">
      <w:pPr>
        <w:rPr>
          <w:rFonts w:asciiTheme="minorHAnsi" w:hAnsiTheme="minorHAnsi" w:cstheme="minorHAnsi"/>
          <w:bCs/>
          <w:sz w:val="22"/>
          <w:szCs w:val="22"/>
        </w:rPr>
      </w:pPr>
      <w:r w:rsidRPr="0027508B">
        <w:rPr>
          <w:rFonts w:asciiTheme="minorHAnsi" w:hAnsiTheme="minorHAnsi" w:cstheme="minorHAnsi"/>
          <w:bCs/>
          <w:sz w:val="22"/>
          <w:szCs w:val="22"/>
        </w:rPr>
        <w:t>5.</w:t>
      </w:r>
      <w:r w:rsidRPr="0027508B">
        <w:rPr>
          <w:rFonts w:asciiTheme="minorHAnsi" w:hAnsiTheme="minorHAnsi" w:cstheme="minorHAnsi"/>
          <w:bCs/>
          <w:sz w:val="22"/>
          <w:szCs w:val="22"/>
        </w:rPr>
        <w:tab/>
        <w:t>RECORDANDO que la Resolución XII.3 también pide que la Secretaría siga trabajando con el Grupo de Enlace sobre la Diversidad Biológica para aumentar la coherencia y cooperación y proseguir los esfuerzos para mejorar la eficiencia y reducir la superposición y duplicación innecesarias a todos los niveles pertinentes entre las convenciones relacionadas con la biodiversidad;</w:t>
      </w:r>
    </w:p>
    <w:p w14:paraId="20709E5C" w14:textId="170B943B" w:rsidR="00530E60" w:rsidRPr="0027508B" w:rsidRDefault="00530E60" w:rsidP="002E40B3">
      <w:pPr>
        <w:rPr>
          <w:rFonts w:asciiTheme="minorHAnsi" w:hAnsiTheme="minorHAnsi" w:cstheme="minorHAnsi"/>
          <w:sz w:val="22"/>
          <w:szCs w:val="22"/>
        </w:rPr>
      </w:pPr>
    </w:p>
    <w:p w14:paraId="32425AF9" w14:textId="556EA4ED" w:rsidR="00530E60" w:rsidRPr="0027508B" w:rsidRDefault="00603967" w:rsidP="00254AC8">
      <w:pPr>
        <w:rPr>
          <w:rFonts w:asciiTheme="minorHAnsi" w:hAnsiTheme="minorHAnsi" w:cstheme="minorHAnsi"/>
          <w:bCs/>
          <w:sz w:val="22"/>
          <w:szCs w:val="22"/>
        </w:rPr>
      </w:pPr>
      <w:r w:rsidRPr="0027508B">
        <w:rPr>
          <w:rFonts w:asciiTheme="minorHAnsi" w:hAnsiTheme="minorHAnsi" w:cstheme="minorHAnsi"/>
          <w:sz w:val="22"/>
          <w:szCs w:val="22"/>
        </w:rPr>
        <w:t>[6.</w:t>
      </w:r>
      <w:r w:rsidRPr="0027508B">
        <w:rPr>
          <w:rFonts w:asciiTheme="minorHAnsi" w:hAnsiTheme="minorHAnsi" w:cstheme="minorHAnsi"/>
          <w:sz w:val="22"/>
          <w:szCs w:val="22"/>
        </w:rPr>
        <w:tab/>
        <w:t xml:space="preserve">RECORDANDO la Resolución XII.4 sobre </w:t>
      </w:r>
      <w:r w:rsidRPr="0027508B">
        <w:rPr>
          <w:rFonts w:asciiTheme="minorHAnsi" w:hAnsiTheme="minorHAnsi" w:cstheme="minorHAnsi"/>
          <w:i/>
          <w:sz w:val="22"/>
          <w:szCs w:val="22"/>
        </w:rPr>
        <w:t>Responsabilidades, funciones y composición del Comité Permanente y clasificación de los países por regiones en el marco de la Convención de Ramsar</w:t>
      </w:r>
      <w:r w:rsidRPr="0027508B">
        <w:rPr>
          <w:rFonts w:asciiTheme="minorHAnsi" w:hAnsiTheme="minorHAnsi" w:cstheme="minorHAnsi"/>
          <w:sz w:val="22"/>
          <w:szCs w:val="22"/>
        </w:rPr>
        <w:t>, que tiene como objeto fomentar la transparencia en el trabajo de la Convención a fin de facilitar la evolución de las decisiones, orientaciones y la aplicación de la Convención en colaboración con las Partes Contratantes, Organizaciones Internacionales Asociadas e interesados directos;]</w:t>
      </w:r>
    </w:p>
    <w:p w14:paraId="2312A74B" w14:textId="77777777" w:rsidR="00E53C6B" w:rsidRPr="0027508B" w:rsidRDefault="00E53C6B" w:rsidP="00254AC8">
      <w:pPr>
        <w:pStyle w:val="ListParagraph"/>
        <w:ind w:left="425"/>
        <w:jc w:val="left"/>
        <w:rPr>
          <w:rFonts w:asciiTheme="minorHAnsi" w:hAnsiTheme="minorHAnsi" w:cstheme="minorHAnsi"/>
          <w:bCs/>
        </w:rPr>
      </w:pPr>
    </w:p>
    <w:p w14:paraId="1DA8AA69" w14:textId="4A6EDFBF" w:rsidR="00E53C6B" w:rsidRPr="0027508B" w:rsidRDefault="00530E60" w:rsidP="00254AC8">
      <w:pPr>
        <w:suppressAutoHyphens/>
        <w:rPr>
          <w:rFonts w:asciiTheme="minorHAnsi" w:hAnsiTheme="minorHAnsi" w:cstheme="minorHAnsi"/>
          <w:sz w:val="22"/>
          <w:szCs w:val="22"/>
        </w:rPr>
      </w:pPr>
      <w:r w:rsidRPr="0027508B">
        <w:rPr>
          <w:rFonts w:asciiTheme="minorHAnsi" w:hAnsiTheme="minorHAnsi" w:cstheme="minorHAnsi"/>
          <w:sz w:val="22"/>
          <w:szCs w:val="22"/>
        </w:rPr>
        <w:t>7.</w:t>
      </w:r>
      <w:r w:rsidRPr="0027508B">
        <w:rPr>
          <w:rFonts w:asciiTheme="minorHAnsi" w:hAnsiTheme="minorHAnsi" w:cstheme="minorHAnsi"/>
          <w:sz w:val="22"/>
          <w:szCs w:val="22"/>
        </w:rPr>
        <w:tab/>
        <w:t xml:space="preserve">TOMANDO NOTA de que la Resolución XII.7, sobre el </w:t>
      </w:r>
      <w:r w:rsidRPr="0027508B">
        <w:rPr>
          <w:rFonts w:asciiTheme="minorHAnsi" w:hAnsiTheme="minorHAnsi" w:cstheme="minorHAnsi"/>
          <w:bCs/>
          <w:i/>
          <w:sz w:val="22"/>
          <w:szCs w:val="22"/>
        </w:rPr>
        <w:t>Marco de la Convención de Ramsar para la movilización de recursos y las asociaciones de colaboración</w:t>
      </w:r>
      <w:r w:rsidRPr="0027508B">
        <w:rPr>
          <w:rFonts w:asciiTheme="minorHAnsi" w:hAnsiTheme="minorHAnsi" w:cstheme="minorHAnsi"/>
          <w:sz w:val="22"/>
          <w:szCs w:val="22"/>
        </w:rPr>
        <w:t>, pide que la Secretaría fortalezca las alianzas con otros acuerdos multilaterales sobre el medio ambiente (</w:t>
      </w:r>
      <w:r w:rsidR="0050786D" w:rsidRPr="0027508B">
        <w:rPr>
          <w:rFonts w:asciiTheme="minorHAnsi" w:hAnsiTheme="minorHAnsi" w:cstheme="minorHAnsi"/>
          <w:sz w:val="22"/>
          <w:szCs w:val="22"/>
        </w:rPr>
        <w:t>AMUMA</w:t>
      </w:r>
      <w:r w:rsidRPr="0027508B">
        <w:rPr>
          <w:rFonts w:asciiTheme="minorHAnsi" w:hAnsiTheme="minorHAnsi" w:cstheme="minorHAnsi"/>
          <w:sz w:val="22"/>
          <w:szCs w:val="22"/>
        </w:rPr>
        <w:t>), tales como la Convención de las Naciones Unidas de Lucha contra la Desertificación (CNULD), el Convenio sobre la Diversidad Biológica (CDB) y otros, con el fin de desarrollar sinergias e intercambiar recursos, evitar la duplicación de esfuerzos y mejorar la aplicación, respetando el mandato de cada Convención;</w:t>
      </w:r>
    </w:p>
    <w:p w14:paraId="6A9E4087" w14:textId="77777777" w:rsidR="007403EB" w:rsidRPr="0027508B" w:rsidRDefault="007403EB" w:rsidP="00254AC8">
      <w:pPr>
        <w:pStyle w:val="ListParagraph"/>
        <w:ind w:left="425"/>
        <w:jc w:val="left"/>
        <w:rPr>
          <w:rFonts w:asciiTheme="minorHAnsi" w:hAnsiTheme="minorHAnsi" w:cstheme="minorHAnsi"/>
        </w:rPr>
      </w:pPr>
    </w:p>
    <w:p w14:paraId="541E78B2" w14:textId="4B9C07F6" w:rsidR="007403EB" w:rsidRPr="0027508B" w:rsidRDefault="00603967" w:rsidP="00254AC8">
      <w:pPr>
        <w:autoSpaceDE w:val="0"/>
        <w:autoSpaceDN w:val="0"/>
        <w:adjustRightInd w:val="0"/>
        <w:rPr>
          <w:rFonts w:asciiTheme="minorHAnsi" w:hAnsiTheme="minorHAnsi" w:cstheme="minorHAnsi"/>
          <w:bCs/>
          <w:sz w:val="22"/>
          <w:szCs w:val="22"/>
        </w:rPr>
      </w:pPr>
      <w:r w:rsidRPr="0027508B">
        <w:rPr>
          <w:rFonts w:asciiTheme="minorHAnsi" w:hAnsiTheme="minorHAnsi" w:cstheme="minorHAnsi"/>
          <w:bCs/>
          <w:sz w:val="22"/>
          <w:szCs w:val="22"/>
        </w:rPr>
        <w:t>8.</w:t>
      </w:r>
      <w:r w:rsidRPr="0027508B">
        <w:rPr>
          <w:rFonts w:asciiTheme="minorHAnsi" w:hAnsiTheme="minorHAnsi" w:cstheme="minorHAnsi"/>
          <w:bCs/>
          <w:sz w:val="22"/>
          <w:szCs w:val="22"/>
        </w:rPr>
        <w:tab/>
        <w:t>RECORDANDO que la Resolución XII.3 invita a todas las Partes Contratantes que estén sopesando la posibilidad de acoger reuniones de la Conferencia de las Partes Contratantes (COP) a que consideren la inclusión de una serie de sesiones ministeriales de alto nivel durante la Conferencia en las que se traten cuestiones claramente definidas en apoyo al programa de la Conferencia de las Partes;</w:t>
      </w:r>
    </w:p>
    <w:p w14:paraId="300935F5" w14:textId="77777777" w:rsidR="007403EB" w:rsidRPr="0027508B" w:rsidRDefault="007403EB" w:rsidP="00254AC8">
      <w:pPr>
        <w:suppressAutoHyphens/>
        <w:rPr>
          <w:rFonts w:asciiTheme="minorHAnsi" w:hAnsiTheme="minorHAnsi" w:cstheme="minorHAnsi"/>
          <w:sz w:val="22"/>
          <w:szCs w:val="22"/>
        </w:rPr>
      </w:pPr>
    </w:p>
    <w:p w14:paraId="6C67C40E" w14:textId="249BE132" w:rsidR="008969EB" w:rsidRPr="0027508B" w:rsidRDefault="00603967" w:rsidP="00254AC8">
      <w:pPr>
        <w:suppressAutoHyphens/>
        <w:rPr>
          <w:rFonts w:asciiTheme="minorHAnsi" w:hAnsiTheme="minorHAnsi" w:cstheme="minorHAnsi"/>
          <w:sz w:val="22"/>
          <w:szCs w:val="22"/>
        </w:rPr>
      </w:pPr>
      <w:r w:rsidRPr="0027508B">
        <w:rPr>
          <w:rFonts w:asciiTheme="minorHAnsi" w:hAnsiTheme="minorHAnsi" w:cstheme="minorHAnsi"/>
          <w:sz w:val="22"/>
          <w:szCs w:val="22"/>
        </w:rPr>
        <w:t>9.</w:t>
      </w:r>
      <w:r w:rsidRPr="0027508B">
        <w:rPr>
          <w:rFonts w:asciiTheme="minorHAnsi" w:hAnsiTheme="minorHAnsi" w:cstheme="minorHAnsi"/>
          <w:sz w:val="22"/>
          <w:szCs w:val="22"/>
        </w:rPr>
        <w:tab/>
        <w:t xml:space="preserve">TOMANDO NOTA del interés de todas las Partes Contratantes por mejorar la visibilidad y la envergadura de la Convención de Ramsar, y por mejorar las sinergias con otros </w:t>
      </w:r>
      <w:r w:rsidR="0050786D" w:rsidRPr="0027508B">
        <w:rPr>
          <w:rFonts w:asciiTheme="minorHAnsi" w:hAnsiTheme="minorHAnsi" w:cstheme="minorHAnsi"/>
          <w:sz w:val="22"/>
          <w:szCs w:val="22"/>
        </w:rPr>
        <w:t xml:space="preserve">AMUMA </w:t>
      </w:r>
      <w:r w:rsidRPr="0027508B">
        <w:rPr>
          <w:rFonts w:asciiTheme="minorHAnsi" w:hAnsiTheme="minorHAnsi" w:cstheme="minorHAnsi"/>
          <w:sz w:val="22"/>
          <w:szCs w:val="22"/>
        </w:rPr>
        <w:t>y con el PNUMA;</w:t>
      </w:r>
    </w:p>
    <w:p w14:paraId="63D934EF" w14:textId="77777777" w:rsidR="008969EB" w:rsidRPr="0027508B" w:rsidRDefault="008969EB" w:rsidP="00254AC8">
      <w:pPr>
        <w:pStyle w:val="ListParagraph"/>
        <w:suppressAutoHyphens/>
        <w:ind w:left="425"/>
        <w:jc w:val="left"/>
        <w:rPr>
          <w:rFonts w:asciiTheme="minorHAnsi" w:hAnsiTheme="minorHAnsi" w:cstheme="minorHAnsi"/>
        </w:rPr>
      </w:pPr>
    </w:p>
    <w:p w14:paraId="1ED0ABBD" w14:textId="265297F2" w:rsidR="008969EB" w:rsidRPr="0027508B" w:rsidRDefault="00603967" w:rsidP="00254AC8">
      <w:pPr>
        <w:suppressAutoHyphens/>
        <w:rPr>
          <w:rFonts w:asciiTheme="minorHAnsi" w:hAnsiTheme="minorHAnsi" w:cstheme="minorHAnsi"/>
          <w:sz w:val="22"/>
          <w:szCs w:val="22"/>
        </w:rPr>
      </w:pPr>
      <w:r w:rsidRPr="0027508B">
        <w:rPr>
          <w:rFonts w:asciiTheme="minorHAnsi" w:hAnsiTheme="minorHAnsi" w:cstheme="minorHAnsi"/>
          <w:sz w:val="22"/>
          <w:szCs w:val="22"/>
        </w:rPr>
        <w:t>10.</w:t>
      </w:r>
      <w:r w:rsidRPr="0027508B">
        <w:rPr>
          <w:rFonts w:asciiTheme="minorHAnsi" w:hAnsiTheme="minorHAnsi" w:cstheme="minorHAnsi"/>
          <w:sz w:val="22"/>
          <w:szCs w:val="22"/>
        </w:rPr>
        <w:tab/>
        <w:t>TOMANDO NOTA del proyecto realizado por el PNUMA “Improving the effectiveness of and cooperation among biodiversity-related conventions and exploring opportunities for further synergies” (Mejora de la efectividad y la cooperación entre las convenciones relacionadas con la biodiversidad y estudio de las oportunidades para mayores sinergias) y sus herramientas para aumentar las sinergias en el plano nacional y también del Cronograma de planificación estratégica para la biodiversidad hasta 2020 para la elaboración del marco mundial de la diversidad biológica posterior a 2020</w:t>
      </w:r>
      <w:r w:rsidR="008907DB" w:rsidRPr="0027508B">
        <w:rPr>
          <w:rStyle w:val="FootnoteReference"/>
          <w:rFonts w:asciiTheme="minorHAnsi" w:hAnsiTheme="minorHAnsi" w:cstheme="minorHAnsi"/>
          <w:sz w:val="22"/>
          <w:szCs w:val="22"/>
        </w:rPr>
        <w:footnoteReference w:id="2"/>
      </w:r>
      <w:r w:rsidRPr="0027508B">
        <w:rPr>
          <w:rFonts w:asciiTheme="minorHAnsi" w:hAnsiTheme="minorHAnsi" w:cstheme="minorHAnsi"/>
          <w:sz w:val="22"/>
          <w:szCs w:val="22"/>
        </w:rPr>
        <w:t>;</w:t>
      </w:r>
    </w:p>
    <w:p w14:paraId="46592F40" w14:textId="77777777" w:rsidR="005640E1" w:rsidRPr="0027508B" w:rsidRDefault="005640E1" w:rsidP="00254AC8">
      <w:pPr>
        <w:pStyle w:val="ListParagraph"/>
        <w:ind w:left="425"/>
        <w:jc w:val="left"/>
        <w:rPr>
          <w:rFonts w:asciiTheme="minorHAnsi" w:hAnsiTheme="minorHAnsi" w:cstheme="minorHAnsi"/>
          <w:snapToGrid w:val="0"/>
          <w:kern w:val="20"/>
        </w:rPr>
      </w:pPr>
    </w:p>
    <w:p w14:paraId="66768FED" w14:textId="77950986" w:rsidR="00C86C0A" w:rsidRPr="0027508B" w:rsidRDefault="00603967" w:rsidP="00254AC8">
      <w:pPr>
        <w:autoSpaceDE w:val="0"/>
        <w:autoSpaceDN w:val="0"/>
        <w:adjustRightInd w:val="0"/>
        <w:rPr>
          <w:rFonts w:asciiTheme="minorHAnsi" w:hAnsiTheme="minorHAnsi" w:cstheme="minorHAnsi"/>
          <w:sz w:val="22"/>
          <w:szCs w:val="22"/>
        </w:rPr>
      </w:pPr>
      <w:r w:rsidRPr="0027508B">
        <w:rPr>
          <w:rFonts w:asciiTheme="minorHAnsi" w:hAnsiTheme="minorHAnsi" w:cstheme="minorHAnsi"/>
          <w:snapToGrid w:val="0"/>
          <w:sz w:val="22"/>
          <w:szCs w:val="22"/>
        </w:rPr>
        <w:t>11.</w:t>
      </w:r>
      <w:r w:rsidRPr="0027508B">
        <w:rPr>
          <w:rFonts w:asciiTheme="minorHAnsi" w:hAnsiTheme="minorHAnsi" w:cstheme="minorHAnsi"/>
          <w:snapToGrid w:val="0"/>
          <w:sz w:val="22"/>
          <w:szCs w:val="22"/>
        </w:rPr>
        <w:tab/>
        <w:t xml:space="preserve">RECONOCIENDO, en el contexto del trabajo en curso sobre sinergias, la importancia de los vínculos entre el Plan Estratégico de Ramsar y el Plan Estratégico para la Diversidad Biológica 2011-2020 y sus Metas de Aichi y toda actividad de seguimiento, la Agenda 2030 para el </w:t>
      </w:r>
      <w:r w:rsidRPr="0027508B">
        <w:rPr>
          <w:rFonts w:asciiTheme="minorHAnsi" w:hAnsiTheme="minorHAnsi" w:cstheme="minorHAnsi"/>
          <w:snapToGrid w:val="0"/>
          <w:sz w:val="22"/>
          <w:szCs w:val="22"/>
        </w:rPr>
        <w:lastRenderedPageBreak/>
        <w:t>Desarrollo Sostenible</w:t>
      </w:r>
      <w:r w:rsidR="00C86C0A" w:rsidRPr="0027508B">
        <w:rPr>
          <w:rStyle w:val="StyleFootnoteReferencenumberFootnoteReferenceSuperscript-EF"/>
          <w:rFonts w:asciiTheme="minorHAnsi" w:hAnsiTheme="minorHAnsi" w:cstheme="minorHAnsi"/>
          <w:snapToGrid w:val="0"/>
          <w:kern w:val="20"/>
          <w:sz w:val="22"/>
          <w:szCs w:val="22"/>
        </w:rPr>
        <w:footnoteReference w:id="3"/>
      </w:r>
      <w:r w:rsidRPr="0027508B">
        <w:rPr>
          <w:rFonts w:asciiTheme="minorHAnsi" w:hAnsiTheme="minorHAnsi" w:cstheme="minorHAnsi"/>
          <w:snapToGrid w:val="0"/>
          <w:sz w:val="22"/>
          <w:szCs w:val="22"/>
        </w:rPr>
        <w:t xml:space="preserve"> y los Objetivos de Desarrollo Sostenible, y los informes e indicadores pertinentes;</w:t>
      </w:r>
    </w:p>
    <w:p w14:paraId="6D7C6397" w14:textId="77777777" w:rsidR="00C86C0A" w:rsidRPr="0027508B" w:rsidRDefault="00C86C0A" w:rsidP="00254AC8">
      <w:pPr>
        <w:pStyle w:val="ListParagraph"/>
        <w:ind w:left="425"/>
        <w:jc w:val="left"/>
        <w:rPr>
          <w:rFonts w:asciiTheme="minorHAnsi" w:hAnsiTheme="minorHAnsi" w:cstheme="minorHAnsi"/>
        </w:rPr>
      </w:pPr>
    </w:p>
    <w:p w14:paraId="580598A8" w14:textId="4807FC26" w:rsidR="00C86C0A" w:rsidRPr="0027508B" w:rsidRDefault="00603967" w:rsidP="00254AC8">
      <w:pPr>
        <w:autoSpaceDE w:val="0"/>
        <w:autoSpaceDN w:val="0"/>
        <w:adjustRightInd w:val="0"/>
        <w:rPr>
          <w:rFonts w:asciiTheme="minorHAnsi" w:hAnsiTheme="minorHAnsi" w:cstheme="minorHAnsi"/>
          <w:sz w:val="22"/>
          <w:szCs w:val="22"/>
        </w:rPr>
      </w:pPr>
      <w:r w:rsidRPr="0027508B">
        <w:rPr>
          <w:rFonts w:asciiTheme="minorHAnsi" w:hAnsiTheme="minorHAnsi" w:cstheme="minorHAnsi"/>
          <w:snapToGrid w:val="0"/>
          <w:sz w:val="22"/>
          <w:szCs w:val="22"/>
        </w:rPr>
        <w:t>12.</w:t>
      </w:r>
      <w:r w:rsidRPr="0027508B">
        <w:rPr>
          <w:rFonts w:asciiTheme="minorHAnsi" w:hAnsiTheme="minorHAnsi" w:cstheme="minorHAnsi"/>
          <w:snapToGrid w:val="0"/>
          <w:sz w:val="22"/>
          <w:szCs w:val="22"/>
        </w:rPr>
        <w:tab/>
      </w:r>
      <w:r w:rsidRPr="0027508B">
        <w:rPr>
          <w:rFonts w:asciiTheme="minorHAnsi" w:hAnsiTheme="minorHAnsi" w:cstheme="minorHAnsi"/>
          <w:sz w:val="22"/>
          <w:szCs w:val="22"/>
        </w:rPr>
        <w:t xml:space="preserve">TOMANDO NOTA TAMBIÉN de las decisiones XII.30 y XIII.21 del CDB sobre el mecanismo financiero y el documento de la Asamblea General de las Naciones Unidas </w:t>
      </w:r>
      <w:r w:rsidRPr="0027508B">
        <w:rPr>
          <w:rFonts w:asciiTheme="minorHAnsi" w:hAnsiTheme="minorHAnsi" w:cstheme="minorHAnsi"/>
          <w:i/>
          <w:sz w:val="22"/>
          <w:szCs w:val="22"/>
        </w:rPr>
        <w:t>Transformar nuestro mundo: la Agenda 2030 para el Desarrollo Sostenible</w:t>
      </w:r>
      <w:r w:rsidRPr="0027508B">
        <w:rPr>
          <w:rFonts w:asciiTheme="minorHAnsi" w:hAnsiTheme="minorHAnsi" w:cstheme="minorHAnsi"/>
          <w:sz w:val="22"/>
          <w:szCs w:val="22"/>
        </w:rPr>
        <w:t>, en el que se subraya la importancia de mejorar las sinergias programáticas entre las convenciones pertinentes relacionadas con la diversidad biológica y en el que se reconocen las contribuciones importantes al desarrollo sostenible que hacen los AMMA como la Convención Ramsar sobre los Humedales;</w:t>
      </w:r>
    </w:p>
    <w:p w14:paraId="69BE4829" w14:textId="77777777" w:rsidR="00C86C0A" w:rsidRPr="0027508B" w:rsidRDefault="00C86C0A" w:rsidP="00254AC8">
      <w:pPr>
        <w:pStyle w:val="ListParagraph"/>
        <w:ind w:left="425"/>
        <w:jc w:val="left"/>
        <w:rPr>
          <w:rFonts w:asciiTheme="minorHAnsi" w:hAnsiTheme="minorHAnsi" w:cstheme="minorHAnsi"/>
        </w:rPr>
      </w:pPr>
    </w:p>
    <w:p w14:paraId="43E332A6" w14:textId="42D6D187" w:rsidR="00181101" w:rsidRPr="0027508B" w:rsidRDefault="00603967" w:rsidP="003B19DF">
      <w:pPr>
        <w:autoSpaceDE w:val="0"/>
        <w:autoSpaceDN w:val="0"/>
        <w:adjustRightInd w:val="0"/>
        <w:rPr>
          <w:rFonts w:asciiTheme="minorHAnsi" w:hAnsiTheme="minorHAnsi" w:cstheme="minorHAnsi"/>
          <w:sz w:val="22"/>
          <w:szCs w:val="22"/>
        </w:rPr>
      </w:pPr>
      <w:r w:rsidRPr="0027508B">
        <w:rPr>
          <w:rFonts w:asciiTheme="minorHAnsi" w:hAnsiTheme="minorHAnsi" w:cstheme="minorHAnsi"/>
          <w:iCs/>
          <w:sz w:val="22"/>
          <w:szCs w:val="22"/>
        </w:rPr>
        <w:t>13</w:t>
      </w:r>
      <w:r w:rsidRPr="0027508B">
        <w:rPr>
          <w:rFonts w:asciiTheme="minorHAnsi" w:hAnsiTheme="minorHAnsi" w:cstheme="minorHAnsi"/>
          <w:iCs/>
          <w:sz w:val="22"/>
          <w:szCs w:val="22"/>
        </w:rPr>
        <w:tab/>
      </w:r>
      <w:r w:rsidRPr="0027508B">
        <w:rPr>
          <w:rFonts w:asciiTheme="minorHAnsi" w:hAnsiTheme="minorHAnsi" w:cstheme="minorHAnsi"/>
          <w:sz w:val="22"/>
          <w:szCs w:val="22"/>
        </w:rPr>
        <w:t xml:space="preserve">TOMANDO NOTA ADEMÁS de los resultados de la Conferencia de las Naciones Unidas sobre el Desarrollo Sostenible (Rio+20) plasmados en el documento </w:t>
      </w:r>
      <w:r w:rsidRPr="0027508B">
        <w:rPr>
          <w:rFonts w:asciiTheme="minorHAnsi" w:hAnsiTheme="minorHAnsi" w:cstheme="minorHAnsi"/>
          <w:i/>
          <w:sz w:val="22"/>
          <w:szCs w:val="22"/>
        </w:rPr>
        <w:t>El futuro que queremos</w:t>
      </w:r>
      <w:r w:rsidRPr="0027508B">
        <w:rPr>
          <w:rFonts w:asciiTheme="minorHAnsi" w:hAnsiTheme="minorHAnsi" w:cstheme="minorHAnsi"/>
          <w:sz w:val="22"/>
          <w:szCs w:val="22"/>
        </w:rPr>
        <w:t xml:space="preserve">; </w:t>
      </w:r>
    </w:p>
    <w:p w14:paraId="7E1AD767" w14:textId="77777777" w:rsidR="009C5BFD" w:rsidRPr="0027508B" w:rsidRDefault="009C5BFD" w:rsidP="00254AC8">
      <w:pPr>
        <w:rPr>
          <w:rFonts w:asciiTheme="minorHAnsi" w:hAnsiTheme="minorHAnsi" w:cstheme="minorHAnsi"/>
          <w:sz w:val="22"/>
          <w:szCs w:val="22"/>
        </w:rPr>
      </w:pPr>
    </w:p>
    <w:p w14:paraId="66C68719" w14:textId="4631052E" w:rsidR="009C5BFD" w:rsidRPr="0027508B" w:rsidRDefault="00603967" w:rsidP="00254AC8">
      <w:pPr>
        <w:rPr>
          <w:rFonts w:asciiTheme="minorHAnsi" w:hAnsiTheme="minorHAnsi" w:cstheme="minorHAnsi"/>
          <w:sz w:val="22"/>
          <w:szCs w:val="22"/>
        </w:rPr>
      </w:pPr>
      <w:r w:rsidRPr="0027508B">
        <w:rPr>
          <w:rFonts w:asciiTheme="minorHAnsi" w:hAnsiTheme="minorHAnsi" w:cstheme="minorHAnsi"/>
          <w:sz w:val="22"/>
          <w:szCs w:val="22"/>
        </w:rPr>
        <w:t>14.</w:t>
      </w:r>
      <w:r w:rsidRPr="0027508B">
        <w:rPr>
          <w:rFonts w:asciiTheme="minorHAnsi" w:hAnsiTheme="minorHAnsi" w:cstheme="minorHAnsi"/>
          <w:sz w:val="22"/>
          <w:szCs w:val="22"/>
        </w:rPr>
        <w:tab/>
        <w:t>CONVENCIDA del potencial significativo de un mayor grado de cooperación, coordinación y sinergias entre los convenios relacionados con la diversidad biológica para mejorar la aplicación consistente de cada una de las convenciones en el ámbito nacional;</w:t>
      </w:r>
    </w:p>
    <w:p w14:paraId="6939AD82" w14:textId="77777777" w:rsidR="009C5BFD" w:rsidRPr="0027508B" w:rsidRDefault="009C5BFD" w:rsidP="00254AC8">
      <w:pPr>
        <w:rPr>
          <w:rFonts w:asciiTheme="minorHAnsi" w:hAnsiTheme="minorHAnsi" w:cstheme="minorHAnsi"/>
          <w:sz w:val="22"/>
          <w:szCs w:val="22"/>
        </w:rPr>
      </w:pPr>
    </w:p>
    <w:p w14:paraId="64C255DA" w14:textId="61A08715" w:rsidR="007C5E64" w:rsidRPr="0027508B" w:rsidRDefault="00603967" w:rsidP="00254AC8">
      <w:pPr>
        <w:rPr>
          <w:rFonts w:asciiTheme="minorHAnsi" w:hAnsiTheme="minorHAnsi" w:cstheme="minorHAnsi"/>
          <w:sz w:val="22"/>
          <w:szCs w:val="22"/>
        </w:rPr>
      </w:pPr>
      <w:r w:rsidRPr="0027508B">
        <w:rPr>
          <w:rFonts w:asciiTheme="minorHAnsi" w:hAnsiTheme="minorHAnsi" w:cstheme="minorHAnsi"/>
          <w:sz w:val="22"/>
          <w:szCs w:val="22"/>
        </w:rPr>
        <w:t>15.</w:t>
      </w:r>
      <w:r w:rsidRPr="0027508B">
        <w:rPr>
          <w:rFonts w:asciiTheme="minorHAnsi" w:hAnsiTheme="minorHAnsi" w:cstheme="minorHAnsi"/>
          <w:sz w:val="22"/>
          <w:szCs w:val="22"/>
        </w:rPr>
        <w:tab/>
        <w:t>TOMANDO NOTA de que la Agenda 2030 para el Desarrollo Sostenible incluye el ODS 6, “</w:t>
      </w:r>
      <w:r w:rsidRPr="0027508B">
        <w:rPr>
          <w:rFonts w:asciiTheme="minorHAnsi" w:hAnsiTheme="minorHAnsi" w:cstheme="minorHAnsi"/>
          <w:iCs/>
          <w:sz w:val="22"/>
          <w:szCs w:val="22"/>
        </w:rPr>
        <w:t>Garantizar la disponibilidad de agua y su gestión sostenible y el saneamiento para todos” y la Meta 6.6, “</w:t>
      </w:r>
      <w:r w:rsidRPr="0027508B">
        <w:rPr>
          <w:rFonts w:asciiTheme="minorHAnsi" w:hAnsiTheme="minorHAnsi" w:cstheme="minorHAnsi"/>
          <w:bCs/>
          <w:sz w:val="22"/>
          <w:szCs w:val="22"/>
        </w:rPr>
        <w:t>De aquí a 2020, proteger y restablecer los ecosistemas relacionados con el agua, incluidos los bosques, las montañas, los humedales, los ríos, los acuíferos y los lagos”;</w:t>
      </w:r>
      <w:r w:rsidRPr="0027508B">
        <w:rPr>
          <w:rFonts w:asciiTheme="minorHAnsi" w:hAnsiTheme="minorHAnsi" w:cstheme="minorHAnsi"/>
          <w:sz w:val="22"/>
          <w:szCs w:val="22"/>
        </w:rPr>
        <w:t xml:space="preserve"> </w:t>
      </w:r>
    </w:p>
    <w:p w14:paraId="0E646F2E" w14:textId="77777777" w:rsidR="00D678EA" w:rsidRPr="0027508B" w:rsidRDefault="00D678EA" w:rsidP="00254AC8">
      <w:pPr>
        <w:rPr>
          <w:rFonts w:asciiTheme="minorHAnsi" w:hAnsiTheme="minorHAnsi" w:cstheme="minorHAnsi"/>
          <w:sz w:val="22"/>
          <w:szCs w:val="22"/>
        </w:rPr>
      </w:pPr>
    </w:p>
    <w:p w14:paraId="3E09E92A" w14:textId="666B1482" w:rsidR="002E7AC5" w:rsidRPr="0027508B" w:rsidRDefault="00603967" w:rsidP="00254AC8">
      <w:pPr>
        <w:autoSpaceDE w:val="0"/>
        <w:autoSpaceDN w:val="0"/>
        <w:adjustRightInd w:val="0"/>
        <w:rPr>
          <w:rFonts w:asciiTheme="minorHAnsi" w:hAnsiTheme="minorHAnsi" w:cstheme="minorHAnsi"/>
          <w:sz w:val="22"/>
          <w:szCs w:val="22"/>
        </w:rPr>
      </w:pPr>
      <w:r w:rsidRPr="0027508B">
        <w:rPr>
          <w:rFonts w:asciiTheme="minorHAnsi" w:hAnsiTheme="minorHAnsi" w:cstheme="minorHAnsi"/>
          <w:sz w:val="22"/>
          <w:szCs w:val="22"/>
        </w:rPr>
        <w:t>16.</w:t>
      </w:r>
      <w:r w:rsidRPr="0027508B">
        <w:rPr>
          <w:rFonts w:asciiTheme="minorHAnsi" w:hAnsiTheme="minorHAnsi" w:cstheme="minorHAnsi"/>
          <w:sz w:val="22"/>
          <w:szCs w:val="22"/>
        </w:rPr>
        <w:tab/>
        <w:t xml:space="preserve">TOMANDO NOTA TAMBIÉN del ODS 14, “Conservar y utilizar en forma sostenible los océanos, los mares y los recursos marinos para el desarrollo sostenible” y la Meta 14.2, “De aquí a 2020, gestionar y proteger sosteniblemente los ecosistemas marinos y costeros para evitar efectos adversos importantes, incluso fortaleciendo su resiliencia, y adoptar medidas para restaurarlos a fin de restablecer la salud y la productividad de los océanos”; </w:t>
      </w:r>
    </w:p>
    <w:p w14:paraId="1D42C59B" w14:textId="77777777" w:rsidR="00C260B7" w:rsidRPr="0027508B" w:rsidRDefault="00C260B7" w:rsidP="00254AC8">
      <w:pPr>
        <w:pStyle w:val="ListParagraph"/>
        <w:ind w:left="425"/>
        <w:jc w:val="left"/>
        <w:rPr>
          <w:rFonts w:asciiTheme="minorHAnsi" w:hAnsiTheme="minorHAnsi" w:cstheme="minorHAnsi"/>
        </w:rPr>
      </w:pPr>
    </w:p>
    <w:p w14:paraId="25A37A84" w14:textId="34FE9DF0" w:rsidR="00CA2F63" w:rsidRPr="0027508B" w:rsidRDefault="00603967" w:rsidP="00254AC8">
      <w:pPr>
        <w:autoSpaceDE w:val="0"/>
        <w:autoSpaceDN w:val="0"/>
        <w:adjustRightInd w:val="0"/>
        <w:rPr>
          <w:rFonts w:asciiTheme="minorHAnsi" w:hAnsiTheme="minorHAnsi" w:cstheme="minorHAnsi"/>
          <w:sz w:val="22"/>
          <w:szCs w:val="22"/>
        </w:rPr>
      </w:pPr>
      <w:r w:rsidRPr="0027508B">
        <w:rPr>
          <w:rFonts w:asciiTheme="minorHAnsi" w:hAnsiTheme="minorHAnsi" w:cstheme="minorHAnsi"/>
          <w:sz w:val="22"/>
          <w:szCs w:val="22"/>
        </w:rPr>
        <w:t>17.</w:t>
      </w:r>
      <w:r w:rsidRPr="0027508B">
        <w:rPr>
          <w:rFonts w:asciiTheme="minorHAnsi" w:hAnsiTheme="minorHAnsi" w:cstheme="minorHAnsi"/>
          <w:sz w:val="22"/>
          <w:szCs w:val="22"/>
        </w:rPr>
        <w:tab/>
        <w:t>TOMANDO NOTA ASIMISMO del ODS 15, “Proteger, restablecer y promover el uso sostenible de los ecosistemas terrestres, gestionar sosteniblemente los bosques, luchar contra la desertificación, detener e invertir la degradación de las tierras y detener la pérdida de biodiversidad” y la Meta 15.1, “Para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w:t>
      </w:r>
    </w:p>
    <w:p w14:paraId="0B9FDE11" w14:textId="77777777" w:rsidR="00CA2F63" w:rsidRPr="0027508B" w:rsidRDefault="00CA2F63" w:rsidP="00254AC8">
      <w:pPr>
        <w:pStyle w:val="ListParagraph"/>
        <w:ind w:left="425"/>
        <w:jc w:val="left"/>
        <w:rPr>
          <w:rFonts w:asciiTheme="minorHAnsi" w:hAnsiTheme="minorHAnsi" w:cstheme="minorHAnsi"/>
        </w:rPr>
      </w:pPr>
    </w:p>
    <w:p w14:paraId="0F16E9ED" w14:textId="26FDCA71" w:rsidR="002E7AC5" w:rsidRPr="0027508B" w:rsidRDefault="00603967" w:rsidP="00254AC8">
      <w:pPr>
        <w:autoSpaceDE w:val="0"/>
        <w:autoSpaceDN w:val="0"/>
        <w:adjustRightInd w:val="0"/>
        <w:rPr>
          <w:rFonts w:asciiTheme="minorHAnsi" w:hAnsiTheme="minorHAnsi" w:cstheme="minorHAnsi"/>
          <w:sz w:val="22"/>
          <w:szCs w:val="22"/>
        </w:rPr>
      </w:pPr>
      <w:r w:rsidRPr="0027508B">
        <w:rPr>
          <w:rFonts w:asciiTheme="minorHAnsi" w:hAnsiTheme="minorHAnsi" w:cstheme="minorHAnsi"/>
          <w:sz w:val="22"/>
          <w:szCs w:val="22"/>
        </w:rPr>
        <w:t>18.</w:t>
      </w:r>
      <w:r w:rsidRPr="0027508B">
        <w:rPr>
          <w:rFonts w:asciiTheme="minorHAnsi" w:hAnsiTheme="minorHAnsi" w:cstheme="minorHAnsi"/>
          <w:sz w:val="22"/>
          <w:szCs w:val="22"/>
        </w:rPr>
        <w:tab/>
        <w:t>TOMANDO NOTA ADEMÁS de que los siguientes ODS también son pertinentes para la Convención: ODS 1, “Poner fin a la pobreza en todas sus formas en todo el mundo”; ODS 2, “Poner fin al hambre, lograr la seguridad alimentaria y la mejora de la nutrición y promover la agricultura sostenible”; ODS 5, “Lograr la igualdad entre los géneros y empoderar a todas las mujeres y las niñas”; ODS 11, “Lograr que las ciudades y los asentamientos humanos sean inclusivos, seguros, resilientes y sostenibles”; y ODS 13, “Adoptar medidas urgentes para combatir el cambio climático y sus efectos”;</w:t>
      </w:r>
    </w:p>
    <w:p w14:paraId="7D18E1F7" w14:textId="77777777" w:rsidR="001B0F6C" w:rsidRPr="0027508B" w:rsidRDefault="001B0F6C" w:rsidP="00254AC8">
      <w:pPr>
        <w:autoSpaceDE w:val="0"/>
        <w:autoSpaceDN w:val="0"/>
        <w:adjustRightInd w:val="0"/>
        <w:rPr>
          <w:rFonts w:asciiTheme="minorHAnsi" w:hAnsiTheme="minorHAnsi" w:cstheme="minorHAnsi"/>
          <w:sz w:val="22"/>
          <w:szCs w:val="22"/>
        </w:rPr>
      </w:pPr>
    </w:p>
    <w:p w14:paraId="3EA1BBC3" w14:textId="654E8A97" w:rsidR="0074449E" w:rsidRPr="0027508B" w:rsidRDefault="00641970" w:rsidP="00641970">
      <w:pPr>
        <w:autoSpaceDE w:val="0"/>
        <w:autoSpaceDN w:val="0"/>
        <w:adjustRightInd w:val="0"/>
        <w:rPr>
          <w:rFonts w:asciiTheme="minorHAnsi" w:hAnsiTheme="minorHAnsi" w:cstheme="minorHAnsi"/>
          <w:sz w:val="22"/>
          <w:szCs w:val="22"/>
        </w:rPr>
      </w:pPr>
      <w:r w:rsidRPr="0027508B">
        <w:rPr>
          <w:rFonts w:asciiTheme="minorHAnsi" w:hAnsiTheme="minorHAnsi" w:cstheme="minorHAnsi"/>
          <w:sz w:val="22"/>
          <w:szCs w:val="22"/>
        </w:rPr>
        <w:lastRenderedPageBreak/>
        <w:t>18.</w:t>
      </w:r>
      <w:r w:rsidRPr="0027508B">
        <w:rPr>
          <w:rFonts w:asciiTheme="minorHAnsi" w:hAnsiTheme="minorHAnsi" w:cstheme="minorHAnsi"/>
          <w:sz w:val="22"/>
          <w:szCs w:val="22"/>
        </w:rPr>
        <w:tab/>
        <w:t>TOMANDO NOTA de la decisión que el Grupo interinstitucional de expertos sobre los indicadores de los objetivos de desarrollo sostenible (IAEG-ODS) adoptó en su séptima reunión, de reclasificar el indicador 6.6.1 “Porcentaje del cambio en la extensión de los ecosistemas relacionados con el agua a lo largo del tiempo” y aprobar dos líneas de presentación de informes en la base de datos internacional de los ODS auspiciada por la División de Estadística de las Naciones Unidas, de manera que el PNUMA sería responsable de la metodología comparable internacionalmente con datos nacionales y de agrupaciones regionales y mundiales para el indicador 6.6.1, y la Convención contribuiría datos de los informes nacionales basados en las definiciones y requisitos de Ramsar;</w:t>
      </w:r>
    </w:p>
    <w:p w14:paraId="5DAD0B91" w14:textId="77777777" w:rsidR="001B0F6C" w:rsidRPr="0027508B" w:rsidRDefault="001B0F6C" w:rsidP="00254AC8">
      <w:pPr>
        <w:ind w:left="567" w:hanging="567"/>
        <w:contextualSpacing/>
        <w:rPr>
          <w:rFonts w:asciiTheme="minorHAnsi" w:hAnsiTheme="minorHAnsi" w:cstheme="minorHAnsi"/>
          <w:sz w:val="22"/>
          <w:szCs w:val="22"/>
        </w:rPr>
      </w:pPr>
    </w:p>
    <w:p w14:paraId="52A1B0D0" w14:textId="121EDE1D" w:rsidR="001B0F6C" w:rsidRPr="0027508B" w:rsidRDefault="00F443F7" w:rsidP="00F443F7">
      <w:pPr>
        <w:autoSpaceDE w:val="0"/>
        <w:autoSpaceDN w:val="0"/>
        <w:adjustRightInd w:val="0"/>
        <w:rPr>
          <w:rFonts w:asciiTheme="minorHAnsi" w:hAnsiTheme="minorHAnsi" w:cstheme="minorHAnsi"/>
          <w:sz w:val="22"/>
          <w:szCs w:val="22"/>
        </w:rPr>
      </w:pPr>
      <w:r w:rsidRPr="0027508B">
        <w:rPr>
          <w:rFonts w:asciiTheme="minorHAnsi" w:hAnsiTheme="minorHAnsi" w:cstheme="minorHAnsi"/>
          <w:sz w:val="22"/>
          <w:szCs w:val="22"/>
        </w:rPr>
        <w:t>19.</w:t>
      </w:r>
      <w:r w:rsidRPr="0027508B">
        <w:rPr>
          <w:rFonts w:asciiTheme="minorHAnsi" w:hAnsiTheme="minorHAnsi" w:cstheme="minorHAnsi"/>
          <w:sz w:val="22"/>
          <w:szCs w:val="22"/>
        </w:rPr>
        <w:tab/>
        <w:t xml:space="preserve">TOMANDO NOTA ADEMÁS de que la Convención y el PNUMA, como custodios conjuntos para el indicador 6.6.1 de los ODS, serán responsables de sus respectivas líneas de presentación de informes y contribuirán conjuntamente a la </w:t>
      </w:r>
      <w:r w:rsidR="0050786D" w:rsidRPr="0027508B">
        <w:rPr>
          <w:rFonts w:asciiTheme="minorHAnsi" w:hAnsiTheme="minorHAnsi" w:cstheme="minorHAnsi"/>
          <w:sz w:val="22"/>
          <w:szCs w:val="22"/>
        </w:rPr>
        <w:t xml:space="preserve">linea argumental </w:t>
      </w:r>
      <w:r w:rsidRPr="0027508B">
        <w:rPr>
          <w:rFonts w:asciiTheme="minorHAnsi" w:hAnsiTheme="minorHAnsi" w:cstheme="minorHAnsi"/>
          <w:sz w:val="22"/>
          <w:szCs w:val="22"/>
        </w:rPr>
        <w:t>de la meta 6.6 de los ODS;</w:t>
      </w:r>
    </w:p>
    <w:p w14:paraId="2008EE10" w14:textId="77777777" w:rsidR="002E7AC5" w:rsidRPr="0027508B" w:rsidRDefault="002E7AC5" w:rsidP="00254AC8">
      <w:pPr>
        <w:pStyle w:val="ListParagraph"/>
        <w:ind w:left="425"/>
        <w:jc w:val="left"/>
        <w:rPr>
          <w:rFonts w:asciiTheme="minorHAnsi" w:hAnsiTheme="minorHAnsi" w:cstheme="minorHAnsi"/>
        </w:rPr>
      </w:pPr>
    </w:p>
    <w:p w14:paraId="11A18EC4" w14:textId="453BCBA3" w:rsidR="0088282D" w:rsidRPr="0027508B" w:rsidRDefault="00603967" w:rsidP="00254AC8">
      <w:pPr>
        <w:autoSpaceDE w:val="0"/>
        <w:autoSpaceDN w:val="0"/>
        <w:adjustRightInd w:val="0"/>
        <w:rPr>
          <w:rFonts w:asciiTheme="minorHAnsi" w:hAnsiTheme="minorHAnsi" w:cstheme="minorHAnsi"/>
          <w:sz w:val="22"/>
          <w:szCs w:val="22"/>
        </w:rPr>
      </w:pPr>
      <w:r w:rsidRPr="0027508B">
        <w:rPr>
          <w:rFonts w:asciiTheme="minorHAnsi" w:hAnsiTheme="minorHAnsi" w:cstheme="minorHAnsi"/>
          <w:sz w:val="22"/>
          <w:szCs w:val="22"/>
        </w:rPr>
        <w:t>21.</w:t>
      </w:r>
      <w:r w:rsidRPr="0027508B">
        <w:rPr>
          <w:rFonts w:asciiTheme="minorHAnsi" w:hAnsiTheme="minorHAnsi" w:cstheme="minorHAnsi"/>
          <w:sz w:val="22"/>
          <w:szCs w:val="22"/>
        </w:rPr>
        <w:tab/>
        <w:t xml:space="preserve">APRECIANDO la cooperación entre la UICN y la Secretaría de la Convención a través del Grupo de Enlace UICN/Ramsar para apoyar las actividades de la Secretaría]; </w:t>
      </w:r>
    </w:p>
    <w:p w14:paraId="7DEEBC75" w14:textId="77777777" w:rsidR="0088282D" w:rsidRPr="0027508B" w:rsidRDefault="0088282D" w:rsidP="00254AC8">
      <w:pPr>
        <w:pStyle w:val="ListParagraph"/>
        <w:ind w:left="425"/>
        <w:jc w:val="left"/>
        <w:rPr>
          <w:rFonts w:asciiTheme="minorHAnsi" w:hAnsiTheme="minorHAnsi" w:cstheme="minorHAnsi"/>
        </w:rPr>
      </w:pPr>
    </w:p>
    <w:p w14:paraId="4AC0CABE" w14:textId="22000289" w:rsidR="0088282D" w:rsidRPr="0027508B" w:rsidRDefault="00F41E6C" w:rsidP="00254AC8">
      <w:pPr>
        <w:autoSpaceDE w:val="0"/>
        <w:autoSpaceDN w:val="0"/>
        <w:adjustRightInd w:val="0"/>
        <w:rPr>
          <w:rFonts w:asciiTheme="minorHAnsi" w:hAnsiTheme="minorHAnsi" w:cstheme="minorHAnsi"/>
          <w:sz w:val="22"/>
          <w:szCs w:val="22"/>
        </w:rPr>
      </w:pPr>
      <w:r w:rsidRPr="0027508B">
        <w:rPr>
          <w:rFonts w:asciiTheme="minorHAnsi" w:hAnsiTheme="minorHAnsi" w:cstheme="minorHAnsi"/>
          <w:bCs/>
          <w:sz w:val="22"/>
          <w:szCs w:val="22"/>
        </w:rPr>
        <w:t>[22.</w:t>
      </w:r>
      <w:r w:rsidRPr="0027508B">
        <w:rPr>
          <w:rFonts w:asciiTheme="minorHAnsi" w:hAnsiTheme="minorHAnsi" w:cstheme="minorHAnsi"/>
          <w:bCs/>
          <w:sz w:val="22"/>
          <w:szCs w:val="22"/>
        </w:rPr>
        <w:tab/>
        <w:t xml:space="preserve">APRECIANDO los resultados logrados por el Grupo de trabajo de facilitación del Comité Permanente para facilitar el diálogo entre la Secretaría y la UICN a fin de encontrar formas de mejorar las actividades actuales de la Secretaría;] </w:t>
      </w:r>
    </w:p>
    <w:p w14:paraId="612EA6C6" w14:textId="77777777" w:rsidR="00FF0C74" w:rsidRPr="0027508B" w:rsidRDefault="00FF0C74" w:rsidP="00254AC8">
      <w:pPr>
        <w:pStyle w:val="ListParagraph"/>
        <w:ind w:left="425"/>
        <w:jc w:val="left"/>
        <w:rPr>
          <w:rFonts w:asciiTheme="minorHAnsi" w:hAnsiTheme="minorHAnsi" w:cstheme="minorHAnsi"/>
        </w:rPr>
      </w:pPr>
    </w:p>
    <w:p w14:paraId="55C0EC45" w14:textId="756DFED5" w:rsidR="00FF0C74" w:rsidRPr="0027508B" w:rsidRDefault="00F41E6C" w:rsidP="00254AC8">
      <w:pPr>
        <w:autoSpaceDE w:val="0"/>
        <w:autoSpaceDN w:val="0"/>
        <w:adjustRightInd w:val="0"/>
        <w:rPr>
          <w:rFonts w:asciiTheme="minorHAnsi" w:hAnsiTheme="minorHAnsi" w:cstheme="minorHAnsi"/>
          <w:sz w:val="22"/>
          <w:szCs w:val="22"/>
        </w:rPr>
      </w:pPr>
      <w:r w:rsidRPr="0027508B">
        <w:rPr>
          <w:rFonts w:asciiTheme="minorHAnsi" w:hAnsiTheme="minorHAnsi" w:cstheme="minorHAnsi"/>
          <w:sz w:val="22"/>
          <w:szCs w:val="22"/>
        </w:rPr>
        <w:t>[23.</w:t>
      </w:r>
      <w:r w:rsidRPr="0027508B">
        <w:rPr>
          <w:rFonts w:asciiTheme="minorHAnsi" w:hAnsiTheme="minorHAnsi" w:cstheme="minorHAnsi"/>
          <w:sz w:val="22"/>
          <w:szCs w:val="22"/>
        </w:rPr>
        <w:tab/>
        <w:t>RECONOCIENDO que las incoherencias y contradicciones entre las resoluciones y decisiones adoptadas a lo largo de los años pueden generar confusión y falta de claridad, acarreando a su vez deficiencias en la aplicación de la Convención o perjudicando involuntariamente la labor cotidiana de la Secretaría, y que la aplicación de la Convención se puede mejorar suprimiendo resoluciones y decisiones y partes de estas que resulten obsoletas o contradictorias;]</w:t>
      </w:r>
    </w:p>
    <w:p w14:paraId="263CB8C1" w14:textId="39C6B88B" w:rsidR="00E15A89" w:rsidRPr="0027508B" w:rsidRDefault="00E15A89" w:rsidP="00254AC8">
      <w:pPr>
        <w:pStyle w:val="NoSpacing"/>
        <w:rPr>
          <w:rFonts w:cstheme="minorHAnsi"/>
        </w:rPr>
      </w:pPr>
    </w:p>
    <w:p w14:paraId="02888F32" w14:textId="17A28F7B" w:rsidR="00E15A89" w:rsidRPr="0027508B" w:rsidRDefault="00F41E6C" w:rsidP="00254AC8">
      <w:pPr>
        <w:pStyle w:val="NoSpacing"/>
        <w:rPr>
          <w:rFonts w:cstheme="minorHAnsi"/>
        </w:rPr>
      </w:pPr>
      <w:r w:rsidRPr="0027508B">
        <w:rPr>
          <w:rFonts w:cstheme="minorHAnsi"/>
        </w:rPr>
        <w:t>[24.</w:t>
      </w:r>
      <w:r w:rsidRPr="0027508B">
        <w:rPr>
          <w:rFonts w:cstheme="minorHAnsi"/>
        </w:rPr>
        <w:tab/>
        <w:t>TOMANDO NOTA del interés de las Partes en mejorar las iniciativas para identificar y abordar los retos para los humedales mundialmente como manera de aumentar la importancia, oportunidad e impacto de la Convención y de las resoluciones adoptadas por las Partes Contratantes relacionadas con el uso racional de los humedales; ] y</w:t>
      </w:r>
    </w:p>
    <w:p w14:paraId="4BEA24CA" w14:textId="77777777" w:rsidR="0001595B" w:rsidRPr="0027508B" w:rsidRDefault="0001595B" w:rsidP="00254AC8">
      <w:pPr>
        <w:pStyle w:val="ListParagraph"/>
        <w:ind w:left="425"/>
        <w:jc w:val="left"/>
        <w:rPr>
          <w:rFonts w:asciiTheme="minorHAnsi" w:hAnsiTheme="minorHAnsi" w:cstheme="minorHAnsi"/>
        </w:rPr>
      </w:pPr>
    </w:p>
    <w:p w14:paraId="709238FE" w14:textId="77777777" w:rsidR="0001595B" w:rsidRPr="0027508B" w:rsidRDefault="00F41E6C" w:rsidP="00254AC8">
      <w:pPr>
        <w:pStyle w:val="NoSpacing"/>
        <w:tabs>
          <w:tab w:val="left" w:pos="720"/>
        </w:tabs>
        <w:rPr>
          <w:rFonts w:cstheme="minorHAnsi"/>
        </w:rPr>
      </w:pPr>
      <w:r w:rsidRPr="0027508B">
        <w:rPr>
          <w:rFonts w:cstheme="minorHAnsi"/>
        </w:rPr>
        <w:t>[25.</w:t>
      </w:r>
      <w:r w:rsidRPr="0027508B">
        <w:rPr>
          <w:rFonts w:cstheme="minorHAnsi"/>
        </w:rPr>
        <w:tab/>
        <w:t>TOMANDO NOTA del valor de revisar el Reglamento a fin de detectar las incoherencias u otros elementos que puedan afectar de manera adversa el trabajo de la Convención o que puedan ser enmendados de forma útil a fin de optimizar los recursos o mejorar la eficacia o ambos;]</w:t>
      </w:r>
    </w:p>
    <w:p w14:paraId="34A1506D" w14:textId="77777777" w:rsidR="0001595B" w:rsidRPr="0027508B" w:rsidRDefault="0001595B" w:rsidP="002E40B3">
      <w:pPr>
        <w:pStyle w:val="NoSpacing"/>
        <w:tabs>
          <w:tab w:val="left" w:pos="720"/>
        </w:tabs>
        <w:rPr>
          <w:rFonts w:cstheme="minorHAnsi"/>
        </w:rPr>
      </w:pPr>
    </w:p>
    <w:p w14:paraId="2B972BA8" w14:textId="77777777" w:rsidR="008969EB" w:rsidRPr="0027508B" w:rsidRDefault="008969EB" w:rsidP="00603967">
      <w:pPr>
        <w:keepNext/>
        <w:autoSpaceDE w:val="0"/>
        <w:autoSpaceDN w:val="0"/>
        <w:adjustRightInd w:val="0"/>
        <w:ind w:left="426" w:hanging="426"/>
        <w:jc w:val="center"/>
        <w:rPr>
          <w:rFonts w:asciiTheme="minorHAnsi" w:hAnsiTheme="minorHAnsi" w:cstheme="minorHAnsi"/>
          <w:sz w:val="22"/>
          <w:szCs w:val="22"/>
        </w:rPr>
      </w:pPr>
      <w:r w:rsidRPr="0027508B">
        <w:rPr>
          <w:rFonts w:asciiTheme="minorHAnsi" w:hAnsiTheme="minorHAnsi" w:cstheme="minorHAnsi"/>
          <w:sz w:val="22"/>
          <w:szCs w:val="22"/>
        </w:rPr>
        <w:t>LA CONFERENCIA DE LAS PARTES CONTRATANTES</w:t>
      </w:r>
    </w:p>
    <w:p w14:paraId="61729F80" w14:textId="77777777" w:rsidR="008969EB" w:rsidRPr="0027508B" w:rsidRDefault="008969EB" w:rsidP="006B4ED5">
      <w:pPr>
        <w:keepNext/>
        <w:autoSpaceDE w:val="0"/>
        <w:autoSpaceDN w:val="0"/>
        <w:adjustRightInd w:val="0"/>
        <w:rPr>
          <w:rFonts w:asciiTheme="minorHAnsi" w:hAnsiTheme="minorHAnsi" w:cstheme="minorHAnsi"/>
          <w:sz w:val="22"/>
          <w:szCs w:val="22"/>
        </w:rPr>
      </w:pPr>
    </w:p>
    <w:p w14:paraId="055DD8AE" w14:textId="77777777" w:rsidR="008969EB" w:rsidRPr="0027508B" w:rsidRDefault="008969EB" w:rsidP="00254AC8">
      <w:pPr>
        <w:keepNext/>
        <w:autoSpaceDE w:val="0"/>
        <w:autoSpaceDN w:val="0"/>
        <w:adjustRightInd w:val="0"/>
        <w:rPr>
          <w:rFonts w:asciiTheme="minorHAnsi" w:eastAsiaTheme="minorHAnsi" w:hAnsiTheme="minorHAnsi" w:cstheme="minorHAnsi"/>
          <w:bCs/>
          <w:sz w:val="22"/>
          <w:szCs w:val="22"/>
          <w:u w:val="single"/>
        </w:rPr>
      </w:pPr>
      <w:r w:rsidRPr="0027508B">
        <w:rPr>
          <w:rFonts w:asciiTheme="minorHAnsi" w:hAnsiTheme="minorHAnsi" w:cstheme="minorHAnsi"/>
          <w:bCs/>
          <w:sz w:val="22"/>
          <w:szCs w:val="22"/>
          <w:u w:val="single"/>
        </w:rPr>
        <w:t>En lo relativo a la visibilidad y envergadura y al aumento de las sinergias:</w:t>
      </w:r>
    </w:p>
    <w:p w14:paraId="7C4E4341" w14:textId="77777777" w:rsidR="008969EB" w:rsidRPr="0027508B" w:rsidRDefault="008969EB" w:rsidP="00254AC8">
      <w:pPr>
        <w:keepNext/>
        <w:autoSpaceDE w:val="0"/>
        <w:autoSpaceDN w:val="0"/>
        <w:adjustRightInd w:val="0"/>
        <w:ind w:left="360"/>
        <w:rPr>
          <w:rFonts w:asciiTheme="minorHAnsi" w:eastAsiaTheme="minorHAnsi" w:hAnsiTheme="minorHAnsi" w:cstheme="minorHAnsi"/>
          <w:sz w:val="22"/>
          <w:szCs w:val="22"/>
        </w:rPr>
      </w:pPr>
    </w:p>
    <w:p w14:paraId="61770FB8" w14:textId="77777777" w:rsidR="008969EB" w:rsidRPr="0027508B" w:rsidRDefault="00C7059E" w:rsidP="00254AC8">
      <w:pPr>
        <w:autoSpaceDE w:val="0"/>
        <w:autoSpaceDN w:val="0"/>
        <w:adjustRightInd w:val="0"/>
        <w:rPr>
          <w:rFonts w:asciiTheme="minorHAnsi" w:eastAsiaTheme="minorHAnsi" w:hAnsiTheme="minorHAnsi" w:cstheme="minorHAnsi"/>
          <w:sz w:val="22"/>
          <w:szCs w:val="22"/>
        </w:rPr>
      </w:pPr>
      <w:r w:rsidRPr="0027508B">
        <w:rPr>
          <w:rFonts w:asciiTheme="minorHAnsi" w:hAnsiTheme="minorHAnsi" w:cstheme="minorHAnsi"/>
          <w:bCs/>
          <w:sz w:val="22"/>
          <w:szCs w:val="22"/>
        </w:rPr>
        <w:t>26.</w:t>
      </w:r>
      <w:r w:rsidRPr="0027508B">
        <w:rPr>
          <w:rFonts w:asciiTheme="minorHAnsi" w:hAnsiTheme="minorHAnsi" w:cstheme="minorHAnsi"/>
          <w:bCs/>
          <w:sz w:val="22"/>
          <w:szCs w:val="22"/>
        </w:rPr>
        <w:tab/>
      </w:r>
      <w:r w:rsidRPr="0027508B">
        <w:rPr>
          <w:rFonts w:asciiTheme="minorHAnsi" w:hAnsiTheme="minorHAnsi" w:cstheme="minorHAnsi"/>
          <w:sz w:val="22"/>
          <w:szCs w:val="22"/>
        </w:rPr>
        <w:t>INVITA a la Secretaría, las Partes Contratantes, las Organizaciones Internacionales Asociadas (OIA) y otros a trabajar para aumentar la visibilidad de la Convención en el ámbito nacional, subnacional, regional e internacional, según proceda, incluyendo cierta atención en el 50º aniversario de la Convención que se celebrará en 2021;</w:t>
      </w:r>
    </w:p>
    <w:p w14:paraId="2FA2F078" w14:textId="77777777" w:rsidR="00ED1E86" w:rsidRPr="0027508B" w:rsidRDefault="00ED1E86" w:rsidP="00254AC8">
      <w:pPr>
        <w:pStyle w:val="ListParagraph"/>
        <w:ind w:left="425"/>
        <w:jc w:val="left"/>
        <w:rPr>
          <w:rFonts w:asciiTheme="minorHAnsi" w:hAnsiTheme="minorHAnsi" w:cstheme="minorHAnsi"/>
          <w:noProof/>
          <w:snapToGrid w:val="0"/>
          <w:kern w:val="20"/>
        </w:rPr>
      </w:pPr>
    </w:p>
    <w:p w14:paraId="18EFF148" w14:textId="6B38584D" w:rsidR="001715B1" w:rsidRPr="0027508B" w:rsidRDefault="00C7059E" w:rsidP="00254AC8">
      <w:pPr>
        <w:rPr>
          <w:rFonts w:asciiTheme="minorHAnsi" w:hAnsiTheme="minorHAnsi" w:cstheme="minorHAnsi"/>
          <w:noProof/>
          <w:snapToGrid w:val="0"/>
          <w:kern w:val="20"/>
          <w:sz w:val="22"/>
          <w:szCs w:val="22"/>
        </w:rPr>
      </w:pPr>
      <w:r w:rsidRPr="0027508B">
        <w:rPr>
          <w:rFonts w:asciiTheme="minorHAnsi" w:hAnsiTheme="minorHAnsi" w:cstheme="minorHAnsi"/>
          <w:snapToGrid w:val="0"/>
          <w:sz w:val="22"/>
          <w:szCs w:val="22"/>
        </w:rPr>
        <w:t>27.</w:t>
      </w:r>
      <w:r w:rsidRPr="0027508B">
        <w:rPr>
          <w:rFonts w:asciiTheme="minorHAnsi" w:hAnsiTheme="minorHAnsi" w:cstheme="minorHAnsi"/>
          <w:snapToGrid w:val="0"/>
          <w:sz w:val="22"/>
          <w:szCs w:val="22"/>
        </w:rPr>
        <w:tab/>
      </w:r>
      <w:r w:rsidRPr="0027508B">
        <w:rPr>
          <w:rFonts w:asciiTheme="minorHAnsi" w:hAnsiTheme="minorHAnsi" w:cstheme="minorHAnsi"/>
          <w:sz w:val="22"/>
          <w:szCs w:val="22"/>
        </w:rPr>
        <w:t xml:space="preserve">INVITA ASIMISMO a las Partes Contratantes a establecer o reforzar, en el ámbito nacional, los mecanismos para fomentar una coordinación eficaz entre las autoridades nacionales y subnacionales pertinentes y apoyar la integración de las funciones de los ecosistemas de los humedales y los servicios que proporcionan esos ecosistemas a las personas y a la naturaleza en los planes nacionales de desarrollo y las estrategias, planes y normativas de otros sectores, especialmente en el contexto de la aplicación de la Agenda 2030 para el Desarrollo Sostenible y </w:t>
      </w:r>
      <w:r w:rsidRPr="0027508B">
        <w:rPr>
          <w:rFonts w:asciiTheme="minorHAnsi" w:hAnsiTheme="minorHAnsi" w:cstheme="minorHAnsi"/>
          <w:sz w:val="22"/>
          <w:szCs w:val="22"/>
        </w:rPr>
        <w:lastRenderedPageBreak/>
        <w:t xml:space="preserve">los ODS, y de la CMNUCC, de aumentar las sinergias en relación con la adaptación al cambio climático y la mitigación de este y especialmente las soluciones basadas en los humedales; </w:t>
      </w:r>
    </w:p>
    <w:p w14:paraId="480807C9" w14:textId="2A4798BB" w:rsidR="001715B1" w:rsidRPr="0027508B" w:rsidRDefault="001715B1" w:rsidP="002E40B3">
      <w:pPr>
        <w:rPr>
          <w:rFonts w:asciiTheme="minorHAnsi" w:hAnsiTheme="minorHAnsi" w:cstheme="minorHAnsi"/>
          <w:kern w:val="20"/>
          <w:sz w:val="22"/>
          <w:szCs w:val="22"/>
        </w:rPr>
      </w:pPr>
    </w:p>
    <w:p w14:paraId="580F66EB" w14:textId="6579B436" w:rsidR="00D41F6D" w:rsidRPr="0027508B" w:rsidRDefault="00C7059E" w:rsidP="00D41F6D">
      <w:pPr>
        <w:rPr>
          <w:rFonts w:asciiTheme="minorHAnsi" w:hAnsiTheme="minorHAnsi" w:cstheme="minorHAnsi"/>
          <w:noProof/>
          <w:snapToGrid w:val="0"/>
          <w:kern w:val="20"/>
          <w:sz w:val="22"/>
          <w:szCs w:val="22"/>
        </w:rPr>
      </w:pPr>
      <w:r w:rsidRPr="0027508B">
        <w:rPr>
          <w:rFonts w:asciiTheme="minorHAnsi" w:hAnsiTheme="minorHAnsi" w:cstheme="minorHAnsi"/>
          <w:snapToGrid w:val="0"/>
          <w:sz w:val="22"/>
          <w:szCs w:val="22"/>
        </w:rPr>
        <w:t>28.</w:t>
      </w:r>
      <w:r w:rsidRPr="0027508B">
        <w:rPr>
          <w:rFonts w:asciiTheme="minorHAnsi" w:hAnsiTheme="minorHAnsi" w:cstheme="minorHAnsi"/>
          <w:snapToGrid w:val="0"/>
          <w:sz w:val="22"/>
          <w:szCs w:val="22"/>
        </w:rPr>
        <w:tab/>
        <w:t>INSTA a la Secretaría, las Partes Contratantes, las OIA y otros a que tomen medidas urgentes para aumentar las sinergias, la coherencia y la cooperación eficaz entre los AMMA relacionados con la diversidad biológica con miras a reforzar la contribución de estos instrumentos a un marco mundial de la diversidad biológica posterior a 2020 y el logro de la Agenda 2030;</w:t>
      </w:r>
    </w:p>
    <w:p w14:paraId="256CFA26" w14:textId="39EF1F47" w:rsidR="00D41F6D" w:rsidRPr="0027508B" w:rsidRDefault="00D41F6D" w:rsidP="00D41F6D">
      <w:pPr>
        <w:rPr>
          <w:rFonts w:asciiTheme="minorHAnsi" w:hAnsiTheme="minorHAnsi" w:cstheme="minorHAnsi"/>
          <w:noProof/>
          <w:snapToGrid w:val="0"/>
          <w:kern w:val="20"/>
          <w:sz w:val="22"/>
          <w:szCs w:val="22"/>
        </w:rPr>
      </w:pPr>
    </w:p>
    <w:p w14:paraId="1822C4C6" w14:textId="7699CA46" w:rsidR="00D41F6D" w:rsidRPr="0027508B" w:rsidRDefault="00D41F6D" w:rsidP="008D7C9F">
      <w:pPr>
        <w:rPr>
          <w:rFonts w:asciiTheme="minorHAnsi" w:hAnsiTheme="minorHAnsi" w:cstheme="minorHAnsi"/>
          <w:noProof/>
          <w:snapToGrid w:val="0"/>
          <w:kern w:val="20"/>
          <w:sz w:val="22"/>
          <w:szCs w:val="22"/>
        </w:rPr>
      </w:pPr>
      <w:r w:rsidRPr="0027508B">
        <w:rPr>
          <w:rFonts w:asciiTheme="minorHAnsi" w:hAnsiTheme="minorHAnsi" w:cstheme="minorHAnsi"/>
          <w:snapToGrid w:val="0"/>
          <w:sz w:val="22"/>
          <w:szCs w:val="22"/>
        </w:rPr>
        <w:t>29.</w:t>
      </w:r>
      <w:r w:rsidRPr="0027508B">
        <w:rPr>
          <w:rFonts w:asciiTheme="minorHAnsi" w:hAnsiTheme="minorHAnsi" w:cstheme="minorHAnsi"/>
          <w:snapToGrid w:val="0"/>
          <w:sz w:val="22"/>
          <w:szCs w:val="22"/>
        </w:rPr>
        <w:tab/>
      </w:r>
      <w:r w:rsidRPr="0027508B">
        <w:rPr>
          <w:rFonts w:asciiTheme="minorHAnsi" w:hAnsiTheme="minorHAnsi" w:cstheme="minorHAnsi"/>
          <w:sz w:val="22"/>
          <w:szCs w:val="22"/>
        </w:rPr>
        <w:t>PIDE a la Secretaría que presente, en la 58ª reunión del Comité Permanente, un plan para reforzar las sinergias con otros AMMA y las contribuciones al marco mundial de la diversidad biológica posterior a 2020;</w:t>
      </w:r>
    </w:p>
    <w:p w14:paraId="26C4CBC0" w14:textId="77777777" w:rsidR="00D41F6D" w:rsidRPr="0027508B" w:rsidRDefault="00D41F6D" w:rsidP="00254AC8">
      <w:pPr>
        <w:autoSpaceDE w:val="0"/>
        <w:autoSpaceDN w:val="0"/>
        <w:adjustRightInd w:val="0"/>
        <w:rPr>
          <w:rFonts w:asciiTheme="minorHAnsi" w:eastAsiaTheme="minorHAnsi" w:hAnsiTheme="minorHAnsi" w:cstheme="minorHAnsi"/>
          <w:sz w:val="22"/>
          <w:szCs w:val="22"/>
        </w:rPr>
      </w:pPr>
    </w:p>
    <w:p w14:paraId="771F7F6F" w14:textId="04F1D0CD" w:rsidR="00303C19" w:rsidRPr="0027508B" w:rsidRDefault="00883A90" w:rsidP="00254AC8">
      <w:pPr>
        <w:autoSpaceDE w:val="0"/>
        <w:autoSpaceDN w:val="0"/>
        <w:adjustRightInd w:val="0"/>
        <w:rPr>
          <w:rFonts w:asciiTheme="minorHAnsi" w:hAnsiTheme="minorHAnsi" w:cstheme="minorHAnsi"/>
          <w:bCs/>
          <w:sz w:val="22"/>
          <w:szCs w:val="22"/>
        </w:rPr>
      </w:pPr>
      <w:r w:rsidRPr="0027508B">
        <w:rPr>
          <w:rFonts w:asciiTheme="minorHAnsi" w:hAnsiTheme="minorHAnsi" w:cstheme="minorHAnsi"/>
          <w:bCs/>
          <w:sz w:val="22"/>
          <w:szCs w:val="22"/>
        </w:rPr>
        <w:t>30.</w:t>
      </w:r>
      <w:r w:rsidRPr="0027508B">
        <w:rPr>
          <w:rFonts w:asciiTheme="minorHAnsi" w:hAnsiTheme="minorHAnsi" w:cstheme="minorHAnsi"/>
          <w:bCs/>
          <w:sz w:val="22"/>
          <w:szCs w:val="22"/>
        </w:rPr>
        <w:tab/>
        <w:t xml:space="preserve">ALIENTA a todos los coordinadores nacionales de Ramsar a seguir incrementando sus esfuerzos de coordinación con sus homólogos de otros AMMA en el ámbito nacional, así como con instituciones y organismos que trabajan en aplicar la Agenda 2030 para el Desarrollo Sostenible y los ODS; </w:t>
      </w:r>
    </w:p>
    <w:p w14:paraId="0E68C83A" w14:textId="77777777" w:rsidR="00303C19" w:rsidRPr="0027508B" w:rsidRDefault="00303C19" w:rsidP="00254AC8">
      <w:pPr>
        <w:pStyle w:val="ListParagraph"/>
        <w:ind w:left="425"/>
        <w:jc w:val="left"/>
        <w:rPr>
          <w:rFonts w:asciiTheme="minorHAnsi" w:hAnsiTheme="minorHAnsi" w:cstheme="minorHAnsi"/>
          <w:bCs/>
        </w:rPr>
      </w:pPr>
    </w:p>
    <w:p w14:paraId="64D61922" w14:textId="52671323" w:rsidR="00294430" w:rsidRPr="0027508B" w:rsidRDefault="00C7059E" w:rsidP="00254AC8">
      <w:pPr>
        <w:autoSpaceDE w:val="0"/>
        <w:autoSpaceDN w:val="0"/>
        <w:adjustRightInd w:val="0"/>
        <w:rPr>
          <w:rFonts w:asciiTheme="minorHAnsi" w:hAnsiTheme="minorHAnsi" w:cstheme="minorHAnsi"/>
          <w:bCs/>
          <w:sz w:val="22"/>
          <w:szCs w:val="22"/>
        </w:rPr>
      </w:pPr>
      <w:r w:rsidRPr="0027508B">
        <w:rPr>
          <w:rFonts w:asciiTheme="minorHAnsi" w:hAnsiTheme="minorHAnsi" w:cstheme="minorHAnsi"/>
          <w:bCs/>
          <w:sz w:val="22"/>
          <w:szCs w:val="22"/>
        </w:rPr>
        <w:t>31.</w:t>
      </w:r>
      <w:r w:rsidRPr="0027508B">
        <w:rPr>
          <w:rFonts w:asciiTheme="minorHAnsi" w:hAnsiTheme="minorHAnsi" w:cstheme="minorHAnsi"/>
          <w:bCs/>
          <w:sz w:val="22"/>
          <w:szCs w:val="22"/>
        </w:rPr>
        <w:tab/>
        <w:t>ALIENTA TAMBIÉN a los coordinadores nacionales a reforzar la coordinación con todos los profesionales de los humedales, incluidos los administradores de los sitios Ramsar, e informarles de las actividades de Ramsar y ser informados por ellos sobre procedimientos y cuestiones de interés común;</w:t>
      </w:r>
    </w:p>
    <w:p w14:paraId="048F12CF" w14:textId="77777777" w:rsidR="00294430" w:rsidRPr="0027508B" w:rsidRDefault="00294430" w:rsidP="00254AC8">
      <w:pPr>
        <w:autoSpaceDE w:val="0"/>
        <w:autoSpaceDN w:val="0"/>
        <w:adjustRightInd w:val="0"/>
        <w:rPr>
          <w:rFonts w:asciiTheme="minorHAnsi" w:eastAsiaTheme="minorHAnsi" w:hAnsiTheme="minorHAnsi" w:cstheme="minorHAnsi"/>
          <w:sz w:val="22"/>
          <w:szCs w:val="22"/>
        </w:rPr>
      </w:pPr>
    </w:p>
    <w:p w14:paraId="7FD1406C" w14:textId="5755FB0F" w:rsidR="00542923" w:rsidRPr="0027508B" w:rsidRDefault="00C7059E" w:rsidP="00254AC8">
      <w:pPr>
        <w:autoSpaceDE w:val="0"/>
        <w:autoSpaceDN w:val="0"/>
        <w:adjustRightInd w:val="0"/>
        <w:rPr>
          <w:rFonts w:asciiTheme="minorHAnsi" w:hAnsiTheme="minorHAnsi" w:cstheme="minorHAnsi"/>
          <w:bCs/>
          <w:sz w:val="22"/>
          <w:szCs w:val="22"/>
        </w:rPr>
      </w:pPr>
      <w:r w:rsidRPr="0027508B">
        <w:rPr>
          <w:rFonts w:asciiTheme="minorHAnsi" w:hAnsiTheme="minorHAnsi" w:cstheme="minorHAnsi"/>
          <w:bCs/>
          <w:sz w:val="22"/>
          <w:szCs w:val="22"/>
        </w:rPr>
        <w:t>32.</w:t>
      </w:r>
      <w:r w:rsidRPr="0027508B">
        <w:rPr>
          <w:rFonts w:asciiTheme="minorHAnsi" w:hAnsiTheme="minorHAnsi" w:cstheme="minorHAnsi"/>
          <w:bCs/>
          <w:sz w:val="22"/>
          <w:szCs w:val="22"/>
        </w:rPr>
        <w:tab/>
        <w:t>INSTA a las Partes Contratantes a que sigan desarrollando y activando mecanismos de trabajo en red, por ejemplo, los Comités Nacionales de Ramsar u órganos similares a fin de garantizar la colaboración con ministerios, departamentos y organismos nacionales;</w:t>
      </w:r>
    </w:p>
    <w:p w14:paraId="19A17C67" w14:textId="77777777" w:rsidR="001715B1" w:rsidRPr="0027508B" w:rsidRDefault="001715B1" w:rsidP="00254AC8">
      <w:pPr>
        <w:pStyle w:val="ListParagraph"/>
        <w:ind w:left="425"/>
        <w:jc w:val="left"/>
        <w:rPr>
          <w:rFonts w:asciiTheme="minorHAnsi" w:hAnsiTheme="minorHAnsi" w:cstheme="minorHAnsi"/>
          <w:bCs/>
        </w:rPr>
      </w:pPr>
    </w:p>
    <w:p w14:paraId="632E36FC" w14:textId="188D4405" w:rsidR="001715B1" w:rsidRPr="0027508B" w:rsidRDefault="00C7059E" w:rsidP="00254AC8">
      <w:pPr>
        <w:autoSpaceDE w:val="0"/>
        <w:autoSpaceDN w:val="0"/>
        <w:adjustRightInd w:val="0"/>
        <w:rPr>
          <w:rFonts w:asciiTheme="minorHAnsi" w:hAnsiTheme="minorHAnsi" w:cstheme="minorHAnsi"/>
          <w:sz w:val="22"/>
          <w:szCs w:val="22"/>
        </w:rPr>
      </w:pPr>
      <w:r w:rsidRPr="0027508B">
        <w:rPr>
          <w:rFonts w:asciiTheme="minorHAnsi" w:hAnsiTheme="minorHAnsi" w:cstheme="minorHAnsi"/>
          <w:snapToGrid w:val="0"/>
          <w:color w:val="000000"/>
          <w:sz w:val="22"/>
          <w:szCs w:val="22"/>
        </w:rPr>
        <w:t>33.</w:t>
      </w:r>
      <w:r w:rsidRPr="0027508B">
        <w:rPr>
          <w:rFonts w:asciiTheme="minorHAnsi" w:hAnsiTheme="minorHAnsi" w:cstheme="minorHAnsi"/>
          <w:snapToGrid w:val="0"/>
          <w:color w:val="000000"/>
          <w:sz w:val="22"/>
          <w:szCs w:val="22"/>
        </w:rPr>
        <w:tab/>
      </w:r>
      <w:r w:rsidRPr="0027508B">
        <w:rPr>
          <w:rFonts w:asciiTheme="minorHAnsi" w:hAnsiTheme="minorHAnsi" w:cstheme="minorHAnsi"/>
          <w:bCs/>
          <w:sz w:val="22"/>
          <w:szCs w:val="22"/>
        </w:rPr>
        <w:t>INVITA</w:t>
      </w:r>
      <w:r w:rsidRPr="0027508B">
        <w:rPr>
          <w:rFonts w:asciiTheme="minorHAnsi" w:hAnsiTheme="minorHAnsi" w:cstheme="minorHAnsi"/>
          <w:sz w:val="22"/>
          <w:szCs w:val="22"/>
        </w:rPr>
        <w:t xml:space="preserve"> a las Partes Contratantes a identificar oportunidades para mejorar las sinergias y la cooperación en el ámbito local y regional, entre otras cosas con respecto a la acreditación de las Ciudades de Humedal y los sitios que tengan varias designaciones internacionales (tales como Humedales de Importancia Internacional, reservas de la Biosfera o sitios del Patrimonio Mundial);</w:t>
      </w:r>
    </w:p>
    <w:p w14:paraId="7F004AE4" w14:textId="77777777" w:rsidR="00542923" w:rsidRPr="0027508B" w:rsidRDefault="00542923" w:rsidP="00254AC8">
      <w:pPr>
        <w:pStyle w:val="ListParagraph"/>
        <w:ind w:left="425"/>
        <w:jc w:val="left"/>
        <w:rPr>
          <w:rFonts w:asciiTheme="minorHAnsi" w:hAnsiTheme="minorHAnsi" w:cstheme="minorHAnsi"/>
          <w:bCs/>
        </w:rPr>
      </w:pPr>
    </w:p>
    <w:p w14:paraId="49461BDE" w14:textId="7E7737EC" w:rsidR="00542923" w:rsidRPr="0027508B" w:rsidRDefault="00C7059E" w:rsidP="00254AC8">
      <w:pPr>
        <w:autoSpaceDE w:val="0"/>
        <w:autoSpaceDN w:val="0"/>
        <w:adjustRightInd w:val="0"/>
        <w:rPr>
          <w:rFonts w:asciiTheme="minorHAnsi" w:hAnsiTheme="minorHAnsi" w:cstheme="minorHAnsi"/>
          <w:bCs/>
          <w:sz w:val="22"/>
          <w:szCs w:val="22"/>
        </w:rPr>
      </w:pPr>
      <w:r w:rsidRPr="0027508B">
        <w:rPr>
          <w:rFonts w:asciiTheme="minorHAnsi" w:hAnsiTheme="minorHAnsi" w:cstheme="minorHAnsi"/>
          <w:bCs/>
          <w:sz w:val="22"/>
          <w:szCs w:val="22"/>
        </w:rPr>
        <w:t>34.</w:t>
      </w:r>
      <w:r w:rsidRPr="0027508B">
        <w:rPr>
          <w:rFonts w:asciiTheme="minorHAnsi" w:hAnsiTheme="minorHAnsi" w:cstheme="minorHAnsi"/>
          <w:bCs/>
          <w:sz w:val="22"/>
          <w:szCs w:val="22"/>
        </w:rPr>
        <w:tab/>
        <w:t xml:space="preserve">INVITA ASIMISMO a las Partes Contratantes a trabajar con entidades mundiales y regionales, tales como el Programa de las Naciones Unidas para el Medio Ambiente (PNUMA), el Programa de las Naciones Unidas para el Desarrollo (PNUD), la </w:t>
      </w:r>
      <w:r w:rsidRPr="0027508B">
        <w:rPr>
          <w:rFonts w:asciiTheme="minorHAnsi" w:hAnsiTheme="minorHAnsi" w:cstheme="minorHAnsi"/>
          <w:sz w:val="22"/>
          <w:szCs w:val="22"/>
        </w:rPr>
        <w:t>Organización Mundial de la Salud</w:t>
      </w:r>
      <w:r w:rsidRPr="0027508B">
        <w:rPr>
          <w:rFonts w:asciiTheme="minorHAnsi" w:hAnsiTheme="minorHAnsi" w:cstheme="minorHAnsi"/>
          <w:bCs/>
          <w:sz w:val="22"/>
          <w:szCs w:val="22"/>
        </w:rPr>
        <w:t xml:space="preserve"> (OMS), la Organización de las Naciones Unidas para la Alimentación y la Agricultura (FAO), la Comisión Económica de las Naciones Unidas para Europa (CEPE) y otras comisiones económicas regionales de las Naciones Unidas, la Organización Internacional de las Maderas Tropicales (OIMT) y el Fondo para el Medio Ambiente Mundial (FMAM) a fin de fomentar el uso racional de los humedales;</w:t>
      </w:r>
    </w:p>
    <w:p w14:paraId="21A7E40C" w14:textId="77777777" w:rsidR="00903624" w:rsidRPr="0027508B" w:rsidRDefault="00903624" w:rsidP="00254AC8">
      <w:pPr>
        <w:autoSpaceDE w:val="0"/>
        <w:autoSpaceDN w:val="0"/>
        <w:adjustRightInd w:val="0"/>
        <w:rPr>
          <w:rFonts w:asciiTheme="minorHAnsi" w:hAnsiTheme="minorHAnsi" w:cstheme="minorHAnsi"/>
          <w:bCs/>
          <w:sz w:val="22"/>
          <w:szCs w:val="22"/>
        </w:rPr>
      </w:pPr>
    </w:p>
    <w:p w14:paraId="40E47661" w14:textId="3EA95D35" w:rsidR="00542923" w:rsidRPr="0027508B" w:rsidRDefault="00C7059E" w:rsidP="00254AC8">
      <w:pPr>
        <w:autoSpaceDE w:val="0"/>
        <w:autoSpaceDN w:val="0"/>
        <w:adjustRightInd w:val="0"/>
        <w:rPr>
          <w:rFonts w:asciiTheme="minorHAnsi" w:hAnsiTheme="minorHAnsi" w:cstheme="minorHAnsi"/>
          <w:bCs/>
          <w:sz w:val="22"/>
          <w:szCs w:val="22"/>
        </w:rPr>
      </w:pPr>
      <w:r w:rsidRPr="0027508B">
        <w:rPr>
          <w:rFonts w:asciiTheme="minorHAnsi" w:hAnsiTheme="minorHAnsi" w:cstheme="minorHAnsi"/>
          <w:sz w:val="22"/>
          <w:szCs w:val="22"/>
        </w:rPr>
        <w:t>35.</w:t>
      </w:r>
      <w:r w:rsidRPr="0027508B">
        <w:rPr>
          <w:rFonts w:asciiTheme="minorHAnsi" w:hAnsiTheme="minorHAnsi" w:cstheme="minorHAnsi"/>
          <w:bCs/>
          <w:sz w:val="22"/>
          <w:szCs w:val="22"/>
        </w:rPr>
        <w:tab/>
      </w:r>
      <w:r w:rsidRPr="0027508B">
        <w:rPr>
          <w:rFonts w:asciiTheme="minorHAnsi" w:hAnsiTheme="minorHAnsi" w:cstheme="minorHAnsi"/>
          <w:sz w:val="22"/>
          <w:szCs w:val="22"/>
        </w:rPr>
        <w:t>INVITA ASIMISMO a las Partes Contratantes a seguir teniendo en cuenta los resultados del proyecto “</w:t>
      </w:r>
      <w:r w:rsidRPr="0027508B">
        <w:rPr>
          <w:rFonts w:asciiTheme="minorHAnsi" w:hAnsiTheme="minorHAnsi" w:cstheme="minorHAnsi"/>
          <w:i/>
          <w:sz w:val="22"/>
          <w:szCs w:val="22"/>
        </w:rPr>
        <w:t>Improving the effectiveness of and cooperation among biodiversity-related conventions and exploring opportunities for further synergies</w:t>
      </w:r>
      <w:r w:rsidRPr="0027508B">
        <w:rPr>
          <w:rFonts w:asciiTheme="minorHAnsi" w:hAnsiTheme="minorHAnsi" w:cstheme="minorHAnsi"/>
          <w:sz w:val="22"/>
          <w:szCs w:val="22"/>
        </w:rPr>
        <w:t>” (Mejora de la efectividad y la cooperación entre las convenciones relacionadas con la biodiversidad y estudio de las oportunidades para mayores sinergias) entre otras cosas, a través de la guía realizada por el PNUMA; y ALIENTA a la Secretaría y a las Partes Contratantes a aplicar las recomendaciones correspondientes a fin de promover sinergias entre el grupo de acuerdos multilaterales sobre el medio ambiente (AMMA) relacionados con la diversidad biológica;</w:t>
      </w:r>
    </w:p>
    <w:p w14:paraId="179E2ECC" w14:textId="77777777" w:rsidR="00542923" w:rsidRPr="0027508B" w:rsidRDefault="00542923" w:rsidP="00254AC8">
      <w:pPr>
        <w:pStyle w:val="ListParagraph"/>
        <w:ind w:left="425"/>
        <w:jc w:val="left"/>
        <w:rPr>
          <w:rFonts w:asciiTheme="minorHAnsi" w:hAnsiTheme="minorHAnsi" w:cstheme="minorHAnsi"/>
          <w:bCs/>
        </w:rPr>
      </w:pPr>
    </w:p>
    <w:p w14:paraId="2A760D7F" w14:textId="0269997E" w:rsidR="008969EB" w:rsidRPr="0027508B" w:rsidRDefault="00C7059E" w:rsidP="00254AC8">
      <w:pPr>
        <w:autoSpaceDE w:val="0"/>
        <w:autoSpaceDN w:val="0"/>
        <w:adjustRightInd w:val="0"/>
        <w:rPr>
          <w:rFonts w:asciiTheme="minorHAnsi" w:hAnsiTheme="minorHAnsi" w:cstheme="minorHAnsi"/>
          <w:bCs/>
          <w:sz w:val="22"/>
          <w:szCs w:val="22"/>
        </w:rPr>
      </w:pPr>
      <w:r w:rsidRPr="0027508B">
        <w:rPr>
          <w:rFonts w:asciiTheme="minorHAnsi" w:hAnsiTheme="minorHAnsi" w:cstheme="minorHAnsi"/>
          <w:bCs/>
          <w:sz w:val="22"/>
          <w:szCs w:val="22"/>
        </w:rPr>
        <w:lastRenderedPageBreak/>
        <w:t>36.</w:t>
      </w:r>
      <w:r w:rsidRPr="0027508B">
        <w:rPr>
          <w:rFonts w:asciiTheme="minorHAnsi" w:hAnsiTheme="minorHAnsi" w:cstheme="minorHAnsi"/>
          <w:bCs/>
          <w:sz w:val="22"/>
          <w:szCs w:val="22"/>
        </w:rPr>
        <w:tab/>
        <w:t xml:space="preserve">PIDE que las Partes Contratantes sigan aplicando los </w:t>
      </w:r>
      <w:r w:rsidRPr="0027508B">
        <w:rPr>
          <w:rFonts w:asciiTheme="minorHAnsi" w:hAnsiTheme="minorHAnsi" w:cstheme="minorHAnsi"/>
          <w:bCs/>
          <w:i/>
          <w:sz w:val="22"/>
          <w:szCs w:val="22"/>
        </w:rPr>
        <w:t xml:space="preserve">Lineamientos para la cooperación internacional con arreglo a la Convención de Ramsar </w:t>
      </w:r>
      <w:r w:rsidRPr="0027508B">
        <w:rPr>
          <w:rFonts w:asciiTheme="minorHAnsi" w:hAnsiTheme="minorHAnsi" w:cstheme="minorHAnsi"/>
          <w:bCs/>
          <w:sz w:val="22"/>
          <w:szCs w:val="22"/>
        </w:rPr>
        <w:t>(Resolución VII.19), entre otras cosas mediante el establecimiento de mecanismos de cooperación para el manejo de los humedales y cuencas hidrográficas compartidos destinados a intensificar la cooperación transfronteriza y el establecimiento de sitios Ramsar transfronterizos</w:t>
      </w:r>
      <w:r w:rsidR="00312ECC" w:rsidRPr="0027508B">
        <w:rPr>
          <w:rStyle w:val="FootnoteReference"/>
          <w:rFonts w:asciiTheme="minorHAnsi" w:hAnsiTheme="minorHAnsi" w:cstheme="minorHAnsi"/>
          <w:bCs/>
          <w:sz w:val="22"/>
          <w:szCs w:val="22"/>
        </w:rPr>
        <w:footnoteReference w:id="4"/>
      </w:r>
      <w:r w:rsidRPr="0027508B">
        <w:rPr>
          <w:rFonts w:asciiTheme="minorHAnsi" w:hAnsiTheme="minorHAnsi" w:cstheme="minorHAnsi"/>
          <w:bCs/>
          <w:sz w:val="22"/>
          <w:szCs w:val="22"/>
        </w:rPr>
        <w:t xml:space="preserve">; </w:t>
      </w:r>
    </w:p>
    <w:p w14:paraId="2AEE990B" w14:textId="42EA2936" w:rsidR="004F7C9B" w:rsidRPr="0027508B" w:rsidRDefault="004F7C9B" w:rsidP="002E40B3">
      <w:pPr>
        <w:autoSpaceDE w:val="0"/>
        <w:autoSpaceDN w:val="0"/>
        <w:adjustRightInd w:val="0"/>
        <w:rPr>
          <w:rFonts w:asciiTheme="minorHAnsi" w:hAnsiTheme="minorHAnsi" w:cstheme="minorHAnsi"/>
          <w:noProof/>
          <w:snapToGrid w:val="0"/>
          <w:kern w:val="20"/>
          <w:sz w:val="22"/>
          <w:szCs w:val="22"/>
        </w:rPr>
      </w:pPr>
    </w:p>
    <w:p w14:paraId="5DDBAF84" w14:textId="28322515" w:rsidR="00355A23" w:rsidRPr="0027508B" w:rsidRDefault="00C7059E" w:rsidP="00254AC8">
      <w:pPr>
        <w:rPr>
          <w:rFonts w:asciiTheme="minorHAnsi" w:hAnsiTheme="minorHAnsi" w:cstheme="minorHAnsi"/>
          <w:sz w:val="22"/>
          <w:szCs w:val="22"/>
        </w:rPr>
      </w:pPr>
      <w:r w:rsidRPr="0027508B">
        <w:rPr>
          <w:rFonts w:asciiTheme="minorHAnsi" w:hAnsiTheme="minorHAnsi" w:cstheme="minorHAnsi"/>
          <w:bCs/>
          <w:sz w:val="22"/>
          <w:szCs w:val="22"/>
        </w:rPr>
        <w:t>37.</w:t>
      </w:r>
      <w:r w:rsidRPr="0027508B">
        <w:rPr>
          <w:rFonts w:asciiTheme="minorHAnsi" w:hAnsiTheme="minorHAnsi" w:cstheme="minorHAnsi"/>
          <w:bCs/>
          <w:sz w:val="22"/>
          <w:szCs w:val="22"/>
        </w:rPr>
        <w:tab/>
      </w:r>
      <w:r w:rsidRPr="0027508B">
        <w:rPr>
          <w:rFonts w:asciiTheme="minorHAnsi" w:hAnsiTheme="minorHAnsi" w:cstheme="minorHAnsi"/>
          <w:sz w:val="22"/>
          <w:szCs w:val="22"/>
        </w:rPr>
        <w:t xml:space="preserve">ENCARGA a la Secretaría que informe periódicamente al Comité Permanente sobre los progresos en la aplicación de la presente Resolución y de la Resolución XI.6 sobre </w:t>
      </w:r>
      <w:r w:rsidRPr="0027508B">
        <w:rPr>
          <w:rFonts w:asciiTheme="minorHAnsi" w:hAnsiTheme="minorHAnsi" w:cstheme="minorHAnsi"/>
          <w:i/>
          <w:sz w:val="22"/>
          <w:szCs w:val="22"/>
        </w:rPr>
        <w:t>Asociaciones de colaboración y sinergias con acuerdos multilaterales sobre el medio ambiente y otras instituciones</w:t>
      </w:r>
      <w:r w:rsidRPr="0027508B">
        <w:rPr>
          <w:rFonts w:asciiTheme="minorHAnsi" w:hAnsiTheme="minorHAnsi" w:cstheme="minorHAnsi"/>
          <w:sz w:val="22"/>
          <w:szCs w:val="22"/>
        </w:rPr>
        <w:t>;</w:t>
      </w:r>
    </w:p>
    <w:p w14:paraId="4A9D1362" w14:textId="143E84C0" w:rsidR="000A3DA1" w:rsidRPr="0027508B" w:rsidRDefault="000A3DA1" w:rsidP="002E40B3">
      <w:pPr>
        <w:autoSpaceDE w:val="0"/>
        <w:autoSpaceDN w:val="0"/>
        <w:adjustRightInd w:val="0"/>
        <w:rPr>
          <w:rFonts w:asciiTheme="minorHAnsi" w:hAnsiTheme="minorHAnsi" w:cstheme="minorHAnsi"/>
          <w:sz w:val="22"/>
          <w:szCs w:val="22"/>
        </w:rPr>
      </w:pPr>
    </w:p>
    <w:p w14:paraId="6D0B4775" w14:textId="5206AAD3" w:rsidR="000A3DA1" w:rsidRPr="0027508B" w:rsidRDefault="00C7059E" w:rsidP="00222988">
      <w:pPr>
        <w:autoSpaceDE w:val="0"/>
        <w:autoSpaceDN w:val="0"/>
        <w:adjustRightInd w:val="0"/>
        <w:rPr>
          <w:rFonts w:asciiTheme="minorHAnsi" w:hAnsiTheme="minorHAnsi" w:cstheme="minorHAnsi"/>
          <w:bCs/>
          <w:sz w:val="22"/>
          <w:szCs w:val="22"/>
        </w:rPr>
      </w:pPr>
      <w:r w:rsidRPr="0027508B">
        <w:rPr>
          <w:rFonts w:asciiTheme="minorHAnsi" w:hAnsiTheme="minorHAnsi" w:cstheme="minorHAnsi"/>
          <w:bCs/>
          <w:sz w:val="22"/>
          <w:szCs w:val="22"/>
        </w:rPr>
        <w:t>38.</w:t>
      </w:r>
      <w:r w:rsidRPr="0027508B">
        <w:rPr>
          <w:rFonts w:asciiTheme="minorHAnsi" w:hAnsiTheme="minorHAnsi" w:cstheme="minorHAnsi"/>
          <w:bCs/>
          <w:sz w:val="22"/>
          <w:szCs w:val="22"/>
        </w:rPr>
        <w:tab/>
        <w:t>REAFIRMA la invitación formulada en la Resolución XII.3 a todas las Partes Contratantes que estén sopesando la posibilidad de acoger reuniones de la Conferencia de las Partes Contratantes a que consideren la inclusión de una serie de sesiones ministeriales de alto nivel durante la Conferencia en las que se traten cuestiones claramente definidas en apoyo al programa de la reunión;</w:t>
      </w:r>
    </w:p>
    <w:p w14:paraId="4FE935FE" w14:textId="77777777" w:rsidR="00355A23" w:rsidRPr="0027508B" w:rsidRDefault="00355A23" w:rsidP="00222988">
      <w:pPr>
        <w:autoSpaceDE w:val="0"/>
        <w:autoSpaceDN w:val="0"/>
        <w:adjustRightInd w:val="0"/>
        <w:rPr>
          <w:rFonts w:asciiTheme="minorHAnsi" w:hAnsiTheme="minorHAnsi" w:cstheme="minorHAnsi"/>
          <w:bCs/>
          <w:sz w:val="22"/>
          <w:szCs w:val="22"/>
        </w:rPr>
      </w:pPr>
    </w:p>
    <w:p w14:paraId="40C91F59" w14:textId="42CAE928" w:rsidR="00261F91" w:rsidRPr="0027508B" w:rsidRDefault="00C7059E" w:rsidP="002E40B3">
      <w:pPr>
        <w:autoSpaceDE w:val="0"/>
        <w:autoSpaceDN w:val="0"/>
        <w:adjustRightInd w:val="0"/>
        <w:rPr>
          <w:rFonts w:asciiTheme="minorHAnsi" w:hAnsiTheme="minorHAnsi" w:cstheme="minorHAnsi"/>
          <w:noProof/>
          <w:snapToGrid w:val="0"/>
          <w:kern w:val="20"/>
          <w:sz w:val="22"/>
          <w:szCs w:val="22"/>
        </w:rPr>
      </w:pPr>
      <w:r w:rsidRPr="0027508B">
        <w:rPr>
          <w:rFonts w:asciiTheme="minorHAnsi" w:hAnsiTheme="minorHAnsi" w:cstheme="minorHAnsi"/>
          <w:sz w:val="22"/>
          <w:szCs w:val="22"/>
        </w:rPr>
        <w:t>39.</w:t>
      </w:r>
      <w:r w:rsidRPr="0027508B">
        <w:rPr>
          <w:rFonts w:asciiTheme="minorHAnsi" w:hAnsiTheme="minorHAnsi" w:cstheme="minorHAnsi"/>
          <w:sz w:val="22"/>
          <w:szCs w:val="22"/>
        </w:rPr>
        <w:tab/>
        <w:t>ACOGE CON SATISFACCIÓN la colaboración continua entre la Secretaría y las secretarías de otras convenciones relacionadas con la diversidad biológica a través del Grupo de enlace sobre la diversidad biológica (Biodiversity Liaison Group, BLG) y mediante la aplicación de planes de trabajo conjunto y actividades de interés común; y PIDE a la Secretaria General que incluya información sobre los resultados logrados en la colaboración en curso con otras convenciones, organizaciones internacionales y asociaciones y sobre el análisis de nuevas actividades con posibles asociados;</w:t>
      </w:r>
    </w:p>
    <w:p w14:paraId="7EC47D82" w14:textId="77777777" w:rsidR="002D6BB9" w:rsidRPr="0027508B" w:rsidRDefault="002D6BB9" w:rsidP="00254AC8">
      <w:pPr>
        <w:pStyle w:val="ListParagraph"/>
        <w:ind w:left="425"/>
        <w:jc w:val="left"/>
        <w:rPr>
          <w:rFonts w:asciiTheme="minorHAnsi" w:hAnsiTheme="minorHAnsi" w:cstheme="minorHAnsi"/>
          <w:noProof/>
          <w:snapToGrid w:val="0"/>
          <w:kern w:val="20"/>
        </w:rPr>
      </w:pPr>
    </w:p>
    <w:p w14:paraId="530FDECF" w14:textId="1F1E6563" w:rsidR="002D6BB9" w:rsidRPr="0027508B" w:rsidRDefault="00C7059E" w:rsidP="00254AC8">
      <w:pPr>
        <w:rPr>
          <w:rFonts w:asciiTheme="minorHAnsi" w:hAnsiTheme="minorHAnsi" w:cstheme="minorHAnsi"/>
          <w:sz w:val="22"/>
          <w:szCs w:val="22"/>
        </w:rPr>
      </w:pPr>
      <w:r w:rsidRPr="0027508B">
        <w:rPr>
          <w:rFonts w:asciiTheme="minorHAnsi" w:hAnsiTheme="minorHAnsi" w:cstheme="minorHAnsi"/>
          <w:sz w:val="22"/>
          <w:szCs w:val="22"/>
        </w:rPr>
        <w:t>40.</w:t>
      </w:r>
      <w:r w:rsidRPr="0027508B">
        <w:rPr>
          <w:rFonts w:asciiTheme="minorHAnsi" w:hAnsiTheme="minorHAnsi" w:cstheme="minorHAnsi"/>
          <w:sz w:val="22"/>
          <w:szCs w:val="22"/>
        </w:rPr>
        <w:tab/>
        <w:t xml:space="preserve">CONSIDERA OPORTUNA la Decisión XIII.24, sobre </w:t>
      </w:r>
      <w:r w:rsidRPr="0027508B">
        <w:rPr>
          <w:rFonts w:asciiTheme="minorHAnsi" w:hAnsiTheme="minorHAnsi" w:cstheme="minorHAnsi"/>
          <w:i/>
          <w:sz w:val="22"/>
          <w:szCs w:val="22"/>
        </w:rPr>
        <w:t>Cooperación con otros convenios y organizaciones internacionales</w:t>
      </w:r>
      <w:r w:rsidRPr="0027508B">
        <w:rPr>
          <w:rFonts w:asciiTheme="minorHAnsi" w:hAnsiTheme="minorHAnsi" w:cstheme="minorHAnsi"/>
          <w:sz w:val="22"/>
          <w:szCs w:val="22"/>
        </w:rPr>
        <w:t>, adoptada por la Conferencia de las Partes Contratantes en el Convenio sobre la Diversidad Biológica (CDB) y PIDE que la Secretaría haga aportaciones al proceso de sinergias, según proceda, particularmente con respecto a aquellas cuestiones que sean pertinentes para la Convención de Ramsar e informe al respecto al Comité Permanente;</w:t>
      </w:r>
    </w:p>
    <w:p w14:paraId="22E38B56" w14:textId="77777777" w:rsidR="00261F91" w:rsidRPr="0027508B" w:rsidRDefault="00261F91" w:rsidP="00254AC8">
      <w:pPr>
        <w:pStyle w:val="ListParagraph"/>
        <w:ind w:left="425"/>
        <w:jc w:val="left"/>
        <w:rPr>
          <w:rFonts w:asciiTheme="minorHAnsi" w:hAnsiTheme="minorHAnsi" w:cstheme="minorHAnsi"/>
          <w:noProof/>
          <w:snapToGrid w:val="0"/>
          <w:kern w:val="20"/>
          <w:highlight w:val="yellow"/>
        </w:rPr>
      </w:pPr>
    </w:p>
    <w:p w14:paraId="0E651772" w14:textId="6C2458B6" w:rsidR="008969EB" w:rsidRPr="0027508B" w:rsidRDefault="00C7059E" w:rsidP="002E40B3">
      <w:pPr>
        <w:rPr>
          <w:rFonts w:asciiTheme="minorHAnsi" w:hAnsiTheme="minorHAnsi" w:cstheme="minorHAnsi"/>
          <w:sz w:val="22"/>
          <w:szCs w:val="22"/>
        </w:rPr>
      </w:pPr>
      <w:r w:rsidRPr="0027508B">
        <w:rPr>
          <w:rFonts w:asciiTheme="minorHAnsi" w:hAnsiTheme="minorHAnsi" w:cstheme="minorHAnsi"/>
          <w:sz w:val="22"/>
          <w:szCs w:val="22"/>
        </w:rPr>
        <w:t>41.</w:t>
      </w:r>
      <w:r w:rsidRPr="0027508B">
        <w:rPr>
          <w:rFonts w:asciiTheme="minorHAnsi" w:hAnsiTheme="minorHAnsi" w:cstheme="minorHAnsi"/>
          <w:sz w:val="22"/>
          <w:szCs w:val="22"/>
        </w:rPr>
        <w:tab/>
        <w:t xml:space="preserve">ENCARGA ADEMÁS a la Secretaría que continúe trabajando para intensificar la colaboración con los organismos de las Naciones Unidas, particularmente con el PNUMA, el PNUD, la FAO, el Banco Mundial, la OMS, la Organización Meteorológica Mundial (OMM), la Organización de las Naciones Unidas para la Educación, la Ciencia y la Cultura (UNESCO), la CEPE y otras comisiones económicas regionales de las Naciones Unidas, el FMAM, los AMMA tales como la Convención Marco de las Naciones Unidas sobre el Cambio Climático, la Convención de las Naciones Unidas de Lucha contra la Desertificación, el Convenio sobre la Diversidad Biológica, la Convención sobre la conservación de las especies migratorias de animales silvestres (CEM) y otros, y que informe periódicamente al Comité Permanente sobre los progresos realizados; </w:t>
      </w:r>
    </w:p>
    <w:p w14:paraId="5741228A" w14:textId="77777777" w:rsidR="00DA4496" w:rsidRPr="0027508B" w:rsidRDefault="00DA4496" w:rsidP="00254AC8">
      <w:pPr>
        <w:autoSpaceDE w:val="0"/>
        <w:autoSpaceDN w:val="0"/>
        <w:adjustRightInd w:val="0"/>
        <w:rPr>
          <w:rFonts w:asciiTheme="minorHAnsi" w:hAnsiTheme="minorHAnsi" w:cstheme="minorHAnsi"/>
          <w:sz w:val="22"/>
          <w:szCs w:val="22"/>
        </w:rPr>
      </w:pPr>
    </w:p>
    <w:p w14:paraId="78D6F5D3" w14:textId="4799424D" w:rsidR="00DA4496" w:rsidRPr="0027508B" w:rsidRDefault="00DA4496" w:rsidP="00254AC8">
      <w:pPr>
        <w:autoSpaceDE w:val="0"/>
        <w:autoSpaceDN w:val="0"/>
        <w:adjustRightInd w:val="0"/>
        <w:rPr>
          <w:rFonts w:asciiTheme="minorHAnsi" w:hAnsiTheme="minorHAnsi" w:cstheme="minorHAnsi"/>
          <w:sz w:val="22"/>
          <w:szCs w:val="22"/>
        </w:rPr>
      </w:pPr>
      <w:r w:rsidRPr="0027508B">
        <w:rPr>
          <w:rFonts w:asciiTheme="minorHAnsi" w:hAnsiTheme="minorHAnsi" w:cstheme="minorHAnsi"/>
          <w:sz w:val="22"/>
          <w:szCs w:val="22"/>
        </w:rPr>
        <w:t>42.</w:t>
      </w:r>
      <w:r w:rsidRPr="0027508B">
        <w:rPr>
          <w:rFonts w:asciiTheme="minorHAnsi" w:hAnsiTheme="minorHAnsi" w:cstheme="minorHAnsi"/>
          <w:sz w:val="22"/>
          <w:szCs w:val="22"/>
        </w:rPr>
        <w:tab/>
        <w:t xml:space="preserve">ALIENTA a las Partes Contratantes a que consideren sus circunstancias nacionales y enfoques basados en los ecosistemas al preparar o actualizar sus contribuciones determinadas a nivel nacional, según proceda y cuando resulte apropiado, y a tomar medidas nacionales en relación </w:t>
      </w:r>
      <w:r w:rsidRPr="0027508B">
        <w:rPr>
          <w:rFonts w:asciiTheme="minorHAnsi" w:hAnsiTheme="minorHAnsi" w:cstheme="minorHAnsi"/>
          <w:sz w:val="22"/>
          <w:szCs w:val="22"/>
        </w:rPr>
        <w:lastRenderedPageBreak/>
        <w:t>con el clima en virtud del Acuerdo de París, teniendo en cuenta la importancia de salvaguardar y restaurar los humedales;</w:t>
      </w:r>
    </w:p>
    <w:p w14:paraId="69A19CDB" w14:textId="77777777" w:rsidR="008969EB" w:rsidRPr="0027508B" w:rsidRDefault="008969EB" w:rsidP="00254AC8">
      <w:pPr>
        <w:autoSpaceDE w:val="0"/>
        <w:autoSpaceDN w:val="0"/>
        <w:adjustRightInd w:val="0"/>
        <w:rPr>
          <w:rFonts w:asciiTheme="minorHAnsi" w:hAnsiTheme="minorHAnsi" w:cstheme="minorHAnsi"/>
          <w:bCs/>
          <w:sz w:val="22"/>
          <w:szCs w:val="22"/>
          <w:highlight w:val="yellow"/>
        </w:rPr>
      </w:pPr>
    </w:p>
    <w:p w14:paraId="780B6B7A" w14:textId="5D915A5D" w:rsidR="008969EB" w:rsidRPr="0027508B" w:rsidRDefault="0048167E" w:rsidP="00254AC8">
      <w:pPr>
        <w:suppressAutoHyphens/>
        <w:autoSpaceDE w:val="0"/>
        <w:autoSpaceDN w:val="0"/>
        <w:adjustRightInd w:val="0"/>
        <w:rPr>
          <w:rFonts w:asciiTheme="minorHAnsi" w:hAnsiTheme="minorHAnsi" w:cstheme="minorHAnsi"/>
          <w:bCs/>
          <w:sz w:val="22"/>
          <w:szCs w:val="22"/>
        </w:rPr>
      </w:pPr>
      <w:r w:rsidRPr="0027508B">
        <w:rPr>
          <w:rFonts w:asciiTheme="minorHAnsi" w:hAnsiTheme="minorHAnsi" w:cstheme="minorHAnsi"/>
          <w:sz w:val="22"/>
          <w:szCs w:val="22"/>
        </w:rPr>
        <w:t>43.</w:t>
      </w:r>
      <w:r w:rsidRPr="0027508B">
        <w:rPr>
          <w:rFonts w:asciiTheme="minorHAnsi" w:hAnsiTheme="minorHAnsi" w:cstheme="minorHAnsi"/>
          <w:sz w:val="22"/>
          <w:szCs w:val="22"/>
        </w:rPr>
        <w:tab/>
        <w:t>ACOGE CON SATISFACCIÓN los progresos logrados por la Secretaría en la aplicación del memorando de entendimiento con el PNUMA para mejorar la colaboración en áreas de interés común, y PIDE que la Secretaría de Ramsar informe al Comité Permanente sobre los progresos realizados con respecto a las actividades en cuestión;</w:t>
      </w:r>
    </w:p>
    <w:p w14:paraId="69271311" w14:textId="77777777" w:rsidR="00523FD7" w:rsidRPr="0027508B" w:rsidRDefault="00523FD7" w:rsidP="00254AC8">
      <w:pPr>
        <w:suppressAutoHyphens/>
        <w:autoSpaceDE w:val="0"/>
        <w:autoSpaceDN w:val="0"/>
        <w:adjustRightInd w:val="0"/>
        <w:rPr>
          <w:rFonts w:asciiTheme="minorHAnsi" w:hAnsiTheme="minorHAnsi" w:cstheme="minorHAnsi"/>
          <w:bCs/>
          <w:sz w:val="22"/>
          <w:szCs w:val="22"/>
        </w:rPr>
      </w:pPr>
    </w:p>
    <w:p w14:paraId="1B1354CF" w14:textId="2C448C2F" w:rsidR="00FA1C81" w:rsidRPr="0027508B" w:rsidRDefault="00523FD7" w:rsidP="002E40B3">
      <w:pPr>
        <w:rPr>
          <w:rFonts w:asciiTheme="minorHAnsi" w:hAnsiTheme="minorHAnsi" w:cstheme="minorHAnsi"/>
          <w:sz w:val="22"/>
          <w:szCs w:val="22"/>
        </w:rPr>
      </w:pPr>
      <w:r w:rsidRPr="0027508B">
        <w:rPr>
          <w:rFonts w:asciiTheme="minorHAnsi" w:hAnsiTheme="minorHAnsi" w:cstheme="minorHAnsi"/>
          <w:sz w:val="22"/>
          <w:szCs w:val="22"/>
        </w:rPr>
        <w:t>44.</w:t>
      </w:r>
      <w:r w:rsidRPr="0027508B">
        <w:rPr>
          <w:rFonts w:asciiTheme="minorHAnsi" w:hAnsiTheme="minorHAnsi" w:cstheme="minorHAnsi"/>
          <w:sz w:val="22"/>
          <w:szCs w:val="22"/>
        </w:rPr>
        <w:tab/>
        <w:t xml:space="preserve">PIDE a la Secretaría que fomente y mejore la competencia técnica transversal en el equipo de la Secretaría como una manera de maximizar el uso de los recursos existentes y evitar la duplicación de esfuerzos, promueva un enfoque que engloba a toda la Secretaría para apoyar en forma equitativa y constante los esfuerzos de las Partes encaminados a aplicar la Convención, e impulse sinergias y contribuciones en las AMMA y la Agenda 2030 para el Desarrollo Sostenible; </w:t>
      </w:r>
    </w:p>
    <w:p w14:paraId="4FA956AD" w14:textId="77777777" w:rsidR="00445077" w:rsidRPr="0027508B" w:rsidRDefault="00445077" w:rsidP="002E40B3">
      <w:pPr>
        <w:rPr>
          <w:rFonts w:asciiTheme="minorHAnsi" w:hAnsiTheme="minorHAnsi" w:cstheme="minorHAnsi"/>
          <w:sz w:val="22"/>
          <w:szCs w:val="22"/>
        </w:rPr>
      </w:pPr>
    </w:p>
    <w:p w14:paraId="77D8B84C" w14:textId="77777777" w:rsidR="00953471" w:rsidRPr="0027508B" w:rsidRDefault="002D6BB9" w:rsidP="00612425">
      <w:pPr>
        <w:keepNext/>
        <w:autoSpaceDE w:val="0"/>
        <w:autoSpaceDN w:val="0"/>
        <w:adjustRightInd w:val="0"/>
        <w:ind w:left="0" w:firstLine="0"/>
        <w:rPr>
          <w:rFonts w:asciiTheme="minorHAnsi" w:hAnsiTheme="minorHAnsi" w:cstheme="minorHAnsi"/>
          <w:bCs/>
          <w:sz w:val="22"/>
          <w:szCs w:val="22"/>
          <w:u w:val="single"/>
        </w:rPr>
      </w:pPr>
      <w:bookmarkStart w:id="0" w:name="_GoBack"/>
      <w:r w:rsidRPr="0027508B">
        <w:rPr>
          <w:rFonts w:asciiTheme="minorHAnsi" w:hAnsiTheme="minorHAnsi" w:cstheme="minorHAnsi"/>
          <w:bCs/>
          <w:sz w:val="22"/>
          <w:szCs w:val="22"/>
          <w:u w:val="single"/>
        </w:rPr>
        <w:t xml:space="preserve">En lo relativo a la Agenda 2030 y los Objetivos de Desarrollo Sostenible - indicador para la extensión de los humedales </w:t>
      </w:r>
    </w:p>
    <w:bookmarkEnd w:id="0"/>
    <w:p w14:paraId="2E6EFDA5" w14:textId="510D15AA" w:rsidR="002D6BB9" w:rsidRPr="0027508B" w:rsidRDefault="00C7059E" w:rsidP="00254AC8">
      <w:pPr>
        <w:keepNext/>
        <w:autoSpaceDE w:val="0"/>
        <w:autoSpaceDN w:val="0"/>
        <w:adjustRightInd w:val="0"/>
        <w:rPr>
          <w:rFonts w:asciiTheme="minorHAnsi" w:hAnsiTheme="minorHAnsi" w:cstheme="minorHAnsi"/>
          <w:bCs/>
          <w:sz w:val="22"/>
          <w:szCs w:val="22"/>
          <w:u w:val="single"/>
        </w:rPr>
      </w:pPr>
      <w:r w:rsidRPr="0027508B">
        <w:rPr>
          <w:rFonts w:asciiTheme="minorHAnsi" w:hAnsiTheme="minorHAnsi" w:cstheme="minorHAnsi"/>
          <w:bCs/>
          <w:sz w:val="22"/>
          <w:szCs w:val="22"/>
          <w:u w:val="single"/>
        </w:rPr>
        <w:t xml:space="preserve"> </w:t>
      </w:r>
    </w:p>
    <w:p w14:paraId="32EA4957" w14:textId="15F9C0E7" w:rsidR="007D46E9" w:rsidRPr="0027508B" w:rsidRDefault="00C7059E" w:rsidP="00254AC8">
      <w:pPr>
        <w:tabs>
          <w:tab w:val="left" w:pos="426"/>
        </w:tabs>
        <w:rPr>
          <w:rFonts w:asciiTheme="minorHAnsi" w:hAnsiTheme="minorHAnsi" w:cstheme="minorHAnsi"/>
          <w:sz w:val="22"/>
          <w:szCs w:val="22"/>
        </w:rPr>
      </w:pPr>
      <w:r w:rsidRPr="0027508B">
        <w:rPr>
          <w:rFonts w:asciiTheme="minorHAnsi" w:hAnsiTheme="minorHAnsi" w:cstheme="minorHAnsi"/>
          <w:sz w:val="22"/>
          <w:szCs w:val="22"/>
        </w:rPr>
        <w:t>45.</w:t>
      </w:r>
      <w:r w:rsidRPr="0027508B">
        <w:rPr>
          <w:rFonts w:asciiTheme="minorHAnsi" w:hAnsiTheme="minorHAnsi" w:cstheme="minorHAnsi"/>
          <w:sz w:val="22"/>
          <w:szCs w:val="22"/>
        </w:rPr>
        <w:tab/>
        <w:t xml:space="preserve">ENCARGA a la Secretaría que continúe trabajando activamente con el Grupo interinstitucional de expertos sobre los indicadores de los objetivos de desarrollo sostenible (IAEG-ODS), así como con otros organismos pertinentes de las Naciones Unidas sobre los indicadores relacionados con el agua, particularmente el indicador 6.6.1 sobre la extensión de los humedales; </w:t>
      </w:r>
    </w:p>
    <w:p w14:paraId="610C600D" w14:textId="77777777" w:rsidR="00010117" w:rsidRPr="0027508B" w:rsidRDefault="00010117" w:rsidP="00254AC8">
      <w:pPr>
        <w:tabs>
          <w:tab w:val="left" w:pos="426"/>
        </w:tabs>
        <w:rPr>
          <w:rFonts w:asciiTheme="minorHAnsi" w:hAnsiTheme="minorHAnsi" w:cstheme="minorHAnsi"/>
          <w:sz w:val="22"/>
          <w:szCs w:val="22"/>
        </w:rPr>
      </w:pPr>
    </w:p>
    <w:p w14:paraId="32CDBD92" w14:textId="296A1BE3" w:rsidR="00C260B7" w:rsidRPr="0027508B" w:rsidRDefault="00E95E7A" w:rsidP="002E40B3">
      <w:pPr>
        <w:rPr>
          <w:rFonts w:asciiTheme="minorHAnsi" w:hAnsiTheme="minorHAnsi" w:cstheme="minorHAnsi"/>
          <w:sz w:val="22"/>
          <w:szCs w:val="22"/>
        </w:rPr>
      </w:pPr>
      <w:r w:rsidRPr="0027508B">
        <w:rPr>
          <w:rFonts w:asciiTheme="minorHAnsi" w:hAnsiTheme="minorHAnsi" w:cstheme="minorHAnsi"/>
          <w:sz w:val="22"/>
          <w:szCs w:val="22"/>
        </w:rPr>
        <w:t>46.</w:t>
      </w:r>
      <w:r w:rsidRPr="0027508B">
        <w:rPr>
          <w:rFonts w:asciiTheme="minorHAnsi" w:hAnsiTheme="minorHAnsi" w:cstheme="minorHAnsi"/>
          <w:sz w:val="22"/>
          <w:szCs w:val="22"/>
        </w:rPr>
        <w:tab/>
        <w:t>PIDE ADEMÁS a la Secretaría que continúe trabajando con las Partes Contratantes en la realización de los inventarios nacionales de humedales y la extensión de los humedales para informar sobre el indicador 6.6.1 de los ODS;</w:t>
      </w:r>
    </w:p>
    <w:p w14:paraId="19EE64A1" w14:textId="77777777" w:rsidR="00010117" w:rsidRPr="0027508B" w:rsidRDefault="00010117" w:rsidP="00254AC8">
      <w:pPr>
        <w:ind w:left="567"/>
        <w:contextualSpacing/>
        <w:rPr>
          <w:rFonts w:asciiTheme="minorHAnsi" w:hAnsiTheme="minorHAnsi" w:cstheme="minorHAnsi"/>
          <w:sz w:val="22"/>
          <w:szCs w:val="22"/>
        </w:rPr>
      </w:pPr>
    </w:p>
    <w:p w14:paraId="69973F1D" w14:textId="5CC2BE37" w:rsidR="00C260B7" w:rsidRPr="0027508B" w:rsidRDefault="00C7059E" w:rsidP="00254AC8">
      <w:pPr>
        <w:tabs>
          <w:tab w:val="left" w:pos="426"/>
        </w:tabs>
        <w:rPr>
          <w:rFonts w:asciiTheme="minorHAnsi" w:hAnsiTheme="minorHAnsi" w:cstheme="minorHAnsi"/>
          <w:sz w:val="22"/>
          <w:szCs w:val="22"/>
        </w:rPr>
      </w:pPr>
      <w:r w:rsidRPr="0027508B">
        <w:rPr>
          <w:rFonts w:asciiTheme="minorHAnsi" w:hAnsiTheme="minorHAnsi" w:cstheme="minorHAnsi"/>
          <w:sz w:val="22"/>
          <w:szCs w:val="22"/>
        </w:rPr>
        <w:t>47.</w:t>
      </w:r>
      <w:r w:rsidRPr="0027508B">
        <w:rPr>
          <w:rFonts w:asciiTheme="minorHAnsi" w:hAnsiTheme="minorHAnsi" w:cstheme="minorHAnsi"/>
          <w:sz w:val="22"/>
          <w:szCs w:val="22"/>
        </w:rPr>
        <w:tab/>
        <w:t>ENCARGA a la Secretaría que participe, según proceda, en las iniciativas internacionales pertinentes para aplicar la Agenda 2030 para el Desarrollo Sostenible y los Objetivos de Desarrollo Sostenible, incluido el Foro Político de Alto Nivel sobre el Desarrollo Sostenible, y en las deliberaciones sobre los Objetivos de Desarrollo Sostenible 14 y 15 y las Metas 14.2 y 15.1 en foros internacionales;</w:t>
      </w:r>
    </w:p>
    <w:p w14:paraId="6A5D3870" w14:textId="77777777" w:rsidR="00116971" w:rsidRPr="0027508B" w:rsidRDefault="00116971" w:rsidP="00254AC8">
      <w:pPr>
        <w:tabs>
          <w:tab w:val="left" w:pos="426"/>
        </w:tabs>
        <w:rPr>
          <w:rFonts w:asciiTheme="minorHAnsi" w:hAnsiTheme="minorHAnsi" w:cstheme="minorHAnsi"/>
          <w:sz w:val="22"/>
          <w:szCs w:val="22"/>
        </w:rPr>
      </w:pPr>
    </w:p>
    <w:p w14:paraId="154B1906" w14:textId="36082756" w:rsidR="00646474" w:rsidRPr="0027508B" w:rsidRDefault="00C7059E" w:rsidP="00254AC8">
      <w:pPr>
        <w:tabs>
          <w:tab w:val="left" w:pos="426"/>
        </w:tabs>
        <w:rPr>
          <w:rFonts w:asciiTheme="minorHAnsi" w:hAnsiTheme="minorHAnsi" w:cstheme="minorHAnsi"/>
          <w:sz w:val="22"/>
          <w:szCs w:val="22"/>
        </w:rPr>
      </w:pPr>
      <w:r w:rsidRPr="0027508B">
        <w:rPr>
          <w:rFonts w:asciiTheme="minorHAnsi" w:hAnsiTheme="minorHAnsi" w:cstheme="minorHAnsi"/>
          <w:sz w:val="22"/>
          <w:szCs w:val="22"/>
        </w:rPr>
        <w:t>48.</w:t>
      </w:r>
      <w:r w:rsidRPr="0027508B">
        <w:rPr>
          <w:rFonts w:asciiTheme="minorHAnsi" w:hAnsiTheme="minorHAnsi" w:cstheme="minorHAnsi"/>
          <w:sz w:val="22"/>
          <w:szCs w:val="22"/>
        </w:rPr>
        <w:tab/>
        <w:t>ENCARGA TAMBIÉN a la Secretaría que apoye a las Partes Contratantes, según proceda, para lograr una mayor pertinencia e integración de los humedales y la Convención en la Agenda 2030 para el Desarrollo Sostenible, y en la labor de los AM</w:t>
      </w:r>
      <w:r w:rsidR="0050786D" w:rsidRPr="0027508B">
        <w:rPr>
          <w:rFonts w:asciiTheme="minorHAnsi" w:hAnsiTheme="minorHAnsi" w:cstheme="minorHAnsi"/>
          <w:sz w:val="22"/>
          <w:szCs w:val="22"/>
        </w:rPr>
        <w:t>U</w:t>
      </w:r>
      <w:r w:rsidRPr="0027508B">
        <w:rPr>
          <w:rFonts w:asciiTheme="minorHAnsi" w:hAnsiTheme="minorHAnsi" w:cstheme="minorHAnsi"/>
          <w:sz w:val="22"/>
          <w:szCs w:val="22"/>
        </w:rPr>
        <w:t xml:space="preserve">MA y otros instrumentos internacionales, entre otras cosas, </w:t>
      </w:r>
      <w:r w:rsidR="0050786D" w:rsidRPr="0027508B">
        <w:rPr>
          <w:rFonts w:asciiTheme="minorHAnsi" w:hAnsiTheme="minorHAnsi" w:cstheme="minorHAnsi"/>
          <w:sz w:val="22"/>
          <w:szCs w:val="22"/>
        </w:rPr>
        <w:t xml:space="preserve">Convenciones e Instrumentos Internacionales </w:t>
      </w:r>
      <w:r w:rsidRPr="0027508B">
        <w:rPr>
          <w:rFonts w:asciiTheme="minorHAnsi" w:hAnsiTheme="minorHAnsi" w:cstheme="minorHAnsi"/>
          <w:sz w:val="22"/>
          <w:szCs w:val="22"/>
        </w:rPr>
        <w:t>a través de la colaboración con organizaciones intergubernamentales, Organizaciones Internacionales Asociadas (OIA) y otros asociados de los sectores público y privado, a fin de desarrollar orientaciones e instrumentos, capacitación e identificación de oportunidades para acceder a recursos;</w:t>
      </w:r>
    </w:p>
    <w:p w14:paraId="7D0BCA13" w14:textId="77777777" w:rsidR="009D0C71" w:rsidRPr="0027508B" w:rsidRDefault="009D0C71" w:rsidP="00254AC8">
      <w:pPr>
        <w:keepNext/>
        <w:keepLines/>
        <w:tabs>
          <w:tab w:val="left" w:pos="426"/>
        </w:tabs>
        <w:autoSpaceDE w:val="0"/>
        <w:autoSpaceDN w:val="0"/>
        <w:adjustRightInd w:val="0"/>
        <w:rPr>
          <w:rFonts w:asciiTheme="minorHAnsi" w:hAnsiTheme="minorHAnsi" w:cstheme="minorHAnsi"/>
          <w:sz w:val="22"/>
          <w:szCs w:val="22"/>
        </w:rPr>
      </w:pPr>
    </w:p>
    <w:p w14:paraId="4854455F" w14:textId="71D9E289" w:rsidR="00E606C2" w:rsidRPr="0027508B" w:rsidRDefault="00C7059E" w:rsidP="00254AC8">
      <w:pPr>
        <w:keepNext/>
        <w:keepLines/>
        <w:tabs>
          <w:tab w:val="left" w:pos="426"/>
        </w:tabs>
        <w:autoSpaceDE w:val="0"/>
        <w:autoSpaceDN w:val="0"/>
        <w:adjustRightInd w:val="0"/>
        <w:rPr>
          <w:rFonts w:asciiTheme="minorHAnsi" w:hAnsiTheme="minorHAnsi" w:cstheme="minorHAnsi"/>
          <w:sz w:val="22"/>
          <w:szCs w:val="22"/>
        </w:rPr>
      </w:pPr>
      <w:r w:rsidRPr="0027508B">
        <w:rPr>
          <w:rFonts w:asciiTheme="minorHAnsi" w:hAnsiTheme="minorHAnsi" w:cstheme="minorHAnsi"/>
          <w:bCs/>
          <w:sz w:val="22"/>
          <w:szCs w:val="22"/>
        </w:rPr>
        <w:t>49.</w:t>
      </w:r>
      <w:r w:rsidRPr="0027508B">
        <w:rPr>
          <w:rFonts w:asciiTheme="minorHAnsi" w:hAnsiTheme="minorHAnsi" w:cstheme="minorHAnsi"/>
          <w:bCs/>
          <w:sz w:val="22"/>
          <w:szCs w:val="22"/>
        </w:rPr>
        <w:tab/>
        <w:t xml:space="preserve">ALIENTA a las Partes Contratantes a fortalecer sus mecanismos para fomentar la coordinación efectiva entre las autoridades estadísticas nacionales y subnacionales responsables de la presentación de informes sobre los ODS, particularmente sobre los relacionados con los humedales y la extensión de los humedales (indicador 6.6.1); </w:t>
      </w:r>
    </w:p>
    <w:p w14:paraId="63F61AC3" w14:textId="77777777" w:rsidR="002D6BB9" w:rsidRPr="0027508B" w:rsidRDefault="002D6BB9" w:rsidP="00254AC8">
      <w:pPr>
        <w:pStyle w:val="ListParagraph"/>
        <w:ind w:left="425"/>
        <w:jc w:val="left"/>
        <w:rPr>
          <w:rFonts w:asciiTheme="minorHAnsi" w:hAnsiTheme="minorHAnsi" w:cstheme="minorHAnsi"/>
        </w:rPr>
      </w:pPr>
    </w:p>
    <w:p w14:paraId="736D8F17" w14:textId="4ED488DF" w:rsidR="00646474" w:rsidRPr="0027508B" w:rsidRDefault="00C7059E" w:rsidP="00254AC8">
      <w:pPr>
        <w:rPr>
          <w:rFonts w:asciiTheme="minorHAnsi" w:hAnsiTheme="minorHAnsi" w:cstheme="minorHAnsi"/>
          <w:sz w:val="22"/>
          <w:szCs w:val="22"/>
        </w:rPr>
      </w:pPr>
      <w:r w:rsidRPr="0027508B">
        <w:rPr>
          <w:rFonts w:asciiTheme="minorHAnsi" w:hAnsiTheme="minorHAnsi" w:cstheme="minorHAnsi"/>
          <w:sz w:val="22"/>
          <w:szCs w:val="22"/>
        </w:rPr>
        <w:t>50.</w:t>
      </w:r>
      <w:r w:rsidRPr="0027508B">
        <w:rPr>
          <w:rFonts w:asciiTheme="minorHAnsi" w:hAnsiTheme="minorHAnsi" w:cstheme="minorHAnsi"/>
          <w:sz w:val="22"/>
          <w:szCs w:val="22"/>
        </w:rPr>
        <w:tab/>
        <w:t xml:space="preserve">ALIENTA TAMBIÉN a las Partes Contratantes a incrementar la pertinencia de los humedales y de la Convención para abordar la Agenda 2030 para el Desarrollo Sostenible y los ODS, y a reforzar las iniciativas de integración en el ámbito nacional y subnacional; </w:t>
      </w:r>
    </w:p>
    <w:p w14:paraId="4D1766E8" w14:textId="77777777" w:rsidR="00DA402B" w:rsidRPr="0027508B" w:rsidRDefault="00DA402B" w:rsidP="00254AC8">
      <w:pPr>
        <w:pStyle w:val="ListParagraph"/>
        <w:ind w:left="425"/>
        <w:jc w:val="left"/>
        <w:rPr>
          <w:rFonts w:asciiTheme="minorHAnsi" w:hAnsiTheme="minorHAnsi" w:cstheme="minorHAnsi"/>
        </w:rPr>
      </w:pPr>
    </w:p>
    <w:p w14:paraId="15D3AE5F" w14:textId="119536DF" w:rsidR="009E50FC" w:rsidRPr="0027508B" w:rsidRDefault="00C7059E" w:rsidP="00254AC8">
      <w:pPr>
        <w:pStyle w:val="Default"/>
        <w:rPr>
          <w:rFonts w:asciiTheme="minorHAnsi" w:hAnsiTheme="minorHAnsi" w:cstheme="minorHAnsi"/>
          <w:sz w:val="22"/>
          <w:szCs w:val="22"/>
        </w:rPr>
      </w:pPr>
      <w:r w:rsidRPr="0027508B">
        <w:rPr>
          <w:rFonts w:asciiTheme="minorHAnsi" w:hAnsiTheme="minorHAnsi" w:cstheme="minorHAnsi"/>
          <w:sz w:val="22"/>
          <w:szCs w:val="22"/>
        </w:rPr>
        <w:lastRenderedPageBreak/>
        <w:t>51.</w:t>
      </w:r>
      <w:r w:rsidRPr="0027508B">
        <w:rPr>
          <w:rFonts w:asciiTheme="minorHAnsi" w:hAnsiTheme="minorHAnsi" w:cstheme="minorHAnsi"/>
          <w:sz w:val="22"/>
          <w:szCs w:val="22"/>
        </w:rPr>
        <w:tab/>
        <w:t>INVITA a las Partes Contratantes que también son Partes en otros AMMA a considerar medidas adicionales para promover sinergias en el plano nacional a fin de promover la coherencia de las políticas, mejorar la eficacia, reducir el solapamiento y duplicación innecesarios, y mejorar la cooperación, la coordinación y las sinergias entre los AMMA y otros asociados como un medio para fomentar la aplicación coherente de la Convención a escala nacional;</w:t>
      </w:r>
    </w:p>
    <w:p w14:paraId="74D52F0D" w14:textId="77777777" w:rsidR="00DA402B" w:rsidRPr="0027508B" w:rsidRDefault="00DA402B" w:rsidP="00254AC8">
      <w:pPr>
        <w:pStyle w:val="ListParagraph"/>
        <w:jc w:val="left"/>
        <w:rPr>
          <w:rFonts w:asciiTheme="minorHAnsi" w:hAnsiTheme="minorHAnsi" w:cstheme="minorHAnsi"/>
        </w:rPr>
      </w:pPr>
    </w:p>
    <w:p w14:paraId="317AFCEF" w14:textId="77777777" w:rsidR="002D6BB9" w:rsidRPr="0027508B" w:rsidRDefault="00BE67CD" w:rsidP="00254AC8">
      <w:pPr>
        <w:keepNext/>
        <w:keepLines/>
        <w:tabs>
          <w:tab w:val="left" w:pos="426"/>
        </w:tabs>
        <w:autoSpaceDE w:val="0"/>
        <w:autoSpaceDN w:val="0"/>
        <w:adjustRightInd w:val="0"/>
        <w:rPr>
          <w:rFonts w:asciiTheme="minorHAnsi" w:hAnsiTheme="minorHAnsi" w:cstheme="minorHAnsi"/>
          <w:sz w:val="22"/>
          <w:szCs w:val="22"/>
          <w:u w:val="single"/>
        </w:rPr>
      </w:pPr>
      <w:r w:rsidRPr="0027508B">
        <w:rPr>
          <w:rFonts w:asciiTheme="minorHAnsi" w:hAnsiTheme="minorHAnsi" w:cstheme="minorHAnsi"/>
          <w:sz w:val="22"/>
          <w:szCs w:val="22"/>
          <w:u w:val="single"/>
        </w:rPr>
        <w:t xml:space="preserve">En lo relativo al Fondo Fiduciario del Fondo para el Medio Ambiente Mundial </w:t>
      </w:r>
    </w:p>
    <w:p w14:paraId="5646365D" w14:textId="77777777" w:rsidR="00EE511E" w:rsidRPr="0027508B" w:rsidRDefault="00EE511E" w:rsidP="00254AC8">
      <w:pPr>
        <w:pStyle w:val="ListParagraph"/>
        <w:jc w:val="left"/>
        <w:rPr>
          <w:rFonts w:asciiTheme="minorHAnsi" w:hAnsiTheme="minorHAnsi" w:cstheme="minorHAnsi"/>
        </w:rPr>
      </w:pPr>
    </w:p>
    <w:p w14:paraId="5EA069F2" w14:textId="135CE477" w:rsidR="008969EB" w:rsidRPr="0027508B" w:rsidRDefault="00D33AB7" w:rsidP="00254AC8">
      <w:pPr>
        <w:pStyle w:val="CommentText"/>
        <w:suppressAutoHyphens/>
        <w:autoSpaceDE w:val="0"/>
        <w:autoSpaceDN w:val="0"/>
        <w:adjustRightInd w:val="0"/>
        <w:rPr>
          <w:rFonts w:asciiTheme="minorHAnsi" w:hAnsiTheme="minorHAnsi" w:cstheme="minorHAnsi"/>
          <w:snapToGrid w:val="0"/>
          <w:kern w:val="22"/>
          <w:sz w:val="22"/>
          <w:szCs w:val="22"/>
        </w:rPr>
      </w:pPr>
      <w:r w:rsidRPr="0027508B">
        <w:rPr>
          <w:rFonts w:asciiTheme="minorHAnsi" w:hAnsiTheme="minorHAnsi" w:cstheme="minorHAnsi"/>
          <w:sz w:val="22"/>
          <w:szCs w:val="22"/>
        </w:rPr>
        <w:t>52.</w:t>
      </w:r>
      <w:r w:rsidRPr="0027508B">
        <w:rPr>
          <w:rFonts w:asciiTheme="minorHAnsi" w:hAnsiTheme="minorHAnsi" w:cstheme="minorHAnsi"/>
          <w:snapToGrid w:val="0"/>
          <w:sz w:val="22"/>
          <w:szCs w:val="22"/>
        </w:rPr>
        <w:tab/>
      </w:r>
      <w:r w:rsidRPr="0027508B">
        <w:rPr>
          <w:rFonts w:asciiTheme="minorHAnsi" w:hAnsiTheme="minorHAnsi" w:cstheme="minorHAnsi"/>
          <w:sz w:val="22"/>
          <w:szCs w:val="22"/>
        </w:rPr>
        <w:t>PIDE a la Secretaría que, en respuesta a la invitación formulada a la Convención que figura en los párrafos 4, 3 y 4 de la Decisión XII.30 del CDB, presente al Comité Permanente para que los considere en su 58ª reunión, los elementos de asesoramiento para el FMAM relacionados con la financiación para apoyar los objetivos y prioridades de la Convención, en consonancia con los mandatos del FMAM, y haga lo mismo para el desarrollo de orientaciones estratégicas para el octavo reaprovisionamiento del Fondo Fiduciario del FMAM, con tiempo suficiente para que puedan ser sometidos a la consideración de la Conferencia de las Partes en el CDB durante su 15ª reunión, de acuerdo con la Decisión XIII/21 del CDB;</w:t>
      </w:r>
    </w:p>
    <w:p w14:paraId="4B0D52CA" w14:textId="77777777" w:rsidR="006B4ED5" w:rsidRPr="0027508B" w:rsidRDefault="006B4ED5" w:rsidP="00254AC8">
      <w:pPr>
        <w:pStyle w:val="CommentText"/>
        <w:keepNext/>
        <w:suppressAutoHyphens/>
        <w:autoSpaceDE w:val="0"/>
        <w:autoSpaceDN w:val="0"/>
        <w:adjustRightInd w:val="0"/>
        <w:ind w:left="0" w:right="-45" w:firstLine="0"/>
        <w:rPr>
          <w:rFonts w:asciiTheme="minorHAnsi" w:hAnsiTheme="minorHAnsi" w:cstheme="minorHAnsi"/>
          <w:b/>
          <w:sz w:val="22"/>
          <w:szCs w:val="22"/>
        </w:rPr>
      </w:pPr>
    </w:p>
    <w:p w14:paraId="592DDC1C" w14:textId="77777777" w:rsidR="00B21A1A" w:rsidRPr="0027508B" w:rsidRDefault="00B21A1A" w:rsidP="00254AC8">
      <w:pPr>
        <w:pStyle w:val="CommentText"/>
        <w:keepNext/>
        <w:suppressAutoHyphens/>
        <w:autoSpaceDE w:val="0"/>
        <w:autoSpaceDN w:val="0"/>
        <w:adjustRightInd w:val="0"/>
        <w:ind w:left="0" w:right="-45" w:firstLine="0"/>
        <w:rPr>
          <w:rFonts w:asciiTheme="minorHAnsi" w:hAnsiTheme="minorHAnsi" w:cstheme="minorHAnsi"/>
          <w:sz w:val="22"/>
          <w:szCs w:val="22"/>
          <w:u w:val="single"/>
        </w:rPr>
      </w:pPr>
      <w:r w:rsidRPr="0027508B">
        <w:rPr>
          <w:rFonts w:asciiTheme="minorHAnsi" w:hAnsiTheme="minorHAnsi" w:cstheme="minorHAnsi"/>
          <w:sz w:val="22"/>
          <w:szCs w:val="22"/>
          <w:u w:val="single"/>
        </w:rPr>
        <w:t>En lo relativo a la relación entre la Unión Internacional para la Conservación de la Naturaleza y el trabajo de la Secretaría</w:t>
      </w:r>
    </w:p>
    <w:p w14:paraId="4F61F803" w14:textId="77777777" w:rsidR="00420A50" w:rsidRPr="0027508B" w:rsidRDefault="00420A50" w:rsidP="00254AC8">
      <w:pPr>
        <w:pStyle w:val="CommentText"/>
        <w:keepNext/>
        <w:suppressAutoHyphens/>
        <w:autoSpaceDE w:val="0"/>
        <w:autoSpaceDN w:val="0"/>
        <w:adjustRightInd w:val="0"/>
        <w:ind w:right="-46"/>
        <w:rPr>
          <w:rFonts w:asciiTheme="minorHAnsi" w:hAnsiTheme="minorHAnsi" w:cstheme="minorHAnsi"/>
          <w:sz w:val="22"/>
          <w:szCs w:val="22"/>
        </w:rPr>
      </w:pPr>
    </w:p>
    <w:p w14:paraId="7C745CC2" w14:textId="6DB56DA3" w:rsidR="00346E28" w:rsidRPr="0027508B" w:rsidRDefault="002943C0" w:rsidP="00254AC8">
      <w:pPr>
        <w:pStyle w:val="CommentText"/>
        <w:suppressAutoHyphens/>
        <w:autoSpaceDE w:val="0"/>
        <w:autoSpaceDN w:val="0"/>
        <w:adjustRightInd w:val="0"/>
        <w:rPr>
          <w:rFonts w:asciiTheme="minorHAnsi" w:hAnsiTheme="minorHAnsi" w:cstheme="minorHAnsi"/>
          <w:snapToGrid w:val="0"/>
          <w:kern w:val="22"/>
          <w:sz w:val="22"/>
          <w:szCs w:val="22"/>
        </w:rPr>
      </w:pPr>
      <w:r w:rsidRPr="0027508B">
        <w:rPr>
          <w:rFonts w:asciiTheme="minorHAnsi" w:hAnsiTheme="minorHAnsi" w:cstheme="minorHAnsi"/>
          <w:snapToGrid w:val="0"/>
          <w:sz w:val="22"/>
          <w:szCs w:val="22"/>
        </w:rPr>
        <w:t>53.</w:t>
      </w:r>
      <w:r w:rsidRPr="0027508B">
        <w:rPr>
          <w:rFonts w:asciiTheme="minorHAnsi" w:hAnsiTheme="minorHAnsi" w:cstheme="minorHAnsi"/>
          <w:snapToGrid w:val="0"/>
          <w:sz w:val="22"/>
          <w:szCs w:val="22"/>
        </w:rPr>
        <w:tab/>
        <w:t>PIDE a la Secretaría que continúe las iniciativas de cooperación con la Unión Internacional para la Conservación de la Naturaleza (UICN) a través del Grupo de Enlace UICN/Ramsar a fin de apoyar las actividades de la Secretaría en virtud del acuerdo de prestación de servicios entre la Secretaría y la UICN.</w:t>
      </w:r>
    </w:p>
    <w:p w14:paraId="17177E3B" w14:textId="77777777" w:rsidR="00211DC6" w:rsidRPr="0027508B" w:rsidRDefault="00211DC6" w:rsidP="002E40B3">
      <w:pPr>
        <w:pStyle w:val="CommentText"/>
        <w:suppressAutoHyphens/>
        <w:autoSpaceDE w:val="0"/>
        <w:autoSpaceDN w:val="0"/>
        <w:adjustRightInd w:val="0"/>
        <w:rPr>
          <w:rFonts w:asciiTheme="minorHAnsi" w:hAnsiTheme="minorHAnsi" w:cstheme="minorHAnsi"/>
          <w:b/>
          <w:sz w:val="22"/>
          <w:szCs w:val="22"/>
          <w:lang w:val="fr-FR"/>
        </w:rPr>
      </w:pPr>
    </w:p>
    <w:p w14:paraId="7B526BBB" w14:textId="4011C6E4" w:rsidR="00420A50" w:rsidRPr="0027508B" w:rsidRDefault="00A14DFC" w:rsidP="00254AC8">
      <w:pPr>
        <w:pStyle w:val="CommentText"/>
        <w:keepNext/>
        <w:suppressAutoHyphens/>
        <w:autoSpaceDE w:val="0"/>
        <w:autoSpaceDN w:val="0"/>
        <w:adjustRightInd w:val="0"/>
        <w:ind w:right="-45"/>
        <w:rPr>
          <w:rFonts w:asciiTheme="minorHAnsi" w:hAnsiTheme="minorHAnsi" w:cstheme="minorHAnsi"/>
          <w:sz w:val="22"/>
          <w:szCs w:val="22"/>
          <w:u w:val="single"/>
        </w:rPr>
      </w:pPr>
      <w:r w:rsidRPr="0027508B">
        <w:rPr>
          <w:rFonts w:asciiTheme="minorHAnsi" w:hAnsiTheme="minorHAnsi" w:cstheme="minorHAnsi"/>
          <w:sz w:val="22"/>
          <w:szCs w:val="22"/>
          <w:u w:val="single"/>
        </w:rPr>
        <w:t xml:space="preserve">[En lo relativo a la mejor aplicación de la Convención] </w:t>
      </w:r>
    </w:p>
    <w:p w14:paraId="23FBDE05" w14:textId="77777777" w:rsidR="00FA1C81" w:rsidRPr="0027508B" w:rsidRDefault="00FA1C81" w:rsidP="00254AC8">
      <w:pPr>
        <w:pStyle w:val="CommentText"/>
        <w:keepNext/>
        <w:suppressAutoHyphens/>
        <w:autoSpaceDE w:val="0"/>
        <w:autoSpaceDN w:val="0"/>
        <w:adjustRightInd w:val="0"/>
        <w:ind w:right="-45"/>
        <w:rPr>
          <w:rFonts w:asciiTheme="minorHAnsi" w:hAnsiTheme="minorHAnsi" w:cstheme="minorHAnsi"/>
          <w:b/>
          <w:sz w:val="22"/>
          <w:szCs w:val="22"/>
          <w:lang w:val="fr-FR"/>
        </w:rPr>
      </w:pPr>
    </w:p>
    <w:p w14:paraId="10812DAD" w14:textId="643C0032" w:rsidR="00FA1C81" w:rsidRPr="0027508B" w:rsidRDefault="00F41E6C" w:rsidP="00254AC8">
      <w:pPr>
        <w:pStyle w:val="NoSpacing"/>
        <w:rPr>
          <w:rFonts w:cstheme="minorHAnsi"/>
        </w:rPr>
      </w:pPr>
      <w:r w:rsidRPr="0027508B">
        <w:rPr>
          <w:rFonts w:cstheme="minorHAnsi"/>
        </w:rPr>
        <w:t>[54.</w:t>
      </w:r>
      <w:r w:rsidRPr="0027508B">
        <w:rPr>
          <w:rFonts w:cstheme="minorHAnsi"/>
        </w:rPr>
        <w:tab/>
        <w:t>PIDE que el Comité Permanente, en su primera reunión plenaria después de cada reunión de la Conferencia de las Partes Contratantes, identifique, con el apoyo de la Secretaría, un conjunto limitado de desafíos urgentes para el uso racional de los humedales, en el marco del Plan Estratégico de Ramsar y el programa ambiental más amplio, para que se les preste una mayor atención en el trienio siguiente;]</w:t>
      </w:r>
    </w:p>
    <w:p w14:paraId="46C200BE" w14:textId="77777777" w:rsidR="00FA1C81" w:rsidRPr="0027508B" w:rsidRDefault="00FA1C81" w:rsidP="00254AC8">
      <w:pPr>
        <w:pStyle w:val="NoSpacing"/>
        <w:rPr>
          <w:rFonts w:cstheme="minorHAnsi"/>
        </w:rPr>
      </w:pPr>
    </w:p>
    <w:p w14:paraId="1BA34A06" w14:textId="6CE07346" w:rsidR="00FA1C81" w:rsidRPr="0027508B" w:rsidRDefault="00F41E6C" w:rsidP="00254AC8">
      <w:pPr>
        <w:pStyle w:val="NoSpacing"/>
        <w:rPr>
          <w:rFonts w:cstheme="minorHAnsi"/>
          <w:b/>
        </w:rPr>
      </w:pPr>
      <w:r w:rsidRPr="0027508B">
        <w:rPr>
          <w:rFonts w:cstheme="minorHAnsi"/>
        </w:rPr>
        <w:t>[55.</w:t>
      </w:r>
      <w:r w:rsidRPr="0027508B">
        <w:rPr>
          <w:rFonts w:cstheme="minorHAnsi"/>
        </w:rPr>
        <w:tab/>
        <w:t>PIDE ADEMÁS que el Comité Permanente examine estos desafíos urgentes en sus reuniones a lo largo del trienio, invitando a oradores especializados externos a participar en las deliberaciones de las Partes Contratantes y contribuir a estas, según proceda y con sujeción a la disponibilidad de recursos, con miras a identificar posibles soluciones para estos desafíos e incluirlas en los proyectos de resolución para su examen en la siguiente Conferencia de las Partes Contratantes;]</w:t>
      </w:r>
    </w:p>
    <w:p w14:paraId="625B8937" w14:textId="77777777" w:rsidR="00BE3DAE" w:rsidRPr="0027508B" w:rsidRDefault="00BE3DAE" w:rsidP="00254AC8">
      <w:pPr>
        <w:pStyle w:val="CommentText"/>
        <w:keepNext/>
        <w:suppressAutoHyphens/>
        <w:autoSpaceDE w:val="0"/>
        <w:autoSpaceDN w:val="0"/>
        <w:adjustRightInd w:val="0"/>
        <w:ind w:right="-45"/>
        <w:rPr>
          <w:rFonts w:asciiTheme="minorHAnsi" w:hAnsiTheme="minorHAnsi" w:cstheme="minorHAnsi"/>
          <w:sz w:val="22"/>
          <w:szCs w:val="22"/>
          <w:lang w:val="fr-FR"/>
        </w:rPr>
      </w:pPr>
    </w:p>
    <w:p w14:paraId="6CABF64B" w14:textId="79B340F5" w:rsidR="00010F79" w:rsidRPr="0027508B" w:rsidRDefault="00F41E6C" w:rsidP="00254AC8">
      <w:pPr>
        <w:pStyle w:val="CommentText"/>
        <w:suppressAutoHyphens/>
        <w:autoSpaceDE w:val="0"/>
        <w:autoSpaceDN w:val="0"/>
        <w:adjustRightInd w:val="0"/>
        <w:rPr>
          <w:rFonts w:asciiTheme="minorHAnsi" w:hAnsiTheme="minorHAnsi" w:cstheme="minorHAnsi"/>
          <w:snapToGrid w:val="0"/>
          <w:kern w:val="22"/>
          <w:sz w:val="22"/>
          <w:szCs w:val="22"/>
        </w:rPr>
      </w:pPr>
      <w:r w:rsidRPr="0027508B">
        <w:rPr>
          <w:rFonts w:asciiTheme="minorHAnsi" w:hAnsiTheme="minorHAnsi" w:cstheme="minorHAnsi"/>
          <w:sz w:val="22"/>
          <w:szCs w:val="22"/>
        </w:rPr>
        <w:t>[56.</w:t>
      </w:r>
      <w:r w:rsidRPr="0027508B">
        <w:rPr>
          <w:rFonts w:asciiTheme="minorHAnsi" w:hAnsiTheme="minorHAnsi" w:cstheme="minorHAnsi"/>
          <w:snapToGrid w:val="0"/>
          <w:sz w:val="22"/>
          <w:szCs w:val="22"/>
        </w:rPr>
        <w:tab/>
        <w:t>PIDE a la Secretaría que haga lo siguiente:</w:t>
      </w:r>
    </w:p>
    <w:p w14:paraId="1C1489FE" w14:textId="77777777" w:rsidR="00010F79" w:rsidRPr="0027508B" w:rsidRDefault="00010F79" w:rsidP="00254AC8">
      <w:pPr>
        <w:keepNext/>
        <w:ind w:left="0" w:firstLine="0"/>
        <w:rPr>
          <w:rFonts w:asciiTheme="minorHAnsi" w:hAnsiTheme="minorHAnsi" w:cstheme="minorHAnsi"/>
          <w:sz w:val="22"/>
          <w:szCs w:val="22"/>
          <w:lang w:val="fr-FR"/>
        </w:rPr>
      </w:pPr>
    </w:p>
    <w:p w14:paraId="5AFE9ABB" w14:textId="77777777" w:rsidR="00010F79" w:rsidRPr="0027508B" w:rsidRDefault="00C7059E" w:rsidP="00254AC8">
      <w:pPr>
        <w:ind w:left="850"/>
        <w:rPr>
          <w:rFonts w:asciiTheme="minorHAnsi" w:hAnsiTheme="minorHAnsi" w:cstheme="minorHAnsi"/>
          <w:bCs/>
          <w:sz w:val="22"/>
          <w:szCs w:val="22"/>
        </w:rPr>
      </w:pPr>
      <w:r w:rsidRPr="0027508B">
        <w:rPr>
          <w:rFonts w:asciiTheme="minorHAnsi" w:hAnsiTheme="minorHAnsi" w:cstheme="minorHAnsi"/>
          <w:sz w:val="22"/>
          <w:szCs w:val="22"/>
        </w:rPr>
        <w:t>a.</w:t>
      </w:r>
      <w:r w:rsidRPr="0027508B">
        <w:rPr>
          <w:rFonts w:asciiTheme="minorHAnsi" w:hAnsiTheme="minorHAnsi" w:cstheme="minorHAnsi"/>
          <w:sz w:val="22"/>
          <w:szCs w:val="22"/>
        </w:rPr>
        <w:tab/>
        <w:t>revisar todas las resoluciones y decisiones anteriores e identificar aquellas o las partes de las mismas, si hubiese, que actualmente no son válidas o aplicables, o son contradictorias o de otro modo incoherentes con las prácticas actuales de Ramsar, e informar de sus conclusiones durante la 57ª reunión del Comité Permanente (SC57), incluyendo información que justifique esas conclusiones (por ejemplo, porque el trabajo ha finalizado, porque ha sido reemplazada, es contradictoria, o está incluida en otro lugar, entre otras razones); y</w:t>
      </w:r>
    </w:p>
    <w:p w14:paraId="7482E061" w14:textId="77777777" w:rsidR="00010F79" w:rsidRPr="0027508B" w:rsidRDefault="00010F79" w:rsidP="00254AC8">
      <w:pPr>
        <w:ind w:left="850"/>
        <w:rPr>
          <w:rFonts w:asciiTheme="minorHAnsi" w:hAnsiTheme="minorHAnsi" w:cstheme="minorHAnsi"/>
          <w:bCs/>
          <w:sz w:val="22"/>
          <w:szCs w:val="22"/>
          <w:lang w:val="fr-FR"/>
        </w:rPr>
      </w:pPr>
    </w:p>
    <w:p w14:paraId="5BE6F162" w14:textId="77777777" w:rsidR="00010F79" w:rsidRPr="0027508B" w:rsidRDefault="00C7059E" w:rsidP="00254AC8">
      <w:pPr>
        <w:ind w:left="850"/>
        <w:rPr>
          <w:rFonts w:asciiTheme="minorHAnsi" w:hAnsiTheme="minorHAnsi" w:cstheme="minorHAnsi"/>
          <w:sz w:val="22"/>
          <w:szCs w:val="22"/>
        </w:rPr>
      </w:pPr>
      <w:r w:rsidRPr="0027508B">
        <w:rPr>
          <w:rFonts w:asciiTheme="minorHAnsi" w:hAnsiTheme="minorHAnsi" w:cstheme="minorHAnsi"/>
          <w:bCs/>
          <w:sz w:val="22"/>
          <w:szCs w:val="22"/>
        </w:rPr>
        <w:t>b.</w:t>
      </w:r>
      <w:r w:rsidRPr="0027508B">
        <w:rPr>
          <w:rFonts w:asciiTheme="minorHAnsi" w:hAnsiTheme="minorHAnsi" w:cstheme="minorHAnsi"/>
          <w:bCs/>
          <w:sz w:val="22"/>
          <w:szCs w:val="22"/>
        </w:rPr>
        <w:tab/>
        <w:t xml:space="preserve">basándose en sus conclusiones y en las respuestas aportadas por las Partes al informe que presente en la reunión SC57, desarrollar recomendaciones para las Partes durante la 58ª </w:t>
      </w:r>
      <w:r w:rsidRPr="0027508B">
        <w:rPr>
          <w:rFonts w:asciiTheme="minorHAnsi" w:hAnsiTheme="minorHAnsi" w:cstheme="minorHAnsi"/>
          <w:bCs/>
          <w:sz w:val="22"/>
          <w:szCs w:val="22"/>
        </w:rPr>
        <w:lastRenderedPageBreak/>
        <w:t>reunión del Comité Permanente (SC58) para que estudien un procedimiento para: retirar resoluciones y decisiones obsoletas; establecer una práctica para retirar automáticamente las resoluciones y decisiones obsoletas o contradictorias cuando estas sean reemplazadas por nuevas; y preparar una lista consolidada de resoluciones y decisiones que será actualizada después de cada reunión de la Conferencia de las Partes Contratantes y cuando sea necesario, después de las reuniones del Comité Permanente;]</w:t>
      </w:r>
    </w:p>
    <w:p w14:paraId="45C71817" w14:textId="77777777" w:rsidR="00010F79" w:rsidRPr="0027508B" w:rsidRDefault="00010F79" w:rsidP="00254AC8">
      <w:pPr>
        <w:ind w:left="0" w:firstLine="0"/>
        <w:rPr>
          <w:rFonts w:asciiTheme="minorHAnsi" w:hAnsiTheme="minorHAnsi" w:cstheme="minorHAnsi"/>
          <w:sz w:val="22"/>
          <w:szCs w:val="22"/>
        </w:rPr>
      </w:pPr>
    </w:p>
    <w:p w14:paraId="01F3FBE2" w14:textId="6CCFF302" w:rsidR="00010F79" w:rsidRPr="0027508B" w:rsidRDefault="00F41E6C" w:rsidP="00254AC8">
      <w:pPr>
        <w:pStyle w:val="CommentText"/>
        <w:suppressAutoHyphens/>
        <w:autoSpaceDE w:val="0"/>
        <w:autoSpaceDN w:val="0"/>
        <w:adjustRightInd w:val="0"/>
        <w:rPr>
          <w:rFonts w:asciiTheme="minorHAnsi" w:hAnsiTheme="minorHAnsi" w:cstheme="minorHAnsi"/>
          <w:snapToGrid w:val="0"/>
          <w:kern w:val="22"/>
          <w:sz w:val="22"/>
          <w:szCs w:val="22"/>
        </w:rPr>
      </w:pPr>
      <w:r w:rsidRPr="0027508B">
        <w:rPr>
          <w:rFonts w:asciiTheme="minorHAnsi" w:hAnsiTheme="minorHAnsi" w:cstheme="minorHAnsi"/>
          <w:sz w:val="22"/>
          <w:szCs w:val="22"/>
        </w:rPr>
        <w:t>[57.</w:t>
      </w:r>
      <w:r w:rsidRPr="0027508B">
        <w:rPr>
          <w:rFonts w:asciiTheme="minorHAnsi" w:hAnsiTheme="minorHAnsi" w:cstheme="minorHAnsi"/>
          <w:snapToGrid w:val="0"/>
          <w:sz w:val="22"/>
          <w:szCs w:val="22"/>
        </w:rPr>
        <w:tab/>
        <w:t>PIDE que el Comité Permanente examine en la reunión SC57 el informe de la Secretaría sobre la validez de las resoluciones y decisiones y aporte sus observaciones y considere las recomendaciones de la Secretaría sobre esta cuestión durante la reunión SC58 con el objeto de incluir en una resolución pertinente de la 14ª reunión de la Conferencia de las Partes Contratantes (COP14) la retirada de las resoluciones y decisiones obsoletas y el establecimiento de una práctica por la que la Convención retire las resoluciones y decisiones obsoletas de manera automática cuando estas sean reemplazadas por unas nuevas;]</w:t>
      </w:r>
    </w:p>
    <w:p w14:paraId="0812B232" w14:textId="77777777" w:rsidR="00BE3DAE" w:rsidRPr="0027508B" w:rsidRDefault="00BE3DAE" w:rsidP="00254AC8">
      <w:pPr>
        <w:pStyle w:val="CommentText"/>
        <w:suppressAutoHyphens/>
        <w:autoSpaceDE w:val="0"/>
        <w:autoSpaceDN w:val="0"/>
        <w:adjustRightInd w:val="0"/>
        <w:rPr>
          <w:rFonts w:asciiTheme="minorHAnsi" w:hAnsiTheme="minorHAnsi" w:cstheme="minorHAnsi"/>
          <w:snapToGrid w:val="0"/>
          <w:kern w:val="22"/>
          <w:sz w:val="22"/>
          <w:szCs w:val="22"/>
        </w:rPr>
      </w:pPr>
    </w:p>
    <w:p w14:paraId="504AD845" w14:textId="00AA853F" w:rsidR="00F26988" w:rsidRPr="0027508B" w:rsidRDefault="00F41E6C" w:rsidP="00254AC8">
      <w:pPr>
        <w:pStyle w:val="CommentText"/>
        <w:keepNext/>
        <w:suppressAutoHyphens/>
        <w:autoSpaceDE w:val="0"/>
        <w:autoSpaceDN w:val="0"/>
        <w:adjustRightInd w:val="0"/>
        <w:rPr>
          <w:rFonts w:asciiTheme="minorHAnsi" w:hAnsiTheme="minorHAnsi" w:cstheme="minorHAnsi"/>
          <w:snapToGrid w:val="0"/>
          <w:kern w:val="22"/>
          <w:sz w:val="22"/>
          <w:szCs w:val="22"/>
        </w:rPr>
      </w:pPr>
      <w:r w:rsidRPr="0027508B">
        <w:rPr>
          <w:rFonts w:asciiTheme="minorHAnsi" w:hAnsiTheme="minorHAnsi" w:cstheme="minorHAnsi"/>
          <w:sz w:val="22"/>
          <w:szCs w:val="22"/>
        </w:rPr>
        <w:t>[58.</w:t>
      </w:r>
      <w:r w:rsidRPr="0027508B">
        <w:rPr>
          <w:rFonts w:asciiTheme="minorHAnsi" w:hAnsiTheme="minorHAnsi" w:cstheme="minorHAnsi"/>
          <w:snapToGrid w:val="0"/>
          <w:sz w:val="22"/>
          <w:szCs w:val="22"/>
        </w:rPr>
        <w:tab/>
        <w:t>PIDE a la Secretaría que haga lo siguiente:</w:t>
      </w:r>
    </w:p>
    <w:p w14:paraId="6257B110" w14:textId="77777777" w:rsidR="00F26988" w:rsidRPr="0027508B" w:rsidRDefault="00F26988" w:rsidP="00254AC8">
      <w:pPr>
        <w:keepNext/>
        <w:ind w:left="0" w:firstLine="0"/>
        <w:rPr>
          <w:rFonts w:asciiTheme="minorHAnsi" w:hAnsiTheme="minorHAnsi" w:cstheme="minorHAnsi"/>
          <w:sz w:val="22"/>
          <w:szCs w:val="22"/>
          <w:lang w:val="fr-FR"/>
        </w:rPr>
      </w:pPr>
    </w:p>
    <w:p w14:paraId="593093D8" w14:textId="28C67C8F" w:rsidR="00F26988" w:rsidRPr="0027508B" w:rsidRDefault="00F26988" w:rsidP="00254AC8">
      <w:pPr>
        <w:ind w:left="850"/>
        <w:rPr>
          <w:rFonts w:asciiTheme="minorHAnsi" w:hAnsiTheme="minorHAnsi" w:cstheme="minorHAnsi"/>
          <w:sz w:val="22"/>
          <w:szCs w:val="22"/>
        </w:rPr>
      </w:pPr>
      <w:r w:rsidRPr="0027508B">
        <w:rPr>
          <w:rFonts w:asciiTheme="minorHAnsi" w:hAnsiTheme="minorHAnsi" w:cstheme="minorHAnsi"/>
          <w:sz w:val="22"/>
          <w:szCs w:val="22"/>
        </w:rPr>
        <w:t>a.</w:t>
      </w:r>
      <w:r w:rsidRPr="0027508B">
        <w:rPr>
          <w:rFonts w:asciiTheme="minorHAnsi" w:hAnsiTheme="minorHAnsi" w:cstheme="minorHAnsi"/>
          <w:sz w:val="22"/>
          <w:szCs w:val="22"/>
        </w:rPr>
        <w:tab/>
        <w:t>llevar a cabo una revisión del Reglamento e identificar el texto que, en su caso, posiblemente no sea válido o aplicable, sea contradictorio o de otro modo incoherente con las prácticas actuales de Ramsar, y de la aplicabilidad del Reglamento a los órganos subsidiarios, incluyendo el Comité Permanente, los grupos de trabajo, los grupos de Amigos de la Presidencia, e informar de sus conclusiones durante la reunión SC57, incluyendo la información justificativa de sus conclusiones;</w:t>
      </w:r>
    </w:p>
    <w:p w14:paraId="37A4A7ED" w14:textId="77777777" w:rsidR="00A40766" w:rsidRPr="0027508B" w:rsidRDefault="00A40766" w:rsidP="00254AC8">
      <w:pPr>
        <w:ind w:left="850"/>
        <w:rPr>
          <w:rFonts w:asciiTheme="minorHAnsi" w:hAnsiTheme="minorHAnsi" w:cstheme="minorHAnsi"/>
          <w:sz w:val="22"/>
          <w:szCs w:val="22"/>
          <w:lang w:val="fr-FR"/>
        </w:rPr>
      </w:pPr>
    </w:p>
    <w:p w14:paraId="42CAFC80" w14:textId="3EC89D68" w:rsidR="00A40766" w:rsidRPr="0027508B" w:rsidRDefault="00F26988" w:rsidP="00A40766">
      <w:pPr>
        <w:ind w:left="850"/>
        <w:rPr>
          <w:rFonts w:asciiTheme="minorHAnsi" w:hAnsiTheme="minorHAnsi" w:cstheme="minorHAnsi"/>
          <w:sz w:val="22"/>
          <w:szCs w:val="22"/>
        </w:rPr>
      </w:pPr>
      <w:r w:rsidRPr="0027508B">
        <w:rPr>
          <w:rFonts w:asciiTheme="minorHAnsi" w:hAnsiTheme="minorHAnsi" w:cstheme="minorHAnsi"/>
          <w:sz w:val="22"/>
          <w:szCs w:val="22"/>
        </w:rPr>
        <w:t>b.</w:t>
      </w:r>
      <w:r w:rsidRPr="0027508B">
        <w:rPr>
          <w:rFonts w:asciiTheme="minorHAnsi" w:hAnsiTheme="minorHAnsi" w:cstheme="minorHAnsi"/>
          <w:sz w:val="22"/>
          <w:szCs w:val="22"/>
        </w:rPr>
        <w:tab/>
        <w:t>al llevar a cabo el examen antes mencionado, dar debida consideración a cualquier modificación propuesta al Reglamento que no haya sido considerada en la 13ª reunión de la Conferencia de las Partes Contratantes; y</w:t>
      </w:r>
    </w:p>
    <w:p w14:paraId="063F1777" w14:textId="77777777" w:rsidR="00F26988" w:rsidRPr="0027508B" w:rsidRDefault="00F26988" w:rsidP="00254AC8">
      <w:pPr>
        <w:ind w:left="850"/>
        <w:rPr>
          <w:rFonts w:asciiTheme="minorHAnsi" w:hAnsiTheme="minorHAnsi" w:cstheme="minorHAnsi"/>
          <w:sz w:val="22"/>
          <w:szCs w:val="22"/>
          <w:lang w:val="fr-FR"/>
        </w:rPr>
      </w:pPr>
    </w:p>
    <w:p w14:paraId="3D73E6A1" w14:textId="7FE298A9" w:rsidR="00F26988" w:rsidRPr="0027508B" w:rsidRDefault="00D72DFB" w:rsidP="00254AC8">
      <w:pPr>
        <w:ind w:left="850"/>
        <w:rPr>
          <w:rFonts w:asciiTheme="minorHAnsi" w:hAnsiTheme="minorHAnsi" w:cstheme="minorHAnsi"/>
          <w:sz w:val="22"/>
          <w:szCs w:val="22"/>
        </w:rPr>
      </w:pPr>
      <w:r w:rsidRPr="0027508B">
        <w:rPr>
          <w:rFonts w:asciiTheme="minorHAnsi" w:hAnsiTheme="minorHAnsi" w:cstheme="minorHAnsi"/>
          <w:sz w:val="22"/>
          <w:szCs w:val="22"/>
        </w:rPr>
        <w:t xml:space="preserve">c. </w:t>
      </w:r>
      <w:r w:rsidRPr="0027508B">
        <w:rPr>
          <w:rFonts w:asciiTheme="minorHAnsi" w:hAnsiTheme="minorHAnsi" w:cstheme="minorHAnsi"/>
          <w:sz w:val="22"/>
          <w:szCs w:val="22"/>
        </w:rPr>
        <w:tab/>
        <w:t xml:space="preserve">basándose en sus conclusiones y en las respuestas de las Partes al informe presentado durante la 57ª reunión del Comité Permanente, desarrollar recomendaciones, según proceda, para que las Partes en la reunión SC58 consideren las revisiones que se puedan hacer del Reglamento en preparación para la COP14;] </w:t>
      </w:r>
    </w:p>
    <w:p w14:paraId="226391C2" w14:textId="77777777" w:rsidR="00F26988" w:rsidRPr="0027508B" w:rsidRDefault="00F26988" w:rsidP="00254AC8">
      <w:pPr>
        <w:ind w:left="0" w:firstLine="0"/>
        <w:rPr>
          <w:rFonts w:asciiTheme="minorHAnsi" w:hAnsiTheme="minorHAnsi" w:cstheme="minorHAnsi"/>
          <w:sz w:val="22"/>
          <w:szCs w:val="22"/>
        </w:rPr>
      </w:pPr>
    </w:p>
    <w:p w14:paraId="60DB75F3" w14:textId="61A5360B" w:rsidR="00F26988" w:rsidRPr="0027508B" w:rsidRDefault="00F41E6C" w:rsidP="00254AC8">
      <w:pPr>
        <w:pStyle w:val="CommentText"/>
        <w:suppressAutoHyphens/>
        <w:autoSpaceDE w:val="0"/>
        <w:autoSpaceDN w:val="0"/>
        <w:adjustRightInd w:val="0"/>
        <w:rPr>
          <w:rFonts w:asciiTheme="minorHAnsi" w:hAnsiTheme="minorHAnsi" w:cstheme="minorHAnsi"/>
          <w:snapToGrid w:val="0"/>
          <w:kern w:val="22"/>
          <w:sz w:val="22"/>
          <w:szCs w:val="22"/>
        </w:rPr>
      </w:pPr>
      <w:r w:rsidRPr="0027508B">
        <w:rPr>
          <w:rFonts w:asciiTheme="minorHAnsi" w:hAnsiTheme="minorHAnsi" w:cstheme="minorHAnsi"/>
          <w:sz w:val="22"/>
          <w:szCs w:val="22"/>
        </w:rPr>
        <w:t>[59.</w:t>
      </w:r>
      <w:r w:rsidRPr="0027508B">
        <w:rPr>
          <w:rFonts w:asciiTheme="minorHAnsi" w:hAnsiTheme="minorHAnsi" w:cstheme="minorHAnsi"/>
          <w:snapToGrid w:val="0"/>
          <w:sz w:val="22"/>
          <w:szCs w:val="22"/>
        </w:rPr>
        <w:tab/>
        <w:t>PIDE al Comité Permanente que, durante la reunión SC57, examine el informe de la Secretaría sobre el Reglamento y proporcione sus observaciones, y considere las recomendaciones de la Secretaría al respecto durante la reunión SC58 y, según proceda, se plantee las revisiones que se puedan hacer del Reglamento en preparación para la COP14;]</w:t>
      </w:r>
    </w:p>
    <w:p w14:paraId="5E48C723" w14:textId="77777777" w:rsidR="00AA07F9" w:rsidRPr="0027508B" w:rsidRDefault="00AA07F9" w:rsidP="00254AC8">
      <w:pPr>
        <w:pStyle w:val="CommentText"/>
        <w:suppressAutoHyphens/>
        <w:autoSpaceDE w:val="0"/>
        <w:autoSpaceDN w:val="0"/>
        <w:adjustRightInd w:val="0"/>
        <w:rPr>
          <w:rFonts w:asciiTheme="minorHAnsi" w:hAnsiTheme="minorHAnsi" w:cstheme="minorHAnsi"/>
          <w:snapToGrid w:val="0"/>
          <w:kern w:val="22"/>
          <w:sz w:val="22"/>
          <w:szCs w:val="22"/>
        </w:rPr>
      </w:pPr>
    </w:p>
    <w:p w14:paraId="290C7E15" w14:textId="1A171CE7" w:rsidR="00AA07F9" w:rsidRPr="0027508B" w:rsidRDefault="00F41E6C" w:rsidP="00254AC8">
      <w:pPr>
        <w:pStyle w:val="CommentText"/>
        <w:suppressAutoHyphens/>
        <w:autoSpaceDE w:val="0"/>
        <w:autoSpaceDN w:val="0"/>
        <w:adjustRightInd w:val="0"/>
        <w:rPr>
          <w:rFonts w:asciiTheme="minorHAnsi" w:hAnsiTheme="minorHAnsi" w:cstheme="minorHAnsi"/>
          <w:snapToGrid w:val="0"/>
          <w:kern w:val="22"/>
          <w:sz w:val="22"/>
          <w:szCs w:val="22"/>
        </w:rPr>
      </w:pPr>
      <w:r w:rsidRPr="0027508B">
        <w:rPr>
          <w:rFonts w:asciiTheme="minorHAnsi" w:hAnsiTheme="minorHAnsi" w:cstheme="minorHAnsi"/>
          <w:sz w:val="22"/>
          <w:szCs w:val="22"/>
        </w:rPr>
        <w:t>[60.</w:t>
      </w:r>
      <w:r w:rsidRPr="0027508B">
        <w:rPr>
          <w:rFonts w:asciiTheme="minorHAnsi" w:hAnsiTheme="minorHAnsi" w:cstheme="minorHAnsi"/>
          <w:snapToGrid w:val="0"/>
          <w:sz w:val="22"/>
          <w:szCs w:val="22"/>
        </w:rPr>
        <w:t xml:space="preserve"> </w:t>
      </w:r>
      <w:r w:rsidRPr="0027508B">
        <w:rPr>
          <w:rFonts w:asciiTheme="minorHAnsi" w:hAnsiTheme="minorHAnsi" w:cstheme="minorHAnsi"/>
          <w:snapToGrid w:val="0"/>
          <w:sz w:val="22"/>
          <w:szCs w:val="22"/>
        </w:rPr>
        <w:tab/>
        <w:t>ALIENTA a las Partes Contratantes, según proceda y con sujeción a la disponibilidad de recursos, a que consideren el uso comunicaciones de sus Autoridades Administrativas nacionales como medio para brindar oportunidades para fomentar una mayor participación y representación de opiniones de las Partes Contratantes y los interesados en el trabajo de la Convención;]</w:t>
      </w:r>
    </w:p>
    <w:p w14:paraId="5F4DA27A" w14:textId="77777777" w:rsidR="009975F8" w:rsidRPr="0027508B" w:rsidRDefault="009975F8" w:rsidP="00254AC8">
      <w:pPr>
        <w:pStyle w:val="CommentText"/>
        <w:suppressAutoHyphens/>
        <w:autoSpaceDE w:val="0"/>
        <w:autoSpaceDN w:val="0"/>
        <w:adjustRightInd w:val="0"/>
        <w:rPr>
          <w:rFonts w:asciiTheme="minorHAnsi" w:hAnsiTheme="minorHAnsi" w:cstheme="minorHAnsi"/>
          <w:snapToGrid w:val="0"/>
          <w:kern w:val="22"/>
          <w:sz w:val="22"/>
          <w:szCs w:val="22"/>
        </w:rPr>
      </w:pPr>
    </w:p>
    <w:p w14:paraId="405EFAA9" w14:textId="03BC7E12" w:rsidR="009975F8" w:rsidRPr="0027508B" w:rsidRDefault="00F41E6C" w:rsidP="00254AC8">
      <w:pPr>
        <w:pStyle w:val="CommentText"/>
        <w:suppressAutoHyphens/>
        <w:autoSpaceDE w:val="0"/>
        <w:autoSpaceDN w:val="0"/>
        <w:adjustRightInd w:val="0"/>
        <w:rPr>
          <w:rFonts w:asciiTheme="minorHAnsi" w:hAnsiTheme="minorHAnsi" w:cstheme="minorHAnsi"/>
          <w:snapToGrid w:val="0"/>
          <w:kern w:val="22"/>
          <w:sz w:val="22"/>
          <w:szCs w:val="22"/>
        </w:rPr>
      </w:pPr>
      <w:r w:rsidRPr="0027508B">
        <w:rPr>
          <w:rFonts w:asciiTheme="minorHAnsi" w:hAnsiTheme="minorHAnsi" w:cstheme="minorHAnsi"/>
          <w:sz w:val="22"/>
          <w:szCs w:val="22"/>
        </w:rPr>
        <w:t>[</w:t>
      </w:r>
      <w:r w:rsidRPr="0027508B">
        <w:rPr>
          <w:rFonts w:asciiTheme="minorHAnsi" w:hAnsiTheme="minorHAnsi" w:cstheme="minorHAnsi"/>
          <w:snapToGrid w:val="0"/>
          <w:sz w:val="22"/>
          <w:szCs w:val="22"/>
        </w:rPr>
        <w:t>61.</w:t>
      </w:r>
      <w:r w:rsidRPr="0027508B">
        <w:rPr>
          <w:rFonts w:asciiTheme="minorHAnsi" w:hAnsiTheme="minorHAnsi" w:cstheme="minorHAnsi"/>
          <w:snapToGrid w:val="0"/>
          <w:sz w:val="22"/>
          <w:szCs w:val="22"/>
        </w:rPr>
        <w:tab/>
        <w:t>PIDE a la Secretaría que continúe sus esfuerzos para introducir comunicaciones y otras tecnologías rentables apropiadas como medio para fomentar la participación y representación de las Partes Contratantes y la Secretaría, aumentar la eficiencia y reducir los costos; y]</w:t>
      </w:r>
    </w:p>
    <w:p w14:paraId="16C30528" w14:textId="77777777" w:rsidR="00420A50" w:rsidRPr="0027508B" w:rsidRDefault="00420A50" w:rsidP="002E40B3">
      <w:pPr>
        <w:pStyle w:val="CommentText"/>
        <w:suppressAutoHyphens/>
        <w:autoSpaceDE w:val="0"/>
        <w:autoSpaceDN w:val="0"/>
        <w:adjustRightInd w:val="0"/>
        <w:rPr>
          <w:rFonts w:asciiTheme="minorHAnsi" w:hAnsiTheme="minorHAnsi" w:cstheme="minorHAnsi"/>
          <w:snapToGrid w:val="0"/>
          <w:kern w:val="22"/>
          <w:sz w:val="22"/>
          <w:szCs w:val="22"/>
        </w:rPr>
      </w:pPr>
    </w:p>
    <w:p w14:paraId="52A98840" w14:textId="713D3C32" w:rsidR="009975F8" w:rsidRPr="0027508B" w:rsidRDefault="00F41E6C" w:rsidP="002E40B3">
      <w:pPr>
        <w:pStyle w:val="CommentText"/>
        <w:suppressAutoHyphens/>
        <w:autoSpaceDE w:val="0"/>
        <w:autoSpaceDN w:val="0"/>
        <w:adjustRightInd w:val="0"/>
        <w:rPr>
          <w:rFonts w:asciiTheme="minorHAnsi" w:hAnsiTheme="minorHAnsi" w:cstheme="minorHAnsi"/>
          <w:snapToGrid w:val="0"/>
          <w:kern w:val="22"/>
          <w:sz w:val="22"/>
          <w:szCs w:val="22"/>
        </w:rPr>
      </w:pPr>
      <w:r w:rsidRPr="0027508B">
        <w:rPr>
          <w:rFonts w:asciiTheme="minorHAnsi" w:hAnsiTheme="minorHAnsi" w:cstheme="minorHAnsi"/>
          <w:sz w:val="22"/>
          <w:szCs w:val="22"/>
        </w:rPr>
        <w:t>[</w:t>
      </w:r>
      <w:r w:rsidRPr="0027508B">
        <w:rPr>
          <w:rFonts w:asciiTheme="minorHAnsi" w:hAnsiTheme="minorHAnsi" w:cstheme="minorHAnsi"/>
          <w:snapToGrid w:val="0"/>
          <w:sz w:val="22"/>
          <w:szCs w:val="22"/>
        </w:rPr>
        <w:t>62.</w:t>
      </w:r>
      <w:r w:rsidRPr="0027508B">
        <w:rPr>
          <w:rFonts w:asciiTheme="minorHAnsi" w:hAnsiTheme="minorHAnsi" w:cstheme="minorHAnsi"/>
          <w:snapToGrid w:val="0"/>
          <w:sz w:val="22"/>
          <w:szCs w:val="22"/>
        </w:rPr>
        <w:tab/>
        <w:t>PIDE ADEMÁS a la Secretaría que ponga a las Partes Contratantes al corriente de las oportunidades que ofrecen estas tecnologías para fomentar la creación de capacidad relacionada con la Convención y apoyar los esfuerzos de las entidades de la Convención para mejorar la aplicación de la Convención.]</w:t>
      </w:r>
    </w:p>
    <w:sectPr w:rsidR="009975F8" w:rsidRPr="0027508B" w:rsidSect="0093673A">
      <w:headerReference w:type="default" r:id="rId9"/>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F145" w14:textId="77777777" w:rsidR="0017038B" w:rsidRDefault="0017038B" w:rsidP="00FF697B">
      <w:r>
        <w:separator/>
      </w:r>
    </w:p>
    <w:p w14:paraId="084ADD61" w14:textId="77777777" w:rsidR="0017038B" w:rsidRDefault="0017038B"/>
  </w:endnote>
  <w:endnote w:type="continuationSeparator" w:id="0">
    <w:p w14:paraId="2A5889FB" w14:textId="77777777" w:rsidR="0017038B" w:rsidRDefault="0017038B" w:rsidP="00FF697B">
      <w:r>
        <w:continuationSeparator/>
      </w:r>
    </w:p>
    <w:p w14:paraId="21B23030" w14:textId="77777777" w:rsidR="0017038B" w:rsidRDefault="0017038B"/>
  </w:endnote>
  <w:endnote w:type="continuationNotice" w:id="1">
    <w:p w14:paraId="381AC0DC" w14:textId="77777777" w:rsidR="0017038B" w:rsidRDefault="0017038B"/>
    <w:p w14:paraId="756597AD" w14:textId="77777777" w:rsidR="0017038B" w:rsidRDefault="00170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F6F9" w14:textId="5C8BACAF" w:rsidR="001E0CDD" w:rsidRPr="00254AC8" w:rsidRDefault="00254AC8" w:rsidP="00C461D9">
    <w:pPr>
      <w:pStyle w:val="Footer"/>
      <w:tabs>
        <w:tab w:val="clear" w:pos="9360"/>
        <w:tab w:val="right" w:pos="9120"/>
      </w:tabs>
      <w:rPr>
        <w:rFonts w:ascii="Calibri" w:hAnsi="Calibri"/>
        <w:sz w:val="20"/>
        <w:szCs w:val="20"/>
      </w:rPr>
    </w:pPr>
    <w:r>
      <w:rPr>
        <w:rFonts w:ascii="Calibri" w:hAnsi="Calibri"/>
        <w:sz w:val="20"/>
        <w:szCs w:val="20"/>
      </w:rPr>
      <w:t>Ramsar COP13 Doc.18.7 Rev.1</w:t>
    </w:r>
    <w:r>
      <w:rPr>
        <w:rFonts w:ascii="Calibri" w:hAnsi="Calibri"/>
        <w:sz w:val="20"/>
        <w:szCs w:val="20"/>
      </w:rPr>
      <w:tab/>
    </w:r>
    <w:r>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612425">
      <w:rPr>
        <w:rFonts w:ascii="Calibri" w:hAnsi="Calibri"/>
        <w:noProof/>
        <w:sz w:val="20"/>
        <w:szCs w:val="20"/>
      </w:rPr>
      <w:t>9</w:t>
    </w:r>
    <w:r w:rsidRPr="00CB5417">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3C9C7" w14:textId="77777777" w:rsidR="0017038B" w:rsidRDefault="0017038B" w:rsidP="00FF697B">
      <w:r>
        <w:separator/>
      </w:r>
    </w:p>
    <w:p w14:paraId="0E407E8F" w14:textId="77777777" w:rsidR="0017038B" w:rsidRDefault="0017038B"/>
  </w:footnote>
  <w:footnote w:type="continuationSeparator" w:id="0">
    <w:p w14:paraId="581A865F" w14:textId="77777777" w:rsidR="0017038B" w:rsidRDefault="0017038B" w:rsidP="00FF697B">
      <w:r>
        <w:continuationSeparator/>
      </w:r>
    </w:p>
    <w:p w14:paraId="0CA1C866" w14:textId="77777777" w:rsidR="0017038B" w:rsidRDefault="0017038B"/>
  </w:footnote>
  <w:footnote w:type="continuationNotice" w:id="1">
    <w:p w14:paraId="32CE7FA3" w14:textId="77777777" w:rsidR="0017038B" w:rsidRDefault="0017038B"/>
    <w:p w14:paraId="37034C4F" w14:textId="77777777" w:rsidR="0017038B" w:rsidRDefault="0017038B"/>
  </w:footnote>
  <w:footnote w:id="2">
    <w:p w14:paraId="3678E594" w14:textId="77777777" w:rsidR="008907DB" w:rsidRPr="0027508B" w:rsidRDefault="008907DB" w:rsidP="0027508B">
      <w:pPr>
        <w:pStyle w:val="FootnoteText"/>
        <w:ind w:left="0" w:firstLine="0"/>
        <w:rPr>
          <w:rFonts w:asciiTheme="minorHAnsi" w:hAnsiTheme="minorHAnsi" w:cstheme="minorHAnsi"/>
          <w:sz w:val="20"/>
          <w:szCs w:val="20"/>
        </w:rPr>
      </w:pPr>
      <w:r w:rsidRPr="0027508B">
        <w:rPr>
          <w:rStyle w:val="FootnoteReference"/>
          <w:rFonts w:asciiTheme="minorHAnsi" w:hAnsiTheme="minorHAnsi" w:cstheme="minorHAnsi"/>
          <w:sz w:val="20"/>
          <w:szCs w:val="20"/>
        </w:rPr>
        <w:footnoteRef/>
      </w:r>
      <w:r w:rsidRPr="0027508B">
        <w:rPr>
          <w:rFonts w:asciiTheme="minorHAnsi" w:hAnsiTheme="minorHAnsi" w:cstheme="minorHAnsi"/>
          <w:sz w:val="20"/>
          <w:szCs w:val="20"/>
        </w:rPr>
        <w:t xml:space="preserve"> </w:t>
      </w:r>
      <w:hyperlink r:id="rId1" w:history="1">
        <w:r w:rsidRPr="0027508B">
          <w:rPr>
            <w:rStyle w:val="Hyperlink"/>
            <w:rFonts w:asciiTheme="minorHAnsi" w:hAnsiTheme="minorHAnsi" w:cstheme="minorHAnsi"/>
            <w:sz w:val="20"/>
            <w:szCs w:val="20"/>
          </w:rPr>
          <w:t>https://www.unep-wcmc.org/resources-and-data/biodiversitysynergies</w:t>
        </w:r>
      </w:hyperlink>
      <w:r w:rsidRPr="0027508B">
        <w:rPr>
          <w:rFonts w:asciiTheme="minorHAnsi" w:hAnsiTheme="minorHAnsi" w:cstheme="minorHAnsi"/>
          <w:sz w:val="20"/>
          <w:szCs w:val="20"/>
        </w:rPr>
        <w:t>; https://post2020.unep-wcmc.org/</w:t>
      </w:r>
    </w:p>
  </w:footnote>
  <w:footnote w:id="3">
    <w:p w14:paraId="183CA6C0" w14:textId="77777777" w:rsidR="001E0CDD" w:rsidRPr="006B4ED5" w:rsidRDefault="001E0CDD" w:rsidP="006B4ED5">
      <w:pPr>
        <w:pStyle w:val="FootnoteText"/>
        <w:suppressLineNumbers/>
        <w:suppressAutoHyphens/>
        <w:adjustRightInd w:val="0"/>
        <w:snapToGrid w:val="0"/>
        <w:ind w:left="0" w:firstLine="0"/>
        <w:jc w:val="left"/>
        <w:rPr>
          <w:rFonts w:asciiTheme="minorHAnsi" w:hAnsiTheme="minorHAnsi"/>
          <w:snapToGrid w:val="0"/>
          <w:kern w:val="18"/>
          <w:sz w:val="20"/>
          <w:szCs w:val="20"/>
        </w:rPr>
      </w:pPr>
      <w:r>
        <w:rPr>
          <w:rStyle w:val="FootnoteReference"/>
          <w:rFonts w:asciiTheme="minorHAnsi" w:hAnsiTheme="minorHAnsi"/>
          <w:snapToGrid w:val="0"/>
          <w:kern w:val="18"/>
          <w:sz w:val="20"/>
          <w:szCs w:val="20"/>
        </w:rPr>
        <w:footnoteRef/>
      </w:r>
      <w:hyperlink r:id="rId2" w:history="1">
        <w:r>
          <w:rPr>
            <w:rStyle w:val="Hyperlink"/>
            <w:rFonts w:asciiTheme="minorHAnsi" w:hAnsiTheme="minorHAnsi"/>
            <w:snapToGrid w:val="0"/>
            <w:sz w:val="20"/>
            <w:szCs w:val="20"/>
          </w:rPr>
          <w:t xml:space="preserve">Resolución 70/1 de la Asamblea General </w:t>
        </w:r>
      </w:hyperlink>
      <w:r>
        <w:rPr>
          <w:rFonts w:asciiTheme="minorHAnsi" w:hAnsiTheme="minorHAnsi"/>
          <w:snapToGrid w:val="0"/>
          <w:sz w:val="20"/>
          <w:szCs w:val="20"/>
        </w:rPr>
        <w:t>de 25 de septiembre de 2015 “Transformar nuestro mundo: la Agenda 2030 para el Desarrollo Sostenible”, anexo.</w:t>
      </w:r>
    </w:p>
  </w:footnote>
  <w:footnote w:id="4">
    <w:p w14:paraId="560DC60D" w14:textId="0BA2F2FB" w:rsidR="00312ECC" w:rsidRDefault="00312ECC" w:rsidP="007E452B">
      <w:pPr>
        <w:pStyle w:val="FootnoteText"/>
        <w:spacing w:after="0"/>
        <w:ind w:left="0" w:firstLine="0"/>
        <w:jc w:val="left"/>
      </w:pPr>
      <w:r>
        <w:rPr>
          <w:rStyle w:val="FootnoteReference"/>
        </w:rPr>
        <w:footnoteRef/>
      </w:r>
      <w:r>
        <w:t xml:space="preserve"> </w:t>
      </w:r>
      <w:r>
        <w:rPr>
          <w:rFonts w:ascii="Calibri" w:hAnsi="Calibri"/>
          <w:i/>
        </w:rPr>
        <w:t xml:space="preserve">Turquía ha formulado una reserva a propósito del contenido del párrafo 36, que se refiere a los </w:t>
      </w:r>
      <w:r>
        <w:rPr>
          <w:rFonts w:ascii="Calibri" w:hAnsi="Calibri"/>
        </w:rPr>
        <w:t>Lineamientos para la cooperación internacional con arreglo a la Convención de Ramsar</w:t>
      </w:r>
      <w:r>
        <w:rPr>
          <w:rFonts w:ascii="Calibri" w:hAnsi="Calibri"/>
          <w:i/>
        </w:rPr>
        <w:t xml:space="preserve"> (Resolución VII.19) y que fue aceptado en la COP7 con una reserva formulada por Turquía. La declaración de la delegación de Turquía figura en el párrafo xxx del Informe de la Conferencia.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B3586" w14:textId="77777777" w:rsidR="002E40B3" w:rsidRDefault="002E4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5F1"/>
    <w:multiLevelType w:val="hybridMultilevel"/>
    <w:tmpl w:val="515A765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E4406"/>
    <w:multiLevelType w:val="hybridMultilevel"/>
    <w:tmpl w:val="A6EE90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EC4334E"/>
    <w:multiLevelType w:val="hybridMultilevel"/>
    <w:tmpl w:val="B44078A2"/>
    <w:lvl w:ilvl="0" w:tplc="658AE426">
      <w:start w:val="1"/>
      <w:numFmt w:val="decimal"/>
      <w:lvlText w:val="%1."/>
      <w:lvlJc w:val="left"/>
      <w:pPr>
        <w:ind w:left="644" w:hanging="360"/>
      </w:pPr>
      <w:rPr>
        <w:rFonts w:asciiTheme="minorHAnsi" w:hAnsiTheme="minorHAnsi" w:hint="default"/>
        <w:b w:val="0"/>
        <w:i w:val="0"/>
        <w:color w:val="auto"/>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B1D9D"/>
    <w:multiLevelType w:val="hybridMultilevel"/>
    <w:tmpl w:val="774E616C"/>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5" w15:restartNumberingAfterBreak="0">
    <w:nsid w:val="1C3D1015"/>
    <w:multiLevelType w:val="hybridMultilevel"/>
    <w:tmpl w:val="421EEEC0"/>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87960EE"/>
    <w:multiLevelType w:val="hybridMultilevel"/>
    <w:tmpl w:val="24CAD4C0"/>
    <w:lvl w:ilvl="0" w:tplc="35DA5F26">
      <w:start w:val="1"/>
      <w:numFmt w:val="decimal"/>
      <w:lvlText w:val="%1."/>
      <w:lvlJc w:val="left"/>
      <w:pPr>
        <w:ind w:left="50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57C77"/>
    <w:multiLevelType w:val="hybridMultilevel"/>
    <w:tmpl w:val="40846800"/>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613550"/>
    <w:multiLevelType w:val="hybridMultilevel"/>
    <w:tmpl w:val="ED08F29E"/>
    <w:lvl w:ilvl="0" w:tplc="BBB6E116">
      <w:start w:val="1"/>
      <w:numFmt w:val="bullet"/>
      <w:lvlText w:val="x"/>
      <w:lvlJc w:val="left"/>
      <w:pPr>
        <w:ind w:left="720" w:hanging="360"/>
      </w:pPr>
      <w:rPr>
        <w:rFonts w:ascii="Calibri" w:hAnsi="Calibri" w:hint="default"/>
      </w:rPr>
    </w:lvl>
    <w:lvl w:ilvl="1" w:tplc="761ED18C">
      <w:start w:val="1"/>
      <w:numFmt w:val="lowerRoman"/>
      <w:lvlText w:val="%2."/>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839AF"/>
    <w:multiLevelType w:val="hybridMultilevel"/>
    <w:tmpl w:val="D5909FF8"/>
    <w:lvl w:ilvl="0" w:tplc="7EB43342">
      <w:start w:val="1"/>
      <w:numFmt w:val="decimal"/>
      <w:lvlText w:val="%1."/>
      <w:lvlJc w:val="left"/>
      <w:pPr>
        <w:ind w:left="1211"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282480"/>
    <w:multiLevelType w:val="hybridMultilevel"/>
    <w:tmpl w:val="68E2093A"/>
    <w:lvl w:ilvl="0" w:tplc="35DA5F26">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ED2109"/>
    <w:multiLevelType w:val="hybridMultilevel"/>
    <w:tmpl w:val="DE20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6524C"/>
    <w:multiLevelType w:val="hybridMultilevel"/>
    <w:tmpl w:val="D3782A8E"/>
    <w:lvl w:ilvl="0" w:tplc="F4642D98">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1A6A01"/>
    <w:multiLevelType w:val="hybridMultilevel"/>
    <w:tmpl w:val="419A1708"/>
    <w:lvl w:ilvl="0" w:tplc="5D7AA98E">
      <w:start w:val="5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D091B0A"/>
    <w:multiLevelType w:val="hybridMultilevel"/>
    <w:tmpl w:val="0150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DC3A82"/>
    <w:multiLevelType w:val="hybridMultilevel"/>
    <w:tmpl w:val="30A8EF08"/>
    <w:lvl w:ilvl="0" w:tplc="E82EADEE">
      <w:start w:val="21"/>
      <w:numFmt w:val="decimal"/>
      <w:lvlText w:val="%1."/>
      <w:lvlJc w:val="left"/>
      <w:pPr>
        <w:ind w:left="644" w:hanging="360"/>
      </w:pPr>
      <w:rPr>
        <w:rFonts w:asciiTheme="minorHAnsi" w:hAnsiTheme="minorHAnsi" w:cs="Times New Roman" w:hint="default"/>
        <w:b w:val="0"/>
        <w:color w:val="auto"/>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ED011D8"/>
    <w:multiLevelType w:val="hybridMultilevel"/>
    <w:tmpl w:val="9B3A91C4"/>
    <w:lvl w:ilvl="0" w:tplc="0AF6D658">
      <w:start w:val="43"/>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619021C4"/>
    <w:multiLevelType w:val="hybridMultilevel"/>
    <w:tmpl w:val="9F808E56"/>
    <w:lvl w:ilvl="0" w:tplc="58228F0E">
      <w:start w:val="5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37D06DA"/>
    <w:multiLevelType w:val="hybridMultilevel"/>
    <w:tmpl w:val="1BA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C2D90"/>
    <w:multiLevelType w:val="hybridMultilevel"/>
    <w:tmpl w:val="3864D2A8"/>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1" w15:restartNumberingAfterBreak="0">
    <w:nsid w:val="698F5D76"/>
    <w:multiLevelType w:val="hybridMultilevel"/>
    <w:tmpl w:val="2814F00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84C561D"/>
    <w:multiLevelType w:val="hybridMultilevel"/>
    <w:tmpl w:val="9DD0BF1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15:restartNumberingAfterBreak="0">
    <w:nsid w:val="7D445BC0"/>
    <w:multiLevelType w:val="hybridMultilevel"/>
    <w:tmpl w:val="F6E449B6"/>
    <w:lvl w:ilvl="0" w:tplc="CA86EA26">
      <w:start w:val="18"/>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7E8A3BFB"/>
    <w:multiLevelType w:val="multilevel"/>
    <w:tmpl w:val="937206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19"/>
  </w:num>
  <w:num w:numId="4">
    <w:abstractNumId w:val="11"/>
  </w:num>
  <w:num w:numId="5">
    <w:abstractNumId w:val="10"/>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2"/>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18"/>
  </w:num>
  <w:num w:numId="15">
    <w:abstractNumId w:val="16"/>
  </w:num>
  <w:num w:numId="16">
    <w:abstractNumId w:val="14"/>
  </w:num>
  <w:num w:numId="17">
    <w:abstractNumId w:val="5"/>
  </w:num>
  <w:num w:numId="18">
    <w:abstractNumId w:val="2"/>
  </w:num>
  <w:num w:numId="19">
    <w:abstractNumId w:val="7"/>
  </w:num>
  <w:num w:numId="20">
    <w:abstractNumId w:val="21"/>
  </w:num>
  <w:num w:numId="21">
    <w:abstractNumId w:val="23"/>
  </w:num>
  <w:num w:numId="22">
    <w:abstractNumId w:val="4"/>
  </w:num>
  <w:num w:numId="23">
    <w:abstractNumId w:val="20"/>
  </w:num>
  <w:num w:numId="24">
    <w:abstractNumId w:val="0"/>
  </w:num>
  <w:num w:numId="25">
    <w:abstractNumId w:val="22"/>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trackRevisions/>
  <w:doNotTrackFormatting/>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3580"/>
    <w:rsid w:val="00004350"/>
    <w:rsid w:val="00005690"/>
    <w:rsid w:val="00007837"/>
    <w:rsid w:val="00010117"/>
    <w:rsid w:val="00010F79"/>
    <w:rsid w:val="000119F7"/>
    <w:rsid w:val="0001595B"/>
    <w:rsid w:val="00015F2A"/>
    <w:rsid w:val="0001640F"/>
    <w:rsid w:val="00016C55"/>
    <w:rsid w:val="00020507"/>
    <w:rsid w:val="0002346E"/>
    <w:rsid w:val="00024187"/>
    <w:rsid w:val="00024301"/>
    <w:rsid w:val="000262EE"/>
    <w:rsid w:val="0002666F"/>
    <w:rsid w:val="00026AF3"/>
    <w:rsid w:val="00027258"/>
    <w:rsid w:val="000274C3"/>
    <w:rsid w:val="00032C51"/>
    <w:rsid w:val="00033522"/>
    <w:rsid w:val="00041AFD"/>
    <w:rsid w:val="00043D5D"/>
    <w:rsid w:val="000443CD"/>
    <w:rsid w:val="000515E8"/>
    <w:rsid w:val="00051CDC"/>
    <w:rsid w:val="00054C52"/>
    <w:rsid w:val="00055102"/>
    <w:rsid w:val="0005674C"/>
    <w:rsid w:val="00056F13"/>
    <w:rsid w:val="00057770"/>
    <w:rsid w:val="00060118"/>
    <w:rsid w:val="00064594"/>
    <w:rsid w:val="000658C2"/>
    <w:rsid w:val="0007162F"/>
    <w:rsid w:val="0007167A"/>
    <w:rsid w:val="00071D74"/>
    <w:rsid w:val="000728A7"/>
    <w:rsid w:val="00073599"/>
    <w:rsid w:val="00073D03"/>
    <w:rsid w:val="000748DD"/>
    <w:rsid w:val="00075C79"/>
    <w:rsid w:val="0007671F"/>
    <w:rsid w:val="000776D5"/>
    <w:rsid w:val="00080B42"/>
    <w:rsid w:val="000815CF"/>
    <w:rsid w:val="00081961"/>
    <w:rsid w:val="000848D2"/>
    <w:rsid w:val="00085F0B"/>
    <w:rsid w:val="0008688B"/>
    <w:rsid w:val="00090AC8"/>
    <w:rsid w:val="00091F66"/>
    <w:rsid w:val="00092540"/>
    <w:rsid w:val="00094BDE"/>
    <w:rsid w:val="00095113"/>
    <w:rsid w:val="00095D96"/>
    <w:rsid w:val="00097A4D"/>
    <w:rsid w:val="000A134E"/>
    <w:rsid w:val="000A170F"/>
    <w:rsid w:val="000A3261"/>
    <w:rsid w:val="000A3DA1"/>
    <w:rsid w:val="000A5223"/>
    <w:rsid w:val="000A6728"/>
    <w:rsid w:val="000A6883"/>
    <w:rsid w:val="000B2795"/>
    <w:rsid w:val="000B3C8C"/>
    <w:rsid w:val="000B4FCC"/>
    <w:rsid w:val="000B6927"/>
    <w:rsid w:val="000B76D5"/>
    <w:rsid w:val="000C15BC"/>
    <w:rsid w:val="000C3675"/>
    <w:rsid w:val="000C3A4A"/>
    <w:rsid w:val="000C47C6"/>
    <w:rsid w:val="000C5D78"/>
    <w:rsid w:val="000C62B6"/>
    <w:rsid w:val="000C7803"/>
    <w:rsid w:val="000E0DD8"/>
    <w:rsid w:val="000E19EC"/>
    <w:rsid w:val="000F0B3F"/>
    <w:rsid w:val="000F1D6E"/>
    <w:rsid w:val="000F1EF0"/>
    <w:rsid w:val="000F2482"/>
    <w:rsid w:val="000F26C7"/>
    <w:rsid w:val="001006BE"/>
    <w:rsid w:val="0010081C"/>
    <w:rsid w:val="00100888"/>
    <w:rsid w:val="00102057"/>
    <w:rsid w:val="00102CF8"/>
    <w:rsid w:val="0010409B"/>
    <w:rsid w:val="00104BBE"/>
    <w:rsid w:val="0010584A"/>
    <w:rsid w:val="0011563D"/>
    <w:rsid w:val="00115CB6"/>
    <w:rsid w:val="00116391"/>
    <w:rsid w:val="00116971"/>
    <w:rsid w:val="00117941"/>
    <w:rsid w:val="00121D83"/>
    <w:rsid w:val="00122CC8"/>
    <w:rsid w:val="001233DE"/>
    <w:rsid w:val="00123864"/>
    <w:rsid w:val="001265E0"/>
    <w:rsid w:val="0012730B"/>
    <w:rsid w:val="00127ABE"/>
    <w:rsid w:val="00127ADD"/>
    <w:rsid w:val="00130489"/>
    <w:rsid w:val="0013075D"/>
    <w:rsid w:val="00131009"/>
    <w:rsid w:val="001340B0"/>
    <w:rsid w:val="001348B6"/>
    <w:rsid w:val="00135109"/>
    <w:rsid w:val="0013737A"/>
    <w:rsid w:val="00141D72"/>
    <w:rsid w:val="00141F99"/>
    <w:rsid w:val="00142E76"/>
    <w:rsid w:val="00144A9F"/>
    <w:rsid w:val="001454DB"/>
    <w:rsid w:val="00145C49"/>
    <w:rsid w:val="00146123"/>
    <w:rsid w:val="001463E5"/>
    <w:rsid w:val="001468BD"/>
    <w:rsid w:val="00146F43"/>
    <w:rsid w:val="00147079"/>
    <w:rsid w:val="001507BD"/>
    <w:rsid w:val="00152776"/>
    <w:rsid w:val="0015517E"/>
    <w:rsid w:val="001569D3"/>
    <w:rsid w:val="001572D6"/>
    <w:rsid w:val="0016067D"/>
    <w:rsid w:val="001619FF"/>
    <w:rsid w:val="00163967"/>
    <w:rsid w:val="00170066"/>
    <w:rsid w:val="0017038B"/>
    <w:rsid w:val="00170412"/>
    <w:rsid w:val="001710C5"/>
    <w:rsid w:val="001715B1"/>
    <w:rsid w:val="00171D5D"/>
    <w:rsid w:val="00172DDC"/>
    <w:rsid w:val="0017359A"/>
    <w:rsid w:val="00174630"/>
    <w:rsid w:val="00177E05"/>
    <w:rsid w:val="001803EE"/>
    <w:rsid w:val="00181101"/>
    <w:rsid w:val="0018143E"/>
    <w:rsid w:val="00183139"/>
    <w:rsid w:val="001831FF"/>
    <w:rsid w:val="00183A30"/>
    <w:rsid w:val="00185A44"/>
    <w:rsid w:val="00187E91"/>
    <w:rsid w:val="001914E0"/>
    <w:rsid w:val="00191F11"/>
    <w:rsid w:val="0019223D"/>
    <w:rsid w:val="00193512"/>
    <w:rsid w:val="00193B67"/>
    <w:rsid w:val="00193E31"/>
    <w:rsid w:val="001956F9"/>
    <w:rsid w:val="00195A82"/>
    <w:rsid w:val="00196C03"/>
    <w:rsid w:val="001A0160"/>
    <w:rsid w:val="001A0A50"/>
    <w:rsid w:val="001A37DB"/>
    <w:rsid w:val="001A3D5B"/>
    <w:rsid w:val="001A40C0"/>
    <w:rsid w:val="001A6258"/>
    <w:rsid w:val="001A6E77"/>
    <w:rsid w:val="001A79EB"/>
    <w:rsid w:val="001B0F6C"/>
    <w:rsid w:val="001B1570"/>
    <w:rsid w:val="001B361B"/>
    <w:rsid w:val="001B3DFA"/>
    <w:rsid w:val="001B76AD"/>
    <w:rsid w:val="001C02DA"/>
    <w:rsid w:val="001C096A"/>
    <w:rsid w:val="001C1FF3"/>
    <w:rsid w:val="001C3563"/>
    <w:rsid w:val="001C64CD"/>
    <w:rsid w:val="001C7254"/>
    <w:rsid w:val="001D03DA"/>
    <w:rsid w:val="001D0F43"/>
    <w:rsid w:val="001D265C"/>
    <w:rsid w:val="001D267A"/>
    <w:rsid w:val="001D2EF9"/>
    <w:rsid w:val="001D4A5C"/>
    <w:rsid w:val="001D5C4D"/>
    <w:rsid w:val="001E0CDD"/>
    <w:rsid w:val="001E3541"/>
    <w:rsid w:val="001E3547"/>
    <w:rsid w:val="001E4E55"/>
    <w:rsid w:val="001E7183"/>
    <w:rsid w:val="001F068E"/>
    <w:rsid w:val="001F0EA9"/>
    <w:rsid w:val="001F1FBB"/>
    <w:rsid w:val="001F2436"/>
    <w:rsid w:val="001F29E8"/>
    <w:rsid w:val="00201C7C"/>
    <w:rsid w:val="00201D4E"/>
    <w:rsid w:val="00202B3C"/>
    <w:rsid w:val="00204164"/>
    <w:rsid w:val="002044F3"/>
    <w:rsid w:val="00211DC6"/>
    <w:rsid w:val="00212D24"/>
    <w:rsid w:val="00216AE2"/>
    <w:rsid w:val="00217039"/>
    <w:rsid w:val="00222988"/>
    <w:rsid w:val="00225096"/>
    <w:rsid w:val="002271AF"/>
    <w:rsid w:val="00227DC6"/>
    <w:rsid w:val="00230566"/>
    <w:rsid w:val="00231D2A"/>
    <w:rsid w:val="0023407E"/>
    <w:rsid w:val="00234ABE"/>
    <w:rsid w:val="002352D7"/>
    <w:rsid w:val="0023670A"/>
    <w:rsid w:val="002379A5"/>
    <w:rsid w:val="00241606"/>
    <w:rsid w:val="00243645"/>
    <w:rsid w:val="00243EB3"/>
    <w:rsid w:val="00244411"/>
    <w:rsid w:val="002447E7"/>
    <w:rsid w:val="00245081"/>
    <w:rsid w:val="00247808"/>
    <w:rsid w:val="002514F1"/>
    <w:rsid w:val="00254868"/>
    <w:rsid w:val="00254AC8"/>
    <w:rsid w:val="00255239"/>
    <w:rsid w:val="0025658D"/>
    <w:rsid w:val="00257F26"/>
    <w:rsid w:val="00261F91"/>
    <w:rsid w:val="00262074"/>
    <w:rsid w:val="002634E8"/>
    <w:rsid w:val="002646FA"/>
    <w:rsid w:val="00265BF4"/>
    <w:rsid w:val="002660B1"/>
    <w:rsid w:val="002679B4"/>
    <w:rsid w:val="002701D0"/>
    <w:rsid w:val="002714E9"/>
    <w:rsid w:val="0027283C"/>
    <w:rsid w:val="00273C1A"/>
    <w:rsid w:val="00274F38"/>
    <w:rsid w:val="0027508B"/>
    <w:rsid w:val="002816D3"/>
    <w:rsid w:val="002835A3"/>
    <w:rsid w:val="00285528"/>
    <w:rsid w:val="002864E5"/>
    <w:rsid w:val="00287C25"/>
    <w:rsid w:val="002934B0"/>
    <w:rsid w:val="002943C0"/>
    <w:rsid w:val="00294430"/>
    <w:rsid w:val="00294A70"/>
    <w:rsid w:val="002953F3"/>
    <w:rsid w:val="00295B0F"/>
    <w:rsid w:val="00295E37"/>
    <w:rsid w:val="00297C76"/>
    <w:rsid w:val="002A0507"/>
    <w:rsid w:val="002A4598"/>
    <w:rsid w:val="002A4BAF"/>
    <w:rsid w:val="002A638F"/>
    <w:rsid w:val="002A65F4"/>
    <w:rsid w:val="002A68B2"/>
    <w:rsid w:val="002A6CCF"/>
    <w:rsid w:val="002A7106"/>
    <w:rsid w:val="002B1E27"/>
    <w:rsid w:val="002B2567"/>
    <w:rsid w:val="002B42B8"/>
    <w:rsid w:val="002B4DA9"/>
    <w:rsid w:val="002B4F2F"/>
    <w:rsid w:val="002B5596"/>
    <w:rsid w:val="002B5C86"/>
    <w:rsid w:val="002B6D85"/>
    <w:rsid w:val="002B7340"/>
    <w:rsid w:val="002B7D26"/>
    <w:rsid w:val="002C0479"/>
    <w:rsid w:val="002C0555"/>
    <w:rsid w:val="002C1151"/>
    <w:rsid w:val="002C2BC7"/>
    <w:rsid w:val="002C4226"/>
    <w:rsid w:val="002C478C"/>
    <w:rsid w:val="002C537A"/>
    <w:rsid w:val="002D26A3"/>
    <w:rsid w:val="002D3B36"/>
    <w:rsid w:val="002D48BB"/>
    <w:rsid w:val="002D4BDD"/>
    <w:rsid w:val="002D6856"/>
    <w:rsid w:val="002D6BB9"/>
    <w:rsid w:val="002D7FEC"/>
    <w:rsid w:val="002E0642"/>
    <w:rsid w:val="002E0FF5"/>
    <w:rsid w:val="002E40B3"/>
    <w:rsid w:val="002E43C2"/>
    <w:rsid w:val="002E4782"/>
    <w:rsid w:val="002E59C8"/>
    <w:rsid w:val="002E5D19"/>
    <w:rsid w:val="002E64DF"/>
    <w:rsid w:val="002E7AC5"/>
    <w:rsid w:val="002F505B"/>
    <w:rsid w:val="002F5813"/>
    <w:rsid w:val="002F58A7"/>
    <w:rsid w:val="002F5936"/>
    <w:rsid w:val="002F6897"/>
    <w:rsid w:val="002F7529"/>
    <w:rsid w:val="002F7CA7"/>
    <w:rsid w:val="00303C19"/>
    <w:rsid w:val="00304E57"/>
    <w:rsid w:val="0031283E"/>
    <w:rsid w:val="00312ECC"/>
    <w:rsid w:val="00314A24"/>
    <w:rsid w:val="00316CB9"/>
    <w:rsid w:val="00317584"/>
    <w:rsid w:val="00317D9D"/>
    <w:rsid w:val="00320813"/>
    <w:rsid w:val="00322024"/>
    <w:rsid w:val="003226EE"/>
    <w:rsid w:val="0032502F"/>
    <w:rsid w:val="00325679"/>
    <w:rsid w:val="00325BA9"/>
    <w:rsid w:val="00326548"/>
    <w:rsid w:val="003268DF"/>
    <w:rsid w:val="00326F22"/>
    <w:rsid w:val="003320A7"/>
    <w:rsid w:val="00333768"/>
    <w:rsid w:val="00336424"/>
    <w:rsid w:val="00337C92"/>
    <w:rsid w:val="003410B0"/>
    <w:rsid w:val="003417FD"/>
    <w:rsid w:val="003448BD"/>
    <w:rsid w:val="00345E13"/>
    <w:rsid w:val="00345EB3"/>
    <w:rsid w:val="00346E28"/>
    <w:rsid w:val="00353009"/>
    <w:rsid w:val="00355A23"/>
    <w:rsid w:val="003575D1"/>
    <w:rsid w:val="00357CFA"/>
    <w:rsid w:val="00363419"/>
    <w:rsid w:val="00363972"/>
    <w:rsid w:val="0036630B"/>
    <w:rsid w:val="00372EC1"/>
    <w:rsid w:val="003730B7"/>
    <w:rsid w:val="003733E1"/>
    <w:rsid w:val="00375811"/>
    <w:rsid w:val="00375C0C"/>
    <w:rsid w:val="00375D9D"/>
    <w:rsid w:val="00376063"/>
    <w:rsid w:val="00376DDC"/>
    <w:rsid w:val="00382410"/>
    <w:rsid w:val="00382E89"/>
    <w:rsid w:val="00383D3A"/>
    <w:rsid w:val="003849BF"/>
    <w:rsid w:val="003864EE"/>
    <w:rsid w:val="0038769A"/>
    <w:rsid w:val="00390253"/>
    <w:rsid w:val="00391431"/>
    <w:rsid w:val="003915FB"/>
    <w:rsid w:val="00391C56"/>
    <w:rsid w:val="00392B8E"/>
    <w:rsid w:val="00392E1D"/>
    <w:rsid w:val="00392E69"/>
    <w:rsid w:val="0039351A"/>
    <w:rsid w:val="0039384C"/>
    <w:rsid w:val="003A1298"/>
    <w:rsid w:val="003A2BC9"/>
    <w:rsid w:val="003A2F36"/>
    <w:rsid w:val="003A3D27"/>
    <w:rsid w:val="003B050A"/>
    <w:rsid w:val="003B0764"/>
    <w:rsid w:val="003B11C0"/>
    <w:rsid w:val="003B19DF"/>
    <w:rsid w:val="003B1E6D"/>
    <w:rsid w:val="003B253B"/>
    <w:rsid w:val="003B5014"/>
    <w:rsid w:val="003B51DE"/>
    <w:rsid w:val="003B69A2"/>
    <w:rsid w:val="003C09EC"/>
    <w:rsid w:val="003C128F"/>
    <w:rsid w:val="003C1B42"/>
    <w:rsid w:val="003C20FF"/>
    <w:rsid w:val="003C226B"/>
    <w:rsid w:val="003C229B"/>
    <w:rsid w:val="003C36FA"/>
    <w:rsid w:val="003C6A54"/>
    <w:rsid w:val="003C77F7"/>
    <w:rsid w:val="003D740D"/>
    <w:rsid w:val="003E0939"/>
    <w:rsid w:val="003E0D12"/>
    <w:rsid w:val="003E0E4E"/>
    <w:rsid w:val="003E11F9"/>
    <w:rsid w:val="003E3DE5"/>
    <w:rsid w:val="003F2F88"/>
    <w:rsid w:val="003F4C23"/>
    <w:rsid w:val="003F77F0"/>
    <w:rsid w:val="003F7B34"/>
    <w:rsid w:val="00400BE4"/>
    <w:rsid w:val="004025FE"/>
    <w:rsid w:val="00404700"/>
    <w:rsid w:val="004059BC"/>
    <w:rsid w:val="004070EF"/>
    <w:rsid w:val="00407F93"/>
    <w:rsid w:val="00407FD0"/>
    <w:rsid w:val="00411D76"/>
    <w:rsid w:val="004124DC"/>
    <w:rsid w:val="00412E08"/>
    <w:rsid w:val="0041450B"/>
    <w:rsid w:val="00414A70"/>
    <w:rsid w:val="00415D19"/>
    <w:rsid w:val="00416385"/>
    <w:rsid w:val="004203DA"/>
    <w:rsid w:val="00420519"/>
    <w:rsid w:val="00420A50"/>
    <w:rsid w:val="00421B69"/>
    <w:rsid w:val="00421F7B"/>
    <w:rsid w:val="00423821"/>
    <w:rsid w:val="00423D8B"/>
    <w:rsid w:val="0043088C"/>
    <w:rsid w:val="00430CBD"/>
    <w:rsid w:val="0043117A"/>
    <w:rsid w:val="00432C2B"/>
    <w:rsid w:val="00434157"/>
    <w:rsid w:val="00434554"/>
    <w:rsid w:val="004363BE"/>
    <w:rsid w:val="00436FEA"/>
    <w:rsid w:val="00437D89"/>
    <w:rsid w:val="00440E62"/>
    <w:rsid w:val="0044134E"/>
    <w:rsid w:val="00442734"/>
    <w:rsid w:val="004427DB"/>
    <w:rsid w:val="00445077"/>
    <w:rsid w:val="00446000"/>
    <w:rsid w:val="0044637F"/>
    <w:rsid w:val="00446641"/>
    <w:rsid w:val="0045375E"/>
    <w:rsid w:val="00453F5F"/>
    <w:rsid w:val="00454E40"/>
    <w:rsid w:val="00456306"/>
    <w:rsid w:val="004566F1"/>
    <w:rsid w:val="004579A4"/>
    <w:rsid w:val="00457E6A"/>
    <w:rsid w:val="004611F7"/>
    <w:rsid w:val="00461934"/>
    <w:rsid w:val="0046274D"/>
    <w:rsid w:val="00462967"/>
    <w:rsid w:val="00465FD0"/>
    <w:rsid w:val="00471452"/>
    <w:rsid w:val="00471F03"/>
    <w:rsid w:val="00472EB6"/>
    <w:rsid w:val="004731DE"/>
    <w:rsid w:val="004737CA"/>
    <w:rsid w:val="00480D21"/>
    <w:rsid w:val="0048112B"/>
    <w:rsid w:val="0048167E"/>
    <w:rsid w:val="004819CC"/>
    <w:rsid w:val="00482AE8"/>
    <w:rsid w:val="00482BCF"/>
    <w:rsid w:val="00482DC9"/>
    <w:rsid w:val="0048478E"/>
    <w:rsid w:val="0048623B"/>
    <w:rsid w:val="00486951"/>
    <w:rsid w:val="00487333"/>
    <w:rsid w:val="00487448"/>
    <w:rsid w:val="00487F19"/>
    <w:rsid w:val="00490212"/>
    <w:rsid w:val="00491D9A"/>
    <w:rsid w:val="00492C73"/>
    <w:rsid w:val="00494893"/>
    <w:rsid w:val="004A004C"/>
    <w:rsid w:val="004A0166"/>
    <w:rsid w:val="004A064C"/>
    <w:rsid w:val="004A08F0"/>
    <w:rsid w:val="004A0DE6"/>
    <w:rsid w:val="004A1BB7"/>
    <w:rsid w:val="004A3F5C"/>
    <w:rsid w:val="004A5A43"/>
    <w:rsid w:val="004A7145"/>
    <w:rsid w:val="004A7FDB"/>
    <w:rsid w:val="004B1CA7"/>
    <w:rsid w:val="004B48EF"/>
    <w:rsid w:val="004B4EF7"/>
    <w:rsid w:val="004B4F43"/>
    <w:rsid w:val="004B57F4"/>
    <w:rsid w:val="004B5F26"/>
    <w:rsid w:val="004C3C9F"/>
    <w:rsid w:val="004C3E61"/>
    <w:rsid w:val="004C4E17"/>
    <w:rsid w:val="004C7A23"/>
    <w:rsid w:val="004D1459"/>
    <w:rsid w:val="004D411A"/>
    <w:rsid w:val="004D7848"/>
    <w:rsid w:val="004D78EA"/>
    <w:rsid w:val="004D7E7C"/>
    <w:rsid w:val="004E1F6C"/>
    <w:rsid w:val="004E38EB"/>
    <w:rsid w:val="004E6521"/>
    <w:rsid w:val="004E79B0"/>
    <w:rsid w:val="004F034D"/>
    <w:rsid w:val="004F104E"/>
    <w:rsid w:val="004F136E"/>
    <w:rsid w:val="004F3F31"/>
    <w:rsid w:val="004F42F0"/>
    <w:rsid w:val="004F5DCB"/>
    <w:rsid w:val="004F5DCD"/>
    <w:rsid w:val="004F5F26"/>
    <w:rsid w:val="004F6126"/>
    <w:rsid w:val="004F6FD2"/>
    <w:rsid w:val="004F7068"/>
    <w:rsid w:val="004F79B3"/>
    <w:rsid w:val="004F7C9B"/>
    <w:rsid w:val="00500752"/>
    <w:rsid w:val="005017BA"/>
    <w:rsid w:val="00504086"/>
    <w:rsid w:val="00504F5D"/>
    <w:rsid w:val="00506517"/>
    <w:rsid w:val="0050786D"/>
    <w:rsid w:val="00507DA7"/>
    <w:rsid w:val="00510651"/>
    <w:rsid w:val="00513E57"/>
    <w:rsid w:val="00514A0F"/>
    <w:rsid w:val="00514BDA"/>
    <w:rsid w:val="00514C44"/>
    <w:rsid w:val="005153CF"/>
    <w:rsid w:val="0052007C"/>
    <w:rsid w:val="00521B00"/>
    <w:rsid w:val="00521F01"/>
    <w:rsid w:val="005223CB"/>
    <w:rsid w:val="00523FD7"/>
    <w:rsid w:val="005243E7"/>
    <w:rsid w:val="00527AE8"/>
    <w:rsid w:val="00530E60"/>
    <w:rsid w:val="005312F9"/>
    <w:rsid w:val="00531CEE"/>
    <w:rsid w:val="00532FA8"/>
    <w:rsid w:val="00533213"/>
    <w:rsid w:val="00534542"/>
    <w:rsid w:val="00536004"/>
    <w:rsid w:val="00536ED0"/>
    <w:rsid w:val="0053736B"/>
    <w:rsid w:val="005412DB"/>
    <w:rsid w:val="00542923"/>
    <w:rsid w:val="005438B3"/>
    <w:rsid w:val="00544A91"/>
    <w:rsid w:val="00545DA3"/>
    <w:rsid w:val="00546397"/>
    <w:rsid w:val="00546DB3"/>
    <w:rsid w:val="005502D2"/>
    <w:rsid w:val="005518CD"/>
    <w:rsid w:val="005522A4"/>
    <w:rsid w:val="005526B6"/>
    <w:rsid w:val="00552FAB"/>
    <w:rsid w:val="005537B6"/>
    <w:rsid w:val="005548F1"/>
    <w:rsid w:val="00562442"/>
    <w:rsid w:val="005630B6"/>
    <w:rsid w:val="00563E47"/>
    <w:rsid w:val="005640B7"/>
    <w:rsid w:val="005640E1"/>
    <w:rsid w:val="005667AA"/>
    <w:rsid w:val="00566B69"/>
    <w:rsid w:val="00567CD8"/>
    <w:rsid w:val="005712E8"/>
    <w:rsid w:val="00573507"/>
    <w:rsid w:val="00574742"/>
    <w:rsid w:val="00574F47"/>
    <w:rsid w:val="005754A8"/>
    <w:rsid w:val="0057632D"/>
    <w:rsid w:val="0057681F"/>
    <w:rsid w:val="00577F62"/>
    <w:rsid w:val="00581EC3"/>
    <w:rsid w:val="00582948"/>
    <w:rsid w:val="00582A09"/>
    <w:rsid w:val="00582D09"/>
    <w:rsid w:val="00587498"/>
    <w:rsid w:val="00587A2D"/>
    <w:rsid w:val="005904C0"/>
    <w:rsid w:val="00590622"/>
    <w:rsid w:val="00592107"/>
    <w:rsid w:val="00593665"/>
    <w:rsid w:val="00593699"/>
    <w:rsid w:val="00595969"/>
    <w:rsid w:val="00595F8B"/>
    <w:rsid w:val="00596A96"/>
    <w:rsid w:val="005974E8"/>
    <w:rsid w:val="005A267F"/>
    <w:rsid w:val="005A4460"/>
    <w:rsid w:val="005A4493"/>
    <w:rsid w:val="005A592B"/>
    <w:rsid w:val="005A5DE5"/>
    <w:rsid w:val="005B1318"/>
    <w:rsid w:val="005B3071"/>
    <w:rsid w:val="005B3EE4"/>
    <w:rsid w:val="005B581C"/>
    <w:rsid w:val="005B769D"/>
    <w:rsid w:val="005C02C7"/>
    <w:rsid w:val="005C03CF"/>
    <w:rsid w:val="005C1A53"/>
    <w:rsid w:val="005C32C1"/>
    <w:rsid w:val="005C70BC"/>
    <w:rsid w:val="005D2A79"/>
    <w:rsid w:val="005D2CA9"/>
    <w:rsid w:val="005D34F5"/>
    <w:rsid w:val="005D3C43"/>
    <w:rsid w:val="005D3D68"/>
    <w:rsid w:val="005D47CB"/>
    <w:rsid w:val="005D5FFC"/>
    <w:rsid w:val="005D6089"/>
    <w:rsid w:val="005D7F8A"/>
    <w:rsid w:val="005E0D1B"/>
    <w:rsid w:val="005E0FAD"/>
    <w:rsid w:val="005E2530"/>
    <w:rsid w:val="005E3765"/>
    <w:rsid w:val="005E538D"/>
    <w:rsid w:val="005E597F"/>
    <w:rsid w:val="005E686A"/>
    <w:rsid w:val="005E772B"/>
    <w:rsid w:val="005F12F2"/>
    <w:rsid w:val="005F3A91"/>
    <w:rsid w:val="005F4ABE"/>
    <w:rsid w:val="005F5738"/>
    <w:rsid w:val="005F603A"/>
    <w:rsid w:val="005F7D56"/>
    <w:rsid w:val="006025E4"/>
    <w:rsid w:val="00603967"/>
    <w:rsid w:val="00603A2B"/>
    <w:rsid w:val="00605171"/>
    <w:rsid w:val="00607769"/>
    <w:rsid w:val="00612425"/>
    <w:rsid w:val="00612E24"/>
    <w:rsid w:val="00615300"/>
    <w:rsid w:val="00615F64"/>
    <w:rsid w:val="00617BD2"/>
    <w:rsid w:val="00620EDC"/>
    <w:rsid w:val="00622C74"/>
    <w:rsid w:val="00622EAA"/>
    <w:rsid w:val="00623BD2"/>
    <w:rsid w:val="00624393"/>
    <w:rsid w:val="00625F54"/>
    <w:rsid w:val="00626ED4"/>
    <w:rsid w:val="00627ECF"/>
    <w:rsid w:val="00631532"/>
    <w:rsid w:val="00635AE6"/>
    <w:rsid w:val="00635EAE"/>
    <w:rsid w:val="006368E9"/>
    <w:rsid w:val="00636CC5"/>
    <w:rsid w:val="00636D94"/>
    <w:rsid w:val="0064181F"/>
    <w:rsid w:val="00641970"/>
    <w:rsid w:val="006422BC"/>
    <w:rsid w:val="00643BB9"/>
    <w:rsid w:val="00644FA3"/>
    <w:rsid w:val="0064540F"/>
    <w:rsid w:val="00645412"/>
    <w:rsid w:val="00645924"/>
    <w:rsid w:val="00645FEF"/>
    <w:rsid w:val="00646474"/>
    <w:rsid w:val="006472F4"/>
    <w:rsid w:val="0064751D"/>
    <w:rsid w:val="00651E2D"/>
    <w:rsid w:val="00657000"/>
    <w:rsid w:val="006570A5"/>
    <w:rsid w:val="0066285E"/>
    <w:rsid w:val="006654EC"/>
    <w:rsid w:val="00666014"/>
    <w:rsid w:val="00667F55"/>
    <w:rsid w:val="00670976"/>
    <w:rsid w:val="00670B70"/>
    <w:rsid w:val="0067235D"/>
    <w:rsid w:val="00675024"/>
    <w:rsid w:val="00675171"/>
    <w:rsid w:val="006779F2"/>
    <w:rsid w:val="00677D6D"/>
    <w:rsid w:val="00680A3C"/>
    <w:rsid w:val="00680C56"/>
    <w:rsid w:val="00680E07"/>
    <w:rsid w:val="00681B48"/>
    <w:rsid w:val="00681ED2"/>
    <w:rsid w:val="006820B0"/>
    <w:rsid w:val="00685DA0"/>
    <w:rsid w:val="006868B3"/>
    <w:rsid w:val="00686C81"/>
    <w:rsid w:val="00687051"/>
    <w:rsid w:val="00690773"/>
    <w:rsid w:val="00693C8B"/>
    <w:rsid w:val="00694A12"/>
    <w:rsid w:val="00694AC4"/>
    <w:rsid w:val="006961B7"/>
    <w:rsid w:val="006A2B9F"/>
    <w:rsid w:val="006A36AA"/>
    <w:rsid w:val="006A4A76"/>
    <w:rsid w:val="006A5D9E"/>
    <w:rsid w:val="006A724E"/>
    <w:rsid w:val="006B240C"/>
    <w:rsid w:val="006B4291"/>
    <w:rsid w:val="006B4781"/>
    <w:rsid w:val="006B4949"/>
    <w:rsid w:val="006B4ED5"/>
    <w:rsid w:val="006B5C25"/>
    <w:rsid w:val="006B6339"/>
    <w:rsid w:val="006B68F7"/>
    <w:rsid w:val="006C02DD"/>
    <w:rsid w:val="006C36BC"/>
    <w:rsid w:val="006C58C0"/>
    <w:rsid w:val="006D02A1"/>
    <w:rsid w:val="006D0B61"/>
    <w:rsid w:val="006D0C5F"/>
    <w:rsid w:val="006D12B3"/>
    <w:rsid w:val="006D33A4"/>
    <w:rsid w:val="006D4305"/>
    <w:rsid w:val="006D5AC9"/>
    <w:rsid w:val="006E0DCD"/>
    <w:rsid w:val="006E1600"/>
    <w:rsid w:val="006E19DD"/>
    <w:rsid w:val="006E2A0D"/>
    <w:rsid w:val="006E2CDC"/>
    <w:rsid w:val="006E3610"/>
    <w:rsid w:val="006E38B1"/>
    <w:rsid w:val="006E4B1A"/>
    <w:rsid w:val="006E7AC1"/>
    <w:rsid w:val="006F04B1"/>
    <w:rsid w:val="006F17D4"/>
    <w:rsid w:val="006F4786"/>
    <w:rsid w:val="006F4CCD"/>
    <w:rsid w:val="006F5379"/>
    <w:rsid w:val="00700DC1"/>
    <w:rsid w:val="00701CD3"/>
    <w:rsid w:val="0070214A"/>
    <w:rsid w:val="00703BEF"/>
    <w:rsid w:val="00704C4D"/>
    <w:rsid w:val="007052DF"/>
    <w:rsid w:val="007055B0"/>
    <w:rsid w:val="00705D45"/>
    <w:rsid w:val="00706BC0"/>
    <w:rsid w:val="00715A80"/>
    <w:rsid w:val="00715D39"/>
    <w:rsid w:val="00716442"/>
    <w:rsid w:val="007168AE"/>
    <w:rsid w:val="00720D5C"/>
    <w:rsid w:val="00721B25"/>
    <w:rsid w:val="00722BC8"/>
    <w:rsid w:val="00725CDB"/>
    <w:rsid w:val="0073065B"/>
    <w:rsid w:val="00735D60"/>
    <w:rsid w:val="0073786F"/>
    <w:rsid w:val="00740130"/>
    <w:rsid w:val="007403EB"/>
    <w:rsid w:val="0074053A"/>
    <w:rsid w:val="00741944"/>
    <w:rsid w:val="00742373"/>
    <w:rsid w:val="007426F1"/>
    <w:rsid w:val="007434D0"/>
    <w:rsid w:val="007439E6"/>
    <w:rsid w:val="00743C51"/>
    <w:rsid w:val="0074449E"/>
    <w:rsid w:val="007447D7"/>
    <w:rsid w:val="0074490A"/>
    <w:rsid w:val="007449D3"/>
    <w:rsid w:val="00745CBE"/>
    <w:rsid w:val="00745D7E"/>
    <w:rsid w:val="00750840"/>
    <w:rsid w:val="00753168"/>
    <w:rsid w:val="00753404"/>
    <w:rsid w:val="00753789"/>
    <w:rsid w:val="00754C29"/>
    <w:rsid w:val="00755F9F"/>
    <w:rsid w:val="00756469"/>
    <w:rsid w:val="007575AA"/>
    <w:rsid w:val="00757A15"/>
    <w:rsid w:val="00760D4B"/>
    <w:rsid w:val="007613B5"/>
    <w:rsid w:val="00761F7D"/>
    <w:rsid w:val="00764684"/>
    <w:rsid w:val="00764973"/>
    <w:rsid w:val="00770718"/>
    <w:rsid w:val="0077081D"/>
    <w:rsid w:val="00771876"/>
    <w:rsid w:val="00773FB7"/>
    <w:rsid w:val="00776D8F"/>
    <w:rsid w:val="00776F3B"/>
    <w:rsid w:val="00777C9A"/>
    <w:rsid w:val="00780910"/>
    <w:rsid w:val="00782506"/>
    <w:rsid w:val="0078264E"/>
    <w:rsid w:val="00782854"/>
    <w:rsid w:val="007831BE"/>
    <w:rsid w:val="00783246"/>
    <w:rsid w:val="00784154"/>
    <w:rsid w:val="00787545"/>
    <w:rsid w:val="0079247D"/>
    <w:rsid w:val="007931CC"/>
    <w:rsid w:val="007943F0"/>
    <w:rsid w:val="00795B6E"/>
    <w:rsid w:val="007A05E9"/>
    <w:rsid w:val="007A16D7"/>
    <w:rsid w:val="007A1B2D"/>
    <w:rsid w:val="007A253E"/>
    <w:rsid w:val="007A25ED"/>
    <w:rsid w:val="007A2C37"/>
    <w:rsid w:val="007A3EF1"/>
    <w:rsid w:val="007A5606"/>
    <w:rsid w:val="007A579C"/>
    <w:rsid w:val="007A738C"/>
    <w:rsid w:val="007A79DF"/>
    <w:rsid w:val="007B2CBE"/>
    <w:rsid w:val="007B419C"/>
    <w:rsid w:val="007B4B52"/>
    <w:rsid w:val="007B5B10"/>
    <w:rsid w:val="007B6124"/>
    <w:rsid w:val="007B692D"/>
    <w:rsid w:val="007B69D4"/>
    <w:rsid w:val="007B7648"/>
    <w:rsid w:val="007B7AE8"/>
    <w:rsid w:val="007C0D8D"/>
    <w:rsid w:val="007C23C7"/>
    <w:rsid w:val="007C2AF1"/>
    <w:rsid w:val="007C393C"/>
    <w:rsid w:val="007C49A8"/>
    <w:rsid w:val="007C57F8"/>
    <w:rsid w:val="007C5E64"/>
    <w:rsid w:val="007D3B05"/>
    <w:rsid w:val="007D3FBF"/>
    <w:rsid w:val="007D46E9"/>
    <w:rsid w:val="007D4D76"/>
    <w:rsid w:val="007D5BF8"/>
    <w:rsid w:val="007D781F"/>
    <w:rsid w:val="007E07B0"/>
    <w:rsid w:val="007E35B0"/>
    <w:rsid w:val="007E4255"/>
    <w:rsid w:val="007E452B"/>
    <w:rsid w:val="007E615D"/>
    <w:rsid w:val="007E6953"/>
    <w:rsid w:val="007E7B4D"/>
    <w:rsid w:val="007F1AB7"/>
    <w:rsid w:val="007F1BF9"/>
    <w:rsid w:val="007F1E7B"/>
    <w:rsid w:val="007F38E9"/>
    <w:rsid w:val="007F4615"/>
    <w:rsid w:val="008004F3"/>
    <w:rsid w:val="00800505"/>
    <w:rsid w:val="0080078B"/>
    <w:rsid w:val="00801904"/>
    <w:rsid w:val="0080211B"/>
    <w:rsid w:val="008027BB"/>
    <w:rsid w:val="00803E9B"/>
    <w:rsid w:val="00805F94"/>
    <w:rsid w:val="00806209"/>
    <w:rsid w:val="0080669D"/>
    <w:rsid w:val="00806CA6"/>
    <w:rsid w:val="00810F0C"/>
    <w:rsid w:val="0081136E"/>
    <w:rsid w:val="00811449"/>
    <w:rsid w:val="008118F0"/>
    <w:rsid w:val="008123FF"/>
    <w:rsid w:val="00812CC5"/>
    <w:rsid w:val="00813AC9"/>
    <w:rsid w:val="00814BA2"/>
    <w:rsid w:val="0081684B"/>
    <w:rsid w:val="0081698B"/>
    <w:rsid w:val="008172B2"/>
    <w:rsid w:val="008200FA"/>
    <w:rsid w:val="00820D69"/>
    <w:rsid w:val="0082293C"/>
    <w:rsid w:val="00823213"/>
    <w:rsid w:val="0082444A"/>
    <w:rsid w:val="00825A5F"/>
    <w:rsid w:val="008264B5"/>
    <w:rsid w:val="008309A9"/>
    <w:rsid w:val="008319D0"/>
    <w:rsid w:val="00833875"/>
    <w:rsid w:val="0083461F"/>
    <w:rsid w:val="00837832"/>
    <w:rsid w:val="008459E8"/>
    <w:rsid w:val="00846A1E"/>
    <w:rsid w:val="00847D47"/>
    <w:rsid w:val="00850079"/>
    <w:rsid w:val="008509E3"/>
    <w:rsid w:val="0085148A"/>
    <w:rsid w:val="00854B06"/>
    <w:rsid w:val="008551D0"/>
    <w:rsid w:val="00855588"/>
    <w:rsid w:val="008569D8"/>
    <w:rsid w:val="008629FB"/>
    <w:rsid w:val="00863D31"/>
    <w:rsid w:val="00863FEF"/>
    <w:rsid w:val="00865127"/>
    <w:rsid w:val="00866BDE"/>
    <w:rsid w:val="00870DDD"/>
    <w:rsid w:val="00870DF6"/>
    <w:rsid w:val="008723F0"/>
    <w:rsid w:val="00872A6F"/>
    <w:rsid w:val="00872CE0"/>
    <w:rsid w:val="00873D23"/>
    <w:rsid w:val="008763BF"/>
    <w:rsid w:val="00876742"/>
    <w:rsid w:val="008769EA"/>
    <w:rsid w:val="00876FBB"/>
    <w:rsid w:val="0088145B"/>
    <w:rsid w:val="00881465"/>
    <w:rsid w:val="0088282D"/>
    <w:rsid w:val="00883541"/>
    <w:rsid w:val="00883A90"/>
    <w:rsid w:val="00884194"/>
    <w:rsid w:val="0088481D"/>
    <w:rsid w:val="00886C42"/>
    <w:rsid w:val="00887616"/>
    <w:rsid w:val="0089077E"/>
    <w:rsid w:val="008907DB"/>
    <w:rsid w:val="00890977"/>
    <w:rsid w:val="00892E1A"/>
    <w:rsid w:val="008932A5"/>
    <w:rsid w:val="0089526A"/>
    <w:rsid w:val="008955B9"/>
    <w:rsid w:val="0089592F"/>
    <w:rsid w:val="008965D9"/>
    <w:rsid w:val="008969EB"/>
    <w:rsid w:val="00896D7A"/>
    <w:rsid w:val="00896DF7"/>
    <w:rsid w:val="008A0E5B"/>
    <w:rsid w:val="008A22EB"/>
    <w:rsid w:val="008A43C7"/>
    <w:rsid w:val="008A464B"/>
    <w:rsid w:val="008A5E6F"/>
    <w:rsid w:val="008A6402"/>
    <w:rsid w:val="008A769A"/>
    <w:rsid w:val="008B1190"/>
    <w:rsid w:val="008B12E4"/>
    <w:rsid w:val="008B2CBB"/>
    <w:rsid w:val="008B4E4C"/>
    <w:rsid w:val="008C0144"/>
    <w:rsid w:val="008C0A75"/>
    <w:rsid w:val="008C1896"/>
    <w:rsid w:val="008C29EC"/>
    <w:rsid w:val="008C3FD1"/>
    <w:rsid w:val="008C425F"/>
    <w:rsid w:val="008C4268"/>
    <w:rsid w:val="008C445B"/>
    <w:rsid w:val="008C67E5"/>
    <w:rsid w:val="008C7CB8"/>
    <w:rsid w:val="008D04F3"/>
    <w:rsid w:val="008D1046"/>
    <w:rsid w:val="008D14FE"/>
    <w:rsid w:val="008D38ED"/>
    <w:rsid w:val="008D3D73"/>
    <w:rsid w:val="008D4590"/>
    <w:rsid w:val="008D6E58"/>
    <w:rsid w:val="008D7C9F"/>
    <w:rsid w:val="008E03AA"/>
    <w:rsid w:val="008E23DC"/>
    <w:rsid w:val="008E2688"/>
    <w:rsid w:val="008E4ED0"/>
    <w:rsid w:val="008E7A2A"/>
    <w:rsid w:val="008E7CB7"/>
    <w:rsid w:val="008F19F2"/>
    <w:rsid w:val="008F26CC"/>
    <w:rsid w:val="008F3B32"/>
    <w:rsid w:val="008F4948"/>
    <w:rsid w:val="008F580F"/>
    <w:rsid w:val="008F64BB"/>
    <w:rsid w:val="008F6644"/>
    <w:rsid w:val="008F728F"/>
    <w:rsid w:val="008F7AF2"/>
    <w:rsid w:val="00902261"/>
    <w:rsid w:val="00903114"/>
    <w:rsid w:val="00903624"/>
    <w:rsid w:val="00903C8E"/>
    <w:rsid w:val="00907FB7"/>
    <w:rsid w:val="00910240"/>
    <w:rsid w:val="00910D04"/>
    <w:rsid w:val="00912820"/>
    <w:rsid w:val="00914153"/>
    <w:rsid w:val="00914400"/>
    <w:rsid w:val="00914738"/>
    <w:rsid w:val="00914AF8"/>
    <w:rsid w:val="009157D4"/>
    <w:rsid w:val="0092099E"/>
    <w:rsid w:val="00920D91"/>
    <w:rsid w:val="009211DF"/>
    <w:rsid w:val="00921DC6"/>
    <w:rsid w:val="0092449B"/>
    <w:rsid w:val="00924EA6"/>
    <w:rsid w:val="009274D6"/>
    <w:rsid w:val="00927C90"/>
    <w:rsid w:val="0093078D"/>
    <w:rsid w:val="0093387B"/>
    <w:rsid w:val="00933B5D"/>
    <w:rsid w:val="00934A99"/>
    <w:rsid w:val="0093673A"/>
    <w:rsid w:val="00936945"/>
    <w:rsid w:val="00936FF6"/>
    <w:rsid w:val="00941D6F"/>
    <w:rsid w:val="009420C8"/>
    <w:rsid w:val="009425E7"/>
    <w:rsid w:val="00942BA3"/>
    <w:rsid w:val="00942EE2"/>
    <w:rsid w:val="00943702"/>
    <w:rsid w:val="009447DF"/>
    <w:rsid w:val="009458B2"/>
    <w:rsid w:val="00947491"/>
    <w:rsid w:val="00950AB9"/>
    <w:rsid w:val="009524FC"/>
    <w:rsid w:val="00952C58"/>
    <w:rsid w:val="00953471"/>
    <w:rsid w:val="00954E10"/>
    <w:rsid w:val="00954F59"/>
    <w:rsid w:val="00955DFF"/>
    <w:rsid w:val="0096165F"/>
    <w:rsid w:val="00962525"/>
    <w:rsid w:val="00971B27"/>
    <w:rsid w:val="00972799"/>
    <w:rsid w:val="00973329"/>
    <w:rsid w:val="00973C9B"/>
    <w:rsid w:val="009752E1"/>
    <w:rsid w:val="009759C0"/>
    <w:rsid w:val="0097684F"/>
    <w:rsid w:val="00976B46"/>
    <w:rsid w:val="00980C87"/>
    <w:rsid w:val="00981796"/>
    <w:rsid w:val="00981D93"/>
    <w:rsid w:val="009837E9"/>
    <w:rsid w:val="00984360"/>
    <w:rsid w:val="00991227"/>
    <w:rsid w:val="00991726"/>
    <w:rsid w:val="00993340"/>
    <w:rsid w:val="0099461B"/>
    <w:rsid w:val="0099484B"/>
    <w:rsid w:val="009975F8"/>
    <w:rsid w:val="009A0051"/>
    <w:rsid w:val="009A0B35"/>
    <w:rsid w:val="009A1C15"/>
    <w:rsid w:val="009A2101"/>
    <w:rsid w:val="009A2D41"/>
    <w:rsid w:val="009A403F"/>
    <w:rsid w:val="009A5E61"/>
    <w:rsid w:val="009A668D"/>
    <w:rsid w:val="009A7755"/>
    <w:rsid w:val="009B1A89"/>
    <w:rsid w:val="009B3198"/>
    <w:rsid w:val="009B33C4"/>
    <w:rsid w:val="009B454C"/>
    <w:rsid w:val="009B4F2B"/>
    <w:rsid w:val="009B71D3"/>
    <w:rsid w:val="009B7AA4"/>
    <w:rsid w:val="009C09A7"/>
    <w:rsid w:val="009C1E1B"/>
    <w:rsid w:val="009C5BFD"/>
    <w:rsid w:val="009C69F8"/>
    <w:rsid w:val="009C76E0"/>
    <w:rsid w:val="009C7F65"/>
    <w:rsid w:val="009D0886"/>
    <w:rsid w:val="009D0C71"/>
    <w:rsid w:val="009D1357"/>
    <w:rsid w:val="009D1E33"/>
    <w:rsid w:val="009D4081"/>
    <w:rsid w:val="009D529A"/>
    <w:rsid w:val="009D7EE2"/>
    <w:rsid w:val="009E1BF5"/>
    <w:rsid w:val="009E21BB"/>
    <w:rsid w:val="009E3082"/>
    <w:rsid w:val="009E50FC"/>
    <w:rsid w:val="009E574B"/>
    <w:rsid w:val="009E6DDA"/>
    <w:rsid w:val="009E6E51"/>
    <w:rsid w:val="009E7121"/>
    <w:rsid w:val="009F1038"/>
    <w:rsid w:val="009F13EB"/>
    <w:rsid w:val="009F1447"/>
    <w:rsid w:val="009F259B"/>
    <w:rsid w:val="009F4D56"/>
    <w:rsid w:val="009F5B56"/>
    <w:rsid w:val="00A00944"/>
    <w:rsid w:val="00A00B62"/>
    <w:rsid w:val="00A018CD"/>
    <w:rsid w:val="00A01A17"/>
    <w:rsid w:val="00A02F36"/>
    <w:rsid w:val="00A03F69"/>
    <w:rsid w:val="00A04593"/>
    <w:rsid w:val="00A04DB8"/>
    <w:rsid w:val="00A07D4F"/>
    <w:rsid w:val="00A10C01"/>
    <w:rsid w:val="00A10F51"/>
    <w:rsid w:val="00A1115D"/>
    <w:rsid w:val="00A11803"/>
    <w:rsid w:val="00A12E67"/>
    <w:rsid w:val="00A14906"/>
    <w:rsid w:val="00A14923"/>
    <w:rsid w:val="00A14DFC"/>
    <w:rsid w:val="00A158A4"/>
    <w:rsid w:val="00A16812"/>
    <w:rsid w:val="00A16BDF"/>
    <w:rsid w:val="00A207D4"/>
    <w:rsid w:val="00A20CDC"/>
    <w:rsid w:val="00A222EB"/>
    <w:rsid w:val="00A228B2"/>
    <w:rsid w:val="00A2395F"/>
    <w:rsid w:val="00A24E40"/>
    <w:rsid w:val="00A264E3"/>
    <w:rsid w:val="00A26D43"/>
    <w:rsid w:val="00A34346"/>
    <w:rsid w:val="00A363D8"/>
    <w:rsid w:val="00A36B41"/>
    <w:rsid w:val="00A373A7"/>
    <w:rsid w:val="00A40160"/>
    <w:rsid w:val="00A40766"/>
    <w:rsid w:val="00A43C7D"/>
    <w:rsid w:val="00A45B0F"/>
    <w:rsid w:val="00A4645C"/>
    <w:rsid w:val="00A46E45"/>
    <w:rsid w:val="00A5114A"/>
    <w:rsid w:val="00A540E9"/>
    <w:rsid w:val="00A5473E"/>
    <w:rsid w:val="00A55093"/>
    <w:rsid w:val="00A55EAC"/>
    <w:rsid w:val="00A563CD"/>
    <w:rsid w:val="00A607D3"/>
    <w:rsid w:val="00A64A95"/>
    <w:rsid w:val="00A66260"/>
    <w:rsid w:val="00A66331"/>
    <w:rsid w:val="00A6690C"/>
    <w:rsid w:val="00A66E86"/>
    <w:rsid w:val="00A6749B"/>
    <w:rsid w:val="00A67764"/>
    <w:rsid w:val="00A72D0E"/>
    <w:rsid w:val="00A72D58"/>
    <w:rsid w:val="00A7329C"/>
    <w:rsid w:val="00A73C2D"/>
    <w:rsid w:val="00A7586C"/>
    <w:rsid w:val="00A75EFE"/>
    <w:rsid w:val="00A768E7"/>
    <w:rsid w:val="00A769E9"/>
    <w:rsid w:val="00A76CF7"/>
    <w:rsid w:val="00A8161A"/>
    <w:rsid w:val="00A83D3E"/>
    <w:rsid w:val="00A84CEC"/>
    <w:rsid w:val="00A8614B"/>
    <w:rsid w:val="00A936EB"/>
    <w:rsid w:val="00A94259"/>
    <w:rsid w:val="00A9691E"/>
    <w:rsid w:val="00A97674"/>
    <w:rsid w:val="00AA07F9"/>
    <w:rsid w:val="00AA0B82"/>
    <w:rsid w:val="00AA3FF0"/>
    <w:rsid w:val="00AA4EA0"/>
    <w:rsid w:val="00AA5FEC"/>
    <w:rsid w:val="00AA622F"/>
    <w:rsid w:val="00AB28A1"/>
    <w:rsid w:val="00AB2BA1"/>
    <w:rsid w:val="00AB49FE"/>
    <w:rsid w:val="00AB5371"/>
    <w:rsid w:val="00AB7590"/>
    <w:rsid w:val="00AC06C2"/>
    <w:rsid w:val="00AC2439"/>
    <w:rsid w:val="00AC384B"/>
    <w:rsid w:val="00AC50C6"/>
    <w:rsid w:val="00AC669A"/>
    <w:rsid w:val="00AD1D16"/>
    <w:rsid w:val="00AD39A4"/>
    <w:rsid w:val="00AD7171"/>
    <w:rsid w:val="00AE05E7"/>
    <w:rsid w:val="00AE1D94"/>
    <w:rsid w:val="00AE6962"/>
    <w:rsid w:val="00AF0D7B"/>
    <w:rsid w:val="00AF1667"/>
    <w:rsid w:val="00AF1FC8"/>
    <w:rsid w:val="00AF2442"/>
    <w:rsid w:val="00AF2F39"/>
    <w:rsid w:val="00AF391D"/>
    <w:rsid w:val="00AF3FFC"/>
    <w:rsid w:val="00AF63F3"/>
    <w:rsid w:val="00AF64C8"/>
    <w:rsid w:val="00B03698"/>
    <w:rsid w:val="00B05348"/>
    <w:rsid w:val="00B10B09"/>
    <w:rsid w:val="00B12264"/>
    <w:rsid w:val="00B12E52"/>
    <w:rsid w:val="00B14168"/>
    <w:rsid w:val="00B14469"/>
    <w:rsid w:val="00B16646"/>
    <w:rsid w:val="00B17166"/>
    <w:rsid w:val="00B21A1A"/>
    <w:rsid w:val="00B22C07"/>
    <w:rsid w:val="00B2409A"/>
    <w:rsid w:val="00B24290"/>
    <w:rsid w:val="00B27756"/>
    <w:rsid w:val="00B30085"/>
    <w:rsid w:val="00B30197"/>
    <w:rsid w:val="00B31BC1"/>
    <w:rsid w:val="00B35D13"/>
    <w:rsid w:val="00B41331"/>
    <w:rsid w:val="00B4220A"/>
    <w:rsid w:val="00B436F2"/>
    <w:rsid w:val="00B446EE"/>
    <w:rsid w:val="00B447BA"/>
    <w:rsid w:val="00B4614C"/>
    <w:rsid w:val="00B46207"/>
    <w:rsid w:val="00B46AF5"/>
    <w:rsid w:val="00B46D62"/>
    <w:rsid w:val="00B50D2B"/>
    <w:rsid w:val="00B510E2"/>
    <w:rsid w:val="00B5216F"/>
    <w:rsid w:val="00B52ED6"/>
    <w:rsid w:val="00B55907"/>
    <w:rsid w:val="00B5669E"/>
    <w:rsid w:val="00B60399"/>
    <w:rsid w:val="00B62E8A"/>
    <w:rsid w:val="00B63CA6"/>
    <w:rsid w:val="00B640D0"/>
    <w:rsid w:val="00B66B6F"/>
    <w:rsid w:val="00B6709A"/>
    <w:rsid w:val="00B67717"/>
    <w:rsid w:val="00B67E47"/>
    <w:rsid w:val="00B702A2"/>
    <w:rsid w:val="00B70E71"/>
    <w:rsid w:val="00B7125C"/>
    <w:rsid w:val="00B71C63"/>
    <w:rsid w:val="00B75762"/>
    <w:rsid w:val="00B75DA0"/>
    <w:rsid w:val="00B76334"/>
    <w:rsid w:val="00B800FF"/>
    <w:rsid w:val="00B80AB7"/>
    <w:rsid w:val="00B82540"/>
    <w:rsid w:val="00B8299F"/>
    <w:rsid w:val="00B8388D"/>
    <w:rsid w:val="00B87548"/>
    <w:rsid w:val="00B90DBE"/>
    <w:rsid w:val="00B91385"/>
    <w:rsid w:val="00B9182E"/>
    <w:rsid w:val="00B91FE7"/>
    <w:rsid w:val="00B94F41"/>
    <w:rsid w:val="00B95C2C"/>
    <w:rsid w:val="00B96189"/>
    <w:rsid w:val="00BA1F7B"/>
    <w:rsid w:val="00BA2127"/>
    <w:rsid w:val="00BA308D"/>
    <w:rsid w:val="00BA3EC1"/>
    <w:rsid w:val="00BA4D61"/>
    <w:rsid w:val="00BA4E8B"/>
    <w:rsid w:val="00BA4F74"/>
    <w:rsid w:val="00BA510D"/>
    <w:rsid w:val="00BA67EE"/>
    <w:rsid w:val="00BA6D1A"/>
    <w:rsid w:val="00BA70B5"/>
    <w:rsid w:val="00BA7332"/>
    <w:rsid w:val="00BB14C9"/>
    <w:rsid w:val="00BB6DC1"/>
    <w:rsid w:val="00BC0F90"/>
    <w:rsid w:val="00BC18F9"/>
    <w:rsid w:val="00BC245F"/>
    <w:rsid w:val="00BC2AB7"/>
    <w:rsid w:val="00BC2BF9"/>
    <w:rsid w:val="00BC2F59"/>
    <w:rsid w:val="00BC407D"/>
    <w:rsid w:val="00BC4A57"/>
    <w:rsid w:val="00BC621C"/>
    <w:rsid w:val="00BC63A4"/>
    <w:rsid w:val="00BC63FB"/>
    <w:rsid w:val="00BC6637"/>
    <w:rsid w:val="00BC760C"/>
    <w:rsid w:val="00BC7CA1"/>
    <w:rsid w:val="00BD00D4"/>
    <w:rsid w:val="00BD0330"/>
    <w:rsid w:val="00BD5EA5"/>
    <w:rsid w:val="00BD718B"/>
    <w:rsid w:val="00BE2D6F"/>
    <w:rsid w:val="00BE3602"/>
    <w:rsid w:val="00BE3DAE"/>
    <w:rsid w:val="00BE457D"/>
    <w:rsid w:val="00BE5EAD"/>
    <w:rsid w:val="00BE67CD"/>
    <w:rsid w:val="00BF2E81"/>
    <w:rsid w:val="00BF3184"/>
    <w:rsid w:val="00BF5DC1"/>
    <w:rsid w:val="00BF6E26"/>
    <w:rsid w:val="00C00899"/>
    <w:rsid w:val="00C012D2"/>
    <w:rsid w:val="00C03149"/>
    <w:rsid w:val="00C05B75"/>
    <w:rsid w:val="00C05BD0"/>
    <w:rsid w:val="00C064B7"/>
    <w:rsid w:val="00C14551"/>
    <w:rsid w:val="00C146CD"/>
    <w:rsid w:val="00C15922"/>
    <w:rsid w:val="00C1707F"/>
    <w:rsid w:val="00C17766"/>
    <w:rsid w:val="00C22296"/>
    <w:rsid w:val="00C22D44"/>
    <w:rsid w:val="00C2420A"/>
    <w:rsid w:val="00C2582B"/>
    <w:rsid w:val="00C260B7"/>
    <w:rsid w:val="00C303B0"/>
    <w:rsid w:val="00C305AC"/>
    <w:rsid w:val="00C34775"/>
    <w:rsid w:val="00C378AF"/>
    <w:rsid w:val="00C378D0"/>
    <w:rsid w:val="00C40070"/>
    <w:rsid w:val="00C40AB1"/>
    <w:rsid w:val="00C41585"/>
    <w:rsid w:val="00C4180C"/>
    <w:rsid w:val="00C4227F"/>
    <w:rsid w:val="00C43722"/>
    <w:rsid w:val="00C442D4"/>
    <w:rsid w:val="00C45363"/>
    <w:rsid w:val="00C4618E"/>
    <w:rsid w:val="00C461D9"/>
    <w:rsid w:val="00C4689B"/>
    <w:rsid w:val="00C479C6"/>
    <w:rsid w:val="00C510D7"/>
    <w:rsid w:val="00C51816"/>
    <w:rsid w:val="00C51FE9"/>
    <w:rsid w:val="00C53775"/>
    <w:rsid w:val="00C53DB5"/>
    <w:rsid w:val="00C545EA"/>
    <w:rsid w:val="00C552A9"/>
    <w:rsid w:val="00C55392"/>
    <w:rsid w:val="00C57997"/>
    <w:rsid w:val="00C606CD"/>
    <w:rsid w:val="00C61554"/>
    <w:rsid w:val="00C645FF"/>
    <w:rsid w:val="00C67071"/>
    <w:rsid w:val="00C7059E"/>
    <w:rsid w:val="00C7225E"/>
    <w:rsid w:val="00C73EC1"/>
    <w:rsid w:val="00C74071"/>
    <w:rsid w:val="00C74B34"/>
    <w:rsid w:val="00C770A9"/>
    <w:rsid w:val="00C80D1A"/>
    <w:rsid w:val="00C81BEE"/>
    <w:rsid w:val="00C829A3"/>
    <w:rsid w:val="00C85DD9"/>
    <w:rsid w:val="00C863DD"/>
    <w:rsid w:val="00C86C0A"/>
    <w:rsid w:val="00C90235"/>
    <w:rsid w:val="00C90A2F"/>
    <w:rsid w:val="00C92309"/>
    <w:rsid w:val="00C931F7"/>
    <w:rsid w:val="00C951A1"/>
    <w:rsid w:val="00C9535F"/>
    <w:rsid w:val="00C960C1"/>
    <w:rsid w:val="00C966D8"/>
    <w:rsid w:val="00CA08AF"/>
    <w:rsid w:val="00CA2F63"/>
    <w:rsid w:val="00CA36DC"/>
    <w:rsid w:val="00CA47D8"/>
    <w:rsid w:val="00CA6667"/>
    <w:rsid w:val="00CA75FF"/>
    <w:rsid w:val="00CA789B"/>
    <w:rsid w:val="00CB1CCF"/>
    <w:rsid w:val="00CB367A"/>
    <w:rsid w:val="00CB4059"/>
    <w:rsid w:val="00CB4D8B"/>
    <w:rsid w:val="00CB5BD9"/>
    <w:rsid w:val="00CB6EA4"/>
    <w:rsid w:val="00CC018D"/>
    <w:rsid w:val="00CC025E"/>
    <w:rsid w:val="00CC1A17"/>
    <w:rsid w:val="00CC52A6"/>
    <w:rsid w:val="00CD15CB"/>
    <w:rsid w:val="00CD26B4"/>
    <w:rsid w:val="00CD28B3"/>
    <w:rsid w:val="00CD4CAA"/>
    <w:rsid w:val="00CD5453"/>
    <w:rsid w:val="00CD754C"/>
    <w:rsid w:val="00CD7C77"/>
    <w:rsid w:val="00CE06B5"/>
    <w:rsid w:val="00CE07A9"/>
    <w:rsid w:val="00CE2FEF"/>
    <w:rsid w:val="00CE31CC"/>
    <w:rsid w:val="00CE7C43"/>
    <w:rsid w:val="00CF39E6"/>
    <w:rsid w:val="00CF3B9D"/>
    <w:rsid w:val="00CF5500"/>
    <w:rsid w:val="00D005AE"/>
    <w:rsid w:val="00D0074C"/>
    <w:rsid w:val="00D0389E"/>
    <w:rsid w:val="00D038C8"/>
    <w:rsid w:val="00D058D9"/>
    <w:rsid w:val="00D05A50"/>
    <w:rsid w:val="00D07F91"/>
    <w:rsid w:val="00D10B7D"/>
    <w:rsid w:val="00D115F4"/>
    <w:rsid w:val="00D12244"/>
    <w:rsid w:val="00D14AF3"/>
    <w:rsid w:val="00D20E44"/>
    <w:rsid w:val="00D21621"/>
    <w:rsid w:val="00D252C7"/>
    <w:rsid w:val="00D255A0"/>
    <w:rsid w:val="00D25BCE"/>
    <w:rsid w:val="00D27FB1"/>
    <w:rsid w:val="00D3141D"/>
    <w:rsid w:val="00D33954"/>
    <w:rsid w:val="00D33AB7"/>
    <w:rsid w:val="00D34BA0"/>
    <w:rsid w:val="00D36866"/>
    <w:rsid w:val="00D416FB"/>
    <w:rsid w:val="00D41BAB"/>
    <w:rsid w:val="00D41F6D"/>
    <w:rsid w:val="00D46554"/>
    <w:rsid w:val="00D47380"/>
    <w:rsid w:val="00D551BB"/>
    <w:rsid w:val="00D551DF"/>
    <w:rsid w:val="00D55DD9"/>
    <w:rsid w:val="00D56300"/>
    <w:rsid w:val="00D56426"/>
    <w:rsid w:val="00D61163"/>
    <w:rsid w:val="00D63DE2"/>
    <w:rsid w:val="00D63FA2"/>
    <w:rsid w:val="00D65945"/>
    <w:rsid w:val="00D67150"/>
    <w:rsid w:val="00D678EA"/>
    <w:rsid w:val="00D71188"/>
    <w:rsid w:val="00D72921"/>
    <w:rsid w:val="00D72DFB"/>
    <w:rsid w:val="00D74233"/>
    <w:rsid w:val="00D7504D"/>
    <w:rsid w:val="00D75281"/>
    <w:rsid w:val="00D76D82"/>
    <w:rsid w:val="00D77595"/>
    <w:rsid w:val="00D77D25"/>
    <w:rsid w:val="00D8166D"/>
    <w:rsid w:val="00D81723"/>
    <w:rsid w:val="00D81752"/>
    <w:rsid w:val="00D82DA0"/>
    <w:rsid w:val="00D8700B"/>
    <w:rsid w:val="00D91024"/>
    <w:rsid w:val="00D91C6F"/>
    <w:rsid w:val="00D94A4D"/>
    <w:rsid w:val="00D94C75"/>
    <w:rsid w:val="00DA402B"/>
    <w:rsid w:val="00DA4068"/>
    <w:rsid w:val="00DA4496"/>
    <w:rsid w:val="00DA526C"/>
    <w:rsid w:val="00DA747D"/>
    <w:rsid w:val="00DB042B"/>
    <w:rsid w:val="00DB046B"/>
    <w:rsid w:val="00DB3BF4"/>
    <w:rsid w:val="00DB6234"/>
    <w:rsid w:val="00DB6C11"/>
    <w:rsid w:val="00DB702C"/>
    <w:rsid w:val="00DB7D67"/>
    <w:rsid w:val="00DC15A2"/>
    <w:rsid w:val="00DC3C16"/>
    <w:rsid w:val="00DC4D8F"/>
    <w:rsid w:val="00DC50A0"/>
    <w:rsid w:val="00DC7754"/>
    <w:rsid w:val="00DD04C8"/>
    <w:rsid w:val="00DD0721"/>
    <w:rsid w:val="00DD147E"/>
    <w:rsid w:val="00DD41D5"/>
    <w:rsid w:val="00DD7288"/>
    <w:rsid w:val="00DD7869"/>
    <w:rsid w:val="00DE09C9"/>
    <w:rsid w:val="00DE135D"/>
    <w:rsid w:val="00DE297C"/>
    <w:rsid w:val="00DE371C"/>
    <w:rsid w:val="00DE46CF"/>
    <w:rsid w:val="00DE6164"/>
    <w:rsid w:val="00DE72BF"/>
    <w:rsid w:val="00DE78E0"/>
    <w:rsid w:val="00DF047C"/>
    <w:rsid w:val="00DF0CB9"/>
    <w:rsid w:val="00DF1E83"/>
    <w:rsid w:val="00DF53AD"/>
    <w:rsid w:val="00DF5AF4"/>
    <w:rsid w:val="00DF717C"/>
    <w:rsid w:val="00E0080D"/>
    <w:rsid w:val="00E03054"/>
    <w:rsid w:val="00E039B7"/>
    <w:rsid w:val="00E0457C"/>
    <w:rsid w:val="00E060D7"/>
    <w:rsid w:val="00E06543"/>
    <w:rsid w:val="00E06649"/>
    <w:rsid w:val="00E077BC"/>
    <w:rsid w:val="00E07C6E"/>
    <w:rsid w:val="00E10258"/>
    <w:rsid w:val="00E113E5"/>
    <w:rsid w:val="00E1301E"/>
    <w:rsid w:val="00E135C3"/>
    <w:rsid w:val="00E14263"/>
    <w:rsid w:val="00E15A89"/>
    <w:rsid w:val="00E16206"/>
    <w:rsid w:val="00E1787A"/>
    <w:rsid w:val="00E252C1"/>
    <w:rsid w:val="00E26DD6"/>
    <w:rsid w:val="00E3305E"/>
    <w:rsid w:val="00E3356A"/>
    <w:rsid w:val="00E4187D"/>
    <w:rsid w:val="00E4320A"/>
    <w:rsid w:val="00E441CB"/>
    <w:rsid w:val="00E44471"/>
    <w:rsid w:val="00E474B7"/>
    <w:rsid w:val="00E47CC8"/>
    <w:rsid w:val="00E53506"/>
    <w:rsid w:val="00E53C6B"/>
    <w:rsid w:val="00E53D44"/>
    <w:rsid w:val="00E54E61"/>
    <w:rsid w:val="00E55E85"/>
    <w:rsid w:val="00E606C2"/>
    <w:rsid w:val="00E656E6"/>
    <w:rsid w:val="00E6686C"/>
    <w:rsid w:val="00E710ED"/>
    <w:rsid w:val="00E71F99"/>
    <w:rsid w:val="00E7270C"/>
    <w:rsid w:val="00E73281"/>
    <w:rsid w:val="00E74E07"/>
    <w:rsid w:val="00E74F36"/>
    <w:rsid w:val="00E7520A"/>
    <w:rsid w:val="00E8018B"/>
    <w:rsid w:val="00E81233"/>
    <w:rsid w:val="00E812B4"/>
    <w:rsid w:val="00E8264A"/>
    <w:rsid w:val="00E84C58"/>
    <w:rsid w:val="00E860BB"/>
    <w:rsid w:val="00E86897"/>
    <w:rsid w:val="00E86D36"/>
    <w:rsid w:val="00E86E6E"/>
    <w:rsid w:val="00E90EE1"/>
    <w:rsid w:val="00E916CA"/>
    <w:rsid w:val="00E9198C"/>
    <w:rsid w:val="00E929EF"/>
    <w:rsid w:val="00E959F6"/>
    <w:rsid w:val="00E95B47"/>
    <w:rsid w:val="00E95E7A"/>
    <w:rsid w:val="00E96102"/>
    <w:rsid w:val="00E97BFB"/>
    <w:rsid w:val="00EA1425"/>
    <w:rsid w:val="00EA3FBC"/>
    <w:rsid w:val="00EA5CBA"/>
    <w:rsid w:val="00EA7B4D"/>
    <w:rsid w:val="00EA7B90"/>
    <w:rsid w:val="00EB2B6F"/>
    <w:rsid w:val="00EB3C7C"/>
    <w:rsid w:val="00EB42CB"/>
    <w:rsid w:val="00EB447F"/>
    <w:rsid w:val="00EB4809"/>
    <w:rsid w:val="00EB5C55"/>
    <w:rsid w:val="00EC10D1"/>
    <w:rsid w:val="00EC6060"/>
    <w:rsid w:val="00EC6149"/>
    <w:rsid w:val="00EC6E55"/>
    <w:rsid w:val="00ED0A71"/>
    <w:rsid w:val="00ED0FFD"/>
    <w:rsid w:val="00ED154F"/>
    <w:rsid w:val="00ED1E86"/>
    <w:rsid w:val="00ED3ED2"/>
    <w:rsid w:val="00ED674D"/>
    <w:rsid w:val="00ED7DD6"/>
    <w:rsid w:val="00ED7E3F"/>
    <w:rsid w:val="00EE0E62"/>
    <w:rsid w:val="00EE1801"/>
    <w:rsid w:val="00EE204D"/>
    <w:rsid w:val="00EE25FE"/>
    <w:rsid w:val="00EE392A"/>
    <w:rsid w:val="00EE511E"/>
    <w:rsid w:val="00EE5843"/>
    <w:rsid w:val="00EE6A9F"/>
    <w:rsid w:val="00EF17EF"/>
    <w:rsid w:val="00EF1E3A"/>
    <w:rsid w:val="00EF2414"/>
    <w:rsid w:val="00EF2796"/>
    <w:rsid w:val="00EF2B14"/>
    <w:rsid w:val="00EF2E30"/>
    <w:rsid w:val="00EF3281"/>
    <w:rsid w:val="00EF40A6"/>
    <w:rsid w:val="00EF4815"/>
    <w:rsid w:val="00EF7726"/>
    <w:rsid w:val="00F00E5C"/>
    <w:rsid w:val="00F01FED"/>
    <w:rsid w:val="00F0281B"/>
    <w:rsid w:val="00F02B7F"/>
    <w:rsid w:val="00F037E9"/>
    <w:rsid w:val="00F04DAB"/>
    <w:rsid w:val="00F05AA5"/>
    <w:rsid w:val="00F0759B"/>
    <w:rsid w:val="00F07E6A"/>
    <w:rsid w:val="00F1101B"/>
    <w:rsid w:val="00F110D1"/>
    <w:rsid w:val="00F11E2B"/>
    <w:rsid w:val="00F156CB"/>
    <w:rsid w:val="00F15F1B"/>
    <w:rsid w:val="00F20ED2"/>
    <w:rsid w:val="00F2139A"/>
    <w:rsid w:val="00F2272B"/>
    <w:rsid w:val="00F23682"/>
    <w:rsid w:val="00F24373"/>
    <w:rsid w:val="00F24D7D"/>
    <w:rsid w:val="00F26988"/>
    <w:rsid w:val="00F27B0C"/>
    <w:rsid w:val="00F27D1A"/>
    <w:rsid w:val="00F313A0"/>
    <w:rsid w:val="00F31F77"/>
    <w:rsid w:val="00F322B4"/>
    <w:rsid w:val="00F328A9"/>
    <w:rsid w:val="00F33BFD"/>
    <w:rsid w:val="00F35761"/>
    <w:rsid w:val="00F35784"/>
    <w:rsid w:val="00F35DB4"/>
    <w:rsid w:val="00F36036"/>
    <w:rsid w:val="00F36446"/>
    <w:rsid w:val="00F36D2E"/>
    <w:rsid w:val="00F3705A"/>
    <w:rsid w:val="00F37E8D"/>
    <w:rsid w:val="00F401EC"/>
    <w:rsid w:val="00F406DE"/>
    <w:rsid w:val="00F410EE"/>
    <w:rsid w:val="00F41E6C"/>
    <w:rsid w:val="00F427E1"/>
    <w:rsid w:val="00F443F7"/>
    <w:rsid w:val="00F507B8"/>
    <w:rsid w:val="00F50FF5"/>
    <w:rsid w:val="00F52119"/>
    <w:rsid w:val="00F5538F"/>
    <w:rsid w:val="00F57C1F"/>
    <w:rsid w:val="00F606E2"/>
    <w:rsid w:val="00F64C55"/>
    <w:rsid w:val="00F65FDA"/>
    <w:rsid w:val="00F664F5"/>
    <w:rsid w:val="00F66E12"/>
    <w:rsid w:val="00F70CA5"/>
    <w:rsid w:val="00F70F48"/>
    <w:rsid w:val="00F71636"/>
    <w:rsid w:val="00F72475"/>
    <w:rsid w:val="00F73267"/>
    <w:rsid w:val="00F7392D"/>
    <w:rsid w:val="00F74D88"/>
    <w:rsid w:val="00F8072A"/>
    <w:rsid w:val="00F83445"/>
    <w:rsid w:val="00F83863"/>
    <w:rsid w:val="00F84522"/>
    <w:rsid w:val="00F84764"/>
    <w:rsid w:val="00F85A79"/>
    <w:rsid w:val="00F86463"/>
    <w:rsid w:val="00F92825"/>
    <w:rsid w:val="00F93B73"/>
    <w:rsid w:val="00F970A4"/>
    <w:rsid w:val="00FA0482"/>
    <w:rsid w:val="00FA1895"/>
    <w:rsid w:val="00FA1C81"/>
    <w:rsid w:val="00FA27CB"/>
    <w:rsid w:val="00FA2B25"/>
    <w:rsid w:val="00FA32AE"/>
    <w:rsid w:val="00FA3DB9"/>
    <w:rsid w:val="00FA633D"/>
    <w:rsid w:val="00FB129A"/>
    <w:rsid w:val="00FB35EA"/>
    <w:rsid w:val="00FB3C06"/>
    <w:rsid w:val="00FB4B57"/>
    <w:rsid w:val="00FB5873"/>
    <w:rsid w:val="00FB5933"/>
    <w:rsid w:val="00FB7D2B"/>
    <w:rsid w:val="00FC2FD7"/>
    <w:rsid w:val="00FC4233"/>
    <w:rsid w:val="00FC4460"/>
    <w:rsid w:val="00FC4FBB"/>
    <w:rsid w:val="00FC7D0F"/>
    <w:rsid w:val="00FD04F2"/>
    <w:rsid w:val="00FD0AA1"/>
    <w:rsid w:val="00FD0F57"/>
    <w:rsid w:val="00FD1E4F"/>
    <w:rsid w:val="00FD671D"/>
    <w:rsid w:val="00FD6959"/>
    <w:rsid w:val="00FD72A3"/>
    <w:rsid w:val="00FE0607"/>
    <w:rsid w:val="00FE0FAB"/>
    <w:rsid w:val="00FE2572"/>
    <w:rsid w:val="00FE3C74"/>
    <w:rsid w:val="00FE473C"/>
    <w:rsid w:val="00FE5AB9"/>
    <w:rsid w:val="00FE6789"/>
    <w:rsid w:val="00FF0C74"/>
    <w:rsid w:val="00FF0CE5"/>
    <w:rsid w:val="00FF5C21"/>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FCC16"/>
  <w15:docId w15:val="{0FC7B593-BA1D-4D06-BA31-C4E924AC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B1"/>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E5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04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5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unhideWhenUsed/>
    <w:rsid w:val="0064540F"/>
    <w:rPr>
      <w:sz w:val="20"/>
      <w:szCs w:val="20"/>
    </w:rPr>
  </w:style>
  <w:style w:type="character" w:customStyle="1" w:styleId="CommentTextChar">
    <w:name w:val="Comment Text Char"/>
    <w:basedOn w:val="DefaultParagraphFont"/>
    <w:link w:val="CommentText"/>
    <w:uiPriority w:val="99"/>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073599"/>
    <w:pPr>
      <w:spacing w:after="120"/>
    </w:pPr>
    <w:rPr>
      <w:lang w:eastAsia="en-US"/>
    </w:rPr>
  </w:style>
  <w:style w:type="character" w:customStyle="1" w:styleId="BodyTextChar">
    <w:name w:val="Body Text Char"/>
    <w:basedOn w:val="DefaultParagraphFont"/>
    <w:link w:val="BodyText"/>
    <w:uiPriority w:val="1"/>
    <w:rsid w:val="00073599"/>
    <w:rPr>
      <w:rFonts w:ascii="Times New Roman" w:eastAsia="Times New Roman" w:hAnsi="Times New Roman" w:cs="Times New Roman"/>
      <w:sz w:val="24"/>
      <w:szCs w:val="24"/>
    </w:rPr>
  </w:style>
  <w:style w:type="table" w:styleId="TableGrid">
    <w:name w:val="Table Grid"/>
    <w:basedOn w:val="TableNormal"/>
    <w:uiPriority w:val="59"/>
    <w:rsid w:val="00647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F99"/>
    <w:rPr>
      <w:b/>
      <w:bCs/>
    </w:rPr>
  </w:style>
  <w:style w:type="paragraph" w:styleId="NormalWeb">
    <w:name w:val="Normal (Web)"/>
    <w:basedOn w:val="Normal"/>
    <w:uiPriority w:val="99"/>
    <w:semiHidden/>
    <w:unhideWhenUsed/>
    <w:rsid w:val="00376063"/>
    <w:pPr>
      <w:spacing w:before="100" w:beforeAutospacing="1" w:after="100" w:afterAutospacing="1"/>
    </w:pPr>
  </w:style>
  <w:style w:type="character" w:customStyle="1" w:styleId="apple-converted-space">
    <w:name w:val="apple-converted-space"/>
    <w:basedOn w:val="DefaultParagraphFont"/>
    <w:rsid w:val="004427DB"/>
  </w:style>
  <w:style w:type="character" w:styleId="Emphasis">
    <w:name w:val="Emphasis"/>
    <w:basedOn w:val="DefaultParagraphFont"/>
    <w:uiPriority w:val="20"/>
    <w:qFormat/>
    <w:rsid w:val="004427DB"/>
    <w:rPr>
      <w:i/>
      <w:iCs/>
    </w:rPr>
  </w:style>
  <w:style w:type="table" w:customStyle="1" w:styleId="TableGrid1">
    <w:name w:val="Table Grid1"/>
    <w:basedOn w:val="TableNormal"/>
    <w:next w:val="TableGrid"/>
    <w:uiPriority w:val="59"/>
    <w:rsid w:val="008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resume2">
    <w:name w:val="intro-resume2"/>
    <w:basedOn w:val="DefaultParagraphFont"/>
    <w:rsid w:val="00216AE2"/>
    <w:rPr>
      <w:sz w:val="29"/>
      <w:szCs w:val="29"/>
    </w:rPr>
  </w:style>
  <w:style w:type="paragraph" w:styleId="NoSpacing">
    <w:name w:val="No Spacing"/>
    <w:uiPriority w:val="1"/>
    <w:qFormat/>
    <w:rsid w:val="009A0B35"/>
  </w:style>
  <w:style w:type="paragraph" w:styleId="Title">
    <w:name w:val="Title"/>
    <w:basedOn w:val="Normal"/>
    <w:next w:val="Normal"/>
    <w:link w:val="TitleChar"/>
    <w:uiPriority w:val="10"/>
    <w:qFormat/>
    <w:rsid w:val="00531CEE"/>
    <w:pPr>
      <w:spacing w:before="720" w:after="200" w:line="276" w:lineRule="auto"/>
    </w:pPr>
    <w:rPr>
      <w:rFonts w:asciiTheme="minorHAnsi" w:eastAsiaTheme="minorEastAsia" w:hAnsiTheme="minorHAnsi" w:cstheme="minorBidi"/>
      <w:smallCaps/>
      <w:color w:val="4F81BD" w:themeColor="accent1"/>
      <w:spacing w:val="10"/>
      <w:kern w:val="28"/>
      <w:sz w:val="52"/>
      <w:szCs w:val="52"/>
      <w:lang w:eastAsia="en-US" w:bidi="en-US"/>
    </w:rPr>
  </w:style>
  <w:style w:type="character" w:customStyle="1" w:styleId="TitleChar">
    <w:name w:val="Title Char"/>
    <w:basedOn w:val="DefaultParagraphFont"/>
    <w:link w:val="Title"/>
    <w:uiPriority w:val="10"/>
    <w:rsid w:val="00531CEE"/>
    <w:rPr>
      <w:rFonts w:eastAsiaTheme="minorEastAsia"/>
      <w:small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531CEE"/>
    <w:pPr>
      <w:spacing w:before="200" w:after="1000"/>
    </w:pPr>
    <w:rPr>
      <w:rFonts w:asciiTheme="minorHAnsi" w:eastAsiaTheme="minorEastAsia" w:hAnsiTheme="minorHAnsi" w:cstheme="minorBidi"/>
      <w:smallCaps/>
      <w:color w:val="595959" w:themeColor="text1" w:themeTint="A6"/>
      <w:spacing w:val="10"/>
      <w:lang w:eastAsia="en-US" w:bidi="en-US"/>
    </w:rPr>
  </w:style>
  <w:style w:type="character" w:customStyle="1" w:styleId="SubtitleChar">
    <w:name w:val="Subtitle Char"/>
    <w:basedOn w:val="DefaultParagraphFont"/>
    <w:link w:val="Subtitle"/>
    <w:uiPriority w:val="11"/>
    <w:rsid w:val="00531CEE"/>
    <w:rPr>
      <w:rFonts w:eastAsiaTheme="minorEastAsia"/>
      <w:smallCaps/>
      <w:color w:val="595959" w:themeColor="text1" w:themeTint="A6"/>
      <w:spacing w:val="10"/>
      <w:sz w:val="24"/>
      <w:szCs w:val="24"/>
      <w:lang w:bidi="en-US"/>
    </w:rPr>
  </w:style>
  <w:style w:type="paragraph" w:styleId="PlainText">
    <w:name w:val="Plain Text"/>
    <w:basedOn w:val="Normal"/>
    <w:link w:val="PlainTextChar"/>
    <w:uiPriority w:val="99"/>
    <w:unhideWhenUsed/>
    <w:rsid w:val="00C305AC"/>
    <w:rPr>
      <w:rFonts w:ascii="Calibri" w:hAnsi="Calibri"/>
      <w:sz w:val="22"/>
      <w:szCs w:val="21"/>
      <w:lang w:eastAsia="en-US"/>
    </w:rPr>
  </w:style>
  <w:style w:type="character" w:customStyle="1" w:styleId="PlainTextChar">
    <w:name w:val="Plain Text Char"/>
    <w:basedOn w:val="DefaultParagraphFont"/>
    <w:link w:val="PlainText"/>
    <w:uiPriority w:val="99"/>
    <w:rsid w:val="00C305AC"/>
    <w:rPr>
      <w:rFonts w:ascii="Calibri" w:eastAsia="Times New Roman" w:hAnsi="Calibri" w:cs="Times New Roman"/>
      <w:szCs w:val="21"/>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B60399"/>
    <w:pPr>
      <w:keepLines/>
      <w:spacing w:after="60"/>
      <w:ind w:firstLine="720"/>
      <w:jc w:val="both"/>
    </w:pPr>
    <w:rPr>
      <w:rFonts w:eastAsia="Malgun Gothic"/>
      <w:sz w:val="18"/>
      <w:lang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B60399"/>
    <w:rPr>
      <w:rFonts w:ascii="Times New Roman" w:eastAsia="Malgun Gothic" w:hAnsi="Times New Roman" w:cs="Times New Roman"/>
      <w:sz w:val="18"/>
      <w:szCs w:val="24"/>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B60399"/>
    <w:rPr>
      <w:sz w:val="18"/>
      <w:u w:val="none"/>
      <w:vertAlign w:val="superscript"/>
    </w:rPr>
  </w:style>
  <w:style w:type="character" w:customStyle="1" w:styleId="Heading2Char">
    <w:name w:val="Heading 2 Char"/>
    <w:basedOn w:val="DefaultParagraphFont"/>
    <w:link w:val="Heading2"/>
    <w:uiPriority w:val="9"/>
    <w:rsid w:val="005904C0"/>
    <w:rPr>
      <w:rFonts w:asciiTheme="majorHAnsi" w:eastAsiaTheme="majorEastAsia" w:hAnsiTheme="majorHAnsi" w:cstheme="majorBidi"/>
      <w:b/>
      <w:bCs/>
      <w:color w:val="4F81BD" w:themeColor="accent1"/>
      <w:sz w:val="26"/>
      <w:szCs w:val="26"/>
      <w:lang w:eastAsia="en-GB"/>
    </w:rPr>
  </w:style>
  <w:style w:type="character" w:customStyle="1" w:styleId="StyleFootnoteReferencenumberFootnoteReferenceSuperscript-EF">
    <w:name w:val="Style Footnote ReferencenumberFootnote Reference Superscript-E F..."/>
    <w:rsid w:val="00C86C0A"/>
    <w:rPr>
      <w:kern w:val="22"/>
      <w:sz w:val="18"/>
      <w:u w:val="none"/>
      <w:vertAlign w:val="superscript"/>
    </w:rPr>
  </w:style>
  <w:style w:type="character" w:customStyle="1" w:styleId="Heading1Char">
    <w:name w:val="Heading 1 Char"/>
    <w:basedOn w:val="DefaultParagraphFont"/>
    <w:link w:val="Heading1"/>
    <w:uiPriority w:val="9"/>
    <w:rsid w:val="00EE511E"/>
    <w:rPr>
      <w:rFonts w:asciiTheme="majorHAnsi" w:eastAsiaTheme="majorEastAsia" w:hAnsiTheme="majorHAnsi" w:cstheme="majorBidi"/>
      <w:b/>
      <w:bCs/>
      <w:color w:val="365F91" w:themeColor="accent1" w:themeShade="BF"/>
      <w:sz w:val="28"/>
      <w:szCs w:val="28"/>
      <w:lang w:eastAsia="en-GB"/>
    </w:rPr>
  </w:style>
  <w:style w:type="paragraph" w:customStyle="1" w:styleId="recommendationheaderlong">
    <w:name w:val="recommendation header long"/>
    <w:basedOn w:val="Normal"/>
    <w:qFormat/>
    <w:rsid w:val="00EE511E"/>
    <w:pPr>
      <w:keepNext/>
      <w:tabs>
        <w:tab w:val="left" w:pos="720"/>
      </w:tabs>
      <w:spacing w:before="120" w:after="120"/>
      <w:ind w:left="2127" w:right="998" w:hanging="1276"/>
      <w:outlineLvl w:val="0"/>
    </w:pPr>
    <w:rPr>
      <w:b/>
      <w:iCs/>
      <w:sz w:val="22"/>
      <w:lang w:eastAsia="en-US"/>
    </w:rPr>
  </w:style>
  <w:style w:type="paragraph" w:customStyle="1" w:styleId="Normal-pool">
    <w:name w:val="Normal-pool"/>
    <w:rsid w:val="00EE6A9F"/>
    <w:pPr>
      <w:tabs>
        <w:tab w:val="left" w:pos="1247"/>
        <w:tab w:val="left" w:pos="1814"/>
        <w:tab w:val="left" w:pos="2381"/>
        <w:tab w:val="left" w:pos="2948"/>
        <w:tab w:val="left" w:pos="3515"/>
        <w:tab w:val="left" w:pos="4082"/>
      </w:tabs>
    </w:pPr>
    <w:rPr>
      <w:rFonts w:ascii="Times New Roman" w:eastAsia="Times New Roman" w:hAnsi="Times New Roman" w:cs="Times New Roman"/>
      <w:sz w:val="20"/>
      <w:szCs w:val="20"/>
    </w:rPr>
  </w:style>
  <w:style w:type="paragraph" w:customStyle="1" w:styleId="BBTitle">
    <w:name w:val="BB_Title"/>
    <w:basedOn w:val="Normal"/>
    <w:rsid w:val="00EE6A9F"/>
    <w:pPr>
      <w:keepNext/>
      <w:keepLines/>
      <w:tabs>
        <w:tab w:val="left" w:pos="1247"/>
        <w:tab w:val="left" w:pos="1814"/>
        <w:tab w:val="left" w:pos="2381"/>
        <w:tab w:val="left" w:pos="2948"/>
        <w:tab w:val="left" w:pos="3515"/>
        <w:tab w:val="left" w:pos="4082"/>
      </w:tabs>
      <w:suppressAutoHyphens/>
      <w:spacing w:before="320" w:after="240"/>
      <w:ind w:left="1247" w:right="567"/>
    </w:pPr>
    <w:rPr>
      <w:b/>
      <w:sz w:val="28"/>
      <w:szCs w:val="28"/>
      <w:lang w:eastAsia="en-US"/>
    </w:rPr>
  </w:style>
  <w:style w:type="character" w:customStyle="1" w:styleId="Heading3Char">
    <w:name w:val="Heading 3 Char"/>
    <w:basedOn w:val="DefaultParagraphFont"/>
    <w:link w:val="Heading3"/>
    <w:uiPriority w:val="9"/>
    <w:semiHidden/>
    <w:rsid w:val="003575D1"/>
    <w:rPr>
      <w:rFonts w:asciiTheme="majorHAnsi" w:eastAsiaTheme="majorEastAsia" w:hAnsiTheme="majorHAnsi" w:cstheme="majorBidi"/>
      <w:b/>
      <w:bCs/>
      <w:color w:val="4F81BD" w:themeColor="accen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1184">
      <w:bodyDiv w:val="1"/>
      <w:marLeft w:val="0"/>
      <w:marRight w:val="0"/>
      <w:marTop w:val="0"/>
      <w:marBottom w:val="0"/>
      <w:divBdr>
        <w:top w:val="none" w:sz="0" w:space="0" w:color="auto"/>
        <w:left w:val="none" w:sz="0" w:space="0" w:color="auto"/>
        <w:bottom w:val="none" w:sz="0" w:space="0" w:color="auto"/>
        <w:right w:val="none" w:sz="0" w:space="0" w:color="auto"/>
      </w:divBdr>
    </w:div>
    <w:div w:id="22025862">
      <w:bodyDiv w:val="1"/>
      <w:marLeft w:val="0"/>
      <w:marRight w:val="0"/>
      <w:marTop w:val="0"/>
      <w:marBottom w:val="0"/>
      <w:divBdr>
        <w:top w:val="none" w:sz="0" w:space="0" w:color="auto"/>
        <w:left w:val="none" w:sz="0" w:space="0" w:color="auto"/>
        <w:bottom w:val="none" w:sz="0" w:space="0" w:color="auto"/>
        <w:right w:val="none" w:sz="0" w:space="0" w:color="auto"/>
      </w:divBdr>
    </w:div>
    <w:div w:id="27144495">
      <w:bodyDiv w:val="1"/>
      <w:marLeft w:val="0"/>
      <w:marRight w:val="0"/>
      <w:marTop w:val="0"/>
      <w:marBottom w:val="0"/>
      <w:divBdr>
        <w:top w:val="none" w:sz="0" w:space="0" w:color="auto"/>
        <w:left w:val="none" w:sz="0" w:space="0" w:color="auto"/>
        <w:bottom w:val="none" w:sz="0" w:space="0" w:color="auto"/>
        <w:right w:val="none" w:sz="0" w:space="0" w:color="auto"/>
      </w:divBdr>
    </w:div>
    <w:div w:id="29890163">
      <w:bodyDiv w:val="1"/>
      <w:marLeft w:val="0"/>
      <w:marRight w:val="0"/>
      <w:marTop w:val="0"/>
      <w:marBottom w:val="0"/>
      <w:divBdr>
        <w:top w:val="none" w:sz="0" w:space="0" w:color="auto"/>
        <w:left w:val="none" w:sz="0" w:space="0" w:color="auto"/>
        <w:bottom w:val="none" w:sz="0" w:space="0" w:color="auto"/>
        <w:right w:val="none" w:sz="0" w:space="0" w:color="auto"/>
      </w:divBdr>
    </w:div>
    <w:div w:id="44371995">
      <w:bodyDiv w:val="1"/>
      <w:marLeft w:val="0"/>
      <w:marRight w:val="0"/>
      <w:marTop w:val="0"/>
      <w:marBottom w:val="0"/>
      <w:divBdr>
        <w:top w:val="none" w:sz="0" w:space="0" w:color="auto"/>
        <w:left w:val="none" w:sz="0" w:space="0" w:color="auto"/>
        <w:bottom w:val="none" w:sz="0" w:space="0" w:color="auto"/>
        <w:right w:val="none" w:sz="0" w:space="0" w:color="auto"/>
      </w:divBdr>
    </w:div>
    <w:div w:id="67311183">
      <w:bodyDiv w:val="1"/>
      <w:marLeft w:val="0"/>
      <w:marRight w:val="0"/>
      <w:marTop w:val="0"/>
      <w:marBottom w:val="0"/>
      <w:divBdr>
        <w:top w:val="none" w:sz="0" w:space="0" w:color="auto"/>
        <w:left w:val="none" w:sz="0" w:space="0" w:color="auto"/>
        <w:bottom w:val="none" w:sz="0" w:space="0" w:color="auto"/>
        <w:right w:val="none" w:sz="0" w:space="0" w:color="auto"/>
      </w:divBdr>
    </w:div>
    <w:div w:id="103809727">
      <w:bodyDiv w:val="1"/>
      <w:marLeft w:val="0"/>
      <w:marRight w:val="0"/>
      <w:marTop w:val="0"/>
      <w:marBottom w:val="0"/>
      <w:divBdr>
        <w:top w:val="none" w:sz="0" w:space="0" w:color="auto"/>
        <w:left w:val="none" w:sz="0" w:space="0" w:color="auto"/>
        <w:bottom w:val="none" w:sz="0" w:space="0" w:color="auto"/>
        <w:right w:val="none" w:sz="0" w:space="0" w:color="auto"/>
      </w:divBdr>
    </w:div>
    <w:div w:id="155192090">
      <w:bodyDiv w:val="1"/>
      <w:marLeft w:val="0"/>
      <w:marRight w:val="0"/>
      <w:marTop w:val="0"/>
      <w:marBottom w:val="0"/>
      <w:divBdr>
        <w:top w:val="none" w:sz="0" w:space="0" w:color="auto"/>
        <w:left w:val="none" w:sz="0" w:space="0" w:color="auto"/>
        <w:bottom w:val="none" w:sz="0" w:space="0" w:color="auto"/>
        <w:right w:val="none" w:sz="0" w:space="0" w:color="auto"/>
      </w:divBdr>
    </w:div>
    <w:div w:id="234315836">
      <w:bodyDiv w:val="1"/>
      <w:marLeft w:val="0"/>
      <w:marRight w:val="0"/>
      <w:marTop w:val="0"/>
      <w:marBottom w:val="0"/>
      <w:divBdr>
        <w:top w:val="none" w:sz="0" w:space="0" w:color="auto"/>
        <w:left w:val="none" w:sz="0" w:space="0" w:color="auto"/>
        <w:bottom w:val="none" w:sz="0" w:space="0" w:color="auto"/>
        <w:right w:val="none" w:sz="0" w:space="0" w:color="auto"/>
      </w:divBdr>
    </w:div>
    <w:div w:id="298265071">
      <w:bodyDiv w:val="1"/>
      <w:marLeft w:val="0"/>
      <w:marRight w:val="0"/>
      <w:marTop w:val="0"/>
      <w:marBottom w:val="0"/>
      <w:divBdr>
        <w:top w:val="none" w:sz="0" w:space="0" w:color="auto"/>
        <w:left w:val="none" w:sz="0" w:space="0" w:color="auto"/>
        <w:bottom w:val="none" w:sz="0" w:space="0" w:color="auto"/>
        <w:right w:val="none" w:sz="0" w:space="0" w:color="auto"/>
      </w:divBdr>
    </w:div>
    <w:div w:id="360208847">
      <w:bodyDiv w:val="1"/>
      <w:marLeft w:val="0"/>
      <w:marRight w:val="0"/>
      <w:marTop w:val="0"/>
      <w:marBottom w:val="0"/>
      <w:divBdr>
        <w:top w:val="none" w:sz="0" w:space="0" w:color="auto"/>
        <w:left w:val="none" w:sz="0" w:space="0" w:color="auto"/>
        <w:bottom w:val="none" w:sz="0" w:space="0" w:color="auto"/>
        <w:right w:val="none" w:sz="0" w:space="0" w:color="auto"/>
      </w:divBdr>
    </w:div>
    <w:div w:id="437679238">
      <w:bodyDiv w:val="1"/>
      <w:marLeft w:val="0"/>
      <w:marRight w:val="0"/>
      <w:marTop w:val="0"/>
      <w:marBottom w:val="0"/>
      <w:divBdr>
        <w:top w:val="none" w:sz="0" w:space="0" w:color="auto"/>
        <w:left w:val="none" w:sz="0" w:space="0" w:color="auto"/>
        <w:bottom w:val="none" w:sz="0" w:space="0" w:color="auto"/>
        <w:right w:val="none" w:sz="0" w:space="0" w:color="auto"/>
      </w:divBdr>
    </w:div>
    <w:div w:id="442040537">
      <w:bodyDiv w:val="1"/>
      <w:marLeft w:val="0"/>
      <w:marRight w:val="0"/>
      <w:marTop w:val="0"/>
      <w:marBottom w:val="0"/>
      <w:divBdr>
        <w:top w:val="none" w:sz="0" w:space="0" w:color="auto"/>
        <w:left w:val="none" w:sz="0" w:space="0" w:color="auto"/>
        <w:bottom w:val="none" w:sz="0" w:space="0" w:color="auto"/>
        <w:right w:val="none" w:sz="0" w:space="0" w:color="auto"/>
      </w:divBdr>
    </w:div>
    <w:div w:id="467356670">
      <w:bodyDiv w:val="1"/>
      <w:marLeft w:val="0"/>
      <w:marRight w:val="0"/>
      <w:marTop w:val="0"/>
      <w:marBottom w:val="0"/>
      <w:divBdr>
        <w:top w:val="none" w:sz="0" w:space="0" w:color="auto"/>
        <w:left w:val="none" w:sz="0" w:space="0" w:color="auto"/>
        <w:bottom w:val="none" w:sz="0" w:space="0" w:color="auto"/>
        <w:right w:val="none" w:sz="0" w:space="0" w:color="auto"/>
      </w:divBdr>
    </w:div>
    <w:div w:id="474369496">
      <w:bodyDiv w:val="1"/>
      <w:marLeft w:val="0"/>
      <w:marRight w:val="0"/>
      <w:marTop w:val="0"/>
      <w:marBottom w:val="0"/>
      <w:divBdr>
        <w:top w:val="none" w:sz="0" w:space="0" w:color="auto"/>
        <w:left w:val="none" w:sz="0" w:space="0" w:color="auto"/>
        <w:bottom w:val="none" w:sz="0" w:space="0" w:color="auto"/>
        <w:right w:val="none" w:sz="0" w:space="0" w:color="auto"/>
      </w:divBdr>
    </w:div>
    <w:div w:id="502669473">
      <w:bodyDiv w:val="1"/>
      <w:marLeft w:val="0"/>
      <w:marRight w:val="0"/>
      <w:marTop w:val="0"/>
      <w:marBottom w:val="0"/>
      <w:divBdr>
        <w:top w:val="none" w:sz="0" w:space="0" w:color="auto"/>
        <w:left w:val="none" w:sz="0" w:space="0" w:color="auto"/>
        <w:bottom w:val="none" w:sz="0" w:space="0" w:color="auto"/>
        <w:right w:val="none" w:sz="0" w:space="0" w:color="auto"/>
      </w:divBdr>
      <w:divsChild>
        <w:div w:id="669793285">
          <w:marLeft w:val="0"/>
          <w:marRight w:val="0"/>
          <w:marTop w:val="0"/>
          <w:marBottom w:val="225"/>
          <w:divBdr>
            <w:top w:val="none" w:sz="0" w:space="0" w:color="auto"/>
            <w:left w:val="none" w:sz="0" w:space="0" w:color="auto"/>
            <w:bottom w:val="none" w:sz="0" w:space="0" w:color="auto"/>
            <w:right w:val="none" w:sz="0" w:space="0" w:color="auto"/>
          </w:divBdr>
          <w:divsChild>
            <w:div w:id="575675452">
              <w:marLeft w:val="0"/>
              <w:marRight w:val="0"/>
              <w:marTop w:val="300"/>
              <w:marBottom w:val="0"/>
              <w:divBdr>
                <w:top w:val="none" w:sz="0" w:space="0" w:color="auto"/>
                <w:left w:val="none" w:sz="0" w:space="0" w:color="auto"/>
                <w:bottom w:val="none" w:sz="0" w:space="0" w:color="auto"/>
                <w:right w:val="none" w:sz="0" w:space="0" w:color="auto"/>
              </w:divBdr>
              <w:divsChild>
                <w:div w:id="1088237952">
                  <w:marLeft w:val="0"/>
                  <w:marRight w:val="0"/>
                  <w:marTop w:val="0"/>
                  <w:marBottom w:val="0"/>
                  <w:divBdr>
                    <w:top w:val="none" w:sz="0" w:space="0" w:color="auto"/>
                    <w:left w:val="none" w:sz="0" w:space="0" w:color="auto"/>
                    <w:bottom w:val="none" w:sz="0" w:space="0" w:color="auto"/>
                    <w:right w:val="none" w:sz="0" w:space="0" w:color="auto"/>
                  </w:divBdr>
                  <w:divsChild>
                    <w:div w:id="88891977">
                      <w:marLeft w:val="0"/>
                      <w:marRight w:val="0"/>
                      <w:marTop w:val="0"/>
                      <w:marBottom w:val="0"/>
                      <w:divBdr>
                        <w:top w:val="none" w:sz="0" w:space="0" w:color="auto"/>
                        <w:left w:val="none" w:sz="0" w:space="0" w:color="auto"/>
                        <w:bottom w:val="none" w:sz="0" w:space="0" w:color="auto"/>
                        <w:right w:val="none" w:sz="0" w:space="0" w:color="auto"/>
                      </w:divBdr>
                      <w:divsChild>
                        <w:div w:id="1172839823">
                          <w:marLeft w:val="0"/>
                          <w:marRight w:val="0"/>
                          <w:marTop w:val="0"/>
                          <w:marBottom w:val="0"/>
                          <w:divBdr>
                            <w:top w:val="none" w:sz="0" w:space="0" w:color="auto"/>
                            <w:left w:val="none" w:sz="0" w:space="0" w:color="auto"/>
                            <w:bottom w:val="none" w:sz="0" w:space="0" w:color="auto"/>
                            <w:right w:val="none" w:sz="0" w:space="0" w:color="auto"/>
                          </w:divBdr>
                          <w:divsChild>
                            <w:div w:id="1626623574">
                              <w:marLeft w:val="0"/>
                              <w:marRight w:val="0"/>
                              <w:marTop w:val="0"/>
                              <w:marBottom w:val="0"/>
                              <w:divBdr>
                                <w:top w:val="none" w:sz="0" w:space="0" w:color="auto"/>
                                <w:left w:val="none" w:sz="0" w:space="0" w:color="auto"/>
                                <w:bottom w:val="none" w:sz="0" w:space="0" w:color="auto"/>
                                <w:right w:val="none" w:sz="0" w:space="0" w:color="auto"/>
                              </w:divBdr>
                              <w:divsChild>
                                <w:div w:id="185603700">
                                  <w:marLeft w:val="0"/>
                                  <w:marRight w:val="0"/>
                                  <w:marTop w:val="0"/>
                                  <w:marBottom w:val="0"/>
                                  <w:divBdr>
                                    <w:top w:val="none" w:sz="0" w:space="0" w:color="auto"/>
                                    <w:left w:val="none" w:sz="0" w:space="0" w:color="auto"/>
                                    <w:bottom w:val="none" w:sz="0" w:space="0" w:color="auto"/>
                                    <w:right w:val="none" w:sz="0" w:space="0" w:color="auto"/>
                                  </w:divBdr>
                                  <w:divsChild>
                                    <w:div w:id="964385248">
                                      <w:marLeft w:val="0"/>
                                      <w:marRight w:val="0"/>
                                      <w:marTop w:val="0"/>
                                      <w:marBottom w:val="0"/>
                                      <w:divBdr>
                                        <w:top w:val="none" w:sz="0" w:space="0" w:color="auto"/>
                                        <w:left w:val="none" w:sz="0" w:space="0" w:color="auto"/>
                                        <w:bottom w:val="none" w:sz="0" w:space="0" w:color="auto"/>
                                        <w:right w:val="none" w:sz="0" w:space="0" w:color="auto"/>
                                      </w:divBdr>
                                      <w:divsChild>
                                        <w:div w:id="1341278214">
                                          <w:marLeft w:val="0"/>
                                          <w:marRight w:val="0"/>
                                          <w:marTop w:val="0"/>
                                          <w:marBottom w:val="0"/>
                                          <w:divBdr>
                                            <w:top w:val="none" w:sz="0" w:space="0" w:color="auto"/>
                                            <w:left w:val="none" w:sz="0" w:space="0" w:color="auto"/>
                                            <w:bottom w:val="none" w:sz="0" w:space="0" w:color="auto"/>
                                            <w:right w:val="none" w:sz="0" w:space="0" w:color="auto"/>
                                          </w:divBdr>
                                          <w:divsChild>
                                            <w:div w:id="362100305">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sChild>
                                                    <w:div w:id="20075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667230">
      <w:bodyDiv w:val="1"/>
      <w:marLeft w:val="0"/>
      <w:marRight w:val="0"/>
      <w:marTop w:val="0"/>
      <w:marBottom w:val="0"/>
      <w:divBdr>
        <w:top w:val="none" w:sz="0" w:space="0" w:color="auto"/>
        <w:left w:val="none" w:sz="0" w:space="0" w:color="auto"/>
        <w:bottom w:val="none" w:sz="0" w:space="0" w:color="auto"/>
        <w:right w:val="none" w:sz="0" w:space="0" w:color="auto"/>
      </w:divBdr>
    </w:div>
    <w:div w:id="605431148">
      <w:bodyDiv w:val="1"/>
      <w:marLeft w:val="0"/>
      <w:marRight w:val="0"/>
      <w:marTop w:val="0"/>
      <w:marBottom w:val="0"/>
      <w:divBdr>
        <w:top w:val="none" w:sz="0" w:space="0" w:color="auto"/>
        <w:left w:val="none" w:sz="0" w:space="0" w:color="auto"/>
        <w:bottom w:val="none" w:sz="0" w:space="0" w:color="auto"/>
        <w:right w:val="none" w:sz="0" w:space="0" w:color="auto"/>
      </w:divBdr>
      <w:divsChild>
        <w:div w:id="812597317">
          <w:marLeft w:val="0"/>
          <w:marRight w:val="0"/>
          <w:marTop w:val="0"/>
          <w:marBottom w:val="0"/>
          <w:divBdr>
            <w:top w:val="none" w:sz="0" w:space="0" w:color="auto"/>
            <w:left w:val="none" w:sz="0" w:space="0" w:color="auto"/>
            <w:bottom w:val="none" w:sz="0" w:space="0" w:color="auto"/>
            <w:right w:val="none" w:sz="0" w:space="0" w:color="auto"/>
          </w:divBdr>
          <w:divsChild>
            <w:div w:id="1501265289">
              <w:marLeft w:val="0"/>
              <w:marRight w:val="0"/>
              <w:marTop w:val="0"/>
              <w:marBottom w:val="0"/>
              <w:divBdr>
                <w:top w:val="none" w:sz="0" w:space="0" w:color="auto"/>
                <w:left w:val="none" w:sz="0" w:space="0" w:color="auto"/>
                <w:bottom w:val="none" w:sz="0" w:space="0" w:color="auto"/>
                <w:right w:val="none" w:sz="0" w:space="0" w:color="auto"/>
              </w:divBdr>
              <w:divsChild>
                <w:div w:id="1413963488">
                  <w:marLeft w:val="0"/>
                  <w:marRight w:val="0"/>
                  <w:marTop w:val="0"/>
                  <w:marBottom w:val="0"/>
                  <w:divBdr>
                    <w:top w:val="none" w:sz="0" w:space="0" w:color="auto"/>
                    <w:left w:val="none" w:sz="0" w:space="0" w:color="auto"/>
                    <w:bottom w:val="none" w:sz="0" w:space="0" w:color="auto"/>
                    <w:right w:val="none" w:sz="0" w:space="0" w:color="auto"/>
                  </w:divBdr>
                  <w:divsChild>
                    <w:div w:id="124992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1672333">
      <w:bodyDiv w:val="1"/>
      <w:marLeft w:val="0"/>
      <w:marRight w:val="0"/>
      <w:marTop w:val="0"/>
      <w:marBottom w:val="0"/>
      <w:divBdr>
        <w:top w:val="none" w:sz="0" w:space="0" w:color="auto"/>
        <w:left w:val="none" w:sz="0" w:space="0" w:color="auto"/>
        <w:bottom w:val="none" w:sz="0" w:space="0" w:color="auto"/>
        <w:right w:val="none" w:sz="0" w:space="0" w:color="auto"/>
      </w:divBdr>
    </w:div>
    <w:div w:id="638656400">
      <w:bodyDiv w:val="1"/>
      <w:marLeft w:val="0"/>
      <w:marRight w:val="0"/>
      <w:marTop w:val="0"/>
      <w:marBottom w:val="0"/>
      <w:divBdr>
        <w:top w:val="none" w:sz="0" w:space="0" w:color="auto"/>
        <w:left w:val="none" w:sz="0" w:space="0" w:color="auto"/>
        <w:bottom w:val="none" w:sz="0" w:space="0" w:color="auto"/>
        <w:right w:val="none" w:sz="0" w:space="0" w:color="auto"/>
      </w:divBdr>
    </w:div>
    <w:div w:id="661012346">
      <w:bodyDiv w:val="1"/>
      <w:marLeft w:val="0"/>
      <w:marRight w:val="0"/>
      <w:marTop w:val="0"/>
      <w:marBottom w:val="0"/>
      <w:divBdr>
        <w:top w:val="none" w:sz="0" w:space="0" w:color="auto"/>
        <w:left w:val="none" w:sz="0" w:space="0" w:color="auto"/>
        <w:bottom w:val="none" w:sz="0" w:space="0" w:color="auto"/>
        <w:right w:val="none" w:sz="0" w:space="0" w:color="auto"/>
      </w:divBdr>
    </w:div>
    <w:div w:id="786705009">
      <w:bodyDiv w:val="1"/>
      <w:marLeft w:val="0"/>
      <w:marRight w:val="0"/>
      <w:marTop w:val="0"/>
      <w:marBottom w:val="0"/>
      <w:divBdr>
        <w:top w:val="none" w:sz="0" w:space="0" w:color="auto"/>
        <w:left w:val="none" w:sz="0" w:space="0" w:color="auto"/>
        <w:bottom w:val="none" w:sz="0" w:space="0" w:color="auto"/>
        <w:right w:val="none" w:sz="0" w:space="0" w:color="auto"/>
      </w:divBdr>
    </w:div>
    <w:div w:id="787966432">
      <w:bodyDiv w:val="1"/>
      <w:marLeft w:val="0"/>
      <w:marRight w:val="0"/>
      <w:marTop w:val="0"/>
      <w:marBottom w:val="0"/>
      <w:divBdr>
        <w:top w:val="none" w:sz="0" w:space="0" w:color="auto"/>
        <w:left w:val="none" w:sz="0" w:space="0" w:color="auto"/>
        <w:bottom w:val="none" w:sz="0" w:space="0" w:color="auto"/>
        <w:right w:val="none" w:sz="0" w:space="0" w:color="auto"/>
      </w:divBdr>
    </w:div>
    <w:div w:id="850295017">
      <w:bodyDiv w:val="1"/>
      <w:marLeft w:val="0"/>
      <w:marRight w:val="0"/>
      <w:marTop w:val="0"/>
      <w:marBottom w:val="0"/>
      <w:divBdr>
        <w:top w:val="none" w:sz="0" w:space="0" w:color="auto"/>
        <w:left w:val="none" w:sz="0" w:space="0" w:color="auto"/>
        <w:bottom w:val="none" w:sz="0" w:space="0" w:color="auto"/>
        <w:right w:val="none" w:sz="0" w:space="0" w:color="auto"/>
      </w:divBdr>
    </w:div>
    <w:div w:id="881602051">
      <w:bodyDiv w:val="1"/>
      <w:marLeft w:val="0"/>
      <w:marRight w:val="0"/>
      <w:marTop w:val="0"/>
      <w:marBottom w:val="0"/>
      <w:divBdr>
        <w:top w:val="none" w:sz="0" w:space="0" w:color="auto"/>
        <w:left w:val="none" w:sz="0" w:space="0" w:color="auto"/>
        <w:bottom w:val="none" w:sz="0" w:space="0" w:color="auto"/>
        <w:right w:val="none" w:sz="0" w:space="0" w:color="auto"/>
      </w:divBdr>
    </w:div>
    <w:div w:id="887378485">
      <w:bodyDiv w:val="1"/>
      <w:marLeft w:val="0"/>
      <w:marRight w:val="0"/>
      <w:marTop w:val="0"/>
      <w:marBottom w:val="0"/>
      <w:divBdr>
        <w:top w:val="none" w:sz="0" w:space="0" w:color="auto"/>
        <w:left w:val="none" w:sz="0" w:space="0" w:color="auto"/>
        <w:bottom w:val="none" w:sz="0" w:space="0" w:color="auto"/>
        <w:right w:val="none" w:sz="0" w:space="0" w:color="auto"/>
      </w:divBdr>
    </w:div>
    <w:div w:id="896206153">
      <w:bodyDiv w:val="1"/>
      <w:marLeft w:val="0"/>
      <w:marRight w:val="0"/>
      <w:marTop w:val="0"/>
      <w:marBottom w:val="0"/>
      <w:divBdr>
        <w:top w:val="none" w:sz="0" w:space="0" w:color="auto"/>
        <w:left w:val="none" w:sz="0" w:space="0" w:color="auto"/>
        <w:bottom w:val="none" w:sz="0" w:space="0" w:color="auto"/>
        <w:right w:val="none" w:sz="0" w:space="0" w:color="auto"/>
      </w:divBdr>
    </w:div>
    <w:div w:id="1011876896">
      <w:bodyDiv w:val="1"/>
      <w:marLeft w:val="0"/>
      <w:marRight w:val="0"/>
      <w:marTop w:val="0"/>
      <w:marBottom w:val="0"/>
      <w:divBdr>
        <w:top w:val="none" w:sz="0" w:space="0" w:color="auto"/>
        <w:left w:val="none" w:sz="0" w:space="0" w:color="auto"/>
        <w:bottom w:val="none" w:sz="0" w:space="0" w:color="auto"/>
        <w:right w:val="none" w:sz="0" w:space="0" w:color="auto"/>
      </w:divBdr>
    </w:div>
    <w:div w:id="1044716641">
      <w:bodyDiv w:val="1"/>
      <w:marLeft w:val="0"/>
      <w:marRight w:val="0"/>
      <w:marTop w:val="0"/>
      <w:marBottom w:val="0"/>
      <w:divBdr>
        <w:top w:val="none" w:sz="0" w:space="0" w:color="auto"/>
        <w:left w:val="none" w:sz="0" w:space="0" w:color="auto"/>
        <w:bottom w:val="none" w:sz="0" w:space="0" w:color="auto"/>
        <w:right w:val="none" w:sz="0" w:space="0" w:color="auto"/>
      </w:divBdr>
      <w:divsChild>
        <w:div w:id="1152916247">
          <w:marLeft w:val="0"/>
          <w:marRight w:val="0"/>
          <w:marTop w:val="0"/>
          <w:marBottom w:val="225"/>
          <w:divBdr>
            <w:top w:val="none" w:sz="0" w:space="0" w:color="auto"/>
            <w:left w:val="none" w:sz="0" w:space="0" w:color="auto"/>
            <w:bottom w:val="none" w:sz="0" w:space="0" w:color="auto"/>
            <w:right w:val="none" w:sz="0" w:space="0" w:color="auto"/>
          </w:divBdr>
          <w:divsChild>
            <w:div w:id="1094204846">
              <w:marLeft w:val="0"/>
              <w:marRight w:val="0"/>
              <w:marTop w:val="300"/>
              <w:marBottom w:val="0"/>
              <w:divBdr>
                <w:top w:val="none" w:sz="0" w:space="0" w:color="auto"/>
                <w:left w:val="none" w:sz="0" w:space="0" w:color="auto"/>
                <w:bottom w:val="none" w:sz="0" w:space="0" w:color="auto"/>
                <w:right w:val="none" w:sz="0" w:space="0" w:color="auto"/>
              </w:divBdr>
              <w:divsChild>
                <w:div w:id="1215583840">
                  <w:marLeft w:val="0"/>
                  <w:marRight w:val="0"/>
                  <w:marTop w:val="0"/>
                  <w:marBottom w:val="0"/>
                  <w:divBdr>
                    <w:top w:val="none" w:sz="0" w:space="0" w:color="auto"/>
                    <w:left w:val="none" w:sz="0" w:space="0" w:color="auto"/>
                    <w:bottom w:val="none" w:sz="0" w:space="0" w:color="auto"/>
                    <w:right w:val="none" w:sz="0" w:space="0" w:color="auto"/>
                  </w:divBdr>
                  <w:divsChild>
                    <w:div w:id="318965045">
                      <w:marLeft w:val="0"/>
                      <w:marRight w:val="0"/>
                      <w:marTop w:val="0"/>
                      <w:marBottom w:val="0"/>
                      <w:divBdr>
                        <w:top w:val="none" w:sz="0" w:space="0" w:color="auto"/>
                        <w:left w:val="none" w:sz="0" w:space="0" w:color="auto"/>
                        <w:bottom w:val="none" w:sz="0" w:space="0" w:color="auto"/>
                        <w:right w:val="none" w:sz="0" w:space="0" w:color="auto"/>
                      </w:divBdr>
                      <w:divsChild>
                        <w:div w:id="1743411870">
                          <w:marLeft w:val="0"/>
                          <w:marRight w:val="0"/>
                          <w:marTop w:val="0"/>
                          <w:marBottom w:val="0"/>
                          <w:divBdr>
                            <w:top w:val="none" w:sz="0" w:space="0" w:color="auto"/>
                            <w:left w:val="none" w:sz="0" w:space="0" w:color="auto"/>
                            <w:bottom w:val="none" w:sz="0" w:space="0" w:color="auto"/>
                            <w:right w:val="none" w:sz="0" w:space="0" w:color="auto"/>
                          </w:divBdr>
                          <w:divsChild>
                            <w:div w:id="797259459">
                              <w:marLeft w:val="0"/>
                              <w:marRight w:val="0"/>
                              <w:marTop w:val="0"/>
                              <w:marBottom w:val="0"/>
                              <w:divBdr>
                                <w:top w:val="none" w:sz="0" w:space="0" w:color="auto"/>
                                <w:left w:val="none" w:sz="0" w:space="0" w:color="auto"/>
                                <w:bottom w:val="none" w:sz="0" w:space="0" w:color="auto"/>
                                <w:right w:val="none" w:sz="0" w:space="0" w:color="auto"/>
                              </w:divBdr>
                              <w:divsChild>
                                <w:div w:id="698891299">
                                  <w:marLeft w:val="0"/>
                                  <w:marRight w:val="0"/>
                                  <w:marTop w:val="0"/>
                                  <w:marBottom w:val="0"/>
                                  <w:divBdr>
                                    <w:top w:val="none" w:sz="0" w:space="0" w:color="auto"/>
                                    <w:left w:val="none" w:sz="0" w:space="0" w:color="auto"/>
                                    <w:bottom w:val="none" w:sz="0" w:space="0" w:color="auto"/>
                                    <w:right w:val="none" w:sz="0" w:space="0" w:color="auto"/>
                                  </w:divBdr>
                                  <w:divsChild>
                                    <w:div w:id="1450781867">
                                      <w:marLeft w:val="0"/>
                                      <w:marRight w:val="0"/>
                                      <w:marTop w:val="0"/>
                                      <w:marBottom w:val="0"/>
                                      <w:divBdr>
                                        <w:top w:val="none" w:sz="0" w:space="0" w:color="auto"/>
                                        <w:left w:val="none" w:sz="0" w:space="0" w:color="auto"/>
                                        <w:bottom w:val="none" w:sz="0" w:space="0" w:color="auto"/>
                                        <w:right w:val="none" w:sz="0" w:space="0" w:color="auto"/>
                                      </w:divBdr>
                                      <w:divsChild>
                                        <w:div w:id="11035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158723">
      <w:bodyDiv w:val="1"/>
      <w:marLeft w:val="0"/>
      <w:marRight w:val="0"/>
      <w:marTop w:val="0"/>
      <w:marBottom w:val="0"/>
      <w:divBdr>
        <w:top w:val="none" w:sz="0" w:space="0" w:color="auto"/>
        <w:left w:val="none" w:sz="0" w:space="0" w:color="auto"/>
        <w:bottom w:val="none" w:sz="0" w:space="0" w:color="auto"/>
        <w:right w:val="none" w:sz="0" w:space="0" w:color="auto"/>
      </w:divBdr>
    </w:div>
    <w:div w:id="1088113511">
      <w:bodyDiv w:val="1"/>
      <w:marLeft w:val="0"/>
      <w:marRight w:val="0"/>
      <w:marTop w:val="0"/>
      <w:marBottom w:val="0"/>
      <w:divBdr>
        <w:top w:val="none" w:sz="0" w:space="0" w:color="auto"/>
        <w:left w:val="none" w:sz="0" w:space="0" w:color="auto"/>
        <w:bottom w:val="none" w:sz="0" w:space="0" w:color="auto"/>
        <w:right w:val="none" w:sz="0" w:space="0" w:color="auto"/>
      </w:divBdr>
    </w:div>
    <w:div w:id="1104687144">
      <w:bodyDiv w:val="1"/>
      <w:marLeft w:val="0"/>
      <w:marRight w:val="0"/>
      <w:marTop w:val="0"/>
      <w:marBottom w:val="0"/>
      <w:divBdr>
        <w:top w:val="none" w:sz="0" w:space="0" w:color="auto"/>
        <w:left w:val="none" w:sz="0" w:space="0" w:color="auto"/>
        <w:bottom w:val="none" w:sz="0" w:space="0" w:color="auto"/>
        <w:right w:val="none" w:sz="0" w:space="0" w:color="auto"/>
      </w:divBdr>
    </w:div>
    <w:div w:id="1203249515">
      <w:bodyDiv w:val="1"/>
      <w:marLeft w:val="0"/>
      <w:marRight w:val="0"/>
      <w:marTop w:val="0"/>
      <w:marBottom w:val="0"/>
      <w:divBdr>
        <w:top w:val="none" w:sz="0" w:space="0" w:color="auto"/>
        <w:left w:val="none" w:sz="0" w:space="0" w:color="auto"/>
        <w:bottom w:val="none" w:sz="0" w:space="0" w:color="auto"/>
        <w:right w:val="none" w:sz="0" w:space="0" w:color="auto"/>
      </w:divBdr>
    </w:div>
    <w:div w:id="1223951526">
      <w:bodyDiv w:val="1"/>
      <w:marLeft w:val="0"/>
      <w:marRight w:val="0"/>
      <w:marTop w:val="0"/>
      <w:marBottom w:val="0"/>
      <w:divBdr>
        <w:top w:val="none" w:sz="0" w:space="0" w:color="auto"/>
        <w:left w:val="none" w:sz="0" w:space="0" w:color="auto"/>
        <w:bottom w:val="none" w:sz="0" w:space="0" w:color="auto"/>
        <w:right w:val="none" w:sz="0" w:space="0" w:color="auto"/>
      </w:divBdr>
    </w:div>
    <w:div w:id="1266577950">
      <w:bodyDiv w:val="1"/>
      <w:marLeft w:val="0"/>
      <w:marRight w:val="0"/>
      <w:marTop w:val="0"/>
      <w:marBottom w:val="0"/>
      <w:divBdr>
        <w:top w:val="none" w:sz="0" w:space="0" w:color="auto"/>
        <w:left w:val="none" w:sz="0" w:space="0" w:color="auto"/>
        <w:bottom w:val="none" w:sz="0" w:space="0" w:color="auto"/>
        <w:right w:val="none" w:sz="0" w:space="0" w:color="auto"/>
      </w:divBdr>
    </w:div>
    <w:div w:id="1369991240">
      <w:bodyDiv w:val="1"/>
      <w:marLeft w:val="0"/>
      <w:marRight w:val="0"/>
      <w:marTop w:val="0"/>
      <w:marBottom w:val="0"/>
      <w:divBdr>
        <w:top w:val="none" w:sz="0" w:space="0" w:color="auto"/>
        <w:left w:val="none" w:sz="0" w:space="0" w:color="auto"/>
        <w:bottom w:val="none" w:sz="0" w:space="0" w:color="auto"/>
        <w:right w:val="none" w:sz="0" w:space="0" w:color="auto"/>
      </w:divBdr>
    </w:div>
    <w:div w:id="1439834097">
      <w:bodyDiv w:val="1"/>
      <w:marLeft w:val="0"/>
      <w:marRight w:val="0"/>
      <w:marTop w:val="0"/>
      <w:marBottom w:val="0"/>
      <w:divBdr>
        <w:top w:val="none" w:sz="0" w:space="0" w:color="auto"/>
        <w:left w:val="none" w:sz="0" w:space="0" w:color="auto"/>
        <w:bottom w:val="none" w:sz="0" w:space="0" w:color="auto"/>
        <w:right w:val="none" w:sz="0" w:space="0" w:color="auto"/>
      </w:divBdr>
    </w:div>
    <w:div w:id="1518034390">
      <w:bodyDiv w:val="1"/>
      <w:marLeft w:val="0"/>
      <w:marRight w:val="0"/>
      <w:marTop w:val="0"/>
      <w:marBottom w:val="0"/>
      <w:divBdr>
        <w:top w:val="none" w:sz="0" w:space="0" w:color="auto"/>
        <w:left w:val="none" w:sz="0" w:space="0" w:color="auto"/>
        <w:bottom w:val="none" w:sz="0" w:space="0" w:color="auto"/>
        <w:right w:val="none" w:sz="0" w:space="0" w:color="auto"/>
      </w:divBdr>
    </w:div>
    <w:div w:id="1564948192">
      <w:bodyDiv w:val="1"/>
      <w:marLeft w:val="0"/>
      <w:marRight w:val="0"/>
      <w:marTop w:val="0"/>
      <w:marBottom w:val="0"/>
      <w:divBdr>
        <w:top w:val="none" w:sz="0" w:space="0" w:color="auto"/>
        <w:left w:val="none" w:sz="0" w:space="0" w:color="auto"/>
        <w:bottom w:val="none" w:sz="0" w:space="0" w:color="auto"/>
        <w:right w:val="none" w:sz="0" w:space="0" w:color="auto"/>
      </w:divBdr>
    </w:div>
    <w:div w:id="1566918477">
      <w:bodyDiv w:val="1"/>
      <w:marLeft w:val="0"/>
      <w:marRight w:val="0"/>
      <w:marTop w:val="0"/>
      <w:marBottom w:val="0"/>
      <w:divBdr>
        <w:top w:val="none" w:sz="0" w:space="0" w:color="auto"/>
        <w:left w:val="none" w:sz="0" w:space="0" w:color="auto"/>
        <w:bottom w:val="none" w:sz="0" w:space="0" w:color="auto"/>
        <w:right w:val="none" w:sz="0" w:space="0" w:color="auto"/>
      </w:divBdr>
    </w:div>
    <w:div w:id="1661808354">
      <w:bodyDiv w:val="1"/>
      <w:marLeft w:val="0"/>
      <w:marRight w:val="0"/>
      <w:marTop w:val="0"/>
      <w:marBottom w:val="0"/>
      <w:divBdr>
        <w:top w:val="none" w:sz="0" w:space="0" w:color="auto"/>
        <w:left w:val="none" w:sz="0" w:space="0" w:color="auto"/>
        <w:bottom w:val="none" w:sz="0" w:space="0" w:color="auto"/>
        <w:right w:val="none" w:sz="0" w:space="0" w:color="auto"/>
      </w:divBdr>
    </w:div>
    <w:div w:id="1749302751">
      <w:bodyDiv w:val="1"/>
      <w:marLeft w:val="0"/>
      <w:marRight w:val="0"/>
      <w:marTop w:val="0"/>
      <w:marBottom w:val="0"/>
      <w:divBdr>
        <w:top w:val="none" w:sz="0" w:space="0" w:color="auto"/>
        <w:left w:val="none" w:sz="0" w:space="0" w:color="auto"/>
        <w:bottom w:val="none" w:sz="0" w:space="0" w:color="auto"/>
        <w:right w:val="none" w:sz="0" w:space="0" w:color="auto"/>
      </w:divBdr>
    </w:div>
    <w:div w:id="1787389107">
      <w:bodyDiv w:val="1"/>
      <w:marLeft w:val="0"/>
      <w:marRight w:val="0"/>
      <w:marTop w:val="0"/>
      <w:marBottom w:val="0"/>
      <w:divBdr>
        <w:top w:val="none" w:sz="0" w:space="0" w:color="auto"/>
        <w:left w:val="none" w:sz="0" w:space="0" w:color="auto"/>
        <w:bottom w:val="none" w:sz="0" w:space="0" w:color="auto"/>
        <w:right w:val="none" w:sz="0" w:space="0" w:color="auto"/>
      </w:divBdr>
    </w:div>
    <w:div w:id="1828325295">
      <w:bodyDiv w:val="1"/>
      <w:marLeft w:val="0"/>
      <w:marRight w:val="0"/>
      <w:marTop w:val="0"/>
      <w:marBottom w:val="0"/>
      <w:divBdr>
        <w:top w:val="none" w:sz="0" w:space="0" w:color="auto"/>
        <w:left w:val="none" w:sz="0" w:space="0" w:color="auto"/>
        <w:bottom w:val="none" w:sz="0" w:space="0" w:color="auto"/>
        <w:right w:val="none" w:sz="0" w:space="0" w:color="auto"/>
      </w:divBdr>
    </w:div>
    <w:div w:id="1867403606">
      <w:bodyDiv w:val="1"/>
      <w:marLeft w:val="0"/>
      <w:marRight w:val="0"/>
      <w:marTop w:val="0"/>
      <w:marBottom w:val="0"/>
      <w:divBdr>
        <w:top w:val="none" w:sz="0" w:space="0" w:color="auto"/>
        <w:left w:val="none" w:sz="0" w:space="0" w:color="auto"/>
        <w:bottom w:val="none" w:sz="0" w:space="0" w:color="auto"/>
        <w:right w:val="none" w:sz="0" w:space="0" w:color="auto"/>
      </w:divBdr>
    </w:div>
    <w:div w:id="2012180009">
      <w:bodyDiv w:val="1"/>
      <w:marLeft w:val="0"/>
      <w:marRight w:val="0"/>
      <w:marTop w:val="0"/>
      <w:marBottom w:val="0"/>
      <w:divBdr>
        <w:top w:val="none" w:sz="0" w:space="0" w:color="auto"/>
        <w:left w:val="none" w:sz="0" w:space="0" w:color="auto"/>
        <w:bottom w:val="none" w:sz="0" w:space="0" w:color="auto"/>
        <w:right w:val="none" w:sz="0" w:space="0" w:color="auto"/>
      </w:divBdr>
    </w:div>
    <w:div w:id="2052925224">
      <w:bodyDiv w:val="1"/>
      <w:marLeft w:val="0"/>
      <w:marRight w:val="0"/>
      <w:marTop w:val="0"/>
      <w:marBottom w:val="0"/>
      <w:divBdr>
        <w:top w:val="none" w:sz="0" w:space="0" w:color="auto"/>
        <w:left w:val="none" w:sz="0" w:space="0" w:color="auto"/>
        <w:bottom w:val="none" w:sz="0" w:space="0" w:color="auto"/>
        <w:right w:val="none" w:sz="0" w:space="0" w:color="auto"/>
      </w:divBdr>
    </w:div>
    <w:div w:id="2066827986">
      <w:bodyDiv w:val="1"/>
      <w:marLeft w:val="0"/>
      <w:marRight w:val="0"/>
      <w:marTop w:val="0"/>
      <w:marBottom w:val="0"/>
      <w:divBdr>
        <w:top w:val="none" w:sz="0" w:space="0" w:color="auto"/>
        <w:left w:val="none" w:sz="0" w:space="0" w:color="auto"/>
        <w:bottom w:val="none" w:sz="0" w:space="0" w:color="auto"/>
        <w:right w:val="none" w:sz="0" w:space="0" w:color="auto"/>
      </w:divBdr>
    </w:div>
    <w:div w:id="2097747932">
      <w:bodyDiv w:val="1"/>
      <w:marLeft w:val="0"/>
      <w:marRight w:val="0"/>
      <w:marTop w:val="0"/>
      <w:marBottom w:val="0"/>
      <w:divBdr>
        <w:top w:val="none" w:sz="0" w:space="0" w:color="auto"/>
        <w:left w:val="none" w:sz="0" w:space="0" w:color="auto"/>
        <w:bottom w:val="none" w:sz="0" w:space="0" w:color="auto"/>
        <w:right w:val="none" w:sz="0" w:space="0" w:color="auto"/>
      </w:divBdr>
      <w:divsChild>
        <w:div w:id="1900898348">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n/development/desa/population/migration/generalassembly/docs/globalcompact/A_RES_70_1_E.pdf" TargetMode="External"/><Relationship Id="rId1" Type="http://schemas.openxmlformats.org/officeDocument/2006/relationships/hyperlink" Target="https://www.unep-wcmc.org/resources-and-data/biodiversitysyner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A891-BF6E-4793-83B3-D3384546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4413</Words>
  <Characters>25159</Characters>
  <Application>Microsoft Office Word</Application>
  <DocSecurity>0</DocSecurity>
  <Lines>209</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JENNINGS Edmund</cp:lastModifiedBy>
  <cp:revision>2</cp:revision>
  <cp:lastPrinted>2018-06-22T12:38:00Z</cp:lastPrinted>
  <dcterms:created xsi:type="dcterms:W3CDTF">2018-10-28T22:00:00Z</dcterms:created>
  <dcterms:modified xsi:type="dcterms:W3CDTF">2018-10-28T22:04:00Z</dcterms:modified>
</cp:coreProperties>
</file>