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9042" w14:textId="77777777" w:rsidR="00EF084E" w:rsidRDefault="00EF084E" w:rsidP="00EF084E">
      <w:pPr>
        <w:ind w:right="14"/>
        <w:jc w:val="center"/>
        <w:outlineLvl w:val="0"/>
        <w:rPr>
          <w:rFonts w:cstheme="minorHAnsi"/>
          <w:b/>
          <w:bCs/>
          <w:sz w:val="24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EB6763" wp14:editId="2CEA267F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lang w:val="fr-FR"/>
        </w:rPr>
        <w:t>13</w:t>
      </w:r>
      <w:r>
        <w:rPr>
          <w:rFonts w:cstheme="minorHAnsi"/>
          <w:b/>
          <w:bCs/>
          <w:sz w:val="24"/>
          <w:vertAlign w:val="superscript"/>
          <w:lang w:val="fr-FR"/>
        </w:rPr>
        <w:t>e</w:t>
      </w:r>
      <w:r>
        <w:rPr>
          <w:rFonts w:cstheme="minorHAnsi"/>
          <w:b/>
          <w:bCs/>
          <w:sz w:val="24"/>
          <w:lang w:val="fr-FR"/>
        </w:rPr>
        <w:t xml:space="preserve"> Session de la Conférence des Parties contractantes </w:t>
      </w:r>
    </w:p>
    <w:p w14:paraId="678C069F" w14:textId="77777777" w:rsidR="00EF084E" w:rsidRDefault="00EF084E" w:rsidP="00EF084E">
      <w:pPr>
        <w:ind w:right="14"/>
        <w:jc w:val="center"/>
        <w:outlineLvl w:val="0"/>
        <w:rPr>
          <w:rFonts w:cstheme="minorHAnsi"/>
          <w:b/>
          <w:bCs/>
          <w:sz w:val="24"/>
          <w:lang w:val="fr-FR"/>
        </w:rPr>
      </w:pPr>
      <w:r>
        <w:rPr>
          <w:rFonts w:cstheme="minorHAnsi"/>
          <w:b/>
          <w:bCs/>
          <w:sz w:val="24"/>
          <w:lang w:val="fr-FR"/>
        </w:rPr>
        <w:t>à la Convention de Ramsar sur les zones humides</w:t>
      </w:r>
    </w:p>
    <w:p w14:paraId="01E6E904" w14:textId="77777777" w:rsidR="00EF084E" w:rsidRDefault="00EF084E" w:rsidP="00EF084E">
      <w:pPr>
        <w:ind w:right="14"/>
        <w:jc w:val="center"/>
        <w:outlineLvl w:val="0"/>
        <w:rPr>
          <w:rFonts w:cstheme="minorHAnsi"/>
          <w:b/>
          <w:bCs/>
          <w:lang w:val="fr-FR"/>
        </w:rPr>
      </w:pPr>
    </w:p>
    <w:p w14:paraId="1285FD79" w14:textId="77777777" w:rsidR="00EF084E" w:rsidRDefault="00EF084E" w:rsidP="00EF084E">
      <w:pPr>
        <w:ind w:right="14"/>
        <w:jc w:val="center"/>
        <w:outlineLvl w:val="0"/>
        <w:rPr>
          <w:rFonts w:cstheme="minorHAnsi"/>
          <w:b/>
          <w:bCs/>
          <w:sz w:val="24"/>
          <w:lang w:val="fr-FR"/>
        </w:rPr>
      </w:pPr>
      <w:r>
        <w:rPr>
          <w:rFonts w:cstheme="minorHAnsi"/>
          <w:b/>
          <w:bCs/>
          <w:sz w:val="24"/>
          <w:lang w:val="fr-FR"/>
        </w:rPr>
        <w:t>« Les zones humides pour un avenir urbain durable »</w:t>
      </w:r>
    </w:p>
    <w:p w14:paraId="3959B538" w14:textId="77777777" w:rsidR="00EF084E" w:rsidRDefault="00EF084E" w:rsidP="00EF084E">
      <w:pPr>
        <w:ind w:right="14"/>
        <w:jc w:val="center"/>
        <w:outlineLvl w:val="0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sz w:val="24"/>
          <w:lang w:val="fr-FR"/>
        </w:rPr>
        <w:t>Dubaï, Émirats arabes unis, 21 au 29 octobre 2018</w:t>
      </w:r>
    </w:p>
    <w:p w14:paraId="418A00E8" w14:textId="77777777" w:rsidR="00EF084E" w:rsidRDefault="00EF084E" w:rsidP="00EF084E">
      <w:pPr>
        <w:ind w:right="17"/>
        <w:jc w:val="center"/>
        <w:outlineLvl w:val="0"/>
        <w:rPr>
          <w:rFonts w:ascii="Arial" w:hAnsi="Arial" w:cstheme="majorHAnsi"/>
          <w:b/>
          <w:bCs/>
          <w:sz w:val="28"/>
          <w:szCs w:val="28"/>
          <w:lang w:val="fr-FR"/>
        </w:rPr>
      </w:pPr>
    </w:p>
    <w:p w14:paraId="66519CC5" w14:textId="77777777" w:rsidR="00EF084E" w:rsidRDefault="00EF084E" w:rsidP="00EF084E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EF084E" w14:paraId="257CE68F" w14:textId="77777777" w:rsidTr="000663E7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81F42" w14:textId="77777777" w:rsidR="00EF084E" w:rsidRDefault="00EF084E" w:rsidP="000663E7">
            <w:pPr>
              <w:spacing w:line="276" w:lineRule="auto"/>
              <w:ind w:right="17"/>
              <w:jc w:val="center"/>
              <w:outlineLvl w:val="0"/>
              <w:rPr>
                <w:rFonts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4242F" w14:textId="28083590" w:rsidR="00EF084E" w:rsidRDefault="00EF084E" w:rsidP="000663E7">
            <w:pPr>
              <w:ind w:right="67"/>
              <w:jc w:val="right"/>
              <w:outlineLvl w:val="0"/>
              <w:rPr>
                <w:rFonts w:cstheme="minorHAnsi"/>
                <w:b/>
                <w:bCs/>
                <w:sz w:val="24"/>
                <w:lang w:val="fr-FR"/>
              </w:rPr>
            </w:pPr>
            <w:r w:rsidRPr="000663E7">
              <w:rPr>
                <w:rFonts w:cstheme="majorHAnsi"/>
                <w:b/>
                <w:bCs/>
              </w:rPr>
              <w:t>Ramsar</w:t>
            </w:r>
            <w:r>
              <w:rPr>
                <w:rFonts w:cstheme="minorHAnsi"/>
                <w:b/>
                <w:bCs/>
                <w:sz w:val="24"/>
                <w:lang w:val="fr-FR"/>
              </w:rPr>
              <w:t xml:space="preserve"> COP13 Doc.18.5</w:t>
            </w:r>
          </w:p>
        </w:tc>
      </w:tr>
    </w:tbl>
    <w:p w14:paraId="3C738666" w14:textId="77777777" w:rsidR="00DF2386" w:rsidRPr="005152AD" w:rsidRDefault="00DF2386" w:rsidP="00951D88">
      <w:pPr>
        <w:ind w:left="0" w:firstLine="0"/>
        <w:rPr>
          <w:rFonts w:cs="Arial"/>
          <w:b/>
          <w:sz w:val="28"/>
          <w:szCs w:val="28"/>
          <w:lang w:val="fr-FR"/>
        </w:rPr>
      </w:pPr>
    </w:p>
    <w:p w14:paraId="36F7BBB1" w14:textId="5A221E75" w:rsidR="001C22F2" w:rsidRPr="00246D37" w:rsidRDefault="00EF084E" w:rsidP="00951D88">
      <w:pPr>
        <w:ind w:left="0" w:firstLine="0"/>
        <w:jc w:val="center"/>
        <w:rPr>
          <w:rFonts w:cs="Arial"/>
          <w:b/>
          <w:sz w:val="28"/>
          <w:szCs w:val="28"/>
          <w:lang w:val="fr-FR"/>
        </w:rPr>
      </w:pPr>
      <w:bookmarkStart w:id="0" w:name="_GoBack"/>
      <w:r>
        <w:rPr>
          <w:rFonts w:cs="Arial"/>
          <w:b/>
          <w:sz w:val="28"/>
          <w:szCs w:val="28"/>
          <w:lang w:val="fr-FR"/>
        </w:rPr>
        <w:t>Projet de résolution sur les q</w:t>
      </w:r>
      <w:r w:rsidR="00246D37" w:rsidRPr="00246D37">
        <w:rPr>
          <w:rFonts w:cs="Arial"/>
          <w:b/>
          <w:sz w:val="28"/>
          <w:szCs w:val="28"/>
          <w:lang w:val="fr-FR"/>
        </w:rPr>
        <w:t>uestions financières et budgétaires</w:t>
      </w:r>
      <w:bookmarkEnd w:id="0"/>
    </w:p>
    <w:p w14:paraId="38FFAF4D" w14:textId="21A78C5F" w:rsidR="00B32E40" w:rsidRPr="000663E7" w:rsidRDefault="00B32E40" w:rsidP="005152AD">
      <w:pPr>
        <w:jc w:val="center"/>
        <w:rPr>
          <w:rFonts w:asciiTheme="minorHAnsi" w:hAnsiTheme="minorHAnsi"/>
          <w:b/>
          <w:lang w:val="fr-FR"/>
        </w:rPr>
      </w:pPr>
    </w:p>
    <w:p w14:paraId="43F4E6B4" w14:textId="1B19427E" w:rsidR="00B32E40" w:rsidRPr="000663E7" w:rsidRDefault="008556A6" w:rsidP="008556A6">
      <w:pPr>
        <w:tabs>
          <w:tab w:val="left" w:pos="3575"/>
        </w:tabs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</w:r>
    </w:p>
    <w:p w14:paraId="2543570B" w14:textId="33C0E5D7" w:rsidR="00B32E40" w:rsidRPr="00246D37" w:rsidRDefault="00AD65E1" w:rsidP="005152AD">
      <w:pPr>
        <w:rPr>
          <w:rFonts w:asciiTheme="minorHAnsi" w:hAnsiTheme="minorHAnsi"/>
          <w:lang w:val="fr-FR"/>
        </w:rPr>
      </w:pPr>
      <w:r w:rsidRPr="00246D37">
        <w:rPr>
          <w:rFonts w:asciiTheme="minorHAnsi" w:hAnsiTheme="minorHAnsi"/>
          <w:lang w:val="fr-FR"/>
        </w:rPr>
        <w:t>1.</w:t>
      </w:r>
      <w:r w:rsidRPr="00246D37">
        <w:rPr>
          <w:rFonts w:asciiTheme="minorHAnsi" w:hAnsiTheme="minorHAnsi"/>
          <w:lang w:val="fr-FR"/>
        </w:rPr>
        <w:tab/>
      </w:r>
      <w:r w:rsidR="00780307" w:rsidRPr="00780307">
        <w:rPr>
          <w:rFonts w:asciiTheme="minorHAnsi" w:hAnsiTheme="minorHAnsi"/>
          <w:lang w:val="fr-FR"/>
        </w:rPr>
        <w:t>R</w:t>
      </w:r>
      <w:r w:rsidR="00780307">
        <w:rPr>
          <w:rFonts w:asciiTheme="minorHAnsi" w:hAnsiTheme="minorHAnsi"/>
          <w:lang w:val="fr-FR"/>
        </w:rPr>
        <w:t>APPELANT les dispositions budgétaires é</w:t>
      </w:r>
      <w:r w:rsidR="00653FE7">
        <w:rPr>
          <w:rFonts w:asciiTheme="minorHAnsi" w:hAnsiTheme="minorHAnsi"/>
          <w:lang w:val="fr-FR"/>
        </w:rPr>
        <w:t>tablies par l’A</w:t>
      </w:r>
      <w:r w:rsidR="00D37AB7">
        <w:rPr>
          <w:rFonts w:asciiTheme="minorHAnsi" w:hAnsiTheme="minorHAnsi"/>
          <w:lang w:val="fr-FR"/>
        </w:rPr>
        <w:t>rticle 6, aliné</w:t>
      </w:r>
      <w:r w:rsidR="00780307" w:rsidRPr="00780307">
        <w:rPr>
          <w:rFonts w:asciiTheme="minorHAnsi" w:hAnsiTheme="minorHAnsi"/>
          <w:lang w:val="fr-FR"/>
        </w:rPr>
        <w:t>as 5 et 6, de la Convention</w:t>
      </w:r>
      <w:r w:rsidR="00780307">
        <w:rPr>
          <w:rFonts w:asciiTheme="minorHAnsi" w:hAnsiTheme="minorHAnsi"/>
          <w:lang w:val="fr-FR"/>
        </w:rPr>
        <w:t>;</w:t>
      </w:r>
    </w:p>
    <w:p w14:paraId="236EF7B2" w14:textId="77777777" w:rsidR="00B32E40" w:rsidRPr="00246D37" w:rsidRDefault="00B32E40" w:rsidP="005152AD">
      <w:pPr>
        <w:rPr>
          <w:rFonts w:asciiTheme="minorHAnsi" w:hAnsiTheme="minorHAnsi"/>
          <w:lang w:val="fr-FR"/>
        </w:rPr>
      </w:pPr>
    </w:p>
    <w:p w14:paraId="73213211" w14:textId="427B13A4" w:rsidR="00B32E40" w:rsidRPr="00246D37" w:rsidRDefault="00AD65E1" w:rsidP="005152AD">
      <w:pPr>
        <w:rPr>
          <w:rFonts w:asciiTheme="minorHAnsi" w:hAnsiTheme="minorHAnsi"/>
          <w:lang w:val="fr-FR"/>
        </w:rPr>
      </w:pPr>
      <w:r w:rsidRPr="00246D37">
        <w:rPr>
          <w:rFonts w:asciiTheme="minorHAnsi" w:hAnsiTheme="minorHAnsi"/>
          <w:lang w:val="fr-FR"/>
        </w:rPr>
        <w:t>2.</w:t>
      </w:r>
      <w:r w:rsidRPr="00246D37">
        <w:rPr>
          <w:rFonts w:asciiTheme="minorHAnsi" w:hAnsiTheme="minorHAnsi"/>
          <w:lang w:val="fr-FR"/>
        </w:rPr>
        <w:tab/>
      </w:r>
      <w:r w:rsidR="00780307" w:rsidRPr="00780307">
        <w:rPr>
          <w:rFonts w:asciiTheme="minorHAnsi" w:hAnsiTheme="minorHAnsi"/>
          <w:lang w:val="fr-FR"/>
        </w:rPr>
        <w:t>RECONNAISSANT AV</w:t>
      </w:r>
      <w:r w:rsidR="00780307">
        <w:rPr>
          <w:rFonts w:asciiTheme="minorHAnsi" w:hAnsiTheme="minorHAnsi"/>
          <w:lang w:val="fr-FR"/>
        </w:rPr>
        <w:t>EC SATISFACTION que la majorité</w:t>
      </w:r>
      <w:r w:rsidR="00780307" w:rsidRPr="00780307">
        <w:rPr>
          <w:rFonts w:asciiTheme="minorHAnsi" w:hAnsiTheme="minorHAnsi"/>
          <w:lang w:val="fr-FR"/>
        </w:rPr>
        <w:t xml:space="preserve"> des Parties contractant</w:t>
      </w:r>
      <w:r w:rsidR="00780307">
        <w:rPr>
          <w:rFonts w:asciiTheme="minorHAnsi" w:hAnsiTheme="minorHAnsi"/>
          <w:lang w:val="fr-FR"/>
        </w:rPr>
        <w:t>es ont versé</w:t>
      </w:r>
      <w:r w:rsidR="00780307" w:rsidRPr="00780307">
        <w:rPr>
          <w:rFonts w:asciiTheme="minorHAnsi" w:hAnsiTheme="minorHAnsi"/>
          <w:lang w:val="fr-FR"/>
        </w:rPr>
        <w:t xml:space="preserve"> promptement leurs contributions au budget administratif de la Convention</w:t>
      </w:r>
      <w:r w:rsidR="00EF084E">
        <w:rPr>
          <w:rFonts w:asciiTheme="minorHAnsi" w:hAnsiTheme="minorHAnsi"/>
          <w:lang w:val="fr-FR"/>
        </w:rPr>
        <w:t>;</w:t>
      </w:r>
      <w:r w:rsidR="00780307" w:rsidRPr="00780307">
        <w:rPr>
          <w:rFonts w:asciiTheme="minorHAnsi" w:hAnsiTheme="minorHAnsi"/>
          <w:lang w:val="fr-FR"/>
        </w:rPr>
        <w:t xml:space="preserve"> mais CONSTATANT AVEC PRÉOCCUPATION que plusieurs Partie</w:t>
      </w:r>
      <w:r w:rsidR="00780307">
        <w:rPr>
          <w:rFonts w:asciiTheme="minorHAnsi" w:hAnsiTheme="minorHAnsi"/>
          <w:lang w:val="fr-FR"/>
        </w:rPr>
        <w:t xml:space="preserve">s </w:t>
      </w:r>
      <w:r w:rsidR="00EF084E">
        <w:rPr>
          <w:rFonts w:asciiTheme="minorHAnsi" w:hAnsiTheme="minorHAnsi"/>
          <w:lang w:val="fr-FR"/>
        </w:rPr>
        <w:t xml:space="preserve">contractantes </w:t>
      </w:r>
      <w:r w:rsidR="00780307">
        <w:rPr>
          <w:rFonts w:asciiTheme="minorHAnsi" w:hAnsiTheme="minorHAnsi"/>
          <w:lang w:val="fr-FR"/>
        </w:rPr>
        <w:t>ont encore d’importants arriéré</w:t>
      </w:r>
      <w:r w:rsidR="00780307" w:rsidRPr="00780307">
        <w:rPr>
          <w:rFonts w:asciiTheme="minorHAnsi" w:hAnsiTheme="minorHAnsi"/>
          <w:lang w:val="fr-FR"/>
        </w:rPr>
        <w:t xml:space="preserve">s de contributions </w:t>
      </w:r>
      <w:r w:rsidR="00B32E40" w:rsidRPr="00246D37">
        <w:rPr>
          <w:rFonts w:asciiTheme="minorHAnsi" w:hAnsiTheme="minorHAnsi"/>
          <w:lang w:val="fr-FR"/>
        </w:rPr>
        <w:t>(</w:t>
      </w:r>
      <w:r w:rsidR="00EF084E">
        <w:rPr>
          <w:rFonts w:asciiTheme="minorHAnsi" w:hAnsiTheme="minorHAnsi"/>
          <w:lang w:val="fr-FR"/>
        </w:rPr>
        <w:t xml:space="preserve">voir document </w:t>
      </w:r>
      <w:r w:rsidR="00672438">
        <w:rPr>
          <w:rFonts w:asciiTheme="minorHAnsi" w:hAnsiTheme="minorHAnsi"/>
          <w:lang w:val="fr-FR"/>
        </w:rPr>
        <w:t xml:space="preserve">COP13 </w:t>
      </w:r>
      <w:r w:rsidR="00EF084E">
        <w:rPr>
          <w:rFonts w:asciiTheme="minorHAnsi" w:hAnsiTheme="minorHAnsi"/>
          <w:lang w:val="fr-FR"/>
        </w:rPr>
        <w:t>Doc.14, Rapport sur les questions financières et budgétaires</w:t>
      </w:r>
      <w:r w:rsidR="00E867D9">
        <w:rPr>
          <w:rFonts w:asciiTheme="minorHAnsi" w:hAnsiTheme="minorHAnsi"/>
          <w:lang w:val="fr-FR"/>
        </w:rPr>
        <w:t>);</w:t>
      </w:r>
    </w:p>
    <w:p w14:paraId="5B8A9E2D" w14:textId="77777777" w:rsidR="00B32E40" w:rsidRPr="00246D37" w:rsidRDefault="00B32E40" w:rsidP="005152AD">
      <w:pPr>
        <w:rPr>
          <w:rFonts w:asciiTheme="minorHAnsi" w:hAnsiTheme="minorHAnsi"/>
          <w:lang w:val="fr-FR"/>
        </w:rPr>
      </w:pPr>
    </w:p>
    <w:p w14:paraId="33086227" w14:textId="7A813549" w:rsidR="003A5809" w:rsidRPr="00246D37" w:rsidRDefault="00AD65E1" w:rsidP="00D56094">
      <w:pPr>
        <w:rPr>
          <w:rFonts w:asciiTheme="minorHAnsi" w:hAnsiTheme="minorHAnsi"/>
          <w:lang w:val="fr-FR"/>
        </w:rPr>
      </w:pPr>
      <w:r w:rsidRPr="00246D37">
        <w:rPr>
          <w:rFonts w:asciiTheme="minorHAnsi" w:hAnsiTheme="minorHAnsi"/>
          <w:lang w:val="fr-FR"/>
        </w:rPr>
        <w:t>3.</w:t>
      </w:r>
      <w:r w:rsidRPr="00246D37">
        <w:rPr>
          <w:rFonts w:asciiTheme="minorHAnsi" w:hAnsiTheme="minorHAnsi"/>
          <w:lang w:val="fr-FR"/>
        </w:rPr>
        <w:tab/>
      </w:r>
      <w:r w:rsidR="00780307" w:rsidRPr="00780307">
        <w:rPr>
          <w:rFonts w:asciiTheme="minorHAnsi" w:hAnsiTheme="minorHAnsi"/>
          <w:lang w:val="fr-FR"/>
        </w:rPr>
        <w:t xml:space="preserve">NOTANT AVEC GRATITUDE les contributions </w:t>
      </w:r>
      <w:r w:rsidR="00D37AB7" w:rsidRPr="00780307">
        <w:rPr>
          <w:rFonts w:asciiTheme="minorHAnsi" w:hAnsiTheme="minorHAnsi"/>
          <w:lang w:val="fr-FR"/>
        </w:rPr>
        <w:t>financières</w:t>
      </w:r>
      <w:r w:rsidR="00780307" w:rsidRPr="00780307">
        <w:rPr>
          <w:rFonts w:asciiTheme="minorHAnsi" w:hAnsiTheme="minorHAnsi"/>
          <w:lang w:val="fr-FR"/>
        </w:rPr>
        <w:t xml:space="preserve"> </w:t>
      </w:r>
      <w:r w:rsidR="00D37AB7" w:rsidRPr="00780307">
        <w:rPr>
          <w:rFonts w:asciiTheme="minorHAnsi" w:hAnsiTheme="minorHAnsi"/>
          <w:lang w:val="fr-FR"/>
        </w:rPr>
        <w:t>supplémentaires</w:t>
      </w:r>
      <w:r w:rsidR="00780307" w:rsidRPr="00780307">
        <w:rPr>
          <w:rFonts w:asciiTheme="minorHAnsi" w:hAnsiTheme="minorHAnsi"/>
          <w:lang w:val="fr-FR"/>
        </w:rPr>
        <w:t xml:space="preserve"> </w:t>
      </w:r>
      <w:r w:rsidR="00D37AB7" w:rsidRPr="00780307">
        <w:rPr>
          <w:rFonts w:asciiTheme="minorHAnsi" w:hAnsiTheme="minorHAnsi"/>
          <w:lang w:val="fr-FR"/>
        </w:rPr>
        <w:t>versées</w:t>
      </w:r>
      <w:r w:rsidR="00780307" w:rsidRPr="00780307">
        <w:rPr>
          <w:rFonts w:asciiTheme="minorHAnsi" w:hAnsiTheme="minorHAnsi"/>
          <w:lang w:val="fr-FR"/>
        </w:rPr>
        <w:t xml:space="preserve"> volontairement par nombre de Parties </w:t>
      </w:r>
      <w:r w:rsidR="003D3817">
        <w:rPr>
          <w:rFonts w:asciiTheme="minorHAnsi" w:hAnsiTheme="minorHAnsi"/>
          <w:lang w:val="fr-FR"/>
        </w:rPr>
        <w:t xml:space="preserve">contractantes, notamment </w:t>
      </w:r>
      <w:r w:rsidR="00EF084E">
        <w:rPr>
          <w:rFonts w:asciiTheme="minorHAnsi" w:hAnsiTheme="minorHAnsi"/>
          <w:lang w:val="fr-FR"/>
        </w:rPr>
        <w:t>celles de</w:t>
      </w:r>
      <w:r w:rsidR="003D3817">
        <w:rPr>
          <w:rFonts w:asciiTheme="minorHAnsi" w:hAnsiTheme="minorHAnsi"/>
          <w:lang w:val="fr-FR"/>
        </w:rPr>
        <w:t xml:space="preserve"> Parties</w:t>
      </w:r>
      <w:r w:rsidR="00EF084E">
        <w:rPr>
          <w:rFonts w:asciiTheme="minorHAnsi" w:hAnsiTheme="minorHAnsi"/>
          <w:lang w:val="fr-FR"/>
        </w:rPr>
        <w:t xml:space="preserve"> contractantes</w:t>
      </w:r>
      <w:r w:rsidR="003D3817">
        <w:rPr>
          <w:rFonts w:asciiTheme="minorHAnsi" w:hAnsiTheme="minorHAnsi"/>
          <w:lang w:val="fr-FR"/>
        </w:rPr>
        <w:t xml:space="preserve"> d’Afrique</w:t>
      </w:r>
      <w:r w:rsidR="00EF084E">
        <w:rPr>
          <w:rFonts w:asciiTheme="minorHAnsi" w:hAnsiTheme="minorHAnsi"/>
          <w:lang w:val="fr-FR"/>
        </w:rPr>
        <w:t xml:space="preserve"> spécifiquement affectées aux Initiatives régionales africaines (conformément au paragraphe 23 de la Résolution X.2</w:t>
      </w:r>
      <w:r w:rsidR="00780307" w:rsidRPr="00780307">
        <w:rPr>
          <w:rFonts w:asciiTheme="minorHAnsi" w:hAnsiTheme="minorHAnsi"/>
          <w:lang w:val="fr-FR"/>
        </w:rPr>
        <w:t>,</w:t>
      </w:r>
      <w:r w:rsidR="00EF084E">
        <w:rPr>
          <w:rFonts w:asciiTheme="minorHAnsi" w:hAnsiTheme="minorHAnsi"/>
          <w:lang w:val="fr-FR"/>
        </w:rPr>
        <w:t xml:space="preserve"> </w:t>
      </w:r>
      <w:r w:rsidR="002C5E90" w:rsidRPr="002C5E90">
        <w:rPr>
          <w:rFonts w:asciiTheme="minorHAnsi" w:hAnsiTheme="minorHAnsi"/>
          <w:i/>
          <w:lang w:val="fr-FR"/>
        </w:rPr>
        <w:t>Questions financières et budgétaires</w:t>
      </w:r>
      <w:r w:rsidR="002C5E90">
        <w:rPr>
          <w:rFonts w:asciiTheme="minorHAnsi" w:hAnsiTheme="minorHAnsi"/>
          <w:lang w:val="fr-FR"/>
        </w:rPr>
        <w:t xml:space="preserve">), </w:t>
      </w:r>
      <w:r w:rsidR="00780307" w:rsidRPr="00780307">
        <w:rPr>
          <w:rFonts w:asciiTheme="minorHAnsi" w:hAnsiTheme="minorHAnsi"/>
          <w:lang w:val="fr-FR"/>
        </w:rPr>
        <w:t xml:space="preserve">ainsi que les contributions d’organisations non gouvernementales et du secteur privé </w:t>
      </w:r>
      <w:r w:rsidR="00D37AB7" w:rsidRPr="00780307">
        <w:rPr>
          <w:rFonts w:asciiTheme="minorHAnsi" w:hAnsiTheme="minorHAnsi"/>
          <w:lang w:val="fr-FR"/>
        </w:rPr>
        <w:t>destinées</w:t>
      </w:r>
      <w:r w:rsidR="00780307" w:rsidRPr="00780307">
        <w:rPr>
          <w:rFonts w:asciiTheme="minorHAnsi" w:hAnsiTheme="minorHAnsi"/>
          <w:lang w:val="fr-FR"/>
        </w:rPr>
        <w:t xml:space="preserve"> aux </w:t>
      </w:r>
      <w:r w:rsidR="00D37AB7" w:rsidRPr="00780307">
        <w:rPr>
          <w:rFonts w:asciiTheme="minorHAnsi" w:hAnsiTheme="minorHAnsi"/>
          <w:lang w:val="fr-FR"/>
        </w:rPr>
        <w:t>activités</w:t>
      </w:r>
      <w:r w:rsidR="00780307" w:rsidRPr="00780307">
        <w:rPr>
          <w:rFonts w:asciiTheme="minorHAnsi" w:hAnsiTheme="minorHAnsi"/>
          <w:lang w:val="fr-FR"/>
        </w:rPr>
        <w:t xml:space="preserve"> du </w:t>
      </w:r>
      <w:r w:rsidR="00D37AB7" w:rsidRPr="00780307">
        <w:rPr>
          <w:rFonts w:asciiTheme="minorHAnsi" w:hAnsiTheme="minorHAnsi"/>
          <w:lang w:val="fr-FR"/>
        </w:rPr>
        <w:t>Secrétariat</w:t>
      </w:r>
      <w:r w:rsidR="00E867D9">
        <w:rPr>
          <w:rFonts w:asciiTheme="minorHAnsi" w:hAnsiTheme="minorHAnsi"/>
          <w:lang w:val="fr-FR"/>
        </w:rPr>
        <w:t>;</w:t>
      </w:r>
    </w:p>
    <w:p w14:paraId="63AA3E85" w14:textId="77777777" w:rsidR="003A5809" w:rsidRPr="00246D37" w:rsidRDefault="003A5809" w:rsidP="005152AD">
      <w:pPr>
        <w:pStyle w:val="ListParagraph"/>
        <w:ind w:left="425"/>
        <w:rPr>
          <w:rFonts w:asciiTheme="minorHAnsi" w:hAnsiTheme="minorHAnsi"/>
          <w:lang w:val="fr-FR"/>
        </w:rPr>
      </w:pPr>
    </w:p>
    <w:p w14:paraId="152D51AE" w14:textId="24E94E0E" w:rsidR="000A5278" w:rsidRDefault="00D56094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4.</w:t>
      </w:r>
      <w:r w:rsidR="00AD65E1" w:rsidRPr="00246D37">
        <w:rPr>
          <w:rFonts w:asciiTheme="minorHAnsi" w:hAnsiTheme="minorHAnsi"/>
          <w:lang w:val="fr-FR"/>
        </w:rPr>
        <w:tab/>
      </w:r>
      <w:r w:rsidR="009C5809">
        <w:rPr>
          <w:rFonts w:asciiTheme="minorHAnsi" w:hAnsiTheme="minorHAnsi"/>
          <w:lang w:val="fr-FR"/>
        </w:rPr>
        <w:t xml:space="preserve">RAPPELANT la </w:t>
      </w:r>
      <w:r w:rsidR="002C5E90" w:rsidRPr="002C5E90">
        <w:rPr>
          <w:rFonts w:asciiTheme="minorHAnsi" w:hAnsiTheme="minorHAnsi"/>
          <w:i/>
          <w:lang w:val="fr-FR"/>
        </w:rPr>
        <w:t>D</w:t>
      </w:r>
      <w:r w:rsidR="007E68B4" w:rsidRPr="002C5E90">
        <w:rPr>
          <w:rFonts w:asciiTheme="minorHAnsi" w:hAnsiTheme="minorHAnsi"/>
          <w:i/>
          <w:lang w:val="fr-FR"/>
        </w:rPr>
        <w:t>élégation d'autorité au Secrétaire général de la Convention sur les zones humides</w:t>
      </w:r>
      <w:r w:rsidR="007E68B4" w:rsidRPr="007E68B4">
        <w:rPr>
          <w:rFonts w:asciiTheme="minorHAnsi" w:hAnsiTheme="minorHAnsi"/>
          <w:lang w:val="fr-FR"/>
        </w:rPr>
        <w:t xml:space="preserve"> signée par le Directeur général de </w:t>
      </w:r>
      <w:r w:rsidR="002C5E90">
        <w:rPr>
          <w:rFonts w:asciiTheme="minorHAnsi" w:hAnsiTheme="minorHAnsi"/>
          <w:lang w:val="fr-FR"/>
        </w:rPr>
        <w:t>l’Union internationale pour la conservation de la nature (UICN)</w:t>
      </w:r>
      <w:r w:rsidR="007E68B4" w:rsidRPr="007E68B4">
        <w:rPr>
          <w:rFonts w:asciiTheme="minorHAnsi" w:hAnsiTheme="minorHAnsi"/>
          <w:lang w:val="fr-FR"/>
        </w:rPr>
        <w:t xml:space="preserve"> et le Président du Comité perm</w:t>
      </w:r>
      <w:r w:rsidR="009C5809">
        <w:rPr>
          <w:rFonts w:asciiTheme="minorHAnsi" w:hAnsiTheme="minorHAnsi"/>
          <w:lang w:val="fr-FR"/>
        </w:rPr>
        <w:t xml:space="preserve">anent </w:t>
      </w:r>
      <w:r w:rsidR="002C5E90">
        <w:rPr>
          <w:rFonts w:asciiTheme="minorHAnsi" w:hAnsiTheme="minorHAnsi"/>
          <w:lang w:val="fr-FR"/>
        </w:rPr>
        <w:t xml:space="preserve">de la Convention, </w:t>
      </w:r>
      <w:r w:rsidR="009C5809">
        <w:rPr>
          <w:rFonts w:asciiTheme="minorHAnsi" w:hAnsiTheme="minorHAnsi"/>
          <w:lang w:val="fr-FR"/>
        </w:rPr>
        <w:t>le 29 janvier 1993</w:t>
      </w:r>
      <w:r w:rsidR="002C5E90">
        <w:rPr>
          <w:rFonts w:asciiTheme="minorHAnsi" w:hAnsiTheme="minorHAnsi"/>
          <w:lang w:val="fr-FR"/>
        </w:rPr>
        <w:t>,</w:t>
      </w:r>
      <w:r w:rsidR="009C5809">
        <w:rPr>
          <w:rFonts w:asciiTheme="minorHAnsi" w:hAnsiTheme="minorHAnsi"/>
          <w:lang w:val="fr-FR"/>
        </w:rPr>
        <w:t xml:space="preserve"> et la </w:t>
      </w:r>
      <w:r w:rsidR="002C5E90" w:rsidRPr="002C5E90">
        <w:rPr>
          <w:rFonts w:asciiTheme="minorHAnsi" w:hAnsiTheme="minorHAnsi"/>
          <w:i/>
          <w:lang w:val="fr-FR"/>
        </w:rPr>
        <w:t>N</w:t>
      </w:r>
      <w:r w:rsidR="009C5809" w:rsidRPr="002C5E90">
        <w:rPr>
          <w:rFonts w:asciiTheme="minorHAnsi" w:hAnsiTheme="minorHAnsi"/>
          <w:i/>
          <w:lang w:val="fr-FR"/>
        </w:rPr>
        <w:t>ote supplémentaire à la d</w:t>
      </w:r>
      <w:r w:rsidR="007E68B4" w:rsidRPr="002C5E90">
        <w:rPr>
          <w:rFonts w:asciiTheme="minorHAnsi" w:hAnsiTheme="minorHAnsi"/>
          <w:i/>
          <w:lang w:val="fr-FR"/>
        </w:rPr>
        <w:t>élégation d'aut</w:t>
      </w:r>
      <w:r w:rsidR="00EF084E" w:rsidRPr="002C5E90">
        <w:rPr>
          <w:rFonts w:asciiTheme="minorHAnsi" w:hAnsiTheme="minorHAnsi"/>
          <w:i/>
          <w:lang w:val="fr-FR"/>
        </w:rPr>
        <w:t>orité</w:t>
      </w:r>
      <w:r w:rsidR="00EF084E">
        <w:rPr>
          <w:rFonts w:asciiTheme="minorHAnsi" w:hAnsiTheme="minorHAnsi"/>
          <w:lang w:val="fr-FR"/>
        </w:rPr>
        <w:t xml:space="preserve"> signée </w:t>
      </w:r>
      <w:r w:rsidR="002C5E90">
        <w:rPr>
          <w:rFonts w:asciiTheme="minorHAnsi" w:hAnsiTheme="minorHAnsi"/>
          <w:lang w:val="fr-FR"/>
        </w:rPr>
        <w:t>à la même date</w:t>
      </w:r>
      <w:r w:rsidR="00F56BB7" w:rsidRPr="00246D37">
        <w:rPr>
          <w:rFonts w:asciiTheme="minorHAnsi" w:hAnsiTheme="minorHAnsi"/>
          <w:lang w:val="fr-FR"/>
        </w:rPr>
        <w:t>;</w:t>
      </w:r>
    </w:p>
    <w:p w14:paraId="20DF8BBD" w14:textId="77777777" w:rsidR="00A30851" w:rsidRPr="00246D37" w:rsidRDefault="00A30851" w:rsidP="005152AD">
      <w:pPr>
        <w:rPr>
          <w:rFonts w:asciiTheme="minorHAnsi" w:hAnsiTheme="minorHAnsi"/>
          <w:lang w:val="fr-FR"/>
        </w:rPr>
      </w:pPr>
    </w:p>
    <w:p w14:paraId="06A34021" w14:textId="2AB26BB7" w:rsidR="00B32E40" w:rsidRDefault="00A30851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5.</w:t>
      </w:r>
      <w:r>
        <w:rPr>
          <w:rFonts w:asciiTheme="minorHAnsi" w:hAnsiTheme="minorHAnsi"/>
          <w:lang w:val="fr-FR"/>
        </w:rPr>
        <w:tab/>
      </w:r>
      <w:r w:rsidR="00030990">
        <w:rPr>
          <w:rFonts w:asciiTheme="minorHAnsi" w:hAnsiTheme="minorHAnsi"/>
          <w:lang w:val="fr-FR"/>
        </w:rPr>
        <w:t xml:space="preserve">SE FÉLICITANT </w:t>
      </w:r>
      <w:r w:rsidR="00713A3B" w:rsidRPr="00757417">
        <w:rPr>
          <w:rFonts w:asciiTheme="minorHAnsi" w:hAnsiTheme="minorHAnsi"/>
          <w:lang w:val="fr-FR"/>
        </w:rPr>
        <w:t>des services financiers et administratifs fournis au Secrétariat Ramsar par l’UICN, conformément à l’Accord de services conclu entre la Convention de Ramsa</w:t>
      </w:r>
      <w:r w:rsidR="00713A3B">
        <w:rPr>
          <w:rFonts w:asciiTheme="minorHAnsi" w:hAnsiTheme="minorHAnsi"/>
          <w:lang w:val="fr-FR"/>
        </w:rPr>
        <w:t>r et l’UICN et révisé en 2009;</w:t>
      </w:r>
    </w:p>
    <w:p w14:paraId="4698F211" w14:textId="77777777" w:rsidR="00A30851" w:rsidRPr="00246D37" w:rsidRDefault="00A30851" w:rsidP="005152AD">
      <w:pPr>
        <w:rPr>
          <w:rFonts w:asciiTheme="minorHAnsi" w:hAnsiTheme="minorHAnsi"/>
          <w:lang w:val="fr-FR"/>
        </w:rPr>
      </w:pPr>
    </w:p>
    <w:p w14:paraId="59DA9500" w14:textId="6496881C" w:rsidR="002C5E90" w:rsidRDefault="00AD65E1" w:rsidP="005152AD">
      <w:pPr>
        <w:rPr>
          <w:rFonts w:asciiTheme="minorHAnsi" w:hAnsiTheme="minorHAnsi"/>
          <w:lang w:val="fr-FR"/>
        </w:rPr>
      </w:pPr>
      <w:r w:rsidRPr="00246D37">
        <w:rPr>
          <w:rFonts w:asciiTheme="minorHAnsi" w:hAnsiTheme="minorHAnsi"/>
          <w:lang w:val="fr-FR"/>
        </w:rPr>
        <w:t>6.</w:t>
      </w:r>
      <w:r w:rsidRPr="00246D37">
        <w:rPr>
          <w:rFonts w:asciiTheme="minorHAnsi" w:hAnsiTheme="minorHAnsi"/>
          <w:lang w:val="fr-FR"/>
        </w:rPr>
        <w:tab/>
      </w:r>
      <w:r w:rsidR="00B95BA6" w:rsidRPr="00B95BA6">
        <w:rPr>
          <w:rFonts w:asciiTheme="minorHAnsi" w:hAnsiTheme="minorHAnsi"/>
          <w:lang w:val="fr-FR"/>
        </w:rPr>
        <w:t xml:space="preserve">NOTANT que les Parties contractantes ont </w:t>
      </w:r>
      <w:r w:rsidR="00D37AB7" w:rsidRPr="00B95BA6">
        <w:rPr>
          <w:rFonts w:asciiTheme="minorHAnsi" w:hAnsiTheme="minorHAnsi"/>
          <w:lang w:val="fr-FR"/>
        </w:rPr>
        <w:t>ét</w:t>
      </w:r>
      <w:r w:rsidR="00B329FC">
        <w:rPr>
          <w:rFonts w:asciiTheme="minorHAnsi" w:hAnsiTheme="minorHAnsi"/>
          <w:lang w:val="fr-FR"/>
        </w:rPr>
        <w:t>é</w:t>
      </w:r>
      <w:r w:rsidR="00672438">
        <w:rPr>
          <w:rFonts w:asciiTheme="minorHAnsi" w:hAnsiTheme="minorHAnsi"/>
          <w:lang w:val="fr-FR"/>
        </w:rPr>
        <w:t xml:space="preserve"> </w:t>
      </w:r>
      <w:r w:rsidR="00B95BA6" w:rsidRPr="00B95BA6">
        <w:rPr>
          <w:rFonts w:asciiTheme="minorHAnsi" w:hAnsiTheme="minorHAnsi"/>
          <w:lang w:val="fr-FR"/>
        </w:rPr>
        <w:t xml:space="preserve">tenues </w:t>
      </w:r>
      <w:r w:rsidR="00D37AB7" w:rsidRPr="00B95BA6">
        <w:rPr>
          <w:rFonts w:asciiTheme="minorHAnsi" w:hAnsiTheme="minorHAnsi"/>
          <w:lang w:val="fr-FR"/>
        </w:rPr>
        <w:t>informées</w:t>
      </w:r>
      <w:r w:rsidR="00B95BA6" w:rsidRPr="00B95BA6">
        <w:rPr>
          <w:rFonts w:asciiTheme="minorHAnsi" w:hAnsiTheme="minorHAnsi"/>
          <w:lang w:val="fr-FR"/>
        </w:rPr>
        <w:t xml:space="preserve"> de la situation </w:t>
      </w:r>
      <w:r w:rsidR="00D37AB7" w:rsidRPr="00B95BA6">
        <w:rPr>
          <w:rFonts w:asciiTheme="minorHAnsi" w:hAnsiTheme="minorHAnsi"/>
          <w:lang w:val="fr-FR"/>
        </w:rPr>
        <w:t>financière</w:t>
      </w:r>
      <w:r w:rsidR="00B95BA6" w:rsidRPr="00B95BA6">
        <w:rPr>
          <w:rFonts w:asciiTheme="minorHAnsi" w:hAnsiTheme="minorHAnsi"/>
          <w:lang w:val="fr-FR"/>
        </w:rPr>
        <w:t xml:space="preserve"> du </w:t>
      </w:r>
      <w:r w:rsidR="00D37AB7" w:rsidRPr="00B95BA6">
        <w:rPr>
          <w:rFonts w:asciiTheme="minorHAnsi" w:hAnsiTheme="minorHAnsi"/>
          <w:lang w:val="fr-FR"/>
        </w:rPr>
        <w:t>Secrétariat</w:t>
      </w:r>
      <w:r w:rsidR="00B95BA6" w:rsidRPr="00B95BA6">
        <w:rPr>
          <w:rFonts w:asciiTheme="minorHAnsi" w:hAnsiTheme="minorHAnsi"/>
          <w:lang w:val="fr-FR"/>
        </w:rPr>
        <w:t xml:space="preserve"> de la Convention dans les rapports financiers annuels </w:t>
      </w:r>
      <w:r w:rsidR="00D37AB7" w:rsidRPr="00B95BA6">
        <w:rPr>
          <w:rFonts w:asciiTheme="minorHAnsi" w:hAnsiTheme="minorHAnsi"/>
          <w:lang w:val="fr-FR"/>
        </w:rPr>
        <w:t>vé</w:t>
      </w:r>
      <w:r w:rsidR="00D37AB7">
        <w:rPr>
          <w:rFonts w:asciiTheme="minorHAnsi" w:hAnsiTheme="minorHAnsi"/>
          <w:lang w:val="fr-FR"/>
        </w:rPr>
        <w:t>rifiés</w:t>
      </w:r>
      <w:r w:rsidR="00B95BA6">
        <w:rPr>
          <w:rFonts w:asciiTheme="minorHAnsi" w:hAnsiTheme="minorHAnsi"/>
          <w:lang w:val="fr-FR"/>
        </w:rPr>
        <w:t xml:space="preserve"> pour les exercices 2015 à 2017</w:t>
      </w:r>
      <w:r w:rsidR="00B95BA6" w:rsidRPr="00B95BA6">
        <w:rPr>
          <w:rFonts w:asciiTheme="minorHAnsi" w:hAnsiTheme="minorHAnsi"/>
          <w:lang w:val="fr-FR"/>
        </w:rPr>
        <w:t xml:space="preserve"> et les </w:t>
      </w:r>
      <w:r w:rsidR="00D37AB7" w:rsidRPr="00B95BA6">
        <w:rPr>
          <w:rFonts w:asciiTheme="minorHAnsi" w:hAnsiTheme="minorHAnsi"/>
          <w:lang w:val="fr-FR"/>
        </w:rPr>
        <w:t>procès-verbaux</w:t>
      </w:r>
      <w:r w:rsidR="00B95BA6" w:rsidRPr="00B95BA6">
        <w:rPr>
          <w:rFonts w:asciiTheme="minorHAnsi" w:hAnsiTheme="minorHAnsi"/>
          <w:lang w:val="fr-FR"/>
        </w:rPr>
        <w:t xml:space="preserve"> des </w:t>
      </w:r>
      <w:r w:rsidR="00D37AB7" w:rsidRPr="00B95BA6">
        <w:rPr>
          <w:rFonts w:asciiTheme="minorHAnsi" w:hAnsiTheme="minorHAnsi"/>
          <w:lang w:val="fr-FR"/>
        </w:rPr>
        <w:t>réunio</w:t>
      </w:r>
      <w:r w:rsidR="00D37AB7">
        <w:rPr>
          <w:rFonts w:asciiTheme="minorHAnsi" w:hAnsiTheme="minorHAnsi"/>
          <w:lang w:val="fr-FR"/>
        </w:rPr>
        <w:t>ns</w:t>
      </w:r>
      <w:r w:rsidR="00B95BA6">
        <w:rPr>
          <w:rFonts w:asciiTheme="minorHAnsi" w:hAnsiTheme="minorHAnsi"/>
          <w:lang w:val="fr-FR"/>
        </w:rPr>
        <w:t xml:space="preserve"> du </w:t>
      </w:r>
      <w:r w:rsidR="002C5E90">
        <w:rPr>
          <w:rFonts w:asciiTheme="minorHAnsi" w:hAnsiTheme="minorHAnsi"/>
          <w:lang w:val="fr-FR"/>
        </w:rPr>
        <w:t>Comit</w:t>
      </w:r>
      <w:r w:rsidR="00672438">
        <w:rPr>
          <w:rFonts w:asciiTheme="minorHAnsi" w:hAnsiTheme="minorHAnsi"/>
          <w:lang w:val="fr-FR"/>
        </w:rPr>
        <w:t>é</w:t>
      </w:r>
      <w:r w:rsidR="00EF084E">
        <w:rPr>
          <w:rFonts w:asciiTheme="minorHAnsi" w:hAnsiTheme="minorHAnsi"/>
          <w:lang w:val="fr-FR"/>
        </w:rPr>
        <w:t xml:space="preserve"> permanent de 2016 à 2018</w:t>
      </w:r>
      <w:r w:rsidR="00B95BA6">
        <w:rPr>
          <w:rFonts w:asciiTheme="minorHAnsi" w:hAnsiTheme="minorHAnsi"/>
          <w:lang w:val="fr-FR"/>
        </w:rPr>
        <w:t>;</w:t>
      </w:r>
    </w:p>
    <w:p w14:paraId="72A76DFE" w14:textId="77777777" w:rsidR="002C5E90" w:rsidRDefault="002C5E90" w:rsidP="005152AD">
      <w:pPr>
        <w:rPr>
          <w:rFonts w:asciiTheme="minorHAnsi" w:hAnsiTheme="minorHAnsi"/>
          <w:lang w:val="fr-FR"/>
        </w:rPr>
      </w:pPr>
    </w:p>
    <w:p w14:paraId="3FDFE324" w14:textId="775EE041" w:rsidR="00B32E40" w:rsidRPr="00246D37" w:rsidRDefault="002C5E90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7.</w:t>
      </w:r>
      <w:r>
        <w:rPr>
          <w:rFonts w:asciiTheme="minorHAnsi" w:hAnsiTheme="minorHAnsi"/>
          <w:lang w:val="fr-FR"/>
        </w:rPr>
        <w:tab/>
        <w:t xml:space="preserve">RAPPELANT la Résolution XII.7, </w:t>
      </w:r>
      <w:r w:rsidRPr="002C5E90">
        <w:rPr>
          <w:rFonts w:asciiTheme="minorHAnsi" w:hAnsiTheme="minorHAnsi"/>
          <w:i/>
          <w:lang w:val="fr-FR"/>
        </w:rPr>
        <w:t>Cadre de la Convention de Ramsar pour la mobilisation de ressources et les partenariats</w:t>
      </w:r>
      <w:r>
        <w:rPr>
          <w:rFonts w:asciiTheme="minorHAnsi" w:hAnsiTheme="minorHAnsi"/>
          <w:lang w:val="fr-FR"/>
        </w:rPr>
        <w:t>; et</w:t>
      </w:r>
    </w:p>
    <w:p w14:paraId="0B19BBEA" w14:textId="77777777" w:rsidR="00B32E40" w:rsidRPr="00246D37" w:rsidRDefault="00B32E40" w:rsidP="005152AD">
      <w:pPr>
        <w:rPr>
          <w:rFonts w:asciiTheme="minorHAnsi" w:hAnsiTheme="minorHAnsi"/>
          <w:lang w:val="fr-FR"/>
        </w:rPr>
      </w:pPr>
    </w:p>
    <w:p w14:paraId="754ABFB2" w14:textId="10D27866" w:rsidR="00B32E40" w:rsidRPr="00246D37" w:rsidRDefault="002C5E90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8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B95BA6" w:rsidRPr="00B95BA6">
        <w:rPr>
          <w:rFonts w:asciiTheme="minorHAnsi" w:hAnsiTheme="minorHAnsi"/>
          <w:lang w:val="fr-FR"/>
        </w:rPr>
        <w:t xml:space="preserve">CONSCIENTE de la </w:t>
      </w:r>
      <w:r w:rsidR="00D37AB7" w:rsidRPr="00B95BA6">
        <w:rPr>
          <w:rFonts w:asciiTheme="minorHAnsi" w:hAnsiTheme="minorHAnsi"/>
          <w:lang w:val="fr-FR"/>
        </w:rPr>
        <w:t>nécessit</w:t>
      </w:r>
      <w:r w:rsidR="00672438">
        <w:rPr>
          <w:rFonts w:asciiTheme="minorHAnsi" w:hAnsiTheme="minorHAnsi"/>
          <w:lang w:val="fr-FR"/>
        </w:rPr>
        <w:t>é</w:t>
      </w:r>
      <w:r w:rsidR="00B95BA6" w:rsidRPr="00B95BA6">
        <w:rPr>
          <w:rFonts w:asciiTheme="minorHAnsi" w:hAnsiTheme="minorHAnsi"/>
          <w:lang w:val="fr-FR"/>
        </w:rPr>
        <w:t xml:space="preserve"> de poursuivre le renforcement des partenariats financiers avec les organisations internationales et autres organismes </w:t>
      </w:r>
      <w:r w:rsidR="00D37AB7" w:rsidRPr="00B95BA6">
        <w:rPr>
          <w:rFonts w:asciiTheme="minorHAnsi" w:hAnsiTheme="minorHAnsi"/>
          <w:lang w:val="fr-FR"/>
        </w:rPr>
        <w:t>concernés</w:t>
      </w:r>
      <w:r w:rsidR="00B95BA6" w:rsidRPr="00B95BA6">
        <w:rPr>
          <w:rFonts w:asciiTheme="minorHAnsi" w:hAnsiTheme="minorHAnsi"/>
          <w:lang w:val="fr-FR"/>
        </w:rPr>
        <w:t xml:space="preserve"> et de </w:t>
      </w:r>
      <w:r w:rsidR="00D37AB7" w:rsidRPr="00B95BA6">
        <w:rPr>
          <w:rFonts w:asciiTheme="minorHAnsi" w:hAnsiTheme="minorHAnsi"/>
          <w:lang w:val="fr-FR"/>
        </w:rPr>
        <w:t>réfléchir</w:t>
      </w:r>
      <w:r w:rsidR="00B95BA6" w:rsidRPr="00B95BA6">
        <w:rPr>
          <w:rFonts w:asciiTheme="minorHAnsi" w:hAnsiTheme="minorHAnsi"/>
          <w:lang w:val="fr-FR"/>
        </w:rPr>
        <w:t xml:space="preserve"> à de nouvelles </w:t>
      </w:r>
      <w:r w:rsidR="00D37AB7" w:rsidRPr="00B95BA6">
        <w:rPr>
          <w:rFonts w:asciiTheme="minorHAnsi" w:hAnsiTheme="minorHAnsi"/>
          <w:lang w:val="fr-FR"/>
        </w:rPr>
        <w:t>possibilités</w:t>
      </w:r>
      <w:r w:rsidR="00B95BA6" w:rsidRPr="00B95BA6">
        <w:rPr>
          <w:rFonts w:asciiTheme="minorHAnsi" w:hAnsiTheme="minorHAnsi"/>
          <w:lang w:val="fr-FR"/>
        </w:rPr>
        <w:t xml:space="preserve"> de financement par le biais de leurs </w:t>
      </w:r>
      <w:r w:rsidR="00D37AB7" w:rsidRPr="00B95BA6">
        <w:rPr>
          <w:rFonts w:asciiTheme="minorHAnsi" w:hAnsiTheme="minorHAnsi"/>
          <w:lang w:val="fr-FR"/>
        </w:rPr>
        <w:t>mécanismes</w:t>
      </w:r>
      <w:r w:rsidR="00B95BA6" w:rsidRPr="00B95BA6">
        <w:rPr>
          <w:rFonts w:asciiTheme="minorHAnsi" w:hAnsiTheme="minorHAnsi"/>
          <w:lang w:val="fr-FR"/>
        </w:rPr>
        <w:t xml:space="preserve"> f</w:t>
      </w:r>
      <w:r w:rsidR="00EF084E">
        <w:rPr>
          <w:rFonts w:asciiTheme="minorHAnsi" w:hAnsiTheme="minorHAnsi"/>
          <w:lang w:val="fr-FR"/>
        </w:rPr>
        <w:t>inanciers</w:t>
      </w:r>
      <w:r w:rsidR="00B95BA6">
        <w:rPr>
          <w:rFonts w:asciiTheme="minorHAnsi" w:hAnsiTheme="minorHAnsi"/>
          <w:lang w:val="fr-FR"/>
        </w:rPr>
        <w:t>;</w:t>
      </w:r>
      <w:r w:rsidR="00B32E40" w:rsidRPr="00246D37">
        <w:rPr>
          <w:rFonts w:asciiTheme="minorHAnsi" w:hAnsiTheme="minorHAnsi"/>
          <w:lang w:val="fr-FR"/>
        </w:rPr>
        <w:t xml:space="preserve"> </w:t>
      </w:r>
    </w:p>
    <w:p w14:paraId="4FA8F8A3" w14:textId="77777777" w:rsidR="00B32E40" w:rsidRPr="00246D37" w:rsidRDefault="00B32E40" w:rsidP="005152AD">
      <w:pPr>
        <w:ind w:left="426" w:hanging="426"/>
        <w:rPr>
          <w:rFonts w:asciiTheme="minorHAnsi" w:hAnsiTheme="minorHAnsi"/>
          <w:lang w:val="fr-FR"/>
        </w:rPr>
      </w:pPr>
    </w:p>
    <w:p w14:paraId="2057717D" w14:textId="5CE9EB86" w:rsidR="00B32E40" w:rsidRPr="00246D37" w:rsidRDefault="009C5809" w:rsidP="000663E7">
      <w:pPr>
        <w:keepNext/>
        <w:ind w:left="0" w:hanging="426"/>
        <w:jc w:val="center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lastRenderedPageBreak/>
        <w:t>LA CONFÉ</w:t>
      </w:r>
      <w:r w:rsidR="00B32E40" w:rsidRPr="00246D37">
        <w:rPr>
          <w:rFonts w:asciiTheme="minorHAnsi" w:hAnsiTheme="minorHAnsi"/>
          <w:lang w:val="fr-FR"/>
        </w:rPr>
        <w:t xml:space="preserve">RENCE </w:t>
      </w:r>
      <w:r>
        <w:rPr>
          <w:rFonts w:asciiTheme="minorHAnsi" w:hAnsiTheme="minorHAnsi"/>
          <w:lang w:val="fr-FR"/>
        </w:rPr>
        <w:t xml:space="preserve">DES </w:t>
      </w:r>
      <w:r w:rsidR="00B32E40" w:rsidRPr="00246D37">
        <w:rPr>
          <w:rFonts w:asciiTheme="minorHAnsi" w:hAnsiTheme="minorHAnsi"/>
          <w:lang w:val="fr-FR"/>
        </w:rPr>
        <w:t>PARTIES</w:t>
      </w:r>
      <w:r>
        <w:rPr>
          <w:rFonts w:asciiTheme="minorHAnsi" w:hAnsiTheme="minorHAnsi"/>
          <w:lang w:val="fr-FR"/>
        </w:rPr>
        <w:t xml:space="preserve"> CONTRACTANTES</w:t>
      </w:r>
    </w:p>
    <w:p w14:paraId="55A98DF1" w14:textId="77777777" w:rsidR="00B32E40" w:rsidRPr="00246D37" w:rsidRDefault="00B32E40" w:rsidP="000663E7">
      <w:pPr>
        <w:keepNext/>
        <w:ind w:left="0" w:hanging="567"/>
        <w:rPr>
          <w:rFonts w:asciiTheme="minorHAnsi" w:hAnsiTheme="minorHAnsi"/>
          <w:lang w:val="fr-FR"/>
        </w:rPr>
      </w:pPr>
    </w:p>
    <w:p w14:paraId="64B745F8" w14:textId="3A78037E" w:rsidR="00B32E40" w:rsidRPr="00246D37" w:rsidRDefault="002C5E90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9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B15A8B" w:rsidRPr="00B15A8B">
        <w:rPr>
          <w:rFonts w:asciiTheme="minorHAnsi" w:hAnsiTheme="minorHAnsi"/>
          <w:lang w:val="fr-FR"/>
        </w:rPr>
        <w:t xml:space="preserve">PREND NOTE </w:t>
      </w:r>
      <w:r w:rsidR="00B15A8B">
        <w:rPr>
          <w:rFonts w:asciiTheme="minorHAnsi" w:hAnsiTheme="minorHAnsi"/>
          <w:lang w:val="fr-FR"/>
        </w:rPr>
        <w:t>que depuis la 12</w:t>
      </w:r>
      <w:r w:rsidR="00B15A8B" w:rsidRPr="00B15A8B">
        <w:rPr>
          <w:rFonts w:asciiTheme="minorHAnsi" w:hAnsiTheme="minorHAnsi"/>
          <w:vertAlign w:val="superscript"/>
          <w:lang w:val="fr-FR"/>
        </w:rPr>
        <w:t>e</w:t>
      </w:r>
      <w:r w:rsidR="00B15A8B">
        <w:rPr>
          <w:rFonts w:asciiTheme="minorHAnsi" w:hAnsiTheme="minorHAnsi"/>
          <w:lang w:val="fr-FR"/>
        </w:rPr>
        <w:t xml:space="preserve"> </w:t>
      </w:r>
      <w:r w:rsidR="00B15A8B" w:rsidRPr="00B15A8B">
        <w:rPr>
          <w:rFonts w:asciiTheme="minorHAnsi" w:hAnsiTheme="minorHAnsi"/>
          <w:lang w:val="fr-FR"/>
        </w:rPr>
        <w:t xml:space="preserve">Session de la </w:t>
      </w:r>
      <w:r w:rsidR="00D37AB7" w:rsidRPr="00B15A8B">
        <w:rPr>
          <w:rFonts w:asciiTheme="minorHAnsi" w:hAnsiTheme="minorHAnsi"/>
          <w:lang w:val="fr-FR"/>
        </w:rPr>
        <w:t>Conférence</w:t>
      </w:r>
      <w:r w:rsidR="00B15A8B" w:rsidRPr="00B15A8B">
        <w:rPr>
          <w:rFonts w:asciiTheme="minorHAnsi" w:hAnsiTheme="minorHAnsi"/>
          <w:lang w:val="fr-FR"/>
        </w:rPr>
        <w:t xml:space="preserve"> </w:t>
      </w:r>
      <w:r w:rsidR="005F0CC9">
        <w:rPr>
          <w:rFonts w:asciiTheme="minorHAnsi" w:hAnsiTheme="minorHAnsi"/>
          <w:lang w:val="fr-FR"/>
        </w:rPr>
        <w:t>des Parties contractantes</w:t>
      </w:r>
      <w:r>
        <w:rPr>
          <w:rFonts w:asciiTheme="minorHAnsi" w:hAnsiTheme="minorHAnsi"/>
          <w:lang w:val="fr-FR"/>
        </w:rPr>
        <w:t xml:space="preserve"> (COP12)</w:t>
      </w:r>
      <w:r w:rsidR="00B15A8B">
        <w:rPr>
          <w:rFonts w:asciiTheme="minorHAnsi" w:hAnsiTheme="minorHAnsi"/>
          <w:lang w:val="fr-FR"/>
        </w:rPr>
        <w:t>, en 2015</w:t>
      </w:r>
      <w:r w:rsidR="00B15A8B" w:rsidRPr="00B15A8B">
        <w:rPr>
          <w:rFonts w:asciiTheme="minorHAnsi" w:hAnsiTheme="minorHAnsi"/>
          <w:lang w:val="fr-FR"/>
        </w:rPr>
        <w:t xml:space="preserve">, le </w:t>
      </w:r>
      <w:r w:rsidR="00D37AB7" w:rsidRPr="00B15A8B">
        <w:rPr>
          <w:rFonts w:asciiTheme="minorHAnsi" w:hAnsiTheme="minorHAnsi"/>
          <w:lang w:val="fr-FR"/>
        </w:rPr>
        <w:t>Secrétariat</w:t>
      </w:r>
      <w:r w:rsidR="00B15A8B" w:rsidRPr="00B15A8B">
        <w:rPr>
          <w:rFonts w:asciiTheme="minorHAnsi" w:hAnsiTheme="minorHAnsi"/>
          <w:lang w:val="fr-FR"/>
        </w:rPr>
        <w:t xml:space="preserve"> a administré les fonds de la Convention avec prudence, </w:t>
      </w:r>
      <w:r w:rsidR="00D37AB7" w:rsidRPr="00B15A8B">
        <w:rPr>
          <w:rFonts w:asciiTheme="minorHAnsi" w:hAnsiTheme="minorHAnsi"/>
          <w:lang w:val="fr-FR"/>
        </w:rPr>
        <w:t>efficacit</w:t>
      </w:r>
      <w:r w:rsidR="00672438">
        <w:rPr>
          <w:rFonts w:asciiTheme="minorHAnsi" w:hAnsiTheme="minorHAnsi"/>
          <w:lang w:val="fr-FR"/>
        </w:rPr>
        <w:t>é</w:t>
      </w:r>
      <w:r w:rsidR="00B15A8B" w:rsidRPr="00B15A8B">
        <w:rPr>
          <w:rFonts w:asciiTheme="minorHAnsi" w:hAnsiTheme="minorHAnsi"/>
          <w:lang w:val="fr-FR"/>
        </w:rPr>
        <w:t xml:space="preserve"> et transparence.</w:t>
      </w:r>
    </w:p>
    <w:p w14:paraId="660418C1" w14:textId="77777777" w:rsidR="00B32E40" w:rsidRPr="00246D37" w:rsidRDefault="00B32E40" w:rsidP="005152AD">
      <w:pPr>
        <w:rPr>
          <w:rFonts w:asciiTheme="minorHAnsi" w:hAnsiTheme="minorHAnsi"/>
          <w:lang w:val="fr-FR"/>
        </w:rPr>
      </w:pPr>
    </w:p>
    <w:p w14:paraId="46367FE6" w14:textId="6C9F0E88" w:rsidR="00B32E40" w:rsidRPr="00246D37" w:rsidRDefault="002C5E90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10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B15A8B" w:rsidRPr="00B15A8B">
        <w:rPr>
          <w:rFonts w:asciiTheme="minorHAnsi" w:hAnsiTheme="minorHAnsi"/>
          <w:lang w:val="fr-FR"/>
        </w:rPr>
        <w:t xml:space="preserve">EXPRIME SA RECONNAISSANCE aux Parties contractantes qui ont </w:t>
      </w:r>
      <w:r w:rsidR="00D37AB7" w:rsidRPr="00B15A8B">
        <w:rPr>
          <w:rFonts w:asciiTheme="minorHAnsi" w:hAnsiTheme="minorHAnsi"/>
          <w:lang w:val="fr-FR"/>
        </w:rPr>
        <w:t>siég</w:t>
      </w:r>
      <w:r w:rsidR="00672438">
        <w:rPr>
          <w:rFonts w:asciiTheme="minorHAnsi" w:hAnsiTheme="minorHAnsi"/>
          <w:lang w:val="fr-FR"/>
        </w:rPr>
        <w:t>é</w:t>
      </w:r>
      <w:r w:rsidR="00B15A8B" w:rsidRPr="00B15A8B">
        <w:rPr>
          <w:rFonts w:asciiTheme="minorHAnsi" w:hAnsiTheme="minorHAnsi"/>
          <w:lang w:val="fr-FR"/>
        </w:rPr>
        <w:t xml:space="preserve"> au Sous-groupe sur les finances du Comité permanent durant la </w:t>
      </w:r>
      <w:r w:rsidR="00D37AB7" w:rsidRPr="00B15A8B">
        <w:rPr>
          <w:rFonts w:asciiTheme="minorHAnsi" w:hAnsiTheme="minorHAnsi"/>
          <w:lang w:val="fr-FR"/>
        </w:rPr>
        <w:t>période</w:t>
      </w:r>
      <w:r w:rsidR="00B15A8B" w:rsidRPr="00B15A8B">
        <w:rPr>
          <w:rFonts w:asciiTheme="minorHAnsi" w:hAnsiTheme="minorHAnsi"/>
          <w:lang w:val="fr-FR"/>
        </w:rPr>
        <w:t xml:space="preserve"> triennale</w:t>
      </w:r>
      <w:r w:rsidR="00A71214">
        <w:rPr>
          <w:rFonts w:asciiTheme="minorHAnsi" w:hAnsiTheme="minorHAnsi"/>
          <w:lang w:val="fr-FR"/>
        </w:rPr>
        <w:t xml:space="preserve"> 2016-2018 et, en particulier, au Sénégal, qui en a assuré la pré</w:t>
      </w:r>
      <w:r w:rsidR="00B15A8B" w:rsidRPr="00B15A8B">
        <w:rPr>
          <w:rFonts w:asciiTheme="minorHAnsi" w:hAnsiTheme="minorHAnsi"/>
          <w:lang w:val="fr-FR"/>
        </w:rPr>
        <w:t>sidence.</w:t>
      </w:r>
    </w:p>
    <w:p w14:paraId="33D587F3" w14:textId="77777777" w:rsidR="00B32E40" w:rsidRPr="00246D37" w:rsidRDefault="00B32E40" w:rsidP="005152AD">
      <w:pPr>
        <w:rPr>
          <w:rFonts w:asciiTheme="minorHAnsi" w:hAnsiTheme="minorHAnsi"/>
          <w:lang w:val="fr-FR"/>
        </w:rPr>
      </w:pPr>
    </w:p>
    <w:p w14:paraId="5D8076A3" w14:textId="5FC8CCD2" w:rsidR="00B32E40" w:rsidRDefault="005F0CC9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</w:t>
      </w:r>
      <w:r w:rsidR="002C5E90">
        <w:rPr>
          <w:rFonts w:asciiTheme="minorHAnsi" w:hAnsiTheme="minorHAnsi"/>
          <w:lang w:val="fr-FR"/>
        </w:rPr>
        <w:t>1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A71214" w:rsidRPr="00A71214">
        <w:rPr>
          <w:rFonts w:asciiTheme="minorHAnsi" w:hAnsiTheme="minorHAnsi"/>
          <w:lang w:val="fr-FR"/>
        </w:rPr>
        <w:t>DÉCIDE que le</w:t>
      </w:r>
      <w:r w:rsidR="002F6F33">
        <w:rPr>
          <w:rFonts w:asciiTheme="minorHAnsi" w:hAnsiTheme="minorHAnsi"/>
          <w:lang w:val="fr-FR"/>
        </w:rPr>
        <w:t xml:space="preserve">s </w:t>
      </w:r>
      <w:r w:rsidR="002F6F33" w:rsidRPr="002F6F33">
        <w:rPr>
          <w:rFonts w:asciiTheme="minorHAnsi" w:hAnsiTheme="minorHAnsi"/>
          <w:i/>
          <w:lang w:val="fr-FR"/>
        </w:rPr>
        <w:t>Dispositions relatives à l’administration f</w:t>
      </w:r>
      <w:r w:rsidR="00D37AB7" w:rsidRPr="002F6F33">
        <w:rPr>
          <w:rFonts w:asciiTheme="minorHAnsi" w:hAnsiTheme="minorHAnsi"/>
          <w:i/>
          <w:lang w:val="fr-FR"/>
        </w:rPr>
        <w:t>inancière</w:t>
      </w:r>
      <w:r w:rsidR="00A71214" w:rsidRPr="002F6F33">
        <w:rPr>
          <w:rFonts w:asciiTheme="minorHAnsi" w:hAnsiTheme="minorHAnsi"/>
          <w:i/>
          <w:lang w:val="fr-FR"/>
        </w:rPr>
        <w:t xml:space="preserve"> de la Convention</w:t>
      </w:r>
      <w:r w:rsidR="00A71214" w:rsidRPr="00A71214">
        <w:rPr>
          <w:rFonts w:asciiTheme="minorHAnsi" w:hAnsiTheme="minorHAnsi"/>
          <w:lang w:val="fr-FR"/>
        </w:rPr>
        <w:t xml:space="preserve">, </w:t>
      </w:r>
      <w:r w:rsidR="002F6F33" w:rsidRPr="00A71214">
        <w:rPr>
          <w:rFonts w:asciiTheme="minorHAnsi" w:hAnsiTheme="minorHAnsi"/>
          <w:lang w:val="fr-FR"/>
        </w:rPr>
        <w:t>énoncée</w:t>
      </w:r>
      <w:r w:rsidR="002F6F33">
        <w:rPr>
          <w:rFonts w:asciiTheme="minorHAnsi" w:hAnsiTheme="minorHAnsi"/>
          <w:lang w:val="fr-FR"/>
        </w:rPr>
        <w:t>s</w:t>
      </w:r>
      <w:r w:rsidR="00A71214" w:rsidRPr="00A71214">
        <w:rPr>
          <w:rFonts w:asciiTheme="minorHAnsi" w:hAnsiTheme="minorHAnsi"/>
          <w:lang w:val="fr-FR"/>
        </w:rPr>
        <w:t xml:space="preserve"> à l’</w:t>
      </w:r>
      <w:r w:rsidR="002F6F33">
        <w:rPr>
          <w:rFonts w:asciiTheme="minorHAnsi" w:hAnsiTheme="minorHAnsi"/>
          <w:lang w:val="fr-FR"/>
        </w:rPr>
        <w:t>a</w:t>
      </w:r>
      <w:r w:rsidR="00A71214" w:rsidRPr="00A71214">
        <w:rPr>
          <w:rFonts w:asciiTheme="minorHAnsi" w:hAnsiTheme="minorHAnsi"/>
          <w:lang w:val="fr-FR"/>
        </w:rPr>
        <w:t xml:space="preserve">nnexe 3 de la </w:t>
      </w:r>
      <w:r w:rsidR="00D37AB7" w:rsidRPr="00A71214">
        <w:rPr>
          <w:rFonts w:asciiTheme="minorHAnsi" w:hAnsiTheme="minorHAnsi"/>
          <w:lang w:val="fr-FR"/>
        </w:rPr>
        <w:t>Résolution</w:t>
      </w:r>
      <w:r w:rsidR="00A71214" w:rsidRPr="00A71214">
        <w:rPr>
          <w:rFonts w:asciiTheme="minorHAnsi" w:hAnsiTheme="minorHAnsi"/>
          <w:lang w:val="fr-FR"/>
        </w:rPr>
        <w:t xml:space="preserve"> 5.2</w:t>
      </w:r>
      <w:r w:rsidR="002F6F33">
        <w:rPr>
          <w:rFonts w:asciiTheme="minorHAnsi" w:hAnsiTheme="minorHAnsi"/>
          <w:lang w:val="fr-FR"/>
        </w:rPr>
        <w:t xml:space="preserve">, </w:t>
      </w:r>
      <w:r w:rsidR="002F6F33" w:rsidRPr="002F6F33">
        <w:rPr>
          <w:rFonts w:asciiTheme="minorHAnsi" w:hAnsiTheme="minorHAnsi"/>
          <w:i/>
          <w:lang w:val="fr-FR"/>
        </w:rPr>
        <w:t>Résolution sur les questions financières et budgétaires</w:t>
      </w:r>
      <w:r w:rsidR="00A71214" w:rsidRPr="00A71214">
        <w:rPr>
          <w:rFonts w:asciiTheme="minorHAnsi" w:hAnsiTheme="minorHAnsi"/>
          <w:lang w:val="fr-FR"/>
        </w:rPr>
        <w:t xml:space="preserve"> (</w:t>
      </w:r>
      <w:r w:rsidR="00A71214">
        <w:rPr>
          <w:rFonts w:asciiTheme="minorHAnsi" w:hAnsiTheme="minorHAnsi"/>
          <w:lang w:val="fr-FR"/>
        </w:rPr>
        <w:t xml:space="preserve">Kushiro, </w:t>
      </w:r>
      <w:r w:rsidR="00A71214" w:rsidRPr="00A71214">
        <w:rPr>
          <w:rFonts w:asciiTheme="minorHAnsi" w:hAnsiTheme="minorHAnsi"/>
          <w:lang w:val="fr-FR"/>
        </w:rPr>
        <w:t>1993), s</w:t>
      </w:r>
      <w:r w:rsidR="00AB2E40">
        <w:rPr>
          <w:rFonts w:asciiTheme="minorHAnsi" w:hAnsiTheme="minorHAnsi"/>
          <w:lang w:val="fr-FR"/>
        </w:rPr>
        <w:t>er</w:t>
      </w:r>
      <w:r w:rsidR="002F6F33">
        <w:rPr>
          <w:rFonts w:asciiTheme="minorHAnsi" w:hAnsiTheme="minorHAnsi"/>
          <w:lang w:val="fr-FR"/>
        </w:rPr>
        <w:t>ont</w:t>
      </w:r>
      <w:r w:rsidR="00A71214" w:rsidRPr="00A71214">
        <w:rPr>
          <w:rFonts w:asciiTheme="minorHAnsi" w:hAnsiTheme="minorHAnsi"/>
          <w:lang w:val="fr-FR"/>
        </w:rPr>
        <w:t xml:space="preserve"> </w:t>
      </w:r>
      <w:r w:rsidR="00D37AB7" w:rsidRPr="00A71214">
        <w:rPr>
          <w:rFonts w:asciiTheme="minorHAnsi" w:hAnsiTheme="minorHAnsi"/>
          <w:lang w:val="fr-FR"/>
        </w:rPr>
        <w:t>intégralement</w:t>
      </w:r>
      <w:r w:rsidR="00AB2E40">
        <w:rPr>
          <w:rFonts w:asciiTheme="minorHAnsi" w:hAnsiTheme="minorHAnsi"/>
          <w:lang w:val="fr-FR"/>
        </w:rPr>
        <w:t xml:space="preserve"> appliqué</w:t>
      </w:r>
      <w:r w:rsidR="002F6F33">
        <w:rPr>
          <w:rFonts w:asciiTheme="minorHAnsi" w:hAnsiTheme="minorHAnsi"/>
          <w:lang w:val="fr-FR"/>
        </w:rPr>
        <w:t>es</w:t>
      </w:r>
      <w:r w:rsidR="00AB2E40">
        <w:rPr>
          <w:rFonts w:asciiTheme="minorHAnsi" w:hAnsiTheme="minorHAnsi"/>
          <w:lang w:val="fr-FR"/>
        </w:rPr>
        <w:t xml:space="preserve"> pendant </w:t>
      </w:r>
      <w:r w:rsidR="002F6F33">
        <w:rPr>
          <w:rFonts w:asciiTheme="minorHAnsi" w:hAnsiTheme="minorHAnsi"/>
          <w:lang w:val="fr-FR"/>
        </w:rPr>
        <w:t>la période triennale</w:t>
      </w:r>
      <w:r w:rsidR="00A71214" w:rsidRPr="00A71214">
        <w:rPr>
          <w:rFonts w:asciiTheme="minorHAnsi" w:hAnsiTheme="minorHAnsi"/>
          <w:lang w:val="fr-FR"/>
        </w:rPr>
        <w:t xml:space="preserve"> </w:t>
      </w:r>
      <w:r w:rsidR="00A71214">
        <w:rPr>
          <w:rFonts w:asciiTheme="minorHAnsi" w:hAnsiTheme="minorHAnsi"/>
          <w:lang w:val="fr-FR"/>
        </w:rPr>
        <w:t>2019</w:t>
      </w:r>
      <w:r w:rsidR="00A71214" w:rsidRPr="00A71214">
        <w:rPr>
          <w:rFonts w:asciiTheme="minorHAnsi" w:hAnsiTheme="minorHAnsi"/>
          <w:lang w:val="fr-FR"/>
        </w:rPr>
        <w:t>-20</w:t>
      </w:r>
      <w:r w:rsidR="00A71214">
        <w:rPr>
          <w:rFonts w:asciiTheme="minorHAnsi" w:hAnsiTheme="minorHAnsi"/>
          <w:lang w:val="fr-FR"/>
        </w:rPr>
        <w:t>21</w:t>
      </w:r>
      <w:r w:rsidR="00A71214" w:rsidRPr="00A71214">
        <w:rPr>
          <w:rFonts w:asciiTheme="minorHAnsi" w:hAnsiTheme="minorHAnsi"/>
          <w:lang w:val="fr-FR"/>
        </w:rPr>
        <w:t>.</w:t>
      </w:r>
    </w:p>
    <w:p w14:paraId="11E07170" w14:textId="77777777" w:rsidR="00A71214" w:rsidRPr="00246D37" w:rsidRDefault="00A71214" w:rsidP="005152AD">
      <w:pPr>
        <w:rPr>
          <w:rFonts w:asciiTheme="minorHAnsi" w:hAnsiTheme="minorHAnsi"/>
          <w:lang w:val="fr-FR"/>
        </w:rPr>
      </w:pPr>
    </w:p>
    <w:p w14:paraId="24542E7F" w14:textId="4F706D62" w:rsidR="00DD4FC4" w:rsidRPr="00246D37" w:rsidRDefault="00AB2E40" w:rsidP="00937D8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</w:t>
      </w:r>
      <w:r w:rsidR="002F6F33">
        <w:rPr>
          <w:rFonts w:asciiTheme="minorHAnsi" w:hAnsiTheme="minorHAnsi"/>
          <w:lang w:val="fr-FR"/>
        </w:rPr>
        <w:t>2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A71214" w:rsidRPr="00A71214">
        <w:rPr>
          <w:rFonts w:asciiTheme="minorHAnsi" w:hAnsiTheme="minorHAnsi"/>
          <w:lang w:val="fr-FR"/>
        </w:rPr>
        <w:t>DÉCIDE EN OUTRE que le Sous-groupe sur les finances, tel qu’</w:t>
      </w:r>
      <w:r w:rsidR="00D37AB7" w:rsidRPr="00A71214">
        <w:rPr>
          <w:rFonts w:asciiTheme="minorHAnsi" w:hAnsiTheme="minorHAnsi"/>
          <w:lang w:val="fr-FR"/>
        </w:rPr>
        <w:t>établi</w:t>
      </w:r>
      <w:r w:rsidR="00A71214" w:rsidRPr="00A71214">
        <w:rPr>
          <w:rFonts w:asciiTheme="minorHAnsi" w:hAnsiTheme="minorHAnsi"/>
          <w:lang w:val="fr-FR"/>
        </w:rPr>
        <w:t xml:space="preserve"> par la </w:t>
      </w:r>
      <w:r w:rsidR="00D37AB7" w:rsidRPr="00A71214">
        <w:rPr>
          <w:rFonts w:asciiTheme="minorHAnsi" w:hAnsiTheme="minorHAnsi"/>
          <w:lang w:val="fr-FR"/>
        </w:rPr>
        <w:t>Résolution</w:t>
      </w:r>
      <w:r w:rsidR="00A71214" w:rsidRPr="00A71214">
        <w:rPr>
          <w:rFonts w:asciiTheme="minorHAnsi" w:hAnsiTheme="minorHAnsi"/>
          <w:lang w:val="fr-FR"/>
        </w:rPr>
        <w:t xml:space="preserve"> VI.17</w:t>
      </w:r>
      <w:r w:rsidR="002F6F33">
        <w:rPr>
          <w:rFonts w:asciiTheme="minorHAnsi" w:hAnsiTheme="minorHAnsi"/>
          <w:lang w:val="fr-FR"/>
        </w:rPr>
        <w:t xml:space="preserve">, </w:t>
      </w:r>
      <w:r w:rsidR="002F6F33" w:rsidRPr="002F6F33">
        <w:rPr>
          <w:rFonts w:asciiTheme="minorHAnsi" w:hAnsiTheme="minorHAnsi"/>
          <w:i/>
          <w:lang w:val="fr-FR"/>
        </w:rPr>
        <w:t>Questions financières et budgétaires</w:t>
      </w:r>
      <w:r w:rsidR="00A71214">
        <w:rPr>
          <w:rFonts w:asciiTheme="minorHAnsi" w:hAnsiTheme="minorHAnsi"/>
          <w:lang w:val="fr-FR"/>
        </w:rPr>
        <w:t xml:space="preserve"> (Brisbane, 1996)</w:t>
      </w:r>
      <w:r w:rsidR="00A71214" w:rsidRPr="00A71214">
        <w:rPr>
          <w:rFonts w:asciiTheme="minorHAnsi" w:hAnsiTheme="minorHAnsi"/>
          <w:lang w:val="fr-FR"/>
        </w:rPr>
        <w:t xml:space="preserve">, continuera de fonctionner sous les auspices du Comité permanent, en assumant les </w:t>
      </w:r>
      <w:r w:rsidR="00D37AB7" w:rsidRPr="00A71214">
        <w:rPr>
          <w:rFonts w:asciiTheme="minorHAnsi" w:hAnsiTheme="minorHAnsi"/>
          <w:lang w:val="fr-FR"/>
        </w:rPr>
        <w:t>rôles</w:t>
      </w:r>
      <w:r w:rsidR="00A71214" w:rsidRPr="00A71214">
        <w:rPr>
          <w:rFonts w:asciiTheme="minorHAnsi" w:hAnsiTheme="minorHAnsi"/>
          <w:lang w:val="fr-FR"/>
        </w:rPr>
        <w:t xml:space="preserve"> et </w:t>
      </w:r>
      <w:r w:rsidR="00D37AB7" w:rsidRPr="00A71214">
        <w:rPr>
          <w:rFonts w:asciiTheme="minorHAnsi" w:hAnsiTheme="minorHAnsi"/>
          <w:lang w:val="fr-FR"/>
        </w:rPr>
        <w:t>responsabilités</w:t>
      </w:r>
      <w:r w:rsidR="00A71214" w:rsidRPr="00A71214">
        <w:rPr>
          <w:rFonts w:asciiTheme="minorHAnsi" w:hAnsiTheme="minorHAnsi"/>
          <w:lang w:val="fr-FR"/>
        </w:rPr>
        <w:t xml:space="preserve"> </w:t>
      </w:r>
      <w:r w:rsidR="00D37AB7" w:rsidRPr="00A71214">
        <w:rPr>
          <w:rFonts w:asciiTheme="minorHAnsi" w:hAnsiTheme="minorHAnsi"/>
          <w:lang w:val="fr-FR"/>
        </w:rPr>
        <w:t>énoncés</w:t>
      </w:r>
      <w:r w:rsidR="00A71214" w:rsidRPr="00A71214">
        <w:rPr>
          <w:rFonts w:asciiTheme="minorHAnsi" w:hAnsiTheme="minorHAnsi"/>
          <w:lang w:val="fr-FR"/>
        </w:rPr>
        <w:t xml:space="preserve"> dans ladite </w:t>
      </w:r>
      <w:r w:rsidR="00D37AB7" w:rsidRPr="00A71214">
        <w:rPr>
          <w:rFonts w:asciiTheme="minorHAnsi" w:hAnsiTheme="minorHAnsi"/>
          <w:lang w:val="fr-FR"/>
        </w:rPr>
        <w:t>résolution</w:t>
      </w:r>
      <w:r w:rsidR="00937D8D">
        <w:rPr>
          <w:rFonts w:asciiTheme="minorHAnsi" w:hAnsiTheme="minorHAnsi"/>
          <w:lang w:val="fr-FR"/>
        </w:rPr>
        <w:t xml:space="preserve">, </w:t>
      </w:r>
      <w:r w:rsidR="00937D8D" w:rsidRPr="00937D8D">
        <w:rPr>
          <w:rFonts w:asciiTheme="minorHAnsi" w:hAnsiTheme="minorHAnsi"/>
          <w:lang w:val="fr-FR"/>
        </w:rPr>
        <w:t xml:space="preserve">et comprendra un </w:t>
      </w:r>
      <w:r w:rsidR="00937D8D">
        <w:rPr>
          <w:rFonts w:asciiTheme="minorHAnsi" w:hAnsiTheme="minorHAnsi"/>
          <w:lang w:val="fr-FR"/>
        </w:rPr>
        <w:t>représentant a</w:t>
      </w:r>
      <w:r w:rsidR="00937D8D" w:rsidRPr="00937D8D">
        <w:rPr>
          <w:rFonts w:asciiTheme="minorHAnsi" w:hAnsiTheme="minorHAnsi"/>
          <w:lang w:val="fr-FR"/>
        </w:rPr>
        <w:t xml:space="preserve">u Comité permanent de chaque région Ramsar </w:t>
      </w:r>
      <w:r w:rsidR="00937D8D">
        <w:rPr>
          <w:rFonts w:asciiTheme="minorHAnsi" w:hAnsiTheme="minorHAnsi"/>
          <w:lang w:val="fr-FR"/>
        </w:rPr>
        <w:t xml:space="preserve">plus le président </w:t>
      </w:r>
      <w:r w:rsidR="009B764C">
        <w:rPr>
          <w:rFonts w:asciiTheme="minorHAnsi" w:hAnsiTheme="minorHAnsi"/>
          <w:lang w:val="fr-FR"/>
        </w:rPr>
        <w:t xml:space="preserve">sortant </w:t>
      </w:r>
      <w:r w:rsidR="00937D8D">
        <w:rPr>
          <w:rFonts w:asciiTheme="minorHAnsi" w:hAnsiTheme="minorHAnsi"/>
          <w:lang w:val="fr-FR"/>
        </w:rPr>
        <w:t>du S</w:t>
      </w:r>
      <w:r w:rsidR="009B764C">
        <w:rPr>
          <w:rFonts w:asciiTheme="minorHAnsi" w:hAnsiTheme="minorHAnsi"/>
          <w:lang w:val="fr-FR"/>
        </w:rPr>
        <w:t>ous-groupe sur les</w:t>
      </w:r>
      <w:r w:rsidR="00937D8D" w:rsidRPr="00937D8D">
        <w:rPr>
          <w:rFonts w:asciiTheme="minorHAnsi" w:hAnsiTheme="minorHAnsi"/>
          <w:lang w:val="fr-FR"/>
        </w:rPr>
        <w:t xml:space="preserve"> finances, ainsi que toute autre Partie contractante intéressée, </w:t>
      </w:r>
      <w:r w:rsidR="009B764C">
        <w:rPr>
          <w:rFonts w:asciiTheme="minorHAnsi" w:hAnsiTheme="minorHAnsi"/>
          <w:lang w:val="fr-FR"/>
        </w:rPr>
        <w:t>compte tenu</w:t>
      </w:r>
      <w:r w:rsidR="00937D8D" w:rsidRPr="00937D8D">
        <w:rPr>
          <w:rFonts w:asciiTheme="minorHAnsi" w:hAnsiTheme="minorHAnsi"/>
          <w:lang w:val="fr-FR"/>
        </w:rPr>
        <w:t xml:space="preserve"> d</w:t>
      </w:r>
      <w:r w:rsidR="00DE3D85">
        <w:rPr>
          <w:rFonts w:asciiTheme="minorHAnsi" w:hAnsiTheme="minorHAnsi"/>
          <w:lang w:val="fr-FR"/>
        </w:rPr>
        <w:t xml:space="preserve">u fait qu’il est souhaitable </w:t>
      </w:r>
      <w:r w:rsidR="00937D8D" w:rsidRPr="00937D8D">
        <w:rPr>
          <w:rFonts w:asciiTheme="minorHAnsi" w:hAnsiTheme="minorHAnsi"/>
          <w:lang w:val="fr-FR"/>
        </w:rPr>
        <w:t>d'</w:t>
      </w:r>
      <w:r w:rsidR="00DE3D85">
        <w:rPr>
          <w:rFonts w:asciiTheme="minorHAnsi" w:hAnsiTheme="minorHAnsi"/>
          <w:lang w:val="fr-FR"/>
        </w:rPr>
        <w:t xml:space="preserve">avoir </w:t>
      </w:r>
      <w:r w:rsidR="00937D8D" w:rsidRPr="00937D8D">
        <w:rPr>
          <w:rFonts w:asciiTheme="minorHAnsi" w:hAnsiTheme="minorHAnsi"/>
          <w:lang w:val="fr-FR"/>
        </w:rPr>
        <w:t xml:space="preserve">une participation régionale équitable et </w:t>
      </w:r>
      <w:r w:rsidR="00DE3D85">
        <w:rPr>
          <w:rFonts w:asciiTheme="minorHAnsi" w:hAnsiTheme="minorHAnsi"/>
          <w:lang w:val="fr-FR"/>
        </w:rPr>
        <w:t xml:space="preserve">nécessaire </w:t>
      </w:r>
      <w:r w:rsidR="00937D8D" w:rsidRPr="00937D8D">
        <w:rPr>
          <w:rFonts w:asciiTheme="minorHAnsi" w:hAnsiTheme="minorHAnsi"/>
          <w:lang w:val="fr-FR"/>
        </w:rPr>
        <w:t xml:space="preserve">de </w:t>
      </w:r>
      <w:r w:rsidR="00EB569C">
        <w:rPr>
          <w:rFonts w:asciiTheme="minorHAnsi" w:hAnsiTheme="minorHAnsi"/>
          <w:lang w:val="fr-FR"/>
        </w:rPr>
        <w:t xml:space="preserve">s’assurer que </w:t>
      </w:r>
      <w:r w:rsidR="00937D8D" w:rsidRPr="00937D8D">
        <w:rPr>
          <w:rFonts w:asciiTheme="minorHAnsi" w:hAnsiTheme="minorHAnsi"/>
          <w:lang w:val="fr-FR"/>
        </w:rPr>
        <w:t xml:space="preserve">le groupe </w:t>
      </w:r>
      <w:r w:rsidR="00EB569C">
        <w:rPr>
          <w:rFonts w:asciiTheme="minorHAnsi" w:hAnsiTheme="minorHAnsi"/>
          <w:lang w:val="fr-FR"/>
        </w:rPr>
        <w:t>est d’</w:t>
      </w:r>
      <w:r w:rsidR="00937D8D" w:rsidRPr="00937D8D">
        <w:rPr>
          <w:rFonts w:asciiTheme="minorHAnsi" w:hAnsiTheme="minorHAnsi"/>
          <w:lang w:val="fr-FR"/>
        </w:rPr>
        <w:t>une taille gérable, et désignera un</w:t>
      </w:r>
      <w:r w:rsidR="002F6F33">
        <w:rPr>
          <w:rFonts w:asciiTheme="minorHAnsi" w:hAnsiTheme="minorHAnsi"/>
          <w:lang w:val="fr-FR"/>
        </w:rPr>
        <w:t xml:space="preserve"> de ses membres comme président</w:t>
      </w:r>
      <w:r w:rsidR="00937D8D" w:rsidRPr="00937D8D">
        <w:rPr>
          <w:rFonts w:asciiTheme="minorHAnsi" w:hAnsiTheme="minorHAnsi"/>
          <w:lang w:val="fr-FR"/>
        </w:rPr>
        <w:t>; et NOTE que l'aide aux déplacements des Parties contractantes éligibles</w:t>
      </w:r>
      <w:r w:rsidR="00EB569C">
        <w:rPr>
          <w:rFonts w:asciiTheme="minorHAnsi" w:hAnsiTheme="minorHAnsi"/>
          <w:lang w:val="fr-FR"/>
        </w:rPr>
        <w:t xml:space="preserve"> pour assister aux réunions du S</w:t>
      </w:r>
      <w:r w:rsidR="00937D8D" w:rsidRPr="00937D8D">
        <w:rPr>
          <w:rFonts w:asciiTheme="minorHAnsi" w:hAnsiTheme="minorHAnsi"/>
          <w:lang w:val="fr-FR"/>
        </w:rPr>
        <w:t>ous-groupe serait limitée aux représentants régionaux du Comité permanent</w:t>
      </w:r>
      <w:r w:rsidR="00A71214" w:rsidRPr="00A71214">
        <w:rPr>
          <w:rFonts w:asciiTheme="minorHAnsi" w:hAnsiTheme="minorHAnsi"/>
          <w:lang w:val="fr-FR"/>
        </w:rPr>
        <w:t>.</w:t>
      </w:r>
    </w:p>
    <w:p w14:paraId="4C888B76" w14:textId="77777777" w:rsidR="00DD4FC4" w:rsidRPr="00246D37" w:rsidRDefault="00DD4FC4" w:rsidP="005152AD">
      <w:pPr>
        <w:pStyle w:val="ListParagraph"/>
        <w:ind w:left="425"/>
        <w:rPr>
          <w:rFonts w:asciiTheme="minorHAnsi" w:hAnsiTheme="minorHAnsi"/>
          <w:lang w:val="fr-FR"/>
        </w:rPr>
      </w:pPr>
    </w:p>
    <w:p w14:paraId="2D5B1917" w14:textId="3D9C30A3" w:rsidR="003441D3" w:rsidRPr="00246D37" w:rsidRDefault="00EB569C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</w:t>
      </w:r>
      <w:r w:rsidR="002F6F33">
        <w:rPr>
          <w:rFonts w:asciiTheme="minorHAnsi" w:hAnsiTheme="minorHAnsi"/>
          <w:lang w:val="fr-FR"/>
        </w:rPr>
        <w:t>3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BB1ADD">
        <w:rPr>
          <w:rFonts w:asciiTheme="minorHAnsi" w:hAnsiTheme="minorHAnsi"/>
          <w:lang w:val="fr-FR"/>
        </w:rPr>
        <w:t>NOTE que le budget 2019</w:t>
      </w:r>
      <w:r w:rsidR="00BB1ADD" w:rsidRPr="00BB1ADD">
        <w:rPr>
          <w:rFonts w:asciiTheme="minorHAnsi" w:hAnsiTheme="minorHAnsi"/>
          <w:lang w:val="fr-FR"/>
        </w:rPr>
        <w:t>-</w:t>
      </w:r>
      <w:r w:rsidR="00BB1ADD">
        <w:rPr>
          <w:rFonts w:asciiTheme="minorHAnsi" w:hAnsiTheme="minorHAnsi"/>
          <w:lang w:val="fr-FR"/>
        </w:rPr>
        <w:t>2021</w:t>
      </w:r>
      <w:r w:rsidR="00BB1ADD" w:rsidRPr="00BB1ADD">
        <w:rPr>
          <w:rFonts w:asciiTheme="minorHAnsi" w:hAnsiTheme="minorHAnsi"/>
          <w:lang w:val="fr-FR"/>
        </w:rPr>
        <w:t xml:space="preserve"> comprend un </w:t>
      </w:r>
      <w:r w:rsidR="00D37AB7" w:rsidRPr="00BB1ADD">
        <w:rPr>
          <w:rFonts w:asciiTheme="minorHAnsi" w:hAnsiTheme="minorHAnsi"/>
          <w:lang w:val="fr-FR"/>
        </w:rPr>
        <w:t>élément</w:t>
      </w:r>
      <w:r w:rsidR="00BB1ADD" w:rsidRPr="00BB1ADD">
        <w:rPr>
          <w:rFonts w:asciiTheme="minorHAnsi" w:hAnsiTheme="minorHAnsi"/>
          <w:lang w:val="fr-FR"/>
        </w:rPr>
        <w:t xml:space="preserve"> administratif financé par les contribut</w:t>
      </w:r>
      <w:r w:rsidR="00BB1ADD">
        <w:rPr>
          <w:rFonts w:asciiTheme="minorHAnsi" w:hAnsiTheme="minorHAnsi"/>
          <w:lang w:val="fr-FR"/>
        </w:rPr>
        <w:t xml:space="preserve">ions des Parties contractantes et </w:t>
      </w:r>
      <w:r w:rsidR="00BB1ADD" w:rsidRPr="00BB1ADD">
        <w:rPr>
          <w:rFonts w:asciiTheme="minorHAnsi" w:hAnsiTheme="minorHAnsi"/>
          <w:lang w:val="fr-FR"/>
        </w:rPr>
        <w:t xml:space="preserve">que le </w:t>
      </w:r>
      <w:r w:rsidR="005166D5">
        <w:rPr>
          <w:rFonts w:asciiTheme="minorHAnsi" w:hAnsiTheme="minorHAnsi"/>
          <w:lang w:val="fr-FR"/>
        </w:rPr>
        <w:t>Secré</w:t>
      </w:r>
      <w:r w:rsidR="00BB1ADD" w:rsidRPr="00BB1ADD">
        <w:rPr>
          <w:rFonts w:asciiTheme="minorHAnsi" w:hAnsiTheme="minorHAnsi"/>
          <w:lang w:val="fr-FR"/>
        </w:rPr>
        <w:t xml:space="preserve">tariat </w:t>
      </w:r>
      <w:r w:rsidR="00BB1ADD">
        <w:rPr>
          <w:rFonts w:asciiTheme="minorHAnsi" w:hAnsiTheme="minorHAnsi"/>
          <w:lang w:val="fr-FR"/>
        </w:rPr>
        <w:t xml:space="preserve">recherchera des ressources </w:t>
      </w:r>
      <w:r w:rsidR="00BB1ADD" w:rsidRPr="00BB1ADD">
        <w:rPr>
          <w:rFonts w:asciiTheme="minorHAnsi" w:hAnsiTheme="minorHAnsi"/>
          <w:lang w:val="fr-FR"/>
        </w:rPr>
        <w:t>non administrati</w:t>
      </w:r>
      <w:r w:rsidR="00BB1ADD">
        <w:rPr>
          <w:rFonts w:asciiTheme="minorHAnsi" w:hAnsiTheme="minorHAnsi"/>
          <w:lang w:val="fr-FR"/>
        </w:rPr>
        <w:t>ves supplémentaires conformément aux priorités identifiées par la Conférence des Parties</w:t>
      </w:r>
      <w:r w:rsidR="002F6F33">
        <w:rPr>
          <w:rFonts w:asciiTheme="minorHAnsi" w:hAnsiTheme="minorHAnsi"/>
          <w:lang w:val="fr-FR"/>
        </w:rPr>
        <w:t xml:space="preserve"> et qui figurent</w:t>
      </w:r>
      <w:r>
        <w:rPr>
          <w:rFonts w:asciiTheme="minorHAnsi" w:hAnsiTheme="minorHAnsi"/>
          <w:lang w:val="fr-FR"/>
        </w:rPr>
        <w:t xml:space="preserve"> à l’annexe 3</w:t>
      </w:r>
      <w:r w:rsidR="00BB1ADD" w:rsidRPr="00BB1ADD">
        <w:rPr>
          <w:rFonts w:asciiTheme="minorHAnsi" w:hAnsiTheme="minorHAnsi"/>
          <w:lang w:val="fr-FR"/>
        </w:rPr>
        <w:t>.</w:t>
      </w:r>
    </w:p>
    <w:p w14:paraId="1ADE5E6D" w14:textId="77777777" w:rsidR="003441D3" w:rsidRPr="00246D37" w:rsidRDefault="003441D3" w:rsidP="005152AD">
      <w:pPr>
        <w:pStyle w:val="MGfulltext"/>
        <w:spacing w:after="0"/>
        <w:ind w:left="425" w:hanging="425"/>
        <w:rPr>
          <w:rFonts w:asciiTheme="minorHAnsi" w:hAnsiTheme="minorHAnsi"/>
          <w:lang w:val="fr-FR"/>
        </w:rPr>
      </w:pPr>
    </w:p>
    <w:p w14:paraId="5FD9319F" w14:textId="0E9D8977" w:rsidR="000937A7" w:rsidRPr="00246D37" w:rsidRDefault="00EB569C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</w:t>
      </w:r>
      <w:r w:rsidR="002F6F33">
        <w:rPr>
          <w:rFonts w:asciiTheme="minorHAnsi" w:hAnsiTheme="minorHAnsi"/>
          <w:lang w:val="fr-FR"/>
        </w:rPr>
        <w:t>4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BB1ADD" w:rsidRPr="00BB1ADD">
        <w:rPr>
          <w:rFonts w:asciiTheme="minorHAnsi" w:hAnsiTheme="minorHAnsi"/>
          <w:lang w:val="fr-FR"/>
        </w:rPr>
        <w:t xml:space="preserve">APPROUVE le budget </w:t>
      </w:r>
      <w:r w:rsidR="00BB1ADD">
        <w:rPr>
          <w:rFonts w:asciiTheme="minorHAnsi" w:hAnsiTheme="minorHAnsi"/>
          <w:lang w:val="fr-FR"/>
        </w:rPr>
        <w:t xml:space="preserve">administratif </w:t>
      </w:r>
      <w:r w:rsidR="004F0E46">
        <w:rPr>
          <w:rFonts w:asciiTheme="minorHAnsi" w:hAnsiTheme="minorHAnsi"/>
          <w:lang w:val="fr-FR"/>
        </w:rPr>
        <w:t>pour la période 2019-2021 tel qu’il figure à l’annexe 1</w:t>
      </w:r>
      <w:r w:rsidR="00BB1ADD" w:rsidRPr="00BB1ADD">
        <w:rPr>
          <w:rFonts w:asciiTheme="minorHAnsi" w:hAnsiTheme="minorHAnsi"/>
          <w:lang w:val="fr-FR"/>
        </w:rPr>
        <w:t>, pour permettre l’application du Plan str</w:t>
      </w:r>
      <w:r w:rsidR="004F0E46">
        <w:rPr>
          <w:rFonts w:asciiTheme="minorHAnsi" w:hAnsiTheme="minorHAnsi"/>
          <w:lang w:val="fr-FR"/>
        </w:rPr>
        <w:t>até</w:t>
      </w:r>
      <w:r w:rsidR="00BB1ADD">
        <w:rPr>
          <w:rFonts w:asciiTheme="minorHAnsi" w:hAnsiTheme="minorHAnsi"/>
          <w:lang w:val="fr-FR"/>
        </w:rPr>
        <w:t xml:space="preserve">gique </w:t>
      </w:r>
      <w:r w:rsidR="002F6F33">
        <w:rPr>
          <w:rFonts w:asciiTheme="minorHAnsi" w:hAnsiTheme="minorHAnsi"/>
          <w:lang w:val="fr-FR"/>
        </w:rPr>
        <w:t>Ramsar 2016-2024</w:t>
      </w:r>
      <w:r w:rsidR="00BB1ADD">
        <w:rPr>
          <w:rFonts w:asciiTheme="minorHAnsi" w:hAnsiTheme="minorHAnsi"/>
          <w:lang w:val="fr-FR"/>
        </w:rPr>
        <w:t>.</w:t>
      </w:r>
      <w:r w:rsidR="000937A7" w:rsidRPr="00246D37">
        <w:rPr>
          <w:rFonts w:asciiTheme="minorHAnsi" w:hAnsiTheme="minorHAnsi"/>
          <w:lang w:val="fr-FR"/>
        </w:rPr>
        <w:t xml:space="preserve"> </w:t>
      </w:r>
    </w:p>
    <w:p w14:paraId="2A51792E" w14:textId="77777777" w:rsidR="000937A7" w:rsidRPr="00246D37" w:rsidRDefault="000937A7" w:rsidP="005152AD">
      <w:pPr>
        <w:pStyle w:val="MGfulltext"/>
        <w:spacing w:after="0"/>
        <w:ind w:left="425" w:hanging="425"/>
        <w:rPr>
          <w:lang w:val="fr-FR"/>
        </w:rPr>
      </w:pPr>
    </w:p>
    <w:p w14:paraId="12A29A14" w14:textId="2CFD5A17" w:rsidR="000937A7" w:rsidRDefault="00EB569C" w:rsidP="00A84258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</w:t>
      </w:r>
      <w:r w:rsidR="002F6F33">
        <w:rPr>
          <w:rFonts w:asciiTheme="minorHAnsi" w:hAnsiTheme="minorHAnsi"/>
          <w:lang w:val="fr-FR"/>
        </w:rPr>
        <w:t>5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A84258">
        <w:rPr>
          <w:rFonts w:asciiTheme="minorHAnsi" w:hAnsiTheme="minorHAnsi"/>
          <w:lang w:val="fr-FR"/>
        </w:rPr>
        <w:t xml:space="preserve">DEMANDE que le Secrétariat continue à rechercher de nouvelles approches et </w:t>
      </w:r>
      <w:r w:rsidR="00672438">
        <w:rPr>
          <w:rFonts w:asciiTheme="minorHAnsi" w:hAnsiTheme="minorHAnsi"/>
          <w:lang w:val="fr-FR"/>
        </w:rPr>
        <w:t xml:space="preserve">à </w:t>
      </w:r>
      <w:r w:rsidR="00A84258">
        <w:rPr>
          <w:rFonts w:asciiTheme="minorHAnsi" w:hAnsiTheme="minorHAnsi"/>
          <w:lang w:val="fr-FR"/>
        </w:rPr>
        <w:t>élaborer des outils pour garantir un soutien financier volontaire aux projets prioritaires n’ayant pas actuellement de financement et figurant à l’</w:t>
      </w:r>
      <w:r w:rsidR="003304D1">
        <w:rPr>
          <w:rFonts w:asciiTheme="minorHAnsi" w:hAnsiTheme="minorHAnsi"/>
          <w:lang w:val="fr-FR"/>
        </w:rPr>
        <w:t>annexe 3</w:t>
      </w:r>
      <w:r w:rsidR="005166D5">
        <w:rPr>
          <w:rFonts w:asciiTheme="minorHAnsi" w:hAnsiTheme="minorHAnsi"/>
          <w:lang w:val="fr-FR"/>
        </w:rPr>
        <w:t>.</w:t>
      </w:r>
    </w:p>
    <w:p w14:paraId="4CAF496F" w14:textId="77777777" w:rsidR="002F6F33" w:rsidRDefault="002F6F33" w:rsidP="00A84258">
      <w:pPr>
        <w:rPr>
          <w:rFonts w:asciiTheme="minorHAnsi" w:hAnsiTheme="minorHAnsi"/>
          <w:lang w:val="fr-FR"/>
        </w:rPr>
      </w:pPr>
    </w:p>
    <w:p w14:paraId="7BA111CB" w14:textId="721D70DD" w:rsidR="002F6F33" w:rsidRDefault="002F6F33" w:rsidP="00A84258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16.</w:t>
      </w:r>
      <w:r>
        <w:rPr>
          <w:rFonts w:asciiTheme="minorHAnsi" w:hAnsiTheme="minorHAnsi"/>
          <w:lang w:val="fr-FR"/>
        </w:rPr>
        <w:tab/>
        <w:t xml:space="preserve">ENCOURAGE les Parties contractantes, d’autres gouvernements, les institutions financières, les Organisations internationales partenaires et autres partenaires d’exécution, à attribuer des ressources </w:t>
      </w:r>
      <w:r w:rsidR="00F7481B">
        <w:rPr>
          <w:rFonts w:asciiTheme="minorHAnsi" w:hAnsiTheme="minorHAnsi"/>
          <w:lang w:val="fr-FR"/>
        </w:rPr>
        <w:t xml:space="preserve">à l’application du </w:t>
      </w:r>
      <w:r w:rsidR="00F7481B" w:rsidRPr="00BB1ADD">
        <w:rPr>
          <w:rFonts w:asciiTheme="minorHAnsi" w:hAnsiTheme="minorHAnsi"/>
          <w:lang w:val="fr-FR"/>
        </w:rPr>
        <w:t>Plan str</w:t>
      </w:r>
      <w:r w:rsidR="00F7481B">
        <w:rPr>
          <w:rFonts w:asciiTheme="minorHAnsi" w:hAnsiTheme="minorHAnsi"/>
          <w:lang w:val="fr-FR"/>
        </w:rPr>
        <w:t>atégique Ramsar 2016-2024 et du Programme de communication, renforcement des capacités, éducation, sensibilisation et participation (CESP) 2016-2024 de la Convention.</w:t>
      </w:r>
    </w:p>
    <w:p w14:paraId="5722EE51" w14:textId="77777777" w:rsidR="00F7481B" w:rsidRDefault="00F7481B" w:rsidP="00A84258">
      <w:pPr>
        <w:rPr>
          <w:rFonts w:asciiTheme="minorHAnsi" w:hAnsiTheme="minorHAnsi"/>
          <w:lang w:val="fr-FR"/>
        </w:rPr>
      </w:pPr>
    </w:p>
    <w:p w14:paraId="6E7FCD83" w14:textId="6AB45F49" w:rsidR="00F7481B" w:rsidRDefault="00F7481B" w:rsidP="00A84258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17.</w:t>
      </w:r>
      <w:r>
        <w:rPr>
          <w:rFonts w:asciiTheme="minorHAnsi" w:hAnsiTheme="minorHAnsi"/>
          <w:lang w:val="fr-FR"/>
        </w:rPr>
        <w:tab/>
        <w:t>CHARGE le Secré</w:t>
      </w:r>
      <w:r w:rsidRPr="00246D37">
        <w:rPr>
          <w:rFonts w:asciiTheme="minorHAnsi" w:hAnsiTheme="minorHAnsi"/>
          <w:lang w:val="fr-FR"/>
        </w:rPr>
        <w:t>tariat</w:t>
      </w:r>
      <w:r>
        <w:rPr>
          <w:rFonts w:asciiTheme="minorHAnsi" w:hAnsiTheme="minorHAnsi"/>
          <w:lang w:val="fr-FR"/>
        </w:rPr>
        <w:t xml:space="preserve"> d’élaborer une stratégie de mobilisation des ressources pour la Convention et de la communiquer, pour examen, au Comité permanent à sa 57</w:t>
      </w:r>
      <w:r w:rsidRPr="00F7481B">
        <w:rPr>
          <w:rFonts w:asciiTheme="minorHAnsi" w:hAnsiTheme="minorHAnsi"/>
          <w:vertAlign w:val="superscript"/>
          <w:lang w:val="fr-FR"/>
        </w:rPr>
        <w:t>e</w:t>
      </w:r>
      <w:r>
        <w:rPr>
          <w:rFonts w:asciiTheme="minorHAnsi" w:hAnsiTheme="minorHAnsi"/>
          <w:lang w:val="fr-FR"/>
        </w:rPr>
        <w:t xml:space="preserve"> Réunion.</w:t>
      </w:r>
    </w:p>
    <w:p w14:paraId="02FDA5DF" w14:textId="77777777" w:rsidR="00322C05" w:rsidRPr="00246D37" w:rsidRDefault="00322C05" w:rsidP="005152AD">
      <w:pPr>
        <w:pStyle w:val="ListParagraph"/>
        <w:ind w:left="425"/>
        <w:rPr>
          <w:rFonts w:asciiTheme="minorHAnsi" w:hAnsiTheme="minorHAnsi"/>
          <w:lang w:val="fr-FR"/>
        </w:rPr>
      </w:pPr>
    </w:p>
    <w:p w14:paraId="57D0FCC1" w14:textId="37FDF40A" w:rsidR="00322C05" w:rsidRPr="00246D37" w:rsidRDefault="00A84258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</w:t>
      </w:r>
      <w:r w:rsidR="00F7481B">
        <w:rPr>
          <w:rFonts w:asciiTheme="minorHAnsi" w:hAnsiTheme="minorHAnsi"/>
          <w:lang w:val="fr-FR"/>
        </w:rPr>
        <w:t>8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>SE FÉLICITE de</w:t>
      </w:r>
      <w:r w:rsidR="00322C05" w:rsidRPr="00246D37">
        <w:rPr>
          <w:rFonts w:asciiTheme="minorHAnsi" w:hAnsiTheme="minorHAnsi"/>
          <w:lang w:val="fr-FR"/>
        </w:rPr>
        <w:t xml:space="preserve"> </w:t>
      </w:r>
      <w:r w:rsidR="00AD34BF">
        <w:rPr>
          <w:rFonts w:asciiTheme="minorHAnsi" w:hAnsiTheme="minorHAnsi"/>
          <w:lang w:val="fr-FR"/>
        </w:rPr>
        <w:t>l’alignement du Secré</w:t>
      </w:r>
      <w:r w:rsidR="00322C05" w:rsidRPr="00246D37">
        <w:rPr>
          <w:rFonts w:asciiTheme="minorHAnsi" w:hAnsiTheme="minorHAnsi"/>
          <w:lang w:val="fr-FR"/>
        </w:rPr>
        <w:t xml:space="preserve">tariat </w:t>
      </w:r>
      <w:r w:rsidR="00AD34BF">
        <w:rPr>
          <w:rFonts w:asciiTheme="minorHAnsi" w:hAnsiTheme="minorHAnsi"/>
          <w:lang w:val="fr-FR"/>
        </w:rPr>
        <w:t xml:space="preserve">sur les politiques et procédures de </w:t>
      </w:r>
      <w:r w:rsidR="00F7481B">
        <w:rPr>
          <w:rFonts w:asciiTheme="minorHAnsi" w:hAnsiTheme="minorHAnsi"/>
          <w:lang w:val="fr-FR"/>
        </w:rPr>
        <w:t>l’Union internationale pour la conservation de la nature (UICN)</w:t>
      </w:r>
      <w:r w:rsidR="00F7481B" w:rsidRPr="007E68B4">
        <w:rPr>
          <w:rFonts w:asciiTheme="minorHAnsi" w:hAnsiTheme="minorHAnsi"/>
          <w:lang w:val="fr-FR"/>
        </w:rPr>
        <w:t xml:space="preserve"> </w:t>
      </w:r>
      <w:r w:rsidR="00AD34BF">
        <w:rPr>
          <w:rFonts w:asciiTheme="minorHAnsi" w:hAnsiTheme="minorHAnsi"/>
          <w:lang w:val="fr-FR"/>
        </w:rPr>
        <w:t xml:space="preserve"> pour la gestion des fonds non administratifs.</w:t>
      </w:r>
    </w:p>
    <w:p w14:paraId="077D606B" w14:textId="77777777" w:rsidR="00E16CC7" w:rsidRPr="00246D37" w:rsidRDefault="00E16CC7" w:rsidP="005152AD">
      <w:pPr>
        <w:pStyle w:val="ListParagraph"/>
        <w:ind w:left="425"/>
        <w:rPr>
          <w:rFonts w:asciiTheme="minorHAnsi" w:hAnsiTheme="minorHAnsi"/>
          <w:lang w:val="fr-FR"/>
        </w:rPr>
      </w:pPr>
    </w:p>
    <w:p w14:paraId="5DF808DC" w14:textId="34F0FD7E" w:rsidR="003304D1" w:rsidRDefault="003304D1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</w:t>
      </w:r>
      <w:r w:rsidR="00F7481B">
        <w:rPr>
          <w:rFonts w:asciiTheme="minorHAnsi" w:hAnsiTheme="minorHAnsi"/>
          <w:lang w:val="fr-FR"/>
        </w:rPr>
        <w:t>9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B8120D">
        <w:rPr>
          <w:rFonts w:asciiTheme="minorHAnsi" w:hAnsiTheme="minorHAnsi"/>
          <w:lang w:val="fr-FR"/>
        </w:rPr>
        <w:t>CHARGE le</w:t>
      </w:r>
      <w:r>
        <w:rPr>
          <w:rFonts w:asciiTheme="minorHAnsi" w:hAnsiTheme="minorHAnsi"/>
          <w:lang w:val="fr-FR"/>
        </w:rPr>
        <w:t xml:space="preserve"> Secrétariat de fournir aux I</w:t>
      </w:r>
      <w:r w:rsidRPr="003304D1">
        <w:rPr>
          <w:rFonts w:asciiTheme="minorHAnsi" w:hAnsiTheme="minorHAnsi"/>
          <w:lang w:val="fr-FR"/>
        </w:rPr>
        <w:t>nitiatives régionales Ramsar en Afrique, sur une base an</w:t>
      </w:r>
      <w:r>
        <w:rPr>
          <w:rFonts w:asciiTheme="minorHAnsi" w:hAnsiTheme="minorHAnsi"/>
          <w:lang w:val="fr-FR"/>
        </w:rPr>
        <w:t>nuelle, le solde disponible du f</w:t>
      </w:r>
      <w:r w:rsidRPr="003304D1">
        <w:rPr>
          <w:rFonts w:asciiTheme="minorHAnsi" w:hAnsiTheme="minorHAnsi"/>
          <w:lang w:val="fr-FR"/>
        </w:rPr>
        <w:t>onds africain de contributions volontaires</w:t>
      </w:r>
      <w:r w:rsidR="00F7481B">
        <w:rPr>
          <w:rFonts w:asciiTheme="minorHAnsi" w:hAnsiTheme="minorHAnsi"/>
          <w:lang w:val="fr-FR"/>
        </w:rPr>
        <w:t>;</w:t>
      </w:r>
      <w:r>
        <w:rPr>
          <w:rFonts w:asciiTheme="minorHAnsi" w:hAnsiTheme="minorHAnsi"/>
          <w:lang w:val="fr-FR"/>
        </w:rPr>
        <w:t xml:space="preserve"> et INVITE ces I</w:t>
      </w:r>
      <w:r w:rsidRPr="003304D1">
        <w:rPr>
          <w:rFonts w:asciiTheme="minorHAnsi" w:hAnsiTheme="minorHAnsi"/>
          <w:lang w:val="fr-FR"/>
        </w:rPr>
        <w:t>nitiatives régionales à soumettre au Secrétariat des demandes d'accès aux fonds disponibles</w:t>
      </w:r>
      <w:r w:rsidR="00F7481B">
        <w:rPr>
          <w:rFonts w:asciiTheme="minorHAnsi" w:hAnsiTheme="minorHAnsi"/>
          <w:lang w:val="fr-FR"/>
        </w:rPr>
        <w:t xml:space="preserve">, </w:t>
      </w:r>
      <w:r w:rsidR="00F7481B">
        <w:rPr>
          <w:rFonts w:asciiTheme="minorHAnsi" w:hAnsiTheme="minorHAnsi"/>
          <w:lang w:val="fr-FR"/>
        </w:rPr>
        <w:lastRenderedPageBreak/>
        <w:t>conformément aux dispositions de la Résolution XIII.</w:t>
      </w:r>
      <w:r w:rsidR="00F7481B" w:rsidRPr="00F7481B">
        <w:rPr>
          <w:rFonts w:asciiTheme="minorHAnsi" w:hAnsiTheme="minorHAnsi"/>
          <w:highlight w:val="yellow"/>
          <w:lang w:val="fr-FR"/>
        </w:rPr>
        <w:t>xx</w:t>
      </w:r>
      <w:r w:rsidR="00F7481B">
        <w:rPr>
          <w:rFonts w:asciiTheme="minorHAnsi" w:hAnsiTheme="minorHAnsi"/>
          <w:lang w:val="fr-FR"/>
        </w:rPr>
        <w:t xml:space="preserve">, </w:t>
      </w:r>
      <w:r w:rsidRPr="009F066B">
        <w:rPr>
          <w:rFonts w:asciiTheme="minorHAnsi" w:hAnsiTheme="minorHAnsi"/>
          <w:i/>
          <w:lang w:val="fr-FR"/>
        </w:rPr>
        <w:t xml:space="preserve">Initiatives régionales </w:t>
      </w:r>
      <w:r w:rsidR="00F7481B" w:rsidRPr="009F066B">
        <w:rPr>
          <w:rFonts w:asciiTheme="minorHAnsi" w:hAnsiTheme="minorHAnsi"/>
          <w:i/>
          <w:lang w:val="fr-FR"/>
        </w:rPr>
        <w:t>Ramsar</w:t>
      </w:r>
      <w:r w:rsidR="009F066B" w:rsidRPr="009F066B">
        <w:rPr>
          <w:rFonts w:asciiTheme="minorHAnsi" w:hAnsiTheme="minorHAnsi"/>
          <w:i/>
          <w:lang w:val="fr-FR"/>
        </w:rPr>
        <w:t xml:space="preserve"> 2019-2021 et leur Cadre opérationnel</w:t>
      </w:r>
      <w:r w:rsidR="009F066B">
        <w:rPr>
          <w:rFonts w:asciiTheme="minorHAnsi" w:hAnsiTheme="minorHAnsi"/>
          <w:lang w:val="fr-FR"/>
        </w:rPr>
        <w:t>.</w:t>
      </w:r>
    </w:p>
    <w:p w14:paraId="13A4701F" w14:textId="77777777" w:rsidR="00182571" w:rsidRDefault="00182571" w:rsidP="005152AD">
      <w:pPr>
        <w:rPr>
          <w:rFonts w:asciiTheme="minorHAnsi" w:hAnsiTheme="minorHAnsi"/>
          <w:lang w:val="fr-FR"/>
        </w:rPr>
      </w:pPr>
    </w:p>
    <w:p w14:paraId="26C8B083" w14:textId="5B2D894E" w:rsidR="003304D1" w:rsidRPr="000354BC" w:rsidRDefault="00672438" w:rsidP="000354BC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FR"/>
        </w:rPr>
        <w:t>[</w:t>
      </w:r>
      <w:r w:rsidR="00532842">
        <w:rPr>
          <w:rFonts w:asciiTheme="minorHAnsi" w:hAnsiTheme="minorHAnsi"/>
          <w:lang w:val="fr-FR"/>
        </w:rPr>
        <w:t>20.</w:t>
      </w:r>
      <w:r w:rsidR="00532842">
        <w:rPr>
          <w:rFonts w:asciiTheme="minorHAnsi" w:hAnsiTheme="minorHAnsi"/>
          <w:lang w:val="fr-FR"/>
        </w:rPr>
        <w:tab/>
      </w:r>
      <w:r w:rsidR="00182571" w:rsidRPr="00182571">
        <w:rPr>
          <w:rFonts w:asciiTheme="minorHAnsi" w:hAnsiTheme="minorHAnsi"/>
          <w:lang w:val="fr-FR"/>
        </w:rPr>
        <w:t xml:space="preserve">AUTORISE le Secrétariat, </w:t>
      </w:r>
      <w:r w:rsidR="009F066B">
        <w:rPr>
          <w:rFonts w:asciiTheme="minorHAnsi" w:hAnsiTheme="minorHAnsi"/>
          <w:lang w:val="fr-FR"/>
        </w:rPr>
        <w:t>d</w:t>
      </w:r>
      <w:r w:rsidR="009F066B" w:rsidRPr="00182571">
        <w:rPr>
          <w:rFonts w:asciiTheme="minorHAnsi" w:hAnsiTheme="minorHAnsi"/>
          <w:lang w:val="fr-FR"/>
        </w:rPr>
        <w:t>ans des circonstances exceptionnelles</w:t>
      </w:r>
      <w:r w:rsidR="009F066B">
        <w:rPr>
          <w:rFonts w:asciiTheme="minorHAnsi" w:hAnsiTheme="minorHAnsi"/>
          <w:lang w:val="fr-FR"/>
        </w:rPr>
        <w:t xml:space="preserve"> et</w:t>
      </w:r>
      <w:r w:rsidR="009F066B" w:rsidRPr="00182571">
        <w:rPr>
          <w:rFonts w:asciiTheme="minorHAnsi" w:hAnsiTheme="minorHAnsi"/>
          <w:lang w:val="fr-FR"/>
        </w:rPr>
        <w:t xml:space="preserve"> </w:t>
      </w:r>
      <w:r w:rsidR="00182571" w:rsidRPr="00182571">
        <w:rPr>
          <w:rFonts w:asciiTheme="minorHAnsi" w:hAnsiTheme="minorHAnsi"/>
          <w:lang w:val="fr-FR"/>
        </w:rPr>
        <w:t xml:space="preserve">sur demande, à gérer les fonds non </w:t>
      </w:r>
      <w:r w:rsidR="009F066B">
        <w:rPr>
          <w:rFonts w:asciiTheme="minorHAnsi" w:hAnsiTheme="minorHAnsi"/>
          <w:lang w:val="fr-FR"/>
        </w:rPr>
        <w:t>administratifs</w:t>
      </w:r>
      <w:r w:rsidR="00182571" w:rsidRPr="00182571">
        <w:rPr>
          <w:rFonts w:asciiTheme="minorHAnsi" w:hAnsiTheme="minorHAnsi"/>
          <w:lang w:val="fr-FR"/>
        </w:rPr>
        <w:t xml:space="preserve"> générés par les </w:t>
      </w:r>
      <w:r w:rsidR="009F066B">
        <w:rPr>
          <w:rFonts w:asciiTheme="minorHAnsi" w:hAnsiTheme="minorHAnsi"/>
          <w:lang w:val="fr-FR"/>
        </w:rPr>
        <w:t>I</w:t>
      </w:r>
      <w:r w:rsidR="00182571" w:rsidRPr="00182571">
        <w:rPr>
          <w:rFonts w:asciiTheme="minorHAnsi" w:hAnsiTheme="minorHAnsi"/>
          <w:lang w:val="fr-FR"/>
        </w:rPr>
        <w:t>nitiatives régionales</w:t>
      </w:r>
      <w:r w:rsidR="00182571">
        <w:rPr>
          <w:rFonts w:asciiTheme="minorHAnsi" w:hAnsiTheme="minorHAnsi"/>
          <w:lang w:val="fr-FR"/>
        </w:rPr>
        <w:t>.</w:t>
      </w:r>
      <w:r>
        <w:rPr>
          <w:rFonts w:asciiTheme="minorHAnsi" w:hAnsiTheme="minorHAnsi"/>
          <w:lang w:val="fr-FR"/>
        </w:rPr>
        <w:t>]</w:t>
      </w:r>
    </w:p>
    <w:p w14:paraId="7C28594B" w14:textId="77777777" w:rsidR="003304D1" w:rsidRDefault="003304D1" w:rsidP="005152AD">
      <w:pPr>
        <w:rPr>
          <w:rFonts w:asciiTheme="minorHAnsi" w:hAnsiTheme="minorHAnsi"/>
          <w:lang w:val="fr-FR"/>
        </w:rPr>
      </w:pPr>
    </w:p>
    <w:p w14:paraId="4C4F56A5" w14:textId="07A391E1" w:rsidR="00267D03" w:rsidRDefault="000937A7" w:rsidP="005152AD">
      <w:pPr>
        <w:rPr>
          <w:rFonts w:asciiTheme="minorHAnsi" w:hAnsiTheme="minorHAnsi"/>
          <w:lang w:val="fr-FR"/>
        </w:rPr>
      </w:pPr>
      <w:r w:rsidRPr="00246D37">
        <w:rPr>
          <w:rFonts w:asciiTheme="minorHAnsi" w:hAnsiTheme="minorHAnsi"/>
          <w:lang w:val="fr-FR"/>
        </w:rPr>
        <w:t> </w:t>
      </w:r>
      <w:r w:rsidR="009F066B">
        <w:rPr>
          <w:rFonts w:asciiTheme="minorHAnsi" w:hAnsiTheme="minorHAnsi"/>
          <w:lang w:val="fr-FR"/>
        </w:rPr>
        <w:t>21</w:t>
      </w:r>
      <w:r w:rsidR="00182571">
        <w:rPr>
          <w:rFonts w:asciiTheme="minorHAnsi" w:hAnsiTheme="minorHAnsi"/>
          <w:lang w:val="fr-FR"/>
        </w:rPr>
        <w:t xml:space="preserve">.  </w:t>
      </w:r>
      <w:r w:rsidR="00583728">
        <w:rPr>
          <w:rFonts w:asciiTheme="minorHAnsi" w:hAnsiTheme="minorHAnsi"/>
          <w:lang w:val="fr-FR"/>
        </w:rPr>
        <w:t>AUTORISE le Comité</w:t>
      </w:r>
      <w:r w:rsidR="009F54BD" w:rsidRPr="009F54BD">
        <w:rPr>
          <w:rFonts w:asciiTheme="minorHAnsi" w:hAnsiTheme="minorHAnsi"/>
          <w:lang w:val="fr-FR"/>
        </w:rPr>
        <w:t xml:space="preserve"> permanent, </w:t>
      </w:r>
      <w:r w:rsidR="00D37AB7" w:rsidRPr="009F54BD">
        <w:rPr>
          <w:rFonts w:asciiTheme="minorHAnsi" w:hAnsiTheme="minorHAnsi"/>
          <w:lang w:val="fr-FR"/>
        </w:rPr>
        <w:t>après</w:t>
      </w:r>
      <w:r w:rsidR="009F54BD" w:rsidRPr="009F54BD">
        <w:rPr>
          <w:rFonts w:asciiTheme="minorHAnsi" w:hAnsiTheme="minorHAnsi"/>
          <w:lang w:val="fr-FR"/>
        </w:rPr>
        <w:t xml:space="preserve"> consultation de son Sous-groupe sur les finances, à revoir les affectations </w:t>
      </w:r>
      <w:r w:rsidR="00D37AB7" w:rsidRPr="009F54BD">
        <w:rPr>
          <w:rFonts w:asciiTheme="minorHAnsi" w:hAnsiTheme="minorHAnsi"/>
          <w:lang w:val="fr-FR"/>
        </w:rPr>
        <w:t>budgétaires</w:t>
      </w:r>
      <w:r w:rsidR="009F54BD" w:rsidRPr="009F54BD">
        <w:rPr>
          <w:rFonts w:asciiTheme="minorHAnsi" w:hAnsiTheme="minorHAnsi"/>
          <w:lang w:val="fr-FR"/>
        </w:rPr>
        <w:t xml:space="preserve"> administratives d’un poste </w:t>
      </w:r>
      <w:r w:rsidR="00D37AB7" w:rsidRPr="009F54BD">
        <w:rPr>
          <w:rFonts w:asciiTheme="minorHAnsi" w:hAnsiTheme="minorHAnsi"/>
          <w:lang w:val="fr-FR"/>
        </w:rPr>
        <w:t>budgétaire</w:t>
      </w:r>
      <w:r w:rsidR="009F54BD" w:rsidRPr="009F54BD">
        <w:rPr>
          <w:rFonts w:asciiTheme="minorHAnsi" w:hAnsiTheme="minorHAnsi"/>
          <w:lang w:val="fr-FR"/>
        </w:rPr>
        <w:t xml:space="preserve"> à l’autre en fonction des fluctuations importantes, à la hausse ou </w:t>
      </w:r>
      <w:r w:rsidR="00672438">
        <w:rPr>
          <w:rFonts w:asciiTheme="minorHAnsi" w:hAnsiTheme="minorHAnsi"/>
          <w:lang w:val="fr-FR"/>
        </w:rPr>
        <w:t>à</w:t>
      </w:r>
      <w:r w:rsidR="009F54BD" w:rsidRPr="009F54BD">
        <w:rPr>
          <w:rFonts w:asciiTheme="minorHAnsi" w:hAnsiTheme="minorHAnsi"/>
          <w:lang w:val="fr-FR"/>
        </w:rPr>
        <w:t xml:space="preserve"> la baisse, durant la </w:t>
      </w:r>
      <w:r w:rsidR="00D37AB7" w:rsidRPr="009F54BD">
        <w:rPr>
          <w:rFonts w:asciiTheme="minorHAnsi" w:hAnsiTheme="minorHAnsi"/>
          <w:lang w:val="fr-FR"/>
        </w:rPr>
        <w:t>période</w:t>
      </w:r>
      <w:r w:rsidR="009F54BD" w:rsidRPr="009F54BD">
        <w:rPr>
          <w:rFonts w:asciiTheme="minorHAnsi" w:hAnsiTheme="minorHAnsi"/>
          <w:lang w:val="fr-FR"/>
        </w:rPr>
        <w:t xml:space="preserve"> </w:t>
      </w:r>
      <w:r w:rsidR="00104A02" w:rsidRPr="009F54BD">
        <w:rPr>
          <w:rFonts w:asciiTheme="minorHAnsi" w:hAnsiTheme="minorHAnsi"/>
          <w:lang w:val="fr-FR"/>
        </w:rPr>
        <w:t>concernée</w:t>
      </w:r>
      <w:r w:rsidR="009F54BD" w:rsidRPr="009F54BD">
        <w:rPr>
          <w:rFonts w:asciiTheme="minorHAnsi" w:hAnsiTheme="minorHAnsi"/>
          <w:lang w:val="fr-FR"/>
        </w:rPr>
        <w:t xml:space="preserve">, des </w:t>
      </w:r>
      <w:r w:rsidR="00104A02" w:rsidRPr="009F54BD">
        <w:rPr>
          <w:rFonts w:asciiTheme="minorHAnsi" w:hAnsiTheme="minorHAnsi"/>
          <w:lang w:val="fr-FR"/>
        </w:rPr>
        <w:t>coûts</w:t>
      </w:r>
      <w:r w:rsidR="009F54BD" w:rsidRPr="009F54BD">
        <w:rPr>
          <w:rFonts w:asciiTheme="minorHAnsi" w:hAnsiTheme="minorHAnsi"/>
          <w:lang w:val="fr-FR"/>
        </w:rPr>
        <w:t>, du taux d’inflation, des revenus d’</w:t>
      </w:r>
      <w:r w:rsidR="00104A02" w:rsidRPr="009F54BD">
        <w:rPr>
          <w:rFonts w:asciiTheme="minorHAnsi" w:hAnsiTheme="minorHAnsi"/>
          <w:lang w:val="fr-FR"/>
        </w:rPr>
        <w:t>intérêts</w:t>
      </w:r>
      <w:r w:rsidR="009F54BD" w:rsidRPr="009F54BD">
        <w:rPr>
          <w:rFonts w:asciiTheme="minorHAnsi" w:hAnsiTheme="minorHAnsi"/>
          <w:lang w:val="fr-FR"/>
        </w:rPr>
        <w:t xml:space="preserve"> ou d’</w:t>
      </w:r>
      <w:r w:rsidR="00104A02" w:rsidRPr="009F54BD">
        <w:rPr>
          <w:rFonts w:asciiTheme="minorHAnsi" w:hAnsiTheme="minorHAnsi"/>
          <w:lang w:val="fr-FR"/>
        </w:rPr>
        <w:t>impôts</w:t>
      </w:r>
      <w:r w:rsidR="009F54BD" w:rsidRPr="009F54BD">
        <w:rPr>
          <w:rFonts w:asciiTheme="minorHAnsi" w:hAnsiTheme="minorHAnsi"/>
          <w:lang w:val="fr-FR"/>
        </w:rPr>
        <w:t xml:space="preserve"> </w:t>
      </w:r>
      <w:r w:rsidR="00104A02" w:rsidRPr="009F54BD">
        <w:rPr>
          <w:rFonts w:asciiTheme="minorHAnsi" w:hAnsiTheme="minorHAnsi"/>
          <w:lang w:val="fr-FR"/>
        </w:rPr>
        <w:t>prévus</w:t>
      </w:r>
      <w:r w:rsidR="009F54BD" w:rsidRPr="009F54BD">
        <w:rPr>
          <w:rFonts w:asciiTheme="minorHAnsi" w:hAnsiTheme="minorHAnsi"/>
          <w:lang w:val="fr-FR"/>
        </w:rPr>
        <w:t xml:space="preserve"> au budget sans augmenter les contributions des Parties ou les charges </w:t>
      </w:r>
      <w:r w:rsidR="00104A02" w:rsidRPr="009F54BD">
        <w:rPr>
          <w:rFonts w:asciiTheme="minorHAnsi" w:hAnsiTheme="minorHAnsi"/>
          <w:lang w:val="fr-FR"/>
        </w:rPr>
        <w:t>payées</w:t>
      </w:r>
      <w:r w:rsidR="009F54BD" w:rsidRPr="009F54BD">
        <w:rPr>
          <w:rFonts w:asciiTheme="minorHAnsi" w:hAnsiTheme="minorHAnsi"/>
          <w:lang w:val="fr-FR"/>
        </w:rPr>
        <w:t xml:space="preserve"> à l’UICN au-dessus du maximum de 13% </w:t>
      </w:r>
      <w:r w:rsidR="00104A02" w:rsidRPr="009F54BD">
        <w:rPr>
          <w:rFonts w:asciiTheme="minorHAnsi" w:hAnsiTheme="minorHAnsi"/>
          <w:lang w:val="fr-FR"/>
        </w:rPr>
        <w:t>prévu</w:t>
      </w:r>
      <w:r w:rsidR="009F54BD" w:rsidRPr="009F54BD">
        <w:rPr>
          <w:rFonts w:asciiTheme="minorHAnsi" w:hAnsiTheme="minorHAnsi"/>
          <w:lang w:val="fr-FR"/>
        </w:rPr>
        <w:t xml:space="preserve"> au budget.</w:t>
      </w:r>
    </w:p>
    <w:p w14:paraId="0BB6B8A6" w14:textId="77777777" w:rsidR="009F54BD" w:rsidRPr="00246D37" w:rsidRDefault="009F54BD" w:rsidP="005152AD">
      <w:pPr>
        <w:rPr>
          <w:rFonts w:asciiTheme="minorHAnsi" w:hAnsiTheme="minorHAnsi"/>
          <w:lang w:val="fr-FR"/>
        </w:rPr>
      </w:pPr>
    </w:p>
    <w:p w14:paraId="37769E3C" w14:textId="253CF2CF" w:rsidR="000354BC" w:rsidRPr="000354BC" w:rsidRDefault="009F066B" w:rsidP="000354B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22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0354BC">
        <w:rPr>
          <w:rFonts w:asciiTheme="minorHAnsi" w:hAnsiTheme="minorHAnsi"/>
          <w:lang w:val="fr-FR"/>
        </w:rPr>
        <w:t>RECONNAÎ</w:t>
      </w:r>
      <w:r w:rsidR="000354BC" w:rsidRPr="000354BC">
        <w:rPr>
          <w:rFonts w:asciiTheme="minorHAnsi" w:hAnsiTheme="minorHAnsi"/>
          <w:lang w:val="fr-FR"/>
        </w:rPr>
        <w:t xml:space="preserve">T les avantages de la flexibilité des lignes budgétaires </w:t>
      </w:r>
      <w:r w:rsidR="000354BC">
        <w:rPr>
          <w:rFonts w:asciiTheme="minorHAnsi" w:hAnsiTheme="minorHAnsi"/>
          <w:lang w:val="fr-FR"/>
        </w:rPr>
        <w:t>au titre des</w:t>
      </w:r>
      <w:r w:rsidR="000354BC" w:rsidRPr="000354BC">
        <w:rPr>
          <w:rFonts w:asciiTheme="minorHAnsi" w:hAnsiTheme="minorHAnsi"/>
          <w:lang w:val="fr-FR"/>
        </w:rPr>
        <w:t xml:space="preserve"> voyages afin de mettre en œuvre le plan de travail du Secrétariat pour la période triennale</w:t>
      </w:r>
      <w:r w:rsidR="00B8120D">
        <w:rPr>
          <w:rFonts w:asciiTheme="minorHAnsi" w:hAnsiTheme="minorHAnsi"/>
          <w:lang w:val="fr-FR"/>
        </w:rPr>
        <w:t>;</w:t>
      </w:r>
      <w:r w:rsidR="00640993">
        <w:rPr>
          <w:rFonts w:asciiTheme="minorHAnsi" w:hAnsiTheme="minorHAnsi"/>
          <w:lang w:val="fr-FR"/>
        </w:rPr>
        <w:t xml:space="preserve"> et AUTORISE la</w:t>
      </w:r>
      <w:r w:rsidR="000354BC" w:rsidRPr="000354BC">
        <w:rPr>
          <w:rFonts w:asciiTheme="minorHAnsi" w:hAnsiTheme="minorHAnsi"/>
          <w:lang w:val="fr-FR"/>
        </w:rPr>
        <w:t xml:space="preserve"> Secrétaire général</w:t>
      </w:r>
      <w:r w:rsidR="00640993">
        <w:rPr>
          <w:rFonts w:asciiTheme="minorHAnsi" w:hAnsiTheme="minorHAnsi"/>
          <w:lang w:val="fr-FR"/>
        </w:rPr>
        <w:t>e</w:t>
      </w:r>
      <w:r w:rsidR="000354BC" w:rsidRPr="000354BC">
        <w:rPr>
          <w:rFonts w:asciiTheme="minorHAnsi" w:hAnsiTheme="minorHAnsi"/>
          <w:lang w:val="fr-FR"/>
        </w:rPr>
        <w:t xml:space="preserve"> à transférer des ressources </w:t>
      </w:r>
      <w:r w:rsidR="000354BC">
        <w:rPr>
          <w:rFonts w:asciiTheme="minorHAnsi" w:hAnsiTheme="minorHAnsi"/>
          <w:lang w:val="fr-FR"/>
        </w:rPr>
        <w:t>d’une ligne budgétaire</w:t>
      </w:r>
      <w:r w:rsidR="000354BC" w:rsidRPr="000354BC">
        <w:rPr>
          <w:rFonts w:asciiTheme="minorHAnsi" w:hAnsiTheme="minorHAnsi"/>
          <w:lang w:val="fr-FR"/>
        </w:rPr>
        <w:t xml:space="preserve"> </w:t>
      </w:r>
      <w:r w:rsidR="000354BC">
        <w:rPr>
          <w:rFonts w:asciiTheme="minorHAnsi" w:hAnsiTheme="minorHAnsi"/>
          <w:lang w:val="fr-FR"/>
        </w:rPr>
        <w:t>allouée aux</w:t>
      </w:r>
      <w:r w:rsidR="000354BC" w:rsidRPr="000354BC">
        <w:rPr>
          <w:rFonts w:asciiTheme="minorHAnsi" w:hAnsiTheme="minorHAnsi"/>
          <w:lang w:val="fr-FR"/>
        </w:rPr>
        <w:t xml:space="preserve"> voyages</w:t>
      </w:r>
      <w:r w:rsidR="000354BC">
        <w:rPr>
          <w:rFonts w:asciiTheme="minorHAnsi" w:hAnsiTheme="minorHAnsi"/>
          <w:lang w:val="fr-FR"/>
        </w:rPr>
        <w:t xml:space="preserve"> à l’autre</w:t>
      </w:r>
      <w:r w:rsidR="00B8120D">
        <w:rPr>
          <w:rFonts w:asciiTheme="minorHAnsi" w:hAnsiTheme="minorHAnsi"/>
          <w:lang w:val="fr-FR"/>
        </w:rPr>
        <w:t xml:space="preserve"> en veillant à informer</w:t>
      </w:r>
      <w:r w:rsidR="000354BC" w:rsidRPr="000354BC">
        <w:rPr>
          <w:rFonts w:asciiTheme="minorHAnsi" w:hAnsiTheme="minorHAnsi"/>
          <w:lang w:val="fr-FR"/>
        </w:rPr>
        <w:t xml:space="preserve"> le Sous-groupe </w:t>
      </w:r>
      <w:r w:rsidR="000354BC">
        <w:rPr>
          <w:rFonts w:asciiTheme="minorHAnsi" w:hAnsiTheme="minorHAnsi"/>
          <w:lang w:val="fr-FR"/>
        </w:rPr>
        <w:t>sur l</w:t>
      </w:r>
      <w:r w:rsidR="000354BC" w:rsidRPr="000354BC">
        <w:rPr>
          <w:rFonts w:asciiTheme="minorHAnsi" w:hAnsiTheme="minorHAnsi"/>
          <w:lang w:val="fr-FR"/>
        </w:rPr>
        <w:t xml:space="preserve">es finances </w:t>
      </w:r>
      <w:r w:rsidR="00B8120D">
        <w:rPr>
          <w:rFonts w:asciiTheme="minorHAnsi" w:hAnsiTheme="minorHAnsi"/>
          <w:lang w:val="fr-FR"/>
        </w:rPr>
        <w:t>et à rendre compte sur ces</w:t>
      </w:r>
      <w:r w:rsidR="000354BC" w:rsidRPr="000354BC">
        <w:rPr>
          <w:rFonts w:asciiTheme="minorHAnsi" w:hAnsiTheme="minorHAnsi"/>
          <w:lang w:val="fr-FR"/>
        </w:rPr>
        <w:t xml:space="preserve"> transferts au Comité permanent à sa réunion</w:t>
      </w:r>
      <w:r w:rsidR="00B8120D">
        <w:rPr>
          <w:rFonts w:asciiTheme="minorHAnsi" w:hAnsiTheme="minorHAnsi"/>
          <w:lang w:val="fr-FR"/>
        </w:rPr>
        <w:t xml:space="preserve"> suivante</w:t>
      </w:r>
      <w:r w:rsidR="000354BC" w:rsidRPr="000354BC">
        <w:rPr>
          <w:rFonts w:asciiTheme="minorHAnsi" w:hAnsiTheme="minorHAnsi"/>
          <w:lang w:val="fr-FR"/>
        </w:rPr>
        <w:t xml:space="preserve">. </w:t>
      </w:r>
    </w:p>
    <w:p w14:paraId="5CA136BE" w14:textId="77777777" w:rsidR="000354BC" w:rsidRPr="000354BC" w:rsidRDefault="000354BC" w:rsidP="000354BC">
      <w:pPr>
        <w:rPr>
          <w:rFonts w:asciiTheme="minorHAnsi" w:hAnsiTheme="minorHAnsi"/>
          <w:lang w:val="fr-FR"/>
        </w:rPr>
      </w:pPr>
    </w:p>
    <w:p w14:paraId="1ABBE903" w14:textId="504ABC45" w:rsidR="00B32E40" w:rsidRPr="00246D37" w:rsidRDefault="000354BC" w:rsidP="000354B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</w:t>
      </w:r>
      <w:r w:rsidR="00B8120D">
        <w:rPr>
          <w:rFonts w:asciiTheme="minorHAnsi" w:hAnsiTheme="minorHAnsi"/>
          <w:lang w:val="fr-FR"/>
        </w:rPr>
        <w:t>3</w:t>
      </w:r>
      <w:r>
        <w:rPr>
          <w:rFonts w:asciiTheme="minorHAnsi" w:hAnsiTheme="minorHAnsi"/>
          <w:lang w:val="fr-FR"/>
        </w:rPr>
        <w:t>.</w:t>
      </w:r>
      <w:r>
        <w:rPr>
          <w:rFonts w:asciiTheme="minorHAnsi" w:hAnsiTheme="minorHAnsi"/>
          <w:lang w:val="fr-FR"/>
        </w:rPr>
        <w:tab/>
      </w:r>
      <w:r w:rsidR="00583728" w:rsidRPr="00583728">
        <w:rPr>
          <w:rFonts w:asciiTheme="minorHAnsi" w:hAnsiTheme="minorHAnsi"/>
          <w:lang w:val="fr-FR"/>
        </w:rPr>
        <w:t>DÉCIDE que la contribution de chaque Partie contr</w:t>
      </w:r>
      <w:r w:rsidR="00583728">
        <w:rPr>
          <w:rFonts w:asciiTheme="minorHAnsi" w:hAnsiTheme="minorHAnsi"/>
          <w:lang w:val="fr-FR"/>
        </w:rPr>
        <w:t>actante au budget administratif</w:t>
      </w:r>
      <w:r w:rsidR="00583728" w:rsidRPr="00583728">
        <w:rPr>
          <w:rFonts w:asciiTheme="minorHAnsi" w:hAnsiTheme="minorHAnsi"/>
          <w:lang w:val="fr-FR"/>
        </w:rPr>
        <w:t xml:space="preserve"> devra </w:t>
      </w:r>
      <w:r w:rsidR="00104A02" w:rsidRPr="00583728">
        <w:rPr>
          <w:rFonts w:asciiTheme="minorHAnsi" w:hAnsiTheme="minorHAnsi"/>
          <w:lang w:val="fr-FR"/>
        </w:rPr>
        <w:t>être</w:t>
      </w:r>
      <w:r w:rsidR="00583728" w:rsidRPr="00583728">
        <w:rPr>
          <w:rFonts w:asciiTheme="minorHAnsi" w:hAnsiTheme="minorHAnsi"/>
          <w:lang w:val="fr-FR"/>
        </w:rPr>
        <w:t xml:space="preserve"> conforme au </w:t>
      </w:r>
      <w:r w:rsidR="00104A02" w:rsidRPr="00583728">
        <w:rPr>
          <w:rFonts w:asciiTheme="minorHAnsi" w:hAnsiTheme="minorHAnsi"/>
          <w:lang w:val="fr-FR"/>
        </w:rPr>
        <w:t>barème</w:t>
      </w:r>
      <w:r w:rsidR="00583728" w:rsidRPr="00583728">
        <w:rPr>
          <w:rFonts w:asciiTheme="minorHAnsi" w:hAnsiTheme="minorHAnsi"/>
          <w:lang w:val="fr-FR"/>
        </w:rPr>
        <w:t xml:space="preserve"> des quotes-parts</w:t>
      </w:r>
      <w:r w:rsidR="00583728">
        <w:rPr>
          <w:rFonts w:asciiTheme="minorHAnsi" w:hAnsiTheme="minorHAnsi"/>
          <w:lang w:val="fr-FR"/>
        </w:rPr>
        <w:t xml:space="preserve"> le plus récent</w:t>
      </w:r>
      <w:r w:rsidR="00583728" w:rsidRPr="00583728">
        <w:rPr>
          <w:rFonts w:asciiTheme="minorHAnsi" w:hAnsiTheme="minorHAnsi"/>
          <w:lang w:val="fr-FR"/>
        </w:rPr>
        <w:t xml:space="preserve"> applicable aux contributions </w:t>
      </w:r>
      <w:r w:rsidR="00104A02" w:rsidRPr="00583728">
        <w:rPr>
          <w:rFonts w:asciiTheme="minorHAnsi" w:hAnsiTheme="minorHAnsi"/>
          <w:lang w:val="fr-FR"/>
        </w:rPr>
        <w:t>versées</w:t>
      </w:r>
      <w:r w:rsidR="00583728" w:rsidRPr="00583728">
        <w:rPr>
          <w:rFonts w:asciiTheme="minorHAnsi" w:hAnsiTheme="minorHAnsi"/>
          <w:lang w:val="fr-FR"/>
        </w:rPr>
        <w:t xml:space="preserve"> par les </w:t>
      </w:r>
      <w:r w:rsidR="00104A02" w:rsidRPr="00583728">
        <w:rPr>
          <w:rFonts w:asciiTheme="minorHAnsi" w:hAnsiTheme="minorHAnsi"/>
          <w:lang w:val="fr-FR"/>
        </w:rPr>
        <w:t>États</w:t>
      </w:r>
      <w:r w:rsidR="00583728" w:rsidRPr="00583728">
        <w:rPr>
          <w:rFonts w:asciiTheme="minorHAnsi" w:hAnsiTheme="minorHAnsi"/>
          <w:lang w:val="fr-FR"/>
        </w:rPr>
        <w:t xml:space="preserve"> Membres au budget des Nations Unies, tel qu’approuvé par l’</w:t>
      </w:r>
      <w:r w:rsidR="00104A02" w:rsidRPr="00583728">
        <w:rPr>
          <w:rFonts w:asciiTheme="minorHAnsi" w:hAnsiTheme="minorHAnsi"/>
          <w:lang w:val="fr-FR"/>
        </w:rPr>
        <w:t>Assemblée</w:t>
      </w:r>
      <w:r w:rsidR="00583728" w:rsidRPr="00583728">
        <w:rPr>
          <w:rFonts w:asciiTheme="minorHAnsi" w:hAnsiTheme="minorHAnsi"/>
          <w:lang w:val="fr-FR"/>
        </w:rPr>
        <w:t xml:space="preserve"> </w:t>
      </w:r>
      <w:r w:rsidR="00104A02" w:rsidRPr="00583728">
        <w:rPr>
          <w:rFonts w:asciiTheme="minorHAnsi" w:hAnsiTheme="minorHAnsi"/>
          <w:lang w:val="fr-FR"/>
        </w:rPr>
        <w:t>générale</w:t>
      </w:r>
      <w:r w:rsidR="00583728" w:rsidRPr="00583728">
        <w:rPr>
          <w:rFonts w:asciiTheme="minorHAnsi" w:hAnsiTheme="minorHAnsi"/>
          <w:lang w:val="fr-FR"/>
        </w:rPr>
        <w:t xml:space="preserve"> des Nations Unies, sauf pour les Parties contractantes dont les contributions annuelles au budget administratif de la Convention de Ramsar </w:t>
      </w:r>
      <w:r w:rsidR="00672438">
        <w:rPr>
          <w:rFonts w:asciiTheme="minorHAnsi" w:hAnsiTheme="minorHAnsi"/>
          <w:lang w:val="fr-FR"/>
        </w:rPr>
        <w:t>seraient inférieures à</w:t>
      </w:r>
      <w:r w:rsidR="00583728" w:rsidRPr="00583728">
        <w:rPr>
          <w:rFonts w:asciiTheme="minorHAnsi" w:hAnsiTheme="minorHAnsi"/>
          <w:lang w:val="fr-FR"/>
        </w:rPr>
        <w:t xml:space="preserve"> 1000 CHF une fois appliqué le </w:t>
      </w:r>
      <w:r w:rsidR="00104A02" w:rsidRPr="00583728">
        <w:rPr>
          <w:rFonts w:asciiTheme="minorHAnsi" w:hAnsiTheme="minorHAnsi"/>
          <w:lang w:val="fr-FR"/>
        </w:rPr>
        <w:t>barème</w:t>
      </w:r>
      <w:r w:rsidR="00583728" w:rsidRPr="00583728">
        <w:rPr>
          <w:rFonts w:asciiTheme="minorHAnsi" w:hAnsiTheme="minorHAnsi"/>
          <w:lang w:val="fr-FR"/>
        </w:rPr>
        <w:t xml:space="preserve"> des Nations Unies, auquel cas leur contribution annuelle sera de ce </w:t>
      </w:r>
      <w:r w:rsidR="00104A02" w:rsidRPr="00583728">
        <w:rPr>
          <w:rFonts w:asciiTheme="minorHAnsi" w:hAnsiTheme="minorHAnsi"/>
          <w:lang w:val="fr-FR"/>
        </w:rPr>
        <w:t>même</w:t>
      </w:r>
      <w:r w:rsidR="00583728" w:rsidRPr="00583728">
        <w:rPr>
          <w:rFonts w:asciiTheme="minorHAnsi" w:hAnsiTheme="minorHAnsi"/>
          <w:lang w:val="fr-FR"/>
        </w:rPr>
        <w:t xml:space="preserve"> montant.</w:t>
      </w:r>
      <w:r w:rsidR="00B32E40" w:rsidRPr="00246D37">
        <w:rPr>
          <w:rFonts w:asciiTheme="minorHAnsi" w:hAnsiTheme="minorHAnsi"/>
          <w:lang w:val="fr-FR"/>
        </w:rPr>
        <w:t xml:space="preserve"> </w:t>
      </w:r>
    </w:p>
    <w:p w14:paraId="35E6CF3D" w14:textId="77777777" w:rsidR="00B32E40" w:rsidRPr="00246D37" w:rsidRDefault="00B32E40" w:rsidP="005152AD">
      <w:pPr>
        <w:rPr>
          <w:rFonts w:asciiTheme="minorHAnsi" w:hAnsiTheme="minorHAnsi"/>
          <w:lang w:val="fr-FR"/>
        </w:rPr>
      </w:pPr>
    </w:p>
    <w:p w14:paraId="72A92502" w14:textId="06E638B5" w:rsidR="00B32E40" w:rsidRPr="00246D37" w:rsidRDefault="00B60AA4" w:rsidP="005152AD">
      <w:pPr>
        <w:rPr>
          <w:rFonts w:asciiTheme="minorHAnsi" w:hAnsiTheme="minorHAnsi"/>
          <w:lang w:val="fr-FR"/>
        </w:rPr>
      </w:pPr>
      <w:bookmarkStart w:id="1" w:name="OLE_LINK6"/>
      <w:r>
        <w:rPr>
          <w:rFonts w:asciiTheme="minorHAnsi" w:hAnsiTheme="minorHAnsi"/>
          <w:lang w:val="fr-FR"/>
        </w:rPr>
        <w:t>2</w:t>
      </w:r>
      <w:r w:rsidR="00B8120D">
        <w:rPr>
          <w:rFonts w:asciiTheme="minorHAnsi" w:hAnsiTheme="minorHAnsi"/>
          <w:lang w:val="fr-FR"/>
        </w:rPr>
        <w:t>4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912E1E" w:rsidRPr="00912E1E">
        <w:rPr>
          <w:rFonts w:asciiTheme="minorHAnsi" w:hAnsiTheme="minorHAnsi"/>
          <w:lang w:val="fr-FR"/>
        </w:rPr>
        <w:t>PRIE INSTAMMENT toutes les Parties contractantes de s’acquitter promptement de leur contribution avant le 1</w:t>
      </w:r>
      <w:r w:rsidR="00912E1E" w:rsidRPr="00672438">
        <w:rPr>
          <w:rFonts w:asciiTheme="minorHAnsi" w:hAnsiTheme="minorHAnsi"/>
          <w:vertAlign w:val="superscript"/>
          <w:lang w:val="fr-FR"/>
        </w:rPr>
        <w:t>er</w:t>
      </w:r>
      <w:r w:rsidR="00912E1E" w:rsidRPr="00912E1E">
        <w:rPr>
          <w:rFonts w:asciiTheme="minorHAnsi" w:hAnsiTheme="minorHAnsi"/>
          <w:lang w:val="fr-FR"/>
        </w:rPr>
        <w:t xml:space="preserve"> janvier de chaque </w:t>
      </w:r>
      <w:r w:rsidR="00104A02" w:rsidRPr="00912E1E">
        <w:rPr>
          <w:rFonts w:asciiTheme="minorHAnsi" w:hAnsiTheme="minorHAnsi"/>
          <w:lang w:val="fr-FR"/>
        </w:rPr>
        <w:t>année</w:t>
      </w:r>
      <w:r w:rsidR="00912E1E" w:rsidRPr="00912E1E">
        <w:rPr>
          <w:rFonts w:asciiTheme="minorHAnsi" w:hAnsiTheme="minorHAnsi"/>
          <w:lang w:val="fr-FR"/>
        </w:rPr>
        <w:t xml:space="preserve">, ou </w:t>
      </w:r>
      <w:r w:rsidR="00104A02" w:rsidRPr="00912E1E">
        <w:rPr>
          <w:rFonts w:asciiTheme="minorHAnsi" w:hAnsiTheme="minorHAnsi"/>
          <w:lang w:val="fr-FR"/>
        </w:rPr>
        <w:t>dès</w:t>
      </w:r>
      <w:r w:rsidR="00912E1E" w:rsidRPr="00912E1E">
        <w:rPr>
          <w:rFonts w:asciiTheme="minorHAnsi" w:hAnsiTheme="minorHAnsi"/>
          <w:lang w:val="fr-FR"/>
        </w:rPr>
        <w:t xml:space="preserve"> que le cycle </w:t>
      </w:r>
      <w:r w:rsidR="00104A02" w:rsidRPr="00912E1E">
        <w:rPr>
          <w:rFonts w:asciiTheme="minorHAnsi" w:hAnsiTheme="minorHAnsi"/>
          <w:lang w:val="fr-FR"/>
        </w:rPr>
        <w:t>budgétaire</w:t>
      </w:r>
      <w:r w:rsidR="00912E1E" w:rsidRPr="00912E1E">
        <w:rPr>
          <w:rFonts w:asciiTheme="minorHAnsi" w:hAnsiTheme="minorHAnsi"/>
          <w:lang w:val="fr-FR"/>
        </w:rPr>
        <w:t xml:space="preserve"> des pays </w:t>
      </w:r>
      <w:r w:rsidR="00104A02" w:rsidRPr="00912E1E">
        <w:rPr>
          <w:rFonts w:asciiTheme="minorHAnsi" w:hAnsiTheme="minorHAnsi"/>
          <w:lang w:val="fr-FR"/>
        </w:rPr>
        <w:t>concernés</w:t>
      </w:r>
      <w:r w:rsidR="00912E1E" w:rsidRPr="00912E1E">
        <w:rPr>
          <w:rFonts w:asciiTheme="minorHAnsi" w:hAnsiTheme="minorHAnsi"/>
          <w:lang w:val="fr-FR"/>
        </w:rPr>
        <w:t xml:space="preserve"> le permettra.</w:t>
      </w:r>
    </w:p>
    <w:p w14:paraId="5DFDB35D" w14:textId="77777777" w:rsidR="00B32E40" w:rsidRPr="00246D37" w:rsidRDefault="00B32E40" w:rsidP="005152AD">
      <w:pPr>
        <w:rPr>
          <w:rFonts w:asciiTheme="minorHAnsi" w:hAnsiTheme="minorHAnsi"/>
          <w:lang w:val="fr-FR"/>
        </w:rPr>
      </w:pPr>
    </w:p>
    <w:p w14:paraId="68D6D784" w14:textId="2EF03D13" w:rsidR="00B32E40" w:rsidRDefault="00B60AA4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</w:t>
      </w:r>
      <w:r w:rsidR="00B8120D">
        <w:rPr>
          <w:rFonts w:asciiTheme="minorHAnsi" w:hAnsiTheme="minorHAnsi"/>
          <w:lang w:val="fr-FR"/>
        </w:rPr>
        <w:t>5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C53BC4" w:rsidRPr="00C53BC4">
        <w:rPr>
          <w:rFonts w:asciiTheme="minorHAnsi" w:hAnsiTheme="minorHAnsi"/>
          <w:lang w:val="fr-FR"/>
        </w:rPr>
        <w:t xml:space="preserve">EXHORTE les Parties contractantes ayant des </w:t>
      </w:r>
      <w:r w:rsidR="00104A02" w:rsidRPr="00C53BC4">
        <w:rPr>
          <w:rFonts w:asciiTheme="minorHAnsi" w:hAnsiTheme="minorHAnsi"/>
          <w:lang w:val="fr-FR"/>
        </w:rPr>
        <w:t>arriérés</w:t>
      </w:r>
      <w:r w:rsidR="00C53BC4" w:rsidRPr="00C53BC4">
        <w:rPr>
          <w:rFonts w:asciiTheme="minorHAnsi" w:hAnsiTheme="minorHAnsi"/>
          <w:lang w:val="fr-FR"/>
        </w:rPr>
        <w:t xml:space="preserve"> de contributions à redoubler d’efforts pour les </w:t>
      </w:r>
      <w:r w:rsidR="00104A02" w:rsidRPr="00C53BC4">
        <w:rPr>
          <w:rFonts w:asciiTheme="minorHAnsi" w:hAnsiTheme="minorHAnsi"/>
          <w:lang w:val="fr-FR"/>
        </w:rPr>
        <w:t>régler</w:t>
      </w:r>
      <w:r w:rsidR="00C53BC4" w:rsidRPr="00C53BC4">
        <w:rPr>
          <w:rFonts w:asciiTheme="minorHAnsi" w:hAnsiTheme="minorHAnsi"/>
          <w:lang w:val="fr-FR"/>
        </w:rPr>
        <w:t xml:space="preserve"> le plus rapidement possible afin de renforcer la </w:t>
      </w:r>
      <w:r w:rsidR="00104A02" w:rsidRPr="00C53BC4">
        <w:rPr>
          <w:rFonts w:asciiTheme="minorHAnsi" w:hAnsiTheme="minorHAnsi"/>
          <w:lang w:val="fr-FR"/>
        </w:rPr>
        <w:t>viabilit</w:t>
      </w:r>
      <w:r w:rsidR="00B8120D">
        <w:rPr>
          <w:rFonts w:asciiTheme="minorHAnsi" w:hAnsiTheme="minorHAnsi"/>
          <w:lang w:val="fr-FR"/>
        </w:rPr>
        <w:t>é</w:t>
      </w:r>
      <w:r w:rsidR="00C53BC4" w:rsidRPr="00C53BC4">
        <w:rPr>
          <w:rFonts w:asciiTheme="minorHAnsi" w:hAnsiTheme="minorHAnsi"/>
          <w:lang w:val="fr-FR"/>
        </w:rPr>
        <w:t xml:space="preserve"> </w:t>
      </w:r>
      <w:r w:rsidR="00104A02" w:rsidRPr="00C53BC4">
        <w:rPr>
          <w:rFonts w:asciiTheme="minorHAnsi" w:hAnsiTheme="minorHAnsi"/>
          <w:lang w:val="fr-FR"/>
        </w:rPr>
        <w:t>financière</w:t>
      </w:r>
      <w:r w:rsidR="00C53BC4" w:rsidRPr="00C53BC4">
        <w:rPr>
          <w:rFonts w:asciiTheme="minorHAnsi" w:hAnsiTheme="minorHAnsi"/>
          <w:lang w:val="fr-FR"/>
        </w:rPr>
        <w:t xml:space="preserve"> de la Convention </w:t>
      </w:r>
      <w:r w:rsidR="00104A02" w:rsidRPr="00C53BC4">
        <w:rPr>
          <w:rFonts w:asciiTheme="minorHAnsi" w:hAnsiTheme="minorHAnsi"/>
          <w:lang w:val="fr-FR"/>
        </w:rPr>
        <w:t>grâce</w:t>
      </w:r>
      <w:r w:rsidR="00C53BC4" w:rsidRPr="00C53BC4">
        <w:rPr>
          <w:rFonts w:asciiTheme="minorHAnsi" w:hAnsiTheme="minorHAnsi"/>
          <w:lang w:val="fr-FR"/>
        </w:rPr>
        <w:t xml:space="preserve"> aux contributions de tout</w:t>
      </w:r>
      <w:r w:rsidR="00B8120D">
        <w:rPr>
          <w:rFonts w:asciiTheme="minorHAnsi" w:hAnsiTheme="minorHAnsi"/>
          <w:lang w:val="fr-FR"/>
        </w:rPr>
        <w:t>es les Parties contractantes</w:t>
      </w:r>
      <w:r>
        <w:rPr>
          <w:rFonts w:asciiTheme="minorHAnsi" w:hAnsiTheme="minorHAnsi"/>
          <w:lang w:val="fr-FR"/>
        </w:rPr>
        <w:t>;</w:t>
      </w:r>
      <w:r w:rsidR="00C53BC4" w:rsidRPr="00C53BC4">
        <w:rPr>
          <w:rFonts w:asciiTheme="minorHAnsi" w:hAnsiTheme="minorHAnsi"/>
          <w:lang w:val="fr-FR"/>
        </w:rPr>
        <w:t xml:space="preserve"> </w:t>
      </w:r>
      <w:r w:rsidR="00B8120D">
        <w:rPr>
          <w:rFonts w:asciiTheme="minorHAnsi" w:hAnsiTheme="minorHAnsi"/>
          <w:lang w:val="fr-FR"/>
        </w:rPr>
        <w:t>CHARGE le</w:t>
      </w:r>
      <w:r w:rsidR="00C53BC4" w:rsidRPr="00C53BC4">
        <w:rPr>
          <w:rFonts w:asciiTheme="minorHAnsi" w:hAnsiTheme="minorHAnsi"/>
          <w:lang w:val="fr-FR"/>
        </w:rPr>
        <w:t xml:space="preserve"> </w:t>
      </w:r>
      <w:r w:rsidR="00104A02" w:rsidRPr="00C53BC4">
        <w:rPr>
          <w:rFonts w:asciiTheme="minorHAnsi" w:hAnsiTheme="minorHAnsi"/>
          <w:lang w:val="fr-FR"/>
        </w:rPr>
        <w:t>Secrétariat</w:t>
      </w:r>
      <w:r w:rsidR="00C53BC4" w:rsidRPr="00C53BC4">
        <w:rPr>
          <w:rFonts w:asciiTheme="minorHAnsi" w:hAnsiTheme="minorHAnsi"/>
          <w:lang w:val="fr-FR"/>
        </w:rPr>
        <w:t xml:space="preserve"> de contacter les Parties contractantes ayant des </w:t>
      </w:r>
      <w:r w:rsidR="00104A02" w:rsidRPr="00C53BC4">
        <w:rPr>
          <w:rFonts w:asciiTheme="minorHAnsi" w:hAnsiTheme="minorHAnsi"/>
          <w:lang w:val="fr-FR"/>
        </w:rPr>
        <w:t>arriérés</w:t>
      </w:r>
      <w:r w:rsidR="00C53BC4" w:rsidRPr="00C53BC4">
        <w:rPr>
          <w:rFonts w:asciiTheme="minorHAnsi" w:hAnsiTheme="minorHAnsi"/>
          <w:lang w:val="fr-FR"/>
        </w:rPr>
        <w:t xml:space="preserve"> de contributions </w:t>
      </w:r>
      <w:r w:rsidR="00104A02" w:rsidRPr="00C53BC4">
        <w:rPr>
          <w:rFonts w:asciiTheme="minorHAnsi" w:hAnsiTheme="minorHAnsi"/>
          <w:lang w:val="fr-FR"/>
        </w:rPr>
        <w:t>supérieurs</w:t>
      </w:r>
      <w:r w:rsidR="00C53BC4" w:rsidRPr="00C53BC4">
        <w:rPr>
          <w:rFonts w:asciiTheme="minorHAnsi" w:hAnsiTheme="minorHAnsi"/>
          <w:lang w:val="fr-FR"/>
        </w:rPr>
        <w:t xml:space="preserve"> à trois ans </w:t>
      </w:r>
      <w:r w:rsidR="008B24AA">
        <w:rPr>
          <w:rFonts w:asciiTheme="minorHAnsi" w:hAnsiTheme="minorHAnsi"/>
          <w:lang w:val="fr-FR"/>
        </w:rPr>
        <w:t xml:space="preserve">et de les aider à identifier </w:t>
      </w:r>
      <w:r w:rsidR="00C53BC4" w:rsidRPr="00C53BC4">
        <w:rPr>
          <w:rFonts w:asciiTheme="minorHAnsi" w:hAnsiTheme="minorHAnsi"/>
          <w:lang w:val="fr-FR"/>
        </w:rPr>
        <w:t xml:space="preserve">les </w:t>
      </w:r>
      <w:r w:rsidR="008B24AA">
        <w:rPr>
          <w:rFonts w:asciiTheme="minorHAnsi" w:hAnsiTheme="minorHAnsi"/>
          <w:lang w:val="fr-FR"/>
        </w:rPr>
        <w:t xml:space="preserve">options possibles </w:t>
      </w:r>
      <w:r w:rsidR="00C53BC4" w:rsidRPr="00C53BC4">
        <w:rPr>
          <w:rFonts w:asciiTheme="minorHAnsi" w:hAnsiTheme="minorHAnsi"/>
          <w:lang w:val="fr-FR"/>
        </w:rPr>
        <w:t xml:space="preserve">pour </w:t>
      </w:r>
      <w:r w:rsidR="00104A02" w:rsidRPr="00C53BC4">
        <w:rPr>
          <w:rFonts w:asciiTheme="minorHAnsi" w:hAnsiTheme="minorHAnsi"/>
          <w:lang w:val="fr-FR"/>
        </w:rPr>
        <w:t>remédier</w:t>
      </w:r>
      <w:r w:rsidR="00C53BC4" w:rsidRPr="00C53BC4">
        <w:rPr>
          <w:rFonts w:asciiTheme="minorHAnsi" w:hAnsiTheme="minorHAnsi"/>
          <w:lang w:val="fr-FR"/>
        </w:rPr>
        <w:t xml:space="preserve"> à cette situation et mettre en place un </w:t>
      </w:r>
      <w:r w:rsidR="00104A02" w:rsidRPr="00C53BC4">
        <w:rPr>
          <w:rFonts w:asciiTheme="minorHAnsi" w:hAnsiTheme="minorHAnsi"/>
          <w:lang w:val="fr-FR"/>
        </w:rPr>
        <w:t>échéancier</w:t>
      </w:r>
      <w:r w:rsidR="00C53BC4" w:rsidRPr="00C53BC4">
        <w:rPr>
          <w:rFonts w:asciiTheme="minorHAnsi" w:hAnsiTheme="minorHAnsi"/>
          <w:lang w:val="fr-FR"/>
        </w:rPr>
        <w:t xml:space="preserve"> de paiements, et de rendre compte </w:t>
      </w:r>
      <w:r w:rsidR="00B8120D">
        <w:rPr>
          <w:rFonts w:asciiTheme="minorHAnsi" w:hAnsiTheme="minorHAnsi"/>
          <w:lang w:val="fr-FR"/>
        </w:rPr>
        <w:t>à</w:t>
      </w:r>
      <w:r w:rsidR="00C53BC4" w:rsidRPr="00C53BC4">
        <w:rPr>
          <w:rFonts w:asciiTheme="minorHAnsi" w:hAnsiTheme="minorHAnsi"/>
          <w:lang w:val="fr-FR"/>
        </w:rPr>
        <w:t xml:space="preserve"> chaque </w:t>
      </w:r>
      <w:r w:rsidR="00104A02" w:rsidRPr="00C53BC4">
        <w:rPr>
          <w:rFonts w:asciiTheme="minorHAnsi" w:hAnsiTheme="minorHAnsi"/>
          <w:lang w:val="fr-FR"/>
        </w:rPr>
        <w:t>réunion</w:t>
      </w:r>
      <w:r w:rsidR="00C53BC4" w:rsidRPr="00C53BC4">
        <w:rPr>
          <w:rFonts w:asciiTheme="minorHAnsi" w:hAnsiTheme="minorHAnsi"/>
          <w:lang w:val="fr-FR"/>
        </w:rPr>
        <w:t xml:space="preserve"> du </w:t>
      </w:r>
      <w:r w:rsidR="00B8120D" w:rsidRPr="00C53BC4">
        <w:rPr>
          <w:rFonts w:asciiTheme="minorHAnsi" w:hAnsiTheme="minorHAnsi"/>
          <w:lang w:val="fr-FR"/>
        </w:rPr>
        <w:t>Comit</w:t>
      </w:r>
      <w:r w:rsidR="00B8120D">
        <w:rPr>
          <w:rFonts w:asciiTheme="minorHAnsi" w:hAnsiTheme="minorHAnsi"/>
          <w:lang w:val="fr-FR"/>
        </w:rPr>
        <w:t>é</w:t>
      </w:r>
      <w:r w:rsidR="00C53BC4" w:rsidRPr="00C53BC4">
        <w:rPr>
          <w:rFonts w:asciiTheme="minorHAnsi" w:hAnsiTheme="minorHAnsi"/>
          <w:lang w:val="fr-FR"/>
        </w:rPr>
        <w:t xml:space="preserve"> permanent et à chaque session de la </w:t>
      </w:r>
      <w:r w:rsidR="00104A02" w:rsidRPr="00C53BC4">
        <w:rPr>
          <w:rFonts w:asciiTheme="minorHAnsi" w:hAnsiTheme="minorHAnsi"/>
          <w:lang w:val="fr-FR"/>
        </w:rPr>
        <w:t>Conférence</w:t>
      </w:r>
      <w:r w:rsidR="00C53BC4" w:rsidRPr="00C53BC4">
        <w:rPr>
          <w:rFonts w:asciiTheme="minorHAnsi" w:hAnsiTheme="minorHAnsi"/>
          <w:lang w:val="fr-FR"/>
        </w:rPr>
        <w:t xml:space="preserve"> des Parties </w:t>
      </w:r>
      <w:r w:rsidR="00672438">
        <w:rPr>
          <w:rFonts w:asciiTheme="minorHAnsi" w:hAnsiTheme="minorHAnsi"/>
          <w:lang w:val="fr-FR"/>
        </w:rPr>
        <w:t xml:space="preserve">contractantes </w:t>
      </w:r>
      <w:r w:rsidR="00C53BC4" w:rsidRPr="00C53BC4">
        <w:rPr>
          <w:rFonts w:asciiTheme="minorHAnsi" w:hAnsiTheme="minorHAnsi"/>
          <w:lang w:val="fr-FR"/>
        </w:rPr>
        <w:t xml:space="preserve">des </w:t>
      </w:r>
      <w:r w:rsidR="00104A02" w:rsidRPr="00C53BC4">
        <w:rPr>
          <w:rFonts w:asciiTheme="minorHAnsi" w:hAnsiTheme="minorHAnsi"/>
          <w:lang w:val="fr-FR"/>
        </w:rPr>
        <w:t>activités</w:t>
      </w:r>
      <w:r w:rsidR="00C53BC4" w:rsidRPr="00C53BC4">
        <w:rPr>
          <w:rFonts w:asciiTheme="minorHAnsi" w:hAnsiTheme="minorHAnsi"/>
          <w:lang w:val="fr-FR"/>
        </w:rPr>
        <w:t xml:space="preserve"> entreprises en la </w:t>
      </w:r>
      <w:r w:rsidR="00104A02" w:rsidRPr="00C53BC4">
        <w:rPr>
          <w:rFonts w:asciiTheme="minorHAnsi" w:hAnsiTheme="minorHAnsi"/>
          <w:lang w:val="fr-FR"/>
        </w:rPr>
        <w:t>mat</w:t>
      </w:r>
      <w:r w:rsidR="00104A02">
        <w:rPr>
          <w:rFonts w:asciiTheme="minorHAnsi" w:hAnsiTheme="minorHAnsi"/>
          <w:lang w:val="fr-FR"/>
        </w:rPr>
        <w:t>ière</w:t>
      </w:r>
      <w:r w:rsidR="00C53BC4">
        <w:rPr>
          <w:rFonts w:asciiTheme="minorHAnsi" w:hAnsiTheme="minorHAnsi"/>
          <w:lang w:val="fr-FR"/>
        </w:rPr>
        <w:t xml:space="preserve"> et des </w:t>
      </w:r>
      <w:r w:rsidR="00104A02">
        <w:rPr>
          <w:rFonts w:asciiTheme="minorHAnsi" w:hAnsiTheme="minorHAnsi"/>
          <w:lang w:val="fr-FR"/>
        </w:rPr>
        <w:t>résultats</w:t>
      </w:r>
      <w:r w:rsidR="00B8120D">
        <w:rPr>
          <w:rFonts w:asciiTheme="minorHAnsi" w:hAnsiTheme="minorHAnsi"/>
          <w:lang w:val="fr-FR"/>
        </w:rPr>
        <w:t xml:space="preserve"> obtenus</w:t>
      </w:r>
      <w:r w:rsidR="00C53BC4">
        <w:rPr>
          <w:rFonts w:asciiTheme="minorHAnsi" w:hAnsiTheme="minorHAnsi"/>
          <w:lang w:val="fr-FR"/>
        </w:rPr>
        <w:t xml:space="preserve">; et </w:t>
      </w:r>
      <w:r w:rsidR="00B8120D">
        <w:rPr>
          <w:rFonts w:asciiTheme="minorHAnsi" w:hAnsiTheme="minorHAnsi"/>
          <w:lang w:val="fr-FR"/>
        </w:rPr>
        <w:t>DÉCIDE</w:t>
      </w:r>
      <w:r w:rsidR="00137731">
        <w:rPr>
          <w:rFonts w:asciiTheme="minorHAnsi" w:hAnsiTheme="minorHAnsi"/>
          <w:lang w:val="fr-FR"/>
        </w:rPr>
        <w:t xml:space="preserve"> que le Comité permanent doit continuer à examiner les mesures qui s’imposent concernant les Parties</w:t>
      </w:r>
      <w:r w:rsidR="00672438">
        <w:rPr>
          <w:rFonts w:asciiTheme="minorHAnsi" w:hAnsiTheme="minorHAnsi"/>
          <w:lang w:val="fr-FR"/>
        </w:rPr>
        <w:t xml:space="preserve"> contractantes </w:t>
      </w:r>
      <w:r w:rsidR="00137731">
        <w:rPr>
          <w:rFonts w:asciiTheme="minorHAnsi" w:hAnsiTheme="minorHAnsi"/>
          <w:lang w:val="fr-FR"/>
        </w:rPr>
        <w:t xml:space="preserve">qui n’ont ni payé leurs arriérés de contribution ni soumis un échéancier de paiement à cette fin. </w:t>
      </w:r>
    </w:p>
    <w:p w14:paraId="522BF738" w14:textId="77777777" w:rsidR="00D7662E" w:rsidRDefault="00D7662E" w:rsidP="005152AD">
      <w:pPr>
        <w:rPr>
          <w:rFonts w:asciiTheme="minorHAnsi" w:hAnsiTheme="minorHAnsi"/>
          <w:lang w:val="fr-FR"/>
        </w:rPr>
      </w:pPr>
    </w:p>
    <w:p w14:paraId="26B101AB" w14:textId="5163C3B0" w:rsidR="00D7662E" w:rsidRDefault="00D7662E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</w:t>
      </w:r>
      <w:r w:rsidR="00B8120D">
        <w:rPr>
          <w:rFonts w:asciiTheme="minorHAnsi" w:hAnsiTheme="minorHAnsi"/>
          <w:lang w:val="fr-FR"/>
        </w:rPr>
        <w:t>6</w:t>
      </w:r>
      <w:r>
        <w:rPr>
          <w:rFonts w:asciiTheme="minorHAnsi" w:hAnsiTheme="minorHAnsi"/>
          <w:lang w:val="fr-FR"/>
        </w:rPr>
        <w:t xml:space="preserve">. </w:t>
      </w:r>
      <w:r>
        <w:rPr>
          <w:rFonts w:asciiTheme="minorHAnsi" w:hAnsiTheme="minorHAnsi"/>
          <w:lang w:val="fr-FR"/>
        </w:rPr>
        <w:tab/>
      </w:r>
      <w:r w:rsidRPr="00D7662E">
        <w:rPr>
          <w:rFonts w:asciiTheme="minorHAnsi" w:hAnsiTheme="minorHAnsi"/>
          <w:lang w:val="fr-FR"/>
        </w:rPr>
        <w:t xml:space="preserve">DEMANDE aux représentants régionaux </w:t>
      </w:r>
      <w:r w:rsidR="00B8120D">
        <w:rPr>
          <w:rFonts w:asciiTheme="minorHAnsi" w:hAnsiTheme="minorHAnsi"/>
          <w:lang w:val="fr-FR"/>
        </w:rPr>
        <w:t>a</w:t>
      </w:r>
      <w:r w:rsidRPr="00D7662E">
        <w:rPr>
          <w:rFonts w:asciiTheme="minorHAnsi" w:hAnsiTheme="minorHAnsi"/>
          <w:lang w:val="fr-FR"/>
        </w:rPr>
        <w:t xml:space="preserve">u Comité permanent d'inciter les Parties </w:t>
      </w:r>
      <w:r w:rsidR="00672438">
        <w:rPr>
          <w:rFonts w:asciiTheme="minorHAnsi" w:hAnsiTheme="minorHAnsi"/>
          <w:lang w:val="fr-FR"/>
        </w:rPr>
        <w:t xml:space="preserve">contractantes </w:t>
      </w:r>
      <w:r w:rsidRPr="00D7662E">
        <w:rPr>
          <w:rFonts w:asciiTheme="minorHAnsi" w:hAnsiTheme="minorHAnsi"/>
          <w:lang w:val="fr-FR"/>
        </w:rPr>
        <w:t>de leurs régions respectives ayant des contributions non acquittées à identifier les options appropriées pour rectifier la situation.</w:t>
      </w:r>
    </w:p>
    <w:p w14:paraId="2E87D970" w14:textId="77777777" w:rsidR="00D7662E" w:rsidRDefault="00D7662E" w:rsidP="005152AD">
      <w:pPr>
        <w:rPr>
          <w:rFonts w:asciiTheme="minorHAnsi" w:hAnsiTheme="minorHAnsi"/>
          <w:lang w:val="fr-FR"/>
        </w:rPr>
      </w:pPr>
    </w:p>
    <w:p w14:paraId="76BBF53C" w14:textId="4B066D04" w:rsidR="00D7662E" w:rsidRDefault="00D7662E" w:rsidP="00D7662E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</w:t>
      </w:r>
      <w:r w:rsidR="00B8120D">
        <w:rPr>
          <w:rFonts w:asciiTheme="minorHAnsi" w:hAnsiTheme="minorHAnsi"/>
          <w:lang w:val="fr-FR"/>
        </w:rPr>
        <w:t>7</w:t>
      </w:r>
      <w:r>
        <w:rPr>
          <w:rFonts w:asciiTheme="minorHAnsi" w:hAnsiTheme="minorHAnsi"/>
          <w:lang w:val="fr-FR"/>
        </w:rPr>
        <w:t xml:space="preserve">. </w:t>
      </w:r>
      <w:bookmarkEnd w:id="1"/>
      <w:r>
        <w:rPr>
          <w:rFonts w:asciiTheme="minorHAnsi" w:hAnsiTheme="minorHAnsi"/>
          <w:lang w:val="fr-FR"/>
        </w:rPr>
        <w:t xml:space="preserve">  </w:t>
      </w:r>
      <w:r w:rsidR="00BC5266" w:rsidRPr="00BC5266">
        <w:rPr>
          <w:rFonts w:asciiTheme="minorHAnsi" w:hAnsiTheme="minorHAnsi"/>
          <w:lang w:val="fr-FR"/>
        </w:rPr>
        <w:t xml:space="preserve">PREND NOTE AVEC PRÉOCCUPATION de la </w:t>
      </w:r>
      <w:r>
        <w:rPr>
          <w:rFonts w:asciiTheme="minorHAnsi" w:hAnsiTheme="minorHAnsi"/>
          <w:lang w:val="fr-FR"/>
        </w:rPr>
        <w:t>situation concernant l</w:t>
      </w:r>
      <w:r w:rsidR="00BC5266" w:rsidRPr="00BC5266">
        <w:rPr>
          <w:rFonts w:asciiTheme="minorHAnsi" w:hAnsiTheme="minorHAnsi"/>
          <w:lang w:val="fr-FR"/>
        </w:rPr>
        <w:t>es contributions volont</w:t>
      </w:r>
      <w:r w:rsidR="00BC5266">
        <w:rPr>
          <w:rFonts w:asciiTheme="minorHAnsi" w:hAnsiTheme="minorHAnsi"/>
          <w:lang w:val="fr-FR"/>
        </w:rPr>
        <w:t xml:space="preserve">aires des Parties contractantes et </w:t>
      </w:r>
      <w:r>
        <w:rPr>
          <w:rFonts w:asciiTheme="minorHAnsi" w:hAnsiTheme="minorHAnsi"/>
          <w:lang w:val="fr-FR"/>
        </w:rPr>
        <w:t>ENCOURAGE</w:t>
      </w:r>
      <w:r w:rsidR="00BC5266" w:rsidRPr="00BC5266">
        <w:rPr>
          <w:rFonts w:asciiTheme="minorHAnsi" w:hAnsiTheme="minorHAnsi"/>
          <w:lang w:val="fr-FR"/>
        </w:rPr>
        <w:t xml:space="preserve"> les Parti</w:t>
      </w:r>
      <w:r>
        <w:rPr>
          <w:rFonts w:asciiTheme="minorHAnsi" w:hAnsiTheme="minorHAnsi"/>
          <w:lang w:val="fr-FR"/>
        </w:rPr>
        <w:t>es contractantes, entre autres, à augmenter ces contributions.</w:t>
      </w:r>
    </w:p>
    <w:p w14:paraId="7CAB8655" w14:textId="77777777" w:rsidR="00D7662E" w:rsidRDefault="00D7662E" w:rsidP="00D7662E">
      <w:pPr>
        <w:rPr>
          <w:rFonts w:asciiTheme="minorHAnsi" w:hAnsiTheme="minorHAnsi"/>
          <w:lang w:val="fr-FR"/>
        </w:rPr>
      </w:pPr>
    </w:p>
    <w:p w14:paraId="02E7FCD2" w14:textId="56E4DB26" w:rsidR="000D0488" w:rsidRDefault="00D7662E" w:rsidP="00D7662E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</w:t>
      </w:r>
      <w:r w:rsidR="00B8120D">
        <w:rPr>
          <w:rFonts w:asciiTheme="minorHAnsi" w:hAnsiTheme="minorHAnsi"/>
          <w:lang w:val="fr-FR"/>
        </w:rPr>
        <w:t>8</w:t>
      </w:r>
      <w:r>
        <w:rPr>
          <w:rFonts w:asciiTheme="minorHAnsi" w:hAnsiTheme="minorHAnsi"/>
          <w:lang w:val="fr-FR"/>
        </w:rPr>
        <w:t xml:space="preserve">. </w:t>
      </w:r>
      <w:r>
        <w:rPr>
          <w:rFonts w:asciiTheme="minorHAnsi" w:hAnsiTheme="minorHAnsi"/>
          <w:lang w:val="fr-FR"/>
        </w:rPr>
        <w:tab/>
      </w:r>
      <w:r w:rsidRPr="00EA2C55">
        <w:rPr>
          <w:rFonts w:asciiTheme="minorHAnsi" w:hAnsiTheme="minorHAnsi"/>
          <w:lang w:val="fr-FR"/>
        </w:rPr>
        <w:t xml:space="preserve">CONVIENT de mettre fin au </w:t>
      </w:r>
      <w:r w:rsidR="00B8120D">
        <w:rPr>
          <w:rFonts w:asciiTheme="minorHAnsi" w:hAnsiTheme="minorHAnsi"/>
          <w:lang w:val="fr-FR"/>
        </w:rPr>
        <w:t>p</w:t>
      </w:r>
      <w:r w:rsidRPr="00EA2C55">
        <w:rPr>
          <w:rFonts w:asciiTheme="minorHAnsi" w:hAnsiTheme="minorHAnsi"/>
          <w:lang w:val="fr-FR"/>
        </w:rPr>
        <w:t>rogramme du Fonds de petites subventions et EXPRIME sa gratitude aux gouvernements des États-Unis d'Amérique</w:t>
      </w:r>
      <w:r>
        <w:rPr>
          <w:rFonts w:asciiTheme="minorHAnsi" w:hAnsiTheme="minorHAnsi"/>
          <w:lang w:val="fr-FR"/>
        </w:rPr>
        <w:t>,</w:t>
      </w:r>
      <w:r w:rsidRPr="00EA2C55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de la Suisse et à</w:t>
      </w:r>
      <w:r w:rsidRPr="00EA2C55">
        <w:rPr>
          <w:rFonts w:asciiTheme="minorHAnsi" w:hAnsiTheme="minorHAnsi"/>
          <w:lang w:val="fr-FR"/>
        </w:rPr>
        <w:t xml:space="preserve"> Danone, à la Fondation MAVA et à la Nagao </w:t>
      </w:r>
      <w:r>
        <w:rPr>
          <w:rFonts w:asciiTheme="minorHAnsi" w:hAnsiTheme="minorHAnsi"/>
          <w:lang w:val="fr-FR"/>
        </w:rPr>
        <w:t xml:space="preserve">Natural Environment Foundation </w:t>
      </w:r>
      <w:r w:rsidRPr="00EA2C55">
        <w:rPr>
          <w:rFonts w:asciiTheme="minorHAnsi" w:hAnsiTheme="minorHAnsi"/>
          <w:lang w:val="fr-FR"/>
        </w:rPr>
        <w:t xml:space="preserve">pour leurs contributions volontaires aux activités non </w:t>
      </w:r>
      <w:r>
        <w:rPr>
          <w:rFonts w:asciiTheme="minorHAnsi" w:hAnsiTheme="minorHAnsi"/>
          <w:lang w:val="fr-FR"/>
        </w:rPr>
        <w:t xml:space="preserve">administratives </w:t>
      </w:r>
      <w:r w:rsidRPr="00EA2C55">
        <w:rPr>
          <w:rFonts w:asciiTheme="minorHAnsi" w:hAnsiTheme="minorHAnsi"/>
          <w:lang w:val="fr-FR"/>
        </w:rPr>
        <w:t xml:space="preserve">de la Convention, à savoir la </w:t>
      </w:r>
      <w:r w:rsidRPr="00BE4231">
        <w:rPr>
          <w:rFonts w:asciiTheme="minorHAnsi" w:hAnsiTheme="minorHAnsi"/>
          <w:lang w:val="fr-FR"/>
        </w:rPr>
        <w:t xml:space="preserve">Subvention suisse </w:t>
      </w:r>
      <w:r w:rsidRPr="00BE4231">
        <w:rPr>
          <w:rFonts w:asciiTheme="minorHAnsi" w:hAnsiTheme="minorHAnsi"/>
          <w:lang w:val="fr-FR"/>
        </w:rPr>
        <w:lastRenderedPageBreak/>
        <w:t xml:space="preserve">pour l’Afrique, </w:t>
      </w:r>
      <w:r w:rsidR="000D0488">
        <w:rPr>
          <w:rFonts w:asciiTheme="minorHAnsi" w:hAnsiTheme="minorHAnsi"/>
          <w:lang w:val="fr-FR"/>
        </w:rPr>
        <w:t xml:space="preserve">le </w:t>
      </w:r>
      <w:r w:rsidR="00B8120D">
        <w:rPr>
          <w:rFonts w:asciiTheme="minorHAnsi" w:hAnsiTheme="minorHAnsi"/>
          <w:lang w:val="fr-FR"/>
        </w:rPr>
        <w:t xml:space="preserve">fonds </w:t>
      </w:r>
      <w:r w:rsidRPr="00BE4231">
        <w:rPr>
          <w:rFonts w:asciiTheme="minorHAnsi" w:hAnsiTheme="minorHAnsi"/>
          <w:lang w:val="fr-FR"/>
        </w:rPr>
        <w:t>Wetlands for the Future</w:t>
      </w:r>
      <w:r w:rsidR="006B7315">
        <w:rPr>
          <w:rFonts w:asciiTheme="minorHAnsi" w:hAnsiTheme="minorHAnsi"/>
          <w:lang w:val="fr-FR"/>
        </w:rPr>
        <w:t xml:space="preserve">, la Journée mondiale des zones humides, </w:t>
      </w:r>
      <w:r w:rsidR="000D0488">
        <w:rPr>
          <w:rFonts w:asciiTheme="minorHAnsi" w:hAnsiTheme="minorHAnsi"/>
          <w:lang w:val="fr-FR"/>
        </w:rPr>
        <w:t>l</w:t>
      </w:r>
      <w:r w:rsidR="00F931C4">
        <w:rPr>
          <w:rFonts w:asciiTheme="minorHAnsi" w:hAnsiTheme="minorHAnsi"/>
          <w:lang w:val="fr-FR"/>
        </w:rPr>
        <w:t>a</w:t>
      </w:r>
      <w:r w:rsidR="000D0488">
        <w:rPr>
          <w:rFonts w:asciiTheme="minorHAnsi" w:hAnsiTheme="minorHAnsi"/>
          <w:lang w:val="fr-FR"/>
        </w:rPr>
        <w:t xml:space="preserve"> </w:t>
      </w:r>
      <w:r w:rsidR="00F931C4" w:rsidRPr="00F931C4">
        <w:rPr>
          <w:rFonts w:asciiTheme="minorHAnsi" w:hAnsiTheme="minorHAnsi"/>
          <w:lang w:val="fr-FR"/>
        </w:rPr>
        <w:t xml:space="preserve">Conservation du patrimoine naturel et culturel des zones humides </w:t>
      </w:r>
      <w:r w:rsidRPr="00EA2C55">
        <w:rPr>
          <w:rFonts w:asciiTheme="minorHAnsi" w:hAnsiTheme="minorHAnsi"/>
          <w:lang w:val="fr-FR"/>
        </w:rPr>
        <w:t>et le Nagao</w:t>
      </w:r>
      <w:r>
        <w:rPr>
          <w:rFonts w:asciiTheme="minorHAnsi" w:hAnsiTheme="minorHAnsi"/>
          <w:lang w:val="fr-FR"/>
        </w:rPr>
        <w:t xml:space="preserve"> Wetland Fund</w:t>
      </w:r>
      <w:r w:rsidR="000D0488">
        <w:rPr>
          <w:rFonts w:asciiTheme="minorHAnsi" w:hAnsiTheme="minorHAnsi"/>
          <w:lang w:val="fr-FR"/>
        </w:rPr>
        <w:t>, respectivement.</w:t>
      </w:r>
    </w:p>
    <w:p w14:paraId="7FA12E71" w14:textId="77777777" w:rsidR="000D0488" w:rsidRDefault="000D0488" w:rsidP="00D7662E">
      <w:pPr>
        <w:rPr>
          <w:rFonts w:asciiTheme="minorHAnsi" w:hAnsiTheme="minorHAnsi"/>
          <w:lang w:val="fr-FR"/>
        </w:rPr>
      </w:pPr>
    </w:p>
    <w:p w14:paraId="1084B806" w14:textId="7241BB68" w:rsidR="000D0488" w:rsidRPr="000D0488" w:rsidRDefault="000D0488" w:rsidP="000D0488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</w:t>
      </w:r>
      <w:r w:rsidR="00B8120D">
        <w:rPr>
          <w:rFonts w:asciiTheme="minorHAnsi" w:hAnsiTheme="minorHAnsi"/>
          <w:lang w:val="fr-FR"/>
        </w:rPr>
        <w:t>9</w:t>
      </w:r>
      <w:r>
        <w:rPr>
          <w:rFonts w:asciiTheme="minorHAnsi" w:hAnsiTheme="minorHAnsi"/>
          <w:lang w:val="fr-FR"/>
        </w:rPr>
        <w:t xml:space="preserve">.  </w:t>
      </w:r>
      <w:r>
        <w:rPr>
          <w:rFonts w:asciiTheme="minorHAnsi" w:hAnsiTheme="minorHAnsi"/>
          <w:lang w:val="fr-FR"/>
        </w:rPr>
        <w:tab/>
        <w:t>RÉAFFIRME la décision prise à la COP11 (</w:t>
      </w:r>
      <w:r w:rsidR="00E51232">
        <w:rPr>
          <w:rFonts w:asciiTheme="minorHAnsi" w:hAnsiTheme="minorHAnsi"/>
          <w:lang w:val="fr-FR"/>
        </w:rPr>
        <w:t xml:space="preserve">dans la </w:t>
      </w:r>
      <w:r>
        <w:rPr>
          <w:rFonts w:asciiTheme="minorHAnsi" w:hAnsiTheme="minorHAnsi"/>
          <w:lang w:val="fr-FR"/>
        </w:rPr>
        <w:t>Résolution XI.2</w:t>
      </w:r>
      <w:r w:rsidR="00E51232">
        <w:rPr>
          <w:rFonts w:asciiTheme="minorHAnsi" w:hAnsiTheme="minorHAnsi"/>
          <w:lang w:val="fr-FR"/>
        </w:rPr>
        <w:t xml:space="preserve">, </w:t>
      </w:r>
      <w:r w:rsidR="00E51232" w:rsidRPr="00E51232">
        <w:rPr>
          <w:rFonts w:asciiTheme="minorHAnsi" w:hAnsiTheme="minorHAnsi"/>
          <w:i/>
          <w:lang w:val="fr-FR"/>
        </w:rPr>
        <w:t>Questions financières et budgétaires</w:t>
      </w:r>
      <w:r>
        <w:rPr>
          <w:rFonts w:asciiTheme="minorHAnsi" w:hAnsiTheme="minorHAnsi"/>
          <w:lang w:val="fr-FR"/>
        </w:rPr>
        <w:t xml:space="preserve">) selon laquelle </w:t>
      </w:r>
      <w:r w:rsidRPr="000D0488">
        <w:rPr>
          <w:rFonts w:asciiTheme="minorHAnsi" w:hAnsiTheme="minorHAnsi"/>
          <w:lang w:val="fr-FR"/>
        </w:rPr>
        <w:t xml:space="preserve">le Fonds de réserve : </w:t>
      </w:r>
    </w:p>
    <w:p w14:paraId="4E947A0C" w14:textId="723E41CF" w:rsidR="000D0488" w:rsidRPr="00F931C4" w:rsidRDefault="000D0488" w:rsidP="00391DC7">
      <w:pPr>
        <w:pStyle w:val="MGfulltext"/>
        <w:numPr>
          <w:ilvl w:val="1"/>
          <w:numId w:val="30"/>
        </w:numPr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  <w:lang w:val="fr-FR"/>
        </w:rPr>
      </w:pP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>pare aux dé</w:t>
      </w:r>
      <w:r w:rsidR="00E51232">
        <w:rPr>
          <w:rFonts w:asciiTheme="minorHAnsi" w:eastAsia="Batang" w:hAnsiTheme="minorHAnsi" w:cs="Times New Roman"/>
          <w:sz w:val="22"/>
          <w:szCs w:val="22"/>
          <w:lang w:val="fr-FR"/>
        </w:rPr>
        <w:t>penses imprévues et inévitables</w:t>
      </w: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>;</w:t>
      </w:r>
    </w:p>
    <w:p w14:paraId="311AFD38" w14:textId="28B95222" w:rsidR="000D0488" w:rsidRPr="00F931C4" w:rsidRDefault="000D0488" w:rsidP="00391DC7">
      <w:pPr>
        <w:pStyle w:val="MGfulltext"/>
        <w:numPr>
          <w:ilvl w:val="1"/>
          <w:numId w:val="30"/>
        </w:numPr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  <w:lang w:val="fr-FR"/>
        </w:rPr>
      </w:pP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>absorbe les excédents (ou les déficits) du budget admini</w:t>
      </w:r>
      <w:r w:rsidR="00E51232">
        <w:rPr>
          <w:rFonts w:asciiTheme="minorHAnsi" w:eastAsia="Batang" w:hAnsiTheme="minorHAnsi" w:cs="Times New Roman"/>
          <w:sz w:val="22"/>
          <w:szCs w:val="22"/>
          <w:lang w:val="fr-FR"/>
        </w:rPr>
        <w:t>stratif de la période triennale</w:t>
      </w: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>;</w:t>
      </w:r>
    </w:p>
    <w:p w14:paraId="73712588" w14:textId="28930DE2" w:rsidR="000D0488" w:rsidRPr="00F931C4" w:rsidRDefault="000D0488" w:rsidP="00391DC7">
      <w:pPr>
        <w:pStyle w:val="MGfulltext"/>
        <w:numPr>
          <w:ilvl w:val="1"/>
          <w:numId w:val="30"/>
        </w:numPr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  <w:lang w:val="fr-FR"/>
        </w:rPr>
      </w:pP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>s’établit à 6% au minimum et 15% au maximum du budget admini</w:t>
      </w:r>
      <w:r w:rsidR="00E51232">
        <w:rPr>
          <w:rFonts w:asciiTheme="minorHAnsi" w:eastAsia="Batang" w:hAnsiTheme="minorHAnsi" w:cs="Times New Roman"/>
          <w:sz w:val="22"/>
          <w:szCs w:val="22"/>
          <w:lang w:val="fr-FR"/>
        </w:rPr>
        <w:t>stratif annuel de la Convention</w:t>
      </w: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>;</w:t>
      </w:r>
      <w:r w:rsidR="00E51232">
        <w:rPr>
          <w:rFonts w:asciiTheme="minorHAnsi" w:eastAsia="Batang" w:hAnsiTheme="minorHAnsi" w:cs="Times New Roman"/>
          <w:sz w:val="22"/>
          <w:szCs w:val="22"/>
          <w:lang w:val="fr-FR"/>
        </w:rPr>
        <w:t xml:space="preserve"> et</w:t>
      </w:r>
    </w:p>
    <w:p w14:paraId="309DEA2F" w14:textId="29EB324A" w:rsidR="000D0488" w:rsidRPr="00F931C4" w:rsidRDefault="000D0488" w:rsidP="00391DC7">
      <w:pPr>
        <w:pStyle w:val="MGfulltext"/>
        <w:numPr>
          <w:ilvl w:val="1"/>
          <w:numId w:val="30"/>
        </w:numPr>
        <w:spacing w:after="0"/>
        <w:ind w:left="850" w:hanging="425"/>
        <w:rPr>
          <w:rFonts w:asciiTheme="minorHAnsi" w:eastAsia="Batang" w:hAnsiTheme="minorHAnsi" w:cs="Times New Roman"/>
          <w:sz w:val="22"/>
          <w:szCs w:val="22"/>
          <w:lang w:val="fr-FR"/>
        </w:rPr>
      </w:pP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>est administré par la Secrétaire générale avec l'approbation du Sous-groupe sur les finances</w:t>
      </w:r>
      <w:r w:rsidR="0036179C" w:rsidRPr="00F931C4">
        <w:rPr>
          <w:rFonts w:asciiTheme="minorHAnsi" w:eastAsia="Batang" w:hAnsiTheme="minorHAnsi" w:cs="Times New Roman"/>
          <w:sz w:val="22"/>
          <w:szCs w:val="22"/>
          <w:lang w:val="fr-FR"/>
        </w:rPr>
        <w:t xml:space="preserve"> établi par le Comité</w:t>
      </w:r>
      <w:r w:rsidRPr="00F931C4">
        <w:rPr>
          <w:rFonts w:asciiTheme="minorHAnsi" w:eastAsia="Batang" w:hAnsiTheme="minorHAnsi" w:cs="Times New Roman"/>
          <w:sz w:val="22"/>
          <w:szCs w:val="22"/>
          <w:lang w:val="fr-FR"/>
        </w:rPr>
        <w:t xml:space="preserve"> permanent.</w:t>
      </w:r>
    </w:p>
    <w:p w14:paraId="6A9A6C45" w14:textId="77777777" w:rsidR="004C619E" w:rsidRDefault="004C619E" w:rsidP="004C619E">
      <w:pPr>
        <w:ind w:left="1440" w:firstLine="0"/>
        <w:rPr>
          <w:rFonts w:asciiTheme="minorHAnsi" w:hAnsiTheme="minorHAnsi"/>
          <w:lang w:val="fr-FR"/>
        </w:rPr>
      </w:pPr>
    </w:p>
    <w:p w14:paraId="413890B9" w14:textId="58EE9426" w:rsidR="004C619E" w:rsidRDefault="00E51232" w:rsidP="004C619E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30</w:t>
      </w:r>
      <w:r w:rsidR="004C619E">
        <w:rPr>
          <w:rFonts w:asciiTheme="minorHAnsi" w:hAnsiTheme="minorHAnsi"/>
          <w:lang w:val="fr-FR"/>
        </w:rPr>
        <w:t xml:space="preserve">.   </w:t>
      </w:r>
      <w:r w:rsidR="004C619E" w:rsidRPr="00192E44">
        <w:rPr>
          <w:rFonts w:asciiTheme="minorHAnsi" w:hAnsiTheme="minorHAnsi"/>
          <w:lang w:val="fr-FR"/>
        </w:rPr>
        <w:t xml:space="preserve">DEMANDE au Secrétariat de tout mettre en œuvre pour </w:t>
      </w:r>
      <w:r w:rsidR="004C619E">
        <w:rPr>
          <w:rFonts w:asciiTheme="minorHAnsi" w:hAnsiTheme="minorHAnsi"/>
          <w:lang w:val="fr-FR"/>
        </w:rPr>
        <w:t>maintenir</w:t>
      </w:r>
      <w:r w:rsidR="004C619E" w:rsidRPr="004C619E">
        <w:rPr>
          <w:rFonts w:asciiTheme="minorHAnsi" w:hAnsiTheme="minorHAnsi"/>
          <w:lang w:val="fr-FR"/>
        </w:rPr>
        <w:t xml:space="preserve"> </w:t>
      </w:r>
      <w:r w:rsidR="004C619E" w:rsidRPr="00192E44">
        <w:rPr>
          <w:rFonts w:asciiTheme="minorHAnsi" w:hAnsiTheme="minorHAnsi"/>
          <w:lang w:val="fr-FR"/>
        </w:rPr>
        <w:t>le Fonds de réserve</w:t>
      </w:r>
      <w:r w:rsidR="004C619E">
        <w:rPr>
          <w:rFonts w:asciiTheme="minorHAnsi" w:hAnsiTheme="minorHAnsi"/>
          <w:lang w:val="fr-FR"/>
        </w:rPr>
        <w:t xml:space="preserve"> pen</w:t>
      </w:r>
      <w:r w:rsidR="00672438">
        <w:rPr>
          <w:rFonts w:asciiTheme="minorHAnsi" w:hAnsiTheme="minorHAnsi"/>
          <w:lang w:val="fr-FR"/>
        </w:rPr>
        <w:t>dant la période triennale 2019-</w:t>
      </w:r>
      <w:r w:rsidR="004C619E">
        <w:rPr>
          <w:rFonts w:asciiTheme="minorHAnsi" w:hAnsiTheme="minorHAnsi"/>
          <w:lang w:val="fr-FR"/>
        </w:rPr>
        <w:t xml:space="preserve">2021, de </w:t>
      </w:r>
      <w:r w:rsidR="004C619E" w:rsidRPr="00192E44">
        <w:rPr>
          <w:rFonts w:asciiTheme="minorHAnsi" w:hAnsiTheme="minorHAnsi"/>
          <w:lang w:val="fr-FR"/>
        </w:rPr>
        <w:t>rendre compte une fois par an de la situation du Fonds au Comit</w:t>
      </w:r>
      <w:r>
        <w:rPr>
          <w:rFonts w:asciiTheme="minorHAnsi" w:hAnsiTheme="minorHAnsi"/>
          <w:lang w:val="fr-FR"/>
        </w:rPr>
        <w:t>é</w:t>
      </w:r>
      <w:r w:rsidR="004C619E" w:rsidRPr="00192E44">
        <w:rPr>
          <w:rFonts w:asciiTheme="minorHAnsi" w:hAnsiTheme="minorHAnsi"/>
          <w:lang w:val="fr-FR"/>
        </w:rPr>
        <w:t xml:space="preserve"> permanent et de demander son accord au Sous-groupe sur les finances avant toute utilisation du Fonds.</w:t>
      </w:r>
    </w:p>
    <w:p w14:paraId="711CAAB9" w14:textId="77777777" w:rsidR="00301D4B" w:rsidRDefault="00301D4B" w:rsidP="004C619E">
      <w:pPr>
        <w:rPr>
          <w:rFonts w:asciiTheme="minorHAnsi" w:hAnsiTheme="minorHAnsi"/>
          <w:lang w:val="fr-FR"/>
        </w:rPr>
      </w:pPr>
    </w:p>
    <w:p w14:paraId="73CE6201" w14:textId="1756195F" w:rsidR="00301D4B" w:rsidRDefault="00E51232" w:rsidP="004C619E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31</w:t>
      </w:r>
      <w:r w:rsidR="00301D4B">
        <w:rPr>
          <w:rFonts w:asciiTheme="minorHAnsi" w:hAnsiTheme="minorHAnsi"/>
          <w:lang w:val="fr-FR"/>
        </w:rPr>
        <w:t xml:space="preserve">. </w:t>
      </w:r>
      <w:r w:rsidR="00640993">
        <w:rPr>
          <w:rFonts w:asciiTheme="minorHAnsi" w:hAnsiTheme="minorHAnsi"/>
          <w:lang w:val="fr-FR"/>
        </w:rPr>
        <w:tab/>
        <w:t xml:space="preserve">AUTORISE également la </w:t>
      </w:r>
      <w:r w:rsidR="00640993" w:rsidRPr="00640993">
        <w:rPr>
          <w:rFonts w:asciiTheme="minorHAnsi" w:hAnsiTheme="minorHAnsi"/>
          <w:lang w:val="fr-FR"/>
        </w:rPr>
        <w:t>Secrétaire général</w:t>
      </w:r>
      <w:r w:rsidR="00640993">
        <w:rPr>
          <w:rFonts w:asciiTheme="minorHAnsi" w:hAnsiTheme="minorHAnsi"/>
          <w:lang w:val="fr-FR"/>
        </w:rPr>
        <w:t>e</w:t>
      </w:r>
      <w:r w:rsidR="00640993" w:rsidRPr="00640993">
        <w:rPr>
          <w:rFonts w:asciiTheme="minorHAnsi" w:hAnsiTheme="minorHAnsi"/>
          <w:lang w:val="fr-FR"/>
        </w:rPr>
        <w:t>, dans le</w:t>
      </w:r>
      <w:r w:rsidR="00640993">
        <w:rPr>
          <w:rFonts w:asciiTheme="minorHAnsi" w:hAnsiTheme="minorHAnsi"/>
          <w:lang w:val="fr-FR"/>
        </w:rPr>
        <w:t xml:space="preserve">s limites </w:t>
      </w:r>
      <w:r w:rsidR="00640993" w:rsidRPr="00640993">
        <w:rPr>
          <w:rFonts w:asciiTheme="minorHAnsi" w:hAnsiTheme="minorHAnsi"/>
          <w:lang w:val="fr-FR"/>
        </w:rPr>
        <w:t xml:space="preserve">des règles de </w:t>
      </w:r>
      <w:r w:rsidR="0061644B">
        <w:rPr>
          <w:rFonts w:asciiTheme="minorHAnsi" w:hAnsiTheme="minorHAnsi"/>
          <w:lang w:val="fr-FR"/>
        </w:rPr>
        <w:t>l'UICN, à ajuster les niveaux d</w:t>
      </w:r>
      <w:r w:rsidR="00640993" w:rsidRPr="00640993">
        <w:rPr>
          <w:rFonts w:asciiTheme="minorHAnsi" w:hAnsiTheme="minorHAnsi"/>
          <w:lang w:val="fr-FR"/>
        </w:rPr>
        <w:t>es effectifs</w:t>
      </w:r>
      <w:r w:rsidR="00385EC8">
        <w:rPr>
          <w:rFonts w:asciiTheme="minorHAnsi" w:hAnsiTheme="minorHAnsi"/>
          <w:lang w:val="fr-FR"/>
        </w:rPr>
        <w:t xml:space="preserve">, les </w:t>
      </w:r>
      <w:r w:rsidR="00672438">
        <w:rPr>
          <w:rFonts w:asciiTheme="minorHAnsi" w:hAnsiTheme="minorHAnsi"/>
          <w:lang w:val="fr-FR"/>
        </w:rPr>
        <w:t>chiffres</w:t>
      </w:r>
      <w:r w:rsidR="00640993" w:rsidRPr="00640993">
        <w:rPr>
          <w:rFonts w:asciiTheme="minorHAnsi" w:hAnsiTheme="minorHAnsi"/>
          <w:lang w:val="fr-FR"/>
        </w:rPr>
        <w:t xml:space="preserve"> et la structu</w:t>
      </w:r>
      <w:r w:rsidR="00385EC8">
        <w:rPr>
          <w:rFonts w:asciiTheme="minorHAnsi" w:hAnsiTheme="minorHAnsi"/>
          <w:lang w:val="fr-FR"/>
        </w:rPr>
        <w:t>re du Secrétariat figurant à l'a</w:t>
      </w:r>
      <w:r w:rsidR="00640993" w:rsidRPr="00640993">
        <w:rPr>
          <w:rFonts w:asciiTheme="minorHAnsi" w:hAnsiTheme="minorHAnsi"/>
          <w:lang w:val="fr-FR"/>
        </w:rPr>
        <w:t xml:space="preserve">nnexe 4, à condition </w:t>
      </w:r>
      <w:r>
        <w:rPr>
          <w:rFonts w:asciiTheme="minorHAnsi" w:hAnsiTheme="minorHAnsi"/>
          <w:lang w:val="fr-FR"/>
        </w:rPr>
        <w:t>que ces ajustements</w:t>
      </w:r>
      <w:r w:rsidR="00640993" w:rsidRPr="00640993">
        <w:rPr>
          <w:rFonts w:asciiTheme="minorHAnsi" w:hAnsiTheme="minorHAnsi"/>
          <w:lang w:val="fr-FR"/>
        </w:rPr>
        <w:t xml:space="preserve"> se situent dans les limites des coûts indiqués et </w:t>
      </w:r>
      <w:r w:rsidR="00385EC8">
        <w:rPr>
          <w:rFonts w:asciiTheme="minorHAnsi" w:hAnsiTheme="minorHAnsi"/>
          <w:lang w:val="fr-FR"/>
        </w:rPr>
        <w:t xml:space="preserve">soient </w:t>
      </w:r>
      <w:r w:rsidR="00640993" w:rsidRPr="00640993">
        <w:rPr>
          <w:rFonts w:asciiTheme="minorHAnsi" w:hAnsiTheme="minorHAnsi"/>
          <w:lang w:val="fr-FR"/>
        </w:rPr>
        <w:t>conform</w:t>
      </w:r>
      <w:r w:rsidR="00385EC8">
        <w:rPr>
          <w:rFonts w:asciiTheme="minorHAnsi" w:hAnsiTheme="minorHAnsi"/>
          <w:lang w:val="fr-FR"/>
        </w:rPr>
        <w:t>es</w:t>
      </w:r>
      <w:r w:rsidR="00640993" w:rsidRPr="00640993">
        <w:rPr>
          <w:rFonts w:asciiTheme="minorHAnsi" w:hAnsiTheme="minorHAnsi"/>
          <w:lang w:val="fr-FR"/>
        </w:rPr>
        <w:t xml:space="preserve"> à la </w:t>
      </w:r>
      <w:r w:rsidR="003241A1">
        <w:rPr>
          <w:rFonts w:asciiTheme="minorHAnsi" w:hAnsiTheme="minorHAnsi"/>
          <w:i/>
          <w:lang w:val="fr-FR"/>
        </w:rPr>
        <w:t>Délégation d'autorité au Secrétaire général de la Convention sur les zones humides</w:t>
      </w:r>
      <w:r w:rsidR="003241A1">
        <w:rPr>
          <w:rFonts w:asciiTheme="minorHAnsi" w:hAnsiTheme="minorHAnsi"/>
          <w:lang w:val="fr-FR"/>
        </w:rPr>
        <w:t xml:space="preserve"> de 1993 </w:t>
      </w:r>
      <w:r w:rsidR="00385EC8">
        <w:rPr>
          <w:rFonts w:asciiTheme="minorHAnsi" w:hAnsiTheme="minorHAnsi"/>
          <w:lang w:val="fr-FR"/>
        </w:rPr>
        <w:t xml:space="preserve">et à sa </w:t>
      </w:r>
      <w:r w:rsidRPr="003241A1">
        <w:rPr>
          <w:rFonts w:asciiTheme="minorHAnsi" w:hAnsiTheme="minorHAnsi"/>
          <w:i/>
          <w:lang w:val="fr-FR"/>
        </w:rPr>
        <w:t>N</w:t>
      </w:r>
      <w:r w:rsidR="00385EC8" w:rsidRPr="003241A1">
        <w:rPr>
          <w:rFonts w:asciiTheme="minorHAnsi" w:hAnsiTheme="minorHAnsi"/>
          <w:i/>
          <w:lang w:val="fr-FR"/>
        </w:rPr>
        <w:t>ote supplémentaire</w:t>
      </w:r>
      <w:r w:rsidR="00385EC8">
        <w:rPr>
          <w:rFonts w:asciiTheme="minorHAnsi" w:hAnsiTheme="minorHAnsi"/>
          <w:lang w:val="fr-FR"/>
        </w:rPr>
        <w:t>.</w:t>
      </w:r>
    </w:p>
    <w:p w14:paraId="54C7FA83" w14:textId="77777777" w:rsidR="00391DC7" w:rsidRDefault="00391DC7" w:rsidP="004C619E">
      <w:pPr>
        <w:rPr>
          <w:rFonts w:asciiTheme="minorHAnsi" w:hAnsiTheme="minorHAnsi"/>
          <w:lang w:val="fr-FR"/>
        </w:rPr>
      </w:pPr>
    </w:p>
    <w:p w14:paraId="00EA605B" w14:textId="7DCEEC37" w:rsidR="00385EC8" w:rsidRDefault="00096778" w:rsidP="001C7B17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32</w:t>
      </w:r>
      <w:r w:rsidR="00385EC8">
        <w:rPr>
          <w:rFonts w:asciiTheme="minorHAnsi" w:hAnsiTheme="minorHAnsi"/>
          <w:lang w:val="fr-FR"/>
        </w:rPr>
        <w:t xml:space="preserve">. </w:t>
      </w:r>
      <w:r w:rsidR="00385EC8">
        <w:rPr>
          <w:rFonts w:asciiTheme="minorHAnsi" w:hAnsiTheme="minorHAnsi"/>
          <w:lang w:val="fr-FR"/>
        </w:rPr>
        <w:tab/>
      </w:r>
      <w:r w:rsidR="00385EC8" w:rsidRPr="00385EC8">
        <w:rPr>
          <w:rFonts w:asciiTheme="minorHAnsi" w:hAnsiTheme="minorHAnsi"/>
          <w:lang w:val="fr-FR"/>
        </w:rPr>
        <w:t xml:space="preserve">NOTE </w:t>
      </w:r>
      <w:r w:rsidR="00672438" w:rsidRPr="00385EC8">
        <w:rPr>
          <w:rFonts w:asciiTheme="minorHAnsi" w:hAnsiTheme="minorHAnsi"/>
          <w:lang w:val="fr-FR"/>
        </w:rPr>
        <w:t xml:space="preserve">AVEC SATISFACTION </w:t>
      </w:r>
      <w:r w:rsidR="00385EC8" w:rsidRPr="00385EC8">
        <w:rPr>
          <w:rFonts w:asciiTheme="minorHAnsi" w:hAnsiTheme="minorHAnsi"/>
          <w:lang w:val="fr-FR"/>
        </w:rPr>
        <w:t xml:space="preserve">la transparence et la responsabilité concernant les </w:t>
      </w:r>
      <w:r w:rsidR="00385EC8">
        <w:rPr>
          <w:rFonts w:asciiTheme="minorHAnsi" w:hAnsiTheme="minorHAnsi"/>
          <w:lang w:val="fr-FR"/>
        </w:rPr>
        <w:t>opérations du Secrétariat que la</w:t>
      </w:r>
      <w:r w:rsidR="00385EC8" w:rsidRPr="00385EC8">
        <w:rPr>
          <w:rFonts w:asciiTheme="minorHAnsi" w:hAnsiTheme="minorHAnsi"/>
          <w:lang w:val="fr-FR"/>
        </w:rPr>
        <w:t xml:space="preserve"> Secrétaire général</w:t>
      </w:r>
      <w:r w:rsidR="00385EC8">
        <w:rPr>
          <w:rFonts w:asciiTheme="minorHAnsi" w:hAnsiTheme="minorHAnsi"/>
          <w:lang w:val="fr-FR"/>
        </w:rPr>
        <w:t>e</w:t>
      </w:r>
      <w:r w:rsidR="00385EC8" w:rsidRPr="00385EC8">
        <w:rPr>
          <w:rFonts w:asciiTheme="minorHAnsi" w:hAnsiTheme="minorHAnsi"/>
          <w:lang w:val="fr-FR"/>
        </w:rPr>
        <w:t xml:space="preserve"> a encouragées au cours de la période triennale </w:t>
      </w:r>
      <w:r w:rsidR="003241A1">
        <w:rPr>
          <w:rFonts w:asciiTheme="minorHAnsi" w:hAnsiTheme="minorHAnsi"/>
          <w:lang w:val="fr-FR"/>
        </w:rPr>
        <w:t>écoulée</w:t>
      </w:r>
      <w:r w:rsidR="00385EC8" w:rsidRPr="00385EC8">
        <w:rPr>
          <w:rFonts w:asciiTheme="minorHAnsi" w:hAnsiTheme="minorHAnsi"/>
          <w:lang w:val="fr-FR"/>
        </w:rPr>
        <w:t xml:space="preserve"> et DEMANDE, afin de renf</w:t>
      </w:r>
      <w:r w:rsidR="00385EC8">
        <w:rPr>
          <w:rFonts w:asciiTheme="minorHAnsi" w:hAnsiTheme="minorHAnsi"/>
          <w:lang w:val="fr-FR"/>
        </w:rPr>
        <w:t xml:space="preserve">orcer encore ces efforts, que </w:t>
      </w:r>
      <w:r w:rsidR="003241A1">
        <w:rPr>
          <w:rFonts w:asciiTheme="minorHAnsi" w:hAnsiTheme="minorHAnsi"/>
          <w:lang w:val="fr-FR"/>
        </w:rPr>
        <w:t>le</w:t>
      </w:r>
      <w:r w:rsidR="00385EC8" w:rsidRPr="00385EC8">
        <w:rPr>
          <w:rFonts w:asciiTheme="minorHAnsi" w:hAnsiTheme="minorHAnsi"/>
          <w:lang w:val="fr-FR"/>
        </w:rPr>
        <w:t xml:space="preserve"> Secrét</w:t>
      </w:r>
      <w:r w:rsidR="003241A1">
        <w:rPr>
          <w:rFonts w:asciiTheme="minorHAnsi" w:hAnsiTheme="minorHAnsi"/>
          <w:lang w:val="fr-FR"/>
        </w:rPr>
        <w:t>ariat établisse</w:t>
      </w:r>
      <w:r w:rsidR="00385EC8" w:rsidRPr="00385EC8">
        <w:rPr>
          <w:rFonts w:asciiTheme="minorHAnsi" w:hAnsiTheme="minorHAnsi"/>
          <w:lang w:val="fr-FR"/>
        </w:rPr>
        <w:t xml:space="preserve"> une </w:t>
      </w:r>
      <w:r w:rsidR="003241A1">
        <w:rPr>
          <w:rFonts w:asciiTheme="minorHAnsi" w:hAnsiTheme="minorHAnsi"/>
          <w:lang w:val="fr-FR"/>
        </w:rPr>
        <w:t>section sur le</w:t>
      </w:r>
      <w:r w:rsidR="00385EC8" w:rsidRPr="00385EC8">
        <w:rPr>
          <w:rFonts w:asciiTheme="minorHAnsi" w:hAnsiTheme="minorHAnsi"/>
          <w:lang w:val="fr-FR"/>
        </w:rPr>
        <w:t xml:space="preserve"> site </w:t>
      </w:r>
      <w:r w:rsidR="003241A1">
        <w:rPr>
          <w:rFonts w:asciiTheme="minorHAnsi" w:hAnsiTheme="minorHAnsi"/>
          <w:lang w:val="fr-FR"/>
        </w:rPr>
        <w:t>w</w:t>
      </w:r>
      <w:r w:rsidR="00385EC8" w:rsidRPr="00385EC8">
        <w:rPr>
          <w:rFonts w:asciiTheme="minorHAnsi" w:hAnsiTheme="minorHAnsi"/>
          <w:lang w:val="fr-FR"/>
        </w:rPr>
        <w:t xml:space="preserve">eb de la Convention </w:t>
      </w:r>
      <w:r w:rsidR="00385EC8">
        <w:rPr>
          <w:rFonts w:asciiTheme="minorHAnsi" w:hAnsiTheme="minorHAnsi"/>
          <w:lang w:val="fr-FR"/>
        </w:rPr>
        <w:t xml:space="preserve">pour </w:t>
      </w:r>
      <w:r w:rsidR="003241A1">
        <w:rPr>
          <w:rFonts w:asciiTheme="minorHAnsi" w:hAnsiTheme="minorHAnsi"/>
          <w:lang w:val="fr-FR"/>
        </w:rPr>
        <w:t>publier</w:t>
      </w:r>
      <w:r w:rsidR="00385EC8" w:rsidRPr="00385EC8">
        <w:rPr>
          <w:rFonts w:asciiTheme="minorHAnsi" w:hAnsiTheme="minorHAnsi"/>
          <w:lang w:val="fr-FR"/>
        </w:rPr>
        <w:t xml:space="preserve"> des informations visant à </w:t>
      </w:r>
      <w:r w:rsidR="00385EC8">
        <w:rPr>
          <w:rFonts w:asciiTheme="minorHAnsi" w:hAnsiTheme="minorHAnsi"/>
          <w:lang w:val="fr-FR"/>
        </w:rPr>
        <w:t xml:space="preserve">garantir </w:t>
      </w:r>
      <w:r w:rsidR="00385EC8" w:rsidRPr="00385EC8">
        <w:rPr>
          <w:rFonts w:asciiTheme="minorHAnsi" w:hAnsiTheme="minorHAnsi"/>
          <w:lang w:val="fr-FR"/>
        </w:rPr>
        <w:t xml:space="preserve">la transparence et la responsabilité, </w:t>
      </w:r>
      <w:r w:rsidR="00BC0FBE">
        <w:rPr>
          <w:rFonts w:asciiTheme="minorHAnsi" w:hAnsiTheme="minorHAnsi"/>
          <w:lang w:val="fr-FR"/>
        </w:rPr>
        <w:t xml:space="preserve">notamment </w:t>
      </w:r>
      <w:r w:rsidR="00385EC8" w:rsidRPr="00385EC8">
        <w:rPr>
          <w:rFonts w:asciiTheme="minorHAnsi" w:hAnsiTheme="minorHAnsi"/>
          <w:lang w:val="fr-FR"/>
        </w:rPr>
        <w:t xml:space="preserve">les rapports d'audit </w:t>
      </w:r>
      <w:r w:rsidR="00BC0FBE">
        <w:rPr>
          <w:rFonts w:asciiTheme="minorHAnsi" w:hAnsiTheme="minorHAnsi"/>
          <w:lang w:val="fr-FR"/>
        </w:rPr>
        <w:t xml:space="preserve">achevés et </w:t>
      </w:r>
      <w:r w:rsidR="00385EC8" w:rsidRPr="00385EC8">
        <w:rPr>
          <w:rFonts w:asciiTheme="minorHAnsi" w:hAnsiTheme="minorHAnsi"/>
          <w:lang w:val="fr-FR"/>
        </w:rPr>
        <w:t>acceptés</w:t>
      </w:r>
      <w:r w:rsidR="003241A1">
        <w:rPr>
          <w:rFonts w:asciiTheme="minorHAnsi" w:hAnsiTheme="minorHAnsi"/>
          <w:lang w:val="fr-FR"/>
        </w:rPr>
        <w:t>;</w:t>
      </w:r>
      <w:r w:rsidR="00385EC8" w:rsidRPr="00385EC8">
        <w:rPr>
          <w:rFonts w:asciiTheme="minorHAnsi" w:hAnsiTheme="minorHAnsi"/>
          <w:lang w:val="fr-FR"/>
        </w:rPr>
        <w:t xml:space="preserve"> les règles et règlements fin</w:t>
      </w:r>
      <w:r w:rsidR="00BC0FBE">
        <w:rPr>
          <w:rFonts w:asciiTheme="minorHAnsi" w:hAnsiTheme="minorHAnsi"/>
          <w:lang w:val="fr-FR"/>
        </w:rPr>
        <w:t>anciers</w:t>
      </w:r>
      <w:r w:rsidR="003241A1">
        <w:rPr>
          <w:rFonts w:asciiTheme="minorHAnsi" w:hAnsiTheme="minorHAnsi"/>
          <w:lang w:val="fr-FR"/>
        </w:rPr>
        <w:t>;</w:t>
      </w:r>
      <w:r w:rsidR="00BC0FBE">
        <w:rPr>
          <w:rFonts w:asciiTheme="minorHAnsi" w:hAnsiTheme="minorHAnsi"/>
          <w:lang w:val="fr-FR"/>
        </w:rPr>
        <w:t xml:space="preserve"> les rapports annuels de la</w:t>
      </w:r>
      <w:r w:rsidR="00385EC8" w:rsidRPr="00385EC8">
        <w:rPr>
          <w:rFonts w:asciiTheme="minorHAnsi" w:hAnsiTheme="minorHAnsi"/>
          <w:lang w:val="fr-FR"/>
        </w:rPr>
        <w:t xml:space="preserve"> Secrétaire général</w:t>
      </w:r>
      <w:r w:rsidR="00BC0FBE">
        <w:rPr>
          <w:rFonts w:asciiTheme="minorHAnsi" w:hAnsiTheme="minorHAnsi"/>
          <w:lang w:val="fr-FR"/>
        </w:rPr>
        <w:t>e</w:t>
      </w:r>
      <w:r w:rsidR="003241A1">
        <w:rPr>
          <w:rFonts w:asciiTheme="minorHAnsi" w:hAnsiTheme="minorHAnsi"/>
          <w:lang w:val="fr-FR"/>
        </w:rPr>
        <w:t xml:space="preserve"> au Comité permanent;</w:t>
      </w:r>
      <w:r w:rsidR="00385EC8" w:rsidRPr="00385EC8">
        <w:rPr>
          <w:rFonts w:asciiTheme="minorHAnsi" w:hAnsiTheme="minorHAnsi"/>
          <w:lang w:val="fr-FR"/>
        </w:rPr>
        <w:t xml:space="preserve"> les procédures d'engagement avec le secteur privé</w:t>
      </w:r>
      <w:r w:rsidR="003241A1">
        <w:rPr>
          <w:rFonts w:asciiTheme="minorHAnsi" w:hAnsiTheme="minorHAnsi"/>
          <w:lang w:val="fr-FR"/>
        </w:rPr>
        <w:t xml:space="preserve">; </w:t>
      </w:r>
      <w:r w:rsidR="00385EC8" w:rsidRPr="00385EC8">
        <w:rPr>
          <w:rFonts w:asciiTheme="minorHAnsi" w:hAnsiTheme="minorHAnsi"/>
          <w:lang w:val="fr-FR"/>
        </w:rPr>
        <w:t xml:space="preserve">les documents relatifs aux codes de conduite et </w:t>
      </w:r>
      <w:r w:rsidR="00BC0FBE">
        <w:rPr>
          <w:rFonts w:asciiTheme="minorHAnsi" w:hAnsiTheme="minorHAnsi"/>
          <w:lang w:val="fr-FR"/>
        </w:rPr>
        <w:t>à l</w:t>
      </w:r>
      <w:r w:rsidR="00385EC8" w:rsidRPr="00385EC8">
        <w:rPr>
          <w:rFonts w:asciiTheme="minorHAnsi" w:hAnsiTheme="minorHAnsi"/>
          <w:lang w:val="fr-FR"/>
        </w:rPr>
        <w:t xml:space="preserve">'éthique professionnelle </w:t>
      </w:r>
      <w:r w:rsidR="003241A1">
        <w:rPr>
          <w:rFonts w:asciiTheme="minorHAnsi" w:hAnsiTheme="minorHAnsi"/>
          <w:lang w:val="fr-FR"/>
        </w:rPr>
        <w:t>du personnel;</w:t>
      </w:r>
      <w:r w:rsidR="00385EC8" w:rsidRPr="00385EC8">
        <w:rPr>
          <w:rFonts w:asciiTheme="minorHAnsi" w:hAnsiTheme="minorHAnsi"/>
          <w:lang w:val="fr-FR"/>
        </w:rPr>
        <w:t xml:space="preserve"> la </w:t>
      </w:r>
      <w:r w:rsidR="003241A1">
        <w:rPr>
          <w:rFonts w:asciiTheme="minorHAnsi" w:hAnsiTheme="minorHAnsi"/>
          <w:lang w:val="fr-FR"/>
        </w:rPr>
        <w:t>D</w:t>
      </w:r>
      <w:r w:rsidR="00385EC8" w:rsidRPr="00385EC8">
        <w:rPr>
          <w:rFonts w:asciiTheme="minorHAnsi" w:hAnsiTheme="minorHAnsi"/>
          <w:lang w:val="fr-FR"/>
        </w:rPr>
        <w:t xml:space="preserve">élégation de pouvoir de 1993 et sa </w:t>
      </w:r>
      <w:r w:rsidR="003241A1">
        <w:rPr>
          <w:rFonts w:asciiTheme="minorHAnsi" w:hAnsiTheme="minorHAnsi"/>
          <w:lang w:val="fr-FR"/>
        </w:rPr>
        <w:t>N</w:t>
      </w:r>
      <w:r w:rsidR="00385EC8" w:rsidRPr="00385EC8">
        <w:rPr>
          <w:rFonts w:asciiTheme="minorHAnsi" w:hAnsiTheme="minorHAnsi"/>
          <w:lang w:val="fr-FR"/>
        </w:rPr>
        <w:t xml:space="preserve">ote </w:t>
      </w:r>
      <w:r w:rsidR="00BC0FBE">
        <w:rPr>
          <w:rFonts w:asciiTheme="minorHAnsi" w:hAnsiTheme="minorHAnsi"/>
          <w:lang w:val="fr-FR"/>
        </w:rPr>
        <w:t>supplémentaire</w:t>
      </w:r>
      <w:r w:rsidR="003241A1">
        <w:rPr>
          <w:rFonts w:asciiTheme="minorHAnsi" w:hAnsiTheme="minorHAnsi"/>
          <w:lang w:val="fr-FR"/>
        </w:rPr>
        <w:t>;</w:t>
      </w:r>
      <w:r w:rsidR="00385EC8" w:rsidRPr="00385EC8">
        <w:rPr>
          <w:rFonts w:asciiTheme="minorHAnsi" w:hAnsiTheme="minorHAnsi"/>
          <w:lang w:val="fr-FR"/>
        </w:rPr>
        <w:t xml:space="preserve"> les politiques de lutte contre la fraude</w:t>
      </w:r>
      <w:r w:rsidR="00E82D75">
        <w:rPr>
          <w:rFonts w:asciiTheme="minorHAnsi" w:hAnsiTheme="minorHAnsi"/>
          <w:lang w:val="fr-FR"/>
        </w:rPr>
        <w:t xml:space="preserve"> et </w:t>
      </w:r>
      <w:r w:rsidR="00385EC8" w:rsidRPr="00385EC8">
        <w:rPr>
          <w:rFonts w:asciiTheme="minorHAnsi" w:hAnsiTheme="minorHAnsi"/>
          <w:lang w:val="fr-FR"/>
        </w:rPr>
        <w:t>contre le harcèlement</w:t>
      </w:r>
      <w:r w:rsidR="003241A1">
        <w:rPr>
          <w:rFonts w:asciiTheme="minorHAnsi" w:hAnsiTheme="minorHAnsi"/>
          <w:lang w:val="fr-FR"/>
        </w:rPr>
        <w:t>;</w:t>
      </w:r>
      <w:r w:rsidR="00385EC8" w:rsidRPr="00385EC8">
        <w:rPr>
          <w:rFonts w:asciiTheme="minorHAnsi" w:hAnsiTheme="minorHAnsi"/>
          <w:lang w:val="fr-FR"/>
        </w:rPr>
        <w:t xml:space="preserve"> les règles et protections </w:t>
      </w:r>
      <w:r w:rsidR="001C7B17">
        <w:rPr>
          <w:rFonts w:asciiTheme="minorHAnsi" w:hAnsiTheme="minorHAnsi"/>
          <w:lang w:val="fr-FR"/>
        </w:rPr>
        <w:t>relatives aux lanceurs d’alarme</w:t>
      </w:r>
      <w:r w:rsidR="003241A1">
        <w:rPr>
          <w:rFonts w:asciiTheme="minorHAnsi" w:hAnsiTheme="minorHAnsi"/>
          <w:lang w:val="fr-FR"/>
        </w:rPr>
        <w:t>;</w:t>
      </w:r>
      <w:r w:rsidR="00385EC8" w:rsidRPr="00385EC8">
        <w:rPr>
          <w:rFonts w:asciiTheme="minorHAnsi" w:hAnsiTheme="minorHAnsi"/>
          <w:lang w:val="fr-FR"/>
        </w:rPr>
        <w:t xml:space="preserve"> les politiques sur les conflits d'intérêts</w:t>
      </w:r>
      <w:r w:rsidR="003241A1">
        <w:rPr>
          <w:rFonts w:asciiTheme="minorHAnsi" w:hAnsiTheme="minorHAnsi"/>
          <w:lang w:val="fr-FR"/>
        </w:rPr>
        <w:t>;</w:t>
      </w:r>
      <w:r w:rsidR="00385EC8" w:rsidRPr="00385EC8">
        <w:rPr>
          <w:rFonts w:asciiTheme="minorHAnsi" w:hAnsiTheme="minorHAnsi"/>
          <w:lang w:val="fr-FR"/>
        </w:rPr>
        <w:t xml:space="preserve"> les politiques d'équité et d'égalité entre les sexe</w:t>
      </w:r>
      <w:r w:rsidR="003241A1">
        <w:rPr>
          <w:rFonts w:asciiTheme="minorHAnsi" w:hAnsiTheme="minorHAnsi"/>
          <w:lang w:val="fr-FR"/>
        </w:rPr>
        <w:t>s;</w:t>
      </w:r>
      <w:r w:rsidR="00385EC8" w:rsidRPr="00385EC8">
        <w:rPr>
          <w:rFonts w:asciiTheme="minorHAnsi" w:hAnsiTheme="minorHAnsi"/>
          <w:lang w:val="fr-FR"/>
        </w:rPr>
        <w:t xml:space="preserve"> ainsi que toute</w:t>
      </w:r>
      <w:r w:rsidR="001C7B17">
        <w:rPr>
          <w:rFonts w:asciiTheme="minorHAnsi" w:hAnsiTheme="minorHAnsi"/>
          <w:lang w:val="fr-FR"/>
        </w:rPr>
        <w:t>s</w:t>
      </w:r>
      <w:r w:rsidR="00385EC8" w:rsidRPr="00385EC8">
        <w:rPr>
          <w:rFonts w:asciiTheme="minorHAnsi" w:hAnsiTheme="minorHAnsi"/>
          <w:lang w:val="fr-FR"/>
        </w:rPr>
        <w:t xml:space="preserve"> autre</w:t>
      </w:r>
      <w:r w:rsidR="001C7B17">
        <w:rPr>
          <w:rFonts w:asciiTheme="minorHAnsi" w:hAnsiTheme="minorHAnsi"/>
          <w:lang w:val="fr-FR"/>
        </w:rPr>
        <w:t>s</w:t>
      </w:r>
      <w:r w:rsidR="00385EC8" w:rsidRPr="00385EC8">
        <w:rPr>
          <w:rFonts w:asciiTheme="minorHAnsi" w:hAnsiTheme="minorHAnsi"/>
          <w:lang w:val="fr-FR"/>
        </w:rPr>
        <w:t xml:space="preserve"> information</w:t>
      </w:r>
      <w:r w:rsidR="001C7B17">
        <w:rPr>
          <w:rFonts w:asciiTheme="minorHAnsi" w:hAnsiTheme="minorHAnsi"/>
          <w:lang w:val="fr-FR"/>
        </w:rPr>
        <w:t>s</w:t>
      </w:r>
      <w:r w:rsidR="00385EC8" w:rsidRPr="00385EC8">
        <w:rPr>
          <w:rFonts w:asciiTheme="minorHAnsi" w:hAnsiTheme="minorHAnsi"/>
          <w:lang w:val="fr-FR"/>
        </w:rPr>
        <w:t xml:space="preserve"> pertinente</w:t>
      </w:r>
      <w:r w:rsidR="001C7B17">
        <w:rPr>
          <w:rFonts w:asciiTheme="minorHAnsi" w:hAnsiTheme="minorHAnsi"/>
          <w:lang w:val="fr-FR"/>
        </w:rPr>
        <w:t>s.</w:t>
      </w:r>
    </w:p>
    <w:p w14:paraId="17224A67" w14:textId="77777777" w:rsidR="000D0488" w:rsidRDefault="000D0488" w:rsidP="001C7B17">
      <w:pPr>
        <w:ind w:left="0" w:firstLine="0"/>
        <w:rPr>
          <w:rFonts w:asciiTheme="minorHAnsi" w:hAnsiTheme="minorHAnsi"/>
          <w:lang w:val="fr-FR"/>
        </w:rPr>
      </w:pPr>
    </w:p>
    <w:p w14:paraId="2803C927" w14:textId="70660945" w:rsidR="008C6E36" w:rsidRPr="00246D37" w:rsidRDefault="001C7B17" w:rsidP="005152A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3</w:t>
      </w:r>
      <w:r w:rsidR="003241A1">
        <w:rPr>
          <w:rFonts w:asciiTheme="minorHAnsi" w:hAnsiTheme="minorHAnsi"/>
          <w:lang w:val="fr-FR"/>
        </w:rPr>
        <w:t>3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B6255A" w:rsidRPr="00B6255A">
        <w:rPr>
          <w:rFonts w:asciiTheme="minorHAnsi" w:hAnsiTheme="minorHAnsi"/>
          <w:lang w:val="fr-FR"/>
        </w:rPr>
        <w:t xml:space="preserve">PRIE le </w:t>
      </w:r>
      <w:r w:rsidR="00104A02" w:rsidRPr="00B6255A">
        <w:rPr>
          <w:rFonts w:asciiTheme="minorHAnsi" w:hAnsiTheme="minorHAnsi"/>
          <w:lang w:val="fr-FR"/>
        </w:rPr>
        <w:t>Secrétariat</w:t>
      </w:r>
      <w:r w:rsidR="00B6255A" w:rsidRPr="00B6255A">
        <w:rPr>
          <w:rFonts w:asciiTheme="minorHAnsi" w:hAnsiTheme="minorHAnsi"/>
          <w:lang w:val="fr-FR"/>
        </w:rPr>
        <w:t xml:space="preserve"> </w:t>
      </w:r>
      <w:r w:rsidR="00785698">
        <w:rPr>
          <w:rFonts w:asciiTheme="minorHAnsi" w:hAnsiTheme="minorHAnsi"/>
          <w:lang w:val="fr-FR"/>
        </w:rPr>
        <w:t>de considérer les Parties contractantes qui sont sur</w:t>
      </w:r>
      <w:r w:rsidR="00B6255A" w:rsidRPr="00B6255A">
        <w:rPr>
          <w:rFonts w:asciiTheme="minorHAnsi" w:hAnsiTheme="minorHAnsi"/>
          <w:lang w:val="fr-FR"/>
        </w:rPr>
        <w:t xml:space="preserve"> la liste des petits </w:t>
      </w:r>
      <w:r w:rsidR="00104A02" w:rsidRPr="00B6255A">
        <w:rPr>
          <w:rFonts w:asciiTheme="minorHAnsi" w:hAnsiTheme="minorHAnsi"/>
          <w:lang w:val="fr-FR"/>
        </w:rPr>
        <w:t>États</w:t>
      </w:r>
      <w:r w:rsidR="00B6255A" w:rsidRPr="00B6255A">
        <w:rPr>
          <w:rFonts w:asciiTheme="minorHAnsi" w:hAnsiTheme="minorHAnsi"/>
          <w:lang w:val="fr-FR"/>
        </w:rPr>
        <w:t xml:space="preserve"> insulaires en </w:t>
      </w:r>
      <w:r w:rsidR="00104A02" w:rsidRPr="00B6255A">
        <w:rPr>
          <w:rFonts w:asciiTheme="minorHAnsi" w:hAnsiTheme="minorHAnsi"/>
          <w:lang w:val="fr-FR"/>
        </w:rPr>
        <w:t>développement</w:t>
      </w:r>
      <w:r w:rsidR="00B6255A" w:rsidRPr="00B6255A">
        <w:rPr>
          <w:rFonts w:asciiTheme="minorHAnsi" w:hAnsiTheme="minorHAnsi"/>
          <w:lang w:val="fr-FR"/>
        </w:rPr>
        <w:t xml:space="preserve"> (PEID) de la </w:t>
      </w:r>
      <w:r w:rsidR="00104A02" w:rsidRPr="00B6255A">
        <w:rPr>
          <w:rFonts w:asciiTheme="minorHAnsi" w:hAnsiTheme="minorHAnsi"/>
          <w:lang w:val="fr-FR"/>
        </w:rPr>
        <w:t>Conférence</w:t>
      </w:r>
      <w:r w:rsidR="00B6255A" w:rsidRPr="00B6255A">
        <w:rPr>
          <w:rFonts w:asciiTheme="minorHAnsi" w:hAnsiTheme="minorHAnsi"/>
          <w:lang w:val="fr-FR"/>
        </w:rPr>
        <w:t xml:space="preserve"> des Nations Unies sur le commerce et le </w:t>
      </w:r>
      <w:r w:rsidR="00104A02" w:rsidRPr="00B6255A">
        <w:rPr>
          <w:rFonts w:asciiTheme="minorHAnsi" w:hAnsiTheme="minorHAnsi"/>
          <w:lang w:val="fr-FR"/>
        </w:rPr>
        <w:t>développement</w:t>
      </w:r>
      <w:r w:rsidR="00B6255A" w:rsidRPr="00B6255A">
        <w:rPr>
          <w:rFonts w:asciiTheme="minorHAnsi" w:hAnsiTheme="minorHAnsi"/>
          <w:lang w:val="fr-FR"/>
        </w:rPr>
        <w:t xml:space="preserve"> </w:t>
      </w:r>
      <w:r w:rsidR="00785698">
        <w:rPr>
          <w:rFonts w:asciiTheme="minorHAnsi" w:hAnsiTheme="minorHAnsi"/>
          <w:lang w:val="fr-FR"/>
        </w:rPr>
        <w:t>comme éligibles à l’aide au voyage de délégués</w:t>
      </w:r>
      <w:r w:rsidR="00B6255A" w:rsidRPr="00B6255A">
        <w:rPr>
          <w:rFonts w:asciiTheme="minorHAnsi" w:hAnsiTheme="minorHAnsi"/>
          <w:lang w:val="fr-FR"/>
        </w:rPr>
        <w:t xml:space="preserve">, qu’ils soient ou non </w:t>
      </w:r>
      <w:r w:rsidR="00104A02" w:rsidRPr="00B6255A">
        <w:rPr>
          <w:rFonts w:asciiTheme="minorHAnsi" w:hAnsiTheme="minorHAnsi"/>
          <w:lang w:val="fr-FR"/>
        </w:rPr>
        <w:t>classés</w:t>
      </w:r>
      <w:r w:rsidR="00B6255A" w:rsidRPr="00B6255A">
        <w:rPr>
          <w:rFonts w:asciiTheme="minorHAnsi" w:hAnsiTheme="minorHAnsi"/>
          <w:lang w:val="fr-FR"/>
        </w:rPr>
        <w:t xml:space="preserve"> officiellement comme tels pour des motifs </w:t>
      </w:r>
      <w:r w:rsidR="00104A02" w:rsidRPr="00B6255A">
        <w:rPr>
          <w:rFonts w:asciiTheme="minorHAnsi" w:hAnsiTheme="minorHAnsi"/>
          <w:lang w:val="fr-FR"/>
        </w:rPr>
        <w:t>économiques</w:t>
      </w:r>
      <w:r w:rsidR="00B6255A" w:rsidRPr="00B6255A">
        <w:rPr>
          <w:rFonts w:asciiTheme="minorHAnsi" w:hAnsiTheme="minorHAnsi"/>
          <w:lang w:val="fr-FR"/>
        </w:rPr>
        <w:t xml:space="preserve"> dans la liste du Comité d’aide au </w:t>
      </w:r>
      <w:r w:rsidR="00104A02" w:rsidRPr="00B6255A">
        <w:rPr>
          <w:rFonts w:asciiTheme="minorHAnsi" w:hAnsiTheme="minorHAnsi"/>
          <w:lang w:val="fr-FR"/>
        </w:rPr>
        <w:t>développement</w:t>
      </w:r>
      <w:r w:rsidR="00B6255A" w:rsidRPr="00B6255A">
        <w:rPr>
          <w:rFonts w:asciiTheme="minorHAnsi" w:hAnsiTheme="minorHAnsi"/>
          <w:lang w:val="fr-FR"/>
        </w:rPr>
        <w:t xml:space="preserve"> (CAD) de l’</w:t>
      </w:r>
      <w:r w:rsidR="00785698">
        <w:rPr>
          <w:rFonts w:asciiTheme="minorHAnsi" w:hAnsiTheme="minorHAnsi"/>
          <w:lang w:val="fr-FR"/>
        </w:rPr>
        <w:t xml:space="preserve">Organisation </w:t>
      </w:r>
      <w:r w:rsidR="00785698" w:rsidRPr="00785698">
        <w:rPr>
          <w:rFonts w:asciiTheme="minorHAnsi" w:hAnsiTheme="minorHAnsi"/>
          <w:lang w:val="fr-FR"/>
        </w:rPr>
        <w:t xml:space="preserve">de coopération et de développement économiques </w:t>
      </w:r>
      <w:r w:rsidR="00785698">
        <w:rPr>
          <w:rFonts w:asciiTheme="minorHAnsi" w:hAnsiTheme="minorHAnsi"/>
          <w:lang w:val="fr-FR"/>
        </w:rPr>
        <w:t>(</w:t>
      </w:r>
      <w:r w:rsidR="00B6255A" w:rsidRPr="00B6255A">
        <w:rPr>
          <w:rFonts w:asciiTheme="minorHAnsi" w:hAnsiTheme="minorHAnsi"/>
          <w:lang w:val="fr-FR"/>
        </w:rPr>
        <w:t>OCDE</w:t>
      </w:r>
      <w:r w:rsidR="00785698">
        <w:rPr>
          <w:rFonts w:asciiTheme="minorHAnsi" w:hAnsiTheme="minorHAnsi"/>
          <w:lang w:val="fr-FR"/>
        </w:rPr>
        <w:t>)</w:t>
      </w:r>
      <w:r w:rsidR="00C227AF">
        <w:rPr>
          <w:rFonts w:asciiTheme="minorHAnsi" w:hAnsiTheme="minorHAnsi"/>
          <w:lang w:val="fr-FR"/>
        </w:rPr>
        <w:t>.</w:t>
      </w:r>
    </w:p>
    <w:p w14:paraId="3448A5D9" w14:textId="77777777" w:rsidR="008C6E36" w:rsidRPr="00246D37" w:rsidRDefault="008C6E36" w:rsidP="005152AD">
      <w:pPr>
        <w:rPr>
          <w:rFonts w:asciiTheme="minorHAnsi" w:hAnsiTheme="minorHAnsi"/>
          <w:lang w:val="fr-FR"/>
        </w:rPr>
      </w:pPr>
    </w:p>
    <w:p w14:paraId="544CF2EA" w14:textId="77777777" w:rsidR="00A05AA9" w:rsidRDefault="008B73E8" w:rsidP="00A05AA9">
      <w:pPr>
        <w:rPr>
          <w:rFonts w:cs="Arial"/>
          <w:b/>
          <w:sz w:val="4"/>
          <w:szCs w:val="4"/>
          <w:lang w:val="fr-FR"/>
        </w:rPr>
      </w:pPr>
      <w:r>
        <w:rPr>
          <w:rFonts w:asciiTheme="minorHAnsi" w:hAnsiTheme="minorHAnsi"/>
          <w:lang w:val="fr-FR"/>
        </w:rPr>
        <w:t>3</w:t>
      </w:r>
      <w:r w:rsidR="00785698">
        <w:rPr>
          <w:rFonts w:asciiTheme="minorHAnsi" w:hAnsiTheme="minorHAnsi"/>
          <w:lang w:val="fr-FR"/>
        </w:rPr>
        <w:t>4</w:t>
      </w:r>
      <w:r w:rsidR="00AD65E1" w:rsidRPr="00246D37">
        <w:rPr>
          <w:rFonts w:asciiTheme="minorHAnsi" w:hAnsiTheme="minorHAnsi"/>
          <w:lang w:val="fr-FR"/>
        </w:rPr>
        <w:t>.</w:t>
      </w:r>
      <w:r w:rsidR="00AD65E1" w:rsidRPr="00246D37">
        <w:rPr>
          <w:rFonts w:asciiTheme="minorHAnsi" w:hAnsiTheme="minorHAnsi"/>
          <w:lang w:val="fr-FR"/>
        </w:rPr>
        <w:tab/>
      </w:r>
      <w:r w:rsidR="00C227AF" w:rsidRPr="00C227AF">
        <w:rPr>
          <w:rFonts w:asciiTheme="minorHAnsi" w:hAnsiTheme="minorHAnsi"/>
          <w:lang w:val="fr-FR"/>
        </w:rPr>
        <w:t>CONFIRME que la présente Résolution et ses annexes remplacent la Résoluti</w:t>
      </w:r>
      <w:r w:rsidR="00392905">
        <w:rPr>
          <w:rFonts w:asciiTheme="minorHAnsi" w:hAnsiTheme="minorHAnsi"/>
          <w:lang w:val="fr-FR"/>
        </w:rPr>
        <w:t>on XII.1</w:t>
      </w:r>
      <w:r w:rsidR="00785698">
        <w:rPr>
          <w:rFonts w:asciiTheme="minorHAnsi" w:hAnsiTheme="minorHAnsi"/>
          <w:lang w:val="fr-FR"/>
        </w:rPr>
        <w:t xml:space="preserve">, </w:t>
      </w:r>
      <w:r w:rsidR="00785698" w:rsidRPr="005A3D1B">
        <w:rPr>
          <w:rFonts w:asciiTheme="minorHAnsi" w:hAnsiTheme="minorHAnsi"/>
          <w:i/>
          <w:lang w:val="fr-FR"/>
        </w:rPr>
        <w:t>Questions financières et budgétaires</w:t>
      </w:r>
      <w:r w:rsidR="00392905">
        <w:rPr>
          <w:rFonts w:asciiTheme="minorHAnsi" w:hAnsiTheme="minorHAnsi"/>
          <w:lang w:val="fr-FR"/>
        </w:rPr>
        <w:t xml:space="preserve"> et </w:t>
      </w:r>
      <w:r w:rsidR="00785698">
        <w:rPr>
          <w:rFonts w:asciiTheme="minorHAnsi" w:hAnsiTheme="minorHAnsi"/>
          <w:lang w:val="fr-FR"/>
        </w:rPr>
        <w:t xml:space="preserve">le paragraphe 11 a) de </w:t>
      </w:r>
      <w:r w:rsidR="00392905">
        <w:rPr>
          <w:rFonts w:asciiTheme="minorHAnsi" w:hAnsiTheme="minorHAnsi"/>
          <w:lang w:val="fr-FR"/>
        </w:rPr>
        <w:t>la Résolution VI.17.</w:t>
      </w:r>
      <w:r w:rsidRPr="00583779">
        <w:rPr>
          <w:rFonts w:cs="Arial"/>
          <w:b/>
          <w:sz w:val="4"/>
          <w:szCs w:val="4"/>
          <w:lang w:val="fr-FR"/>
        </w:rPr>
        <w:t xml:space="preserve"> </w:t>
      </w:r>
    </w:p>
    <w:p w14:paraId="25B5D6E2" w14:textId="77777777" w:rsidR="00A05AA9" w:rsidRDefault="00A05AA9">
      <w:pPr>
        <w:rPr>
          <w:rFonts w:cs="Arial"/>
          <w:b/>
          <w:sz w:val="4"/>
          <w:szCs w:val="4"/>
          <w:lang w:val="fr-FR"/>
        </w:rPr>
      </w:pPr>
      <w:r>
        <w:rPr>
          <w:rFonts w:cs="Arial"/>
          <w:b/>
          <w:sz w:val="4"/>
          <w:szCs w:val="4"/>
          <w:lang w:val="fr-FR"/>
        </w:rPr>
        <w:br w:type="page"/>
      </w:r>
    </w:p>
    <w:p w14:paraId="6AB6886D" w14:textId="270FD6F2" w:rsidR="000663E7" w:rsidRPr="000663E7" w:rsidRDefault="000663E7" w:rsidP="00A05AA9">
      <w:pPr>
        <w:rPr>
          <w:rFonts w:cs="Arial"/>
          <w:b/>
          <w:sz w:val="24"/>
          <w:szCs w:val="24"/>
          <w:lang w:val="fr-FR"/>
        </w:rPr>
      </w:pPr>
      <w:r w:rsidRPr="000663E7">
        <w:rPr>
          <w:rFonts w:cs="Arial"/>
          <w:b/>
          <w:sz w:val="24"/>
          <w:szCs w:val="24"/>
          <w:lang w:val="fr-FR"/>
        </w:rPr>
        <w:lastRenderedPageBreak/>
        <w:t>Annexe 1</w:t>
      </w:r>
      <w:r w:rsidRPr="000663E7">
        <w:rPr>
          <w:rFonts w:cs="Arial"/>
          <w:b/>
          <w:sz w:val="24"/>
          <w:szCs w:val="24"/>
          <w:vertAlign w:val="superscript"/>
          <w:lang w:val="fr-FR"/>
        </w:rPr>
        <w:footnoteReference w:id="1"/>
      </w:r>
    </w:p>
    <w:p w14:paraId="779CAF7C" w14:textId="77777777" w:rsidR="000663E7" w:rsidRPr="000663E7" w:rsidRDefault="000663E7" w:rsidP="000663E7">
      <w:pPr>
        <w:ind w:left="0" w:firstLine="0"/>
        <w:rPr>
          <w:rFonts w:cs="Arial"/>
          <w:b/>
          <w:sz w:val="24"/>
          <w:szCs w:val="24"/>
          <w:lang w:val="fr-FR"/>
        </w:rPr>
      </w:pPr>
    </w:p>
    <w:p w14:paraId="51052BD8" w14:textId="77777777" w:rsidR="000663E7" w:rsidRPr="000663E7" w:rsidRDefault="000663E7" w:rsidP="000663E7">
      <w:pPr>
        <w:ind w:left="0" w:firstLine="0"/>
        <w:rPr>
          <w:rFonts w:cs="Arial"/>
          <w:b/>
          <w:sz w:val="24"/>
          <w:szCs w:val="24"/>
          <w:lang w:val="fr-FR"/>
        </w:rPr>
      </w:pPr>
      <w:r w:rsidRPr="000663E7">
        <w:rPr>
          <w:rFonts w:cs="Arial"/>
          <w:b/>
          <w:sz w:val="24"/>
          <w:szCs w:val="24"/>
          <w:lang w:val="fr-FR"/>
        </w:rPr>
        <w:t>Scenarios budgétaires proposés pour 2019-2021</w:t>
      </w:r>
      <w:r w:rsidRPr="000663E7">
        <w:rPr>
          <w:rFonts w:cs="Arial"/>
          <w:b/>
          <w:sz w:val="24"/>
          <w:szCs w:val="24"/>
          <w:vertAlign w:val="superscript"/>
          <w:lang w:val="fr-FR"/>
        </w:rPr>
        <w:footnoteReference w:id="2"/>
      </w:r>
    </w:p>
    <w:p w14:paraId="4E6FEACA" w14:textId="77777777" w:rsidR="000663E7" w:rsidRPr="000663E7" w:rsidRDefault="000663E7" w:rsidP="000663E7">
      <w:pPr>
        <w:ind w:left="0" w:firstLine="0"/>
        <w:rPr>
          <w:rFonts w:cs="Arial"/>
          <w:b/>
          <w:sz w:val="24"/>
          <w:szCs w:val="24"/>
          <w:lang w:val="fr-FR"/>
        </w:rPr>
      </w:pPr>
    </w:p>
    <w:p w14:paraId="368F21BF" w14:textId="77777777" w:rsidR="000663E7" w:rsidRPr="000663E7" w:rsidRDefault="000663E7" w:rsidP="000663E7">
      <w:pPr>
        <w:ind w:left="0" w:firstLine="0"/>
        <w:rPr>
          <w:rFonts w:cs="Arial"/>
          <w:b/>
          <w:lang w:val="fr-FR"/>
        </w:rPr>
      </w:pPr>
      <w:r w:rsidRPr="000663E7">
        <w:rPr>
          <w:rFonts w:cs="Arial"/>
          <w:b/>
          <w:lang w:val="fr-FR"/>
        </w:rPr>
        <w:t>Scenario A, 0% d’augmentation par rapport à la période triennale 2016-2018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4641"/>
        <w:gridCol w:w="1203"/>
        <w:gridCol w:w="1072"/>
        <w:gridCol w:w="1046"/>
        <w:gridCol w:w="1280"/>
      </w:tblGrid>
      <w:tr w:rsidR="000663E7" w:rsidRPr="000663E7" w14:paraId="56F9D7E4" w14:textId="77777777" w:rsidTr="00336DAE">
        <w:trPr>
          <w:tblHeader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C0E787A" w14:textId="77777777" w:rsidR="000663E7" w:rsidRPr="000663E7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Ramsar proposé pour 2019-2021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309CDD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2019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FE9B22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2020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B9240D2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CD6720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total 2019-2021</w:t>
            </w:r>
          </w:p>
        </w:tc>
      </w:tr>
      <w:tr w:rsidR="000663E7" w:rsidRPr="000663E7" w14:paraId="3B3F9F41" w14:textId="77777777" w:rsidTr="00336DAE">
        <w:trPr>
          <w:tblHeader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9DC388B" w14:textId="77777777" w:rsidR="000663E7" w:rsidRPr="000663E7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en milliers de CHF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07209DC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F0FCD6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207543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93F44CF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</w:tr>
      <w:tr w:rsidR="000663E7" w:rsidRPr="000663E7" w14:paraId="56EE9D24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33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REVENU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CDE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FBD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10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072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 </w:t>
            </w:r>
          </w:p>
        </w:tc>
      </w:tr>
      <w:tr w:rsidR="000663E7" w:rsidRPr="000663E7" w14:paraId="6E7E296C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41A0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Contributions des Parties contractantes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5EE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3 779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C49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3 779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A2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3 779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78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11 337</w:t>
            </w:r>
          </w:p>
        </w:tc>
      </w:tr>
      <w:tr w:rsidR="000663E7" w:rsidRPr="000663E7" w14:paraId="1728D726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083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Contributions volontaires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37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1 065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CB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1 065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F09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1 065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56E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3 195</w:t>
            </w:r>
          </w:p>
        </w:tc>
      </w:tr>
      <w:tr w:rsidR="000663E7" w:rsidRPr="000663E7" w14:paraId="412D9994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C6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Impôts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0B5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A6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790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7CD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675</w:t>
            </w:r>
          </w:p>
        </w:tc>
      </w:tr>
      <w:tr w:rsidR="000663E7" w:rsidRPr="000663E7" w14:paraId="2C6E56A4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947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Revenus d’intérêts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195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39C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8E5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790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36</w:t>
            </w:r>
          </w:p>
        </w:tc>
      </w:tr>
      <w:tr w:rsidR="000663E7" w:rsidRPr="000663E7" w14:paraId="3B0DD2F9" w14:textId="77777777" w:rsidTr="000663E7">
        <w:trPr>
          <w:trHeight w:val="357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FE9B89" w14:textId="77777777" w:rsidR="000663E7" w:rsidRPr="00336DAE" w:rsidRDefault="000663E7" w:rsidP="000663E7">
            <w:pPr>
              <w:ind w:left="49" w:hanging="49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TOTAL DES REVENUS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A194F7" w14:textId="77777777" w:rsidR="000663E7" w:rsidRPr="000663E7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5 081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DC7211" w14:textId="77777777" w:rsidR="000663E7" w:rsidRPr="000663E7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5 081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10C1B3" w14:textId="77777777" w:rsidR="000663E7" w:rsidRPr="000663E7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5 081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E3F3D3" w14:textId="77777777" w:rsidR="000663E7" w:rsidRPr="000663E7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15 243</w:t>
            </w:r>
          </w:p>
        </w:tc>
      </w:tr>
      <w:tr w:rsidR="000663E7" w:rsidRPr="000663E7" w14:paraId="014A43B7" w14:textId="77777777" w:rsidTr="000663E7">
        <w:trPr>
          <w:trHeight w:val="397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74D3" w14:textId="77777777" w:rsidR="000663E7" w:rsidRPr="00336DAE" w:rsidRDefault="000663E7" w:rsidP="000663E7">
            <w:pPr>
              <w:ind w:left="49" w:hanging="49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DÉPENSES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7861" w14:textId="77777777" w:rsidR="000663E7" w:rsidRPr="000663E7" w:rsidRDefault="000663E7" w:rsidP="000663E7">
            <w:pPr>
              <w:ind w:left="49" w:hanging="49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DC8" w14:textId="77777777" w:rsidR="000663E7" w:rsidRPr="000663E7" w:rsidRDefault="000663E7" w:rsidP="000663E7">
            <w:pPr>
              <w:ind w:left="49" w:hanging="49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1282" w14:textId="77777777" w:rsidR="000663E7" w:rsidRPr="000663E7" w:rsidRDefault="000663E7" w:rsidP="000663E7">
            <w:pPr>
              <w:ind w:left="49" w:hanging="49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854" w14:textId="77777777" w:rsidR="000663E7" w:rsidRPr="000663E7" w:rsidRDefault="000663E7" w:rsidP="000663E7">
            <w:pPr>
              <w:ind w:left="49" w:hanging="49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663E7" w:rsidRPr="000663E7" w14:paraId="763D61BB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91464C0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A. Cadres supérieurs du Secrétariat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E69E61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FAD5C4E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1 027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8BB113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B909F5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3 070</w:t>
            </w:r>
          </w:p>
        </w:tc>
      </w:tr>
      <w:tr w:rsidR="000663E7" w:rsidRPr="000663E7" w14:paraId="5667F8EC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BD4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87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58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4B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1A4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2 791</w:t>
            </w:r>
          </w:p>
        </w:tc>
      </w:tr>
      <w:tr w:rsidR="000663E7" w:rsidRPr="000663E7" w14:paraId="4730726C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B7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78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2F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519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84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159</w:t>
            </w:r>
          </w:p>
        </w:tc>
      </w:tr>
      <w:tr w:rsidR="000663E7" w:rsidRPr="000663E7" w14:paraId="52E38468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D8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B2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1E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240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4C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120</w:t>
            </w:r>
          </w:p>
        </w:tc>
      </w:tr>
      <w:tr w:rsidR="000663E7" w:rsidRPr="000663E7" w14:paraId="643BD552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D5B79F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B. Mobilisation des ressources et sensibilisation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96235E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638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7BA6B2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615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5ACC22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FA0507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1 856</w:t>
            </w:r>
          </w:p>
        </w:tc>
      </w:tr>
      <w:tr w:rsidR="000663E7" w:rsidRPr="000663E7" w14:paraId="569AA8C4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A0C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B58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32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70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8FC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1 368</w:t>
            </w:r>
          </w:p>
        </w:tc>
      </w:tr>
      <w:tr w:rsidR="000663E7" w:rsidRPr="000663E7" w14:paraId="4CDD79B1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5653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6FF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67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126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C27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</w:tr>
      <w:tr w:rsidR="000663E7" w:rsidRPr="000663E7" w14:paraId="605C5133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E0E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Programme de CESP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85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32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4D6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A0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90</w:t>
            </w:r>
          </w:p>
        </w:tc>
      </w:tr>
      <w:tr w:rsidR="000663E7" w:rsidRPr="000663E7" w14:paraId="64A71A4F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B24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Communications, traduction, publications et rapports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73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820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53D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25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180</w:t>
            </w:r>
          </w:p>
        </w:tc>
      </w:tr>
      <w:tr w:rsidR="000663E7" w:rsidRPr="000663E7" w14:paraId="1AFD8E31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3F5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Appui et développement du Web/TI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775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693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C0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D4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179</w:t>
            </w:r>
          </w:p>
        </w:tc>
      </w:tr>
      <w:tr w:rsidR="000663E7" w:rsidRPr="000663E7" w14:paraId="29628A9D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A22E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70E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8F5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9C6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A31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</w:tr>
      <w:tr w:rsidR="000663E7" w:rsidRPr="000663E7" w14:paraId="5B0AC76B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46C7A0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C. Appui et conseils aux régions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0926C4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1 325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C51DFA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1 347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BFDD20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370020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4 033</w:t>
            </w:r>
          </w:p>
        </w:tc>
      </w:tr>
      <w:tr w:rsidR="000663E7" w:rsidRPr="000663E7" w14:paraId="1A51624A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3DE5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54D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1 178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72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1 196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FBF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1 214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1F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3 588</w:t>
            </w:r>
          </w:p>
        </w:tc>
      </w:tr>
      <w:tr w:rsidR="000663E7" w:rsidRPr="000663E7" w14:paraId="3283ECEE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806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EB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83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3D3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E5F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220</w:t>
            </w:r>
          </w:p>
        </w:tc>
      </w:tr>
      <w:tr w:rsidR="000663E7" w:rsidRPr="000663E7" w14:paraId="71040F26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22C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E9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E96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353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512E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225</w:t>
            </w:r>
          </w:p>
        </w:tc>
      </w:tr>
      <w:tr w:rsidR="000663E7" w:rsidRPr="000663E7" w14:paraId="63CA15B7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C622E9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D. Appui aux Initiatives régionales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336131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C87606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08928D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8F1154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300</w:t>
            </w:r>
          </w:p>
        </w:tc>
      </w:tr>
      <w:tr w:rsidR="000663E7" w:rsidRPr="000663E7" w14:paraId="6EF86212" w14:textId="77777777" w:rsidTr="00336DAE">
        <w:trPr>
          <w:trHeight w:val="289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EDE9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Réseaux et centres régionaux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FB1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CA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20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F1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300</w:t>
            </w:r>
          </w:p>
        </w:tc>
      </w:tr>
      <w:tr w:rsidR="00336DAE" w:rsidRPr="000663E7" w14:paraId="3858F6E7" w14:textId="77777777" w:rsidTr="00336DAE">
        <w:trPr>
          <w:trHeight w:val="289"/>
        </w:trPr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4C174" w14:textId="77777777" w:rsidR="00336DAE" w:rsidRPr="00336DAE" w:rsidRDefault="00336DAE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  <w:p w14:paraId="797E4831" w14:textId="77777777" w:rsidR="00336DAE" w:rsidRPr="00336DAE" w:rsidRDefault="00336DAE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  <w:p w14:paraId="7CA483D2" w14:textId="77777777" w:rsidR="00336DAE" w:rsidRPr="00336DAE" w:rsidRDefault="00336DAE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  <w:p w14:paraId="4E621197" w14:textId="77777777" w:rsidR="00336DAE" w:rsidRPr="00336DAE" w:rsidRDefault="00336DAE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  <w:p w14:paraId="2349A2E7" w14:textId="77777777" w:rsidR="00336DAE" w:rsidRPr="00336DAE" w:rsidRDefault="00336DAE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  <w:p w14:paraId="5AFB319D" w14:textId="77777777" w:rsidR="00336DAE" w:rsidRPr="00336DAE" w:rsidRDefault="00336DAE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  <w:p w14:paraId="19123945" w14:textId="77777777" w:rsidR="00336DAE" w:rsidRPr="00336DAE" w:rsidRDefault="00336DAE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BD8DE" w14:textId="77777777" w:rsidR="00336DAE" w:rsidRPr="000663E7" w:rsidRDefault="00336DAE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B9D76" w14:textId="77777777" w:rsidR="00336DAE" w:rsidRPr="000663E7" w:rsidRDefault="00336DAE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445F0F" w14:textId="77777777" w:rsidR="00336DAE" w:rsidRPr="000663E7" w:rsidRDefault="00336DAE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FF75D9" w14:textId="77777777" w:rsidR="00336DAE" w:rsidRPr="000663E7" w:rsidRDefault="00336DAE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</w:tc>
      </w:tr>
      <w:tr w:rsidR="000663E7" w:rsidRPr="000663E7" w14:paraId="00CB86D6" w14:textId="77777777" w:rsidTr="00336DAE">
        <w:trPr>
          <w:trHeight w:val="289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9D7342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lastRenderedPageBreak/>
              <w:t>E. Sciences et politiques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FF9113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754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11547C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86FD2B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722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4F2C71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2 209</w:t>
            </w:r>
          </w:p>
        </w:tc>
      </w:tr>
      <w:tr w:rsidR="000663E7" w:rsidRPr="000663E7" w14:paraId="17A7B0A4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0F0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9C9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7A0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67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F6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1 700</w:t>
            </w:r>
          </w:p>
        </w:tc>
      </w:tr>
      <w:tr w:rsidR="000663E7" w:rsidRPr="000663E7" w14:paraId="7EE3579B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3E8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58D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9F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32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040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</w:t>
            </w:r>
          </w:p>
        </w:tc>
      </w:tr>
      <w:tr w:rsidR="000663E7" w:rsidRPr="000663E7" w14:paraId="164DDDAD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D80E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Mise en œuvre du programme du GEST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8FF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D7F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AFD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A84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105</w:t>
            </w:r>
          </w:p>
        </w:tc>
      </w:tr>
      <w:tr w:rsidR="000663E7" w:rsidRPr="000663E7" w14:paraId="4760AA8E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191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 du Président du GEST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189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860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188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B0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15</w:t>
            </w:r>
          </w:p>
        </w:tc>
      </w:tr>
      <w:tr w:rsidR="000663E7" w:rsidRPr="000663E7" w14:paraId="4B13F63F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D257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Réunions du GEST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BC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476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68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58E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150</w:t>
            </w:r>
          </w:p>
        </w:tc>
      </w:tr>
      <w:tr w:rsidR="000663E7" w:rsidRPr="000663E7" w14:paraId="77CAD687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AA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Service d'information sur les Sites Ramsar (entretien et développement)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75E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1A1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FC9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A41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200</w:t>
            </w:r>
          </w:p>
        </w:tc>
      </w:tr>
      <w:tr w:rsidR="000663E7" w:rsidRPr="000663E7" w14:paraId="54A3BEC2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EEE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097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D4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FB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5B6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</w:tr>
      <w:tr w:rsidR="000663E7" w:rsidRPr="000663E7" w14:paraId="50A919FD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8D9FCBB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G. Administration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DC16D1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436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0841A4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440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6F0CB5E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EB6AA1E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1 320</w:t>
            </w:r>
          </w:p>
        </w:tc>
      </w:tr>
      <w:tr w:rsidR="000663E7" w:rsidRPr="000663E7" w14:paraId="61E2AF97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7A1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F15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474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DB5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5D3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958</w:t>
            </w:r>
          </w:p>
        </w:tc>
      </w:tr>
      <w:tr w:rsidR="000663E7" w:rsidRPr="000663E7" w14:paraId="567E7746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1EE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99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A7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9EB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99E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</w:t>
            </w:r>
          </w:p>
        </w:tc>
      </w:tr>
      <w:tr w:rsidR="000663E7" w:rsidRPr="000663E7" w14:paraId="54F3DCF0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227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Recrutement et indemnités de départ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975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06D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A0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B62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75</w:t>
            </w:r>
          </w:p>
        </w:tc>
      </w:tr>
      <w:tr w:rsidR="000663E7" w:rsidRPr="000663E7" w14:paraId="273A464A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D20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 du personnel du Secrétariat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630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F3C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1D8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1B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0</w:t>
            </w:r>
          </w:p>
        </w:tc>
      </w:tr>
      <w:tr w:rsidR="000663E7" w:rsidRPr="000663E7" w14:paraId="5B45A987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592E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Coûts de fonctionnement, équipements compris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FA7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53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9B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D9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285</w:t>
            </w:r>
          </w:p>
        </w:tc>
      </w:tr>
      <w:tr w:rsidR="000663E7" w:rsidRPr="000663E7" w14:paraId="0A16DAB8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73E4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Planification et renforcement des capacités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AF1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0212" w14:textId="77777777" w:rsidR="000663E7" w:rsidRPr="000663E7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 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CCB" w14:textId="77777777" w:rsidR="000663E7" w:rsidRPr="000663E7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 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0B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0</w:t>
            </w:r>
          </w:p>
        </w:tc>
      </w:tr>
      <w:tr w:rsidR="000663E7" w:rsidRPr="000663E7" w14:paraId="2B19ADA3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9D182F6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H. Services au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599E11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B5D4BB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52F21F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C37FE0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450</w:t>
            </w:r>
          </w:p>
        </w:tc>
      </w:tr>
      <w:tr w:rsidR="000663E7" w:rsidRPr="000663E7" w14:paraId="5714C841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FE30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Appui aux délégués du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53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174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03A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95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135</w:t>
            </w:r>
          </w:p>
        </w:tc>
      </w:tr>
      <w:tr w:rsidR="000663E7" w:rsidRPr="000663E7" w14:paraId="200A0C0C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43C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Réunions du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CF50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09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49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3CE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</w:tr>
      <w:tr w:rsidR="000663E7" w:rsidRPr="000663E7" w14:paraId="603107AC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E367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Services de traduction pour le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C55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ECD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5B43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DAA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180</w:t>
            </w:r>
          </w:p>
        </w:tc>
      </w:tr>
      <w:tr w:rsidR="000663E7" w:rsidRPr="000663E7" w14:paraId="76507079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FBE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Services d’interprétation simultanée lors des réunions du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932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F97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82E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53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105</w:t>
            </w:r>
          </w:p>
        </w:tc>
      </w:tr>
      <w:tr w:rsidR="000663E7" w:rsidRPr="000663E7" w14:paraId="4034BC1D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F7BC36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I. Coûts des services administratifs de l’UICN (maximum)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8FC069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79661D8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F3466C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857827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1 680</w:t>
            </w:r>
          </w:p>
        </w:tc>
      </w:tr>
      <w:tr w:rsidR="000663E7" w:rsidRPr="000663E7" w14:paraId="64140E54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76CE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Administration, ressources humaines, services financiers &amp; informatiques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79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F4B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0EF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22C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1 680</w:t>
            </w:r>
          </w:p>
        </w:tc>
      </w:tr>
      <w:tr w:rsidR="000663E7" w:rsidRPr="000663E7" w14:paraId="36892517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076901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J. Divers – Fonds de réserve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F82D1E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8BBFF1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F36ADBD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FB3F9F5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326</w:t>
            </w:r>
          </w:p>
        </w:tc>
      </w:tr>
      <w:tr w:rsidR="000663E7" w:rsidRPr="000663E7" w14:paraId="79F91AD2" w14:textId="77777777" w:rsidTr="000663E7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AB36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Provisions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17E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BD5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CE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9F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150</w:t>
            </w:r>
          </w:p>
        </w:tc>
      </w:tr>
      <w:tr w:rsidR="000663E7" w:rsidRPr="000663E7" w14:paraId="3F0FF453" w14:textId="77777777" w:rsidTr="000663E7">
        <w:trPr>
          <w:trHeight w:val="289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DCE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Services juridiques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D01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9156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F24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CC2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176</w:t>
            </w:r>
          </w:p>
        </w:tc>
      </w:tr>
      <w:tr w:rsidR="000663E7" w:rsidRPr="000663E7" w14:paraId="01152527" w14:textId="77777777" w:rsidTr="000663E7">
        <w:trPr>
          <w:trHeight w:val="357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1CF86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MONTANT TOTAL DES DÉPENSES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7288F9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5 081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FD6E1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5 081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75DDBF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5 081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C8BD5C" w14:textId="77777777" w:rsidR="000663E7" w:rsidRPr="000663E7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15 243</w:t>
            </w:r>
          </w:p>
        </w:tc>
      </w:tr>
    </w:tbl>
    <w:p w14:paraId="233EFB86" w14:textId="77777777" w:rsidR="000663E7" w:rsidRPr="000663E7" w:rsidRDefault="000663E7" w:rsidP="000663E7">
      <w:pPr>
        <w:rPr>
          <w:rFonts w:cs="Arial"/>
          <w:b/>
          <w:lang w:val="fr-FR"/>
        </w:rPr>
      </w:pPr>
    </w:p>
    <w:p w14:paraId="4243F98E" w14:textId="77777777" w:rsidR="000663E7" w:rsidRPr="000663E7" w:rsidRDefault="000663E7" w:rsidP="000663E7">
      <w:pPr>
        <w:rPr>
          <w:rFonts w:cs="Arial"/>
          <w:b/>
          <w:lang w:val="fr-FR"/>
        </w:rPr>
      </w:pPr>
      <w:r w:rsidRPr="000663E7">
        <w:rPr>
          <w:rFonts w:cs="Arial"/>
          <w:b/>
          <w:lang w:val="fr-FR"/>
        </w:rPr>
        <w:br w:type="page"/>
      </w:r>
    </w:p>
    <w:p w14:paraId="44C99291" w14:textId="77777777" w:rsidR="000663E7" w:rsidRPr="000663E7" w:rsidRDefault="000663E7" w:rsidP="000663E7">
      <w:pPr>
        <w:rPr>
          <w:rFonts w:cs="Arial"/>
          <w:b/>
          <w:lang w:val="fr-FR"/>
        </w:rPr>
      </w:pPr>
      <w:r w:rsidRPr="000663E7">
        <w:rPr>
          <w:rFonts w:cs="Arial"/>
          <w:b/>
          <w:lang w:val="fr-FR"/>
        </w:rPr>
        <w:lastRenderedPageBreak/>
        <w:t>Scenario B, 1,5% d’augmentation par rapport à la période triennale 2016-2018</w:t>
      </w:r>
    </w:p>
    <w:p w14:paraId="04089BE5" w14:textId="77777777" w:rsidR="000663E7" w:rsidRPr="00A05AA9" w:rsidRDefault="000663E7" w:rsidP="000663E7">
      <w:pPr>
        <w:rPr>
          <w:rFonts w:cs="Arial"/>
          <w:sz w:val="20"/>
          <w:szCs w:val="20"/>
          <w:lang w:val="fr-FR"/>
        </w:rPr>
      </w:pPr>
      <w:r w:rsidRPr="00A05AA9">
        <w:rPr>
          <w:rFonts w:cs="Arial"/>
          <w:sz w:val="20"/>
          <w:szCs w:val="20"/>
          <w:lang w:val="fr-FR"/>
        </w:rPr>
        <w:t>(</w:t>
      </w:r>
      <w:r w:rsidRPr="00A05AA9">
        <w:rPr>
          <w:rFonts w:cs="Arial"/>
          <w:color w:val="FF0000"/>
          <w:sz w:val="20"/>
          <w:szCs w:val="20"/>
          <w:lang w:val="fr-FR"/>
        </w:rPr>
        <w:t xml:space="preserve">En rouge : </w:t>
      </w:r>
      <w:r w:rsidRPr="00A05AA9">
        <w:rPr>
          <w:rFonts w:cs="Arial"/>
          <w:sz w:val="20"/>
          <w:szCs w:val="20"/>
          <w:lang w:val="fr-FR"/>
        </w:rPr>
        <w:t xml:space="preserve">augmentations par rapport au scenario A) 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4641"/>
        <w:gridCol w:w="1203"/>
        <w:gridCol w:w="1072"/>
        <w:gridCol w:w="1046"/>
        <w:gridCol w:w="1280"/>
      </w:tblGrid>
      <w:tr w:rsidR="000663E7" w:rsidRPr="000663E7" w14:paraId="48337DCE" w14:textId="77777777" w:rsidTr="00336DAE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9516426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1,5% d’augmentation, budget proposé 2019-2021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27BFC58" w14:textId="77777777" w:rsidR="000663E7" w:rsidRPr="00336DAE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2019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98C7D16" w14:textId="77777777" w:rsidR="000663E7" w:rsidRPr="00336DAE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2020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DA7628C" w14:textId="77777777" w:rsidR="000663E7" w:rsidRPr="00336DAE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97C7F7B" w14:textId="77777777" w:rsidR="000663E7" w:rsidRPr="00336DAE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Budget total 2019-2021</w:t>
            </w:r>
          </w:p>
        </w:tc>
      </w:tr>
      <w:tr w:rsidR="000663E7" w:rsidRPr="000663E7" w14:paraId="663027FB" w14:textId="77777777" w:rsidTr="00336DAE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A6E25CB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en milliers de CHF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EACD467" w14:textId="77777777" w:rsidR="000663E7" w:rsidRPr="00336DAE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75D76C4" w14:textId="77777777" w:rsidR="000663E7" w:rsidRPr="00336DAE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7A22713" w14:textId="77777777" w:rsidR="000663E7" w:rsidRPr="00336DAE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2C1F712" w14:textId="77777777" w:rsidR="000663E7" w:rsidRPr="000663E7" w:rsidRDefault="000663E7" w:rsidP="000663E7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0663E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</w:tr>
      <w:tr w:rsidR="000663E7" w:rsidRPr="000663E7" w14:paraId="41D99648" w14:textId="77777777" w:rsidTr="00336DAE">
        <w:trPr>
          <w:trHeight w:val="357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C19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REVENUS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BD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9BD6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8B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243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 </w:t>
            </w:r>
          </w:p>
        </w:tc>
      </w:tr>
      <w:tr w:rsidR="000663E7" w:rsidRPr="000663E7" w14:paraId="2D0B9784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2CD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Contributions des Parties contractantes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D28F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3 838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7B3C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3 838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8AFB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3 838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563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11 514</w:t>
            </w:r>
          </w:p>
        </w:tc>
      </w:tr>
      <w:tr w:rsidR="000663E7" w:rsidRPr="000663E7" w14:paraId="19960936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608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Contributions volontaires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9A2C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1 065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767B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1 065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2720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1 065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352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3 195</w:t>
            </w:r>
          </w:p>
        </w:tc>
      </w:tr>
      <w:tr w:rsidR="000663E7" w:rsidRPr="000663E7" w14:paraId="319E3D15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2DD7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Impôts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670D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E50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C92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7C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729</w:t>
            </w:r>
          </w:p>
        </w:tc>
      </w:tr>
      <w:tr w:rsidR="000663E7" w:rsidRPr="000663E7" w14:paraId="6113C9C6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17E9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Revenus d’intérêts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1D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143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923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B41E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33</w:t>
            </w:r>
          </w:p>
        </w:tc>
      </w:tr>
      <w:tr w:rsidR="000663E7" w:rsidRPr="00336DAE" w14:paraId="58502414" w14:textId="77777777" w:rsidTr="00336DAE">
        <w:trPr>
          <w:trHeight w:val="357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F30A571" w14:textId="77777777" w:rsidR="000663E7" w:rsidRPr="00336DAE" w:rsidRDefault="000663E7" w:rsidP="00336DAE">
            <w:pPr>
              <w:ind w:left="49" w:hanging="49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TOTAL DES REVENUS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847CB33" w14:textId="77777777" w:rsidR="000663E7" w:rsidRPr="00336DAE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5 157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54B33A1" w14:textId="77777777" w:rsidR="000663E7" w:rsidRPr="00336DAE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5 157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10861A3" w14:textId="77777777" w:rsidR="000663E7" w:rsidRPr="00336DAE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5 157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9965BE5" w14:textId="77777777" w:rsidR="000663E7" w:rsidRPr="00336DAE" w:rsidRDefault="000663E7" w:rsidP="00336DAE">
            <w:pPr>
              <w:ind w:left="49" w:hanging="49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15 471</w:t>
            </w:r>
          </w:p>
        </w:tc>
      </w:tr>
      <w:tr w:rsidR="000663E7" w:rsidRPr="000663E7" w14:paraId="67554274" w14:textId="77777777" w:rsidTr="00336DAE">
        <w:trPr>
          <w:trHeight w:val="3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7F0" w14:textId="77777777" w:rsidR="000663E7" w:rsidRPr="00336DAE" w:rsidRDefault="000663E7" w:rsidP="00336DAE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DÉPENSES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9F68" w14:textId="1551FCF4" w:rsidR="000663E7" w:rsidRPr="00336DAE" w:rsidRDefault="000663E7" w:rsidP="00336DAE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1B9F" w14:textId="190CA63C" w:rsidR="000663E7" w:rsidRPr="00336DAE" w:rsidRDefault="000663E7" w:rsidP="00336DAE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722" w14:textId="77777777" w:rsidR="000663E7" w:rsidRPr="00336DAE" w:rsidRDefault="000663E7" w:rsidP="00336DAE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B248" w14:textId="77777777" w:rsidR="000663E7" w:rsidRPr="00336DAE" w:rsidRDefault="000663E7" w:rsidP="00336DAE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</w:tr>
      <w:tr w:rsidR="000663E7" w:rsidRPr="000663E7" w14:paraId="41863E5D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CE35539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A. Cadres supérieurs du Secrétariat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84959ED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1 014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10BBA5B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1 032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9F9060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16A2E7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3 085</w:t>
            </w:r>
          </w:p>
        </w:tc>
      </w:tr>
      <w:tr w:rsidR="000663E7" w:rsidRPr="000663E7" w14:paraId="156346EF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E2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CE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D0F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CA7B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AB5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2 791</w:t>
            </w:r>
          </w:p>
        </w:tc>
      </w:tr>
      <w:tr w:rsidR="000663E7" w:rsidRPr="000663E7" w14:paraId="1E57C656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EAE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B27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B12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1B2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0C5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159</w:t>
            </w:r>
          </w:p>
        </w:tc>
      </w:tr>
      <w:tr w:rsidR="000663E7" w:rsidRPr="000663E7" w14:paraId="49239BA6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92F5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FF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309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9B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90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135</w:t>
            </w:r>
          </w:p>
        </w:tc>
      </w:tr>
      <w:tr w:rsidR="000663E7" w:rsidRPr="000663E7" w14:paraId="79BF1494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616FB6E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B. Mobilisation des ressources et sensibilisation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AB899C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683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6F05A0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660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DB9DC1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2E3D1E45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1 991</w:t>
            </w:r>
          </w:p>
        </w:tc>
      </w:tr>
      <w:tr w:rsidR="000663E7" w:rsidRPr="000663E7" w14:paraId="37BE577C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77F7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FE7F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17B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F8F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BFE4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1 368</w:t>
            </w:r>
          </w:p>
        </w:tc>
      </w:tr>
      <w:tr w:rsidR="000663E7" w:rsidRPr="000663E7" w14:paraId="17FAF6BC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8BB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8C0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2E24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69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0E86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</w:tr>
      <w:tr w:rsidR="000663E7" w:rsidRPr="000663E7" w14:paraId="55317B33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BC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Programme de CESP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2E6B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4E5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B663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95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90</w:t>
            </w:r>
          </w:p>
        </w:tc>
      </w:tr>
      <w:tr w:rsidR="00336DAE" w:rsidRPr="00336DAE" w14:paraId="198A56F5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34A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Communications, traduction, publications et rapports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44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B11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F21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C53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300</w:t>
            </w:r>
          </w:p>
        </w:tc>
      </w:tr>
      <w:tr w:rsidR="000663E7" w:rsidRPr="000663E7" w14:paraId="6C35DBE9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56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Appui et développement du Web/TI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6DA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F01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A58F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43E0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179</w:t>
            </w:r>
          </w:p>
        </w:tc>
      </w:tr>
      <w:tr w:rsidR="00336DAE" w:rsidRPr="00336DAE" w14:paraId="14E0FC1E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7D4B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5A1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41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F80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1B0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45</w:t>
            </w:r>
          </w:p>
        </w:tc>
      </w:tr>
      <w:tr w:rsidR="000663E7" w:rsidRPr="000663E7" w14:paraId="6FE7AF33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634C83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C. Appui et conseils aux régions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1F0E09D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1 335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0E58E3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1 357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18DFA7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ECED5A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4 063</w:t>
            </w:r>
          </w:p>
        </w:tc>
      </w:tr>
      <w:tr w:rsidR="000663E7" w:rsidRPr="000663E7" w14:paraId="67A572BC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C91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606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1 178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7BB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1 196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FF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18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3 588</w:t>
            </w:r>
          </w:p>
        </w:tc>
      </w:tr>
      <w:tr w:rsidR="000663E7" w:rsidRPr="000663E7" w14:paraId="5BC17C2C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874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20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593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8AC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523B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220</w:t>
            </w:r>
          </w:p>
        </w:tc>
      </w:tr>
      <w:tr w:rsidR="00141B8D" w:rsidRPr="00141B8D" w14:paraId="6E37F3EF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7C8D" w14:textId="77777777" w:rsidR="000663E7" w:rsidRPr="00141B8D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FB86" w14:textId="77777777" w:rsidR="000663E7" w:rsidRPr="00141B8D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666" w14:textId="77777777" w:rsidR="000663E7" w:rsidRPr="00141B8D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3546" w14:textId="77777777" w:rsidR="000663E7" w:rsidRPr="00141B8D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FAF" w14:textId="77777777" w:rsidR="000663E7" w:rsidRPr="00141B8D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255</w:t>
            </w:r>
          </w:p>
        </w:tc>
      </w:tr>
      <w:tr w:rsidR="000663E7" w:rsidRPr="000663E7" w14:paraId="1BCB25A9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395FF39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D. Appui aux Initiatives régionales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C6D2105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198ABA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8FD587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A38B02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300</w:t>
            </w:r>
          </w:p>
        </w:tc>
      </w:tr>
      <w:tr w:rsidR="000663E7" w:rsidRPr="000663E7" w14:paraId="06B349D3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52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Réseaux et centres régionaux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C5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69E6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3A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B7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300</w:t>
            </w:r>
          </w:p>
        </w:tc>
      </w:tr>
      <w:tr w:rsidR="000663E7" w:rsidRPr="000663E7" w14:paraId="3CD5D9F9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2723E79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E. Sciences et politiques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27794236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759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1EDD2BA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738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BBA23DA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EFE4CD2" w14:textId="4EB9F1BE" w:rsidR="000663E7" w:rsidRPr="00336DAE" w:rsidRDefault="000663E7" w:rsidP="00A05AA9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2 2</w:t>
            </w:r>
            <w:r w:rsidR="00A05AA9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24</w:t>
            </w:r>
          </w:p>
        </w:tc>
      </w:tr>
      <w:tr w:rsidR="000663E7" w:rsidRPr="000663E7" w14:paraId="0ACFB0D1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FC72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9D31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3B4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B074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798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1 700</w:t>
            </w:r>
          </w:p>
        </w:tc>
      </w:tr>
      <w:tr w:rsidR="000663E7" w:rsidRPr="000663E7" w14:paraId="1E24607F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F94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BB5E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810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92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7FB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9</w:t>
            </w:r>
          </w:p>
        </w:tc>
      </w:tr>
      <w:tr w:rsidR="00141B8D" w:rsidRPr="00141B8D" w14:paraId="2C9404BD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755" w14:textId="77777777" w:rsidR="000663E7" w:rsidRPr="00141B8D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Mise en œuvre du programme du GEST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37DB" w14:textId="77777777" w:rsidR="000663E7" w:rsidRPr="00141B8D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FB1" w14:textId="77777777" w:rsidR="000663E7" w:rsidRPr="00141B8D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8B1" w14:textId="77777777" w:rsidR="000663E7" w:rsidRPr="00141B8D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B66" w14:textId="77777777" w:rsidR="000663E7" w:rsidRPr="00141B8D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141B8D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120</w:t>
            </w:r>
          </w:p>
        </w:tc>
      </w:tr>
      <w:tr w:rsidR="000663E7" w:rsidRPr="000663E7" w14:paraId="16782F6F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3B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 du Président du GEST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1D5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3B5C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103D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C980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15</w:t>
            </w:r>
          </w:p>
        </w:tc>
      </w:tr>
      <w:tr w:rsidR="000663E7" w:rsidRPr="000663E7" w14:paraId="7D4411D4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7996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Réunions du GEST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52D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657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D07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CBB8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150</w:t>
            </w:r>
          </w:p>
        </w:tc>
      </w:tr>
      <w:tr w:rsidR="000663E7" w:rsidRPr="000663E7" w14:paraId="188E5E6B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F6D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Service d'information sur les Sites Ramsar (entretien et développement)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812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97EF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D2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0F7E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200</w:t>
            </w:r>
          </w:p>
        </w:tc>
      </w:tr>
      <w:tr w:rsidR="000663E7" w:rsidRPr="000663E7" w14:paraId="71434B06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FC46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542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17EC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957F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E0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30</w:t>
            </w:r>
          </w:p>
        </w:tc>
      </w:tr>
      <w:tr w:rsidR="000663E7" w:rsidRPr="000663E7" w14:paraId="2126B43B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DA22861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G. Administration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0F3ED2E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447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8DEAC50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451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1857885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86D38BE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1 353</w:t>
            </w:r>
          </w:p>
        </w:tc>
      </w:tr>
      <w:tr w:rsidR="000663E7" w:rsidRPr="000663E7" w14:paraId="4D601B36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01C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91BB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342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13F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1AE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958</w:t>
            </w:r>
          </w:p>
        </w:tc>
      </w:tr>
      <w:tr w:rsidR="000663E7" w:rsidRPr="000663E7" w14:paraId="06B43257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3C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Autres prestations d’emploi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5008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224B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537D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DC0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</w:t>
            </w:r>
          </w:p>
        </w:tc>
      </w:tr>
      <w:tr w:rsidR="000663E7" w:rsidRPr="000663E7" w14:paraId="0DC8E132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E0F0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Recrutement et indemnités de départ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CE7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9253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661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6D96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75</w:t>
            </w:r>
          </w:p>
        </w:tc>
      </w:tr>
      <w:tr w:rsidR="000663E7" w:rsidRPr="000663E7" w14:paraId="5CE1669E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FC80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 du personnel du Secrétariat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352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857D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DA42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0B9D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0</w:t>
            </w:r>
          </w:p>
        </w:tc>
      </w:tr>
      <w:tr w:rsidR="000663E7" w:rsidRPr="000663E7" w14:paraId="7066F305" w14:textId="77777777" w:rsidTr="00A05AA9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9A6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Coûts de fonctionnement, équipements compris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6DE8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D3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BC8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BCF5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sz w:val="20"/>
                <w:szCs w:val="20"/>
                <w:lang w:val="fr-FR" w:eastAsia="en-GB"/>
              </w:rPr>
              <w:t>285</w:t>
            </w:r>
          </w:p>
        </w:tc>
      </w:tr>
      <w:tr w:rsidR="000663E7" w:rsidRPr="000663E7" w14:paraId="72C5F5CB" w14:textId="77777777" w:rsidTr="00A05AA9">
        <w:trPr>
          <w:trHeight w:val="289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F5DC" w14:textId="77777777" w:rsidR="000663E7" w:rsidRPr="00A05AA9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  <w:r w:rsidRPr="00A05AA9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  <w:t>Planification et renforcement des capacités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A42" w14:textId="77777777" w:rsidR="000663E7" w:rsidRPr="00A05AA9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A05AA9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C794" w14:textId="77777777" w:rsidR="000663E7" w:rsidRPr="00A05AA9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A05AA9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C0C" w14:textId="77777777" w:rsidR="000663E7" w:rsidRPr="00A05AA9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A05AA9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5B0" w14:textId="77777777" w:rsidR="000663E7" w:rsidRPr="00A05AA9" w:rsidRDefault="000663E7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  <w:r w:rsidRPr="00A05AA9"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  <w:t>33</w:t>
            </w:r>
          </w:p>
        </w:tc>
      </w:tr>
      <w:tr w:rsidR="00A05AA9" w:rsidRPr="000663E7" w14:paraId="4B865C46" w14:textId="77777777" w:rsidTr="00A05AA9">
        <w:trPr>
          <w:trHeight w:val="289"/>
        </w:trPr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EC36A" w14:textId="77777777" w:rsidR="00A05AA9" w:rsidRDefault="00A05AA9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</w:p>
          <w:p w14:paraId="0BEBBF7C" w14:textId="77777777" w:rsidR="00A05AA9" w:rsidRDefault="00A05AA9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</w:p>
          <w:p w14:paraId="6E1DA2D4" w14:textId="77777777" w:rsidR="00A05AA9" w:rsidRDefault="00A05AA9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</w:p>
          <w:p w14:paraId="68301A8F" w14:textId="77777777" w:rsidR="00A05AA9" w:rsidRPr="00A05AA9" w:rsidRDefault="00A05AA9" w:rsidP="000663E7">
            <w:pPr>
              <w:ind w:left="0" w:firstLine="0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val="fr-FR"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7D24B" w14:textId="77777777" w:rsidR="00A05AA9" w:rsidRPr="00A05AA9" w:rsidRDefault="00A05AA9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B41C4" w14:textId="77777777" w:rsidR="00A05AA9" w:rsidRPr="00A05AA9" w:rsidRDefault="00A05AA9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6D0B9" w14:textId="77777777" w:rsidR="00A05AA9" w:rsidRPr="00A05AA9" w:rsidRDefault="00A05AA9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21EDA" w14:textId="77777777" w:rsidR="00A05AA9" w:rsidRPr="00A05AA9" w:rsidRDefault="00A05AA9" w:rsidP="000663E7">
            <w:pPr>
              <w:ind w:left="0" w:firstLine="0"/>
              <w:jc w:val="right"/>
              <w:rPr>
                <w:rFonts w:eastAsia="Times New Roman" w:cs="Arial"/>
                <w:color w:val="FF0000"/>
                <w:sz w:val="20"/>
                <w:szCs w:val="20"/>
                <w:lang w:val="fr-FR" w:eastAsia="en-GB"/>
              </w:rPr>
            </w:pPr>
          </w:p>
        </w:tc>
      </w:tr>
      <w:tr w:rsidR="000663E7" w:rsidRPr="000663E7" w14:paraId="426B1CF3" w14:textId="77777777" w:rsidTr="00A05AA9">
        <w:trPr>
          <w:trHeight w:val="289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2F736A2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lastRenderedPageBreak/>
              <w:t>H. Services au Comité permanent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9BD1CE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150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709F074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150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35A70C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FA54594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450</w:t>
            </w:r>
          </w:p>
        </w:tc>
      </w:tr>
      <w:tr w:rsidR="000663E7" w:rsidRPr="000663E7" w14:paraId="380DBC1F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7C7B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Appui aux délégués du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B3B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A64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DCB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78D0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135</w:t>
            </w:r>
          </w:p>
        </w:tc>
      </w:tr>
      <w:tr w:rsidR="000663E7" w:rsidRPr="000663E7" w14:paraId="35A115F9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D525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Réunions du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4C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A3A3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9549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C8A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30</w:t>
            </w:r>
          </w:p>
        </w:tc>
      </w:tr>
      <w:tr w:rsidR="000663E7" w:rsidRPr="000663E7" w14:paraId="174970C3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C0BA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sz w:val="20"/>
                <w:szCs w:val="20"/>
                <w:lang w:val="fr-FR"/>
              </w:rPr>
              <w:t>Services de traduction pour le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A685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F50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475D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69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180</w:t>
            </w:r>
          </w:p>
        </w:tc>
      </w:tr>
      <w:tr w:rsidR="000663E7" w:rsidRPr="000663E7" w14:paraId="1848DC14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441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Services d’interprétation simultanée lors des réunions du Comité permanent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5364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EDE2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C6A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0F1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105</w:t>
            </w:r>
          </w:p>
        </w:tc>
      </w:tr>
      <w:tr w:rsidR="000663E7" w:rsidRPr="000663E7" w14:paraId="14A989B1" w14:textId="77777777" w:rsidTr="00336DAE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2FAC87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I.</w:t>
            </w:r>
            <w:r w:rsidRPr="00336DAE">
              <w:rPr>
                <w:sz w:val="20"/>
                <w:szCs w:val="20"/>
                <w:lang w:val="fr-FR"/>
              </w:rPr>
              <w:t xml:space="preserve"> </w:t>
            </w: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Coûts des services administratifs de l’UICN (maximum)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5FA98E6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9C891F0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E936A9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86E25B6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1 680</w:t>
            </w:r>
          </w:p>
        </w:tc>
      </w:tr>
      <w:tr w:rsidR="000663E7" w:rsidRPr="000663E7" w14:paraId="5E9B30EE" w14:textId="77777777" w:rsidTr="000663E7"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538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Administration, ressources humaines, services financiers &amp; informatiques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ED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4B7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EED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BA0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1 680</w:t>
            </w:r>
          </w:p>
        </w:tc>
      </w:tr>
      <w:tr w:rsidR="000663E7" w:rsidRPr="000663E7" w14:paraId="78B822AD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2B0FABF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J. Divers – Fonds de réserve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A903485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93BC8E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598318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2AB18E9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326</w:t>
            </w:r>
          </w:p>
        </w:tc>
      </w:tr>
      <w:tr w:rsidR="000663E7" w:rsidRPr="000663E7" w14:paraId="788D1D6F" w14:textId="77777777" w:rsidTr="00336DAE">
        <w:trPr>
          <w:trHeight w:val="289"/>
        </w:trPr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F4C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Provisions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88A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F7C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A5B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BBF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150</w:t>
            </w:r>
          </w:p>
        </w:tc>
      </w:tr>
      <w:tr w:rsidR="000663E7" w:rsidRPr="000663E7" w14:paraId="12058E48" w14:textId="77777777" w:rsidTr="00336DAE">
        <w:trPr>
          <w:trHeight w:val="289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1D5D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Services juridiques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644E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F746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2AB3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8A8" w14:textId="77777777" w:rsidR="000663E7" w:rsidRPr="00336DAE" w:rsidRDefault="000663E7" w:rsidP="000663E7">
            <w:pPr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176</w:t>
            </w:r>
          </w:p>
        </w:tc>
      </w:tr>
      <w:tr w:rsidR="000663E7" w:rsidRPr="000663E7" w14:paraId="508957FC" w14:textId="77777777" w:rsidTr="00336DAE">
        <w:trPr>
          <w:trHeight w:val="357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A300AF0" w14:textId="77777777" w:rsidR="000663E7" w:rsidRPr="00336DAE" w:rsidRDefault="000663E7" w:rsidP="000663E7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MONTANT TOTAL DES DÉPENSES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0209C2F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5 157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E14763E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5 157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208E0B9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5 157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9A1D585" w14:textId="77777777" w:rsidR="000663E7" w:rsidRPr="00336DAE" w:rsidRDefault="000663E7" w:rsidP="000663E7">
            <w:pPr>
              <w:ind w:left="0"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</w:pPr>
            <w:r w:rsidRPr="00336DAE">
              <w:rPr>
                <w:rFonts w:eastAsia="Times New Roman" w:cs="Arial"/>
                <w:b/>
                <w:bCs/>
                <w:sz w:val="20"/>
                <w:szCs w:val="20"/>
                <w:lang w:val="fr-FR" w:eastAsia="en-GB"/>
              </w:rPr>
              <w:t>15 471</w:t>
            </w:r>
          </w:p>
        </w:tc>
      </w:tr>
    </w:tbl>
    <w:p w14:paraId="40014460" w14:textId="77777777" w:rsidR="000663E7" w:rsidRPr="000663E7" w:rsidRDefault="000663E7" w:rsidP="000663E7">
      <w:pPr>
        <w:ind w:left="0" w:firstLine="0"/>
        <w:rPr>
          <w:rFonts w:cs="Arial"/>
          <w:b/>
          <w:lang w:val="fr-FR"/>
        </w:rPr>
      </w:pPr>
    </w:p>
    <w:p w14:paraId="5700AF5A" w14:textId="77777777" w:rsidR="00A05AA9" w:rsidRDefault="00A05AA9" w:rsidP="008B73E8">
      <w:pPr>
        <w:rPr>
          <w:rFonts w:cs="Arial"/>
          <w:b/>
          <w:sz w:val="4"/>
          <w:szCs w:val="4"/>
          <w:lang w:val="fr-FR"/>
        </w:rPr>
        <w:sectPr w:rsidR="00A05AA9" w:rsidSect="00ED2630">
          <w:headerReference w:type="default" r:id="rId10"/>
          <w:footerReference w:type="default" r:id="rId11"/>
          <w:pgSz w:w="11906" w:h="16838"/>
          <w:pgMar w:top="1440" w:right="1440" w:bottom="1021" w:left="1440" w:header="709" w:footer="709" w:gutter="0"/>
          <w:cols w:space="708"/>
          <w:titlePg/>
          <w:docGrid w:linePitch="360"/>
        </w:sectPr>
      </w:pPr>
    </w:p>
    <w:p w14:paraId="505405B5" w14:textId="77777777" w:rsidR="00A05AA9" w:rsidRPr="00DD6D39" w:rsidRDefault="00A05AA9" w:rsidP="00A05AA9">
      <w:pPr>
        <w:rPr>
          <w:rFonts w:asciiTheme="minorHAnsi" w:hAnsiTheme="minorHAnsi"/>
          <w:b/>
          <w:bCs/>
          <w:sz w:val="24"/>
          <w:szCs w:val="24"/>
          <w:lang w:val="fr-FR" w:eastAsia="en-GB"/>
        </w:rPr>
      </w:pPr>
      <w:r w:rsidRPr="00DD6D39">
        <w:rPr>
          <w:rFonts w:asciiTheme="minorHAnsi" w:hAnsiTheme="minorHAnsi"/>
          <w:b/>
          <w:bCs/>
          <w:sz w:val="24"/>
          <w:szCs w:val="24"/>
          <w:lang w:val="fr-FR" w:eastAsia="en-GB"/>
        </w:rPr>
        <w:lastRenderedPageBreak/>
        <w:t>Annexe 2</w:t>
      </w:r>
    </w:p>
    <w:p w14:paraId="426BCDD1" w14:textId="77777777" w:rsidR="00A05AA9" w:rsidRPr="00DD6D39" w:rsidRDefault="00A05AA9" w:rsidP="00A05AA9">
      <w:pPr>
        <w:rPr>
          <w:rFonts w:asciiTheme="minorHAnsi" w:hAnsiTheme="minorHAnsi"/>
          <w:b/>
          <w:bCs/>
          <w:sz w:val="24"/>
          <w:szCs w:val="24"/>
          <w:lang w:val="fr-FR" w:eastAsia="en-GB"/>
        </w:rPr>
      </w:pPr>
    </w:p>
    <w:p w14:paraId="3CC39555" w14:textId="77777777" w:rsidR="00A05AA9" w:rsidRPr="00DD6D39" w:rsidRDefault="00A05AA9" w:rsidP="00A05AA9">
      <w:pPr>
        <w:ind w:left="0" w:firstLine="0"/>
        <w:rPr>
          <w:rFonts w:asciiTheme="minorHAnsi" w:hAnsiTheme="minorHAnsi"/>
          <w:b/>
          <w:bCs/>
          <w:sz w:val="24"/>
          <w:szCs w:val="24"/>
          <w:lang w:val="fr-FR" w:eastAsia="en-GB"/>
        </w:rPr>
      </w:pPr>
      <w:r w:rsidRPr="00DD6D39">
        <w:rPr>
          <w:rFonts w:asciiTheme="minorHAnsi" w:hAnsiTheme="minorHAnsi"/>
          <w:b/>
          <w:bCs/>
          <w:sz w:val="24"/>
          <w:szCs w:val="24"/>
          <w:lang w:val="fr-FR" w:eastAsia="en-GB"/>
        </w:rPr>
        <w:t>Contributions estimées des Parties contractantes au budget administratif pour 2019-2021</w:t>
      </w:r>
    </w:p>
    <w:p w14:paraId="36449F84" w14:textId="77777777" w:rsidR="00A05AA9" w:rsidRPr="00DD6D39" w:rsidRDefault="00A05AA9" w:rsidP="00A05AA9">
      <w:pPr>
        <w:ind w:left="0" w:firstLine="0"/>
        <w:rPr>
          <w:rFonts w:asciiTheme="minorHAnsi" w:hAnsiTheme="minorHAnsi"/>
          <w:b/>
          <w:bCs/>
          <w:lang w:val="fr-FR" w:eastAsia="en-GB"/>
        </w:rPr>
      </w:pPr>
    </w:p>
    <w:tbl>
      <w:tblPr>
        <w:tblW w:w="14516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4"/>
        <w:gridCol w:w="1333"/>
        <w:gridCol w:w="1333"/>
        <w:gridCol w:w="1531"/>
        <w:gridCol w:w="1531"/>
        <w:gridCol w:w="1531"/>
        <w:gridCol w:w="1531"/>
        <w:gridCol w:w="1531"/>
        <w:gridCol w:w="1531"/>
      </w:tblGrid>
      <w:tr w:rsidR="00A05AA9" w:rsidRPr="00A05AA9" w14:paraId="0762BF3E" w14:textId="77777777" w:rsidTr="00A05AA9">
        <w:trPr>
          <w:cantSplit/>
          <w:tblHeader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A8694B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Partie contractante 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br/>
              <w:t>(membre au 1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vertAlign w:val="superscript"/>
                <w:lang w:val="fr-FR" w:eastAsia="en-GB"/>
              </w:rPr>
              <w:t>er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 juin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 2018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DC09A9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Barème ONU 2016-2018*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6B60B3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% Ramsar total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69A33B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Contribution annuelle estimée 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br/>
              <w:t>2019-2021 (Sc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e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nario A, 0 % d’augmentation)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A7FBC1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Contribution annuelle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br/>
              <w:t>2016-2018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71F57A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Changement estimé dans la contribution annuelle par rapport à la période triennale précédente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E32569" w14:textId="15A21D43" w:rsidR="00A05AA9" w:rsidRPr="00DD6D39" w:rsidRDefault="00A05AA9" w:rsidP="00A05AA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Contribution annuelle estimée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br/>
              <w:t>2019-2021 (Sc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e</w:t>
            </w: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nario B, 1,5% d’augmentation)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1EE9B0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Contribution annuelle </w:t>
            </w:r>
          </w:p>
          <w:p w14:paraId="4FF7D5C9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2016-2018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1D1597B" w14:textId="77777777" w:rsidR="00A05AA9" w:rsidRPr="00DD6D39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DD6D3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Changement estimé dans la contribution annuelle par rapport à la période triennale précédente</w:t>
            </w:r>
          </w:p>
        </w:tc>
      </w:tr>
      <w:tr w:rsidR="00A05AA9" w:rsidRPr="001D42CA" w14:paraId="30C8D165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53A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Afrique du Sud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2BC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0.364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645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0.373%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76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17,795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53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17,799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CA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22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18,079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9C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17,799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357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280</w:t>
            </w:r>
          </w:p>
        </w:tc>
      </w:tr>
      <w:tr w:rsidR="00A05AA9" w:rsidRPr="001D42CA" w14:paraId="6205E1A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E304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Albanie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C35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42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C99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7DB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AE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72F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97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1E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41C6FAA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C3E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Algérie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65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0.161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4A0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0.165%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23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7,871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43A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7,872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F9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189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7,997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AA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7,872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2D2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125</w:t>
            </w:r>
          </w:p>
        </w:tc>
      </w:tr>
      <w:tr w:rsidR="00A05AA9" w:rsidRPr="001D42CA" w14:paraId="7DF2964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BFD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Allemagne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79C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6.389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EB1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6.552%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876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312,343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CA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312,403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96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2A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317,331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0E2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312,403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D0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4,928</w:t>
            </w:r>
          </w:p>
        </w:tc>
      </w:tr>
      <w:tr w:rsidR="00A05AA9" w:rsidRPr="001D42CA" w14:paraId="48C13FD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C544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Andorre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A29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90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DB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06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CD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9E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75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39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339ED5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E45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Antigua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-et-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Barbuda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64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B52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76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23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5B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1C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D5B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C7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4C255C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FB2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Argentin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1A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0.892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91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0.915%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1A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43,608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DD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43,616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24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C4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44,304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F5A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43,616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70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688</w:t>
            </w:r>
          </w:p>
        </w:tc>
      </w:tr>
      <w:tr w:rsidR="00A05AA9" w:rsidRPr="001D42CA" w14:paraId="2AF6615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B2C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Arm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221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BA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D30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8B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C88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3E1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6D9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D9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5B23D79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2B1D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Australie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AD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2.337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514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2.397%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EF7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114,250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C0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114,272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A1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754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116,075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C3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114,272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62A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1,803</w:t>
            </w:r>
          </w:p>
        </w:tc>
      </w:tr>
      <w:tr w:rsidR="00A05AA9" w:rsidRPr="001D42CA" w14:paraId="45C7C1C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BE48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Au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triche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32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0.720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BF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0.738%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812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35,199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12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35,206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EC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4A9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35,761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11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35,206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C9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555</w:t>
            </w:r>
          </w:p>
        </w:tc>
      </w:tr>
      <w:tr w:rsidR="00A05AA9" w:rsidRPr="001D42CA" w14:paraId="41ABCE0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123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Azerbaïdjan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90E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DDF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0.062%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EF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2,933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23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2,934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F34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233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2,980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31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2,934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19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46</w:t>
            </w:r>
          </w:p>
        </w:tc>
      </w:tr>
      <w:tr w:rsidR="00A05AA9" w:rsidRPr="001D42CA" w14:paraId="13720F7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E44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Bahamas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23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34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08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82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9F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F4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266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05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5969233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57D7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Bahreïn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9B4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301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0.045%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62A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C8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30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850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7A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8C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34</w:t>
            </w:r>
          </w:p>
        </w:tc>
      </w:tr>
      <w:tr w:rsidR="00A05AA9" w:rsidRPr="001D42CA" w14:paraId="7D9EE115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B6CC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Bangladesh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8F9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973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497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448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BC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8F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C9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249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2E111BA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B86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Barbade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482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24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32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89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8B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93D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9F1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1D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57A288C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476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larus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CD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19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0.057%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67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2,738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EB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2,738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71C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57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2,781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72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2,738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DB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</w:t>
            </w:r>
          </w:p>
        </w:tc>
      </w:tr>
      <w:tr w:rsidR="00A05AA9" w:rsidRPr="001D42CA" w14:paraId="081B44E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B45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Belg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ique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06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0.885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3B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0.908%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52A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43,266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14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43,274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D7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8E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43,956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F66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43,274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EF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682</w:t>
            </w:r>
          </w:p>
        </w:tc>
      </w:tr>
      <w:tr w:rsidR="00A05AA9" w:rsidRPr="001D42CA" w14:paraId="2BAE38E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323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Belize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1C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F9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2C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8E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F62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19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FD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B7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5180009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047A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60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B4D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E44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1F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66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F2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81F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BE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36D9BB4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65BF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Bh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o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utan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AA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FA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7D2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48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14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F2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01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69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5BC4FB9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643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Bolivi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(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État plurinational de)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F8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95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98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A9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7F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770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8A1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36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C8DDA1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E92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lastRenderedPageBreak/>
              <w:t>Bosni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e-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Herz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govin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FB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8A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72F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CB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95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D8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748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93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3C7056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DBB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Botswana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0F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EB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351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6F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B0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001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27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D21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3005076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8DEC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Br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és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39E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3.823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277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3.921%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31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186,898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27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186,933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85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76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189,882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5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186,933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C9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2,949</w:t>
            </w:r>
          </w:p>
        </w:tc>
      </w:tr>
      <w:tr w:rsidR="00A05AA9" w:rsidRPr="001D42CA" w14:paraId="2551C8FC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8168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Bulgarie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1A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FF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0.046%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01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9B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8A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91E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C5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AD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35</w:t>
            </w:r>
          </w:p>
        </w:tc>
      </w:tr>
      <w:tr w:rsidR="00A05AA9" w:rsidRPr="001D42CA" w14:paraId="5C2EFF9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BA5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Burkina Faso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97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8D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42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B8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BE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AB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056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E2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B37C2A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9A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Burundi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87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2E4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5C9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560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61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5DC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58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CD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A13E416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DE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Cabo Verde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5AE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3B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8C9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4F8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EE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78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E7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C7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3B766A0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E0A8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Cambod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D8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A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0A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C9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AA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A2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70B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F5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44E02A8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0002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Cameroun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D6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AA2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B1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0BB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F0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2B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96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79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76867B8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86B7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Canada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15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2.921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E8F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2.996%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43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142,801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47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142,828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5F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66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145,081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F2E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142,828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F2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2,253</w:t>
            </w:r>
          </w:p>
        </w:tc>
      </w:tr>
      <w:tr w:rsidR="00A05AA9" w:rsidRPr="001D42CA" w14:paraId="0AA44D6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154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Chil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5C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0.399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820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0.409%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20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19,506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BB5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19,510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F02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7A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19,818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49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19,510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437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308</w:t>
            </w:r>
          </w:p>
        </w:tc>
      </w:tr>
      <w:tr w:rsidR="00A05AA9" w:rsidRPr="001D42CA" w14:paraId="38918AC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717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Chin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2E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7.921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AAF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8.123%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8A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387,239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A9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387,313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33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96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393,423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290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387,313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07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6,110</w:t>
            </w:r>
          </w:p>
        </w:tc>
      </w:tr>
      <w:tr w:rsidR="00A05AA9" w:rsidRPr="001D42CA" w14:paraId="17237CF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5E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h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ypr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F8C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EB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0.044%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9C0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95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92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05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DC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2,103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167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33</w:t>
            </w:r>
          </w:p>
        </w:tc>
      </w:tr>
      <w:tr w:rsidR="00A05AA9" w:rsidRPr="001D42CA" w14:paraId="6397F63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CA25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Colombie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7C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0.322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05E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0.330%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1A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15,742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16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15,745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C0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70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15,993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DD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15,745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3FD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248</w:t>
            </w:r>
          </w:p>
        </w:tc>
      </w:tr>
      <w:tr w:rsidR="00A05AA9" w:rsidRPr="001D42CA" w14:paraId="567727B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715E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Comores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C7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4CD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7E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E8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C9A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0D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CE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D43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03CFEE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6A9F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Congo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2DE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B9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B4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44F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7F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1BB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AB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1C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33B2921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A3F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Costa Rica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FFD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82B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0.048%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67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0A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11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918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2,334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E2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7C0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</w:tr>
      <w:tr w:rsidR="00A05AA9" w:rsidRPr="001D42CA" w14:paraId="315A7BF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B175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Côte d'Ivoire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05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F2F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918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B1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8D1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30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A4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E5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28127A2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152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Croatie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9CD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5FC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73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4,840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CDB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4,841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74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EC4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4,917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0BF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4,841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28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76</w:t>
            </w:r>
          </w:p>
        </w:tc>
      </w:tr>
      <w:tr w:rsidR="00A05AA9" w:rsidRPr="001D42CA" w14:paraId="4A2F1B1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4ED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Cuba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6B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65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0.067%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3AA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3,178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8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3,178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5C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34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3,228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A48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3,178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F5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</w:tr>
      <w:tr w:rsidR="00A05AA9" w:rsidRPr="001D42CA" w14:paraId="4816F8B6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47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Danemark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C0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0.584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59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0.599%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E7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28,550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E6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28,556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6E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A61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29,006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19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28,556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767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450</w:t>
            </w:r>
          </w:p>
        </w:tc>
      </w:tr>
      <w:tr w:rsidR="00A05AA9" w:rsidRPr="001D42CA" w14:paraId="5C9BA18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D5A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Djibouti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A5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55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9F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34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01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A4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1F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EF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7022FFB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5EA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Égypte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75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0.152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60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0.156%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D2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7,431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94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7,432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A4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39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92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7,432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3F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118</w:t>
            </w:r>
          </w:p>
        </w:tc>
      </w:tr>
      <w:tr w:rsidR="00A05AA9" w:rsidRPr="001D42CA" w14:paraId="1C87EF7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581D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El Salvador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B2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880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B2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D5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AD1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0E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F3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EDE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F7C025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6A97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Émirats arabes unis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E09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0.604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AD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0.619%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1B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29,528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EE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29,534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288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C1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30,000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31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29,534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CAC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466</w:t>
            </w:r>
          </w:p>
        </w:tc>
      </w:tr>
      <w:tr w:rsidR="00A05AA9" w:rsidRPr="001D42CA" w14:paraId="2001D7CC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E3B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lastRenderedPageBreak/>
              <w:t>Équateur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6A5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DA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0.069%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58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3,275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8C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3,276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1B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06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3,328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695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3,276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02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52</w:t>
            </w:r>
          </w:p>
        </w:tc>
      </w:tr>
      <w:tr w:rsidR="00A05AA9" w:rsidRPr="001D42CA" w14:paraId="3081064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762B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Espagne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6E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2.443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412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2.505%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FE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119,433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5B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119,455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95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1A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121,340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3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119,455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4D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1,885</w:t>
            </w:r>
          </w:p>
        </w:tc>
      </w:tr>
      <w:tr w:rsidR="00A05AA9" w:rsidRPr="001D42CA" w14:paraId="053850D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B85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Estonie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A5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BA1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0.039%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74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1,858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34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1,858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CD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D1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1,887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2B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1,858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80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</w:tr>
      <w:tr w:rsidR="00A05AA9" w:rsidRPr="001D42CA" w14:paraId="7237C72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8CFC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Eswatini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3A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F3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24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C99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1E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161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05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45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C4A1F3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10C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État de Libye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93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0.125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2D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0.128%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E2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3D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6,112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5DD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7B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6,209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49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6,112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78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97</w:t>
            </w:r>
          </w:p>
        </w:tc>
      </w:tr>
      <w:tr w:rsidR="00A05AA9" w:rsidRPr="001D42CA" w14:paraId="6C51AE3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9C80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Ex-République yougoslave de </w:t>
            </w: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Macédoine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C48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236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987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CF2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526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EC7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596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27D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2D2E7B" w14:paraId="6B2B913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F7F4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Fédération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de Russie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73F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3.088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89EE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3.167%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23A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150,965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87A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150,994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D02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3A8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153,376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3EA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150,994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E1C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2,382</w:t>
            </w:r>
          </w:p>
        </w:tc>
      </w:tr>
      <w:tr w:rsidR="00A05AA9" w:rsidRPr="001D42CA" w14:paraId="1AF1762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76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F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id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ji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C1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4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81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8D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A0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178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A3B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F8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5A79B3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FC0E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Finlande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3E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0.456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8EC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0.468%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00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22,293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06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22,297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DF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72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22,649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6B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22,297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E2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352</w:t>
            </w:r>
          </w:p>
        </w:tc>
      </w:tr>
      <w:tr w:rsidR="00A05AA9" w:rsidRPr="001D42CA" w14:paraId="27A3AFE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C83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France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52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4.859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0F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4.983%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6A3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237,545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5D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237,590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60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1D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241,339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E1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237,590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C0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3,749</w:t>
            </w:r>
          </w:p>
        </w:tc>
      </w:tr>
      <w:tr w:rsidR="00A05AA9" w:rsidRPr="001D42CA" w14:paraId="1584D0B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0F67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Gabon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E2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E6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DF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E1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568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28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EF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EA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EFD1A8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94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Gambie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2A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F3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9B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20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14D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FDC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EC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8A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95A793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0FDA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éorgie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15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6E7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0B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9A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6F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A8C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AF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94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3217D03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FB5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Ghana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C9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4E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83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A9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4EC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DC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B2F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57C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7AFCF90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243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Grèce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101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0.471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D7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0.483%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0D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23,026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2F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57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43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23,394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FA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A9C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364</w:t>
            </w:r>
          </w:p>
        </w:tc>
      </w:tr>
      <w:tr w:rsidR="00A05AA9" w:rsidRPr="001D42CA" w14:paraId="15EBDFC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A6C2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Grenad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4E4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A4B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A6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D1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9F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32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131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C7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3179817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40F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Guatemala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79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F29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0.029%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EF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83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733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85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73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4E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</w:t>
            </w:r>
          </w:p>
        </w:tc>
      </w:tr>
      <w:tr w:rsidR="00A05AA9" w:rsidRPr="001D42CA" w14:paraId="2DB3A1D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F23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Guinée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A3A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65D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A6D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A01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9E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E4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8F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50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3134386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B4B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Guinée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équatoriale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7C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17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4F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A55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49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52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61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17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2E5F4E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9A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Guinée-Bissau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99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B85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C8A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F6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00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828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5A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E03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244AA90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41E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Honduras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7E9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988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609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FD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8F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AE7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B8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02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F53BEB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B3E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Hongrie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5F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0.161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C3E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0.165%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641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7,871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B8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7,872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A8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3D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7,997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1C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7,872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7B3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125</w:t>
            </w:r>
          </w:p>
        </w:tc>
      </w:tr>
      <w:tr w:rsidR="00A05AA9" w:rsidRPr="002D2E7B" w14:paraId="288918D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C5ED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Î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les Marshall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05B8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179E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5F2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DD2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0103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41E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F8C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FE0" w14:textId="77777777" w:rsidR="00A05AA9" w:rsidRPr="002D2E7B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1D42CA" w14:paraId="1B8D8655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363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Ind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999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0.737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157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0.756%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D7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36,030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879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36,037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E8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304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36,606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FE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36,037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CC4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569</w:t>
            </w:r>
          </w:p>
        </w:tc>
      </w:tr>
      <w:tr w:rsidR="00A05AA9" w:rsidRPr="001D42CA" w14:paraId="5FF2722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34FC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lastRenderedPageBreak/>
              <w:t>Indonésie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3A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0.504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7C4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0.517%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89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24,639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56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24,644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0F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DC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25,033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EA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24,644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A9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389</w:t>
            </w:r>
          </w:p>
        </w:tc>
      </w:tr>
      <w:tr w:rsidR="00A05AA9" w:rsidRPr="001D42CA" w14:paraId="11E8E47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5B33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Iran (République 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slamique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d’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37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0.471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1AD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0.483%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72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23,026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AE0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8B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A52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23,394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9C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23,030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CE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364</w:t>
            </w:r>
          </w:p>
        </w:tc>
      </w:tr>
      <w:tr w:rsidR="00A05AA9" w:rsidRPr="001D42CA" w14:paraId="7BE4164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6B5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Iraq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A4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0.129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051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0.132%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F8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6,307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A48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6,308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B6A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53D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6,407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98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6,308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804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99</w:t>
            </w:r>
          </w:p>
        </w:tc>
      </w:tr>
      <w:tr w:rsidR="00A05AA9" w:rsidRPr="001D42CA" w14:paraId="2F795C66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22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Irland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887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0.335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31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0.344%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F84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16,377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9E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16,380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64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A46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16,639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26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16,380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530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259</w:t>
            </w:r>
          </w:p>
        </w:tc>
      </w:tr>
      <w:tr w:rsidR="00A05AA9" w:rsidRPr="001D42CA" w14:paraId="67A20E0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841A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land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B7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F6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0.024%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D0E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58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C87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65D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C4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78F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17</w:t>
            </w:r>
          </w:p>
        </w:tc>
      </w:tr>
      <w:tr w:rsidR="00A05AA9" w:rsidRPr="001D42CA" w14:paraId="74327DE5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34E1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Israël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BC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0.430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16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0.441%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279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21,022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FCCC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21,026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0D3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24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21,357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A7B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21,026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4EFA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331</w:t>
            </w:r>
          </w:p>
        </w:tc>
      </w:tr>
      <w:tr w:rsidR="00A05AA9" w:rsidRPr="001D42CA" w14:paraId="773D663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96B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Italie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283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3.748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D65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3.844%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88B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183,231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CED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183,266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D95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79C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186,157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AB4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183,266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9BA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2,891</w:t>
            </w:r>
          </w:p>
        </w:tc>
      </w:tr>
      <w:tr w:rsidR="00A05AA9" w:rsidRPr="001D42CA" w14:paraId="47BC4BD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17F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Jamaïque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C82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6D2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893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320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3CB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4B0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7D7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341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425A90C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01E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Japon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EFC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9.680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D76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9.927%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34C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473,232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9BA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473,323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C00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205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480,790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56A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473,323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8B6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7,467</w:t>
            </w:r>
          </w:p>
        </w:tc>
      </w:tr>
      <w:tr w:rsidR="00A05AA9" w:rsidRPr="001D42CA" w14:paraId="267B785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8393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Jordan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661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137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0.021%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A20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33B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D40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8F0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80E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B51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05AA9" w:rsidRPr="001D42CA" w14:paraId="73A9876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8FE6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Kazakhstan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52C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0.191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8F8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0.196%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3C3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9,338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A08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9,339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4F0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B78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9,487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5C1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9,339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A25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148</w:t>
            </w:r>
          </w:p>
        </w:tc>
      </w:tr>
      <w:tr w:rsidR="00A05AA9" w:rsidRPr="001D42CA" w14:paraId="384719F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538D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Kenya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34C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312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841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B89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E00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946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026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C77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789955C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558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Kirghizistan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5EF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D8F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ED1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CE3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E56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718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DCF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23D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4E58A6E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A45C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Kiribati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3B0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908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160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520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7D5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2F9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AEC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181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BBA741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4D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K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o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w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ït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C84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0.285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542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0.292%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731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13,933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2CC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13,936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90E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DA1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14,155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6F7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13,936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F56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219</w:t>
            </w:r>
          </w:p>
        </w:tc>
      </w:tr>
      <w:tr w:rsidR="00A05AA9" w:rsidRPr="001D42CA" w14:paraId="47A7474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8F7C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Lesotho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63A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100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EC7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01E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BEE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8DE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0B1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784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AD0C89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5DAF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ettonie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FC2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696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0.051%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1F9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2,444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99B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2,445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ABA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569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2,483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36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2,445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DC0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38</w:t>
            </w:r>
          </w:p>
        </w:tc>
      </w:tr>
      <w:tr w:rsidR="00A05AA9" w:rsidRPr="001D42CA" w14:paraId="4F884BA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3C37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Liban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E62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DCF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0.047%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495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8BF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57E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2CF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5AC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E28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</w:tr>
      <w:tr w:rsidR="00A05AA9" w:rsidRPr="001D42CA" w14:paraId="3968A7A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341E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Lib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235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7C2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8D5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DEB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7DA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367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B2C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2DB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8CFD14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F01A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Liechtenstein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181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2EB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C0A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8E6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F24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D7C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A1E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BB6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2F094D7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F5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Lituanie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1CE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6E4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0.074%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DD9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3,520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68A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3,521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D27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0C7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3,576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77B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3,521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87B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55</w:t>
            </w:r>
          </w:p>
        </w:tc>
      </w:tr>
      <w:tr w:rsidR="00A05AA9" w:rsidRPr="002D2E7B" w14:paraId="4108007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C8F7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Luxembourg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737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630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0.066%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1CF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3,129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166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3,129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989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0E1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3,179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0A9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3,129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E73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50</w:t>
            </w:r>
          </w:p>
        </w:tc>
      </w:tr>
      <w:tr w:rsidR="00A05AA9" w:rsidRPr="002D2E7B" w14:paraId="6A6960C5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E31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Madagascar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F5A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D83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99F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4B8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5A0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661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C9F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B1D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48BA99F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E93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Malaisie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14A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0.322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300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0.330%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0CF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15,742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E41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15,745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C15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F9A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15,993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790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15,745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B0A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248</w:t>
            </w:r>
          </w:p>
        </w:tc>
      </w:tr>
      <w:tr w:rsidR="00A05AA9" w:rsidRPr="002D2E7B" w14:paraId="7D95898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6124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Malawi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80F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4F6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0E0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3CC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644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C44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5C9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FE6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7730BCA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28D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lastRenderedPageBreak/>
              <w:t>Mali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31F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125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7B8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C1A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046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D01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044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16A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13CCD01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D5B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Malte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448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483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0.016%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D5D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EA0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E2D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0AF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EBC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54B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27EF683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999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roc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2F3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E3A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0.055%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ED1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2,640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65C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2,640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D9B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D5D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2,682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425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2,640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199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42</w:t>
            </w:r>
          </w:p>
        </w:tc>
      </w:tr>
      <w:tr w:rsidR="00A05AA9" w:rsidRPr="002D2E7B" w14:paraId="045727C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BB96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Maurice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31A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841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0.012%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8D6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046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FA8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44F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753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D0A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78AF432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0092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Mauritanie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9D8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4E1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3F6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DA8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9EB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BFF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DBA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270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43F955E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122D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Mexique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39D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1.435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B45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1.472%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569E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70,154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E78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70,167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28F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45A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71,274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00E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70,167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457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1,107</w:t>
            </w:r>
          </w:p>
        </w:tc>
      </w:tr>
      <w:tr w:rsidR="00A05AA9" w:rsidRPr="002D2E7B" w14:paraId="4E38C76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18F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Monaco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EA5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A17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ED6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B2A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7EC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DCF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5B9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1BA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22D22E0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6A4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Mongolie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471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29D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449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276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BE2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D3F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4C5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0DE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3A83E67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1F06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Monténégro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25A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ACD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962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5A4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C57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02E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2DB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9E3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010A0B2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E4A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Mozambique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3A0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6C1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8B5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987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29F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A1F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9ED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C8D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0E6DC0E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1873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Myanmar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F2B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E39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0FE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773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6D9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45C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48B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C21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02521C1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705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Namibie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B5E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EC2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806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7AC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220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382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B59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583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68BA993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6DFA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Népal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D35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79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FC7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73E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8AF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C6A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B81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837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12E10B0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2A8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Nicaragua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FDA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6B0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94F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25D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AB7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438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695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D32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4EC295B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032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Niger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958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544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FC4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A4E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0B5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CA0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EB3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AA0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578DCE8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C97A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Nig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1D0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0.209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130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0.214%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B9D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10,218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BC0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10,219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335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099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10,381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D66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10,219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DA2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162</w:t>
            </w:r>
          </w:p>
        </w:tc>
      </w:tr>
      <w:tr w:rsidR="00A05AA9" w:rsidRPr="002D2E7B" w14:paraId="6EA31E1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F783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Norvège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55D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0.849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559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0.871%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8F2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41,506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547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41,514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209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314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42,168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296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41,514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6DB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654</w:t>
            </w:r>
          </w:p>
        </w:tc>
      </w:tr>
      <w:tr w:rsidR="00A05AA9" w:rsidRPr="002D2E7B" w14:paraId="00B45B6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217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Nouvelle-Zélande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0EA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0.268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321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0.275%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B4D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13,102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67D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13,104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753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E8D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13,311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51C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13,104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F29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207</w:t>
            </w:r>
          </w:p>
        </w:tc>
      </w:tr>
      <w:tr w:rsidR="00A05AA9" w:rsidRPr="002D2E7B" w14:paraId="1052CD56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273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Oman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9C1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DF5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0.116%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5CA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5,524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42E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5,525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F97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A6F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5,613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303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5,525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639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88</w:t>
            </w:r>
          </w:p>
        </w:tc>
      </w:tr>
      <w:tr w:rsidR="00A05AA9" w:rsidRPr="001D42CA" w14:paraId="565E195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0D2B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Ou</w:t>
            </w: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ganda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1BE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AC0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A34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915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BF8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8BF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481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620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55681AC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9318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Ouzbékistan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F42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86D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0.024%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881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3F2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BDE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B8C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DDC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C35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17</w:t>
            </w:r>
          </w:p>
        </w:tc>
      </w:tr>
      <w:tr w:rsidR="00A05AA9" w:rsidRPr="002D2E7B" w14:paraId="1BA5E40C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2DA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Pakistan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E9A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3E7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0.095%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988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4,547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399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4,547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66E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120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4,619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30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4,547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1F8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72</w:t>
            </w:r>
          </w:p>
        </w:tc>
      </w:tr>
      <w:tr w:rsidR="00A05AA9" w:rsidRPr="002D2E7B" w14:paraId="3D3D258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52C9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Pal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aos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CC3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936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ABF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133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116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95F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A30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7CD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5132C08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F186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Panama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80D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85F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0.035%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D74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1,662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9F6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1,662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04E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383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1,689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F90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1,662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D02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27</w:t>
            </w:r>
          </w:p>
        </w:tc>
      </w:tr>
      <w:tr w:rsidR="00A05AA9" w:rsidRPr="002D2E7B" w14:paraId="26771F7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DF8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Papouasie-Nouvelle-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Guinée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7BC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3C1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EE9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F5D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DF5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18D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D7F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A26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07EDAB9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D33F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lastRenderedPageBreak/>
              <w:t>Paraguay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DD4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818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0.014%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BDC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BCE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D1D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FCB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D93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FFA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112E294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BEB6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Pays-Bas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137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1.482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F99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1.520%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103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72,452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FF7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72,465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D25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4AB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73,609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076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72,465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BC3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1,144</w:t>
            </w:r>
          </w:p>
        </w:tc>
      </w:tr>
      <w:tr w:rsidR="00A05AA9" w:rsidRPr="002D2E7B" w14:paraId="5C97C595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8C30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Pér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o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E4A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0.136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C4F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0.139%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148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6,649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20C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6,650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A8A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604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6,755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C00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6,650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17B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105</w:t>
            </w:r>
          </w:p>
        </w:tc>
      </w:tr>
      <w:tr w:rsidR="00A05AA9" w:rsidRPr="002D2E7B" w14:paraId="48BC725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D9DE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Philippines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F35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0.165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145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0.169%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2F3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8,066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04A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8,068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B40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A5E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8,195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DF2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8,068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5FE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127</w:t>
            </w:r>
          </w:p>
        </w:tc>
      </w:tr>
      <w:tr w:rsidR="00A05AA9" w:rsidRPr="002D2E7B" w14:paraId="2F3955F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41A8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Pol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ogne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6E4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0.841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302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0.862%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25C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41,115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31E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41,122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68F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1FC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41,771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F0E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41,122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B9E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649</w:t>
            </w:r>
          </w:p>
        </w:tc>
      </w:tr>
      <w:tr w:rsidR="00A05AA9" w:rsidRPr="002D2E7B" w14:paraId="0B8B923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1322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Portugal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E09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0.392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91A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0.402%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348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19,164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C5A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19,168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A03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E31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19,470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5D5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19,168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FCD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302</w:t>
            </w:r>
          </w:p>
        </w:tc>
      </w:tr>
      <w:tr w:rsidR="00A05AA9" w:rsidRPr="001D42CA" w14:paraId="3943862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8CAC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République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arabe syrienne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4E8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FCD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0.025%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B5D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155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2D0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520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FDF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1,174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453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A05AA9" w:rsidRPr="001D42CA" w14:paraId="07C7A8A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ABA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République centrafricaine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A32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EFA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71D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453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1FB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DB8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329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AA5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2D2E7B" w14:paraId="64F26425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4C6F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République 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de Corée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024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2.039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7AB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2.091%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BFC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99,682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094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99,701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273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24F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101,274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115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99,701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08E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1,573</w:t>
            </w:r>
          </w:p>
        </w:tc>
      </w:tr>
      <w:tr w:rsidR="00A05AA9" w:rsidRPr="002D2E7B" w14:paraId="70A3712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96D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République 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de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Moldova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F95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A18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810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8AC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F3D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9EF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8E9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684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1D42CA" w14:paraId="6CBD3A3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84B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République démocratique du 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Congo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C14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687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474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D1B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6DC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BD9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052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6A1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54861D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B5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République démocratique populaire de Corée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D27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16F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E59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706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29D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909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0A7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387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</w:tr>
      <w:tr w:rsidR="00A05AA9" w:rsidRPr="001D42CA" w14:paraId="44FB5DB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CC60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République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démocratique populaire lao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5E9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AE0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475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C32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333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BD9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610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455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69ADEB3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F49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République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 dominicaine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685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B9E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0.047%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F34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6C9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EA9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E8F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095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2,249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2E3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36</w:t>
            </w:r>
          </w:p>
        </w:tc>
      </w:tr>
      <w:tr w:rsidR="00A05AA9" w:rsidRPr="001D42CA" w14:paraId="3FD7C64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65C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République tchèque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BA4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0.344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A50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0.353%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49A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16,817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370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16,821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CE1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C5B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17,086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898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16,821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C2E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265</w:t>
            </w:r>
          </w:p>
        </w:tc>
      </w:tr>
      <w:tr w:rsidR="00A05AA9" w:rsidRPr="001D42CA" w14:paraId="21DB9DC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8261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République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-Unie de </w:t>
            </w: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Tanzanie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AA1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036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9E8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704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FA6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4A0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EDB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CEF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2D2E7B" w14:paraId="6143713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3F59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Ro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u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mani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F65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0.184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A27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0.189%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E20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8,995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998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8,997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D2D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47F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9,139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A71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8,997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F71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142</w:t>
            </w:r>
          </w:p>
        </w:tc>
      </w:tr>
      <w:tr w:rsidR="00A05AA9" w:rsidRPr="001D42CA" w14:paraId="154AFF0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DBE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Royaume-Uni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040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4.463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39B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4.577%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EBA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218,186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857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218,227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F71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B9D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221,670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A68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218,227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440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3,443</w:t>
            </w:r>
          </w:p>
        </w:tc>
      </w:tr>
      <w:tr w:rsidR="00A05AA9" w:rsidRPr="002D2E7B" w14:paraId="56BEDDA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F83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Rwanda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663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2F1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2AE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A19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C91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49C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29A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43F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190B081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2CCD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Saint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e-Lucie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AC34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514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23E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37B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648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BBA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C8D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D18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3142E45B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7BF2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Samoa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D1D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50F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EDF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512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545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055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E19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8E0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6766696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3AC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Sao Tom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é-et-</w:t>
            </w: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Principe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4BA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8E1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510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CAB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942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E64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FAA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4EA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1916942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316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Sénégal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2EB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95D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586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58F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639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4A1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A98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70F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759B8A4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055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lastRenderedPageBreak/>
              <w:t>Serbie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E4E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A14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0.033%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A95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1,564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3CE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1,565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891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499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1,589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FB7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1,565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6EC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24</w:t>
            </w:r>
          </w:p>
        </w:tc>
      </w:tr>
      <w:tr w:rsidR="00A05AA9" w:rsidRPr="002D2E7B" w14:paraId="42E27C6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0A5F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Seychelles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DD3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66D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1FB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92E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A9F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359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631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0C6D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691EA94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35C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Sierra Leone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93C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7C0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1BF7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C38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C723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680C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8880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5EF5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</w:tr>
      <w:tr w:rsidR="00A05AA9" w:rsidRPr="002D2E7B" w14:paraId="5103CD5C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58C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Slovaquie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B64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0.160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D91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0.164%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374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7,822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8CE9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7,824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876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920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7,947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88EF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7,824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29F6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123</w:t>
            </w:r>
          </w:p>
        </w:tc>
      </w:tr>
      <w:tr w:rsidR="00A05AA9" w:rsidRPr="002D2E7B" w14:paraId="3E4C8C14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A2A" w14:textId="77777777" w:rsidR="00A05AA9" w:rsidRPr="002D2E7B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Slovénie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8BA2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0.084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9F8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cs="Arial"/>
                <w:color w:val="000000"/>
                <w:sz w:val="18"/>
                <w:szCs w:val="18"/>
                <w:lang w:val="fr-FR"/>
              </w:rPr>
              <w:t>0.086%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5B3B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4,107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C811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4,107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01A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3678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4,172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420E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4,107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F03A" w14:textId="77777777" w:rsidR="00A05AA9" w:rsidRPr="002D2E7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</w:pPr>
            <w:r w:rsidRPr="002D2E7B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fr-FR" w:eastAsia="en-GB"/>
              </w:rPr>
              <w:t>65</w:t>
            </w:r>
          </w:p>
        </w:tc>
      </w:tr>
      <w:tr w:rsidR="00A05AA9" w:rsidRPr="001D42CA" w14:paraId="254F5861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F26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Soudan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CD2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1B6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D84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C25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383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1105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81B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6A0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D24973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B0A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Soudan du Sud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BB9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4EF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979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AD1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089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6C0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AE6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237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49B8523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3D60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Sri Lanka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534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CEF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0.032%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C37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1,516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1E4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1,516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055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387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012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1,516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D35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24</w:t>
            </w:r>
          </w:p>
        </w:tc>
      </w:tr>
      <w:tr w:rsidR="00A05AA9" w:rsidRPr="001D42CA" w14:paraId="7A8F3AA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2A15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Suède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306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0.956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07C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0.980%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3D0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46,737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D4B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46,746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398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1A6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47,483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C9E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46,746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8519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737</w:t>
            </w:r>
          </w:p>
        </w:tc>
      </w:tr>
      <w:tr w:rsidR="00A05AA9" w:rsidRPr="001D42CA" w14:paraId="7AAB5358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A2C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Suisse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C6A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1.140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826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1.169%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CC6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55,732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CE8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55,743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EAD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8BA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56,622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6DE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55,743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DD2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879</w:t>
            </w:r>
          </w:p>
        </w:tc>
      </w:tr>
      <w:tr w:rsidR="00A05AA9" w:rsidRPr="001D42CA" w14:paraId="48BBA17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54ED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Suriname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C89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F19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534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40D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D8C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73B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B4C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2D5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61D4AE6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E88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Tadjikistan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C67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968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BEB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280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4FF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6BC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A23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C13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AA2CF7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18B7" w14:textId="77777777" w:rsidR="00A05AA9" w:rsidRPr="00680516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Tc</w:t>
            </w:r>
            <w:r w:rsidRPr="00680516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had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296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374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5C2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3B9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4B3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94D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9CF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1F1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50E0981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93F4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Thaïlande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AB3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0.291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4F7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0.298%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775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14,226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536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14,229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EB8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AAB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14,453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DE5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14,229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25C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224</w:t>
            </w:r>
          </w:p>
        </w:tc>
      </w:tr>
      <w:tr w:rsidR="00A05AA9" w:rsidRPr="001D42CA" w14:paraId="268C0EDD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ECC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Togo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4D2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7A0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51F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C6F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3E0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860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D10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766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02B78A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F0E6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Trini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té-et-</w:t>
            </w: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Tobago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A5B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F2A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0.035%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532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1,662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9CE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1,662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9B1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AD2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1,689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C60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1,662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918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27</w:t>
            </w:r>
          </w:p>
        </w:tc>
      </w:tr>
      <w:tr w:rsidR="00A05AA9" w:rsidRPr="001D42CA" w14:paraId="28E1BE67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B158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Tunisie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7CA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B38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0.029%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6B3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DC0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500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526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C08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1,369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2B6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</w:t>
            </w:r>
          </w:p>
        </w:tc>
      </w:tr>
      <w:tr w:rsidR="00A05AA9" w:rsidRPr="001D42CA" w14:paraId="20D88C6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4C08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Turkménistan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CE3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B87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0.027%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BF0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1,271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CE9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1,271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E05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F66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1,291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430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1,271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73C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</w:tr>
      <w:tr w:rsidR="00A05AA9" w:rsidRPr="001D42CA" w14:paraId="16149556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571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Tur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quie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71B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1.018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9F9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1.044%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7EC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49,768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96F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49,777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DA9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C06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50,562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1E6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49,777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BC4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785</w:t>
            </w:r>
          </w:p>
        </w:tc>
      </w:tr>
      <w:tr w:rsidR="00A05AA9" w:rsidRPr="001D42CA" w14:paraId="40E7964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B7CB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Ukraine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BF6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0.103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0E3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0.106%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E28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5,035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EB0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5,036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410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D9C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5,116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632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5,036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FAC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80</w:t>
            </w:r>
          </w:p>
        </w:tc>
      </w:tr>
      <w:tr w:rsidR="00A05AA9" w:rsidRPr="001D42CA" w14:paraId="55E356F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029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Uruguay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E5D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0.079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EEE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0.081%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06F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3,862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D1C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3,863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4F5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1E6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3,924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744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3,863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318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61</w:t>
            </w:r>
          </w:p>
        </w:tc>
      </w:tr>
      <w:tr w:rsidR="00A05AA9" w:rsidRPr="001D42CA" w14:paraId="1FC33B1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5107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 xml:space="preserve">Venezuela (République 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bolivarienne du</w:t>
            </w: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2B9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0.571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4CF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0.586%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BAE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27,915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1C4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27,920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E2F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A0B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28,361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29D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27,920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4BB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441</w:t>
            </w:r>
          </w:p>
        </w:tc>
      </w:tr>
      <w:tr w:rsidR="00A05AA9" w:rsidRPr="001D42CA" w14:paraId="6A32D4FF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F2CB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Viet Nam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1ED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5C0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0.060%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6A1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2,835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5C2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2,836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50C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-1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32F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2,881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02D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2,836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FFC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45</w:t>
            </w:r>
          </w:p>
        </w:tc>
      </w:tr>
      <w:tr w:rsidR="00A05AA9" w:rsidRPr="001D42CA" w14:paraId="3F68828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B4A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Yémen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5B0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F60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0.010%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3B0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E57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E37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F82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679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906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06120B3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80F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lastRenderedPageBreak/>
              <w:t>Zambie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415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111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E74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E6D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408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E39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F76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819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79C119E0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3D60" w14:textId="77777777" w:rsidR="00A05AA9" w:rsidRPr="006E2275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</w:pPr>
            <w:r w:rsidRPr="006E2275">
              <w:rPr>
                <w:rFonts w:asciiTheme="minorHAnsi" w:eastAsia="Times New Roman" w:hAnsiTheme="minorHAnsi" w:cs="Arial"/>
                <w:sz w:val="18"/>
                <w:szCs w:val="18"/>
                <w:lang w:val="fr-FR" w:eastAsia="en-GB"/>
              </w:rPr>
              <w:t>Zimbabwe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7F4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0.004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230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0.004%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9147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055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DAEE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A285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B2C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CD9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14A244E2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0A9D4A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240DD8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76.059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D80308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78.000%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9D1BAE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3,779,000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DFB008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3,778,701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14F72F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299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FFA2B3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3,838,000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B59EE9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3,778,701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4232DD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en-GB"/>
              </w:rPr>
              <w:t>59,299</w:t>
            </w:r>
          </w:p>
        </w:tc>
      </w:tr>
      <w:tr w:rsidR="00A05AA9" w:rsidRPr="001D42CA" w14:paraId="32931ED9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5949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Autres</w:t>
            </w: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 xml:space="preserve"> contributions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0E6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3B5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9CD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EA9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CB6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7C5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355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7B6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05AA9" w:rsidRPr="001D42CA" w14:paraId="1EDA57E3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B0B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États-Unis d’Amérique</w:t>
            </w: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3862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FD4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22%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CD9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1,065,799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DB1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1,065,799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35FB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9BF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1,065,799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8039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1,065,799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C47A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05AA9" w:rsidRPr="001D42CA" w14:paraId="478F632A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198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FB8D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271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7EA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D7CF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05E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4EE0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9B7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6DD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05AA9" w:rsidRPr="001D42CA" w14:paraId="3DE9DDFE" w14:textId="77777777" w:rsidTr="00A05AA9">
        <w:trPr>
          <w:trHeight w:val="27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2DC137A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général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2FE42BA1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F6A8013" w14:textId="77777777" w:rsidR="00A05AA9" w:rsidRPr="009C561B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n-GB"/>
              </w:rPr>
            </w:pPr>
            <w:r w:rsidRPr="009C561B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n-GB"/>
              </w:rPr>
              <w:t> 100%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13C048C6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4,844,799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52B48EA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4,844,500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73D245E8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14:paraId="64D0C4EC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4,903,799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14:paraId="381F8473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4,844,500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14:paraId="2C290D24" w14:textId="77777777" w:rsidR="00A05AA9" w:rsidRPr="001D42CA" w:rsidRDefault="00A05AA9" w:rsidP="00A05AA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59,299</w:t>
            </w:r>
          </w:p>
        </w:tc>
      </w:tr>
    </w:tbl>
    <w:p w14:paraId="4FF630CA" w14:textId="77777777" w:rsidR="00A05AA9" w:rsidRPr="00CF63AF" w:rsidRDefault="00A05AA9" w:rsidP="00A05AA9">
      <w:pPr>
        <w:ind w:left="0" w:firstLine="0"/>
        <w:rPr>
          <w:rFonts w:asciiTheme="minorHAnsi" w:eastAsia="Times New Roman" w:hAnsiTheme="minorHAnsi" w:cs="Arial"/>
          <w:color w:val="000000"/>
          <w:sz w:val="20"/>
          <w:szCs w:val="20"/>
          <w:lang w:val="fr-CH" w:eastAsia="en-GB"/>
        </w:rPr>
      </w:pPr>
      <w:r w:rsidRPr="00CF63AF">
        <w:rPr>
          <w:rFonts w:asciiTheme="minorHAnsi" w:eastAsia="Times New Roman" w:hAnsiTheme="minorHAnsi" w:cs="Arial"/>
          <w:color w:val="000000"/>
          <w:sz w:val="20"/>
          <w:szCs w:val="20"/>
          <w:lang w:val="fr-CH" w:eastAsia="en-GB"/>
        </w:rPr>
        <w:t xml:space="preserve">* Conformément à la Résolution A/RES/70/245 des Nations Unies, le barème révisé de l’ONU pour la période triennale sera appliqué lorsqu’il sera publié </w:t>
      </w:r>
    </w:p>
    <w:p w14:paraId="32BA9538" w14:textId="77777777" w:rsidR="00A05AA9" w:rsidRPr="00CF63AF" w:rsidRDefault="00A05AA9" w:rsidP="00A05AA9">
      <w:pPr>
        <w:ind w:left="0" w:firstLine="0"/>
        <w:rPr>
          <w:rFonts w:asciiTheme="minorHAnsi" w:hAnsiTheme="minorHAnsi"/>
          <w:b/>
          <w:bCs/>
          <w:lang w:val="fr-CH" w:eastAsia="en-GB"/>
        </w:rPr>
      </w:pPr>
      <w:r w:rsidRPr="00CF63AF">
        <w:rPr>
          <w:rFonts w:asciiTheme="minorHAnsi" w:eastAsia="Times New Roman" w:hAnsiTheme="minorHAnsi" w:cs="Arial"/>
          <w:color w:val="000000"/>
          <w:sz w:val="20"/>
          <w:szCs w:val="20"/>
          <w:lang w:val="fr-CH" w:eastAsia="en-GB"/>
        </w:rPr>
        <w:t>** Comme précédemment, 22% des contributions total</w:t>
      </w:r>
      <w:r>
        <w:rPr>
          <w:rFonts w:asciiTheme="minorHAnsi" w:eastAsia="Times New Roman" w:hAnsiTheme="minorHAnsi" w:cs="Arial"/>
          <w:color w:val="000000"/>
          <w:sz w:val="20"/>
          <w:szCs w:val="20"/>
          <w:lang w:val="fr-CH" w:eastAsia="en-GB"/>
        </w:rPr>
        <w:t>e</w:t>
      </w:r>
      <w:r w:rsidRPr="00CF63AF">
        <w:rPr>
          <w:rFonts w:asciiTheme="minorHAnsi" w:eastAsia="Times New Roman" w:hAnsiTheme="minorHAnsi" w:cs="Arial"/>
          <w:color w:val="000000"/>
          <w:sz w:val="20"/>
          <w:szCs w:val="20"/>
          <w:lang w:val="fr-CH" w:eastAsia="en-GB"/>
        </w:rPr>
        <w:t>s des Parties contractantes</w:t>
      </w:r>
    </w:p>
    <w:p w14:paraId="3AFB4509" w14:textId="77777777" w:rsidR="00A05AA9" w:rsidRPr="00CF63AF" w:rsidRDefault="00A05AA9" w:rsidP="00A05AA9">
      <w:pPr>
        <w:ind w:left="0" w:firstLine="0"/>
        <w:rPr>
          <w:rFonts w:asciiTheme="minorHAnsi" w:hAnsiTheme="minorHAnsi"/>
          <w:b/>
          <w:bCs/>
          <w:lang w:val="fr-CH" w:eastAsia="en-GB"/>
        </w:rPr>
        <w:sectPr w:rsidR="00A05AA9" w:rsidRPr="00CF63AF" w:rsidSect="008065B3">
          <w:footerReference w:type="default" r:id="rId12"/>
          <w:pgSz w:w="16838" w:h="11906" w:orient="landscape"/>
          <w:pgMar w:top="1440" w:right="1440" w:bottom="1440" w:left="1021" w:header="709" w:footer="709" w:gutter="0"/>
          <w:cols w:space="708"/>
          <w:docGrid w:linePitch="360"/>
        </w:sectPr>
      </w:pPr>
    </w:p>
    <w:p w14:paraId="54942CE1" w14:textId="77777777" w:rsidR="00A05AA9" w:rsidRPr="00F04D9E" w:rsidRDefault="00A05AA9" w:rsidP="00A05AA9">
      <w:pPr>
        <w:ind w:left="0" w:firstLine="0"/>
        <w:rPr>
          <w:rFonts w:asciiTheme="minorHAnsi" w:hAnsiTheme="minorHAnsi"/>
          <w:b/>
          <w:bCs/>
          <w:sz w:val="24"/>
          <w:szCs w:val="24"/>
          <w:lang w:val="fr-CH" w:eastAsia="en-GB"/>
        </w:rPr>
      </w:pPr>
      <w:r w:rsidRPr="00F04D9E">
        <w:rPr>
          <w:rFonts w:asciiTheme="minorHAnsi" w:hAnsiTheme="minorHAnsi"/>
          <w:b/>
          <w:bCs/>
          <w:sz w:val="24"/>
          <w:szCs w:val="24"/>
          <w:lang w:val="fr-CH" w:eastAsia="en-GB"/>
        </w:rPr>
        <w:lastRenderedPageBreak/>
        <w:t>Annexe 3</w:t>
      </w:r>
    </w:p>
    <w:p w14:paraId="538A9FEF" w14:textId="77777777" w:rsidR="00A05AA9" w:rsidRPr="00F04D9E" w:rsidRDefault="00A05AA9" w:rsidP="00A05AA9">
      <w:pPr>
        <w:ind w:left="0" w:firstLine="0"/>
        <w:rPr>
          <w:rFonts w:asciiTheme="minorHAnsi" w:hAnsiTheme="minorHAnsi"/>
          <w:b/>
          <w:bCs/>
          <w:sz w:val="24"/>
          <w:szCs w:val="24"/>
          <w:lang w:val="fr-CH" w:eastAsia="en-GB"/>
        </w:rPr>
      </w:pPr>
    </w:p>
    <w:p w14:paraId="082678C2" w14:textId="77777777" w:rsidR="00A05AA9" w:rsidRPr="0045056F" w:rsidRDefault="00A05AA9" w:rsidP="00A05AA9">
      <w:pPr>
        <w:ind w:left="0" w:firstLine="0"/>
        <w:rPr>
          <w:rFonts w:asciiTheme="minorHAnsi" w:hAnsiTheme="minorHAnsi"/>
          <w:b/>
          <w:bCs/>
          <w:sz w:val="24"/>
          <w:szCs w:val="24"/>
          <w:lang w:val="fr-CH" w:eastAsia="en-GB"/>
        </w:rPr>
      </w:pPr>
      <w:r w:rsidRPr="0045056F">
        <w:rPr>
          <w:rFonts w:asciiTheme="minorHAnsi" w:hAnsiTheme="minorHAnsi"/>
          <w:b/>
          <w:bCs/>
          <w:sz w:val="24"/>
          <w:szCs w:val="24"/>
          <w:lang w:val="fr-CH" w:eastAsia="en-GB"/>
        </w:rPr>
        <w:t xml:space="preserve">Analyse des postes budgétaires non administratifs pour 2019-2021, </w:t>
      </w:r>
      <w:r>
        <w:rPr>
          <w:rFonts w:asciiTheme="minorHAnsi" w:hAnsiTheme="minorHAnsi"/>
          <w:b/>
          <w:bCs/>
          <w:sz w:val="24"/>
          <w:szCs w:val="24"/>
          <w:lang w:val="fr-CH" w:eastAsia="en-GB"/>
        </w:rPr>
        <w:t>en ordre de priorité</w:t>
      </w:r>
      <w:r w:rsidRPr="0045056F">
        <w:rPr>
          <w:rFonts w:asciiTheme="minorHAnsi" w:hAnsiTheme="minorHAnsi"/>
          <w:b/>
          <w:bCs/>
          <w:sz w:val="24"/>
          <w:szCs w:val="24"/>
          <w:lang w:val="fr-CH" w:eastAsia="en-GB"/>
        </w:rPr>
        <w:t xml:space="preserve"> (</w:t>
      </w:r>
      <w:r>
        <w:rPr>
          <w:rFonts w:asciiTheme="minorHAnsi" w:hAnsiTheme="minorHAnsi"/>
          <w:b/>
          <w:bCs/>
          <w:sz w:val="24"/>
          <w:szCs w:val="24"/>
          <w:lang w:val="fr-CH" w:eastAsia="en-GB"/>
        </w:rPr>
        <w:t>à </w:t>
      </w:r>
      <w:r w:rsidRPr="0045056F">
        <w:rPr>
          <w:rFonts w:asciiTheme="minorHAnsi" w:hAnsiTheme="minorHAnsi"/>
          <w:b/>
          <w:bCs/>
          <w:sz w:val="24"/>
          <w:szCs w:val="24"/>
          <w:lang w:val="fr-CH" w:eastAsia="en-GB"/>
        </w:rPr>
        <w:t xml:space="preserve">décider </w:t>
      </w:r>
      <w:r>
        <w:rPr>
          <w:rFonts w:asciiTheme="minorHAnsi" w:hAnsiTheme="minorHAnsi"/>
          <w:b/>
          <w:bCs/>
          <w:sz w:val="24"/>
          <w:szCs w:val="24"/>
          <w:lang w:val="fr-CH" w:eastAsia="en-GB"/>
        </w:rPr>
        <w:t>à</w:t>
      </w:r>
      <w:r w:rsidRPr="0045056F">
        <w:rPr>
          <w:rFonts w:asciiTheme="minorHAnsi" w:hAnsiTheme="minorHAnsi"/>
          <w:b/>
          <w:bCs/>
          <w:sz w:val="24"/>
          <w:szCs w:val="24"/>
          <w:lang w:val="fr-CH" w:eastAsia="en-GB"/>
        </w:rPr>
        <w:t xml:space="preserve"> la COP13)</w:t>
      </w:r>
    </w:p>
    <w:p w14:paraId="46F3514A" w14:textId="77777777" w:rsidR="00A05AA9" w:rsidRPr="0045056F" w:rsidRDefault="00A05AA9" w:rsidP="00A05AA9">
      <w:pPr>
        <w:ind w:left="0" w:firstLine="0"/>
        <w:rPr>
          <w:rFonts w:asciiTheme="minorHAnsi" w:hAnsiTheme="minorHAnsi"/>
          <w:b/>
          <w:bCs/>
          <w:lang w:val="fr-CH" w:eastAsia="en-GB"/>
        </w:rPr>
      </w:pPr>
    </w:p>
    <w:tbl>
      <w:tblPr>
        <w:tblW w:w="9195" w:type="dxa"/>
        <w:tblInd w:w="9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5355"/>
        <w:gridCol w:w="2880"/>
      </w:tblGrid>
      <w:tr w:rsidR="00A05AA9" w:rsidRPr="00A05AA9" w14:paraId="3023018B" w14:textId="77777777" w:rsidTr="00C03BE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82612A" w14:textId="77777777" w:rsidR="00A05AA9" w:rsidRPr="001D42CA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7D68DEE" w14:textId="77777777" w:rsidR="00A05AA9" w:rsidRPr="001D42CA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Fonds non administratifs</w:t>
            </w: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2019 - 2021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0FBF1A" w14:textId="77777777" w:rsidR="00A05AA9" w:rsidRPr="0045056F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CH" w:eastAsia="en-GB"/>
              </w:rPr>
              <w:t xml:space="preserve">Besoin de financement triennal </w:t>
            </w:r>
            <w:r w:rsidRPr="0045056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CH" w:eastAsia="en-GB"/>
              </w:rPr>
              <w:br/>
              <w:t>(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CH" w:eastAsia="en-GB"/>
              </w:rPr>
              <w:t>en milliers de</w:t>
            </w:r>
            <w:r w:rsidRPr="0045056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CH" w:eastAsia="en-GB"/>
              </w:rPr>
              <w:t xml:space="preserve"> CHF)</w:t>
            </w:r>
          </w:p>
        </w:tc>
      </w:tr>
      <w:tr w:rsidR="00A05AA9" w:rsidRPr="00A05AA9" w14:paraId="04DF070C" w14:textId="77777777" w:rsidTr="00C03BE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F4B5" w14:textId="77777777" w:rsidR="00A05AA9" w:rsidRPr="0045056F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9AF8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66B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</w:tr>
      <w:tr w:rsidR="00A05AA9" w:rsidRPr="00A05AA9" w14:paraId="04DDA6B0" w14:textId="77777777" w:rsidTr="00C03BE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1878" w14:textId="77777777" w:rsidR="00A05AA9" w:rsidRPr="0045056F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ADE0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4FF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</w:tr>
      <w:tr w:rsidR="00A05AA9" w:rsidRPr="00A05AA9" w14:paraId="46E40AF7" w14:textId="77777777" w:rsidTr="00C03BE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5E91" w14:textId="77777777" w:rsidR="00A05AA9" w:rsidRPr="0045056F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B619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9341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</w:tr>
      <w:tr w:rsidR="00A05AA9" w:rsidRPr="00A05AA9" w14:paraId="77443605" w14:textId="77777777" w:rsidTr="00C03BE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437" w14:textId="77777777" w:rsidR="00A05AA9" w:rsidRPr="0045056F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0DB1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25BB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</w:tr>
      <w:tr w:rsidR="00A05AA9" w:rsidRPr="00A05AA9" w14:paraId="3753FD82" w14:textId="77777777" w:rsidTr="00C03BE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5BC6" w14:textId="77777777" w:rsidR="00A05AA9" w:rsidRPr="0045056F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7B71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6F3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</w:tr>
      <w:tr w:rsidR="00A05AA9" w:rsidRPr="00A05AA9" w14:paraId="2486EB48" w14:textId="77777777" w:rsidTr="00C03BE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26EA" w14:textId="77777777" w:rsidR="00A05AA9" w:rsidRPr="0045056F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ABCE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0501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sz w:val="20"/>
                <w:szCs w:val="20"/>
                <w:lang w:val="fr-CH" w:eastAsia="en-GB"/>
              </w:rPr>
              <w:t> </w:t>
            </w:r>
          </w:p>
        </w:tc>
      </w:tr>
      <w:tr w:rsidR="00A05AA9" w:rsidRPr="001D42CA" w14:paraId="57021AC3" w14:textId="77777777" w:rsidTr="00C03BE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FCDCA1" w14:textId="77777777" w:rsidR="00A05AA9" w:rsidRPr="0045056F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CH" w:eastAsia="en-GB"/>
              </w:rPr>
            </w:pPr>
            <w:r w:rsidRPr="0045056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CH" w:eastAsia="en-GB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A90487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1F6212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6C99CF6" w14:textId="77777777" w:rsidR="00A05AA9" w:rsidRPr="001D42CA" w:rsidRDefault="00A05AA9" w:rsidP="00A05AA9">
      <w:pPr>
        <w:ind w:left="0" w:firstLine="0"/>
        <w:rPr>
          <w:rFonts w:asciiTheme="minorHAnsi" w:eastAsia="Times New Roman" w:hAnsiTheme="minorHAnsi" w:cs="Arial"/>
          <w:bCs/>
          <w:i/>
          <w:lang w:eastAsia="en-GB"/>
        </w:rPr>
      </w:pPr>
      <w:r w:rsidRPr="001D42CA">
        <w:rPr>
          <w:rFonts w:asciiTheme="minorHAnsi" w:hAnsiTheme="minorHAnsi"/>
          <w:bCs/>
          <w:i/>
          <w:lang w:eastAsia="en-GB"/>
        </w:rPr>
        <w:br w:type="page"/>
      </w:r>
    </w:p>
    <w:p w14:paraId="7F972EFA" w14:textId="77777777" w:rsidR="00A05AA9" w:rsidRPr="00A05AA9" w:rsidRDefault="00A05AA9" w:rsidP="00A05AA9">
      <w:pPr>
        <w:ind w:left="0" w:firstLine="0"/>
        <w:rPr>
          <w:rFonts w:asciiTheme="minorHAnsi" w:hAnsiTheme="minorHAnsi"/>
          <w:b/>
          <w:bCs/>
          <w:sz w:val="24"/>
          <w:szCs w:val="24"/>
          <w:lang w:val="fr-FR" w:eastAsia="en-GB"/>
        </w:rPr>
      </w:pPr>
      <w:r w:rsidRPr="00A05AA9">
        <w:rPr>
          <w:rFonts w:asciiTheme="minorHAnsi" w:hAnsiTheme="minorHAnsi"/>
          <w:b/>
          <w:bCs/>
          <w:sz w:val="24"/>
          <w:szCs w:val="24"/>
          <w:lang w:val="fr-FR" w:eastAsia="en-GB"/>
        </w:rPr>
        <w:lastRenderedPageBreak/>
        <w:t>Annexe 4</w:t>
      </w:r>
    </w:p>
    <w:p w14:paraId="65F23410" w14:textId="77777777" w:rsidR="00A05AA9" w:rsidRPr="00A05AA9" w:rsidRDefault="00A05AA9" w:rsidP="00A05AA9">
      <w:pPr>
        <w:ind w:left="0" w:firstLine="0"/>
        <w:rPr>
          <w:rFonts w:asciiTheme="minorHAnsi" w:hAnsiTheme="minorHAnsi"/>
          <w:b/>
          <w:bCs/>
          <w:sz w:val="24"/>
          <w:szCs w:val="24"/>
          <w:lang w:val="fr-FR" w:eastAsia="en-GB"/>
        </w:rPr>
      </w:pPr>
    </w:p>
    <w:p w14:paraId="17C444C6" w14:textId="77777777" w:rsidR="00A05AA9" w:rsidRPr="00E2556E" w:rsidRDefault="00A05AA9" w:rsidP="00A05AA9">
      <w:pPr>
        <w:ind w:left="0" w:firstLine="0"/>
        <w:rPr>
          <w:rFonts w:asciiTheme="minorHAnsi" w:hAnsiTheme="minorHAnsi"/>
          <w:b/>
          <w:bCs/>
          <w:sz w:val="24"/>
          <w:szCs w:val="24"/>
          <w:lang w:val="fr-CH" w:eastAsia="en-GB"/>
        </w:rPr>
      </w:pPr>
      <w:r w:rsidRPr="00E2556E">
        <w:rPr>
          <w:rFonts w:asciiTheme="minorHAnsi" w:hAnsiTheme="minorHAnsi"/>
          <w:b/>
          <w:bCs/>
          <w:sz w:val="24"/>
          <w:szCs w:val="24"/>
          <w:lang w:val="fr-CH" w:eastAsia="en-GB"/>
        </w:rPr>
        <w:t xml:space="preserve">Personnel du Secrétariat (administratif) pour 2019-2021 </w:t>
      </w:r>
      <w:r>
        <w:rPr>
          <w:rFonts w:asciiTheme="minorHAnsi" w:hAnsiTheme="minorHAnsi"/>
          <w:b/>
          <w:bCs/>
          <w:sz w:val="24"/>
          <w:szCs w:val="24"/>
          <w:lang w:val="fr-CH" w:eastAsia="en-GB"/>
        </w:rPr>
        <w:t>selon</w:t>
      </w:r>
      <w:r w:rsidRPr="00E2556E">
        <w:rPr>
          <w:rFonts w:asciiTheme="minorHAnsi" w:hAnsiTheme="minorHAnsi"/>
          <w:b/>
          <w:bCs/>
          <w:sz w:val="24"/>
          <w:szCs w:val="24"/>
          <w:lang w:val="fr-CH" w:eastAsia="en-GB"/>
        </w:rPr>
        <w:t xml:space="preserve"> budget </w:t>
      </w:r>
      <w:r>
        <w:rPr>
          <w:rFonts w:asciiTheme="minorHAnsi" w:hAnsiTheme="minorHAnsi"/>
          <w:b/>
          <w:bCs/>
          <w:sz w:val="24"/>
          <w:szCs w:val="24"/>
          <w:lang w:val="fr-CH" w:eastAsia="en-GB"/>
        </w:rPr>
        <w:t>dans l’annexe</w:t>
      </w:r>
      <w:r w:rsidRPr="00E2556E">
        <w:rPr>
          <w:rFonts w:asciiTheme="minorHAnsi" w:hAnsiTheme="minorHAnsi"/>
          <w:b/>
          <w:bCs/>
          <w:sz w:val="24"/>
          <w:szCs w:val="24"/>
          <w:lang w:val="fr-CH" w:eastAsia="en-GB"/>
        </w:rPr>
        <w:t xml:space="preserve"> 1 </w:t>
      </w:r>
    </w:p>
    <w:p w14:paraId="5F8F162D" w14:textId="77777777" w:rsidR="00A05AA9" w:rsidRPr="00C13BEC" w:rsidRDefault="00A05AA9" w:rsidP="00A05AA9">
      <w:pPr>
        <w:rPr>
          <w:rFonts w:ascii="Arial" w:eastAsia="Times New Roman" w:hAnsi="Arial" w:cs="Arial"/>
          <w:sz w:val="18"/>
          <w:szCs w:val="18"/>
          <w:lang w:val="fr-FR" w:eastAsia="en-GB"/>
        </w:rPr>
      </w:pPr>
    </w:p>
    <w:tbl>
      <w:tblPr>
        <w:tblW w:w="9195" w:type="dxa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5"/>
        <w:gridCol w:w="1530"/>
        <w:gridCol w:w="1530"/>
        <w:gridCol w:w="1530"/>
        <w:gridCol w:w="1530"/>
      </w:tblGrid>
      <w:tr w:rsidR="00A05AA9" w:rsidRPr="00C13BEC" w14:paraId="6DDE9D01" w14:textId="77777777" w:rsidTr="00C03BE0">
        <w:trPr>
          <w:trHeight w:val="264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52A9AC" w14:textId="77777777" w:rsidR="00A05AA9" w:rsidRPr="00C13BEC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Groupe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143DF7B" w14:textId="77777777" w:rsidR="00A05AA9" w:rsidRPr="00C13BEC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3E17422" w14:textId="77777777" w:rsidR="00A05AA9" w:rsidRPr="00C13BEC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2019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B311F56" w14:textId="77777777" w:rsidR="00A05AA9" w:rsidRPr="00C13BEC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68BD7B1" w14:textId="77777777" w:rsidR="00A05AA9" w:rsidRPr="00C13BEC" w:rsidRDefault="00A05AA9" w:rsidP="00C03BE0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2021</w:t>
            </w:r>
          </w:p>
        </w:tc>
      </w:tr>
      <w:tr w:rsidR="00A05AA9" w:rsidRPr="00C13BEC" w14:paraId="73F8AED9" w14:textId="77777777" w:rsidTr="00C03BE0">
        <w:trPr>
          <w:trHeight w:val="5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2B5F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Cadres supérieurs du Secrétariat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A6AB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S, 1 M2, 1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A8B7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S, 1 M2, 1 P2,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2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4FF8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S, 1 M2, 1 P2, 2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AE9E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S, 1 M2, 1 P2,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2 A3</w:t>
            </w:r>
          </w:p>
        </w:tc>
      </w:tr>
      <w:tr w:rsidR="00A05AA9" w:rsidRPr="00C13BEC" w14:paraId="4341A449" w14:textId="77777777" w:rsidTr="00C03BE0">
        <w:trPr>
          <w:trHeight w:val="5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B7AA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Mobilisation des ressources et sensibilisation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BFE9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M1, 1 P2, 1 P1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2E9A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M1, 1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1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A56F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M1, 1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1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64D9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M1, 1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1 A3</w:t>
            </w:r>
          </w:p>
        </w:tc>
      </w:tr>
      <w:tr w:rsidR="00A05AA9" w:rsidRPr="00C13BEC" w14:paraId="32351D63" w14:textId="77777777" w:rsidTr="00C03BE0">
        <w:trPr>
          <w:trHeight w:val="5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5AFD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Appui et conseils aux régions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66EA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4 M1, 2 P1, 4 stagiaires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F207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4 M1, 2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4 stagiaires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DA46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4 M1, 2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4 stagiaires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8034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4 M1, 2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4 stagiaires</w:t>
            </w:r>
          </w:p>
        </w:tc>
      </w:tr>
      <w:tr w:rsidR="00A05AA9" w:rsidRPr="00C13BEC" w14:paraId="3C10FF5F" w14:textId="77777777" w:rsidTr="00C03BE0">
        <w:trPr>
          <w:trHeight w:val="5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3848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Sciences et politiques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E969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M1, 1P1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5762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M1, 2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1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1634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M1, 2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1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AD4C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M1, 2 P1,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1 A3</w:t>
            </w:r>
          </w:p>
        </w:tc>
      </w:tr>
      <w:tr w:rsidR="00A05AA9" w:rsidRPr="00C13BEC" w14:paraId="16163400" w14:textId="77777777" w:rsidTr="00C03BE0">
        <w:trPr>
          <w:trHeight w:val="5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B347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ADD7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P2, 1 P1, 1 P1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(50%), 3 A3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0578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P2, 1 P1 (50%), 1 A2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A9E1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1 P2, 1 P1 </w:t>
            </w: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br/>
              <w:t>(50%), 1 A2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FC0C" w14:textId="77777777" w:rsidR="00A05AA9" w:rsidRPr="00C13BEC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13BE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1 P2, 1 P1 (50%), 1 A2</w:t>
            </w:r>
          </w:p>
        </w:tc>
      </w:tr>
      <w:tr w:rsidR="00A05AA9" w:rsidRPr="001D42CA" w14:paraId="2284B323" w14:textId="77777777" w:rsidTr="00C03BE0">
        <w:trPr>
          <w:trHeight w:val="26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CD59D18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9F88B4B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 xml:space="preserve">23.5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personnel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2F04938A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 xml:space="preserve">24.5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personnel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D9CE00F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 xml:space="preserve">24.5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personnel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64C91DD" w14:textId="77777777" w:rsidR="00A05AA9" w:rsidRPr="001D42CA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 xml:space="preserve">24.5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personnel</w:t>
            </w:r>
          </w:p>
        </w:tc>
      </w:tr>
      <w:tr w:rsidR="00A05AA9" w:rsidRPr="001D42CA" w14:paraId="02B98542" w14:textId="77777777" w:rsidTr="00C03BE0">
        <w:trPr>
          <w:trHeight w:val="26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7D9161D" w14:textId="77777777" w:rsidR="00A05AA9" w:rsidRPr="002F4BB1" w:rsidRDefault="00A05AA9" w:rsidP="00C03BE0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CH" w:eastAsia="en-GB"/>
              </w:rPr>
            </w:pPr>
            <w:r w:rsidRPr="002F4BB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CH" w:eastAsia="en-GB"/>
              </w:rPr>
              <w:t>Coût total (en milliers de CHF)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E322C8E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3,430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5E40B25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3,552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88C4FD3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3,603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9DF3321" w14:textId="77777777" w:rsidR="00A05AA9" w:rsidRPr="001D42CA" w:rsidRDefault="00A05AA9" w:rsidP="00C03BE0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</w:pPr>
            <w:r w:rsidRPr="001D42C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en-GB"/>
              </w:rPr>
              <w:t>3,649</w:t>
            </w:r>
          </w:p>
        </w:tc>
      </w:tr>
    </w:tbl>
    <w:p w14:paraId="2239E9A7" w14:textId="77777777" w:rsidR="00A05AA9" w:rsidRPr="001D42CA" w:rsidRDefault="00A05AA9" w:rsidP="00A05AA9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14:paraId="22C579BF" w14:textId="77777777" w:rsidR="00A05AA9" w:rsidRPr="002F4BB1" w:rsidRDefault="00A05AA9" w:rsidP="00A05AA9">
      <w:pPr>
        <w:autoSpaceDE w:val="0"/>
        <w:autoSpaceDN w:val="0"/>
        <w:adjustRightInd w:val="0"/>
        <w:ind w:left="0" w:firstLine="0"/>
        <w:rPr>
          <w:rFonts w:asciiTheme="minorHAnsi" w:eastAsia="Times New Roman" w:hAnsiTheme="minorHAnsi" w:cs="Arial"/>
          <w:sz w:val="20"/>
          <w:szCs w:val="20"/>
          <w:lang w:val="fr-FR" w:eastAsia="en-GB"/>
        </w:rPr>
      </w:pP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 xml:space="preserve">Note: </w:t>
      </w:r>
    </w:p>
    <w:p w14:paraId="0CDC6936" w14:textId="77777777" w:rsidR="00A05AA9" w:rsidRPr="002F4BB1" w:rsidRDefault="00A05AA9" w:rsidP="00A05AA9">
      <w:pPr>
        <w:autoSpaceDE w:val="0"/>
        <w:autoSpaceDN w:val="0"/>
        <w:adjustRightInd w:val="0"/>
        <w:ind w:left="0" w:firstLine="0"/>
        <w:rPr>
          <w:rFonts w:ascii="Tahoma" w:eastAsiaTheme="minorHAnsi" w:hAnsi="Tahoma" w:cs="Tahoma"/>
          <w:sz w:val="20"/>
          <w:szCs w:val="20"/>
          <w:lang w:val="fr-FR"/>
        </w:rPr>
      </w:pP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>Le nombre d’employés et les postes pour 2018 figurent à titre de référence. Les coûts sont budgétés et attribués aux postes budgétaires sur la base des postes actuellement financ</w:t>
      </w: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é</w:t>
      </w: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 xml:space="preserve">s </w:t>
      </w: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par le budget administratif</w:t>
      </w: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 xml:space="preserve">. </w:t>
      </w: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Le terme ‘Groupe’ renvoie à la catégorie de dépenses figurant dans l’annexe 1</w:t>
      </w:r>
      <w:r w:rsidRPr="002F4BB1">
        <w:rPr>
          <w:sz w:val="20"/>
          <w:szCs w:val="20"/>
          <w:lang w:val="fr-FR"/>
        </w:rPr>
        <w:t xml:space="preserve">. </w:t>
      </w:r>
    </w:p>
    <w:p w14:paraId="7EBCE167" w14:textId="77777777" w:rsidR="00A05AA9" w:rsidRPr="002F4BB1" w:rsidRDefault="00A05AA9" w:rsidP="00A05AA9">
      <w:pPr>
        <w:ind w:left="0" w:firstLine="0"/>
        <w:rPr>
          <w:rFonts w:asciiTheme="minorHAnsi" w:eastAsia="Times New Roman" w:hAnsiTheme="minorHAnsi" w:cs="Arial"/>
          <w:sz w:val="20"/>
          <w:szCs w:val="20"/>
          <w:lang w:val="fr-FR" w:eastAsia="en-GB"/>
        </w:rPr>
      </w:pPr>
    </w:p>
    <w:p w14:paraId="2F2033BD" w14:textId="77777777" w:rsidR="00A05AA9" w:rsidRPr="002F4BB1" w:rsidRDefault="00A05AA9" w:rsidP="00A05AA9">
      <w:pPr>
        <w:ind w:left="0" w:firstLine="0"/>
        <w:rPr>
          <w:rFonts w:asciiTheme="minorHAnsi" w:eastAsia="Times New Roman" w:hAnsiTheme="minorHAnsi" w:cs="Arial"/>
          <w:sz w:val="20"/>
          <w:szCs w:val="20"/>
          <w:lang w:val="fr-FR" w:eastAsia="en-GB"/>
        </w:rPr>
      </w:pP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Les niveaux correspondent à la politique RH et aux lignes directrices sur le classement des postes de l’UICN</w:t>
      </w: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>.</w:t>
      </w:r>
    </w:p>
    <w:p w14:paraId="016DB54D" w14:textId="77777777" w:rsidR="00A05AA9" w:rsidRPr="002F4BB1" w:rsidRDefault="00A05AA9" w:rsidP="00A05AA9">
      <w:pPr>
        <w:ind w:left="0" w:firstLine="0"/>
        <w:rPr>
          <w:rFonts w:asciiTheme="minorHAnsi" w:eastAsia="Times New Roman" w:hAnsiTheme="minorHAnsi" w:cs="Arial"/>
          <w:sz w:val="20"/>
          <w:szCs w:val="20"/>
          <w:lang w:val="fr-FR" w:eastAsia="en-GB"/>
        </w:rPr>
      </w:pP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 xml:space="preserve">S = Secrétaire </w:t>
      </w: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générale</w:t>
      </w: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 xml:space="preserve">; M1-M2 = </w:t>
      </w: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postes de cadres</w:t>
      </w: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 xml:space="preserve">; P1-P2 = </w:t>
      </w: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postes professionnels</w:t>
      </w:r>
      <w:r w:rsidRPr="002F4BB1">
        <w:rPr>
          <w:rFonts w:asciiTheme="minorHAnsi" w:eastAsia="Times New Roman" w:hAnsiTheme="minorHAnsi" w:cs="Arial"/>
          <w:sz w:val="20"/>
          <w:szCs w:val="20"/>
          <w:lang w:val="fr-FR" w:eastAsia="en-GB"/>
        </w:rPr>
        <w:t xml:space="preserve">; A1-A3 = </w:t>
      </w:r>
      <w:r>
        <w:rPr>
          <w:rFonts w:asciiTheme="minorHAnsi" w:eastAsia="Times New Roman" w:hAnsiTheme="minorHAnsi" w:cs="Arial"/>
          <w:sz w:val="20"/>
          <w:szCs w:val="20"/>
          <w:lang w:val="fr-FR" w:eastAsia="en-GB"/>
        </w:rPr>
        <w:t>postes de soutien.</w:t>
      </w:r>
    </w:p>
    <w:p w14:paraId="08C34B82" w14:textId="7C1BF130" w:rsidR="00C72A9C" w:rsidRPr="00583779" w:rsidRDefault="00C72A9C" w:rsidP="008B73E8">
      <w:pPr>
        <w:rPr>
          <w:rFonts w:cs="Arial"/>
          <w:b/>
          <w:sz w:val="4"/>
          <w:szCs w:val="4"/>
          <w:lang w:val="fr-FR"/>
        </w:rPr>
      </w:pPr>
    </w:p>
    <w:sectPr w:rsidR="00C72A9C" w:rsidRPr="00583779" w:rsidSect="00A05AA9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FED92" w14:textId="77777777" w:rsidR="000663E7" w:rsidRDefault="000663E7" w:rsidP="00DF2386">
      <w:r>
        <w:separator/>
      </w:r>
    </w:p>
  </w:endnote>
  <w:endnote w:type="continuationSeparator" w:id="0">
    <w:p w14:paraId="07F42C55" w14:textId="77777777" w:rsidR="000663E7" w:rsidRDefault="000663E7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E54D" w14:textId="77777777" w:rsidR="000663E7" w:rsidRDefault="000663E7" w:rsidP="002137E0">
    <w:pPr>
      <w:pStyle w:val="Header"/>
      <w:rPr>
        <w:noProof/>
      </w:rPr>
    </w:pPr>
    <w:r>
      <w:t>SC54-7.3</w:t>
    </w:r>
    <w:r>
      <w:tab/>
    </w:r>
    <w:r>
      <w:tab/>
    </w:r>
    <w:sdt>
      <w:sdtPr>
        <w:id w:val="19494370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8556A6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0411" w14:textId="77777777" w:rsidR="00A05AA9" w:rsidRPr="007856EC" w:rsidRDefault="00A05AA9" w:rsidP="008065B3">
    <w:pPr>
      <w:pStyle w:val="Footer"/>
      <w:tabs>
        <w:tab w:val="clear" w:pos="9026"/>
        <w:tab w:val="right" w:pos="14220"/>
      </w:tabs>
      <w:rPr>
        <w:sz w:val="20"/>
        <w:szCs w:val="20"/>
      </w:rPr>
    </w:pPr>
    <w:r>
      <w:rPr>
        <w:sz w:val="20"/>
        <w:szCs w:val="20"/>
      </w:rPr>
      <w:t>Ramsar COP13 Doc.18.5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 w:rsidR="008556A6">
      <w:rPr>
        <w:noProof/>
        <w:sz w:val="20"/>
        <w:szCs w:val="20"/>
      </w:rPr>
      <w:t>9</w:t>
    </w:r>
    <w:r w:rsidRPr="00CB5417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54D6E" w14:textId="77777777" w:rsidR="00DD6D39" w:rsidRPr="007856EC" w:rsidRDefault="008556A6" w:rsidP="007856EC">
    <w:pPr>
      <w:pStyle w:val="Footer"/>
      <w:rPr>
        <w:sz w:val="20"/>
        <w:szCs w:val="20"/>
      </w:rPr>
    </w:pPr>
    <w:r>
      <w:rPr>
        <w:sz w:val="20"/>
        <w:szCs w:val="20"/>
      </w:rPr>
      <w:t>Ramsar COP13 Doc.18.5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>
      <w:rPr>
        <w:noProof/>
        <w:sz w:val="20"/>
        <w:szCs w:val="20"/>
      </w:rPr>
      <w:t>17</w:t>
    </w:r>
    <w:r w:rsidRPr="00CB541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5F943" w14:textId="77777777" w:rsidR="000663E7" w:rsidRDefault="000663E7" w:rsidP="00DF2386">
      <w:r>
        <w:separator/>
      </w:r>
    </w:p>
  </w:footnote>
  <w:footnote w:type="continuationSeparator" w:id="0">
    <w:p w14:paraId="5DFE9E94" w14:textId="77777777" w:rsidR="000663E7" w:rsidRDefault="000663E7" w:rsidP="00DF2386">
      <w:r>
        <w:continuationSeparator/>
      </w:r>
    </w:p>
  </w:footnote>
  <w:footnote w:id="1">
    <w:p w14:paraId="378BCDFA" w14:textId="079D5D94" w:rsidR="000663E7" w:rsidRPr="00E06767" w:rsidRDefault="000663E7" w:rsidP="000663E7">
      <w:pPr>
        <w:pStyle w:val="FootnoteText"/>
        <w:ind w:left="0" w:firstLine="0"/>
        <w:rPr>
          <w:lang w:val="fr-CH"/>
        </w:rPr>
      </w:pPr>
      <w:r w:rsidRPr="00E06767">
        <w:rPr>
          <w:rStyle w:val="FootnoteReference"/>
        </w:rPr>
        <w:footnoteRef/>
      </w:r>
      <w:r w:rsidRPr="00E06767">
        <w:rPr>
          <w:lang w:val="fr-CH"/>
        </w:rPr>
        <w:t xml:space="preserve"> Le </w:t>
      </w:r>
      <w:r w:rsidRPr="00E06767">
        <w:rPr>
          <w:rFonts w:cs="Arial"/>
          <w:lang w:val="fr-CH"/>
        </w:rPr>
        <w:t>Secrétariat note que les scenarios budgétaires présentés comprennent des détails et des informations de référence issus des discussions et décisions du Sous-groupe sur les finances et de la 54</w:t>
      </w:r>
      <w:r w:rsidRPr="00E06767">
        <w:rPr>
          <w:rFonts w:cs="Arial"/>
          <w:vertAlign w:val="superscript"/>
          <w:lang w:val="fr-CH"/>
        </w:rPr>
        <w:t>e</w:t>
      </w:r>
      <w:r w:rsidRPr="00E06767">
        <w:rPr>
          <w:rFonts w:cs="Arial"/>
          <w:lang w:val="fr-CH"/>
        </w:rPr>
        <w:t xml:space="preserve"> Réunion du Comité permanent pour aider les Parties contractantes à prendre une décision relative au budget final qui sera adopté. La résolution finale </w:t>
      </w:r>
      <w:r>
        <w:rPr>
          <w:rFonts w:cs="Arial"/>
          <w:lang w:val="fr-CH"/>
        </w:rPr>
        <w:t>est</w:t>
      </w:r>
      <w:r w:rsidRPr="00E06767">
        <w:rPr>
          <w:rFonts w:cs="Arial"/>
          <w:lang w:val="fr-CH"/>
        </w:rPr>
        <w:t xml:space="preserve"> cohérente avec celles des années précédentes et ne comprend que les totaux des principales catégories.</w:t>
      </w:r>
    </w:p>
  </w:footnote>
  <w:footnote w:id="2">
    <w:p w14:paraId="0969C791" w14:textId="77777777" w:rsidR="000663E7" w:rsidRPr="00E06767" w:rsidRDefault="000663E7" w:rsidP="000663E7">
      <w:pPr>
        <w:pStyle w:val="FootnoteText"/>
        <w:ind w:left="0" w:firstLine="0"/>
        <w:rPr>
          <w:lang w:val="fr-CH"/>
        </w:rPr>
      </w:pPr>
      <w:r w:rsidRPr="00E06767">
        <w:rPr>
          <w:rStyle w:val="FootnoteReference"/>
        </w:rPr>
        <w:footnoteRef/>
      </w:r>
      <w:r w:rsidRPr="00E06767">
        <w:rPr>
          <w:lang w:val="fr-CH"/>
        </w:rPr>
        <w:t xml:space="preserve">  </w:t>
      </w:r>
      <w:r w:rsidRPr="00E06767">
        <w:rPr>
          <w:rFonts w:cs="Arial"/>
          <w:lang w:val="fr-CH"/>
        </w:rPr>
        <w:t>Comme noté au paragraphe 4 du rapport du Sous-groupe sur les finances, le scenario budgétaire A comprend un comptable assistant à plein temps de niveau A2. Pour en tenir compte, les postes budgétaires Communications, Appui et développement du Web/TI, Appui aux Initiatives régionales et entretien du Service  d’information sur les Sites Ramsar ont été réduits. Le Sous-groupe sur les finances recommande que les excédents servent à financer partiellement des activités telles que la communication, les voyages du personnel et les Initiatives régionales. Si les excédents sont épuisés et/ou insuffisants, le Sous-groupe sur les finances demande au Secrétariat de rééquilibrer le budget et de chercher à faire des économies</w:t>
      </w:r>
      <w:r>
        <w:rPr>
          <w:rFonts w:cs="Arial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C6E39" w14:textId="77777777" w:rsidR="000663E7" w:rsidRDefault="000663E7">
    <w:pPr>
      <w:pStyle w:val="Header"/>
    </w:pPr>
  </w:p>
  <w:p w14:paraId="07DD6258" w14:textId="77777777" w:rsidR="000663E7" w:rsidRDefault="00066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371DEF"/>
    <w:multiLevelType w:val="hybridMultilevel"/>
    <w:tmpl w:val="36443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25EF6"/>
    <w:multiLevelType w:val="hybridMultilevel"/>
    <w:tmpl w:val="1B0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90BB1"/>
    <w:multiLevelType w:val="hybridMultilevel"/>
    <w:tmpl w:val="19541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CB7151"/>
    <w:multiLevelType w:val="hybridMultilevel"/>
    <w:tmpl w:val="66B6D9AE"/>
    <w:lvl w:ilvl="0" w:tplc="E95C0D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65232E93"/>
    <w:multiLevelType w:val="hybridMultilevel"/>
    <w:tmpl w:val="B616E20C"/>
    <w:lvl w:ilvl="0" w:tplc="58844B6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4"/>
  </w:num>
  <w:num w:numId="13">
    <w:abstractNumId w:val="19"/>
  </w:num>
  <w:num w:numId="14">
    <w:abstractNumId w:val="12"/>
  </w:num>
  <w:num w:numId="15">
    <w:abstractNumId w:val="2"/>
  </w:num>
  <w:num w:numId="16">
    <w:abstractNumId w:val="16"/>
  </w:num>
  <w:num w:numId="17">
    <w:abstractNumId w:val="22"/>
  </w:num>
  <w:num w:numId="18">
    <w:abstractNumId w:val="31"/>
  </w:num>
  <w:num w:numId="19">
    <w:abstractNumId w:val="30"/>
  </w:num>
  <w:num w:numId="20">
    <w:abstractNumId w:val="24"/>
  </w:num>
  <w:num w:numId="21">
    <w:abstractNumId w:val="26"/>
  </w:num>
  <w:num w:numId="22">
    <w:abstractNumId w:val="17"/>
  </w:num>
  <w:num w:numId="23">
    <w:abstractNumId w:val="23"/>
  </w:num>
  <w:num w:numId="24">
    <w:abstractNumId w:val="20"/>
  </w:num>
  <w:num w:numId="25">
    <w:abstractNumId w:val="29"/>
  </w:num>
  <w:num w:numId="26">
    <w:abstractNumId w:val="9"/>
  </w:num>
  <w:num w:numId="27">
    <w:abstractNumId w:val="0"/>
  </w:num>
  <w:num w:numId="28">
    <w:abstractNumId w:val="11"/>
  </w:num>
  <w:num w:numId="29">
    <w:abstractNumId w:val="3"/>
  </w:num>
  <w:num w:numId="30">
    <w:abstractNumId w:val="14"/>
  </w:num>
  <w:num w:numId="31">
    <w:abstractNumId w:val="13"/>
  </w:num>
  <w:num w:numId="32">
    <w:abstractNumId w:val="27"/>
  </w:num>
  <w:num w:numId="33">
    <w:abstractNumId w:val="2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6F21"/>
    <w:rsid w:val="0001102A"/>
    <w:rsid w:val="00012AF0"/>
    <w:rsid w:val="000133D1"/>
    <w:rsid w:val="00014168"/>
    <w:rsid w:val="00016981"/>
    <w:rsid w:val="00017A16"/>
    <w:rsid w:val="000260B4"/>
    <w:rsid w:val="00026E09"/>
    <w:rsid w:val="00030990"/>
    <w:rsid w:val="00034E90"/>
    <w:rsid w:val="000354BC"/>
    <w:rsid w:val="00037CE0"/>
    <w:rsid w:val="0004295A"/>
    <w:rsid w:val="00043FBD"/>
    <w:rsid w:val="000467E7"/>
    <w:rsid w:val="0005215D"/>
    <w:rsid w:val="00053929"/>
    <w:rsid w:val="000663E7"/>
    <w:rsid w:val="00074DE8"/>
    <w:rsid w:val="00077108"/>
    <w:rsid w:val="00080177"/>
    <w:rsid w:val="00086958"/>
    <w:rsid w:val="00087842"/>
    <w:rsid w:val="000937A7"/>
    <w:rsid w:val="00096371"/>
    <w:rsid w:val="00096778"/>
    <w:rsid w:val="000A3E3E"/>
    <w:rsid w:val="000A3F5A"/>
    <w:rsid w:val="000A5278"/>
    <w:rsid w:val="000A7AEC"/>
    <w:rsid w:val="000C2489"/>
    <w:rsid w:val="000D039A"/>
    <w:rsid w:val="000D0488"/>
    <w:rsid w:val="000D5C76"/>
    <w:rsid w:val="000E2FA0"/>
    <w:rsid w:val="000E47E9"/>
    <w:rsid w:val="0010102A"/>
    <w:rsid w:val="00102D6A"/>
    <w:rsid w:val="00104A02"/>
    <w:rsid w:val="00104F7B"/>
    <w:rsid w:val="00106197"/>
    <w:rsid w:val="00114877"/>
    <w:rsid w:val="001155A2"/>
    <w:rsid w:val="00115F0E"/>
    <w:rsid w:val="0012096C"/>
    <w:rsid w:val="00127828"/>
    <w:rsid w:val="00130E7D"/>
    <w:rsid w:val="00137731"/>
    <w:rsid w:val="00141B8D"/>
    <w:rsid w:val="00150BB8"/>
    <w:rsid w:val="00150DE6"/>
    <w:rsid w:val="00161BDA"/>
    <w:rsid w:val="0017123E"/>
    <w:rsid w:val="00171618"/>
    <w:rsid w:val="001819B1"/>
    <w:rsid w:val="0018239F"/>
    <w:rsid w:val="00182571"/>
    <w:rsid w:val="0018623B"/>
    <w:rsid w:val="001872C0"/>
    <w:rsid w:val="00192E44"/>
    <w:rsid w:val="001936D6"/>
    <w:rsid w:val="00194847"/>
    <w:rsid w:val="0019736A"/>
    <w:rsid w:val="00197946"/>
    <w:rsid w:val="001A2D10"/>
    <w:rsid w:val="001A386F"/>
    <w:rsid w:val="001B1561"/>
    <w:rsid w:val="001B773B"/>
    <w:rsid w:val="001B79AE"/>
    <w:rsid w:val="001C21EC"/>
    <w:rsid w:val="001C22F2"/>
    <w:rsid w:val="001C5E41"/>
    <w:rsid w:val="001C75EA"/>
    <w:rsid w:val="001C77BC"/>
    <w:rsid w:val="001C7B17"/>
    <w:rsid w:val="001D0FDF"/>
    <w:rsid w:val="001D48BB"/>
    <w:rsid w:val="001D5FC6"/>
    <w:rsid w:val="001E00E3"/>
    <w:rsid w:val="001E22DA"/>
    <w:rsid w:val="001E5FD0"/>
    <w:rsid w:val="001F2349"/>
    <w:rsid w:val="001F5C62"/>
    <w:rsid w:val="002005D2"/>
    <w:rsid w:val="0020298B"/>
    <w:rsid w:val="002035D8"/>
    <w:rsid w:val="0020503D"/>
    <w:rsid w:val="00206111"/>
    <w:rsid w:val="00212850"/>
    <w:rsid w:val="002137E0"/>
    <w:rsid w:val="00214C88"/>
    <w:rsid w:val="00215D61"/>
    <w:rsid w:val="00223428"/>
    <w:rsid w:val="00227712"/>
    <w:rsid w:val="00233EC7"/>
    <w:rsid w:val="0023550A"/>
    <w:rsid w:val="00236D86"/>
    <w:rsid w:val="00241822"/>
    <w:rsid w:val="0024207F"/>
    <w:rsid w:val="00246D37"/>
    <w:rsid w:val="00254932"/>
    <w:rsid w:val="00263011"/>
    <w:rsid w:val="00264863"/>
    <w:rsid w:val="00267D03"/>
    <w:rsid w:val="00271881"/>
    <w:rsid w:val="00271A5C"/>
    <w:rsid w:val="002741AC"/>
    <w:rsid w:val="00275F13"/>
    <w:rsid w:val="00277A87"/>
    <w:rsid w:val="00280B68"/>
    <w:rsid w:val="002819C0"/>
    <w:rsid w:val="00281C69"/>
    <w:rsid w:val="002822F8"/>
    <w:rsid w:val="002846FE"/>
    <w:rsid w:val="0029247A"/>
    <w:rsid w:val="00295556"/>
    <w:rsid w:val="002957DC"/>
    <w:rsid w:val="00295BB5"/>
    <w:rsid w:val="002A1408"/>
    <w:rsid w:val="002A5A4D"/>
    <w:rsid w:val="002B0CEF"/>
    <w:rsid w:val="002B28CD"/>
    <w:rsid w:val="002B4262"/>
    <w:rsid w:val="002C3209"/>
    <w:rsid w:val="002C5E90"/>
    <w:rsid w:val="002C71D6"/>
    <w:rsid w:val="002D155A"/>
    <w:rsid w:val="002D28C5"/>
    <w:rsid w:val="002D5A4D"/>
    <w:rsid w:val="002E22AF"/>
    <w:rsid w:val="002E660E"/>
    <w:rsid w:val="002E707A"/>
    <w:rsid w:val="002F32A7"/>
    <w:rsid w:val="002F6F33"/>
    <w:rsid w:val="00301D4B"/>
    <w:rsid w:val="00302B21"/>
    <w:rsid w:val="003107B5"/>
    <w:rsid w:val="00310860"/>
    <w:rsid w:val="00322C05"/>
    <w:rsid w:val="003233D5"/>
    <w:rsid w:val="003241A1"/>
    <w:rsid w:val="00324398"/>
    <w:rsid w:val="0032466F"/>
    <w:rsid w:val="003304D1"/>
    <w:rsid w:val="00335704"/>
    <w:rsid w:val="00336DAE"/>
    <w:rsid w:val="003402E0"/>
    <w:rsid w:val="003441D3"/>
    <w:rsid w:val="00352486"/>
    <w:rsid w:val="003565AC"/>
    <w:rsid w:val="00357919"/>
    <w:rsid w:val="0036179C"/>
    <w:rsid w:val="00363957"/>
    <w:rsid w:val="00366633"/>
    <w:rsid w:val="00382F90"/>
    <w:rsid w:val="00384FC3"/>
    <w:rsid w:val="00385EC8"/>
    <w:rsid w:val="00391DC7"/>
    <w:rsid w:val="00392905"/>
    <w:rsid w:val="00395479"/>
    <w:rsid w:val="003969AD"/>
    <w:rsid w:val="003A3057"/>
    <w:rsid w:val="003A3804"/>
    <w:rsid w:val="003A52BE"/>
    <w:rsid w:val="003A5809"/>
    <w:rsid w:val="003A5866"/>
    <w:rsid w:val="003A6E9F"/>
    <w:rsid w:val="003B5564"/>
    <w:rsid w:val="003B7DEB"/>
    <w:rsid w:val="003C1EA0"/>
    <w:rsid w:val="003C2247"/>
    <w:rsid w:val="003D01D9"/>
    <w:rsid w:val="003D3817"/>
    <w:rsid w:val="003D4CD6"/>
    <w:rsid w:val="003F2691"/>
    <w:rsid w:val="003F7105"/>
    <w:rsid w:val="004029A2"/>
    <w:rsid w:val="004149AD"/>
    <w:rsid w:val="004228C7"/>
    <w:rsid w:val="00422BD2"/>
    <w:rsid w:val="00426DD9"/>
    <w:rsid w:val="0042798B"/>
    <w:rsid w:val="00434913"/>
    <w:rsid w:val="00436E55"/>
    <w:rsid w:val="004474F8"/>
    <w:rsid w:val="00454034"/>
    <w:rsid w:val="0046771B"/>
    <w:rsid w:val="00467A8D"/>
    <w:rsid w:val="004717A4"/>
    <w:rsid w:val="00471A63"/>
    <w:rsid w:val="00477550"/>
    <w:rsid w:val="004844A8"/>
    <w:rsid w:val="00491DF5"/>
    <w:rsid w:val="00491F69"/>
    <w:rsid w:val="004962F2"/>
    <w:rsid w:val="00496803"/>
    <w:rsid w:val="0049707C"/>
    <w:rsid w:val="004A01E5"/>
    <w:rsid w:val="004B08CD"/>
    <w:rsid w:val="004B2272"/>
    <w:rsid w:val="004B4108"/>
    <w:rsid w:val="004B420F"/>
    <w:rsid w:val="004B6688"/>
    <w:rsid w:val="004C3D47"/>
    <w:rsid w:val="004C619E"/>
    <w:rsid w:val="004C62E3"/>
    <w:rsid w:val="004E7350"/>
    <w:rsid w:val="004F0E46"/>
    <w:rsid w:val="004F18A1"/>
    <w:rsid w:val="004F20C4"/>
    <w:rsid w:val="004F38CE"/>
    <w:rsid w:val="0051130C"/>
    <w:rsid w:val="005152AD"/>
    <w:rsid w:val="005166D5"/>
    <w:rsid w:val="00521308"/>
    <w:rsid w:val="00522533"/>
    <w:rsid w:val="005244A4"/>
    <w:rsid w:val="005260C5"/>
    <w:rsid w:val="00527783"/>
    <w:rsid w:val="0053257A"/>
    <w:rsid w:val="00532842"/>
    <w:rsid w:val="005422D7"/>
    <w:rsid w:val="005464D2"/>
    <w:rsid w:val="00547343"/>
    <w:rsid w:val="00551232"/>
    <w:rsid w:val="00553DEA"/>
    <w:rsid w:val="005669F9"/>
    <w:rsid w:val="00571795"/>
    <w:rsid w:val="005814B5"/>
    <w:rsid w:val="005815C0"/>
    <w:rsid w:val="00583728"/>
    <w:rsid w:val="00583779"/>
    <w:rsid w:val="005863D6"/>
    <w:rsid w:val="00596D5E"/>
    <w:rsid w:val="005A3D1B"/>
    <w:rsid w:val="005A768C"/>
    <w:rsid w:val="005B08D3"/>
    <w:rsid w:val="005B0E16"/>
    <w:rsid w:val="005C2454"/>
    <w:rsid w:val="005C4E03"/>
    <w:rsid w:val="005D35BD"/>
    <w:rsid w:val="005D3E9D"/>
    <w:rsid w:val="005D57D6"/>
    <w:rsid w:val="005D6292"/>
    <w:rsid w:val="005E3000"/>
    <w:rsid w:val="005E4BF4"/>
    <w:rsid w:val="005F0CC9"/>
    <w:rsid w:val="005F1D0B"/>
    <w:rsid w:val="005F64E0"/>
    <w:rsid w:val="005F6AE1"/>
    <w:rsid w:val="005F6DFB"/>
    <w:rsid w:val="00600E72"/>
    <w:rsid w:val="00607AC7"/>
    <w:rsid w:val="00615635"/>
    <w:rsid w:val="0061644B"/>
    <w:rsid w:val="006211E5"/>
    <w:rsid w:val="006256D3"/>
    <w:rsid w:val="00627BB7"/>
    <w:rsid w:val="006304F7"/>
    <w:rsid w:val="00634AFD"/>
    <w:rsid w:val="00640993"/>
    <w:rsid w:val="00641220"/>
    <w:rsid w:val="006424DB"/>
    <w:rsid w:val="00644A13"/>
    <w:rsid w:val="0065136E"/>
    <w:rsid w:val="00653FE7"/>
    <w:rsid w:val="0066022E"/>
    <w:rsid w:val="00670D71"/>
    <w:rsid w:val="00672438"/>
    <w:rsid w:val="00672D6E"/>
    <w:rsid w:val="00673291"/>
    <w:rsid w:val="00694987"/>
    <w:rsid w:val="00695F7A"/>
    <w:rsid w:val="00697A84"/>
    <w:rsid w:val="006A1B78"/>
    <w:rsid w:val="006B2DDD"/>
    <w:rsid w:val="006B5DD9"/>
    <w:rsid w:val="006B7315"/>
    <w:rsid w:val="006B7BB7"/>
    <w:rsid w:val="006C05A5"/>
    <w:rsid w:val="006C1D07"/>
    <w:rsid w:val="006D3CBA"/>
    <w:rsid w:val="006D6374"/>
    <w:rsid w:val="006E32BB"/>
    <w:rsid w:val="006E7DCE"/>
    <w:rsid w:val="006F3E3D"/>
    <w:rsid w:val="006F6E6B"/>
    <w:rsid w:val="007050FF"/>
    <w:rsid w:val="00707F8E"/>
    <w:rsid w:val="0071235C"/>
    <w:rsid w:val="00713A3B"/>
    <w:rsid w:val="007169C7"/>
    <w:rsid w:val="007204E3"/>
    <w:rsid w:val="007236B4"/>
    <w:rsid w:val="00730CBE"/>
    <w:rsid w:val="00740CFD"/>
    <w:rsid w:val="00745853"/>
    <w:rsid w:val="00752764"/>
    <w:rsid w:val="00757417"/>
    <w:rsid w:val="007629C8"/>
    <w:rsid w:val="00764209"/>
    <w:rsid w:val="00766962"/>
    <w:rsid w:val="00775287"/>
    <w:rsid w:val="0078029B"/>
    <w:rsid w:val="00780307"/>
    <w:rsid w:val="00785698"/>
    <w:rsid w:val="00786D6D"/>
    <w:rsid w:val="007936EA"/>
    <w:rsid w:val="0079408E"/>
    <w:rsid w:val="007945FF"/>
    <w:rsid w:val="007A07EA"/>
    <w:rsid w:val="007A224B"/>
    <w:rsid w:val="007A653C"/>
    <w:rsid w:val="007B3669"/>
    <w:rsid w:val="007D0424"/>
    <w:rsid w:val="007D064F"/>
    <w:rsid w:val="007D33F4"/>
    <w:rsid w:val="007E68B4"/>
    <w:rsid w:val="007F0899"/>
    <w:rsid w:val="007F3ABE"/>
    <w:rsid w:val="00803C20"/>
    <w:rsid w:val="00814323"/>
    <w:rsid w:val="00820E15"/>
    <w:rsid w:val="008328E9"/>
    <w:rsid w:val="0083353F"/>
    <w:rsid w:val="00835BCB"/>
    <w:rsid w:val="00835CDC"/>
    <w:rsid w:val="00842893"/>
    <w:rsid w:val="008445F1"/>
    <w:rsid w:val="008446C3"/>
    <w:rsid w:val="0084567F"/>
    <w:rsid w:val="00846C9E"/>
    <w:rsid w:val="0084793D"/>
    <w:rsid w:val="00850B09"/>
    <w:rsid w:val="008514F2"/>
    <w:rsid w:val="008556A6"/>
    <w:rsid w:val="00855A5A"/>
    <w:rsid w:val="00863B9D"/>
    <w:rsid w:val="00863BE6"/>
    <w:rsid w:val="008775BC"/>
    <w:rsid w:val="00882F1B"/>
    <w:rsid w:val="008926BA"/>
    <w:rsid w:val="00892DD4"/>
    <w:rsid w:val="00893233"/>
    <w:rsid w:val="00894D86"/>
    <w:rsid w:val="008959D7"/>
    <w:rsid w:val="00896FD6"/>
    <w:rsid w:val="008A3A0A"/>
    <w:rsid w:val="008A57B3"/>
    <w:rsid w:val="008A70CE"/>
    <w:rsid w:val="008A7D50"/>
    <w:rsid w:val="008B24AA"/>
    <w:rsid w:val="008B313D"/>
    <w:rsid w:val="008B73E8"/>
    <w:rsid w:val="008C0B07"/>
    <w:rsid w:val="008C25E4"/>
    <w:rsid w:val="008C2DAE"/>
    <w:rsid w:val="008C3FB1"/>
    <w:rsid w:val="008C6E36"/>
    <w:rsid w:val="008C6E9B"/>
    <w:rsid w:val="008E620B"/>
    <w:rsid w:val="008F43D2"/>
    <w:rsid w:val="009015A7"/>
    <w:rsid w:val="009041D7"/>
    <w:rsid w:val="00904D6C"/>
    <w:rsid w:val="009059A9"/>
    <w:rsid w:val="00912E1E"/>
    <w:rsid w:val="00913CF1"/>
    <w:rsid w:val="00916841"/>
    <w:rsid w:val="00924B62"/>
    <w:rsid w:val="00924CD7"/>
    <w:rsid w:val="0092515E"/>
    <w:rsid w:val="009315CC"/>
    <w:rsid w:val="00937D8D"/>
    <w:rsid w:val="0094052C"/>
    <w:rsid w:val="00942FBD"/>
    <w:rsid w:val="0094770B"/>
    <w:rsid w:val="00947D4A"/>
    <w:rsid w:val="00951D88"/>
    <w:rsid w:val="00957260"/>
    <w:rsid w:val="00971CD2"/>
    <w:rsid w:val="00972C4F"/>
    <w:rsid w:val="00977E6E"/>
    <w:rsid w:val="00981341"/>
    <w:rsid w:val="00994B64"/>
    <w:rsid w:val="009A515B"/>
    <w:rsid w:val="009B2267"/>
    <w:rsid w:val="009B2FCA"/>
    <w:rsid w:val="009B764C"/>
    <w:rsid w:val="009C42FF"/>
    <w:rsid w:val="009C573B"/>
    <w:rsid w:val="009C5809"/>
    <w:rsid w:val="009C5D5F"/>
    <w:rsid w:val="009D2192"/>
    <w:rsid w:val="009D21CF"/>
    <w:rsid w:val="009E0AE8"/>
    <w:rsid w:val="009E495F"/>
    <w:rsid w:val="009E5374"/>
    <w:rsid w:val="009F066B"/>
    <w:rsid w:val="009F1B0D"/>
    <w:rsid w:val="009F1E3B"/>
    <w:rsid w:val="009F345D"/>
    <w:rsid w:val="009F54BD"/>
    <w:rsid w:val="009F58D3"/>
    <w:rsid w:val="00A00330"/>
    <w:rsid w:val="00A05AA9"/>
    <w:rsid w:val="00A108EA"/>
    <w:rsid w:val="00A13218"/>
    <w:rsid w:val="00A134B7"/>
    <w:rsid w:val="00A217FF"/>
    <w:rsid w:val="00A227A3"/>
    <w:rsid w:val="00A30851"/>
    <w:rsid w:val="00A3573E"/>
    <w:rsid w:val="00A3584E"/>
    <w:rsid w:val="00A365B2"/>
    <w:rsid w:val="00A429EF"/>
    <w:rsid w:val="00A433E8"/>
    <w:rsid w:val="00A43EAC"/>
    <w:rsid w:val="00A550B1"/>
    <w:rsid w:val="00A60B73"/>
    <w:rsid w:val="00A616A2"/>
    <w:rsid w:val="00A618F5"/>
    <w:rsid w:val="00A62ABF"/>
    <w:rsid w:val="00A67F2E"/>
    <w:rsid w:val="00A71214"/>
    <w:rsid w:val="00A748A6"/>
    <w:rsid w:val="00A75E4E"/>
    <w:rsid w:val="00A768EA"/>
    <w:rsid w:val="00A80080"/>
    <w:rsid w:val="00A84258"/>
    <w:rsid w:val="00A87E90"/>
    <w:rsid w:val="00A921A6"/>
    <w:rsid w:val="00AA063C"/>
    <w:rsid w:val="00AA089F"/>
    <w:rsid w:val="00AA1858"/>
    <w:rsid w:val="00AA24E2"/>
    <w:rsid w:val="00AA3759"/>
    <w:rsid w:val="00AA6EAE"/>
    <w:rsid w:val="00AB2634"/>
    <w:rsid w:val="00AB2E40"/>
    <w:rsid w:val="00AB4951"/>
    <w:rsid w:val="00AC06EE"/>
    <w:rsid w:val="00AC2E85"/>
    <w:rsid w:val="00AD34BF"/>
    <w:rsid w:val="00AD65E1"/>
    <w:rsid w:val="00AE4EEA"/>
    <w:rsid w:val="00AE73C5"/>
    <w:rsid w:val="00AF0A2D"/>
    <w:rsid w:val="00AF2796"/>
    <w:rsid w:val="00AF3C48"/>
    <w:rsid w:val="00B012A3"/>
    <w:rsid w:val="00B02311"/>
    <w:rsid w:val="00B02FB3"/>
    <w:rsid w:val="00B069B7"/>
    <w:rsid w:val="00B15A8B"/>
    <w:rsid w:val="00B25283"/>
    <w:rsid w:val="00B315A0"/>
    <w:rsid w:val="00B329FC"/>
    <w:rsid w:val="00B32E40"/>
    <w:rsid w:val="00B34A18"/>
    <w:rsid w:val="00B468CE"/>
    <w:rsid w:val="00B54F35"/>
    <w:rsid w:val="00B579CB"/>
    <w:rsid w:val="00B60AA4"/>
    <w:rsid w:val="00B6255A"/>
    <w:rsid w:val="00B626CD"/>
    <w:rsid w:val="00B66372"/>
    <w:rsid w:val="00B70083"/>
    <w:rsid w:val="00B73D0E"/>
    <w:rsid w:val="00B8058B"/>
    <w:rsid w:val="00B8120D"/>
    <w:rsid w:val="00B87A76"/>
    <w:rsid w:val="00B9303A"/>
    <w:rsid w:val="00B95BA6"/>
    <w:rsid w:val="00B961C4"/>
    <w:rsid w:val="00BB1ADD"/>
    <w:rsid w:val="00BB28F6"/>
    <w:rsid w:val="00BB3B4B"/>
    <w:rsid w:val="00BC0F75"/>
    <w:rsid w:val="00BC0FBE"/>
    <w:rsid w:val="00BC2609"/>
    <w:rsid w:val="00BC26DD"/>
    <w:rsid w:val="00BC4468"/>
    <w:rsid w:val="00BC5266"/>
    <w:rsid w:val="00BD4CE7"/>
    <w:rsid w:val="00BE4231"/>
    <w:rsid w:val="00BE5629"/>
    <w:rsid w:val="00BE764D"/>
    <w:rsid w:val="00BF28C7"/>
    <w:rsid w:val="00BF5DD8"/>
    <w:rsid w:val="00C03DD1"/>
    <w:rsid w:val="00C12DA1"/>
    <w:rsid w:val="00C13145"/>
    <w:rsid w:val="00C13A7C"/>
    <w:rsid w:val="00C16975"/>
    <w:rsid w:val="00C227AF"/>
    <w:rsid w:val="00C240BE"/>
    <w:rsid w:val="00C24936"/>
    <w:rsid w:val="00C32416"/>
    <w:rsid w:val="00C34785"/>
    <w:rsid w:val="00C40DCC"/>
    <w:rsid w:val="00C53BC4"/>
    <w:rsid w:val="00C61012"/>
    <w:rsid w:val="00C6757F"/>
    <w:rsid w:val="00C67C97"/>
    <w:rsid w:val="00C70EC0"/>
    <w:rsid w:val="00C7135A"/>
    <w:rsid w:val="00C72A9C"/>
    <w:rsid w:val="00C737DF"/>
    <w:rsid w:val="00C83C4D"/>
    <w:rsid w:val="00C83F07"/>
    <w:rsid w:val="00C970B8"/>
    <w:rsid w:val="00CA1CBE"/>
    <w:rsid w:val="00CA3EAA"/>
    <w:rsid w:val="00CA3FE3"/>
    <w:rsid w:val="00CA44A6"/>
    <w:rsid w:val="00CB24E3"/>
    <w:rsid w:val="00CD062D"/>
    <w:rsid w:val="00CD2BB3"/>
    <w:rsid w:val="00CD5DAF"/>
    <w:rsid w:val="00CE4F89"/>
    <w:rsid w:val="00CE7104"/>
    <w:rsid w:val="00CE750F"/>
    <w:rsid w:val="00CE778B"/>
    <w:rsid w:val="00CF1498"/>
    <w:rsid w:val="00CF4437"/>
    <w:rsid w:val="00CF6A1A"/>
    <w:rsid w:val="00D06197"/>
    <w:rsid w:val="00D12474"/>
    <w:rsid w:val="00D160CB"/>
    <w:rsid w:val="00D245A1"/>
    <w:rsid w:val="00D24CB3"/>
    <w:rsid w:val="00D3680D"/>
    <w:rsid w:val="00D37AB7"/>
    <w:rsid w:val="00D41049"/>
    <w:rsid w:val="00D415E2"/>
    <w:rsid w:val="00D42055"/>
    <w:rsid w:val="00D56094"/>
    <w:rsid w:val="00D60B3D"/>
    <w:rsid w:val="00D647C3"/>
    <w:rsid w:val="00D6650E"/>
    <w:rsid w:val="00D7662E"/>
    <w:rsid w:val="00D83D91"/>
    <w:rsid w:val="00D91677"/>
    <w:rsid w:val="00D92E31"/>
    <w:rsid w:val="00D9386E"/>
    <w:rsid w:val="00D9633A"/>
    <w:rsid w:val="00DB4C0C"/>
    <w:rsid w:val="00DC1064"/>
    <w:rsid w:val="00DC6633"/>
    <w:rsid w:val="00DD41FE"/>
    <w:rsid w:val="00DD4FC4"/>
    <w:rsid w:val="00DE3D85"/>
    <w:rsid w:val="00DF2386"/>
    <w:rsid w:val="00DF7FE7"/>
    <w:rsid w:val="00E01044"/>
    <w:rsid w:val="00E0273A"/>
    <w:rsid w:val="00E037F6"/>
    <w:rsid w:val="00E1126A"/>
    <w:rsid w:val="00E16CC7"/>
    <w:rsid w:val="00E17EE6"/>
    <w:rsid w:val="00E20094"/>
    <w:rsid w:val="00E46367"/>
    <w:rsid w:val="00E50224"/>
    <w:rsid w:val="00E51232"/>
    <w:rsid w:val="00E56D57"/>
    <w:rsid w:val="00E631A8"/>
    <w:rsid w:val="00E63F0B"/>
    <w:rsid w:val="00E642B6"/>
    <w:rsid w:val="00E74E6D"/>
    <w:rsid w:val="00E75CA2"/>
    <w:rsid w:val="00E77109"/>
    <w:rsid w:val="00E777F3"/>
    <w:rsid w:val="00E82D75"/>
    <w:rsid w:val="00E867D9"/>
    <w:rsid w:val="00E954D1"/>
    <w:rsid w:val="00E96B53"/>
    <w:rsid w:val="00EA2C55"/>
    <w:rsid w:val="00EA3A7F"/>
    <w:rsid w:val="00EB569C"/>
    <w:rsid w:val="00EC588F"/>
    <w:rsid w:val="00ED2630"/>
    <w:rsid w:val="00ED350C"/>
    <w:rsid w:val="00ED3AEB"/>
    <w:rsid w:val="00ED4036"/>
    <w:rsid w:val="00EE60AF"/>
    <w:rsid w:val="00EF084E"/>
    <w:rsid w:val="00F078F1"/>
    <w:rsid w:val="00F07B14"/>
    <w:rsid w:val="00F126E5"/>
    <w:rsid w:val="00F13645"/>
    <w:rsid w:val="00F136F5"/>
    <w:rsid w:val="00F14404"/>
    <w:rsid w:val="00F26C2E"/>
    <w:rsid w:val="00F32D03"/>
    <w:rsid w:val="00F344DE"/>
    <w:rsid w:val="00F52E89"/>
    <w:rsid w:val="00F56BB7"/>
    <w:rsid w:val="00F7138B"/>
    <w:rsid w:val="00F73E71"/>
    <w:rsid w:val="00F73EE2"/>
    <w:rsid w:val="00F7481B"/>
    <w:rsid w:val="00F847E5"/>
    <w:rsid w:val="00F931C4"/>
    <w:rsid w:val="00FA0367"/>
    <w:rsid w:val="00FB6EE7"/>
    <w:rsid w:val="00FB70D8"/>
    <w:rsid w:val="00FC42BB"/>
    <w:rsid w:val="00FC7A32"/>
    <w:rsid w:val="00FD27EB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6B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AA9"/>
    <w:rPr>
      <w:color w:val="800080"/>
      <w:u w:val="single"/>
    </w:rPr>
  </w:style>
  <w:style w:type="paragraph" w:customStyle="1" w:styleId="xl65">
    <w:name w:val="xl65"/>
    <w:basedOn w:val="Normal"/>
    <w:rsid w:val="00A05AA9"/>
    <w:pPr>
      <w:spacing w:before="100" w:beforeAutospacing="1" w:after="100" w:afterAutospacing="1"/>
      <w:ind w:left="0" w:firstLine="0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AA9"/>
    <w:rPr>
      <w:color w:val="800080"/>
      <w:u w:val="single"/>
    </w:rPr>
  </w:style>
  <w:style w:type="paragraph" w:customStyle="1" w:styleId="xl65">
    <w:name w:val="xl65"/>
    <w:basedOn w:val="Normal"/>
    <w:rsid w:val="00A05AA9"/>
    <w:pPr>
      <w:spacing w:before="100" w:beforeAutospacing="1" w:after="100" w:afterAutospacing="1"/>
      <w:ind w:left="0" w:firstLine="0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A05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B3B7-31CA-48B1-8FAD-E6F3A292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4885</Words>
  <Characters>25109</Characters>
  <Application>Microsoft Office Word</Application>
  <DocSecurity>0</DocSecurity>
  <Lines>2789</Lines>
  <Paragraphs>2726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3</cp:revision>
  <cp:lastPrinted>2018-08-06T15:30:00Z</cp:lastPrinted>
  <dcterms:created xsi:type="dcterms:W3CDTF">2018-08-09T09:10:00Z</dcterms:created>
  <dcterms:modified xsi:type="dcterms:W3CDTF">2018-08-09T09:12:00Z</dcterms:modified>
</cp:coreProperties>
</file>