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61E5" w14:textId="44505A4F" w:rsidR="002644F1" w:rsidRPr="00B95B4E" w:rsidRDefault="002644F1" w:rsidP="002644F1">
      <w:pPr>
        <w:ind w:right="17"/>
        <w:jc w:val="center"/>
        <w:outlineLvl w:val="0"/>
        <w:rPr>
          <w:rFonts w:eastAsia="Times New Roman" w:cstheme="majorHAnsi"/>
          <w:b/>
          <w:bCs/>
          <w:sz w:val="24"/>
          <w:szCs w:val="24"/>
          <w:lang w:val="es-ES_tradnl"/>
        </w:rPr>
      </w:pPr>
      <w:bookmarkStart w:id="0" w:name="_Hlk528401160"/>
      <w:r w:rsidRPr="00B95B4E">
        <w:rPr>
          <w:rFonts w:eastAsia="Times New Roman" w:cstheme="majorHAnsi"/>
          <w:b/>
          <w:bCs/>
          <w:noProof/>
          <w:sz w:val="28"/>
          <w:szCs w:val="28"/>
          <w:lang w:eastAsia="en-GB"/>
        </w:rPr>
        <w:drawing>
          <wp:anchor distT="0" distB="0" distL="114300" distR="114300" simplePos="0" relativeHeight="251661312" behindDoc="1" locked="0" layoutInCell="1" allowOverlap="1" wp14:anchorId="3BE4A291" wp14:editId="4D3D5D6E">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bookmarkStart w:id="1" w:name="OLE_LINK6"/>
      <w:r w:rsidR="00F23C2B" w:rsidRPr="00B95B4E">
        <w:rPr>
          <w:rFonts w:eastAsia="Times New Roman" w:cstheme="majorHAnsi"/>
          <w:b/>
          <w:bCs/>
          <w:sz w:val="24"/>
          <w:szCs w:val="24"/>
          <w:lang w:val="es-ES_tradnl"/>
        </w:rPr>
        <w:t xml:space="preserve">13ª </w:t>
      </w:r>
      <w:r w:rsidR="00F23C2B" w:rsidRPr="00B95B4E">
        <w:rPr>
          <w:b/>
          <w:sz w:val="24"/>
          <w:lang w:val="es-ES_tradnl"/>
        </w:rPr>
        <w:t>Reunión de la Conferencia de las Partes Contratante</w:t>
      </w:r>
      <w:r w:rsidRPr="00B95B4E">
        <w:rPr>
          <w:b/>
          <w:sz w:val="24"/>
          <w:lang w:val="es-ES_tradnl"/>
        </w:rPr>
        <w:t>s</w:t>
      </w:r>
    </w:p>
    <w:p w14:paraId="0EB8E146" w14:textId="216EA110" w:rsidR="002644F1" w:rsidRPr="00B95B4E" w:rsidRDefault="00F23C2B" w:rsidP="0003727D">
      <w:pPr>
        <w:ind w:right="17"/>
        <w:jc w:val="center"/>
        <w:outlineLvl w:val="0"/>
        <w:rPr>
          <w:rFonts w:eastAsia="Times New Roman" w:cstheme="majorHAnsi"/>
          <w:b/>
          <w:bCs/>
          <w:sz w:val="24"/>
          <w:szCs w:val="24"/>
          <w:lang w:val="es-ES_tradnl"/>
        </w:rPr>
      </w:pPr>
      <w:r w:rsidRPr="00B95B4E">
        <w:rPr>
          <w:rFonts w:eastAsia="Times New Roman" w:cstheme="majorHAnsi"/>
          <w:b/>
          <w:bCs/>
          <w:sz w:val="24"/>
          <w:szCs w:val="24"/>
          <w:lang w:val="es-ES_tradnl"/>
        </w:rPr>
        <w:t>en la Convención de Ramsar sobre los Humedales</w:t>
      </w:r>
    </w:p>
    <w:p w14:paraId="2C25AC18" w14:textId="77777777" w:rsidR="00F23C2B" w:rsidRPr="00B95B4E" w:rsidRDefault="00F23C2B" w:rsidP="0003727D">
      <w:pPr>
        <w:ind w:right="17"/>
        <w:jc w:val="center"/>
        <w:outlineLvl w:val="0"/>
        <w:rPr>
          <w:b/>
          <w:sz w:val="24"/>
          <w:lang w:val="es-ES_tradnl"/>
        </w:rPr>
      </w:pPr>
    </w:p>
    <w:bookmarkEnd w:id="1"/>
    <w:p w14:paraId="773EF505" w14:textId="77777777" w:rsidR="00F23C2B" w:rsidRPr="00B95B4E" w:rsidRDefault="002644F1" w:rsidP="00F23C2B">
      <w:pPr>
        <w:ind w:right="17"/>
        <w:jc w:val="center"/>
        <w:outlineLvl w:val="0"/>
        <w:rPr>
          <w:rFonts w:eastAsia="Times New Roman" w:cstheme="majorHAnsi"/>
          <w:b/>
          <w:bCs/>
          <w:sz w:val="24"/>
          <w:szCs w:val="24"/>
          <w:lang w:val="es-ES_tradnl"/>
        </w:rPr>
      </w:pPr>
      <w:r w:rsidRPr="00B95B4E">
        <w:rPr>
          <w:rFonts w:eastAsia="Times New Roman" w:cstheme="majorHAnsi"/>
          <w:b/>
          <w:bCs/>
          <w:sz w:val="24"/>
          <w:szCs w:val="24"/>
          <w:lang w:val="es-ES_tradnl"/>
        </w:rPr>
        <w:t>“</w:t>
      </w:r>
      <w:r w:rsidR="00F23C2B" w:rsidRPr="00B95B4E">
        <w:rPr>
          <w:rFonts w:eastAsia="Times New Roman" w:cstheme="majorHAnsi"/>
          <w:b/>
          <w:bCs/>
          <w:sz w:val="24"/>
          <w:szCs w:val="24"/>
          <w:lang w:val="es-ES_tradnl"/>
        </w:rPr>
        <w:t>Humedales para un futuro urbano sostenible”</w:t>
      </w:r>
    </w:p>
    <w:p w14:paraId="454AC3DE" w14:textId="77777777" w:rsidR="00F23C2B" w:rsidRPr="00B95B4E" w:rsidRDefault="00F23C2B" w:rsidP="00F23C2B">
      <w:pPr>
        <w:ind w:right="17"/>
        <w:jc w:val="center"/>
        <w:outlineLvl w:val="0"/>
        <w:rPr>
          <w:rFonts w:eastAsia="Times New Roman" w:cstheme="majorHAnsi"/>
          <w:b/>
          <w:bCs/>
          <w:sz w:val="24"/>
          <w:szCs w:val="24"/>
          <w:lang w:val="es-ES_tradnl"/>
        </w:rPr>
      </w:pPr>
      <w:r w:rsidRPr="00B95B4E">
        <w:rPr>
          <w:rFonts w:eastAsia="Times New Roman" w:cstheme="majorHAnsi"/>
          <w:b/>
          <w:bCs/>
          <w:sz w:val="24"/>
          <w:szCs w:val="24"/>
          <w:lang w:val="es-ES_tradnl"/>
        </w:rPr>
        <w:t>Dubái, Emiratos Árabes Unidos,</w:t>
      </w:r>
    </w:p>
    <w:p w14:paraId="51046350" w14:textId="6048E9A6" w:rsidR="002644F1" w:rsidRPr="00B95B4E" w:rsidRDefault="00F23C2B" w:rsidP="00F23C2B">
      <w:pPr>
        <w:ind w:right="17"/>
        <w:jc w:val="center"/>
        <w:outlineLvl w:val="0"/>
        <w:rPr>
          <w:rFonts w:eastAsia="Times New Roman" w:cstheme="majorHAnsi"/>
          <w:b/>
          <w:bCs/>
          <w:sz w:val="24"/>
          <w:szCs w:val="24"/>
          <w:lang w:val="es-ES_tradnl"/>
        </w:rPr>
      </w:pPr>
      <w:r w:rsidRPr="00B95B4E">
        <w:rPr>
          <w:rFonts w:eastAsia="Times New Roman" w:cstheme="majorHAnsi"/>
          <w:b/>
          <w:bCs/>
          <w:sz w:val="24"/>
          <w:szCs w:val="24"/>
          <w:lang w:val="es-ES_tradnl"/>
        </w:rPr>
        <w:t>21 a 29 de octubre de 2018</w:t>
      </w:r>
    </w:p>
    <w:p w14:paraId="3062DA31" w14:textId="77777777" w:rsidR="002644F1" w:rsidRPr="00B95B4E" w:rsidRDefault="002644F1" w:rsidP="0003727D">
      <w:pPr>
        <w:ind w:right="17"/>
        <w:jc w:val="center"/>
        <w:outlineLvl w:val="0"/>
        <w:rPr>
          <w:b/>
          <w:sz w:val="28"/>
          <w:lang w:val="es-ES_tradnl"/>
        </w:rPr>
      </w:pPr>
    </w:p>
    <w:p w14:paraId="5B595361" w14:textId="77777777" w:rsidR="002644F1" w:rsidRPr="00B95B4E" w:rsidRDefault="002644F1" w:rsidP="0003727D">
      <w:pPr>
        <w:ind w:right="17"/>
        <w:jc w:val="center"/>
        <w:outlineLvl w:val="0"/>
        <w:rPr>
          <w:b/>
          <w:sz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FC1A36" w:rsidRPr="00B95B4E" w14:paraId="370A5AF9" w14:textId="77777777" w:rsidTr="00B026FA">
        <w:tc>
          <w:tcPr>
            <w:tcW w:w="9360" w:type="dxa"/>
          </w:tcPr>
          <w:p w14:paraId="03E659A9" w14:textId="116768F9" w:rsidR="00FC1A36" w:rsidRPr="00B95B4E" w:rsidRDefault="00FC1A36" w:rsidP="0003727D">
            <w:pPr>
              <w:ind w:right="67"/>
              <w:jc w:val="right"/>
              <w:outlineLvl w:val="0"/>
              <w:rPr>
                <w:b/>
                <w:sz w:val="24"/>
                <w:u w:val="single"/>
                <w:lang w:val="es-ES_tradnl"/>
              </w:rPr>
            </w:pPr>
            <w:bookmarkStart w:id="2" w:name="_GoBack" w:colFirst="0" w:colLast="0"/>
            <w:r w:rsidRPr="00B95B4E">
              <w:rPr>
                <w:rFonts w:eastAsia="Times New Roman" w:cstheme="majorHAnsi"/>
                <w:b/>
                <w:bCs/>
                <w:sz w:val="24"/>
                <w:szCs w:val="24"/>
                <w:lang w:val="es-ES_tradnl"/>
              </w:rPr>
              <w:t xml:space="preserve">Ramsar COP13 Doc.18.4 </w:t>
            </w:r>
            <w:r w:rsidRPr="00A04F08">
              <w:rPr>
                <w:rFonts w:eastAsia="Times New Roman" w:cstheme="majorHAnsi"/>
                <w:b/>
                <w:bCs/>
                <w:sz w:val="24"/>
                <w:szCs w:val="24"/>
                <w:lang w:val="es-ES_tradnl"/>
              </w:rPr>
              <w:t>Rev.1</w:t>
            </w:r>
          </w:p>
        </w:tc>
      </w:tr>
      <w:bookmarkEnd w:id="2"/>
    </w:tbl>
    <w:p w14:paraId="338F1484" w14:textId="77777777" w:rsidR="002644F1" w:rsidRPr="00B95B4E" w:rsidRDefault="002644F1" w:rsidP="0003727D">
      <w:pPr>
        <w:ind w:right="17"/>
        <w:jc w:val="center"/>
        <w:outlineLvl w:val="0"/>
        <w:rPr>
          <w:b/>
          <w:sz w:val="28"/>
          <w:lang w:val="es-ES_tradnl"/>
        </w:rPr>
      </w:pPr>
    </w:p>
    <w:p w14:paraId="28173AC6" w14:textId="55D3A01F" w:rsidR="00F23C2B" w:rsidRPr="00B95B4E" w:rsidRDefault="00F23C2B" w:rsidP="00F23C2B">
      <w:pPr>
        <w:ind w:left="0" w:firstLine="0"/>
        <w:jc w:val="center"/>
        <w:rPr>
          <w:rFonts w:cs="Arial"/>
          <w:b/>
          <w:sz w:val="28"/>
          <w:szCs w:val="28"/>
          <w:lang w:val="es-ES_tradnl"/>
        </w:rPr>
      </w:pPr>
      <w:r w:rsidRPr="00B95B4E">
        <w:rPr>
          <w:b/>
          <w:sz w:val="28"/>
          <w:lang w:val="es-ES_tradnl"/>
        </w:rPr>
        <w:t xml:space="preserve">Proyecto de resolución </w:t>
      </w:r>
      <w:r w:rsidR="004271FB" w:rsidRPr="00B95B4E">
        <w:rPr>
          <w:rFonts w:eastAsia="Times New Roman" w:cstheme="majorHAnsi"/>
          <w:b/>
          <w:bCs/>
          <w:sz w:val="28"/>
          <w:szCs w:val="28"/>
          <w:lang w:val="es-ES_tradnl"/>
        </w:rPr>
        <w:t>sobre la e</w:t>
      </w:r>
      <w:r w:rsidRPr="00B95B4E">
        <w:rPr>
          <w:rFonts w:cs="Arial"/>
          <w:b/>
          <w:sz w:val="28"/>
          <w:szCs w:val="28"/>
          <w:lang w:val="es-ES_tradnl"/>
        </w:rPr>
        <w:t>strategia lingüística de la Convención</w:t>
      </w:r>
    </w:p>
    <w:p w14:paraId="40483554" w14:textId="79B4CC86" w:rsidR="002A22D6" w:rsidRPr="00B95B4E" w:rsidRDefault="002A22D6" w:rsidP="002644F1">
      <w:pPr>
        <w:ind w:left="0" w:firstLine="0"/>
        <w:jc w:val="center"/>
        <w:rPr>
          <w:rFonts w:eastAsia="Times New Roman" w:cstheme="majorHAnsi"/>
          <w:b/>
          <w:bCs/>
          <w:lang w:val="es-ES_tradnl"/>
        </w:rPr>
      </w:pPr>
    </w:p>
    <w:p w14:paraId="73978CEF" w14:textId="77777777" w:rsidR="004271FB" w:rsidRPr="00B95B4E" w:rsidRDefault="004271FB" w:rsidP="002644F1">
      <w:pPr>
        <w:ind w:left="0" w:firstLine="0"/>
        <w:jc w:val="center"/>
        <w:rPr>
          <w:rFonts w:eastAsia="Times New Roman" w:cstheme="majorHAnsi"/>
          <w:b/>
          <w:bCs/>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4271FB" w:rsidRPr="00B95B4E" w14:paraId="056437F6" w14:textId="77777777" w:rsidTr="00F52894">
        <w:tc>
          <w:tcPr>
            <w:tcW w:w="9360" w:type="dxa"/>
          </w:tcPr>
          <w:p w14:paraId="073CDFFC" w14:textId="77777777" w:rsidR="004271FB" w:rsidRPr="00B95B4E" w:rsidRDefault="004271FB" w:rsidP="004271FB">
            <w:pPr>
              <w:rPr>
                <w:rFonts w:asciiTheme="minorHAnsi" w:hAnsiTheme="minorHAnsi"/>
                <w:b/>
                <w:lang w:val="es-ES_tradnl"/>
              </w:rPr>
            </w:pPr>
            <w:r w:rsidRPr="00B95B4E">
              <w:rPr>
                <w:rFonts w:asciiTheme="minorHAnsi" w:hAnsiTheme="minorHAnsi"/>
                <w:b/>
                <w:lang w:val="es-ES_tradnl"/>
              </w:rPr>
              <w:t>Nota de la Secretaría</w:t>
            </w:r>
          </w:p>
          <w:p w14:paraId="456983D7" w14:textId="77777777" w:rsidR="004271FB" w:rsidRPr="00B95B4E" w:rsidRDefault="004271FB" w:rsidP="004271FB">
            <w:pPr>
              <w:rPr>
                <w:rFonts w:asciiTheme="minorHAnsi" w:hAnsiTheme="minorHAnsi"/>
                <w:lang w:val="es-ES_tradnl"/>
              </w:rPr>
            </w:pPr>
          </w:p>
          <w:p w14:paraId="099071A3" w14:textId="4B3DF943" w:rsidR="004271FB" w:rsidRPr="00B95B4E" w:rsidRDefault="004271FB" w:rsidP="004271FB">
            <w:pPr>
              <w:ind w:left="0" w:firstLine="0"/>
              <w:rPr>
                <w:rFonts w:asciiTheme="minorHAnsi" w:hAnsiTheme="minorHAnsi"/>
                <w:lang w:val="es-ES_tradnl"/>
              </w:rPr>
            </w:pPr>
            <w:r w:rsidRPr="00B95B4E">
              <w:rPr>
                <w:rFonts w:asciiTheme="minorHAnsi" w:hAnsiTheme="minorHAnsi"/>
                <w:lang w:val="es-ES_tradnl"/>
              </w:rPr>
              <w:t xml:space="preserve">En su 54ª reunión, tras un debate y propuestas de modificaciones, el Comité Permanente encargó a la Secretaría mediante la Decisión SC54-18 </w:t>
            </w:r>
            <w:r w:rsidRPr="00B95B4E">
              <w:rPr>
                <w:rFonts w:cs="Calibri"/>
                <w:bCs/>
                <w:lang w:val="es-ES_tradnl"/>
              </w:rPr>
              <w:t>que editara, finalizara y publicara el proyecto de resolución que figuraba en el documento SC54-Com.1 para su examen en la COP13, sin más modificaciones de fondo</w:t>
            </w:r>
            <w:r w:rsidRPr="00B95B4E">
              <w:rPr>
                <w:rFonts w:asciiTheme="minorHAnsi" w:hAnsiTheme="minorHAnsi"/>
                <w:lang w:val="es-ES_tradnl"/>
              </w:rPr>
              <w:t xml:space="preserve">. El texto se presenta aquí como un proyecto de resolución independiente que refleja las preferencias expresadas en el Comité Permanente, derogando los párrafos obsoletos de la Resolución XII.3. </w:t>
            </w:r>
          </w:p>
        </w:tc>
      </w:tr>
    </w:tbl>
    <w:p w14:paraId="0AEAB755" w14:textId="77777777" w:rsidR="00C2321C" w:rsidRPr="00B95B4E" w:rsidRDefault="00C2321C" w:rsidP="004E1A8C">
      <w:pPr>
        <w:rPr>
          <w:rFonts w:cs="Arial"/>
          <w:lang w:val="es-ES"/>
        </w:rPr>
      </w:pPr>
    </w:p>
    <w:p w14:paraId="6987E895" w14:textId="77777777" w:rsidR="00C2321C" w:rsidRPr="00B95B4E" w:rsidRDefault="00C2321C" w:rsidP="004E1A8C">
      <w:pPr>
        <w:rPr>
          <w:rFonts w:cs="Arial"/>
          <w:lang w:val="es-ES"/>
        </w:rPr>
      </w:pPr>
    </w:p>
    <w:p w14:paraId="1DF27885" w14:textId="7FD5BCD2" w:rsidR="007D368A" w:rsidRPr="00B95B4E" w:rsidRDefault="007D368A" w:rsidP="004E1A8C">
      <w:pPr>
        <w:rPr>
          <w:rFonts w:cs="Arial"/>
          <w:lang w:val="es-ES_tradnl"/>
        </w:rPr>
      </w:pPr>
      <w:r w:rsidRPr="00B95B4E">
        <w:rPr>
          <w:rFonts w:cs="Arial"/>
          <w:lang w:val="es-ES_tradnl"/>
        </w:rPr>
        <w:t>1.</w:t>
      </w:r>
      <w:r w:rsidR="00F70414" w:rsidRPr="00B95B4E">
        <w:rPr>
          <w:rFonts w:cs="Arial"/>
          <w:lang w:val="es-ES_tradnl"/>
        </w:rPr>
        <w:tab/>
      </w:r>
      <w:r w:rsidR="00536465" w:rsidRPr="00B95B4E">
        <w:rPr>
          <w:rFonts w:cs="Arial"/>
          <w:lang w:val="es-ES_tradnl"/>
        </w:rPr>
        <w:t xml:space="preserve">RECORDANDO que, en la </w:t>
      </w:r>
      <w:r w:rsidR="007E266F" w:rsidRPr="00B95B4E">
        <w:rPr>
          <w:rFonts w:cs="Arial"/>
          <w:lang w:val="es-ES_tradnl"/>
        </w:rPr>
        <w:t>Resolución</w:t>
      </w:r>
      <w:r w:rsidR="00536465" w:rsidRPr="00B95B4E">
        <w:rPr>
          <w:rFonts w:cs="Arial"/>
          <w:lang w:val="es-ES_tradnl"/>
        </w:rPr>
        <w:t xml:space="preserve"> XI.1, </w:t>
      </w:r>
      <w:r w:rsidR="000C5059" w:rsidRPr="00A04F08">
        <w:rPr>
          <w:rFonts w:cs="Arial"/>
          <w:lang w:val="es-ES"/>
        </w:rPr>
        <w:t>sobre la</w:t>
      </w:r>
      <w:r w:rsidR="000C5059" w:rsidRPr="00A04F08">
        <w:rPr>
          <w:rFonts w:cs="Arial"/>
          <w:i/>
          <w:lang w:val="es-ES"/>
        </w:rPr>
        <w:t xml:space="preserve"> </w:t>
      </w:r>
      <w:r w:rsidR="000C5059" w:rsidRPr="00A04F08">
        <w:rPr>
          <w:i/>
          <w:lang w:val="es-ES"/>
        </w:rPr>
        <w:t>Acogida institucional de la Secretaría de Ramsar</w:t>
      </w:r>
      <w:r w:rsidR="000C5059" w:rsidRPr="00A04F08">
        <w:rPr>
          <w:rFonts w:cs="Arial"/>
          <w:lang w:val="es-ES_tradnl"/>
        </w:rPr>
        <w:t>,</w:t>
      </w:r>
      <w:r w:rsidR="00A04F08">
        <w:rPr>
          <w:rFonts w:cs="Arial"/>
          <w:lang w:val="es-ES_tradnl"/>
        </w:rPr>
        <w:t xml:space="preserve"> </w:t>
      </w:r>
      <w:r w:rsidR="00536465" w:rsidRPr="00B95B4E">
        <w:rPr>
          <w:rFonts w:cs="Arial"/>
          <w:lang w:val="es-ES_tradnl"/>
        </w:rPr>
        <w:t>adoptada en su 11ª reunión (Bucarest, 2012), la Conferencia de las Partes Contratantes encargó al Comité Permanente</w:t>
      </w:r>
      <w:r w:rsidR="002E1B2D" w:rsidRPr="00B95B4E">
        <w:rPr>
          <w:rFonts w:cs="Arial"/>
          <w:lang w:val="es-ES_tradnl"/>
        </w:rPr>
        <w:t xml:space="preserve"> que</w:t>
      </w:r>
      <w:r w:rsidR="002E1B2D" w:rsidRPr="00B95B4E">
        <w:rPr>
          <w:lang w:val="es-ES_tradnl"/>
        </w:rPr>
        <w:t xml:space="preserve"> formulara estrategias</w:t>
      </w:r>
      <w:r w:rsidR="00536465" w:rsidRPr="00B95B4E">
        <w:rPr>
          <w:rFonts w:cs="Arial"/>
          <w:lang w:val="es-ES_tradnl"/>
        </w:rPr>
        <w:t>, con la participación de todas las Partes interesadas, para estudiar la posibilidad de incorporar idiomas de las Naciones Unidas en la Convención, ampliar la visibilidad y la envergadura de la Convención, entre otras cosas, mediante la mejora del compromiso político de alto nivel en su labor en los planos nacional, regional y mundial, mejorar las sinergias con los acuerdos multilaterales sobre el medio ambiente (AMMA) y otras entidades internacionales inclusive a través de iniciativas regionales, y mejorar la participación en las iniciativas del Programa de las Naciones Unidas para el Medio Ambiente (PNUMA</w:t>
      </w:r>
      <w:r w:rsidR="00F36D2B" w:rsidRPr="00B95B4E">
        <w:rPr>
          <w:rFonts w:asciiTheme="minorHAnsi" w:hAnsiTheme="minorHAnsi" w:cs="Arial"/>
          <w:lang w:val="es-ES_tradnl"/>
        </w:rPr>
        <w:t>)</w:t>
      </w:r>
      <w:r w:rsidR="00D35265" w:rsidRPr="00B95B4E">
        <w:rPr>
          <w:rFonts w:cs="Arial"/>
          <w:lang w:val="es-ES_tradnl"/>
        </w:rPr>
        <w:t>;</w:t>
      </w:r>
    </w:p>
    <w:p w14:paraId="7A06385E" w14:textId="77777777" w:rsidR="007D368A" w:rsidRPr="00B95B4E" w:rsidRDefault="007D368A" w:rsidP="004E1A8C">
      <w:pPr>
        <w:rPr>
          <w:rFonts w:cs="Arial"/>
          <w:lang w:val="es-ES_tradnl"/>
        </w:rPr>
      </w:pPr>
    </w:p>
    <w:p w14:paraId="5BAD54E0" w14:textId="0E530653" w:rsidR="00B814D1" w:rsidRPr="00B95B4E" w:rsidRDefault="00F70414" w:rsidP="00A33585">
      <w:pPr>
        <w:rPr>
          <w:rFonts w:cs="Arial"/>
          <w:lang w:val="es-ES_tradnl"/>
        </w:rPr>
      </w:pPr>
      <w:r w:rsidRPr="00B95B4E">
        <w:rPr>
          <w:rFonts w:cs="Arial"/>
          <w:lang w:val="es-ES_tradnl"/>
        </w:rPr>
        <w:t>2.</w:t>
      </w:r>
      <w:r w:rsidR="00B814D1" w:rsidRPr="00B95B4E">
        <w:rPr>
          <w:rFonts w:cs="Arial"/>
          <w:lang w:val="es-ES_tradnl"/>
        </w:rPr>
        <w:tab/>
      </w:r>
      <w:r w:rsidR="00536465" w:rsidRPr="00B95B4E">
        <w:rPr>
          <w:rFonts w:cs="Arial"/>
          <w:lang w:val="es-ES_tradnl"/>
        </w:rPr>
        <w:t xml:space="preserve">RECORDANDO ASIMISMO que, en la Resolución XII.3, </w:t>
      </w:r>
      <w:r w:rsidR="000C5059" w:rsidRPr="00A04F08">
        <w:rPr>
          <w:rFonts w:cs="Arial"/>
          <w:lang w:val="es-ES"/>
        </w:rPr>
        <w:t>relativa a la M</w:t>
      </w:r>
      <w:r w:rsidR="000C5059" w:rsidRPr="00A04F08">
        <w:rPr>
          <w:i/>
          <w:lang w:val="es-ES"/>
        </w:rPr>
        <w:t>ejora de los idiomas, la visibilidad y la envergadura de la Convención, y de las sinergias con otros acuerdos multilaterales sobre el medio ambiente y otras instituciones internacionales</w:t>
      </w:r>
      <w:r w:rsidR="000C5059" w:rsidRPr="00B95B4E">
        <w:rPr>
          <w:rFonts w:cs="Arial"/>
          <w:lang w:val="es-ES_tradnl"/>
        </w:rPr>
        <w:t xml:space="preserve"> </w:t>
      </w:r>
      <w:r w:rsidR="00536465" w:rsidRPr="00B95B4E">
        <w:rPr>
          <w:rFonts w:cs="Arial"/>
          <w:lang w:val="es-ES_tradnl"/>
        </w:rPr>
        <w:t xml:space="preserve">adoptada en </w:t>
      </w:r>
      <w:r w:rsidR="000C5059" w:rsidRPr="00B95B4E">
        <w:rPr>
          <w:rFonts w:cs="Arial"/>
          <w:lang w:val="es-ES_tradnl"/>
        </w:rPr>
        <w:t xml:space="preserve">su </w:t>
      </w:r>
      <w:r w:rsidR="00536465" w:rsidRPr="00B95B4E">
        <w:rPr>
          <w:rFonts w:cs="Arial"/>
          <w:lang w:val="es-ES_tradnl"/>
        </w:rPr>
        <w:t xml:space="preserve">12ª reunión (Punta del Este, 2015), la Conferencia de las Partes pidió a la Secretaría </w:t>
      </w:r>
      <w:r w:rsidR="00536465" w:rsidRPr="00B95B4E">
        <w:rPr>
          <w:rFonts w:asciiTheme="minorHAnsi" w:hAnsiTheme="minorHAnsi" w:cstheme="minorHAnsi"/>
          <w:bCs/>
          <w:lang w:val="es-ES_tradnl"/>
        </w:rPr>
        <w:t xml:space="preserve">que preparara una estrategia y un proyecto de resolución sobre la introducción del idioma árabe en la Convención y una mayor introducción escalonada de los idiomas existentes de la Convención, y al </w:t>
      </w:r>
      <w:r w:rsidR="00536465" w:rsidRPr="00B95B4E">
        <w:rPr>
          <w:rFonts w:cs="Arial"/>
          <w:lang w:val="es-ES_tradnl"/>
        </w:rPr>
        <w:t xml:space="preserve">Comité Permanente que presentase sus recomendaciones al respecto a la 13ª reunión de la Conferencia de las Partes Contratantes </w:t>
      </w:r>
      <w:r w:rsidR="00266629" w:rsidRPr="00B95B4E">
        <w:rPr>
          <w:rFonts w:cs="Arial"/>
          <w:lang w:val="es-ES_tradnl"/>
        </w:rPr>
        <w:t>(COP13)</w:t>
      </w:r>
      <w:r w:rsidR="00B814D1" w:rsidRPr="00B95B4E">
        <w:rPr>
          <w:rFonts w:cs="Arial"/>
          <w:lang w:val="es-ES_tradnl"/>
        </w:rPr>
        <w:t>;</w:t>
      </w:r>
    </w:p>
    <w:p w14:paraId="239DF06A" w14:textId="77777777" w:rsidR="007D368A" w:rsidRPr="00B95B4E" w:rsidRDefault="007D368A" w:rsidP="004E1A8C">
      <w:pPr>
        <w:rPr>
          <w:rFonts w:cs="Arial"/>
          <w:lang w:val="es-ES_tradnl"/>
        </w:rPr>
      </w:pPr>
    </w:p>
    <w:p w14:paraId="7D1CE094" w14:textId="35862319" w:rsidR="00D579AD" w:rsidRPr="00B95B4E" w:rsidRDefault="00F37B57" w:rsidP="004E1A8C">
      <w:pPr>
        <w:rPr>
          <w:rFonts w:cs="Arial"/>
          <w:lang w:val="es-ES_tradnl"/>
        </w:rPr>
      </w:pPr>
      <w:r w:rsidRPr="00B95B4E">
        <w:rPr>
          <w:rFonts w:cs="Arial"/>
          <w:lang w:val="es-ES_tradnl"/>
        </w:rPr>
        <w:t>3</w:t>
      </w:r>
      <w:r w:rsidR="00AF3C71" w:rsidRPr="00B95B4E">
        <w:rPr>
          <w:rFonts w:cs="Arial"/>
          <w:lang w:val="es-ES_tradnl"/>
        </w:rPr>
        <w:t>.</w:t>
      </w:r>
      <w:r w:rsidR="00AF3C71" w:rsidRPr="00B95B4E">
        <w:rPr>
          <w:rFonts w:cs="Arial"/>
          <w:lang w:val="es-ES_tradnl"/>
        </w:rPr>
        <w:tab/>
      </w:r>
      <w:r w:rsidR="00536465" w:rsidRPr="00B95B4E">
        <w:rPr>
          <w:rFonts w:cs="Arial"/>
          <w:lang w:val="es-ES_tradnl"/>
        </w:rPr>
        <w:t>RECONOCIENDO que las restricciones financieras han impedido la prestación de un servicio lingüístico completo y equitativo para los idiomas oficiales de la Convención</w:t>
      </w:r>
      <w:r w:rsidR="000C5059" w:rsidRPr="00A04F08">
        <w:rPr>
          <w:rFonts w:cs="Arial"/>
          <w:lang w:val="es-ES_tradnl"/>
        </w:rPr>
        <w:t>, que son el</w:t>
      </w:r>
      <w:r w:rsidR="000C5059" w:rsidRPr="00B95B4E">
        <w:rPr>
          <w:rFonts w:cs="Arial"/>
          <w:u w:val="single"/>
          <w:lang w:val="es-ES_tradnl"/>
        </w:rPr>
        <w:t xml:space="preserve"> </w:t>
      </w:r>
      <w:r w:rsidR="00536465" w:rsidRPr="00B95B4E">
        <w:rPr>
          <w:rFonts w:cs="Arial"/>
          <w:lang w:val="es-ES_tradnl"/>
        </w:rPr>
        <w:t xml:space="preserve">español, </w:t>
      </w:r>
      <w:r w:rsidR="000C5059" w:rsidRPr="00A04F08">
        <w:rPr>
          <w:rFonts w:cs="Arial"/>
          <w:lang w:val="es-ES_tradnl"/>
        </w:rPr>
        <w:t>el</w:t>
      </w:r>
      <w:r w:rsidR="00795119" w:rsidRPr="00A04F08">
        <w:rPr>
          <w:rFonts w:cs="Arial"/>
          <w:lang w:val="es-ES_tradnl"/>
        </w:rPr>
        <w:t xml:space="preserve"> </w:t>
      </w:r>
      <w:r w:rsidR="00536465" w:rsidRPr="00B95B4E">
        <w:rPr>
          <w:rFonts w:cs="Arial"/>
          <w:lang w:val="es-ES_tradnl"/>
        </w:rPr>
        <w:t>francés</w:t>
      </w:r>
      <w:r w:rsidR="00795119" w:rsidRPr="00B95B4E">
        <w:rPr>
          <w:rFonts w:cs="Arial"/>
          <w:lang w:val="es-ES_tradnl"/>
        </w:rPr>
        <w:t xml:space="preserve"> </w:t>
      </w:r>
      <w:r w:rsidR="000C5059" w:rsidRPr="00B95B4E">
        <w:rPr>
          <w:rFonts w:cs="Arial"/>
          <w:lang w:val="es-ES_tradnl"/>
        </w:rPr>
        <w:t xml:space="preserve">y el </w:t>
      </w:r>
      <w:r w:rsidR="00536465" w:rsidRPr="00B95B4E">
        <w:rPr>
          <w:rFonts w:cs="Arial"/>
          <w:lang w:val="es-ES_tradnl"/>
        </w:rPr>
        <w:t>inglés</w:t>
      </w:r>
      <w:r w:rsidR="00AF3C71" w:rsidRPr="00B95B4E">
        <w:rPr>
          <w:rFonts w:cs="Arial"/>
          <w:lang w:val="es-ES_tradnl"/>
        </w:rPr>
        <w:t>;</w:t>
      </w:r>
      <w:r w:rsidR="000C5059" w:rsidRPr="00B95B4E">
        <w:rPr>
          <w:rFonts w:cs="Arial"/>
          <w:lang w:val="es-ES_tradnl"/>
        </w:rPr>
        <w:t xml:space="preserve"> </w:t>
      </w:r>
    </w:p>
    <w:p w14:paraId="57E0984F" w14:textId="77777777" w:rsidR="00D579AD" w:rsidRPr="00B95B4E" w:rsidRDefault="00D579AD" w:rsidP="004E1A8C">
      <w:pPr>
        <w:rPr>
          <w:rFonts w:cs="Arial"/>
          <w:lang w:val="es-ES_tradnl"/>
        </w:rPr>
      </w:pPr>
    </w:p>
    <w:p w14:paraId="5E3FE2FE" w14:textId="2031663D" w:rsidR="00E84D2E" w:rsidRPr="00B95B4E" w:rsidRDefault="00F37B57" w:rsidP="004E1A8C">
      <w:pPr>
        <w:rPr>
          <w:rFonts w:cs="Arial"/>
          <w:lang w:val="es-ES_tradnl"/>
        </w:rPr>
      </w:pPr>
      <w:r w:rsidRPr="00B95B4E">
        <w:rPr>
          <w:rFonts w:cs="Arial"/>
          <w:lang w:val="es-ES_tradnl"/>
        </w:rPr>
        <w:lastRenderedPageBreak/>
        <w:t>4</w:t>
      </w:r>
      <w:r w:rsidR="00F70414" w:rsidRPr="00B95B4E">
        <w:rPr>
          <w:rFonts w:cs="Arial"/>
          <w:lang w:val="es-ES_tradnl"/>
        </w:rPr>
        <w:t>.</w:t>
      </w:r>
      <w:r w:rsidR="00F70414" w:rsidRPr="00B95B4E">
        <w:rPr>
          <w:rFonts w:cs="Arial"/>
          <w:lang w:val="es-ES_tradnl"/>
        </w:rPr>
        <w:tab/>
      </w:r>
      <w:r w:rsidR="0066551C" w:rsidRPr="00B95B4E">
        <w:rPr>
          <w:rFonts w:cs="Arial"/>
          <w:lang w:val="es-ES_tradnl"/>
        </w:rPr>
        <w:t>CONSIDERANDO</w:t>
      </w:r>
      <w:r w:rsidR="00536465" w:rsidRPr="00B95B4E">
        <w:rPr>
          <w:rFonts w:cs="Arial"/>
          <w:lang w:val="es-ES_tradnl"/>
        </w:rPr>
        <w:t xml:space="preserve"> que la incorporación de idiomas adicionales en la labor diaria de la Convención, en particular el árabe, podría promover la participación de más Partes Contratantes en la Convención, apoyar a las Partes Contratantes en su labor de concienciación y mejorar su aplicación de la Convención</w:t>
      </w:r>
      <w:r w:rsidR="00E84D2E" w:rsidRPr="00B95B4E">
        <w:rPr>
          <w:rFonts w:cs="Arial"/>
          <w:lang w:val="es-ES_tradnl"/>
        </w:rPr>
        <w:t>;</w:t>
      </w:r>
    </w:p>
    <w:p w14:paraId="53F41160" w14:textId="77777777" w:rsidR="007F0985" w:rsidRPr="00B95B4E" w:rsidRDefault="007F0985" w:rsidP="00F37B57">
      <w:pPr>
        <w:rPr>
          <w:rFonts w:cs="Arial"/>
          <w:lang w:val="es-ES_tradnl"/>
        </w:rPr>
      </w:pPr>
    </w:p>
    <w:p w14:paraId="554B6751" w14:textId="16CEC4F1" w:rsidR="007F0985" w:rsidRPr="00B95B4E" w:rsidRDefault="00B22005" w:rsidP="00E62471">
      <w:pPr>
        <w:rPr>
          <w:rFonts w:cs="Arial"/>
          <w:lang w:val="es-ES_tradnl"/>
        </w:rPr>
      </w:pPr>
      <w:r w:rsidRPr="00B95B4E">
        <w:rPr>
          <w:rFonts w:cs="Arial"/>
          <w:lang w:val="es-ES_tradnl"/>
        </w:rPr>
        <w:t>5.</w:t>
      </w:r>
      <w:r w:rsidRPr="00B95B4E">
        <w:rPr>
          <w:rFonts w:cs="Arial"/>
          <w:lang w:val="es-ES_tradnl"/>
        </w:rPr>
        <w:tab/>
      </w:r>
      <w:r w:rsidR="00536465" w:rsidRPr="00B95B4E">
        <w:rPr>
          <w:rFonts w:asciiTheme="minorHAnsi" w:hAnsiTheme="minorHAnsi" w:cstheme="minorHAnsi"/>
          <w:lang w:val="es-ES_tradnl"/>
        </w:rPr>
        <w:t>OBSERVANDO el interés expresado por un número creciente de países de habla árabe acerca de la adhesión a la Convención y el creciente interés de dichas Partes Contratantes de habla árabe por la aplicación de la Convención</w:t>
      </w:r>
      <w:r w:rsidR="007F0985" w:rsidRPr="00B95B4E">
        <w:rPr>
          <w:rFonts w:cs="Arial"/>
          <w:lang w:val="es-ES_tradnl"/>
        </w:rPr>
        <w:t>;</w:t>
      </w:r>
    </w:p>
    <w:p w14:paraId="48C7674A" w14:textId="77777777" w:rsidR="007F0985" w:rsidRPr="00B95B4E" w:rsidRDefault="007F0985" w:rsidP="00E62471">
      <w:pPr>
        <w:rPr>
          <w:rFonts w:cs="Arial"/>
          <w:lang w:val="es-ES_tradnl"/>
        </w:rPr>
      </w:pPr>
    </w:p>
    <w:p w14:paraId="24D26C0F" w14:textId="0CECCE82" w:rsidR="007F0985" w:rsidRPr="00B95B4E" w:rsidRDefault="00027BE9" w:rsidP="00E62471">
      <w:pPr>
        <w:rPr>
          <w:rFonts w:cs="Arial"/>
          <w:lang w:val="es-ES_tradnl"/>
        </w:rPr>
      </w:pPr>
      <w:r w:rsidRPr="00B95B4E">
        <w:rPr>
          <w:rFonts w:cs="Arial"/>
          <w:lang w:val="es-ES_tradnl"/>
        </w:rPr>
        <w:t>6.</w:t>
      </w:r>
      <w:r w:rsidRPr="00B95B4E">
        <w:rPr>
          <w:rFonts w:cs="Arial"/>
          <w:lang w:val="es-ES_tradnl"/>
        </w:rPr>
        <w:tab/>
      </w:r>
      <w:r w:rsidR="00536465" w:rsidRPr="00B95B4E">
        <w:rPr>
          <w:rFonts w:asciiTheme="minorHAnsi" w:hAnsiTheme="minorHAnsi" w:cstheme="minorHAnsi"/>
          <w:lang w:val="es-ES_tradnl"/>
        </w:rPr>
        <w:t xml:space="preserve">APRECIANDO la variedad de tipos de humedales distintos tales como </w:t>
      </w:r>
      <w:r w:rsidR="00536465" w:rsidRPr="00B95B4E">
        <w:rPr>
          <w:rFonts w:asciiTheme="minorHAnsi" w:hAnsiTheme="minorHAnsi" w:cstheme="minorHAnsi"/>
          <w:i/>
          <w:lang w:val="es-ES_tradnl"/>
        </w:rPr>
        <w:t>uadis</w:t>
      </w:r>
      <w:r w:rsidR="00536465" w:rsidRPr="00B95B4E">
        <w:rPr>
          <w:rFonts w:asciiTheme="minorHAnsi" w:hAnsiTheme="minorHAnsi" w:cstheme="minorHAnsi"/>
          <w:lang w:val="es-ES_tradnl"/>
        </w:rPr>
        <w:t xml:space="preserve">, </w:t>
      </w:r>
      <w:r w:rsidR="0066551C" w:rsidRPr="00B95B4E">
        <w:rPr>
          <w:rFonts w:asciiTheme="minorHAnsi" w:hAnsiTheme="minorHAnsi" w:cstheme="minorHAnsi"/>
          <w:i/>
          <w:lang w:val="es-ES_tradnl"/>
        </w:rPr>
        <w:t>sabkhas</w:t>
      </w:r>
      <w:r w:rsidR="00536465" w:rsidRPr="00B95B4E">
        <w:rPr>
          <w:rFonts w:asciiTheme="minorHAnsi" w:hAnsiTheme="minorHAnsi" w:cstheme="minorHAnsi"/>
          <w:lang w:val="es-ES_tradnl"/>
        </w:rPr>
        <w:t xml:space="preserve"> y oasis en países de habla árabe y su insuficiente representación entre los sitios Ramsar incluidos en la red, además de la presencia en la región de organizaciones y personas con conocimientos especializados en la conservación y el uso racional de los humedales, cuya contribución sería beneficiosa para la aplicación futura de la Convención</w:t>
      </w:r>
      <w:r w:rsidR="007F0985" w:rsidRPr="00B95B4E">
        <w:rPr>
          <w:rFonts w:cs="Arial"/>
          <w:lang w:val="es-ES_tradnl"/>
        </w:rPr>
        <w:t>;</w:t>
      </w:r>
    </w:p>
    <w:p w14:paraId="37883DB0" w14:textId="77777777" w:rsidR="007F0985" w:rsidRPr="00B95B4E" w:rsidRDefault="007F0985" w:rsidP="00E62471">
      <w:pPr>
        <w:rPr>
          <w:rFonts w:cs="Arial"/>
          <w:lang w:val="es-ES_tradnl"/>
        </w:rPr>
      </w:pPr>
    </w:p>
    <w:p w14:paraId="00B3524C" w14:textId="4884D2BE" w:rsidR="007F0985" w:rsidRPr="00B95B4E" w:rsidRDefault="00027BE9" w:rsidP="00E62471">
      <w:pPr>
        <w:rPr>
          <w:rFonts w:cs="Arial"/>
          <w:lang w:val="es-ES_tradnl"/>
        </w:rPr>
      </w:pPr>
      <w:r w:rsidRPr="00B95B4E">
        <w:rPr>
          <w:rFonts w:cs="Arial"/>
          <w:lang w:val="es-ES_tradnl"/>
        </w:rPr>
        <w:t>7.</w:t>
      </w:r>
      <w:r w:rsidR="007347ED" w:rsidRPr="00B95B4E">
        <w:rPr>
          <w:rFonts w:cs="Arial"/>
          <w:lang w:val="es-ES_tradnl"/>
        </w:rPr>
        <w:tab/>
      </w:r>
      <w:r w:rsidR="00536465" w:rsidRPr="00B95B4E">
        <w:rPr>
          <w:rFonts w:asciiTheme="minorHAnsi" w:hAnsiTheme="minorHAnsi" w:cstheme="minorHAnsi"/>
          <w:lang w:val="es-ES_tradnl"/>
        </w:rPr>
        <w:t>COMPRENDIENDO el abanico de problemas urgentes que afectan a los humedales en los países de habla árabe y otros países a la luz de la creciente demanda debida al incremento de la población en la región y de los cambios en la disponibilidad de agua por la alteración del régimen de las precipitaciones, los patrones de uso insostenible y los cambios climáticos</w:t>
      </w:r>
      <w:r w:rsidR="007F0985" w:rsidRPr="00B95B4E">
        <w:rPr>
          <w:rFonts w:cs="Arial"/>
          <w:lang w:val="es-ES_tradnl"/>
        </w:rPr>
        <w:t>;</w:t>
      </w:r>
      <w:r w:rsidR="00F714FC" w:rsidRPr="00B95B4E">
        <w:rPr>
          <w:rFonts w:cs="Arial"/>
          <w:lang w:val="es-ES_tradnl"/>
        </w:rPr>
        <w:t xml:space="preserve"> </w:t>
      </w:r>
      <w:r w:rsidR="00536465" w:rsidRPr="00B95B4E">
        <w:rPr>
          <w:rFonts w:cs="Arial"/>
          <w:lang w:val="es-ES_tradnl"/>
        </w:rPr>
        <w:t>y</w:t>
      </w:r>
    </w:p>
    <w:p w14:paraId="7A68DA6A" w14:textId="77777777" w:rsidR="00CB6A8F" w:rsidRPr="00B95B4E" w:rsidRDefault="00CB6A8F" w:rsidP="00CB6A8F">
      <w:pPr>
        <w:rPr>
          <w:rFonts w:cs="Arial"/>
          <w:lang w:val="es-ES_tradnl"/>
        </w:rPr>
      </w:pPr>
    </w:p>
    <w:p w14:paraId="2390062D" w14:textId="1D56FA68" w:rsidR="00CB6A8F" w:rsidRPr="00B95B4E" w:rsidRDefault="00027BE9" w:rsidP="00CB6A8F">
      <w:pPr>
        <w:rPr>
          <w:rFonts w:cs="Arial"/>
          <w:lang w:val="es-ES_tradnl"/>
        </w:rPr>
      </w:pPr>
      <w:r w:rsidRPr="00B95B4E">
        <w:rPr>
          <w:rFonts w:cs="Arial"/>
          <w:lang w:val="es-ES_tradnl"/>
        </w:rPr>
        <w:t>8</w:t>
      </w:r>
      <w:r w:rsidR="00CB6A8F" w:rsidRPr="00B95B4E">
        <w:rPr>
          <w:rFonts w:cs="Arial"/>
          <w:lang w:val="es-ES_tradnl"/>
        </w:rPr>
        <w:t>.</w:t>
      </w:r>
      <w:r w:rsidR="00CB6A8F" w:rsidRPr="00B95B4E">
        <w:rPr>
          <w:rFonts w:cs="Arial"/>
          <w:lang w:val="es-ES_tradnl"/>
        </w:rPr>
        <w:tab/>
      </w:r>
      <w:r w:rsidR="00536465" w:rsidRPr="00B95B4E">
        <w:rPr>
          <w:rFonts w:cs="Arial"/>
          <w:lang w:val="es-ES_tradnl"/>
        </w:rPr>
        <w:t>AGRADECIENDO la labor del Comité Permanente y de su grupo de trabajo sobre la estrategia lingüística por su trabajo respecto a la elaboración de una estrategia lingüística para la Convención</w:t>
      </w:r>
      <w:r w:rsidR="00CB6A8F" w:rsidRPr="00B95B4E">
        <w:rPr>
          <w:rFonts w:cs="Arial"/>
          <w:lang w:val="es-ES_tradnl"/>
        </w:rPr>
        <w:t>;</w:t>
      </w:r>
    </w:p>
    <w:p w14:paraId="6749C07D" w14:textId="77777777" w:rsidR="007F0985" w:rsidRPr="00B95B4E" w:rsidRDefault="007F0985" w:rsidP="007F0985">
      <w:pPr>
        <w:suppressAutoHyphens/>
        <w:ind w:left="426" w:hanging="426"/>
        <w:rPr>
          <w:rFonts w:asciiTheme="minorHAnsi" w:hAnsiTheme="minorHAnsi"/>
          <w:lang w:val="es-ES_tradnl"/>
        </w:rPr>
      </w:pPr>
    </w:p>
    <w:p w14:paraId="136A7AF1" w14:textId="3612F123" w:rsidR="00413599" w:rsidRPr="00B95B4E" w:rsidRDefault="00536465" w:rsidP="00815C52">
      <w:pPr>
        <w:keepNext/>
        <w:jc w:val="center"/>
        <w:rPr>
          <w:rFonts w:cs="Arial"/>
          <w:lang w:val="es-ES_tradnl"/>
        </w:rPr>
      </w:pPr>
      <w:r w:rsidRPr="00B95B4E">
        <w:rPr>
          <w:rFonts w:cs="Arial"/>
          <w:lang w:val="es-ES_tradnl"/>
        </w:rPr>
        <w:t>LA CONFERENCIA DE LAS PARTES CONTRATANTES</w:t>
      </w:r>
    </w:p>
    <w:p w14:paraId="76FB28DE" w14:textId="77777777" w:rsidR="00413599" w:rsidRPr="00B95B4E" w:rsidRDefault="00413599" w:rsidP="00815C52">
      <w:pPr>
        <w:keepNext/>
        <w:rPr>
          <w:rFonts w:cs="Arial"/>
          <w:lang w:val="es-ES_tradnl"/>
        </w:rPr>
      </w:pPr>
    </w:p>
    <w:p w14:paraId="1C5BCB21" w14:textId="4715733C" w:rsidR="003B7EF8" w:rsidRPr="00B95B4E" w:rsidRDefault="00413599" w:rsidP="00880240">
      <w:pPr>
        <w:rPr>
          <w:rFonts w:cs="Arial"/>
          <w:lang w:val="es-ES_tradnl"/>
        </w:rPr>
      </w:pPr>
      <w:r w:rsidRPr="00B95B4E">
        <w:rPr>
          <w:rFonts w:cs="Arial"/>
          <w:lang w:val="es-ES_tradnl"/>
        </w:rPr>
        <w:t>9</w:t>
      </w:r>
      <w:r w:rsidR="00880240" w:rsidRPr="00B95B4E">
        <w:rPr>
          <w:rFonts w:cs="Arial"/>
          <w:lang w:val="es-ES_tradnl"/>
        </w:rPr>
        <w:t>.</w:t>
      </w:r>
      <w:r w:rsidR="00880240" w:rsidRPr="00B95B4E">
        <w:rPr>
          <w:rFonts w:cs="Arial"/>
          <w:lang w:val="es-ES_tradnl"/>
        </w:rPr>
        <w:tab/>
      </w:r>
      <w:r w:rsidR="00536465" w:rsidRPr="00B95B4E">
        <w:rPr>
          <w:rFonts w:cs="Arial"/>
          <w:lang w:val="es-ES_tradnl"/>
        </w:rPr>
        <w:t xml:space="preserve">ADOPTA la Estrategia lingüística </w:t>
      </w:r>
      <w:r w:rsidR="007E266F" w:rsidRPr="00B95B4E">
        <w:rPr>
          <w:rFonts w:cs="Arial"/>
          <w:lang w:val="es-ES_tradnl"/>
        </w:rPr>
        <w:t>de</w:t>
      </w:r>
      <w:r w:rsidR="00536465" w:rsidRPr="00B95B4E">
        <w:rPr>
          <w:rFonts w:cs="Arial"/>
          <w:lang w:val="es-ES_tradnl"/>
        </w:rPr>
        <w:t xml:space="preserve"> la Convención de Ramsar sobre los Humedales presentada en el Anexo 1</w:t>
      </w:r>
      <w:r w:rsidR="003B7EF8" w:rsidRPr="00B95B4E">
        <w:rPr>
          <w:rFonts w:cs="Arial"/>
          <w:lang w:val="es-ES_tradnl"/>
        </w:rPr>
        <w:t>;</w:t>
      </w:r>
    </w:p>
    <w:p w14:paraId="088C7BD8" w14:textId="77777777" w:rsidR="003B7EF8" w:rsidRPr="00B95B4E" w:rsidRDefault="003B7EF8" w:rsidP="00880240">
      <w:pPr>
        <w:rPr>
          <w:rFonts w:cs="Arial"/>
          <w:lang w:val="es-ES_tradnl"/>
        </w:rPr>
      </w:pPr>
    </w:p>
    <w:p w14:paraId="1077D28E" w14:textId="375B7321" w:rsidR="003B7EF8" w:rsidRPr="00B95B4E" w:rsidRDefault="00413599" w:rsidP="003B7EF8">
      <w:pPr>
        <w:rPr>
          <w:rFonts w:cs="Arial"/>
          <w:lang w:val="es-ES_tradnl"/>
        </w:rPr>
      </w:pPr>
      <w:r w:rsidRPr="00B95B4E">
        <w:rPr>
          <w:rFonts w:cs="Arial"/>
          <w:lang w:val="es-ES_tradnl"/>
        </w:rPr>
        <w:t>10</w:t>
      </w:r>
      <w:r w:rsidR="003B7EF8" w:rsidRPr="00B95B4E">
        <w:rPr>
          <w:rFonts w:cs="Arial"/>
          <w:lang w:val="es-ES_tradnl"/>
        </w:rPr>
        <w:t>.</w:t>
      </w:r>
      <w:r w:rsidR="003B7EF8" w:rsidRPr="00B95B4E">
        <w:rPr>
          <w:rFonts w:cs="Arial"/>
          <w:lang w:val="es-ES_tradnl"/>
        </w:rPr>
        <w:tab/>
      </w:r>
      <w:r w:rsidR="00BB4980" w:rsidRPr="00B95B4E">
        <w:rPr>
          <w:rFonts w:asciiTheme="minorHAnsi" w:hAnsiTheme="minorHAnsi" w:cstheme="minorHAnsi"/>
          <w:bCs/>
          <w:lang w:val="es-ES_tradnl"/>
        </w:rPr>
        <w:t>ALIENTA a las Partes Contratantes a que se encarguen de traducir los</w:t>
      </w:r>
      <w:r w:rsidR="00BB4980" w:rsidRPr="00B95B4E">
        <w:rPr>
          <w:rFonts w:asciiTheme="minorHAnsi" w:eastAsia="Times New Roman" w:hAnsiTheme="minorHAnsi" w:cstheme="minorHAnsi"/>
          <w:bCs/>
          <w:lang w:val="es-ES_tradnl" w:eastAsia="en-GB"/>
        </w:rPr>
        <w:t xml:space="preserve"> </w:t>
      </w:r>
      <w:r w:rsidR="00BB4980" w:rsidRPr="00B95B4E">
        <w:rPr>
          <w:rFonts w:asciiTheme="minorHAnsi" w:hAnsiTheme="minorHAnsi" w:cstheme="minorHAnsi"/>
          <w:bCs/>
          <w:lang w:val="es-ES_tradnl"/>
        </w:rPr>
        <w:t>documentos informativos más importantes de Ramsar a sus propios idiomas oficiales para ponerl</w:t>
      </w:r>
      <w:r w:rsidR="000C5059" w:rsidRPr="00B95B4E">
        <w:rPr>
          <w:rFonts w:asciiTheme="minorHAnsi" w:hAnsiTheme="minorHAnsi" w:cstheme="minorHAnsi"/>
          <w:bCs/>
          <w:lang w:val="es-ES_tradnl"/>
        </w:rPr>
        <w:t>o</w:t>
      </w:r>
      <w:r w:rsidR="00BB4980" w:rsidRPr="00B95B4E">
        <w:rPr>
          <w:rFonts w:asciiTheme="minorHAnsi" w:hAnsiTheme="minorHAnsi" w:cstheme="minorHAnsi"/>
          <w:bCs/>
          <w:lang w:val="es-ES_tradnl"/>
        </w:rPr>
        <w:t xml:space="preserve">s a disposición del público en </w:t>
      </w:r>
      <w:r w:rsidR="000C5059" w:rsidRPr="00B95B4E">
        <w:rPr>
          <w:rFonts w:asciiTheme="minorHAnsi" w:hAnsiTheme="minorHAnsi" w:cstheme="minorHAnsi"/>
          <w:bCs/>
          <w:lang w:val="es-ES_tradnl"/>
        </w:rPr>
        <w:t xml:space="preserve">sus </w:t>
      </w:r>
      <w:r w:rsidR="00BB4980" w:rsidRPr="00B95B4E">
        <w:rPr>
          <w:rFonts w:asciiTheme="minorHAnsi" w:hAnsiTheme="minorHAnsi" w:cstheme="minorHAnsi"/>
          <w:bCs/>
          <w:lang w:val="es-ES_tradnl"/>
        </w:rPr>
        <w:t>sitio</w:t>
      </w:r>
      <w:r w:rsidR="000C5059" w:rsidRPr="00B95B4E">
        <w:rPr>
          <w:rFonts w:asciiTheme="minorHAnsi" w:hAnsiTheme="minorHAnsi" w:cstheme="minorHAnsi"/>
          <w:bCs/>
          <w:lang w:val="es-ES_tradnl"/>
        </w:rPr>
        <w:t>s</w:t>
      </w:r>
      <w:r w:rsidR="00BB4980" w:rsidRPr="00B95B4E">
        <w:rPr>
          <w:rFonts w:asciiTheme="minorHAnsi" w:hAnsiTheme="minorHAnsi" w:cstheme="minorHAnsi"/>
          <w:bCs/>
          <w:lang w:val="es-ES_tradnl"/>
        </w:rPr>
        <w:t xml:space="preserve"> web </w:t>
      </w:r>
      <w:r w:rsidR="000C5059" w:rsidRPr="00B95B4E">
        <w:rPr>
          <w:rFonts w:asciiTheme="minorHAnsi" w:hAnsiTheme="minorHAnsi" w:cstheme="minorHAnsi"/>
          <w:bCs/>
          <w:lang w:val="es-ES_tradnl"/>
        </w:rPr>
        <w:t xml:space="preserve">nacionales </w:t>
      </w:r>
      <w:r w:rsidR="00BB4980" w:rsidRPr="00B95B4E">
        <w:rPr>
          <w:rFonts w:asciiTheme="minorHAnsi" w:hAnsiTheme="minorHAnsi" w:cstheme="minorHAnsi"/>
          <w:bCs/>
          <w:lang w:val="es-ES_tradnl"/>
        </w:rPr>
        <w:t>de Ramsar</w:t>
      </w:r>
      <w:r w:rsidR="000C5059" w:rsidRPr="00B95B4E">
        <w:rPr>
          <w:rFonts w:asciiTheme="minorHAnsi" w:hAnsiTheme="minorHAnsi" w:cstheme="minorHAnsi"/>
          <w:bCs/>
          <w:lang w:val="es-ES_tradnl"/>
        </w:rPr>
        <w:t xml:space="preserve">, </w:t>
      </w:r>
      <w:r w:rsidR="00DD6A3C" w:rsidRPr="00B95B4E">
        <w:rPr>
          <w:rFonts w:asciiTheme="minorHAnsi" w:hAnsiTheme="minorHAnsi" w:cstheme="minorHAnsi"/>
          <w:bCs/>
          <w:lang w:val="es-ES_tradnl"/>
        </w:rPr>
        <w:t>y la</w:t>
      </w:r>
      <w:r w:rsidR="008E2292" w:rsidRPr="00B95B4E">
        <w:rPr>
          <w:rFonts w:cs="Arial"/>
          <w:lang w:val="es-ES"/>
        </w:rPr>
        <w:t xml:space="preserve">s </w:t>
      </w:r>
      <w:r w:rsidR="00DD6A3C" w:rsidRPr="00B95B4E">
        <w:rPr>
          <w:rFonts w:cs="Arial"/>
          <w:lang w:val="es-ES"/>
        </w:rPr>
        <w:t>ALIENTA a remitir a la Secretaría</w:t>
      </w:r>
      <w:r w:rsidR="003077BD" w:rsidRPr="00B95B4E">
        <w:rPr>
          <w:rFonts w:cs="Arial"/>
          <w:lang w:val="es-ES"/>
        </w:rPr>
        <w:t xml:space="preserve"> traducidos</w:t>
      </w:r>
      <w:r w:rsidR="00DD6A3C" w:rsidRPr="00B95B4E">
        <w:rPr>
          <w:rFonts w:cs="Arial"/>
          <w:lang w:val="es-ES"/>
        </w:rPr>
        <w:t xml:space="preserve"> los documentos de Ramsar de mayor pertinencia para otras Partes Contratantes;</w:t>
      </w:r>
    </w:p>
    <w:p w14:paraId="5FD55731" w14:textId="77777777" w:rsidR="003B7EF8" w:rsidRPr="00B95B4E" w:rsidRDefault="003B7EF8" w:rsidP="003B7EF8">
      <w:pPr>
        <w:rPr>
          <w:rFonts w:cs="Arial"/>
          <w:lang w:val="es-ES_tradnl"/>
        </w:rPr>
      </w:pPr>
    </w:p>
    <w:p w14:paraId="167EE931" w14:textId="30CA9E6C" w:rsidR="003B7EF8" w:rsidRPr="00B95B4E" w:rsidRDefault="00413599" w:rsidP="003B7EF8">
      <w:pPr>
        <w:rPr>
          <w:rFonts w:cs="Arial"/>
          <w:lang w:val="es-ES_tradnl"/>
        </w:rPr>
      </w:pPr>
      <w:r w:rsidRPr="00B95B4E">
        <w:rPr>
          <w:rFonts w:cs="Arial"/>
          <w:lang w:val="es-ES_tradnl"/>
        </w:rPr>
        <w:t>11</w:t>
      </w:r>
      <w:r w:rsidR="003B7EF8" w:rsidRPr="00B95B4E">
        <w:rPr>
          <w:rFonts w:cs="Arial"/>
          <w:lang w:val="es-ES_tradnl"/>
        </w:rPr>
        <w:t>.</w:t>
      </w:r>
      <w:r w:rsidR="003B7EF8" w:rsidRPr="00B95B4E">
        <w:rPr>
          <w:rFonts w:cs="Arial"/>
          <w:lang w:val="es-ES_tradnl"/>
        </w:rPr>
        <w:tab/>
      </w:r>
      <w:r w:rsidR="00BB4980" w:rsidRPr="00B95B4E">
        <w:rPr>
          <w:rFonts w:asciiTheme="minorHAnsi" w:hAnsiTheme="minorHAnsi" w:cstheme="minorHAnsi"/>
          <w:bCs/>
          <w:lang w:val="es-ES_tradnl"/>
        </w:rPr>
        <w:t xml:space="preserve">ENCARGA a la Secretaría que, con sujeción a la disponibilidad de recursos y con la asistencia de las Partes Contratantes y los Centros Regionales de Ramsar </w:t>
      </w:r>
      <w:r w:rsidR="00DD6A3C" w:rsidRPr="00B95B4E">
        <w:rPr>
          <w:rFonts w:asciiTheme="minorHAnsi" w:hAnsiTheme="minorHAnsi" w:cstheme="minorHAnsi"/>
          <w:bCs/>
          <w:lang w:val="es-ES_tradnl"/>
        </w:rPr>
        <w:t>y de otras entidades que proceda</w:t>
      </w:r>
      <w:r w:rsidR="003077BD" w:rsidRPr="00B95B4E">
        <w:rPr>
          <w:rFonts w:asciiTheme="minorHAnsi" w:hAnsiTheme="minorHAnsi" w:cstheme="minorHAnsi"/>
          <w:bCs/>
          <w:lang w:val="es-ES_tradnl"/>
        </w:rPr>
        <w:t>,</w:t>
      </w:r>
      <w:r w:rsidR="00DD6A3C" w:rsidRPr="00B95B4E">
        <w:rPr>
          <w:rFonts w:asciiTheme="minorHAnsi" w:hAnsiTheme="minorHAnsi" w:cstheme="minorHAnsi"/>
          <w:bCs/>
          <w:lang w:val="es-ES_tradnl"/>
        </w:rPr>
        <w:t xml:space="preserve"> aplique un mecanismo eficaz en función de los costos para hacer que los documentos de Ramsar traducidos de mayor pertinencia para las Partes Contratantes puedan consultarse en el sitio web de la Convención</w:t>
      </w:r>
      <w:r w:rsidR="003B7EF8" w:rsidRPr="00B95B4E">
        <w:rPr>
          <w:rFonts w:cs="Arial"/>
          <w:lang w:val="es-ES_tradnl"/>
        </w:rPr>
        <w:t>;</w:t>
      </w:r>
      <w:r w:rsidR="00815C52" w:rsidRPr="00B95B4E">
        <w:rPr>
          <w:rFonts w:cs="Arial"/>
          <w:lang w:val="es-ES_tradnl"/>
        </w:rPr>
        <w:t xml:space="preserve"> </w:t>
      </w:r>
      <w:r w:rsidR="00BB4980" w:rsidRPr="00B95B4E">
        <w:rPr>
          <w:rFonts w:cs="Arial"/>
          <w:lang w:val="es-ES_tradnl"/>
        </w:rPr>
        <w:t>y</w:t>
      </w:r>
    </w:p>
    <w:p w14:paraId="1DC4AFFB" w14:textId="77777777" w:rsidR="00815C52" w:rsidRPr="00B95B4E" w:rsidRDefault="00815C52" w:rsidP="003B7EF8">
      <w:pPr>
        <w:rPr>
          <w:rFonts w:cs="Arial"/>
          <w:lang w:val="es-ES_tradnl"/>
        </w:rPr>
      </w:pPr>
    </w:p>
    <w:p w14:paraId="1D9FE5FC" w14:textId="4D3D2B95" w:rsidR="00815C52" w:rsidRPr="00B95B4E" w:rsidRDefault="00815C52" w:rsidP="0003727D">
      <w:pPr>
        <w:rPr>
          <w:lang w:val="es-ES_tradnl"/>
        </w:rPr>
      </w:pPr>
      <w:r w:rsidRPr="00B95B4E">
        <w:rPr>
          <w:rFonts w:cs="Arial"/>
          <w:lang w:val="es-ES_tradnl"/>
        </w:rPr>
        <w:t>12.</w:t>
      </w:r>
      <w:r w:rsidRPr="00B95B4E">
        <w:rPr>
          <w:rFonts w:cs="Arial"/>
          <w:lang w:val="es-ES_tradnl"/>
        </w:rPr>
        <w:tab/>
      </w:r>
      <w:r w:rsidR="00BB4980" w:rsidRPr="00B95B4E">
        <w:rPr>
          <w:rFonts w:cs="Arial"/>
          <w:lang w:val="es-ES_tradnl"/>
        </w:rPr>
        <w:t>DEROGA los párrafos</w:t>
      </w:r>
      <w:r w:rsidRPr="00B95B4E">
        <w:rPr>
          <w:rFonts w:cs="Arial"/>
          <w:lang w:val="es-ES_tradnl"/>
        </w:rPr>
        <w:t xml:space="preserve"> </w:t>
      </w:r>
      <w:r w:rsidR="006659EA" w:rsidRPr="00B95B4E">
        <w:rPr>
          <w:rFonts w:cs="Arial"/>
          <w:lang w:val="es-ES_tradnl"/>
        </w:rPr>
        <w:t>6</w:t>
      </w:r>
      <w:r w:rsidR="006659EA" w:rsidRPr="00B95B4E">
        <w:rPr>
          <w:lang w:val="es-ES_tradnl"/>
        </w:rPr>
        <w:t xml:space="preserve"> </w:t>
      </w:r>
      <w:r w:rsidR="00BB4980" w:rsidRPr="00B95B4E">
        <w:rPr>
          <w:lang w:val="es-ES_tradnl"/>
        </w:rPr>
        <w:t>a</w:t>
      </w:r>
      <w:r w:rsidR="006659EA" w:rsidRPr="00B95B4E">
        <w:rPr>
          <w:lang w:val="es-ES_tradnl"/>
        </w:rPr>
        <w:t xml:space="preserve"> </w:t>
      </w:r>
      <w:r w:rsidR="006659EA" w:rsidRPr="00B95B4E">
        <w:rPr>
          <w:rFonts w:cs="Arial"/>
          <w:lang w:val="es-ES_tradnl"/>
        </w:rPr>
        <w:t xml:space="preserve">11 </w:t>
      </w:r>
      <w:r w:rsidR="00BB4980" w:rsidRPr="00B95B4E">
        <w:rPr>
          <w:rFonts w:cs="Arial"/>
          <w:lang w:val="es-ES_tradnl"/>
        </w:rPr>
        <w:t>y</w:t>
      </w:r>
      <w:r w:rsidR="006659EA" w:rsidRPr="00B95B4E">
        <w:rPr>
          <w:rFonts w:cs="Arial"/>
          <w:lang w:val="es-ES_tradnl"/>
        </w:rPr>
        <w:t xml:space="preserve"> 26 </w:t>
      </w:r>
      <w:r w:rsidR="00BB4980" w:rsidRPr="00B95B4E">
        <w:rPr>
          <w:rFonts w:cs="Arial"/>
          <w:lang w:val="es-ES_tradnl"/>
        </w:rPr>
        <w:t>a</w:t>
      </w:r>
      <w:r w:rsidR="006659EA" w:rsidRPr="00B95B4E">
        <w:rPr>
          <w:rFonts w:cs="Arial"/>
          <w:lang w:val="es-ES_tradnl"/>
        </w:rPr>
        <w:t xml:space="preserve"> 31 </w:t>
      </w:r>
      <w:r w:rsidR="00BB4980" w:rsidRPr="00B95B4E">
        <w:rPr>
          <w:rFonts w:cs="Arial"/>
          <w:lang w:val="es-ES_tradnl"/>
        </w:rPr>
        <w:t xml:space="preserve">de la Resolución </w:t>
      </w:r>
      <w:r w:rsidRPr="00B95B4E">
        <w:rPr>
          <w:rFonts w:cs="Arial"/>
          <w:lang w:val="es-ES_tradnl"/>
        </w:rPr>
        <w:t>XII.3</w:t>
      </w:r>
      <w:r w:rsidR="006F2488" w:rsidRPr="00B95B4E">
        <w:rPr>
          <w:rFonts w:cs="Arial"/>
          <w:lang w:val="es-ES_tradnl"/>
        </w:rPr>
        <w:t xml:space="preserve"> sobre</w:t>
      </w:r>
      <w:r w:rsidR="00BB4980" w:rsidRPr="00B95B4E">
        <w:rPr>
          <w:rFonts w:cs="Arial"/>
          <w:lang w:val="es-ES_tradnl"/>
        </w:rPr>
        <w:t xml:space="preserve"> </w:t>
      </w:r>
      <w:r w:rsidR="006F2488" w:rsidRPr="00B95B4E">
        <w:rPr>
          <w:rFonts w:cs="Arial"/>
          <w:lang w:val="es-ES_tradnl"/>
        </w:rPr>
        <w:t xml:space="preserve">la </w:t>
      </w:r>
      <w:r w:rsidR="00BB4980" w:rsidRPr="00B95B4E">
        <w:rPr>
          <w:rFonts w:cs="Arial"/>
          <w:i/>
          <w:lang w:val="es-ES_tradnl"/>
        </w:rPr>
        <w:t xml:space="preserve">Mejora de los </w:t>
      </w:r>
      <w:r w:rsidR="00D94856" w:rsidRPr="00B95B4E">
        <w:rPr>
          <w:rFonts w:cs="Arial"/>
          <w:i/>
          <w:lang w:val="es-ES_tradnl"/>
        </w:rPr>
        <w:t>idiomas</w:t>
      </w:r>
      <w:r w:rsidR="00BB4980" w:rsidRPr="00B95B4E">
        <w:rPr>
          <w:rFonts w:cs="Arial"/>
          <w:i/>
          <w:lang w:val="es-ES_tradnl"/>
        </w:rPr>
        <w:t xml:space="preserve">, la visibilidad y la envergadura de la Convención, y de las sinergias con otros acuerdos multilaterales sobre el medio ambiente y otras instituciones </w:t>
      </w:r>
      <w:r w:rsidR="007E266F" w:rsidRPr="00B95B4E">
        <w:rPr>
          <w:rFonts w:cs="Arial"/>
          <w:i/>
          <w:lang w:val="es-ES_tradnl"/>
        </w:rPr>
        <w:t>internacionales</w:t>
      </w:r>
      <w:r w:rsidR="00BB4980" w:rsidRPr="00B95B4E">
        <w:rPr>
          <w:rFonts w:cs="Arial"/>
          <w:lang w:val="es-ES_tradnl"/>
        </w:rPr>
        <w:t xml:space="preserve"> y </w:t>
      </w:r>
      <w:r w:rsidR="00D94856" w:rsidRPr="00B95B4E">
        <w:rPr>
          <w:rFonts w:cs="Arial"/>
          <w:lang w:val="es-ES_tradnl"/>
        </w:rPr>
        <w:t xml:space="preserve">ENMIENDA el </w:t>
      </w:r>
      <w:r w:rsidR="00BB4980" w:rsidRPr="00B95B4E">
        <w:rPr>
          <w:rFonts w:cs="Arial"/>
          <w:lang w:val="es-ES_tradnl"/>
        </w:rPr>
        <w:t xml:space="preserve">título </w:t>
      </w:r>
      <w:r w:rsidR="00D94856" w:rsidRPr="00B95B4E">
        <w:rPr>
          <w:rFonts w:cs="Arial"/>
          <w:lang w:val="es-ES_tradnl"/>
        </w:rPr>
        <w:t xml:space="preserve">de esta </w:t>
      </w:r>
      <w:r w:rsidR="00BB4980" w:rsidRPr="00B95B4E">
        <w:rPr>
          <w:rFonts w:cs="Arial"/>
          <w:lang w:val="es-ES_tradnl"/>
        </w:rPr>
        <w:t xml:space="preserve">para que rece así: </w:t>
      </w:r>
      <w:r w:rsidR="00266629" w:rsidRPr="00B95B4E">
        <w:rPr>
          <w:rFonts w:cs="Arial"/>
          <w:lang w:val="es-ES_tradnl"/>
        </w:rPr>
        <w:t>“</w:t>
      </w:r>
      <w:r w:rsidR="00D94856" w:rsidRPr="00B95B4E">
        <w:rPr>
          <w:rFonts w:cs="Arial"/>
          <w:lang w:val="es-ES_tradnl"/>
        </w:rPr>
        <w:t>Mejora de la visibilidad y la envergadura de la Convención y de las sinergias con otros acuerdos multilaterales sobre el medio ambiente y otras instituciones internacionales</w:t>
      </w:r>
      <w:r w:rsidR="00266629" w:rsidRPr="00B95B4E">
        <w:rPr>
          <w:rFonts w:cs="Arial"/>
          <w:lang w:val="es-ES_tradnl"/>
        </w:rPr>
        <w:t>”</w:t>
      </w:r>
      <w:r w:rsidR="006659EA" w:rsidRPr="00B95B4E">
        <w:rPr>
          <w:rFonts w:cs="Arial"/>
          <w:lang w:val="es-ES_tradnl"/>
        </w:rPr>
        <w:t>.</w:t>
      </w:r>
      <w:r w:rsidR="00F714FC" w:rsidRPr="00B95B4E">
        <w:rPr>
          <w:rFonts w:cs="Arial"/>
          <w:lang w:val="es-ES_tradnl"/>
        </w:rPr>
        <w:t xml:space="preserve"> </w:t>
      </w:r>
    </w:p>
    <w:p w14:paraId="1A46B80F" w14:textId="77777777" w:rsidR="00413599" w:rsidRPr="00B95B4E" w:rsidRDefault="00413599" w:rsidP="003B7EF8">
      <w:pPr>
        <w:rPr>
          <w:rFonts w:cs="Arial"/>
          <w:lang w:val="es-ES_tradnl"/>
        </w:rPr>
      </w:pPr>
    </w:p>
    <w:p w14:paraId="260FE42D" w14:textId="77777777" w:rsidR="00413599" w:rsidRPr="00B95B4E" w:rsidRDefault="00413599" w:rsidP="003B7EF8">
      <w:pPr>
        <w:rPr>
          <w:rFonts w:cs="Arial"/>
          <w:lang w:val="es-ES_tradnl"/>
        </w:rPr>
      </w:pPr>
    </w:p>
    <w:p w14:paraId="4AB16C30" w14:textId="77777777" w:rsidR="00413599" w:rsidRPr="00B95B4E" w:rsidRDefault="00413599">
      <w:pPr>
        <w:rPr>
          <w:rFonts w:cs="Arial"/>
          <w:lang w:val="es-ES_tradnl"/>
        </w:rPr>
      </w:pPr>
      <w:r w:rsidRPr="00B95B4E">
        <w:rPr>
          <w:rFonts w:cs="Arial"/>
          <w:lang w:val="es-ES_tradnl"/>
        </w:rPr>
        <w:br w:type="page"/>
      </w:r>
    </w:p>
    <w:p w14:paraId="13903F1D" w14:textId="77777777" w:rsidR="00413599" w:rsidRPr="00B95B4E" w:rsidRDefault="00413599" w:rsidP="003B7EF8">
      <w:pPr>
        <w:rPr>
          <w:rFonts w:cs="Arial"/>
          <w:lang w:val="es-ES_tradnl"/>
        </w:rPr>
      </w:pPr>
    </w:p>
    <w:p w14:paraId="1FD1EE90" w14:textId="3AE35DC6" w:rsidR="003B7EF8" w:rsidRPr="00B95B4E" w:rsidRDefault="00C01BCF" w:rsidP="00266629">
      <w:pPr>
        <w:rPr>
          <w:rFonts w:cs="Arial"/>
          <w:b/>
          <w:sz w:val="24"/>
          <w:szCs w:val="24"/>
          <w:lang w:val="es-ES_tradnl"/>
        </w:rPr>
      </w:pPr>
      <w:bookmarkStart w:id="3" w:name="_Hlk528400570"/>
      <w:r w:rsidRPr="00B95B4E">
        <w:rPr>
          <w:b/>
          <w:sz w:val="24"/>
          <w:lang w:val="es-ES_tradnl"/>
        </w:rPr>
        <w:t>An</w:t>
      </w:r>
      <w:r w:rsidR="00BB4980" w:rsidRPr="00B95B4E">
        <w:rPr>
          <w:b/>
          <w:sz w:val="24"/>
          <w:lang w:val="es-ES_tradnl"/>
        </w:rPr>
        <w:t>exo</w:t>
      </w:r>
      <w:r w:rsidRPr="00B95B4E">
        <w:rPr>
          <w:b/>
          <w:sz w:val="24"/>
          <w:lang w:val="es-ES_tradnl"/>
        </w:rPr>
        <w:t xml:space="preserve"> 1</w:t>
      </w:r>
    </w:p>
    <w:p w14:paraId="53B9D889" w14:textId="77777777" w:rsidR="003B7EF8" w:rsidRPr="00B95B4E" w:rsidRDefault="003B7EF8" w:rsidP="00880240">
      <w:pPr>
        <w:rPr>
          <w:b/>
          <w:sz w:val="24"/>
          <w:lang w:val="es-ES_tradnl"/>
        </w:rPr>
      </w:pPr>
    </w:p>
    <w:p w14:paraId="1BB4F1E3" w14:textId="20558091" w:rsidR="00A12C27" w:rsidRPr="00B95B4E" w:rsidRDefault="00BB4980" w:rsidP="0003727D">
      <w:pPr>
        <w:ind w:left="0" w:firstLine="0"/>
        <w:rPr>
          <w:b/>
          <w:sz w:val="24"/>
          <w:lang w:val="es-ES_tradnl"/>
        </w:rPr>
      </w:pPr>
      <w:r w:rsidRPr="00B95B4E">
        <w:rPr>
          <w:b/>
          <w:sz w:val="24"/>
          <w:lang w:val="es-ES_tradnl"/>
        </w:rPr>
        <w:t xml:space="preserve">Estrategia lingüística </w:t>
      </w:r>
      <w:r w:rsidR="007E266F" w:rsidRPr="00B95B4E">
        <w:rPr>
          <w:b/>
          <w:sz w:val="24"/>
          <w:lang w:val="es-ES_tradnl"/>
        </w:rPr>
        <w:t>de</w:t>
      </w:r>
      <w:r w:rsidRPr="00B95B4E">
        <w:rPr>
          <w:b/>
          <w:sz w:val="24"/>
          <w:lang w:val="es-ES_tradnl"/>
        </w:rPr>
        <w:t xml:space="preserve"> la Convención de Ramsar sobre los Humedales</w:t>
      </w:r>
    </w:p>
    <w:p w14:paraId="07B05D72" w14:textId="77777777" w:rsidR="0001314C" w:rsidRPr="00B95B4E" w:rsidRDefault="0001314C" w:rsidP="00880240">
      <w:pPr>
        <w:rPr>
          <w:rFonts w:cs="Arial"/>
          <w:lang w:val="es-ES_tradnl"/>
        </w:rPr>
      </w:pPr>
    </w:p>
    <w:p w14:paraId="133A6057" w14:textId="77777777" w:rsidR="00BB4980" w:rsidRPr="00B95B4E" w:rsidRDefault="00BB4980" w:rsidP="00BB4980">
      <w:pPr>
        <w:rPr>
          <w:rFonts w:cs="Arial"/>
          <w:lang w:val="es-ES_tradnl"/>
        </w:rPr>
      </w:pPr>
    </w:p>
    <w:p w14:paraId="418E9464" w14:textId="77777777" w:rsidR="00BB4980" w:rsidRPr="00B95B4E" w:rsidRDefault="00BB4980" w:rsidP="00BB4980">
      <w:pPr>
        <w:rPr>
          <w:rFonts w:cs="Arial"/>
          <w:u w:val="single"/>
          <w:lang w:val="es-ES_tradnl"/>
        </w:rPr>
      </w:pPr>
      <w:r w:rsidRPr="00B95B4E">
        <w:rPr>
          <w:rFonts w:cs="Arial"/>
          <w:u w:val="single"/>
          <w:lang w:val="es-ES_tradnl"/>
        </w:rPr>
        <w:t>Principio básico</w:t>
      </w:r>
    </w:p>
    <w:p w14:paraId="15DF8F4E" w14:textId="77777777" w:rsidR="00BB4980" w:rsidRPr="00B95B4E" w:rsidRDefault="00BB4980" w:rsidP="00BB4980">
      <w:pPr>
        <w:rPr>
          <w:rFonts w:cs="Arial"/>
          <w:lang w:val="es-ES_tradnl"/>
        </w:rPr>
      </w:pPr>
    </w:p>
    <w:p w14:paraId="251E7356" w14:textId="6862C9D8" w:rsidR="0093196A" w:rsidRPr="00B95B4E" w:rsidRDefault="00BB4980" w:rsidP="008D312E">
      <w:pPr>
        <w:ind w:left="0" w:firstLine="0"/>
        <w:rPr>
          <w:rFonts w:cs="Arial"/>
          <w:lang w:val="es-ES_tradnl"/>
        </w:rPr>
      </w:pPr>
      <w:r w:rsidRPr="00B95B4E">
        <w:rPr>
          <w:rFonts w:cs="Arial"/>
          <w:lang w:val="es-ES_tradnl"/>
        </w:rPr>
        <w:t xml:space="preserve">La Conferencia de las Partes Contratantes en la Convención de Ramsar sobre los Humedales reconoce que el uso de múltiples idiomas en la labor de la Convención, de </w:t>
      </w:r>
      <w:r w:rsidR="00DD6A3C" w:rsidRPr="00B95B4E">
        <w:rPr>
          <w:rFonts w:cs="Arial"/>
          <w:lang w:val="es-ES_tradnl"/>
        </w:rPr>
        <w:t xml:space="preserve">la Conferencia de las Partes, del Comité Permanente y de otros </w:t>
      </w:r>
      <w:r w:rsidRPr="00B95B4E">
        <w:rPr>
          <w:rFonts w:cs="Arial"/>
          <w:lang w:val="es-ES_tradnl"/>
        </w:rPr>
        <w:t xml:space="preserve">órganos </w:t>
      </w:r>
      <w:r w:rsidR="00DD6A3C" w:rsidRPr="00B95B4E">
        <w:rPr>
          <w:rFonts w:cs="Arial"/>
          <w:lang w:val="es-ES_tradnl"/>
        </w:rPr>
        <w:t xml:space="preserve">según el caso </w:t>
      </w:r>
      <w:r w:rsidR="008E2B7B" w:rsidRPr="00B95B4E">
        <w:rPr>
          <w:rFonts w:cs="Arial"/>
          <w:lang w:val="es-ES_tradnl"/>
        </w:rPr>
        <w:t xml:space="preserve">y </w:t>
      </w:r>
      <w:r w:rsidRPr="00B95B4E">
        <w:rPr>
          <w:rFonts w:cs="Arial"/>
          <w:lang w:val="es-ES_tradnl"/>
        </w:rPr>
        <w:t>de la Secretaría</w:t>
      </w:r>
      <w:r w:rsidR="008D312E" w:rsidRPr="00B95B4E">
        <w:rPr>
          <w:rFonts w:cs="Arial"/>
          <w:lang w:val="es-ES_tradnl"/>
        </w:rPr>
        <w:t xml:space="preserve">, </w:t>
      </w:r>
      <w:r w:rsidR="00F205AE" w:rsidRPr="00B95B4E">
        <w:rPr>
          <w:rFonts w:cs="Arial"/>
          <w:lang w:val="es-ES_tradnl"/>
        </w:rPr>
        <w:t>podría</w:t>
      </w:r>
      <w:r w:rsidR="0093196A" w:rsidRPr="00B95B4E">
        <w:rPr>
          <w:rFonts w:cs="Arial"/>
          <w:lang w:val="es-ES_tradnl"/>
        </w:rPr>
        <w:t>:</w:t>
      </w:r>
      <w:r w:rsidR="00DD6A3C" w:rsidRPr="00B95B4E">
        <w:rPr>
          <w:rFonts w:cs="Arial"/>
          <w:lang w:val="es-ES_tradnl"/>
        </w:rPr>
        <w:t xml:space="preserve"> </w:t>
      </w:r>
    </w:p>
    <w:p w14:paraId="16BDC62D" w14:textId="30E6525D" w:rsidR="0093196A" w:rsidRPr="00B95B4E" w:rsidRDefault="0093196A" w:rsidP="0093196A">
      <w:pPr>
        <w:pStyle w:val="ListParagraph"/>
        <w:numPr>
          <w:ilvl w:val="0"/>
          <w:numId w:val="39"/>
        </w:numPr>
        <w:rPr>
          <w:rFonts w:cs="Arial"/>
          <w:lang w:val="es-ES_tradnl"/>
        </w:rPr>
      </w:pPr>
      <w:r w:rsidRPr="00B95B4E">
        <w:rPr>
          <w:rFonts w:cs="Arial"/>
          <w:lang w:val="es-ES_tradnl"/>
        </w:rPr>
        <w:t xml:space="preserve">ayudar a las Partes a mejorar la aplicación de la Convención; </w:t>
      </w:r>
    </w:p>
    <w:p w14:paraId="74B261BE" w14:textId="0EF28D09" w:rsidR="00F52894" w:rsidRPr="00B95B4E" w:rsidRDefault="0093196A" w:rsidP="0093196A">
      <w:pPr>
        <w:pStyle w:val="ListParagraph"/>
        <w:numPr>
          <w:ilvl w:val="0"/>
          <w:numId w:val="39"/>
        </w:numPr>
        <w:rPr>
          <w:rFonts w:cs="Arial"/>
          <w:lang w:val="es-ES_tradnl"/>
        </w:rPr>
      </w:pPr>
      <w:r w:rsidRPr="00B95B4E">
        <w:rPr>
          <w:rFonts w:cs="Arial"/>
          <w:lang w:val="es-ES_tradnl"/>
        </w:rPr>
        <w:t>hacer que la Convención sea más accesible al gran público; y</w:t>
      </w:r>
    </w:p>
    <w:p w14:paraId="50640EA2" w14:textId="2062D65E" w:rsidR="00F413A2" w:rsidRPr="00B95B4E" w:rsidRDefault="00F413A2" w:rsidP="0093196A">
      <w:pPr>
        <w:pStyle w:val="ListParagraph"/>
        <w:numPr>
          <w:ilvl w:val="0"/>
          <w:numId w:val="39"/>
        </w:numPr>
        <w:rPr>
          <w:rFonts w:cs="Arial"/>
          <w:lang w:val="es-ES_tradnl"/>
        </w:rPr>
      </w:pPr>
      <w:r w:rsidRPr="00B95B4E">
        <w:rPr>
          <w:rFonts w:cs="Arial"/>
          <w:lang w:val="es-ES_tradnl"/>
        </w:rPr>
        <w:t>fomentar el interés y la participación de Estados no Parte en la Convención.</w:t>
      </w:r>
    </w:p>
    <w:p w14:paraId="3C89680C" w14:textId="59C5C693" w:rsidR="00BB4980" w:rsidRPr="00B95B4E" w:rsidRDefault="00BB4980" w:rsidP="008E2B7B">
      <w:pPr>
        <w:ind w:left="0" w:firstLine="0"/>
        <w:rPr>
          <w:rFonts w:cs="Arial"/>
          <w:lang w:val="es-ES_tradnl"/>
        </w:rPr>
      </w:pPr>
      <w:r w:rsidRPr="00B95B4E">
        <w:rPr>
          <w:rFonts w:cs="Arial"/>
          <w:lang w:val="es-ES_tradnl"/>
        </w:rPr>
        <w:t>Sin embargo, al igual que ocurre en otras convenciones, las limitaciones presupuestarias han impedido la prestación de un servicio lingüístico en los seis idiomas oficiales de las Naciones Unidas.</w:t>
      </w:r>
    </w:p>
    <w:p w14:paraId="7E695D7C" w14:textId="77777777" w:rsidR="00BB4980" w:rsidRPr="00B95B4E" w:rsidRDefault="00BB4980" w:rsidP="00BB4980">
      <w:pPr>
        <w:ind w:left="0" w:firstLine="0"/>
        <w:rPr>
          <w:rFonts w:cs="Arial"/>
          <w:lang w:val="es-ES_tradnl"/>
        </w:rPr>
      </w:pPr>
    </w:p>
    <w:p w14:paraId="2B34690A" w14:textId="77777777" w:rsidR="00BB4980" w:rsidRPr="00B95B4E" w:rsidRDefault="00BB4980" w:rsidP="00BB4980">
      <w:pPr>
        <w:ind w:left="0" w:firstLine="0"/>
        <w:rPr>
          <w:rFonts w:cs="Arial"/>
          <w:lang w:val="es-ES_tradnl"/>
        </w:rPr>
      </w:pPr>
      <w:r w:rsidRPr="00B95B4E">
        <w:rPr>
          <w:rFonts w:cs="Arial"/>
          <w:lang w:val="es-ES_tradnl"/>
        </w:rPr>
        <w:t>La Conferencia de las Partes Contratantes reconoce que los objetivos fundamentales de una estrategia lingüística son:</w:t>
      </w:r>
    </w:p>
    <w:p w14:paraId="14AE7C60" w14:textId="1A1E371F" w:rsidR="00BB4980" w:rsidRPr="00B95B4E" w:rsidRDefault="00BB4980" w:rsidP="00BB4980">
      <w:pPr>
        <w:rPr>
          <w:rFonts w:cs="Arial"/>
          <w:lang w:val="es-ES_tradnl"/>
        </w:rPr>
      </w:pPr>
      <w:r w:rsidRPr="00B95B4E">
        <w:rPr>
          <w:rFonts w:cs="Arial"/>
          <w:lang w:val="es-ES_tradnl"/>
        </w:rPr>
        <w:t>a)</w:t>
      </w:r>
      <w:r w:rsidRPr="00B95B4E">
        <w:rPr>
          <w:rFonts w:cs="Arial"/>
          <w:lang w:val="es-ES_tradnl"/>
        </w:rPr>
        <w:tab/>
      </w:r>
      <w:r w:rsidR="005630AC" w:rsidRPr="00B95B4E">
        <w:rPr>
          <w:rFonts w:cs="Arial"/>
          <w:lang w:val="es-ES_tradnl"/>
        </w:rPr>
        <w:t xml:space="preserve">disponer de </w:t>
      </w:r>
      <w:r w:rsidRPr="00B95B4E">
        <w:rPr>
          <w:rFonts w:cs="Arial"/>
          <w:lang w:val="es-ES_tradnl"/>
        </w:rPr>
        <w:t xml:space="preserve">un servicio lingüístico equitativo para los idiomas español, francés e inglés, dado que estos son los idiomas oficiales de la Convención al comienzo de la 13ª reunión de la Conferencia de las Partes; </w:t>
      </w:r>
    </w:p>
    <w:p w14:paraId="04E63D41" w14:textId="0A193E2E" w:rsidR="00BB4980" w:rsidRPr="00B95B4E" w:rsidRDefault="00BB4980" w:rsidP="00BB4980">
      <w:pPr>
        <w:rPr>
          <w:rFonts w:cs="Arial"/>
          <w:lang w:val="es-ES_tradnl"/>
        </w:rPr>
      </w:pPr>
      <w:r w:rsidRPr="00B95B4E">
        <w:rPr>
          <w:rFonts w:cs="Arial"/>
          <w:lang w:val="es-ES_tradnl"/>
        </w:rPr>
        <w:t>b)</w:t>
      </w:r>
      <w:r w:rsidRPr="00B95B4E">
        <w:rPr>
          <w:rFonts w:cs="Arial"/>
          <w:lang w:val="es-ES_tradnl"/>
        </w:rPr>
        <w:tab/>
        <w:t xml:space="preserve"> </w:t>
      </w:r>
      <w:r w:rsidR="005630AC" w:rsidRPr="00B95B4E">
        <w:rPr>
          <w:rFonts w:cs="Arial"/>
          <w:lang w:val="es-ES_tradnl"/>
        </w:rPr>
        <w:t xml:space="preserve">tender a </w:t>
      </w:r>
      <w:r w:rsidRPr="00B95B4E">
        <w:rPr>
          <w:rFonts w:cs="Arial"/>
          <w:lang w:val="es-ES_tradnl"/>
        </w:rPr>
        <w:t xml:space="preserve">la incorporación del árabe como idioma oficial. </w:t>
      </w:r>
    </w:p>
    <w:p w14:paraId="0FC899F1" w14:textId="77777777" w:rsidR="00BB4980" w:rsidRPr="00B95B4E" w:rsidRDefault="00BB4980" w:rsidP="00BB4980">
      <w:pPr>
        <w:tabs>
          <w:tab w:val="left" w:pos="397"/>
          <w:tab w:val="left" w:pos="794"/>
          <w:tab w:val="left" w:pos="1191"/>
          <w:tab w:val="left" w:pos="1588"/>
          <w:tab w:val="left" w:pos="1985"/>
        </w:tabs>
        <w:ind w:left="794" w:hanging="794"/>
        <w:rPr>
          <w:rFonts w:cs="Arial"/>
          <w:lang w:val="es-ES_tradnl"/>
        </w:rPr>
      </w:pPr>
    </w:p>
    <w:p w14:paraId="1DC6764A" w14:textId="77777777" w:rsidR="00BB4980" w:rsidRPr="00B95B4E" w:rsidRDefault="00BB4980" w:rsidP="00BB4980">
      <w:pPr>
        <w:ind w:left="0" w:firstLine="0"/>
        <w:rPr>
          <w:rFonts w:cs="Arial"/>
          <w:lang w:val="es-ES_tradnl"/>
        </w:rPr>
      </w:pPr>
      <w:r w:rsidRPr="00B95B4E">
        <w:rPr>
          <w:rFonts w:cs="Arial"/>
          <w:lang w:val="es-ES_tradnl"/>
        </w:rPr>
        <w:t>Al buscar cubrir plazas vacantes en la Secretaría, el Secretario General o la Secretaria General debería tener en cuenta las habilidades lingüísticas de los candidatos, con vistas a incrementar la capacidad de la Secretaría para comunicarse en todos los idiomas oficiales.</w:t>
      </w:r>
    </w:p>
    <w:p w14:paraId="61B4B026" w14:textId="77777777" w:rsidR="00BB4980" w:rsidRPr="00B95B4E" w:rsidRDefault="00BB4980" w:rsidP="00BB4980">
      <w:pPr>
        <w:ind w:left="0" w:firstLine="0"/>
        <w:rPr>
          <w:rFonts w:cs="Arial"/>
          <w:lang w:val="es-ES_tradnl"/>
        </w:rPr>
      </w:pPr>
    </w:p>
    <w:p w14:paraId="6BD695A4" w14:textId="05732F20" w:rsidR="00BB4980" w:rsidRPr="00B95B4E" w:rsidRDefault="00BB4980" w:rsidP="00BB4980">
      <w:pPr>
        <w:ind w:left="0" w:firstLine="0"/>
        <w:rPr>
          <w:rFonts w:cs="Arial"/>
          <w:lang w:val="es-ES_tradnl"/>
        </w:rPr>
      </w:pPr>
      <w:r w:rsidRPr="00B95B4E">
        <w:rPr>
          <w:rFonts w:cs="Arial"/>
          <w:lang w:val="es-ES_tradnl"/>
        </w:rPr>
        <w:t xml:space="preserve">El costo de la traducción de documentación no oficial proveniente de proyectos o de actividades con financiación externa también debería sufragarse mediante </w:t>
      </w:r>
      <w:r w:rsidR="005630AC" w:rsidRPr="00B95B4E">
        <w:rPr>
          <w:rFonts w:cs="Arial"/>
          <w:lang w:val="es-ES_tradnl"/>
        </w:rPr>
        <w:t xml:space="preserve"> contribuciones voluntarias complementarias</w:t>
      </w:r>
      <w:r w:rsidRPr="00B95B4E">
        <w:rPr>
          <w:rFonts w:cs="Arial"/>
          <w:lang w:val="es-ES_tradnl"/>
        </w:rPr>
        <w:t>, a menos que la Conferencia de las Partes o el Comité Permanente especifiquen lo contrario.</w:t>
      </w:r>
      <w:bookmarkEnd w:id="3"/>
    </w:p>
    <w:p w14:paraId="2237ADBD" w14:textId="77777777" w:rsidR="00BB4980" w:rsidRPr="00B95B4E" w:rsidRDefault="00BB4980" w:rsidP="00BB4980">
      <w:pPr>
        <w:tabs>
          <w:tab w:val="left" w:pos="397"/>
          <w:tab w:val="left" w:pos="794"/>
          <w:tab w:val="left" w:pos="1191"/>
          <w:tab w:val="left" w:pos="1588"/>
          <w:tab w:val="left" w:pos="1985"/>
        </w:tabs>
        <w:ind w:left="794" w:hanging="794"/>
        <w:rPr>
          <w:rFonts w:cs="Arial"/>
          <w:lang w:val="es-ES_tradnl"/>
        </w:rPr>
      </w:pPr>
    </w:p>
    <w:p w14:paraId="4D10FA8F" w14:textId="77777777" w:rsidR="00BB4980" w:rsidRPr="00B95B4E" w:rsidRDefault="00BB4980" w:rsidP="00BB4980">
      <w:pPr>
        <w:rPr>
          <w:rFonts w:cs="Arial"/>
          <w:u w:val="single"/>
          <w:lang w:val="es-ES_tradnl"/>
        </w:rPr>
      </w:pPr>
      <w:bookmarkStart w:id="4" w:name="_Hlk528401091"/>
      <w:r w:rsidRPr="00B95B4E">
        <w:rPr>
          <w:rFonts w:cs="Arial"/>
          <w:u w:val="single"/>
          <w:lang w:val="es-ES_tradnl"/>
        </w:rPr>
        <w:t>Calendario</w:t>
      </w:r>
    </w:p>
    <w:p w14:paraId="1F69240E" w14:textId="77777777" w:rsidR="00BB4980" w:rsidRPr="00B95B4E" w:rsidRDefault="00BB4980" w:rsidP="00BB4980">
      <w:pPr>
        <w:rPr>
          <w:rFonts w:cs="Arial"/>
          <w:lang w:val="es-ES_tradnl"/>
        </w:rPr>
      </w:pPr>
    </w:p>
    <w:tbl>
      <w:tblPr>
        <w:tblStyle w:val="TableGrid"/>
        <w:tblW w:w="0" w:type="auto"/>
        <w:tblLook w:val="00A0" w:firstRow="1" w:lastRow="0" w:firstColumn="1" w:lastColumn="0" w:noHBand="0" w:noVBand="0"/>
      </w:tblPr>
      <w:tblGrid>
        <w:gridCol w:w="1951"/>
        <w:gridCol w:w="7291"/>
      </w:tblGrid>
      <w:tr w:rsidR="00BB4980" w:rsidRPr="00B95B4E" w14:paraId="53D766C4" w14:textId="77777777" w:rsidTr="0066551C">
        <w:trPr>
          <w:cantSplit/>
        </w:trPr>
        <w:tc>
          <w:tcPr>
            <w:tcW w:w="1951" w:type="dxa"/>
          </w:tcPr>
          <w:p w14:paraId="1F98FA57" w14:textId="77777777" w:rsidR="00BB4980" w:rsidRPr="00B95B4E" w:rsidRDefault="00BB4980" w:rsidP="0066551C">
            <w:pPr>
              <w:ind w:left="0" w:firstLine="0"/>
              <w:rPr>
                <w:rFonts w:cs="Arial"/>
                <w:lang w:val="es-ES_tradnl"/>
              </w:rPr>
            </w:pPr>
            <w:r w:rsidRPr="00B95B4E">
              <w:rPr>
                <w:rFonts w:cs="Arial"/>
                <w:lang w:val="es-ES_tradnl"/>
              </w:rPr>
              <w:t>13ª reunión de la Conferencia de las Partes Contratantes (2018)</w:t>
            </w:r>
          </w:p>
          <w:p w14:paraId="4AC8997F" w14:textId="77777777" w:rsidR="00BB4980" w:rsidRPr="00B95B4E" w:rsidRDefault="00BB4980" w:rsidP="0066551C">
            <w:pPr>
              <w:ind w:left="0" w:firstLine="0"/>
              <w:rPr>
                <w:rFonts w:cs="Arial"/>
                <w:lang w:val="es-ES_tradnl"/>
              </w:rPr>
            </w:pPr>
          </w:p>
        </w:tc>
        <w:tc>
          <w:tcPr>
            <w:tcW w:w="7291" w:type="dxa"/>
          </w:tcPr>
          <w:p w14:paraId="0CB57854" w14:textId="77777777" w:rsidR="00BB4980" w:rsidRPr="00B95B4E" w:rsidRDefault="00BB4980" w:rsidP="0066551C">
            <w:pPr>
              <w:ind w:left="0" w:firstLine="0"/>
              <w:rPr>
                <w:rFonts w:cs="Arial"/>
                <w:lang w:val="es-ES_tradnl"/>
              </w:rPr>
            </w:pPr>
            <w:r w:rsidRPr="00B95B4E">
              <w:rPr>
                <w:rFonts w:cs="Arial"/>
                <w:lang w:val="es-ES_tradnl"/>
              </w:rPr>
              <w:t>-El presupuesto adoptado para 2019-2021 incluye una provisión para:</w:t>
            </w:r>
          </w:p>
          <w:p w14:paraId="28D5E42B" w14:textId="4CCF89DB" w:rsidR="00BB4980" w:rsidRPr="00B95B4E" w:rsidRDefault="00BB4980" w:rsidP="0013704D">
            <w:pPr>
              <w:ind w:left="0" w:firstLine="0"/>
              <w:rPr>
                <w:rFonts w:cs="Arial"/>
                <w:lang w:val="es-ES_tradnl"/>
              </w:rPr>
            </w:pPr>
            <w:r w:rsidRPr="00B95B4E">
              <w:rPr>
                <w:rFonts w:cs="Arial"/>
                <w:lang w:val="es-ES_tradnl"/>
              </w:rPr>
              <w:t xml:space="preserve">- un servicio lingüístico completo y equitativo en español, francés e inglés para las reuniones de </w:t>
            </w:r>
            <w:r w:rsidR="0072488C" w:rsidRPr="00B95B4E">
              <w:rPr>
                <w:rFonts w:cs="Arial"/>
                <w:lang w:val="es-ES_tradnl"/>
              </w:rPr>
              <w:t>la Conferencia de las Partes, el Comité Permanente y otros</w:t>
            </w:r>
            <w:r w:rsidR="0013704D" w:rsidRPr="00B95B4E">
              <w:rPr>
                <w:rFonts w:cs="Arial"/>
                <w:lang w:val="es-ES_tradnl"/>
              </w:rPr>
              <w:t xml:space="preserve"> órganos</w:t>
            </w:r>
            <w:r w:rsidR="0072488C" w:rsidRPr="00B95B4E">
              <w:rPr>
                <w:rFonts w:cs="Arial"/>
                <w:lang w:val="es-ES_tradnl"/>
              </w:rPr>
              <w:t>, según proceda</w:t>
            </w:r>
            <w:r w:rsidRPr="00B95B4E">
              <w:rPr>
                <w:rFonts w:cs="Arial"/>
                <w:lang w:val="es-ES_tradnl"/>
              </w:rPr>
              <w:t xml:space="preserve"> (interpretación de las sesiones plenarias y traducción de los documentos de trabajo);</w:t>
            </w:r>
          </w:p>
          <w:p w14:paraId="309EFB32" w14:textId="77777777" w:rsidR="00BB4980" w:rsidRPr="00B95B4E" w:rsidRDefault="00BB4980" w:rsidP="00FC5D69">
            <w:pPr>
              <w:ind w:left="0" w:firstLine="0"/>
              <w:rPr>
                <w:rFonts w:cs="Arial"/>
                <w:lang w:val="es-ES_tradnl"/>
              </w:rPr>
            </w:pPr>
            <w:r w:rsidRPr="00B95B4E">
              <w:rPr>
                <w:rFonts w:cs="Arial"/>
                <w:lang w:val="es-ES_tradnl"/>
              </w:rPr>
              <w:t xml:space="preserve">- nueva documentación oficial en español, francés e inglés; y </w:t>
            </w:r>
          </w:p>
          <w:p w14:paraId="5E178222" w14:textId="77777777" w:rsidR="00BB4980" w:rsidRPr="00B95B4E" w:rsidRDefault="00BB4980" w:rsidP="00FC5D69">
            <w:pPr>
              <w:ind w:left="0" w:firstLine="0"/>
              <w:rPr>
                <w:rFonts w:cs="Arial"/>
                <w:lang w:val="es-ES_tradnl"/>
              </w:rPr>
            </w:pPr>
            <w:r w:rsidRPr="00B95B4E">
              <w:rPr>
                <w:rFonts w:cs="Arial"/>
                <w:lang w:val="es-ES_tradnl"/>
              </w:rPr>
              <w:t>- trato equitativo de estos idiomas oficiales en el sitio web, con sujeción a los recursos disponibles.</w:t>
            </w:r>
          </w:p>
          <w:p w14:paraId="46E82B71" w14:textId="50E86F20" w:rsidR="00BB4980" w:rsidRPr="00B95B4E" w:rsidRDefault="00BB4980" w:rsidP="0066551C">
            <w:pPr>
              <w:ind w:left="0" w:firstLine="0"/>
              <w:rPr>
                <w:rFonts w:cs="Arial"/>
                <w:lang w:val="es-ES_tradnl"/>
              </w:rPr>
            </w:pPr>
            <w:r w:rsidRPr="00B95B4E">
              <w:rPr>
                <w:rFonts w:cs="Arial"/>
                <w:lang w:val="es-ES_tradnl"/>
              </w:rPr>
              <w:t xml:space="preserve">Las Partes Contratantes aprueban el plan para hacer que el árabe sea un idioma oficial en la COP16, </w:t>
            </w:r>
            <w:r w:rsidR="0072488C" w:rsidRPr="00B95B4E">
              <w:rPr>
                <w:rFonts w:cs="Arial"/>
                <w:lang w:val="es-ES_tradnl"/>
              </w:rPr>
              <w:t xml:space="preserve">procurando </w:t>
            </w:r>
            <w:r w:rsidRPr="00B95B4E">
              <w:rPr>
                <w:rFonts w:cs="Arial"/>
                <w:lang w:val="es-ES_tradnl"/>
              </w:rPr>
              <w:t>su inclusión progresiva en los presupuestos adoptados para los períodos 2022-2024, 2025-2027 y 2028-2030.</w:t>
            </w:r>
          </w:p>
        </w:tc>
      </w:tr>
      <w:tr w:rsidR="00BB4980" w:rsidRPr="00B95B4E" w14:paraId="61FFB003" w14:textId="77777777" w:rsidTr="0066551C">
        <w:trPr>
          <w:cantSplit/>
        </w:trPr>
        <w:tc>
          <w:tcPr>
            <w:tcW w:w="1951" w:type="dxa"/>
          </w:tcPr>
          <w:p w14:paraId="098E4972" w14:textId="77777777" w:rsidR="00BB4980" w:rsidRPr="00B95B4E" w:rsidRDefault="00BB4980" w:rsidP="0066551C">
            <w:pPr>
              <w:ind w:left="0" w:firstLine="0"/>
              <w:rPr>
                <w:rFonts w:cs="Arial"/>
                <w:lang w:val="es-ES_tradnl"/>
              </w:rPr>
            </w:pPr>
            <w:r w:rsidRPr="00B95B4E">
              <w:rPr>
                <w:rFonts w:cs="Arial"/>
                <w:lang w:val="es-ES_tradnl"/>
              </w:rPr>
              <w:t>2019-2020</w:t>
            </w:r>
          </w:p>
        </w:tc>
        <w:tc>
          <w:tcPr>
            <w:tcW w:w="7291" w:type="dxa"/>
          </w:tcPr>
          <w:p w14:paraId="32A43E88" w14:textId="7EBD12D1" w:rsidR="00BB4980" w:rsidRPr="00B95B4E" w:rsidRDefault="00BB4980" w:rsidP="0066551C">
            <w:pPr>
              <w:ind w:left="0" w:firstLine="0"/>
              <w:rPr>
                <w:rFonts w:cs="Arial"/>
                <w:lang w:val="es-ES_tradnl"/>
              </w:rPr>
            </w:pPr>
            <w:r w:rsidRPr="00B95B4E">
              <w:rPr>
                <w:rFonts w:cs="Arial"/>
                <w:lang w:val="es-ES_tradnl"/>
              </w:rPr>
              <w:t xml:space="preserve">La Secretaría organiza la traducción al árabe del texto de la Convención y de las principales resoluciones de la Conferencia de las Partes, con sujeción a la disponibilidad de </w:t>
            </w:r>
            <w:r w:rsidR="0072488C" w:rsidRPr="00B95B4E">
              <w:rPr>
                <w:rFonts w:cs="Arial"/>
                <w:lang w:val="es-ES_tradnl"/>
              </w:rPr>
              <w:t>contribuciones voluntarias complementarias</w:t>
            </w:r>
            <w:r w:rsidRPr="00B95B4E">
              <w:rPr>
                <w:rFonts w:cs="Arial"/>
                <w:lang w:val="es-ES_tradnl"/>
              </w:rPr>
              <w:t xml:space="preserve">. </w:t>
            </w:r>
          </w:p>
        </w:tc>
      </w:tr>
      <w:bookmarkEnd w:id="4"/>
      <w:tr w:rsidR="00BB4980" w:rsidRPr="00B95B4E" w14:paraId="43BFED6A" w14:textId="77777777" w:rsidTr="007E266F">
        <w:trPr>
          <w:cantSplit/>
          <w:trHeight w:val="1408"/>
        </w:trPr>
        <w:tc>
          <w:tcPr>
            <w:tcW w:w="1951" w:type="dxa"/>
          </w:tcPr>
          <w:p w14:paraId="6F0CA77C" w14:textId="43A75DCF" w:rsidR="00BB4980" w:rsidRPr="00B95B4E" w:rsidRDefault="00BB4980" w:rsidP="007E266F">
            <w:pPr>
              <w:ind w:left="0" w:firstLine="0"/>
              <w:rPr>
                <w:rFonts w:cs="Arial"/>
                <w:lang w:val="es-ES_tradnl"/>
              </w:rPr>
            </w:pPr>
            <w:r w:rsidRPr="00B95B4E">
              <w:rPr>
                <w:rFonts w:cs="Arial"/>
                <w:lang w:val="es-ES_tradnl"/>
              </w:rPr>
              <w:lastRenderedPageBreak/>
              <w:t>14ª reunión de la Conferencia de las Partes Contratantes (2021)</w:t>
            </w:r>
          </w:p>
        </w:tc>
        <w:tc>
          <w:tcPr>
            <w:tcW w:w="7291" w:type="dxa"/>
          </w:tcPr>
          <w:p w14:paraId="53822B32" w14:textId="47F2B45C" w:rsidR="00BB4980" w:rsidRPr="00B95B4E" w:rsidRDefault="00BB4980" w:rsidP="00FC5D69">
            <w:pPr>
              <w:ind w:left="0" w:firstLine="0"/>
              <w:rPr>
                <w:rFonts w:cs="Arial"/>
                <w:lang w:val="es-ES_tradnl"/>
              </w:rPr>
            </w:pPr>
            <w:r w:rsidRPr="00B95B4E">
              <w:rPr>
                <w:rFonts w:cs="Arial"/>
                <w:lang w:val="es-ES_tradnl"/>
              </w:rPr>
              <w:t xml:space="preserve">Con sujeción a su aprobación en la COP14, el presupuesto adoptado para 2022-2024 incluye una provisión para un servicio lingüístico completo en español, francés e inglés para las reuniones de </w:t>
            </w:r>
            <w:r w:rsidR="0072488C" w:rsidRPr="00B95B4E">
              <w:rPr>
                <w:rFonts w:cs="Arial"/>
                <w:lang w:val="es-ES_tradnl"/>
              </w:rPr>
              <w:t>la Conferencia de las Partes, el Comité Permanente y otros</w:t>
            </w:r>
            <w:r w:rsidRPr="00B95B4E">
              <w:rPr>
                <w:rFonts w:cs="Arial"/>
                <w:lang w:val="es-ES_tradnl"/>
              </w:rPr>
              <w:t xml:space="preserve"> órganos</w:t>
            </w:r>
            <w:r w:rsidR="0072488C" w:rsidRPr="00B95B4E">
              <w:rPr>
                <w:rFonts w:cs="Arial"/>
                <w:lang w:val="es-ES_tradnl"/>
              </w:rPr>
              <w:t>, según proceda,</w:t>
            </w:r>
            <w:r w:rsidRPr="00B95B4E">
              <w:rPr>
                <w:rFonts w:cs="Arial"/>
                <w:lang w:val="es-ES_tradnl"/>
              </w:rPr>
              <w:t xml:space="preserve">  y la  documentación oficial</w:t>
            </w:r>
            <w:r w:rsidR="0072488C" w:rsidRPr="00B95B4E">
              <w:rPr>
                <w:rFonts w:cs="Arial"/>
                <w:lang w:val="es-ES_tradnl"/>
              </w:rPr>
              <w:t xml:space="preserve"> conexa</w:t>
            </w:r>
            <w:r w:rsidRPr="00B95B4E">
              <w:rPr>
                <w:rFonts w:cs="Arial"/>
                <w:lang w:val="es-ES_tradnl"/>
              </w:rPr>
              <w:t>, y en árabe par</w:t>
            </w:r>
            <w:r w:rsidR="007E266F" w:rsidRPr="00B95B4E">
              <w:rPr>
                <w:rFonts w:cs="Arial"/>
                <w:lang w:val="es-ES_tradnl"/>
              </w:rPr>
              <w:t>a la Conferencia de las Partes.</w:t>
            </w:r>
          </w:p>
        </w:tc>
      </w:tr>
      <w:tr w:rsidR="00BB4980" w:rsidRPr="00B95B4E" w14:paraId="1D90BCAB" w14:textId="77777777" w:rsidTr="0066551C">
        <w:trPr>
          <w:cantSplit/>
        </w:trPr>
        <w:tc>
          <w:tcPr>
            <w:tcW w:w="1951" w:type="dxa"/>
          </w:tcPr>
          <w:p w14:paraId="3503C397" w14:textId="77777777" w:rsidR="00BB4980" w:rsidRPr="00B95B4E" w:rsidRDefault="00BB4980" w:rsidP="0066551C">
            <w:pPr>
              <w:ind w:left="0" w:firstLine="0"/>
              <w:rPr>
                <w:rFonts w:cs="Arial"/>
                <w:lang w:val="es-ES_tradnl"/>
              </w:rPr>
            </w:pPr>
            <w:r w:rsidRPr="00B95B4E">
              <w:rPr>
                <w:rFonts w:cs="Arial"/>
                <w:lang w:val="es-ES_tradnl"/>
              </w:rPr>
              <w:t>2022-2023</w:t>
            </w:r>
          </w:p>
        </w:tc>
        <w:tc>
          <w:tcPr>
            <w:tcW w:w="7291" w:type="dxa"/>
          </w:tcPr>
          <w:p w14:paraId="6C7347A7" w14:textId="44FDF940" w:rsidR="00BB4980" w:rsidRPr="00B95B4E" w:rsidRDefault="00BB4980" w:rsidP="0066551C">
            <w:pPr>
              <w:ind w:left="0" w:firstLine="0"/>
              <w:rPr>
                <w:rFonts w:cs="Arial"/>
                <w:lang w:val="es-ES_tradnl"/>
              </w:rPr>
            </w:pPr>
            <w:r w:rsidRPr="00B95B4E">
              <w:rPr>
                <w:rFonts w:cs="Arial"/>
                <w:lang w:val="es-ES_tradnl"/>
              </w:rPr>
              <w:t xml:space="preserve">La Secretaría organiza la traducción al árabe de las restantes resoluciones que siguen vigentes y las principales páginas de alto nivel del sitio web de Ramsar,  con sujeción a la disponibilidad de </w:t>
            </w:r>
            <w:r w:rsidR="0072488C" w:rsidRPr="00B95B4E">
              <w:rPr>
                <w:rFonts w:cs="Arial"/>
                <w:lang w:val="es-ES_tradnl"/>
              </w:rPr>
              <w:t>contribuciones voluntarias complementarias</w:t>
            </w:r>
            <w:r w:rsidRPr="00B95B4E">
              <w:rPr>
                <w:rFonts w:cs="Arial"/>
                <w:lang w:val="es-ES_tradnl"/>
              </w:rPr>
              <w:t xml:space="preserve">. </w:t>
            </w:r>
          </w:p>
        </w:tc>
      </w:tr>
      <w:tr w:rsidR="00BB4980" w:rsidRPr="00B95B4E" w14:paraId="222DD666" w14:textId="77777777" w:rsidTr="0066551C">
        <w:trPr>
          <w:cantSplit/>
        </w:trPr>
        <w:tc>
          <w:tcPr>
            <w:tcW w:w="1951" w:type="dxa"/>
          </w:tcPr>
          <w:p w14:paraId="54A2AE48" w14:textId="77777777" w:rsidR="00BB4980" w:rsidRPr="00B95B4E" w:rsidRDefault="00BB4980" w:rsidP="0066551C">
            <w:pPr>
              <w:ind w:left="0" w:firstLine="0"/>
              <w:rPr>
                <w:rFonts w:cs="Arial"/>
                <w:lang w:val="es-ES_tradnl"/>
              </w:rPr>
            </w:pPr>
            <w:r w:rsidRPr="00B95B4E">
              <w:rPr>
                <w:rFonts w:cs="Arial"/>
                <w:lang w:val="es-ES_tradnl"/>
              </w:rPr>
              <w:t>15ª reunión de la Conferencia de las Partes Contratantes (2024)</w:t>
            </w:r>
          </w:p>
          <w:p w14:paraId="0004E8E9" w14:textId="77777777" w:rsidR="00BB4980" w:rsidRPr="00B95B4E" w:rsidRDefault="00BB4980" w:rsidP="0066551C">
            <w:pPr>
              <w:ind w:left="0" w:firstLine="0"/>
              <w:rPr>
                <w:rFonts w:cs="Arial"/>
                <w:lang w:val="es-ES_tradnl"/>
              </w:rPr>
            </w:pPr>
          </w:p>
        </w:tc>
        <w:tc>
          <w:tcPr>
            <w:tcW w:w="7291" w:type="dxa"/>
          </w:tcPr>
          <w:p w14:paraId="5767E392" w14:textId="1DA31C34" w:rsidR="00BB4980" w:rsidRPr="00B95B4E" w:rsidRDefault="00BB4980" w:rsidP="00FC5D69">
            <w:pPr>
              <w:ind w:left="0" w:firstLine="0"/>
              <w:rPr>
                <w:rFonts w:cs="Arial"/>
                <w:lang w:val="es-ES_tradnl"/>
              </w:rPr>
            </w:pPr>
            <w:r w:rsidRPr="00B95B4E">
              <w:rPr>
                <w:rFonts w:cs="Arial"/>
                <w:lang w:val="es-ES_tradnl"/>
              </w:rPr>
              <w:t xml:space="preserve">Con sujeción a su aprobación en la COP15, el presupuesto adoptado para 2025-2027 incluye una provisión para: </w:t>
            </w:r>
          </w:p>
          <w:p w14:paraId="47924955" w14:textId="39325DED" w:rsidR="00BB4980" w:rsidRPr="00B95B4E" w:rsidRDefault="00BB4980" w:rsidP="00FC5D69">
            <w:pPr>
              <w:ind w:left="0" w:firstLine="0"/>
              <w:rPr>
                <w:rFonts w:cs="Arial"/>
                <w:lang w:val="es-ES_tradnl"/>
              </w:rPr>
            </w:pPr>
            <w:r w:rsidRPr="00B95B4E">
              <w:rPr>
                <w:rFonts w:cs="Arial"/>
                <w:lang w:val="es-ES_tradnl"/>
              </w:rPr>
              <w:t xml:space="preserve">- un servicio lingüístico completo en español, francés e inglés para las reuniones de </w:t>
            </w:r>
            <w:r w:rsidR="0072488C" w:rsidRPr="00B95B4E">
              <w:rPr>
                <w:rFonts w:cs="Arial"/>
                <w:lang w:val="es-ES_tradnl"/>
              </w:rPr>
              <w:t xml:space="preserve">la Conferencia de las Partes, el Comité Permanente y otros </w:t>
            </w:r>
            <w:r w:rsidRPr="00B95B4E">
              <w:rPr>
                <w:rFonts w:cs="Arial"/>
                <w:lang w:val="es-ES_tradnl"/>
              </w:rPr>
              <w:t xml:space="preserve"> órganos</w:t>
            </w:r>
            <w:r w:rsidR="0072488C" w:rsidRPr="00B95B4E">
              <w:rPr>
                <w:rFonts w:cs="Arial"/>
                <w:lang w:val="es-ES_tradnl"/>
              </w:rPr>
              <w:t>,</w:t>
            </w:r>
            <w:r w:rsidR="00A33F8E" w:rsidRPr="00B95B4E">
              <w:rPr>
                <w:rFonts w:cs="Arial"/>
                <w:lang w:val="es-ES_tradnl"/>
              </w:rPr>
              <w:t xml:space="preserve"> </w:t>
            </w:r>
            <w:r w:rsidR="0072488C" w:rsidRPr="00B95B4E">
              <w:rPr>
                <w:rFonts w:cs="Arial"/>
                <w:lang w:val="es-ES_tradnl"/>
              </w:rPr>
              <w:t>según proceda</w:t>
            </w:r>
            <w:r w:rsidRPr="00B95B4E">
              <w:rPr>
                <w:rFonts w:cs="Arial"/>
                <w:lang w:val="es-ES_tradnl"/>
              </w:rPr>
              <w:t xml:space="preserve">; </w:t>
            </w:r>
          </w:p>
          <w:p w14:paraId="52141BCB" w14:textId="59B50287" w:rsidR="00BB4980" w:rsidRPr="00B95B4E" w:rsidRDefault="00BB4980" w:rsidP="00FC5D69">
            <w:pPr>
              <w:ind w:left="0" w:firstLine="0"/>
              <w:rPr>
                <w:rFonts w:cs="Arial"/>
                <w:lang w:val="es-ES_tradnl"/>
              </w:rPr>
            </w:pPr>
            <w:r w:rsidRPr="00B95B4E">
              <w:rPr>
                <w:rFonts w:cs="Arial"/>
                <w:lang w:val="es-ES_tradnl"/>
              </w:rPr>
              <w:t>- un servicio lingüístico completo en árabe para la reuni</w:t>
            </w:r>
            <w:r w:rsidR="0072488C" w:rsidRPr="00B95B4E">
              <w:rPr>
                <w:rFonts w:cs="Arial"/>
                <w:lang w:val="es-ES_tradnl"/>
              </w:rPr>
              <w:t>ón</w:t>
            </w:r>
            <w:r w:rsidRPr="00B95B4E">
              <w:rPr>
                <w:rFonts w:cs="Arial"/>
                <w:lang w:val="es-ES_tradnl"/>
              </w:rPr>
              <w:t xml:space="preserve"> de </w:t>
            </w:r>
            <w:r w:rsidR="0072488C" w:rsidRPr="00B95B4E">
              <w:rPr>
                <w:rFonts w:cs="Arial"/>
                <w:lang w:val="es-ES_tradnl"/>
              </w:rPr>
              <w:t xml:space="preserve"> </w:t>
            </w:r>
            <w:r w:rsidR="00BE1F19" w:rsidRPr="00B95B4E">
              <w:rPr>
                <w:rFonts w:cs="Arial"/>
                <w:lang w:val="es-ES_tradnl"/>
              </w:rPr>
              <w:t xml:space="preserve">la </w:t>
            </w:r>
            <w:r w:rsidR="0072488C" w:rsidRPr="00B95B4E">
              <w:rPr>
                <w:rFonts w:cs="Arial"/>
                <w:lang w:val="es-ES_tradnl"/>
              </w:rPr>
              <w:t>Conferencia de las Partes</w:t>
            </w:r>
            <w:r w:rsidRPr="00B95B4E">
              <w:rPr>
                <w:rFonts w:cs="Arial"/>
                <w:lang w:val="es-ES_tradnl"/>
              </w:rPr>
              <w:t xml:space="preserve">; y </w:t>
            </w:r>
          </w:p>
          <w:p w14:paraId="687B1362" w14:textId="77777777" w:rsidR="00BB4980" w:rsidRPr="00B95B4E" w:rsidRDefault="00BB4980" w:rsidP="00FC5D69">
            <w:pPr>
              <w:ind w:left="0" w:firstLine="0"/>
              <w:rPr>
                <w:rFonts w:cs="Arial"/>
                <w:lang w:val="es-ES_tradnl"/>
              </w:rPr>
            </w:pPr>
            <w:r w:rsidRPr="00B95B4E">
              <w:rPr>
                <w:rFonts w:cs="Arial"/>
                <w:lang w:val="es-ES_tradnl"/>
              </w:rPr>
              <w:t xml:space="preserve">- toda documentación oficial nueva en los cuatro idiomas oficiales; </w:t>
            </w:r>
          </w:p>
          <w:p w14:paraId="54A3923B" w14:textId="77777777" w:rsidR="00BB4980" w:rsidRPr="00B95B4E" w:rsidRDefault="00BB4980" w:rsidP="00FC5D69">
            <w:pPr>
              <w:ind w:left="0" w:firstLine="0"/>
              <w:rPr>
                <w:rFonts w:cs="Arial"/>
                <w:lang w:val="es-ES_tradnl"/>
              </w:rPr>
            </w:pPr>
            <w:r w:rsidRPr="00B95B4E">
              <w:rPr>
                <w:rFonts w:cs="Arial"/>
                <w:lang w:val="es-ES_tradnl"/>
              </w:rPr>
              <w:t xml:space="preserve">- un aumento de la capacidad del personal para el tratamiento de textos y documentación en árabe. </w:t>
            </w:r>
          </w:p>
        </w:tc>
      </w:tr>
      <w:tr w:rsidR="00BB4980" w:rsidRPr="00B95B4E" w14:paraId="07FBFD5F" w14:textId="77777777" w:rsidTr="0066551C">
        <w:trPr>
          <w:cantSplit/>
        </w:trPr>
        <w:tc>
          <w:tcPr>
            <w:tcW w:w="1951" w:type="dxa"/>
          </w:tcPr>
          <w:p w14:paraId="5386CF49" w14:textId="77777777" w:rsidR="00BB4980" w:rsidRPr="00B95B4E" w:rsidRDefault="00BB4980" w:rsidP="0066551C">
            <w:pPr>
              <w:ind w:left="0" w:firstLine="0"/>
              <w:rPr>
                <w:rFonts w:cs="Arial"/>
                <w:lang w:val="es-ES_tradnl"/>
              </w:rPr>
            </w:pPr>
            <w:r w:rsidRPr="00B95B4E">
              <w:rPr>
                <w:rFonts w:cs="Arial"/>
                <w:lang w:val="es-ES_tradnl"/>
              </w:rPr>
              <w:t>2025-2026</w:t>
            </w:r>
          </w:p>
        </w:tc>
        <w:tc>
          <w:tcPr>
            <w:tcW w:w="7291" w:type="dxa"/>
          </w:tcPr>
          <w:p w14:paraId="75CB0140" w14:textId="102ED0E9" w:rsidR="00BB4980" w:rsidRPr="00B95B4E" w:rsidRDefault="00BB4980" w:rsidP="00FC5D69">
            <w:pPr>
              <w:ind w:left="34" w:hanging="34"/>
              <w:rPr>
                <w:rFonts w:cs="Arial"/>
                <w:lang w:val="es-ES_tradnl"/>
              </w:rPr>
            </w:pPr>
            <w:r w:rsidRPr="00B95B4E">
              <w:rPr>
                <w:rFonts w:cs="Arial"/>
                <w:lang w:val="es-ES_tradnl"/>
              </w:rPr>
              <w:t>La Secretaría organiza la traducción al árabe de las nuevas notificaciones oficiales (por ejemplo, mensajes de Ramsar Exchange), noticias relacionadas y nuevas publicaciones del GECT, con sujeción a la disp</w:t>
            </w:r>
            <w:r w:rsidR="00FC5D69" w:rsidRPr="00B95B4E">
              <w:rPr>
                <w:rFonts w:cs="Arial"/>
                <w:lang w:val="es-ES_tradnl"/>
              </w:rPr>
              <w:t xml:space="preserve">onibilidad de </w:t>
            </w:r>
            <w:r w:rsidR="0072488C" w:rsidRPr="00B95B4E">
              <w:rPr>
                <w:rFonts w:cs="Arial"/>
                <w:lang w:val="es-ES_tradnl"/>
              </w:rPr>
              <w:t>contribuciones voluntarias complementarias</w:t>
            </w:r>
            <w:r w:rsidRPr="00B95B4E">
              <w:rPr>
                <w:rFonts w:cs="Arial"/>
                <w:lang w:val="es-ES_tradnl"/>
              </w:rPr>
              <w:t xml:space="preserve">. </w:t>
            </w:r>
          </w:p>
        </w:tc>
      </w:tr>
      <w:tr w:rsidR="00BB4980" w:rsidRPr="00B95B4E" w14:paraId="483E4AB7" w14:textId="77777777" w:rsidTr="0066551C">
        <w:trPr>
          <w:cantSplit/>
        </w:trPr>
        <w:tc>
          <w:tcPr>
            <w:tcW w:w="1951" w:type="dxa"/>
          </w:tcPr>
          <w:p w14:paraId="6933E892" w14:textId="77777777" w:rsidR="00BB4980" w:rsidRPr="00B95B4E" w:rsidRDefault="00BB4980" w:rsidP="0066551C">
            <w:pPr>
              <w:ind w:left="0" w:firstLine="0"/>
              <w:rPr>
                <w:rFonts w:cs="Arial"/>
                <w:lang w:val="es-ES_tradnl"/>
              </w:rPr>
            </w:pPr>
            <w:r w:rsidRPr="00B95B4E">
              <w:rPr>
                <w:rFonts w:cs="Arial"/>
                <w:lang w:val="es-ES_tradnl"/>
              </w:rPr>
              <w:t>16ª reunión de la Conferencia de las Partes Contratantes (2027)</w:t>
            </w:r>
          </w:p>
          <w:p w14:paraId="076E18B0" w14:textId="77777777" w:rsidR="00BB4980" w:rsidRPr="00B95B4E" w:rsidRDefault="00BB4980" w:rsidP="0066551C">
            <w:pPr>
              <w:ind w:left="0" w:firstLine="0"/>
              <w:rPr>
                <w:rFonts w:cs="Arial"/>
                <w:lang w:val="es-ES_tradnl"/>
              </w:rPr>
            </w:pPr>
          </w:p>
        </w:tc>
        <w:tc>
          <w:tcPr>
            <w:tcW w:w="7291" w:type="dxa"/>
          </w:tcPr>
          <w:p w14:paraId="25B5BDC7" w14:textId="7F5D015D" w:rsidR="00BB4980" w:rsidRPr="00B95B4E" w:rsidRDefault="00BB4980" w:rsidP="0066551C">
            <w:pPr>
              <w:ind w:left="0" w:firstLine="0"/>
              <w:rPr>
                <w:rFonts w:cs="Arial"/>
                <w:lang w:val="es-ES_tradnl"/>
              </w:rPr>
            </w:pPr>
            <w:r w:rsidRPr="00B95B4E">
              <w:rPr>
                <w:rFonts w:cs="Arial"/>
                <w:lang w:val="es-ES_tradnl"/>
              </w:rPr>
              <w:t xml:space="preserve">- Con sujeción a su aprobación en la COP16, el presupuesto adoptado para 2028-2030 incluye una provisión para un servicio lingüístico completo en árabe, español, francés e inglés para las reuniones de </w:t>
            </w:r>
            <w:r w:rsidR="0072488C" w:rsidRPr="00B95B4E">
              <w:rPr>
                <w:rFonts w:cs="Arial"/>
                <w:lang w:val="es-ES_tradnl"/>
              </w:rPr>
              <w:t xml:space="preserve">la Conferencia de las Partes, el Comité Permanente y otros </w:t>
            </w:r>
            <w:r w:rsidR="00FC5D69" w:rsidRPr="00B95B4E">
              <w:rPr>
                <w:rFonts w:cs="Arial"/>
                <w:lang w:val="es-ES_tradnl"/>
              </w:rPr>
              <w:t>órganos</w:t>
            </w:r>
            <w:r w:rsidRPr="00B95B4E">
              <w:rPr>
                <w:rFonts w:cs="Arial"/>
                <w:lang w:val="es-ES_tradnl"/>
              </w:rPr>
              <w:t xml:space="preserve">, </w:t>
            </w:r>
            <w:r w:rsidR="0072488C" w:rsidRPr="00B95B4E">
              <w:rPr>
                <w:rFonts w:cs="Arial"/>
                <w:lang w:val="es-ES_tradnl"/>
              </w:rPr>
              <w:t xml:space="preserve">según proceda, </w:t>
            </w:r>
            <w:r w:rsidRPr="00B95B4E">
              <w:rPr>
                <w:rFonts w:cs="Arial"/>
                <w:lang w:val="es-ES_tradnl"/>
              </w:rPr>
              <w:t xml:space="preserve">para toda documentación oficial nueva, y para las páginas nuevas en el sitio web. </w:t>
            </w:r>
          </w:p>
        </w:tc>
      </w:tr>
    </w:tbl>
    <w:p w14:paraId="18C53D01" w14:textId="77777777" w:rsidR="00BB4980" w:rsidRPr="00B95B4E" w:rsidRDefault="00BB4980" w:rsidP="00BB4980">
      <w:pPr>
        <w:rPr>
          <w:rFonts w:cs="Arial"/>
          <w:lang w:val="es-ES_tradnl"/>
        </w:rPr>
      </w:pPr>
    </w:p>
    <w:p w14:paraId="61C1FFC4" w14:textId="77777777" w:rsidR="00BB4980" w:rsidRPr="00B95B4E" w:rsidRDefault="00BB4980" w:rsidP="00BB4980">
      <w:pPr>
        <w:rPr>
          <w:rFonts w:cs="Arial"/>
          <w:lang w:val="es-ES_tradnl"/>
        </w:rPr>
      </w:pPr>
    </w:p>
    <w:p w14:paraId="6A7DE914" w14:textId="77777777" w:rsidR="00BB4980" w:rsidRPr="00B95B4E" w:rsidRDefault="00BB4980" w:rsidP="00BB4980">
      <w:pPr>
        <w:rPr>
          <w:rFonts w:cs="Arial"/>
          <w:lang w:val="es-ES_tradnl"/>
        </w:rPr>
      </w:pPr>
    </w:p>
    <w:p w14:paraId="7B638D29" w14:textId="77777777" w:rsidR="00BB4980" w:rsidRPr="00B95B4E" w:rsidRDefault="00BB4980" w:rsidP="00BB4980">
      <w:pPr>
        <w:rPr>
          <w:rFonts w:cs="Arial"/>
          <w:lang w:val="es-ES_tradnl"/>
        </w:rPr>
      </w:pPr>
    </w:p>
    <w:p w14:paraId="352B697D" w14:textId="77777777" w:rsidR="00BB4980" w:rsidRPr="00B95B4E" w:rsidRDefault="00BB4980" w:rsidP="00BB4980">
      <w:pPr>
        <w:rPr>
          <w:rFonts w:cs="Arial"/>
          <w:lang w:val="es-ES_tradnl"/>
        </w:rPr>
      </w:pPr>
    </w:p>
    <w:bookmarkEnd w:id="0"/>
    <w:p w14:paraId="5D7AA32B" w14:textId="77777777" w:rsidR="00BB4980" w:rsidRPr="00B95B4E" w:rsidRDefault="00BB4980" w:rsidP="00BB4980">
      <w:pPr>
        <w:rPr>
          <w:rFonts w:cs="Arial"/>
          <w:i/>
          <w:lang w:val="es-ES_tradnl"/>
        </w:rPr>
      </w:pPr>
    </w:p>
    <w:sectPr w:rsidR="00BB4980" w:rsidRPr="00B95B4E" w:rsidSect="002137E0">
      <w:headerReference w:type="default" r:id="rId9"/>
      <w:footerReference w:type="defaul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A7B7A" w14:textId="77777777" w:rsidR="00A465D1" w:rsidRDefault="00A465D1" w:rsidP="00DF2386">
      <w:r>
        <w:separator/>
      </w:r>
    </w:p>
  </w:endnote>
  <w:endnote w:type="continuationSeparator" w:id="0">
    <w:p w14:paraId="6567CEC2" w14:textId="77777777" w:rsidR="00A465D1" w:rsidRDefault="00A465D1" w:rsidP="00DF2386">
      <w:r>
        <w:continuationSeparator/>
      </w:r>
    </w:p>
  </w:endnote>
  <w:endnote w:type="continuationNotice" w:id="1">
    <w:p w14:paraId="2AEEB5AE" w14:textId="77777777" w:rsidR="00A465D1" w:rsidRDefault="00A4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8CE8" w14:textId="56F8ADDC" w:rsidR="00F52894" w:rsidRPr="004271FB" w:rsidRDefault="00F52894" w:rsidP="004271FB">
    <w:pPr>
      <w:pStyle w:val="Footer"/>
      <w:rPr>
        <w:sz w:val="20"/>
        <w:szCs w:val="20"/>
      </w:rPr>
    </w:pPr>
    <w:r w:rsidRPr="00A04F08">
      <w:rPr>
        <w:sz w:val="20"/>
        <w:szCs w:val="20"/>
      </w:rPr>
      <w:t>Ramsar COP13 Doc.18.4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FC1A36">
      <w:rPr>
        <w:noProof/>
        <w:sz w:val="20"/>
        <w:szCs w:val="20"/>
      </w:rPr>
      <w:t>2</w:t>
    </w:r>
    <w:r w:rsidRPr="00CB54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6987" w14:textId="77777777" w:rsidR="00F52894" w:rsidRDefault="00F52894" w:rsidP="00B523B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4CF06" w14:textId="77777777" w:rsidR="00A465D1" w:rsidRDefault="00A465D1" w:rsidP="00DF2386">
      <w:r>
        <w:separator/>
      </w:r>
    </w:p>
  </w:footnote>
  <w:footnote w:type="continuationSeparator" w:id="0">
    <w:p w14:paraId="740BA2A1" w14:textId="77777777" w:rsidR="00A465D1" w:rsidRDefault="00A465D1" w:rsidP="00DF2386">
      <w:r>
        <w:continuationSeparator/>
      </w:r>
    </w:p>
  </w:footnote>
  <w:footnote w:type="continuationNotice" w:id="1">
    <w:p w14:paraId="0B2BD51E" w14:textId="77777777" w:rsidR="00A465D1" w:rsidRDefault="00A465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5917" w14:textId="77777777" w:rsidR="00F52894" w:rsidRDefault="00F52894">
    <w:pPr>
      <w:pStyle w:val="Header"/>
    </w:pPr>
  </w:p>
  <w:p w14:paraId="2552AF0F" w14:textId="77777777" w:rsidR="00F52894" w:rsidRDefault="00F52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72450"/>
    <w:multiLevelType w:val="hybridMultilevel"/>
    <w:tmpl w:val="AA1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E47FBE"/>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4613550"/>
    <w:multiLevelType w:val="hybridMultilevel"/>
    <w:tmpl w:val="14486B1C"/>
    <w:lvl w:ilvl="0" w:tplc="BBB6E116">
      <w:start w:val="1"/>
      <w:numFmt w:val="bullet"/>
      <w:lvlText w:val="x"/>
      <w:lvlJc w:val="left"/>
      <w:pPr>
        <w:ind w:left="720" w:hanging="360"/>
      </w:pPr>
      <w:rPr>
        <w:rFonts w:ascii="Calibri" w:hAnsi="Calibri"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561CE"/>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282480"/>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8B340D"/>
    <w:multiLevelType w:val="hybridMultilevel"/>
    <w:tmpl w:val="4E986ED2"/>
    <w:lvl w:ilvl="0" w:tplc="DAF0C952">
      <w:start w:val="1"/>
      <w:numFmt w:val="decimal"/>
      <w:lvlText w:val="%1."/>
      <w:lvlJc w:val="left"/>
      <w:pPr>
        <w:ind w:left="720" w:hanging="360"/>
      </w:pPr>
      <w:rPr>
        <w:rFonts w:asciiTheme="minorHAnsi" w:eastAsia="Times New Roman" w:hAnsiTheme="minorHAnsi" w:cs="Times New Roman"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2" w15:restartNumberingAfterBreak="0">
    <w:nsid w:val="6A6F7289"/>
    <w:multiLevelType w:val="hybridMultilevel"/>
    <w:tmpl w:val="A23C7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0"/>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
  </w:num>
  <w:num w:numId="13">
    <w:abstractNumId w:val="21"/>
  </w:num>
  <w:num w:numId="14">
    <w:abstractNumId w:val="12"/>
  </w:num>
  <w:num w:numId="15">
    <w:abstractNumId w:val="2"/>
  </w:num>
  <w:num w:numId="16">
    <w:abstractNumId w:val="16"/>
  </w:num>
  <w:num w:numId="17">
    <w:abstractNumId w:val="24"/>
  </w:num>
  <w:num w:numId="18">
    <w:abstractNumId w:val="34"/>
  </w:num>
  <w:num w:numId="19">
    <w:abstractNumId w:val="33"/>
  </w:num>
  <w:num w:numId="20">
    <w:abstractNumId w:val="26"/>
  </w:num>
  <w:num w:numId="21">
    <w:abstractNumId w:val="28"/>
  </w:num>
  <w:num w:numId="22">
    <w:abstractNumId w:val="19"/>
  </w:num>
  <w:num w:numId="23">
    <w:abstractNumId w:val="25"/>
  </w:num>
  <w:num w:numId="24">
    <w:abstractNumId w:val="23"/>
  </w:num>
  <w:num w:numId="25">
    <w:abstractNumId w:val="31"/>
  </w:num>
  <w:num w:numId="26">
    <w:abstractNumId w:val="9"/>
  </w:num>
  <w:num w:numId="27">
    <w:abstractNumId w:val="0"/>
  </w:num>
  <w:num w:numId="28">
    <w:abstractNumId w:val="11"/>
  </w:num>
  <w:num w:numId="29">
    <w:abstractNumId w:val="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7"/>
  </w:num>
  <w:num w:numId="33">
    <w:abstractNumId w:val="22"/>
  </w:num>
  <w:num w:numId="34">
    <w:abstractNumId w:val="15"/>
  </w:num>
  <w:num w:numId="35">
    <w:abstractNumId w:val="13"/>
  </w:num>
  <w:num w:numId="36">
    <w:abstractNumId w:val="18"/>
  </w:num>
  <w:num w:numId="37">
    <w:abstractNumId w:val="1"/>
  </w:num>
  <w:num w:numId="38">
    <w:abstractNumId w:val="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314C"/>
    <w:rsid w:val="00014168"/>
    <w:rsid w:val="0001600A"/>
    <w:rsid w:val="00017A16"/>
    <w:rsid w:val="00026E09"/>
    <w:rsid w:val="00027BE9"/>
    <w:rsid w:val="0003727D"/>
    <w:rsid w:val="00037CE0"/>
    <w:rsid w:val="00042EAF"/>
    <w:rsid w:val="0005017F"/>
    <w:rsid w:val="00053929"/>
    <w:rsid w:val="00054A80"/>
    <w:rsid w:val="00063056"/>
    <w:rsid w:val="00070F73"/>
    <w:rsid w:val="00074DE8"/>
    <w:rsid w:val="000A0E52"/>
    <w:rsid w:val="000A3E3E"/>
    <w:rsid w:val="000B0670"/>
    <w:rsid w:val="000C2489"/>
    <w:rsid w:val="000C5059"/>
    <w:rsid w:val="000D5C76"/>
    <w:rsid w:val="000E2FA0"/>
    <w:rsid w:val="000E47E9"/>
    <w:rsid w:val="0012096C"/>
    <w:rsid w:val="001252A9"/>
    <w:rsid w:val="00127828"/>
    <w:rsid w:val="00132285"/>
    <w:rsid w:val="001352E8"/>
    <w:rsid w:val="00136395"/>
    <w:rsid w:val="0013704D"/>
    <w:rsid w:val="00157C5D"/>
    <w:rsid w:val="00160D06"/>
    <w:rsid w:val="00161BDA"/>
    <w:rsid w:val="00171618"/>
    <w:rsid w:val="001819B1"/>
    <w:rsid w:val="0018309C"/>
    <w:rsid w:val="001A2D10"/>
    <w:rsid w:val="001A4E43"/>
    <w:rsid w:val="001C5E41"/>
    <w:rsid w:val="001C77BC"/>
    <w:rsid w:val="001D48BB"/>
    <w:rsid w:val="001E00E3"/>
    <w:rsid w:val="001F2349"/>
    <w:rsid w:val="001F76D2"/>
    <w:rsid w:val="002005D2"/>
    <w:rsid w:val="0020298B"/>
    <w:rsid w:val="00206111"/>
    <w:rsid w:val="00211408"/>
    <w:rsid w:val="002137E0"/>
    <w:rsid w:val="00224D87"/>
    <w:rsid w:val="00242978"/>
    <w:rsid w:val="002454FA"/>
    <w:rsid w:val="0025032A"/>
    <w:rsid w:val="0025686C"/>
    <w:rsid w:val="002644F1"/>
    <w:rsid w:val="00266629"/>
    <w:rsid w:val="00270261"/>
    <w:rsid w:val="002741AC"/>
    <w:rsid w:val="00275F13"/>
    <w:rsid w:val="002819C0"/>
    <w:rsid w:val="00294035"/>
    <w:rsid w:val="00295556"/>
    <w:rsid w:val="00295BB5"/>
    <w:rsid w:val="002A22D6"/>
    <w:rsid w:val="002A5A4D"/>
    <w:rsid w:val="002B4262"/>
    <w:rsid w:val="002C4C78"/>
    <w:rsid w:val="002D5A4D"/>
    <w:rsid w:val="002E1B2D"/>
    <w:rsid w:val="002E22AF"/>
    <w:rsid w:val="002E49DE"/>
    <w:rsid w:val="002F1CAD"/>
    <w:rsid w:val="002F6AC1"/>
    <w:rsid w:val="003077BD"/>
    <w:rsid w:val="00324398"/>
    <w:rsid w:val="003443A3"/>
    <w:rsid w:val="0035363E"/>
    <w:rsid w:val="00353E25"/>
    <w:rsid w:val="00353EAC"/>
    <w:rsid w:val="00354938"/>
    <w:rsid w:val="00376C7A"/>
    <w:rsid w:val="00384FC3"/>
    <w:rsid w:val="003A3804"/>
    <w:rsid w:val="003A52BE"/>
    <w:rsid w:val="003A5866"/>
    <w:rsid w:val="003A6E9F"/>
    <w:rsid w:val="003B5A87"/>
    <w:rsid w:val="003B6512"/>
    <w:rsid w:val="003B7EF8"/>
    <w:rsid w:val="003D4CD6"/>
    <w:rsid w:val="003E2840"/>
    <w:rsid w:val="003E52EA"/>
    <w:rsid w:val="003F0C1E"/>
    <w:rsid w:val="003F109B"/>
    <w:rsid w:val="00407E04"/>
    <w:rsid w:val="00413599"/>
    <w:rsid w:val="0041759C"/>
    <w:rsid w:val="004228C7"/>
    <w:rsid w:val="004271FB"/>
    <w:rsid w:val="0042798B"/>
    <w:rsid w:val="00434913"/>
    <w:rsid w:val="00440AFD"/>
    <w:rsid w:val="00442AF9"/>
    <w:rsid w:val="004474F8"/>
    <w:rsid w:val="00470ECB"/>
    <w:rsid w:val="004770D8"/>
    <w:rsid w:val="00477550"/>
    <w:rsid w:val="00480B6A"/>
    <w:rsid w:val="004844A8"/>
    <w:rsid w:val="00496037"/>
    <w:rsid w:val="00496803"/>
    <w:rsid w:val="00497162"/>
    <w:rsid w:val="004A04BF"/>
    <w:rsid w:val="004B02FB"/>
    <w:rsid w:val="004B6688"/>
    <w:rsid w:val="004C3A9D"/>
    <w:rsid w:val="004D512B"/>
    <w:rsid w:val="004E0240"/>
    <w:rsid w:val="004E1A8C"/>
    <w:rsid w:val="00501CA0"/>
    <w:rsid w:val="0051731B"/>
    <w:rsid w:val="00520BFC"/>
    <w:rsid w:val="0052200B"/>
    <w:rsid w:val="005244A4"/>
    <w:rsid w:val="00527783"/>
    <w:rsid w:val="00536465"/>
    <w:rsid w:val="00552406"/>
    <w:rsid w:val="005630AC"/>
    <w:rsid w:val="005814B5"/>
    <w:rsid w:val="00594559"/>
    <w:rsid w:val="005A5641"/>
    <w:rsid w:val="005B5B40"/>
    <w:rsid w:val="005B6B06"/>
    <w:rsid w:val="005D3E9D"/>
    <w:rsid w:val="005D6969"/>
    <w:rsid w:val="00604E4F"/>
    <w:rsid w:val="00610AEC"/>
    <w:rsid w:val="00616783"/>
    <w:rsid w:val="006256D3"/>
    <w:rsid w:val="00627BB7"/>
    <w:rsid w:val="00631266"/>
    <w:rsid w:val="00640198"/>
    <w:rsid w:val="00641E21"/>
    <w:rsid w:val="00644A13"/>
    <w:rsid w:val="00650A9F"/>
    <w:rsid w:val="0065136E"/>
    <w:rsid w:val="0065216E"/>
    <w:rsid w:val="0066340B"/>
    <w:rsid w:val="0066551C"/>
    <w:rsid w:val="006659EA"/>
    <w:rsid w:val="00666F1F"/>
    <w:rsid w:val="00670D71"/>
    <w:rsid w:val="00685A30"/>
    <w:rsid w:val="00692FD8"/>
    <w:rsid w:val="006979DC"/>
    <w:rsid w:val="006B0DF5"/>
    <w:rsid w:val="006C0640"/>
    <w:rsid w:val="006C4FC5"/>
    <w:rsid w:val="006E57E2"/>
    <w:rsid w:val="006E5BA0"/>
    <w:rsid w:val="006E7DCE"/>
    <w:rsid w:val="006F2488"/>
    <w:rsid w:val="007050FF"/>
    <w:rsid w:val="007234CF"/>
    <w:rsid w:val="0072488C"/>
    <w:rsid w:val="00726516"/>
    <w:rsid w:val="007329EB"/>
    <w:rsid w:val="007347ED"/>
    <w:rsid w:val="00737F2F"/>
    <w:rsid w:val="0074056F"/>
    <w:rsid w:val="00745C65"/>
    <w:rsid w:val="00752764"/>
    <w:rsid w:val="007616A2"/>
    <w:rsid w:val="00766962"/>
    <w:rsid w:val="007731A8"/>
    <w:rsid w:val="00775287"/>
    <w:rsid w:val="00783199"/>
    <w:rsid w:val="00795119"/>
    <w:rsid w:val="007C7A33"/>
    <w:rsid w:val="007D3229"/>
    <w:rsid w:val="007D33F4"/>
    <w:rsid w:val="007D368A"/>
    <w:rsid w:val="007D3FC7"/>
    <w:rsid w:val="007E266F"/>
    <w:rsid w:val="007E3079"/>
    <w:rsid w:val="007E3B42"/>
    <w:rsid w:val="007F0985"/>
    <w:rsid w:val="007F3ABE"/>
    <w:rsid w:val="007F63D9"/>
    <w:rsid w:val="00810D56"/>
    <w:rsid w:val="00815C52"/>
    <w:rsid w:val="008167E8"/>
    <w:rsid w:val="0081684D"/>
    <w:rsid w:val="00817363"/>
    <w:rsid w:val="008255A2"/>
    <w:rsid w:val="008328E9"/>
    <w:rsid w:val="00835BCB"/>
    <w:rsid w:val="00835CDC"/>
    <w:rsid w:val="008364AA"/>
    <w:rsid w:val="0084255C"/>
    <w:rsid w:val="00850B09"/>
    <w:rsid w:val="00850DC3"/>
    <w:rsid w:val="00852D57"/>
    <w:rsid w:val="00857B9D"/>
    <w:rsid w:val="00863B9D"/>
    <w:rsid w:val="00863BE6"/>
    <w:rsid w:val="0086479C"/>
    <w:rsid w:val="00867D3F"/>
    <w:rsid w:val="008744DA"/>
    <w:rsid w:val="008775BC"/>
    <w:rsid w:val="00880240"/>
    <w:rsid w:val="00882F1B"/>
    <w:rsid w:val="0088708A"/>
    <w:rsid w:val="008A29B0"/>
    <w:rsid w:val="008A70CE"/>
    <w:rsid w:val="008B4622"/>
    <w:rsid w:val="008C25E4"/>
    <w:rsid w:val="008C2DAE"/>
    <w:rsid w:val="008D0A68"/>
    <w:rsid w:val="008D312E"/>
    <w:rsid w:val="008E1B35"/>
    <w:rsid w:val="008E2292"/>
    <w:rsid w:val="008E2B7B"/>
    <w:rsid w:val="008E730D"/>
    <w:rsid w:val="008F4809"/>
    <w:rsid w:val="00904A8F"/>
    <w:rsid w:val="009059A9"/>
    <w:rsid w:val="00907320"/>
    <w:rsid w:val="009103B4"/>
    <w:rsid w:val="00912B05"/>
    <w:rsid w:val="00912D1F"/>
    <w:rsid w:val="0092515E"/>
    <w:rsid w:val="0093196A"/>
    <w:rsid w:val="00937CD4"/>
    <w:rsid w:val="00942FBD"/>
    <w:rsid w:val="0094770B"/>
    <w:rsid w:val="00981135"/>
    <w:rsid w:val="00983A9F"/>
    <w:rsid w:val="00987E3F"/>
    <w:rsid w:val="009927C7"/>
    <w:rsid w:val="009A26C7"/>
    <w:rsid w:val="009B2267"/>
    <w:rsid w:val="009B48BC"/>
    <w:rsid w:val="009B6FE5"/>
    <w:rsid w:val="009C5F7C"/>
    <w:rsid w:val="009E0AE8"/>
    <w:rsid w:val="009E290E"/>
    <w:rsid w:val="009E5374"/>
    <w:rsid w:val="009F345D"/>
    <w:rsid w:val="00A04F08"/>
    <w:rsid w:val="00A11304"/>
    <w:rsid w:val="00A12C27"/>
    <w:rsid w:val="00A13218"/>
    <w:rsid w:val="00A2161A"/>
    <w:rsid w:val="00A227A3"/>
    <w:rsid w:val="00A24737"/>
    <w:rsid w:val="00A33585"/>
    <w:rsid w:val="00A33F8E"/>
    <w:rsid w:val="00A41FA4"/>
    <w:rsid w:val="00A4547D"/>
    <w:rsid w:val="00A465D1"/>
    <w:rsid w:val="00A46FB7"/>
    <w:rsid w:val="00A606B3"/>
    <w:rsid w:val="00A60B73"/>
    <w:rsid w:val="00A62AB0"/>
    <w:rsid w:val="00A7043C"/>
    <w:rsid w:val="00A709D8"/>
    <w:rsid w:val="00A737EC"/>
    <w:rsid w:val="00A80080"/>
    <w:rsid w:val="00A80C89"/>
    <w:rsid w:val="00AA10AE"/>
    <w:rsid w:val="00AA42E4"/>
    <w:rsid w:val="00AB023F"/>
    <w:rsid w:val="00AB32D2"/>
    <w:rsid w:val="00AB4951"/>
    <w:rsid w:val="00AB6A2D"/>
    <w:rsid w:val="00AD48C3"/>
    <w:rsid w:val="00AE45B3"/>
    <w:rsid w:val="00AE6638"/>
    <w:rsid w:val="00AE6BE2"/>
    <w:rsid w:val="00AF3C71"/>
    <w:rsid w:val="00B07007"/>
    <w:rsid w:val="00B16A31"/>
    <w:rsid w:val="00B22005"/>
    <w:rsid w:val="00B315A0"/>
    <w:rsid w:val="00B31B81"/>
    <w:rsid w:val="00B34A18"/>
    <w:rsid w:val="00B35608"/>
    <w:rsid w:val="00B468CE"/>
    <w:rsid w:val="00B523B2"/>
    <w:rsid w:val="00B537BB"/>
    <w:rsid w:val="00B579CB"/>
    <w:rsid w:val="00B60124"/>
    <w:rsid w:val="00B61376"/>
    <w:rsid w:val="00B626CD"/>
    <w:rsid w:val="00B70083"/>
    <w:rsid w:val="00B814D1"/>
    <w:rsid w:val="00B85D6F"/>
    <w:rsid w:val="00B95B4E"/>
    <w:rsid w:val="00B95FD9"/>
    <w:rsid w:val="00BB28F6"/>
    <w:rsid w:val="00BB402F"/>
    <w:rsid w:val="00BB4980"/>
    <w:rsid w:val="00BC2609"/>
    <w:rsid w:val="00BC4E26"/>
    <w:rsid w:val="00BC5414"/>
    <w:rsid w:val="00BE1017"/>
    <w:rsid w:val="00BE1244"/>
    <w:rsid w:val="00BE1F19"/>
    <w:rsid w:val="00BF32A3"/>
    <w:rsid w:val="00C01BCF"/>
    <w:rsid w:val="00C11471"/>
    <w:rsid w:val="00C13145"/>
    <w:rsid w:val="00C2321C"/>
    <w:rsid w:val="00C25168"/>
    <w:rsid w:val="00C302F1"/>
    <w:rsid w:val="00C605EF"/>
    <w:rsid w:val="00C66C0C"/>
    <w:rsid w:val="00C767EB"/>
    <w:rsid w:val="00C93E0A"/>
    <w:rsid w:val="00C957A3"/>
    <w:rsid w:val="00CA1625"/>
    <w:rsid w:val="00CB6A8F"/>
    <w:rsid w:val="00CD17D8"/>
    <w:rsid w:val="00CD4503"/>
    <w:rsid w:val="00CE750F"/>
    <w:rsid w:val="00CF01F8"/>
    <w:rsid w:val="00CF6232"/>
    <w:rsid w:val="00CF6647"/>
    <w:rsid w:val="00D03AA0"/>
    <w:rsid w:val="00D06BDA"/>
    <w:rsid w:val="00D160CB"/>
    <w:rsid w:val="00D245A1"/>
    <w:rsid w:val="00D334F2"/>
    <w:rsid w:val="00D35265"/>
    <w:rsid w:val="00D415E2"/>
    <w:rsid w:val="00D42055"/>
    <w:rsid w:val="00D54860"/>
    <w:rsid w:val="00D579AD"/>
    <w:rsid w:val="00D63217"/>
    <w:rsid w:val="00D647C3"/>
    <w:rsid w:val="00D66100"/>
    <w:rsid w:val="00D7097F"/>
    <w:rsid w:val="00D753B8"/>
    <w:rsid w:val="00D842EF"/>
    <w:rsid w:val="00D92A29"/>
    <w:rsid w:val="00D94856"/>
    <w:rsid w:val="00D951E3"/>
    <w:rsid w:val="00D9633A"/>
    <w:rsid w:val="00DD6A3C"/>
    <w:rsid w:val="00DF2386"/>
    <w:rsid w:val="00DF7FE7"/>
    <w:rsid w:val="00E16E57"/>
    <w:rsid w:val="00E35230"/>
    <w:rsid w:val="00E46367"/>
    <w:rsid w:val="00E62471"/>
    <w:rsid w:val="00E63F0B"/>
    <w:rsid w:val="00E64868"/>
    <w:rsid w:val="00E74D40"/>
    <w:rsid w:val="00E77C02"/>
    <w:rsid w:val="00E80457"/>
    <w:rsid w:val="00E84D2E"/>
    <w:rsid w:val="00EA3A7F"/>
    <w:rsid w:val="00EB645E"/>
    <w:rsid w:val="00EC0D3A"/>
    <w:rsid w:val="00ED44FE"/>
    <w:rsid w:val="00EE78F6"/>
    <w:rsid w:val="00EF4156"/>
    <w:rsid w:val="00F0135D"/>
    <w:rsid w:val="00F078F1"/>
    <w:rsid w:val="00F205AE"/>
    <w:rsid w:val="00F22812"/>
    <w:rsid w:val="00F23C2B"/>
    <w:rsid w:val="00F32D03"/>
    <w:rsid w:val="00F344DE"/>
    <w:rsid w:val="00F36D2B"/>
    <w:rsid w:val="00F36F68"/>
    <w:rsid w:val="00F37B57"/>
    <w:rsid w:val="00F413A2"/>
    <w:rsid w:val="00F43B44"/>
    <w:rsid w:val="00F52894"/>
    <w:rsid w:val="00F641FA"/>
    <w:rsid w:val="00F70414"/>
    <w:rsid w:val="00F714FC"/>
    <w:rsid w:val="00F73BBD"/>
    <w:rsid w:val="00F73E71"/>
    <w:rsid w:val="00FA4FE9"/>
    <w:rsid w:val="00FC1A36"/>
    <w:rsid w:val="00FC1A59"/>
    <w:rsid w:val="00FC5D69"/>
    <w:rsid w:val="00FD64D1"/>
    <w:rsid w:val="00FE6A6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DE47EDF-7CAE-4159-A9AE-8A58C0A4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7D368A"/>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FDFB-1502-4558-9C52-61855420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JENNINGS Edmund</cp:lastModifiedBy>
  <cp:revision>2</cp:revision>
  <cp:lastPrinted>2016-10-06T13:08:00Z</cp:lastPrinted>
  <dcterms:created xsi:type="dcterms:W3CDTF">2018-10-27T16:43:00Z</dcterms:created>
  <dcterms:modified xsi:type="dcterms:W3CDTF">2018-10-27T16:43:00Z</dcterms:modified>
</cp:coreProperties>
</file>