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D9" w:rsidRPr="00717EE0" w:rsidRDefault="00845BD9" w:rsidP="00845BD9">
      <w:pPr>
        <w:ind w:right="14"/>
        <w:jc w:val="center"/>
        <w:outlineLvl w:val="0"/>
        <w:rPr>
          <w:rFonts w:cstheme="majorHAnsi"/>
          <w:b/>
          <w:bCs/>
          <w:sz w:val="24"/>
          <w:szCs w:val="24"/>
          <w:lang w:val="fr-FR"/>
        </w:rPr>
      </w:pPr>
      <w:bookmarkStart w:id="0" w:name="_GoBack"/>
      <w:r w:rsidRPr="00717EE0">
        <w:rPr>
          <w:rFonts w:cstheme="majorHAnsi"/>
          <w:b/>
          <w:bCs/>
          <w:noProof/>
          <w:sz w:val="24"/>
          <w:szCs w:val="24"/>
          <w:lang w:eastAsia="en-GB"/>
        </w:rPr>
        <w:drawing>
          <wp:anchor distT="0" distB="0" distL="114300" distR="114300" simplePos="0" relativeHeight="251659264" behindDoc="1" locked="0" layoutInCell="1" allowOverlap="1" wp14:anchorId="4938E382" wp14:editId="267CD270">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bookmarkEnd w:id="0"/>
      <w:r w:rsidRPr="00717EE0">
        <w:rPr>
          <w:rFonts w:cstheme="majorHAnsi"/>
          <w:b/>
          <w:bCs/>
          <w:sz w:val="24"/>
          <w:szCs w:val="24"/>
          <w:lang w:val="fr-FR"/>
        </w:rPr>
        <w:t>13</w:t>
      </w:r>
      <w:r w:rsidRPr="00717EE0">
        <w:rPr>
          <w:rFonts w:cstheme="majorHAnsi"/>
          <w:b/>
          <w:bCs/>
          <w:sz w:val="24"/>
          <w:szCs w:val="24"/>
          <w:vertAlign w:val="superscript"/>
          <w:lang w:val="fr-FR"/>
        </w:rPr>
        <w:t>e</w:t>
      </w:r>
      <w:r w:rsidRPr="00717EE0">
        <w:rPr>
          <w:rFonts w:cstheme="majorHAnsi"/>
          <w:b/>
          <w:bCs/>
          <w:sz w:val="24"/>
          <w:szCs w:val="24"/>
          <w:lang w:val="fr-FR"/>
        </w:rPr>
        <w:t xml:space="preserve"> Session de la Conférence des Parties contractantes </w:t>
      </w:r>
    </w:p>
    <w:p w:rsidR="00845BD9" w:rsidRPr="00717EE0" w:rsidRDefault="00845BD9" w:rsidP="00845BD9">
      <w:pPr>
        <w:ind w:right="14"/>
        <w:jc w:val="center"/>
        <w:outlineLvl w:val="0"/>
        <w:rPr>
          <w:rFonts w:cstheme="majorHAnsi"/>
          <w:b/>
          <w:bCs/>
          <w:sz w:val="24"/>
          <w:szCs w:val="24"/>
          <w:lang w:val="fr-FR"/>
        </w:rPr>
      </w:pPr>
      <w:r w:rsidRPr="00717EE0">
        <w:rPr>
          <w:rFonts w:cstheme="majorHAnsi"/>
          <w:b/>
          <w:bCs/>
          <w:sz w:val="24"/>
          <w:szCs w:val="24"/>
          <w:lang w:val="fr-FR"/>
        </w:rPr>
        <w:t>à la Convention de Ramsar sur les zones humides</w:t>
      </w:r>
    </w:p>
    <w:p w:rsidR="00845BD9" w:rsidRPr="0016013A" w:rsidRDefault="00845BD9" w:rsidP="00845BD9">
      <w:pPr>
        <w:ind w:right="14"/>
        <w:jc w:val="center"/>
        <w:outlineLvl w:val="0"/>
        <w:rPr>
          <w:rFonts w:cstheme="majorHAnsi"/>
          <w:b/>
          <w:bCs/>
          <w:lang w:val="fr-FR"/>
        </w:rPr>
      </w:pPr>
    </w:p>
    <w:p w:rsidR="00845BD9" w:rsidRPr="00717EE0" w:rsidRDefault="00845BD9" w:rsidP="00845BD9">
      <w:pPr>
        <w:ind w:right="14"/>
        <w:jc w:val="center"/>
        <w:outlineLvl w:val="0"/>
        <w:rPr>
          <w:rFonts w:cstheme="majorHAnsi"/>
          <w:b/>
          <w:bCs/>
          <w:sz w:val="24"/>
          <w:szCs w:val="24"/>
          <w:lang w:val="fr-FR"/>
        </w:rPr>
      </w:pPr>
      <w:r w:rsidRPr="00717EE0">
        <w:rPr>
          <w:rFonts w:cstheme="majorHAnsi"/>
          <w:b/>
          <w:bCs/>
          <w:sz w:val="24"/>
          <w:szCs w:val="24"/>
          <w:lang w:val="fr-FR"/>
        </w:rPr>
        <w:t>« Les zones humides pour un avenir urbain durable »</w:t>
      </w:r>
    </w:p>
    <w:p w:rsidR="00845BD9" w:rsidRPr="0016013A" w:rsidRDefault="00845BD9" w:rsidP="00845BD9">
      <w:pPr>
        <w:ind w:right="14"/>
        <w:jc w:val="center"/>
        <w:outlineLvl w:val="0"/>
        <w:rPr>
          <w:rFonts w:cstheme="majorHAnsi"/>
          <w:b/>
          <w:bCs/>
          <w:lang w:val="fr-FR"/>
        </w:rPr>
      </w:pPr>
      <w:r w:rsidRPr="00717EE0">
        <w:rPr>
          <w:rFonts w:cstheme="majorHAnsi"/>
          <w:b/>
          <w:bCs/>
          <w:sz w:val="24"/>
          <w:szCs w:val="24"/>
          <w:lang w:val="fr-FR"/>
        </w:rPr>
        <w:t>Dubaï, Émirats arabes unis, 21 au 29 octobre 2018</w:t>
      </w:r>
    </w:p>
    <w:p w:rsidR="00845BD9" w:rsidRDefault="00845BD9" w:rsidP="00845BD9">
      <w:pPr>
        <w:ind w:right="17"/>
        <w:jc w:val="center"/>
        <w:outlineLvl w:val="0"/>
        <w:rPr>
          <w:rFonts w:cstheme="majorHAnsi"/>
          <w:b/>
          <w:bCs/>
          <w:sz w:val="28"/>
          <w:szCs w:val="28"/>
          <w:lang w:val="fr-FR"/>
        </w:rPr>
      </w:pPr>
    </w:p>
    <w:p w:rsidR="00845BD9" w:rsidRDefault="00845BD9" w:rsidP="00845BD9">
      <w:pPr>
        <w:ind w:right="17"/>
        <w:jc w:val="center"/>
        <w:outlineLvl w:val="0"/>
        <w:rPr>
          <w:rFonts w:cstheme="majorHAnsi"/>
          <w:b/>
          <w:bCs/>
          <w:sz w:val="28"/>
          <w:szCs w:val="28"/>
          <w:lang w:val="fr-FR"/>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845BD9" w:rsidRPr="0016013A" w:rsidTr="005B257E">
        <w:tc>
          <w:tcPr>
            <w:tcW w:w="4708" w:type="dxa"/>
          </w:tcPr>
          <w:p w:rsidR="00845BD9" w:rsidRPr="0016013A" w:rsidRDefault="00845BD9" w:rsidP="005B257E">
            <w:pPr>
              <w:ind w:right="17"/>
              <w:jc w:val="center"/>
              <w:outlineLvl w:val="0"/>
              <w:rPr>
                <w:rFonts w:cstheme="majorHAnsi"/>
                <w:b/>
                <w:bCs/>
                <w:lang w:val="fr-FR"/>
              </w:rPr>
            </w:pPr>
          </w:p>
        </w:tc>
        <w:tc>
          <w:tcPr>
            <w:tcW w:w="4652" w:type="dxa"/>
          </w:tcPr>
          <w:p w:rsidR="00845BD9" w:rsidRPr="00717EE0" w:rsidRDefault="0053021B" w:rsidP="00845BD9">
            <w:pPr>
              <w:ind w:right="67"/>
              <w:jc w:val="right"/>
              <w:outlineLvl w:val="0"/>
              <w:rPr>
                <w:rFonts w:cstheme="majorHAnsi"/>
                <w:b/>
                <w:bCs/>
                <w:sz w:val="24"/>
                <w:szCs w:val="24"/>
                <w:lang w:val="fr-FR"/>
              </w:rPr>
            </w:pPr>
            <w:r w:rsidRPr="0053021B">
              <w:rPr>
                <w:rFonts w:cstheme="majorHAnsi"/>
                <w:b/>
                <w:bCs/>
                <w:sz w:val="24"/>
                <w:szCs w:val="24"/>
                <w:lang w:val="fr-FR"/>
              </w:rPr>
              <w:t>Ramsar COP13 Doc.18.4</w:t>
            </w:r>
          </w:p>
        </w:tc>
      </w:tr>
    </w:tbl>
    <w:p w:rsidR="00845BD9" w:rsidRPr="0016013A" w:rsidRDefault="00845BD9" w:rsidP="00845BD9">
      <w:pPr>
        <w:rPr>
          <w:b/>
          <w:sz w:val="28"/>
          <w:szCs w:val="28"/>
          <w:lang w:val="fr-FR"/>
        </w:rPr>
      </w:pPr>
    </w:p>
    <w:p w:rsidR="00DF2386" w:rsidRDefault="00845BD9" w:rsidP="0053021B">
      <w:pPr>
        <w:ind w:right="16"/>
        <w:jc w:val="center"/>
        <w:rPr>
          <w:rFonts w:cs="Arial"/>
          <w:b/>
          <w:sz w:val="28"/>
          <w:szCs w:val="28"/>
          <w:lang w:val="fr-CA"/>
        </w:rPr>
      </w:pPr>
      <w:r w:rsidRPr="0016013A">
        <w:rPr>
          <w:b/>
          <w:sz w:val="28"/>
          <w:szCs w:val="28"/>
          <w:lang w:val="fr-FR"/>
        </w:rPr>
        <w:t xml:space="preserve">Projet de résolution </w:t>
      </w:r>
      <w:r w:rsidR="0053021B">
        <w:rPr>
          <w:b/>
          <w:sz w:val="28"/>
          <w:szCs w:val="28"/>
          <w:lang w:val="fr-FR"/>
        </w:rPr>
        <w:t>sur la s</w:t>
      </w:r>
      <w:r w:rsidR="005D0AB8" w:rsidRPr="00B8612B">
        <w:rPr>
          <w:rFonts w:cs="Arial"/>
          <w:b/>
          <w:sz w:val="28"/>
          <w:szCs w:val="28"/>
          <w:lang w:val="fr-CA"/>
        </w:rPr>
        <w:t>tratégie pour les langues</w:t>
      </w:r>
      <w:r w:rsidR="00726820" w:rsidRPr="00726820">
        <w:rPr>
          <w:rFonts w:cs="Arial"/>
          <w:b/>
          <w:sz w:val="28"/>
          <w:szCs w:val="28"/>
          <w:lang w:val="fr-CA"/>
        </w:rPr>
        <w:t xml:space="preserve"> </w:t>
      </w:r>
      <w:r w:rsidR="00726820">
        <w:rPr>
          <w:rFonts w:cs="Arial"/>
          <w:b/>
          <w:sz w:val="28"/>
          <w:szCs w:val="28"/>
          <w:lang w:val="fr-CA"/>
        </w:rPr>
        <w:t xml:space="preserve">de la Convention </w:t>
      </w:r>
    </w:p>
    <w:p w:rsidR="0053021B" w:rsidRPr="00B8612B" w:rsidRDefault="0053021B" w:rsidP="0053021B">
      <w:pPr>
        <w:ind w:right="16"/>
        <w:jc w:val="center"/>
        <w:rPr>
          <w:rFonts w:cs="Arial"/>
          <w:b/>
          <w:sz w:val="28"/>
          <w:szCs w:val="28"/>
          <w:lang w:val="fr-CA"/>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9C0D51" w:rsidRPr="009C0D51" w:rsidTr="00FA38D5">
        <w:tc>
          <w:tcPr>
            <w:tcW w:w="9360" w:type="dxa"/>
          </w:tcPr>
          <w:p w:rsidR="009C0D51" w:rsidRPr="00B8612B" w:rsidRDefault="009C0D51" w:rsidP="009C0D51">
            <w:pPr>
              <w:rPr>
                <w:b/>
                <w:bCs/>
                <w:lang w:val="fr-CA"/>
              </w:rPr>
            </w:pPr>
            <w:r>
              <w:rPr>
                <w:b/>
                <w:bCs/>
                <w:lang w:val="fr-CA"/>
              </w:rPr>
              <w:t>Note du Secrétariat</w:t>
            </w:r>
            <w:r w:rsidRPr="00B8612B">
              <w:rPr>
                <w:b/>
                <w:bCs/>
                <w:lang w:val="fr-CA"/>
              </w:rPr>
              <w:t xml:space="preserve"> </w:t>
            </w:r>
          </w:p>
          <w:p w:rsidR="009C0D51" w:rsidRPr="00B8612B" w:rsidRDefault="009C0D51" w:rsidP="009C0D51">
            <w:pPr>
              <w:pStyle w:val="ColorfulList-Accent11"/>
              <w:ind w:left="0"/>
              <w:rPr>
                <w:lang w:val="fr-CA"/>
              </w:rPr>
            </w:pPr>
          </w:p>
          <w:p w:rsidR="009C0D51" w:rsidRPr="009C0D51" w:rsidRDefault="009C0D51" w:rsidP="009C0D51">
            <w:pPr>
              <w:pStyle w:val="ColorfulList-Accent11"/>
              <w:ind w:left="0" w:firstLine="0"/>
              <w:rPr>
                <w:rFonts w:asciiTheme="minorHAnsi" w:hAnsiTheme="minorHAnsi"/>
                <w:highlight w:val="yellow"/>
                <w:lang w:val="fr-CA"/>
              </w:rPr>
            </w:pPr>
            <w:r>
              <w:rPr>
                <w:lang w:val="fr-CA"/>
              </w:rPr>
              <w:t>À sa 54</w:t>
            </w:r>
            <w:r w:rsidRPr="00845BD9">
              <w:rPr>
                <w:vertAlign w:val="superscript"/>
                <w:lang w:val="fr-CA"/>
              </w:rPr>
              <w:t>e</w:t>
            </w:r>
            <w:r>
              <w:rPr>
                <w:lang w:val="fr-CA"/>
              </w:rPr>
              <w:t xml:space="preserve"> Réunion, après débat et plusieurs propositions d’amendement, le Comité permanent a donné instruction au Secrétariat, dans la Décision SC54-18, </w:t>
            </w:r>
            <w:r w:rsidRPr="00845BD9">
              <w:rPr>
                <w:lang w:val="fr-CA"/>
              </w:rPr>
              <w:t>de réviser, finaliser et publier le projet de résolution contenu dans le document SC54-Com.1 pour examen à la COP13, sans autre amendement sur le fond.</w:t>
            </w:r>
            <w:r>
              <w:rPr>
                <w:lang w:val="fr-CA"/>
              </w:rPr>
              <w:t xml:space="preserve"> Le texte est présenté ici comme projet de résolution à part entière pour tenir compte de la préférence exprimée au Comité permanent, avec la suppression des paragraphes obsolètes de la Résolution XII.3</w:t>
            </w:r>
            <w:r w:rsidRPr="00B8612B">
              <w:rPr>
                <w:rFonts w:asciiTheme="minorHAnsi" w:hAnsiTheme="minorHAnsi" w:cs="Calibri"/>
                <w:lang w:val="fr-CA"/>
              </w:rPr>
              <w:t>.</w:t>
            </w:r>
          </w:p>
        </w:tc>
      </w:tr>
    </w:tbl>
    <w:p w:rsidR="009C0D51" w:rsidRPr="009C0D51" w:rsidRDefault="009C0D51" w:rsidP="00014168">
      <w:pPr>
        <w:rPr>
          <w:rFonts w:cs="Arial"/>
          <w:b/>
          <w:lang w:val="fr-FR"/>
        </w:rPr>
      </w:pPr>
    </w:p>
    <w:p w:rsidR="009E0AE8" w:rsidRPr="009C0D51" w:rsidRDefault="009E0AE8" w:rsidP="00014168">
      <w:pPr>
        <w:rPr>
          <w:rFonts w:cs="Arial"/>
          <w:b/>
          <w:lang w:val="fr-FR"/>
        </w:rPr>
      </w:pPr>
    </w:p>
    <w:p w:rsidR="007D368A" w:rsidRPr="000F2B8C" w:rsidRDefault="007D368A" w:rsidP="00C15189">
      <w:pPr>
        <w:rPr>
          <w:rFonts w:cs="Arial"/>
          <w:lang w:val="fr-CA"/>
        </w:rPr>
      </w:pPr>
      <w:r w:rsidRPr="000F2B8C">
        <w:rPr>
          <w:rFonts w:cs="Arial"/>
          <w:lang w:val="fr-CA"/>
        </w:rPr>
        <w:t>1.</w:t>
      </w:r>
      <w:r w:rsidR="00F70414" w:rsidRPr="000F2B8C">
        <w:rPr>
          <w:rFonts w:cs="Arial"/>
          <w:lang w:val="fr-CA"/>
        </w:rPr>
        <w:tab/>
      </w:r>
      <w:r w:rsidRPr="000F2B8C">
        <w:rPr>
          <w:rFonts w:cs="Arial"/>
          <w:lang w:val="fr-CA"/>
        </w:rPr>
        <w:t>R</w:t>
      </w:r>
      <w:r w:rsidR="00B77777">
        <w:rPr>
          <w:rFonts w:cs="Arial"/>
          <w:lang w:val="fr-CA"/>
        </w:rPr>
        <w:t>APPELANT que, dans la Résolution </w:t>
      </w:r>
      <w:r w:rsidRPr="000F2B8C">
        <w:rPr>
          <w:rFonts w:cs="Arial"/>
          <w:lang w:val="fr-CA"/>
        </w:rPr>
        <w:t>XI.1</w:t>
      </w:r>
      <w:r w:rsidR="00D842EF" w:rsidRPr="000F2B8C">
        <w:rPr>
          <w:rFonts w:cs="Arial"/>
          <w:lang w:val="fr-CA"/>
        </w:rPr>
        <w:t>, adopt</w:t>
      </w:r>
      <w:r w:rsidR="00B77777">
        <w:rPr>
          <w:rFonts w:cs="Arial"/>
          <w:lang w:val="fr-CA"/>
        </w:rPr>
        <w:t>ée à sa 11</w:t>
      </w:r>
      <w:r w:rsidR="00B77777" w:rsidRPr="00B77777">
        <w:rPr>
          <w:rFonts w:cs="Arial"/>
          <w:vertAlign w:val="superscript"/>
          <w:lang w:val="fr-CA"/>
        </w:rPr>
        <w:t>e</w:t>
      </w:r>
      <w:r w:rsidR="00B77777">
        <w:rPr>
          <w:rFonts w:cs="Arial"/>
          <w:lang w:val="fr-CA"/>
        </w:rPr>
        <w:t xml:space="preserve"> Session </w:t>
      </w:r>
      <w:r w:rsidR="00D842EF" w:rsidRPr="000F2B8C">
        <w:rPr>
          <w:rFonts w:cs="Arial"/>
          <w:lang w:val="fr-CA"/>
        </w:rPr>
        <w:t xml:space="preserve">(Bucarest, 2012), </w:t>
      </w:r>
      <w:r w:rsidR="00B77777">
        <w:rPr>
          <w:rFonts w:cs="Arial"/>
          <w:lang w:val="fr-CA"/>
        </w:rPr>
        <w:t xml:space="preserve">la Conférence des Parties </w:t>
      </w:r>
      <w:r w:rsidR="00845BD9">
        <w:rPr>
          <w:rFonts w:cs="Arial"/>
          <w:lang w:val="fr-CA"/>
        </w:rPr>
        <w:t xml:space="preserve">contractantes </w:t>
      </w:r>
      <w:r w:rsidR="00B77777">
        <w:rPr>
          <w:rFonts w:cs="Arial"/>
          <w:lang w:val="fr-CA"/>
        </w:rPr>
        <w:t xml:space="preserve">a donné instruction au Comité permanent, avec la participation de toutes les Parties intéressées, </w:t>
      </w:r>
      <w:r w:rsidR="00C15189" w:rsidRPr="000F2B8C">
        <w:rPr>
          <w:rFonts w:cs="Arial"/>
          <w:lang w:val="fr-CA"/>
        </w:rPr>
        <w:t>d’explorer l’intégration des langues des Nations Unies dans la Convention, le renforcement de la visibilité et de la stature de Ramsar, notamment par l’amélioration de l’engagement politique de haut niveau dans les travaux de la Convention aux niveaux national, régional et mondial, le renforcement des synergies avec les accords multilatéraux sur l’environnement (AME) et autres entités internationales, notamment dans le cadre des Initiatives régionales et une participation accrue aux initiatives et programmes du Programme des Nations Unies pour l’environnement (PNUE)</w:t>
      </w:r>
      <w:r w:rsidR="00D35265" w:rsidRPr="000F2B8C">
        <w:rPr>
          <w:rFonts w:cs="Arial"/>
          <w:lang w:val="fr-CA"/>
        </w:rPr>
        <w:t>;</w:t>
      </w:r>
    </w:p>
    <w:p w:rsidR="007D368A" w:rsidRPr="000F2B8C" w:rsidRDefault="007D368A" w:rsidP="004E1A8C">
      <w:pPr>
        <w:rPr>
          <w:rFonts w:cs="Arial"/>
          <w:lang w:val="fr-CA"/>
        </w:rPr>
      </w:pPr>
    </w:p>
    <w:p w:rsidR="00B814D1" w:rsidRPr="000F2B8C" w:rsidRDefault="00F70414" w:rsidP="00A33585">
      <w:pPr>
        <w:rPr>
          <w:rFonts w:cs="Arial"/>
          <w:lang w:val="fr-CA"/>
        </w:rPr>
      </w:pPr>
      <w:r w:rsidRPr="000F2B8C">
        <w:rPr>
          <w:rFonts w:cs="Arial"/>
          <w:lang w:val="fr-CA"/>
        </w:rPr>
        <w:t>2.</w:t>
      </w:r>
      <w:r w:rsidR="00B814D1" w:rsidRPr="000F2B8C">
        <w:rPr>
          <w:rFonts w:cs="Arial"/>
          <w:lang w:val="fr-CA"/>
        </w:rPr>
        <w:tab/>
      </w:r>
      <w:r w:rsidR="00CF01F8" w:rsidRPr="000F2B8C">
        <w:rPr>
          <w:rFonts w:cs="Arial"/>
          <w:lang w:val="fr-CA"/>
        </w:rPr>
        <w:t>R</w:t>
      </w:r>
      <w:r w:rsidR="00B77777">
        <w:rPr>
          <w:rFonts w:cs="Arial"/>
          <w:lang w:val="fr-CA"/>
        </w:rPr>
        <w:t>APPELANT AUSSI que</w:t>
      </w:r>
      <w:r w:rsidR="00F169AB">
        <w:rPr>
          <w:rFonts w:cs="Arial"/>
          <w:lang w:val="fr-CA"/>
        </w:rPr>
        <w:t xml:space="preserve"> dans</w:t>
      </w:r>
      <w:r w:rsidR="00B77777">
        <w:rPr>
          <w:rFonts w:cs="Arial"/>
          <w:lang w:val="fr-CA"/>
        </w:rPr>
        <w:t xml:space="preserve"> la Résolution </w:t>
      </w:r>
      <w:r w:rsidR="007D368A" w:rsidRPr="000F2B8C">
        <w:rPr>
          <w:rFonts w:cs="Arial"/>
          <w:lang w:val="fr-CA"/>
        </w:rPr>
        <w:t>X</w:t>
      </w:r>
      <w:r w:rsidR="00B814D1" w:rsidRPr="000F2B8C">
        <w:rPr>
          <w:rFonts w:cs="Arial"/>
          <w:lang w:val="fr-CA"/>
        </w:rPr>
        <w:t>I</w:t>
      </w:r>
      <w:r w:rsidR="007D368A" w:rsidRPr="000F2B8C">
        <w:rPr>
          <w:rFonts w:cs="Arial"/>
          <w:lang w:val="fr-CA"/>
        </w:rPr>
        <w:t>I.</w:t>
      </w:r>
      <w:r w:rsidR="003443A3" w:rsidRPr="000F2B8C">
        <w:rPr>
          <w:rFonts w:cs="Arial"/>
          <w:lang w:val="fr-CA"/>
        </w:rPr>
        <w:t>3</w:t>
      </w:r>
      <w:r w:rsidR="00B814D1" w:rsidRPr="000F2B8C">
        <w:rPr>
          <w:rFonts w:cs="Arial"/>
          <w:lang w:val="fr-CA"/>
        </w:rPr>
        <w:t xml:space="preserve">, </w:t>
      </w:r>
      <w:r w:rsidR="00D03AA0" w:rsidRPr="000F2B8C">
        <w:rPr>
          <w:rFonts w:cs="Arial"/>
          <w:lang w:val="fr-CA"/>
        </w:rPr>
        <w:t>adopt</w:t>
      </w:r>
      <w:r w:rsidR="00B77777">
        <w:rPr>
          <w:rFonts w:cs="Arial"/>
          <w:lang w:val="fr-CA"/>
        </w:rPr>
        <w:t xml:space="preserve">ée à </w:t>
      </w:r>
      <w:r w:rsidR="00AB1B41">
        <w:rPr>
          <w:rFonts w:cs="Arial"/>
          <w:lang w:val="fr-CA"/>
        </w:rPr>
        <w:t>s</w:t>
      </w:r>
      <w:r w:rsidR="00B77777">
        <w:rPr>
          <w:rFonts w:cs="Arial"/>
          <w:lang w:val="fr-CA"/>
        </w:rPr>
        <w:t>a 12</w:t>
      </w:r>
      <w:r w:rsidR="00B77777" w:rsidRPr="00B77777">
        <w:rPr>
          <w:rFonts w:cs="Arial"/>
          <w:vertAlign w:val="superscript"/>
          <w:lang w:val="fr-CA"/>
        </w:rPr>
        <w:t>e</w:t>
      </w:r>
      <w:r w:rsidR="00B77777">
        <w:rPr>
          <w:rFonts w:cs="Arial"/>
          <w:lang w:val="fr-CA"/>
        </w:rPr>
        <w:t> Session</w:t>
      </w:r>
      <w:r w:rsidR="008E769D">
        <w:rPr>
          <w:rFonts w:cs="Arial"/>
          <w:lang w:val="fr-CA"/>
        </w:rPr>
        <w:t xml:space="preserve"> (Punta del Este, </w:t>
      </w:r>
      <w:r w:rsidR="00D03AA0" w:rsidRPr="000F2B8C">
        <w:rPr>
          <w:rFonts w:cs="Arial"/>
          <w:lang w:val="fr-CA"/>
        </w:rPr>
        <w:t>2015)</w:t>
      </w:r>
      <w:r w:rsidR="00B77777">
        <w:rPr>
          <w:rFonts w:cs="Arial"/>
          <w:lang w:val="fr-CA"/>
        </w:rPr>
        <w:t>,</w:t>
      </w:r>
      <w:r w:rsidR="00D03AA0" w:rsidRPr="000F2B8C">
        <w:rPr>
          <w:rFonts w:cs="Arial"/>
          <w:lang w:val="fr-CA"/>
        </w:rPr>
        <w:t xml:space="preserve"> </w:t>
      </w:r>
      <w:r w:rsidR="00B77777">
        <w:rPr>
          <w:rFonts w:cs="Arial"/>
          <w:lang w:val="fr-CA"/>
        </w:rPr>
        <w:t xml:space="preserve">la Conférence des Parties </w:t>
      </w:r>
      <w:r w:rsidR="00AB1B41">
        <w:rPr>
          <w:rFonts w:cs="Arial"/>
          <w:lang w:val="fr-CA"/>
        </w:rPr>
        <w:t>demandait</w:t>
      </w:r>
      <w:r w:rsidR="00B77777">
        <w:rPr>
          <w:rFonts w:cs="Arial"/>
          <w:lang w:val="fr-CA"/>
        </w:rPr>
        <w:t xml:space="preserve"> au Secrétariat d’élaborer une stratégie et un projet de résolution sur l’utilisation de la langue arabe par la Convention et l’intégration progressive des langues existantes de la Convention, </w:t>
      </w:r>
      <w:r w:rsidR="00AB1B41">
        <w:rPr>
          <w:rFonts w:cs="Arial"/>
          <w:lang w:val="fr-CA"/>
        </w:rPr>
        <w:t>et</w:t>
      </w:r>
      <w:r w:rsidR="00B77777">
        <w:rPr>
          <w:rFonts w:cs="Arial"/>
          <w:lang w:val="fr-CA"/>
        </w:rPr>
        <w:t xml:space="preserve"> demandait au Comité permanent de soumettre ses recommandations à la 13</w:t>
      </w:r>
      <w:r w:rsidR="00B77777" w:rsidRPr="00B77777">
        <w:rPr>
          <w:rFonts w:cs="Arial"/>
          <w:vertAlign w:val="superscript"/>
          <w:lang w:val="fr-CA"/>
        </w:rPr>
        <w:t>e</w:t>
      </w:r>
      <w:r w:rsidR="00B77777">
        <w:rPr>
          <w:rFonts w:cs="Arial"/>
          <w:lang w:val="fr-CA"/>
        </w:rPr>
        <w:t> Session de la Conférence des Parties contractantes</w:t>
      </w:r>
      <w:r w:rsidR="00845BD9">
        <w:rPr>
          <w:rFonts w:cs="Arial"/>
          <w:lang w:val="fr-CA"/>
        </w:rPr>
        <w:t xml:space="preserve"> (COP13)</w:t>
      </w:r>
      <w:r w:rsidR="00B77777">
        <w:rPr>
          <w:rFonts w:cs="Arial"/>
          <w:lang w:val="fr-CA"/>
        </w:rPr>
        <w:t xml:space="preserve">; </w:t>
      </w:r>
    </w:p>
    <w:p w:rsidR="007D368A" w:rsidRPr="000F2B8C" w:rsidRDefault="007D368A" w:rsidP="004E1A8C">
      <w:pPr>
        <w:rPr>
          <w:rFonts w:cs="Arial"/>
          <w:lang w:val="fr-CA"/>
        </w:rPr>
      </w:pPr>
    </w:p>
    <w:p w:rsidR="00D579AD" w:rsidRPr="000F2B8C" w:rsidRDefault="00F37B57" w:rsidP="004E1A8C">
      <w:pPr>
        <w:rPr>
          <w:rFonts w:cs="Arial"/>
          <w:lang w:val="fr-CA"/>
        </w:rPr>
      </w:pPr>
      <w:r w:rsidRPr="000F2B8C">
        <w:rPr>
          <w:rFonts w:cs="Arial"/>
          <w:lang w:val="fr-CA"/>
        </w:rPr>
        <w:t>3</w:t>
      </w:r>
      <w:r w:rsidR="00AF3C71" w:rsidRPr="000F2B8C">
        <w:rPr>
          <w:rFonts w:cs="Arial"/>
          <w:lang w:val="fr-CA"/>
        </w:rPr>
        <w:t>.</w:t>
      </w:r>
      <w:r w:rsidR="00AF3C71" w:rsidRPr="000F2B8C">
        <w:rPr>
          <w:rFonts w:cs="Arial"/>
          <w:lang w:val="fr-CA"/>
        </w:rPr>
        <w:tab/>
      </w:r>
      <w:r w:rsidR="00B77777">
        <w:rPr>
          <w:rFonts w:cs="Arial"/>
          <w:lang w:val="fr-CA"/>
        </w:rPr>
        <w:t xml:space="preserve">RECONNAISSANT que des contraintes financières ont empêché </w:t>
      </w:r>
      <w:r w:rsidR="00AB1B41">
        <w:rPr>
          <w:rFonts w:cs="Arial"/>
          <w:lang w:val="fr-CA"/>
        </w:rPr>
        <w:t xml:space="preserve">de fournir </w:t>
      </w:r>
      <w:r w:rsidR="00B77777">
        <w:rPr>
          <w:rFonts w:cs="Arial"/>
          <w:lang w:val="fr-CA"/>
        </w:rPr>
        <w:t xml:space="preserve">un service linguistique </w:t>
      </w:r>
      <w:r w:rsidR="00AB1B41">
        <w:rPr>
          <w:rFonts w:cs="Arial"/>
          <w:lang w:val="fr-CA"/>
        </w:rPr>
        <w:t>total</w:t>
      </w:r>
      <w:r w:rsidR="00B77777">
        <w:rPr>
          <w:rFonts w:cs="Arial"/>
          <w:lang w:val="fr-CA"/>
        </w:rPr>
        <w:t xml:space="preserve"> et égal </w:t>
      </w:r>
      <w:r w:rsidR="00AB1B41">
        <w:rPr>
          <w:rFonts w:cs="Arial"/>
          <w:lang w:val="fr-CA"/>
        </w:rPr>
        <w:t>dans</w:t>
      </w:r>
      <w:r w:rsidR="00B77777">
        <w:rPr>
          <w:rFonts w:cs="Arial"/>
          <w:lang w:val="fr-CA"/>
        </w:rPr>
        <w:t xml:space="preserve"> les langues officielles de la Convention, l’anglais, le français et l’espagnol; </w:t>
      </w:r>
    </w:p>
    <w:p w:rsidR="00D579AD" w:rsidRPr="000F2B8C" w:rsidRDefault="00D579AD" w:rsidP="004E1A8C">
      <w:pPr>
        <w:rPr>
          <w:rFonts w:cs="Arial"/>
          <w:lang w:val="fr-CA"/>
        </w:rPr>
      </w:pPr>
    </w:p>
    <w:p w:rsidR="00E84D2E" w:rsidRPr="000F2B8C" w:rsidRDefault="00F37B57" w:rsidP="004E1A8C">
      <w:pPr>
        <w:rPr>
          <w:rFonts w:cs="Arial"/>
          <w:lang w:val="fr-CA"/>
        </w:rPr>
      </w:pPr>
      <w:r w:rsidRPr="000F2B8C">
        <w:rPr>
          <w:rFonts w:cs="Arial"/>
          <w:lang w:val="fr-CA"/>
        </w:rPr>
        <w:t>4</w:t>
      </w:r>
      <w:r w:rsidR="00F70414" w:rsidRPr="000F2B8C">
        <w:rPr>
          <w:rFonts w:cs="Arial"/>
          <w:lang w:val="fr-CA"/>
        </w:rPr>
        <w:t>.</w:t>
      </w:r>
      <w:r w:rsidR="00F70414" w:rsidRPr="000F2B8C">
        <w:rPr>
          <w:rFonts w:cs="Arial"/>
          <w:lang w:val="fr-CA"/>
        </w:rPr>
        <w:tab/>
      </w:r>
      <w:r w:rsidR="00AF3C71" w:rsidRPr="000F2B8C">
        <w:rPr>
          <w:rFonts w:cs="Arial"/>
          <w:lang w:val="fr-CA"/>
        </w:rPr>
        <w:t>CONSID</w:t>
      </w:r>
      <w:r w:rsidR="00B77777">
        <w:rPr>
          <w:rFonts w:cs="Arial"/>
          <w:lang w:val="fr-CA"/>
        </w:rPr>
        <w:t xml:space="preserve">ÉRANT que l’utilisation de langues additionnelles, en particulier l’arabe, dans les travaux quotidiens de la Convention, pourrait encourager l’engagement d’un plus grand nombre de Parties contractantes </w:t>
      </w:r>
      <w:r w:rsidR="00AB1B41">
        <w:rPr>
          <w:rFonts w:cs="Arial"/>
          <w:lang w:val="fr-CA"/>
        </w:rPr>
        <w:t>auprès de</w:t>
      </w:r>
      <w:r w:rsidR="00B77777">
        <w:rPr>
          <w:rFonts w:cs="Arial"/>
          <w:lang w:val="fr-CA"/>
        </w:rPr>
        <w:t xml:space="preserve"> la Convention et aider les Parties contractantes à sensibiliser </w:t>
      </w:r>
      <w:r w:rsidR="00AB1B41">
        <w:rPr>
          <w:rFonts w:cs="Arial"/>
          <w:lang w:val="fr-CA"/>
        </w:rPr>
        <w:t xml:space="preserve">à la Convention </w:t>
      </w:r>
      <w:r w:rsidR="00B77777">
        <w:rPr>
          <w:rFonts w:cs="Arial"/>
          <w:lang w:val="fr-CA"/>
        </w:rPr>
        <w:t xml:space="preserve">et à </w:t>
      </w:r>
      <w:r w:rsidR="00AB1B41">
        <w:rPr>
          <w:rFonts w:cs="Arial"/>
          <w:lang w:val="fr-CA"/>
        </w:rPr>
        <w:t xml:space="preserve">en </w:t>
      </w:r>
      <w:r w:rsidR="00B77777">
        <w:rPr>
          <w:rFonts w:cs="Arial"/>
          <w:lang w:val="fr-CA"/>
        </w:rPr>
        <w:t>améliorer l</w:t>
      </w:r>
      <w:r w:rsidR="00AB1B41">
        <w:rPr>
          <w:rFonts w:cs="Arial"/>
          <w:lang w:val="fr-CA"/>
        </w:rPr>
        <w:t>’</w:t>
      </w:r>
      <w:r w:rsidR="00B77777">
        <w:rPr>
          <w:rFonts w:cs="Arial"/>
          <w:lang w:val="fr-CA"/>
        </w:rPr>
        <w:t>application</w:t>
      </w:r>
      <w:r w:rsidR="00E84D2E" w:rsidRPr="000F2B8C">
        <w:rPr>
          <w:rFonts w:cs="Arial"/>
          <w:lang w:val="fr-CA"/>
        </w:rPr>
        <w:t>;</w:t>
      </w:r>
    </w:p>
    <w:p w:rsidR="007F0985" w:rsidRPr="000F2B8C" w:rsidRDefault="007F0985" w:rsidP="00F37B57">
      <w:pPr>
        <w:rPr>
          <w:rFonts w:cs="Arial"/>
          <w:lang w:val="fr-CA"/>
        </w:rPr>
      </w:pPr>
    </w:p>
    <w:p w:rsidR="007F0985" w:rsidRPr="000F2B8C" w:rsidRDefault="00B22005" w:rsidP="00E62471">
      <w:pPr>
        <w:rPr>
          <w:rFonts w:cs="Arial"/>
          <w:lang w:val="fr-CA"/>
        </w:rPr>
      </w:pPr>
      <w:r w:rsidRPr="000F2B8C">
        <w:rPr>
          <w:rFonts w:cs="Arial"/>
          <w:lang w:val="fr-CA"/>
        </w:rPr>
        <w:t>5.</w:t>
      </w:r>
      <w:r w:rsidRPr="000F2B8C">
        <w:rPr>
          <w:rFonts w:cs="Arial"/>
          <w:lang w:val="fr-CA"/>
        </w:rPr>
        <w:tab/>
      </w:r>
      <w:r w:rsidR="007F0985" w:rsidRPr="000F2B8C">
        <w:rPr>
          <w:rFonts w:cs="Arial"/>
          <w:lang w:val="fr-CA"/>
        </w:rPr>
        <w:t>NOT</w:t>
      </w:r>
      <w:r w:rsidR="00B77777">
        <w:rPr>
          <w:rFonts w:cs="Arial"/>
          <w:lang w:val="fr-CA"/>
        </w:rPr>
        <w:t xml:space="preserve">ANT l’intérêt exprimé par un nombre croissant de pays arabophones </w:t>
      </w:r>
      <w:r w:rsidR="00AB1B41">
        <w:rPr>
          <w:rFonts w:cs="Arial"/>
          <w:lang w:val="fr-CA"/>
        </w:rPr>
        <w:t xml:space="preserve">pour l’adhésion à la Convention </w:t>
      </w:r>
      <w:r w:rsidR="00B77777">
        <w:rPr>
          <w:rFonts w:cs="Arial"/>
          <w:lang w:val="fr-CA"/>
        </w:rPr>
        <w:t xml:space="preserve">et un intérêt accru </w:t>
      </w:r>
      <w:r w:rsidR="00AB1B41">
        <w:rPr>
          <w:rFonts w:cs="Arial"/>
          <w:lang w:val="fr-CA"/>
        </w:rPr>
        <w:t>pour</w:t>
      </w:r>
      <w:r w:rsidR="00B77777">
        <w:rPr>
          <w:rFonts w:cs="Arial"/>
          <w:lang w:val="fr-CA"/>
        </w:rPr>
        <w:t xml:space="preserve"> l’application de la Convention par les Parties contractantes arabophones;</w:t>
      </w:r>
    </w:p>
    <w:p w:rsidR="007F0985" w:rsidRPr="000F2B8C" w:rsidRDefault="007F0985" w:rsidP="00E62471">
      <w:pPr>
        <w:rPr>
          <w:rFonts w:cs="Arial"/>
          <w:lang w:val="fr-CA"/>
        </w:rPr>
      </w:pPr>
    </w:p>
    <w:p w:rsidR="007F0985" w:rsidRPr="000F2B8C" w:rsidRDefault="00027BE9" w:rsidP="00E62471">
      <w:pPr>
        <w:rPr>
          <w:rFonts w:cs="Arial"/>
          <w:lang w:val="fr-CA"/>
        </w:rPr>
      </w:pPr>
      <w:r w:rsidRPr="000F2B8C">
        <w:rPr>
          <w:rFonts w:cs="Arial"/>
          <w:lang w:val="fr-CA"/>
        </w:rPr>
        <w:t>6.</w:t>
      </w:r>
      <w:r w:rsidRPr="000F2B8C">
        <w:rPr>
          <w:rFonts w:cs="Arial"/>
          <w:lang w:val="fr-CA"/>
        </w:rPr>
        <w:tab/>
      </w:r>
      <w:r w:rsidR="007F0985" w:rsidRPr="000F2B8C">
        <w:rPr>
          <w:rFonts w:cs="Arial"/>
          <w:lang w:val="fr-CA"/>
        </w:rPr>
        <w:t>APPR</w:t>
      </w:r>
      <w:r w:rsidR="00B77777">
        <w:rPr>
          <w:rFonts w:cs="Arial"/>
          <w:lang w:val="fr-CA"/>
        </w:rPr>
        <w:t xml:space="preserve">ÉCIANT </w:t>
      </w:r>
      <w:r w:rsidR="00F307B5">
        <w:rPr>
          <w:rFonts w:cs="Arial"/>
          <w:lang w:val="fr-CA"/>
        </w:rPr>
        <w:t>la diversité</w:t>
      </w:r>
      <w:r w:rsidR="00B77777">
        <w:rPr>
          <w:rFonts w:cs="Arial"/>
          <w:lang w:val="fr-CA"/>
        </w:rPr>
        <w:t xml:space="preserve"> des types de zones humides particuliers tels que </w:t>
      </w:r>
      <w:r w:rsidR="006F0B97">
        <w:rPr>
          <w:rFonts w:cs="Arial"/>
          <w:lang w:val="fr-CA"/>
        </w:rPr>
        <w:t xml:space="preserve">les </w:t>
      </w:r>
      <w:r w:rsidR="00B77777">
        <w:rPr>
          <w:rFonts w:cs="Arial"/>
          <w:lang w:val="fr-CA"/>
        </w:rPr>
        <w:t>oueds, les sebkhas et les oasis des pays arabophones et le fait que ces zones humides sont sous</w:t>
      </w:r>
      <w:r w:rsidR="00B77777">
        <w:rPr>
          <w:rFonts w:cs="Arial"/>
          <w:lang w:val="fr-CA"/>
        </w:rPr>
        <w:noBreakHyphen/>
        <w:t xml:space="preserve">représentées parmi les Sites Ramsar du réseau, ainsi que la présence d’organisations et de personnes dans cette région qui ont une expérience de la conservation et de l’utilisation rationnelle des zones humides et dont la contribution serait </w:t>
      </w:r>
      <w:r w:rsidR="00F307B5">
        <w:rPr>
          <w:rFonts w:cs="Arial"/>
          <w:lang w:val="fr-CA"/>
        </w:rPr>
        <w:t>utile au renforcement de</w:t>
      </w:r>
      <w:r w:rsidR="00B77777">
        <w:rPr>
          <w:rFonts w:cs="Arial"/>
          <w:lang w:val="fr-CA"/>
        </w:rPr>
        <w:t xml:space="preserve"> l’application de la Convention;</w:t>
      </w:r>
    </w:p>
    <w:p w:rsidR="007F0985" w:rsidRPr="000F2B8C" w:rsidRDefault="007F0985" w:rsidP="00E62471">
      <w:pPr>
        <w:rPr>
          <w:rFonts w:cs="Arial"/>
          <w:lang w:val="fr-CA"/>
        </w:rPr>
      </w:pPr>
    </w:p>
    <w:p w:rsidR="007F0985" w:rsidRPr="000F2B8C" w:rsidRDefault="00027BE9" w:rsidP="00E62471">
      <w:pPr>
        <w:rPr>
          <w:rFonts w:cs="Arial"/>
          <w:lang w:val="fr-CA"/>
        </w:rPr>
      </w:pPr>
      <w:r w:rsidRPr="001F41A4">
        <w:rPr>
          <w:rFonts w:cs="Arial"/>
          <w:lang w:val="fr-CA"/>
        </w:rPr>
        <w:t>7.</w:t>
      </w:r>
      <w:r w:rsidR="007347ED" w:rsidRPr="001F41A4">
        <w:rPr>
          <w:rFonts w:cs="Arial"/>
          <w:lang w:val="fr-CA"/>
        </w:rPr>
        <w:tab/>
      </w:r>
      <w:r w:rsidR="00244D44" w:rsidRPr="001F41A4">
        <w:rPr>
          <w:rFonts w:cs="Arial"/>
          <w:lang w:val="fr-CA"/>
        </w:rPr>
        <w:t>CONSCIENTE de</w:t>
      </w:r>
      <w:r w:rsidR="001F41A4" w:rsidRPr="001F41A4">
        <w:rPr>
          <w:rFonts w:cs="Arial"/>
          <w:lang w:val="fr-CA"/>
        </w:rPr>
        <w:t>s différentes</w:t>
      </w:r>
      <w:r w:rsidR="00244D44" w:rsidRPr="001F41A4">
        <w:rPr>
          <w:rFonts w:cs="Arial"/>
          <w:lang w:val="fr-CA"/>
        </w:rPr>
        <w:t xml:space="preserve"> pressions pesant sur les zones humides dans les pays arabophones et d’autres pays, à la lumière des demandes croissantes d</w:t>
      </w:r>
      <w:r w:rsidR="001F41A4" w:rsidRPr="001F41A4">
        <w:rPr>
          <w:rFonts w:cs="Arial"/>
          <w:lang w:val="fr-CA"/>
        </w:rPr>
        <w:t>’une</w:t>
      </w:r>
      <w:r w:rsidR="00244D44" w:rsidRPr="001F41A4">
        <w:rPr>
          <w:rFonts w:cs="Arial"/>
          <w:lang w:val="fr-CA"/>
        </w:rPr>
        <w:t xml:space="preserve"> population en expansion d</w:t>
      </w:r>
      <w:r w:rsidR="001F41A4" w:rsidRPr="001F41A4">
        <w:rPr>
          <w:rFonts w:cs="Arial"/>
          <w:lang w:val="fr-CA"/>
        </w:rPr>
        <w:t>ans</w:t>
      </w:r>
      <w:r w:rsidR="00244D44" w:rsidRPr="001F41A4">
        <w:rPr>
          <w:rFonts w:cs="Arial"/>
          <w:lang w:val="fr-CA"/>
        </w:rPr>
        <w:t xml:space="preserve"> cette région</w:t>
      </w:r>
      <w:r w:rsidR="001F41A4" w:rsidRPr="001F41A4">
        <w:rPr>
          <w:rFonts w:cs="Arial"/>
          <w:lang w:val="fr-CA"/>
        </w:rPr>
        <w:t>,</w:t>
      </w:r>
      <w:r w:rsidR="00244D44" w:rsidRPr="001F41A4">
        <w:rPr>
          <w:rFonts w:cs="Arial"/>
          <w:lang w:val="fr-CA"/>
        </w:rPr>
        <w:t xml:space="preserve"> de la disponibilité de l’eau </w:t>
      </w:r>
      <w:r w:rsidR="001F41A4" w:rsidRPr="001F41A4">
        <w:rPr>
          <w:rFonts w:cs="Arial"/>
          <w:lang w:val="fr-CA"/>
        </w:rPr>
        <w:t>tributaire de changements dans le régime des</w:t>
      </w:r>
      <w:r w:rsidR="00244D44" w:rsidRPr="001F41A4">
        <w:rPr>
          <w:rFonts w:cs="Arial"/>
          <w:lang w:val="fr-CA"/>
        </w:rPr>
        <w:t xml:space="preserve"> précipitations</w:t>
      </w:r>
      <w:r w:rsidR="00F307B5" w:rsidRPr="001F41A4">
        <w:rPr>
          <w:rFonts w:cs="Arial"/>
          <w:lang w:val="fr-CA"/>
        </w:rPr>
        <w:t>,</w:t>
      </w:r>
      <w:r w:rsidR="00244D44" w:rsidRPr="001F41A4">
        <w:rPr>
          <w:rFonts w:cs="Arial"/>
          <w:lang w:val="fr-CA"/>
        </w:rPr>
        <w:t xml:space="preserve"> de structures d’utilisation non durable et </w:t>
      </w:r>
      <w:r w:rsidR="001F41A4" w:rsidRPr="001F41A4">
        <w:rPr>
          <w:rFonts w:cs="Arial"/>
          <w:lang w:val="fr-CA"/>
        </w:rPr>
        <w:t>d</w:t>
      </w:r>
      <w:r w:rsidR="00244D44" w:rsidRPr="001F41A4">
        <w:rPr>
          <w:rFonts w:cs="Arial"/>
          <w:lang w:val="fr-CA"/>
        </w:rPr>
        <w:t>e</w:t>
      </w:r>
      <w:r w:rsidR="001F41A4" w:rsidRPr="001F41A4">
        <w:rPr>
          <w:rFonts w:cs="Arial"/>
          <w:lang w:val="fr-CA"/>
        </w:rPr>
        <w:t xml:space="preserve"> l’évolution du climat</w:t>
      </w:r>
      <w:r w:rsidR="00244D44" w:rsidRPr="001F41A4">
        <w:rPr>
          <w:rFonts w:cs="Arial"/>
          <w:lang w:val="fr-CA"/>
        </w:rPr>
        <w:t>;</w:t>
      </w:r>
      <w:r w:rsidR="00244D44">
        <w:rPr>
          <w:rFonts w:cs="Arial"/>
          <w:lang w:val="fr-CA"/>
        </w:rPr>
        <w:t xml:space="preserve"> </w:t>
      </w:r>
    </w:p>
    <w:p w:rsidR="00CB6A8F" w:rsidRPr="000F2B8C" w:rsidRDefault="00CB6A8F" w:rsidP="00CB6A8F">
      <w:pPr>
        <w:rPr>
          <w:rFonts w:cs="Arial"/>
          <w:lang w:val="fr-CA"/>
        </w:rPr>
      </w:pPr>
    </w:p>
    <w:p w:rsidR="00CB6A8F" w:rsidRPr="000F2B8C" w:rsidRDefault="00027BE9" w:rsidP="00CB6A8F">
      <w:pPr>
        <w:rPr>
          <w:rFonts w:cs="Arial"/>
          <w:lang w:val="fr-CA"/>
        </w:rPr>
      </w:pPr>
      <w:r w:rsidRPr="000F2B8C">
        <w:rPr>
          <w:rFonts w:cs="Arial"/>
          <w:lang w:val="fr-CA"/>
        </w:rPr>
        <w:t>8</w:t>
      </w:r>
      <w:r w:rsidR="00CB6A8F" w:rsidRPr="000F2B8C">
        <w:rPr>
          <w:rFonts w:cs="Arial"/>
          <w:lang w:val="fr-CA"/>
        </w:rPr>
        <w:t>.</w:t>
      </w:r>
      <w:r w:rsidR="00CB6A8F" w:rsidRPr="000F2B8C">
        <w:rPr>
          <w:rFonts w:cs="Arial"/>
          <w:lang w:val="fr-CA"/>
        </w:rPr>
        <w:tab/>
        <w:t>APP</w:t>
      </w:r>
      <w:r w:rsidR="00A46A31">
        <w:rPr>
          <w:rFonts w:cs="Arial"/>
          <w:lang w:val="fr-CA"/>
        </w:rPr>
        <w:t>R</w:t>
      </w:r>
      <w:r w:rsidR="00244D44">
        <w:rPr>
          <w:rFonts w:cs="Arial"/>
          <w:lang w:val="fr-CA"/>
        </w:rPr>
        <w:t xml:space="preserve">ÉCIANT les travaux du Comité permanent et de son </w:t>
      </w:r>
      <w:r w:rsidR="001F41A4">
        <w:rPr>
          <w:rFonts w:cs="Arial"/>
          <w:lang w:val="fr-CA"/>
        </w:rPr>
        <w:t>g</w:t>
      </w:r>
      <w:r w:rsidR="00244D44">
        <w:rPr>
          <w:rFonts w:cs="Arial"/>
          <w:lang w:val="fr-CA"/>
        </w:rPr>
        <w:t xml:space="preserve">roupe de travail sur la stratégie pour les langues pour leurs travaux concernant l’élaboration d’une stratégie pour les langues pour la Convention; </w:t>
      </w:r>
    </w:p>
    <w:p w:rsidR="007F0985" w:rsidRPr="000F2B8C" w:rsidRDefault="007F0985" w:rsidP="007F0985">
      <w:pPr>
        <w:suppressAutoHyphens/>
        <w:ind w:left="426" w:hanging="426"/>
        <w:rPr>
          <w:rFonts w:asciiTheme="minorHAnsi" w:hAnsiTheme="minorHAnsi"/>
          <w:lang w:val="fr-CA"/>
        </w:rPr>
      </w:pPr>
    </w:p>
    <w:p w:rsidR="001A4E43" w:rsidRPr="00726820" w:rsidRDefault="00845BD9" w:rsidP="00845BD9">
      <w:pPr>
        <w:jc w:val="center"/>
        <w:rPr>
          <w:rFonts w:cs="Arial"/>
          <w:lang w:val="fr-CA"/>
        </w:rPr>
      </w:pPr>
      <w:r w:rsidRPr="00726820">
        <w:rPr>
          <w:rFonts w:cs="Arial"/>
          <w:lang w:val="fr-CA"/>
        </w:rPr>
        <w:t xml:space="preserve">LA CONFÉRENCE DES </w:t>
      </w:r>
      <w:r w:rsidR="00726820" w:rsidRPr="00726820">
        <w:rPr>
          <w:rFonts w:cs="Arial"/>
          <w:lang w:val="fr-CA"/>
        </w:rPr>
        <w:t>PARTIES CONTRACTANTES</w:t>
      </w:r>
    </w:p>
    <w:p w:rsidR="001A4E43" w:rsidRPr="000F2B8C" w:rsidRDefault="001A4E43" w:rsidP="00880240">
      <w:pPr>
        <w:rPr>
          <w:rFonts w:cs="Arial"/>
          <w:lang w:val="fr-CA"/>
        </w:rPr>
      </w:pPr>
    </w:p>
    <w:p w:rsidR="003B7EF8" w:rsidRPr="000F2B8C" w:rsidRDefault="00726820" w:rsidP="00880240">
      <w:pPr>
        <w:rPr>
          <w:rFonts w:cs="Arial"/>
          <w:lang w:val="fr-CA"/>
        </w:rPr>
      </w:pPr>
      <w:r>
        <w:rPr>
          <w:rFonts w:cs="Arial"/>
          <w:lang w:val="fr-CA"/>
        </w:rPr>
        <w:t>9</w:t>
      </w:r>
      <w:r w:rsidR="00880240" w:rsidRPr="000F2B8C">
        <w:rPr>
          <w:rFonts w:cs="Arial"/>
          <w:lang w:val="fr-CA"/>
        </w:rPr>
        <w:t>.</w:t>
      </w:r>
      <w:r w:rsidR="00880240" w:rsidRPr="000F2B8C">
        <w:rPr>
          <w:rFonts w:cs="Arial"/>
          <w:lang w:val="fr-CA"/>
        </w:rPr>
        <w:tab/>
      </w:r>
      <w:r w:rsidR="008B4622" w:rsidRPr="000F2B8C">
        <w:rPr>
          <w:rFonts w:cs="Arial"/>
          <w:lang w:val="fr-CA"/>
        </w:rPr>
        <w:t>ADOPT</w:t>
      </w:r>
      <w:r w:rsidR="00244D44">
        <w:rPr>
          <w:rFonts w:cs="Arial"/>
          <w:lang w:val="fr-CA"/>
        </w:rPr>
        <w:t xml:space="preserve">E la </w:t>
      </w:r>
      <w:r>
        <w:rPr>
          <w:rFonts w:cs="Arial"/>
          <w:lang w:val="fr-CA"/>
        </w:rPr>
        <w:t>S</w:t>
      </w:r>
      <w:r w:rsidR="00244D44">
        <w:rPr>
          <w:rFonts w:cs="Arial"/>
          <w:lang w:val="fr-CA"/>
        </w:rPr>
        <w:t xml:space="preserve">tratégie pour les langues </w:t>
      </w:r>
      <w:r>
        <w:rPr>
          <w:rFonts w:cs="Arial"/>
          <w:lang w:val="fr-CA"/>
        </w:rPr>
        <w:t xml:space="preserve">de la Convention de Ramsar </w:t>
      </w:r>
      <w:r w:rsidR="00244D44">
        <w:rPr>
          <w:rFonts w:cs="Arial"/>
          <w:lang w:val="fr-CA"/>
        </w:rPr>
        <w:t xml:space="preserve">sur les zones humides présentée en annexe 1. </w:t>
      </w:r>
      <w:r w:rsidR="008B4622" w:rsidRPr="000F2B8C">
        <w:rPr>
          <w:rFonts w:cs="Arial"/>
          <w:lang w:val="fr-CA"/>
        </w:rPr>
        <w:t xml:space="preserve"> </w:t>
      </w:r>
    </w:p>
    <w:p w:rsidR="003B7EF8" w:rsidRPr="000F2B8C" w:rsidRDefault="003B7EF8" w:rsidP="00880240">
      <w:pPr>
        <w:rPr>
          <w:rFonts w:cs="Arial"/>
          <w:lang w:val="fr-CA"/>
        </w:rPr>
      </w:pPr>
    </w:p>
    <w:p w:rsidR="00886384" w:rsidRPr="00886384" w:rsidRDefault="00726820" w:rsidP="00886384">
      <w:pPr>
        <w:rPr>
          <w:rFonts w:cs="Arial"/>
          <w:lang w:val="fr-CA"/>
        </w:rPr>
      </w:pPr>
      <w:r>
        <w:rPr>
          <w:rFonts w:cs="Arial"/>
          <w:lang w:val="fr-CA"/>
        </w:rPr>
        <w:t>10</w:t>
      </w:r>
      <w:r w:rsidR="003B7EF8" w:rsidRPr="000F2B8C">
        <w:rPr>
          <w:rFonts w:cs="Arial"/>
          <w:lang w:val="fr-CA"/>
        </w:rPr>
        <w:t>.</w:t>
      </w:r>
      <w:r w:rsidR="003B7EF8" w:rsidRPr="000F2B8C">
        <w:rPr>
          <w:rFonts w:cs="Arial"/>
          <w:lang w:val="fr-CA"/>
        </w:rPr>
        <w:tab/>
      </w:r>
      <w:r w:rsidR="00886384" w:rsidRPr="00886384">
        <w:rPr>
          <w:rFonts w:cs="Arial"/>
          <w:lang w:val="fr-CA"/>
        </w:rPr>
        <w:t xml:space="preserve">ENCOURAGE les Parties contractantes à fournir la traduction des documents d’information Ramsar les plus importants dans leurs propres langues officielles et à </w:t>
      </w:r>
      <w:r w:rsidR="00543B76">
        <w:rPr>
          <w:rFonts w:cs="Arial"/>
          <w:lang w:val="fr-CA"/>
        </w:rPr>
        <w:t xml:space="preserve">communiquer ces documents au Secrétariat pour qu’il puisse les </w:t>
      </w:r>
      <w:r w:rsidR="00886384" w:rsidRPr="00886384">
        <w:rPr>
          <w:rFonts w:cs="Arial"/>
          <w:lang w:val="fr-CA"/>
        </w:rPr>
        <w:t>rendre accessible</w:t>
      </w:r>
      <w:r w:rsidR="00543B76">
        <w:rPr>
          <w:rFonts w:cs="Arial"/>
          <w:lang w:val="fr-CA"/>
        </w:rPr>
        <w:t>s</w:t>
      </w:r>
      <w:r w:rsidR="00886384" w:rsidRPr="00886384">
        <w:rPr>
          <w:rFonts w:cs="Arial"/>
          <w:lang w:val="fr-CA"/>
        </w:rPr>
        <w:t xml:space="preserve"> au public, sur le site web de </w:t>
      </w:r>
      <w:r>
        <w:rPr>
          <w:rFonts w:cs="Arial"/>
          <w:lang w:val="fr-CA"/>
        </w:rPr>
        <w:t xml:space="preserve">la Convention de </w:t>
      </w:r>
      <w:r w:rsidR="00886384" w:rsidRPr="00886384">
        <w:rPr>
          <w:rFonts w:cs="Arial"/>
          <w:lang w:val="fr-CA"/>
        </w:rPr>
        <w:t>Ramsar.</w:t>
      </w:r>
    </w:p>
    <w:p w:rsidR="00886384" w:rsidRPr="00886384" w:rsidRDefault="00886384" w:rsidP="00886384">
      <w:pPr>
        <w:rPr>
          <w:rFonts w:cs="Arial"/>
          <w:lang w:val="fr-CA"/>
        </w:rPr>
      </w:pPr>
    </w:p>
    <w:p w:rsidR="00726820" w:rsidRDefault="00726820" w:rsidP="00886384">
      <w:pPr>
        <w:rPr>
          <w:rFonts w:cs="Arial"/>
          <w:lang w:val="fr-CA"/>
        </w:rPr>
      </w:pPr>
      <w:r>
        <w:rPr>
          <w:rFonts w:cs="Arial"/>
          <w:lang w:val="fr-CA"/>
        </w:rPr>
        <w:t>11</w:t>
      </w:r>
      <w:r w:rsidR="00886384" w:rsidRPr="00886384">
        <w:rPr>
          <w:rFonts w:cs="Arial"/>
          <w:lang w:val="fr-CA"/>
        </w:rPr>
        <w:t>.</w:t>
      </w:r>
      <w:r w:rsidR="00886384" w:rsidRPr="00886384">
        <w:rPr>
          <w:rFonts w:cs="Arial"/>
          <w:lang w:val="fr-CA"/>
        </w:rPr>
        <w:tab/>
        <w:t>DONNE INSTRUCTION au Secrétariat, sous réserve des ressources disponibles, avec l’aide des Parties contractantes et des Centres régionaux</w:t>
      </w:r>
      <w:r>
        <w:rPr>
          <w:rFonts w:cs="Arial"/>
          <w:lang w:val="fr-CA"/>
        </w:rPr>
        <w:t xml:space="preserve"> Ramsar</w:t>
      </w:r>
      <w:r w:rsidR="00886384" w:rsidRPr="00886384">
        <w:rPr>
          <w:rFonts w:cs="Arial"/>
          <w:lang w:val="fr-CA"/>
        </w:rPr>
        <w:t>, et les orientations du Groupe de travail sur la gestion, de créer une bibliothèque en ligne de documents Ramsar traduits par les gouvernements, officiels et non officiels, accessibles au public et de faire rapport sur les progrès à la COP1</w:t>
      </w:r>
      <w:r>
        <w:rPr>
          <w:rFonts w:cs="Arial"/>
          <w:lang w:val="fr-CA"/>
        </w:rPr>
        <w:t>4</w:t>
      </w:r>
      <w:r w:rsidR="00886384" w:rsidRPr="00886384">
        <w:rPr>
          <w:rFonts w:cs="Arial"/>
          <w:lang w:val="fr-CA"/>
        </w:rPr>
        <w:t>; et DEMANDE aux Parties contractantes de communiquer ces documents au Secrétariat</w:t>
      </w:r>
      <w:r w:rsidR="00244D44">
        <w:rPr>
          <w:rFonts w:cs="Arial"/>
          <w:lang w:val="fr-CA"/>
        </w:rPr>
        <w:t>.</w:t>
      </w:r>
    </w:p>
    <w:p w:rsidR="00726820" w:rsidRDefault="00726820" w:rsidP="00886384">
      <w:pPr>
        <w:rPr>
          <w:rFonts w:cs="Arial"/>
          <w:lang w:val="fr-CA"/>
        </w:rPr>
      </w:pPr>
    </w:p>
    <w:p w:rsidR="003B7EF8" w:rsidRPr="000F2B8C" w:rsidRDefault="00726820" w:rsidP="00886384">
      <w:pPr>
        <w:rPr>
          <w:rFonts w:cs="Arial"/>
          <w:lang w:val="fr-CA"/>
        </w:rPr>
      </w:pPr>
      <w:r>
        <w:rPr>
          <w:rFonts w:cs="Arial"/>
          <w:lang w:val="fr-CA"/>
        </w:rPr>
        <w:t>12.</w:t>
      </w:r>
      <w:r>
        <w:rPr>
          <w:rFonts w:cs="Arial"/>
          <w:lang w:val="fr-CA"/>
        </w:rPr>
        <w:tab/>
        <w:t xml:space="preserve">ABROGE les paragraphes 6 à 11 et 26 à 31 de la Résolution XII.3, </w:t>
      </w:r>
      <w:r w:rsidRPr="00726820">
        <w:rPr>
          <w:rFonts w:cs="Arial"/>
          <w:i/>
          <w:lang w:val="fr-CA"/>
        </w:rPr>
        <w:t>Renforcer l’utilisation des langues, la visibilité et la stature de la Convention et améliorer les synergies avec d’autres accords multilatéraux sur l’environnement et autres institutions internationales</w:t>
      </w:r>
      <w:r>
        <w:rPr>
          <w:rFonts w:cs="Arial"/>
          <w:lang w:val="fr-CA"/>
        </w:rPr>
        <w:t xml:space="preserve">, et modifier l’intitulé comme suit : «Renforcer la visibilité et la stature de la </w:t>
      </w:r>
      <w:r w:rsidRPr="00726820">
        <w:rPr>
          <w:rFonts w:cs="Arial"/>
          <w:lang w:val="fr-CA"/>
        </w:rPr>
        <w:t>Convention et améliorer les synergies avec d’autres accords multilatéraux sur l’environnement et autres institutions internationales</w:t>
      </w:r>
      <w:r>
        <w:rPr>
          <w:rFonts w:cs="Arial"/>
          <w:lang w:val="fr-CA"/>
        </w:rPr>
        <w:t> ».  </w:t>
      </w:r>
      <w:r w:rsidR="00244D44">
        <w:rPr>
          <w:rFonts w:cs="Arial"/>
          <w:lang w:val="fr-CA"/>
        </w:rPr>
        <w:t xml:space="preserve">  </w:t>
      </w:r>
    </w:p>
    <w:p w:rsidR="008B4622" w:rsidRPr="000F2B8C" w:rsidRDefault="008B4622" w:rsidP="00880240">
      <w:pPr>
        <w:rPr>
          <w:rFonts w:cs="Arial"/>
          <w:lang w:val="fr-CA"/>
        </w:rPr>
      </w:pPr>
    </w:p>
    <w:p w:rsidR="00726820" w:rsidRPr="009C0D51" w:rsidRDefault="003B7EF8" w:rsidP="009C0D51">
      <w:pPr>
        <w:tabs>
          <w:tab w:val="left" w:pos="4005"/>
        </w:tabs>
        <w:rPr>
          <w:rFonts w:cs="Arial"/>
          <w:b/>
          <w:sz w:val="24"/>
          <w:szCs w:val="24"/>
          <w:lang w:val="fr-CA"/>
        </w:rPr>
      </w:pPr>
      <w:r w:rsidRPr="000F2B8C">
        <w:rPr>
          <w:rFonts w:cs="Arial"/>
          <w:lang w:val="fr-CA"/>
        </w:rPr>
        <w:br w:type="page"/>
      </w:r>
      <w:r w:rsidR="00726820" w:rsidRPr="009C0D51">
        <w:rPr>
          <w:rFonts w:cs="Arial"/>
          <w:b/>
          <w:sz w:val="24"/>
          <w:szCs w:val="24"/>
          <w:lang w:val="fr-CA"/>
        </w:rPr>
        <w:lastRenderedPageBreak/>
        <w:t>Annexe</w:t>
      </w:r>
      <w:r w:rsidR="00C01BCF" w:rsidRPr="009C0D51">
        <w:rPr>
          <w:rFonts w:cs="Arial"/>
          <w:b/>
          <w:sz w:val="24"/>
          <w:szCs w:val="24"/>
          <w:lang w:val="fr-CA"/>
        </w:rPr>
        <w:t xml:space="preserve"> 1</w:t>
      </w:r>
      <w:r w:rsidR="009C0D51" w:rsidRPr="009C0D51">
        <w:rPr>
          <w:rFonts w:cs="Arial"/>
          <w:b/>
          <w:sz w:val="24"/>
          <w:szCs w:val="24"/>
          <w:lang w:val="fr-CA"/>
        </w:rPr>
        <w:tab/>
      </w:r>
    </w:p>
    <w:p w:rsidR="00726820" w:rsidRPr="009C0D51" w:rsidRDefault="00726820" w:rsidP="00C01BCF">
      <w:pPr>
        <w:jc w:val="center"/>
        <w:rPr>
          <w:rFonts w:cs="Arial"/>
          <w:b/>
          <w:sz w:val="24"/>
          <w:szCs w:val="24"/>
          <w:lang w:val="fr-CA"/>
        </w:rPr>
      </w:pPr>
    </w:p>
    <w:p w:rsidR="00A12C27" w:rsidRPr="009C0D51" w:rsidRDefault="008E4CE3" w:rsidP="00726820">
      <w:pPr>
        <w:ind w:left="0" w:firstLine="0"/>
        <w:rPr>
          <w:rFonts w:cs="Arial"/>
          <w:b/>
          <w:sz w:val="24"/>
          <w:szCs w:val="24"/>
          <w:lang w:val="fr-CA"/>
        </w:rPr>
      </w:pPr>
      <w:r w:rsidRPr="009C0D51">
        <w:rPr>
          <w:rFonts w:cs="Arial"/>
          <w:b/>
          <w:sz w:val="24"/>
          <w:szCs w:val="24"/>
          <w:lang w:val="fr-CA"/>
        </w:rPr>
        <w:t xml:space="preserve">Stratégie pour les langues </w:t>
      </w:r>
      <w:r w:rsidR="00726820" w:rsidRPr="009C0D51">
        <w:rPr>
          <w:rFonts w:cs="Arial"/>
          <w:b/>
          <w:sz w:val="24"/>
          <w:szCs w:val="24"/>
          <w:lang w:val="fr-CA"/>
        </w:rPr>
        <w:t>de</w:t>
      </w:r>
      <w:r w:rsidRPr="009C0D51">
        <w:rPr>
          <w:rFonts w:cs="Arial"/>
          <w:b/>
          <w:sz w:val="24"/>
          <w:szCs w:val="24"/>
          <w:lang w:val="fr-CA"/>
        </w:rPr>
        <w:t xml:space="preserve"> la Convention de Ramsar sur les zones humides</w:t>
      </w:r>
    </w:p>
    <w:p w:rsidR="0001314C" w:rsidRPr="00CF75E5" w:rsidRDefault="0001314C" w:rsidP="00880240">
      <w:pPr>
        <w:rPr>
          <w:rFonts w:cs="Arial"/>
          <w:lang w:val="fr-CA"/>
        </w:rPr>
      </w:pPr>
    </w:p>
    <w:p w:rsidR="00BB402F" w:rsidRPr="00CF75E5" w:rsidRDefault="00BB402F" w:rsidP="00880240">
      <w:pPr>
        <w:rPr>
          <w:rFonts w:cs="Arial"/>
          <w:lang w:val="fr-CA"/>
        </w:rPr>
      </w:pPr>
    </w:p>
    <w:p w:rsidR="008A29B0" w:rsidRPr="00CF75E5" w:rsidRDefault="008E4CE3" w:rsidP="00880240">
      <w:pPr>
        <w:rPr>
          <w:rFonts w:cs="Arial"/>
          <w:u w:val="single"/>
          <w:lang w:val="fr-CA"/>
        </w:rPr>
      </w:pPr>
      <w:r>
        <w:rPr>
          <w:rFonts w:cs="Arial"/>
          <w:u w:val="single"/>
          <w:lang w:val="fr-CA"/>
        </w:rPr>
        <w:t>Principe de base</w:t>
      </w:r>
    </w:p>
    <w:p w:rsidR="00BB402F" w:rsidRPr="00CF75E5" w:rsidRDefault="00BB402F" w:rsidP="00880240">
      <w:pPr>
        <w:rPr>
          <w:rFonts w:cs="Arial"/>
          <w:lang w:val="fr-CA"/>
        </w:rPr>
      </w:pPr>
    </w:p>
    <w:p w:rsidR="00AA10AE" w:rsidRPr="00CF75E5" w:rsidRDefault="008E4CE3" w:rsidP="008A29B0">
      <w:pPr>
        <w:ind w:left="0" w:firstLine="0"/>
        <w:rPr>
          <w:rFonts w:cs="Arial"/>
          <w:lang w:val="fr-CA"/>
        </w:rPr>
      </w:pPr>
      <w:r>
        <w:rPr>
          <w:rFonts w:cs="Arial"/>
          <w:lang w:val="fr-CA"/>
        </w:rPr>
        <w:t xml:space="preserve">La Conférence des Parties contractantes à la Convention de Ramsar sur les zones humides reconnaît que l’utilisation de langues multiples dans les travaux de la Convention, des organes </w:t>
      </w:r>
      <w:r w:rsidR="00886384">
        <w:rPr>
          <w:rFonts w:cs="Arial"/>
          <w:lang w:val="fr-CA"/>
        </w:rPr>
        <w:t>directeurs</w:t>
      </w:r>
      <w:r>
        <w:rPr>
          <w:rFonts w:cs="Arial"/>
          <w:lang w:val="fr-CA"/>
        </w:rPr>
        <w:t xml:space="preserve"> et subsidiaires et du Secrétariat pourrait : aider à améliorer l’application de la Convention par les Parties; rendre la Convention plus accessible à un plus vaste public; et susciter de l’intérêt et un engagement de la part d’États non parties. Toutefois, comme c’est le cas pour d’autres conventions, les contraintes budgétaires ont empêché de fournir un service linguistique dans les six langues officielles des Nations Unies. </w:t>
      </w:r>
    </w:p>
    <w:p w:rsidR="00AA10AE" w:rsidRPr="00CF75E5" w:rsidRDefault="00AA10AE" w:rsidP="008A29B0">
      <w:pPr>
        <w:ind w:left="0" w:firstLine="0"/>
        <w:rPr>
          <w:rFonts w:cs="Arial"/>
          <w:lang w:val="fr-CA"/>
        </w:rPr>
      </w:pPr>
    </w:p>
    <w:p w:rsidR="00685A30" w:rsidRPr="00CF75E5" w:rsidRDefault="00AA49ED" w:rsidP="008A29B0">
      <w:pPr>
        <w:ind w:left="0" w:firstLine="0"/>
        <w:rPr>
          <w:rFonts w:cs="Arial"/>
          <w:lang w:val="fr-CA"/>
        </w:rPr>
      </w:pPr>
      <w:r>
        <w:rPr>
          <w:rFonts w:cs="Arial"/>
          <w:lang w:val="fr-CA"/>
        </w:rPr>
        <w:t xml:space="preserve">La Conférence des Parties contractantes convient que les principaux objectifs d’une stratégie linguistique sont : </w:t>
      </w:r>
    </w:p>
    <w:p w:rsidR="001352E8" w:rsidRPr="00CF75E5" w:rsidRDefault="00685A30" w:rsidP="00C605EF">
      <w:pPr>
        <w:rPr>
          <w:rFonts w:cs="Arial"/>
          <w:lang w:val="fr-CA"/>
        </w:rPr>
      </w:pPr>
      <w:r w:rsidRPr="00CF75E5">
        <w:rPr>
          <w:rFonts w:cs="Arial"/>
          <w:lang w:val="fr-CA"/>
        </w:rPr>
        <w:t>a)</w:t>
      </w:r>
      <w:r w:rsidRPr="00CF75E5">
        <w:rPr>
          <w:rFonts w:cs="Arial"/>
          <w:lang w:val="fr-CA"/>
        </w:rPr>
        <w:tab/>
      </w:r>
      <w:r w:rsidR="00AA49ED">
        <w:rPr>
          <w:rFonts w:cs="Arial"/>
          <w:lang w:val="fr-CA"/>
        </w:rPr>
        <w:t>un service linguistique égal pour l’anglais, le français et l’espagnol, qui sont les langues officielles de la Convention à partir de la 13</w:t>
      </w:r>
      <w:r w:rsidR="00AA49ED" w:rsidRPr="00AA49ED">
        <w:rPr>
          <w:rFonts w:cs="Arial"/>
          <w:vertAlign w:val="superscript"/>
          <w:lang w:val="fr-CA"/>
        </w:rPr>
        <w:t>e</w:t>
      </w:r>
      <w:r w:rsidR="00AA49ED">
        <w:rPr>
          <w:rFonts w:cs="Arial"/>
          <w:lang w:val="fr-CA"/>
        </w:rPr>
        <w:t> Session de la Conférence des Parties contractantes;</w:t>
      </w:r>
    </w:p>
    <w:p w:rsidR="001352E8" w:rsidRPr="00CF75E5" w:rsidRDefault="001352E8" w:rsidP="00C605EF">
      <w:pPr>
        <w:rPr>
          <w:rFonts w:cs="Arial"/>
          <w:lang w:val="fr-CA"/>
        </w:rPr>
      </w:pPr>
      <w:r w:rsidRPr="00CF75E5">
        <w:rPr>
          <w:rFonts w:cs="Arial"/>
          <w:lang w:val="fr-CA"/>
        </w:rPr>
        <w:t>b)</w:t>
      </w:r>
      <w:r w:rsidRPr="00CF75E5">
        <w:rPr>
          <w:rFonts w:cs="Arial"/>
          <w:lang w:val="fr-CA"/>
        </w:rPr>
        <w:tab/>
      </w:r>
      <w:r w:rsidR="00AA49ED">
        <w:rPr>
          <w:rFonts w:cs="Arial"/>
          <w:lang w:val="fr-CA"/>
        </w:rPr>
        <w:t>si</w:t>
      </w:r>
      <w:r w:rsidRPr="00CF75E5">
        <w:rPr>
          <w:rFonts w:cs="Arial"/>
          <w:lang w:val="fr-CA"/>
        </w:rPr>
        <w:t xml:space="preserve"> possible, </w:t>
      </w:r>
      <w:r w:rsidR="00AA49ED">
        <w:rPr>
          <w:rFonts w:cs="Arial"/>
          <w:lang w:val="fr-CA"/>
        </w:rPr>
        <w:t>l’</w:t>
      </w:r>
      <w:r w:rsidRPr="00CF75E5">
        <w:rPr>
          <w:rFonts w:cs="Arial"/>
          <w:lang w:val="fr-CA"/>
        </w:rPr>
        <w:t xml:space="preserve">introduction </w:t>
      </w:r>
      <w:r w:rsidR="00AA49ED">
        <w:rPr>
          <w:rFonts w:cs="Arial"/>
          <w:lang w:val="fr-CA"/>
        </w:rPr>
        <w:t>de l’arabe comme langue officielle.</w:t>
      </w:r>
    </w:p>
    <w:p w:rsidR="00BB402F" w:rsidRPr="00CF75E5" w:rsidRDefault="00BB402F" w:rsidP="001352E8">
      <w:pPr>
        <w:tabs>
          <w:tab w:val="left" w:pos="397"/>
          <w:tab w:val="left" w:pos="794"/>
          <w:tab w:val="left" w:pos="1191"/>
          <w:tab w:val="left" w:pos="1588"/>
          <w:tab w:val="left" w:pos="1985"/>
        </w:tabs>
        <w:ind w:left="794" w:hanging="794"/>
        <w:rPr>
          <w:rFonts w:cs="Arial"/>
          <w:lang w:val="fr-CA"/>
        </w:rPr>
      </w:pPr>
    </w:p>
    <w:p w:rsidR="00AA42E4" w:rsidRPr="00CF75E5" w:rsidRDefault="005E6228" w:rsidP="00AA42E4">
      <w:pPr>
        <w:ind w:left="0" w:firstLine="0"/>
        <w:rPr>
          <w:rFonts w:cs="Arial"/>
          <w:lang w:val="fr-CA"/>
        </w:rPr>
      </w:pPr>
      <w:r>
        <w:rPr>
          <w:rFonts w:cs="Arial"/>
          <w:lang w:val="fr-CA"/>
        </w:rPr>
        <w:t xml:space="preserve">Lorsqu’il y a des postes vacants au sein du Secrétariat, </w:t>
      </w:r>
      <w:r w:rsidRPr="00886384">
        <w:rPr>
          <w:rFonts w:cs="Arial"/>
          <w:lang w:val="fr-CA"/>
        </w:rPr>
        <w:t>le Secrétaire général</w:t>
      </w:r>
      <w:r>
        <w:rPr>
          <w:rFonts w:cs="Arial"/>
          <w:lang w:val="fr-CA"/>
        </w:rPr>
        <w:t xml:space="preserve"> devrait tenir compte des compétences linguistiques des candidats à ces postes, en vue de renforcer la capacité du Secrétariat à communiquer dans toutes les langues officielles.</w:t>
      </w:r>
    </w:p>
    <w:p w:rsidR="00857B9D" w:rsidRPr="00CF75E5" w:rsidRDefault="00857B9D" w:rsidP="00AA42E4">
      <w:pPr>
        <w:ind w:left="0" w:firstLine="0"/>
        <w:rPr>
          <w:rFonts w:cs="Arial"/>
          <w:lang w:val="fr-CA"/>
        </w:rPr>
      </w:pPr>
    </w:p>
    <w:p w:rsidR="00857B9D" w:rsidRPr="00CF75E5" w:rsidRDefault="005E6228" w:rsidP="00AA42E4">
      <w:pPr>
        <w:ind w:left="0" w:firstLine="0"/>
        <w:rPr>
          <w:rFonts w:cs="Arial"/>
          <w:lang w:val="fr-CA"/>
        </w:rPr>
      </w:pPr>
      <w:r>
        <w:rPr>
          <w:rFonts w:cs="Arial"/>
          <w:lang w:val="fr-CA"/>
        </w:rPr>
        <w:t xml:space="preserve">Le coût de la traduction de la documentation non officielle résultant de projets et d’activités financées par des fonds externes devrait aussi </w:t>
      </w:r>
      <w:r w:rsidR="00886384">
        <w:rPr>
          <w:rFonts w:cs="Arial"/>
          <w:lang w:val="fr-CA"/>
        </w:rPr>
        <w:t>provenir de</w:t>
      </w:r>
      <w:r>
        <w:rPr>
          <w:rFonts w:cs="Arial"/>
          <w:lang w:val="fr-CA"/>
        </w:rPr>
        <w:t xml:space="preserve"> fonds externes à moins que la Conférence des Parties ou le Comité permanent n’en décident autrement. </w:t>
      </w:r>
    </w:p>
    <w:p w:rsidR="00AA42E4" w:rsidRPr="00CF75E5" w:rsidRDefault="00AA42E4" w:rsidP="001352E8">
      <w:pPr>
        <w:tabs>
          <w:tab w:val="left" w:pos="397"/>
          <w:tab w:val="left" w:pos="794"/>
          <w:tab w:val="left" w:pos="1191"/>
          <w:tab w:val="left" w:pos="1588"/>
          <w:tab w:val="left" w:pos="1985"/>
        </w:tabs>
        <w:ind w:left="794" w:hanging="794"/>
        <w:rPr>
          <w:rFonts w:cs="Arial"/>
          <w:lang w:val="fr-CA"/>
        </w:rPr>
      </w:pPr>
    </w:p>
    <w:p w:rsidR="00BB402F" w:rsidRPr="00CF75E5" w:rsidRDefault="005E6228" w:rsidP="00880240">
      <w:pPr>
        <w:rPr>
          <w:rFonts w:cs="Arial"/>
          <w:u w:val="single"/>
          <w:lang w:val="fr-CA"/>
        </w:rPr>
      </w:pPr>
      <w:r>
        <w:rPr>
          <w:rFonts w:cs="Arial"/>
          <w:u w:val="single"/>
          <w:lang w:val="fr-CA"/>
        </w:rPr>
        <w:t>Calendrier</w:t>
      </w:r>
    </w:p>
    <w:p w:rsidR="00A12C27" w:rsidRPr="00CF75E5" w:rsidRDefault="00A12C27" w:rsidP="00880240">
      <w:pPr>
        <w:rPr>
          <w:rFonts w:cs="Arial"/>
          <w:lang w:val="fr-CA"/>
        </w:rPr>
      </w:pPr>
    </w:p>
    <w:tbl>
      <w:tblPr>
        <w:tblStyle w:val="TableGrid"/>
        <w:tblW w:w="0" w:type="auto"/>
        <w:tblLook w:val="00A0" w:firstRow="1" w:lastRow="0" w:firstColumn="1" w:lastColumn="0" w:noHBand="0" w:noVBand="0"/>
      </w:tblPr>
      <w:tblGrid>
        <w:gridCol w:w="1951"/>
        <w:gridCol w:w="7291"/>
      </w:tblGrid>
      <w:tr w:rsidR="00D753B8" w:rsidRPr="0053021B" w:rsidTr="00F73BBD">
        <w:trPr>
          <w:cantSplit/>
        </w:trPr>
        <w:tc>
          <w:tcPr>
            <w:tcW w:w="1951" w:type="dxa"/>
          </w:tcPr>
          <w:p w:rsidR="00D753B8" w:rsidRPr="00CF75E5" w:rsidRDefault="00D753B8" w:rsidP="005E6228">
            <w:pPr>
              <w:ind w:left="0" w:firstLine="0"/>
              <w:rPr>
                <w:rFonts w:cs="Arial"/>
                <w:lang w:val="fr-CA"/>
              </w:rPr>
            </w:pPr>
            <w:r w:rsidRPr="00CF75E5">
              <w:rPr>
                <w:rFonts w:cs="Arial"/>
                <w:lang w:val="fr-CA"/>
              </w:rPr>
              <w:t>13</w:t>
            </w:r>
            <w:r w:rsidR="005E6228" w:rsidRPr="005E6228">
              <w:rPr>
                <w:rFonts w:cs="Arial"/>
                <w:vertAlign w:val="superscript"/>
                <w:lang w:val="fr-CA"/>
              </w:rPr>
              <w:t>e</w:t>
            </w:r>
            <w:r w:rsidR="005E6228">
              <w:rPr>
                <w:rFonts w:cs="Arial"/>
                <w:lang w:val="fr-CA"/>
              </w:rPr>
              <w:t xml:space="preserve"> Session de la Conférence des </w:t>
            </w:r>
            <w:r w:rsidRPr="00CF75E5">
              <w:rPr>
                <w:rFonts w:cs="Arial"/>
                <w:lang w:val="fr-CA"/>
              </w:rPr>
              <w:t>Parties</w:t>
            </w:r>
            <w:r w:rsidR="00CA1625" w:rsidRPr="00CF75E5">
              <w:rPr>
                <w:rFonts w:cs="Arial"/>
                <w:lang w:val="fr-CA"/>
              </w:rPr>
              <w:t xml:space="preserve"> </w:t>
            </w:r>
            <w:r w:rsidR="00886384">
              <w:rPr>
                <w:rFonts w:cs="Arial"/>
                <w:lang w:val="fr-CA"/>
              </w:rPr>
              <w:t xml:space="preserve"> contractantes </w:t>
            </w:r>
            <w:r w:rsidR="00CA1625" w:rsidRPr="00CF75E5">
              <w:rPr>
                <w:rFonts w:cs="Arial"/>
                <w:lang w:val="fr-CA"/>
              </w:rPr>
              <w:t>(2018)</w:t>
            </w:r>
          </w:p>
        </w:tc>
        <w:tc>
          <w:tcPr>
            <w:tcW w:w="7291" w:type="dxa"/>
          </w:tcPr>
          <w:p w:rsidR="007C7A33" w:rsidRPr="00CF75E5" w:rsidRDefault="0084548B" w:rsidP="00D753B8">
            <w:pPr>
              <w:ind w:left="0" w:firstLine="0"/>
              <w:rPr>
                <w:rFonts w:cs="Arial"/>
                <w:lang w:val="fr-CA"/>
              </w:rPr>
            </w:pPr>
            <w:r>
              <w:rPr>
                <w:rFonts w:cs="Arial"/>
                <w:lang w:val="fr-CA"/>
              </w:rPr>
              <w:t xml:space="preserve">- Le budget adopté pour </w:t>
            </w:r>
            <w:r w:rsidR="005D6969" w:rsidRPr="00CF75E5">
              <w:rPr>
                <w:rFonts w:cs="Arial"/>
                <w:lang w:val="fr-CA"/>
              </w:rPr>
              <w:t xml:space="preserve">2019-2021 </w:t>
            </w:r>
            <w:r>
              <w:rPr>
                <w:rFonts w:cs="Arial"/>
                <w:lang w:val="fr-CA"/>
              </w:rPr>
              <w:t>prévoit :</w:t>
            </w:r>
            <w:r w:rsidR="004E0240" w:rsidRPr="00CF75E5">
              <w:rPr>
                <w:rFonts w:cs="Arial"/>
                <w:lang w:val="fr-CA"/>
              </w:rPr>
              <w:t xml:space="preserve"> </w:t>
            </w:r>
          </w:p>
          <w:p w:rsidR="00211408" w:rsidRPr="00CF75E5" w:rsidRDefault="00211408" w:rsidP="00C605EF">
            <w:pPr>
              <w:ind w:firstLine="0"/>
              <w:rPr>
                <w:rFonts w:cs="Arial"/>
                <w:lang w:val="fr-CA"/>
              </w:rPr>
            </w:pPr>
            <w:r w:rsidRPr="00CF75E5">
              <w:rPr>
                <w:rFonts w:cs="Arial"/>
                <w:lang w:val="fr-CA"/>
              </w:rPr>
              <w:t xml:space="preserve">- </w:t>
            </w:r>
            <w:r w:rsidR="0084548B">
              <w:rPr>
                <w:rFonts w:cs="Arial"/>
                <w:lang w:val="fr-CA"/>
              </w:rPr>
              <w:t xml:space="preserve">un service linguistique égal en anglais, français et espagnol pour les réunions des organes </w:t>
            </w:r>
            <w:r w:rsidR="00886384">
              <w:rPr>
                <w:rFonts w:cs="Arial"/>
                <w:lang w:val="fr-CA"/>
              </w:rPr>
              <w:t>directeurs</w:t>
            </w:r>
            <w:r w:rsidR="0084548B">
              <w:rPr>
                <w:rFonts w:cs="Arial"/>
                <w:lang w:val="fr-CA"/>
              </w:rPr>
              <w:t xml:space="preserve"> et subsidiaires (interprétation des séances plénières et traduction des documents de travail); </w:t>
            </w:r>
          </w:p>
          <w:p w:rsidR="00211408" w:rsidRPr="00CF75E5" w:rsidRDefault="00211408" w:rsidP="00C605EF">
            <w:pPr>
              <w:ind w:firstLine="0"/>
              <w:rPr>
                <w:rFonts w:cs="Arial"/>
                <w:lang w:val="fr-CA"/>
              </w:rPr>
            </w:pPr>
            <w:r w:rsidRPr="00CF75E5">
              <w:rPr>
                <w:rFonts w:cs="Arial"/>
                <w:lang w:val="fr-CA"/>
              </w:rPr>
              <w:t xml:space="preserve">- </w:t>
            </w:r>
            <w:r w:rsidR="0084548B">
              <w:rPr>
                <w:rFonts w:cs="Arial"/>
                <w:lang w:val="fr-CA"/>
              </w:rPr>
              <w:t xml:space="preserve">la nouvelle documentation officielle en anglais, français et espagnol; et </w:t>
            </w:r>
          </w:p>
          <w:p w:rsidR="005D6969" w:rsidRPr="00CF75E5" w:rsidRDefault="00211408" w:rsidP="00C605EF">
            <w:pPr>
              <w:ind w:firstLine="0"/>
              <w:rPr>
                <w:rFonts w:cs="Arial"/>
                <w:lang w:val="fr-CA"/>
              </w:rPr>
            </w:pPr>
            <w:r w:rsidRPr="00CF75E5">
              <w:rPr>
                <w:rFonts w:cs="Arial"/>
                <w:lang w:val="fr-CA"/>
              </w:rPr>
              <w:t xml:space="preserve">- </w:t>
            </w:r>
            <w:r w:rsidR="0084548B">
              <w:rPr>
                <w:rFonts w:cs="Arial"/>
                <w:lang w:val="fr-CA"/>
              </w:rPr>
              <w:t>un traitement égal de ces langues officielles sur le site web dans la mesure des ressources disponibles.</w:t>
            </w:r>
          </w:p>
          <w:p w:rsidR="00D753B8" w:rsidRPr="00CF75E5" w:rsidRDefault="00543B76" w:rsidP="00330564">
            <w:pPr>
              <w:ind w:left="0" w:firstLine="0"/>
              <w:rPr>
                <w:rFonts w:cs="Arial"/>
                <w:lang w:val="fr-CA"/>
              </w:rPr>
            </w:pPr>
            <w:r w:rsidRPr="00330564">
              <w:rPr>
                <w:rFonts w:cs="Arial"/>
                <w:lang w:val="fr-CA"/>
              </w:rPr>
              <w:t xml:space="preserve">Les Parties </w:t>
            </w:r>
            <w:r w:rsidR="00330564" w:rsidRPr="00330564">
              <w:rPr>
                <w:rFonts w:cs="Arial"/>
                <w:lang w:val="fr-CA"/>
              </w:rPr>
              <w:t>contractantes approuvent</w:t>
            </w:r>
            <w:r w:rsidRPr="00330564">
              <w:rPr>
                <w:rFonts w:cs="Arial"/>
                <w:lang w:val="fr-CA"/>
              </w:rPr>
              <w:t xml:space="preserve"> le plan visant à faire de l’arabe une langue officielle à partir de la COP16, sous réserve de son intégration progressive dans les budgets adoptés pour 2022-2024, 2025-2027 et 2028-2030.</w:t>
            </w:r>
          </w:p>
        </w:tc>
      </w:tr>
      <w:tr w:rsidR="00D753B8" w:rsidRPr="0053021B" w:rsidTr="00F73BBD">
        <w:trPr>
          <w:cantSplit/>
        </w:trPr>
        <w:tc>
          <w:tcPr>
            <w:tcW w:w="1951" w:type="dxa"/>
          </w:tcPr>
          <w:p w:rsidR="00D753B8" w:rsidRPr="00CF75E5" w:rsidRDefault="008F4809" w:rsidP="00880240">
            <w:pPr>
              <w:ind w:left="0" w:firstLine="0"/>
              <w:rPr>
                <w:rFonts w:cs="Arial"/>
                <w:lang w:val="fr-CA"/>
              </w:rPr>
            </w:pPr>
            <w:r w:rsidRPr="00CF75E5">
              <w:rPr>
                <w:rFonts w:cs="Arial"/>
                <w:lang w:val="fr-CA"/>
              </w:rPr>
              <w:t>2019-2020</w:t>
            </w:r>
          </w:p>
        </w:tc>
        <w:tc>
          <w:tcPr>
            <w:tcW w:w="7291" w:type="dxa"/>
          </w:tcPr>
          <w:p w:rsidR="00D753B8" w:rsidRPr="00CF75E5" w:rsidRDefault="000A0E52" w:rsidP="009E23DC">
            <w:pPr>
              <w:ind w:left="0" w:firstLine="0"/>
              <w:rPr>
                <w:rFonts w:cs="Arial"/>
                <w:lang w:val="fr-CA"/>
              </w:rPr>
            </w:pPr>
            <w:r w:rsidRPr="00CF75E5">
              <w:rPr>
                <w:rFonts w:cs="Arial"/>
                <w:lang w:val="fr-CA"/>
              </w:rPr>
              <w:t xml:space="preserve">- </w:t>
            </w:r>
            <w:r w:rsidR="0084548B">
              <w:rPr>
                <w:rFonts w:cs="Arial"/>
                <w:lang w:val="fr-CA"/>
              </w:rPr>
              <w:t xml:space="preserve">Le Secrétariat organise la traduction en arabe du texte de la Convention et des Résolutions </w:t>
            </w:r>
            <w:r w:rsidR="009E23DC">
              <w:rPr>
                <w:rFonts w:cs="Arial"/>
                <w:lang w:val="fr-CA"/>
              </w:rPr>
              <w:t>essentielles</w:t>
            </w:r>
            <w:r w:rsidR="0084548B">
              <w:rPr>
                <w:rFonts w:cs="Arial"/>
                <w:lang w:val="fr-CA"/>
              </w:rPr>
              <w:t xml:space="preserve"> de la Conférence des Parties, sous réserve d’un financement externe. </w:t>
            </w:r>
          </w:p>
        </w:tc>
      </w:tr>
      <w:tr w:rsidR="00D753B8" w:rsidRPr="0053021B" w:rsidTr="00F73BBD">
        <w:trPr>
          <w:cantSplit/>
        </w:trPr>
        <w:tc>
          <w:tcPr>
            <w:tcW w:w="1951" w:type="dxa"/>
          </w:tcPr>
          <w:p w:rsidR="00D753B8" w:rsidRPr="00CF75E5" w:rsidRDefault="00D753B8" w:rsidP="005E6228">
            <w:pPr>
              <w:ind w:left="0" w:firstLine="0"/>
              <w:rPr>
                <w:rFonts w:cs="Arial"/>
                <w:lang w:val="fr-CA"/>
              </w:rPr>
            </w:pPr>
            <w:r w:rsidRPr="00CF75E5">
              <w:rPr>
                <w:rFonts w:cs="Arial"/>
                <w:lang w:val="fr-CA"/>
              </w:rPr>
              <w:t>14</w:t>
            </w:r>
            <w:r w:rsidR="005E6228" w:rsidRPr="005E6228">
              <w:rPr>
                <w:rFonts w:cs="Arial"/>
                <w:vertAlign w:val="superscript"/>
                <w:lang w:val="fr-CA"/>
              </w:rPr>
              <w:t>e</w:t>
            </w:r>
            <w:r w:rsidR="005E6228">
              <w:rPr>
                <w:rFonts w:cs="Arial"/>
                <w:lang w:val="fr-CA"/>
              </w:rPr>
              <w:t xml:space="preserve"> Session de la Conférence des </w:t>
            </w:r>
            <w:r w:rsidRPr="00CF75E5">
              <w:rPr>
                <w:rFonts w:cs="Arial"/>
                <w:lang w:val="fr-CA"/>
              </w:rPr>
              <w:t>Parties</w:t>
            </w:r>
            <w:r w:rsidR="009E23DC">
              <w:rPr>
                <w:rFonts w:cs="Arial"/>
                <w:lang w:val="fr-CA"/>
              </w:rPr>
              <w:t xml:space="preserve"> contractantes</w:t>
            </w:r>
            <w:r w:rsidR="00CA1625" w:rsidRPr="00CF75E5">
              <w:rPr>
                <w:rFonts w:cs="Arial"/>
                <w:lang w:val="fr-CA"/>
              </w:rPr>
              <w:t xml:space="preserve"> (2021)</w:t>
            </w:r>
          </w:p>
        </w:tc>
        <w:tc>
          <w:tcPr>
            <w:tcW w:w="7291" w:type="dxa"/>
          </w:tcPr>
          <w:p w:rsidR="00D753B8" w:rsidRPr="00CF75E5" w:rsidRDefault="00CA1625" w:rsidP="009E23DC">
            <w:pPr>
              <w:ind w:left="0" w:firstLine="0"/>
              <w:rPr>
                <w:rFonts w:cs="Arial"/>
                <w:lang w:val="fr-CA"/>
              </w:rPr>
            </w:pPr>
            <w:r w:rsidRPr="00CF75E5">
              <w:rPr>
                <w:rFonts w:cs="Arial"/>
                <w:lang w:val="fr-CA"/>
              </w:rPr>
              <w:t xml:space="preserve">- </w:t>
            </w:r>
            <w:r w:rsidR="0084548B">
              <w:rPr>
                <w:rFonts w:cs="Arial"/>
                <w:lang w:val="fr-CA"/>
              </w:rPr>
              <w:t xml:space="preserve">Sous réserve d’un accord à la </w:t>
            </w:r>
            <w:r w:rsidR="000B0670" w:rsidRPr="00CF75E5">
              <w:rPr>
                <w:rFonts w:cs="Arial"/>
                <w:lang w:val="fr-CA"/>
              </w:rPr>
              <w:t xml:space="preserve">COP14, </w:t>
            </w:r>
            <w:r w:rsidR="0084548B">
              <w:rPr>
                <w:rFonts w:cs="Arial"/>
                <w:lang w:val="fr-CA"/>
              </w:rPr>
              <w:t>le budget adopté pour 2022</w:t>
            </w:r>
            <w:r w:rsidR="0084548B">
              <w:rPr>
                <w:rFonts w:cs="Arial"/>
                <w:lang w:val="fr-CA"/>
              </w:rPr>
              <w:noBreakHyphen/>
            </w:r>
            <w:r w:rsidRPr="00CF75E5">
              <w:rPr>
                <w:rFonts w:cs="Arial"/>
                <w:lang w:val="fr-CA"/>
              </w:rPr>
              <w:t xml:space="preserve">2024 </w:t>
            </w:r>
            <w:r w:rsidR="0084548B">
              <w:rPr>
                <w:rFonts w:cs="Arial"/>
                <w:lang w:val="fr-CA"/>
              </w:rPr>
              <w:t xml:space="preserve">comprend la fourniture d’un service linguistique intégral pour les réunions des organes </w:t>
            </w:r>
            <w:r w:rsidR="009E23DC">
              <w:rPr>
                <w:rFonts w:cs="Arial"/>
                <w:lang w:val="fr-CA"/>
              </w:rPr>
              <w:t>directeurs</w:t>
            </w:r>
            <w:r w:rsidR="0084548B">
              <w:rPr>
                <w:rFonts w:cs="Arial"/>
                <w:lang w:val="fr-CA"/>
              </w:rPr>
              <w:t xml:space="preserve"> et subsidiaires ainsi que la nouvelle documentation officielle en anglais, français et espagnol et</w:t>
            </w:r>
            <w:r w:rsidR="009E23DC">
              <w:rPr>
                <w:rFonts w:cs="Arial"/>
                <w:lang w:val="fr-CA"/>
              </w:rPr>
              <w:t>,</w:t>
            </w:r>
            <w:r w:rsidR="0084548B">
              <w:rPr>
                <w:rFonts w:cs="Arial"/>
                <w:lang w:val="fr-CA"/>
              </w:rPr>
              <w:t xml:space="preserve"> pour la Conférence des Parties</w:t>
            </w:r>
            <w:r w:rsidR="009E23DC">
              <w:rPr>
                <w:rFonts w:cs="Arial"/>
                <w:lang w:val="fr-CA"/>
              </w:rPr>
              <w:t>,</w:t>
            </w:r>
            <w:r w:rsidR="0084548B">
              <w:rPr>
                <w:rFonts w:cs="Arial"/>
                <w:lang w:val="fr-CA"/>
              </w:rPr>
              <w:t xml:space="preserve"> en arabe</w:t>
            </w:r>
            <w:r w:rsidR="00610AEC" w:rsidRPr="00CF75E5">
              <w:rPr>
                <w:rFonts w:cs="Arial"/>
                <w:lang w:val="fr-CA"/>
              </w:rPr>
              <w:t>.</w:t>
            </w:r>
          </w:p>
        </w:tc>
      </w:tr>
      <w:tr w:rsidR="00D753B8" w:rsidRPr="0053021B" w:rsidTr="00F73BBD">
        <w:trPr>
          <w:cantSplit/>
        </w:trPr>
        <w:tc>
          <w:tcPr>
            <w:tcW w:w="1951" w:type="dxa"/>
          </w:tcPr>
          <w:p w:rsidR="00D753B8" w:rsidRPr="00CF75E5" w:rsidRDefault="00666F1F" w:rsidP="00880240">
            <w:pPr>
              <w:ind w:left="0" w:firstLine="0"/>
              <w:rPr>
                <w:rFonts w:cs="Arial"/>
                <w:lang w:val="fr-CA"/>
              </w:rPr>
            </w:pPr>
            <w:r w:rsidRPr="00CF75E5">
              <w:rPr>
                <w:rFonts w:cs="Arial"/>
                <w:lang w:val="fr-CA"/>
              </w:rPr>
              <w:lastRenderedPageBreak/>
              <w:t>2022-2023</w:t>
            </w:r>
          </w:p>
        </w:tc>
        <w:tc>
          <w:tcPr>
            <w:tcW w:w="7291" w:type="dxa"/>
          </w:tcPr>
          <w:p w:rsidR="00D753B8" w:rsidRPr="00CF75E5" w:rsidRDefault="00666F1F" w:rsidP="0084548B">
            <w:pPr>
              <w:ind w:left="0" w:firstLine="0"/>
              <w:rPr>
                <w:rFonts w:cs="Arial"/>
                <w:lang w:val="fr-CA"/>
              </w:rPr>
            </w:pPr>
            <w:r w:rsidRPr="00CF75E5">
              <w:rPr>
                <w:rFonts w:cs="Arial"/>
                <w:lang w:val="fr-CA"/>
              </w:rPr>
              <w:t xml:space="preserve">- </w:t>
            </w:r>
            <w:r w:rsidR="0084548B">
              <w:rPr>
                <w:rFonts w:cs="Arial"/>
                <w:lang w:val="fr-CA"/>
              </w:rPr>
              <w:t>Le Secrétariat organise la traduction en arabe des Résolutions restantes qui sont encore en vigueur et des pages clés</w:t>
            </w:r>
            <w:r w:rsidR="009E23DC">
              <w:rPr>
                <w:rFonts w:cs="Arial"/>
                <w:lang w:val="fr-CA"/>
              </w:rPr>
              <w:t>,</w:t>
            </w:r>
            <w:r w:rsidR="0084548B">
              <w:rPr>
                <w:rFonts w:cs="Arial"/>
                <w:lang w:val="fr-CA"/>
              </w:rPr>
              <w:t xml:space="preserve"> de haut niveau</w:t>
            </w:r>
            <w:r w:rsidR="009E23DC">
              <w:rPr>
                <w:rFonts w:cs="Arial"/>
                <w:lang w:val="fr-CA"/>
              </w:rPr>
              <w:t>,</w:t>
            </w:r>
            <w:r w:rsidR="0084548B">
              <w:rPr>
                <w:rFonts w:cs="Arial"/>
                <w:lang w:val="fr-CA"/>
              </w:rPr>
              <w:t xml:space="preserve"> du site web de Ramsar, sous réserve d’un financement externe.</w:t>
            </w:r>
          </w:p>
        </w:tc>
      </w:tr>
      <w:tr w:rsidR="00D753B8" w:rsidRPr="0053021B" w:rsidTr="00F73BBD">
        <w:trPr>
          <w:cantSplit/>
        </w:trPr>
        <w:tc>
          <w:tcPr>
            <w:tcW w:w="1951" w:type="dxa"/>
          </w:tcPr>
          <w:p w:rsidR="00D753B8" w:rsidRPr="00CF75E5" w:rsidRDefault="00D753B8" w:rsidP="005E6228">
            <w:pPr>
              <w:ind w:left="0" w:firstLine="0"/>
              <w:rPr>
                <w:rFonts w:cs="Arial"/>
                <w:lang w:val="fr-CA"/>
              </w:rPr>
            </w:pPr>
            <w:r w:rsidRPr="00CF75E5">
              <w:rPr>
                <w:rFonts w:cs="Arial"/>
                <w:lang w:val="fr-CA"/>
              </w:rPr>
              <w:t>15</w:t>
            </w:r>
            <w:r w:rsidR="005E6228" w:rsidRPr="005E6228">
              <w:rPr>
                <w:rFonts w:cs="Arial"/>
                <w:vertAlign w:val="superscript"/>
                <w:lang w:val="fr-CA"/>
              </w:rPr>
              <w:t>e</w:t>
            </w:r>
            <w:r w:rsidRPr="00CF75E5">
              <w:rPr>
                <w:rFonts w:cs="Arial"/>
                <w:lang w:val="fr-CA"/>
              </w:rPr>
              <w:t xml:space="preserve"> </w:t>
            </w:r>
            <w:r w:rsidR="005E6228">
              <w:rPr>
                <w:rFonts w:cs="Arial"/>
                <w:lang w:val="fr-CA"/>
              </w:rPr>
              <w:t xml:space="preserve">Session de la Conférence des </w:t>
            </w:r>
            <w:r w:rsidRPr="00CF75E5">
              <w:rPr>
                <w:rFonts w:cs="Arial"/>
                <w:lang w:val="fr-CA"/>
              </w:rPr>
              <w:t>Parties</w:t>
            </w:r>
            <w:r w:rsidR="009E23DC">
              <w:rPr>
                <w:rFonts w:cs="Arial"/>
                <w:lang w:val="fr-CA"/>
              </w:rPr>
              <w:t xml:space="preserve"> contractantes</w:t>
            </w:r>
            <w:r w:rsidR="00CA1625" w:rsidRPr="00CF75E5">
              <w:rPr>
                <w:rFonts w:cs="Arial"/>
                <w:lang w:val="fr-CA"/>
              </w:rPr>
              <w:t xml:space="preserve"> (2024)</w:t>
            </w:r>
          </w:p>
        </w:tc>
        <w:tc>
          <w:tcPr>
            <w:tcW w:w="7291" w:type="dxa"/>
          </w:tcPr>
          <w:p w:rsidR="00912B05" w:rsidRPr="00CF75E5" w:rsidRDefault="000B0670" w:rsidP="00354938">
            <w:pPr>
              <w:ind w:left="0" w:firstLine="0"/>
              <w:rPr>
                <w:rFonts w:cs="Arial"/>
                <w:lang w:val="fr-CA"/>
              </w:rPr>
            </w:pPr>
            <w:r w:rsidRPr="00CF75E5">
              <w:rPr>
                <w:rFonts w:cs="Arial"/>
                <w:lang w:val="fr-CA"/>
              </w:rPr>
              <w:t xml:space="preserve">- </w:t>
            </w:r>
            <w:r w:rsidR="0084548B">
              <w:rPr>
                <w:rFonts w:cs="Arial"/>
                <w:lang w:val="fr-CA"/>
              </w:rPr>
              <w:t xml:space="preserve">Sous réserve d’un accord à la </w:t>
            </w:r>
            <w:r w:rsidRPr="00CF75E5">
              <w:rPr>
                <w:rFonts w:cs="Arial"/>
                <w:lang w:val="fr-CA"/>
              </w:rPr>
              <w:t xml:space="preserve">COP15, </w:t>
            </w:r>
            <w:r w:rsidR="0084548B">
              <w:rPr>
                <w:rFonts w:cs="Arial"/>
                <w:lang w:val="fr-CA"/>
              </w:rPr>
              <w:t xml:space="preserve">le budget adopté pour </w:t>
            </w:r>
            <w:r w:rsidRPr="00CF75E5">
              <w:rPr>
                <w:rFonts w:cs="Arial"/>
                <w:lang w:val="fr-CA"/>
              </w:rPr>
              <w:t xml:space="preserve">2025-2027 </w:t>
            </w:r>
            <w:r w:rsidR="0084548B">
              <w:rPr>
                <w:rFonts w:cs="Arial"/>
                <w:lang w:val="fr-CA"/>
              </w:rPr>
              <w:t xml:space="preserve">prévoit : </w:t>
            </w:r>
          </w:p>
          <w:p w:rsidR="00912B05" w:rsidRPr="00CF75E5" w:rsidRDefault="00912B05" w:rsidP="00042EAF">
            <w:pPr>
              <w:ind w:firstLine="0"/>
              <w:rPr>
                <w:rFonts w:cs="Arial"/>
                <w:lang w:val="fr-CA"/>
              </w:rPr>
            </w:pPr>
            <w:r w:rsidRPr="00CF75E5">
              <w:rPr>
                <w:rFonts w:cs="Arial"/>
                <w:lang w:val="fr-CA"/>
              </w:rPr>
              <w:t xml:space="preserve">- </w:t>
            </w:r>
            <w:r w:rsidR="0084548B">
              <w:rPr>
                <w:rFonts w:cs="Arial"/>
                <w:lang w:val="fr-CA"/>
              </w:rPr>
              <w:t>un service linguistique intégral pour les réunions des organes d</w:t>
            </w:r>
            <w:r w:rsidR="009E23DC">
              <w:rPr>
                <w:rFonts w:cs="Arial"/>
                <w:lang w:val="fr-CA"/>
              </w:rPr>
              <w:t>irecteurs</w:t>
            </w:r>
            <w:r w:rsidR="0084548B">
              <w:rPr>
                <w:rFonts w:cs="Arial"/>
                <w:lang w:val="fr-CA"/>
              </w:rPr>
              <w:t xml:space="preserve"> et subsidiaires en anglais, français et espagnol; </w:t>
            </w:r>
          </w:p>
          <w:p w:rsidR="00912B05" w:rsidRPr="00CF75E5" w:rsidRDefault="00912B05" w:rsidP="00042EAF">
            <w:pPr>
              <w:ind w:firstLine="0"/>
              <w:rPr>
                <w:rFonts w:cs="Arial"/>
                <w:lang w:val="fr-CA"/>
              </w:rPr>
            </w:pPr>
            <w:r w:rsidRPr="00CF75E5">
              <w:rPr>
                <w:rFonts w:cs="Arial"/>
                <w:lang w:val="fr-CA"/>
              </w:rPr>
              <w:t xml:space="preserve">- </w:t>
            </w:r>
            <w:r w:rsidR="0084548B">
              <w:rPr>
                <w:rFonts w:cs="Arial"/>
                <w:lang w:val="fr-CA"/>
              </w:rPr>
              <w:t xml:space="preserve">un service linguistique intégral </w:t>
            </w:r>
            <w:r w:rsidR="009E23DC">
              <w:rPr>
                <w:rFonts w:cs="Arial"/>
                <w:lang w:val="fr-CA"/>
              </w:rPr>
              <w:t xml:space="preserve">en arabe </w:t>
            </w:r>
            <w:r w:rsidR="0084548B">
              <w:rPr>
                <w:rFonts w:cs="Arial"/>
                <w:lang w:val="fr-CA"/>
              </w:rPr>
              <w:t xml:space="preserve">pour les réunions des organes </w:t>
            </w:r>
            <w:r w:rsidR="009E23DC">
              <w:rPr>
                <w:rFonts w:cs="Arial"/>
                <w:lang w:val="fr-CA"/>
              </w:rPr>
              <w:t>directeurs</w:t>
            </w:r>
            <w:r w:rsidR="0084548B">
              <w:rPr>
                <w:rFonts w:cs="Arial"/>
                <w:lang w:val="fr-CA"/>
              </w:rPr>
              <w:t xml:space="preserve">; </w:t>
            </w:r>
          </w:p>
          <w:p w:rsidR="004A04BF" w:rsidRPr="00CF75E5" w:rsidRDefault="00912B05" w:rsidP="00042EAF">
            <w:pPr>
              <w:ind w:firstLine="0"/>
              <w:rPr>
                <w:rFonts w:cs="Arial"/>
                <w:lang w:val="fr-CA"/>
              </w:rPr>
            </w:pPr>
            <w:r w:rsidRPr="00CF75E5">
              <w:rPr>
                <w:rFonts w:cs="Arial"/>
                <w:lang w:val="fr-CA"/>
              </w:rPr>
              <w:t>-</w:t>
            </w:r>
            <w:r w:rsidR="00354938" w:rsidRPr="00CF75E5">
              <w:rPr>
                <w:rFonts w:cs="Arial"/>
                <w:lang w:val="fr-CA"/>
              </w:rPr>
              <w:t xml:space="preserve"> </w:t>
            </w:r>
            <w:r w:rsidR="0084548B">
              <w:rPr>
                <w:rFonts w:cs="Arial"/>
                <w:lang w:val="fr-CA"/>
              </w:rPr>
              <w:t>toute la nouvelle documentation officielle dans les quatre langues officielles; et</w:t>
            </w:r>
          </w:p>
          <w:p w:rsidR="00D753B8" w:rsidRPr="00CF75E5" w:rsidRDefault="004A04BF" w:rsidP="0084548B">
            <w:pPr>
              <w:ind w:firstLine="0"/>
              <w:rPr>
                <w:rFonts w:cs="Arial"/>
                <w:lang w:val="fr-CA"/>
              </w:rPr>
            </w:pPr>
            <w:r w:rsidRPr="00CF75E5">
              <w:rPr>
                <w:rFonts w:cs="Arial"/>
                <w:lang w:val="fr-CA"/>
              </w:rPr>
              <w:t xml:space="preserve">- </w:t>
            </w:r>
            <w:r w:rsidR="0084548B">
              <w:rPr>
                <w:rFonts w:cs="Arial"/>
                <w:lang w:val="fr-CA"/>
              </w:rPr>
              <w:t>une capacité de personnel additionnel</w:t>
            </w:r>
            <w:r w:rsidR="009E23DC">
              <w:rPr>
                <w:rFonts w:cs="Arial"/>
                <w:lang w:val="fr-CA"/>
              </w:rPr>
              <w:t>le</w:t>
            </w:r>
            <w:r w:rsidR="0084548B">
              <w:rPr>
                <w:rFonts w:cs="Arial"/>
                <w:lang w:val="fr-CA"/>
              </w:rPr>
              <w:t xml:space="preserve"> pour gérer les textes et la documentation en arabe.</w:t>
            </w:r>
          </w:p>
        </w:tc>
      </w:tr>
      <w:tr w:rsidR="0081684D" w:rsidRPr="0053021B" w:rsidTr="00F73BBD">
        <w:trPr>
          <w:cantSplit/>
        </w:trPr>
        <w:tc>
          <w:tcPr>
            <w:tcW w:w="1951" w:type="dxa"/>
          </w:tcPr>
          <w:p w:rsidR="0081684D" w:rsidRPr="00CF75E5" w:rsidRDefault="007D3229" w:rsidP="00880240">
            <w:pPr>
              <w:ind w:left="0" w:firstLine="0"/>
              <w:rPr>
                <w:rFonts w:cs="Arial"/>
                <w:lang w:val="fr-CA"/>
              </w:rPr>
            </w:pPr>
            <w:r w:rsidRPr="00CF75E5">
              <w:rPr>
                <w:rFonts w:cs="Arial"/>
                <w:lang w:val="fr-CA"/>
              </w:rPr>
              <w:t>2025-2026</w:t>
            </w:r>
          </w:p>
        </w:tc>
        <w:tc>
          <w:tcPr>
            <w:tcW w:w="7291" w:type="dxa"/>
          </w:tcPr>
          <w:p w:rsidR="0081684D" w:rsidRPr="00CF75E5" w:rsidRDefault="00A80C89" w:rsidP="009E23DC">
            <w:pPr>
              <w:ind w:left="0" w:firstLine="0"/>
              <w:rPr>
                <w:rFonts w:cs="Arial"/>
                <w:lang w:val="fr-CA"/>
              </w:rPr>
            </w:pPr>
            <w:r w:rsidRPr="00CF75E5">
              <w:rPr>
                <w:rFonts w:cs="Arial"/>
                <w:lang w:val="fr-CA"/>
              </w:rPr>
              <w:t xml:space="preserve">- </w:t>
            </w:r>
            <w:r w:rsidR="00370279">
              <w:rPr>
                <w:rFonts w:cs="Arial"/>
                <w:lang w:val="fr-CA"/>
              </w:rPr>
              <w:t xml:space="preserve">Le Secrétariat organise la traduction en arabe des nouvelles notifications officielles (p. ex., les messages du </w:t>
            </w:r>
            <w:r w:rsidR="009E23DC">
              <w:rPr>
                <w:rFonts w:cs="Arial"/>
                <w:lang w:val="fr-CA"/>
              </w:rPr>
              <w:t>R</w:t>
            </w:r>
            <w:r w:rsidR="00370279">
              <w:rPr>
                <w:rFonts w:cs="Arial"/>
                <w:lang w:val="fr-CA"/>
              </w:rPr>
              <w:t>éseau Ramsar), les nouvelles en rapport et les nouvelles publications du GEST, sous réserve d’un financement externe.</w:t>
            </w:r>
          </w:p>
        </w:tc>
      </w:tr>
      <w:tr w:rsidR="0081684D" w:rsidRPr="0053021B" w:rsidTr="00F73BBD">
        <w:trPr>
          <w:cantSplit/>
        </w:trPr>
        <w:tc>
          <w:tcPr>
            <w:tcW w:w="1951" w:type="dxa"/>
          </w:tcPr>
          <w:p w:rsidR="0081684D" w:rsidRPr="00CF75E5" w:rsidRDefault="0081684D" w:rsidP="009E23DC">
            <w:pPr>
              <w:ind w:left="0" w:firstLine="0"/>
              <w:rPr>
                <w:rFonts w:cs="Arial"/>
                <w:lang w:val="fr-CA"/>
              </w:rPr>
            </w:pPr>
            <w:r w:rsidRPr="00CF75E5">
              <w:rPr>
                <w:rFonts w:cs="Arial"/>
                <w:lang w:val="fr-CA"/>
              </w:rPr>
              <w:t>16</w:t>
            </w:r>
            <w:r w:rsidR="005E6228" w:rsidRPr="005E6228">
              <w:rPr>
                <w:rFonts w:cs="Arial"/>
                <w:vertAlign w:val="superscript"/>
                <w:lang w:val="fr-CA"/>
              </w:rPr>
              <w:t>e</w:t>
            </w:r>
            <w:r w:rsidRPr="00CF75E5">
              <w:rPr>
                <w:rFonts w:cs="Arial"/>
                <w:lang w:val="fr-CA"/>
              </w:rPr>
              <w:t xml:space="preserve"> </w:t>
            </w:r>
            <w:r w:rsidR="005E6228">
              <w:rPr>
                <w:rFonts w:cs="Arial"/>
                <w:lang w:val="fr-CA"/>
              </w:rPr>
              <w:t xml:space="preserve">Session de la Conférence des </w:t>
            </w:r>
            <w:r w:rsidRPr="00CF75E5">
              <w:rPr>
                <w:rFonts w:cs="Arial"/>
                <w:lang w:val="fr-CA"/>
              </w:rPr>
              <w:t>Parties</w:t>
            </w:r>
            <w:r w:rsidR="009E23DC">
              <w:rPr>
                <w:rFonts w:cs="Arial"/>
                <w:lang w:val="fr-CA"/>
              </w:rPr>
              <w:t xml:space="preserve"> contractantes </w:t>
            </w:r>
            <w:r w:rsidRPr="00CF75E5">
              <w:rPr>
                <w:rFonts w:cs="Arial"/>
                <w:lang w:val="fr-CA"/>
              </w:rPr>
              <w:t xml:space="preserve"> (2027)</w:t>
            </w:r>
          </w:p>
        </w:tc>
        <w:tc>
          <w:tcPr>
            <w:tcW w:w="7291" w:type="dxa"/>
          </w:tcPr>
          <w:p w:rsidR="0081684D" w:rsidRPr="00CF75E5" w:rsidRDefault="00F73BBD" w:rsidP="00543B76">
            <w:pPr>
              <w:ind w:left="0" w:firstLine="0"/>
              <w:rPr>
                <w:rFonts w:cs="Arial"/>
                <w:lang w:val="fr-CA"/>
              </w:rPr>
            </w:pPr>
            <w:r w:rsidRPr="00CF75E5">
              <w:rPr>
                <w:rFonts w:cs="Arial"/>
                <w:lang w:val="fr-CA"/>
              </w:rPr>
              <w:t xml:space="preserve">- </w:t>
            </w:r>
            <w:r w:rsidR="00370279">
              <w:rPr>
                <w:rFonts w:cs="Arial"/>
                <w:lang w:val="fr-CA"/>
              </w:rPr>
              <w:t xml:space="preserve">Sous réserve d’un accord à la </w:t>
            </w:r>
            <w:r w:rsidR="00FE6A6B" w:rsidRPr="00CF75E5">
              <w:rPr>
                <w:rFonts w:cs="Arial"/>
                <w:lang w:val="fr-CA"/>
              </w:rPr>
              <w:t>COP16,</w:t>
            </w:r>
            <w:r w:rsidR="00857B9D" w:rsidRPr="00CF75E5">
              <w:rPr>
                <w:rFonts w:cs="Arial"/>
                <w:lang w:val="fr-CA"/>
              </w:rPr>
              <w:t xml:space="preserve"> </w:t>
            </w:r>
            <w:r w:rsidR="00370279">
              <w:rPr>
                <w:rFonts w:cs="Arial"/>
                <w:lang w:val="fr-CA"/>
              </w:rPr>
              <w:t xml:space="preserve">le budget adopté pour </w:t>
            </w:r>
            <w:r w:rsidRPr="00CF75E5">
              <w:rPr>
                <w:rFonts w:cs="Arial"/>
                <w:lang w:val="fr-CA"/>
              </w:rPr>
              <w:t>2028-</w:t>
            </w:r>
            <w:r w:rsidR="00543B76">
              <w:rPr>
                <w:rFonts w:cs="Arial"/>
                <w:lang w:val="fr-CA"/>
              </w:rPr>
              <w:t>2030</w:t>
            </w:r>
            <w:r w:rsidR="00543B76" w:rsidRPr="00CF75E5">
              <w:rPr>
                <w:rFonts w:cs="Arial"/>
                <w:lang w:val="fr-CA"/>
              </w:rPr>
              <w:t xml:space="preserve"> </w:t>
            </w:r>
            <w:r w:rsidR="00370279">
              <w:rPr>
                <w:rFonts w:cs="Arial"/>
                <w:lang w:val="fr-CA"/>
              </w:rPr>
              <w:t xml:space="preserve">comprend la fourniture d’un service linguistique intégral pour les réunions des organes </w:t>
            </w:r>
            <w:r w:rsidR="009E23DC">
              <w:rPr>
                <w:rFonts w:cs="Arial"/>
                <w:lang w:val="fr-CA"/>
              </w:rPr>
              <w:t>directeurs</w:t>
            </w:r>
            <w:r w:rsidR="00370279">
              <w:rPr>
                <w:rFonts w:cs="Arial"/>
                <w:lang w:val="fr-CA"/>
              </w:rPr>
              <w:t xml:space="preserve"> et subsidiaires en arabe, anglais, français et espagnol, et pour toute la nouvelle documentation officielle ainsi que pour les nouvelles pages du site web.</w:t>
            </w:r>
          </w:p>
        </w:tc>
      </w:tr>
    </w:tbl>
    <w:p w:rsidR="00D753B8" w:rsidRPr="00CF75E5" w:rsidRDefault="00D753B8" w:rsidP="00880240">
      <w:pPr>
        <w:rPr>
          <w:rFonts w:cs="Arial"/>
          <w:lang w:val="fr-CA"/>
        </w:rPr>
      </w:pPr>
    </w:p>
    <w:p w:rsidR="009E290E" w:rsidRPr="00CF75E5" w:rsidRDefault="009E290E" w:rsidP="00880240">
      <w:pPr>
        <w:rPr>
          <w:rFonts w:cs="Arial"/>
          <w:lang w:val="fr-CA"/>
        </w:rPr>
      </w:pPr>
    </w:p>
    <w:p w:rsidR="009E290E" w:rsidRPr="00CF75E5" w:rsidRDefault="009E290E" w:rsidP="00880240">
      <w:pPr>
        <w:rPr>
          <w:rFonts w:cs="Arial"/>
          <w:lang w:val="fr-CA"/>
        </w:rPr>
      </w:pPr>
    </w:p>
    <w:p w:rsidR="00A12C27" w:rsidRPr="00CF75E5" w:rsidRDefault="00A12C27" w:rsidP="00880240">
      <w:pPr>
        <w:rPr>
          <w:rFonts w:cs="Arial"/>
          <w:lang w:val="fr-CA"/>
        </w:rPr>
      </w:pPr>
    </w:p>
    <w:p w:rsidR="00880240" w:rsidRPr="00CF75E5" w:rsidRDefault="00880240" w:rsidP="00880240">
      <w:pPr>
        <w:rPr>
          <w:rFonts w:cs="Arial"/>
          <w:lang w:val="fr-CA"/>
        </w:rPr>
      </w:pPr>
    </w:p>
    <w:p w:rsidR="00F344DE" w:rsidRPr="00CF75E5" w:rsidRDefault="00F344DE" w:rsidP="00014168">
      <w:pPr>
        <w:rPr>
          <w:rFonts w:cs="Arial"/>
          <w:i/>
          <w:lang w:val="fr-CA"/>
        </w:rPr>
      </w:pPr>
    </w:p>
    <w:sectPr w:rsidR="00F344DE" w:rsidRPr="00CF75E5" w:rsidSect="002137E0">
      <w:headerReference w:type="default" r:id="rId10"/>
      <w:footerReference w:type="defaul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E15" w:rsidRDefault="007D4E15" w:rsidP="00DF2386">
      <w:r>
        <w:separator/>
      </w:r>
    </w:p>
  </w:endnote>
  <w:endnote w:type="continuationSeparator" w:id="0">
    <w:p w:rsidR="007D4E15" w:rsidRDefault="007D4E15"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25" w:rsidRPr="009C0D51" w:rsidRDefault="009C0D51" w:rsidP="009C0D51">
    <w:pPr>
      <w:pStyle w:val="Footer"/>
      <w:rPr>
        <w:sz w:val="20"/>
        <w:szCs w:val="20"/>
      </w:rPr>
    </w:pPr>
    <w:r>
      <w:rPr>
        <w:sz w:val="20"/>
        <w:szCs w:val="20"/>
      </w:rPr>
      <w:t xml:space="preserve">Ramsar COP13 </w:t>
    </w:r>
    <w:r w:rsidRPr="00147BF6">
      <w:rPr>
        <w:sz w:val="20"/>
        <w:szCs w:val="20"/>
      </w:rPr>
      <w:t>Doc.18.4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Pr>
        <w:noProof/>
        <w:sz w:val="20"/>
        <w:szCs w:val="20"/>
      </w:rPr>
      <w:t>2</w:t>
    </w:r>
    <w:r w:rsidRPr="00CB5417">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25" w:rsidRDefault="00CA1625" w:rsidP="00B523B2">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E15" w:rsidRDefault="007D4E15" w:rsidP="00DF2386">
      <w:r>
        <w:separator/>
      </w:r>
    </w:p>
  </w:footnote>
  <w:footnote w:type="continuationSeparator" w:id="0">
    <w:p w:rsidR="007D4E15" w:rsidRDefault="007D4E15" w:rsidP="00DF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25" w:rsidRDefault="00CA1625">
    <w:pPr>
      <w:pStyle w:val="Header"/>
    </w:pPr>
  </w:p>
  <w:p w:rsidR="00CA1625" w:rsidRDefault="00CA1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F62AA"/>
    <w:multiLevelType w:val="hybridMultilevel"/>
    <w:tmpl w:val="03868678"/>
    <w:lvl w:ilvl="0" w:tplc="2696BC72">
      <w:start w:val="1"/>
      <w:numFmt w:val="lowerLetter"/>
      <w:lvlText w:val="%1)"/>
      <w:lvlJc w:val="left"/>
      <w:pPr>
        <w:ind w:left="785" w:hanging="36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5">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34613550"/>
    <w:multiLevelType w:val="hybridMultilevel"/>
    <w:tmpl w:val="14486B1C"/>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53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9561CE"/>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9">
    <w:nsid w:val="5E8B340D"/>
    <w:multiLevelType w:val="hybridMultilevel"/>
    <w:tmpl w:val="4E986ED2"/>
    <w:lvl w:ilvl="0" w:tplc="DAF0C952">
      <w:start w:val="1"/>
      <w:numFmt w:val="decimal"/>
      <w:lvlText w:val="%1."/>
      <w:lvlJc w:val="left"/>
      <w:pPr>
        <w:ind w:left="720" w:hanging="360"/>
      </w:pPr>
      <w:rPr>
        <w:rFonts w:asciiTheme="minorHAnsi" w:eastAsia="Times New Roman" w:hAnsiTheme="minorHAnsi"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2">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
  </w:num>
  <w:num w:numId="13">
    <w:abstractNumId w:val="21"/>
  </w:num>
  <w:num w:numId="14">
    <w:abstractNumId w:val="12"/>
  </w:num>
  <w:num w:numId="15">
    <w:abstractNumId w:val="2"/>
  </w:num>
  <w:num w:numId="16">
    <w:abstractNumId w:val="16"/>
  </w:num>
  <w:num w:numId="17">
    <w:abstractNumId w:val="24"/>
  </w:num>
  <w:num w:numId="18">
    <w:abstractNumId w:val="33"/>
  </w:num>
  <w:num w:numId="19">
    <w:abstractNumId w:val="32"/>
  </w:num>
  <w:num w:numId="20">
    <w:abstractNumId w:val="26"/>
  </w:num>
  <w:num w:numId="21">
    <w:abstractNumId w:val="28"/>
  </w:num>
  <w:num w:numId="22">
    <w:abstractNumId w:val="19"/>
  </w:num>
  <w:num w:numId="23">
    <w:abstractNumId w:val="25"/>
  </w:num>
  <w:num w:numId="24">
    <w:abstractNumId w:val="23"/>
  </w:num>
  <w:num w:numId="25">
    <w:abstractNumId w:val="31"/>
  </w:num>
  <w:num w:numId="26">
    <w:abstractNumId w:val="9"/>
  </w:num>
  <w:num w:numId="27">
    <w:abstractNumId w:val="0"/>
  </w:num>
  <w:num w:numId="28">
    <w:abstractNumId w:val="11"/>
  </w:num>
  <w:num w:numId="29">
    <w:abstractNumId w:val="3"/>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2"/>
  </w:num>
  <w:num w:numId="34">
    <w:abstractNumId w:val="15"/>
  </w:num>
  <w:num w:numId="35">
    <w:abstractNumId w:val="13"/>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314C"/>
    <w:rsid w:val="00014168"/>
    <w:rsid w:val="0001600A"/>
    <w:rsid w:val="00017A16"/>
    <w:rsid w:val="00026E09"/>
    <w:rsid w:val="00027BE9"/>
    <w:rsid w:val="00037CE0"/>
    <w:rsid w:val="00042EAF"/>
    <w:rsid w:val="0005017F"/>
    <w:rsid w:val="00053929"/>
    <w:rsid w:val="00054A80"/>
    <w:rsid w:val="00070F73"/>
    <w:rsid w:val="00074DE8"/>
    <w:rsid w:val="000A0E52"/>
    <w:rsid w:val="000A3E3E"/>
    <w:rsid w:val="000B0670"/>
    <w:rsid w:val="000C2489"/>
    <w:rsid w:val="000D5C76"/>
    <w:rsid w:val="000E2FA0"/>
    <w:rsid w:val="000E47E9"/>
    <w:rsid w:val="000F2B8C"/>
    <w:rsid w:val="0012096C"/>
    <w:rsid w:val="001252A9"/>
    <w:rsid w:val="00127828"/>
    <w:rsid w:val="00132285"/>
    <w:rsid w:val="001352E8"/>
    <w:rsid w:val="00136395"/>
    <w:rsid w:val="00157C5D"/>
    <w:rsid w:val="001606D6"/>
    <w:rsid w:val="00160D06"/>
    <w:rsid w:val="00161BDA"/>
    <w:rsid w:val="00171618"/>
    <w:rsid w:val="001819B1"/>
    <w:rsid w:val="001A2D10"/>
    <w:rsid w:val="001A4E43"/>
    <w:rsid w:val="001C5E41"/>
    <w:rsid w:val="001C77BC"/>
    <w:rsid w:val="001D48BB"/>
    <w:rsid w:val="001D53C7"/>
    <w:rsid w:val="001E00E3"/>
    <w:rsid w:val="001E5797"/>
    <w:rsid w:val="001F2349"/>
    <w:rsid w:val="001F34EE"/>
    <w:rsid w:val="001F41A4"/>
    <w:rsid w:val="002005D2"/>
    <w:rsid w:val="0020298B"/>
    <w:rsid w:val="00206111"/>
    <w:rsid w:val="00211408"/>
    <w:rsid w:val="002137E0"/>
    <w:rsid w:val="00224D87"/>
    <w:rsid w:val="00242978"/>
    <w:rsid w:val="00244D44"/>
    <w:rsid w:val="002454FA"/>
    <w:rsid w:val="0025032A"/>
    <w:rsid w:val="00270261"/>
    <w:rsid w:val="002741AC"/>
    <w:rsid w:val="00274E2F"/>
    <w:rsid w:val="00275F13"/>
    <w:rsid w:val="002819C0"/>
    <w:rsid w:val="00295556"/>
    <w:rsid w:val="00295BB5"/>
    <w:rsid w:val="002A1F7B"/>
    <w:rsid w:val="002A5A4D"/>
    <w:rsid w:val="002B4262"/>
    <w:rsid w:val="002D5A4D"/>
    <w:rsid w:val="002E22AF"/>
    <w:rsid w:val="002E49DE"/>
    <w:rsid w:val="002F1CAD"/>
    <w:rsid w:val="002F6AC1"/>
    <w:rsid w:val="00302011"/>
    <w:rsid w:val="00324398"/>
    <w:rsid w:val="00330564"/>
    <w:rsid w:val="003443A3"/>
    <w:rsid w:val="0035363E"/>
    <w:rsid w:val="00353E25"/>
    <w:rsid w:val="00353EAC"/>
    <w:rsid w:val="00354938"/>
    <w:rsid w:val="00370279"/>
    <w:rsid w:val="00384FC3"/>
    <w:rsid w:val="003A3804"/>
    <w:rsid w:val="003A52BE"/>
    <w:rsid w:val="003A5866"/>
    <w:rsid w:val="003A6E9F"/>
    <w:rsid w:val="003B5A87"/>
    <w:rsid w:val="003B6512"/>
    <w:rsid w:val="003B7EF8"/>
    <w:rsid w:val="003D4CD6"/>
    <w:rsid w:val="003E2840"/>
    <w:rsid w:val="003F109B"/>
    <w:rsid w:val="00407E04"/>
    <w:rsid w:val="0041759C"/>
    <w:rsid w:val="004228C7"/>
    <w:rsid w:val="0042798B"/>
    <w:rsid w:val="00434913"/>
    <w:rsid w:val="00435D46"/>
    <w:rsid w:val="00440AFD"/>
    <w:rsid w:val="00442AF9"/>
    <w:rsid w:val="004474F8"/>
    <w:rsid w:val="00470ECB"/>
    <w:rsid w:val="00473AED"/>
    <w:rsid w:val="004770D8"/>
    <w:rsid w:val="00477550"/>
    <w:rsid w:val="00480B6A"/>
    <w:rsid w:val="004844A8"/>
    <w:rsid w:val="00496037"/>
    <w:rsid w:val="00496803"/>
    <w:rsid w:val="00497162"/>
    <w:rsid w:val="004A04BF"/>
    <w:rsid w:val="004B02FB"/>
    <w:rsid w:val="004B6688"/>
    <w:rsid w:val="004C3A9D"/>
    <w:rsid w:val="004D512B"/>
    <w:rsid w:val="004E0240"/>
    <w:rsid w:val="004E1A8C"/>
    <w:rsid w:val="00501CA0"/>
    <w:rsid w:val="00504D36"/>
    <w:rsid w:val="0051731B"/>
    <w:rsid w:val="00520BFC"/>
    <w:rsid w:val="0052200B"/>
    <w:rsid w:val="005244A4"/>
    <w:rsid w:val="00527783"/>
    <w:rsid w:val="0053021B"/>
    <w:rsid w:val="00543B76"/>
    <w:rsid w:val="005814B5"/>
    <w:rsid w:val="00594559"/>
    <w:rsid w:val="005A5641"/>
    <w:rsid w:val="005B5B40"/>
    <w:rsid w:val="005C11D4"/>
    <w:rsid w:val="005D0AB8"/>
    <w:rsid w:val="005D3E9D"/>
    <w:rsid w:val="005D6969"/>
    <w:rsid w:val="005E6228"/>
    <w:rsid w:val="00604E4F"/>
    <w:rsid w:val="00610AEC"/>
    <w:rsid w:val="00616783"/>
    <w:rsid w:val="006256D3"/>
    <w:rsid w:val="00627BB7"/>
    <w:rsid w:val="0063222A"/>
    <w:rsid w:val="00640198"/>
    <w:rsid w:val="00641E21"/>
    <w:rsid w:val="00644A13"/>
    <w:rsid w:val="00650A9F"/>
    <w:rsid w:val="0065136E"/>
    <w:rsid w:val="0065216E"/>
    <w:rsid w:val="0066340B"/>
    <w:rsid w:val="00666F1F"/>
    <w:rsid w:val="00670D71"/>
    <w:rsid w:val="00685A30"/>
    <w:rsid w:val="006979DC"/>
    <w:rsid w:val="006C4FC5"/>
    <w:rsid w:val="006D2816"/>
    <w:rsid w:val="006E57E2"/>
    <w:rsid w:val="006E5BA0"/>
    <w:rsid w:val="006E7DCE"/>
    <w:rsid w:val="006F0B97"/>
    <w:rsid w:val="007050FF"/>
    <w:rsid w:val="00726516"/>
    <w:rsid w:val="00726820"/>
    <w:rsid w:val="007347ED"/>
    <w:rsid w:val="00737F2F"/>
    <w:rsid w:val="00752764"/>
    <w:rsid w:val="007616A2"/>
    <w:rsid w:val="00766962"/>
    <w:rsid w:val="00775287"/>
    <w:rsid w:val="007C7A33"/>
    <w:rsid w:val="007D3229"/>
    <w:rsid w:val="007D33F4"/>
    <w:rsid w:val="007D368A"/>
    <w:rsid w:val="007D3FC7"/>
    <w:rsid w:val="007D4E15"/>
    <w:rsid w:val="007E3079"/>
    <w:rsid w:val="007E3B42"/>
    <w:rsid w:val="007F0985"/>
    <w:rsid w:val="007F3ABE"/>
    <w:rsid w:val="007F63D9"/>
    <w:rsid w:val="0080316D"/>
    <w:rsid w:val="00810D56"/>
    <w:rsid w:val="008167E8"/>
    <w:rsid w:val="0081684D"/>
    <w:rsid w:val="00817363"/>
    <w:rsid w:val="008328E9"/>
    <w:rsid w:val="00835BCB"/>
    <w:rsid w:val="00835CDC"/>
    <w:rsid w:val="008364AA"/>
    <w:rsid w:val="0084255C"/>
    <w:rsid w:val="0084548B"/>
    <w:rsid w:val="00845BD9"/>
    <w:rsid w:val="00850B09"/>
    <w:rsid w:val="00857B9D"/>
    <w:rsid w:val="00863B9D"/>
    <w:rsid w:val="00863BE6"/>
    <w:rsid w:val="0086479C"/>
    <w:rsid w:val="00867D3F"/>
    <w:rsid w:val="008744DA"/>
    <w:rsid w:val="008775BC"/>
    <w:rsid w:val="00880240"/>
    <w:rsid w:val="00882F1B"/>
    <w:rsid w:val="00886384"/>
    <w:rsid w:val="008967DC"/>
    <w:rsid w:val="008A29B0"/>
    <w:rsid w:val="008A70CE"/>
    <w:rsid w:val="008B4622"/>
    <w:rsid w:val="008C25E4"/>
    <w:rsid w:val="008C2DAE"/>
    <w:rsid w:val="008D0A68"/>
    <w:rsid w:val="008E1B35"/>
    <w:rsid w:val="008E4CE3"/>
    <w:rsid w:val="008E730D"/>
    <w:rsid w:val="008E769D"/>
    <w:rsid w:val="008F4809"/>
    <w:rsid w:val="00904A8F"/>
    <w:rsid w:val="009059A9"/>
    <w:rsid w:val="00907320"/>
    <w:rsid w:val="00912B05"/>
    <w:rsid w:val="00912D1F"/>
    <w:rsid w:val="0092515E"/>
    <w:rsid w:val="00937CD4"/>
    <w:rsid w:val="00942FBD"/>
    <w:rsid w:val="0094770B"/>
    <w:rsid w:val="00983A9F"/>
    <w:rsid w:val="00987E3F"/>
    <w:rsid w:val="009927C7"/>
    <w:rsid w:val="009A26C7"/>
    <w:rsid w:val="009B2267"/>
    <w:rsid w:val="009B48BC"/>
    <w:rsid w:val="009B6FE5"/>
    <w:rsid w:val="009C0D51"/>
    <w:rsid w:val="009C5F7C"/>
    <w:rsid w:val="009E0AE8"/>
    <w:rsid w:val="009E23DC"/>
    <w:rsid w:val="009E290E"/>
    <w:rsid w:val="009E5374"/>
    <w:rsid w:val="009F345D"/>
    <w:rsid w:val="00A11304"/>
    <w:rsid w:val="00A12C27"/>
    <w:rsid w:val="00A13218"/>
    <w:rsid w:val="00A227A3"/>
    <w:rsid w:val="00A24737"/>
    <w:rsid w:val="00A33585"/>
    <w:rsid w:val="00A41FA4"/>
    <w:rsid w:val="00A46A31"/>
    <w:rsid w:val="00A606B3"/>
    <w:rsid w:val="00A60B73"/>
    <w:rsid w:val="00A62AB0"/>
    <w:rsid w:val="00A7043C"/>
    <w:rsid w:val="00A709D8"/>
    <w:rsid w:val="00A737EC"/>
    <w:rsid w:val="00A80080"/>
    <w:rsid w:val="00A80C89"/>
    <w:rsid w:val="00AA10AE"/>
    <w:rsid w:val="00AA42E4"/>
    <w:rsid w:val="00AA49ED"/>
    <w:rsid w:val="00AB023F"/>
    <w:rsid w:val="00AB1B41"/>
    <w:rsid w:val="00AB32D2"/>
    <w:rsid w:val="00AB4951"/>
    <w:rsid w:val="00AB4B60"/>
    <w:rsid w:val="00AB6A2D"/>
    <w:rsid w:val="00AD48C3"/>
    <w:rsid w:val="00AE45B3"/>
    <w:rsid w:val="00AE6638"/>
    <w:rsid w:val="00AE6BE2"/>
    <w:rsid w:val="00AF3C71"/>
    <w:rsid w:val="00B07007"/>
    <w:rsid w:val="00B16A31"/>
    <w:rsid w:val="00B22005"/>
    <w:rsid w:val="00B315A0"/>
    <w:rsid w:val="00B31B81"/>
    <w:rsid w:val="00B34A18"/>
    <w:rsid w:val="00B35608"/>
    <w:rsid w:val="00B468CE"/>
    <w:rsid w:val="00B523B2"/>
    <w:rsid w:val="00B579CB"/>
    <w:rsid w:val="00B60124"/>
    <w:rsid w:val="00B61376"/>
    <w:rsid w:val="00B626CD"/>
    <w:rsid w:val="00B70083"/>
    <w:rsid w:val="00B77777"/>
    <w:rsid w:val="00B814D1"/>
    <w:rsid w:val="00B82F2D"/>
    <w:rsid w:val="00B85D6F"/>
    <w:rsid w:val="00B8612B"/>
    <w:rsid w:val="00B93139"/>
    <w:rsid w:val="00B95FD9"/>
    <w:rsid w:val="00BA33AA"/>
    <w:rsid w:val="00BB28F6"/>
    <w:rsid w:val="00BB402F"/>
    <w:rsid w:val="00BC2609"/>
    <w:rsid w:val="00BC4E26"/>
    <w:rsid w:val="00BE1017"/>
    <w:rsid w:val="00BE1244"/>
    <w:rsid w:val="00C01BCF"/>
    <w:rsid w:val="00C11471"/>
    <w:rsid w:val="00C13145"/>
    <w:rsid w:val="00C15189"/>
    <w:rsid w:val="00C204B3"/>
    <w:rsid w:val="00C25168"/>
    <w:rsid w:val="00C605EF"/>
    <w:rsid w:val="00C66C0C"/>
    <w:rsid w:val="00C75D54"/>
    <w:rsid w:val="00C767EB"/>
    <w:rsid w:val="00C93E0A"/>
    <w:rsid w:val="00CA1625"/>
    <w:rsid w:val="00CB6A8F"/>
    <w:rsid w:val="00CD17D8"/>
    <w:rsid w:val="00CD4503"/>
    <w:rsid w:val="00CE750F"/>
    <w:rsid w:val="00CF01F8"/>
    <w:rsid w:val="00CF6232"/>
    <w:rsid w:val="00CF6647"/>
    <w:rsid w:val="00CF75E5"/>
    <w:rsid w:val="00D03AA0"/>
    <w:rsid w:val="00D160CB"/>
    <w:rsid w:val="00D1741C"/>
    <w:rsid w:val="00D245A1"/>
    <w:rsid w:val="00D334F2"/>
    <w:rsid w:val="00D35265"/>
    <w:rsid w:val="00D415E2"/>
    <w:rsid w:val="00D42055"/>
    <w:rsid w:val="00D54860"/>
    <w:rsid w:val="00D579AD"/>
    <w:rsid w:val="00D63217"/>
    <w:rsid w:val="00D647C3"/>
    <w:rsid w:val="00D7097F"/>
    <w:rsid w:val="00D753B8"/>
    <w:rsid w:val="00D842EF"/>
    <w:rsid w:val="00D92A29"/>
    <w:rsid w:val="00D94D01"/>
    <w:rsid w:val="00D951E3"/>
    <w:rsid w:val="00D9633A"/>
    <w:rsid w:val="00DA254F"/>
    <w:rsid w:val="00DB63C7"/>
    <w:rsid w:val="00DE22A2"/>
    <w:rsid w:val="00DF2386"/>
    <w:rsid w:val="00DF7FE7"/>
    <w:rsid w:val="00E16E57"/>
    <w:rsid w:val="00E35230"/>
    <w:rsid w:val="00E46367"/>
    <w:rsid w:val="00E62471"/>
    <w:rsid w:val="00E63F0B"/>
    <w:rsid w:val="00E64868"/>
    <w:rsid w:val="00E74D40"/>
    <w:rsid w:val="00E77C02"/>
    <w:rsid w:val="00E80457"/>
    <w:rsid w:val="00E84D2E"/>
    <w:rsid w:val="00EA3A7F"/>
    <w:rsid w:val="00EC092E"/>
    <w:rsid w:val="00EC0D3A"/>
    <w:rsid w:val="00ED44FE"/>
    <w:rsid w:val="00EE3DD0"/>
    <w:rsid w:val="00EF4156"/>
    <w:rsid w:val="00F0135D"/>
    <w:rsid w:val="00F078F1"/>
    <w:rsid w:val="00F15F8C"/>
    <w:rsid w:val="00F169AB"/>
    <w:rsid w:val="00F22812"/>
    <w:rsid w:val="00F307B5"/>
    <w:rsid w:val="00F32D03"/>
    <w:rsid w:val="00F344DE"/>
    <w:rsid w:val="00F36D2B"/>
    <w:rsid w:val="00F36F68"/>
    <w:rsid w:val="00F37B57"/>
    <w:rsid w:val="00F43B44"/>
    <w:rsid w:val="00F641FA"/>
    <w:rsid w:val="00F70414"/>
    <w:rsid w:val="00F73BBD"/>
    <w:rsid w:val="00F73E71"/>
    <w:rsid w:val="00FC1A59"/>
    <w:rsid w:val="00FD64D1"/>
    <w:rsid w:val="00FE6A6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C9D3-1A6B-4C63-A468-432B5A35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8164</Characters>
  <Application>Microsoft Office Word</Application>
  <DocSecurity>4</DocSecurity>
  <Lines>166</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2</cp:revision>
  <cp:lastPrinted>2016-10-06T13:08:00Z</cp:lastPrinted>
  <dcterms:created xsi:type="dcterms:W3CDTF">2018-07-21T22:35:00Z</dcterms:created>
  <dcterms:modified xsi:type="dcterms:W3CDTF">2018-07-21T22:35:00Z</dcterms:modified>
</cp:coreProperties>
</file>