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F1" w:rsidRPr="00517C51" w:rsidRDefault="002644F1" w:rsidP="002644F1">
      <w:pPr>
        <w:ind w:right="17"/>
        <w:jc w:val="center"/>
        <w:outlineLvl w:val="0"/>
        <w:rPr>
          <w:rFonts w:eastAsia="Times New Roman" w:cstheme="majorHAnsi"/>
          <w:b/>
          <w:bCs/>
          <w:sz w:val="24"/>
          <w:szCs w:val="24"/>
          <w:lang w:val="en-US"/>
        </w:rPr>
      </w:pPr>
      <w:r>
        <w:rPr>
          <w:rFonts w:eastAsia="Times New Roman" w:cstheme="majorHAnsi"/>
          <w:b/>
          <w:bCs/>
          <w:noProof/>
          <w:sz w:val="28"/>
          <w:szCs w:val="28"/>
          <w:lang w:eastAsia="en-GB"/>
        </w:rPr>
        <w:drawing>
          <wp:anchor distT="0" distB="0" distL="114300" distR="114300" simplePos="0" relativeHeight="251661312" behindDoc="1" locked="0" layoutInCell="1" allowOverlap="1" wp14:anchorId="3BE4A291" wp14:editId="4D3D5D6E">
            <wp:simplePos x="0" y="0"/>
            <wp:positionH relativeFrom="column">
              <wp:posOffset>-254000</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517C51">
        <w:rPr>
          <w:rFonts w:eastAsia="Times New Roman" w:cstheme="majorHAnsi"/>
          <w:b/>
          <w:bCs/>
          <w:sz w:val="24"/>
          <w:szCs w:val="24"/>
          <w:lang w:val="en-US"/>
        </w:rPr>
        <w:t>13th Meeting of the Conference of the Contracting Parties</w:t>
      </w:r>
    </w:p>
    <w:p w:rsidR="002644F1" w:rsidRPr="00517C51" w:rsidRDefault="002644F1" w:rsidP="002644F1">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to the Ramsar Convention on Wetlands</w:t>
      </w:r>
    </w:p>
    <w:p w:rsidR="002644F1" w:rsidRPr="00517C51" w:rsidRDefault="002644F1" w:rsidP="002644F1">
      <w:pPr>
        <w:ind w:right="17"/>
        <w:jc w:val="center"/>
        <w:outlineLvl w:val="0"/>
        <w:rPr>
          <w:rFonts w:eastAsia="Times New Roman" w:cstheme="majorHAnsi"/>
          <w:b/>
          <w:bCs/>
          <w:sz w:val="24"/>
          <w:szCs w:val="24"/>
          <w:lang w:val="en-US"/>
        </w:rPr>
      </w:pPr>
    </w:p>
    <w:p w:rsidR="002644F1" w:rsidRPr="00517C51" w:rsidRDefault="002644F1" w:rsidP="002644F1">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“Wetlands for a Sustainable Urban Future”</w:t>
      </w:r>
    </w:p>
    <w:p w:rsidR="002644F1" w:rsidRPr="00517C51" w:rsidRDefault="002644F1" w:rsidP="002644F1">
      <w:pPr>
        <w:ind w:right="17"/>
        <w:jc w:val="center"/>
        <w:outlineLvl w:val="0"/>
        <w:rPr>
          <w:rFonts w:eastAsia="Times New Roman" w:cstheme="majorHAnsi"/>
          <w:b/>
          <w:bCs/>
          <w:sz w:val="24"/>
          <w:szCs w:val="24"/>
          <w:lang w:val="en-US"/>
        </w:rPr>
      </w:pPr>
      <w:r w:rsidRPr="00517C51">
        <w:rPr>
          <w:rFonts w:eastAsia="Times New Roman" w:cstheme="majorHAnsi"/>
          <w:b/>
          <w:bCs/>
          <w:sz w:val="24"/>
          <w:szCs w:val="24"/>
          <w:lang w:val="en-US"/>
        </w:rPr>
        <w:t>Dubai, United Arab Emirates, 21-29 October 2018</w:t>
      </w:r>
    </w:p>
    <w:p w:rsidR="002644F1" w:rsidRDefault="002644F1" w:rsidP="002644F1">
      <w:pPr>
        <w:ind w:right="17"/>
        <w:jc w:val="center"/>
        <w:outlineLvl w:val="0"/>
        <w:rPr>
          <w:rFonts w:eastAsia="Times New Roman" w:cstheme="majorHAnsi"/>
          <w:b/>
          <w:bCs/>
          <w:sz w:val="28"/>
          <w:szCs w:val="28"/>
        </w:rPr>
      </w:pPr>
    </w:p>
    <w:p w:rsidR="002644F1" w:rsidRDefault="002644F1" w:rsidP="002644F1">
      <w:pPr>
        <w:ind w:right="17"/>
        <w:jc w:val="center"/>
        <w:outlineLvl w:val="0"/>
        <w:rPr>
          <w:rFonts w:eastAsia="Times New Roman"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2644F1" w:rsidRPr="000E67F8" w:rsidTr="000854A2">
        <w:tc>
          <w:tcPr>
            <w:tcW w:w="4708" w:type="dxa"/>
          </w:tcPr>
          <w:p w:rsidR="002644F1" w:rsidRPr="000E67F8" w:rsidRDefault="002644F1" w:rsidP="000854A2">
            <w:pPr>
              <w:ind w:right="17"/>
              <w:jc w:val="center"/>
              <w:outlineLvl w:val="0"/>
              <w:rPr>
                <w:rFonts w:eastAsia="Times New Roman" w:cstheme="majorHAnsi"/>
                <w:b/>
                <w:bCs/>
                <w:sz w:val="24"/>
                <w:szCs w:val="24"/>
                <w:lang w:val="en-US"/>
              </w:rPr>
            </w:pPr>
          </w:p>
        </w:tc>
        <w:tc>
          <w:tcPr>
            <w:tcW w:w="4652" w:type="dxa"/>
          </w:tcPr>
          <w:p w:rsidR="002644F1" w:rsidRPr="000E67F8" w:rsidRDefault="002644F1" w:rsidP="002644F1">
            <w:pPr>
              <w:ind w:right="67"/>
              <w:jc w:val="right"/>
              <w:outlineLvl w:val="0"/>
              <w:rPr>
                <w:rFonts w:eastAsia="Times New Roman" w:cstheme="majorHAnsi"/>
                <w:b/>
                <w:bCs/>
                <w:sz w:val="24"/>
                <w:szCs w:val="24"/>
                <w:lang w:val="en-US"/>
              </w:rPr>
            </w:pPr>
            <w:r w:rsidRPr="000E67F8">
              <w:rPr>
                <w:rFonts w:eastAsia="Times New Roman" w:cstheme="majorHAnsi"/>
                <w:b/>
                <w:bCs/>
                <w:sz w:val="24"/>
                <w:szCs w:val="24"/>
                <w:lang w:val="en-US"/>
              </w:rPr>
              <w:t xml:space="preserve">Ramsar COP13 </w:t>
            </w:r>
            <w:r w:rsidR="00147BF6" w:rsidRPr="00147BF6">
              <w:rPr>
                <w:rFonts w:eastAsia="Times New Roman" w:cstheme="majorHAnsi"/>
                <w:b/>
                <w:bCs/>
                <w:sz w:val="24"/>
                <w:szCs w:val="24"/>
                <w:lang w:val="en-US"/>
              </w:rPr>
              <w:t>Doc.18.4</w:t>
            </w:r>
          </w:p>
        </w:tc>
      </w:tr>
    </w:tbl>
    <w:p w:rsidR="002644F1" w:rsidRDefault="002644F1" w:rsidP="002644F1">
      <w:pPr>
        <w:ind w:right="17"/>
        <w:jc w:val="center"/>
        <w:outlineLvl w:val="0"/>
        <w:rPr>
          <w:rFonts w:eastAsia="Times New Roman" w:cstheme="majorHAnsi"/>
          <w:b/>
          <w:bCs/>
          <w:sz w:val="28"/>
          <w:szCs w:val="28"/>
        </w:rPr>
      </w:pPr>
    </w:p>
    <w:p w:rsidR="002A22D6" w:rsidRPr="002644F1" w:rsidRDefault="002644F1" w:rsidP="002644F1">
      <w:pPr>
        <w:ind w:left="0" w:firstLine="0"/>
        <w:jc w:val="center"/>
        <w:rPr>
          <w:rFonts w:eastAsia="Times New Roman" w:cstheme="majorHAnsi"/>
          <w:b/>
          <w:bCs/>
          <w:sz w:val="28"/>
          <w:szCs w:val="28"/>
        </w:rPr>
      </w:pPr>
      <w:r w:rsidRPr="002058B9">
        <w:rPr>
          <w:rFonts w:eastAsia="Times New Roman" w:cstheme="majorHAnsi"/>
          <w:b/>
          <w:bCs/>
          <w:sz w:val="28"/>
          <w:szCs w:val="28"/>
        </w:rPr>
        <w:t xml:space="preserve">Draft resolution </w:t>
      </w:r>
      <w:r w:rsidR="00147BF6">
        <w:rPr>
          <w:rFonts w:eastAsia="Times New Roman" w:cstheme="majorHAnsi"/>
          <w:b/>
          <w:bCs/>
          <w:sz w:val="28"/>
          <w:szCs w:val="28"/>
        </w:rPr>
        <w:t>on l</w:t>
      </w:r>
      <w:r w:rsidR="002A22D6" w:rsidRPr="002644F1">
        <w:rPr>
          <w:rFonts w:eastAsia="Times New Roman" w:cstheme="majorHAnsi"/>
          <w:b/>
          <w:bCs/>
          <w:sz w:val="28"/>
          <w:szCs w:val="28"/>
        </w:rPr>
        <w:t xml:space="preserve">anguage strategy for </w:t>
      </w:r>
      <w:r w:rsidR="00C2321C" w:rsidRPr="002644F1">
        <w:rPr>
          <w:rFonts w:eastAsia="Times New Roman" w:cstheme="majorHAnsi"/>
          <w:b/>
          <w:bCs/>
          <w:sz w:val="28"/>
          <w:szCs w:val="28"/>
        </w:rPr>
        <w:t>the Convention</w:t>
      </w:r>
    </w:p>
    <w:p w:rsidR="00147BF6" w:rsidRDefault="00147BF6" w:rsidP="00C2321C">
      <w:pPr>
        <w:rPr>
          <w:color w:val="000000"/>
        </w:rPr>
      </w:pPr>
    </w:p>
    <w:p w:rsidR="00147BF6" w:rsidRDefault="00147BF6" w:rsidP="00C2321C">
      <w:pPr>
        <w:rPr>
          <w:color w:val="000000"/>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147BF6" w:rsidRPr="000E67F8" w:rsidTr="00F4162C">
        <w:tc>
          <w:tcPr>
            <w:tcW w:w="9360" w:type="dxa"/>
          </w:tcPr>
          <w:p w:rsidR="00147BF6" w:rsidRPr="00147BF6" w:rsidRDefault="00147BF6" w:rsidP="00147BF6">
            <w:pPr>
              <w:ind w:left="0" w:firstLine="0"/>
              <w:outlineLvl w:val="0"/>
              <w:rPr>
                <w:rFonts w:eastAsia="Times New Roman" w:cstheme="majorHAnsi"/>
                <w:b/>
                <w:bCs/>
                <w:lang w:val="en-US"/>
              </w:rPr>
            </w:pPr>
            <w:r w:rsidRPr="00147BF6">
              <w:rPr>
                <w:rFonts w:eastAsia="Times New Roman" w:cstheme="majorHAnsi"/>
                <w:b/>
                <w:bCs/>
                <w:lang w:val="en-US"/>
              </w:rPr>
              <w:t>Note from the Secretariat</w:t>
            </w:r>
          </w:p>
          <w:p w:rsidR="00147BF6" w:rsidRPr="00147BF6" w:rsidRDefault="00147BF6" w:rsidP="00147BF6">
            <w:pPr>
              <w:ind w:left="0" w:firstLine="0"/>
              <w:outlineLvl w:val="0"/>
              <w:rPr>
                <w:rFonts w:eastAsia="Times New Roman" w:cstheme="majorHAnsi"/>
                <w:b/>
                <w:bCs/>
                <w:lang w:val="en-US"/>
              </w:rPr>
            </w:pPr>
          </w:p>
          <w:p w:rsidR="00147BF6" w:rsidRPr="00147BF6" w:rsidRDefault="00147BF6" w:rsidP="00147BF6">
            <w:pPr>
              <w:ind w:left="0" w:firstLine="0"/>
              <w:outlineLvl w:val="0"/>
              <w:rPr>
                <w:rFonts w:eastAsia="Times New Roman" w:cstheme="majorHAnsi"/>
                <w:bCs/>
                <w:sz w:val="24"/>
                <w:szCs w:val="24"/>
                <w:lang w:val="en-US"/>
              </w:rPr>
            </w:pPr>
            <w:r w:rsidRPr="00147BF6">
              <w:rPr>
                <w:rFonts w:eastAsia="Times New Roman" w:cstheme="majorHAnsi"/>
                <w:bCs/>
                <w:lang w:val="en-US"/>
              </w:rPr>
              <w:t>At its 54th meeting, following discussion and suggestions for amendments, the Standing Committee in Decision SC54-18 instructed the Secretariat to edit, finalize and publish the draft resolution contained in document SC54-Com.1 for consideration at COP13, without further substantive amendment. The text is presented here as a separate draft resolution reflecting the preference expressed in the Standing Committee, with the repeal of out-of-date paragraphs from Resolution XII.3.</w:t>
            </w:r>
          </w:p>
        </w:tc>
      </w:tr>
    </w:tbl>
    <w:p w:rsidR="00C2321C" w:rsidRDefault="00C2321C" w:rsidP="004E1A8C">
      <w:pPr>
        <w:rPr>
          <w:rFonts w:cs="Arial"/>
        </w:rPr>
      </w:pPr>
    </w:p>
    <w:p w:rsidR="00C2321C" w:rsidRPr="004E1A8C" w:rsidRDefault="00C2321C" w:rsidP="004E1A8C">
      <w:pPr>
        <w:rPr>
          <w:rFonts w:cs="Arial"/>
        </w:rPr>
      </w:pPr>
    </w:p>
    <w:p w:rsidR="007D368A" w:rsidRPr="004E1A8C" w:rsidRDefault="007D368A" w:rsidP="004E1A8C">
      <w:pPr>
        <w:rPr>
          <w:rFonts w:cs="Arial"/>
        </w:rPr>
      </w:pPr>
      <w:r w:rsidRPr="004E1A8C">
        <w:rPr>
          <w:rFonts w:cs="Arial"/>
        </w:rPr>
        <w:t>1.</w:t>
      </w:r>
      <w:r w:rsidR="00F70414">
        <w:rPr>
          <w:rFonts w:cs="Arial"/>
        </w:rPr>
        <w:tab/>
      </w:r>
      <w:r w:rsidRPr="004E1A8C">
        <w:rPr>
          <w:rFonts w:cs="Arial"/>
        </w:rPr>
        <w:t>RECALLING that</w:t>
      </w:r>
      <w:r w:rsidR="00D842EF">
        <w:rPr>
          <w:rFonts w:cs="Arial"/>
        </w:rPr>
        <w:t>, in</w:t>
      </w:r>
      <w:r w:rsidRPr="004E1A8C">
        <w:rPr>
          <w:rFonts w:cs="Arial"/>
        </w:rPr>
        <w:t xml:space="preserve"> Resolution XI.1</w:t>
      </w:r>
      <w:r w:rsidR="00D842EF">
        <w:rPr>
          <w:rFonts w:cs="Arial"/>
        </w:rPr>
        <w:t xml:space="preserve">, adopted at its 11th meeting (Bucharest, 2012), the Conference of the </w:t>
      </w:r>
      <w:r w:rsidR="002644F1">
        <w:rPr>
          <w:rFonts w:cs="Arial"/>
        </w:rPr>
        <w:t xml:space="preserve">Contracting </w:t>
      </w:r>
      <w:r w:rsidR="00D842EF">
        <w:rPr>
          <w:rFonts w:cs="Arial"/>
        </w:rPr>
        <w:t xml:space="preserve">Parties </w:t>
      </w:r>
      <w:r w:rsidRPr="004E1A8C">
        <w:rPr>
          <w:rFonts w:cs="Arial"/>
        </w:rPr>
        <w:t>instructed the Standing Committee</w:t>
      </w:r>
      <w:r w:rsidR="00D35265">
        <w:rPr>
          <w:rFonts w:cs="Arial"/>
        </w:rPr>
        <w:t>, with the participation of all interested</w:t>
      </w:r>
      <w:r w:rsidRPr="004E1A8C">
        <w:rPr>
          <w:rFonts w:cs="Arial"/>
        </w:rPr>
        <w:t xml:space="preserve"> Parties</w:t>
      </w:r>
      <w:r w:rsidR="00D35265">
        <w:rPr>
          <w:rFonts w:cs="Arial"/>
        </w:rPr>
        <w:t>,</w:t>
      </w:r>
      <w:r w:rsidRPr="004E1A8C">
        <w:rPr>
          <w:rFonts w:cs="Arial"/>
        </w:rPr>
        <w:t xml:space="preserve"> to develop strategies that explore the accommodation of UN languages into th</w:t>
      </w:r>
      <w:r w:rsidR="00B814D1">
        <w:rPr>
          <w:rFonts w:cs="Arial"/>
        </w:rPr>
        <w:t>e Convention</w:t>
      </w:r>
      <w:r w:rsidR="00F36D2B">
        <w:rPr>
          <w:rFonts w:cs="Arial"/>
        </w:rPr>
        <w:t xml:space="preserve">, </w:t>
      </w:r>
      <w:r w:rsidR="00F36D2B" w:rsidRPr="005A7188">
        <w:rPr>
          <w:rFonts w:asciiTheme="minorHAnsi" w:hAnsiTheme="minorHAnsi" w:cs="Arial"/>
        </w:rPr>
        <w:t xml:space="preserve">the elevation of the Convention’s visibility and stature, including </w:t>
      </w:r>
      <w:r w:rsidR="00F36D2B" w:rsidRPr="005A7188">
        <w:rPr>
          <w:rFonts w:asciiTheme="minorHAnsi" w:hAnsiTheme="minorHAnsi" w:cs="Arial"/>
          <w:i/>
        </w:rPr>
        <w:t>inter alia</w:t>
      </w:r>
      <w:r w:rsidR="00F36D2B" w:rsidRPr="005A7188">
        <w:rPr>
          <w:rFonts w:asciiTheme="minorHAnsi" w:hAnsiTheme="minorHAnsi" w:cs="Arial"/>
        </w:rPr>
        <w:t xml:space="preserve"> through enhancing high-level political engagement in its work at national, regional, and global levels, the enhancement of synergies with multilateral environmental agreements (MEAs) and other international entities including through regional initiatives, and the increased involvement in the initiatives of</w:t>
      </w:r>
      <w:r w:rsidR="00F36D2B" w:rsidRPr="005A7188" w:rsidDel="00923232">
        <w:rPr>
          <w:rFonts w:asciiTheme="minorHAnsi" w:hAnsiTheme="minorHAnsi" w:cs="Arial"/>
        </w:rPr>
        <w:t xml:space="preserve"> </w:t>
      </w:r>
      <w:r w:rsidR="00F36D2B" w:rsidRPr="005A7188">
        <w:rPr>
          <w:rFonts w:asciiTheme="minorHAnsi" w:hAnsiTheme="minorHAnsi" w:cs="Arial"/>
        </w:rPr>
        <w:t>the United Nations Environment Programme (UNEP)</w:t>
      </w:r>
      <w:r w:rsidR="00D35265">
        <w:rPr>
          <w:rFonts w:cs="Arial"/>
        </w:rPr>
        <w:t>;</w:t>
      </w:r>
    </w:p>
    <w:p w:rsidR="007D368A" w:rsidRPr="004E1A8C" w:rsidRDefault="007D368A" w:rsidP="004E1A8C">
      <w:pPr>
        <w:rPr>
          <w:rFonts w:cs="Arial"/>
        </w:rPr>
      </w:pPr>
    </w:p>
    <w:p w:rsidR="00B814D1" w:rsidRDefault="00F70414" w:rsidP="00A33585">
      <w:pPr>
        <w:rPr>
          <w:rFonts w:cs="Arial"/>
        </w:rPr>
      </w:pPr>
      <w:r>
        <w:rPr>
          <w:rFonts w:cs="Arial"/>
        </w:rPr>
        <w:t>2.</w:t>
      </w:r>
      <w:r w:rsidR="00B814D1">
        <w:rPr>
          <w:rFonts w:cs="Arial"/>
        </w:rPr>
        <w:tab/>
      </w:r>
      <w:r w:rsidR="00CF01F8">
        <w:rPr>
          <w:rFonts w:cs="Arial"/>
        </w:rPr>
        <w:t xml:space="preserve">RECALLING </w:t>
      </w:r>
      <w:r w:rsidR="00B814D1">
        <w:rPr>
          <w:rFonts w:cs="Arial"/>
        </w:rPr>
        <w:t>ALSO</w:t>
      </w:r>
      <w:r w:rsidR="007D368A" w:rsidRPr="004E1A8C">
        <w:rPr>
          <w:rFonts w:cs="Arial"/>
        </w:rPr>
        <w:t xml:space="preserve"> </w:t>
      </w:r>
      <w:r w:rsidR="00D03AA0">
        <w:rPr>
          <w:rFonts w:cs="Arial"/>
        </w:rPr>
        <w:t xml:space="preserve">that, in </w:t>
      </w:r>
      <w:r w:rsidR="007D368A" w:rsidRPr="004E1A8C">
        <w:rPr>
          <w:rFonts w:cs="Arial"/>
        </w:rPr>
        <w:t>Resolution X</w:t>
      </w:r>
      <w:r w:rsidR="00B814D1">
        <w:rPr>
          <w:rFonts w:cs="Arial"/>
        </w:rPr>
        <w:t>I</w:t>
      </w:r>
      <w:r w:rsidR="007D368A" w:rsidRPr="004E1A8C">
        <w:rPr>
          <w:rFonts w:cs="Arial"/>
        </w:rPr>
        <w:t>I.</w:t>
      </w:r>
      <w:r w:rsidR="003443A3">
        <w:rPr>
          <w:rFonts w:cs="Arial"/>
        </w:rPr>
        <w:t>3</w:t>
      </w:r>
      <w:r w:rsidR="00B814D1">
        <w:rPr>
          <w:rFonts w:cs="Arial"/>
        </w:rPr>
        <w:t xml:space="preserve">, </w:t>
      </w:r>
      <w:r w:rsidR="00D03AA0">
        <w:rPr>
          <w:rFonts w:cs="Arial"/>
        </w:rPr>
        <w:t xml:space="preserve">adopted at the 12th meeting (Punta del Este, 2015) the Conference of the Parties </w:t>
      </w:r>
      <w:r w:rsidR="007D368A" w:rsidRPr="004E1A8C">
        <w:rPr>
          <w:rFonts w:cs="Arial"/>
        </w:rPr>
        <w:t>call</w:t>
      </w:r>
      <w:r w:rsidR="00D03AA0">
        <w:rPr>
          <w:rFonts w:cs="Arial"/>
        </w:rPr>
        <w:t>ed</w:t>
      </w:r>
      <w:r w:rsidR="007D368A" w:rsidRPr="004E1A8C">
        <w:rPr>
          <w:rFonts w:cs="Arial"/>
        </w:rPr>
        <w:t xml:space="preserve"> </w:t>
      </w:r>
      <w:r w:rsidR="00B814D1">
        <w:rPr>
          <w:rFonts w:cs="Arial"/>
        </w:rPr>
        <w:t>on the Secretariat</w:t>
      </w:r>
      <w:r w:rsidR="00D03AA0">
        <w:rPr>
          <w:rFonts w:cs="Arial"/>
        </w:rPr>
        <w:t xml:space="preserve"> to develop </w:t>
      </w:r>
      <w:r w:rsidR="00A33585">
        <w:rPr>
          <w:rFonts w:cs="Arial"/>
        </w:rPr>
        <w:t xml:space="preserve">a strategy and </w:t>
      </w:r>
      <w:r w:rsidR="00D03AA0">
        <w:rPr>
          <w:rFonts w:cs="Arial"/>
        </w:rPr>
        <w:t xml:space="preserve">draft resolution addressing accommodation of the Arabic </w:t>
      </w:r>
      <w:r w:rsidR="00B814D1" w:rsidRPr="005A7188">
        <w:rPr>
          <w:rFonts w:asciiTheme="minorHAnsi" w:hAnsiTheme="minorHAnsi" w:cstheme="minorHAnsi"/>
          <w:bCs/>
        </w:rPr>
        <w:t>Language into the Convention</w:t>
      </w:r>
      <w:r w:rsidR="00CF01F8">
        <w:rPr>
          <w:rFonts w:asciiTheme="minorHAnsi" w:hAnsiTheme="minorHAnsi" w:cstheme="minorHAnsi"/>
          <w:bCs/>
        </w:rPr>
        <w:t xml:space="preserve"> and </w:t>
      </w:r>
      <w:r w:rsidR="00B814D1" w:rsidRPr="00B07217">
        <w:rPr>
          <w:rFonts w:asciiTheme="minorHAnsi" w:hAnsiTheme="minorHAnsi" w:cstheme="minorHAnsi"/>
          <w:bCs/>
        </w:rPr>
        <w:t>further phased integration of existing Convention languages</w:t>
      </w:r>
      <w:r w:rsidR="00CF01F8">
        <w:rPr>
          <w:rFonts w:asciiTheme="minorHAnsi" w:hAnsiTheme="minorHAnsi" w:cstheme="minorHAnsi"/>
          <w:bCs/>
        </w:rPr>
        <w:t xml:space="preserve">, </w:t>
      </w:r>
      <w:r w:rsidR="00A33585">
        <w:rPr>
          <w:rFonts w:asciiTheme="minorHAnsi" w:hAnsiTheme="minorHAnsi" w:cstheme="minorHAnsi"/>
          <w:bCs/>
        </w:rPr>
        <w:t xml:space="preserve">which </w:t>
      </w:r>
      <w:r w:rsidR="00CF01F8">
        <w:rPr>
          <w:rFonts w:asciiTheme="minorHAnsi" w:hAnsiTheme="minorHAnsi" w:cstheme="minorHAnsi"/>
          <w:bCs/>
        </w:rPr>
        <w:t xml:space="preserve">called on </w:t>
      </w:r>
      <w:r w:rsidR="00B814D1">
        <w:rPr>
          <w:rFonts w:cs="Arial"/>
        </w:rPr>
        <w:t>the</w:t>
      </w:r>
      <w:r w:rsidR="007D368A" w:rsidRPr="004E1A8C">
        <w:rPr>
          <w:rFonts w:cs="Arial"/>
        </w:rPr>
        <w:t xml:space="preserve"> Standing Committee </w:t>
      </w:r>
      <w:r w:rsidR="00B814D1" w:rsidRPr="00997BB7">
        <w:rPr>
          <w:rFonts w:asciiTheme="minorHAnsi" w:hAnsiTheme="minorHAnsi" w:cstheme="minorHAnsi"/>
          <w:bCs/>
        </w:rPr>
        <w:t>t</w:t>
      </w:r>
      <w:r w:rsidR="00B814D1" w:rsidRPr="00A33585">
        <w:rPr>
          <w:rFonts w:cs="Arial"/>
        </w:rPr>
        <w:t>o</w:t>
      </w:r>
      <w:r w:rsidR="00A33585">
        <w:rPr>
          <w:rFonts w:cs="Arial"/>
        </w:rPr>
        <w:t xml:space="preserve"> </w:t>
      </w:r>
      <w:r w:rsidR="00B814D1" w:rsidRPr="00A33585">
        <w:rPr>
          <w:rFonts w:cs="Arial"/>
        </w:rPr>
        <w:t>submit its recommendations to the 13th meeting of the Conference of the Contracting Parties</w:t>
      </w:r>
      <w:r w:rsidR="00B814D1">
        <w:rPr>
          <w:rFonts w:cs="Arial"/>
        </w:rPr>
        <w:t>;</w:t>
      </w:r>
    </w:p>
    <w:p w:rsidR="007D368A" w:rsidRDefault="00DD6454" w:rsidP="00DD6454">
      <w:pPr>
        <w:tabs>
          <w:tab w:val="left" w:pos="1276"/>
        </w:tabs>
        <w:rPr>
          <w:rFonts w:cs="Arial"/>
        </w:rPr>
      </w:pPr>
      <w:r>
        <w:rPr>
          <w:rFonts w:cs="Arial"/>
        </w:rPr>
        <w:tab/>
      </w:r>
      <w:r>
        <w:rPr>
          <w:rFonts w:cs="Arial"/>
        </w:rPr>
        <w:tab/>
      </w:r>
    </w:p>
    <w:p w:rsidR="00D579AD" w:rsidRDefault="00F37B57" w:rsidP="004E1A8C">
      <w:pPr>
        <w:rPr>
          <w:rFonts w:cs="Arial"/>
        </w:rPr>
      </w:pPr>
      <w:r>
        <w:rPr>
          <w:rFonts w:cs="Arial"/>
        </w:rPr>
        <w:t>3</w:t>
      </w:r>
      <w:r w:rsidR="00AF3C71">
        <w:rPr>
          <w:rFonts w:cs="Arial"/>
        </w:rPr>
        <w:t>.</w:t>
      </w:r>
      <w:r w:rsidR="00AF3C71">
        <w:rPr>
          <w:rFonts w:cs="Arial"/>
        </w:rPr>
        <w:tab/>
        <w:t>ACKNOWLEDGING that funding constraints have precluded the provision of a full and equal language service for the official languages of the Convention, English, French and Spanish;</w:t>
      </w:r>
    </w:p>
    <w:p w:rsidR="00D579AD" w:rsidRDefault="00D579AD" w:rsidP="004E1A8C">
      <w:pPr>
        <w:rPr>
          <w:rFonts w:cs="Arial"/>
        </w:rPr>
      </w:pPr>
    </w:p>
    <w:p w:rsidR="00E84D2E" w:rsidRDefault="00F37B57" w:rsidP="004E1A8C">
      <w:pPr>
        <w:rPr>
          <w:rFonts w:cs="Arial"/>
        </w:rPr>
      </w:pPr>
      <w:r>
        <w:rPr>
          <w:rFonts w:cs="Arial"/>
        </w:rPr>
        <w:t>4</w:t>
      </w:r>
      <w:r w:rsidR="00F70414">
        <w:rPr>
          <w:rFonts w:cs="Arial"/>
        </w:rPr>
        <w:t>.</w:t>
      </w:r>
      <w:r w:rsidR="00F70414">
        <w:rPr>
          <w:rFonts w:cs="Arial"/>
        </w:rPr>
        <w:tab/>
      </w:r>
      <w:r w:rsidR="00AF3C71">
        <w:rPr>
          <w:rFonts w:cs="Arial"/>
        </w:rPr>
        <w:t>CONSIDERING</w:t>
      </w:r>
      <w:r w:rsidR="007D368A" w:rsidRPr="004E1A8C">
        <w:rPr>
          <w:rFonts w:cs="Arial"/>
        </w:rPr>
        <w:t xml:space="preserve"> that the accommodation of additional languages</w:t>
      </w:r>
      <w:r w:rsidR="00B61376">
        <w:rPr>
          <w:rFonts w:cs="Arial"/>
        </w:rPr>
        <w:t>, in particular Arabic,</w:t>
      </w:r>
      <w:r w:rsidR="007D368A" w:rsidRPr="004E1A8C">
        <w:rPr>
          <w:rFonts w:cs="Arial"/>
        </w:rPr>
        <w:t xml:space="preserve"> into the daily work of the Convention </w:t>
      </w:r>
      <w:r w:rsidR="00B61376">
        <w:rPr>
          <w:rFonts w:cs="Arial"/>
        </w:rPr>
        <w:t xml:space="preserve">could </w:t>
      </w:r>
      <w:r w:rsidR="007D368A" w:rsidRPr="004E1A8C">
        <w:rPr>
          <w:rFonts w:cs="Arial"/>
        </w:rPr>
        <w:t>foster the engagement of more Contracting Parties to the Convention</w:t>
      </w:r>
      <w:r w:rsidR="00B61376">
        <w:rPr>
          <w:rFonts w:cs="Arial"/>
        </w:rPr>
        <w:t xml:space="preserve"> and could assist Contracting Parties </w:t>
      </w:r>
      <w:r w:rsidR="00E84D2E">
        <w:rPr>
          <w:rFonts w:cs="Arial"/>
        </w:rPr>
        <w:t>to raise awareness and improve their implementation of the Convention;</w:t>
      </w:r>
    </w:p>
    <w:p w:rsidR="007F0985" w:rsidRDefault="007F0985" w:rsidP="00F37B57">
      <w:pPr>
        <w:rPr>
          <w:rFonts w:cs="Arial"/>
        </w:rPr>
      </w:pPr>
    </w:p>
    <w:p w:rsidR="007F0985" w:rsidRPr="00E62471" w:rsidRDefault="00B22005" w:rsidP="00E62471">
      <w:pPr>
        <w:rPr>
          <w:rFonts w:cs="Arial"/>
        </w:rPr>
      </w:pPr>
      <w:r>
        <w:rPr>
          <w:rFonts w:cs="Arial"/>
        </w:rPr>
        <w:t>5.</w:t>
      </w:r>
      <w:r>
        <w:rPr>
          <w:rFonts w:cs="Arial"/>
        </w:rPr>
        <w:tab/>
      </w:r>
      <w:r w:rsidR="007F0985" w:rsidRPr="00E62471">
        <w:rPr>
          <w:rFonts w:cs="Arial"/>
        </w:rPr>
        <w:t>NOTING the expressed interest in accession to the Convention by a growing number of Arabic-speaking countries and the increasing interest in implementation of the Convention by Arabic-speaking Contracting Parties;</w:t>
      </w:r>
    </w:p>
    <w:p w:rsidR="007F0985" w:rsidRPr="00E62471" w:rsidRDefault="007F0985" w:rsidP="00E62471">
      <w:pPr>
        <w:rPr>
          <w:rFonts w:cs="Arial"/>
        </w:rPr>
      </w:pPr>
    </w:p>
    <w:p w:rsidR="007F0985" w:rsidRPr="00E62471" w:rsidRDefault="00027BE9" w:rsidP="00E62471">
      <w:pPr>
        <w:rPr>
          <w:rFonts w:cs="Arial"/>
        </w:rPr>
      </w:pPr>
      <w:r>
        <w:rPr>
          <w:rFonts w:cs="Arial"/>
        </w:rPr>
        <w:t>6.</w:t>
      </w:r>
      <w:r>
        <w:rPr>
          <w:rFonts w:cs="Arial"/>
        </w:rPr>
        <w:tab/>
      </w:r>
      <w:r w:rsidR="007F0985" w:rsidRPr="00E62471">
        <w:rPr>
          <w:rFonts w:cs="Arial"/>
        </w:rPr>
        <w:t>APPRECIATING the range of distinct wetland types such as wadis, sabkhas and oases in Arabic-speaking countries and their under-representation among Ramsar Sites in the network, and the presence of organizations and individuals in the region with expertise in the conservation and wise use of wetlands, whose contribution would be beneficial to the further implementation of the Convention;</w:t>
      </w:r>
    </w:p>
    <w:p w:rsidR="007F0985" w:rsidRPr="00E62471" w:rsidRDefault="007F0985" w:rsidP="00E62471">
      <w:pPr>
        <w:rPr>
          <w:rFonts w:cs="Arial"/>
        </w:rPr>
      </w:pPr>
    </w:p>
    <w:p w:rsidR="007F0985" w:rsidRPr="00E62471" w:rsidRDefault="00027BE9" w:rsidP="00E62471">
      <w:pPr>
        <w:rPr>
          <w:rFonts w:cs="Arial"/>
        </w:rPr>
      </w:pPr>
      <w:r>
        <w:rPr>
          <w:rFonts w:cs="Arial"/>
        </w:rPr>
        <w:t>7.</w:t>
      </w:r>
      <w:r w:rsidR="007347ED">
        <w:rPr>
          <w:rFonts w:cs="Arial"/>
        </w:rPr>
        <w:tab/>
      </w:r>
      <w:r w:rsidR="007F0985" w:rsidRPr="00E62471">
        <w:rPr>
          <w:rFonts w:cs="Arial"/>
        </w:rPr>
        <w:t>UNDERSTANDING the range of pressing wetland issues in Arabic-speaking and other countries, in light of the increasing demand from the region’s growing population and changes in water availability due to changing rainfall, unsustainable use patterns, and climate changes;</w:t>
      </w:r>
      <w:r w:rsidR="00F714FC">
        <w:rPr>
          <w:rFonts w:cs="Arial"/>
        </w:rPr>
        <w:t xml:space="preserve"> and</w:t>
      </w:r>
    </w:p>
    <w:p w:rsidR="00CB6A8F" w:rsidRDefault="00CB6A8F" w:rsidP="00CB6A8F">
      <w:pPr>
        <w:rPr>
          <w:rFonts w:cs="Arial"/>
        </w:rPr>
      </w:pPr>
    </w:p>
    <w:p w:rsidR="00CB6A8F" w:rsidRDefault="00027BE9" w:rsidP="00CB6A8F">
      <w:pPr>
        <w:rPr>
          <w:rFonts w:cs="Arial"/>
        </w:rPr>
      </w:pPr>
      <w:r>
        <w:rPr>
          <w:rFonts w:cs="Arial"/>
        </w:rPr>
        <w:t>8</w:t>
      </w:r>
      <w:r w:rsidR="00CB6A8F">
        <w:rPr>
          <w:rFonts w:cs="Arial"/>
        </w:rPr>
        <w:t>.</w:t>
      </w:r>
      <w:r w:rsidR="00CB6A8F">
        <w:rPr>
          <w:rFonts w:cs="Arial"/>
        </w:rPr>
        <w:tab/>
        <w:t>APPRECIATING the work of the Standing Committee and its working group on language strategy for their work in relation to the development of a language strategy for the Convention;</w:t>
      </w:r>
    </w:p>
    <w:p w:rsidR="007F0985" w:rsidRPr="005A7188" w:rsidRDefault="007F0985" w:rsidP="007F0985">
      <w:pPr>
        <w:suppressAutoHyphens/>
        <w:ind w:left="426" w:hanging="426"/>
        <w:rPr>
          <w:rFonts w:asciiTheme="minorHAnsi" w:hAnsiTheme="minorHAnsi"/>
        </w:rPr>
      </w:pPr>
    </w:p>
    <w:p w:rsidR="00413599" w:rsidRDefault="00413599" w:rsidP="00815C52">
      <w:pPr>
        <w:keepNext/>
        <w:jc w:val="center"/>
        <w:rPr>
          <w:rFonts w:cs="Arial"/>
        </w:rPr>
      </w:pPr>
      <w:r>
        <w:rPr>
          <w:rFonts w:cs="Arial"/>
        </w:rPr>
        <w:t>THE CONFERENCE OF THE CONTRACTING PARTIES</w:t>
      </w:r>
    </w:p>
    <w:p w:rsidR="00413599" w:rsidRDefault="00413599" w:rsidP="00815C52">
      <w:pPr>
        <w:keepNext/>
        <w:rPr>
          <w:rFonts w:cs="Arial"/>
        </w:rPr>
      </w:pPr>
    </w:p>
    <w:p w:rsidR="003B7EF8" w:rsidRDefault="00413599" w:rsidP="00880240">
      <w:pPr>
        <w:rPr>
          <w:rFonts w:cs="Arial"/>
        </w:rPr>
      </w:pPr>
      <w:r>
        <w:rPr>
          <w:rFonts w:cs="Arial"/>
        </w:rPr>
        <w:t>9</w:t>
      </w:r>
      <w:r w:rsidR="00880240" w:rsidRPr="00880240">
        <w:rPr>
          <w:rFonts w:cs="Arial"/>
        </w:rPr>
        <w:t>.</w:t>
      </w:r>
      <w:r w:rsidR="00880240" w:rsidRPr="00880240">
        <w:rPr>
          <w:rFonts w:cs="Arial"/>
        </w:rPr>
        <w:tab/>
      </w:r>
      <w:r w:rsidR="008B4622">
        <w:rPr>
          <w:rFonts w:cs="Arial"/>
        </w:rPr>
        <w:t xml:space="preserve">ADOPTS the Language </w:t>
      </w:r>
      <w:r w:rsidR="00F714FC">
        <w:rPr>
          <w:rFonts w:cs="Arial"/>
        </w:rPr>
        <w:t xml:space="preserve">Strategy </w:t>
      </w:r>
      <w:r w:rsidR="008B4622">
        <w:rPr>
          <w:rFonts w:cs="Arial"/>
        </w:rPr>
        <w:t xml:space="preserve">for the Ramsar Convention on Wetlands presented </w:t>
      </w:r>
      <w:r w:rsidR="003B7EF8">
        <w:rPr>
          <w:rFonts w:cs="Arial"/>
        </w:rPr>
        <w:t>in Annex 1;</w:t>
      </w:r>
    </w:p>
    <w:p w:rsidR="003B7EF8" w:rsidRDefault="003B7EF8" w:rsidP="00880240">
      <w:pPr>
        <w:rPr>
          <w:rFonts w:cs="Arial"/>
        </w:rPr>
      </w:pPr>
    </w:p>
    <w:p w:rsidR="003B7EF8" w:rsidRPr="003B7EF8" w:rsidRDefault="00413599" w:rsidP="003B7EF8">
      <w:pPr>
        <w:rPr>
          <w:rFonts w:cs="Arial"/>
        </w:rPr>
      </w:pPr>
      <w:r>
        <w:rPr>
          <w:rFonts w:cs="Arial"/>
        </w:rPr>
        <w:t>10</w:t>
      </w:r>
      <w:r w:rsidR="003B7EF8">
        <w:rPr>
          <w:rFonts w:cs="Arial"/>
        </w:rPr>
        <w:t>.</w:t>
      </w:r>
      <w:r w:rsidR="003B7EF8">
        <w:rPr>
          <w:rFonts w:cs="Arial"/>
        </w:rPr>
        <w:tab/>
      </w:r>
      <w:r w:rsidR="003B7EF8" w:rsidRPr="003B7EF8">
        <w:rPr>
          <w:rFonts w:cs="Arial"/>
        </w:rPr>
        <w:t xml:space="preserve">ENCOURAGES Contracting Parties to provide translation of the most important Ramsar information documents into their own official languages and to </w:t>
      </w:r>
      <w:r w:rsidR="00FA4FE9">
        <w:rPr>
          <w:rFonts w:cs="Arial"/>
        </w:rPr>
        <w:t>provide them to the Secretariat so</w:t>
      </w:r>
      <w:r w:rsidR="009103B4">
        <w:rPr>
          <w:rFonts w:cs="Arial"/>
        </w:rPr>
        <w:t xml:space="preserve"> that</w:t>
      </w:r>
      <w:r w:rsidR="00FA4FE9">
        <w:rPr>
          <w:rFonts w:cs="Arial"/>
        </w:rPr>
        <w:t xml:space="preserve"> it may make them</w:t>
      </w:r>
      <w:r w:rsidR="003B7EF8" w:rsidRPr="003B7EF8">
        <w:rPr>
          <w:rFonts w:cs="Arial"/>
        </w:rPr>
        <w:t xml:space="preserve"> publicly accessible on the Ramsar website;</w:t>
      </w:r>
    </w:p>
    <w:p w:rsidR="003B7EF8" w:rsidRPr="003B7EF8" w:rsidRDefault="003B7EF8" w:rsidP="003B7EF8">
      <w:pPr>
        <w:rPr>
          <w:rFonts w:cs="Arial"/>
        </w:rPr>
      </w:pPr>
    </w:p>
    <w:p w:rsidR="003B7EF8" w:rsidRDefault="00413599" w:rsidP="003B7EF8">
      <w:pPr>
        <w:rPr>
          <w:rFonts w:cs="Arial"/>
        </w:rPr>
      </w:pPr>
      <w:r>
        <w:rPr>
          <w:rFonts w:cs="Arial"/>
        </w:rPr>
        <w:t>11</w:t>
      </w:r>
      <w:r w:rsidR="003B7EF8">
        <w:rPr>
          <w:rFonts w:cs="Arial"/>
        </w:rPr>
        <w:t>.</w:t>
      </w:r>
      <w:r w:rsidR="003B7EF8">
        <w:rPr>
          <w:rFonts w:cs="Arial"/>
        </w:rPr>
        <w:tab/>
      </w:r>
      <w:r w:rsidR="003B7EF8" w:rsidRPr="003B7EF8">
        <w:rPr>
          <w:rFonts w:cs="Arial"/>
        </w:rPr>
        <w:t xml:space="preserve">INSTRUCTS the Secretariat, subject to the availability of resources, with the assistance of Contracting Parties and </w:t>
      </w:r>
      <w:r w:rsidR="00266629">
        <w:rPr>
          <w:rFonts w:cs="Arial"/>
        </w:rPr>
        <w:t xml:space="preserve">Ramsar </w:t>
      </w:r>
      <w:r w:rsidR="003B7EF8" w:rsidRPr="003B7EF8">
        <w:rPr>
          <w:rFonts w:cs="Arial"/>
        </w:rPr>
        <w:t>Regional Centres and guided by the Management Working Group, to build up an online library of offic</w:t>
      </w:r>
      <w:r w:rsidR="00640198">
        <w:rPr>
          <w:rFonts w:cs="Arial"/>
        </w:rPr>
        <w:t>ial and non-official government-</w:t>
      </w:r>
      <w:r w:rsidR="003B7EF8" w:rsidRPr="003B7EF8">
        <w:rPr>
          <w:rFonts w:cs="Arial"/>
        </w:rPr>
        <w:t xml:space="preserve">translated Ramsar documents to be publicly accessible, and report the status of progress </w:t>
      </w:r>
      <w:r w:rsidR="00FC1A59">
        <w:rPr>
          <w:rFonts w:cs="Arial"/>
        </w:rPr>
        <w:t>at</w:t>
      </w:r>
      <w:r w:rsidR="003B7EF8" w:rsidRPr="003B7EF8">
        <w:rPr>
          <w:rFonts w:cs="Arial"/>
        </w:rPr>
        <w:t xml:space="preserve"> </w:t>
      </w:r>
      <w:r w:rsidR="00DD6454" w:rsidRPr="00A33585">
        <w:rPr>
          <w:rFonts w:cs="Arial"/>
        </w:rPr>
        <w:t>the 1</w:t>
      </w:r>
      <w:r w:rsidR="00DD6454">
        <w:rPr>
          <w:rFonts w:cs="Arial"/>
        </w:rPr>
        <w:t>4</w:t>
      </w:r>
      <w:r w:rsidR="00DD6454" w:rsidRPr="00A33585">
        <w:rPr>
          <w:rFonts w:cs="Arial"/>
        </w:rPr>
        <w:t>th meeting of the Conference of the Contracting Parties</w:t>
      </w:r>
      <w:r w:rsidR="003B7EF8" w:rsidRPr="003B7EF8">
        <w:rPr>
          <w:rFonts w:cs="Arial"/>
        </w:rPr>
        <w:t>, and REQUESTS Parties to provide such documents to the Secretariat;</w:t>
      </w:r>
      <w:r w:rsidR="00815C52">
        <w:rPr>
          <w:rFonts w:cs="Arial"/>
        </w:rPr>
        <w:t xml:space="preserve"> and</w:t>
      </w:r>
    </w:p>
    <w:p w:rsidR="00815C52" w:rsidRDefault="00815C52" w:rsidP="003B7EF8">
      <w:pPr>
        <w:rPr>
          <w:rFonts w:cs="Arial"/>
        </w:rPr>
      </w:pPr>
    </w:p>
    <w:p w:rsidR="00815C52" w:rsidRDefault="00815C52" w:rsidP="003B7EF8">
      <w:pPr>
        <w:rPr>
          <w:rFonts w:cs="Arial"/>
        </w:rPr>
      </w:pPr>
      <w:r>
        <w:rPr>
          <w:rFonts w:cs="Arial"/>
        </w:rPr>
        <w:t>12.</w:t>
      </w:r>
      <w:r>
        <w:rPr>
          <w:rFonts w:cs="Arial"/>
        </w:rPr>
        <w:tab/>
        <w:t xml:space="preserve">REPEALS paragraphs </w:t>
      </w:r>
      <w:r w:rsidR="006659EA">
        <w:rPr>
          <w:rFonts w:cs="Arial"/>
        </w:rPr>
        <w:t xml:space="preserve">6 to 11 and 26 to 31 </w:t>
      </w:r>
      <w:r w:rsidR="00266629">
        <w:rPr>
          <w:rFonts w:cs="Arial"/>
        </w:rPr>
        <w:t xml:space="preserve">of </w:t>
      </w:r>
      <w:r>
        <w:rPr>
          <w:rFonts w:cs="Arial"/>
        </w:rPr>
        <w:t xml:space="preserve">Resolution XII.3 on </w:t>
      </w:r>
      <w:r w:rsidRPr="00815C52">
        <w:rPr>
          <w:rFonts w:cs="Arial"/>
          <w:i/>
        </w:rPr>
        <w:t>Enhancing the languages of the Convention and its visibility and stature, and increasing synergies with other multilateral environmental agreements and other international institutions</w:t>
      </w:r>
      <w:r w:rsidR="006659EA">
        <w:rPr>
          <w:rFonts w:cs="Arial"/>
        </w:rPr>
        <w:t xml:space="preserve"> and AMENDS the title to </w:t>
      </w:r>
      <w:r w:rsidR="00266629">
        <w:rPr>
          <w:rFonts w:cs="Arial"/>
        </w:rPr>
        <w:t>“</w:t>
      </w:r>
      <w:r w:rsidR="006659EA" w:rsidRPr="006659EA">
        <w:rPr>
          <w:rFonts w:cs="Arial"/>
        </w:rPr>
        <w:t>Enhancing the visibility and stature of the Convention, and increasing synergies with other multilateral environmental agreements and other international institutions</w:t>
      </w:r>
      <w:r w:rsidR="00266629">
        <w:rPr>
          <w:rFonts w:cs="Arial"/>
        </w:rPr>
        <w:t>”</w:t>
      </w:r>
      <w:r w:rsidR="006659EA">
        <w:rPr>
          <w:rFonts w:cs="Arial"/>
        </w:rPr>
        <w:t>.</w:t>
      </w:r>
      <w:r w:rsidR="00F714FC">
        <w:rPr>
          <w:rFonts w:cs="Arial"/>
        </w:rPr>
        <w:t xml:space="preserve"> </w:t>
      </w:r>
    </w:p>
    <w:p w:rsidR="00413599" w:rsidRDefault="00413599" w:rsidP="003B7EF8">
      <w:pPr>
        <w:rPr>
          <w:rFonts w:cs="Arial"/>
        </w:rPr>
      </w:pPr>
    </w:p>
    <w:p w:rsidR="00413599" w:rsidRDefault="00413599" w:rsidP="003B7EF8">
      <w:pPr>
        <w:rPr>
          <w:rFonts w:cs="Arial"/>
        </w:rPr>
      </w:pPr>
    </w:p>
    <w:p w:rsidR="00413599" w:rsidRDefault="00413599">
      <w:pPr>
        <w:rPr>
          <w:rFonts w:cs="Arial"/>
        </w:rPr>
      </w:pPr>
      <w:r>
        <w:rPr>
          <w:rFonts w:cs="Arial"/>
        </w:rPr>
        <w:br w:type="page"/>
      </w:r>
    </w:p>
    <w:p w:rsidR="003B7EF8" w:rsidRPr="00266629" w:rsidRDefault="00C01BCF" w:rsidP="00266629">
      <w:pPr>
        <w:rPr>
          <w:rFonts w:cs="Arial"/>
          <w:b/>
          <w:sz w:val="24"/>
          <w:szCs w:val="24"/>
        </w:rPr>
      </w:pPr>
      <w:bookmarkStart w:id="0" w:name="_GoBack"/>
      <w:bookmarkEnd w:id="0"/>
      <w:r w:rsidRPr="00266629">
        <w:rPr>
          <w:rFonts w:cs="Arial"/>
          <w:b/>
          <w:sz w:val="24"/>
          <w:szCs w:val="24"/>
        </w:rPr>
        <w:lastRenderedPageBreak/>
        <w:t>Annex 1</w:t>
      </w:r>
    </w:p>
    <w:p w:rsidR="003B7EF8" w:rsidRPr="00266629" w:rsidRDefault="003B7EF8" w:rsidP="00880240">
      <w:pPr>
        <w:rPr>
          <w:rFonts w:cs="Arial"/>
          <w:b/>
          <w:sz w:val="24"/>
          <w:szCs w:val="24"/>
        </w:rPr>
      </w:pPr>
    </w:p>
    <w:p w:rsidR="00A12C27" w:rsidRPr="00266629" w:rsidRDefault="00A12C27" w:rsidP="00266629">
      <w:pPr>
        <w:ind w:left="0" w:firstLine="0"/>
        <w:rPr>
          <w:rFonts w:cs="Arial"/>
          <w:b/>
          <w:sz w:val="24"/>
          <w:szCs w:val="24"/>
        </w:rPr>
      </w:pPr>
      <w:r w:rsidRPr="00266629">
        <w:rPr>
          <w:rFonts w:cs="Arial"/>
          <w:b/>
          <w:sz w:val="24"/>
          <w:szCs w:val="24"/>
        </w:rPr>
        <w:t xml:space="preserve">Language </w:t>
      </w:r>
      <w:r w:rsidR="00F714FC" w:rsidRPr="00266629">
        <w:rPr>
          <w:rFonts w:cs="Arial"/>
          <w:b/>
          <w:sz w:val="24"/>
          <w:szCs w:val="24"/>
        </w:rPr>
        <w:t xml:space="preserve">Strategy </w:t>
      </w:r>
      <w:r w:rsidRPr="00266629">
        <w:rPr>
          <w:rFonts w:cs="Arial"/>
          <w:b/>
          <w:sz w:val="24"/>
          <w:szCs w:val="24"/>
        </w:rPr>
        <w:t>for</w:t>
      </w:r>
      <w:r w:rsidR="00266629">
        <w:rPr>
          <w:rFonts w:cs="Arial"/>
          <w:b/>
          <w:sz w:val="24"/>
          <w:szCs w:val="24"/>
        </w:rPr>
        <w:t xml:space="preserve"> </w:t>
      </w:r>
      <w:r w:rsidRPr="00266629">
        <w:rPr>
          <w:rFonts w:cs="Arial"/>
          <w:b/>
          <w:sz w:val="24"/>
          <w:szCs w:val="24"/>
        </w:rPr>
        <w:t>the Ramsar Convention on Wetlands</w:t>
      </w:r>
    </w:p>
    <w:p w:rsidR="0001314C" w:rsidRDefault="0001314C" w:rsidP="00880240">
      <w:pPr>
        <w:rPr>
          <w:rFonts w:cs="Arial"/>
        </w:rPr>
      </w:pPr>
    </w:p>
    <w:p w:rsidR="00BB402F" w:rsidRDefault="00BB402F" w:rsidP="00880240">
      <w:pPr>
        <w:rPr>
          <w:rFonts w:cs="Arial"/>
        </w:rPr>
      </w:pPr>
    </w:p>
    <w:p w:rsidR="008A29B0" w:rsidRPr="008A29B0" w:rsidRDefault="008A29B0" w:rsidP="00880240">
      <w:pPr>
        <w:rPr>
          <w:rFonts w:cs="Arial"/>
          <w:u w:val="single"/>
        </w:rPr>
      </w:pPr>
      <w:r w:rsidRPr="008A29B0">
        <w:rPr>
          <w:rFonts w:cs="Arial"/>
          <w:u w:val="single"/>
        </w:rPr>
        <w:t>Basic principle</w:t>
      </w:r>
    </w:p>
    <w:p w:rsidR="00BB402F" w:rsidRDefault="00BB402F" w:rsidP="00880240">
      <w:pPr>
        <w:rPr>
          <w:rFonts w:cs="Arial"/>
        </w:rPr>
      </w:pPr>
    </w:p>
    <w:p w:rsidR="00AA10AE" w:rsidRDefault="00BB402F" w:rsidP="008A29B0">
      <w:pPr>
        <w:ind w:left="0" w:firstLine="0"/>
        <w:rPr>
          <w:rFonts w:cs="Arial"/>
        </w:rPr>
      </w:pPr>
      <w:r>
        <w:rPr>
          <w:rFonts w:cs="Arial"/>
        </w:rPr>
        <w:t>The Conference of the Contracting Parties to the Ramsar Convention on Wetlands</w:t>
      </w:r>
      <w:r w:rsidR="008A29B0">
        <w:rPr>
          <w:rFonts w:cs="Arial"/>
        </w:rPr>
        <w:t xml:space="preserve"> acknowledges that the use of multiple languages in the work of the Convention</w:t>
      </w:r>
      <w:r w:rsidR="00ED44FE">
        <w:rPr>
          <w:rFonts w:cs="Arial"/>
        </w:rPr>
        <w:t>, the governing and subsidiary bodies and the Secretariat could: help to improve the implementation of the Convention by Parties; make the Convention more accessible to a wider public; and foster the interest and engagement of non-party States.</w:t>
      </w:r>
      <w:r w:rsidR="00480B6A">
        <w:rPr>
          <w:rFonts w:cs="Arial"/>
        </w:rPr>
        <w:t xml:space="preserve"> However, </w:t>
      </w:r>
      <w:r w:rsidR="00594559">
        <w:rPr>
          <w:rFonts w:cs="Arial"/>
        </w:rPr>
        <w:t xml:space="preserve">as for </w:t>
      </w:r>
      <w:r w:rsidR="00AA10AE">
        <w:rPr>
          <w:rFonts w:cs="Arial"/>
        </w:rPr>
        <w:t xml:space="preserve">some </w:t>
      </w:r>
      <w:r w:rsidR="00594559">
        <w:rPr>
          <w:rFonts w:cs="Arial"/>
        </w:rPr>
        <w:t xml:space="preserve">other </w:t>
      </w:r>
      <w:r w:rsidR="00480B6A">
        <w:rPr>
          <w:rFonts w:cs="Arial"/>
        </w:rPr>
        <w:t>conventions</w:t>
      </w:r>
      <w:r w:rsidR="00594559">
        <w:rPr>
          <w:rFonts w:cs="Arial"/>
        </w:rPr>
        <w:t xml:space="preserve">, </w:t>
      </w:r>
      <w:r w:rsidR="00AA10AE">
        <w:rPr>
          <w:rFonts w:cs="Arial"/>
        </w:rPr>
        <w:t>budgetary constraints have precluded the provision of a language service in all six official languages of the United Nations.</w:t>
      </w:r>
    </w:p>
    <w:p w:rsidR="00AA10AE" w:rsidRDefault="00AA10AE" w:rsidP="008A29B0">
      <w:pPr>
        <w:ind w:left="0" w:firstLine="0"/>
        <w:rPr>
          <w:rFonts w:cs="Arial"/>
        </w:rPr>
      </w:pPr>
    </w:p>
    <w:p w:rsidR="00685A30" w:rsidRDefault="00685A30" w:rsidP="008A29B0">
      <w:pPr>
        <w:ind w:left="0" w:firstLine="0"/>
        <w:rPr>
          <w:rFonts w:cs="Arial"/>
        </w:rPr>
      </w:pPr>
      <w:r>
        <w:rPr>
          <w:rFonts w:cs="Arial"/>
        </w:rPr>
        <w:t>The Conference of the Contracting Parties agrees that the key goals for a language strategy are:</w:t>
      </w:r>
    </w:p>
    <w:p w:rsidR="001352E8" w:rsidRDefault="00685A30" w:rsidP="00C605EF">
      <w:pPr>
        <w:rPr>
          <w:rFonts w:cs="Arial"/>
        </w:rPr>
      </w:pPr>
      <w:r>
        <w:rPr>
          <w:rFonts w:cs="Arial"/>
        </w:rPr>
        <w:t>a)</w:t>
      </w:r>
      <w:r>
        <w:rPr>
          <w:rFonts w:cs="Arial"/>
        </w:rPr>
        <w:tab/>
        <w:t xml:space="preserve">an equal language service for English, French and Spanish, </w:t>
      </w:r>
      <w:r w:rsidR="008F4809">
        <w:rPr>
          <w:rFonts w:cs="Arial"/>
        </w:rPr>
        <w:t>being</w:t>
      </w:r>
      <w:r>
        <w:rPr>
          <w:rFonts w:cs="Arial"/>
        </w:rPr>
        <w:t xml:space="preserve"> the official languages </w:t>
      </w:r>
      <w:r w:rsidR="001352E8">
        <w:rPr>
          <w:rFonts w:cs="Arial"/>
        </w:rPr>
        <w:t xml:space="preserve">of the Convention </w:t>
      </w:r>
      <w:r>
        <w:rPr>
          <w:rFonts w:cs="Arial"/>
        </w:rPr>
        <w:t xml:space="preserve">at the </w:t>
      </w:r>
      <w:r w:rsidR="001352E8">
        <w:rPr>
          <w:rFonts w:cs="Arial"/>
        </w:rPr>
        <w:t>start of the 13th meeting of the Conference of the Contracting Parties;</w:t>
      </w:r>
    </w:p>
    <w:p w:rsidR="001352E8" w:rsidRDefault="001352E8" w:rsidP="00C605EF">
      <w:pPr>
        <w:rPr>
          <w:rFonts w:cs="Arial"/>
        </w:rPr>
      </w:pPr>
      <w:r>
        <w:rPr>
          <w:rFonts w:cs="Arial"/>
        </w:rPr>
        <w:t>b)</w:t>
      </w:r>
      <w:r>
        <w:rPr>
          <w:rFonts w:cs="Arial"/>
        </w:rPr>
        <w:tab/>
        <w:t>if possible, introduction of Arabic as an official language</w:t>
      </w:r>
      <w:r w:rsidR="008F4809">
        <w:rPr>
          <w:rFonts w:cs="Arial"/>
        </w:rPr>
        <w:t>.</w:t>
      </w:r>
    </w:p>
    <w:p w:rsidR="00BB402F" w:rsidRDefault="00BB402F" w:rsidP="001352E8">
      <w:pPr>
        <w:tabs>
          <w:tab w:val="left" w:pos="397"/>
          <w:tab w:val="left" w:pos="794"/>
          <w:tab w:val="left" w:pos="1191"/>
          <w:tab w:val="left" w:pos="1588"/>
          <w:tab w:val="left" w:pos="1985"/>
        </w:tabs>
        <w:ind w:left="794" w:hanging="794"/>
        <w:rPr>
          <w:rFonts w:cs="Arial"/>
        </w:rPr>
      </w:pPr>
    </w:p>
    <w:p w:rsidR="00AA42E4" w:rsidRDefault="00AA42E4" w:rsidP="00AA42E4">
      <w:pPr>
        <w:ind w:left="0" w:firstLine="0"/>
        <w:rPr>
          <w:rFonts w:cs="Arial"/>
        </w:rPr>
      </w:pPr>
      <w:r>
        <w:rPr>
          <w:rFonts w:cs="Arial"/>
        </w:rPr>
        <w:t>When seeking to fill vacancies in the Secretariat, the Secretary General should take into account the lang</w:t>
      </w:r>
      <w:r w:rsidR="00A737EC">
        <w:rPr>
          <w:rFonts w:cs="Arial"/>
        </w:rPr>
        <w:t>uage skills of applicants, with a view to augmenting the capacity of the Secretariat to</w:t>
      </w:r>
      <w:r w:rsidR="00A11304">
        <w:rPr>
          <w:rFonts w:cs="Arial"/>
        </w:rPr>
        <w:t xml:space="preserve"> c</w:t>
      </w:r>
      <w:r w:rsidR="00A737EC">
        <w:rPr>
          <w:rFonts w:cs="Arial"/>
        </w:rPr>
        <w:t>ommunicat</w:t>
      </w:r>
      <w:r w:rsidR="00A11304">
        <w:rPr>
          <w:rFonts w:cs="Arial"/>
        </w:rPr>
        <w:t>e</w:t>
      </w:r>
      <w:r w:rsidR="00A737EC">
        <w:rPr>
          <w:rFonts w:cs="Arial"/>
        </w:rPr>
        <w:t xml:space="preserve"> in </w:t>
      </w:r>
      <w:r w:rsidR="0025032A">
        <w:rPr>
          <w:rFonts w:cs="Arial"/>
        </w:rPr>
        <w:t>all official languages</w:t>
      </w:r>
      <w:r w:rsidR="00A11304">
        <w:rPr>
          <w:rFonts w:cs="Arial"/>
        </w:rPr>
        <w:t>.</w:t>
      </w:r>
    </w:p>
    <w:p w:rsidR="00857B9D" w:rsidRDefault="00857B9D" w:rsidP="00AA42E4">
      <w:pPr>
        <w:ind w:left="0" w:firstLine="0"/>
        <w:rPr>
          <w:rFonts w:cs="Arial"/>
        </w:rPr>
      </w:pPr>
    </w:p>
    <w:p w:rsidR="00857B9D" w:rsidRDefault="00857B9D" w:rsidP="00AA42E4">
      <w:pPr>
        <w:ind w:left="0" w:firstLine="0"/>
        <w:rPr>
          <w:rFonts w:cs="Arial"/>
        </w:rPr>
      </w:pPr>
      <w:r>
        <w:rPr>
          <w:rFonts w:cs="Arial"/>
        </w:rPr>
        <w:t>The cost of translation of non-official documentation that results from projects or from externally funded activities should also be provided from external funds unless the Conference of the Parties or the Standing Committee specify otherwise.</w:t>
      </w:r>
    </w:p>
    <w:p w:rsidR="00AA42E4" w:rsidRDefault="00AA42E4" w:rsidP="001352E8">
      <w:pPr>
        <w:tabs>
          <w:tab w:val="left" w:pos="397"/>
          <w:tab w:val="left" w:pos="794"/>
          <w:tab w:val="left" w:pos="1191"/>
          <w:tab w:val="left" w:pos="1588"/>
          <w:tab w:val="left" w:pos="1985"/>
        </w:tabs>
        <w:ind w:left="794" w:hanging="794"/>
        <w:rPr>
          <w:rFonts w:cs="Arial"/>
        </w:rPr>
      </w:pPr>
    </w:p>
    <w:p w:rsidR="00BB402F" w:rsidRPr="009E290E" w:rsidRDefault="00D753B8" w:rsidP="00880240">
      <w:pPr>
        <w:rPr>
          <w:rFonts w:cs="Arial"/>
          <w:u w:val="single"/>
        </w:rPr>
      </w:pPr>
      <w:r>
        <w:rPr>
          <w:rFonts w:cs="Arial"/>
          <w:u w:val="single"/>
        </w:rPr>
        <w:t>Timetable</w:t>
      </w:r>
    </w:p>
    <w:p w:rsidR="00A12C27" w:rsidRDefault="00A12C27" w:rsidP="00880240">
      <w:pPr>
        <w:rPr>
          <w:rFonts w:cs="Arial"/>
        </w:rPr>
      </w:pPr>
    </w:p>
    <w:tbl>
      <w:tblPr>
        <w:tblStyle w:val="TableGrid"/>
        <w:tblW w:w="0" w:type="auto"/>
        <w:tblLook w:val="00A0" w:firstRow="1" w:lastRow="0" w:firstColumn="1" w:lastColumn="0" w:noHBand="0" w:noVBand="0"/>
      </w:tblPr>
      <w:tblGrid>
        <w:gridCol w:w="1951"/>
        <w:gridCol w:w="7291"/>
      </w:tblGrid>
      <w:tr w:rsidR="00D753B8" w:rsidTr="00F73BBD">
        <w:trPr>
          <w:cantSplit/>
        </w:trPr>
        <w:tc>
          <w:tcPr>
            <w:tcW w:w="1951" w:type="dxa"/>
          </w:tcPr>
          <w:p w:rsidR="00D753B8" w:rsidRDefault="00D753B8" w:rsidP="00880240">
            <w:pPr>
              <w:ind w:left="0" w:firstLine="0"/>
              <w:rPr>
                <w:rFonts w:cs="Arial"/>
              </w:rPr>
            </w:pPr>
            <w:r>
              <w:rPr>
                <w:rFonts w:cs="Arial"/>
              </w:rPr>
              <w:t xml:space="preserve">13th meeting of the Conference of the </w:t>
            </w:r>
            <w:r w:rsidR="00294035">
              <w:rPr>
                <w:rFonts w:cs="Arial"/>
              </w:rPr>
              <w:t xml:space="preserve">Contracting </w:t>
            </w:r>
            <w:r>
              <w:rPr>
                <w:rFonts w:cs="Arial"/>
              </w:rPr>
              <w:t>Parties</w:t>
            </w:r>
            <w:r w:rsidR="00CA1625">
              <w:rPr>
                <w:rFonts w:cs="Arial"/>
              </w:rPr>
              <w:t xml:space="preserve"> (2018)</w:t>
            </w:r>
          </w:p>
        </w:tc>
        <w:tc>
          <w:tcPr>
            <w:tcW w:w="7291" w:type="dxa"/>
          </w:tcPr>
          <w:p w:rsidR="007C7A33" w:rsidRDefault="005D6969" w:rsidP="00D753B8">
            <w:pPr>
              <w:ind w:left="0" w:firstLine="0"/>
              <w:rPr>
                <w:rFonts w:cs="Arial"/>
              </w:rPr>
            </w:pPr>
            <w:r>
              <w:rPr>
                <w:rFonts w:cs="Arial"/>
              </w:rPr>
              <w:t xml:space="preserve">- The budget adopted for 2019-2021 includes </w:t>
            </w:r>
            <w:r w:rsidR="004E0240">
              <w:rPr>
                <w:rFonts w:cs="Arial"/>
              </w:rPr>
              <w:t>provision for</w:t>
            </w:r>
            <w:r w:rsidR="007C7A33">
              <w:rPr>
                <w:rFonts w:cs="Arial"/>
              </w:rPr>
              <w:t>:</w:t>
            </w:r>
            <w:r w:rsidR="004E0240">
              <w:rPr>
                <w:rFonts w:cs="Arial"/>
              </w:rPr>
              <w:t xml:space="preserve"> </w:t>
            </w:r>
          </w:p>
          <w:p w:rsidR="00211408" w:rsidRDefault="00211408" w:rsidP="00C605EF">
            <w:pPr>
              <w:ind w:firstLine="0"/>
              <w:rPr>
                <w:rFonts w:cs="Arial"/>
              </w:rPr>
            </w:pPr>
            <w:r>
              <w:rPr>
                <w:rFonts w:cs="Arial"/>
              </w:rPr>
              <w:t xml:space="preserve">- </w:t>
            </w:r>
            <w:r w:rsidR="004E0240">
              <w:rPr>
                <w:rFonts w:cs="Arial"/>
              </w:rPr>
              <w:t xml:space="preserve">a full equal language service </w:t>
            </w:r>
            <w:r>
              <w:rPr>
                <w:rFonts w:cs="Arial"/>
              </w:rPr>
              <w:t xml:space="preserve">in English French and Spanish </w:t>
            </w:r>
            <w:r w:rsidR="004E0240">
              <w:rPr>
                <w:rFonts w:cs="Arial"/>
              </w:rPr>
              <w:t xml:space="preserve">for meetings </w:t>
            </w:r>
            <w:r w:rsidR="00937CD4">
              <w:rPr>
                <w:rFonts w:cs="Arial"/>
              </w:rPr>
              <w:t xml:space="preserve">of governing and subsidiary bodies </w:t>
            </w:r>
            <w:r w:rsidR="00CA1625">
              <w:rPr>
                <w:rFonts w:cs="Arial"/>
              </w:rPr>
              <w:t xml:space="preserve">(interpretation of plenary sessions, and translation of </w:t>
            </w:r>
            <w:r w:rsidR="0081684D">
              <w:rPr>
                <w:rFonts w:cs="Arial"/>
              </w:rPr>
              <w:t xml:space="preserve">working </w:t>
            </w:r>
            <w:r w:rsidR="00CA1625">
              <w:rPr>
                <w:rFonts w:cs="Arial"/>
              </w:rPr>
              <w:t>documents)</w:t>
            </w:r>
            <w:r w:rsidR="007C7A33">
              <w:rPr>
                <w:rFonts w:cs="Arial"/>
              </w:rPr>
              <w:t>;</w:t>
            </w:r>
          </w:p>
          <w:p w:rsidR="00211408" w:rsidRDefault="00211408" w:rsidP="00C605EF">
            <w:pPr>
              <w:ind w:firstLine="0"/>
              <w:rPr>
                <w:rFonts w:cs="Arial"/>
              </w:rPr>
            </w:pPr>
            <w:r>
              <w:rPr>
                <w:rFonts w:cs="Arial"/>
              </w:rPr>
              <w:t xml:space="preserve">- </w:t>
            </w:r>
            <w:r w:rsidR="000B0670">
              <w:rPr>
                <w:rFonts w:cs="Arial"/>
              </w:rPr>
              <w:t xml:space="preserve">new </w:t>
            </w:r>
            <w:r w:rsidR="00937CD4">
              <w:rPr>
                <w:rFonts w:cs="Arial"/>
              </w:rPr>
              <w:t xml:space="preserve">official documentation </w:t>
            </w:r>
            <w:r w:rsidR="004E0240">
              <w:rPr>
                <w:rFonts w:cs="Arial"/>
              </w:rPr>
              <w:t>in English, French and Spanish</w:t>
            </w:r>
            <w:r w:rsidR="00F73BBD">
              <w:rPr>
                <w:rFonts w:cs="Arial"/>
              </w:rPr>
              <w:t xml:space="preserve">; and </w:t>
            </w:r>
          </w:p>
          <w:p w:rsidR="005D6969" w:rsidRDefault="00211408" w:rsidP="00C605EF">
            <w:pPr>
              <w:ind w:firstLine="0"/>
              <w:rPr>
                <w:rFonts w:cs="Arial"/>
              </w:rPr>
            </w:pPr>
            <w:r>
              <w:rPr>
                <w:rFonts w:cs="Arial"/>
              </w:rPr>
              <w:t xml:space="preserve">- </w:t>
            </w:r>
            <w:r w:rsidR="00F73BBD">
              <w:rPr>
                <w:rFonts w:cs="Arial"/>
              </w:rPr>
              <w:t xml:space="preserve">equal treatment of these official languages on the website to </w:t>
            </w:r>
            <w:r>
              <w:rPr>
                <w:rFonts w:cs="Arial"/>
              </w:rPr>
              <w:t xml:space="preserve">the </w:t>
            </w:r>
            <w:r w:rsidR="00C767EB">
              <w:rPr>
                <w:rFonts w:cs="Arial"/>
              </w:rPr>
              <w:t>extent that resources allow</w:t>
            </w:r>
            <w:r w:rsidR="00610AEC">
              <w:rPr>
                <w:rFonts w:cs="Arial"/>
              </w:rPr>
              <w:t>.</w:t>
            </w:r>
          </w:p>
          <w:p w:rsidR="00D753B8" w:rsidRDefault="00376C7A" w:rsidP="00294035">
            <w:pPr>
              <w:ind w:left="0" w:firstLine="0"/>
              <w:rPr>
                <w:rFonts w:cs="Arial"/>
              </w:rPr>
            </w:pPr>
            <w:r>
              <w:rPr>
                <w:rFonts w:cs="Arial"/>
              </w:rPr>
              <w:t xml:space="preserve">The </w:t>
            </w:r>
            <w:r w:rsidR="00294035">
              <w:rPr>
                <w:rFonts w:cs="Arial"/>
              </w:rPr>
              <w:t xml:space="preserve">Contracting </w:t>
            </w:r>
            <w:r>
              <w:rPr>
                <w:rFonts w:cs="Arial"/>
              </w:rPr>
              <w:t>Parties approve the plan to make Arabic an official language at COP16, subje</w:t>
            </w:r>
            <w:r w:rsidR="00631266">
              <w:rPr>
                <w:rFonts w:cs="Arial"/>
              </w:rPr>
              <w:t>c</w:t>
            </w:r>
            <w:r>
              <w:rPr>
                <w:rFonts w:cs="Arial"/>
              </w:rPr>
              <w:t>t to its step-by-step inclusion in the budgets adopted for 2022-2024, 2025-2027 and 2028-2030</w:t>
            </w:r>
            <w:r w:rsidR="00631266">
              <w:rPr>
                <w:rFonts w:cs="Arial"/>
              </w:rPr>
              <w:t>.</w:t>
            </w:r>
          </w:p>
        </w:tc>
      </w:tr>
      <w:tr w:rsidR="00D753B8" w:rsidTr="00F73BBD">
        <w:trPr>
          <w:cantSplit/>
        </w:trPr>
        <w:tc>
          <w:tcPr>
            <w:tcW w:w="1951" w:type="dxa"/>
          </w:tcPr>
          <w:p w:rsidR="00D753B8" w:rsidRDefault="008F4809" w:rsidP="00880240">
            <w:pPr>
              <w:ind w:left="0" w:firstLine="0"/>
              <w:rPr>
                <w:rFonts w:cs="Arial"/>
              </w:rPr>
            </w:pPr>
            <w:r>
              <w:rPr>
                <w:rFonts w:cs="Arial"/>
              </w:rPr>
              <w:t>2019-2020</w:t>
            </w:r>
          </w:p>
        </w:tc>
        <w:tc>
          <w:tcPr>
            <w:tcW w:w="7291" w:type="dxa"/>
          </w:tcPr>
          <w:p w:rsidR="00D753B8" w:rsidRDefault="000A0E52" w:rsidP="000A0E52">
            <w:pPr>
              <w:ind w:left="0" w:firstLine="0"/>
              <w:rPr>
                <w:rFonts w:cs="Arial"/>
              </w:rPr>
            </w:pPr>
            <w:r>
              <w:rPr>
                <w:rFonts w:cs="Arial"/>
              </w:rPr>
              <w:t xml:space="preserve">- </w:t>
            </w:r>
            <w:r w:rsidR="008F4809">
              <w:rPr>
                <w:rFonts w:cs="Arial"/>
              </w:rPr>
              <w:t xml:space="preserve">Secretariat </w:t>
            </w:r>
            <w:r w:rsidR="000B0670">
              <w:rPr>
                <w:rFonts w:cs="Arial"/>
              </w:rPr>
              <w:t>arranges translation</w:t>
            </w:r>
            <w:r w:rsidR="008F4809">
              <w:rPr>
                <w:rFonts w:cs="Arial"/>
              </w:rPr>
              <w:t xml:space="preserve"> into Arabic</w:t>
            </w:r>
            <w:r w:rsidR="000B0670">
              <w:rPr>
                <w:rFonts w:cs="Arial"/>
              </w:rPr>
              <w:t xml:space="preserve"> of </w:t>
            </w:r>
            <w:r w:rsidR="008F4809">
              <w:rPr>
                <w:rFonts w:cs="Arial"/>
              </w:rPr>
              <w:t>the text of the Convention and key</w:t>
            </w:r>
            <w:r w:rsidR="000B0670">
              <w:rPr>
                <w:rFonts w:cs="Arial"/>
              </w:rPr>
              <w:t xml:space="preserve"> Resolutions of the Conference of the Parties</w:t>
            </w:r>
            <w:r>
              <w:rPr>
                <w:rFonts w:cs="Arial"/>
              </w:rPr>
              <w:t>,</w:t>
            </w:r>
            <w:r w:rsidR="008F4809">
              <w:rPr>
                <w:rFonts w:cs="Arial"/>
              </w:rPr>
              <w:t xml:space="preserve"> </w:t>
            </w:r>
            <w:r>
              <w:rPr>
                <w:rFonts w:cs="Arial"/>
              </w:rPr>
              <w:t xml:space="preserve">subject to external funding. </w:t>
            </w:r>
          </w:p>
        </w:tc>
      </w:tr>
      <w:tr w:rsidR="00D753B8" w:rsidTr="00F73BBD">
        <w:trPr>
          <w:cantSplit/>
        </w:trPr>
        <w:tc>
          <w:tcPr>
            <w:tcW w:w="1951" w:type="dxa"/>
          </w:tcPr>
          <w:p w:rsidR="00D753B8" w:rsidRDefault="00D753B8" w:rsidP="00880240">
            <w:pPr>
              <w:ind w:left="0" w:firstLine="0"/>
              <w:rPr>
                <w:rFonts w:cs="Arial"/>
              </w:rPr>
            </w:pPr>
            <w:r>
              <w:rPr>
                <w:rFonts w:cs="Arial"/>
              </w:rPr>
              <w:t xml:space="preserve">14th meeting of the Conference of the </w:t>
            </w:r>
            <w:r w:rsidR="00294035">
              <w:rPr>
                <w:rFonts w:cs="Arial"/>
              </w:rPr>
              <w:t xml:space="preserve">Contracting </w:t>
            </w:r>
            <w:r>
              <w:rPr>
                <w:rFonts w:cs="Arial"/>
              </w:rPr>
              <w:t>Parties</w:t>
            </w:r>
            <w:r w:rsidR="00CA1625">
              <w:rPr>
                <w:rFonts w:cs="Arial"/>
              </w:rPr>
              <w:t xml:space="preserve"> (2021)</w:t>
            </w:r>
          </w:p>
        </w:tc>
        <w:tc>
          <w:tcPr>
            <w:tcW w:w="7291" w:type="dxa"/>
          </w:tcPr>
          <w:p w:rsidR="00D753B8" w:rsidRDefault="00CA1625" w:rsidP="000A0E52">
            <w:pPr>
              <w:ind w:left="0" w:firstLine="0"/>
              <w:rPr>
                <w:rFonts w:cs="Arial"/>
              </w:rPr>
            </w:pPr>
            <w:r>
              <w:rPr>
                <w:rFonts w:cs="Arial"/>
              </w:rPr>
              <w:t xml:space="preserve">- </w:t>
            </w:r>
            <w:r w:rsidR="000B0670">
              <w:rPr>
                <w:rFonts w:cs="Arial"/>
              </w:rPr>
              <w:t>Subject to agreement at COP14, t</w:t>
            </w:r>
            <w:r>
              <w:rPr>
                <w:rFonts w:cs="Arial"/>
              </w:rPr>
              <w:t>he budget adopted for 2022-2024 includes provision for</w:t>
            </w:r>
            <w:r w:rsidR="00AA42E4">
              <w:rPr>
                <w:rFonts w:cs="Arial"/>
              </w:rPr>
              <w:t xml:space="preserve"> </w:t>
            </w:r>
            <w:r>
              <w:rPr>
                <w:rFonts w:cs="Arial"/>
              </w:rPr>
              <w:t xml:space="preserve">a full language service for meetings of governing and subsidiary bodies </w:t>
            </w:r>
            <w:r w:rsidR="00610AEC">
              <w:rPr>
                <w:rFonts w:cs="Arial"/>
              </w:rPr>
              <w:t xml:space="preserve">and new official documentation </w:t>
            </w:r>
            <w:r>
              <w:rPr>
                <w:rFonts w:cs="Arial"/>
              </w:rPr>
              <w:t xml:space="preserve">in English, </w:t>
            </w:r>
            <w:r w:rsidR="000B0670">
              <w:rPr>
                <w:rFonts w:cs="Arial"/>
              </w:rPr>
              <w:t xml:space="preserve">French </w:t>
            </w:r>
            <w:r>
              <w:rPr>
                <w:rFonts w:cs="Arial"/>
              </w:rPr>
              <w:t>and Spanish</w:t>
            </w:r>
            <w:r w:rsidR="000B0670">
              <w:rPr>
                <w:rFonts w:cs="Arial"/>
              </w:rPr>
              <w:t>,</w:t>
            </w:r>
            <w:r>
              <w:rPr>
                <w:rFonts w:cs="Arial"/>
              </w:rPr>
              <w:t xml:space="preserve"> and for </w:t>
            </w:r>
            <w:r w:rsidR="000A0E52">
              <w:rPr>
                <w:rFonts w:cs="Arial"/>
              </w:rPr>
              <w:t xml:space="preserve">the Conference of the Parties </w:t>
            </w:r>
            <w:r>
              <w:rPr>
                <w:rFonts w:cs="Arial"/>
              </w:rPr>
              <w:t>in Arabic</w:t>
            </w:r>
            <w:r w:rsidR="00610AEC">
              <w:rPr>
                <w:rFonts w:cs="Arial"/>
              </w:rPr>
              <w:t>.</w:t>
            </w:r>
          </w:p>
        </w:tc>
      </w:tr>
      <w:tr w:rsidR="00D753B8" w:rsidTr="00F73BBD">
        <w:trPr>
          <w:cantSplit/>
        </w:trPr>
        <w:tc>
          <w:tcPr>
            <w:tcW w:w="1951" w:type="dxa"/>
          </w:tcPr>
          <w:p w:rsidR="00D753B8" w:rsidRDefault="00666F1F" w:rsidP="00880240">
            <w:pPr>
              <w:ind w:left="0" w:firstLine="0"/>
              <w:rPr>
                <w:rFonts w:cs="Arial"/>
              </w:rPr>
            </w:pPr>
            <w:r>
              <w:rPr>
                <w:rFonts w:cs="Arial"/>
              </w:rPr>
              <w:t>2022-2023</w:t>
            </w:r>
          </w:p>
        </w:tc>
        <w:tc>
          <w:tcPr>
            <w:tcW w:w="7291" w:type="dxa"/>
          </w:tcPr>
          <w:p w:rsidR="00D753B8" w:rsidRDefault="00666F1F" w:rsidP="00470ECB">
            <w:pPr>
              <w:ind w:left="0" w:firstLine="0"/>
              <w:rPr>
                <w:rFonts w:cs="Arial"/>
              </w:rPr>
            </w:pPr>
            <w:r>
              <w:rPr>
                <w:rFonts w:cs="Arial"/>
              </w:rPr>
              <w:t xml:space="preserve">- Secretariat arranges translation into Arabic of </w:t>
            </w:r>
            <w:r w:rsidR="00470ECB">
              <w:rPr>
                <w:rFonts w:cs="Arial"/>
              </w:rPr>
              <w:t xml:space="preserve">remaining Resolutions that remain in effect and </w:t>
            </w:r>
            <w:r>
              <w:rPr>
                <w:rFonts w:cs="Arial"/>
              </w:rPr>
              <w:t xml:space="preserve">key high-level </w:t>
            </w:r>
            <w:r w:rsidR="00470ECB">
              <w:rPr>
                <w:rFonts w:cs="Arial"/>
              </w:rPr>
              <w:t>pages of the Ramsar website, subject to external funding</w:t>
            </w:r>
            <w:r w:rsidR="00A80C89">
              <w:rPr>
                <w:rFonts w:cs="Arial"/>
              </w:rPr>
              <w:t>.</w:t>
            </w:r>
          </w:p>
        </w:tc>
      </w:tr>
      <w:tr w:rsidR="00D753B8" w:rsidTr="00F73BBD">
        <w:trPr>
          <w:cantSplit/>
        </w:trPr>
        <w:tc>
          <w:tcPr>
            <w:tcW w:w="1951" w:type="dxa"/>
          </w:tcPr>
          <w:p w:rsidR="00D753B8" w:rsidRDefault="00D753B8" w:rsidP="00880240">
            <w:pPr>
              <w:ind w:left="0" w:firstLine="0"/>
              <w:rPr>
                <w:rFonts w:cs="Arial"/>
              </w:rPr>
            </w:pPr>
            <w:r>
              <w:rPr>
                <w:rFonts w:cs="Arial"/>
              </w:rPr>
              <w:lastRenderedPageBreak/>
              <w:t xml:space="preserve">15th meeting of the Conference of the </w:t>
            </w:r>
            <w:r w:rsidR="00294035">
              <w:rPr>
                <w:rFonts w:cs="Arial"/>
              </w:rPr>
              <w:t xml:space="preserve">Contracting </w:t>
            </w:r>
            <w:r>
              <w:rPr>
                <w:rFonts w:cs="Arial"/>
              </w:rPr>
              <w:t>Parties</w:t>
            </w:r>
            <w:r w:rsidR="00CA1625">
              <w:rPr>
                <w:rFonts w:cs="Arial"/>
              </w:rPr>
              <w:t xml:space="preserve"> (2024)</w:t>
            </w:r>
          </w:p>
        </w:tc>
        <w:tc>
          <w:tcPr>
            <w:tcW w:w="7291" w:type="dxa"/>
          </w:tcPr>
          <w:p w:rsidR="00912B05" w:rsidRDefault="000B0670" w:rsidP="00354938">
            <w:pPr>
              <w:ind w:left="0" w:firstLine="0"/>
              <w:rPr>
                <w:rFonts w:cs="Arial"/>
              </w:rPr>
            </w:pPr>
            <w:r>
              <w:rPr>
                <w:rFonts w:cs="Arial"/>
              </w:rPr>
              <w:t xml:space="preserve">- Subject to agreement at COP15, the budget </w:t>
            </w:r>
            <w:r w:rsidR="00FE6A6B">
              <w:rPr>
                <w:rFonts w:cs="Arial"/>
              </w:rPr>
              <w:t xml:space="preserve">adopted </w:t>
            </w:r>
            <w:r>
              <w:rPr>
                <w:rFonts w:cs="Arial"/>
              </w:rPr>
              <w:t>for 2025-2027 includes provision for</w:t>
            </w:r>
            <w:r w:rsidR="00354938">
              <w:rPr>
                <w:rFonts w:cs="Arial"/>
              </w:rPr>
              <w:t>:</w:t>
            </w:r>
            <w:r>
              <w:rPr>
                <w:rFonts w:cs="Arial"/>
              </w:rPr>
              <w:t xml:space="preserve"> </w:t>
            </w:r>
          </w:p>
          <w:p w:rsidR="00912B05" w:rsidRDefault="00912B05" w:rsidP="00042EAF">
            <w:pPr>
              <w:ind w:firstLine="0"/>
              <w:rPr>
                <w:rFonts w:cs="Arial"/>
              </w:rPr>
            </w:pPr>
            <w:r>
              <w:rPr>
                <w:rFonts w:cs="Arial"/>
              </w:rPr>
              <w:t xml:space="preserve">- </w:t>
            </w:r>
            <w:r w:rsidR="000B0670">
              <w:rPr>
                <w:rFonts w:cs="Arial"/>
              </w:rPr>
              <w:t xml:space="preserve">a full language service for meetings of governing and subsidiary bodies in English, French and Spanish; </w:t>
            </w:r>
          </w:p>
          <w:p w:rsidR="00912B05" w:rsidRDefault="00912B05" w:rsidP="00042EAF">
            <w:pPr>
              <w:ind w:firstLine="0"/>
              <w:rPr>
                <w:rFonts w:cs="Arial"/>
              </w:rPr>
            </w:pPr>
            <w:r>
              <w:rPr>
                <w:rFonts w:cs="Arial"/>
              </w:rPr>
              <w:t xml:space="preserve">- </w:t>
            </w:r>
            <w:r w:rsidR="00354938">
              <w:rPr>
                <w:rFonts w:cs="Arial"/>
              </w:rPr>
              <w:t xml:space="preserve">a full language service for meeting of governing bodies in Arabic; </w:t>
            </w:r>
            <w:r w:rsidR="000B0670">
              <w:rPr>
                <w:rFonts w:cs="Arial"/>
              </w:rPr>
              <w:t>and</w:t>
            </w:r>
          </w:p>
          <w:p w:rsidR="004A04BF" w:rsidRDefault="00912B05" w:rsidP="00042EAF">
            <w:pPr>
              <w:ind w:firstLine="0"/>
              <w:rPr>
                <w:rFonts w:cs="Arial"/>
              </w:rPr>
            </w:pPr>
            <w:r>
              <w:rPr>
                <w:rFonts w:cs="Arial"/>
              </w:rPr>
              <w:t>-</w:t>
            </w:r>
            <w:r w:rsidR="00354938">
              <w:rPr>
                <w:rFonts w:cs="Arial"/>
              </w:rPr>
              <w:t xml:space="preserve"> all</w:t>
            </w:r>
            <w:r w:rsidR="000B0670">
              <w:rPr>
                <w:rFonts w:cs="Arial"/>
              </w:rPr>
              <w:t xml:space="preserve"> </w:t>
            </w:r>
            <w:r w:rsidR="00354938">
              <w:rPr>
                <w:rFonts w:cs="Arial"/>
              </w:rPr>
              <w:t xml:space="preserve">new </w:t>
            </w:r>
            <w:r w:rsidR="000B0670">
              <w:rPr>
                <w:rFonts w:cs="Arial"/>
              </w:rPr>
              <w:t>official documentation</w:t>
            </w:r>
            <w:r w:rsidR="00354938">
              <w:rPr>
                <w:rFonts w:cs="Arial"/>
              </w:rPr>
              <w:t xml:space="preserve"> in the four official languages</w:t>
            </w:r>
            <w:r w:rsidR="004A04BF">
              <w:rPr>
                <w:rFonts w:cs="Arial"/>
              </w:rPr>
              <w:t>;</w:t>
            </w:r>
          </w:p>
          <w:p w:rsidR="00D753B8" w:rsidRDefault="004A04BF" w:rsidP="00042EAF">
            <w:pPr>
              <w:ind w:firstLine="0"/>
              <w:rPr>
                <w:rFonts w:cs="Arial"/>
              </w:rPr>
            </w:pPr>
            <w:r>
              <w:rPr>
                <w:rFonts w:cs="Arial"/>
              </w:rPr>
              <w:t>- additional staff capacity for management of texts and documentation in Arabic</w:t>
            </w:r>
            <w:r w:rsidR="00650A9F">
              <w:rPr>
                <w:rFonts w:cs="Arial"/>
              </w:rPr>
              <w:t>.</w:t>
            </w:r>
          </w:p>
        </w:tc>
      </w:tr>
      <w:tr w:rsidR="0081684D" w:rsidTr="00F73BBD">
        <w:trPr>
          <w:cantSplit/>
        </w:trPr>
        <w:tc>
          <w:tcPr>
            <w:tcW w:w="1951" w:type="dxa"/>
          </w:tcPr>
          <w:p w:rsidR="0081684D" w:rsidRDefault="007D3229" w:rsidP="00880240">
            <w:pPr>
              <w:ind w:left="0" w:firstLine="0"/>
              <w:rPr>
                <w:rFonts w:cs="Arial"/>
              </w:rPr>
            </w:pPr>
            <w:r>
              <w:rPr>
                <w:rFonts w:cs="Arial"/>
              </w:rPr>
              <w:t>2025-2026</w:t>
            </w:r>
          </w:p>
        </w:tc>
        <w:tc>
          <w:tcPr>
            <w:tcW w:w="7291" w:type="dxa"/>
          </w:tcPr>
          <w:p w:rsidR="0081684D" w:rsidRDefault="00A80C89" w:rsidP="00A80C89">
            <w:pPr>
              <w:ind w:left="0" w:firstLine="0"/>
              <w:rPr>
                <w:rFonts w:cs="Arial"/>
              </w:rPr>
            </w:pPr>
            <w:r>
              <w:rPr>
                <w:rFonts w:cs="Arial"/>
              </w:rPr>
              <w:t xml:space="preserve">- Secretariat arranges translation into Arabic of new </w:t>
            </w:r>
            <w:r w:rsidR="007D3229" w:rsidRPr="007D3229">
              <w:rPr>
                <w:rFonts w:cs="Arial"/>
              </w:rPr>
              <w:t>official notifications (</w:t>
            </w:r>
            <w:r>
              <w:rPr>
                <w:rFonts w:cs="Arial"/>
              </w:rPr>
              <w:t xml:space="preserve">e.g. </w:t>
            </w:r>
            <w:r w:rsidR="007D3229" w:rsidRPr="007D3229">
              <w:rPr>
                <w:rFonts w:cs="Arial"/>
              </w:rPr>
              <w:t xml:space="preserve">Ramsar Exchange messages), related news stories and </w:t>
            </w:r>
            <w:r>
              <w:rPr>
                <w:rFonts w:cs="Arial"/>
              </w:rPr>
              <w:t xml:space="preserve">new </w:t>
            </w:r>
            <w:r w:rsidR="007D3229" w:rsidRPr="007D3229">
              <w:rPr>
                <w:rFonts w:cs="Arial"/>
              </w:rPr>
              <w:t>STRP publications</w:t>
            </w:r>
            <w:r>
              <w:rPr>
                <w:rFonts w:cs="Arial"/>
              </w:rPr>
              <w:t>,</w:t>
            </w:r>
            <w:r w:rsidR="007D3229" w:rsidRPr="007D3229">
              <w:rPr>
                <w:rFonts w:cs="Arial"/>
              </w:rPr>
              <w:t xml:space="preserve"> </w:t>
            </w:r>
            <w:r>
              <w:rPr>
                <w:rFonts w:cs="Arial"/>
              </w:rPr>
              <w:t>subject to external funding.</w:t>
            </w:r>
          </w:p>
        </w:tc>
      </w:tr>
      <w:tr w:rsidR="0081684D" w:rsidTr="00F73BBD">
        <w:trPr>
          <w:cantSplit/>
        </w:trPr>
        <w:tc>
          <w:tcPr>
            <w:tcW w:w="1951" w:type="dxa"/>
          </w:tcPr>
          <w:p w:rsidR="0081684D" w:rsidRDefault="0081684D" w:rsidP="00880240">
            <w:pPr>
              <w:ind w:left="0" w:firstLine="0"/>
              <w:rPr>
                <w:rFonts w:cs="Arial"/>
              </w:rPr>
            </w:pPr>
            <w:r>
              <w:rPr>
                <w:rFonts w:cs="Arial"/>
              </w:rPr>
              <w:t xml:space="preserve">16th meeting of the Conference of the </w:t>
            </w:r>
            <w:r w:rsidR="00294035">
              <w:rPr>
                <w:rFonts w:cs="Arial"/>
              </w:rPr>
              <w:t xml:space="preserve">Contracting </w:t>
            </w:r>
            <w:r>
              <w:rPr>
                <w:rFonts w:cs="Arial"/>
              </w:rPr>
              <w:t>Parties (2027)</w:t>
            </w:r>
          </w:p>
        </w:tc>
        <w:tc>
          <w:tcPr>
            <w:tcW w:w="7291" w:type="dxa"/>
          </w:tcPr>
          <w:p w:rsidR="0081684D" w:rsidRDefault="00F73BBD" w:rsidP="00376C7A">
            <w:pPr>
              <w:ind w:left="0" w:firstLine="0"/>
              <w:rPr>
                <w:rFonts w:cs="Arial"/>
              </w:rPr>
            </w:pPr>
            <w:r>
              <w:rPr>
                <w:rFonts w:cs="Arial"/>
              </w:rPr>
              <w:t xml:space="preserve">- </w:t>
            </w:r>
            <w:r w:rsidR="00FE6A6B">
              <w:rPr>
                <w:rFonts w:cs="Arial"/>
              </w:rPr>
              <w:t>Subject to agreement at COP16,</w:t>
            </w:r>
            <w:r w:rsidR="00857B9D">
              <w:rPr>
                <w:rFonts w:cs="Arial"/>
              </w:rPr>
              <w:t xml:space="preserve"> </w:t>
            </w:r>
            <w:r w:rsidR="00FE6A6B">
              <w:rPr>
                <w:rFonts w:cs="Arial"/>
              </w:rPr>
              <w:t xml:space="preserve">the </w:t>
            </w:r>
            <w:r w:rsidR="00857B9D">
              <w:rPr>
                <w:rFonts w:cs="Arial"/>
              </w:rPr>
              <w:t xml:space="preserve">budget </w:t>
            </w:r>
            <w:r w:rsidR="00FE6A6B">
              <w:rPr>
                <w:rFonts w:cs="Arial"/>
              </w:rPr>
              <w:t xml:space="preserve">adopted </w:t>
            </w:r>
            <w:r>
              <w:rPr>
                <w:rFonts w:cs="Arial"/>
              </w:rPr>
              <w:t>for 2028-</w:t>
            </w:r>
            <w:r w:rsidR="00376C7A">
              <w:rPr>
                <w:rFonts w:cs="Arial"/>
              </w:rPr>
              <w:t xml:space="preserve">2030 </w:t>
            </w:r>
            <w:r>
              <w:rPr>
                <w:rFonts w:cs="Arial"/>
              </w:rPr>
              <w:t>include</w:t>
            </w:r>
            <w:r w:rsidR="00FE6A6B">
              <w:rPr>
                <w:rFonts w:cs="Arial"/>
              </w:rPr>
              <w:t>s</w:t>
            </w:r>
            <w:r>
              <w:rPr>
                <w:rFonts w:cs="Arial"/>
              </w:rPr>
              <w:t xml:space="preserve"> provision for a full language service for meetings of governing and subsidiary bodies in Arabic, English, French and Spanish</w:t>
            </w:r>
            <w:r w:rsidR="000A0E52">
              <w:rPr>
                <w:rFonts w:cs="Arial"/>
              </w:rPr>
              <w:t>,</w:t>
            </w:r>
            <w:r>
              <w:rPr>
                <w:rFonts w:cs="Arial"/>
              </w:rPr>
              <w:t xml:space="preserve"> and for all </w:t>
            </w:r>
            <w:r w:rsidR="00470ECB">
              <w:rPr>
                <w:rFonts w:cs="Arial"/>
              </w:rPr>
              <w:t xml:space="preserve">new </w:t>
            </w:r>
            <w:r>
              <w:rPr>
                <w:rFonts w:cs="Arial"/>
              </w:rPr>
              <w:t>official documentation</w:t>
            </w:r>
            <w:r w:rsidR="000A0E52">
              <w:rPr>
                <w:rFonts w:cs="Arial"/>
              </w:rPr>
              <w:t>, and for new website pages</w:t>
            </w:r>
            <w:r w:rsidR="00857B9D">
              <w:rPr>
                <w:rFonts w:cs="Arial"/>
              </w:rPr>
              <w:t>.</w:t>
            </w:r>
          </w:p>
        </w:tc>
      </w:tr>
    </w:tbl>
    <w:p w:rsidR="00D753B8" w:rsidRDefault="00D753B8" w:rsidP="00880240">
      <w:pPr>
        <w:rPr>
          <w:rFonts w:cs="Arial"/>
        </w:rPr>
      </w:pPr>
    </w:p>
    <w:p w:rsidR="009E290E" w:rsidRDefault="009E290E" w:rsidP="00880240">
      <w:pPr>
        <w:rPr>
          <w:rFonts w:cs="Arial"/>
        </w:rPr>
      </w:pPr>
    </w:p>
    <w:p w:rsidR="009E290E" w:rsidRDefault="009E290E" w:rsidP="00880240">
      <w:pPr>
        <w:rPr>
          <w:rFonts w:cs="Arial"/>
        </w:rPr>
      </w:pPr>
    </w:p>
    <w:p w:rsidR="00A12C27" w:rsidRDefault="00A12C27" w:rsidP="00880240">
      <w:pPr>
        <w:rPr>
          <w:rFonts w:cs="Arial"/>
        </w:rPr>
      </w:pPr>
    </w:p>
    <w:p w:rsidR="00880240" w:rsidRDefault="00880240" w:rsidP="00880240">
      <w:pPr>
        <w:rPr>
          <w:rFonts w:cs="Arial"/>
        </w:rPr>
      </w:pPr>
    </w:p>
    <w:p w:rsidR="00F344DE" w:rsidRPr="00026E09" w:rsidRDefault="00F344DE" w:rsidP="00014168">
      <w:pPr>
        <w:rPr>
          <w:rFonts w:cs="Arial"/>
          <w:i/>
        </w:rPr>
      </w:pPr>
    </w:p>
    <w:sectPr w:rsidR="00F344DE" w:rsidRPr="00026E09" w:rsidSect="002137E0">
      <w:headerReference w:type="default" r:id="rId10"/>
      <w:footerReference w:type="defaul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199" w:rsidRDefault="00783199" w:rsidP="00DF2386">
      <w:r>
        <w:separator/>
      </w:r>
    </w:p>
  </w:endnote>
  <w:endnote w:type="continuationSeparator" w:id="0">
    <w:p w:rsidR="00783199" w:rsidRDefault="00783199"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25" w:rsidRPr="002644F1" w:rsidRDefault="002644F1" w:rsidP="002644F1">
    <w:pPr>
      <w:pStyle w:val="Footer"/>
      <w:rPr>
        <w:sz w:val="20"/>
        <w:szCs w:val="20"/>
      </w:rPr>
    </w:pPr>
    <w:r>
      <w:rPr>
        <w:sz w:val="20"/>
        <w:szCs w:val="20"/>
      </w:rPr>
      <w:t xml:space="preserve">Ramsar COP13 </w:t>
    </w:r>
    <w:r w:rsidR="00147BF6" w:rsidRPr="00147BF6">
      <w:rPr>
        <w:sz w:val="20"/>
        <w:szCs w:val="20"/>
      </w:rPr>
      <w:t>Doc.18.4</w:t>
    </w:r>
    <w:r w:rsidRPr="00CB5417">
      <w:rPr>
        <w:sz w:val="20"/>
        <w:szCs w:val="20"/>
      </w:rPr>
      <w:tab/>
    </w:r>
    <w:r w:rsidRPr="00CB5417">
      <w:rPr>
        <w:sz w:val="20"/>
        <w:szCs w:val="20"/>
      </w:rPr>
      <w:tab/>
    </w:r>
    <w:r w:rsidRPr="00CB5417">
      <w:rPr>
        <w:sz w:val="20"/>
        <w:szCs w:val="20"/>
      </w:rPr>
      <w:fldChar w:fldCharType="begin"/>
    </w:r>
    <w:r w:rsidRPr="00CB5417">
      <w:rPr>
        <w:sz w:val="20"/>
        <w:szCs w:val="20"/>
      </w:rPr>
      <w:instrText xml:space="preserve"> PAGE   \* MERGEFORMAT </w:instrText>
    </w:r>
    <w:r w:rsidRPr="00CB5417">
      <w:rPr>
        <w:sz w:val="20"/>
        <w:szCs w:val="20"/>
      </w:rPr>
      <w:fldChar w:fldCharType="separate"/>
    </w:r>
    <w:r w:rsidR="00876A8C">
      <w:rPr>
        <w:noProof/>
        <w:sz w:val="20"/>
        <w:szCs w:val="20"/>
      </w:rPr>
      <w:t>4</w:t>
    </w:r>
    <w:r w:rsidRPr="00CB5417">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25" w:rsidRDefault="00CA1625" w:rsidP="00B523B2">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199" w:rsidRDefault="00783199" w:rsidP="00DF2386">
      <w:r>
        <w:separator/>
      </w:r>
    </w:p>
  </w:footnote>
  <w:footnote w:type="continuationSeparator" w:id="0">
    <w:p w:rsidR="00783199" w:rsidRDefault="00783199" w:rsidP="00DF2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625" w:rsidRDefault="00CA1625">
    <w:pPr>
      <w:pStyle w:val="Header"/>
    </w:pPr>
  </w:p>
  <w:p w:rsidR="00CA1625" w:rsidRDefault="00CA1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FE47FBE"/>
    <w:multiLevelType w:val="hybridMultilevel"/>
    <w:tmpl w:val="85AA5D0E"/>
    <w:lvl w:ilvl="0" w:tplc="08090019">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nsid w:val="34613550"/>
    <w:multiLevelType w:val="hybridMultilevel"/>
    <w:tmpl w:val="14486B1C"/>
    <w:lvl w:ilvl="0" w:tplc="BBB6E116">
      <w:start w:val="1"/>
      <w:numFmt w:val="bullet"/>
      <w:lvlText w:val="x"/>
      <w:lvlJc w:val="left"/>
      <w:pPr>
        <w:ind w:left="720" w:hanging="360"/>
      </w:pPr>
      <w:rPr>
        <w:rFonts w:ascii="Calibri" w:hAnsi="Calibri" w:hint="default"/>
      </w:rPr>
    </w:lvl>
    <w:lvl w:ilvl="1" w:tplc="08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9561CE"/>
    <w:multiLevelType w:val="hybridMultilevel"/>
    <w:tmpl w:val="1230011A"/>
    <w:lvl w:ilvl="0" w:tplc="D77EA9D4">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282480"/>
    <w:multiLevelType w:val="hybridMultilevel"/>
    <w:tmpl w:val="1230011A"/>
    <w:lvl w:ilvl="0" w:tplc="D77EA9D4">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nsid w:val="5E8B340D"/>
    <w:multiLevelType w:val="hybridMultilevel"/>
    <w:tmpl w:val="4E986ED2"/>
    <w:lvl w:ilvl="0" w:tplc="DAF0C952">
      <w:start w:val="1"/>
      <w:numFmt w:val="decimal"/>
      <w:lvlText w:val="%1."/>
      <w:lvlJc w:val="left"/>
      <w:pPr>
        <w:ind w:left="720" w:hanging="360"/>
      </w:pPr>
      <w:rPr>
        <w:rFonts w:asciiTheme="minorHAnsi" w:eastAsia="Times New Roman" w:hAnsiTheme="minorHAnsi" w:cs="Times New Roman"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1">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9"/>
  </w:num>
  <w:num w:numId="7">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4"/>
  </w:num>
  <w:num w:numId="13">
    <w:abstractNumId w:val="20"/>
  </w:num>
  <w:num w:numId="14">
    <w:abstractNumId w:val="11"/>
  </w:num>
  <w:num w:numId="15">
    <w:abstractNumId w:val="2"/>
  </w:num>
  <w:num w:numId="16">
    <w:abstractNumId w:val="15"/>
  </w:num>
  <w:num w:numId="17">
    <w:abstractNumId w:val="23"/>
  </w:num>
  <w:num w:numId="18">
    <w:abstractNumId w:val="32"/>
  </w:num>
  <w:num w:numId="19">
    <w:abstractNumId w:val="31"/>
  </w:num>
  <w:num w:numId="20">
    <w:abstractNumId w:val="25"/>
  </w:num>
  <w:num w:numId="21">
    <w:abstractNumId w:val="27"/>
  </w:num>
  <w:num w:numId="22">
    <w:abstractNumId w:val="18"/>
  </w:num>
  <w:num w:numId="23">
    <w:abstractNumId w:val="24"/>
  </w:num>
  <w:num w:numId="24">
    <w:abstractNumId w:val="22"/>
  </w:num>
  <w:num w:numId="25">
    <w:abstractNumId w:val="30"/>
  </w:num>
  <w:num w:numId="26">
    <w:abstractNumId w:val="8"/>
  </w:num>
  <w:num w:numId="27">
    <w:abstractNumId w:val="0"/>
  </w:num>
  <w:num w:numId="28">
    <w:abstractNumId w:val="10"/>
  </w:num>
  <w:num w:numId="29">
    <w:abstractNumId w:val="3"/>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6"/>
  </w:num>
  <w:num w:numId="33">
    <w:abstractNumId w:val="21"/>
  </w:num>
  <w:num w:numId="34">
    <w:abstractNumId w:val="14"/>
  </w:num>
  <w:num w:numId="35">
    <w:abstractNumId w:val="1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86"/>
    <w:rsid w:val="0001314C"/>
    <w:rsid w:val="00014168"/>
    <w:rsid w:val="0001600A"/>
    <w:rsid w:val="00017A16"/>
    <w:rsid w:val="00026E09"/>
    <w:rsid w:val="00027BE9"/>
    <w:rsid w:val="00037CE0"/>
    <w:rsid w:val="00042EAF"/>
    <w:rsid w:val="0005017F"/>
    <w:rsid w:val="00053929"/>
    <w:rsid w:val="00054A80"/>
    <w:rsid w:val="00063056"/>
    <w:rsid w:val="00070F73"/>
    <w:rsid w:val="00074DE8"/>
    <w:rsid w:val="000A0E52"/>
    <w:rsid w:val="000A3E3E"/>
    <w:rsid w:val="000B0670"/>
    <w:rsid w:val="000C2489"/>
    <w:rsid w:val="000D5C76"/>
    <w:rsid w:val="000E2FA0"/>
    <w:rsid w:val="000E47E9"/>
    <w:rsid w:val="0012096C"/>
    <w:rsid w:val="001252A9"/>
    <w:rsid w:val="00127828"/>
    <w:rsid w:val="00132285"/>
    <w:rsid w:val="001352E8"/>
    <w:rsid w:val="00136395"/>
    <w:rsid w:val="00147BF6"/>
    <w:rsid w:val="00157C5D"/>
    <w:rsid w:val="00160D06"/>
    <w:rsid w:val="00161BDA"/>
    <w:rsid w:val="00171618"/>
    <w:rsid w:val="001819B1"/>
    <w:rsid w:val="0018309C"/>
    <w:rsid w:val="001A2D10"/>
    <w:rsid w:val="001A4E43"/>
    <w:rsid w:val="001C5E41"/>
    <w:rsid w:val="001C77BC"/>
    <w:rsid w:val="001D48BB"/>
    <w:rsid w:val="001E00E3"/>
    <w:rsid w:val="001F2349"/>
    <w:rsid w:val="002005D2"/>
    <w:rsid w:val="0020298B"/>
    <w:rsid w:val="00206111"/>
    <w:rsid w:val="00211408"/>
    <w:rsid w:val="002137E0"/>
    <w:rsid w:val="00224D87"/>
    <w:rsid w:val="00242978"/>
    <w:rsid w:val="002454FA"/>
    <w:rsid w:val="0025032A"/>
    <w:rsid w:val="0025686C"/>
    <w:rsid w:val="002644F1"/>
    <w:rsid w:val="00266629"/>
    <w:rsid w:val="00270261"/>
    <w:rsid w:val="002741AC"/>
    <w:rsid w:val="00275F13"/>
    <w:rsid w:val="002819C0"/>
    <w:rsid w:val="00294035"/>
    <w:rsid w:val="00295556"/>
    <w:rsid w:val="00295BB5"/>
    <w:rsid w:val="002A22D6"/>
    <w:rsid w:val="002A5A4D"/>
    <w:rsid w:val="002B4262"/>
    <w:rsid w:val="002D5A4D"/>
    <w:rsid w:val="002E22AF"/>
    <w:rsid w:val="002E49DE"/>
    <w:rsid w:val="002F1CAD"/>
    <w:rsid w:val="002F6AC1"/>
    <w:rsid w:val="00324398"/>
    <w:rsid w:val="003443A3"/>
    <w:rsid w:val="0035363E"/>
    <w:rsid w:val="00353E25"/>
    <w:rsid w:val="00353EAC"/>
    <w:rsid w:val="00354938"/>
    <w:rsid w:val="00376C7A"/>
    <w:rsid w:val="00384FC3"/>
    <w:rsid w:val="003A3804"/>
    <w:rsid w:val="003A52BE"/>
    <w:rsid w:val="003A5866"/>
    <w:rsid w:val="003A6E9F"/>
    <w:rsid w:val="003B5A87"/>
    <w:rsid w:val="003B6512"/>
    <w:rsid w:val="003B7EF8"/>
    <w:rsid w:val="003D4CD6"/>
    <w:rsid w:val="003E2840"/>
    <w:rsid w:val="003F109B"/>
    <w:rsid w:val="00407E04"/>
    <w:rsid w:val="00413599"/>
    <w:rsid w:val="0041759C"/>
    <w:rsid w:val="004228C7"/>
    <w:rsid w:val="0042798B"/>
    <w:rsid w:val="00434913"/>
    <w:rsid w:val="00440AFD"/>
    <w:rsid w:val="00442AF9"/>
    <w:rsid w:val="004474F8"/>
    <w:rsid w:val="00470ECB"/>
    <w:rsid w:val="004770D8"/>
    <w:rsid w:val="00477550"/>
    <w:rsid w:val="00480B6A"/>
    <w:rsid w:val="004844A8"/>
    <w:rsid w:val="00496037"/>
    <w:rsid w:val="00496803"/>
    <w:rsid w:val="00497162"/>
    <w:rsid w:val="004A04BF"/>
    <w:rsid w:val="004B02FB"/>
    <w:rsid w:val="004B6688"/>
    <w:rsid w:val="004C3A9D"/>
    <w:rsid w:val="004D512B"/>
    <w:rsid w:val="004E0240"/>
    <w:rsid w:val="004E1A8C"/>
    <w:rsid w:val="00501CA0"/>
    <w:rsid w:val="0051731B"/>
    <w:rsid w:val="00520BFC"/>
    <w:rsid w:val="0052200B"/>
    <w:rsid w:val="005244A4"/>
    <w:rsid w:val="00527783"/>
    <w:rsid w:val="005814B5"/>
    <w:rsid w:val="00594559"/>
    <w:rsid w:val="005A5641"/>
    <w:rsid w:val="005B5B40"/>
    <w:rsid w:val="005B6B06"/>
    <w:rsid w:val="005D3E9D"/>
    <w:rsid w:val="005D6969"/>
    <w:rsid w:val="00604E4F"/>
    <w:rsid w:val="00610AEC"/>
    <w:rsid w:val="00616783"/>
    <w:rsid w:val="006256D3"/>
    <w:rsid w:val="00627BB7"/>
    <w:rsid w:val="00631266"/>
    <w:rsid w:val="00640198"/>
    <w:rsid w:val="00641E21"/>
    <w:rsid w:val="00644A13"/>
    <w:rsid w:val="00650A9F"/>
    <w:rsid w:val="0065136E"/>
    <w:rsid w:val="0065216E"/>
    <w:rsid w:val="0066340B"/>
    <w:rsid w:val="006659EA"/>
    <w:rsid w:val="00666F1F"/>
    <w:rsid w:val="00670D71"/>
    <w:rsid w:val="00685A30"/>
    <w:rsid w:val="00692FD8"/>
    <w:rsid w:val="006979DC"/>
    <w:rsid w:val="006C4FC5"/>
    <w:rsid w:val="006E57E2"/>
    <w:rsid w:val="006E5BA0"/>
    <w:rsid w:val="006E7DCE"/>
    <w:rsid w:val="007050FF"/>
    <w:rsid w:val="007234CF"/>
    <w:rsid w:val="00726516"/>
    <w:rsid w:val="007347ED"/>
    <w:rsid w:val="00737F2F"/>
    <w:rsid w:val="0074056F"/>
    <w:rsid w:val="00745C65"/>
    <w:rsid w:val="00752764"/>
    <w:rsid w:val="007616A2"/>
    <w:rsid w:val="00766962"/>
    <w:rsid w:val="007731A8"/>
    <w:rsid w:val="00775287"/>
    <w:rsid w:val="00783199"/>
    <w:rsid w:val="007C7A33"/>
    <w:rsid w:val="007D3229"/>
    <w:rsid w:val="007D33F4"/>
    <w:rsid w:val="007D368A"/>
    <w:rsid w:val="007D3FC7"/>
    <w:rsid w:val="007E3079"/>
    <w:rsid w:val="007E3B42"/>
    <w:rsid w:val="007F0985"/>
    <w:rsid w:val="007F3ABE"/>
    <w:rsid w:val="007F63D9"/>
    <w:rsid w:val="00810D56"/>
    <w:rsid w:val="00815C52"/>
    <w:rsid w:val="008167E8"/>
    <w:rsid w:val="0081684D"/>
    <w:rsid w:val="00817363"/>
    <w:rsid w:val="008255A2"/>
    <w:rsid w:val="008328E9"/>
    <w:rsid w:val="00835BCB"/>
    <w:rsid w:val="00835CDC"/>
    <w:rsid w:val="008364AA"/>
    <w:rsid w:val="0084255C"/>
    <w:rsid w:val="00850B09"/>
    <w:rsid w:val="00852D57"/>
    <w:rsid w:val="00857B9D"/>
    <w:rsid w:val="00863B9D"/>
    <w:rsid w:val="00863BE6"/>
    <w:rsid w:val="0086479C"/>
    <w:rsid w:val="00867D3F"/>
    <w:rsid w:val="008744DA"/>
    <w:rsid w:val="00876A8C"/>
    <w:rsid w:val="008775BC"/>
    <w:rsid w:val="00880240"/>
    <w:rsid w:val="00882F1B"/>
    <w:rsid w:val="0088708A"/>
    <w:rsid w:val="008A29B0"/>
    <w:rsid w:val="008A70CE"/>
    <w:rsid w:val="008B4622"/>
    <w:rsid w:val="008C25E4"/>
    <w:rsid w:val="008C2DAE"/>
    <w:rsid w:val="008D0A68"/>
    <w:rsid w:val="008E1B35"/>
    <w:rsid w:val="008E730D"/>
    <w:rsid w:val="008F4809"/>
    <w:rsid w:val="00904A8F"/>
    <w:rsid w:val="009059A9"/>
    <w:rsid w:val="00907320"/>
    <w:rsid w:val="009103B4"/>
    <w:rsid w:val="00912B05"/>
    <w:rsid w:val="00912D1F"/>
    <w:rsid w:val="0092515E"/>
    <w:rsid w:val="00937CD4"/>
    <w:rsid w:val="00942FBD"/>
    <w:rsid w:val="0094770B"/>
    <w:rsid w:val="00983A9F"/>
    <w:rsid w:val="00987E3F"/>
    <w:rsid w:val="009927C7"/>
    <w:rsid w:val="009A26C7"/>
    <w:rsid w:val="009B2267"/>
    <w:rsid w:val="009B48BC"/>
    <w:rsid w:val="009B6FE5"/>
    <w:rsid w:val="009C5F7C"/>
    <w:rsid w:val="009E0AE8"/>
    <w:rsid w:val="009E290E"/>
    <w:rsid w:val="009E5374"/>
    <w:rsid w:val="009F345D"/>
    <w:rsid w:val="00A11304"/>
    <w:rsid w:val="00A12C27"/>
    <w:rsid w:val="00A13218"/>
    <w:rsid w:val="00A2161A"/>
    <w:rsid w:val="00A227A3"/>
    <w:rsid w:val="00A24737"/>
    <w:rsid w:val="00A33585"/>
    <w:rsid w:val="00A41FA4"/>
    <w:rsid w:val="00A4547D"/>
    <w:rsid w:val="00A46FB7"/>
    <w:rsid w:val="00A606B3"/>
    <w:rsid w:val="00A60B73"/>
    <w:rsid w:val="00A62AB0"/>
    <w:rsid w:val="00A7043C"/>
    <w:rsid w:val="00A709D8"/>
    <w:rsid w:val="00A737EC"/>
    <w:rsid w:val="00A80080"/>
    <w:rsid w:val="00A80C89"/>
    <w:rsid w:val="00AA10AE"/>
    <w:rsid w:val="00AA42E4"/>
    <w:rsid w:val="00AB023F"/>
    <w:rsid w:val="00AB32D2"/>
    <w:rsid w:val="00AB4951"/>
    <w:rsid w:val="00AB6A2D"/>
    <w:rsid w:val="00AD48C3"/>
    <w:rsid w:val="00AE45B3"/>
    <w:rsid w:val="00AE6638"/>
    <w:rsid w:val="00AE6BE2"/>
    <w:rsid w:val="00AF3C71"/>
    <w:rsid w:val="00B07007"/>
    <w:rsid w:val="00B16A31"/>
    <w:rsid w:val="00B22005"/>
    <w:rsid w:val="00B315A0"/>
    <w:rsid w:val="00B31B81"/>
    <w:rsid w:val="00B34A18"/>
    <w:rsid w:val="00B35608"/>
    <w:rsid w:val="00B468CE"/>
    <w:rsid w:val="00B523B2"/>
    <w:rsid w:val="00B579CB"/>
    <w:rsid w:val="00B60124"/>
    <w:rsid w:val="00B61376"/>
    <w:rsid w:val="00B626CD"/>
    <w:rsid w:val="00B70083"/>
    <w:rsid w:val="00B814D1"/>
    <w:rsid w:val="00B85D6F"/>
    <w:rsid w:val="00B95FD9"/>
    <w:rsid w:val="00BB28F6"/>
    <w:rsid w:val="00BB402F"/>
    <w:rsid w:val="00BC2609"/>
    <w:rsid w:val="00BC4E26"/>
    <w:rsid w:val="00BE1017"/>
    <w:rsid w:val="00BE1244"/>
    <w:rsid w:val="00BF32A3"/>
    <w:rsid w:val="00C01BCF"/>
    <w:rsid w:val="00C11471"/>
    <w:rsid w:val="00C13145"/>
    <w:rsid w:val="00C2321C"/>
    <w:rsid w:val="00C25168"/>
    <w:rsid w:val="00C605EF"/>
    <w:rsid w:val="00C66C0C"/>
    <w:rsid w:val="00C767EB"/>
    <w:rsid w:val="00C93E0A"/>
    <w:rsid w:val="00CA1625"/>
    <w:rsid w:val="00CB6A8F"/>
    <w:rsid w:val="00CD17D8"/>
    <w:rsid w:val="00CD4503"/>
    <w:rsid w:val="00CE750F"/>
    <w:rsid w:val="00CF01F8"/>
    <w:rsid w:val="00CF6232"/>
    <w:rsid w:val="00CF6647"/>
    <w:rsid w:val="00D03AA0"/>
    <w:rsid w:val="00D06BDA"/>
    <w:rsid w:val="00D160CB"/>
    <w:rsid w:val="00D245A1"/>
    <w:rsid w:val="00D334F2"/>
    <w:rsid w:val="00D35265"/>
    <w:rsid w:val="00D415E2"/>
    <w:rsid w:val="00D42055"/>
    <w:rsid w:val="00D54860"/>
    <w:rsid w:val="00D579AD"/>
    <w:rsid w:val="00D63217"/>
    <w:rsid w:val="00D647C3"/>
    <w:rsid w:val="00D66100"/>
    <w:rsid w:val="00D7097F"/>
    <w:rsid w:val="00D753B8"/>
    <w:rsid w:val="00D842EF"/>
    <w:rsid w:val="00D92A29"/>
    <w:rsid w:val="00D951E3"/>
    <w:rsid w:val="00D9633A"/>
    <w:rsid w:val="00DD6454"/>
    <w:rsid w:val="00DF2386"/>
    <w:rsid w:val="00DF7FE7"/>
    <w:rsid w:val="00E16E57"/>
    <w:rsid w:val="00E35230"/>
    <w:rsid w:val="00E46367"/>
    <w:rsid w:val="00E62471"/>
    <w:rsid w:val="00E63F0B"/>
    <w:rsid w:val="00E64868"/>
    <w:rsid w:val="00E74D40"/>
    <w:rsid w:val="00E77C02"/>
    <w:rsid w:val="00E80457"/>
    <w:rsid w:val="00E84D2E"/>
    <w:rsid w:val="00EA3A7F"/>
    <w:rsid w:val="00EB645E"/>
    <w:rsid w:val="00EC0D3A"/>
    <w:rsid w:val="00ED44FE"/>
    <w:rsid w:val="00EE78F6"/>
    <w:rsid w:val="00EF4156"/>
    <w:rsid w:val="00F0135D"/>
    <w:rsid w:val="00F078F1"/>
    <w:rsid w:val="00F22812"/>
    <w:rsid w:val="00F32D03"/>
    <w:rsid w:val="00F344DE"/>
    <w:rsid w:val="00F36D2B"/>
    <w:rsid w:val="00F36F68"/>
    <w:rsid w:val="00F37B57"/>
    <w:rsid w:val="00F43B44"/>
    <w:rsid w:val="00F641FA"/>
    <w:rsid w:val="00F70414"/>
    <w:rsid w:val="00F714FC"/>
    <w:rsid w:val="00F73BBD"/>
    <w:rsid w:val="00F73E71"/>
    <w:rsid w:val="00FA4FE9"/>
    <w:rsid w:val="00FC1A59"/>
    <w:rsid w:val="00FD64D1"/>
    <w:rsid w:val="00FE6A6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efault">
    <w:name w:val="Default"/>
    <w:rsid w:val="007D368A"/>
    <w:pPr>
      <w:autoSpaceDE w:val="0"/>
      <w:autoSpaceDN w:val="0"/>
      <w:adjustRightInd w:val="0"/>
      <w:ind w:left="0" w:firstLin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Default">
    <w:name w:val="Default"/>
    <w:rsid w:val="007D368A"/>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FAA19-726F-4158-A172-EFFC026F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Ramsar\JenningsE</cp:lastModifiedBy>
  <cp:revision>3</cp:revision>
  <cp:lastPrinted>2016-10-06T13:08:00Z</cp:lastPrinted>
  <dcterms:created xsi:type="dcterms:W3CDTF">2018-07-19T15:43:00Z</dcterms:created>
  <dcterms:modified xsi:type="dcterms:W3CDTF">2018-07-19T15:44:00Z</dcterms:modified>
</cp:coreProperties>
</file>