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0D49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5058BC">
        <w:rPr>
          <w:rFonts w:ascii="Calibri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369B6D2" wp14:editId="699786FB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8BC">
        <w:rPr>
          <w:rFonts w:ascii="Calibri" w:hAnsi="Calibri" w:cstheme="majorHAnsi"/>
          <w:b/>
          <w:bCs/>
          <w:noProof/>
          <w:lang w:val="es-ES"/>
        </w:rPr>
        <w:t>13ª Reunión de la Conferencia de las Partes Contratantes</w:t>
      </w:r>
    </w:p>
    <w:p w14:paraId="6ABC5114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5058BC">
        <w:rPr>
          <w:rFonts w:ascii="Calibri" w:hAnsi="Calibri" w:cstheme="majorHAnsi"/>
          <w:b/>
          <w:bCs/>
          <w:noProof/>
          <w:lang w:val="es-ES"/>
        </w:rPr>
        <w:t xml:space="preserve">en la Convención de Ramsar sobre los Humedales </w:t>
      </w:r>
    </w:p>
    <w:p w14:paraId="557F68DF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</w:p>
    <w:p w14:paraId="13E70F7A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5058BC">
        <w:rPr>
          <w:rFonts w:ascii="Calibri" w:hAnsi="Calibri" w:cstheme="majorHAnsi"/>
          <w:b/>
          <w:bCs/>
          <w:noProof/>
          <w:lang w:val="es-ES"/>
        </w:rPr>
        <w:t>“Humedales para un futuro urbano sostenible”</w:t>
      </w:r>
    </w:p>
    <w:p w14:paraId="22497458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5058BC">
        <w:rPr>
          <w:rFonts w:ascii="Calibri" w:hAnsi="Calibri" w:cstheme="majorHAnsi"/>
          <w:b/>
          <w:bCs/>
          <w:noProof/>
          <w:lang w:val="es-ES"/>
        </w:rPr>
        <w:t>Dubái, Emiratos Árabes Unidos,</w:t>
      </w:r>
    </w:p>
    <w:p w14:paraId="77011035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5058BC">
        <w:rPr>
          <w:rFonts w:ascii="Calibri" w:hAnsi="Calibri" w:cstheme="majorHAnsi"/>
          <w:b/>
          <w:bCs/>
          <w:noProof/>
          <w:lang w:val="es-ES"/>
        </w:rPr>
        <w:t>21 a 29 de octubre de 2018</w:t>
      </w:r>
    </w:p>
    <w:p w14:paraId="7ED7C2F4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p w14:paraId="365EF4AA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6B0D8A" w:rsidRPr="005058BC" w14:paraId="5492DFD7" w14:textId="77777777" w:rsidTr="00B7640D">
        <w:tc>
          <w:tcPr>
            <w:tcW w:w="4708" w:type="dxa"/>
          </w:tcPr>
          <w:p w14:paraId="73DCF87E" w14:textId="77777777" w:rsidR="006B0D8A" w:rsidRPr="005058BC" w:rsidRDefault="006B0D8A" w:rsidP="00B7640D">
            <w:pPr>
              <w:ind w:right="17"/>
              <w:jc w:val="center"/>
              <w:outlineLvl w:val="0"/>
              <w:rPr>
                <w:rFonts w:ascii="Calibri" w:hAnsi="Calibri" w:cstheme="majorHAnsi"/>
                <w:b/>
                <w:bCs/>
                <w:noProof/>
                <w:lang w:val="es-ES"/>
              </w:rPr>
            </w:pPr>
          </w:p>
        </w:tc>
        <w:tc>
          <w:tcPr>
            <w:tcW w:w="4652" w:type="dxa"/>
          </w:tcPr>
          <w:p w14:paraId="7F35F8B3" w14:textId="2E474B0A" w:rsidR="006B0D8A" w:rsidRPr="005058BC" w:rsidRDefault="00E565F2" w:rsidP="00B7640D">
            <w:pPr>
              <w:ind w:right="67"/>
              <w:jc w:val="right"/>
              <w:outlineLvl w:val="0"/>
              <w:rPr>
                <w:rFonts w:ascii="Calibri" w:hAnsi="Calibri" w:cstheme="majorHAnsi"/>
                <w:b/>
                <w:bCs/>
                <w:noProof/>
                <w:lang w:val="es-ES"/>
              </w:rPr>
            </w:pPr>
            <w:r w:rsidRPr="00E565F2">
              <w:rPr>
                <w:rFonts w:ascii="Calibri" w:hAnsi="Calibri" w:cstheme="majorHAnsi"/>
                <w:b/>
                <w:bCs/>
                <w:noProof/>
                <w:lang w:val="es-ES"/>
              </w:rPr>
              <w:t>Ramsar COP13 Doc.18.25</w:t>
            </w:r>
          </w:p>
        </w:tc>
      </w:tr>
    </w:tbl>
    <w:p w14:paraId="21A21BD7" w14:textId="77777777" w:rsidR="006B0D8A" w:rsidRPr="005058BC" w:rsidRDefault="006B0D8A" w:rsidP="006B0D8A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p w14:paraId="471C77D5" w14:textId="2DD4F857" w:rsidR="00A00F8C" w:rsidRPr="005058BC" w:rsidRDefault="006B0D8A" w:rsidP="00E565F2">
      <w:pPr>
        <w:ind w:right="17"/>
        <w:jc w:val="center"/>
        <w:outlineLvl w:val="0"/>
        <w:rPr>
          <w:rFonts w:asciiTheme="minorHAnsi" w:hAnsiTheme="minorHAnsi"/>
          <w:noProof/>
          <w:sz w:val="28"/>
          <w:szCs w:val="28"/>
          <w:lang w:val="es-ES"/>
        </w:rPr>
      </w:pPr>
      <w:r w:rsidRPr="005058BC">
        <w:rPr>
          <w:rFonts w:ascii="Calibri" w:hAnsi="Calibri" w:cstheme="majorHAnsi"/>
          <w:b/>
          <w:bCs/>
          <w:noProof/>
          <w:sz w:val="28"/>
          <w:szCs w:val="28"/>
          <w:lang w:val="es-ES"/>
        </w:rPr>
        <w:t xml:space="preserve">Proyecto de resolución </w:t>
      </w:r>
      <w:r w:rsidR="00E565F2">
        <w:rPr>
          <w:rFonts w:ascii="Calibri" w:hAnsi="Calibri" w:cstheme="majorHAnsi"/>
          <w:b/>
          <w:bCs/>
          <w:noProof/>
          <w:sz w:val="28"/>
          <w:szCs w:val="28"/>
          <w:lang w:val="es-ES"/>
        </w:rPr>
        <w:t>sobre l</w:t>
      </w:r>
      <w:r w:rsidR="001B077F" w:rsidRPr="005058BC">
        <w:rPr>
          <w:rFonts w:asciiTheme="minorHAnsi" w:hAnsiTheme="minorHAnsi"/>
          <w:b/>
          <w:bCs/>
          <w:noProof/>
          <w:sz w:val="28"/>
          <w:szCs w:val="28"/>
          <w:lang w:val="es-ES"/>
        </w:rPr>
        <w:t xml:space="preserve">os humedales en las regiones </w:t>
      </w:r>
      <w:r w:rsidR="00E565F2">
        <w:rPr>
          <w:rFonts w:asciiTheme="minorHAnsi" w:hAnsiTheme="minorHAnsi"/>
          <w:b/>
          <w:bCs/>
          <w:noProof/>
          <w:sz w:val="28"/>
          <w:szCs w:val="28"/>
          <w:lang w:val="es-ES"/>
        </w:rPr>
        <w:br/>
      </w:r>
      <w:r w:rsidR="001B077F" w:rsidRPr="005058BC">
        <w:rPr>
          <w:rFonts w:asciiTheme="minorHAnsi" w:hAnsiTheme="minorHAnsi"/>
          <w:b/>
          <w:bCs/>
          <w:noProof/>
          <w:sz w:val="28"/>
          <w:szCs w:val="28"/>
          <w:lang w:val="es-ES"/>
        </w:rPr>
        <w:t>polares y subpolares</w:t>
      </w:r>
    </w:p>
    <w:p w14:paraId="2A2DF68E" w14:textId="77777777" w:rsidR="00A00F8C" w:rsidRPr="005058BC" w:rsidRDefault="00A00F8C" w:rsidP="00A00F8C">
      <w:pPr>
        <w:jc w:val="right"/>
        <w:rPr>
          <w:rFonts w:asciiTheme="minorHAnsi" w:hAnsiTheme="minorHAnsi"/>
          <w:b/>
          <w:noProof/>
          <w:sz w:val="22"/>
          <w:szCs w:val="22"/>
          <w:lang w:val="es-ES"/>
        </w:rPr>
      </w:pPr>
    </w:p>
    <w:p w14:paraId="1A68B4F3" w14:textId="288D032D" w:rsidR="00A00F8C" w:rsidRPr="005058BC" w:rsidRDefault="001B077F" w:rsidP="00A00F8C">
      <w:pPr>
        <w:ind w:right="16"/>
        <w:rPr>
          <w:rFonts w:asciiTheme="minorHAnsi" w:hAnsiTheme="minorHAnsi"/>
          <w:b/>
          <w:noProof/>
          <w:lang w:val="es-ES"/>
        </w:rPr>
      </w:pPr>
      <w:r w:rsidRPr="005058BC">
        <w:rPr>
          <w:rFonts w:asciiTheme="minorHAnsi" w:hAnsiTheme="minorHAnsi"/>
          <w:i/>
          <w:noProof/>
          <w:lang w:val="es-ES"/>
        </w:rPr>
        <w:t>Presentado por Suecia</w:t>
      </w:r>
    </w:p>
    <w:p w14:paraId="3DF2928A" w14:textId="77777777" w:rsidR="00A00F8C" w:rsidRPr="005058BC" w:rsidRDefault="00A00F8C" w:rsidP="00A00F8C">
      <w:pPr>
        <w:rPr>
          <w:rFonts w:asciiTheme="minorHAnsi" w:hAnsiTheme="minorHAnsi"/>
          <w:noProof/>
          <w:sz w:val="22"/>
          <w:szCs w:val="22"/>
          <w:lang w:val="es-ES"/>
        </w:rPr>
      </w:pPr>
    </w:p>
    <w:tbl>
      <w:tblPr>
        <w:tblW w:w="942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420"/>
      </w:tblGrid>
      <w:tr w:rsidR="00E565F2" w:rsidRPr="00254B03" w14:paraId="20B1FE0A" w14:textId="77777777" w:rsidTr="00E565F2">
        <w:tc>
          <w:tcPr>
            <w:tcW w:w="9420" w:type="dxa"/>
          </w:tcPr>
          <w:p w14:paraId="4DD669CC" w14:textId="77777777" w:rsidR="00E565F2" w:rsidRPr="00E565F2" w:rsidRDefault="00E565F2" w:rsidP="00E565F2">
            <w:pPr>
              <w:rPr>
                <w:rFonts w:asciiTheme="minorHAnsi" w:hAnsiTheme="minorHAnsi" w:cs="Calibri"/>
                <w:b/>
                <w:sz w:val="22"/>
                <w:szCs w:val="22"/>
                <w:lang w:val="es-ES"/>
              </w:rPr>
            </w:pPr>
            <w:r w:rsidRPr="00E565F2">
              <w:rPr>
                <w:rFonts w:asciiTheme="minorHAnsi" w:hAnsiTheme="minorHAnsi" w:cs="Calibri"/>
                <w:b/>
                <w:sz w:val="22"/>
                <w:szCs w:val="22"/>
                <w:lang w:val="es-ES"/>
              </w:rPr>
              <w:t xml:space="preserve">Nota de la </w:t>
            </w:r>
            <w:r w:rsidRPr="00C767F8">
              <w:rPr>
                <w:rFonts w:asciiTheme="minorHAnsi" w:hAnsiTheme="minorHAnsi" w:cs="Calibri"/>
                <w:b/>
                <w:sz w:val="22"/>
                <w:szCs w:val="22"/>
                <w:lang w:val="es-ES"/>
              </w:rPr>
              <w:t>Secretaría</w:t>
            </w:r>
          </w:p>
          <w:p w14:paraId="35A598E4" w14:textId="77777777" w:rsidR="00E565F2" w:rsidRPr="00E565F2" w:rsidRDefault="00E565F2" w:rsidP="00E565F2">
            <w:pPr>
              <w:rPr>
                <w:rFonts w:asciiTheme="minorHAnsi" w:hAnsiTheme="minorHAnsi" w:cs="Calibri"/>
                <w:b/>
                <w:sz w:val="22"/>
                <w:szCs w:val="22"/>
                <w:lang w:val="es-ES"/>
              </w:rPr>
            </w:pPr>
          </w:p>
          <w:p w14:paraId="2CE73E3E" w14:textId="77777777" w:rsidR="00E565F2" w:rsidRDefault="00E565F2" w:rsidP="00E565F2">
            <w:pPr>
              <w:widowControl w:val="0"/>
              <w:rPr>
                <w:rFonts w:asciiTheme="minorHAnsi" w:hAnsiTheme="minorHAnsi" w:cs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s-ES"/>
              </w:rPr>
              <w:t>Durante la 54ª reunión del Comité Permanente (SC54), varias Partes presentaron observaciones específicas y sugirieron modificaciones a este proyecto de resolución. Muchas de estas intervenciones suscitaron preocupación en el sentido de que el proyecto de resolución abarcaba cuestiones que forman parte del mandato del Tratado Antártico y el Consejo Antártico. Por invitación de la Presidencia, el Comité Permanente pidió a Suecia que presidiera a un grupo de contacto para preparar un texto revisado teniendo en cuenta las observaciones formuladas. Algunas Partes permanecieron incómodas con las referencias al Tratado Antártico y el Consejo Antártico en el texto revisado. Esto llevó al Comité a tomar la siguiente decisión:</w:t>
            </w:r>
          </w:p>
          <w:p w14:paraId="36D190EF" w14:textId="75891DD6" w:rsidR="00E565F2" w:rsidRPr="00E565F2" w:rsidRDefault="00E565F2" w:rsidP="00E565F2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GT"/>
              </w:rPr>
            </w:pPr>
            <w:r w:rsidRPr="00AC7349">
              <w:rPr>
                <w:rFonts w:ascii="Calibri" w:hAnsi="Calibri" w:cs="Calibri"/>
                <w:bCs/>
                <w:sz w:val="22"/>
                <w:szCs w:val="22"/>
                <w:lang w:val="es-GT" w:eastAsia="es-ES_tradnl"/>
              </w:rPr>
              <w:t xml:space="preserve">Decisión SC54-29: El Comité Permanente encargó a la Secretaría que editara, finalizara y publicara el proyecto de resolución contenido en el documento SC54-Com.15 para su examen en la COP13, con la inclusión de la modificación propuesta por el Reino Unido, con el apoyo de la Argentina, Australia y el Uruguay. </w:t>
            </w:r>
          </w:p>
        </w:tc>
      </w:tr>
    </w:tbl>
    <w:p w14:paraId="14A391EC" w14:textId="77777777" w:rsidR="00A00F8C" w:rsidRPr="00E565F2" w:rsidRDefault="00A00F8C" w:rsidP="006B30AF">
      <w:pPr>
        <w:rPr>
          <w:rFonts w:asciiTheme="minorHAnsi" w:hAnsiTheme="minorHAnsi" w:cs="Arial"/>
          <w:noProof/>
          <w:lang w:val="es-ES"/>
        </w:rPr>
      </w:pPr>
    </w:p>
    <w:p w14:paraId="2378C83F" w14:textId="77777777" w:rsidR="00A00F8C" w:rsidRPr="00E565F2" w:rsidRDefault="00A00F8C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375183A4" w14:textId="22BFAF62" w:rsidR="002159F0" w:rsidRPr="00E565F2" w:rsidRDefault="001B077F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E565F2">
        <w:rPr>
          <w:rFonts w:asciiTheme="minorHAnsi" w:hAnsiTheme="minorHAnsi"/>
          <w:noProof/>
          <w:sz w:val="22"/>
          <w:szCs w:val="22"/>
          <w:u w:val="single"/>
          <w:lang w:val="es-ES"/>
        </w:rPr>
        <w:t>Área y Partes Contratantes en las que se centra la presente resolución</w:t>
      </w:r>
    </w:p>
    <w:p w14:paraId="76CFBC82" w14:textId="77777777" w:rsidR="002159F0" w:rsidRPr="005058BC" w:rsidRDefault="002159F0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3C6C5F14" w14:textId="495B854E" w:rsidR="00A00F8C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CONSIDERANDO el área en la que se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centra</w:t>
      </w:r>
      <w:r w:rsidR="008B163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presente resolución,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a saber,</w:t>
      </w:r>
      <w:r w:rsidR="008B163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>el Ártico y subártico, delineado</w:t>
      </w:r>
      <w:r w:rsidR="004A3B21" w:rsidRPr="005058BC">
        <w:rPr>
          <w:rFonts w:asciiTheme="minorHAnsi" w:hAnsiTheme="minorHAnsi"/>
          <w:noProof/>
          <w:sz w:val="22"/>
          <w:szCs w:val="22"/>
          <w:lang w:val="es-ES"/>
        </w:rPr>
        <w:t>s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8B1635" w:rsidRPr="005058BC">
        <w:rPr>
          <w:rFonts w:asciiTheme="minorHAnsi" w:hAnsiTheme="minorHAnsi"/>
          <w:noProof/>
          <w:sz w:val="22"/>
          <w:szCs w:val="22"/>
          <w:lang w:val="es-ES"/>
        </w:rPr>
        <w:t>por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el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grupo de trabajo Conservación de la Flora y Fauna del Ártico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(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CAFF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) del </w:t>
      </w:r>
      <w:r w:rsidR="0071258C" w:rsidRPr="005058BC">
        <w:rPr>
          <w:rFonts w:asciiTheme="minorHAnsi" w:hAnsiTheme="minorHAnsi"/>
          <w:noProof/>
          <w:sz w:val="22"/>
          <w:szCs w:val="22"/>
          <w:lang w:val="es-ES"/>
        </w:rPr>
        <w:t>Consej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o Ártico</w:t>
      </w:r>
      <w:r w:rsidR="007125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[</w:t>
      </w:r>
      <w:r w:rsidR="0071258C" w:rsidRPr="005058BC">
        <w:rPr>
          <w:rFonts w:asciiTheme="minorHAnsi" w:hAnsiTheme="minorHAnsi"/>
          <w:noProof/>
          <w:sz w:val="22"/>
          <w:szCs w:val="22"/>
          <w:lang w:val="es-ES"/>
        </w:rPr>
        <w:t>la Antártida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es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delineada por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el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Tratado Antártico (</w:t>
      </w:r>
      <w:r w:rsidR="007125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 zona al sur de los 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>60</w:t>
      </w:r>
      <w:r w:rsidR="0050770F" w:rsidRPr="005058BC">
        <w:rPr>
          <w:rFonts w:asciiTheme="minorHAnsi" w:hAnsiTheme="minorHAnsi"/>
          <w:noProof/>
          <w:sz w:val="22"/>
          <w:szCs w:val="22"/>
          <w:vertAlign w:val="superscript"/>
          <w:lang w:val="es-ES"/>
        </w:rPr>
        <w:t>o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latitud sur</w:t>
      </w:r>
      <w:r w:rsidR="0071258C" w:rsidRPr="005058BC">
        <w:rPr>
          <w:rFonts w:asciiTheme="minorHAnsi" w:hAnsiTheme="minorHAnsi"/>
          <w:noProof/>
          <w:sz w:val="22"/>
          <w:szCs w:val="22"/>
          <w:lang w:val="es-ES"/>
        </w:rPr>
        <w:t>)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]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y la subantártida </w:t>
      </w:r>
      <w:r w:rsidR="004E2172" w:rsidRPr="005058BC">
        <w:rPr>
          <w:rFonts w:asciiTheme="minorHAnsi" w:hAnsiTheme="minorHAnsi"/>
          <w:noProof/>
          <w:sz w:val="22"/>
          <w:szCs w:val="22"/>
          <w:lang w:val="es-ES"/>
        </w:rPr>
        <w:t>se define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9D4F34" w:rsidRPr="005058BC">
        <w:rPr>
          <w:rFonts w:asciiTheme="minorHAnsi" w:hAnsiTheme="minorHAnsi"/>
          <w:noProof/>
          <w:sz w:val="22"/>
          <w:szCs w:val="22"/>
          <w:lang w:val="es-ES"/>
        </w:rPr>
        <w:t>según la clasificación climática de Köppen</w:t>
      </w:r>
      <w:r w:rsidR="009D4F34" w:rsidRPr="005058BC">
        <w:rPr>
          <w:rStyle w:val="FootnoteReference"/>
          <w:rFonts w:asciiTheme="minorHAnsi" w:hAnsiTheme="minorHAnsi"/>
          <w:noProof/>
          <w:sz w:val="22"/>
          <w:szCs w:val="22"/>
          <w:lang w:val="es-ES"/>
        </w:rPr>
        <w:footnoteReference w:id="1"/>
      </w:r>
      <w:r w:rsidR="009D4F34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como </w:t>
      </w:r>
      <w:r w:rsidR="004E2172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las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áreas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con clima de tundra 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(ET) 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se encuentran 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entre los 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45</w:t>
      </w:r>
      <w:r w:rsidR="0050770F" w:rsidRPr="005058BC">
        <w:rPr>
          <w:rFonts w:asciiTheme="minorHAnsi" w:hAnsiTheme="minorHAnsi"/>
          <w:noProof/>
          <w:sz w:val="22"/>
          <w:szCs w:val="22"/>
          <w:vertAlign w:val="superscript"/>
          <w:lang w:val="es-ES"/>
        </w:rPr>
        <w:t>o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y </w:t>
      </w:r>
      <w:r w:rsidR="00F5423F" w:rsidRPr="005058BC">
        <w:rPr>
          <w:rFonts w:asciiTheme="minorHAnsi" w:hAnsiTheme="minorHAnsi"/>
          <w:noProof/>
          <w:sz w:val="22"/>
          <w:szCs w:val="22"/>
          <w:lang w:val="es-ES"/>
        </w:rPr>
        <w:t>60</w:t>
      </w:r>
      <w:r w:rsidR="0050770F" w:rsidRPr="005058BC">
        <w:rPr>
          <w:rFonts w:asciiTheme="minorHAnsi" w:hAnsiTheme="minorHAnsi"/>
          <w:noProof/>
          <w:sz w:val="22"/>
          <w:szCs w:val="22"/>
          <w:vertAlign w:val="superscript"/>
          <w:lang w:val="es-ES"/>
        </w:rPr>
        <w:t>o</w:t>
      </w:r>
      <w:r w:rsidR="00F5423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>de latitud su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>r, excepto las zonas de montaña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sin </w:t>
      </w:r>
      <w:r w:rsidR="0050770F" w:rsidRPr="005058BC">
        <w:rPr>
          <w:rFonts w:asciiTheme="minorHAnsi" w:hAnsiTheme="minorHAnsi"/>
          <w:noProof/>
          <w:sz w:val="22"/>
          <w:szCs w:val="22"/>
          <w:lang w:val="es-ES"/>
        </w:rPr>
        <w:t>tundras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bajas aledañas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2488688B" w14:textId="77777777" w:rsidR="00A00F8C" w:rsidRPr="005058BC" w:rsidRDefault="00A00F8C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201F7404" w14:textId="238B7F13" w:rsidR="00A00F8C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CONSIDERANDO ASIMISMO que, </w:t>
      </w:r>
      <w:r w:rsidR="00A32BF5" w:rsidRPr="005058BC">
        <w:rPr>
          <w:rFonts w:asciiTheme="minorHAnsi" w:hAnsiTheme="minorHAnsi"/>
          <w:noProof/>
          <w:sz w:val="22"/>
          <w:szCs w:val="22"/>
          <w:lang w:val="es-ES"/>
        </w:rPr>
        <w:t>si bien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algunas medidas para mitigar el impacto sobre las 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>regiones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subpolares pueden llevarse a cabo </w:t>
      </w:r>
      <w:r w:rsidR="002159F0" w:rsidRPr="005058BC">
        <w:rPr>
          <w:rFonts w:asciiTheme="minorHAnsi" w:hAnsiTheme="minorHAnsi"/>
          <w:i/>
          <w:noProof/>
          <w:sz w:val="22"/>
          <w:szCs w:val="22"/>
          <w:lang w:val="es-ES"/>
        </w:rPr>
        <w:t>ex situ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por ejemplo mitigando el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cambio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climático, se puede hacer mucho para </w:t>
      </w:r>
      <w:r w:rsidR="00671F58" w:rsidRPr="005058BC">
        <w:rPr>
          <w:rFonts w:asciiTheme="minorHAnsi" w:hAnsiTheme="minorHAnsi"/>
          <w:noProof/>
          <w:sz w:val="22"/>
          <w:szCs w:val="22"/>
          <w:lang w:val="es-ES"/>
        </w:rPr>
        <w:t>estas regiones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A00F8C" w:rsidRPr="005058BC">
        <w:rPr>
          <w:rFonts w:asciiTheme="minorHAnsi" w:hAnsiTheme="minorHAnsi"/>
          <w:i/>
          <w:noProof/>
          <w:sz w:val="22"/>
          <w:szCs w:val="22"/>
          <w:lang w:val="es-ES"/>
        </w:rPr>
        <w:t>ex situ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1B07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A32BF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de manera que </w:t>
      </w:r>
      <w:r w:rsidR="004E74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 resolución </w:t>
      </w:r>
      <w:r w:rsidR="004E74CB" w:rsidRPr="005058BC">
        <w:rPr>
          <w:rFonts w:asciiTheme="minorHAnsi" w:hAnsiTheme="minorHAnsi"/>
          <w:noProof/>
          <w:sz w:val="22"/>
          <w:szCs w:val="22"/>
          <w:lang w:val="es-ES"/>
        </w:rPr>
        <w:lastRenderedPageBreak/>
        <w:t xml:space="preserve">también se </w:t>
      </w:r>
      <w:r w:rsidR="00C7435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dirige 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>a todas las Partes Contratantes; y</w:t>
      </w:r>
      <w:r w:rsidR="0007230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RECORDANDO las resoluciones </w:t>
      </w:r>
      <w:r w:rsidR="00D066B5" w:rsidRPr="005058BC">
        <w:rPr>
          <w:rFonts w:asciiTheme="minorHAnsi" w:hAnsiTheme="minorHAnsi"/>
          <w:noProof/>
          <w:sz w:val="22"/>
          <w:szCs w:val="22"/>
          <w:lang w:val="es-ES"/>
        </w:rPr>
        <w:t>X.25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sobre </w:t>
      </w:r>
      <w:r w:rsidR="008B2387" w:rsidRPr="005058BC">
        <w:rPr>
          <w:rFonts w:asciiTheme="minorHAnsi" w:hAnsiTheme="minorHAnsi"/>
          <w:i/>
          <w:noProof/>
          <w:sz w:val="22"/>
          <w:szCs w:val="22"/>
          <w:lang w:val="es-ES"/>
        </w:rPr>
        <w:t>Humedales y “biocombustibles”</w:t>
      </w:r>
      <w:r w:rsidR="00D066B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072309" w:rsidRPr="005058BC">
        <w:rPr>
          <w:rFonts w:asciiTheme="minorHAnsi" w:hAnsiTheme="minorHAnsi"/>
          <w:noProof/>
          <w:sz w:val="22"/>
          <w:szCs w:val="22"/>
          <w:lang w:val="es-ES"/>
        </w:rPr>
        <w:t>y</w:t>
      </w:r>
      <w:r w:rsidR="004F16A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XI</w:t>
      </w:r>
      <w:r w:rsidR="00D066B5" w:rsidRPr="005058BC">
        <w:rPr>
          <w:rFonts w:asciiTheme="minorHAnsi" w:hAnsiTheme="minorHAnsi"/>
          <w:noProof/>
          <w:sz w:val="22"/>
          <w:szCs w:val="22"/>
          <w:lang w:val="es-ES"/>
        </w:rPr>
        <w:t>.14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sobre </w:t>
      </w:r>
      <w:r w:rsidR="008B2387" w:rsidRPr="005058BC">
        <w:rPr>
          <w:rFonts w:asciiTheme="minorHAnsi" w:hAnsiTheme="minorHAnsi"/>
          <w:i/>
          <w:noProof/>
          <w:sz w:val="22"/>
          <w:szCs w:val="22"/>
          <w:lang w:val="es-ES"/>
        </w:rPr>
        <w:t>Cambio climático y humedales: consecuencias para la Convención de Ramsar sobre los Humedales</w:t>
      </w:r>
      <w:r w:rsidR="0007230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en las que se 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>sugiere</w:t>
      </w:r>
      <w:r w:rsidR="0007230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la rest</w:t>
      </w:r>
      <w:r w:rsidR="004F16AD" w:rsidRPr="005058BC">
        <w:rPr>
          <w:rFonts w:asciiTheme="minorHAnsi" w:hAnsiTheme="minorHAnsi"/>
          <w:noProof/>
          <w:sz w:val="22"/>
          <w:szCs w:val="22"/>
          <w:lang w:val="es-ES"/>
        </w:rPr>
        <w:t>auración de las turberas podría</w:t>
      </w:r>
      <w:r w:rsidR="0007230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ser una medida</w:t>
      </w:r>
      <w:r w:rsidR="002A73C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este tipo</w:t>
      </w:r>
      <w:r w:rsidR="008B2387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446AA20A" w14:textId="45DC1D89" w:rsidR="00225E7C" w:rsidRPr="005058BC" w:rsidRDefault="00225E7C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35E20525" w14:textId="23F240AC" w:rsidR="00A00F8C" w:rsidRPr="00E565F2" w:rsidRDefault="00072309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E565F2">
        <w:rPr>
          <w:rFonts w:asciiTheme="minorHAnsi" w:hAnsiTheme="minorHAnsi"/>
          <w:noProof/>
          <w:sz w:val="22"/>
          <w:szCs w:val="22"/>
          <w:u w:val="single"/>
          <w:lang w:val="es-ES"/>
        </w:rPr>
        <w:t>Biodiversidad, servicios de los ecosistemas y vulnerabilidad de los humedales polares y subpolares</w:t>
      </w:r>
    </w:p>
    <w:p w14:paraId="1F38A31C" w14:textId="77777777" w:rsidR="00FF7278" w:rsidRPr="005058BC" w:rsidRDefault="00FF7278" w:rsidP="0061475D">
      <w:pPr>
        <w:rPr>
          <w:rFonts w:asciiTheme="minorHAnsi" w:hAnsiTheme="minorHAnsi"/>
          <w:noProof/>
          <w:sz w:val="22"/>
          <w:szCs w:val="22"/>
          <w:lang w:val="es-ES"/>
        </w:rPr>
      </w:pPr>
    </w:p>
    <w:p w14:paraId="32F2C94E" w14:textId="7CF2F1F1" w:rsidR="0061475D" w:rsidRPr="005058BC" w:rsidRDefault="0061475D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</w:t>
      </w:r>
      <w:r w:rsidR="006B30AF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6B30AF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TOMANDO NOTA de que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existen distintos tipos de humedales en las regiones polares y subpolares, muchos de los cuales poseen subtipos y una biodiversidad que solo existe</w:t>
      </w:r>
      <w:r w:rsidR="004F16AD" w:rsidRPr="005058BC">
        <w:rPr>
          <w:rFonts w:asciiTheme="minorHAnsi" w:hAnsiTheme="minorHAnsi"/>
          <w:noProof/>
          <w:sz w:val="22"/>
          <w:szCs w:val="22"/>
          <w:lang w:val="es-ES"/>
        </w:rPr>
        <w:t>n</w:t>
      </w:r>
      <w:r w:rsidR="00716D5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en es</w:t>
      </w:r>
      <w:r w:rsidR="004F16AD" w:rsidRPr="005058BC">
        <w:rPr>
          <w:rFonts w:asciiTheme="minorHAnsi" w:hAnsiTheme="minorHAnsi"/>
          <w:noProof/>
          <w:sz w:val="22"/>
          <w:szCs w:val="22"/>
          <w:lang w:val="es-ES"/>
        </w:rPr>
        <w:t>t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as regiones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son de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importancia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mundial, y que algunos de ellos permanecen congelados permanentemente o durante la mayor parte del año;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49EF4C04" w14:textId="77777777" w:rsidR="0061475D" w:rsidRPr="005058BC" w:rsidRDefault="0061475D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0EC1E289" w14:textId="06640C92" w:rsidR="00FF7278" w:rsidRPr="005058BC" w:rsidRDefault="0061475D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4.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CONSCIENTE de la diversidad y valor de los ecosistemas de humedales en las regiones polares y subpolares y de sus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conexiones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mundiales a través de las rutas migratorias de aves y mamíferos marinos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FF727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575DC659" w14:textId="40CC8ADE" w:rsidR="0086349B" w:rsidRPr="005058BC" w:rsidRDefault="0086349B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6204CA0E" w14:textId="5C32B26F" w:rsidR="0086349B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5.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86349B" w:rsidRPr="005058BC">
        <w:rPr>
          <w:rFonts w:asciiTheme="minorHAnsi" w:hAnsiTheme="minorHAnsi"/>
          <w:noProof/>
          <w:sz w:val="22"/>
          <w:szCs w:val="22"/>
          <w:lang w:val="es-ES"/>
        </w:rPr>
        <w:t>RE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CONOCIENDO la importancia de los humedales por su biodiversidad y sus servicios de los ecosistemas para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 pueblos indígenas y las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comunidades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locales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>, y RECONOCIENDO ADEMÁS que su</w:t>
      </w:r>
      <w:r w:rsidR="00716D5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función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como </w:t>
      </w:r>
      <w:r w:rsidR="000A69EE" w:rsidRPr="005058BC">
        <w:rPr>
          <w:rFonts w:asciiTheme="minorHAnsi" w:hAnsiTheme="minorHAnsi"/>
          <w:noProof/>
          <w:sz w:val="22"/>
          <w:szCs w:val="22"/>
          <w:lang w:val="es-ES"/>
        </w:rPr>
        <w:t>sumideros</w:t>
      </w:r>
      <w:r w:rsidR="00716D5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depósitos de carbono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es de importancia mundial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en el contexto del cambio climático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</w:t>
      </w:r>
      <w:r w:rsidR="00DA6BF5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por lo tanto, una preocupación mundial;</w:t>
      </w:r>
    </w:p>
    <w:p w14:paraId="567BBB9E" w14:textId="4E4964B2" w:rsidR="00B16BAD" w:rsidRPr="005058BC" w:rsidRDefault="00B16BAD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67CCF940" w14:textId="47C785B9" w:rsidR="002F63E2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6.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B16BAD" w:rsidRPr="005058BC">
        <w:rPr>
          <w:rFonts w:asciiTheme="minorHAnsi" w:hAnsiTheme="minorHAnsi"/>
          <w:noProof/>
          <w:sz w:val="22"/>
          <w:szCs w:val="22"/>
          <w:lang w:val="es-ES"/>
        </w:rPr>
        <w:t>RECO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NOCIENDO que los ecosistemas de humedales polares y subpolares son muy sensibles y vulnerables, por ejemplo </w:t>
      </w:r>
      <w:r w:rsidR="00A32BF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los vertidos de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hidrocarburos </w:t>
      </w:r>
      <w:r w:rsidR="00A32BF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>pueden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tener un impacto </w:t>
      </w:r>
      <w:r w:rsidR="00A32BF5" w:rsidRPr="005058BC">
        <w:rPr>
          <w:rFonts w:asciiTheme="minorHAnsi" w:hAnsiTheme="minorHAnsi"/>
          <w:noProof/>
          <w:sz w:val="22"/>
          <w:szCs w:val="22"/>
          <w:lang w:val="es-ES"/>
        </w:rPr>
        <w:t>inusualmente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>prolongado y son difíciles de abordar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los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inviernos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oscuros y temperaturas 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>extremadamente bajas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y que estas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son algunas de las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regiones en las que el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cambio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climático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seguirá teniendo 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>un mayor impacto; y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RECONOCIENDO ADEMÁS que las zonas terrestres</w:t>
      </w:r>
      <w:r w:rsidR="0061475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aledañas a los humedales en estas regiones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también son vulnerables, por ejemplo 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>a</w:t>
      </w:r>
      <w:r w:rsidR="00833005" w:rsidRPr="005058BC">
        <w:rPr>
          <w:rFonts w:asciiTheme="minorHAnsi" w:hAnsiTheme="minorHAnsi"/>
          <w:noProof/>
          <w:sz w:val="22"/>
          <w:szCs w:val="22"/>
          <w:lang w:val="es-ES"/>
        </w:rPr>
        <w:t>l daño a largo plazo de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cobertura vegetal</w:t>
      </w:r>
      <w:r w:rsidR="0083300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puede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conlleva</w:t>
      </w:r>
      <w:r w:rsidR="00833005" w:rsidRPr="005058BC">
        <w:rPr>
          <w:rFonts w:asciiTheme="minorHAnsi" w:hAnsiTheme="minorHAnsi"/>
          <w:noProof/>
          <w:sz w:val="22"/>
          <w:szCs w:val="22"/>
          <w:lang w:val="es-ES"/>
        </w:rPr>
        <w:t>r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graves problemas de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erosión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</w:t>
      </w:r>
      <w:r w:rsidR="0083300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que, 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>después</w:t>
      </w:r>
      <w:r w:rsidR="0083300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</w:t>
      </w:r>
      <w:r w:rsidR="008811C2" w:rsidRPr="005058BC">
        <w:rPr>
          <w:rFonts w:asciiTheme="minorHAnsi" w:hAnsiTheme="minorHAnsi"/>
          <w:noProof/>
          <w:sz w:val="22"/>
          <w:szCs w:val="22"/>
          <w:lang w:val="es-ES"/>
        </w:rPr>
        <w:t>sedimentación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también puede deteriorar los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833005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3B52DAB5" w14:textId="77777777" w:rsidR="002F63E2" w:rsidRPr="005058BC" w:rsidRDefault="002F63E2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64D9482B" w14:textId="4238EEB1" w:rsidR="00B16BAD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7.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873E31" w:rsidRPr="005058BC">
        <w:rPr>
          <w:rFonts w:asciiTheme="minorHAnsi" w:hAnsiTheme="minorHAnsi"/>
          <w:noProof/>
          <w:sz w:val="22"/>
          <w:szCs w:val="22"/>
          <w:lang w:val="es-ES"/>
        </w:rPr>
        <w:t>CONS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CIENTE de que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el cambio climático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contribuye al permafrost y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deshielo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pueden alterar permanentemente los humedales polares como las turberas de </w:t>
      </w:r>
      <w:r w:rsidR="002F63E2" w:rsidRPr="005058BC">
        <w:rPr>
          <w:rFonts w:asciiTheme="minorHAnsi" w:hAnsiTheme="minorHAnsi"/>
          <w:noProof/>
          <w:sz w:val="22"/>
          <w:szCs w:val="22"/>
          <w:lang w:val="es-ES"/>
        </w:rPr>
        <w:t>palsa</w:t>
      </w:r>
      <w:r w:rsidR="000150F6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873E3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así como al aumento del nivel del mar que 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>afectará negativamente a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 humedales intermareales y costeros y tendrá un impacto en los hábitats de alimentaci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>ón para aves migratoria</w:t>
      </w:r>
      <w:r w:rsidR="006D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 y sitios importantes para la reproducción de peces, mamíferos marinos y otra vida acuática; </w:t>
      </w:r>
    </w:p>
    <w:p w14:paraId="46D6027D" w14:textId="04FECD3E" w:rsidR="00B52B41" w:rsidRPr="005058BC" w:rsidRDefault="00B52B41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5BB9486A" w14:textId="1D2C3858" w:rsidR="00B52B41" w:rsidRPr="00E565F2" w:rsidRDefault="001D46C3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E565F2">
        <w:rPr>
          <w:rFonts w:asciiTheme="minorHAnsi" w:hAnsiTheme="minorHAnsi"/>
          <w:noProof/>
          <w:sz w:val="22"/>
          <w:szCs w:val="22"/>
          <w:u w:val="single"/>
          <w:lang w:val="es-ES"/>
        </w:rPr>
        <w:t>Conocimientos</w:t>
      </w:r>
      <w:r w:rsidR="000A31CA" w:rsidRPr="00E565F2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y sensibilización</w:t>
      </w:r>
    </w:p>
    <w:p w14:paraId="6B9B9061" w14:textId="77777777" w:rsidR="00B52B41" w:rsidRPr="005058BC" w:rsidRDefault="00B52B41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14D70595" w14:textId="1398C135" w:rsidR="00417B3A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8.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B52B41" w:rsidRPr="005058BC">
        <w:rPr>
          <w:rFonts w:asciiTheme="minorHAnsi" w:hAnsiTheme="minorHAnsi"/>
          <w:noProof/>
          <w:sz w:val="22"/>
          <w:szCs w:val="22"/>
          <w:lang w:val="es-ES"/>
        </w:rPr>
        <w:t>CONSC</w:t>
      </w:r>
      <w:r w:rsidR="0006198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IENTE de que aún se necesita mucha información científica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sobre los ecosistemas de humedales en las regiones polares y subpolares y que los conocimientos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existentes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siguen siendo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>relativamente poco evaluados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incluso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 </w:t>
      </w:r>
      <w:r w:rsidR="00E86D53" w:rsidRPr="005058BC">
        <w:rPr>
          <w:rFonts w:asciiTheme="minorHAnsi" w:hAnsiTheme="minorHAnsi"/>
          <w:noProof/>
          <w:sz w:val="22"/>
          <w:szCs w:val="22"/>
          <w:lang w:val="es-ES"/>
        </w:rPr>
        <w:t>lo que respecta a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 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evolución histórica, distribución geográfica y extensión de los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distintos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tipos de humedales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así como su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biodiversidad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funciones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ecológicas, servicios de los ecosistemas y otros valores import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antes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además de su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vulnerabilidad</w:t>
      </w:r>
      <w:r w:rsidR="003E5FE9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B52B4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44FE926B" w14:textId="3AEADFD7" w:rsidR="00B52B41" w:rsidRPr="005058BC" w:rsidRDefault="00B52B41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1B534A8F" w14:textId="45556DBA" w:rsidR="00066D82" w:rsidRPr="005058BC" w:rsidRDefault="006B30AF" w:rsidP="006B30A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9.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CONS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>CI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ENTE ADEMÁS de la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urgente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necesidad de 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mayores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conocimiento</w:t>
      </w:r>
      <w:r w:rsidR="000049C5" w:rsidRPr="005058BC">
        <w:rPr>
          <w:rFonts w:asciiTheme="minorHAnsi" w:hAnsiTheme="minorHAnsi"/>
          <w:noProof/>
          <w:sz w:val="22"/>
          <w:szCs w:val="22"/>
          <w:lang w:val="es-ES"/>
        </w:rPr>
        <w:t>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sobre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>los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subpolares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>, para una conservación</w:t>
      </w:r>
      <w:r w:rsidR="00A856C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efectiva y un uso racional;</w:t>
      </w:r>
    </w:p>
    <w:p w14:paraId="6CD9246C" w14:textId="748EDF83" w:rsidR="00B44A91" w:rsidRPr="005058BC" w:rsidRDefault="00B44A91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62E2F918" w14:textId="206B5E68" w:rsidR="002159F0" w:rsidRPr="00690B8E" w:rsidRDefault="000A31CA" w:rsidP="00E565F2">
      <w:pPr>
        <w:keepNext/>
        <w:ind w:right="17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lastRenderedPageBreak/>
        <w:t xml:space="preserve">Áreas </w:t>
      </w:r>
      <w:r w:rsidR="001D46C3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protegidas</w:t>
      </w: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y áreas de </w:t>
      </w:r>
      <w:r w:rsidR="00C8465C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alto</w:t>
      </w: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valor </w:t>
      </w:r>
      <w:r w:rsidR="00C8465C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de conservación</w:t>
      </w:r>
    </w:p>
    <w:p w14:paraId="00CED244" w14:textId="77777777" w:rsidR="00A00F8C" w:rsidRPr="00690B8E" w:rsidRDefault="00A00F8C" w:rsidP="00E565F2">
      <w:pPr>
        <w:keepNext/>
        <w:ind w:right="17"/>
        <w:rPr>
          <w:rFonts w:asciiTheme="minorHAnsi" w:hAnsiTheme="minorHAnsi"/>
          <w:noProof/>
          <w:sz w:val="22"/>
          <w:szCs w:val="22"/>
          <w:u w:val="single"/>
          <w:lang w:val="es-ES"/>
        </w:rPr>
      </w:pPr>
    </w:p>
    <w:p w14:paraId="19652A96" w14:textId="28908129" w:rsidR="00A00F8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10.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RECO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NOCIENDO que existen áreas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protegidas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las </w:t>
      </w:r>
      <w:r w:rsidR="00C8465C" w:rsidRPr="005058BC">
        <w:rPr>
          <w:rFonts w:asciiTheme="minorHAnsi" w:hAnsiTheme="minorHAnsi"/>
          <w:noProof/>
          <w:sz w:val="22"/>
          <w:szCs w:val="22"/>
          <w:lang w:val="es-ES"/>
        </w:rPr>
        <w:t>regiones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subpolares y que </w:t>
      </w:r>
      <w:r w:rsidR="009B105A" w:rsidRPr="005058BC">
        <w:rPr>
          <w:rFonts w:asciiTheme="minorHAnsi" w:hAnsiTheme="minorHAnsi"/>
          <w:noProof/>
          <w:sz w:val="22"/>
          <w:szCs w:val="22"/>
          <w:lang w:val="es-ES"/>
        </w:rPr>
        <w:t>su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extensión total ha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aumentado</w:t>
      </w:r>
      <w:r w:rsidR="000A31C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los últimos 25 años y ca</w:t>
      </w:r>
      <w:r w:rsidR="00C8465C" w:rsidRPr="005058BC">
        <w:rPr>
          <w:rFonts w:asciiTheme="minorHAnsi" w:hAnsiTheme="minorHAnsi"/>
          <w:noProof/>
          <w:sz w:val="22"/>
          <w:szCs w:val="22"/>
          <w:lang w:val="es-ES"/>
        </w:rPr>
        <w:t>si se ha duplicado en</w:t>
      </w:r>
      <w:r w:rsidR="009B105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las</w:t>
      </w:r>
      <w:r w:rsidR="00C8465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9B105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regiones 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>árticas y subárticas</w:t>
      </w:r>
      <w:r w:rsidR="009B105A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991192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que hay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una amplia gama de categorías de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gestión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desde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las 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reservas naturales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hast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la protección con un uso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sostenible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; que el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nivel de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protección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gobernanz</w:t>
      </w:r>
      <w:r w:rsidR="00C8465C" w:rsidRPr="005058BC">
        <w:rPr>
          <w:rFonts w:asciiTheme="minorHAnsi" w:hAnsiTheme="minorHAnsi"/>
          <w:noProof/>
          <w:sz w:val="22"/>
          <w:szCs w:val="22"/>
          <w:lang w:val="es-ES"/>
        </w:rPr>
        <w:t>a varía en estas regiones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; y que a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finales de 2017, había unos 80 sitios Ramsar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designados en el Ártico y 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>subártico</w:t>
      </w:r>
      <w:r w:rsidR="00E86D53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cinco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sitios</w:t>
      </w:r>
      <w:r w:rsidR="00C8465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Ramsar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C8465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el subantártico;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591F7297" w14:textId="77777777" w:rsidR="00A00F8C" w:rsidRPr="005058BC" w:rsidRDefault="00A00F8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267BF5BE" w14:textId="7877DA79" w:rsidR="00A00F8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11.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PREOCUPADA porque,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si bien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se han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registrado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avances, no existe ningún análisis que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evalúe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hasta 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qué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punto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red de áreas protegidas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incluye los humedales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cumple el criterio de ser una 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="000077B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red de áreas protegidas y áreas especialmente gestionadas que estén ecológicamente conectadas entre sí, sean representativas y estén </w:t>
      </w:r>
      <w:r w:rsidR="008C5D8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adecuadamente </w:t>
      </w:r>
      <w:r w:rsidR="000077B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gestionadas de forma </w:t>
      </w:r>
      <w:r w:rsidR="008C5D85" w:rsidRPr="005058BC">
        <w:rPr>
          <w:rFonts w:asciiTheme="minorHAnsi" w:hAnsiTheme="minorHAnsi"/>
          <w:noProof/>
          <w:sz w:val="22"/>
          <w:szCs w:val="22"/>
          <w:lang w:val="es-ES"/>
        </w:rPr>
        <w:t>q</w:t>
      </w:r>
      <w:r w:rsidR="000077BD" w:rsidRPr="005058BC">
        <w:rPr>
          <w:rFonts w:asciiTheme="minorHAnsi" w:hAnsiTheme="minorHAnsi"/>
          <w:noProof/>
          <w:sz w:val="22"/>
          <w:szCs w:val="22"/>
          <w:lang w:val="es-ES"/>
        </w:rPr>
        <w:t>ue se proteja y se promueva la resiliencia de la diversidad biológica, los procesos ecológicos y el patrimonio cultural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”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55EA87F1" w14:textId="77777777" w:rsidR="0025019B" w:rsidRPr="005058BC" w:rsidRDefault="0025019B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7AB74B7F" w14:textId="370ABADE" w:rsidR="0025019B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12.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[</w:t>
      </w:r>
      <w:r w:rsidR="0025019B" w:rsidRPr="005058BC">
        <w:rPr>
          <w:rFonts w:asciiTheme="minorHAnsi" w:hAnsiTheme="minorHAnsi"/>
          <w:noProof/>
          <w:sz w:val="22"/>
          <w:szCs w:val="22"/>
          <w:lang w:val="es-ES"/>
        </w:rPr>
        <w:t>RE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>CONOCIENDO que</w:t>
      </w:r>
      <w:r w:rsidR="00E86D53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unque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Antártida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no forme parte de ningún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territorio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las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Partes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Contratantes, existen acuerdos internacionales que protegen algunas partes de </w:t>
      </w:r>
      <w:r w:rsidR="0095784E" w:rsidRPr="005058BC">
        <w:rPr>
          <w:rFonts w:asciiTheme="minorHAnsi" w:hAnsiTheme="minorHAnsi"/>
          <w:noProof/>
          <w:sz w:val="22"/>
          <w:szCs w:val="22"/>
          <w:lang w:val="es-ES"/>
        </w:rPr>
        <w:t>esta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tales como el </w:t>
      </w:r>
      <w:r w:rsidR="0095784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Tratado Antártico y la </w:t>
      </w:r>
      <w:r w:rsidR="00D40914" w:rsidRPr="005058BC">
        <w:rPr>
          <w:rFonts w:asciiTheme="minorHAnsi" w:hAnsiTheme="minorHAnsi"/>
          <w:noProof/>
          <w:sz w:val="22"/>
          <w:szCs w:val="22"/>
          <w:lang w:val="es-ES"/>
        </w:rPr>
        <w:t>Convención sobre la Conservación de los Re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>cursos Vivos Marinos Antárticos;]</w:t>
      </w:r>
    </w:p>
    <w:p w14:paraId="68D04355" w14:textId="77777777" w:rsidR="00D346D2" w:rsidRPr="005058BC" w:rsidRDefault="00D346D2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1F5510B2" w14:textId="0E36A04F" w:rsidR="00A00F8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13.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>RECONOCIENDO ADEMÁS que</w:t>
      </w:r>
      <w:r w:rsidR="0010483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el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B52B41" w:rsidRPr="005058BC">
        <w:rPr>
          <w:rFonts w:asciiTheme="minorHAnsi" w:hAnsiTheme="minorHAnsi"/>
          <w:noProof/>
          <w:sz w:val="22"/>
          <w:szCs w:val="22"/>
          <w:lang w:val="es-ES"/>
        </w:rPr>
        <w:t>CAFF ha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reconocido </w:t>
      </w:r>
      <w:r w:rsidR="00EB1108" w:rsidRPr="005058BC">
        <w:rPr>
          <w:rFonts w:asciiTheme="minorHAnsi" w:hAnsiTheme="minorHAnsi"/>
          <w:noProof/>
          <w:sz w:val="22"/>
          <w:szCs w:val="22"/>
          <w:lang w:val="es-ES"/>
        </w:rPr>
        <w:t>97</w:t>
      </w:r>
      <w:r w:rsidR="00B52B4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áreas </w:t>
      </w:r>
      <w:r w:rsidR="00104831" w:rsidRPr="005058BC">
        <w:rPr>
          <w:rFonts w:asciiTheme="minorHAnsi" w:hAnsiTheme="minorHAnsi"/>
          <w:noProof/>
          <w:sz w:val="22"/>
          <w:szCs w:val="22"/>
          <w:lang w:val="es-ES"/>
        </w:rPr>
        <w:t>marinas de especial importancia ec</w:t>
      </w:r>
      <w:r w:rsidR="00C97D0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ológica y cultural en 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>las regiones árticas y subárticas</w:t>
      </w:r>
      <w:r w:rsidR="00104831" w:rsidRPr="005058BC">
        <w:rPr>
          <w:rStyle w:val="FootnoteReference"/>
          <w:rFonts w:asciiTheme="minorHAnsi" w:hAnsiTheme="minorHAnsi"/>
          <w:noProof/>
          <w:sz w:val="22"/>
          <w:szCs w:val="22"/>
          <w:lang w:val="es-ES"/>
        </w:rPr>
        <w:footnoteReference w:id="2"/>
      </w:r>
      <w:r w:rsidR="00FF7278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EB110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F2CA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regiones en las que </w:t>
      </w:r>
      <w:r w:rsidR="0010483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se debería evitar o mitigar 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>el impacto de</w:t>
      </w:r>
      <w:r w:rsidR="00104831" w:rsidRPr="005058BC">
        <w:rPr>
          <w:rFonts w:asciiTheme="minorHAnsi" w:hAnsiTheme="minorHAnsi"/>
          <w:noProof/>
          <w:sz w:val="22"/>
          <w:szCs w:val="22"/>
          <w:lang w:val="es-ES"/>
        </w:rPr>
        <w:t>l transporte</w:t>
      </w:r>
      <w:r w:rsidR="00ED4AE4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marítimo</w:t>
      </w:r>
      <w:r w:rsidR="001F2CAC" w:rsidRPr="005058BC">
        <w:rPr>
          <w:rFonts w:asciiTheme="minorHAnsi" w:hAnsiTheme="minorHAnsi"/>
          <w:noProof/>
          <w:sz w:val="22"/>
          <w:szCs w:val="22"/>
          <w:lang w:val="es-ES"/>
        </w:rPr>
        <w:t>, y que v</w:t>
      </w:r>
      <w:r w:rsidR="006411B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arias de estas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áreas</w:t>
      </w:r>
      <w:r w:rsidR="001F2CA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incluyen humedales costeros;</w:t>
      </w:r>
    </w:p>
    <w:p w14:paraId="2B83870B" w14:textId="77777777" w:rsidR="00F5423F" w:rsidRPr="005058BC" w:rsidRDefault="00F5423F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6574B095" w14:textId="51D153B3" w:rsidR="00A00F8C" w:rsidRPr="00690B8E" w:rsidRDefault="006411B1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Amenazas para los humedales</w:t>
      </w:r>
    </w:p>
    <w:p w14:paraId="3FBE1FB8" w14:textId="77777777" w:rsidR="009C1915" w:rsidRPr="005058BC" w:rsidRDefault="009C1915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48A7326C" w14:textId="57BE2EF0" w:rsidR="00A00F8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14.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RECO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NOCIENDO las amenazas potenciales</w:t>
      </w:r>
      <w:r w:rsidR="009F7B1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contra los humedales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9F7B1E" w:rsidRPr="005058BC">
        <w:rPr>
          <w:rFonts w:asciiTheme="minorHAnsi" w:hAnsiTheme="minorHAnsi"/>
          <w:noProof/>
          <w:sz w:val="22"/>
          <w:szCs w:val="22"/>
          <w:lang w:val="es-ES"/>
        </w:rPr>
        <w:t>generadas por el</w:t>
      </w:r>
      <w:r w:rsidR="00A67BD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9F7B1E" w:rsidRPr="005058BC">
        <w:rPr>
          <w:rFonts w:asciiTheme="minorHAnsi" w:hAnsiTheme="minorHAnsi"/>
          <w:noProof/>
          <w:sz w:val="22"/>
          <w:szCs w:val="22"/>
          <w:lang w:val="es-ES"/>
        </w:rPr>
        <w:t>desarrollo</w:t>
      </w:r>
      <w:r w:rsidR="00A67BDE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9F7B1E" w:rsidRPr="005058BC">
        <w:rPr>
          <w:rFonts w:asciiTheme="minorHAnsi" w:hAnsiTheme="minorHAnsi"/>
          <w:noProof/>
          <w:sz w:val="22"/>
          <w:szCs w:val="22"/>
          <w:lang w:val="es-ES"/>
        </w:rPr>
        <w:t>actual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</w:t>
      </w:r>
      <w:r w:rsidR="009F7B1E" w:rsidRPr="005058BC">
        <w:rPr>
          <w:rFonts w:asciiTheme="minorHAnsi" w:hAnsiTheme="minorHAnsi"/>
          <w:noProof/>
          <w:sz w:val="22"/>
          <w:szCs w:val="22"/>
          <w:lang w:val="es-ES"/>
        </w:rPr>
        <w:t>el posible desarrollo futuro, por ejemplo, un posible aumento del transporte marítimo y una mayor demanda de extracción de recursos naturales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la</w:t>
      </w:r>
      <w:r w:rsidR="00205AB2" w:rsidRPr="005058BC">
        <w:rPr>
          <w:rFonts w:asciiTheme="minorHAnsi" w:hAnsiTheme="minorHAnsi"/>
          <w:noProof/>
          <w:sz w:val="22"/>
          <w:szCs w:val="22"/>
          <w:lang w:val="es-ES"/>
        </w:rPr>
        <w:t>s regiones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</w:t>
      </w:r>
      <w:r w:rsidR="00205AB2" w:rsidRPr="005058BC">
        <w:rPr>
          <w:rFonts w:asciiTheme="minorHAnsi" w:hAnsiTheme="minorHAnsi"/>
          <w:noProof/>
          <w:sz w:val="22"/>
          <w:szCs w:val="22"/>
          <w:lang w:val="es-ES"/>
        </w:rPr>
        <w:t>es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</w:t>
      </w:r>
      <w:r w:rsidR="004370EB" w:rsidRPr="005058BC">
        <w:rPr>
          <w:rFonts w:asciiTheme="minorHAnsi" w:hAnsiTheme="minorHAnsi"/>
          <w:noProof/>
          <w:sz w:val="22"/>
          <w:szCs w:val="22"/>
          <w:lang w:val="es-ES"/>
        </w:rPr>
        <w:t>subpo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lar</w:t>
      </w:r>
      <w:r w:rsidR="00205AB2" w:rsidRPr="005058BC">
        <w:rPr>
          <w:rFonts w:asciiTheme="minorHAnsi" w:hAnsiTheme="minorHAnsi"/>
          <w:noProof/>
          <w:sz w:val="22"/>
          <w:szCs w:val="22"/>
          <w:lang w:val="es-ES"/>
        </w:rPr>
        <w:t>es</w:t>
      </w:r>
      <w:r w:rsidR="009F7B1E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51464175" w14:textId="77777777" w:rsidR="00A00F8C" w:rsidRPr="005058BC" w:rsidRDefault="00A00F8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0F4A18BF" w14:textId="5D7FB187" w:rsidR="00A00F8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15.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>REC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ORDANDO que las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>regiones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subpolares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>se ven afectadas considerablemente por</w:t>
      </w:r>
      <w:r w:rsidR="00074CF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el cambio climático, sobre todo en el hemisferio norte, y son uno de los ecosistemas que están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cambiando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más rápidamente 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>en el mundo;</w:t>
      </w:r>
    </w:p>
    <w:p w14:paraId="4B51DC67" w14:textId="6E07C9DF" w:rsidR="00D346D2" w:rsidRPr="005058BC" w:rsidRDefault="00D346D2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3BD87370" w14:textId="1E647DE7" w:rsidR="00D346D2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16.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074CFA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RECORDANDO que los incendios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han aumentado en el Ártico y subártico,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incluso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la capa superior </w:t>
      </w:r>
      <w:r w:rsidR="00074CFA" w:rsidRPr="005058BC">
        <w:rPr>
          <w:rFonts w:asciiTheme="minorHAnsi" w:hAnsiTheme="minorHAnsi"/>
          <w:noProof/>
          <w:sz w:val="22"/>
          <w:szCs w:val="22"/>
          <w:lang w:val="es-ES"/>
        </w:rPr>
        <w:t>desecada de las turberas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D346D2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28A418CD" w14:textId="77777777" w:rsidR="00A00F8C" w:rsidRPr="005058BC" w:rsidRDefault="00A00F8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3A5839E7" w14:textId="20AF5C22" w:rsidR="00A00F8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17.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RECONOCIENDO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la Evaluación de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Impacto Climático en el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Ártico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señala varios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cambios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los ecosistemas árticos, por eje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mplo</w:t>
      </w:r>
      <w:r w:rsidR="00AF7A5D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desplazamientos rápidos hacia el norte del límite del bosque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a consecuenc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ia del reciente aumento d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 la </w:t>
      </w:r>
      <w:r w:rsidR="001D46C3" w:rsidRPr="005058BC">
        <w:rPr>
          <w:rFonts w:asciiTheme="minorHAnsi" w:hAnsiTheme="minorHAnsi"/>
          <w:noProof/>
          <w:sz w:val="22"/>
          <w:szCs w:val="22"/>
          <w:lang w:val="es-ES"/>
        </w:rPr>
        <w:t>temperatura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es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tival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, el cambio en los hábitos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alime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nticios de especies marinas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debido a la falta de presas y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 descomposición de la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cadena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D4AE4" w:rsidRPr="005058BC">
        <w:rPr>
          <w:rFonts w:asciiTheme="minorHAnsi" w:hAnsiTheme="minorHAnsi"/>
          <w:noProof/>
          <w:sz w:val="22"/>
          <w:szCs w:val="22"/>
          <w:lang w:val="es-ES"/>
        </w:rPr>
        <w:t>trófica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EC1A2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y </w:t>
      </w:r>
      <w:r w:rsidR="00F813D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</w:t>
      </w:r>
      <w:r w:rsidR="00EC1A2C" w:rsidRPr="005058BC">
        <w:rPr>
          <w:rFonts w:asciiTheme="minorHAnsi" w:hAnsiTheme="minorHAnsi"/>
          <w:noProof/>
          <w:sz w:val="22"/>
          <w:szCs w:val="22"/>
          <w:lang w:val="es-ES"/>
        </w:rPr>
        <w:t>en consecuencia hay</w:t>
      </w:r>
      <w:r w:rsidR="00ED4AE4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>especímenes en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mal estado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por la falta de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alimento</w:t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o 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por tener que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dedicar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demasiada energía a la 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búsqueda de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alimento</w:t>
      </w:r>
      <w:r w:rsidR="00762C93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65B22D0E" w14:textId="77777777" w:rsidR="00A00F8C" w:rsidRPr="005058BC" w:rsidRDefault="00A00F8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1A6E14DC" w14:textId="6B653BAB" w:rsidR="00EC1A2C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18.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RECONOCIENDO</w:t>
      </w:r>
      <w:r w:rsidR="00EC1A2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ADEMÁS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</w:t>
      </w:r>
      <w:r w:rsidR="00EC1A2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algunas especies incluidas en la Lista Roja, tales como el correlimos cuchareta, la grulla siberiana y el zorro 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>ártico</w:t>
      </w:r>
      <w:r w:rsidR="00EC1A2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pueden verse afectadas por la </w:t>
      </w:r>
      <w:r w:rsidR="00EC1A2C" w:rsidRPr="005058BC">
        <w:rPr>
          <w:rFonts w:asciiTheme="minorHAnsi" w:hAnsiTheme="minorHAnsi"/>
          <w:noProof/>
          <w:sz w:val="22"/>
          <w:szCs w:val="22"/>
          <w:lang w:val="es-ES"/>
        </w:rPr>
        <w:lastRenderedPageBreak/>
        <w:t>competencia por parte de especies más sureñas que se establecen en latitudes más elevadas, y que las especies exóticas invasoras también pueden establecerse y propagarse en estas regiones;</w:t>
      </w:r>
    </w:p>
    <w:p w14:paraId="34B11D6F" w14:textId="77777777" w:rsidR="00EC1A2C" w:rsidRPr="005058BC" w:rsidRDefault="00EC1A2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7F775FA1" w14:textId="0B3D221F" w:rsidR="00A00F8C" w:rsidRPr="005058BC" w:rsidRDefault="00EC1A2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19.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  <w:t>RECONOCIENDO</w:t>
      </w:r>
      <w:r w:rsidR="00F813D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la Evaluación de la Biodiversidad del Ártico del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5058BC">
        <w:rPr>
          <w:rFonts w:asciiTheme="minorHAnsi" w:hAnsiTheme="minorHAnsi" w:cs="Arial"/>
          <w:noProof/>
          <w:sz w:val="22"/>
          <w:szCs w:val="22"/>
          <w:lang w:val="es-ES"/>
        </w:rPr>
        <w:t>CAFF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132FF" w:rsidRPr="005058BC">
        <w:rPr>
          <w:rFonts w:asciiTheme="minorHAnsi" w:hAnsiTheme="minorHAnsi"/>
          <w:noProof/>
          <w:sz w:val="22"/>
          <w:szCs w:val="22"/>
          <w:lang w:val="es-ES"/>
        </w:rPr>
        <w:t>señala dis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>mi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>nuciones en algunos tipos de hu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>m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>e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dales 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>d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el Ártico y </w:t>
      </w:r>
      <w:r w:rsidR="00987D8A" w:rsidRPr="005058BC">
        <w:rPr>
          <w:rFonts w:asciiTheme="minorHAnsi" w:hAnsiTheme="minorHAnsi"/>
          <w:noProof/>
          <w:sz w:val="22"/>
          <w:szCs w:val="22"/>
          <w:lang w:val="es-ES"/>
        </w:rPr>
        <w:t>que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</w:t>
      </w:r>
      <w:r w:rsidR="00C35C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 Evaluación Mundial sobre Turberas, Diversidad Biológica y Cambio Climático, adoptada por la Decisión 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IX/16 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del Convenio sobre la Diversidad Biológica sobre </w:t>
      </w:r>
      <w:r w:rsidR="00316FF0" w:rsidRPr="005058BC">
        <w:rPr>
          <w:rFonts w:asciiTheme="minorHAnsi" w:hAnsiTheme="minorHAnsi"/>
          <w:i/>
          <w:noProof/>
          <w:sz w:val="22"/>
          <w:szCs w:val="22"/>
          <w:lang w:val="es-ES"/>
        </w:rPr>
        <w:t>Diversidad biológica y cambio climático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se afirma que las </w:t>
      </w:r>
      <w:r w:rsidR="004A11D7" w:rsidRPr="005058BC">
        <w:rPr>
          <w:rFonts w:asciiTheme="minorHAnsi" w:hAnsiTheme="minorHAnsi"/>
          <w:noProof/>
          <w:sz w:val="22"/>
          <w:szCs w:val="22"/>
          <w:lang w:val="es-ES"/>
        </w:rPr>
        <w:t>turberas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del Ártico son vulnerables</w:t>
      </w:r>
      <w:r w:rsidR="004F054E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54E929AC" w14:textId="77777777" w:rsidR="00417B3A" w:rsidRPr="00690B8E" w:rsidRDefault="00417B3A" w:rsidP="006B30AF">
      <w:pPr>
        <w:ind w:right="16"/>
        <w:rPr>
          <w:rFonts w:asciiTheme="minorHAnsi" w:hAnsiTheme="minorHAnsi"/>
          <w:i/>
          <w:noProof/>
          <w:sz w:val="22"/>
          <w:szCs w:val="22"/>
          <w:u w:val="single"/>
          <w:lang w:val="es-ES"/>
        </w:rPr>
      </w:pPr>
    </w:p>
    <w:p w14:paraId="339EDAB1" w14:textId="0D1FA465" w:rsidR="00417B3A" w:rsidRPr="00690B8E" w:rsidRDefault="00C35C11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Cooperación internacional</w:t>
      </w:r>
      <w:r w:rsidR="00EF1004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</w:t>
      </w:r>
    </w:p>
    <w:p w14:paraId="3E74B246" w14:textId="77777777" w:rsidR="00417B3A" w:rsidRPr="005058BC" w:rsidRDefault="00417B3A" w:rsidP="006B30AF">
      <w:pPr>
        <w:ind w:right="16"/>
        <w:rPr>
          <w:rFonts w:asciiTheme="minorHAnsi" w:hAnsiTheme="minorHAnsi"/>
          <w:noProof/>
          <w:sz w:val="22"/>
          <w:szCs w:val="22"/>
          <w:lang w:val="es-ES"/>
        </w:rPr>
      </w:pPr>
    </w:p>
    <w:p w14:paraId="533D4261" w14:textId="0B8A20D4" w:rsidR="00A00F8C" w:rsidRPr="005058BC" w:rsidRDefault="004F054E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20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2238BF" w:rsidRPr="005058BC">
        <w:rPr>
          <w:rFonts w:asciiTheme="minorHAnsi" w:hAnsiTheme="minorHAnsi"/>
          <w:noProof/>
          <w:sz w:val="22"/>
          <w:szCs w:val="22"/>
          <w:lang w:val="es-ES"/>
        </w:rPr>
        <w:t>RECORDANDO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el memorando de c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ooperación </w:t>
      </w:r>
      <w:r w:rsidR="00316F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firmado en la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11ª Reunión de la Conferencia de las Partes Contratantes </w:t>
      </w:r>
      <w:r w:rsidR="00A00F8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(COP11, Bucarest, 2012)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entre la Secretaría de Ramsar y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la Secretaría del CAFF; y</w:t>
      </w:r>
    </w:p>
    <w:p w14:paraId="1151D5F7" w14:textId="77777777" w:rsidR="004F054E" w:rsidRPr="005058BC" w:rsidRDefault="004F054E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4D1A0C0E" w14:textId="34715881" w:rsidR="004F054E" w:rsidRPr="005058BC" w:rsidRDefault="004F054E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21.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  <w:t>RECONOCIENDO que el CAFF está emprendiendo una iniciativa para mejorar la participación en relación con el papel y las funciones de los humedales del Ártico, como recurso para apoyar el desarrollo sostenible y la resiliencia en el Ártico;</w:t>
      </w:r>
    </w:p>
    <w:p w14:paraId="09935E77" w14:textId="2978361E" w:rsidR="00A00F8C" w:rsidRPr="005058BC" w:rsidRDefault="00A00F8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1C21E86B" w14:textId="458D9A39" w:rsidR="00A00F8C" w:rsidRPr="005058BC" w:rsidRDefault="001D0111" w:rsidP="006B30AF">
      <w:pPr>
        <w:ind w:left="426" w:right="16" w:hanging="426"/>
        <w:jc w:val="center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LA CONFERENCIA DE LAS PARTES CONTRATANTES</w:t>
      </w:r>
    </w:p>
    <w:p w14:paraId="5BDE02EC" w14:textId="77777777" w:rsidR="00A00F8C" w:rsidRPr="005058BC" w:rsidRDefault="00A00F8C" w:rsidP="006B30AF">
      <w:pPr>
        <w:ind w:left="426" w:right="16" w:hanging="426"/>
        <w:rPr>
          <w:rFonts w:asciiTheme="minorHAnsi" w:hAnsiTheme="minorHAnsi"/>
          <w:noProof/>
          <w:sz w:val="22"/>
          <w:szCs w:val="22"/>
          <w:lang w:val="es-ES"/>
        </w:rPr>
      </w:pPr>
    </w:p>
    <w:p w14:paraId="02C6CAB4" w14:textId="3C99D4A9" w:rsidR="00B51823" w:rsidRPr="00690B8E" w:rsidRDefault="001D0111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Conocimientos y sensibilización</w:t>
      </w:r>
    </w:p>
    <w:p w14:paraId="20EEB8F5" w14:textId="77777777" w:rsidR="00B51823" w:rsidRPr="005058BC" w:rsidRDefault="00B51823" w:rsidP="006B30AF">
      <w:pPr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5B677231" w14:textId="550DCF68" w:rsidR="00E05B6F" w:rsidRPr="005058BC" w:rsidRDefault="00E83E7D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22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ALIENTA a las Partes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Contratantes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cuestión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 xml:space="preserve">a obtener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datos suficientes sobre los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subpolares y</w:t>
      </w:r>
      <w:r w:rsidR="006D569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>realizar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D569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los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>inventarios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complementarios</w:t>
      </w:r>
      <w:r w:rsidR="006D569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necesarios</w:t>
      </w:r>
      <w:r w:rsidR="00C46B8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6D569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así como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investigaciones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</w:t>
      </w:r>
      <w:r w:rsidR="00C46B8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evaluaciones </w:t>
      </w:r>
      <w:r w:rsidR="00C46B80" w:rsidRPr="005058BC">
        <w:rPr>
          <w:rFonts w:asciiTheme="minorHAnsi" w:hAnsiTheme="minorHAnsi"/>
          <w:noProof/>
          <w:sz w:val="22"/>
          <w:szCs w:val="22"/>
          <w:lang w:val="es-ES"/>
        </w:rPr>
        <w:t>de los humedales polares y subpolares</w:t>
      </w:r>
      <w:r w:rsidR="00DA6BF5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A0700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5B0D7563" w14:textId="259656B0" w:rsidR="00B51823" w:rsidRPr="005058BC" w:rsidRDefault="00B5182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2AE5D795" w14:textId="5FFFEC8C" w:rsidR="009C4095" w:rsidRPr="005058BC" w:rsidRDefault="00540151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23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que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las Partes Contratantes </w:t>
      </w:r>
      <w:r w:rsidR="00F66E8F" w:rsidRPr="005058BC">
        <w:rPr>
          <w:rFonts w:asciiTheme="minorHAnsi" w:hAnsiTheme="minorHAnsi"/>
          <w:noProof/>
          <w:sz w:val="22"/>
          <w:szCs w:val="22"/>
          <w:lang w:val="es-ES"/>
        </w:rPr>
        <w:t>velen por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se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realicen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evaluaciones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los humedales polares y subpolares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973369" w:rsidRPr="005058BC">
        <w:rPr>
          <w:rFonts w:asciiTheme="minorHAnsi" w:hAnsiTheme="minorHAnsi"/>
          <w:noProof/>
          <w:sz w:val="22"/>
          <w:szCs w:val="22"/>
          <w:lang w:val="es-ES"/>
        </w:rPr>
        <w:t>tales como la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evaluación sobre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el estado de los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análisis de puntos críticos 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>para la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b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>iodiversidad de los humedales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y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evaluación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>de vacíos</w:t>
      </w:r>
      <w:r w:rsidR="001D011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la red de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áreas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protegidas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</w:t>
      </w:r>
      <w:r w:rsidR="00973369" w:rsidRPr="005058BC">
        <w:rPr>
          <w:rFonts w:asciiTheme="minorHAnsi" w:hAnsiTheme="minorHAnsi"/>
          <w:noProof/>
          <w:sz w:val="22"/>
          <w:szCs w:val="22"/>
          <w:lang w:val="es-ES"/>
        </w:rPr>
        <w:t>incluya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su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representación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conectividad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para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distintos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escenarios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cambio climático en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estas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regiones</w:t>
      </w:r>
      <w:r w:rsidR="00973369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la manera en que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esto </w:t>
      </w:r>
      <w:r w:rsidR="00FA6AF0" w:rsidRPr="005058BC">
        <w:rPr>
          <w:rFonts w:asciiTheme="minorHAnsi" w:hAnsiTheme="minorHAnsi"/>
          <w:noProof/>
          <w:sz w:val="22"/>
          <w:szCs w:val="22"/>
          <w:lang w:val="es-ES"/>
        </w:rPr>
        <w:t>podría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afectar a los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66E08B83" w14:textId="3B209113" w:rsidR="009C4095" w:rsidRPr="005058BC" w:rsidRDefault="009C4095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5A6B93E5" w14:textId="14CBD837" w:rsidR="009C4095" w:rsidRPr="005058BC" w:rsidRDefault="0038136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</w:t>
      </w:r>
      <w:r w:rsidR="00540151" w:rsidRPr="005058BC">
        <w:rPr>
          <w:rFonts w:asciiTheme="minorHAnsi" w:hAnsiTheme="minorHAnsi"/>
          <w:noProof/>
          <w:sz w:val="22"/>
          <w:szCs w:val="22"/>
          <w:lang w:val="es-ES"/>
        </w:rPr>
        <w:t>4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ALIENTA a las Partes Contratantes a trabajar con el apoyo de la </w:t>
      </w:r>
      <w:r w:rsidR="00086194" w:rsidRPr="005058BC">
        <w:rPr>
          <w:rFonts w:asciiTheme="minorHAnsi" w:hAnsiTheme="minorHAnsi"/>
          <w:noProof/>
          <w:sz w:val="22"/>
          <w:szCs w:val="22"/>
          <w:lang w:val="es-ES"/>
        </w:rPr>
        <w:t>Secretaría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para crear </w:t>
      </w:r>
      <w:r w:rsidR="00086194" w:rsidRPr="005058BC">
        <w:rPr>
          <w:rFonts w:asciiTheme="minorHAnsi" w:hAnsiTheme="minorHAnsi"/>
          <w:noProof/>
          <w:sz w:val="22"/>
          <w:szCs w:val="22"/>
          <w:lang w:val="es-ES"/>
        </w:rPr>
        <w:t>conciencia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sobre el valor de los </w:t>
      </w:r>
      <w:r w:rsidR="00250B8C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subpolares y 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>a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086194" w:rsidRPr="005058BC">
        <w:rPr>
          <w:rFonts w:asciiTheme="minorHAnsi" w:hAnsiTheme="minorHAnsi"/>
          <w:noProof/>
          <w:sz w:val="22"/>
          <w:szCs w:val="22"/>
          <w:lang w:val="es-ES"/>
        </w:rPr>
        <w:t>consolidar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 </w:t>
      </w:r>
      <w:r w:rsidR="00086194" w:rsidRPr="005058BC">
        <w:rPr>
          <w:rFonts w:asciiTheme="minorHAnsi" w:hAnsiTheme="minorHAnsi"/>
          <w:noProof/>
          <w:sz w:val="22"/>
          <w:szCs w:val="22"/>
          <w:lang w:val="es-ES"/>
        </w:rPr>
        <w:t>conocimientos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existentes para la toma de </w:t>
      </w:r>
      <w:r w:rsidR="00086194" w:rsidRPr="005058BC">
        <w:rPr>
          <w:rFonts w:asciiTheme="minorHAnsi" w:hAnsiTheme="minorHAnsi"/>
          <w:noProof/>
          <w:sz w:val="22"/>
          <w:szCs w:val="22"/>
          <w:lang w:val="es-ES"/>
        </w:rPr>
        <w:t>decisiones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relativa a su conservación y uso racional (y sosten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>ible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>),</w:t>
      </w:r>
      <w:r w:rsidR="002D52F4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destacar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</w:t>
      </w:r>
      <w:r w:rsidR="00086194" w:rsidRPr="005058BC">
        <w:rPr>
          <w:rFonts w:asciiTheme="minorHAnsi" w:hAnsiTheme="minorHAnsi"/>
          <w:noProof/>
          <w:sz w:val="22"/>
          <w:szCs w:val="22"/>
          <w:lang w:val="es-ES"/>
        </w:rPr>
        <w:t>importancia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del comportamiento de todas las pers</w:t>
      </w:r>
      <w:r w:rsidR="00276D5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onas para evitar incendios y </w:t>
      </w:r>
      <w:r w:rsidR="00274C4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el </w:t>
      </w:r>
      <w:r w:rsidR="00D647BB" w:rsidRPr="005058BC">
        <w:rPr>
          <w:rFonts w:asciiTheme="minorHAnsi" w:hAnsiTheme="minorHAnsi"/>
          <w:noProof/>
          <w:sz w:val="22"/>
          <w:szCs w:val="22"/>
          <w:lang w:val="es-ES"/>
        </w:rPr>
        <w:t>paso</w:t>
      </w:r>
      <w:r w:rsidR="00274C4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76D5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de vehículos </w:t>
      </w:r>
      <w:r w:rsidR="00274C4F" w:rsidRPr="005058BC">
        <w:rPr>
          <w:rFonts w:asciiTheme="minorHAnsi" w:hAnsiTheme="minorHAnsi"/>
          <w:noProof/>
          <w:sz w:val="22"/>
          <w:szCs w:val="22"/>
          <w:lang w:val="es-ES"/>
        </w:rPr>
        <w:t>todo terreno</w:t>
      </w:r>
      <w:r w:rsidR="00276D5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pueden causar 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>daños;</w:t>
      </w:r>
    </w:p>
    <w:p w14:paraId="1075A012" w14:textId="4325BC86" w:rsidR="00B51823" w:rsidRPr="005058BC" w:rsidRDefault="00B51823" w:rsidP="006B30AF">
      <w:pPr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54A0F43C" w14:textId="136BC823" w:rsidR="00B51823" w:rsidRPr="00690B8E" w:rsidRDefault="00CF0ECB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Áreas </w:t>
      </w:r>
      <w:r w:rsidR="00086194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protegidas</w:t>
      </w: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y áreas de alto valor </w:t>
      </w:r>
      <w:r w:rsidR="00EF6747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de</w:t>
      </w: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</w:t>
      </w:r>
      <w:r w:rsidR="00086194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conservación</w:t>
      </w:r>
    </w:p>
    <w:p w14:paraId="38164F8D" w14:textId="77777777" w:rsidR="007B08D0" w:rsidRPr="005058BC" w:rsidRDefault="007B08D0" w:rsidP="00276D50">
      <w:pPr>
        <w:rPr>
          <w:rFonts w:asciiTheme="minorHAnsi" w:hAnsiTheme="minorHAnsi"/>
          <w:noProof/>
          <w:sz w:val="22"/>
          <w:szCs w:val="22"/>
          <w:lang w:val="es-ES"/>
        </w:rPr>
      </w:pPr>
    </w:p>
    <w:p w14:paraId="426F4748" w14:textId="11A98559" w:rsidR="00276D50" w:rsidRPr="005058BC" w:rsidRDefault="00276D50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25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ALIENTA a las Partes Contratantes, según proceda, a designar nuevas áreas protegidas en regiones polares y subpolares en las que las áreas protegidas con determinados tipos de humedales están insuficientemente representadas en la red de áreas protegidas;</w:t>
      </w:r>
    </w:p>
    <w:p w14:paraId="38C301FA" w14:textId="724F097B" w:rsidR="00E05B6F" w:rsidRPr="005058BC" w:rsidRDefault="00E05B6F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4F67A344" w14:textId="5A51FFB3" w:rsidR="0098091D" w:rsidRPr="005058BC" w:rsidRDefault="0098091D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26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ALIENTA a las Partes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Contratantes</w:t>
      </w:r>
      <w:r w:rsidR="00CF0ECB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 designar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nuevos sitios Ramsar en regiones polares y subpolares [excepto en la Antárti</w:t>
      </w:r>
      <w:r w:rsidR="00180355" w:rsidRPr="005058BC">
        <w:rPr>
          <w:rFonts w:asciiTheme="minorHAnsi" w:hAnsiTheme="minorHAnsi"/>
          <w:noProof/>
          <w:sz w:val="22"/>
          <w:szCs w:val="22"/>
          <w:lang w:val="es-ES"/>
        </w:rPr>
        <w:t>d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a], en las que determinados tipos de humedales están insuficientemente representados en la red de sitios Ramsar;</w:t>
      </w:r>
    </w:p>
    <w:p w14:paraId="1460DE98" w14:textId="77777777" w:rsidR="0098091D" w:rsidRPr="005058BC" w:rsidRDefault="0098091D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563E7252" w14:textId="16CB6AEB" w:rsidR="00AE1F6F" w:rsidRPr="005058BC" w:rsidRDefault="00CF0ECB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lastRenderedPageBreak/>
        <w:t xml:space="preserve"> </w:t>
      </w:r>
      <w:r w:rsidR="00180355" w:rsidRPr="005058BC">
        <w:rPr>
          <w:rFonts w:asciiTheme="minorHAnsi" w:hAnsiTheme="minorHAnsi"/>
          <w:noProof/>
          <w:sz w:val="22"/>
          <w:szCs w:val="22"/>
          <w:lang w:val="es-ES"/>
        </w:rPr>
        <w:t>27.</w:t>
      </w:r>
      <w:r w:rsidR="00180355" w:rsidRPr="005058BC">
        <w:rPr>
          <w:rFonts w:asciiTheme="minorHAnsi" w:hAnsiTheme="minorHAnsi"/>
          <w:noProof/>
          <w:sz w:val="22"/>
          <w:szCs w:val="22"/>
          <w:lang w:val="es-ES"/>
        </w:rPr>
        <w:tab/>
        <w:t xml:space="preserve">[ALIENTA a las Partes Contratantes a designar nuevas áreas protegidas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través de acuerdos internacionales en la zona 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>que abarca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el Tratado 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>Antártico</w:t>
      </w:r>
      <w:r w:rsidR="000438F6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donde existen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DE110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no protegidos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 son puntos críticos para la biodiversidad;</w:t>
      </w:r>
      <w:r w:rsidR="00180355" w:rsidRPr="005058BC">
        <w:rPr>
          <w:rFonts w:asciiTheme="minorHAnsi" w:hAnsiTheme="minorHAnsi"/>
          <w:noProof/>
          <w:sz w:val="22"/>
          <w:szCs w:val="22"/>
          <w:lang w:val="es-ES"/>
        </w:rPr>
        <w:t>]</w:t>
      </w:r>
    </w:p>
    <w:p w14:paraId="5D2BA280" w14:textId="77777777" w:rsidR="00AE1F6F" w:rsidRPr="005058BC" w:rsidRDefault="00AE1F6F" w:rsidP="006B30AF">
      <w:pPr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7BE04611" w14:textId="435A7AB5" w:rsidR="00170B3C" w:rsidRPr="00690B8E" w:rsidRDefault="00180355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Uso racional y m</w:t>
      </w:r>
      <w:r w:rsidR="00170B3C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itig</w:t>
      </w:r>
      <w:r w:rsidR="00310899"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ación del impacto sobre los humedales y restauración</w:t>
      </w:r>
    </w:p>
    <w:p w14:paraId="168647FC" w14:textId="24E558AE" w:rsidR="003E2F53" w:rsidRPr="005058BC" w:rsidRDefault="003E2F53" w:rsidP="006B30AF">
      <w:pPr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0D87DE9C" w14:textId="10BBEEFE" w:rsidR="003E2F53" w:rsidRPr="005058BC" w:rsidRDefault="00880707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28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AF4D77"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 las Partes Contratantes a velar por que se dé prioridad a las medidas de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restauración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los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estas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se adopten para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mejorar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la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conectividad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entre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hábitats</w:t>
      </w:r>
      <w:r w:rsidR="00EF674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adecuados, particularmente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sitios de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importancia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para las especies migratorias de humedales y sitios con agua dulce</w:t>
      </w:r>
      <w:r w:rsidR="00AF4D7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subregiones en las que esta se puede escasear debido al cambio climático en curso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427C8E5D" w14:textId="77777777" w:rsidR="003E2F53" w:rsidRPr="005058BC" w:rsidRDefault="003E2F5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0535EFD1" w14:textId="5675114E" w:rsidR="003E2F53" w:rsidRPr="005058BC" w:rsidRDefault="00880707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29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 las Partes Contratantes</w:t>
      </w:r>
      <w:r w:rsidR="00D168B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a velar p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or que la planificación física,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proyectos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desarrollo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las actividades turísticas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cuiden debidamente de los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las </w:t>
      </w:r>
      <w:r w:rsidR="00274C4F" w:rsidRPr="005058BC">
        <w:rPr>
          <w:rFonts w:asciiTheme="minorHAnsi" w:hAnsiTheme="minorHAnsi"/>
          <w:noProof/>
          <w:sz w:val="22"/>
          <w:szCs w:val="22"/>
          <w:lang w:val="es-ES"/>
        </w:rPr>
        <w:t>regiones polares y subpolares, p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or ejemplo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274C4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prohibiendo 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el </w:t>
      </w:r>
      <w:r w:rsidR="00D647BB" w:rsidRPr="005058BC">
        <w:rPr>
          <w:rFonts w:asciiTheme="minorHAnsi" w:hAnsiTheme="minorHAnsi"/>
          <w:noProof/>
          <w:sz w:val="22"/>
          <w:szCs w:val="22"/>
          <w:lang w:val="es-ES"/>
        </w:rPr>
        <w:t>paso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vehículos todo terreno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en las zonas con </w:t>
      </w:r>
      <w:r w:rsidR="008A6647" w:rsidRPr="005058BC">
        <w:rPr>
          <w:rFonts w:asciiTheme="minorHAnsi" w:hAnsiTheme="minorHAnsi"/>
          <w:noProof/>
          <w:sz w:val="22"/>
          <w:szCs w:val="22"/>
          <w:lang w:val="es-ES"/>
        </w:rPr>
        <w:t>hábitats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>delicados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02EB9E0C" w14:textId="77777777" w:rsidR="00C835FF" w:rsidRPr="005058BC" w:rsidRDefault="00C835FF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14914A51" w14:textId="0982C4D6" w:rsidR="003E2F53" w:rsidRPr="005058BC" w:rsidRDefault="004204F1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30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E91DF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a las Partes Contratantes</w:t>
      </w:r>
      <w:r w:rsidR="00D168B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5160FD" w:rsidRPr="005058BC">
        <w:rPr>
          <w:rFonts w:asciiTheme="minorHAnsi" w:hAnsiTheme="minorHAnsi"/>
          <w:noProof/>
          <w:sz w:val="22"/>
          <w:szCs w:val="22"/>
          <w:lang w:val="es-ES"/>
        </w:rPr>
        <w:t>que posee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n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animales domésticos o semidomésticos 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herbívoros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velar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por que el tamaño de la población de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estos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rebaños se manten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ga a un nivel que no </w:t>
      </w:r>
      <w:r w:rsidR="003E5EC0" w:rsidRPr="005058BC">
        <w:rPr>
          <w:rFonts w:asciiTheme="minorHAnsi" w:hAnsiTheme="minorHAnsi"/>
          <w:noProof/>
          <w:sz w:val="22"/>
          <w:szCs w:val="22"/>
          <w:lang w:val="es-ES"/>
        </w:rPr>
        <w:t>represente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un riesgo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para las poblaciones de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herbívoros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silvestres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que </w:t>
      </w:r>
      <w:r w:rsidR="005160FD" w:rsidRPr="005058BC">
        <w:rPr>
          <w:rFonts w:asciiTheme="minorHAnsi" w:hAnsiTheme="minorHAnsi"/>
          <w:noProof/>
          <w:sz w:val="22"/>
          <w:szCs w:val="22"/>
          <w:lang w:val="es-ES"/>
        </w:rPr>
        <w:t>el apacentamiento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de herbívoros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domésticos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silvestres</w:t>
      </w:r>
      <w:r w:rsidR="005160F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conjunto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no conlleve el riesgo de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pastoreo</w:t>
      </w:r>
      <w:r w:rsidR="005160F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excesivo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083FD60E" w14:textId="148751DA" w:rsidR="00C835FF" w:rsidRPr="005058BC" w:rsidRDefault="00C835FF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39B2FBCE" w14:textId="0DCDD250" w:rsidR="00C835FF" w:rsidRPr="005058BC" w:rsidRDefault="009A2D49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31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C835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a las Partes Contratantes</w:t>
      </w:r>
      <w:r w:rsidR="00C835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mitigar los problemas de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e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rosión a gran escala que puedan surgir o ya existan debido a los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distintos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tipos de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explotación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por ejemplo, las carreteras, el </w:t>
      </w:r>
      <w:r w:rsidR="003E5EC0" w:rsidRPr="005058BC">
        <w:rPr>
          <w:rFonts w:asciiTheme="minorHAnsi" w:hAnsiTheme="minorHAnsi"/>
          <w:noProof/>
          <w:sz w:val="22"/>
          <w:szCs w:val="22"/>
          <w:lang w:val="es-ES"/>
        </w:rPr>
        <w:t>paso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vehículos todo terreno y la extracción de recursos naturales, </w:t>
      </w:r>
      <w:r w:rsidR="0067178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mediante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medidas</w:t>
      </w:r>
      <w:r w:rsidR="00671788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que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pueden dirigirse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tanto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como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los</w:t>
      </w:r>
      <w:r w:rsidR="008C7C20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hábitats terrestres;</w:t>
      </w:r>
    </w:p>
    <w:p w14:paraId="2272CDD4" w14:textId="77777777" w:rsidR="00C835FF" w:rsidRPr="005058BC" w:rsidRDefault="00C835FF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0EA685C6" w14:textId="2A7771A2" w:rsidR="00C835FF" w:rsidRPr="005058BC" w:rsidRDefault="00671788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32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C835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a las Partes Contratantes</w:t>
      </w:r>
      <w:r w:rsidR="00C835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velar por que se establezcan medidas para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erradicar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 las especies exóticas invasoras existentes o </w:t>
      </w:r>
      <w:r w:rsidR="00060CDE" w:rsidRPr="005058BC">
        <w:rPr>
          <w:rFonts w:asciiTheme="minorHAnsi" w:hAnsiTheme="minorHAnsi"/>
          <w:noProof/>
          <w:sz w:val="22"/>
          <w:szCs w:val="22"/>
          <w:lang w:val="es-ES"/>
        </w:rPr>
        <w:t>posibles en el futuro</w:t>
      </w:r>
      <w:r w:rsidR="00C835FF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639CC428" w14:textId="77777777" w:rsidR="003E2F53" w:rsidRPr="005058BC" w:rsidRDefault="003E2F53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4CFB0AE4" w14:textId="03CE1848" w:rsidR="00170B3C" w:rsidRPr="005058BC" w:rsidRDefault="002F28E7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33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ALIENTA</w:t>
      </w:r>
      <w:r w:rsidR="00E91DF5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a las Partes Contratantes</w:t>
      </w:r>
      <w:r w:rsidR="00873E3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restaurar las turberas que almacenen grandes cantidades de carbono, independientemente de la zona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climática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la que estén,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con el objeto de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mitigar el cambio cl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imático en las regiones polares y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subpo</w:t>
      </w:r>
      <w:r w:rsidR="001D4156" w:rsidRPr="005058BC">
        <w:rPr>
          <w:rFonts w:asciiTheme="minorHAnsi" w:hAnsiTheme="minorHAnsi"/>
          <w:noProof/>
          <w:sz w:val="22"/>
          <w:szCs w:val="22"/>
          <w:lang w:val="es-ES"/>
        </w:rPr>
        <w:t>lares</w:t>
      </w:r>
      <w:r w:rsidR="0086758A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873E31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1071E1AA" w14:textId="77777777" w:rsidR="00873E31" w:rsidRPr="005058BC" w:rsidRDefault="00873E31" w:rsidP="006B30AF">
      <w:pPr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5D679B89" w14:textId="14EABCD3" w:rsidR="00B51823" w:rsidRPr="00690B8E" w:rsidRDefault="00E82E6D" w:rsidP="006B30AF">
      <w:pPr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Cooperación internacional</w:t>
      </w:r>
    </w:p>
    <w:p w14:paraId="560E50E5" w14:textId="77777777" w:rsidR="00B51823" w:rsidRPr="005058BC" w:rsidRDefault="00B51823" w:rsidP="006B30AF">
      <w:pPr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07B0D739" w14:textId="112796AC" w:rsidR="00E05B6F" w:rsidRPr="005058BC" w:rsidRDefault="00664C7C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34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7C5A16" w:rsidRPr="005058BC">
        <w:rPr>
          <w:rFonts w:asciiTheme="minorHAnsi" w:hAnsiTheme="minorHAnsi"/>
          <w:noProof/>
          <w:sz w:val="22"/>
          <w:szCs w:val="22"/>
          <w:lang w:val="es-ES"/>
        </w:rPr>
        <w:t>PIDE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 la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Secretaría</w:t>
      </w:r>
      <w:r w:rsidR="007C5A1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Ramsar que 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>estudie posibles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sinergias con 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>la Convención</w:t>
      </w:r>
      <w:r w:rsidR="003879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Marco de las Naciones Unidas 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>sobre</w:t>
      </w:r>
      <w:r w:rsidR="0038797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el Cambio Climático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8797F" w:rsidRPr="005058BC">
        <w:rPr>
          <w:rFonts w:asciiTheme="minorHAnsi" w:hAnsiTheme="minorHAnsi"/>
          <w:noProof/>
          <w:sz w:val="22"/>
          <w:szCs w:val="22"/>
          <w:lang w:val="es-ES"/>
        </w:rPr>
        <w:t>(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>CMNUCC</w:t>
      </w:r>
      <w:r w:rsidR="0038797F" w:rsidRPr="005058BC">
        <w:rPr>
          <w:rFonts w:asciiTheme="minorHAnsi" w:hAnsiTheme="minorHAnsi"/>
          <w:noProof/>
          <w:sz w:val="22"/>
          <w:szCs w:val="22"/>
          <w:lang w:val="es-ES"/>
        </w:rPr>
        <w:t>)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para identificar mecanismos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 incentivos para la conservación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el uso racional de los humedales polares y subpolares; y PIDE ADEMÁS al </w:t>
      </w:r>
      <w:r w:rsidR="004A11D7" w:rsidRPr="005058BC">
        <w:rPr>
          <w:rFonts w:asciiTheme="minorHAnsi" w:hAnsiTheme="minorHAnsi"/>
          <w:noProof/>
          <w:sz w:val="22"/>
          <w:szCs w:val="22"/>
          <w:lang w:val="es-ES"/>
        </w:rPr>
        <w:t>Grupo de e</w:t>
      </w:r>
      <w:r w:rsidR="00FB0E4C" w:rsidRPr="005058BC">
        <w:rPr>
          <w:rFonts w:asciiTheme="minorHAnsi" w:hAnsiTheme="minorHAnsi"/>
          <w:noProof/>
          <w:sz w:val="22"/>
          <w:szCs w:val="22"/>
          <w:lang w:val="es-ES"/>
        </w:rPr>
        <w:t>nlace de las convenciones relacionada</w:t>
      </w:r>
      <w:r w:rsidR="007C5A1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s con la </w:t>
      </w:r>
      <w:r w:rsidR="00FB0E4C" w:rsidRPr="005058BC">
        <w:rPr>
          <w:rFonts w:asciiTheme="minorHAnsi" w:hAnsiTheme="minorHAnsi"/>
          <w:noProof/>
          <w:sz w:val="22"/>
          <w:szCs w:val="22"/>
          <w:lang w:val="es-ES"/>
        </w:rPr>
        <w:t>diversidad biológica</w:t>
      </w:r>
      <w:r w:rsidR="007C5A1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que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movilice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los marcos pertinentes, tales como la Plataforma</w:t>
      </w:r>
      <w:r w:rsidR="007C5A16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Intergubernamental Científico-normativa sobre Diversidad Biológica y Servicios de los Ecosistemas </w:t>
      </w:r>
      <w:r w:rsidR="00E05B6F" w:rsidRPr="005058BC">
        <w:rPr>
          <w:rFonts w:asciiTheme="minorHAnsi" w:hAnsiTheme="minorHAnsi"/>
          <w:noProof/>
          <w:sz w:val="22"/>
          <w:szCs w:val="22"/>
          <w:lang w:val="es-ES"/>
        </w:rPr>
        <w:t>(IPBES)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E05B6F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>par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a mejorar la conservación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el uso racional de los humedales polares y subpolares;</w:t>
      </w:r>
    </w:p>
    <w:p w14:paraId="263D6852" w14:textId="77777777" w:rsidR="00E05B6F" w:rsidRPr="005058BC" w:rsidRDefault="00E05B6F" w:rsidP="00381363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557C1DCA" w14:textId="5237B515" w:rsidR="00B51823" w:rsidRPr="005058BC" w:rsidRDefault="00254B03" w:rsidP="00F00367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  <w:lang w:val="es-ES"/>
        </w:rPr>
        <w:t>[</w:t>
      </w:r>
      <w:bookmarkStart w:id="0" w:name="_GoBack"/>
      <w:bookmarkEnd w:id="0"/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>35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B51823" w:rsidRPr="005058BC">
        <w:rPr>
          <w:rFonts w:asciiTheme="minorHAnsi" w:hAnsiTheme="minorHAnsi"/>
          <w:noProof/>
          <w:sz w:val="22"/>
          <w:szCs w:val="22"/>
          <w:lang w:val="es-ES"/>
        </w:rPr>
        <w:t>INVIT</w:t>
      </w:r>
      <w:r w:rsidR="00381953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a la Secretaría 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establecer contactos informales con la Secretaría del Tratado Antártico y los Estados Miembros a fin de encontrar formas de intercambiar información sobre los humedales de la región y posibles </w:t>
      </w:r>
      <w:r w:rsidR="00264812" w:rsidRPr="005058BC">
        <w:rPr>
          <w:rFonts w:asciiTheme="minorHAnsi" w:hAnsiTheme="minorHAnsi"/>
          <w:noProof/>
          <w:sz w:val="22"/>
          <w:szCs w:val="22"/>
          <w:lang w:val="es-ES"/>
        </w:rPr>
        <w:t>formas</w:t>
      </w:r>
      <w:r w:rsidR="00F00367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de mejorar el estado del hábitat y las especies de los humedales;]</w:t>
      </w:r>
    </w:p>
    <w:p w14:paraId="1BFB7C18" w14:textId="77777777" w:rsidR="00F00367" w:rsidRPr="005058BC" w:rsidRDefault="00F00367" w:rsidP="00F00367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42F7410E" w14:textId="15A5ED26" w:rsidR="007B08D0" w:rsidRPr="005058BC" w:rsidRDefault="00F00367" w:rsidP="00381363">
      <w:pPr>
        <w:ind w:left="425" w:hanging="425"/>
        <w:rPr>
          <w:rFonts w:asciiTheme="minorHAnsi" w:hAnsiTheme="minorHAnsi" w:cs="Arial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lastRenderedPageBreak/>
        <w:t>36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INVITA a la Secretarí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a crear un grupo de trabajo </w:t>
      </w:r>
      <w:r w:rsidR="00E82E6D" w:rsidRPr="005058BC">
        <w:rPr>
          <w:rFonts w:asciiTheme="minorHAnsi" w:hAnsiTheme="minorHAnsi"/>
          <w:i/>
          <w:noProof/>
          <w:sz w:val="22"/>
          <w:szCs w:val="22"/>
          <w:lang w:val="es-ES"/>
        </w:rPr>
        <w:t>ad hoc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integrado por </w:t>
      </w:r>
      <w:r w:rsidR="00B51823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Ramsar, </w:t>
      </w:r>
      <w:r w:rsidR="00381953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la CMNUCC, el CDB, </w:t>
      </w:r>
      <w:r w:rsidR="000D087C" w:rsidRPr="005058BC">
        <w:rPr>
          <w:rFonts w:asciiTheme="minorHAnsi" w:hAnsiTheme="minorHAnsi"/>
          <w:noProof/>
          <w:sz w:val="22"/>
          <w:szCs w:val="22"/>
          <w:lang w:val="es-ES"/>
        </w:rPr>
        <w:t>la IPBES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FA7D1E" w:rsidRPr="00FA7D1E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A7D1E" w:rsidRPr="005058BC">
        <w:rPr>
          <w:rFonts w:asciiTheme="minorHAnsi" w:hAnsiTheme="minorHAnsi"/>
          <w:noProof/>
          <w:sz w:val="22"/>
          <w:szCs w:val="22"/>
          <w:lang w:val="es-ES"/>
        </w:rPr>
        <w:t>el Acuerdo sobre la conservación de las aves acuáticas migratorias euroasiáticas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 xml:space="preserve"> de l</w:t>
      </w:r>
      <w:r w:rsidR="000D087C" w:rsidRPr="005058BC">
        <w:rPr>
          <w:rFonts w:asciiTheme="minorHAnsi" w:hAnsiTheme="minorHAnsi"/>
          <w:noProof/>
          <w:sz w:val="22"/>
          <w:szCs w:val="22"/>
          <w:lang w:val="es-ES"/>
        </w:rPr>
        <w:t>a Convención sobre la conservación de las especies migratorias de animales silvestres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0D087C" w:rsidRPr="005058BC">
        <w:rPr>
          <w:rFonts w:asciiTheme="minorHAnsi" w:hAnsiTheme="minorHAnsi"/>
          <w:noProof/>
          <w:sz w:val="22"/>
          <w:szCs w:val="22"/>
          <w:lang w:val="es-ES"/>
        </w:rPr>
        <w:t>(</w:t>
      </w:r>
      <w:r w:rsidR="00B51823" w:rsidRPr="005058BC">
        <w:rPr>
          <w:rFonts w:asciiTheme="minorHAnsi" w:hAnsiTheme="minorHAnsi"/>
          <w:noProof/>
          <w:sz w:val="22"/>
          <w:szCs w:val="22"/>
          <w:lang w:val="es-ES"/>
        </w:rPr>
        <w:t>AEWA</w:t>
      </w:r>
      <w:r w:rsidR="00FA7D1E">
        <w:rPr>
          <w:rFonts w:asciiTheme="minorHAnsi" w:hAnsiTheme="minorHAnsi"/>
          <w:noProof/>
          <w:sz w:val="22"/>
          <w:szCs w:val="22"/>
          <w:lang w:val="es-ES"/>
        </w:rPr>
        <w:t>/CMS</w:t>
      </w:r>
      <w:r w:rsidR="000D087C" w:rsidRPr="005058BC">
        <w:rPr>
          <w:rFonts w:asciiTheme="minorHAnsi" w:hAnsiTheme="minorHAnsi"/>
          <w:noProof/>
          <w:sz w:val="22"/>
          <w:szCs w:val="22"/>
          <w:lang w:val="es-ES"/>
        </w:rPr>
        <w:t>), el Consejo Ártico y el CAFF,</w:t>
      </w:r>
      <w:r w:rsidR="00B51823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>y el Convenio de Berna</w:t>
      </w:r>
      <w:r w:rsidR="000D087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o Convenio relativo a la conservación de la vida silvestre y del medio natural en Europa,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para trabajar sobre los hu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med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ales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polares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 subpolares</w:t>
      </w:r>
      <w:r w:rsidR="0086758A" w:rsidRPr="005058BC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0D087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y</w:t>
      </w:r>
      <w:r w:rsidR="00B51823" w:rsidRPr="005058BC">
        <w:rPr>
          <w:rFonts w:asciiTheme="minorHAnsi" w:hAnsiTheme="minorHAnsi" w:cs="Arial"/>
          <w:noProof/>
          <w:sz w:val="22"/>
          <w:szCs w:val="22"/>
          <w:lang w:val="es-ES"/>
        </w:rPr>
        <w:br/>
      </w:r>
    </w:p>
    <w:p w14:paraId="0F3B7B48" w14:textId="5FA93D3E" w:rsidR="007B08D0" w:rsidRPr="00690B8E" w:rsidRDefault="00F73BFF" w:rsidP="00381363">
      <w:pPr>
        <w:keepNext/>
        <w:ind w:right="16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690B8E">
        <w:rPr>
          <w:rFonts w:asciiTheme="minorHAnsi" w:hAnsiTheme="minorHAnsi"/>
          <w:noProof/>
          <w:sz w:val="22"/>
          <w:szCs w:val="22"/>
          <w:u w:val="single"/>
          <w:lang w:val="es-ES"/>
        </w:rPr>
        <w:t>Seguimiento</w:t>
      </w:r>
    </w:p>
    <w:p w14:paraId="6355BE20" w14:textId="77777777" w:rsidR="007B08D0" w:rsidRPr="005058BC" w:rsidRDefault="007B08D0" w:rsidP="00381363">
      <w:pPr>
        <w:keepNext/>
        <w:rPr>
          <w:rFonts w:asciiTheme="minorHAnsi" w:hAnsiTheme="minorHAnsi"/>
          <w:noProof/>
          <w:color w:val="000000"/>
          <w:sz w:val="22"/>
          <w:szCs w:val="22"/>
          <w:lang w:val="es-ES"/>
        </w:rPr>
      </w:pPr>
    </w:p>
    <w:p w14:paraId="05A98E17" w14:textId="052D2FEE" w:rsidR="00225E7C" w:rsidRPr="005058BC" w:rsidRDefault="00BA6F71" w:rsidP="00381363">
      <w:pPr>
        <w:keepNext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5058BC">
        <w:rPr>
          <w:rFonts w:asciiTheme="minorHAnsi" w:hAnsiTheme="minorHAnsi"/>
          <w:noProof/>
          <w:sz w:val="22"/>
          <w:szCs w:val="22"/>
          <w:lang w:val="es-ES"/>
        </w:rPr>
        <w:t>37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381363" w:rsidRPr="005058BC">
        <w:rPr>
          <w:rFonts w:asciiTheme="minorHAnsi" w:hAnsiTheme="minorHAnsi"/>
          <w:noProof/>
          <w:sz w:val="22"/>
          <w:szCs w:val="22"/>
          <w:lang w:val="es-ES"/>
        </w:rPr>
        <w:tab/>
      </w:r>
      <w:r w:rsidR="00AD565C" w:rsidRPr="005058BC">
        <w:rPr>
          <w:rFonts w:asciiTheme="minorHAnsi" w:hAnsiTheme="minorHAnsi"/>
          <w:noProof/>
          <w:sz w:val="22"/>
          <w:szCs w:val="22"/>
          <w:lang w:val="es-ES"/>
        </w:rPr>
        <w:t>EXHORTA</w:t>
      </w:r>
      <w:r w:rsidR="00225E7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a las </w:t>
      </w:r>
      <w:r w:rsidR="00310899" w:rsidRPr="005058BC">
        <w:rPr>
          <w:rFonts w:asciiTheme="minorHAnsi" w:hAnsiTheme="minorHAnsi"/>
          <w:noProof/>
          <w:sz w:val="22"/>
          <w:szCs w:val="22"/>
          <w:lang w:val="es-ES"/>
        </w:rPr>
        <w:t>Partes Contratantes</w:t>
      </w:r>
      <w:r w:rsidR="00381953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cuestión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con el apoyo del Grupo de Examen Científico y Técnico y la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Secretaría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en cooperación con otros </w:t>
      </w:r>
      <w:r w:rsidRPr="005058BC">
        <w:rPr>
          <w:rFonts w:asciiTheme="minorHAnsi" w:hAnsiTheme="minorHAnsi"/>
          <w:noProof/>
          <w:sz w:val="22"/>
          <w:szCs w:val="22"/>
          <w:lang w:val="es-ES"/>
        </w:rPr>
        <w:t>acuerdos multilaterales sobre el medio ambiente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975DFD" w:rsidRPr="005058BC">
        <w:rPr>
          <w:rFonts w:asciiTheme="minorHAnsi" w:hAnsiTheme="minorHAnsi"/>
          <w:noProof/>
          <w:sz w:val="22"/>
          <w:szCs w:val="22"/>
          <w:lang w:val="es-ES"/>
        </w:rPr>
        <w:t>iniciativas regionales de Ramsar, organizaciones regionales, organizaciones internacionales asociadas y otros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, a </w:t>
      </w:r>
      <w:r w:rsidR="00381953" w:rsidRPr="005058BC">
        <w:rPr>
          <w:rFonts w:asciiTheme="minorHAnsi" w:hAnsiTheme="minorHAnsi"/>
          <w:noProof/>
          <w:sz w:val="22"/>
          <w:szCs w:val="22"/>
          <w:lang w:val="es-ES"/>
        </w:rPr>
        <w:t>realizar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una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evaluación de los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humedales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polares y a presentar informes sobre los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resultados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(uno para cada hemisferio ta</w:t>
      </w:r>
      <w:r w:rsidR="00381953" w:rsidRPr="005058BC">
        <w:rPr>
          <w:rFonts w:asciiTheme="minorHAnsi" w:hAnsiTheme="minorHAnsi"/>
          <w:noProof/>
          <w:sz w:val="22"/>
          <w:szCs w:val="22"/>
          <w:lang w:val="es-ES"/>
        </w:rPr>
        <w:t>mbién puede ser aceptable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) en la </w:t>
      </w:r>
      <w:r w:rsidR="00225E7C" w:rsidRPr="005058BC">
        <w:rPr>
          <w:rFonts w:asciiTheme="minorHAnsi" w:hAnsiTheme="minorHAnsi"/>
          <w:noProof/>
          <w:sz w:val="22"/>
          <w:szCs w:val="22"/>
          <w:lang w:val="es-ES"/>
        </w:rPr>
        <w:t>COP15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en 2024. Se podrán presentar informes </w:t>
      </w:r>
      <w:r w:rsidR="00C5116A" w:rsidRPr="005058BC">
        <w:rPr>
          <w:rFonts w:asciiTheme="minorHAnsi" w:hAnsiTheme="minorHAnsi"/>
          <w:noProof/>
          <w:sz w:val="22"/>
          <w:szCs w:val="22"/>
          <w:lang w:val="es-ES"/>
        </w:rPr>
        <w:t>breves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sobre </w:t>
      </w:r>
      <w:r w:rsidR="00F73BFF" w:rsidRPr="005058BC">
        <w:rPr>
          <w:rFonts w:asciiTheme="minorHAnsi" w:hAnsiTheme="minorHAnsi"/>
          <w:noProof/>
          <w:sz w:val="22"/>
          <w:szCs w:val="22"/>
          <w:lang w:val="es-ES"/>
        </w:rPr>
        <w:t>los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avances realizados en la </w:t>
      </w:r>
      <w:r w:rsidR="00225E7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COP14 </w:t>
      </w:r>
      <w:r w:rsidR="00E82E6D" w:rsidRPr="005058BC">
        <w:rPr>
          <w:rFonts w:asciiTheme="minorHAnsi" w:hAnsiTheme="minorHAnsi"/>
          <w:noProof/>
          <w:sz w:val="22"/>
          <w:szCs w:val="22"/>
          <w:lang w:val="es-ES"/>
        </w:rPr>
        <w:t>en</w:t>
      </w:r>
      <w:r w:rsidR="00225E7C" w:rsidRPr="005058BC">
        <w:rPr>
          <w:rFonts w:asciiTheme="minorHAnsi" w:hAnsiTheme="minorHAnsi"/>
          <w:noProof/>
          <w:sz w:val="22"/>
          <w:szCs w:val="22"/>
          <w:lang w:val="es-ES"/>
        </w:rPr>
        <w:t xml:space="preserve"> 2021.</w:t>
      </w:r>
    </w:p>
    <w:p w14:paraId="22E33A8D" w14:textId="77777777" w:rsidR="007B08D0" w:rsidRPr="005058BC" w:rsidRDefault="007B08D0" w:rsidP="00B51823">
      <w:pPr>
        <w:rPr>
          <w:rFonts w:asciiTheme="minorHAnsi" w:hAnsiTheme="minorHAnsi" w:cs="Arial"/>
          <w:noProof/>
          <w:lang w:val="es-ES"/>
        </w:rPr>
      </w:pPr>
    </w:p>
    <w:sectPr w:rsidR="007B08D0" w:rsidRPr="005058BC" w:rsidSect="006B7BD9">
      <w:footerReference w:type="default" r:id="rId10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BF4EA" w14:textId="77777777" w:rsidR="005A6C72" w:rsidRDefault="005A6C72">
      <w:r>
        <w:separator/>
      </w:r>
    </w:p>
  </w:endnote>
  <w:endnote w:type="continuationSeparator" w:id="0">
    <w:p w14:paraId="50477473" w14:textId="77777777" w:rsidR="005A6C72" w:rsidRDefault="005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6299" w14:textId="3EC0ED25" w:rsidR="00FB0E4C" w:rsidRPr="00C767F8" w:rsidRDefault="00E565F2" w:rsidP="006B7BD9">
    <w:pPr>
      <w:pStyle w:val="Footer"/>
      <w:tabs>
        <w:tab w:val="clear" w:pos="8640"/>
        <w:tab w:val="right" w:pos="9027"/>
      </w:tabs>
      <w:rPr>
        <w:rFonts w:asciiTheme="minorHAnsi" w:hAnsiTheme="minorHAnsi"/>
        <w:b/>
        <w:noProof/>
        <w:sz w:val="20"/>
        <w:szCs w:val="20"/>
        <w:lang w:val="es-ES"/>
      </w:rPr>
    </w:pPr>
    <w:r w:rsidRPr="00E565F2">
      <w:rPr>
        <w:rFonts w:asciiTheme="minorHAnsi" w:hAnsiTheme="minorHAnsi"/>
        <w:noProof/>
        <w:sz w:val="20"/>
        <w:szCs w:val="20"/>
        <w:lang w:val="es-ES"/>
      </w:rPr>
      <w:t>Ramsar COP13 Doc.18.25</w:t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tab/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tab/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tab/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fldChar w:fldCharType="begin"/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instrText xml:space="preserve"> PAGE   \* MERGEFORMAT </w:instrText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fldChar w:fldCharType="separate"/>
    </w:r>
    <w:r w:rsidR="00254B03">
      <w:rPr>
        <w:rFonts w:asciiTheme="minorHAnsi" w:hAnsiTheme="minorHAnsi"/>
        <w:noProof/>
        <w:sz w:val="20"/>
        <w:szCs w:val="20"/>
        <w:lang w:val="es-ES"/>
      </w:rPr>
      <w:t>5</w:t>
    </w:r>
    <w:r w:rsidR="00FB0E4C" w:rsidRPr="00C767F8">
      <w:rPr>
        <w:rFonts w:asciiTheme="minorHAnsi" w:hAnsiTheme="minorHAnsi"/>
        <w:noProof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CBA30" w14:textId="77777777" w:rsidR="005A6C72" w:rsidRDefault="005A6C72">
      <w:r>
        <w:separator/>
      </w:r>
    </w:p>
  </w:footnote>
  <w:footnote w:type="continuationSeparator" w:id="0">
    <w:p w14:paraId="51B9DDC3" w14:textId="77777777" w:rsidR="005A6C72" w:rsidRDefault="005A6C72">
      <w:r>
        <w:continuationSeparator/>
      </w:r>
    </w:p>
  </w:footnote>
  <w:footnote w:id="1">
    <w:p w14:paraId="5715DB2D" w14:textId="77777777" w:rsidR="009D4F34" w:rsidRPr="006B30AF" w:rsidRDefault="009D4F34" w:rsidP="009D4F34">
      <w:pPr>
        <w:pStyle w:val="FootnoteText"/>
        <w:rPr>
          <w:rFonts w:asciiTheme="minorHAnsi" w:hAnsiTheme="minorHAnsi"/>
        </w:rPr>
      </w:pPr>
      <w:r w:rsidRPr="006B30AF">
        <w:rPr>
          <w:rStyle w:val="FootnoteReference"/>
          <w:rFonts w:asciiTheme="minorHAnsi" w:hAnsiTheme="minorHAnsi"/>
        </w:rPr>
        <w:footnoteRef/>
      </w:r>
      <w:r w:rsidRPr="00892A55">
        <w:rPr>
          <w:rFonts w:asciiTheme="minorHAnsi" w:hAnsiTheme="minorHAnsi"/>
          <w:lang w:val="es-ES"/>
        </w:rPr>
        <w:t xml:space="preserve"> Según Peel, M. C.; Finlayson, B. L.; McMahon, T. A. (2007). </w:t>
      </w:r>
      <w:r w:rsidRPr="006B30AF">
        <w:rPr>
          <w:rFonts w:asciiTheme="minorHAnsi" w:hAnsiTheme="minorHAnsi"/>
        </w:rPr>
        <w:t>"Updated world map of the Köppen–Geiger climate classification". Hydrol. Earth Syst. Sci. 11: 1633–1644. doi:10.5194/hess-11-1633-2007. ISSN 1027-5606.</w:t>
      </w:r>
    </w:p>
  </w:footnote>
  <w:footnote w:id="2">
    <w:p w14:paraId="341C7DDB" w14:textId="0CF39B24" w:rsidR="00FB0E4C" w:rsidRPr="006B30AF" w:rsidRDefault="00FB0E4C" w:rsidP="00104831">
      <w:pPr>
        <w:pStyle w:val="FootnoteText"/>
        <w:rPr>
          <w:rFonts w:asciiTheme="minorHAnsi" w:hAnsiTheme="minorHAnsi"/>
        </w:rPr>
      </w:pPr>
      <w:r w:rsidRPr="006B30AF">
        <w:rPr>
          <w:rStyle w:val="FootnoteReference"/>
          <w:rFonts w:asciiTheme="minorHAnsi" w:hAnsiTheme="minorHAnsi"/>
        </w:rPr>
        <w:footnoteRef/>
      </w:r>
      <w:r w:rsidRPr="006B30AF">
        <w:rPr>
          <w:rFonts w:asciiTheme="minorHAnsi" w:hAnsiTheme="minorHAnsi"/>
        </w:rPr>
        <w:t xml:space="preserve"> AMAP/CAFF/SDGW. </w:t>
      </w:r>
      <w:r w:rsidRPr="00E565F2">
        <w:rPr>
          <w:rFonts w:asciiTheme="minorHAnsi" w:hAnsiTheme="minorHAnsi"/>
          <w:lang w:val="es-ES"/>
        </w:rPr>
        <w:t>Identification of Arctic marine areas of heightened ecological and cultural significance</w:t>
      </w:r>
      <w:r w:rsidR="00AF7A5D" w:rsidRPr="00E565F2">
        <w:rPr>
          <w:rFonts w:asciiTheme="minorHAnsi" w:hAnsiTheme="minorHAnsi"/>
          <w:lang w:val="es-ES"/>
        </w:rPr>
        <w:t xml:space="preserve"> [</w:t>
      </w:r>
      <w:r w:rsidR="00AF7A5D" w:rsidRPr="00AF7A5D">
        <w:rPr>
          <w:rFonts w:asciiTheme="minorHAnsi" w:hAnsiTheme="minorHAnsi"/>
          <w:lang w:val="es-ES"/>
        </w:rPr>
        <w:t>Identificación de áreas marinas de especial importancia ecológica y cultural en el Ártico</w:t>
      </w:r>
      <w:r w:rsidR="00AF7A5D" w:rsidRPr="00E565F2">
        <w:rPr>
          <w:rFonts w:asciiTheme="minorHAnsi" w:hAnsiTheme="minorHAnsi"/>
          <w:lang w:val="es-ES"/>
        </w:rPr>
        <w:t>]</w:t>
      </w:r>
      <w:r w:rsidRPr="00E565F2">
        <w:rPr>
          <w:rFonts w:asciiTheme="minorHAnsi" w:hAnsiTheme="minorHAnsi"/>
          <w:lang w:val="es-ES"/>
        </w:rPr>
        <w:t xml:space="preserve">. </w:t>
      </w:r>
      <w:r w:rsidRPr="006B30AF">
        <w:rPr>
          <w:rFonts w:asciiTheme="minorHAnsi" w:hAnsiTheme="minorHAnsi"/>
        </w:rPr>
        <w:t>Arctic Marine Shipping Assessment (AMSA) IIc.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C2830C"/>
    <w:lvl w:ilvl="0">
      <w:numFmt w:val="bullet"/>
      <w:lvlText w:val="*"/>
      <w:lvlJc w:val="left"/>
    </w:lvl>
  </w:abstractNum>
  <w:abstractNum w:abstractNumId="1">
    <w:nsid w:val="021F01F6"/>
    <w:multiLevelType w:val="hybridMultilevel"/>
    <w:tmpl w:val="C1D462AA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9690B2DC">
      <w:start w:val="1"/>
      <w:numFmt w:val="bullet"/>
      <w:lvlText w:val=""/>
      <w:lvlJc w:val="left"/>
      <w:pPr>
        <w:tabs>
          <w:tab w:val="num" w:pos="1626"/>
        </w:tabs>
        <w:ind w:left="224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882304"/>
    <w:multiLevelType w:val="multilevel"/>
    <w:tmpl w:val="D1C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76A82"/>
    <w:multiLevelType w:val="hybridMultilevel"/>
    <w:tmpl w:val="D6C00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D6D18"/>
    <w:multiLevelType w:val="hybridMultilevel"/>
    <w:tmpl w:val="1C007A06"/>
    <w:lvl w:ilvl="0" w:tplc="0F4C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72017"/>
    <w:multiLevelType w:val="hybridMultilevel"/>
    <w:tmpl w:val="98E2A084"/>
    <w:lvl w:ilvl="0" w:tplc="7FDA43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9633F5E"/>
    <w:multiLevelType w:val="hybridMultilevel"/>
    <w:tmpl w:val="FF9A5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73B47"/>
    <w:multiLevelType w:val="multilevel"/>
    <w:tmpl w:val="008C5090"/>
    <w:lvl w:ilvl="0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DB4ECF"/>
    <w:multiLevelType w:val="hybridMultilevel"/>
    <w:tmpl w:val="73BC70DA"/>
    <w:lvl w:ilvl="0" w:tplc="3808E3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AA20A4"/>
    <w:multiLevelType w:val="hybridMultilevel"/>
    <w:tmpl w:val="D14E360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B43B3"/>
    <w:multiLevelType w:val="hybridMultilevel"/>
    <w:tmpl w:val="BFD8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0F3E2E"/>
    <w:multiLevelType w:val="hybridMultilevel"/>
    <w:tmpl w:val="5FE41F6C"/>
    <w:lvl w:ilvl="0" w:tplc="99C0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0425F1D"/>
    <w:multiLevelType w:val="hybridMultilevel"/>
    <w:tmpl w:val="56906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A5A66"/>
    <w:multiLevelType w:val="multilevel"/>
    <w:tmpl w:val="6D6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793605"/>
    <w:multiLevelType w:val="hybridMultilevel"/>
    <w:tmpl w:val="3FA4C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D62A5F"/>
    <w:multiLevelType w:val="hybridMultilevel"/>
    <w:tmpl w:val="5A109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153135"/>
    <w:multiLevelType w:val="hybridMultilevel"/>
    <w:tmpl w:val="15E8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274B9C"/>
    <w:multiLevelType w:val="hybridMultilevel"/>
    <w:tmpl w:val="E2602EA4"/>
    <w:lvl w:ilvl="0" w:tplc="9FCCCD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8A301A"/>
    <w:multiLevelType w:val="multilevel"/>
    <w:tmpl w:val="092C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266E19"/>
    <w:multiLevelType w:val="hybridMultilevel"/>
    <w:tmpl w:val="2788E4B4"/>
    <w:lvl w:ilvl="0" w:tplc="EC40EA3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5D117D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32B17241"/>
    <w:multiLevelType w:val="hybridMultilevel"/>
    <w:tmpl w:val="F360459E"/>
    <w:lvl w:ilvl="0" w:tplc="1788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ED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87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4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8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0B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6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84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F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4EE5EFB"/>
    <w:multiLevelType w:val="multilevel"/>
    <w:tmpl w:val="7AB26192"/>
    <w:lvl w:ilvl="0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65C1E"/>
    <w:multiLevelType w:val="hybridMultilevel"/>
    <w:tmpl w:val="7092F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D40356"/>
    <w:multiLevelType w:val="hybridMultilevel"/>
    <w:tmpl w:val="5E102530"/>
    <w:lvl w:ilvl="0" w:tplc="D952B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6F6438"/>
    <w:multiLevelType w:val="hybridMultilevel"/>
    <w:tmpl w:val="EB1E9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913D4"/>
    <w:multiLevelType w:val="hybridMultilevel"/>
    <w:tmpl w:val="9CA271DA"/>
    <w:lvl w:ilvl="0" w:tplc="F4C85F3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45213600"/>
    <w:multiLevelType w:val="hybridMultilevel"/>
    <w:tmpl w:val="DE947E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C3AF0"/>
    <w:multiLevelType w:val="multilevel"/>
    <w:tmpl w:val="2788E4B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73599F"/>
    <w:multiLevelType w:val="hybridMultilevel"/>
    <w:tmpl w:val="008C5090"/>
    <w:lvl w:ilvl="0" w:tplc="590C9E6E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611DFD"/>
    <w:multiLevelType w:val="multilevel"/>
    <w:tmpl w:val="FF9A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9236CB"/>
    <w:multiLevelType w:val="hybridMultilevel"/>
    <w:tmpl w:val="6D4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425E3"/>
    <w:multiLevelType w:val="hybridMultilevel"/>
    <w:tmpl w:val="6608CAB4"/>
    <w:lvl w:ilvl="0" w:tplc="B63A442E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A36D90"/>
    <w:multiLevelType w:val="hybridMultilevel"/>
    <w:tmpl w:val="E7E25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9533D0"/>
    <w:multiLevelType w:val="hybridMultilevel"/>
    <w:tmpl w:val="FCBC4FBC"/>
    <w:lvl w:ilvl="0" w:tplc="395860DA">
      <w:start w:val="1"/>
      <w:numFmt w:val="bullet"/>
      <w:lvlText w:val="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5CB0AD2"/>
    <w:multiLevelType w:val="multilevel"/>
    <w:tmpl w:val="7D5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640DC1"/>
    <w:multiLevelType w:val="hybridMultilevel"/>
    <w:tmpl w:val="E910B98A"/>
    <w:lvl w:ilvl="0" w:tplc="24B8FFEE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>
    <w:nsid w:val="5CC421D1"/>
    <w:multiLevelType w:val="multilevel"/>
    <w:tmpl w:val="1A8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35CF7"/>
    <w:multiLevelType w:val="hybridMultilevel"/>
    <w:tmpl w:val="5D9A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37394"/>
    <w:multiLevelType w:val="hybridMultilevel"/>
    <w:tmpl w:val="9CF27EC2"/>
    <w:lvl w:ilvl="0" w:tplc="E9E6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A740CE"/>
    <w:multiLevelType w:val="hybridMultilevel"/>
    <w:tmpl w:val="E0DCD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117A4E"/>
    <w:multiLevelType w:val="multilevel"/>
    <w:tmpl w:val="CC2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902DEC"/>
    <w:multiLevelType w:val="hybridMultilevel"/>
    <w:tmpl w:val="940E5502"/>
    <w:lvl w:ilvl="0" w:tplc="F1DC1C52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59F22D9"/>
    <w:multiLevelType w:val="hybridMultilevel"/>
    <w:tmpl w:val="43F4784C"/>
    <w:lvl w:ilvl="0" w:tplc="285A7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AE068F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>
    <w:nsid w:val="796320EC"/>
    <w:multiLevelType w:val="hybridMultilevel"/>
    <w:tmpl w:val="7AB26192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8">
    <w:nsid w:val="7F053C1F"/>
    <w:multiLevelType w:val="hybridMultilevel"/>
    <w:tmpl w:val="B2445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E2905"/>
    <w:multiLevelType w:val="hybridMultilevel"/>
    <w:tmpl w:val="F3CEE7D8"/>
    <w:lvl w:ilvl="0" w:tplc="F1DC1C52">
      <w:start w:val="2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6"/>
  </w:num>
  <w:num w:numId="4">
    <w:abstractNumId w:val="16"/>
  </w:num>
  <w:num w:numId="5">
    <w:abstractNumId w:val="4"/>
  </w:num>
  <w:num w:numId="6">
    <w:abstractNumId w:val="5"/>
  </w:num>
  <w:num w:numId="7">
    <w:abstractNumId w:val="6"/>
  </w:num>
  <w:num w:numId="8">
    <w:abstractNumId w:val="31"/>
  </w:num>
  <w:num w:numId="9">
    <w:abstractNumId w:val="17"/>
  </w:num>
  <w:num w:numId="10">
    <w:abstractNumId w:val="46"/>
  </w:num>
  <w:num w:numId="11">
    <w:abstractNumId w:val="27"/>
  </w:num>
  <w:num w:numId="12">
    <w:abstractNumId w:val="20"/>
  </w:num>
  <w:num w:numId="13">
    <w:abstractNumId w:val="19"/>
  </w:num>
  <w:num w:numId="14">
    <w:abstractNumId w:val="29"/>
  </w:num>
  <w:num w:numId="15">
    <w:abstractNumId w:val="30"/>
  </w:num>
  <w:num w:numId="16">
    <w:abstractNumId w:val="7"/>
  </w:num>
  <w:num w:numId="17">
    <w:abstractNumId w:val="33"/>
  </w:num>
  <w:num w:numId="18">
    <w:abstractNumId w:val="10"/>
  </w:num>
  <w:num w:numId="19">
    <w:abstractNumId w:val="42"/>
  </w:num>
  <w:num w:numId="20">
    <w:abstractNumId w:val="3"/>
  </w:num>
  <w:num w:numId="21">
    <w:abstractNumId w:val="15"/>
  </w:num>
  <w:num w:numId="22">
    <w:abstractNumId w:val="12"/>
  </w:num>
  <w:num w:numId="23">
    <w:abstractNumId w:val="14"/>
  </w:num>
  <w:num w:numId="24">
    <w:abstractNumId w:val="41"/>
  </w:num>
  <w:num w:numId="25">
    <w:abstractNumId w:val="49"/>
  </w:num>
  <w:num w:numId="26">
    <w:abstractNumId w:val="25"/>
  </w:num>
  <w:num w:numId="27">
    <w:abstractNumId w:val="45"/>
  </w:num>
  <w:num w:numId="28">
    <w:abstractNumId w:val="44"/>
  </w:num>
  <w:num w:numId="29">
    <w:abstractNumId w:val="18"/>
  </w:num>
  <w:num w:numId="30">
    <w:abstractNumId w:val="38"/>
  </w:num>
  <w:num w:numId="31">
    <w:abstractNumId w:val="35"/>
  </w:num>
  <w:num w:numId="32">
    <w:abstractNumId w:val="24"/>
  </w:num>
  <w:num w:numId="33">
    <w:abstractNumId w:val="34"/>
  </w:num>
  <w:num w:numId="34">
    <w:abstractNumId w:val="47"/>
  </w:num>
  <w:num w:numId="35">
    <w:abstractNumId w:val="22"/>
  </w:num>
  <w:num w:numId="36">
    <w:abstractNumId w:val="1"/>
  </w:num>
  <w:num w:numId="37">
    <w:abstractNumId w:val="2"/>
  </w:num>
  <w:num w:numId="38">
    <w:abstractNumId w:val="43"/>
  </w:num>
  <w:num w:numId="39">
    <w:abstractNumId w:val="13"/>
  </w:num>
  <w:num w:numId="40">
    <w:abstractNumId w:val="36"/>
  </w:num>
  <w:num w:numId="41">
    <w:abstractNumId w:val="32"/>
  </w:num>
  <w:num w:numId="42">
    <w:abstractNumId w:val="40"/>
  </w:num>
  <w:num w:numId="43">
    <w:abstractNumId w:val="23"/>
  </w:num>
  <w:num w:numId="44">
    <w:abstractNumId w:val="37"/>
  </w:num>
  <w:num w:numId="45">
    <w:abstractNumId w:val="21"/>
  </w:num>
  <w:num w:numId="46">
    <w:abstractNumId w:val="28"/>
  </w:num>
  <w:num w:numId="47">
    <w:abstractNumId w:val="9"/>
  </w:num>
  <w:num w:numId="48">
    <w:abstractNumId w:val="39"/>
  </w:num>
  <w:num w:numId="49">
    <w:abstractNumId w:val="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4"/>
    <w:rsid w:val="000049C5"/>
    <w:rsid w:val="000077BD"/>
    <w:rsid w:val="00010CEE"/>
    <w:rsid w:val="000150F6"/>
    <w:rsid w:val="000172A3"/>
    <w:rsid w:val="00031A06"/>
    <w:rsid w:val="00043703"/>
    <w:rsid w:val="000438F6"/>
    <w:rsid w:val="00053C52"/>
    <w:rsid w:val="000604EB"/>
    <w:rsid w:val="00060CDE"/>
    <w:rsid w:val="00061988"/>
    <w:rsid w:val="00066D82"/>
    <w:rsid w:val="00071DF7"/>
    <w:rsid w:val="00072309"/>
    <w:rsid w:val="00074CFA"/>
    <w:rsid w:val="00086194"/>
    <w:rsid w:val="000A31CA"/>
    <w:rsid w:val="000A69EE"/>
    <w:rsid w:val="000B410C"/>
    <w:rsid w:val="000C2C53"/>
    <w:rsid w:val="000C73E3"/>
    <w:rsid w:val="000D087C"/>
    <w:rsid w:val="000D123A"/>
    <w:rsid w:val="000D289A"/>
    <w:rsid w:val="000D3AF9"/>
    <w:rsid w:val="000D7274"/>
    <w:rsid w:val="000E6EDE"/>
    <w:rsid w:val="00104831"/>
    <w:rsid w:val="001244E6"/>
    <w:rsid w:val="00125542"/>
    <w:rsid w:val="00127AB7"/>
    <w:rsid w:val="00134AB9"/>
    <w:rsid w:val="00137104"/>
    <w:rsid w:val="00137854"/>
    <w:rsid w:val="00137E81"/>
    <w:rsid w:val="00154DDB"/>
    <w:rsid w:val="00155D49"/>
    <w:rsid w:val="0016638C"/>
    <w:rsid w:val="00170B3C"/>
    <w:rsid w:val="00180355"/>
    <w:rsid w:val="00180E2E"/>
    <w:rsid w:val="0018155B"/>
    <w:rsid w:val="001836AA"/>
    <w:rsid w:val="0018395C"/>
    <w:rsid w:val="001940FC"/>
    <w:rsid w:val="001A5231"/>
    <w:rsid w:val="001B077F"/>
    <w:rsid w:val="001C014C"/>
    <w:rsid w:val="001C6CDF"/>
    <w:rsid w:val="001D0111"/>
    <w:rsid w:val="001D18C2"/>
    <w:rsid w:val="001D4156"/>
    <w:rsid w:val="001D46C3"/>
    <w:rsid w:val="001E4B35"/>
    <w:rsid w:val="001E5382"/>
    <w:rsid w:val="001F2CAC"/>
    <w:rsid w:val="002024ED"/>
    <w:rsid w:val="00205AB2"/>
    <w:rsid w:val="00213950"/>
    <w:rsid w:val="002159F0"/>
    <w:rsid w:val="002238BF"/>
    <w:rsid w:val="00225E7C"/>
    <w:rsid w:val="00241105"/>
    <w:rsid w:val="002435CC"/>
    <w:rsid w:val="0025019B"/>
    <w:rsid w:val="00250B8C"/>
    <w:rsid w:val="00251A00"/>
    <w:rsid w:val="002531D3"/>
    <w:rsid w:val="00254B03"/>
    <w:rsid w:val="002555F2"/>
    <w:rsid w:val="0025631C"/>
    <w:rsid w:val="00257ED2"/>
    <w:rsid w:val="00263BB3"/>
    <w:rsid w:val="00264812"/>
    <w:rsid w:val="00265AB0"/>
    <w:rsid w:val="00274C4F"/>
    <w:rsid w:val="00276D50"/>
    <w:rsid w:val="00281BB4"/>
    <w:rsid w:val="00282D9E"/>
    <w:rsid w:val="0028320D"/>
    <w:rsid w:val="002840E0"/>
    <w:rsid w:val="00291FFD"/>
    <w:rsid w:val="002A73CE"/>
    <w:rsid w:val="002B0F5A"/>
    <w:rsid w:val="002B7EA2"/>
    <w:rsid w:val="002C24B6"/>
    <w:rsid w:val="002D52F4"/>
    <w:rsid w:val="002E2A82"/>
    <w:rsid w:val="002F1F07"/>
    <w:rsid w:val="002F28E7"/>
    <w:rsid w:val="002F63E2"/>
    <w:rsid w:val="00303E3A"/>
    <w:rsid w:val="00306414"/>
    <w:rsid w:val="00310899"/>
    <w:rsid w:val="00313619"/>
    <w:rsid w:val="00316FF0"/>
    <w:rsid w:val="00317454"/>
    <w:rsid w:val="0032203D"/>
    <w:rsid w:val="003243F2"/>
    <w:rsid w:val="00326F0D"/>
    <w:rsid w:val="00357893"/>
    <w:rsid w:val="00364873"/>
    <w:rsid w:val="00371B67"/>
    <w:rsid w:val="00372C46"/>
    <w:rsid w:val="00381363"/>
    <w:rsid w:val="00381953"/>
    <w:rsid w:val="003840A8"/>
    <w:rsid w:val="0038797F"/>
    <w:rsid w:val="00387AAC"/>
    <w:rsid w:val="00395092"/>
    <w:rsid w:val="003A5E70"/>
    <w:rsid w:val="003B09E2"/>
    <w:rsid w:val="003C4C76"/>
    <w:rsid w:val="003D00C0"/>
    <w:rsid w:val="003D36C1"/>
    <w:rsid w:val="003E2F53"/>
    <w:rsid w:val="003E5809"/>
    <w:rsid w:val="003E5EC0"/>
    <w:rsid w:val="003E5FE9"/>
    <w:rsid w:val="003E630E"/>
    <w:rsid w:val="003E68DC"/>
    <w:rsid w:val="003F6468"/>
    <w:rsid w:val="00400ECE"/>
    <w:rsid w:val="0040299C"/>
    <w:rsid w:val="00407A79"/>
    <w:rsid w:val="004125CC"/>
    <w:rsid w:val="00417B3A"/>
    <w:rsid w:val="004204F1"/>
    <w:rsid w:val="004207B4"/>
    <w:rsid w:val="004370EB"/>
    <w:rsid w:val="00440AB3"/>
    <w:rsid w:val="004411CE"/>
    <w:rsid w:val="004511FF"/>
    <w:rsid w:val="00466B24"/>
    <w:rsid w:val="00470A15"/>
    <w:rsid w:val="00470D29"/>
    <w:rsid w:val="004747E0"/>
    <w:rsid w:val="00480E5F"/>
    <w:rsid w:val="00484332"/>
    <w:rsid w:val="00496ECC"/>
    <w:rsid w:val="004A11D7"/>
    <w:rsid w:val="004A3B21"/>
    <w:rsid w:val="004E1E3E"/>
    <w:rsid w:val="004E2172"/>
    <w:rsid w:val="004E332E"/>
    <w:rsid w:val="004E74CB"/>
    <w:rsid w:val="004F054E"/>
    <w:rsid w:val="004F16AD"/>
    <w:rsid w:val="004F666A"/>
    <w:rsid w:val="00503C4F"/>
    <w:rsid w:val="005058BC"/>
    <w:rsid w:val="0050770F"/>
    <w:rsid w:val="005138C5"/>
    <w:rsid w:val="00515F4C"/>
    <w:rsid w:val="005160FD"/>
    <w:rsid w:val="0051791D"/>
    <w:rsid w:val="00524B39"/>
    <w:rsid w:val="00532F59"/>
    <w:rsid w:val="00540151"/>
    <w:rsid w:val="00541559"/>
    <w:rsid w:val="00544704"/>
    <w:rsid w:val="0054762D"/>
    <w:rsid w:val="00551AC9"/>
    <w:rsid w:val="00566BC4"/>
    <w:rsid w:val="00572336"/>
    <w:rsid w:val="00577B98"/>
    <w:rsid w:val="00584558"/>
    <w:rsid w:val="00586127"/>
    <w:rsid w:val="005A6C72"/>
    <w:rsid w:val="005B2413"/>
    <w:rsid w:val="005B2733"/>
    <w:rsid w:val="005C1A49"/>
    <w:rsid w:val="005C2CC9"/>
    <w:rsid w:val="005C51BF"/>
    <w:rsid w:val="005C7589"/>
    <w:rsid w:val="005D1CC7"/>
    <w:rsid w:val="005D7250"/>
    <w:rsid w:val="005E077C"/>
    <w:rsid w:val="005E3436"/>
    <w:rsid w:val="005E7675"/>
    <w:rsid w:val="005F4DA7"/>
    <w:rsid w:val="005F5034"/>
    <w:rsid w:val="0060176D"/>
    <w:rsid w:val="0060730A"/>
    <w:rsid w:val="0061475D"/>
    <w:rsid w:val="0061491D"/>
    <w:rsid w:val="006209B7"/>
    <w:rsid w:val="00621667"/>
    <w:rsid w:val="0062439C"/>
    <w:rsid w:val="00632EF1"/>
    <w:rsid w:val="00640AAD"/>
    <w:rsid w:val="00640DDA"/>
    <w:rsid w:val="006411B1"/>
    <w:rsid w:val="0064304D"/>
    <w:rsid w:val="00653CD1"/>
    <w:rsid w:val="00656D36"/>
    <w:rsid w:val="00664C7C"/>
    <w:rsid w:val="00670BA6"/>
    <w:rsid w:val="006712E4"/>
    <w:rsid w:val="00671788"/>
    <w:rsid w:val="00671F58"/>
    <w:rsid w:val="00673FD5"/>
    <w:rsid w:val="00687DC9"/>
    <w:rsid w:val="00687F64"/>
    <w:rsid w:val="00690B8E"/>
    <w:rsid w:val="00690ED9"/>
    <w:rsid w:val="006A5957"/>
    <w:rsid w:val="006A5B44"/>
    <w:rsid w:val="006B0D8A"/>
    <w:rsid w:val="006B1FB0"/>
    <w:rsid w:val="006B30AF"/>
    <w:rsid w:val="006B7BD9"/>
    <w:rsid w:val="006C1F85"/>
    <w:rsid w:val="006C6206"/>
    <w:rsid w:val="006D0367"/>
    <w:rsid w:val="006D3861"/>
    <w:rsid w:val="006D5696"/>
    <w:rsid w:val="006D5FFE"/>
    <w:rsid w:val="006E58AA"/>
    <w:rsid w:val="006F18C3"/>
    <w:rsid w:val="006F3F41"/>
    <w:rsid w:val="00710DCA"/>
    <w:rsid w:val="0071258C"/>
    <w:rsid w:val="00713AE8"/>
    <w:rsid w:val="00716D51"/>
    <w:rsid w:val="00717F1E"/>
    <w:rsid w:val="00725F8B"/>
    <w:rsid w:val="007311A3"/>
    <w:rsid w:val="007339E0"/>
    <w:rsid w:val="007357AF"/>
    <w:rsid w:val="00736364"/>
    <w:rsid w:val="0074193C"/>
    <w:rsid w:val="00741C02"/>
    <w:rsid w:val="007456D0"/>
    <w:rsid w:val="00756EBC"/>
    <w:rsid w:val="00762C93"/>
    <w:rsid w:val="00771619"/>
    <w:rsid w:val="0078461B"/>
    <w:rsid w:val="007876AF"/>
    <w:rsid w:val="007957B7"/>
    <w:rsid w:val="00796C99"/>
    <w:rsid w:val="007B08D0"/>
    <w:rsid w:val="007B2C2F"/>
    <w:rsid w:val="007B5A67"/>
    <w:rsid w:val="007C01F1"/>
    <w:rsid w:val="007C5A16"/>
    <w:rsid w:val="007D0497"/>
    <w:rsid w:val="007D20D0"/>
    <w:rsid w:val="007E0744"/>
    <w:rsid w:val="007F7A14"/>
    <w:rsid w:val="00805A1B"/>
    <w:rsid w:val="008104C4"/>
    <w:rsid w:val="00815A2D"/>
    <w:rsid w:val="00825F89"/>
    <w:rsid w:val="00833005"/>
    <w:rsid w:val="0083514E"/>
    <w:rsid w:val="00840043"/>
    <w:rsid w:val="008458CB"/>
    <w:rsid w:val="00847A8E"/>
    <w:rsid w:val="008521C4"/>
    <w:rsid w:val="0086349B"/>
    <w:rsid w:val="0086758A"/>
    <w:rsid w:val="00873E31"/>
    <w:rsid w:val="00877565"/>
    <w:rsid w:val="00880707"/>
    <w:rsid w:val="008811C2"/>
    <w:rsid w:val="00885EE9"/>
    <w:rsid w:val="00890B0E"/>
    <w:rsid w:val="00892A55"/>
    <w:rsid w:val="00896FF2"/>
    <w:rsid w:val="008A361D"/>
    <w:rsid w:val="008A5F07"/>
    <w:rsid w:val="008A6647"/>
    <w:rsid w:val="008B1635"/>
    <w:rsid w:val="008B2387"/>
    <w:rsid w:val="008C5D85"/>
    <w:rsid w:val="008C729C"/>
    <w:rsid w:val="008C7C20"/>
    <w:rsid w:val="008D02F5"/>
    <w:rsid w:val="008D2675"/>
    <w:rsid w:val="008E1FA0"/>
    <w:rsid w:val="008E38F7"/>
    <w:rsid w:val="008E4B77"/>
    <w:rsid w:val="008E5EEE"/>
    <w:rsid w:val="008E61D4"/>
    <w:rsid w:val="008F0DDA"/>
    <w:rsid w:val="008F18B2"/>
    <w:rsid w:val="008F4D71"/>
    <w:rsid w:val="00916E65"/>
    <w:rsid w:val="0091717D"/>
    <w:rsid w:val="00920234"/>
    <w:rsid w:val="00925BC8"/>
    <w:rsid w:val="00927D16"/>
    <w:rsid w:val="009310A7"/>
    <w:rsid w:val="00935A63"/>
    <w:rsid w:val="00943730"/>
    <w:rsid w:val="0094493E"/>
    <w:rsid w:val="0094738A"/>
    <w:rsid w:val="0095784E"/>
    <w:rsid w:val="00965AF7"/>
    <w:rsid w:val="00970F64"/>
    <w:rsid w:val="00971C87"/>
    <w:rsid w:val="00973369"/>
    <w:rsid w:val="00975DFD"/>
    <w:rsid w:val="00976999"/>
    <w:rsid w:val="0098091D"/>
    <w:rsid w:val="0098121C"/>
    <w:rsid w:val="00987D8A"/>
    <w:rsid w:val="00991192"/>
    <w:rsid w:val="009957B3"/>
    <w:rsid w:val="009A1C5C"/>
    <w:rsid w:val="009A2D49"/>
    <w:rsid w:val="009A35A0"/>
    <w:rsid w:val="009A670B"/>
    <w:rsid w:val="009B105A"/>
    <w:rsid w:val="009B38CF"/>
    <w:rsid w:val="009C1915"/>
    <w:rsid w:val="009C4095"/>
    <w:rsid w:val="009D09DE"/>
    <w:rsid w:val="009D34BF"/>
    <w:rsid w:val="009D4F34"/>
    <w:rsid w:val="009D5EF6"/>
    <w:rsid w:val="009D6507"/>
    <w:rsid w:val="009D7503"/>
    <w:rsid w:val="009E495F"/>
    <w:rsid w:val="009E507A"/>
    <w:rsid w:val="009E74C8"/>
    <w:rsid w:val="009F32F0"/>
    <w:rsid w:val="009F7B1E"/>
    <w:rsid w:val="009F7E1F"/>
    <w:rsid w:val="00A00F8C"/>
    <w:rsid w:val="00A07001"/>
    <w:rsid w:val="00A17C41"/>
    <w:rsid w:val="00A32BF5"/>
    <w:rsid w:val="00A3544D"/>
    <w:rsid w:val="00A63199"/>
    <w:rsid w:val="00A67BDE"/>
    <w:rsid w:val="00A70A06"/>
    <w:rsid w:val="00A7386C"/>
    <w:rsid w:val="00A856CD"/>
    <w:rsid w:val="00A876A8"/>
    <w:rsid w:val="00A9482B"/>
    <w:rsid w:val="00AA265D"/>
    <w:rsid w:val="00AA4421"/>
    <w:rsid w:val="00AA6DF7"/>
    <w:rsid w:val="00AC7349"/>
    <w:rsid w:val="00AD092C"/>
    <w:rsid w:val="00AD565C"/>
    <w:rsid w:val="00AE1F6F"/>
    <w:rsid w:val="00AF4156"/>
    <w:rsid w:val="00AF4850"/>
    <w:rsid w:val="00AF4D77"/>
    <w:rsid w:val="00AF7A5D"/>
    <w:rsid w:val="00B007DF"/>
    <w:rsid w:val="00B03127"/>
    <w:rsid w:val="00B125D0"/>
    <w:rsid w:val="00B1263D"/>
    <w:rsid w:val="00B16BAD"/>
    <w:rsid w:val="00B320AD"/>
    <w:rsid w:val="00B44A91"/>
    <w:rsid w:val="00B47FA0"/>
    <w:rsid w:val="00B51823"/>
    <w:rsid w:val="00B52B41"/>
    <w:rsid w:val="00B55397"/>
    <w:rsid w:val="00B6114A"/>
    <w:rsid w:val="00B62A44"/>
    <w:rsid w:val="00B66724"/>
    <w:rsid w:val="00B7102C"/>
    <w:rsid w:val="00B73353"/>
    <w:rsid w:val="00B769C5"/>
    <w:rsid w:val="00B85EAC"/>
    <w:rsid w:val="00B86F16"/>
    <w:rsid w:val="00BA00F6"/>
    <w:rsid w:val="00BA6F71"/>
    <w:rsid w:val="00BA76C1"/>
    <w:rsid w:val="00BC7C61"/>
    <w:rsid w:val="00BD3130"/>
    <w:rsid w:val="00BD6476"/>
    <w:rsid w:val="00BD7C38"/>
    <w:rsid w:val="00C033E8"/>
    <w:rsid w:val="00C165C9"/>
    <w:rsid w:val="00C20304"/>
    <w:rsid w:val="00C21AA6"/>
    <w:rsid w:val="00C31190"/>
    <w:rsid w:val="00C35C11"/>
    <w:rsid w:val="00C41169"/>
    <w:rsid w:val="00C46B80"/>
    <w:rsid w:val="00C5116A"/>
    <w:rsid w:val="00C636E2"/>
    <w:rsid w:val="00C675C6"/>
    <w:rsid w:val="00C73194"/>
    <w:rsid w:val="00C7383B"/>
    <w:rsid w:val="00C74357"/>
    <w:rsid w:val="00C767F8"/>
    <w:rsid w:val="00C80190"/>
    <w:rsid w:val="00C80857"/>
    <w:rsid w:val="00C80ED6"/>
    <w:rsid w:val="00C835FF"/>
    <w:rsid w:val="00C8465C"/>
    <w:rsid w:val="00C85E71"/>
    <w:rsid w:val="00C97D0E"/>
    <w:rsid w:val="00CA02FA"/>
    <w:rsid w:val="00CA1147"/>
    <w:rsid w:val="00CA343C"/>
    <w:rsid w:val="00CA55E1"/>
    <w:rsid w:val="00CA5665"/>
    <w:rsid w:val="00CA6A0B"/>
    <w:rsid w:val="00CB0015"/>
    <w:rsid w:val="00CC2513"/>
    <w:rsid w:val="00CC5D52"/>
    <w:rsid w:val="00CE1F66"/>
    <w:rsid w:val="00CF0ECB"/>
    <w:rsid w:val="00D066B5"/>
    <w:rsid w:val="00D15052"/>
    <w:rsid w:val="00D168B6"/>
    <w:rsid w:val="00D17786"/>
    <w:rsid w:val="00D21FDD"/>
    <w:rsid w:val="00D2216A"/>
    <w:rsid w:val="00D3007C"/>
    <w:rsid w:val="00D33758"/>
    <w:rsid w:val="00D346D2"/>
    <w:rsid w:val="00D40914"/>
    <w:rsid w:val="00D43D08"/>
    <w:rsid w:val="00D45B26"/>
    <w:rsid w:val="00D502B8"/>
    <w:rsid w:val="00D647BB"/>
    <w:rsid w:val="00D66D55"/>
    <w:rsid w:val="00D72DB2"/>
    <w:rsid w:val="00D740CC"/>
    <w:rsid w:val="00D808D8"/>
    <w:rsid w:val="00D83C9F"/>
    <w:rsid w:val="00D97618"/>
    <w:rsid w:val="00DA6BF5"/>
    <w:rsid w:val="00DB3984"/>
    <w:rsid w:val="00DD54F1"/>
    <w:rsid w:val="00DD7F33"/>
    <w:rsid w:val="00DE1100"/>
    <w:rsid w:val="00E02D31"/>
    <w:rsid w:val="00E05B6F"/>
    <w:rsid w:val="00E07387"/>
    <w:rsid w:val="00E1068C"/>
    <w:rsid w:val="00E115B7"/>
    <w:rsid w:val="00E132FF"/>
    <w:rsid w:val="00E23AFC"/>
    <w:rsid w:val="00E257F3"/>
    <w:rsid w:val="00E34097"/>
    <w:rsid w:val="00E47659"/>
    <w:rsid w:val="00E565F2"/>
    <w:rsid w:val="00E56CB0"/>
    <w:rsid w:val="00E57310"/>
    <w:rsid w:val="00E67F0B"/>
    <w:rsid w:val="00E82E6D"/>
    <w:rsid w:val="00E834A5"/>
    <w:rsid w:val="00E83E7D"/>
    <w:rsid w:val="00E86D53"/>
    <w:rsid w:val="00E91DF5"/>
    <w:rsid w:val="00E97452"/>
    <w:rsid w:val="00EA785E"/>
    <w:rsid w:val="00EB045E"/>
    <w:rsid w:val="00EB09FB"/>
    <w:rsid w:val="00EB1108"/>
    <w:rsid w:val="00EB29AF"/>
    <w:rsid w:val="00EB5CFB"/>
    <w:rsid w:val="00EB7096"/>
    <w:rsid w:val="00EC1A2C"/>
    <w:rsid w:val="00ED4AE4"/>
    <w:rsid w:val="00ED4E1B"/>
    <w:rsid w:val="00ED7239"/>
    <w:rsid w:val="00ED740E"/>
    <w:rsid w:val="00EE7CBC"/>
    <w:rsid w:val="00EE7FDB"/>
    <w:rsid w:val="00EF008D"/>
    <w:rsid w:val="00EF1004"/>
    <w:rsid w:val="00EF6747"/>
    <w:rsid w:val="00EF7476"/>
    <w:rsid w:val="00F00367"/>
    <w:rsid w:val="00F03964"/>
    <w:rsid w:val="00F14F31"/>
    <w:rsid w:val="00F20B80"/>
    <w:rsid w:val="00F313FC"/>
    <w:rsid w:val="00F36CED"/>
    <w:rsid w:val="00F370BF"/>
    <w:rsid w:val="00F46CE1"/>
    <w:rsid w:val="00F47CF9"/>
    <w:rsid w:val="00F51314"/>
    <w:rsid w:val="00F5423F"/>
    <w:rsid w:val="00F54EAC"/>
    <w:rsid w:val="00F57B2F"/>
    <w:rsid w:val="00F604FF"/>
    <w:rsid w:val="00F669F2"/>
    <w:rsid w:val="00F66E8F"/>
    <w:rsid w:val="00F72A50"/>
    <w:rsid w:val="00F73BFF"/>
    <w:rsid w:val="00F813D6"/>
    <w:rsid w:val="00FA6AF0"/>
    <w:rsid w:val="00FA7D1E"/>
    <w:rsid w:val="00FB0E4C"/>
    <w:rsid w:val="00FB4682"/>
    <w:rsid w:val="00FC1131"/>
    <w:rsid w:val="00FC1B75"/>
    <w:rsid w:val="00FD31E5"/>
    <w:rsid w:val="00FE3822"/>
    <w:rsid w:val="00FE7918"/>
    <w:rsid w:val="00FF557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D4E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ind w:left="567"/>
      <w:outlineLvl w:val="2"/>
    </w:pPr>
    <w:rPr>
      <w:rFonts w:ascii="Garamond" w:hAnsi="Garamond" w:cs="Arial"/>
      <w:b/>
      <w:bCs/>
      <w:i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spacing w:after="120"/>
      <w:outlineLvl w:val="3"/>
    </w:pPr>
    <w:rPr>
      <w:rFonts w:ascii="Garamond" w:hAnsi="Garamond" w:cs="Arial"/>
      <w:b/>
      <w:bCs/>
      <w:iCs/>
      <w:sz w:val="22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30" w:color="auto" w:shadow="1"/>
      </w:pBdr>
      <w:ind w:right="2546"/>
      <w:outlineLvl w:val="5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Trebuchet MS" w:eastAsia="MS Mincho" w:hAnsi="Trebuchet MS" w:cs="Trebuchet MS"/>
      <w:lang w:val="en-AU"/>
    </w:rPr>
  </w:style>
  <w:style w:type="paragraph" w:styleId="BodyTextIndent2">
    <w:name w:val="Body Text Indent 2"/>
    <w:basedOn w:val="Normal"/>
    <w:pPr>
      <w:ind w:left="550" w:hanging="550"/>
    </w:pPr>
    <w:rPr>
      <w:rFonts w:ascii="Garamond" w:hAnsi="Garamond"/>
      <w:szCs w:val="20"/>
      <w:lang w:val="en-GB"/>
    </w:rPr>
  </w:style>
  <w:style w:type="paragraph" w:customStyle="1" w:styleId="Normal1">
    <w:name w:val="Normal1"/>
    <w:basedOn w:val="Normal"/>
    <w:rsid w:val="00D33758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ascii="Garamond" w:hAnsi="Garamond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3">
    <w:name w:val="Body Text 3"/>
    <w:basedOn w:val="Normal"/>
    <w:rsid w:val="00A7386C"/>
    <w:pPr>
      <w:spacing w:after="120"/>
    </w:pPr>
    <w:rPr>
      <w:sz w:val="16"/>
      <w:szCs w:val="16"/>
    </w:rPr>
  </w:style>
  <w:style w:type="paragraph" w:customStyle="1" w:styleId="Default">
    <w:name w:val="Default"/>
    <w:rsid w:val="006B7BD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6B7BD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BF"/>
    <w:rPr>
      <w:b/>
      <w:bCs/>
    </w:rPr>
  </w:style>
  <w:style w:type="paragraph" w:styleId="ListParagraph">
    <w:name w:val="List Paragraph"/>
    <w:basedOn w:val="Normal"/>
    <w:uiPriority w:val="34"/>
    <w:qFormat/>
    <w:rsid w:val="00503C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840A8"/>
    <w:rPr>
      <w:rFonts w:ascii="Garamond" w:hAnsi="Garamond"/>
    </w:rPr>
  </w:style>
  <w:style w:type="table" w:styleId="TableGrid">
    <w:name w:val="Table Grid"/>
    <w:basedOn w:val="TableNormal"/>
    <w:uiPriority w:val="59"/>
    <w:rsid w:val="00A00F8C"/>
    <w:pPr>
      <w:ind w:left="425" w:hanging="425"/>
    </w:pPr>
    <w:rPr>
      <w:rFonts w:asciiTheme="minorHAnsi" w:eastAsia="Calibr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ind w:left="567"/>
      <w:outlineLvl w:val="2"/>
    </w:pPr>
    <w:rPr>
      <w:rFonts w:ascii="Garamond" w:hAnsi="Garamond" w:cs="Arial"/>
      <w:b/>
      <w:bCs/>
      <w:i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spacing w:after="120"/>
      <w:outlineLvl w:val="3"/>
    </w:pPr>
    <w:rPr>
      <w:rFonts w:ascii="Garamond" w:hAnsi="Garamond" w:cs="Arial"/>
      <w:b/>
      <w:bCs/>
      <w:iCs/>
      <w:sz w:val="22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30" w:color="auto" w:shadow="1"/>
      </w:pBdr>
      <w:ind w:right="2546"/>
      <w:outlineLvl w:val="5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Trebuchet MS" w:eastAsia="MS Mincho" w:hAnsi="Trebuchet MS" w:cs="Trebuchet MS"/>
      <w:lang w:val="en-AU"/>
    </w:rPr>
  </w:style>
  <w:style w:type="paragraph" w:styleId="BodyTextIndent2">
    <w:name w:val="Body Text Indent 2"/>
    <w:basedOn w:val="Normal"/>
    <w:pPr>
      <w:ind w:left="550" w:hanging="550"/>
    </w:pPr>
    <w:rPr>
      <w:rFonts w:ascii="Garamond" w:hAnsi="Garamond"/>
      <w:szCs w:val="20"/>
      <w:lang w:val="en-GB"/>
    </w:rPr>
  </w:style>
  <w:style w:type="paragraph" w:customStyle="1" w:styleId="Normal1">
    <w:name w:val="Normal1"/>
    <w:basedOn w:val="Normal"/>
    <w:rsid w:val="00D33758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ascii="Garamond" w:hAnsi="Garamond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3">
    <w:name w:val="Body Text 3"/>
    <w:basedOn w:val="Normal"/>
    <w:rsid w:val="00A7386C"/>
    <w:pPr>
      <w:spacing w:after="120"/>
    </w:pPr>
    <w:rPr>
      <w:sz w:val="16"/>
      <w:szCs w:val="16"/>
    </w:rPr>
  </w:style>
  <w:style w:type="paragraph" w:customStyle="1" w:styleId="Default">
    <w:name w:val="Default"/>
    <w:rsid w:val="006B7BD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6B7BD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BF"/>
    <w:rPr>
      <w:b/>
      <w:bCs/>
    </w:rPr>
  </w:style>
  <w:style w:type="paragraph" w:styleId="ListParagraph">
    <w:name w:val="List Paragraph"/>
    <w:basedOn w:val="Normal"/>
    <w:uiPriority w:val="34"/>
    <w:qFormat/>
    <w:rsid w:val="00503C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840A8"/>
    <w:rPr>
      <w:rFonts w:ascii="Garamond" w:hAnsi="Garamond"/>
    </w:rPr>
  </w:style>
  <w:style w:type="table" w:styleId="TableGrid">
    <w:name w:val="Table Grid"/>
    <w:basedOn w:val="TableNormal"/>
    <w:uiPriority w:val="59"/>
    <w:rsid w:val="00A00F8C"/>
    <w:pPr>
      <w:ind w:left="425" w:hanging="425"/>
    </w:pPr>
    <w:rPr>
      <w:rFonts w:asciiTheme="minorHAnsi" w:eastAsia="Calibr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7970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2E6C-990B-449E-AA1B-FA7647E5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2295</Words>
  <Characters>13154</Characters>
  <Application>Microsoft Office Word</Application>
  <DocSecurity>0</DocSecurity>
  <Lines>274</Lines>
  <Paragraphs>79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CONVENTION ON WETLANDS (Ramsar, Iran, 1971)</vt:lpstr>
      <vt:lpstr>CONVENTION ON WETLANDS (Ramsar, Iran, 1971)</vt:lpstr>
      <vt:lpstr>CONVENTION ON WETLANDS (Ramsar, Iran, 1971)</vt:lpstr>
      <vt:lpstr>CONVENTION ON WETLANDS (Ramsar, Iran, 1971)</vt:lpstr>
      <vt:lpstr>CONVENTION ON WETLANDS (Ramsar, Iran, 1971)</vt:lpstr>
    </vt:vector>
  </TitlesOfParts>
  <Company>IUCN-The World Conservation Union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PECK Dwight - Ramsar</dc:creator>
  <cp:lastModifiedBy>Ramsar\JenningsE</cp:lastModifiedBy>
  <cp:revision>4</cp:revision>
  <cp:lastPrinted>2018-02-22T10:01:00Z</cp:lastPrinted>
  <dcterms:created xsi:type="dcterms:W3CDTF">2018-07-20T12:44:00Z</dcterms:created>
  <dcterms:modified xsi:type="dcterms:W3CDTF">2018-07-21T20:20:00Z</dcterms:modified>
</cp:coreProperties>
</file>