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65" w:rsidRPr="006A02AA" w:rsidRDefault="00F07A65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4"/>
          <w:szCs w:val="24"/>
          <w:lang w:val="fr-CH"/>
        </w:rPr>
      </w:pPr>
      <w:r w:rsidRPr="006A02AA">
        <w:rPr>
          <w:rFonts w:ascii="Calibri" w:hAnsi="Calibri" w:cstheme="majorHAnsi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7565F43" wp14:editId="1791302F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2AA">
        <w:rPr>
          <w:rFonts w:ascii="Calibri" w:hAnsi="Calibri" w:cstheme="majorHAnsi"/>
          <w:b/>
          <w:bCs/>
          <w:sz w:val="24"/>
          <w:szCs w:val="24"/>
          <w:lang w:val="fr-CH"/>
        </w:rPr>
        <w:t>13</w:t>
      </w:r>
      <w:r w:rsidRPr="006A02AA">
        <w:rPr>
          <w:rFonts w:ascii="Calibri" w:hAnsi="Calibri" w:cstheme="majorHAnsi"/>
          <w:b/>
          <w:bCs/>
          <w:sz w:val="24"/>
          <w:szCs w:val="24"/>
          <w:vertAlign w:val="superscript"/>
          <w:lang w:val="fr-CH"/>
        </w:rPr>
        <w:t>e</w:t>
      </w:r>
      <w:r w:rsidRPr="006A02AA">
        <w:rPr>
          <w:rFonts w:ascii="Calibri" w:hAnsi="Calibri" w:cstheme="majorHAnsi"/>
          <w:b/>
          <w:bCs/>
          <w:sz w:val="24"/>
          <w:szCs w:val="24"/>
          <w:lang w:val="fr-CH"/>
        </w:rPr>
        <w:t xml:space="preserve"> Session de la Conférence des Parties contractantes </w:t>
      </w:r>
    </w:p>
    <w:p w:rsidR="00F07A65" w:rsidRPr="006A02AA" w:rsidRDefault="00F07A65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4"/>
          <w:szCs w:val="24"/>
          <w:lang w:val="fr-CH"/>
        </w:rPr>
      </w:pPr>
      <w:r w:rsidRPr="006A02AA">
        <w:rPr>
          <w:rFonts w:ascii="Calibri" w:hAnsi="Calibri" w:cstheme="majorHAnsi"/>
          <w:b/>
          <w:bCs/>
          <w:sz w:val="24"/>
          <w:szCs w:val="24"/>
          <w:lang w:val="fr-CH"/>
        </w:rPr>
        <w:t>à la Convention de Ramsar sur les zones humides</w:t>
      </w:r>
    </w:p>
    <w:p w:rsidR="00F07A65" w:rsidRPr="00EA553C" w:rsidRDefault="00F07A65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lang w:val="fr-CH"/>
        </w:rPr>
      </w:pPr>
    </w:p>
    <w:p w:rsidR="00F07A65" w:rsidRPr="006A02AA" w:rsidRDefault="00F07A65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4"/>
          <w:szCs w:val="24"/>
          <w:lang w:val="fr-CH"/>
        </w:rPr>
      </w:pPr>
      <w:r w:rsidRPr="006A02AA">
        <w:rPr>
          <w:rFonts w:ascii="Calibri" w:hAnsi="Calibri" w:cstheme="majorHAnsi"/>
          <w:b/>
          <w:bCs/>
          <w:sz w:val="24"/>
          <w:szCs w:val="24"/>
          <w:lang w:val="fr-CH"/>
        </w:rPr>
        <w:t>« Les zones humides pour un avenir urbain durable »</w:t>
      </w:r>
    </w:p>
    <w:p w:rsidR="00F07A65" w:rsidRPr="006A02AA" w:rsidRDefault="00F07A65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4"/>
          <w:szCs w:val="24"/>
          <w:lang w:val="fr-CH"/>
        </w:rPr>
      </w:pPr>
      <w:r w:rsidRPr="006A02AA">
        <w:rPr>
          <w:rFonts w:ascii="Calibri" w:hAnsi="Calibri" w:cstheme="majorHAnsi"/>
          <w:b/>
          <w:bCs/>
          <w:sz w:val="24"/>
          <w:szCs w:val="24"/>
          <w:lang w:val="fr-CH"/>
        </w:rPr>
        <w:t>Dubaï, Émirats arabes unis, 21 au 29 octobre 2018</w:t>
      </w:r>
    </w:p>
    <w:p w:rsidR="00F07A65" w:rsidRDefault="00F07A65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8"/>
          <w:szCs w:val="28"/>
          <w:lang w:val="fr-CH"/>
        </w:rPr>
      </w:pPr>
    </w:p>
    <w:p w:rsidR="00A55CBC" w:rsidRDefault="00A55CBC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8"/>
          <w:szCs w:val="28"/>
          <w:lang w:val="fr-CH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F07A65" w:rsidRPr="000E67F8" w:rsidTr="00493BEB">
        <w:tc>
          <w:tcPr>
            <w:tcW w:w="4708" w:type="dxa"/>
          </w:tcPr>
          <w:p w:rsidR="00F07A65" w:rsidRPr="00EA553C" w:rsidRDefault="00F07A65" w:rsidP="00A55CBC">
            <w:pPr>
              <w:spacing w:after="0" w:line="240" w:lineRule="auto"/>
              <w:jc w:val="center"/>
              <w:outlineLvl w:val="0"/>
              <w:rPr>
                <w:rFonts w:ascii="Calibri" w:hAnsi="Calibri" w:cstheme="majorHAnsi"/>
                <w:b/>
                <w:bCs/>
                <w:lang w:val="fr-CH"/>
              </w:rPr>
            </w:pPr>
          </w:p>
        </w:tc>
        <w:tc>
          <w:tcPr>
            <w:tcW w:w="4652" w:type="dxa"/>
          </w:tcPr>
          <w:p w:rsidR="00F07A65" w:rsidRPr="006A02AA" w:rsidRDefault="00A55CBC" w:rsidP="00A55CBC">
            <w:pPr>
              <w:spacing w:after="0" w:line="240" w:lineRule="auto"/>
              <w:jc w:val="right"/>
              <w:outlineLvl w:val="0"/>
              <w:rPr>
                <w:rFonts w:ascii="Calibri" w:hAnsi="Calibri" w:cstheme="majorHAnsi"/>
                <w:b/>
                <w:bCs/>
                <w:sz w:val="24"/>
                <w:szCs w:val="24"/>
                <w:lang w:val="en-US"/>
              </w:rPr>
            </w:pPr>
            <w:r w:rsidRPr="00A55CBC">
              <w:rPr>
                <w:rFonts w:ascii="Calibri" w:hAnsi="Calibri" w:cstheme="majorHAnsi"/>
                <w:b/>
                <w:bCs/>
                <w:sz w:val="24"/>
                <w:szCs w:val="24"/>
                <w:lang w:val="en-US"/>
              </w:rPr>
              <w:t>Ramsar COP13 Doc.18.24</w:t>
            </w:r>
          </w:p>
        </w:tc>
      </w:tr>
    </w:tbl>
    <w:p w:rsidR="00F07A65" w:rsidRDefault="00F07A65" w:rsidP="00A55CBC">
      <w:pPr>
        <w:spacing w:after="0" w:line="240" w:lineRule="auto"/>
        <w:rPr>
          <w:b/>
          <w:sz w:val="28"/>
          <w:szCs w:val="28"/>
          <w:lang w:val="fr-CA"/>
        </w:rPr>
      </w:pPr>
    </w:p>
    <w:p w:rsidR="004E2F33" w:rsidRPr="001C7750" w:rsidRDefault="00F07A65" w:rsidP="00A55CBC">
      <w:pPr>
        <w:spacing w:after="0" w:line="240" w:lineRule="auto"/>
        <w:jc w:val="center"/>
        <w:rPr>
          <w:rFonts w:ascii="Calibri" w:eastAsia="Calibri" w:hAnsi="Calibri" w:cs="Arial"/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Projet de résolution </w:t>
      </w:r>
      <w:r w:rsidR="00A55CBC">
        <w:rPr>
          <w:b/>
          <w:sz w:val="28"/>
          <w:szCs w:val="28"/>
          <w:lang w:val="fr-CA"/>
        </w:rPr>
        <w:t>sur l</w:t>
      </w:r>
      <w:r w:rsidR="00EA0C59">
        <w:rPr>
          <w:rFonts w:ascii="Calibri" w:eastAsia="Calibri" w:hAnsi="Calibri" w:cs="Arial"/>
          <w:b/>
          <w:sz w:val="28"/>
          <w:szCs w:val="28"/>
          <w:lang w:val="fr-CA"/>
        </w:rPr>
        <w:t>es zones humides en Asie de l’Ouest</w:t>
      </w:r>
    </w:p>
    <w:p w:rsidR="004E2F33" w:rsidRPr="001C7750" w:rsidRDefault="004E2F33" w:rsidP="004E2F33">
      <w:pPr>
        <w:spacing w:after="0" w:line="240" w:lineRule="auto"/>
        <w:ind w:left="425" w:hanging="425"/>
        <w:jc w:val="center"/>
        <w:rPr>
          <w:rFonts w:ascii="Calibri" w:eastAsia="Calibri" w:hAnsi="Calibri" w:cs="Arial"/>
          <w:lang w:val="fr-CA"/>
        </w:rPr>
      </w:pPr>
    </w:p>
    <w:p w:rsidR="004E2F33" w:rsidRPr="001C7750" w:rsidRDefault="00EA0C59" w:rsidP="004E2F33">
      <w:pPr>
        <w:spacing w:after="0" w:line="240" w:lineRule="auto"/>
        <w:ind w:right="16"/>
        <w:rPr>
          <w:rFonts w:eastAsia="Times New Roman" w:cs="Times New Roman"/>
          <w:i/>
          <w:lang w:val="fr-CA"/>
        </w:rPr>
      </w:pPr>
      <w:r>
        <w:rPr>
          <w:rFonts w:eastAsia="Times New Roman" w:cs="Times New Roman"/>
          <w:i/>
          <w:lang w:val="fr-CA"/>
        </w:rPr>
        <w:t>Présenté par l’</w:t>
      </w:r>
      <w:r w:rsidR="004E2F33" w:rsidRPr="001C7750">
        <w:rPr>
          <w:rFonts w:eastAsia="Times New Roman" w:cs="Times New Roman"/>
          <w:i/>
          <w:lang w:val="fr-CA"/>
        </w:rPr>
        <w:t>Iraq</w:t>
      </w:r>
    </w:p>
    <w:p w:rsidR="00A0697C" w:rsidRPr="001C7750" w:rsidRDefault="00A0697C" w:rsidP="00A0697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  <w:lang w:val="fr-CA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A55CBC" w:rsidRPr="00A55CBC" w:rsidTr="00FA38D5">
        <w:tc>
          <w:tcPr>
            <w:tcW w:w="9360" w:type="dxa"/>
          </w:tcPr>
          <w:p w:rsidR="00A55CBC" w:rsidRPr="00EA0C59" w:rsidRDefault="00A55CBC" w:rsidP="00A55CBC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Note du Secrétariat</w:t>
            </w:r>
          </w:p>
          <w:p w:rsidR="00A55CBC" w:rsidRPr="00A55CBC" w:rsidRDefault="00A55CBC" w:rsidP="00FA38D5">
            <w:pPr>
              <w:spacing w:after="0" w:line="240" w:lineRule="auto"/>
              <w:rPr>
                <w:lang w:val="fr-CA"/>
              </w:rPr>
            </w:pPr>
            <w:r>
              <w:rPr>
                <w:rFonts w:ascii="Calibri" w:eastAsia="Calibri" w:hAnsi="Calibri" w:cs="Calibri Light"/>
                <w:lang w:val="fr-CA"/>
              </w:rPr>
              <w:t>Les négociations qui ont eu lieu lors de la 54</w:t>
            </w:r>
            <w:r w:rsidRPr="00BB1B8D">
              <w:rPr>
                <w:rFonts w:ascii="Calibri" w:eastAsia="Calibri" w:hAnsi="Calibri" w:cs="Calibri Light"/>
                <w:vertAlign w:val="superscript"/>
                <w:lang w:val="fr-CA"/>
              </w:rPr>
              <w:t>e</w:t>
            </w:r>
            <w:r>
              <w:rPr>
                <w:rFonts w:ascii="Calibri" w:eastAsia="Calibri" w:hAnsi="Calibri" w:cs="Calibri Light"/>
                <w:lang w:val="fr-CA"/>
              </w:rPr>
              <w:t xml:space="preserve"> Réunion du Comité permanent ont conclu que tous les éléments du projet de résolution n’étaient pas acceptables pour tous les membres et l</w:t>
            </w:r>
            <w:r w:rsidRPr="00F07A65">
              <w:rPr>
                <w:rFonts w:ascii="Calibri" w:eastAsia="Calibri" w:hAnsi="Calibri" w:cs="Calibri Light"/>
                <w:lang w:val="fr-CA"/>
              </w:rPr>
              <w:t xml:space="preserve">e Comité permanent </w:t>
            </w:r>
            <w:r>
              <w:rPr>
                <w:rFonts w:ascii="Calibri" w:eastAsia="Calibri" w:hAnsi="Calibri" w:cs="Calibri Light"/>
                <w:lang w:val="fr-CA"/>
              </w:rPr>
              <w:t xml:space="preserve">a adopté la Décision SC54-21 : </w:t>
            </w:r>
            <w:r w:rsidRPr="00F07A65">
              <w:rPr>
                <w:rFonts w:ascii="Calibri" w:eastAsia="Calibri" w:hAnsi="Calibri" w:cs="Calibri Light"/>
                <w:lang w:val="fr-CA"/>
              </w:rPr>
              <w:t>«</w:t>
            </w:r>
            <w:r w:rsidRPr="00F07A65">
              <w:rPr>
                <w:rFonts w:ascii="Calibri" w:eastAsia="Calibri" w:hAnsi="Calibri" w:cs="Calibri Light"/>
                <w:bCs/>
                <w:lang w:val="fr-CA"/>
              </w:rPr>
              <w:t>Le Comité permanent donne instruction au Secrétariat de réviser, finaliser et publier le projet de résolution contenu dans le document SC54-Com.5 pour examen à la COP13, sans autre amendement sur le fond, notant que certaines Parties exprimeront leurs préoccupations à la COP13. »</w:t>
            </w:r>
            <w:r>
              <w:rPr>
                <w:rFonts w:ascii="Calibri" w:eastAsia="Calibri" w:hAnsi="Calibri" w:cs="Calibri Light"/>
                <w:lang w:val="fr-CA"/>
              </w:rPr>
              <w:t> </w:t>
            </w:r>
          </w:p>
        </w:tc>
      </w:tr>
    </w:tbl>
    <w:p w:rsidR="00A0697C" w:rsidRPr="00A55CBC" w:rsidRDefault="00A0697C" w:rsidP="00A74EA8">
      <w:pPr>
        <w:tabs>
          <w:tab w:val="left" w:pos="2850"/>
        </w:tabs>
        <w:spacing w:after="0" w:line="240" w:lineRule="auto"/>
        <w:ind w:right="16"/>
        <w:rPr>
          <w:rFonts w:eastAsia="Times New Roman" w:cstheme="majorHAnsi"/>
          <w:bCs/>
          <w:lang w:val="fr-FR"/>
        </w:rPr>
      </w:pPr>
    </w:p>
    <w:p w:rsidR="00A0697C" w:rsidRPr="00A55CBC" w:rsidRDefault="00A0697C" w:rsidP="00A74EA8">
      <w:pPr>
        <w:tabs>
          <w:tab w:val="left" w:pos="2850"/>
        </w:tabs>
        <w:spacing w:after="0" w:line="240" w:lineRule="auto"/>
        <w:ind w:right="16"/>
        <w:rPr>
          <w:rFonts w:eastAsia="Times New Roman" w:cstheme="majorHAnsi"/>
          <w:bCs/>
          <w:lang w:val="fr-FR"/>
        </w:rPr>
      </w:pPr>
    </w:p>
    <w:p w:rsidR="004E2F33" w:rsidRPr="001C7750" w:rsidRDefault="004E2F33" w:rsidP="004E2F33">
      <w:pPr>
        <w:spacing w:after="0" w:line="240" w:lineRule="auto"/>
        <w:ind w:left="425" w:hanging="425"/>
        <w:rPr>
          <w:lang w:val="fr-CA"/>
        </w:rPr>
      </w:pPr>
      <w:r w:rsidRPr="001C7750">
        <w:rPr>
          <w:lang w:val="fr-CA"/>
        </w:rPr>
        <w:t>1.</w:t>
      </w:r>
      <w:r w:rsidRPr="001C7750">
        <w:rPr>
          <w:lang w:val="fr-CA"/>
        </w:rPr>
        <w:tab/>
      </w:r>
      <w:r w:rsidR="00E11B7D">
        <w:rPr>
          <w:lang w:val="fr-CA"/>
        </w:rPr>
        <w:t xml:space="preserve">APPRÉCIANT </w:t>
      </w:r>
      <w:r w:rsidR="004B7097">
        <w:rPr>
          <w:lang w:val="fr-CA"/>
        </w:rPr>
        <w:t>VIVE</w:t>
      </w:r>
      <w:r w:rsidR="00E11B7D">
        <w:rPr>
          <w:lang w:val="fr-CA"/>
        </w:rPr>
        <w:t xml:space="preserve">MENT la générosité des Émirats arabes unis qui </w:t>
      </w:r>
      <w:r w:rsidR="00FD0031">
        <w:rPr>
          <w:lang w:val="fr-CA"/>
        </w:rPr>
        <w:t>accueillent</w:t>
      </w:r>
      <w:r w:rsidR="00E11B7D">
        <w:rPr>
          <w:lang w:val="fr-CA"/>
        </w:rPr>
        <w:t xml:space="preserve"> la 13</w:t>
      </w:r>
      <w:r w:rsidR="00E11B7D" w:rsidRPr="00E11B7D">
        <w:rPr>
          <w:vertAlign w:val="superscript"/>
          <w:lang w:val="fr-CA"/>
        </w:rPr>
        <w:t>e</w:t>
      </w:r>
      <w:r w:rsidR="00E11B7D">
        <w:rPr>
          <w:lang w:val="fr-CA"/>
        </w:rPr>
        <w:t xml:space="preserve"> Session de la Conférence des Parties </w:t>
      </w:r>
      <w:r w:rsidR="00087B69">
        <w:rPr>
          <w:lang w:val="fr-CA"/>
        </w:rPr>
        <w:t xml:space="preserve">contractantes </w:t>
      </w:r>
      <w:r w:rsidR="00E11B7D">
        <w:rPr>
          <w:lang w:val="fr-CA"/>
        </w:rPr>
        <w:t xml:space="preserve">à la Convention de Ramsar sur les zones humides, </w:t>
      </w:r>
      <w:r w:rsidR="004B7097">
        <w:rPr>
          <w:lang w:val="fr-CA"/>
        </w:rPr>
        <w:t>organisée</w:t>
      </w:r>
      <w:r w:rsidR="00E11B7D">
        <w:rPr>
          <w:lang w:val="fr-CA"/>
        </w:rPr>
        <w:t xml:space="preserve"> pour la première fois en Asie de l’Ouest et pouvant </w:t>
      </w:r>
      <w:r w:rsidR="004B7097">
        <w:rPr>
          <w:lang w:val="fr-CA"/>
        </w:rPr>
        <w:t>être l’</w:t>
      </w:r>
      <w:r w:rsidR="00E11B7D">
        <w:rPr>
          <w:lang w:val="fr-CA"/>
        </w:rPr>
        <w:t>occasion de sensibiliser à l’importance des zones humides de la région, à leur état ainsi qu’</w:t>
      </w:r>
      <w:r w:rsidR="004B7097">
        <w:rPr>
          <w:lang w:val="fr-CA"/>
        </w:rPr>
        <w:t>à leurs</w:t>
      </w:r>
      <w:r w:rsidR="00E11B7D">
        <w:rPr>
          <w:lang w:val="fr-CA"/>
        </w:rPr>
        <w:t xml:space="preserve"> </w:t>
      </w:r>
      <w:r w:rsidR="004B7097">
        <w:rPr>
          <w:lang w:val="fr-CA"/>
        </w:rPr>
        <w:t xml:space="preserve">problèmes </w:t>
      </w:r>
      <w:r w:rsidR="00E11B7D">
        <w:rPr>
          <w:lang w:val="fr-CA"/>
        </w:rPr>
        <w:t xml:space="preserve">et possibilités; </w:t>
      </w:r>
      <w:r w:rsidRPr="001C7750">
        <w:rPr>
          <w:lang w:val="fr-CA"/>
        </w:rPr>
        <w:t xml:space="preserve">  </w:t>
      </w:r>
    </w:p>
    <w:p w:rsidR="004E2F33" w:rsidRPr="001C7750" w:rsidRDefault="004E2F33" w:rsidP="004E2F33">
      <w:pPr>
        <w:pStyle w:val="ListParagraph"/>
        <w:spacing w:after="0" w:line="240" w:lineRule="auto"/>
        <w:ind w:left="425" w:hanging="425"/>
        <w:rPr>
          <w:lang w:val="fr-CA"/>
        </w:rPr>
      </w:pPr>
    </w:p>
    <w:p w:rsidR="004E2F33" w:rsidRDefault="004E2F33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  <w:r w:rsidRPr="001C7750">
        <w:rPr>
          <w:rFonts w:asciiTheme="minorHAnsi" w:hAnsiTheme="minorHAnsi"/>
          <w:color w:val="auto"/>
          <w:sz w:val="22"/>
          <w:szCs w:val="22"/>
          <w:lang w:val="fr-CA"/>
        </w:rPr>
        <w:t>2.</w:t>
      </w:r>
      <w:r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087B69">
        <w:rPr>
          <w:rFonts w:asciiTheme="minorHAnsi" w:hAnsiTheme="minorHAnsi" w:cstheme="minorBidi"/>
          <w:color w:val="auto"/>
          <w:sz w:val="22"/>
          <w:szCs w:val="22"/>
          <w:lang w:val="fr-CA"/>
        </w:rPr>
        <w:t>AYANT À L’ESPRIT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la gamme des types uniques de zones humides d’Asie de l’Ouest tel</w:t>
      </w:r>
      <w:r w:rsidR="00426B42">
        <w:rPr>
          <w:rFonts w:asciiTheme="minorHAnsi" w:hAnsiTheme="minorHAnsi" w:cstheme="minorBidi"/>
          <w:color w:val="auto"/>
          <w:sz w:val="22"/>
          <w:szCs w:val="22"/>
          <w:lang w:val="fr-CA"/>
        </w:rPr>
        <w:t>s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que les</w:t>
      </w:r>
      <w:r w:rsidR="00E11B7D"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E11B7D" w:rsidRPr="001C7750">
        <w:rPr>
          <w:rFonts w:asciiTheme="minorHAnsi" w:hAnsiTheme="minorHAnsi" w:cstheme="minorBidi"/>
          <w:i/>
          <w:color w:val="auto"/>
          <w:sz w:val="22"/>
          <w:szCs w:val="22"/>
          <w:lang w:val="fr-CA"/>
        </w:rPr>
        <w:t>sebkhas</w:t>
      </w:r>
      <w:r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(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>étendues salées</w:t>
      </w:r>
      <w:r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), 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les </w:t>
      </w:r>
      <w:r w:rsidRPr="001C7750">
        <w:rPr>
          <w:rFonts w:asciiTheme="minorHAnsi" w:hAnsiTheme="minorHAnsi" w:cstheme="minorBidi"/>
          <w:i/>
          <w:color w:val="auto"/>
          <w:sz w:val="22"/>
          <w:szCs w:val="22"/>
          <w:lang w:val="fr-CA"/>
        </w:rPr>
        <w:t>khor</w:t>
      </w:r>
      <w:r w:rsidR="00E11B7D">
        <w:rPr>
          <w:rFonts w:asciiTheme="minorHAnsi" w:hAnsiTheme="minorHAnsi" w:cstheme="minorBidi"/>
          <w:i/>
          <w:color w:val="auto"/>
          <w:sz w:val="22"/>
          <w:szCs w:val="22"/>
          <w:lang w:val="fr-CA"/>
        </w:rPr>
        <w:t xml:space="preserve">s </w:t>
      </w:r>
      <w:r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>(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>anses</w:t>
      </w:r>
      <w:r w:rsidR="004B7097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couvertes par la 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>marée</w:t>
      </w:r>
      <w:r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>),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les</w:t>
      </w:r>
      <w:r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Pr="001C7750">
        <w:rPr>
          <w:rFonts w:asciiTheme="minorHAnsi" w:hAnsiTheme="minorHAnsi" w:cstheme="minorBidi"/>
          <w:i/>
          <w:color w:val="auto"/>
          <w:sz w:val="22"/>
          <w:szCs w:val="22"/>
          <w:lang w:val="fr-CA"/>
        </w:rPr>
        <w:t>oasis</w:t>
      </w:r>
      <w:r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(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>source</w:t>
      </w:r>
      <w:r w:rsidR="004B7097">
        <w:rPr>
          <w:rFonts w:asciiTheme="minorHAnsi" w:hAnsiTheme="minorHAnsi" w:cstheme="minorBidi"/>
          <w:color w:val="auto"/>
          <w:sz w:val="22"/>
          <w:szCs w:val="22"/>
          <w:lang w:val="fr-CA"/>
        </w:rPr>
        <w:t>s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dans le désert ou source</w:t>
      </w:r>
      <w:r w:rsidR="004B7097">
        <w:rPr>
          <w:rFonts w:asciiTheme="minorHAnsi" w:hAnsiTheme="minorHAnsi" w:cstheme="minorBidi"/>
          <w:color w:val="auto"/>
          <w:sz w:val="22"/>
          <w:szCs w:val="22"/>
          <w:lang w:val="fr-CA"/>
        </w:rPr>
        <w:t>s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d’eau</w:t>
      </w:r>
      <w:r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>)</w:t>
      </w:r>
    </w:p>
    <w:p w:rsidR="00330B10" w:rsidRDefault="00330B10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</w:p>
    <w:p w:rsidR="00330B10" w:rsidRPr="001C7750" w:rsidRDefault="00330B10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  <w:r>
        <w:rPr>
          <w:rFonts w:asciiTheme="minorHAnsi" w:hAnsiTheme="minorHAnsi" w:cstheme="minorBidi"/>
          <w:color w:val="auto"/>
          <w:sz w:val="22"/>
          <w:szCs w:val="22"/>
          <w:lang w:val="fr-CA"/>
        </w:rPr>
        <w:t>3</w:t>
      </w:r>
      <w:r w:rsidR="00B53028">
        <w:rPr>
          <w:rFonts w:asciiTheme="minorHAnsi" w:hAnsiTheme="minorHAnsi" w:cstheme="minorBidi"/>
          <w:color w:val="auto"/>
          <w:sz w:val="22"/>
          <w:szCs w:val="22"/>
          <w:lang w:val="fr-CA"/>
        </w:rPr>
        <w:t>.</w:t>
      </w:r>
      <w:r>
        <w:rPr>
          <w:rFonts w:asciiTheme="minorHAnsi" w:hAnsiTheme="minorHAnsi" w:cstheme="minorBidi"/>
          <w:color w:val="auto"/>
          <w:sz w:val="22"/>
          <w:szCs w:val="22"/>
          <w:lang w:val="fr-CA"/>
        </w:rPr>
        <w:tab/>
      </w:r>
      <w:r w:rsidR="00087B69">
        <w:rPr>
          <w:rFonts w:asciiTheme="minorHAnsi" w:hAnsiTheme="minorHAnsi" w:cstheme="minorBidi"/>
          <w:color w:val="auto"/>
          <w:sz w:val="22"/>
          <w:szCs w:val="22"/>
          <w:lang w:val="fr-CA"/>
        </w:rPr>
        <w:t>SACHANT</w:t>
      </w:r>
      <w:r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que des accords bilatéraux, régionaux et multilatéraux sont en vigueur entre Parties </w:t>
      </w:r>
      <w:r w:rsidR="00FD0031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contractantes </w:t>
      </w:r>
      <w:r>
        <w:rPr>
          <w:rFonts w:asciiTheme="minorHAnsi" w:hAnsiTheme="minorHAnsi" w:cstheme="minorBidi"/>
          <w:color w:val="auto"/>
          <w:sz w:val="22"/>
          <w:szCs w:val="22"/>
          <w:lang w:val="fr-CA"/>
        </w:rPr>
        <w:t>à la Convention et que rien dans la présente Résolution n’amoindrit les dispositions de ces accords;</w:t>
      </w:r>
    </w:p>
    <w:p w:rsidR="004E2F33" w:rsidRPr="001C7750" w:rsidRDefault="004E2F33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</w:p>
    <w:p w:rsidR="0046353E" w:rsidRPr="001C7750" w:rsidRDefault="00330B10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4</w:t>
      </w:r>
      <w:r w:rsidR="0046353E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46353E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RAPPELANT l’importance, pour les Parties contractantes, d’intégrer la conservation et l’utilisation rationnelle des zones humides dans la gestion de leurs bassins hydrographiques nationaux et transfront</w:t>
      </w:r>
      <w:r w:rsidR="004B7097">
        <w:rPr>
          <w:rFonts w:asciiTheme="minorHAnsi" w:hAnsiTheme="minorHAnsi"/>
          <w:color w:val="auto"/>
          <w:sz w:val="22"/>
          <w:szCs w:val="22"/>
          <w:lang w:val="fr-CA"/>
        </w:rPr>
        <w:t>aliers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, </w:t>
      </w:r>
      <w:r w:rsidR="00937D9C">
        <w:rPr>
          <w:rFonts w:asciiTheme="minorHAnsi" w:hAnsiTheme="minorHAnsi"/>
          <w:color w:val="auto"/>
          <w:sz w:val="22"/>
          <w:szCs w:val="22"/>
          <w:lang w:val="fr-CA"/>
        </w:rPr>
        <w:t>de maintenir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937D9C">
        <w:rPr>
          <w:rFonts w:asciiTheme="minorHAnsi" w:hAnsiTheme="minorHAnsi"/>
          <w:color w:val="auto"/>
          <w:sz w:val="22"/>
          <w:szCs w:val="22"/>
          <w:lang w:val="fr-CA"/>
        </w:rPr>
        <w:t xml:space="preserve">les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flux environnementaux (Résolution VII.18</w:t>
      </w:r>
      <w:r w:rsidR="00FD0031">
        <w:rPr>
          <w:rFonts w:asciiTheme="minorHAnsi" w:hAnsiTheme="minorHAnsi"/>
          <w:color w:val="auto"/>
          <w:sz w:val="22"/>
          <w:szCs w:val="22"/>
          <w:lang w:val="fr-CA"/>
        </w:rPr>
        <w:t xml:space="preserve">, </w:t>
      </w:r>
      <w:r w:rsidR="00FD0031" w:rsidRPr="00FD0031">
        <w:rPr>
          <w:rFonts w:asciiTheme="minorHAnsi" w:hAnsiTheme="minorHAnsi"/>
          <w:i/>
          <w:color w:val="auto"/>
          <w:sz w:val="22"/>
          <w:szCs w:val="22"/>
          <w:lang w:val="fr-CH"/>
        </w:rPr>
        <w:t>Lignes directrices pour l’intégration de la conservation et de l’utilisation rationnelle des zones humides dans la gestion des bassins hydrographiques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), </w:t>
      </w:r>
      <w:r w:rsidR="00087B69">
        <w:rPr>
          <w:rFonts w:asciiTheme="minorHAnsi" w:hAnsiTheme="minorHAnsi"/>
          <w:color w:val="auto"/>
          <w:sz w:val="22"/>
          <w:szCs w:val="22"/>
          <w:lang w:val="fr-CA"/>
        </w:rPr>
        <w:t>et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4B7097">
        <w:rPr>
          <w:rFonts w:asciiTheme="minorHAnsi" w:hAnsiTheme="minorHAnsi"/>
          <w:color w:val="auto"/>
          <w:sz w:val="22"/>
          <w:szCs w:val="22"/>
          <w:lang w:val="fr-CA"/>
        </w:rPr>
        <w:t>de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garantir et protéger les besoins en eau des zones humides pour les générations présentes et futures (Résolution XII.12</w:t>
      </w:r>
      <w:r w:rsidR="00FD0031">
        <w:rPr>
          <w:rFonts w:asciiTheme="minorHAnsi" w:hAnsiTheme="minorHAnsi"/>
          <w:color w:val="auto"/>
          <w:sz w:val="22"/>
          <w:szCs w:val="22"/>
          <w:lang w:val="fr-CA"/>
        </w:rPr>
        <w:t xml:space="preserve">, </w:t>
      </w:r>
      <w:r w:rsidR="00FD0031" w:rsidRPr="00FD0031">
        <w:rPr>
          <w:bCs/>
          <w:i/>
          <w:sz w:val="22"/>
          <w:szCs w:val="22"/>
          <w:lang w:val="fr-FR"/>
        </w:rPr>
        <w:t>Appel à l’action pour garantir et protéger les besoins en eau des zones humides, présents et futurs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); </w:t>
      </w:r>
    </w:p>
    <w:p w:rsidR="0046353E" w:rsidRPr="001C7750" w:rsidRDefault="0046353E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</w:p>
    <w:p w:rsidR="002D6964" w:rsidRPr="001C7750" w:rsidRDefault="00330B10" w:rsidP="002D6964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5</w:t>
      </w:r>
      <w:r w:rsidR="002D6964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2D6964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087B69">
        <w:rPr>
          <w:rFonts w:asciiTheme="minorHAnsi" w:hAnsiTheme="minorHAnsi"/>
          <w:color w:val="auto"/>
          <w:sz w:val="22"/>
          <w:szCs w:val="22"/>
          <w:lang w:val="fr-CA"/>
        </w:rPr>
        <w:t>CONSCIENTE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qu’il est très important de garantir la conservation et l’utilisation rationnelle des zones humides en Asie de l’Ouest et d’encourager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la coopération entre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>les pays de la région à cet effet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;</w:t>
      </w:r>
      <w:bookmarkStart w:id="0" w:name="_GoBack"/>
      <w:bookmarkEnd w:id="0"/>
    </w:p>
    <w:p w:rsidR="002D6964" w:rsidRPr="001C7750" w:rsidRDefault="002D6964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4E2F33" w:rsidRPr="001C7750" w:rsidRDefault="00330B10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lastRenderedPageBreak/>
        <w:t>6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PRÉOCCUPÉE par la dégradation et l’assèchement de nombreuses zones humides, en particulier celles qui sont partagées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,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en </w:t>
      </w:r>
      <w:r w:rsidR="00087B69">
        <w:rPr>
          <w:rFonts w:asciiTheme="minorHAnsi" w:hAnsiTheme="minorHAnsi"/>
          <w:color w:val="auto"/>
          <w:sz w:val="22"/>
          <w:szCs w:val="22"/>
          <w:lang w:val="fr-CA"/>
        </w:rPr>
        <w:t>conséquence</w:t>
      </w:r>
      <w:r>
        <w:rPr>
          <w:rFonts w:asciiTheme="minorHAnsi" w:hAnsiTheme="minorHAnsi"/>
          <w:color w:val="auto"/>
          <w:sz w:val="22"/>
          <w:szCs w:val="22"/>
          <w:lang w:val="fr-CA"/>
        </w:rPr>
        <w:t>, entre autres,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de la diminution des précipitations due aux changements climatiques, </w:t>
      </w:r>
      <w:r w:rsidR="00B53028">
        <w:rPr>
          <w:rFonts w:asciiTheme="minorHAnsi" w:hAnsiTheme="minorHAnsi"/>
          <w:color w:val="auto"/>
          <w:sz w:val="22"/>
          <w:szCs w:val="22"/>
          <w:lang w:val="fr-CA"/>
        </w:rPr>
        <w:t xml:space="preserve">de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la surexploitation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et </w:t>
      </w:r>
      <w:r w:rsidR="00B53028">
        <w:rPr>
          <w:rFonts w:asciiTheme="minorHAnsi" w:hAnsiTheme="minorHAnsi"/>
          <w:color w:val="auto"/>
          <w:sz w:val="22"/>
          <w:szCs w:val="22"/>
          <w:lang w:val="fr-CA"/>
        </w:rPr>
        <w:t>de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la mauvaise gestion </w:t>
      </w:r>
      <w:r w:rsidR="000F18E7">
        <w:rPr>
          <w:rFonts w:asciiTheme="minorHAnsi" w:hAnsiTheme="minorHAnsi"/>
          <w:color w:val="auto"/>
          <w:sz w:val="22"/>
          <w:szCs w:val="22"/>
          <w:lang w:val="fr-CA"/>
        </w:rPr>
        <w:t xml:space="preserve">des ressources en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eau et </w:t>
      </w:r>
      <w:r w:rsidR="00B53028">
        <w:rPr>
          <w:rFonts w:asciiTheme="minorHAnsi" w:hAnsiTheme="minorHAnsi"/>
          <w:color w:val="auto"/>
          <w:sz w:val="22"/>
          <w:szCs w:val="22"/>
          <w:lang w:val="fr-CA"/>
        </w:rPr>
        <w:t xml:space="preserve">de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la construction de structures de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maîtrise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0F18E7">
        <w:rPr>
          <w:rFonts w:asciiTheme="minorHAnsi" w:hAnsiTheme="minorHAnsi"/>
          <w:color w:val="auto"/>
          <w:sz w:val="22"/>
          <w:szCs w:val="22"/>
          <w:lang w:val="fr-CA"/>
        </w:rPr>
        <w:t xml:space="preserve">et projets d’exploitation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de l’eau; </w:t>
      </w:r>
    </w:p>
    <w:p w:rsidR="001747A3" w:rsidRPr="001C7750" w:rsidRDefault="001747A3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EF7A93" w:rsidRPr="001C7750" w:rsidRDefault="000F18E7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7</w:t>
      </w:r>
      <w:r w:rsidR="001747A3" w:rsidRPr="001C7750">
        <w:rPr>
          <w:rFonts w:asciiTheme="minorHAnsi" w:hAnsiTheme="minorHAnsi"/>
          <w:color w:val="auto"/>
          <w:sz w:val="22"/>
          <w:szCs w:val="22"/>
          <w:lang w:val="fr-CA"/>
        </w:rPr>
        <w:t xml:space="preserve">. </w:t>
      </w:r>
      <w:r w:rsidR="001747A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EF7A93" w:rsidRPr="001C7750">
        <w:rPr>
          <w:rFonts w:asciiTheme="minorHAnsi" w:hAnsiTheme="minorHAnsi"/>
          <w:color w:val="auto"/>
          <w:sz w:val="22"/>
          <w:szCs w:val="22"/>
          <w:lang w:val="fr-CA"/>
        </w:rPr>
        <w:t>RECO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NNAISSANT </w:t>
      </w:r>
      <w:r w:rsidR="00FD0031">
        <w:rPr>
          <w:rFonts w:asciiTheme="minorHAnsi" w:hAnsiTheme="minorHAnsi"/>
          <w:color w:val="auto"/>
          <w:sz w:val="22"/>
          <w:szCs w:val="22"/>
          <w:lang w:val="fr-CA"/>
        </w:rPr>
        <w:t>et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RÉITÉRANT que la pénurie d’eau dans les zones humides est un problème mondial qui a des conséquences graves pour les écosystèmes et les moyens d’existence des peuples, en particulier de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s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communautés vulnérables qui dépendent des zones humides et NOTANT </w:t>
      </w:r>
      <w:r w:rsidR="00FD0031">
        <w:rPr>
          <w:rFonts w:asciiTheme="minorHAnsi" w:hAnsiTheme="minorHAnsi"/>
          <w:color w:val="auto"/>
          <w:sz w:val="22"/>
          <w:szCs w:val="22"/>
          <w:lang w:val="fr-CA"/>
        </w:rPr>
        <w:t xml:space="preserve">AVEC PRÉOCCUPATION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que ce problème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pourrait</w:t>
      </w:r>
      <w:r w:rsidR="00087B69">
        <w:rPr>
          <w:rFonts w:asciiTheme="minorHAnsi" w:hAnsiTheme="minorHAnsi"/>
          <w:color w:val="auto"/>
          <w:sz w:val="22"/>
          <w:szCs w:val="22"/>
          <w:lang w:val="fr-CA"/>
        </w:rPr>
        <w:t>,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à l’avenir</w:t>
      </w:r>
      <w:r w:rsidR="00087B69">
        <w:rPr>
          <w:rFonts w:asciiTheme="minorHAnsi" w:hAnsiTheme="minorHAnsi"/>
          <w:color w:val="auto"/>
          <w:sz w:val="22"/>
          <w:szCs w:val="22"/>
          <w:lang w:val="fr-CA"/>
        </w:rPr>
        <w:t>, être exacerbé par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la demande croissante en eau et autres ressources naturelles,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en plus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des effets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potentiels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des changements climatiques (Résolution XII.12);</w:t>
      </w:r>
    </w:p>
    <w:p w:rsidR="000F18E7" w:rsidRDefault="000F18E7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4E2F33" w:rsidRDefault="000F18E7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8.</w:t>
      </w:r>
      <w:r>
        <w:rPr>
          <w:rFonts w:asciiTheme="minorHAnsi" w:hAnsiTheme="minorHAnsi"/>
          <w:color w:val="auto"/>
          <w:sz w:val="22"/>
          <w:szCs w:val="22"/>
          <w:lang w:val="fr-CA"/>
        </w:rPr>
        <w:tab/>
        <w:t xml:space="preserve">RAPPELANT la résolution 72/225 de l’Assemblée </w:t>
      </w:r>
      <w:r w:rsidR="00B53028">
        <w:rPr>
          <w:rFonts w:asciiTheme="minorHAnsi" w:hAnsiTheme="minorHAnsi"/>
          <w:color w:val="auto"/>
          <w:sz w:val="22"/>
          <w:szCs w:val="22"/>
          <w:lang w:val="fr-CA"/>
        </w:rPr>
        <w:t xml:space="preserve">générale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>des Nations Unies,</w:t>
      </w:r>
      <w:r w:rsidR="008E21B1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8E21B1" w:rsidRPr="008E21B1">
        <w:rPr>
          <w:rFonts w:asciiTheme="minorHAnsi" w:hAnsiTheme="minorHAnsi"/>
          <w:i/>
          <w:color w:val="auto"/>
          <w:sz w:val="22"/>
          <w:szCs w:val="22"/>
          <w:lang w:val="fr-CA"/>
        </w:rPr>
        <w:t>Lutte contre les tempêtes de sable et de poussière</w:t>
      </w:r>
      <w:r w:rsidR="0055361F">
        <w:rPr>
          <w:rFonts w:asciiTheme="minorHAnsi" w:hAnsiTheme="minorHAnsi"/>
          <w:color w:val="auto"/>
          <w:sz w:val="22"/>
          <w:szCs w:val="22"/>
          <w:lang w:val="fr-CA"/>
        </w:rPr>
        <w:t>,</w:t>
      </w:r>
      <w:r w:rsidR="00C05148">
        <w:rPr>
          <w:rFonts w:asciiTheme="minorHAnsi" w:hAnsiTheme="minorHAnsi"/>
          <w:color w:val="auto"/>
          <w:sz w:val="22"/>
          <w:szCs w:val="22"/>
          <w:lang w:val="fr-CA"/>
        </w:rPr>
        <w:t xml:space="preserve"> la décision </w:t>
      </w:r>
      <w:r w:rsidR="008D5F59">
        <w:rPr>
          <w:rFonts w:asciiTheme="minorHAnsi" w:hAnsiTheme="minorHAnsi"/>
          <w:color w:val="auto"/>
          <w:sz w:val="22"/>
          <w:szCs w:val="22"/>
          <w:lang w:val="fr-CA"/>
        </w:rPr>
        <w:t>ICCD/</w:t>
      </w:r>
      <w:r w:rsidR="00C05148">
        <w:rPr>
          <w:rFonts w:asciiTheme="minorHAnsi" w:hAnsiTheme="minorHAnsi"/>
          <w:color w:val="auto"/>
          <w:sz w:val="22"/>
          <w:szCs w:val="22"/>
          <w:lang w:val="fr-CA"/>
        </w:rPr>
        <w:t>COP</w:t>
      </w:r>
      <w:r w:rsidR="008D5F59">
        <w:rPr>
          <w:rFonts w:asciiTheme="minorHAnsi" w:hAnsiTheme="minorHAnsi"/>
          <w:color w:val="auto"/>
          <w:sz w:val="22"/>
          <w:szCs w:val="22"/>
          <w:lang w:val="fr-CA"/>
        </w:rPr>
        <w:t>(1</w:t>
      </w:r>
      <w:r w:rsidR="00C05148">
        <w:rPr>
          <w:rFonts w:asciiTheme="minorHAnsi" w:hAnsiTheme="minorHAnsi"/>
          <w:color w:val="auto"/>
          <w:sz w:val="22"/>
          <w:szCs w:val="22"/>
          <w:lang w:val="fr-CA"/>
        </w:rPr>
        <w:t>3</w:t>
      </w:r>
      <w:r w:rsidR="008D5F59">
        <w:rPr>
          <w:rFonts w:asciiTheme="minorHAnsi" w:hAnsiTheme="minorHAnsi"/>
          <w:color w:val="auto"/>
          <w:sz w:val="22"/>
          <w:szCs w:val="22"/>
          <w:lang w:val="fr-CA"/>
        </w:rPr>
        <w:t>)/L.26</w:t>
      </w:r>
      <w:r w:rsidR="00C05148">
        <w:rPr>
          <w:rFonts w:asciiTheme="minorHAnsi" w:hAnsiTheme="minorHAnsi"/>
          <w:color w:val="auto"/>
          <w:sz w:val="22"/>
          <w:szCs w:val="22"/>
          <w:lang w:val="fr-CA"/>
        </w:rPr>
        <w:t xml:space="preserve"> de la Treizième session de la Conférence des Parties à la Convention des Nations Unies sur la lutte contre la désertification, </w:t>
      </w:r>
      <w:r w:rsidR="008D5F59" w:rsidRPr="008D5F59">
        <w:rPr>
          <w:rFonts w:asciiTheme="minorHAnsi" w:hAnsiTheme="minorHAnsi"/>
          <w:i/>
          <w:color w:val="auto"/>
          <w:sz w:val="22"/>
          <w:szCs w:val="22"/>
          <w:lang w:val="fr-CA"/>
        </w:rPr>
        <w:t>Cadre directif pour les activités de plaidoyer aux fins de la lutte contre les tempêtes de sable et de poussière</w:t>
      </w:r>
      <w:r w:rsidR="00C05148">
        <w:rPr>
          <w:rFonts w:asciiTheme="minorHAnsi" w:hAnsiTheme="minorHAnsi"/>
          <w:color w:val="auto"/>
          <w:sz w:val="22"/>
          <w:szCs w:val="22"/>
          <w:lang w:val="fr-CA"/>
        </w:rPr>
        <w:t xml:space="preserve">, et la résolution 2/21 de la Deuxième session de l’Assemblée générale des Nations Unies pour l’environnement, </w:t>
      </w:r>
      <w:r w:rsidR="00C05148" w:rsidRPr="008E21B1">
        <w:rPr>
          <w:rFonts w:asciiTheme="minorHAnsi" w:hAnsiTheme="minorHAnsi"/>
          <w:i/>
          <w:color w:val="auto"/>
          <w:sz w:val="22"/>
          <w:szCs w:val="22"/>
          <w:lang w:val="fr-CA"/>
        </w:rPr>
        <w:t>Tempêtes de sable et de poussière</w:t>
      </w:r>
      <w:r w:rsidR="00C05148">
        <w:rPr>
          <w:rFonts w:asciiTheme="minorHAnsi" w:hAnsiTheme="minorHAnsi"/>
          <w:color w:val="auto"/>
          <w:sz w:val="22"/>
          <w:szCs w:val="22"/>
          <w:lang w:val="fr-CA"/>
        </w:rPr>
        <w:t xml:space="preserve">, qui expriment leur préoccupation devant la gravité des tempêtes de sable et de poussière qui touchent aussi les écosystèmes de zones humides et </w:t>
      </w:r>
      <w:r w:rsidR="00937D9C">
        <w:rPr>
          <w:rFonts w:asciiTheme="minorHAnsi" w:hAnsiTheme="minorHAnsi"/>
          <w:color w:val="auto"/>
          <w:sz w:val="22"/>
          <w:szCs w:val="22"/>
          <w:lang w:val="fr-CA"/>
        </w:rPr>
        <w:t>insistent sur</w:t>
      </w:r>
      <w:r w:rsidR="00C05148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937D9C">
        <w:rPr>
          <w:rFonts w:asciiTheme="minorHAnsi" w:hAnsiTheme="minorHAnsi"/>
          <w:color w:val="auto"/>
          <w:sz w:val="22"/>
          <w:szCs w:val="22"/>
          <w:lang w:val="fr-CA"/>
        </w:rPr>
        <w:t>la nécessité de prendre des mesures</w:t>
      </w:r>
      <w:r w:rsidR="00C05148">
        <w:rPr>
          <w:rFonts w:asciiTheme="minorHAnsi" w:hAnsiTheme="minorHAnsi"/>
          <w:color w:val="auto"/>
          <w:sz w:val="22"/>
          <w:szCs w:val="22"/>
          <w:lang w:val="fr-CA"/>
        </w:rPr>
        <w:t>;</w:t>
      </w:r>
    </w:p>
    <w:p w:rsidR="00C05148" w:rsidRPr="001C7750" w:rsidRDefault="00C05148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</w:p>
    <w:p w:rsidR="004E2F33" w:rsidRPr="001C7750" w:rsidRDefault="00C05148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9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INQUIÈTE des pressions croissantes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qui s’exercent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sur les zones humides urbaines ainsi qu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e de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la perte de zones humides côtières</w:t>
      </w:r>
      <w:r w:rsidR="008F65B4" w:rsidRP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naturelles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pour diverses raisons, y compris </w:t>
      </w:r>
      <w:r w:rsidR="00743C20">
        <w:rPr>
          <w:rFonts w:asciiTheme="minorHAnsi" w:hAnsiTheme="minorHAnsi"/>
          <w:color w:val="auto"/>
          <w:sz w:val="22"/>
          <w:szCs w:val="22"/>
          <w:lang w:val="fr-CA"/>
        </w:rPr>
        <w:t>la maîtrise excessive et la surexploitation des ressources en eau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;</w:t>
      </w:r>
    </w:p>
    <w:p w:rsidR="0012096C" w:rsidRPr="001C7750" w:rsidRDefault="0012096C" w:rsidP="00295556">
      <w:pPr>
        <w:spacing w:after="0" w:line="240" w:lineRule="auto"/>
        <w:rPr>
          <w:rFonts w:ascii="Calibri" w:hAnsi="Calibri" w:cs="Arial"/>
          <w:lang w:val="fr-CA"/>
        </w:rPr>
      </w:pPr>
    </w:p>
    <w:p w:rsidR="004E2F33" w:rsidRPr="001C7750" w:rsidRDefault="00426B42" w:rsidP="004E2F33">
      <w:pPr>
        <w:spacing w:after="0" w:line="240" w:lineRule="auto"/>
        <w:jc w:val="center"/>
        <w:rPr>
          <w:i/>
          <w:lang w:val="fr-CA"/>
        </w:rPr>
      </w:pPr>
      <w:r>
        <w:rPr>
          <w:rFonts w:cs="Garamond"/>
          <w:lang w:val="fr-CA"/>
        </w:rPr>
        <w:t>LA CONFÉRENCE DES PARTIES CONTRACTANTES</w:t>
      </w:r>
    </w:p>
    <w:p w:rsidR="004E2F33" w:rsidRPr="001C7750" w:rsidRDefault="004E2F33" w:rsidP="004E2F33">
      <w:pPr>
        <w:pStyle w:val="Default"/>
        <w:ind w:left="425"/>
        <w:rPr>
          <w:rFonts w:asciiTheme="minorHAnsi" w:hAnsiTheme="minorHAnsi"/>
          <w:sz w:val="22"/>
          <w:szCs w:val="22"/>
          <w:lang w:val="fr-CA"/>
        </w:rPr>
      </w:pPr>
    </w:p>
    <w:p w:rsidR="004E2F33" w:rsidRPr="001C7750" w:rsidRDefault="00743C20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10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ENCOURAGE les Parties contractantes qui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ont en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partage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 d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es bassins de cours d’eau coulant à travers l’Asie de l’Ouest, en particulier les bassins du Tigre et de l’Euphrate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et de leurs affluents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, à coopérer pour maintenir les flux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d’eau douce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environnementaux le long des cours d’eau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naturels,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de façon que les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>pays riverains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ne subissent pas d’effets négatifs des activités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>de développement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.</w:t>
      </w:r>
    </w:p>
    <w:p w:rsidR="001747A3" w:rsidRPr="001C7750" w:rsidRDefault="001747A3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EF7A93" w:rsidRPr="001C7750" w:rsidRDefault="00743C20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11</w:t>
      </w:r>
      <w:r w:rsidR="001747A3" w:rsidRPr="001C7750">
        <w:rPr>
          <w:rFonts w:asciiTheme="minorHAnsi" w:hAnsiTheme="minorHAnsi"/>
          <w:color w:val="auto"/>
          <w:sz w:val="22"/>
          <w:szCs w:val="22"/>
          <w:lang w:val="fr-CA"/>
        </w:rPr>
        <w:t xml:space="preserve">. </w:t>
      </w:r>
      <w:r w:rsidR="001747A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EF7A93" w:rsidRPr="001C7750">
        <w:rPr>
          <w:rFonts w:asciiTheme="minorHAnsi" w:hAnsiTheme="minorHAnsi"/>
          <w:color w:val="auto"/>
          <w:sz w:val="22"/>
          <w:szCs w:val="22"/>
          <w:lang w:val="fr-CA"/>
        </w:rPr>
        <w:t xml:space="preserve">ENCOURAGE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les Parties contractantes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de la région Asie de l’Ouest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à envisager de recourir aux initiatives et engagements régionaux existants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>dans le contexte du développement durable pour fournir de l’eau pour l’environnement et en conséquence</w:t>
      </w:r>
      <w:r w:rsidR="006A56E9">
        <w:rPr>
          <w:rFonts w:asciiTheme="minorHAnsi" w:hAnsiTheme="minorHAnsi"/>
          <w:color w:val="auto"/>
          <w:sz w:val="22"/>
          <w:szCs w:val="22"/>
          <w:lang w:val="fr-CA"/>
        </w:rPr>
        <w:t>,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 renforcer la gestion des zones humides. </w:t>
      </w:r>
    </w:p>
    <w:p w:rsidR="001747A3" w:rsidRPr="001C7750" w:rsidRDefault="001747A3" w:rsidP="00EF7A9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4E2F33" w:rsidRPr="001C7750" w:rsidRDefault="00743C20" w:rsidP="00EF7A9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12</w:t>
      </w:r>
      <w:r w:rsidR="00CD6ECE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CD6ECE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RAPPELLE le slogan « Les zones humides pour notre avenir » et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 APPELLE à un appui international des Parties contractantes, </w:t>
      </w:r>
      <w:r w:rsidR="006752F2">
        <w:rPr>
          <w:rFonts w:asciiTheme="minorHAnsi" w:hAnsiTheme="minorHAnsi"/>
          <w:color w:val="auto"/>
          <w:sz w:val="22"/>
          <w:szCs w:val="22"/>
          <w:lang w:val="fr-CA"/>
        </w:rPr>
        <w:t>des Organisations internationales partenaires (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>OIP</w:t>
      </w:r>
      <w:r w:rsidR="006752F2">
        <w:rPr>
          <w:rFonts w:asciiTheme="minorHAnsi" w:hAnsiTheme="minorHAnsi"/>
          <w:color w:val="auto"/>
          <w:sz w:val="22"/>
          <w:szCs w:val="22"/>
          <w:lang w:val="fr-CA"/>
        </w:rPr>
        <w:t>) de Ramsar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 et </w:t>
      </w:r>
      <w:r w:rsidR="006752F2">
        <w:rPr>
          <w:rFonts w:asciiTheme="minorHAnsi" w:hAnsiTheme="minorHAnsi"/>
          <w:color w:val="auto"/>
          <w:sz w:val="22"/>
          <w:szCs w:val="22"/>
          <w:lang w:val="fr-CA"/>
        </w:rPr>
        <w:t xml:space="preserve">autres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organisations compétentes pour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restaurer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les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services écosystémiques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des zones humides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si nécessaire, afin que </w:t>
      </w:r>
      <w:r w:rsidR="006A56E9">
        <w:rPr>
          <w:rFonts w:asciiTheme="minorHAnsi" w:hAnsiTheme="minorHAnsi"/>
          <w:color w:val="auto"/>
          <w:sz w:val="22"/>
          <w:szCs w:val="22"/>
          <w:lang w:val="fr-CA"/>
        </w:rPr>
        <w:t xml:space="preserve">les populations affectées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puissent continuer de bénéficier de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ces zones humides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pendant la période de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rétablissement et à l’avenir. </w:t>
      </w:r>
    </w:p>
    <w:p w:rsidR="00901AFB" w:rsidRPr="001C7750" w:rsidRDefault="00901AFB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CD6ECE" w:rsidRDefault="00743C20" w:rsidP="00CD6ECE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13</w:t>
      </w:r>
      <w:r w:rsidR="00CD6ECE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CD6ECE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  <w:t xml:space="preserve">ENCOURAGE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>une plus grande coopération entre les Parties contractantes,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la Convention du patrimoine mondial,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 les OIP et les organisations compétentes pour promouvoir la sensibilisation à l’importance des zones humides de la région et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agir concrètement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 en faveur de leur conservation et de leur utilisation rationnelle, y compris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par l’échange d’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expérience et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de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>connaissances expertes, la formation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et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le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s études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>conjointes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>.</w:t>
      </w:r>
    </w:p>
    <w:p w:rsidR="00743C20" w:rsidRDefault="00743C20" w:rsidP="00CD6ECE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743C20" w:rsidRPr="001C7750" w:rsidRDefault="00743C20" w:rsidP="00CD6ECE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lastRenderedPageBreak/>
        <w:t>14.</w:t>
      </w:r>
      <w:r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B53028">
        <w:rPr>
          <w:rFonts w:asciiTheme="minorHAnsi" w:hAnsiTheme="minorHAnsi"/>
          <w:color w:val="auto"/>
          <w:sz w:val="22"/>
          <w:szCs w:val="22"/>
          <w:lang w:val="fr-CA"/>
        </w:rPr>
        <w:t>DEMANDE au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Centre régional Ramsar-Asie centrale et de l’Ouest </w:t>
      </w:r>
      <w:r w:rsidR="00B53028">
        <w:rPr>
          <w:rFonts w:asciiTheme="minorHAnsi" w:hAnsiTheme="minorHAnsi"/>
          <w:color w:val="auto"/>
          <w:sz w:val="22"/>
          <w:szCs w:val="22"/>
          <w:lang w:val="fr-CA"/>
        </w:rPr>
        <w:t>de</w:t>
      </w:r>
      <w:r w:rsidR="00937D9C">
        <w:rPr>
          <w:rFonts w:asciiTheme="minorHAnsi" w:hAnsiTheme="minorHAnsi"/>
          <w:color w:val="auto"/>
          <w:sz w:val="22"/>
          <w:szCs w:val="22"/>
          <w:lang w:val="fr-CA"/>
        </w:rPr>
        <w:t xml:space="preserve"> donner suite aux dispositions de la présente Résolution, dans le cadre de son mandat, et </w:t>
      </w:r>
      <w:r w:rsidR="006752F2">
        <w:rPr>
          <w:rFonts w:asciiTheme="minorHAnsi" w:hAnsiTheme="minorHAnsi"/>
          <w:color w:val="auto"/>
          <w:sz w:val="22"/>
          <w:szCs w:val="22"/>
          <w:lang w:val="fr-CA"/>
        </w:rPr>
        <w:t>de</w:t>
      </w:r>
      <w:r w:rsidR="00937D9C">
        <w:rPr>
          <w:rFonts w:asciiTheme="minorHAnsi" w:hAnsiTheme="minorHAnsi"/>
          <w:color w:val="auto"/>
          <w:sz w:val="22"/>
          <w:szCs w:val="22"/>
          <w:lang w:val="fr-CA"/>
        </w:rPr>
        <w:t xml:space="preserve"> faire rapport à la Conférence des </w:t>
      </w:r>
      <w:r w:rsidR="00B53028">
        <w:rPr>
          <w:rFonts w:asciiTheme="minorHAnsi" w:hAnsiTheme="minorHAnsi"/>
          <w:color w:val="auto"/>
          <w:sz w:val="22"/>
          <w:szCs w:val="22"/>
          <w:lang w:val="fr-CA"/>
        </w:rPr>
        <w:t>P</w:t>
      </w:r>
      <w:r w:rsidR="00937D9C">
        <w:rPr>
          <w:rFonts w:asciiTheme="minorHAnsi" w:hAnsiTheme="minorHAnsi"/>
          <w:color w:val="auto"/>
          <w:sz w:val="22"/>
          <w:szCs w:val="22"/>
          <w:lang w:val="fr-CA"/>
        </w:rPr>
        <w:t>arties contractantes.</w:t>
      </w:r>
    </w:p>
    <w:p w:rsidR="00CD6ECE" w:rsidRPr="001C7750" w:rsidRDefault="00CD6ECE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EF7A93" w:rsidRPr="001C7750" w:rsidRDefault="00EF7A93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sectPr w:rsidR="00EF7A93" w:rsidRPr="001C7750" w:rsidSect="00A0697C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3E" w:rsidRDefault="009F3F3E" w:rsidP="00A0697C">
      <w:pPr>
        <w:spacing w:after="0" w:line="240" w:lineRule="auto"/>
      </w:pPr>
      <w:r>
        <w:separator/>
      </w:r>
    </w:p>
  </w:endnote>
  <w:endnote w:type="continuationSeparator" w:id="0">
    <w:p w:rsidR="009F3F3E" w:rsidRDefault="009F3F3E" w:rsidP="00A0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7C" w:rsidRPr="00A0697C" w:rsidRDefault="00A55CBC">
    <w:pPr>
      <w:pStyle w:val="Footer"/>
      <w:rPr>
        <w:sz w:val="20"/>
        <w:szCs w:val="20"/>
        <w:lang w:val="en-GB"/>
      </w:rPr>
    </w:pPr>
    <w:r w:rsidRPr="00A55CBC">
      <w:rPr>
        <w:sz w:val="20"/>
        <w:szCs w:val="20"/>
        <w:lang w:val="en-GB"/>
      </w:rPr>
      <w:t>Ramsar COP13 Doc.18.24</w:t>
    </w:r>
    <w:r w:rsidR="0022115B" w:rsidRPr="0022115B">
      <w:rPr>
        <w:sz w:val="20"/>
        <w:szCs w:val="20"/>
        <w:lang w:val="en-GB"/>
      </w:rPr>
      <w:tab/>
    </w:r>
    <w:r w:rsidR="0022115B" w:rsidRPr="0022115B">
      <w:rPr>
        <w:sz w:val="20"/>
        <w:szCs w:val="20"/>
        <w:lang w:val="en-GB"/>
      </w:rPr>
      <w:tab/>
    </w:r>
    <w:r w:rsidR="0022115B" w:rsidRPr="0022115B">
      <w:rPr>
        <w:sz w:val="20"/>
        <w:szCs w:val="20"/>
        <w:lang w:val="en-GB"/>
      </w:rPr>
      <w:fldChar w:fldCharType="begin"/>
    </w:r>
    <w:r w:rsidR="0022115B" w:rsidRPr="0022115B">
      <w:rPr>
        <w:sz w:val="20"/>
        <w:szCs w:val="20"/>
        <w:lang w:val="en-GB"/>
      </w:rPr>
      <w:instrText xml:space="preserve"> PAGE   \* MERGEFORMAT </w:instrText>
    </w:r>
    <w:r w:rsidR="0022115B" w:rsidRPr="0022115B">
      <w:rPr>
        <w:sz w:val="20"/>
        <w:szCs w:val="20"/>
        <w:lang w:val="en-GB"/>
      </w:rPr>
      <w:fldChar w:fldCharType="separate"/>
    </w:r>
    <w:r>
      <w:rPr>
        <w:noProof/>
        <w:sz w:val="20"/>
        <w:szCs w:val="20"/>
        <w:lang w:val="en-GB"/>
      </w:rPr>
      <w:t>3</w:t>
    </w:r>
    <w:r w:rsidR="0022115B" w:rsidRPr="0022115B">
      <w:rPr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3E" w:rsidRDefault="009F3F3E" w:rsidP="00A0697C">
      <w:pPr>
        <w:spacing w:after="0" w:line="240" w:lineRule="auto"/>
      </w:pPr>
      <w:r>
        <w:separator/>
      </w:r>
    </w:p>
  </w:footnote>
  <w:footnote w:type="continuationSeparator" w:id="0">
    <w:p w:rsidR="009F3F3E" w:rsidRDefault="009F3F3E" w:rsidP="00A06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33"/>
    <w:rsid w:val="000437F7"/>
    <w:rsid w:val="00087B69"/>
    <w:rsid w:val="000F18E7"/>
    <w:rsid w:val="0012096C"/>
    <w:rsid w:val="00145243"/>
    <w:rsid w:val="001747A3"/>
    <w:rsid w:val="001B09D6"/>
    <w:rsid w:val="001C7750"/>
    <w:rsid w:val="0022115B"/>
    <w:rsid w:val="0022161C"/>
    <w:rsid w:val="00292BC1"/>
    <w:rsid w:val="00295556"/>
    <w:rsid w:val="002C65F1"/>
    <w:rsid w:val="002D6964"/>
    <w:rsid w:val="00330B10"/>
    <w:rsid w:val="003364AC"/>
    <w:rsid w:val="00342964"/>
    <w:rsid w:val="003C6CB8"/>
    <w:rsid w:val="00426B42"/>
    <w:rsid w:val="0046353E"/>
    <w:rsid w:val="004A0B07"/>
    <w:rsid w:val="004B7097"/>
    <w:rsid w:val="004E2F33"/>
    <w:rsid w:val="00504C15"/>
    <w:rsid w:val="00527783"/>
    <w:rsid w:val="0055361F"/>
    <w:rsid w:val="00570682"/>
    <w:rsid w:val="005C32AA"/>
    <w:rsid w:val="00656835"/>
    <w:rsid w:val="006752F2"/>
    <w:rsid w:val="006A02AA"/>
    <w:rsid w:val="006A56E9"/>
    <w:rsid w:val="00743C20"/>
    <w:rsid w:val="00756FC3"/>
    <w:rsid w:val="00866E7F"/>
    <w:rsid w:val="008D2FD8"/>
    <w:rsid w:val="008D5F59"/>
    <w:rsid w:val="008E21B1"/>
    <w:rsid w:val="008F65B4"/>
    <w:rsid w:val="00901AFB"/>
    <w:rsid w:val="00905B27"/>
    <w:rsid w:val="00937D9C"/>
    <w:rsid w:val="009D6BE5"/>
    <w:rsid w:val="009F3F3E"/>
    <w:rsid w:val="00A0697C"/>
    <w:rsid w:val="00A55CBC"/>
    <w:rsid w:val="00A75240"/>
    <w:rsid w:val="00AC79C1"/>
    <w:rsid w:val="00B01B6E"/>
    <w:rsid w:val="00B53028"/>
    <w:rsid w:val="00B65024"/>
    <w:rsid w:val="00BB1B8D"/>
    <w:rsid w:val="00C05148"/>
    <w:rsid w:val="00CC0B92"/>
    <w:rsid w:val="00CD6ECE"/>
    <w:rsid w:val="00D01F07"/>
    <w:rsid w:val="00D04717"/>
    <w:rsid w:val="00D837B0"/>
    <w:rsid w:val="00DD431F"/>
    <w:rsid w:val="00E11B7D"/>
    <w:rsid w:val="00E36B6D"/>
    <w:rsid w:val="00E86B4A"/>
    <w:rsid w:val="00EA0C59"/>
    <w:rsid w:val="00EF7A93"/>
    <w:rsid w:val="00F07A65"/>
    <w:rsid w:val="00FD0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33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33"/>
    <w:pPr>
      <w:ind w:left="720"/>
      <w:contextualSpacing/>
    </w:pPr>
  </w:style>
  <w:style w:type="paragraph" w:customStyle="1" w:styleId="Default">
    <w:name w:val="Default"/>
    <w:rsid w:val="004E2F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NoSpacing">
    <w:name w:val="No Spacing"/>
    <w:uiPriority w:val="1"/>
    <w:qFormat/>
    <w:rsid w:val="004E2F33"/>
    <w:pPr>
      <w:spacing w:after="0" w:line="240" w:lineRule="auto"/>
    </w:pPr>
    <w:rPr>
      <w:lang w:val="en-AU"/>
    </w:rPr>
  </w:style>
  <w:style w:type="paragraph" w:customStyle="1" w:styleId="gmail-default">
    <w:name w:val="gmail-default"/>
    <w:basedOn w:val="Normal"/>
    <w:rsid w:val="00EF7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97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0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97C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1F"/>
    <w:rPr>
      <w:rFonts w:ascii="Segoe UI" w:hAnsi="Segoe UI" w:cs="Segoe UI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33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33"/>
    <w:pPr>
      <w:ind w:left="720"/>
      <w:contextualSpacing/>
    </w:pPr>
  </w:style>
  <w:style w:type="paragraph" w:customStyle="1" w:styleId="Default">
    <w:name w:val="Default"/>
    <w:rsid w:val="004E2F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NoSpacing">
    <w:name w:val="No Spacing"/>
    <w:uiPriority w:val="1"/>
    <w:qFormat/>
    <w:rsid w:val="004E2F33"/>
    <w:pPr>
      <w:spacing w:after="0" w:line="240" w:lineRule="auto"/>
    </w:pPr>
    <w:rPr>
      <w:lang w:val="en-AU"/>
    </w:rPr>
  </w:style>
  <w:style w:type="paragraph" w:customStyle="1" w:styleId="gmail-default">
    <w:name w:val="gmail-default"/>
    <w:basedOn w:val="Normal"/>
    <w:rsid w:val="00EF7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97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0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97C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1F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5284</Characters>
  <Application>Microsoft Office Word</Application>
  <DocSecurity>4</DocSecurity>
  <Lines>96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CRIMW</dc:creator>
  <cp:lastModifiedBy>Ramsar\JenningsE</cp:lastModifiedBy>
  <cp:revision>2</cp:revision>
  <dcterms:created xsi:type="dcterms:W3CDTF">2018-07-21T19:08:00Z</dcterms:created>
  <dcterms:modified xsi:type="dcterms:W3CDTF">2018-07-21T19:08:00Z</dcterms:modified>
</cp:coreProperties>
</file>