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7D8C8" w14:textId="77777777" w:rsidR="00A713C6" w:rsidRPr="00EA553C" w:rsidRDefault="00A713C6" w:rsidP="009F3C0A">
      <w:pPr>
        <w:spacing w:after="0" w:line="240" w:lineRule="auto"/>
        <w:ind w:right="14"/>
        <w:jc w:val="center"/>
        <w:outlineLvl w:val="0"/>
        <w:rPr>
          <w:rFonts w:ascii="Calibri" w:hAnsi="Calibri" w:cstheme="majorHAnsi"/>
          <w:b/>
          <w:bCs/>
          <w:lang w:val="fr-CH"/>
        </w:rPr>
      </w:pPr>
      <w:r>
        <w:rPr>
          <w:rFonts w:ascii="Calibri" w:hAnsi="Calibri" w:cstheme="majorHAnsi"/>
          <w:b/>
          <w:bCs/>
          <w:noProof/>
          <w:sz w:val="28"/>
          <w:szCs w:val="28"/>
          <w:lang w:val="en-GB" w:eastAsia="en-GB"/>
        </w:rPr>
        <w:drawing>
          <wp:anchor distT="0" distB="0" distL="114300" distR="114300" simplePos="0" relativeHeight="251659264" behindDoc="1" locked="0" layoutInCell="1" allowOverlap="1" wp14:anchorId="7F6F4DD8" wp14:editId="556D7EB7">
            <wp:simplePos x="0" y="0"/>
            <wp:positionH relativeFrom="column">
              <wp:posOffset>-254000</wp:posOffset>
            </wp:positionH>
            <wp:positionV relativeFrom="paragraph">
              <wp:posOffset>-530225</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EA553C">
        <w:rPr>
          <w:rFonts w:ascii="Calibri" w:hAnsi="Calibri" w:cstheme="majorHAnsi"/>
          <w:b/>
          <w:bCs/>
          <w:lang w:val="fr-CH"/>
        </w:rPr>
        <w:t>13</w:t>
      </w:r>
      <w:r w:rsidRPr="00DF0874">
        <w:rPr>
          <w:rFonts w:ascii="Calibri" w:hAnsi="Calibri" w:cstheme="majorHAnsi"/>
          <w:b/>
          <w:bCs/>
          <w:vertAlign w:val="superscript"/>
          <w:lang w:val="fr-CH"/>
        </w:rPr>
        <w:t>e</w:t>
      </w:r>
      <w:r w:rsidRPr="00EA553C">
        <w:rPr>
          <w:rFonts w:ascii="Calibri" w:hAnsi="Calibri" w:cstheme="majorHAnsi"/>
          <w:b/>
          <w:bCs/>
          <w:lang w:val="fr-CH"/>
        </w:rPr>
        <w:t xml:space="preserve"> Session de la Conférence des Parties </w:t>
      </w:r>
      <w:r>
        <w:rPr>
          <w:rFonts w:ascii="Calibri" w:hAnsi="Calibri" w:cstheme="majorHAnsi"/>
          <w:b/>
          <w:bCs/>
          <w:lang w:val="fr-CH"/>
        </w:rPr>
        <w:t>c</w:t>
      </w:r>
      <w:r w:rsidRPr="00EA553C">
        <w:rPr>
          <w:rFonts w:ascii="Calibri" w:hAnsi="Calibri" w:cstheme="majorHAnsi"/>
          <w:b/>
          <w:bCs/>
          <w:lang w:val="fr-CH"/>
        </w:rPr>
        <w:t>ontract</w:t>
      </w:r>
      <w:r>
        <w:rPr>
          <w:rFonts w:ascii="Calibri" w:hAnsi="Calibri" w:cstheme="majorHAnsi"/>
          <w:b/>
          <w:bCs/>
          <w:lang w:val="fr-CH"/>
        </w:rPr>
        <w:t>antes</w:t>
      </w:r>
      <w:r w:rsidRPr="00EA553C">
        <w:rPr>
          <w:rFonts w:ascii="Calibri" w:hAnsi="Calibri" w:cstheme="majorHAnsi"/>
          <w:b/>
          <w:bCs/>
          <w:lang w:val="fr-CH"/>
        </w:rPr>
        <w:t xml:space="preserve"> </w:t>
      </w:r>
    </w:p>
    <w:p w14:paraId="1C743E0F" w14:textId="77777777" w:rsidR="00A713C6" w:rsidRPr="00EA553C" w:rsidRDefault="00A713C6" w:rsidP="009F3C0A">
      <w:pPr>
        <w:spacing w:after="0" w:line="240" w:lineRule="auto"/>
        <w:ind w:right="14"/>
        <w:jc w:val="center"/>
        <w:outlineLvl w:val="0"/>
        <w:rPr>
          <w:rFonts w:ascii="Calibri" w:hAnsi="Calibri" w:cstheme="majorHAnsi"/>
          <w:b/>
          <w:bCs/>
          <w:lang w:val="fr-CH"/>
        </w:rPr>
      </w:pPr>
      <w:r>
        <w:rPr>
          <w:rFonts w:ascii="Calibri" w:hAnsi="Calibri" w:cstheme="majorHAnsi"/>
          <w:b/>
          <w:bCs/>
          <w:lang w:val="fr-CH"/>
        </w:rPr>
        <w:t>à</w:t>
      </w:r>
      <w:r w:rsidRPr="00EA553C">
        <w:rPr>
          <w:rFonts w:ascii="Calibri" w:hAnsi="Calibri" w:cstheme="majorHAnsi"/>
          <w:b/>
          <w:bCs/>
          <w:lang w:val="fr-CH"/>
        </w:rPr>
        <w:t xml:space="preserve"> la Convention </w:t>
      </w:r>
      <w:r>
        <w:rPr>
          <w:rFonts w:ascii="Calibri" w:hAnsi="Calibri" w:cstheme="majorHAnsi"/>
          <w:b/>
          <w:bCs/>
          <w:lang w:val="fr-CH"/>
        </w:rPr>
        <w:t xml:space="preserve">de </w:t>
      </w:r>
      <w:r w:rsidRPr="00EA553C">
        <w:rPr>
          <w:rFonts w:ascii="Calibri" w:hAnsi="Calibri" w:cstheme="majorHAnsi"/>
          <w:b/>
          <w:bCs/>
          <w:lang w:val="fr-CH"/>
        </w:rPr>
        <w:t xml:space="preserve">Ramsar </w:t>
      </w:r>
      <w:r>
        <w:rPr>
          <w:rFonts w:ascii="Calibri" w:hAnsi="Calibri" w:cstheme="majorHAnsi"/>
          <w:b/>
          <w:bCs/>
          <w:lang w:val="fr-CH"/>
        </w:rPr>
        <w:t>sur les zones humides</w:t>
      </w:r>
    </w:p>
    <w:p w14:paraId="327D9147" w14:textId="77777777" w:rsidR="00A713C6" w:rsidRPr="00EA553C" w:rsidRDefault="00A713C6" w:rsidP="009F3C0A">
      <w:pPr>
        <w:spacing w:after="0" w:line="240" w:lineRule="auto"/>
        <w:ind w:right="14"/>
        <w:jc w:val="center"/>
        <w:outlineLvl w:val="0"/>
        <w:rPr>
          <w:rFonts w:ascii="Calibri" w:hAnsi="Calibri" w:cstheme="majorHAnsi"/>
          <w:b/>
          <w:bCs/>
          <w:lang w:val="fr-CH"/>
        </w:rPr>
      </w:pPr>
    </w:p>
    <w:p w14:paraId="163B23BE" w14:textId="77777777" w:rsidR="00A713C6" w:rsidRPr="00EA553C" w:rsidRDefault="00A713C6" w:rsidP="009F3C0A">
      <w:pPr>
        <w:spacing w:after="0" w:line="240" w:lineRule="auto"/>
        <w:ind w:right="14"/>
        <w:jc w:val="center"/>
        <w:outlineLvl w:val="0"/>
        <w:rPr>
          <w:rFonts w:ascii="Calibri" w:hAnsi="Calibri" w:cstheme="majorHAnsi"/>
          <w:b/>
          <w:bCs/>
          <w:lang w:val="fr-CH"/>
        </w:rPr>
      </w:pPr>
      <w:r>
        <w:rPr>
          <w:rFonts w:ascii="Calibri" w:hAnsi="Calibri" w:cstheme="majorHAnsi"/>
          <w:b/>
          <w:bCs/>
          <w:lang w:val="fr-CH"/>
        </w:rPr>
        <w:t>« </w:t>
      </w:r>
      <w:r w:rsidRPr="00EA553C">
        <w:rPr>
          <w:rFonts w:ascii="Calibri" w:hAnsi="Calibri" w:cstheme="majorHAnsi"/>
          <w:b/>
          <w:bCs/>
          <w:lang w:val="fr-CH"/>
        </w:rPr>
        <w:t>Les zones humides pour un avenir urbain durable</w:t>
      </w:r>
      <w:r>
        <w:rPr>
          <w:rFonts w:ascii="Calibri" w:hAnsi="Calibri" w:cstheme="majorHAnsi"/>
          <w:b/>
          <w:bCs/>
          <w:lang w:val="fr-CH"/>
        </w:rPr>
        <w:t> »</w:t>
      </w:r>
    </w:p>
    <w:p w14:paraId="75D6E66B" w14:textId="77777777" w:rsidR="00A713C6" w:rsidRPr="00EA553C" w:rsidRDefault="00A713C6" w:rsidP="009F3C0A">
      <w:pPr>
        <w:spacing w:after="0" w:line="240" w:lineRule="auto"/>
        <w:ind w:right="14"/>
        <w:jc w:val="center"/>
        <w:outlineLvl w:val="0"/>
        <w:rPr>
          <w:rFonts w:ascii="Calibri" w:hAnsi="Calibri" w:cstheme="majorHAnsi"/>
          <w:b/>
          <w:bCs/>
          <w:lang w:val="fr-CH"/>
        </w:rPr>
      </w:pPr>
      <w:r w:rsidRPr="00EA553C">
        <w:rPr>
          <w:rFonts w:ascii="Calibri" w:hAnsi="Calibri" w:cstheme="majorHAnsi"/>
          <w:b/>
          <w:bCs/>
          <w:lang w:val="fr-CH"/>
        </w:rPr>
        <w:t xml:space="preserve">Dubaï, Émirats arabes unis, 21 au 29 </w:t>
      </w:r>
      <w:r>
        <w:rPr>
          <w:rFonts w:ascii="Calibri" w:hAnsi="Calibri" w:cstheme="majorHAnsi"/>
          <w:b/>
          <w:bCs/>
          <w:lang w:val="fr-CH"/>
        </w:rPr>
        <w:t>o</w:t>
      </w:r>
      <w:r w:rsidRPr="00EA553C">
        <w:rPr>
          <w:rFonts w:ascii="Calibri" w:hAnsi="Calibri" w:cstheme="majorHAnsi"/>
          <w:b/>
          <w:bCs/>
          <w:lang w:val="fr-CH"/>
        </w:rPr>
        <w:t>ctobre 2018</w:t>
      </w:r>
    </w:p>
    <w:p w14:paraId="0ABCCE30" w14:textId="77777777" w:rsidR="00A713C6" w:rsidRPr="00EA553C" w:rsidRDefault="00A713C6" w:rsidP="00A713C6">
      <w:pPr>
        <w:ind w:right="17"/>
        <w:jc w:val="center"/>
        <w:outlineLvl w:val="0"/>
        <w:rPr>
          <w:rFonts w:ascii="Calibri" w:hAnsi="Calibri"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713C6" w:rsidRPr="000E67F8" w14:paraId="703F140E" w14:textId="77777777" w:rsidTr="00493F04">
        <w:tc>
          <w:tcPr>
            <w:tcW w:w="4708" w:type="dxa"/>
          </w:tcPr>
          <w:p w14:paraId="083EC4E2" w14:textId="77777777" w:rsidR="00A713C6" w:rsidRPr="00EA553C" w:rsidRDefault="00A713C6" w:rsidP="009F3C0A">
            <w:pPr>
              <w:spacing w:after="0" w:line="240" w:lineRule="auto"/>
              <w:ind w:right="17"/>
              <w:jc w:val="center"/>
              <w:outlineLvl w:val="0"/>
              <w:rPr>
                <w:rFonts w:ascii="Calibri" w:hAnsi="Calibri" w:cstheme="majorHAnsi"/>
                <w:b/>
                <w:bCs/>
                <w:lang w:val="fr-CH"/>
              </w:rPr>
            </w:pPr>
          </w:p>
        </w:tc>
        <w:tc>
          <w:tcPr>
            <w:tcW w:w="4652" w:type="dxa"/>
          </w:tcPr>
          <w:p w14:paraId="6B13C37A" w14:textId="5D6C44EE" w:rsidR="00A713C6" w:rsidRPr="000E67F8" w:rsidRDefault="009F3C0A" w:rsidP="009F3C0A">
            <w:pPr>
              <w:spacing w:after="0" w:line="240" w:lineRule="auto"/>
              <w:ind w:right="67"/>
              <w:jc w:val="right"/>
              <w:outlineLvl w:val="0"/>
              <w:rPr>
                <w:rFonts w:ascii="Calibri" w:hAnsi="Calibri" w:cstheme="majorHAnsi"/>
                <w:b/>
                <w:bCs/>
                <w:lang w:val="en-US"/>
              </w:rPr>
            </w:pPr>
            <w:r w:rsidRPr="009F3C0A">
              <w:rPr>
                <w:rFonts w:ascii="Calibri" w:hAnsi="Calibri" w:cstheme="majorHAnsi"/>
                <w:b/>
                <w:bCs/>
                <w:lang w:val="en-US"/>
              </w:rPr>
              <w:t>Ramsar COP13 Doc.18.23</w:t>
            </w:r>
          </w:p>
        </w:tc>
      </w:tr>
    </w:tbl>
    <w:p w14:paraId="3EF15D4A" w14:textId="77777777" w:rsidR="00A713C6" w:rsidRDefault="00A713C6" w:rsidP="009F3C0A">
      <w:pPr>
        <w:spacing w:after="0" w:line="240" w:lineRule="auto"/>
        <w:rPr>
          <w:b/>
          <w:sz w:val="28"/>
          <w:szCs w:val="28"/>
          <w:lang w:val="fr-CA"/>
        </w:rPr>
      </w:pPr>
    </w:p>
    <w:p w14:paraId="72691A40" w14:textId="4AC6639F" w:rsidR="00906E32" w:rsidRPr="003E675E" w:rsidRDefault="00A713C6" w:rsidP="009F3C0A">
      <w:pPr>
        <w:spacing w:after="0" w:line="240" w:lineRule="auto"/>
        <w:jc w:val="center"/>
        <w:rPr>
          <w:rFonts w:asciiTheme="minorHAnsi" w:hAnsiTheme="minorHAnsi"/>
          <w:b/>
          <w:sz w:val="28"/>
          <w:lang w:val="fr-CA"/>
        </w:rPr>
      </w:pPr>
      <w:bookmarkStart w:id="0" w:name="_GoBack"/>
      <w:r w:rsidRPr="00A713C6">
        <w:rPr>
          <w:rFonts w:asciiTheme="minorHAnsi" w:hAnsiTheme="minorHAnsi" w:cstheme="minorHAnsi"/>
          <w:b/>
          <w:sz w:val="28"/>
          <w:szCs w:val="28"/>
          <w:lang w:val="fr-CA"/>
        </w:rPr>
        <w:t xml:space="preserve">Projet de résolution </w:t>
      </w:r>
      <w:r w:rsidR="009F3C0A">
        <w:rPr>
          <w:rFonts w:asciiTheme="minorHAnsi" w:hAnsiTheme="minorHAnsi" w:cstheme="minorHAnsi"/>
          <w:b/>
          <w:sz w:val="28"/>
          <w:szCs w:val="28"/>
          <w:lang w:val="fr-CA"/>
        </w:rPr>
        <w:t>sur la c</w:t>
      </w:r>
      <w:r w:rsidR="003E675E">
        <w:rPr>
          <w:rFonts w:asciiTheme="minorHAnsi" w:hAnsiTheme="minorHAnsi"/>
          <w:b/>
          <w:sz w:val="28"/>
          <w:lang w:val="fr-CA"/>
        </w:rPr>
        <w:t xml:space="preserve">onservation et </w:t>
      </w:r>
      <w:r w:rsidR="009F3C0A">
        <w:rPr>
          <w:rFonts w:asciiTheme="minorHAnsi" w:hAnsiTheme="minorHAnsi"/>
          <w:b/>
          <w:sz w:val="28"/>
          <w:lang w:val="fr-CA"/>
        </w:rPr>
        <w:t xml:space="preserve">la </w:t>
      </w:r>
      <w:r w:rsidR="003E675E">
        <w:rPr>
          <w:rFonts w:asciiTheme="minorHAnsi" w:hAnsiTheme="minorHAnsi"/>
          <w:b/>
          <w:sz w:val="28"/>
          <w:lang w:val="fr-CA"/>
        </w:rPr>
        <w:t>gestion de</w:t>
      </w:r>
      <w:r w:rsidR="006403B1">
        <w:rPr>
          <w:rFonts w:asciiTheme="minorHAnsi" w:hAnsiTheme="minorHAnsi"/>
          <w:b/>
          <w:sz w:val="28"/>
          <w:lang w:val="fr-CA"/>
        </w:rPr>
        <w:t>s</w:t>
      </w:r>
      <w:r w:rsidR="003E675E">
        <w:rPr>
          <w:rFonts w:asciiTheme="minorHAnsi" w:hAnsiTheme="minorHAnsi"/>
          <w:b/>
          <w:sz w:val="28"/>
          <w:lang w:val="fr-CA"/>
        </w:rPr>
        <w:t xml:space="preserve"> petites </w:t>
      </w:r>
      <w:r w:rsidR="009F3C0A">
        <w:rPr>
          <w:rFonts w:asciiTheme="minorHAnsi" w:hAnsiTheme="minorHAnsi"/>
          <w:b/>
          <w:sz w:val="28"/>
          <w:lang w:val="fr-CA"/>
        </w:rPr>
        <w:br/>
      </w:r>
      <w:r w:rsidR="003E675E">
        <w:rPr>
          <w:rFonts w:asciiTheme="minorHAnsi" w:hAnsiTheme="minorHAnsi"/>
          <w:b/>
          <w:sz w:val="28"/>
          <w:lang w:val="fr-CA"/>
        </w:rPr>
        <w:t xml:space="preserve">zones humides </w:t>
      </w:r>
    </w:p>
    <w:bookmarkEnd w:id="0"/>
    <w:p w14:paraId="4520EE41" w14:textId="611C0B3D" w:rsidR="0048108C" w:rsidRPr="009F767F" w:rsidRDefault="0048108C" w:rsidP="009F3C0A">
      <w:pPr>
        <w:spacing w:after="0" w:line="240" w:lineRule="auto"/>
        <w:rPr>
          <w:rFonts w:asciiTheme="minorHAnsi" w:eastAsia="Times New Roman" w:hAnsiTheme="minorHAnsi"/>
          <w:lang w:val="fr-CA"/>
        </w:rPr>
      </w:pPr>
    </w:p>
    <w:p w14:paraId="747376A3" w14:textId="2ECF6E5C" w:rsidR="00906E32" w:rsidRDefault="003E675E" w:rsidP="009F3C0A">
      <w:pPr>
        <w:spacing w:after="0" w:line="240" w:lineRule="auto"/>
        <w:rPr>
          <w:rFonts w:asciiTheme="minorHAnsi" w:eastAsia="Calibri" w:hAnsiTheme="minorHAnsi" w:cs="Arial"/>
          <w:sz w:val="22"/>
          <w:szCs w:val="22"/>
          <w:lang w:val="fr-CA"/>
        </w:rPr>
      </w:pPr>
      <w:r>
        <w:rPr>
          <w:rFonts w:asciiTheme="minorHAnsi" w:eastAsia="Times New Roman" w:hAnsiTheme="minorHAnsi"/>
          <w:i/>
          <w:sz w:val="22"/>
          <w:szCs w:val="22"/>
          <w:lang w:val="fr-CA"/>
        </w:rPr>
        <w:t>Présenté par la Chine</w:t>
      </w:r>
    </w:p>
    <w:p w14:paraId="1DAC7B2F" w14:textId="77777777" w:rsidR="006241DD" w:rsidRDefault="006241DD" w:rsidP="009F3C0A">
      <w:pPr>
        <w:spacing w:after="0" w:line="240" w:lineRule="auto"/>
        <w:jc w:val="both"/>
        <w:rPr>
          <w:rFonts w:ascii="Calibri" w:hAnsi="Calibri"/>
          <w:lang w:val="fr-CA"/>
        </w:rPr>
      </w:pPr>
    </w:p>
    <w:p w14:paraId="04DA3823" w14:textId="77777777" w:rsidR="009F3C0A" w:rsidRDefault="009F3C0A" w:rsidP="003045C1">
      <w:pPr>
        <w:spacing w:after="0" w:line="240" w:lineRule="auto"/>
        <w:ind w:left="425" w:hanging="425"/>
        <w:jc w:val="both"/>
        <w:rPr>
          <w:rFonts w:ascii="Calibri" w:hAnsi="Calibri"/>
          <w:lang w:val="fr-CA"/>
        </w:rPr>
      </w:pPr>
    </w:p>
    <w:p w14:paraId="0C9B5144" w14:textId="2E914A12" w:rsidR="00906E32" w:rsidRPr="003E675E" w:rsidRDefault="002158C4"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1.</w:t>
      </w:r>
      <w:r w:rsidR="0048108C" w:rsidRPr="003E675E">
        <w:rPr>
          <w:rFonts w:asciiTheme="minorHAnsi" w:hAnsiTheme="minorHAnsi"/>
          <w:sz w:val="22"/>
          <w:szCs w:val="22"/>
          <w:lang w:val="fr-CA" w:eastAsia="zh-CN"/>
        </w:rPr>
        <w:tab/>
      </w:r>
      <w:r w:rsidR="004B6F70" w:rsidRPr="003E675E">
        <w:rPr>
          <w:rFonts w:asciiTheme="minorHAnsi" w:hAnsiTheme="minorHAnsi"/>
          <w:sz w:val="22"/>
          <w:lang w:val="fr-CA"/>
        </w:rPr>
        <w:t>R</w:t>
      </w:r>
      <w:r w:rsidR="004B6F70">
        <w:rPr>
          <w:rFonts w:asciiTheme="minorHAnsi" w:hAnsiTheme="minorHAnsi"/>
          <w:sz w:val="22"/>
          <w:lang w:val="fr-CA"/>
        </w:rPr>
        <w:t>APPELANT</w:t>
      </w:r>
      <w:r w:rsidR="004B6F70" w:rsidRPr="003E675E">
        <w:rPr>
          <w:rFonts w:asciiTheme="minorHAnsi" w:hAnsiTheme="minorHAnsi"/>
          <w:sz w:val="22"/>
          <w:lang w:val="fr-CA"/>
        </w:rPr>
        <w:t xml:space="preserve"> </w:t>
      </w:r>
      <w:r w:rsidR="004B6F70">
        <w:rPr>
          <w:rFonts w:asciiTheme="minorHAnsi" w:hAnsiTheme="minorHAnsi"/>
          <w:sz w:val="22"/>
          <w:lang w:val="fr-CA"/>
        </w:rPr>
        <w:t>les engagements pris par les Parties contractantes dans l’Article </w:t>
      </w:r>
      <w:r w:rsidR="004B6F70" w:rsidRPr="003E675E">
        <w:rPr>
          <w:rFonts w:asciiTheme="minorHAnsi" w:hAnsiTheme="minorHAnsi"/>
          <w:sz w:val="22"/>
          <w:lang w:val="fr-CA"/>
        </w:rPr>
        <w:t xml:space="preserve">3.1 </w:t>
      </w:r>
      <w:r w:rsidR="004B6F70">
        <w:rPr>
          <w:rFonts w:asciiTheme="minorHAnsi" w:hAnsiTheme="minorHAnsi"/>
          <w:sz w:val="22"/>
          <w:lang w:val="fr-CA"/>
        </w:rPr>
        <w:t xml:space="preserve">de la </w:t>
      </w:r>
      <w:r w:rsidR="004B6F70" w:rsidRPr="003E675E">
        <w:rPr>
          <w:rFonts w:asciiTheme="minorHAnsi" w:hAnsiTheme="minorHAnsi"/>
          <w:sz w:val="22"/>
          <w:lang w:val="fr-CA"/>
        </w:rPr>
        <w:t>Convention</w:t>
      </w:r>
      <w:r w:rsidR="004B6F70">
        <w:rPr>
          <w:rFonts w:asciiTheme="minorHAnsi" w:hAnsiTheme="minorHAnsi"/>
          <w:sz w:val="22"/>
          <w:lang w:val="fr-CA"/>
        </w:rPr>
        <w:t>, de promouvoir, dans toute la mesure du possible,  l’utilisation rationnelle des zones humides de leur territoire et</w:t>
      </w:r>
      <w:r w:rsidR="00A713C6">
        <w:rPr>
          <w:rFonts w:asciiTheme="minorHAnsi" w:hAnsiTheme="minorHAnsi"/>
          <w:sz w:val="22"/>
          <w:lang w:val="fr-CA"/>
        </w:rPr>
        <w:t>, dans l’Article 3.2,</w:t>
      </w:r>
      <w:r w:rsidR="004B6F70">
        <w:rPr>
          <w:rFonts w:asciiTheme="minorHAnsi" w:hAnsiTheme="minorHAnsi"/>
          <w:sz w:val="22"/>
          <w:lang w:val="fr-CA"/>
        </w:rPr>
        <w:t xml:space="preserve"> de maintenir les caractéristiques écologiques des sites inscrits sur la Liste de Ramsar des zones humides d’importance internationale;</w:t>
      </w:r>
      <w:r w:rsidR="00F94131" w:rsidRPr="003E675E">
        <w:rPr>
          <w:rFonts w:asciiTheme="minorHAnsi" w:hAnsiTheme="minorHAnsi"/>
          <w:sz w:val="22"/>
          <w:lang w:val="fr-CA"/>
        </w:rPr>
        <w:t xml:space="preserve"> </w:t>
      </w:r>
    </w:p>
    <w:p w14:paraId="3D894F88" w14:textId="77777777" w:rsidR="00906E32" w:rsidRPr="003E675E" w:rsidRDefault="00906E32" w:rsidP="003045C1">
      <w:pPr>
        <w:spacing w:after="0" w:line="240" w:lineRule="auto"/>
        <w:ind w:left="425" w:hanging="425"/>
        <w:rPr>
          <w:rFonts w:asciiTheme="minorHAnsi" w:hAnsiTheme="minorHAnsi"/>
          <w:sz w:val="22"/>
          <w:lang w:val="fr-CA"/>
        </w:rPr>
      </w:pPr>
    </w:p>
    <w:p w14:paraId="57BCE63A" w14:textId="6076BE34" w:rsidR="00906E32" w:rsidRPr="003E675E" w:rsidRDefault="0048108C"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2.</w:t>
      </w:r>
      <w:r w:rsidRPr="003E675E">
        <w:rPr>
          <w:rFonts w:asciiTheme="minorHAnsi" w:hAnsiTheme="minorHAnsi"/>
          <w:sz w:val="22"/>
          <w:szCs w:val="22"/>
          <w:lang w:val="fr-CA" w:eastAsia="zh-CN"/>
        </w:rPr>
        <w:tab/>
      </w:r>
      <w:r w:rsidR="004B6F70">
        <w:rPr>
          <w:rFonts w:asciiTheme="minorHAnsi" w:hAnsiTheme="minorHAnsi"/>
          <w:sz w:val="22"/>
          <w:szCs w:val="22"/>
          <w:lang w:val="fr-CA" w:eastAsia="zh-CN"/>
        </w:rPr>
        <w:t xml:space="preserve">SACHANT que l’inventaire des zones humides ignore souvent les zones humides de faible superficie et qu’il y a de profondes lacunes dans notre compréhension des </w:t>
      </w:r>
      <w:r w:rsidR="004B6F70" w:rsidRPr="006241DD">
        <w:rPr>
          <w:rFonts w:asciiTheme="minorHAnsi" w:hAnsiTheme="minorHAnsi"/>
          <w:sz w:val="22"/>
          <w:szCs w:val="22"/>
          <w:lang w:val="fr-CA" w:eastAsia="zh-CN"/>
        </w:rPr>
        <w:t>petites zones humides</w:t>
      </w:r>
      <w:r w:rsidR="004B6F70">
        <w:rPr>
          <w:rFonts w:asciiTheme="minorHAnsi" w:hAnsiTheme="minorHAnsi"/>
          <w:sz w:val="22"/>
          <w:szCs w:val="22"/>
          <w:lang w:val="fr-CA" w:eastAsia="zh-CN"/>
        </w:rPr>
        <w:t xml:space="preserve"> et de leur </w:t>
      </w:r>
      <w:r w:rsidR="004B6F70" w:rsidRPr="003E675E">
        <w:rPr>
          <w:rFonts w:asciiTheme="minorHAnsi" w:hAnsiTheme="minorHAnsi"/>
          <w:sz w:val="22"/>
          <w:lang w:val="fr-CA"/>
        </w:rPr>
        <w:t xml:space="preserve">distribution </w:t>
      </w:r>
      <w:r w:rsidR="004B6F70">
        <w:rPr>
          <w:rFonts w:asciiTheme="minorHAnsi" w:hAnsiTheme="minorHAnsi"/>
          <w:sz w:val="22"/>
          <w:lang w:val="fr-CA"/>
        </w:rPr>
        <w:t xml:space="preserve">spatiale, </w:t>
      </w:r>
      <w:r w:rsidR="0053606C">
        <w:rPr>
          <w:rFonts w:asciiTheme="minorHAnsi" w:hAnsiTheme="minorHAnsi"/>
          <w:sz w:val="22"/>
          <w:lang w:val="fr-CA"/>
        </w:rPr>
        <w:t xml:space="preserve">de leur </w:t>
      </w:r>
      <w:r w:rsidR="004B6F70">
        <w:rPr>
          <w:rFonts w:asciiTheme="minorHAnsi" w:hAnsiTheme="minorHAnsi"/>
          <w:sz w:val="22"/>
          <w:lang w:val="fr-CA"/>
        </w:rPr>
        <w:t xml:space="preserve">connectivité et de leurs </w:t>
      </w:r>
      <w:r w:rsidR="001847E0">
        <w:rPr>
          <w:rFonts w:asciiTheme="minorHAnsi" w:hAnsiTheme="minorHAnsi"/>
          <w:sz w:val="22"/>
          <w:lang w:val="fr-CA"/>
        </w:rPr>
        <w:t>réseaux</w:t>
      </w:r>
      <w:r w:rsidR="004B6F70">
        <w:rPr>
          <w:rFonts w:asciiTheme="minorHAnsi" w:hAnsiTheme="minorHAnsi"/>
          <w:sz w:val="22"/>
          <w:lang w:val="fr-CA"/>
        </w:rPr>
        <w:t xml:space="preserve"> à l’échelon mondial;</w:t>
      </w:r>
    </w:p>
    <w:p w14:paraId="04D92666" w14:textId="77777777" w:rsidR="00906E32" w:rsidRPr="003E675E" w:rsidRDefault="00906E32" w:rsidP="003045C1">
      <w:pPr>
        <w:spacing w:after="0" w:line="240" w:lineRule="auto"/>
        <w:ind w:left="425" w:hanging="425"/>
        <w:rPr>
          <w:rFonts w:asciiTheme="minorHAnsi" w:hAnsiTheme="minorHAnsi"/>
          <w:sz w:val="22"/>
          <w:lang w:val="fr-CA"/>
        </w:rPr>
      </w:pPr>
    </w:p>
    <w:p w14:paraId="19A2DD0A" w14:textId="2EC0543B" w:rsidR="00906E32" w:rsidRPr="003E675E" w:rsidRDefault="0048108C"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3.</w:t>
      </w:r>
      <w:r w:rsidRPr="003E675E">
        <w:rPr>
          <w:rFonts w:asciiTheme="minorHAnsi" w:hAnsiTheme="minorHAnsi"/>
          <w:sz w:val="22"/>
          <w:szCs w:val="22"/>
          <w:lang w:val="fr-CA" w:eastAsia="zh-CN"/>
        </w:rPr>
        <w:tab/>
      </w:r>
      <w:r w:rsidR="001847E0">
        <w:rPr>
          <w:rFonts w:asciiTheme="minorHAnsi" w:hAnsiTheme="minorHAnsi"/>
          <w:sz w:val="22"/>
          <w:szCs w:val="22"/>
          <w:lang w:val="fr-CA" w:eastAsia="zh-CN"/>
        </w:rPr>
        <w:t xml:space="preserve">SACHANT AUSSI que les petites zones humides peuvent être extrêmement sensibles aux changements environnementaux, en particulier à l’évolution du climat, ainsi qu’aux besoins en </w:t>
      </w:r>
      <w:r w:rsidR="0053606C">
        <w:rPr>
          <w:rFonts w:asciiTheme="minorHAnsi" w:hAnsiTheme="minorHAnsi"/>
          <w:sz w:val="22"/>
          <w:szCs w:val="22"/>
          <w:lang w:val="fr-CA" w:eastAsia="zh-CN"/>
        </w:rPr>
        <w:t>espaces</w:t>
      </w:r>
      <w:r w:rsidR="001847E0">
        <w:rPr>
          <w:rFonts w:asciiTheme="minorHAnsi" w:hAnsiTheme="minorHAnsi"/>
          <w:sz w:val="22"/>
          <w:szCs w:val="22"/>
          <w:lang w:val="fr-CA" w:eastAsia="zh-CN"/>
        </w:rPr>
        <w:t xml:space="preserve"> pour le développement humain; </w:t>
      </w:r>
    </w:p>
    <w:p w14:paraId="18069523" w14:textId="77777777" w:rsidR="00906E32" w:rsidRPr="003E675E" w:rsidRDefault="00906E32" w:rsidP="003045C1">
      <w:pPr>
        <w:spacing w:after="0" w:line="240" w:lineRule="auto"/>
        <w:ind w:left="425" w:hanging="425"/>
        <w:rPr>
          <w:rFonts w:asciiTheme="minorHAnsi" w:hAnsiTheme="minorHAnsi"/>
          <w:sz w:val="22"/>
          <w:lang w:val="fr-CA"/>
        </w:rPr>
      </w:pPr>
    </w:p>
    <w:p w14:paraId="4F9424A6" w14:textId="6E4EF757" w:rsidR="00906E32" w:rsidRPr="003E675E" w:rsidRDefault="0048108C"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4.</w:t>
      </w:r>
      <w:r w:rsidRPr="003E675E">
        <w:rPr>
          <w:rFonts w:asciiTheme="minorHAnsi" w:hAnsiTheme="minorHAnsi"/>
          <w:sz w:val="22"/>
          <w:szCs w:val="22"/>
          <w:lang w:val="fr-CA" w:eastAsia="zh-CN"/>
        </w:rPr>
        <w:tab/>
      </w:r>
      <w:r w:rsidR="001847E0" w:rsidRPr="003E675E">
        <w:rPr>
          <w:rFonts w:asciiTheme="minorHAnsi" w:hAnsiTheme="minorHAnsi"/>
          <w:sz w:val="22"/>
          <w:szCs w:val="22"/>
          <w:lang w:val="fr-CA" w:eastAsia="zh-CN"/>
        </w:rPr>
        <w:t>RECO</w:t>
      </w:r>
      <w:r w:rsidR="001847E0">
        <w:rPr>
          <w:rFonts w:asciiTheme="minorHAnsi" w:hAnsiTheme="minorHAnsi"/>
          <w:sz w:val="22"/>
          <w:szCs w:val="22"/>
          <w:lang w:val="fr-CA" w:eastAsia="zh-CN"/>
        </w:rPr>
        <w:t>NNAISSANT qu’à l’intérieur de complexes de zones humides, les petites zones humides peuvent jouer un rôle important dans le</w:t>
      </w:r>
      <w:r w:rsidR="00A713C6">
        <w:rPr>
          <w:rFonts w:asciiTheme="minorHAnsi" w:hAnsiTheme="minorHAnsi"/>
          <w:sz w:val="22"/>
          <w:szCs w:val="22"/>
          <w:lang w:val="fr-CA" w:eastAsia="zh-CN"/>
        </w:rPr>
        <w:t>s</w:t>
      </w:r>
      <w:r w:rsidR="001847E0">
        <w:rPr>
          <w:rFonts w:asciiTheme="minorHAnsi" w:hAnsiTheme="minorHAnsi"/>
          <w:sz w:val="22"/>
          <w:szCs w:val="22"/>
          <w:lang w:val="fr-CA" w:eastAsia="zh-CN"/>
        </w:rPr>
        <w:t xml:space="preserve"> cycle</w:t>
      </w:r>
      <w:r w:rsidR="00A713C6">
        <w:rPr>
          <w:rFonts w:asciiTheme="minorHAnsi" w:hAnsiTheme="minorHAnsi"/>
          <w:sz w:val="22"/>
          <w:szCs w:val="22"/>
          <w:lang w:val="fr-CA" w:eastAsia="zh-CN"/>
        </w:rPr>
        <w:t>s</w:t>
      </w:r>
      <w:r w:rsidR="001847E0">
        <w:rPr>
          <w:rFonts w:asciiTheme="minorHAnsi" w:hAnsiTheme="minorHAnsi"/>
          <w:sz w:val="22"/>
          <w:szCs w:val="22"/>
          <w:lang w:val="fr-CA" w:eastAsia="zh-CN"/>
        </w:rPr>
        <w:t xml:space="preserve"> hydrologique</w:t>
      </w:r>
      <w:r w:rsidR="00A713C6">
        <w:rPr>
          <w:rFonts w:asciiTheme="minorHAnsi" w:hAnsiTheme="minorHAnsi"/>
          <w:sz w:val="22"/>
          <w:szCs w:val="22"/>
          <w:lang w:val="fr-CA" w:eastAsia="zh-CN"/>
        </w:rPr>
        <w:t>s</w:t>
      </w:r>
      <w:r w:rsidR="001847E0">
        <w:rPr>
          <w:rFonts w:asciiTheme="minorHAnsi" w:hAnsiTheme="minorHAnsi"/>
          <w:sz w:val="22"/>
          <w:szCs w:val="22"/>
          <w:lang w:val="fr-CA" w:eastAsia="zh-CN"/>
        </w:rPr>
        <w:t xml:space="preserve"> dans les bassins versants et à plus grande échelle, procurer un refuge crucial aux amphibiens endémiques et aux poissons, ainsi qu</w:t>
      </w:r>
      <w:r w:rsidR="00A713C6">
        <w:rPr>
          <w:rFonts w:asciiTheme="minorHAnsi" w:hAnsiTheme="minorHAnsi"/>
          <w:sz w:val="22"/>
          <w:szCs w:val="22"/>
          <w:lang w:val="fr-CA" w:eastAsia="zh-CN"/>
        </w:rPr>
        <w:t>’aux espèces reproductrices</w:t>
      </w:r>
      <w:r w:rsidR="001847E0">
        <w:rPr>
          <w:rFonts w:asciiTheme="minorHAnsi" w:hAnsiTheme="minorHAnsi"/>
          <w:sz w:val="22"/>
          <w:szCs w:val="22"/>
          <w:lang w:val="fr-CA" w:eastAsia="zh-CN"/>
        </w:rPr>
        <w:t xml:space="preserve">; </w:t>
      </w:r>
      <w:r w:rsidR="00A713C6">
        <w:rPr>
          <w:rFonts w:asciiTheme="minorHAnsi" w:hAnsiTheme="minorHAnsi"/>
          <w:sz w:val="22"/>
          <w:szCs w:val="22"/>
          <w:lang w:val="fr-CA" w:eastAsia="zh-CN"/>
        </w:rPr>
        <w:t xml:space="preserve">et </w:t>
      </w:r>
      <w:r w:rsidR="001847E0">
        <w:rPr>
          <w:rFonts w:asciiTheme="minorHAnsi" w:hAnsiTheme="minorHAnsi"/>
          <w:sz w:val="22"/>
          <w:szCs w:val="22"/>
          <w:lang w:val="fr-CA" w:eastAsia="zh-CN"/>
        </w:rPr>
        <w:t xml:space="preserve">RECONNAISSANT </w:t>
      </w:r>
      <w:r w:rsidR="00A713C6">
        <w:rPr>
          <w:rFonts w:asciiTheme="minorHAnsi" w:hAnsiTheme="minorHAnsi"/>
          <w:sz w:val="22"/>
          <w:szCs w:val="22"/>
          <w:lang w:val="fr-CA" w:eastAsia="zh-CN"/>
        </w:rPr>
        <w:t>AUSSI</w:t>
      </w:r>
      <w:r w:rsidR="001847E0">
        <w:rPr>
          <w:rFonts w:asciiTheme="minorHAnsi" w:hAnsiTheme="minorHAnsi"/>
          <w:sz w:val="22"/>
          <w:szCs w:val="22"/>
          <w:lang w:val="fr-CA" w:eastAsia="zh-CN"/>
        </w:rPr>
        <w:t xml:space="preserve"> que les petites zones humides peuvent souvent assurer le même type de services écosystémiques que les zones humides </w:t>
      </w:r>
      <w:r w:rsidR="00A713C6">
        <w:rPr>
          <w:rFonts w:asciiTheme="minorHAnsi" w:hAnsiTheme="minorHAnsi"/>
          <w:sz w:val="22"/>
          <w:szCs w:val="22"/>
          <w:lang w:val="fr-CA" w:eastAsia="zh-CN"/>
        </w:rPr>
        <w:t xml:space="preserve">de </w:t>
      </w:r>
      <w:r w:rsidR="001847E0">
        <w:rPr>
          <w:rFonts w:asciiTheme="minorHAnsi" w:hAnsiTheme="minorHAnsi"/>
          <w:sz w:val="22"/>
          <w:szCs w:val="22"/>
          <w:lang w:val="fr-CA" w:eastAsia="zh-CN"/>
        </w:rPr>
        <w:t>plus grande</w:t>
      </w:r>
      <w:r w:rsidR="00A713C6">
        <w:rPr>
          <w:rFonts w:asciiTheme="minorHAnsi" w:hAnsiTheme="minorHAnsi"/>
          <w:sz w:val="22"/>
          <w:szCs w:val="22"/>
          <w:lang w:val="fr-CA" w:eastAsia="zh-CN"/>
        </w:rPr>
        <w:t xml:space="preserve"> taille</w:t>
      </w:r>
      <w:r w:rsidR="001847E0">
        <w:rPr>
          <w:rFonts w:asciiTheme="minorHAnsi" w:hAnsiTheme="minorHAnsi"/>
          <w:sz w:val="22"/>
          <w:szCs w:val="22"/>
          <w:lang w:val="fr-CA" w:eastAsia="zh-CN"/>
        </w:rPr>
        <w:t>;</w:t>
      </w:r>
    </w:p>
    <w:p w14:paraId="014ED258" w14:textId="77777777" w:rsidR="00906E32" w:rsidRPr="003E675E" w:rsidRDefault="00906E32" w:rsidP="003045C1">
      <w:pPr>
        <w:spacing w:after="0" w:line="240" w:lineRule="auto"/>
        <w:ind w:left="425" w:hanging="425"/>
        <w:rPr>
          <w:rFonts w:asciiTheme="minorHAnsi" w:hAnsiTheme="minorHAnsi"/>
          <w:sz w:val="22"/>
          <w:lang w:val="fr-CA"/>
        </w:rPr>
      </w:pPr>
    </w:p>
    <w:p w14:paraId="47E82BDF" w14:textId="4587DB73" w:rsidR="00906E32" w:rsidRPr="003E675E" w:rsidRDefault="0048108C"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5.</w:t>
      </w:r>
      <w:r w:rsidRPr="003E675E">
        <w:rPr>
          <w:rFonts w:asciiTheme="minorHAnsi" w:hAnsiTheme="minorHAnsi"/>
          <w:sz w:val="22"/>
          <w:szCs w:val="22"/>
          <w:lang w:val="fr-CA" w:eastAsia="zh-CN"/>
        </w:rPr>
        <w:tab/>
      </w:r>
      <w:r w:rsidR="00931DF5">
        <w:rPr>
          <w:rFonts w:asciiTheme="minorHAnsi" w:hAnsiTheme="minorHAnsi"/>
          <w:sz w:val="22"/>
          <w:szCs w:val="22"/>
          <w:lang w:val="fr-CA" w:eastAsia="zh-CN"/>
        </w:rPr>
        <w:t>RECONNAISSANT ÉGALEMENT que les établissements humains, les villages et les villes sont souvent associés à de petites zones humides et forment avec elles un patrimoine paysager important</w:t>
      </w:r>
      <w:r w:rsidR="00BC64D2">
        <w:rPr>
          <w:rFonts w:asciiTheme="minorHAnsi" w:hAnsiTheme="minorHAnsi"/>
          <w:sz w:val="22"/>
          <w:szCs w:val="22"/>
          <w:lang w:val="fr-CA" w:eastAsia="zh-CN"/>
        </w:rPr>
        <w:t>;</w:t>
      </w:r>
      <w:r w:rsidR="006850E6" w:rsidRPr="003E675E">
        <w:rPr>
          <w:rFonts w:asciiTheme="minorHAnsi" w:hAnsiTheme="minorHAnsi"/>
          <w:sz w:val="22"/>
          <w:lang w:val="fr-CA"/>
        </w:rPr>
        <w:t xml:space="preserve"> </w:t>
      </w:r>
    </w:p>
    <w:p w14:paraId="30E7E2CE" w14:textId="77777777" w:rsidR="00906E32" w:rsidRPr="003E675E" w:rsidRDefault="00906E32" w:rsidP="003045C1">
      <w:pPr>
        <w:spacing w:after="0" w:line="240" w:lineRule="auto"/>
        <w:ind w:left="425" w:hanging="425"/>
        <w:rPr>
          <w:rFonts w:asciiTheme="minorHAnsi" w:hAnsiTheme="minorHAnsi"/>
          <w:sz w:val="22"/>
          <w:lang w:val="fr-CA"/>
        </w:rPr>
      </w:pPr>
    </w:p>
    <w:p w14:paraId="4AF4C124" w14:textId="44C6C554" w:rsidR="00906E32" w:rsidRPr="003E675E" w:rsidRDefault="0048108C"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rPr>
        <w:t>6.</w:t>
      </w:r>
      <w:r w:rsidRPr="003E675E">
        <w:rPr>
          <w:rFonts w:asciiTheme="minorHAnsi" w:hAnsiTheme="minorHAnsi"/>
          <w:sz w:val="22"/>
          <w:szCs w:val="22"/>
          <w:lang w:val="fr-CA"/>
        </w:rPr>
        <w:tab/>
      </w:r>
      <w:r w:rsidR="00931DF5">
        <w:rPr>
          <w:rFonts w:asciiTheme="minorHAnsi" w:hAnsiTheme="minorHAnsi"/>
          <w:sz w:val="22"/>
          <w:lang w:val="fr-CA"/>
        </w:rPr>
        <w:t xml:space="preserve">PRÉOCCUPÉE de constater que les pressions du développement s’exercent de plus en plus sur les petites zones humides et ENCORE PLUS PRÉOCCUPÉE par le fait que ces petites zones humides disparaissent du fait de </w:t>
      </w:r>
      <w:r w:rsidR="005E6C3D">
        <w:rPr>
          <w:rFonts w:asciiTheme="minorHAnsi" w:hAnsiTheme="minorHAnsi"/>
          <w:sz w:val="22"/>
          <w:lang w:val="fr-CA"/>
        </w:rPr>
        <w:t xml:space="preserve">l’expansion de l’agriculture, </w:t>
      </w:r>
      <w:r w:rsidR="007F6EF2">
        <w:rPr>
          <w:rFonts w:asciiTheme="minorHAnsi" w:hAnsiTheme="minorHAnsi"/>
          <w:sz w:val="22"/>
          <w:lang w:val="fr-CA"/>
        </w:rPr>
        <w:t xml:space="preserve">du développement urbain, </w:t>
      </w:r>
      <w:r w:rsidR="00931DF5">
        <w:rPr>
          <w:rFonts w:asciiTheme="minorHAnsi" w:hAnsiTheme="minorHAnsi"/>
          <w:sz w:val="22"/>
          <w:lang w:val="fr-CA"/>
        </w:rPr>
        <w:t xml:space="preserve">et notamment </w:t>
      </w:r>
      <w:r w:rsidR="007F6EF2">
        <w:rPr>
          <w:rFonts w:asciiTheme="minorHAnsi" w:hAnsiTheme="minorHAnsi"/>
          <w:sz w:val="22"/>
          <w:lang w:val="fr-CA"/>
        </w:rPr>
        <w:t xml:space="preserve">des </w:t>
      </w:r>
      <w:r w:rsidR="00826F23">
        <w:rPr>
          <w:rFonts w:asciiTheme="minorHAnsi" w:hAnsiTheme="minorHAnsi"/>
          <w:sz w:val="22"/>
          <w:lang w:val="fr-CA"/>
        </w:rPr>
        <w:t>grandes villes</w:t>
      </w:r>
      <w:r w:rsidR="007F6EF2">
        <w:rPr>
          <w:rFonts w:asciiTheme="minorHAnsi" w:hAnsiTheme="minorHAnsi"/>
          <w:sz w:val="22"/>
          <w:lang w:val="fr-CA"/>
        </w:rPr>
        <w:t xml:space="preserve">, </w:t>
      </w:r>
      <w:r w:rsidR="00931DF5">
        <w:rPr>
          <w:rFonts w:asciiTheme="minorHAnsi" w:hAnsiTheme="minorHAnsi"/>
          <w:sz w:val="22"/>
          <w:lang w:val="fr-CA"/>
        </w:rPr>
        <w:t>et d’autres activités anthrop</w:t>
      </w:r>
      <w:r w:rsidR="00040A33">
        <w:rPr>
          <w:rFonts w:asciiTheme="minorHAnsi" w:hAnsiTheme="minorHAnsi"/>
          <w:sz w:val="22"/>
          <w:lang w:val="fr-CA"/>
        </w:rPr>
        <w:t>iques</w:t>
      </w:r>
      <w:r w:rsidR="00826F23">
        <w:rPr>
          <w:rFonts w:asciiTheme="minorHAnsi" w:hAnsiTheme="minorHAnsi"/>
          <w:sz w:val="22"/>
          <w:lang w:val="fr-CA"/>
        </w:rPr>
        <w:t xml:space="preserve">; </w:t>
      </w:r>
      <w:r w:rsidR="00F94131" w:rsidRPr="003E675E">
        <w:rPr>
          <w:rFonts w:asciiTheme="minorHAnsi" w:hAnsiTheme="minorHAnsi"/>
          <w:sz w:val="22"/>
          <w:lang w:val="fr-CA"/>
        </w:rPr>
        <w:t xml:space="preserve">  </w:t>
      </w:r>
    </w:p>
    <w:p w14:paraId="4E623188" w14:textId="77777777" w:rsidR="00906E32" w:rsidRPr="003E675E" w:rsidRDefault="00906E32" w:rsidP="003045C1">
      <w:pPr>
        <w:spacing w:after="0" w:line="240" w:lineRule="auto"/>
        <w:ind w:left="425" w:hanging="425"/>
        <w:rPr>
          <w:rFonts w:asciiTheme="minorHAnsi" w:hAnsiTheme="minorHAnsi"/>
          <w:sz w:val="22"/>
          <w:lang w:val="fr-CA"/>
        </w:rPr>
      </w:pPr>
    </w:p>
    <w:p w14:paraId="28130C98" w14:textId="3D9CD41C" w:rsidR="00906E32" w:rsidRPr="003E675E" w:rsidRDefault="007C13AC" w:rsidP="003045C1">
      <w:pPr>
        <w:spacing w:after="0" w:line="240" w:lineRule="auto"/>
        <w:ind w:left="425" w:hanging="425"/>
        <w:rPr>
          <w:rFonts w:asciiTheme="minorHAnsi" w:hAnsiTheme="minorHAnsi"/>
          <w:sz w:val="22"/>
          <w:lang w:val="fr-CA"/>
        </w:rPr>
      </w:pPr>
      <w:r>
        <w:rPr>
          <w:rFonts w:asciiTheme="minorHAnsi" w:hAnsiTheme="minorHAnsi"/>
          <w:sz w:val="22"/>
          <w:szCs w:val="22"/>
          <w:lang w:val="fr-CA"/>
        </w:rPr>
        <w:t>7</w:t>
      </w:r>
      <w:r w:rsidR="0048108C" w:rsidRPr="003E675E">
        <w:rPr>
          <w:rFonts w:asciiTheme="minorHAnsi" w:hAnsiTheme="minorHAnsi"/>
          <w:sz w:val="22"/>
          <w:szCs w:val="22"/>
          <w:lang w:val="fr-CA"/>
        </w:rPr>
        <w:t>.</w:t>
      </w:r>
      <w:r w:rsidR="0048108C" w:rsidRPr="003E675E">
        <w:rPr>
          <w:rFonts w:asciiTheme="minorHAnsi" w:hAnsiTheme="minorHAnsi"/>
          <w:sz w:val="22"/>
          <w:szCs w:val="22"/>
          <w:lang w:val="fr-CA"/>
        </w:rPr>
        <w:tab/>
      </w:r>
      <w:r w:rsidR="00931DF5" w:rsidRPr="003E675E">
        <w:rPr>
          <w:rFonts w:asciiTheme="minorHAnsi" w:hAnsiTheme="minorHAnsi"/>
          <w:sz w:val="22"/>
          <w:lang w:val="fr-CA"/>
        </w:rPr>
        <w:t>NOT</w:t>
      </w:r>
      <w:r w:rsidR="00931DF5">
        <w:rPr>
          <w:rFonts w:asciiTheme="minorHAnsi" w:hAnsiTheme="minorHAnsi"/>
          <w:sz w:val="22"/>
          <w:lang w:val="fr-CA"/>
        </w:rPr>
        <w:t>ANT les efforts déployés par le Réseau européen de conservation des mares et des étangs et son Projet pour les étangs 2007</w:t>
      </w:r>
      <w:r w:rsidR="00931DF5">
        <w:rPr>
          <w:rFonts w:asciiTheme="minorHAnsi" w:hAnsiTheme="minorHAnsi"/>
          <w:sz w:val="22"/>
          <w:lang w:val="fr-CA"/>
        </w:rPr>
        <w:noBreakHyphen/>
      </w:r>
      <w:r w:rsidR="00931DF5" w:rsidRPr="003E675E">
        <w:rPr>
          <w:rFonts w:asciiTheme="minorHAnsi" w:hAnsiTheme="minorHAnsi"/>
          <w:sz w:val="22"/>
          <w:lang w:val="fr-CA"/>
        </w:rPr>
        <w:t xml:space="preserve">2010; </w:t>
      </w:r>
      <w:r w:rsidR="00931DF5">
        <w:rPr>
          <w:rFonts w:asciiTheme="minorHAnsi" w:hAnsiTheme="minorHAnsi"/>
          <w:sz w:val="22"/>
          <w:lang w:val="fr-CA"/>
        </w:rPr>
        <w:t xml:space="preserve">le Programme pour les petites zones humides du </w:t>
      </w:r>
      <w:r w:rsidR="00931DF5" w:rsidRPr="00773BF8">
        <w:rPr>
          <w:rFonts w:asciiTheme="minorHAnsi" w:hAnsiTheme="minorHAnsi"/>
          <w:i/>
          <w:sz w:val="22"/>
          <w:lang w:val="fr-CA"/>
        </w:rPr>
        <w:t xml:space="preserve">Fish </w:t>
      </w:r>
      <w:r w:rsidR="00931DF5" w:rsidRPr="00773BF8">
        <w:rPr>
          <w:rFonts w:asciiTheme="minorHAnsi" w:hAnsiTheme="minorHAnsi"/>
          <w:i/>
          <w:sz w:val="22"/>
          <w:lang w:val="fr-CA"/>
        </w:rPr>
        <w:lastRenderedPageBreak/>
        <w:t>and Wildlife Service</w:t>
      </w:r>
      <w:r w:rsidR="00C867E7">
        <w:rPr>
          <w:rFonts w:asciiTheme="minorHAnsi" w:hAnsiTheme="minorHAnsi"/>
          <w:i/>
          <w:sz w:val="22"/>
          <w:lang w:val="fr-CA"/>
        </w:rPr>
        <w:t xml:space="preserve"> </w:t>
      </w:r>
      <w:r w:rsidR="00C867E7" w:rsidRPr="00C867E7">
        <w:rPr>
          <w:rFonts w:asciiTheme="minorHAnsi" w:hAnsiTheme="minorHAnsi"/>
          <w:sz w:val="22"/>
          <w:lang w:val="fr-CA"/>
        </w:rPr>
        <w:t>des États-</w:t>
      </w:r>
      <w:r w:rsidR="00C867E7">
        <w:rPr>
          <w:rFonts w:asciiTheme="minorHAnsi" w:hAnsiTheme="minorHAnsi"/>
          <w:sz w:val="22"/>
          <w:lang w:val="fr-CA"/>
        </w:rPr>
        <w:t>U</w:t>
      </w:r>
      <w:r w:rsidR="00C867E7" w:rsidRPr="00C867E7">
        <w:rPr>
          <w:rFonts w:asciiTheme="minorHAnsi" w:hAnsiTheme="minorHAnsi"/>
          <w:sz w:val="22"/>
          <w:lang w:val="fr-CA"/>
        </w:rPr>
        <w:t>nis</w:t>
      </w:r>
      <w:r w:rsidR="00931DF5" w:rsidRPr="003E675E">
        <w:rPr>
          <w:rFonts w:asciiTheme="minorHAnsi" w:hAnsiTheme="minorHAnsi"/>
          <w:sz w:val="22"/>
          <w:lang w:val="fr-CA"/>
        </w:rPr>
        <w:t>; a</w:t>
      </w:r>
      <w:r w:rsidR="00931DF5">
        <w:rPr>
          <w:rFonts w:asciiTheme="minorHAnsi" w:hAnsiTheme="minorHAnsi"/>
          <w:sz w:val="22"/>
          <w:lang w:val="fr-CA"/>
        </w:rPr>
        <w:t>insi que</w:t>
      </w:r>
      <w:r w:rsidR="00C867E7">
        <w:rPr>
          <w:rFonts w:asciiTheme="minorHAnsi" w:hAnsiTheme="minorHAnsi"/>
          <w:sz w:val="22"/>
          <w:lang w:val="fr-CA"/>
        </w:rPr>
        <w:t xml:space="preserve"> la</w:t>
      </w:r>
      <w:r w:rsidR="00931DF5">
        <w:rPr>
          <w:rFonts w:asciiTheme="minorHAnsi" w:hAnsiTheme="minorHAnsi"/>
          <w:sz w:val="22"/>
          <w:lang w:val="fr-CA"/>
        </w:rPr>
        <w:t xml:space="preserve"> « </w:t>
      </w:r>
      <w:r w:rsidR="00C867E7">
        <w:rPr>
          <w:rFonts w:asciiTheme="minorHAnsi" w:hAnsiTheme="minorHAnsi"/>
          <w:sz w:val="22"/>
          <w:lang w:val="fr-CA"/>
        </w:rPr>
        <w:t>S</w:t>
      </w:r>
      <w:r w:rsidR="00931DF5">
        <w:rPr>
          <w:rFonts w:asciiTheme="minorHAnsi" w:hAnsiTheme="minorHAnsi"/>
          <w:sz w:val="22"/>
          <w:lang w:val="fr-CA"/>
        </w:rPr>
        <w:t>tratégie de revitalisation rurale » de la Chine qui donnent des exemples de conservation et de gestion des petites zones humides;</w:t>
      </w:r>
      <w:r w:rsidR="00826F23">
        <w:rPr>
          <w:rFonts w:asciiTheme="minorHAnsi" w:hAnsiTheme="minorHAnsi"/>
          <w:sz w:val="22"/>
          <w:lang w:val="fr-CA"/>
        </w:rPr>
        <w:t xml:space="preserve"> </w:t>
      </w:r>
    </w:p>
    <w:p w14:paraId="7DD6E30E" w14:textId="77777777" w:rsidR="00906E32" w:rsidRPr="003E675E" w:rsidRDefault="00906E32" w:rsidP="003045C1">
      <w:pPr>
        <w:spacing w:after="0" w:line="240" w:lineRule="auto"/>
        <w:ind w:left="425" w:hanging="425"/>
        <w:rPr>
          <w:rFonts w:asciiTheme="minorHAnsi" w:hAnsiTheme="minorHAnsi"/>
          <w:sz w:val="22"/>
          <w:lang w:val="fr-CA"/>
        </w:rPr>
      </w:pPr>
    </w:p>
    <w:p w14:paraId="354EE1AA" w14:textId="5EBEFE24" w:rsidR="00DE3927" w:rsidRPr="003E675E" w:rsidRDefault="007C13AC" w:rsidP="003045C1">
      <w:pPr>
        <w:spacing w:after="0" w:line="240" w:lineRule="auto"/>
        <w:ind w:left="425" w:hanging="425"/>
        <w:rPr>
          <w:rFonts w:asciiTheme="minorHAnsi" w:hAnsiTheme="minorHAnsi"/>
          <w:sz w:val="22"/>
          <w:lang w:val="fr-CA"/>
        </w:rPr>
      </w:pPr>
      <w:r>
        <w:rPr>
          <w:rFonts w:asciiTheme="minorHAnsi" w:hAnsiTheme="minorHAnsi"/>
          <w:sz w:val="22"/>
          <w:szCs w:val="22"/>
          <w:lang w:val="fr-CA"/>
        </w:rPr>
        <w:t>8</w:t>
      </w:r>
      <w:r w:rsidR="0048108C" w:rsidRPr="003E675E">
        <w:rPr>
          <w:rFonts w:asciiTheme="minorHAnsi" w:hAnsiTheme="minorHAnsi"/>
          <w:sz w:val="22"/>
          <w:szCs w:val="22"/>
          <w:lang w:val="fr-CA"/>
        </w:rPr>
        <w:t>.</w:t>
      </w:r>
      <w:r w:rsidR="0048108C" w:rsidRPr="003E675E">
        <w:rPr>
          <w:rFonts w:asciiTheme="minorHAnsi" w:hAnsiTheme="minorHAnsi"/>
          <w:sz w:val="22"/>
          <w:szCs w:val="22"/>
          <w:lang w:val="fr-CA"/>
        </w:rPr>
        <w:tab/>
      </w:r>
      <w:r w:rsidR="00826F23">
        <w:rPr>
          <w:rFonts w:asciiTheme="minorHAnsi" w:hAnsiTheme="minorHAnsi"/>
          <w:sz w:val="22"/>
          <w:szCs w:val="22"/>
          <w:lang w:val="fr-CA"/>
        </w:rPr>
        <w:t xml:space="preserve">RAPPELANT </w:t>
      </w:r>
      <w:r w:rsidR="0056325F">
        <w:rPr>
          <w:rFonts w:asciiTheme="minorHAnsi" w:hAnsiTheme="minorHAnsi"/>
          <w:sz w:val="22"/>
          <w:szCs w:val="22"/>
          <w:lang w:val="fr-CA"/>
        </w:rPr>
        <w:t>la Résolution VII.11</w:t>
      </w:r>
      <w:r w:rsidR="00C867E7">
        <w:rPr>
          <w:rFonts w:asciiTheme="minorHAnsi" w:hAnsiTheme="minorHAnsi"/>
          <w:sz w:val="22"/>
          <w:szCs w:val="22"/>
          <w:lang w:val="fr-CA"/>
        </w:rPr>
        <w:t>,</w:t>
      </w:r>
      <w:r w:rsidR="00DE3927">
        <w:rPr>
          <w:rFonts w:asciiTheme="minorHAnsi" w:hAnsiTheme="minorHAnsi"/>
          <w:sz w:val="22"/>
          <w:szCs w:val="22"/>
          <w:lang w:val="fr-CA"/>
        </w:rPr>
        <w:t xml:space="preserve"> </w:t>
      </w:r>
      <w:r w:rsidR="00826F23">
        <w:rPr>
          <w:rFonts w:asciiTheme="minorHAnsi" w:hAnsiTheme="minorHAnsi"/>
          <w:i/>
          <w:sz w:val="22"/>
          <w:lang w:val="fr-CA"/>
        </w:rPr>
        <w:t>Cadre stratégique et lignes directrices pour l’évolution de la Liste des zones humides d’importance internationale</w:t>
      </w:r>
      <w:r w:rsidR="00C867E7">
        <w:rPr>
          <w:rFonts w:asciiTheme="minorHAnsi" w:hAnsiTheme="minorHAnsi"/>
          <w:i/>
          <w:sz w:val="22"/>
          <w:lang w:val="fr-CA"/>
        </w:rPr>
        <w:t>,</w:t>
      </w:r>
      <w:r w:rsidR="00826F23">
        <w:rPr>
          <w:rFonts w:asciiTheme="minorHAnsi" w:hAnsiTheme="minorHAnsi"/>
          <w:i/>
          <w:sz w:val="22"/>
          <w:lang w:val="fr-CA"/>
        </w:rPr>
        <w:t xml:space="preserve"> </w:t>
      </w:r>
      <w:r w:rsidR="00DE3927" w:rsidRPr="00DE3927">
        <w:rPr>
          <w:rFonts w:asciiTheme="minorHAnsi" w:hAnsiTheme="minorHAnsi"/>
          <w:sz w:val="22"/>
          <w:lang w:val="fr-CA"/>
        </w:rPr>
        <w:t>(</w:t>
      </w:r>
      <w:r w:rsidR="00C867E7">
        <w:rPr>
          <w:rFonts w:asciiTheme="minorHAnsi" w:hAnsiTheme="minorHAnsi"/>
          <w:sz w:val="22"/>
          <w:lang w:val="fr-CA"/>
        </w:rPr>
        <w:t>et sa version amendée</w:t>
      </w:r>
      <w:r w:rsidR="00F94131" w:rsidRPr="003E675E">
        <w:rPr>
          <w:rFonts w:asciiTheme="minorHAnsi" w:hAnsiTheme="minorHAnsi"/>
          <w:sz w:val="22"/>
          <w:lang w:val="fr-CA"/>
        </w:rPr>
        <w:t xml:space="preserve"> </w:t>
      </w:r>
      <w:r w:rsidR="00C867E7">
        <w:rPr>
          <w:rFonts w:asciiTheme="minorHAnsi" w:hAnsiTheme="minorHAnsi"/>
          <w:sz w:val="22"/>
          <w:lang w:val="fr-CA"/>
        </w:rPr>
        <w:t xml:space="preserve">en 2012 </w:t>
      </w:r>
      <w:r w:rsidR="0035340D">
        <w:rPr>
          <w:rFonts w:asciiTheme="minorHAnsi" w:hAnsiTheme="minorHAnsi"/>
          <w:sz w:val="22"/>
          <w:lang w:val="fr-CA"/>
        </w:rPr>
        <w:t xml:space="preserve">et </w:t>
      </w:r>
      <w:r w:rsidR="00C867E7">
        <w:rPr>
          <w:rFonts w:asciiTheme="minorHAnsi" w:hAnsiTheme="minorHAnsi"/>
          <w:sz w:val="22"/>
          <w:lang w:val="fr-CA"/>
        </w:rPr>
        <w:t>adoptée dans</w:t>
      </w:r>
      <w:r w:rsidR="00DE3927">
        <w:rPr>
          <w:rFonts w:asciiTheme="minorHAnsi" w:hAnsiTheme="minorHAnsi"/>
          <w:sz w:val="22"/>
          <w:lang w:val="fr-CA"/>
        </w:rPr>
        <w:t xml:space="preserve"> </w:t>
      </w:r>
      <w:r w:rsidR="0035340D">
        <w:rPr>
          <w:rFonts w:asciiTheme="minorHAnsi" w:hAnsiTheme="minorHAnsi"/>
          <w:sz w:val="22"/>
          <w:lang w:val="fr-CA"/>
        </w:rPr>
        <w:t>la Résolution </w:t>
      </w:r>
      <w:r w:rsidR="00F94131" w:rsidRPr="003E675E">
        <w:rPr>
          <w:rFonts w:asciiTheme="minorHAnsi" w:hAnsiTheme="minorHAnsi"/>
          <w:sz w:val="22"/>
          <w:lang w:val="fr-CA"/>
        </w:rPr>
        <w:t>XI.8</w:t>
      </w:r>
      <w:r w:rsidR="00C867E7">
        <w:rPr>
          <w:rFonts w:asciiTheme="minorHAnsi" w:hAnsiTheme="minorHAnsi"/>
          <w:sz w:val="22"/>
          <w:lang w:val="fr-CA"/>
        </w:rPr>
        <w:t>,</w:t>
      </w:r>
      <w:r w:rsidR="00F94131" w:rsidRPr="003E675E">
        <w:rPr>
          <w:rFonts w:asciiTheme="minorHAnsi" w:hAnsiTheme="minorHAnsi"/>
          <w:sz w:val="22"/>
          <w:lang w:val="fr-CA"/>
        </w:rPr>
        <w:t xml:space="preserve"> </w:t>
      </w:r>
      <w:r w:rsidR="00F94131" w:rsidRPr="003E675E">
        <w:rPr>
          <w:rFonts w:asciiTheme="minorHAnsi" w:hAnsiTheme="minorHAnsi"/>
          <w:i/>
          <w:sz w:val="22"/>
          <w:lang w:val="fr-CA"/>
        </w:rPr>
        <w:t>S</w:t>
      </w:r>
      <w:r w:rsidR="0035340D">
        <w:rPr>
          <w:rFonts w:asciiTheme="minorHAnsi" w:hAnsiTheme="minorHAnsi"/>
          <w:i/>
          <w:sz w:val="22"/>
          <w:lang w:val="fr-CA"/>
        </w:rPr>
        <w:t>implification des procédures de description des Sites Ramsar au moment de leur inscription et mises à jour ultérieures</w:t>
      </w:r>
      <w:r w:rsidR="00F94131" w:rsidRPr="003E675E">
        <w:rPr>
          <w:rFonts w:asciiTheme="minorHAnsi" w:hAnsiTheme="minorHAnsi"/>
          <w:sz w:val="22"/>
          <w:lang w:val="fr-CA"/>
        </w:rPr>
        <w:t>)</w:t>
      </w:r>
      <w:r w:rsidR="0035340D">
        <w:rPr>
          <w:rFonts w:asciiTheme="minorHAnsi" w:hAnsiTheme="minorHAnsi"/>
          <w:sz w:val="22"/>
          <w:lang w:val="fr-CA"/>
        </w:rPr>
        <w:t>;</w:t>
      </w:r>
      <w:r w:rsidR="00F94131" w:rsidRPr="003E675E">
        <w:rPr>
          <w:rFonts w:asciiTheme="minorHAnsi" w:hAnsiTheme="minorHAnsi"/>
          <w:sz w:val="22"/>
          <w:lang w:val="fr-CA"/>
        </w:rPr>
        <w:t xml:space="preserve"> </w:t>
      </w:r>
    </w:p>
    <w:p w14:paraId="7C34C8AA" w14:textId="77777777" w:rsidR="00906E32" w:rsidRPr="003E675E" w:rsidRDefault="00906E32" w:rsidP="003045C1">
      <w:pPr>
        <w:spacing w:after="0" w:line="240" w:lineRule="auto"/>
        <w:ind w:left="425" w:hanging="425"/>
        <w:rPr>
          <w:rFonts w:asciiTheme="minorHAnsi" w:hAnsiTheme="minorHAnsi"/>
          <w:sz w:val="22"/>
          <w:lang w:val="fr-CA"/>
        </w:rPr>
      </w:pPr>
    </w:p>
    <w:p w14:paraId="79C7DF94" w14:textId="7E31BE37" w:rsidR="00545B0D" w:rsidRPr="00776E1C" w:rsidRDefault="007C13AC" w:rsidP="003045C1">
      <w:pPr>
        <w:pStyle w:val="NormalWeb"/>
        <w:tabs>
          <w:tab w:val="left" w:pos="540"/>
        </w:tabs>
        <w:spacing w:before="0" w:beforeAutospacing="0" w:after="0" w:afterAutospacing="0" w:line="240" w:lineRule="auto"/>
        <w:ind w:left="425" w:hanging="425"/>
        <w:rPr>
          <w:color w:val="auto"/>
          <w:lang w:val="fr-FR" w:eastAsia="en-US"/>
        </w:rPr>
      </w:pPr>
      <w:r>
        <w:rPr>
          <w:rFonts w:asciiTheme="minorHAnsi" w:hAnsiTheme="minorHAnsi"/>
          <w:sz w:val="22"/>
          <w:szCs w:val="22"/>
          <w:lang w:val="fr-CA"/>
        </w:rPr>
        <w:t>9</w:t>
      </w:r>
      <w:r w:rsidR="0048108C" w:rsidRPr="003E675E">
        <w:rPr>
          <w:rFonts w:asciiTheme="minorHAnsi" w:hAnsiTheme="minorHAnsi"/>
          <w:sz w:val="22"/>
          <w:szCs w:val="22"/>
          <w:lang w:val="fr-CA"/>
        </w:rPr>
        <w:t>.</w:t>
      </w:r>
      <w:r w:rsidR="00545B0D">
        <w:rPr>
          <w:rFonts w:asciiTheme="minorHAnsi" w:hAnsiTheme="minorHAnsi"/>
          <w:sz w:val="22"/>
          <w:szCs w:val="22"/>
          <w:lang w:val="fr-CA"/>
        </w:rPr>
        <w:tab/>
      </w:r>
      <w:r w:rsidR="00D134DD">
        <w:rPr>
          <w:rFonts w:asciiTheme="minorHAnsi" w:hAnsiTheme="minorHAnsi"/>
          <w:sz w:val="22"/>
          <w:szCs w:val="22"/>
          <w:lang w:val="fr-CA"/>
        </w:rPr>
        <w:t xml:space="preserve">RAPPELANT </w:t>
      </w:r>
      <w:r w:rsidR="00FF7AEA">
        <w:rPr>
          <w:rFonts w:asciiTheme="minorHAnsi" w:hAnsiTheme="minorHAnsi"/>
          <w:sz w:val="22"/>
          <w:szCs w:val="22"/>
          <w:lang w:val="fr-CA"/>
        </w:rPr>
        <w:t>EN OUTRE</w:t>
      </w:r>
      <w:r w:rsidR="00D134DD">
        <w:rPr>
          <w:rFonts w:asciiTheme="minorHAnsi" w:hAnsiTheme="minorHAnsi"/>
          <w:sz w:val="22"/>
          <w:szCs w:val="22"/>
          <w:lang w:val="fr-CA"/>
        </w:rPr>
        <w:t xml:space="preserve"> la Résolution XII</w:t>
      </w:r>
      <w:r w:rsidR="00FF7AEA">
        <w:rPr>
          <w:rFonts w:asciiTheme="minorHAnsi" w:hAnsiTheme="minorHAnsi"/>
          <w:sz w:val="22"/>
          <w:szCs w:val="22"/>
          <w:lang w:val="fr-CA"/>
        </w:rPr>
        <w:t>.</w:t>
      </w:r>
      <w:r w:rsidR="00D134DD">
        <w:rPr>
          <w:rFonts w:asciiTheme="minorHAnsi" w:hAnsiTheme="minorHAnsi"/>
          <w:sz w:val="22"/>
          <w:szCs w:val="22"/>
          <w:lang w:val="fr-CA"/>
        </w:rPr>
        <w:t>14</w:t>
      </w:r>
      <w:r w:rsidR="00FF7AEA">
        <w:rPr>
          <w:rFonts w:asciiTheme="minorHAnsi" w:hAnsiTheme="minorHAnsi"/>
          <w:sz w:val="22"/>
          <w:szCs w:val="22"/>
          <w:lang w:val="fr-CA"/>
        </w:rPr>
        <w:t>,</w:t>
      </w:r>
      <w:r w:rsidR="00DE3927">
        <w:rPr>
          <w:rFonts w:asciiTheme="minorHAnsi" w:hAnsiTheme="minorHAnsi"/>
          <w:sz w:val="22"/>
          <w:lang w:val="fr-CA"/>
        </w:rPr>
        <w:t xml:space="preserve"> </w:t>
      </w:r>
      <w:r w:rsidR="00545B0D" w:rsidRPr="00776E1C">
        <w:rPr>
          <w:rFonts w:ascii="Calibri" w:hAnsi="Calibri"/>
          <w:bCs/>
          <w:i/>
          <w:color w:val="000000" w:themeColor="text1"/>
          <w:sz w:val="22"/>
          <w:szCs w:val="22"/>
          <w:lang w:val="fr-FR" w:eastAsia="en-US"/>
        </w:rPr>
        <w:t xml:space="preserve">Conservation des zones humides des </w:t>
      </w:r>
      <w:r w:rsidR="00FF7AEA" w:rsidRPr="00776E1C">
        <w:rPr>
          <w:rFonts w:ascii="Calibri" w:hAnsi="Calibri"/>
          <w:bCs/>
          <w:i/>
          <w:color w:val="000000" w:themeColor="text1"/>
          <w:sz w:val="22"/>
          <w:szCs w:val="22"/>
          <w:lang w:val="fr-FR" w:eastAsia="en-US"/>
        </w:rPr>
        <w:t>îles</w:t>
      </w:r>
      <w:r w:rsidR="00545B0D" w:rsidRPr="00776E1C">
        <w:rPr>
          <w:rFonts w:ascii="Calibri" w:hAnsi="Calibri"/>
          <w:bCs/>
          <w:i/>
          <w:color w:val="000000" w:themeColor="text1"/>
          <w:sz w:val="22"/>
          <w:szCs w:val="22"/>
          <w:lang w:val="fr-FR" w:eastAsia="en-US"/>
        </w:rPr>
        <w:t xml:space="preserve"> du bassin </w:t>
      </w:r>
      <w:r w:rsidR="00FF7AEA" w:rsidRPr="00776E1C">
        <w:rPr>
          <w:rFonts w:ascii="Calibri" w:hAnsi="Calibri"/>
          <w:bCs/>
          <w:i/>
          <w:color w:val="000000" w:themeColor="text1"/>
          <w:sz w:val="22"/>
          <w:szCs w:val="22"/>
          <w:lang w:val="fr-FR" w:eastAsia="en-US"/>
        </w:rPr>
        <w:t>méditerranéen</w:t>
      </w:r>
      <w:r w:rsidR="00D134DD" w:rsidRPr="00776E1C">
        <w:rPr>
          <w:rFonts w:ascii="Calibri" w:hAnsi="Calibri"/>
          <w:bCs/>
          <w:i/>
          <w:color w:val="000000" w:themeColor="text1"/>
          <w:sz w:val="22"/>
          <w:szCs w:val="22"/>
          <w:lang w:val="fr-FR" w:eastAsia="en-US"/>
        </w:rPr>
        <w:t xml:space="preserve"> </w:t>
      </w:r>
      <w:r w:rsidR="00D134DD" w:rsidRPr="00776E1C">
        <w:rPr>
          <w:rFonts w:ascii="Calibri" w:hAnsi="Calibri"/>
          <w:bCs/>
          <w:color w:val="000000" w:themeColor="text1"/>
          <w:sz w:val="22"/>
          <w:szCs w:val="22"/>
          <w:lang w:val="fr-FR" w:eastAsia="en-US"/>
        </w:rPr>
        <w:t>et la Résolution VIII.33</w:t>
      </w:r>
      <w:r w:rsidR="00FF7AEA">
        <w:rPr>
          <w:rFonts w:ascii="Calibri" w:hAnsi="Calibri"/>
          <w:bCs/>
          <w:color w:val="000000" w:themeColor="text1"/>
          <w:sz w:val="22"/>
          <w:szCs w:val="22"/>
          <w:lang w:val="fr-FR" w:eastAsia="en-US"/>
        </w:rPr>
        <w:t>,</w:t>
      </w:r>
      <w:r w:rsidR="00D134DD" w:rsidRPr="00776E1C">
        <w:rPr>
          <w:rFonts w:ascii="Calibri" w:hAnsi="Calibri"/>
          <w:bCs/>
          <w:color w:val="000000" w:themeColor="text1"/>
          <w:sz w:val="22"/>
          <w:szCs w:val="22"/>
          <w:lang w:val="fr-FR" w:eastAsia="en-US"/>
        </w:rPr>
        <w:t xml:space="preserve"> </w:t>
      </w:r>
      <w:r w:rsidR="00013A24" w:rsidRPr="00776E1C">
        <w:rPr>
          <w:rFonts w:ascii="Calibri" w:hAnsi="Calibri"/>
          <w:bCs/>
          <w:i/>
          <w:color w:val="000000" w:themeColor="text1"/>
          <w:sz w:val="22"/>
          <w:szCs w:val="22"/>
          <w:lang w:val="fr-FR" w:eastAsia="en-US"/>
        </w:rPr>
        <w:t>Orientations pour l’identification, la gestion durable et la</w:t>
      </w:r>
      <w:r w:rsidR="0053606C">
        <w:rPr>
          <w:rFonts w:ascii="Calibri" w:hAnsi="Calibri"/>
          <w:bCs/>
          <w:i/>
          <w:color w:val="000000" w:themeColor="text1"/>
          <w:sz w:val="22"/>
          <w:szCs w:val="22"/>
          <w:lang w:val="fr-FR" w:eastAsia="en-US"/>
        </w:rPr>
        <w:t xml:space="preserve"> </w:t>
      </w:r>
      <w:r w:rsidR="00FF7AEA" w:rsidRPr="00776E1C">
        <w:rPr>
          <w:rFonts w:ascii="Calibri" w:hAnsi="Calibri"/>
          <w:bCs/>
          <w:i/>
          <w:color w:val="000000" w:themeColor="text1"/>
          <w:sz w:val="22"/>
          <w:szCs w:val="22"/>
          <w:lang w:val="fr-FR" w:eastAsia="en-US"/>
        </w:rPr>
        <w:t>désignation</w:t>
      </w:r>
      <w:r w:rsidR="00013A24" w:rsidRPr="00776E1C">
        <w:rPr>
          <w:rFonts w:ascii="Calibri" w:hAnsi="Calibri"/>
          <w:bCs/>
          <w:i/>
          <w:color w:val="000000" w:themeColor="text1"/>
          <w:sz w:val="22"/>
          <w:szCs w:val="22"/>
          <w:lang w:val="fr-FR" w:eastAsia="en-US"/>
        </w:rPr>
        <w:t xml:space="preserve"> de mares temporaires comme zones humides d’importance internationa</w:t>
      </w:r>
      <w:r w:rsidR="00FF7AEA">
        <w:rPr>
          <w:rFonts w:ascii="Calibri" w:hAnsi="Calibri"/>
          <w:bCs/>
          <w:i/>
          <w:color w:val="000000" w:themeColor="text1"/>
          <w:sz w:val="22"/>
          <w:szCs w:val="22"/>
          <w:lang w:val="fr-FR" w:eastAsia="en-US"/>
        </w:rPr>
        <w:t>le</w:t>
      </w:r>
      <w:r w:rsidR="00013A24" w:rsidRPr="00776E1C">
        <w:rPr>
          <w:rFonts w:ascii="Calibri" w:hAnsi="Calibri"/>
          <w:bCs/>
          <w:color w:val="auto"/>
          <w:sz w:val="28"/>
          <w:szCs w:val="28"/>
          <w:lang w:val="fr-FR" w:eastAsia="en-US"/>
        </w:rPr>
        <w:t>;</w:t>
      </w:r>
      <w:r w:rsidR="00D134DD" w:rsidRPr="00776E1C">
        <w:rPr>
          <w:rFonts w:ascii="Calibri" w:hAnsi="Calibri"/>
          <w:b/>
          <w:bCs/>
          <w:color w:val="auto"/>
          <w:sz w:val="28"/>
          <w:szCs w:val="28"/>
          <w:lang w:val="fr-FR" w:eastAsia="en-US"/>
        </w:rPr>
        <w:t xml:space="preserve"> </w:t>
      </w:r>
    </w:p>
    <w:p w14:paraId="7DAFA7D5" w14:textId="77777777" w:rsidR="00BC64D2" w:rsidRDefault="00BC64D2" w:rsidP="003045C1">
      <w:pPr>
        <w:spacing w:after="0" w:line="240" w:lineRule="auto"/>
        <w:ind w:left="425" w:hanging="425"/>
        <w:jc w:val="right"/>
        <w:rPr>
          <w:rFonts w:asciiTheme="minorHAnsi" w:hAnsiTheme="minorHAnsi"/>
          <w:sz w:val="22"/>
          <w:lang w:val="fr-CA"/>
        </w:rPr>
      </w:pPr>
    </w:p>
    <w:p w14:paraId="10030E68" w14:textId="33356E09" w:rsidR="00906E32" w:rsidRPr="003E675E" w:rsidRDefault="00013A24" w:rsidP="003045C1">
      <w:pPr>
        <w:spacing w:after="0" w:line="240" w:lineRule="auto"/>
        <w:ind w:left="425" w:hanging="425"/>
        <w:rPr>
          <w:rFonts w:asciiTheme="minorHAnsi" w:hAnsiTheme="minorHAnsi"/>
          <w:sz w:val="22"/>
          <w:lang w:val="fr-CA"/>
        </w:rPr>
      </w:pPr>
      <w:r>
        <w:rPr>
          <w:rFonts w:asciiTheme="minorHAnsi" w:hAnsiTheme="minorHAnsi"/>
          <w:sz w:val="22"/>
          <w:lang w:val="fr-CA"/>
        </w:rPr>
        <w:t>10.</w:t>
      </w:r>
      <w:r>
        <w:rPr>
          <w:rFonts w:asciiTheme="minorHAnsi" w:hAnsiTheme="minorHAnsi"/>
          <w:sz w:val="22"/>
          <w:lang w:val="fr-CA"/>
        </w:rPr>
        <w:tab/>
        <w:t xml:space="preserve">RAPPELANT </w:t>
      </w:r>
      <w:r w:rsidR="00FF7AEA">
        <w:rPr>
          <w:rFonts w:asciiTheme="minorHAnsi" w:hAnsiTheme="minorHAnsi"/>
          <w:sz w:val="22"/>
          <w:lang w:val="fr-CA"/>
        </w:rPr>
        <w:t>ÉGALEMENT</w:t>
      </w:r>
      <w:r w:rsidR="0035340D">
        <w:rPr>
          <w:rFonts w:asciiTheme="minorHAnsi" w:hAnsiTheme="minorHAnsi"/>
          <w:sz w:val="22"/>
          <w:lang w:val="fr-CA"/>
        </w:rPr>
        <w:t xml:space="preserve"> la Recomma</w:t>
      </w:r>
      <w:r w:rsidR="00F94131" w:rsidRPr="003E675E">
        <w:rPr>
          <w:rFonts w:asciiTheme="minorHAnsi" w:hAnsiTheme="minorHAnsi"/>
          <w:sz w:val="22"/>
          <w:lang w:val="fr-CA"/>
        </w:rPr>
        <w:t>ndation</w:t>
      </w:r>
      <w:r w:rsidR="0035340D">
        <w:rPr>
          <w:rFonts w:asciiTheme="minorHAnsi" w:hAnsiTheme="minorHAnsi"/>
          <w:sz w:val="22"/>
          <w:lang w:val="fr-CA"/>
        </w:rPr>
        <w:t> </w:t>
      </w:r>
      <w:r w:rsidR="00490E19" w:rsidRPr="003E675E">
        <w:rPr>
          <w:rFonts w:asciiTheme="minorHAnsi" w:hAnsiTheme="minorHAnsi"/>
          <w:sz w:val="22"/>
          <w:lang w:val="fr-CA"/>
        </w:rPr>
        <w:t>5</w:t>
      </w:r>
      <w:r w:rsidR="00F94131" w:rsidRPr="003E675E">
        <w:rPr>
          <w:rFonts w:asciiTheme="minorHAnsi" w:hAnsiTheme="minorHAnsi"/>
          <w:sz w:val="22"/>
          <w:lang w:val="fr-CA"/>
        </w:rPr>
        <w:t>.3</w:t>
      </w:r>
      <w:r>
        <w:rPr>
          <w:rFonts w:asciiTheme="minorHAnsi" w:hAnsiTheme="minorHAnsi"/>
          <w:sz w:val="22"/>
          <w:lang w:val="fr-CA"/>
        </w:rPr>
        <w:t xml:space="preserve">, </w:t>
      </w:r>
      <w:r w:rsidR="003E56AE" w:rsidRPr="003E56AE">
        <w:rPr>
          <w:rFonts w:asciiTheme="minorHAnsi" w:hAnsiTheme="minorHAnsi"/>
          <w:i/>
          <w:sz w:val="22"/>
          <w:lang w:val="fr-CA"/>
        </w:rPr>
        <w:t>Le caractère essentiel des zones humides et nécessité d’un zonage relatif aux réserves établies dans des zones humides</w:t>
      </w:r>
      <w:r w:rsidR="0035340D">
        <w:rPr>
          <w:rFonts w:asciiTheme="minorHAnsi" w:hAnsiTheme="minorHAnsi"/>
          <w:sz w:val="22"/>
          <w:lang w:val="fr-CA"/>
        </w:rPr>
        <w:t xml:space="preserve">; </w:t>
      </w:r>
      <w:r w:rsidR="003045C1">
        <w:rPr>
          <w:rFonts w:asciiTheme="minorHAnsi" w:hAnsiTheme="minorHAnsi"/>
          <w:sz w:val="22"/>
          <w:lang w:val="fr-CA"/>
        </w:rPr>
        <w:t>et</w:t>
      </w:r>
    </w:p>
    <w:p w14:paraId="604C6DF1" w14:textId="77777777" w:rsidR="00906E32" w:rsidRPr="003E675E" w:rsidRDefault="00906E32" w:rsidP="003045C1">
      <w:pPr>
        <w:spacing w:after="0" w:line="240" w:lineRule="auto"/>
        <w:ind w:left="425" w:hanging="425"/>
        <w:rPr>
          <w:rFonts w:asciiTheme="minorHAnsi" w:hAnsiTheme="minorHAnsi"/>
          <w:sz w:val="22"/>
          <w:lang w:val="fr-CA"/>
        </w:rPr>
      </w:pPr>
    </w:p>
    <w:p w14:paraId="2840B0EB" w14:textId="05DA60BE" w:rsidR="00EB2082" w:rsidRPr="00EB2082" w:rsidRDefault="0048108C" w:rsidP="003045C1">
      <w:pPr>
        <w:spacing w:after="0" w:line="240" w:lineRule="auto"/>
        <w:ind w:left="425" w:hanging="425"/>
        <w:rPr>
          <w:rFonts w:asciiTheme="minorHAnsi" w:hAnsiTheme="minorHAnsi"/>
          <w:sz w:val="22"/>
          <w:lang w:val="fr-CH"/>
        </w:rPr>
      </w:pPr>
      <w:r w:rsidRPr="003E675E">
        <w:rPr>
          <w:rFonts w:asciiTheme="minorHAnsi" w:hAnsiTheme="minorHAnsi"/>
          <w:sz w:val="22"/>
          <w:szCs w:val="22"/>
          <w:lang w:val="fr-CA" w:eastAsia="zh-CN"/>
        </w:rPr>
        <w:t>1</w:t>
      </w:r>
      <w:r w:rsidR="00852921">
        <w:rPr>
          <w:rFonts w:asciiTheme="minorHAnsi" w:hAnsiTheme="minorHAnsi"/>
          <w:sz w:val="22"/>
          <w:szCs w:val="22"/>
          <w:lang w:val="fr-CA" w:eastAsia="zh-CN"/>
        </w:rPr>
        <w:t>1</w:t>
      </w:r>
      <w:r w:rsidRPr="003E675E">
        <w:rPr>
          <w:rFonts w:asciiTheme="minorHAnsi" w:hAnsiTheme="minorHAnsi"/>
          <w:sz w:val="22"/>
          <w:szCs w:val="22"/>
          <w:lang w:val="fr-CA" w:eastAsia="zh-CN"/>
        </w:rPr>
        <w:t>.</w:t>
      </w:r>
      <w:r w:rsidRPr="003E675E">
        <w:rPr>
          <w:rFonts w:asciiTheme="minorHAnsi" w:hAnsiTheme="minorHAnsi"/>
          <w:sz w:val="22"/>
          <w:szCs w:val="22"/>
          <w:lang w:val="fr-CA" w:eastAsia="zh-CN"/>
        </w:rPr>
        <w:tab/>
      </w:r>
      <w:r w:rsidR="00F94131" w:rsidRPr="003E675E">
        <w:rPr>
          <w:rFonts w:asciiTheme="minorHAnsi" w:hAnsiTheme="minorHAnsi"/>
          <w:sz w:val="22"/>
          <w:lang w:val="fr-CA"/>
        </w:rPr>
        <w:t>NOT</w:t>
      </w:r>
      <w:r w:rsidR="0035340D">
        <w:rPr>
          <w:rFonts w:asciiTheme="minorHAnsi" w:hAnsiTheme="minorHAnsi"/>
          <w:sz w:val="22"/>
          <w:lang w:val="fr-CA"/>
        </w:rPr>
        <w:t xml:space="preserve">ANT que la conservation et la gestion des caractéristiques écologiques des petites zones humides peuvent contribuer aux Objectifs de développement durable (ODD), en particulier </w:t>
      </w:r>
      <w:r w:rsidR="003E56AE">
        <w:rPr>
          <w:rFonts w:asciiTheme="minorHAnsi" w:hAnsiTheme="minorHAnsi"/>
          <w:sz w:val="22"/>
          <w:lang w:val="fr-CA"/>
        </w:rPr>
        <w:t>à l’</w:t>
      </w:r>
      <w:r w:rsidR="0035340D">
        <w:rPr>
          <w:rFonts w:asciiTheme="minorHAnsi" w:hAnsiTheme="minorHAnsi"/>
          <w:sz w:val="22"/>
          <w:lang w:val="fr-CA"/>
        </w:rPr>
        <w:t>ODD </w:t>
      </w:r>
      <w:r w:rsidR="00852921">
        <w:rPr>
          <w:rFonts w:asciiTheme="minorHAnsi" w:hAnsiTheme="minorHAnsi"/>
          <w:sz w:val="22"/>
          <w:lang w:val="fr-CA"/>
        </w:rPr>
        <w:t>6</w:t>
      </w:r>
      <w:r w:rsidR="003E56AE">
        <w:rPr>
          <w:rFonts w:asciiTheme="minorHAnsi" w:hAnsiTheme="minorHAnsi"/>
          <w:sz w:val="22"/>
          <w:lang w:val="fr-CA"/>
        </w:rPr>
        <w:t xml:space="preserve"> « </w:t>
      </w:r>
      <w:r w:rsidR="00EB2082" w:rsidRPr="00EB2082">
        <w:rPr>
          <w:rFonts w:asciiTheme="minorHAnsi" w:hAnsiTheme="minorHAnsi"/>
          <w:sz w:val="22"/>
          <w:lang w:val="fr-CH"/>
        </w:rPr>
        <w:t>Garantir l’accès de tous à l’eau et à l’assainissement et assurer une gestion durable des ressources en eau</w:t>
      </w:r>
      <w:r w:rsidR="00EB2082">
        <w:rPr>
          <w:rFonts w:asciiTheme="minorHAnsi" w:hAnsiTheme="minorHAnsi"/>
          <w:sz w:val="22"/>
          <w:lang w:val="fr-CH"/>
        </w:rPr>
        <w:t> », l’ODD 11 « </w:t>
      </w:r>
      <w:r w:rsidR="00EB2082" w:rsidRPr="00EB2082">
        <w:rPr>
          <w:rFonts w:asciiTheme="minorHAnsi" w:hAnsiTheme="minorHAnsi"/>
          <w:sz w:val="22"/>
          <w:lang w:val="fr-CH"/>
        </w:rPr>
        <w:t>Faire en sorte que les villes et les établissements humains soient ouverts à tous, sûrs, résilients et durables</w:t>
      </w:r>
      <w:r w:rsidR="00EB2082">
        <w:rPr>
          <w:rFonts w:asciiTheme="minorHAnsi" w:hAnsiTheme="minorHAnsi"/>
          <w:sz w:val="22"/>
          <w:lang w:val="fr-CH"/>
        </w:rPr>
        <w:t> », l’ODD 15 « </w:t>
      </w:r>
      <w:r w:rsidR="00EB2082" w:rsidRPr="00EB2082">
        <w:rPr>
          <w:rFonts w:asciiTheme="minorHAnsi" w:hAnsiTheme="minorHAnsi"/>
          <w:sz w:val="22"/>
          <w:lang w:val="fr-CH"/>
        </w:rPr>
        <w:t>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r w:rsidR="00EB2082">
        <w:rPr>
          <w:rFonts w:asciiTheme="minorHAnsi" w:hAnsiTheme="minorHAnsi"/>
          <w:sz w:val="22"/>
          <w:lang w:val="fr-CH"/>
        </w:rPr>
        <w:t> » et l’ODD 16 « </w:t>
      </w:r>
      <w:r w:rsidR="00EB2082" w:rsidRPr="00EB2082">
        <w:rPr>
          <w:rFonts w:asciiTheme="minorHAnsi" w:hAnsiTheme="minorHAnsi"/>
          <w:sz w:val="22"/>
          <w:lang w:val="fr-CH"/>
        </w:rPr>
        <w:t>Promouvoir l’avènement de sociétés pacifiques et ouvertes à tous aux fins du développement durable, assurer l’accès de tous à la justice et mettre en place, à tous les niveaux, des institutions efficaces, responsables et ouvertes à tous</w:t>
      </w:r>
      <w:r w:rsidR="00EB2082">
        <w:rPr>
          <w:rFonts w:asciiTheme="minorHAnsi" w:hAnsiTheme="minorHAnsi"/>
          <w:sz w:val="22"/>
          <w:lang w:val="fr-CH"/>
        </w:rPr>
        <w:t> »;</w:t>
      </w:r>
    </w:p>
    <w:p w14:paraId="1E462444" w14:textId="77777777" w:rsidR="00906E32" w:rsidRPr="003E675E" w:rsidRDefault="00906E32" w:rsidP="009F3C0A">
      <w:pPr>
        <w:pStyle w:val="NormalWeb"/>
        <w:spacing w:before="0" w:beforeAutospacing="0" w:after="0" w:afterAutospacing="0" w:line="240" w:lineRule="auto"/>
        <w:jc w:val="both"/>
        <w:rPr>
          <w:rFonts w:asciiTheme="minorHAnsi" w:hAnsiTheme="minorHAnsi"/>
          <w:color w:val="auto"/>
          <w:sz w:val="22"/>
          <w:lang w:val="fr-CA"/>
        </w:rPr>
      </w:pPr>
    </w:p>
    <w:p w14:paraId="03EA0FB6" w14:textId="250087BF" w:rsidR="00906E32" w:rsidRPr="003E675E" w:rsidRDefault="0035340D" w:rsidP="009F3C0A">
      <w:pPr>
        <w:pStyle w:val="NormalWeb"/>
        <w:spacing w:before="0" w:beforeAutospacing="0" w:after="0" w:afterAutospacing="0" w:line="240" w:lineRule="auto"/>
        <w:jc w:val="center"/>
        <w:rPr>
          <w:rFonts w:asciiTheme="minorHAnsi" w:hAnsiTheme="minorHAnsi"/>
          <w:color w:val="auto"/>
          <w:sz w:val="22"/>
          <w:lang w:val="fr-CA"/>
        </w:rPr>
      </w:pPr>
      <w:r>
        <w:rPr>
          <w:rFonts w:asciiTheme="minorHAnsi" w:hAnsiTheme="minorHAnsi"/>
          <w:color w:val="auto"/>
          <w:sz w:val="22"/>
          <w:lang w:val="fr-CA"/>
        </w:rPr>
        <w:t>LA CONFÉRENCE DES PARTIES CONTRACTANTES</w:t>
      </w:r>
    </w:p>
    <w:p w14:paraId="456965C6" w14:textId="77777777" w:rsidR="00906E32" w:rsidRPr="003E675E" w:rsidRDefault="00906E32" w:rsidP="003045C1">
      <w:pPr>
        <w:pStyle w:val="NormalWeb"/>
        <w:tabs>
          <w:tab w:val="left" w:pos="2786"/>
        </w:tabs>
        <w:spacing w:before="0" w:beforeAutospacing="0" w:after="0" w:afterAutospacing="0" w:line="240" w:lineRule="auto"/>
        <w:ind w:left="425" w:hanging="425"/>
        <w:rPr>
          <w:rFonts w:asciiTheme="minorHAnsi" w:hAnsiTheme="minorHAnsi"/>
          <w:color w:val="auto"/>
          <w:sz w:val="22"/>
          <w:szCs w:val="22"/>
          <w:lang w:val="fr-CA" w:eastAsia="zh-CN"/>
        </w:rPr>
      </w:pPr>
    </w:p>
    <w:p w14:paraId="777240A8" w14:textId="28CA891A" w:rsidR="00906E32" w:rsidRPr="003E675E" w:rsidRDefault="00445CF4"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eastAsia="zh-CN"/>
        </w:rPr>
        <w:t>1</w:t>
      </w:r>
      <w:r w:rsidR="00852921">
        <w:rPr>
          <w:rFonts w:asciiTheme="minorHAnsi" w:hAnsiTheme="minorHAnsi"/>
          <w:sz w:val="22"/>
          <w:szCs w:val="22"/>
          <w:lang w:val="fr-CA" w:eastAsia="zh-CN"/>
        </w:rPr>
        <w:t>2</w:t>
      </w:r>
      <w:r w:rsidRPr="003E675E">
        <w:rPr>
          <w:rFonts w:asciiTheme="minorHAnsi" w:hAnsiTheme="minorHAnsi"/>
          <w:sz w:val="22"/>
          <w:szCs w:val="22"/>
          <w:lang w:val="fr-CA" w:eastAsia="zh-CN"/>
        </w:rPr>
        <w:t>.</w:t>
      </w:r>
      <w:r w:rsidRPr="003E675E">
        <w:rPr>
          <w:rFonts w:asciiTheme="minorHAnsi" w:hAnsiTheme="minorHAnsi"/>
          <w:sz w:val="22"/>
          <w:szCs w:val="22"/>
          <w:lang w:val="fr-CA" w:eastAsia="zh-CN"/>
        </w:rPr>
        <w:tab/>
      </w:r>
      <w:r w:rsidR="0035340D">
        <w:rPr>
          <w:rFonts w:asciiTheme="minorHAnsi" w:hAnsiTheme="minorHAnsi"/>
          <w:sz w:val="22"/>
          <w:lang w:val="fr-CA"/>
        </w:rPr>
        <w:t xml:space="preserve">APPELLE les Parties contractantes à </w:t>
      </w:r>
      <w:r w:rsidR="00BF0FF6">
        <w:rPr>
          <w:rFonts w:asciiTheme="minorHAnsi" w:hAnsiTheme="minorHAnsi"/>
          <w:sz w:val="22"/>
          <w:lang w:val="fr-CA"/>
        </w:rPr>
        <w:t>réagir de toute urgence aux</w:t>
      </w:r>
      <w:r w:rsidR="0035340D">
        <w:rPr>
          <w:rFonts w:asciiTheme="minorHAnsi" w:hAnsiTheme="minorHAnsi"/>
          <w:sz w:val="22"/>
          <w:lang w:val="fr-CA"/>
        </w:rPr>
        <w:t xml:space="preserve"> pressions </w:t>
      </w:r>
      <w:r w:rsidR="00BF0FF6">
        <w:rPr>
          <w:rFonts w:asciiTheme="minorHAnsi" w:hAnsiTheme="minorHAnsi"/>
          <w:sz w:val="22"/>
          <w:lang w:val="fr-CA"/>
        </w:rPr>
        <w:t>considérables</w:t>
      </w:r>
      <w:r w:rsidR="0035340D">
        <w:rPr>
          <w:rFonts w:asciiTheme="minorHAnsi" w:hAnsiTheme="minorHAnsi"/>
          <w:sz w:val="22"/>
          <w:lang w:val="fr-CA"/>
        </w:rPr>
        <w:t xml:space="preserve"> induites par l’homme qui menacent les petites zones humides</w:t>
      </w:r>
      <w:r w:rsidR="005C6C26">
        <w:rPr>
          <w:rFonts w:asciiTheme="minorHAnsi" w:hAnsiTheme="minorHAnsi"/>
          <w:sz w:val="22"/>
          <w:lang w:val="fr-CA"/>
        </w:rPr>
        <w:t>,</w:t>
      </w:r>
      <w:r w:rsidR="0035340D">
        <w:rPr>
          <w:rFonts w:asciiTheme="minorHAnsi" w:hAnsiTheme="minorHAnsi"/>
          <w:sz w:val="22"/>
          <w:lang w:val="fr-CA"/>
        </w:rPr>
        <w:t xml:space="preserve"> </w:t>
      </w:r>
      <w:r w:rsidR="00BF0FF6">
        <w:rPr>
          <w:rFonts w:asciiTheme="minorHAnsi" w:hAnsiTheme="minorHAnsi"/>
          <w:sz w:val="22"/>
          <w:lang w:val="fr-CA"/>
        </w:rPr>
        <w:t>en promulguant des</w:t>
      </w:r>
      <w:r w:rsidR="0035340D">
        <w:rPr>
          <w:rFonts w:asciiTheme="minorHAnsi" w:hAnsiTheme="minorHAnsi"/>
          <w:sz w:val="22"/>
          <w:lang w:val="fr-CA"/>
        </w:rPr>
        <w:t xml:space="preserve"> politiques nationa</w:t>
      </w:r>
      <w:r w:rsidR="00852921">
        <w:rPr>
          <w:rFonts w:asciiTheme="minorHAnsi" w:hAnsiTheme="minorHAnsi"/>
          <w:sz w:val="22"/>
          <w:lang w:val="fr-CA"/>
        </w:rPr>
        <w:t xml:space="preserve">les </w:t>
      </w:r>
      <w:r w:rsidR="00BF0FF6">
        <w:rPr>
          <w:rFonts w:asciiTheme="minorHAnsi" w:hAnsiTheme="minorHAnsi"/>
          <w:sz w:val="22"/>
          <w:lang w:val="fr-CA"/>
        </w:rPr>
        <w:t xml:space="preserve">et </w:t>
      </w:r>
      <w:r w:rsidR="00852921">
        <w:rPr>
          <w:rFonts w:asciiTheme="minorHAnsi" w:hAnsiTheme="minorHAnsi"/>
          <w:sz w:val="22"/>
          <w:lang w:val="fr-CA"/>
        </w:rPr>
        <w:t xml:space="preserve">régionales, et </w:t>
      </w:r>
      <w:r w:rsidR="00BF0FF6">
        <w:rPr>
          <w:rFonts w:asciiTheme="minorHAnsi" w:hAnsiTheme="minorHAnsi"/>
          <w:sz w:val="22"/>
          <w:lang w:val="fr-CA"/>
        </w:rPr>
        <w:t>en prenant</w:t>
      </w:r>
      <w:r w:rsidR="0035340D">
        <w:rPr>
          <w:rFonts w:asciiTheme="minorHAnsi" w:hAnsiTheme="minorHAnsi"/>
          <w:sz w:val="22"/>
          <w:lang w:val="fr-CA"/>
        </w:rPr>
        <w:t xml:space="preserve"> d’autres mesures effectives pour </w:t>
      </w:r>
      <w:r w:rsidR="00BF0FF6">
        <w:rPr>
          <w:rFonts w:asciiTheme="minorHAnsi" w:hAnsiTheme="minorHAnsi"/>
          <w:sz w:val="22"/>
          <w:lang w:val="fr-CA"/>
        </w:rPr>
        <w:t>faire cesser la disparition</w:t>
      </w:r>
      <w:r w:rsidR="0035340D">
        <w:rPr>
          <w:rFonts w:asciiTheme="minorHAnsi" w:hAnsiTheme="minorHAnsi"/>
          <w:sz w:val="22"/>
          <w:lang w:val="fr-CA"/>
        </w:rPr>
        <w:t xml:space="preserve"> des petites zones humides. </w:t>
      </w:r>
      <w:r w:rsidR="00F94131" w:rsidRPr="003E675E">
        <w:rPr>
          <w:rFonts w:asciiTheme="minorHAnsi" w:hAnsiTheme="minorHAnsi"/>
          <w:sz w:val="22"/>
          <w:lang w:val="fr-CA"/>
        </w:rPr>
        <w:t xml:space="preserve"> </w:t>
      </w:r>
    </w:p>
    <w:p w14:paraId="7527642A" w14:textId="77777777" w:rsidR="00906E32" w:rsidRPr="003E675E" w:rsidRDefault="00906E32" w:rsidP="003045C1">
      <w:pPr>
        <w:spacing w:after="0" w:line="240" w:lineRule="auto"/>
        <w:ind w:left="425" w:hanging="425"/>
        <w:rPr>
          <w:rFonts w:asciiTheme="minorHAnsi" w:hAnsiTheme="minorHAnsi"/>
          <w:sz w:val="22"/>
          <w:lang w:val="fr-CA"/>
        </w:rPr>
      </w:pPr>
    </w:p>
    <w:p w14:paraId="033A9845" w14:textId="3454B9F1" w:rsidR="00906E32" w:rsidRPr="003E675E" w:rsidRDefault="00445CF4"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rPr>
        <w:t>1</w:t>
      </w:r>
      <w:r w:rsidR="00852921">
        <w:rPr>
          <w:rFonts w:asciiTheme="minorHAnsi" w:hAnsiTheme="minorHAnsi"/>
          <w:sz w:val="22"/>
          <w:szCs w:val="22"/>
          <w:lang w:val="fr-CA"/>
        </w:rPr>
        <w:t>3</w:t>
      </w:r>
      <w:r w:rsidRPr="003E675E">
        <w:rPr>
          <w:rFonts w:asciiTheme="minorHAnsi" w:hAnsiTheme="minorHAnsi"/>
          <w:sz w:val="22"/>
          <w:szCs w:val="22"/>
          <w:lang w:val="fr-CA"/>
        </w:rPr>
        <w:t>.</w:t>
      </w:r>
      <w:r w:rsidRPr="003E675E">
        <w:rPr>
          <w:rFonts w:asciiTheme="minorHAnsi" w:hAnsiTheme="minorHAnsi"/>
          <w:sz w:val="22"/>
          <w:szCs w:val="22"/>
          <w:lang w:val="fr-CA"/>
        </w:rPr>
        <w:tab/>
      </w:r>
      <w:r w:rsidR="00852921">
        <w:rPr>
          <w:rFonts w:asciiTheme="minorHAnsi" w:hAnsiTheme="minorHAnsi"/>
          <w:sz w:val="22"/>
          <w:szCs w:val="22"/>
          <w:lang w:val="fr-CA"/>
        </w:rPr>
        <w:t xml:space="preserve">INVITE </w:t>
      </w:r>
      <w:r w:rsidR="0035340D">
        <w:rPr>
          <w:rFonts w:asciiTheme="minorHAnsi" w:hAnsiTheme="minorHAnsi"/>
          <w:sz w:val="22"/>
          <w:szCs w:val="22"/>
          <w:lang w:val="fr-CA"/>
        </w:rPr>
        <w:t>les Parties contractantes à inscrire de petites zones humides clés sur la Liste des zones humides d’importance internationale</w:t>
      </w:r>
      <w:r w:rsidR="00852921">
        <w:rPr>
          <w:rFonts w:asciiTheme="minorHAnsi" w:hAnsiTheme="minorHAnsi"/>
          <w:sz w:val="22"/>
          <w:szCs w:val="22"/>
          <w:lang w:val="fr-CA"/>
        </w:rPr>
        <w:t xml:space="preserve"> dans </w:t>
      </w:r>
      <w:r w:rsidR="0053606C">
        <w:rPr>
          <w:rFonts w:asciiTheme="minorHAnsi" w:hAnsiTheme="minorHAnsi"/>
          <w:sz w:val="22"/>
          <w:szCs w:val="22"/>
          <w:lang w:val="fr-CA"/>
        </w:rPr>
        <w:t>l’intention d’</w:t>
      </w:r>
      <w:r w:rsidR="0035340D">
        <w:rPr>
          <w:rFonts w:asciiTheme="minorHAnsi" w:hAnsiTheme="minorHAnsi"/>
          <w:sz w:val="22"/>
          <w:szCs w:val="22"/>
          <w:lang w:val="fr-CA"/>
        </w:rPr>
        <w:t xml:space="preserve">assurer la conservation de leur biodiversité et le maintien de leurs valeurs écologiques, culturelles et sociales. </w:t>
      </w:r>
    </w:p>
    <w:p w14:paraId="79F05007" w14:textId="77777777" w:rsidR="00906E32" w:rsidRPr="003E675E" w:rsidRDefault="00906E32" w:rsidP="003045C1">
      <w:pPr>
        <w:spacing w:after="0" w:line="240" w:lineRule="auto"/>
        <w:ind w:left="425" w:hanging="425"/>
        <w:rPr>
          <w:rFonts w:asciiTheme="minorHAnsi" w:hAnsiTheme="minorHAnsi"/>
          <w:sz w:val="22"/>
          <w:lang w:val="fr-CA"/>
        </w:rPr>
      </w:pPr>
    </w:p>
    <w:p w14:paraId="133B08E5" w14:textId="2AAD6EB7" w:rsidR="00906E32" w:rsidRPr="003E675E" w:rsidRDefault="00445CF4"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rPr>
        <w:t>1</w:t>
      </w:r>
      <w:r w:rsidR="00852921">
        <w:rPr>
          <w:rFonts w:asciiTheme="minorHAnsi" w:hAnsiTheme="minorHAnsi"/>
          <w:sz w:val="22"/>
          <w:szCs w:val="22"/>
          <w:lang w:val="fr-CA"/>
        </w:rPr>
        <w:t>4</w:t>
      </w:r>
      <w:r w:rsidRPr="003E675E">
        <w:rPr>
          <w:rFonts w:asciiTheme="minorHAnsi" w:hAnsiTheme="minorHAnsi"/>
          <w:sz w:val="22"/>
          <w:szCs w:val="22"/>
          <w:lang w:val="fr-CA"/>
        </w:rPr>
        <w:t>.</w:t>
      </w:r>
      <w:r w:rsidRPr="003E675E">
        <w:rPr>
          <w:rFonts w:asciiTheme="minorHAnsi" w:hAnsiTheme="minorHAnsi"/>
          <w:sz w:val="22"/>
          <w:szCs w:val="22"/>
          <w:lang w:val="fr-CA"/>
        </w:rPr>
        <w:tab/>
      </w:r>
      <w:r w:rsidR="00852921">
        <w:rPr>
          <w:rFonts w:asciiTheme="minorHAnsi" w:hAnsiTheme="minorHAnsi"/>
          <w:sz w:val="22"/>
          <w:szCs w:val="22"/>
          <w:lang w:val="fr-CA"/>
        </w:rPr>
        <w:t xml:space="preserve">ENCOURAGE </w:t>
      </w:r>
      <w:r w:rsidR="0035340D">
        <w:rPr>
          <w:rFonts w:asciiTheme="minorHAnsi" w:hAnsiTheme="minorHAnsi"/>
          <w:sz w:val="22"/>
          <w:szCs w:val="22"/>
          <w:lang w:val="fr-CA"/>
        </w:rPr>
        <w:t xml:space="preserve">les Parties contractantes </w:t>
      </w:r>
      <w:r w:rsidR="004B6F70">
        <w:rPr>
          <w:rFonts w:asciiTheme="minorHAnsi" w:hAnsiTheme="minorHAnsi"/>
          <w:sz w:val="22"/>
          <w:szCs w:val="22"/>
          <w:lang w:val="fr-CA"/>
        </w:rPr>
        <w:t>à</w:t>
      </w:r>
      <w:r w:rsidR="0035340D">
        <w:rPr>
          <w:rFonts w:asciiTheme="minorHAnsi" w:hAnsiTheme="minorHAnsi"/>
          <w:sz w:val="22"/>
          <w:szCs w:val="22"/>
          <w:lang w:val="fr-CA"/>
        </w:rPr>
        <w:t xml:space="preserve"> préparer </w:t>
      </w:r>
      <w:r w:rsidR="00852921">
        <w:rPr>
          <w:rFonts w:asciiTheme="minorHAnsi" w:hAnsiTheme="minorHAnsi"/>
          <w:sz w:val="22"/>
          <w:szCs w:val="22"/>
          <w:lang w:val="fr-CA"/>
        </w:rPr>
        <w:t>des</w:t>
      </w:r>
      <w:r w:rsidR="0035340D">
        <w:rPr>
          <w:rFonts w:asciiTheme="minorHAnsi" w:hAnsiTheme="minorHAnsi"/>
          <w:sz w:val="22"/>
          <w:szCs w:val="22"/>
          <w:lang w:val="fr-CA"/>
        </w:rPr>
        <w:t xml:space="preserve"> inventaire</w:t>
      </w:r>
      <w:r w:rsidR="00852921">
        <w:rPr>
          <w:rFonts w:asciiTheme="minorHAnsi" w:hAnsiTheme="minorHAnsi"/>
          <w:sz w:val="22"/>
          <w:szCs w:val="22"/>
          <w:lang w:val="fr-CA"/>
        </w:rPr>
        <w:t>s</w:t>
      </w:r>
      <w:r w:rsidR="0035340D">
        <w:rPr>
          <w:rFonts w:asciiTheme="minorHAnsi" w:hAnsiTheme="minorHAnsi"/>
          <w:sz w:val="22"/>
          <w:szCs w:val="22"/>
          <w:lang w:val="fr-CA"/>
        </w:rPr>
        <w:t xml:space="preserve"> scientifique</w:t>
      </w:r>
      <w:r w:rsidR="00852921">
        <w:rPr>
          <w:rFonts w:asciiTheme="minorHAnsi" w:hAnsiTheme="minorHAnsi"/>
          <w:sz w:val="22"/>
          <w:szCs w:val="22"/>
          <w:lang w:val="fr-CA"/>
        </w:rPr>
        <w:t>s</w:t>
      </w:r>
      <w:r w:rsidR="0035340D">
        <w:rPr>
          <w:rFonts w:asciiTheme="minorHAnsi" w:hAnsiTheme="minorHAnsi"/>
          <w:sz w:val="22"/>
          <w:szCs w:val="22"/>
          <w:lang w:val="fr-CA"/>
        </w:rPr>
        <w:t xml:space="preserve"> de</w:t>
      </w:r>
      <w:r w:rsidR="00852921">
        <w:rPr>
          <w:rFonts w:asciiTheme="minorHAnsi" w:hAnsiTheme="minorHAnsi"/>
          <w:sz w:val="22"/>
          <w:szCs w:val="22"/>
          <w:lang w:val="fr-CA"/>
        </w:rPr>
        <w:t>s</w:t>
      </w:r>
      <w:r w:rsidR="0035340D">
        <w:rPr>
          <w:rFonts w:asciiTheme="minorHAnsi" w:hAnsiTheme="minorHAnsi"/>
          <w:sz w:val="22"/>
          <w:szCs w:val="22"/>
          <w:lang w:val="fr-CA"/>
        </w:rPr>
        <w:t xml:space="preserve"> petites zones humides, fondé</w:t>
      </w:r>
      <w:r w:rsidR="004B6F70">
        <w:rPr>
          <w:rFonts w:asciiTheme="minorHAnsi" w:hAnsiTheme="minorHAnsi"/>
          <w:sz w:val="22"/>
          <w:szCs w:val="22"/>
          <w:lang w:val="fr-CA"/>
        </w:rPr>
        <w:t>s</w:t>
      </w:r>
      <w:r w:rsidR="0035340D">
        <w:rPr>
          <w:rFonts w:asciiTheme="minorHAnsi" w:hAnsiTheme="minorHAnsi"/>
          <w:sz w:val="22"/>
          <w:szCs w:val="22"/>
          <w:lang w:val="fr-CA"/>
        </w:rPr>
        <w:t xml:space="preserve"> sur les méthodologies appropriées et </w:t>
      </w:r>
      <w:r w:rsidR="004B6F70">
        <w:rPr>
          <w:rFonts w:asciiTheme="minorHAnsi" w:hAnsiTheme="minorHAnsi"/>
          <w:sz w:val="22"/>
          <w:szCs w:val="22"/>
          <w:lang w:val="fr-CA"/>
        </w:rPr>
        <w:t xml:space="preserve">à </w:t>
      </w:r>
      <w:r w:rsidR="0035340D">
        <w:rPr>
          <w:rFonts w:asciiTheme="minorHAnsi" w:hAnsiTheme="minorHAnsi"/>
          <w:sz w:val="22"/>
          <w:szCs w:val="22"/>
          <w:lang w:val="fr-CA"/>
        </w:rPr>
        <w:t>intégrer l’information dans les plans d’occupation des sols aux niveaux national et régional</w:t>
      </w:r>
      <w:r w:rsidR="00852921">
        <w:rPr>
          <w:rFonts w:asciiTheme="minorHAnsi" w:hAnsiTheme="minorHAnsi"/>
          <w:sz w:val="22"/>
          <w:szCs w:val="22"/>
          <w:lang w:val="fr-CA"/>
        </w:rPr>
        <w:t>, s</w:t>
      </w:r>
      <w:r w:rsidR="004B6F70">
        <w:rPr>
          <w:rFonts w:asciiTheme="minorHAnsi" w:hAnsiTheme="minorHAnsi"/>
          <w:sz w:val="22"/>
          <w:szCs w:val="22"/>
          <w:lang w:val="fr-CA"/>
        </w:rPr>
        <w:t>’il y a lieu</w:t>
      </w:r>
      <w:r w:rsidR="0035340D">
        <w:rPr>
          <w:rFonts w:asciiTheme="minorHAnsi" w:hAnsiTheme="minorHAnsi"/>
          <w:sz w:val="22"/>
          <w:szCs w:val="22"/>
          <w:lang w:val="fr-CA"/>
        </w:rPr>
        <w:t xml:space="preserve">. </w:t>
      </w:r>
    </w:p>
    <w:p w14:paraId="5AD0F668" w14:textId="77777777" w:rsidR="00906E32" w:rsidRPr="003E675E" w:rsidRDefault="00906E32" w:rsidP="003045C1">
      <w:pPr>
        <w:spacing w:after="0" w:line="240" w:lineRule="auto"/>
        <w:ind w:left="425" w:hanging="425"/>
        <w:rPr>
          <w:rFonts w:asciiTheme="minorHAnsi" w:hAnsiTheme="minorHAnsi"/>
          <w:sz w:val="22"/>
          <w:lang w:val="fr-CA"/>
        </w:rPr>
      </w:pPr>
    </w:p>
    <w:p w14:paraId="1D89DCFC" w14:textId="6A406224" w:rsidR="00906E32" w:rsidRPr="003E675E" w:rsidRDefault="00445CF4"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rPr>
        <w:t>1</w:t>
      </w:r>
      <w:r w:rsidR="00852921">
        <w:rPr>
          <w:rFonts w:asciiTheme="minorHAnsi" w:hAnsiTheme="minorHAnsi"/>
          <w:sz w:val="22"/>
          <w:szCs w:val="22"/>
          <w:lang w:val="fr-CA"/>
        </w:rPr>
        <w:t>5</w:t>
      </w:r>
      <w:r w:rsidRPr="003E675E">
        <w:rPr>
          <w:rFonts w:asciiTheme="minorHAnsi" w:hAnsiTheme="minorHAnsi"/>
          <w:sz w:val="22"/>
          <w:szCs w:val="22"/>
          <w:lang w:val="fr-CA"/>
        </w:rPr>
        <w:t>.</w:t>
      </w:r>
      <w:r w:rsidRPr="003E675E">
        <w:rPr>
          <w:rFonts w:asciiTheme="minorHAnsi" w:hAnsiTheme="minorHAnsi"/>
          <w:sz w:val="22"/>
          <w:szCs w:val="22"/>
          <w:lang w:val="fr-CA"/>
        </w:rPr>
        <w:tab/>
      </w:r>
      <w:r w:rsidR="00852921">
        <w:rPr>
          <w:rFonts w:asciiTheme="minorHAnsi" w:hAnsiTheme="minorHAnsi"/>
          <w:sz w:val="22"/>
          <w:szCs w:val="22"/>
          <w:lang w:val="fr-CA"/>
        </w:rPr>
        <w:t xml:space="preserve">ENCOURAGE </w:t>
      </w:r>
      <w:r w:rsidR="006403B1">
        <w:rPr>
          <w:rFonts w:asciiTheme="minorHAnsi" w:hAnsiTheme="minorHAnsi"/>
          <w:sz w:val="22"/>
          <w:szCs w:val="22"/>
          <w:lang w:val="fr-CA"/>
        </w:rPr>
        <w:t xml:space="preserve">les Parties contractantes </w:t>
      </w:r>
      <w:r w:rsidR="00852921">
        <w:rPr>
          <w:rFonts w:asciiTheme="minorHAnsi" w:hAnsiTheme="minorHAnsi"/>
          <w:sz w:val="22"/>
          <w:szCs w:val="22"/>
          <w:lang w:val="fr-CA"/>
        </w:rPr>
        <w:t xml:space="preserve">à s’assurer que les </w:t>
      </w:r>
      <w:r w:rsidR="0053606C">
        <w:rPr>
          <w:rFonts w:asciiTheme="minorHAnsi" w:hAnsiTheme="minorHAnsi"/>
          <w:sz w:val="22"/>
          <w:szCs w:val="22"/>
          <w:lang w:val="fr-CA"/>
        </w:rPr>
        <w:t xml:space="preserve">petites </w:t>
      </w:r>
      <w:r w:rsidR="00852921">
        <w:rPr>
          <w:rFonts w:asciiTheme="minorHAnsi" w:hAnsiTheme="minorHAnsi"/>
          <w:sz w:val="22"/>
          <w:szCs w:val="22"/>
          <w:lang w:val="fr-CA"/>
        </w:rPr>
        <w:t xml:space="preserve">zones humides </w:t>
      </w:r>
      <w:r w:rsidR="00AD171F">
        <w:rPr>
          <w:rFonts w:asciiTheme="minorHAnsi" w:hAnsiTheme="minorHAnsi"/>
          <w:sz w:val="22"/>
          <w:szCs w:val="22"/>
          <w:lang w:val="fr-CA"/>
        </w:rPr>
        <w:t xml:space="preserve">sont représentées comme il convient dans les activités </w:t>
      </w:r>
      <w:r w:rsidR="006403B1">
        <w:rPr>
          <w:rFonts w:asciiTheme="minorHAnsi" w:hAnsiTheme="minorHAnsi"/>
          <w:sz w:val="22"/>
          <w:szCs w:val="22"/>
          <w:lang w:val="fr-CA"/>
        </w:rPr>
        <w:t>de communication, éducation</w:t>
      </w:r>
      <w:r w:rsidR="007C13AC">
        <w:rPr>
          <w:rFonts w:asciiTheme="minorHAnsi" w:hAnsiTheme="minorHAnsi"/>
          <w:sz w:val="22"/>
          <w:szCs w:val="22"/>
          <w:lang w:val="fr-CA"/>
        </w:rPr>
        <w:t xml:space="preserve"> et </w:t>
      </w:r>
      <w:r w:rsidR="006403B1">
        <w:rPr>
          <w:rFonts w:asciiTheme="minorHAnsi" w:hAnsiTheme="minorHAnsi"/>
          <w:sz w:val="22"/>
          <w:szCs w:val="22"/>
          <w:lang w:val="fr-CA"/>
        </w:rPr>
        <w:t xml:space="preserve">sensibilisation </w:t>
      </w:r>
      <w:r w:rsidR="007C13AC">
        <w:rPr>
          <w:rFonts w:asciiTheme="minorHAnsi" w:hAnsiTheme="minorHAnsi"/>
          <w:sz w:val="22"/>
          <w:szCs w:val="22"/>
          <w:lang w:val="fr-CA"/>
        </w:rPr>
        <w:t>du public</w:t>
      </w:r>
      <w:r w:rsidR="006403B1">
        <w:rPr>
          <w:rFonts w:asciiTheme="minorHAnsi" w:hAnsiTheme="minorHAnsi"/>
          <w:sz w:val="22"/>
          <w:szCs w:val="22"/>
          <w:lang w:val="fr-CA"/>
        </w:rPr>
        <w:t xml:space="preserve">, afin de mieux sensibiliser les décideurs et le grand public. </w:t>
      </w:r>
    </w:p>
    <w:p w14:paraId="4CEF63EC" w14:textId="77777777" w:rsidR="00906E32" w:rsidRPr="003E675E" w:rsidRDefault="00906E32" w:rsidP="003045C1">
      <w:pPr>
        <w:spacing w:after="0" w:line="240" w:lineRule="auto"/>
        <w:ind w:left="425" w:hanging="425"/>
        <w:rPr>
          <w:rFonts w:asciiTheme="minorHAnsi" w:hAnsiTheme="minorHAnsi"/>
          <w:sz w:val="22"/>
          <w:lang w:val="fr-CA"/>
        </w:rPr>
      </w:pPr>
    </w:p>
    <w:p w14:paraId="1C922C70" w14:textId="3E0A4612" w:rsidR="00906E32" w:rsidRPr="003E675E" w:rsidRDefault="00445CF4"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rPr>
        <w:t>1</w:t>
      </w:r>
      <w:r w:rsidR="00AD171F">
        <w:rPr>
          <w:rFonts w:asciiTheme="minorHAnsi" w:hAnsiTheme="minorHAnsi"/>
          <w:sz w:val="22"/>
          <w:szCs w:val="22"/>
          <w:lang w:val="fr-CA"/>
        </w:rPr>
        <w:t>6</w:t>
      </w:r>
      <w:r w:rsidRPr="003E675E">
        <w:rPr>
          <w:rFonts w:asciiTheme="minorHAnsi" w:hAnsiTheme="minorHAnsi"/>
          <w:sz w:val="22"/>
          <w:szCs w:val="22"/>
          <w:lang w:val="fr-CA"/>
        </w:rPr>
        <w:t>.</w:t>
      </w:r>
      <w:r w:rsidRPr="003E675E">
        <w:rPr>
          <w:rFonts w:asciiTheme="minorHAnsi" w:hAnsiTheme="minorHAnsi"/>
          <w:sz w:val="22"/>
          <w:szCs w:val="22"/>
          <w:lang w:val="fr-CA"/>
        </w:rPr>
        <w:tab/>
      </w:r>
      <w:r w:rsidR="00F94131" w:rsidRPr="003E675E">
        <w:rPr>
          <w:rFonts w:asciiTheme="minorHAnsi" w:hAnsiTheme="minorHAnsi"/>
          <w:sz w:val="22"/>
          <w:lang w:val="fr-CA"/>
        </w:rPr>
        <w:t>INVITE</w:t>
      </w:r>
      <w:r w:rsidR="006403B1">
        <w:rPr>
          <w:rFonts w:asciiTheme="minorHAnsi" w:hAnsiTheme="minorHAnsi"/>
          <w:sz w:val="22"/>
          <w:lang w:val="fr-CA"/>
        </w:rPr>
        <w:t xml:space="preserve"> les Parties contractantes</w:t>
      </w:r>
      <w:r w:rsidR="00AD171F">
        <w:rPr>
          <w:rFonts w:asciiTheme="minorHAnsi" w:hAnsiTheme="minorHAnsi"/>
          <w:sz w:val="22"/>
          <w:lang w:val="fr-CA"/>
        </w:rPr>
        <w:t xml:space="preserve"> et</w:t>
      </w:r>
      <w:r w:rsidR="006403B1">
        <w:rPr>
          <w:rFonts w:asciiTheme="minorHAnsi" w:hAnsiTheme="minorHAnsi"/>
          <w:sz w:val="22"/>
          <w:lang w:val="fr-CA"/>
        </w:rPr>
        <w:t xml:space="preserve">, s’il y a lieu, </w:t>
      </w:r>
      <w:r w:rsidR="00AD171F">
        <w:rPr>
          <w:rFonts w:asciiTheme="minorHAnsi" w:hAnsiTheme="minorHAnsi"/>
          <w:sz w:val="22"/>
          <w:lang w:val="fr-CA"/>
        </w:rPr>
        <w:t>le</w:t>
      </w:r>
      <w:r w:rsidR="006403B1">
        <w:rPr>
          <w:rFonts w:asciiTheme="minorHAnsi" w:hAnsiTheme="minorHAnsi"/>
          <w:sz w:val="22"/>
          <w:lang w:val="fr-CA"/>
        </w:rPr>
        <w:t xml:space="preserve"> Secrétariat, à </w:t>
      </w:r>
      <w:r w:rsidR="00AD171F">
        <w:rPr>
          <w:rFonts w:asciiTheme="minorHAnsi" w:hAnsiTheme="minorHAnsi"/>
          <w:sz w:val="22"/>
          <w:lang w:val="fr-CA"/>
        </w:rPr>
        <w:t xml:space="preserve">continuer </w:t>
      </w:r>
      <w:r w:rsidR="0053606C">
        <w:rPr>
          <w:rFonts w:asciiTheme="minorHAnsi" w:hAnsiTheme="minorHAnsi"/>
          <w:sz w:val="22"/>
          <w:lang w:val="fr-CA"/>
        </w:rPr>
        <w:t>de</w:t>
      </w:r>
      <w:r w:rsidR="00AD171F">
        <w:rPr>
          <w:rFonts w:asciiTheme="minorHAnsi" w:hAnsiTheme="minorHAnsi"/>
          <w:sz w:val="22"/>
          <w:lang w:val="fr-CA"/>
        </w:rPr>
        <w:t xml:space="preserve"> </w:t>
      </w:r>
      <w:r w:rsidR="006403B1">
        <w:rPr>
          <w:rFonts w:asciiTheme="minorHAnsi" w:hAnsiTheme="minorHAnsi"/>
          <w:sz w:val="22"/>
          <w:lang w:val="fr-CA"/>
        </w:rPr>
        <w:t xml:space="preserve">promouvoir l’importance des petites zones humides auprès de la Convention sur la diversité biologique (CDB), de la Convention sur la conservation des espèces migratrices appartenant à la faune sauvage (CMS) et </w:t>
      </w:r>
      <w:r w:rsidR="007C13AC">
        <w:rPr>
          <w:rFonts w:asciiTheme="minorHAnsi" w:hAnsiTheme="minorHAnsi"/>
          <w:sz w:val="22"/>
          <w:lang w:val="fr-CA"/>
        </w:rPr>
        <w:t>du Forum politique de haut niveau sur le développement</w:t>
      </w:r>
      <w:r w:rsidR="006403B1" w:rsidRPr="00A043A3">
        <w:rPr>
          <w:rFonts w:asciiTheme="minorHAnsi" w:hAnsiTheme="minorHAnsi"/>
          <w:sz w:val="22"/>
          <w:lang w:val="fr-CA"/>
        </w:rPr>
        <w:t xml:space="preserve"> durable</w:t>
      </w:r>
      <w:r w:rsidR="00AD171F">
        <w:rPr>
          <w:rFonts w:asciiTheme="minorHAnsi" w:hAnsiTheme="minorHAnsi"/>
          <w:sz w:val="22"/>
          <w:lang w:val="fr-CA"/>
        </w:rPr>
        <w:t>.</w:t>
      </w:r>
      <w:r w:rsidR="00BC64D2">
        <w:rPr>
          <w:rFonts w:asciiTheme="minorHAnsi" w:hAnsiTheme="minorHAnsi"/>
          <w:sz w:val="22"/>
          <w:lang w:val="fr-CA"/>
        </w:rPr>
        <w:t xml:space="preserve"> </w:t>
      </w:r>
      <w:r w:rsidR="006403B1">
        <w:rPr>
          <w:rFonts w:asciiTheme="minorHAnsi" w:hAnsiTheme="minorHAnsi"/>
          <w:sz w:val="22"/>
          <w:szCs w:val="22"/>
          <w:lang w:val="fr-CA" w:eastAsia="zh-CN"/>
        </w:rPr>
        <w:t xml:space="preserve"> </w:t>
      </w:r>
    </w:p>
    <w:p w14:paraId="2EBF95B0" w14:textId="77777777" w:rsidR="00906E32" w:rsidRPr="003E675E" w:rsidRDefault="00906E32" w:rsidP="003045C1">
      <w:pPr>
        <w:pStyle w:val="NormalWeb"/>
        <w:spacing w:before="0" w:beforeAutospacing="0" w:after="0" w:afterAutospacing="0" w:line="240" w:lineRule="auto"/>
        <w:ind w:left="425" w:hanging="425"/>
        <w:rPr>
          <w:rFonts w:asciiTheme="minorHAnsi" w:hAnsiTheme="minorHAnsi"/>
          <w:sz w:val="22"/>
          <w:lang w:val="fr-CA"/>
        </w:rPr>
      </w:pPr>
    </w:p>
    <w:p w14:paraId="271558D2" w14:textId="5CDFD4E9" w:rsidR="00AD171F" w:rsidRDefault="00445CF4" w:rsidP="003045C1">
      <w:pPr>
        <w:spacing w:after="0" w:line="240" w:lineRule="auto"/>
        <w:ind w:left="425" w:hanging="425"/>
        <w:rPr>
          <w:rFonts w:asciiTheme="minorHAnsi" w:hAnsiTheme="minorHAnsi"/>
          <w:sz w:val="22"/>
          <w:lang w:val="fr-CA"/>
        </w:rPr>
      </w:pPr>
      <w:r w:rsidRPr="003E675E">
        <w:rPr>
          <w:rFonts w:asciiTheme="minorHAnsi" w:hAnsiTheme="minorHAnsi"/>
          <w:sz w:val="22"/>
          <w:szCs w:val="22"/>
          <w:lang w:val="fr-CA"/>
        </w:rPr>
        <w:lastRenderedPageBreak/>
        <w:t>1</w:t>
      </w:r>
      <w:r w:rsidR="00AD171F">
        <w:rPr>
          <w:rFonts w:asciiTheme="minorHAnsi" w:hAnsiTheme="minorHAnsi"/>
          <w:sz w:val="22"/>
          <w:szCs w:val="22"/>
          <w:lang w:val="fr-CA"/>
        </w:rPr>
        <w:t>7</w:t>
      </w:r>
      <w:r w:rsidRPr="003E675E">
        <w:rPr>
          <w:rFonts w:asciiTheme="minorHAnsi" w:hAnsiTheme="minorHAnsi"/>
          <w:sz w:val="22"/>
          <w:szCs w:val="22"/>
          <w:lang w:val="fr-CA"/>
        </w:rPr>
        <w:t>.</w:t>
      </w:r>
      <w:r w:rsidRPr="003E675E">
        <w:rPr>
          <w:rFonts w:asciiTheme="minorHAnsi" w:hAnsiTheme="minorHAnsi"/>
          <w:sz w:val="22"/>
          <w:szCs w:val="22"/>
          <w:lang w:val="fr-CA"/>
        </w:rPr>
        <w:tab/>
      </w:r>
      <w:r w:rsidR="00F94131" w:rsidRPr="003E675E">
        <w:rPr>
          <w:rFonts w:asciiTheme="minorHAnsi" w:hAnsiTheme="minorHAnsi"/>
          <w:sz w:val="22"/>
          <w:lang w:val="fr-CA"/>
        </w:rPr>
        <w:t>INVITE</w:t>
      </w:r>
      <w:r w:rsidR="006403B1">
        <w:rPr>
          <w:rFonts w:asciiTheme="minorHAnsi" w:hAnsiTheme="minorHAnsi"/>
          <w:sz w:val="22"/>
          <w:lang w:val="fr-CA"/>
        </w:rPr>
        <w:t xml:space="preserve"> </w:t>
      </w:r>
      <w:r w:rsidR="00AD171F">
        <w:rPr>
          <w:rFonts w:asciiTheme="minorHAnsi" w:hAnsiTheme="minorHAnsi"/>
          <w:sz w:val="22"/>
          <w:lang w:val="fr-CA"/>
        </w:rPr>
        <w:t xml:space="preserve">les Parties contractantes à encourager </w:t>
      </w:r>
      <w:r w:rsidR="00AD171F" w:rsidRPr="00AD171F">
        <w:rPr>
          <w:rFonts w:asciiTheme="minorHAnsi" w:hAnsiTheme="minorHAnsi"/>
          <w:sz w:val="22"/>
          <w:lang w:val="fr-CA"/>
        </w:rPr>
        <w:t>l’utilisation rationnelle des petites zones humides</w:t>
      </w:r>
      <w:r w:rsidR="00AD171F">
        <w:rPr>
          <w:rFonts w:asciiTheme="minorHAnsi" w:hAnsiTheme="minorHAnsi"/>
          <w:sz w:val="22"/>
          <w:lang w:val="fr-CA"/>
        </w:rPr>
        <w:t>, comme moyen de faire progresser le développement durable.</w:t>
      </w:r>
    </w:p>
    <w:p w14:paraId="25EC9E5D" w14:textId="77777777" w:rsidR="00AD171F" w:rsidRDefault="00AD171F" w:rsidP="003045C1">
      <w:pPr>
        <w:spacing w:after="0" w:line="240" w:lineRule="auto"/>
        <w:ind w:left="425" w:hanging="425"/>
        <w:rPr>
          <w:rFonts w:asciiTheme="minorHAnsi" w:hAnsiTheme="minorHAnsi"/>
          <w:sz w:val="22"/>
          <w:lang w:val="fr-CA"/>
        </w:rPr>
      </w:pPr>
    </w:p>
    <w:p w14:paraId="1795E0C6" w14:textId="2BB55A62" w:rsidR="00906E32" w:rsidRPr="003E675E" w:rsidRDefault="00AD171F" w:rsidP="003045C1">
      <w:pPr>
        <w:spacing w:after="0" w:line="240" w:lineRule="auto"/>
        <w:ind w:left="425" w:hanging="425"/>
        <w:rPr>
          <w:rFonts w:asciiTheme="minorHAnsi" w:hAnsiTheme="minorHAnsi"/>
          <w:sz w:val="22"/>
          <w:lang w:val="fr-CA"/>
        </w:rPr>
      </w:pPr>
      <w:r>
        <w:rPr>
          <w:rFonts w:asciiTheme="minorHAnsi" w:hAnsiTheme="minorHAnsi"/>
          <w:sz w:val="22"/>
          <w:lang w:val="fr-CA"/>
        </w:rPr>
        <w:t>18.</w:t>
      </w:r>
      <w:r>
        <w:rPr>
          <w:rFonts w:asciiTheme="minorHAnsi" w:hAnsiTheme="minorHAnsi"/>
          <w:sz w:val="22"/>
          <w:lang w:val="fr-CA"/>
        </w:rPr>
        <w:tab/>
        <w:t>INVITE</w:t>
      </w:r>
      <w:r w:rsidRPr="00AD171F">
        <w:rPr>
          <w:rFonts w:asciiTheme="minorHAnsi" w:hAnsiTheme="minorHAnsi"/>
          <w:sz w:val="22"/>
          <w:lang w:val="fr-CA"/>
        </w:rPr>
        <w:t xml:space="preserve"> </w:t>
      </w:r>
      <w:r w:rsidR="006403B1">
        <w:rPr>
          <w:rFonts w:asciiTheme="minorHAnsi" w:hAnsiTheme="minorHAnsi"/>
          <w:sz w:val="22"/>
          <w:lang w:val="fr-CA"/>
        </w:rPr>
        <w:t>toutes les Parties contractantes à faire rapport sur l’état des petites zones humides de leur territoire</w:t>
      </w:r>
      <w:r>
        <w:rPr>
          <w:rFonts w:asciiTheme="minorHAnsi" w:hAnsiTheme="minorHAnsi"/>
          <w:sz w:val="22"/>
          <w:lang w:val="fr-CA"/>
        </w:rPr>
        <w:t>, s’il y a lieu</w:t>
      </w:r>
      <w:r w:rsidR="006403B1">
        <w:rPr>
          <w:rFonts w:asciiTheme="minorHAnsi" w:hAnsiTheme="minorHAnsi"/>
          <w:sz w:val="22"/>
          <w:lang w:val="fr-CA"/>
        </w:rPr>
        <w:t xml:space="preserve">. </w:t>
      </w:r>
      <w:r w:rsidR="00F94131" w:rsidRPr="003E675E">
        <w:rPr>
          <w:rFonts w:asciiTheme="minorHAnsi" w:hAnsiTheme="minorHAnsi"/>
          <w:sz w:val="22"/>
          <w:lang w:val="fr-CA"/>
        </w:rPr>
        <w:t xml:space="preserve"> </w:t>
      </w:r>
    </w:p>
    <w:sectPr w:rsidR="00906E32" w:rsidRPr="003E675E" w:rsidSect="00061634">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E46E7" w14:textId="77777777" w:rsidR="00B306CC" w:rsidRDefault="00B306CC">
      <w:pPr>
        <w:spacing w:after="0" w:line="240" w:lineRule="auto"/>
      </w:pPr>
      <w:r>
        <w:separator/>
      </w:r>
    </w:p>
  </w:endnote>
  <w:endnote w:type="continuationSeparator" w:id="0">
    <w:p w14:paraId="6E5622C9" w14:textId="77777777" w:rsidR="00B306CC" w:rsidRDefault="00B306CC">
      <w:pPr>
        <w:spacing w:after="0" w:line="240" w:lineRule="auto"/>
      </w:pPr>
      <w:r>
        <w:continuationSeparator/>
      </w:r>
    </w:p>
  </w:endnote>
  <w:endnote w:type="continuationNotice" w:id="1">
    <w:p w14:paraId="72E9E15B" w14:textId="77777777" w:rsidR="00B306CC" w:rsidRDefault="00B30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857DC" w14:textId="48E8A1C2" w:rsidR="00BC64D2" w:rsidRPr="009F3C0A" w:rsidRDefault="009F3C0A" w:rsidP="009F3C0A">
    <w:pPr>
      <w:pStyle w:val="Footer"/>
      <w:tabs>
        <w:tab w:val="clear" w:pos="9360"/>
        <w:tab w:val="right" w:pos="9000"/>
      </w:tabs>
      <w:spacing w:after="0" w:line="240" w:lineRule="auto"/>
      <w:rPr>
        <w:sz w:val="20"/>
        <w:szCs w:val="20"/>
      </w:rPr>
    </w:pPr>
    <w:r w:rsidRPr="009F3C0A">
      <w:rPr>
        <w:rFonts w:asciiTheme="minorHAnsi" w:hAnsiTheme="minorHAnsi"/>
        <w:sz w:val="20"/>
        <w:szCs w:val="20"/>
      </w:rPr>
      <w:t>Ramsar COP13 Doc.18.23</w:t>
    </w:r>
    <w:r w:rsidRPr="009F3C0A">
      <w:rPr>
        <w:rFonts w:asciiTheme="minorHAnsi" w:hAnsiTheme="minorHAnsi"/>
        <w:sz w:val="20"/>
        <w:szCs w:val="20"/>
      </w:rPr>
      <w:tab/>
    </w:r>
    <w:r w:rsidRPr="009F3C0A">
      <w:rPr>
        <w:rFonts w:asciiTheme="minorHAnsi" w:hAnsiTheme="minorHAnsi"/>
        <w:sz w:val="20"/>
        <w:szCs w:val="20"/>
      </w:rP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83620" w14:textId="77777777" w:rsidR="00B306CC" w:rsidRDefault="00B306CC">
      <w:pPr>
        <w:spacing w:after="0" w:line="240" w:lineRule="auto"/>
      </w:pPr>
      <w:r>
        <w:separator/>
      </w:r>
    </w:p>
  </w:footnote>
  <w:footnote w:type="continuationSeparator" w:id="0">
    <w:p w14:paraId="1144B274" w14:textId="77777777" w:rsidR="00B306CC" w:rsidRDefault="00B306CC">
      <w:pPr>
        <w:spacing w:after="0" w:line="240" w:lineRule="auto"/>
      </w:pPr>
      <w:r>
        <w:continuationSeparator/>
      </w:r>
    </w:p>
  </w:footnote>
  <w:footnote w:type="continuationNotice" w:id="1">
    <w:p w14:paraId="030AE53C" w14:textId="77777777" w:rsidR="00B306CC" w:rsidRDefault="00B306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7B28"/>
    <w:multiLevelType w:val="multilevel"/>
    <w:tmpl w:val="0FB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40F1E"/>
    <w:multiLevelType w:val="multilevel"/>
    <w:tmpl w:val="47F40F1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5A33CFA8"/>
    <w:multiLevelType w:val="singleLevel"/>
    <w:tmpl w:val="5A33CFA8"/>
    <w:lvl w:ilvl="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Formattin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53C"/>
    <w:rsid w:val="00012A95"/>
    <w:rsid w:val="000133D5"/>
    <w:rsid w:val="000136ED"/>
    <w:rsid w:val="00013A24"/>
    <w:rsid w:val="0002618D"/>
    <w:rsid w:val="00031EAD"/>
    <w:rsid w:val="00040A33"/>
    <w:rsid w:val="000557AD"/>
    <w:rsid w:val="00061634"/>
    <w:rsid w:val="000644D4"/>
    <w:rsid w:val="0006793C"/>
    <w:rsid w:val="0007253B"/>
    <w:rsid w:val="0007771B"/>
    <w:rsid w:val="00082A3B"/>
    <w:rsid w:val="00092C20"/>
    <w:rsid w:val="000A12B1"/>
    <w:rsid w:val="000A3E02"/>
    <w:rsid w:val="000B1A4F"/>
    <w:rsid w:val="000B7F36"/>
    <w:rsid w:val="000C177C"/>
    <w:rsid w:val="000C512D"/>
    <w:rsid w:val="000C540C"/>
    <w:rsid w:val="000C54DF"/>
    <w:rsid w:val="000C5C17"/>
    <w:rsid w:val="000D5605"/>
    <w:rsid w:val="000D793F"/>
    <w:rsid w:val="000F21DD"/>
    <w:rsid w:val="000F4663"/>
    <w:rsid w:val="000F522E"/>
    <w:rsid w:val="001000EF"/>
    <w:rsid w:val="00101FB5"/>
    <w:rsid w:val="00105BE4"/>
    <w:rsid w:val="00111B38"/>
    <w:rsid w:val="00116230"/>
    <w:rsid w:val="00122210"/>
    <w:rsid w:val="0012329A"/>
    <w:rsid w:val="00125DEA"/>
    <w:rsid w:val="001309AF"/>
    <w:rsid w:val="00140095"/>
    <w:rsid w:val="00142EDE"/>
    <w:rsid w:val="0014350A"/>
    <w:rsid w:val="001437FF"/>
    <w:rsid w:val="00150B6B"/>
    <w:rsid w:val="00153105"/>
    <w:rsid w:val="0015381C"/>
    <w:rsid w:val="00160CDE"/>
    <w:rsid w:val="00162477"/>
    <w:rsid w:val="0016350F"/>
    <w:rsid w:val="00164AA1"/>
    <w:rsid w:val="00172A27"/>
    <w:rsid w:val="001760F6"/>
    <w:rsid w:val="00176FA0"/>
    <w:rsid w:val="00177211"/>
    <w:rsid w:val="00180F08"/>
    <w:rsid w:val="001847E0"/>
    <w:rsid w:val="00190B0C"/>
    <w:rsid w:val="001933B3"/>
    <w:rsid w:val="001A0757"/>
    <w:rsid w:val="001A187A"/>
    <w:rsid w:val="001A2F73"/>
    <w:rsid w:val="001A3B6C"/>
    <w:rsid w:val="001A7B12"/>
    <w:rsid w:val="001B0216"/>
    <w:rsid w:val="001B4B27"/>
    <w:rsid w:val="001D5322"/>
    <w:rsid w:val="001E7F48"/>
    <w:rsid w:val="001F3ED9"/>
    <w:rsid w:val="00211949"/>
    <w:rsid w:val="00212E78"/>
    <w:rsid w:val="002158C4"/>
    <w:rsid w:val="00235264"/>
    <w:rsid w:val="00241021"/>
    <w:rsid w:val="002431E1"/>
    <w:rsid w:val="002451DC"/>
    <w:rsid w:val="002471E0"/>
    <w:rsid w:val="00260264"/>
    <w:rsid w:val="00262E2E"/>
    <w:rsid w:val="00264522"/>
    <w:rsid w:val="0026561C"/>
    <w:rsid w:val="00275459"/>
    <w:rsid w:val="00294480"/>
    <w:rsid w:val="002A0AE0"/>
    <w:rsid w:val="002A5164"/>
    <w:rsid w:val="002A6BF9"/>
    <w:rsid w:val="002B3585"/>
    <w:rsid w:val="002D0548"/>
    <w:rsid w:val="002D211B"/>
    <w:rsid w:val="002D3E63"/>
    <w:rsid w:val="002E443F"/>
    <w:rsid w:val="002E4F66"/>
    <w:rsid w:val="003045C1"/>
    <w:rsid w:val="003055ED"/>
    <w:rsid w:val="003243EA"/>
    <w:rsid w:val="00333144"/>
    <w:rsid w:val="00334651"/>
    <w:rsid w:val="00347E83"/>
    <w:rsid w:val="0035340D"/>
    <w:rsid w:val="00355423"/>
    <w:rsid w:val="00356279"/>
    <w:rsid w:val="003606C3"/>
    <w:rsid w:val="00380D0A"/>
    <w:rsid w:val="003816A4"/>
    <w:rsid w:val="00382B4A"/>
    <w:rsid w:val="00383C3B"/>
    <w:rsid w:val="00390848"/>
    <w:rsid w:val="00395806"/>
    <w:rsid w:val="003A2222"/>
    <w:rsid w:val="003B5D39"/>
    <w:rsid w:val="003C33BF"/>
    <w:rsid w:val="003D1B24"/>
    <w:rsid w:val="003D5783"/>
    <w:rsid w:val="003D746B"/>
    <w:rsid w:val="003E56AE"/>
    <w:rsid w:val="003E675E"/>
    <w:rsid w:val="003F5DF1"/>
    <w:rsid w:val="00403B37"/>
    <w:rsid w:val="00403C80"/>
    <w:rsid w:val="004066B3"/>
    <w:rsid w:val="00416749"/>
    <w:rsid w:val="00421204"/>
    <w:rsid w:val="00427849"/>
    <w:rsid w:val="00430FB1"/>
    <w:rsid w:val="00433D3C"/>
    <w:rsid w:val="004365B4"/>
    <w:rsid w:val="00440FF2"/>
    <w:rsid w:val="0044172A"/>
    <w:rsid w:val="00442060"/>
    <w:rsid w:val="00445379"/>
    <w:rsid w:val="00445CF4"/>
    <w:rsid w:val="00451C6C"/>
    <w:rsid w:val="004520AE"/>
    <w:rsid w:val="00452472"/>
    <w:rsid w:val="0045531E"/>
    <w:rsid w:val="0045613A"/>
    <w:rsid w:val="0046468B"/>
    <w:rsid w:val="0046701D"/>
    <w:rsid w:val="00470FAC"/>
    <w:rsid w:val="0048108C"/>
    <w:rsid w:val="00486925"/>
    <w:rsid w:val="00487885"/>
    <w:rsid w:val="00490E19"/>
    <w:rsid w:val="00491EF8"/>
    <w:rsid w:val="0049664A"/>
    <w:rsid w:val="004974D8"/>
    <w:rsid w:val="0049760F"/>
    <w:rsid w:val="00497950"/>
    <w:rsid w:val="004A63B9"/>
    <w:rsid w:val="004A7CB3"/>
    <w:rsid w:val="004B5526"/>
    <w:rsid w:val="004B6F70"/>
    <w:rsid w:val="004C19E5"/>
    <w:rsid w:val="004C3778"/>
    <w:rsid w:val="004C72FF"/>
    <w:rsid w:val="004C75EC"/>
    <w:rsid w:val="004E3E14"/>
    <w:rsid w:val="004E66B7"/>
    <w:rsid w:val="004E761C"/>
    <w:rsid w:val="004E79F2"/>
    <w:rsid w:val="00507F50"/>
    <w:rsid w:val="00511699"/>
    <w:rsid w:val="0051217E"/>
    <w:rsid w:val="00515223"/>
    <w:rsid w:val="00521096"/>
    <w:rsid w:val="005263AF"/>
    <w:rsid w:val="0053606C"/>
    <w:rsid w:val="005366C1"/>
    <w:rsid w:val="00545B0D"/>
    <w:rsid w:val="00550019"/>
    <w:rsid w:val="00551DA8"/>
    <w:rsid w:val="00551FAD"/>
    <w:rsid w:val="00552996"/>
    <w:rsid w:val="005529A8"/>
    <w:rsid w:val="0055553F"/>
    <w:rsid w:val="005573C8"/>
    <w:rsid w:val="0056325F"/>
    <w:rsid w:val="00564CB5"/>
    <w:rsid w:val="005674D1"/>
    <w:rsid w:val="00577AAB"/>
    <w:rsid w:val="005834A2"/>
    <w:rsid w:val="00590FD6"/>
    <w:rsid w:val="005913CF"/>
    <w:rsid w:val="00592681"/>
    <w:rsid w:val="005A32AC"/>
    <w:rsid w:val="005B4257"/>
    <w:rsid w:val="005C37A8"/>
    <w:rsid w:val="005C40D5"/>
    <w:rsid w:val="005C6C26"/>
    <w:rsid w:val="005D04AA"/>
    <w:rsid w:val="005D41D3"/>
    <w:rsid w:val="005E4267"/>
    <w:rsid w:val="005E5B10"/>
    <w:rsid w:val="005E6C3D"/>
    <w:rsid w:val="005F0F29"/>
    <w:rsid w:val="005F0F67"/>
    <w:rsid w:val="005F465B"/>
    <w:rsid w:val="005F7754"/>
    <w:rsid w:val="00613509"/>
    <w:rsid w:val="006156AA"/>
    <w:rsid w:val="00616AC8"/>
    <w:rsid w:val="006241DD"/>
    <w:rsid w:val="0063187B"/>
    <w:rsid w:val="00635A9E"/>
    <w:rsid w:val="006403B1"/>
    <w:rsid w:val="00642061"/>
    <w:rsid w:val="0064216A"/>
    <w:rsid w:val="006464A2"/>
    <w:rsid w:val="00647758"/>
    <w:rsid w:val="00661FBB"/>
    <w:rsid w:val="006636D1"/>
    <w:rsid w:val="00667B41"/>
    <w:rsid w:val="006706A1"/>
    <w:rsid w:val="006735E8"/>
    <w:rsid w:val="006850E6"/>
    <w:rsid w:val="006C2FB1"/>
    <w:rsid w:val="006C70EB"/>
    <w:rsid w:val="006D0F0B"/>
    <w:rsid w:val="006F2D4F"/>
    <w:rsid w:val="006F5259"/>
    <w:rsid w:val="007002B4"/>
    <w:rsid w:val="00700B3C"/>
    <w:rsid w:val="00700BF1"/>
    <w:rsid w:val="00717016"/>
    <w:rsid w:val="00720E06"/>
    <w:rsid w:val="0073061A"/>
    <w:rsid w:val="007359A1"/>
    <w:rsid w:val="007466D4"/>
    <w:rsid w:val="0075182B"/>
    <w:rsid w:val="00753E32"/>
    <w:rsid w:val="007670AD"/>
    <w:rsid w:val="00770407"/>
    <w:rsid w:val="00773BF8"/>
    <w:rsid w:val="00776E1C"/>
    <w:rsid w:val="00780108"/>
    <w:rsid w:val="00782195"/>
    <w:rsid w:val="007C13AC"/>
    <w:rsid w:val="007D4EC7"/>
    <w:rsid w:val="007D6BF1"/>
    <w:rsid w:val="007E3623"/>
    <w:rsid w:val="007E36CF"/>
    <w:rsid w:val="007E7BFA"/>
    <w:rsid w:val="007F670E"/>
    <w:rsid w:val="007F6EF2"/>
    <w:rsid w:val="008023AB"/>
    <w:rsid w:val="00814E3F"/>
    <w:rsid w:val="008252DE"/>
    <w:rsid w:val="00826F23"/>
    <w:rsid w:val="008301E7"/>
    <w:rsid w:val="00830C47"/>
    <w:rsid w:val="008311E7"/>
    <w:rsid w:val="00842CA4"/>
    <w:rsid w:val="00850116"/>
    <w:rsid w:val="008516E3"/>
    <w:rsid w:val="00852921"/>
    <w:rsid w:val="00856D1C"/>
    <w:rsid w:val="00860AEE"/>
    <w:rsid w:val="00863AE1"/>
    <w:rsid w:val="00870E6A"/>
    <w:rsid w:val="0087508B"/>
    <w:rsid w:val="008752AE"/>
    <w:rsid w:val="00884D79"/>
    <w:rsid w:val="0088589D"/>
    <w:rsid w:val="008906B3"/>
    <w:rsid w:val="008944E5"/>
    <w:rsid w:val="008A458B"/>
    <w:rsid w:val="008A4DC3"/>
    <w:rsid w:val="008A7CF4"/>
    <w:rsid w:val="008B2CE7"/>
    <w:rsid w:val="008B6B5B"/>
    <w:rsid w:val="008C4BE0"/>
    <w:rsid w:val="008C7566"/>
    <w:rsid w:val="008D0588"/>
    <w:rsid w:val="008D6D63"/>
    <w:rsid w:val="008E4EE3"/>
    <w:rsid w:val="008F7963"/>
    <w:rsid w:val="00900272"/>
    <w:rsid w:val="00906E32"/>
    <w:rsid w:val="00911564"/>
    <w:rsid w:val="00912E0D"/>
    <w:rsid w:val="00926144"/>
    <w:rsid w:val="00931DF5"/>
    <w:rsid w:val="00936A4B"/>
    <w:rsid w:val="009379AB"/>
    <w:rsid w:val="009449A2"/>
    <w:rsid w:val="00961358"/>
    <w:rsid w:val="009624B1"/>
    <w:rsid w:val="00965D49"/>
    <w:rsid w:val="0097051A"/>
    <w:rsid w:val="00977EDA"/>
    <w:rsid w:val="00995B74"/>
    <w:rsid w:val="009A15A4"/>
    <w:rsid w:val="009A1FAD"/>
    <w:rsid w:val="009A3776"/>
    <w:rsid w:val="009A48F1"/>
    <w:rsid w:val="009C2429"/>
    <w:rsid w:val="009D2751"/>
    <w:rsid w:val="009E3FF1"/>
    <w:rsid w:val="009F0AC6"/>
    <w:rsid w:val="009F3C0A"/>
    <w:rsid w:val="009F767F"/>
    <w:rsid w:val="00A01F23"/>
    <w:rsid w:val="00A043A3"/>
    <w:rsid w:val="00A04E9F"/>
    <w:rsid w:val="00A067CB"/>
    <w:rsid w:val="00A2267A"/>
    <w:rsid w:val="00A27461"/>
    <w:rsid w:val="00A27994"/>
    <w:rsid w:val="00A27C2C"/>
    <w:rsid w:val="00A30758"/>
    <w:rsid w:val="00A333EA"/>
    <w:rsid w:val="00A365EB"/>
    <w:rsid w:val="00A43C1A"/>
    <w:rsid w:val="00A52534"/>
    <w:rsid w:val="00A52641"/>
    <w:rsid w:val="00A67266"/>
    <w:rsid w:val="00A713C6"/>
    <w:rsid w:val="00A7378C"/>
    <w:rsid w:val="00A758D6"/>
    <w:rsid w:val="00A76836"/>
    <w:rsid w:val="00A96E0E"/>
    <w:rsid w:val="00AA0480"/>
    <w:rsid w:val="00AB0EDA"/>
    <w:rsid w:val="00AC3B38"/>
    <w:rsid w:val="00AC4C8F"/>
    <w:rsid w:val="00AD171F"/>
    <w:rsid w:val="00AD2A09"/>
    <w:rsid w:val="00AE3B45"/>
    <w:rsid w:val="00AF0070"/>
    <w:rsid w:val="00AF7874"/>
    <w:rsid w:val="00B07102"/>
    <w:rsid w:val="00B157B5"/>
    <w:rsid w:val="00B17A15"/>
    <w:rsid w:val="00B306CC"/>
    <w:rsid w:val="00B33440"/>
    <w:rsid w:val="00B33CE7"/>
    <w:rsid w:val="00B376F8"/>
    <w:rsid w:val="00B53B34"/>
    <w:rsid w:val="00B64CCF"/>
    <w:rsid w:val="00B66048"/>
    <w:rsid w:val="00B7189A"/>
    <w:rsid w:val="00B81972"/>
    <w:rsid w:val="00B83B29"/>
    <w:rsid w:val="00B85780"/>
    <w:rsid w:val="00B86D08"/>
    <w:rsid w:val="00B9427B"/>
    <w:rsid w:val="00B94CB5"/>
    <w:rsid w:val="00B95B03"/>
    <w:rsid w:val="00B97459"/>
    <w:rsid w:val="00BA499D"/>
    <w:rsid w:val="00BA6928"/>
    <w:rsid w:val="00BA6F66"/>
    <w:rsid w:val="00BB2121"/>
    <w:rsid w:val="00BC64D2"/>
    <w:rsid w:val="00BD067C"/>
    <w:rsid w:val="00BD1BAB"/>
    <w:rsid w:val="00BD3247"/>
    <w:rsid w:val="00BF0FBE"/>
    <w:rsid w:val="00BF0FF6"/>
    <w:rsid w:val="00BF3689"/>
    <w:rsid w:val="00BF56D4"/>
    <w:rsid w:val="00C0179E"/>
    <w:rsid w:val="00C06A25"/>
    <w:rsid w:val="00C1244C"/>
    <w:rsid w:val="00C22537"/>
    <w:rsid w:val="00C25B09"/>
    <w:rsid w:val="00C345ED"/>
    <w:rsid w:val="00C34855"/>
    <w:rsid w:val="00C50D7E"/>
    <w:rsid w:val="00C55246"/>
    <w:rsid w:val="00C751BF"/>
    <w:rsid w:val="00C83DEC"/>
    <w:rsid w:val="00C867E7"/>
    <w:rsid w:val="00CB0E6D"/>
    <w:rsid w:val="00CB7688"/>
    <w:rsid w:val="00CC5A7E"/>
    <w:rsid w:val="00CD1488"/>
    <w:rsid w:val="00CD6639"/>
    <w:rsid w:val="00CE313E"/>
    <w:rsid w:val="00CE3B7D"/>
    <w:rsid w:val="00CF1223"/>
    <w:rsid w:val="00CF7AB6"/>
    <w:rsid w:val="00D134DD"/>
    <w:rsid w:val="00D13654"/>
    <w:rsid w:val="00D22493"/>
    <w:rsid w:val="00D24D2D"/>
    <w:rsid w:val="00D34869"/>
    <w:rsid w:val="00D42401"/>
    <w:rsid w:val="00D43562"/>
    <w:rsid w:val="00D54543"/>
    <w:rsid w:val="00D57AF3"/>
    <w:rsid w:val="00D66ED6"/>
    <w:rsid w:val="00D743C1"/>
    <w:rsid w:val="00D819B2"/>
    <w:rsid w:val="00D81C8C"/>
    <w:rsid w:val="00D8224B"/>
    <w:rsid w:val="00D9531D"/>
    <w:rsid w:val="00DB0289"/>
    <w:rsid w:val="00DB2128"/>
    <w:rsid w:val="00DB7C93"/>
    <w:rsid w:val="00DC244F"/>
    <w:rsid w:val="00DC5C3B"/>
    <w:rsid w:val="00DD141F"/>
    <w:rsid w:val="00DD6486"/>
    <w:rsid w:val="00DE2A0C"/>
    <w:rsid w:val="00DE3927"/>
    <w:rsid w:val="00DF1B4C"/>
    <w:rsid w:val="00DF1F10"/>
    <w:rsid w:val="00E02563"/>
    <w:rsid w:val="00E15463"/>
    <w:rsid w:val="00E35113"/>
    <w:rsid w:val="00E36C78"/>
    <w:rsid w:val="00E46EC7"/>
    <w:rsid w:val="00E522FE"/>
    <w:rsid w:val="00E566AA"/>
    <w:rsid w:val="00E6248F"/>
    <w:rsid w:val="00E674AD"/>
    <w:rsid w:val="00E743A3"/>
    <w:rsid w:val="00E821B7"/>
    <w:rsid w:val="00E91A47"/>
    <w:rsid w:val="00E93936"/>
    <w:rsid w:val="00E940E8"/>
    <w:rsid w:val="00EA0370"/>
    <w:rsid w:val="00EB0EA7"/>
    <w:rsid w:val="00EB1419"/>
    <w:rsid w:val="00EB2082"/>
    <w:rsid w:val="00EC47DE"/>
    <w:rsid w:val="00EC54A6"/>
    <w:rsid w:val="00EC6265"/>
    <w:rsid w:val="00EC727E"/>
    <w:rsid w:val="00ED396C"/>
    <w:rsid w:val="00EE11A2"/>
    <w:rsid w:val="00EE3E3A"/>
    <w:rsid w:val="00EE59EF"/>
    <w:rsid w:val="00EE66A9"/>
    <w:rsid w:val="00EF3A82"/>
    <w:rsid w:val="00F12653"/>
    <w:rsid w:val="00F1347B"/>
    <w:rsid w:val="00F31EF1"/>
    <w:rsid w:val="00F33842"/>
    <w:rsid w:val="00F37F4C"/>
    <w:rsid w:val="00F4749F"/>
    <w:rsid w:val="00F53E8A"/>
    <w:rsid w:val="00F55CB3"/>
    <w:rsid w:val="00F579D1"/>
    <w:rsid w:val="00F6006D"/>
    <w:rsid w:val="00F6067A"/>
    <w:rsid w:val="00F71DB2"/>
    <w:rsid w:val="00F75994"/>
    <w:rsid w:val="00F85A8B"/>
    <w:rsid w:val="00F94131"/>
    <w:rsid w:val="00FA3230"/>
    <w:rsid w:val="00FA5783"/>
    <w:rsid w:val="00FB09DF"/>
    <w:rsid w:val="00FB220B"/>
    <w:rsid w:val="00FB4AA6"/>
    <w:rsid w:val="00FC0FE7"/>
    <w:rsid w:val="00FC41A2"/>
    <w:rsid w:val="00FD3FFC"/>
    <w:rsid w:val="00FD4A89"/>
    <w:rsid w:val="00FD679D"/>
    <w:rsid w:val="00FD7D73"/>
    <w:rsid w:val="00FF7AEA"/>
    <w:rsid w:val="168D6FD6"/>
    <w:rsid w:val="31547EBC"/>
    <w:rsid w:val="5645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F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unhideWhenUsed="0"/>
    <w:lsdException w:name="annotation reference"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rFonts w:ascii="Garamond" w:hAnsi="Garamond"/>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sz w:val="20"/>
      <w:szCs w:val="20"/>
    </w:rPr>
  </w:style>
  <w:style w:type="paragraph" w:styleId="BodyTextIndent">
    <w:name w:val="Body Text Indent"/>
    <w:basedOn w:val="Normal"/>
    <w:qFormat/>
    <w:pPr>
      <w:tabs>
        <w:tab w:val="left" w:pos="567"/>
      </w:tabs>
      <w:ind w:left="567" w:hanging="720"/>
    </w:pPr>
    <w:rPr>
      <w:rFonts w:ascii="Garamond" w:hAnsi="Garamond"/>
      <w:szCs w:val="20"/>
      <w:lang w:val="en-US"/>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NormalWeb">
    <w:name w:val="Normal (Web)"/>
    <w:basedOn w:val="Normal"/>
    <w:uiPriority w:val="99"/>
    <w:pPr>
      <w:spacing w:before="100" w:beforeAutospacing="1" w:after="100" w:afterAutospacing="1"/>
    </w:pPr>
    <w:rPr>
      <w:color w:val="000000"/>
    </w:rPr>
  </w:style>
  <w:style w:type="character" w:styleId="CommentReference">
    <w:name w:val="annotation reference"/>
    <w:rPr>
      <w:sz w:val="16"/>
      <w:szCs w:val="16"/>
    </w:rPr>
  </w:style>
  <w:style w:type="character" w:styleId="FootnoteReference">
    <w:name w:val="footnote reference"/>
    <w:semiHidden/>
    <w:rPr>
      <w:vertAlign w:val="superscript"/>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rPr>
      <w:b/>
      <w:bCs/>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rPr>
      <w:sz w:val="24"/>
      <w:szCs w:val="24"/>
      <w:lang w:val="el-GR" w:eastAsia="el-GR"/>
    </w:rPr>
  </w:style>
  <w:style w:type="character" w:customStyle="1" w:styleId="FooterChar">
    <w:name w:val="Footer Char"/>
    <w:link w:val="Footer"/>
    <w:uiPriority w:val="99"/>
    <w:rPr>
      <w:sz w:val="24"/>
      <w:szCs w:val="24"/>
      <w:lang w:val="el-GR" w:eastAsia="el-GR"/>
    </w:rPr>
  </w:style>
  <w:style w:type="paragraph" w:styleId="ListParagraph">
    <w:name w:val="List Paragraph"/>
    <w:basedOn w:val="Normal"/>
    <w:uiPriority w:val="34"/>
    <w:qFormat/>
    <w:pPr>
      <w:ind w:left="720"/>
    </w:pPr>
  </w:style>
  <w:style w:type="paragraph" w:customStyle="1" w:styleId="Default">
    <w:name w:val="Default"/>
    <w:uiPriority w:val="99"/>
    <w:unhideWhenUsed/>
    <w:pPr>
      <w:widowControl w:val="0"/>
      <w:autoSpaceDE w:val="0"/>
      <w:autoSpaceDN w:val="0"/>
      <w:adjustRightInd w:val="0"/>
    </w:pPr>
    <w:rPr>
      <w:rFonts w:ascii="Garamond" w:eastAsia="Garamond" w:hAnsi="Garamond" w:hint="eastAsia"/>
      <w:color w:val="000000"/>
      <w:sz w:val="24"/>
    </w:rPr>
  </w:style>
  <w:style w:type="paragraph" w:styleId="Revision">
    <w:name w:val="Revision"/>
    <w:hidden/>
    <w:uiPriority w:val="99"/>
    <w:unhideWhenUsed/>
    <w:rsid w:val="00B07102"/>
    <w:pPr>
      <w:spacing w:after="0" w:line="240" w:lineRule="auto"/>
    </w:pPr>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unhideWhenUsed="0"/>
    <w:lsdException w:name="annotation reference"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rFonts w:ascii="Garamond" w:hAnsi="Garamond"/>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sz w:val="20"/>
      <w:szCs w:val="20"/>
    </w:rPr>
  </w:style>
  <w:style w:type="paragraph" w:styleId="BodyTextIndent">
    <w:name w:val="Body Text Indent"/>
    <w:basedOn w:val="Normal"/>
    <w:qFormat/>
    <w:pPr>
      <w:tabs>
        <w:tab w:val="left" w:pos="567"/>
      </w:tabs>
      <w:ind w:left="567" w:hanging="720"/>
    </w:pPr>
    <w:rPr>
      <w:rFonts w:ascii="Garamond" w:hAnsi="Garamond"/>
      <w:szCs w:val="20"/>
      <w:lang w:val="en-US"/>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NormalWeb">
    <w:name w:val="Normal (Web)"/>
    <w:basedOn w:val="Normal"/>
    <w:uiPriority w:val="99"/>
    <w:pPr>
      <w:spacing w:before="100" w:beforeAutospacing="1" w:after="100" w:afterAutospacing="1"/>
    </w:pPr>
    <w:rPr>
      <w:color w:val="000000"/>
    </w:rPr>
  </w:style>
  <w:style w:type="character" w:styleId="CommentReference">
    <w:name w:val="annotation reference"/>
    <w:rPr>
      <w:sz w:val="16"/>
      <w:szCs w:val="16"/>
    </w:rPr>
  </w:style>
  <w:style w:type="character" w:styleId="FootnoteReference">
    <w:name w:val="footnote reference"/>
    <w:semiHidden/>
    <w:rPr>
      <w:vertAlign w:val="superscript"/>
    </w:rPr>
  </w:style>
  <w:style w:type="character" w:customStyle="1" w:styleId="CommentTextChar">
    <w:name w:val="Comment Text Char"/>
    <w:basedOn w:val="DefaultParagraphFont"/>
    <w:link w:val="CommentText"/>
  </w:style>
  <w:style w:type="character" w:customStyle="1" w:styleId="CommentSubjectChar">
    <w:name w:val="Comment Subject Char"/>
    <w:link w:val="CommentSubject"/>
    <w:rPr>
      <w:b/>
      <w:bCs/>
    </w:rPr>
  </w:style>
  <w:style w:type="character" w:customStyle="1" w:styleId="BalloonTextChar">
    <w:name w:val="Balloon Text Char"/>
    <w:link w:val="BalloonText"/>
    <w:rPr>
      <w:rFonts w:ascii="Tahoma" w:hAnsi="Tahoma" w:cs="Tahoma"/>
      <w:sz w:val="16"/>
      <w:szCs w:val="16"/>
    </w:rPr>
  </w:style>
  <w:style w:type="character" w:customStyle="1" w:styleId="HeaderChar">
    <w:name w:val="Header Char"/>
    <w:link w:val="Header"/>
    <w:rPr>
      <w:sz w:val="24"/>
      <w:szCs w:val="24"/>
      <w:lang w:val="el-GR" w:eastAsia="el-GR"/>
    </w:rPr>
  </w:style>
  <w:style w:type="character" w:customStyle="1" w:styleId="FooterChar">
    <w:name w:val="Footer Char"/>
    <w:link w:val="Footer"/>
    <w:uiPriority w:val="99"/>
    <w:rPr>
      <w:sz w:val="24"/>
      <w:szCs w:val="24"/>
      <w:lang w:val="el-GR" w:eastAsia="el-GR"/>
    </w:rPr>
  </w:style>
  <w:style w:type="paragraph" w:styleId="ListParagraph">
    <w:name w:val="List Paragraph"/>
    <w:basedOn w:val="Normal"/>
    <w:uiPriority w:val="34"/>
    <w:qFormat/>
    <w:pPr>
      <w:ind w:left="720"/>
    </w:pPr>
  </w:style>
  <w:style w:type="paragraph" w:customStyle="1" w:styleId="Default">
    <w:name w:val="Default"/>
    <w:uiPriority w:val="99"/>
    <w:unhideWhenUsed/>
    <w:pPr>
      <w:widowControl w:val="0"/>
      <w:autoSpaceDE w:val="0"/>
      <w:autoSpaceDN w:val="0"/>
      <w:adjustRightInd w:val="0"/>
    </w:pPr>
    <w:rPr>
      <w:rFonts w:ascii="Garamond" w:eastAsia="Garamond" w:hAnsi="Garamond" w:hint="eastAsia"/>
      <w:color w:val="000000"/>
      <w:sz w:val="24"/>
    </w:rPr>
  </w:style>
  <w:style w:type="paragraph" w:styleId="Revision">
    <w:name w:val="Revision"/>
    <w:hidden/>
    <w:uiPriority w:val="99"/>
    <w:unhideWhenUsed/>
    <w:rsid w:val="00B07102"/>
    <w:pPr>
      <w:spacing w:after="0" w:line="240" w:lineRule="auto"/>
    </w:pPr>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6390">
      <w:bodyDiv w:val="1"/>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437138692">
              <w:marLeft w:val="0"/>
              <w:marRight w:val="0"/>
              <w:marTop w:val="0"/>
              <w:marBottom w:val="0"/>
              <w:divBdr>
                <w:top w:val="none" w:sz="0" w:space="0" w:color="auto"/>
                <w:left w:val="none" w:sz="0" w:space="0" w:color="auto"/>
                <w:bottom w:val="none" w:sz="0" w:space="0" w:color="auto"/>
                <w:right w:val="none" w:sz="0" w:space="0" w:color="auto"/>
              </w:divBdr>
              <w:divsChild>
                <w:div w:id="1233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787">
      <w:bodyDiv w:val="1"/>
      <w:marLeft w:val="0"/>
      <w:marRight w:val="0"/>
      <w:marTop w:val="0"/>
      <w:marBottom w:val="0"/>
      <w:divBdr>
        <w:top w:val="none" w:sz="0" w:space="0" w:color="auto"/>
        <w:left w:val="none" w:sz="0" w:space="0" w:color="auto"/>
        <w:bottom w:val="none" w:sz="0" w:space="0" w:color="auto"/>
        <w:right w:val="none" w:sz="0" w:space="0" w:color="auto"/>
      </w:divBdr>
      <w:divsChild>
        <w:div w:id="562176183">
          <w:marLeft w:val="0"/>
          <w:marRight w:val="0"/>
          <w:marTop w:val="0"/>
          <w:marBottom w:val="0"/>
          <w:divBdr>
            <w:top w:val="single" w:sz="6" w:space="0" w:color="D2D3D4"/>
            <w:left w:val="none" w:sz="0" w:space="23" w:color="D2D3D4"/>
            <w:bottom w:val="single" w:sz="6" w:space="0" w:color="D2D3D4"/>
            <w:right w:val="none" w:sz="0" w:space="23" w:color="D2D3D4"/>
          </w:divBdr>
          <w:divsChild>
            <w:div w:id="106121055">
              <w:marLeft w:val="0"/>
              <w:marRight w:val="0"/>
              <w:marTop w:val="0"/>
              <w:marBottom w:val="0"/>
              <w:divBdr>
                <w:top w:val="none" w:sz="0" w:space="0" w:color="auto"/>
                <w:left w:val="none" w:sz="0" w:space="0" w:color="auto"/>
                <w:bottom w:val="none" w:sz="0" w:space="0" w:color="auto"/>
                <w:right w:val="none" w:sz="0" w:space="0" w:color="auto"/>
              </w:divBdr>
              <w:divsChild>
                <w:div w:id="1745300793">
                  <w:marLeft w:val="0"/>
                  <w:marRight w:val="0"/>
                  <w:marTop w:val="0"/>
                  <w:marBottom w:val="0"/>
                  <w:divBdr>
                    <w:top w:val="none" w:sz="0" w:space="0" w:color="auto"/>
                    <w:left w:val="none" w:sz="0" w:space="0" w:color="auto"/>
                    <w:bottom w:val="none" w:sz="0" w:space="0" w:color="auto"/>
                    <w:right w:val="none" w:sz="0" w:space="0" w:color="auto"/>
                  </w:divBdr>
                  <w:divsChild>
                    <w:div w:id="18067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35">
          <w:marLeft w:val="0"/>
          <w:marRight w:val="0"/>
          <w:marTop w:val="0"/>
          <w:marBottom w:val="0"/>
          <w:divBdr>
            <w:top w:val="none" w:sz="0" w:space="0" w:color="auto"/>
            <w:left w:val="none" w:sz="0" w:space="0" w:color="auto"/>
            <w:bottom w:val="none" w:sz="0" w:space="0" w:color="auto"/>
            <w:right w:val="none" w:sz="0" w:space="0" w:color="auto"/>
          </w:divBdr>
          <w:divsChild>
            <w:div w:id="1574312668">
              <w:marLeft w:val="0"/>
              <w:marRight w:val="0"/>
              <w:marTop w:val="0"/>
              <w:marBottom w:val="0"/>
              <w:divBdr>
                <w:top w:val="none" w:sz="0" w:space="0" w:color="auto"/>
                <w:left w:val="none" w:sz="0" w:space="0" w:color="auto"/>
                <w:bottom w:val="none" w:sz="0" w:space="0" w:color="auto"/>
                <w:right w:val="none" w:sz="0" w:space="0" w:color="auto"/>
              </w:divBdr>
              <w:divsChild>
                <w:div w:id="12447271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67142851">
      <w:bodyDiv w:val="1"/>
      <w:marLeft w:val="0"/>
      <w:marRight w:val="0"/>
      <w:marTop w:val="0"/>
      <w:marBottom w:val="0"/>
      <w:divBdr>
        <w:top w:val="none" w:sz="0" w:space="0" w:color="auto"/>
        <w:left w:val="none" w:sz="0" w:space="0" w:color="auto"/>
        <w:bottom w:val="none" w:sz="0" w:space="0" w:color="auto"/>
        <w:right w:val="none" w:sz="0" w:space="0" w:color="auto"/>
      </w:divBdr>
    </w:div>
    <w:div w:id="1346590089">
      <w:bodyDiv w:val="1"/>
      <w:marLeft w:val="0"/>
      <w:marRight w:val="0"/>
      <w:marTop w:val="0"/>
      <w:marBottom w:val="0"/>
      <w:divBdr>
        <w:top w:val="none" w:sz="0" w:space="0" w:color="auto"/>
        <w:left w:val="none" w:sz="0" w:space="0" w:color="auto"/>
        <w:bottom w:val="none" w:sz="0" w:space="0" w:color="auto"/>
        <w:right w:val="none" w:sz="0" w:space="0" w:color="auto"/>
      </w:divBdr>
    </w:div>
    <w:div w:id="188667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107AC-C0F3-4C17-AE09-CC5F39FB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5254</Characters>
  <Application>Microsoft Office Word</Application>
  <DocSecurity>0</DocSecurity>
  <Lines>107</Lines>
  <Paragraphs>38</Paragraphs>
  <ScaleCrop>false</ScaleCrop>
  <HeadingPairs>
    <vt:vector size="2" baseType="variant">
      <vt:variant>
        <vt:lpstr>Title</vt:lpstr>
      </vt:variant>
      <vt:variant>
        <vt:i4>1</vt:i4>
      </vt:variant>
    </vt:vector>
  </HeadingPairs>
  <TitlesOfParts>
    <vt:vector size="1" baseType="lpstr">
      <vt:lpstr>Halt the degradation of the Island wetlands</vt:lpstr>
    </vt:vector>
  </TitlesOfParts>
  <Company>WWF Greece</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 the degradation of the Island wetlands</dc:title>
  <dc:creator>tt</dc:creator>
  <cp:lastModifiedBy>Ramsar\JenningsE</cp:lastModifiedBy>
  <cp:revision>3</cp:revision>
  <cp:lastPrinted>2014-12-17T15:30:00Z</cp:lastPrinted>
  <dcterms:created xsi:type="dcterms:W3CDTF">2018-07-21T17:49:00Z</dcterms:created>
  <dcterms:modified xsi:type="dcterms:W3CDTF">2018-07-21T17:51:00Z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