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15A" w:rsidRPr="00517C51" w:rsidRDefault="00DF215A" w:rsidP="00DF215A">
      <w:pPr>
        <w:ind w:right="17"/>
        <w:jc w:val="center"/>
        <w:outlineLvl w:val="0"/>
        <w:rPr>
          <w:rFonts w:eastAsia="Times New Roman" w:cstheme="majorHAnsi"/>
          <w:b/>
          <w:bCs/>
          <w:sz w:val="24"/>
          <w:szCs w:val="24"/>
          <w:lang w:val="en-US"/>
        </w:rPr>
      </w:pPr>
      <w:r>
        <w:rPr>
          <w:rFonts w:eastAsia="Times New Roman" w:cstheme="majorHAnsi"/>
          <w:b/>
          <w:bCs/>
          <w:noProof/>
          <w:sz w:val="28"/>
          <w:szCs w:val="28"/>
          <w:lang w:eastAsia="en-GB"/>
        </w:rPr>
        <w:drawing>
          <wp:anchor distT="0" distB="0" distL="114300" distR="114300" simplePos="0" relativeHeight="251661312" behindDoc="1" locked="0" layoutInCell="1" allowOverlap="1" wp14:anchorId="50297529" wp14:editId="61808607">
            <wp:simplePos x="0" y="0"/>
            <wp:positionH relativeFrom="column">
              <wp:posOffset>-254000</wp:posOffset>
            </wp:positionH>
            <wp:positionV relativeFrom="paragraph">
              <wp:posOffset>-476250</wp:posOffset>
            </wp:positionV>
            <wp:extent cx="1646555" cy="1714500"/>
            <wp:effectExtent l="0" t="0" r="0" b="0"/>
            <wp:wrapTight wrapText="bothSides">
              <wp:wrapPolygon edited="0">
                <wp:start x="0" y="0"/>
                <wp:lineTo x="0" y="21360"/>
                <wp:lineTo x="21242" y="21360"/>
                <wp:lineTo x="2124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6555" cy="1714500"/>
                    </a:xfrm>
                    <a:prstGeom prst="rect">
                      <a:avLst/>
                    </a:prstGeom>
                  </pic:spPr>
                </pic:pic>
              </a:graphicData>
            </a:graphic>
            <wp14:sizeRelH relativeFrom="page">
              <wp14:pctWidth>0</wp14:pctWidth>
            </wp14:sizeRelH>
            <wp14:sizeRelV relativeFrom="page">
              <wp14:pctHeight>0</wp14:pctHeight>
            </wp14:sizeRelV>
          </wp:anchor>
        </w:drawing>
      </w:r>
      <w:r w:rsidRPr="00517C51">
        <w:rPr>
          <w:rFonts w:eastAsia="Times New Roman" w:cstheme="majorHAnsi"/>
          <w:b/>
          <w:bCs/>
          <w:sz w:val="24"/>
          <w:szCs w:val="24"/>
          <w:lang w:val="en-US"/>
        </w:rPr>
        <w:t>13th Meeting of the Conference of the Contracting Parties</w:t>
      </w:r>
    </w:p>
    <w:p w:rsidR="00DF215A" w:rsidRPr="00517C51" w:rsidRDefault="00DF215A" w:rsidP="00DF215A">
      <w:pPr>
        <w:ind w:right="17"/>
        <w:jc w:val="center"/>
        <w:outlineLvl w:val="0"/>
        <w:rPr>
          <w:rFonts w:eastAsia="Times New Roman" w:cstheme="majorHAnsi"/>
          <w:b/>
          <w:bCs/>
          <w:sz w:val="24"/>
          <w:szCs w:val="24"/>
          <w:lang w:val="en-US"/>
        </w:rPr>
      </w:pPr>
      <w:r w:rsidRPr="00517C51">
        <w:rPr>
          <w:rFonts w:eastAsia="Times New Roman" w:cstheme="majorHAnsi"/>
          <w:b/>
          <w:bCs/>
          <w:sz w:val="24"/>
          <w:szCs w:val="24"/>
          <w:lang w:val="en-US"/>
        </w:rPr>
        <w:t>to the Ramsar Convention on Wetlands</w:t>
      </w:r>
    </w:p>
    <w:p w:rsidR="00DF215A" w:rsidRPr="00517C51" w:rsidRDefault="00DF215A" w:rsidP="00DF215A">
      <w:pPr>
        <w:ind w:right="17"/>
        <w:jc w:val="center"/>
        <w:outlineLvl w:val="0"/>
        <w:rPr>
          <w:rFonts w:eastAsia="Times New Roman" w:cstheme="majorHAnsi"/>
          <w:b/>
          <w:bCs/>
          <w:sz w:val="24"/>
          <w:szCs w:val="24"/>
          <w:lang w:val="en-US"/>
        </w:rPr>
      </w:pPr>
    </w:p>
    <w:p w:rsidR="00DF215A" w:rsidRPr="00517C51" w:rsidRDefault="00DF215A" w:rsidP="00DF215A">
      <w:pPr>
        <w:ind w:right="17"/>
        <w:jc w:val="center"/>
        <w:outlineLvl w:val="0"/>
        <w:rPr>
          <w:rFonts w:eastAsia="Times New Roman" w:cstheme="majorHAnsi"/>
          <w:b/>
          <w:bCs/>
          <w:sz w:val="24"/>
          <w:szCs w:val="24"/>
          <w:lang w:val="en-US"/>
        </w:rPr>
      </w:pPr>
      <w:r w:rsidRPr="00517C51">
        <w:rPr>
          <w:rFonts w:eastAsia="Times New Roman" w:cstheme="majorHAnsi"/>
          <w:b/>
          <w:bCs/>
          <w:sz w:val="24"/>
          <w:szCs w:val="24"/>
          <w:lang w:val="en-US"/>
        </w:rPr>
        <w:t>“Wetlands for a Sustainable Urban Future”</w:t>
      </w:r>
    </w:p>
    <w:p w:rsidR="00DF215A" w:rsidRPr="00517C51" w:rsidRDefault="00DF215A" w:rsidP="00DF215A">
      <w:pPr>
        <w:ind w:right="17"/>
        <w:jc w:val="center"/>
        <w:outlineLvl w:val="0"/>
        <w:rPr>
          <w:rFonts w:eastAsia="Times New Roman" w:cstheme="majorHAnsi"/>
          <w:b/>
          <w:bCs/>
          <w:sz w:val="24"/>
          <w:szCs w:val="24"/>
          <w:lang w:val="en-US"/>
        </w:rPr>
      </w:pPr>
      <w:r w:rsidRPr="00517C51">
        <w:rPr>
          <w:rFonts w:eastAsia="Times New Roman" w:cstheme="majorHAnsi"/>
          <w:b/>
          <w:bCs/>
          <w:sz w:val="24"/>
          <w:szCs w:val="24"/>
          <w:lang w:val="en-US"/>
        </w:rPr>
        <w:t>Dubai, United Arab Emirates, 21-29 October 2018</w:t>
      </w:r>
    </w:p>
    <w:p w:rsidR="00DF215A" w:rsidRDefault="00DF215A" w:rsidP="00DF215A">
      <w:pPr>
        <w:ind w:right="17"/>
        <w:jc w:val="center"/>
        <w:outlineLvl w:val="0"/>
        <w:rPr>
          <w:rFonts w:eastAsia="Times New Roman" w:cstheme="majorHAnsi"/>
          <w:b/>
          <w:bCs/>
          <w:sz w:val="28"/>
          <w:szCs w:val="28"/>
        </w:rPr>
      </w:pPr>
    </w:p>
    <w:p w:rsidR="00DF215A" w:rsidRDefault="00DF215A" w:rsidP="00DF215A">
      <w:pPr>
        <w:ind w:right="17"/>
        <w:jc w:val="center"/>
        <w:outlineLvl w:val="0"/>
        <w:rPr>
          <w:rFonts w:eastAsia="Times New Roman" w:cstheme="majorHAnsi"/>
          <w:b/>
          <w:bCs/>
          <w:sz w:val="28"/>
          <w:szCs w:val="28"/>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4708"/>
        <w:gridCol w:w="4652"/>
      </w:tblGrid>
      <w:tr w:rsidR="00DF215A" w:rsidRPr="000E67F8" w:rsidTr="00984FD1">
        <w:tc>
          <w:tcPr>
            <w:tcW w:w="4708" w:type="dxa"/>
          </w:tcPr>
          <w:p w:rsidR="00DF215A" w:rsidRPr="000E67F8" w:rsidRDefault="00DF215A" w:rsidP="00984FD1">
            <w:pPr>
              <w:ind w:right="17"/>
              <w:jc w:val="center"/>
              <w:outlineLvl w:val="0"/>
              <w:rPr>
                <w:rFonts w:eastAsia="Times New Roman" w:cstheme="majorHAnsi"/>
                <w:b/>
                <w:bCs/>
                <w:sz w:val="24"/>
                <w:szCs w:val="24"/>
                <w:lang w:val="en-US"/>
              </w:rPr>
            </w:pPr>
          </w:p>
        </w:tc>
        <w:tc>
          <w:tcPr>
            <w:tcW w:w="4652" w:type="dxa"/>
          </w:tcPr>
          <w:p w:rsidR="00DF215A" w:rsidRPr="000E67F8" w:rsidRDefault="00DF215A" w:rsidP="001966E6">
            <w:pPr>
              <w:ind w:right="67"/>
              <w:jc w:val="right"/>
              <w:outlineLvl w:val="0"/>
              <w:rPr>
                <w:rFonts w:eastAsia="Times New Roman" w:cstheme="majorHAnsi"/>
                <w:b/>
                <w:bCs/>
                <w:sz w:val="24"/>
                <w:szCs w:val="24"/>
                <w:lang w:val="en-US"/>
              </w:rPr>
            </w:pPr>
            <w:r w:rsidRPr="000E67F8">
              <w:rPr>
                <w:rFonts w:eastAsia="Times New Roman" w:cstheme="majorHAnsi"/>
                <w:b/>
                <w:bCs/>
                <w:sz w:val="24"/>
                <w:szCs w:val="24"/>
                <w:lang w:val="en-US"/>
              </w:rPr>
              <w:t xml:space="preserve">Ramsar COP13 </w:t>
            </w:r>
            <w:r w:rsidR="001966E6" w:rsidRPr="001966E6">
              <w:rPr>
                <w:rFonts w:eastAsia="Times New Roman" w:cstheme="majorHAnsi"/>
                <w:b/>
                <w:bCs/>
                <w:sz w:val="24"/>
                <w:szCs w:val="24"/>
                <w:lang w:val="en-US"/>
              </w:rPr>
              <w:t>Doc.</w:t>
            </w:r>
            <w:r w:rsidR="001966E6">
              <w:rPr>
                <w:rFonts w:eastAsia="Times New Roman" w:cstheme="majorHAnsi"/>
                <w:b/>
                <w:bCs/>
                <w:sz w:val="24"/>
                <w:szCs w:val="24"/>
                <w:lang w:val="en-US"/>
              </w:rPr>
              <w:t>18</w:t>
            </w:r>
            <w:r w:rsidR="001966E6" w:rsidRPr="001966E6">
              <w:rPr>
                <w:rFonts w:eastAsia="Times New Roman" w:cstheme="majorHAnsi"/>
                <w:b/>
                <w:bCs/>
                <w:sz w:val="24"/>
                <w:szCs w:val="24"/>
                <w:lang w:val="en-US"/>
              </w:rPr>
              <w:t>.1</w:t>
            </w:r>
          </w:p>
        </w:tc>
      </w:tr>
    </w:tbl>
    <w:p w:rsidR="00DF215A" w:rsidRDefault="00DF215A" w:rsidP="00DF215A">
      <w:pPr>
        <w:ind w:right="17"/>
        <w:jc w:val="center"/>
        <w:outlineLvl w:val="0"/>
        <w:rPr>
          <w:rFonts w:eastAsia="Times New Roman" w:cstheme="majorHAnsi"/>
          <w:b/>
          <w:bCs/>
          <w:sz w:val="28"/>
          <w:szCs w:val="28"/>
        </w:rPr>
      </w:pPr>
    </w:p>
    <w:p w:rsidR="00C20B3F" w:rsidRPr="00AB4355" w:rsidRDefault="00DF215A" w:rsidP="00A23349">
      <w:pPr>
        <w:jc w:val="center"/>
        <w:outlineLvl w:val="0"/>
        <w:rPr>
          <w:rFonts w:cs="Arial"/>
          <w:b/>
          <w:sz w:val="28"/>
          <w:szCs w:val="28"/>
        </w:rPr>
      </w:pPr>
      <w:r w:rsidRPr="002058B9">
        <w:rPr>
          <w:rFonts w:eastAsia="Times New Roman" w:cstheme="majorHAnsi"/>
          <w:b/>
          <w:bCs/>
          <w:sz w:val="28"/>
          <w:szCs w:val="28"/>
        </w:rPr>
        <w:t xml:space="preserve">Draft resolution </w:t>
      </w:r>
      <w:r w:rsidR="00C20B3F" w:rsidRPr="00AB4355">
        <w:rPr>
          <w:rFonts w:cs="Arial"/>
          <w:b/>
          <w:sz w:val="28"/>
          <w:szCs w:val="28"/>
        </w:rPr>
        <w:t xml:space="preserve">on </w:t>
      </w:r>
      <w:r w:rsidR="00875E3F" w:rsidRPr="00AB4355">
        <w:rPr>
          <w:rFonts w:cs="Arial"/>
          <w:b/>
          <w:sz w:val="28"/>
          <w:szCs w:val="28"/>
        </w:rPr>
        <w:t xml:space="preserve">enhancing the effectiveness </w:t>
      </w:r>
      <w:r w:rsidR="001966E6">
        <w:rPr>
          <w:rFonts w:cs="Arial"/>
          <w:b/>
          <w:sz w:val="28"/>
          <w:szCs w:val="28"/>
        </w:rPr>
        <w:br/>
      </w:r>
      <w:r w:rsidR="00C20B3F" w:rsidRPr="00AB4355">
        <w:rPr>
          <w:rFonts w:cs="Arial"/>
          <w:b/>
          <w:sz w:val="28"/>
          <w:szCs w:val="28"/>
        </w:rPr>
        <w:t>of the Convention</w:t>
      </w:r>
    </w:p>
    <w:p w:rsidR="004A7C67" w:rsidRDefault="004A7C67" w:rsidP="00C20B3F">
      <w:pPr>
        <w:pStyle w:val="NoSpacing"/>
        <w:rPr>
          <w:lang w:val="en-GB"/>
        </w:rPr>
      </w:pPr>
    </w:p>
    <w:p w:rsidR="004A7C67" w:rsidRDefault="004A7C67" w:rsidP="00C20B3F">
      <w:pPr>
        <w:pStyle w:val="NoSpacing"/>
        <w:rPr>
          <w:lang w:val="en-GB"/>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9360"/>
      </w:tblGrid>
      <w:tr w:rsidR="004A7C67" w:rsidRPr="000E67F8" w:rsidTr="00220A4B">
        <w:tc>
          <w:tcPr>
            <w:tcW w:w="9360" w:type="dxa"/>
          </w:tcPr>
          <w:p w:rsidR="004A7C67" w:rsidRPr="004A7C67" w:rsidRDefault="004A7C67" w:rsidP="004A7C67">
            <w:pPr>
              <w:ind w:right="67"/>
              <w:outlineLvl w:val="0"/>
              <w:rPr>
                <w:rFonts w:eastAsia="Times New Roman" w:cstheme="majorHAnsi"/>
                <w:b/>
                <w:bCs/>
                <w:lang w:val="en-US"/>
              </w:rPr>
            </w:pPr>
            <w:r w:rsidRPr="004A7C67">
              <w:rPr>
                <w:rFonts w:eastAsia="Times New Roman" w:cstheme="majorHAnsi"/>
                <w:b/>
                <w:bCs/>
                <w:lang w:val="en-US"/>
              </w:rPr>
              <w:t>Note from the Secretariat</w:t>
            </w:r>
          </w:p>
          <w:p w:rsidR="004A7C67" w:rsidRPr="004A7C67" w:rsidRDefault="004A7C67" w:rsidP="004A7C67">
            <w:pPr>
              <w:ind w:right="67"/>
              <w:outlineLvl w:val="0"/>
              <w:rPr>
                <w:rFonts w:eastAsia="Times New Roman" w:cstheme="majorHAnsi"/>
                <w:b/>
                <w:bCs/>
                <w:lang w:val="en-US"/>
              </w:rPr>
            </w:pPr>
          </w:p>
          <w:p w:rsidR="004A7C67" w:rsidRPr="004A7C67" w:rsidRDefault="004A7C67" w:rsidP="004A7C67">
            <w:pPr>
              <w:ind w:right="67"/>
              <w:outlineLvl w:val="0"/>
              <w:rPr>
                <w:rFonts w:eastAsia="Times New Roman" w:cstheme="majorHAnsi"/>
                <w:bCs/>
                <w:spacing w:val="-2"/>
                <w:lang w:val="en-US"/>
              </w:rPr>
            </w:pPr>
            <w:r w:rsidRPr="004A7C67">
              <w:rPr>
                <w:rFonts w:eastAsia="Times New Roman" w:cstheme="majorHAnsi"/>
                <w:bCs/>
                <w:spacing w:val="-2"/>
                <w:lang w:val="en-US"/>
              </w:rPr>
              <w:t>Through Decision SC54-16, the Standing Com</w:t>
            </w:r>
            <w:bookmarkStart w:id="0" w:name="_GoBack"/>
            <w:bookmarkEnd w:id="0"/>
            <w:r w:rsidRPr="004A7C67">
              <w:rPr>
                <w:rFonts w:eastAsia="Times New Roman" w:cstheme="majorHAnsi"/>
                <w:bCs/>
                <w:spacing w:val="-2"/>
                <w:lang w:val="en-US"/>
              </w:rPr>
              <w:t>mittee at its 54th meeting decided to submit both the draft resolutions in documents Doc. SC54-9 and Doc. SC54-21.8, as originally drafted, for consideration at COP13. The Standing Committee noted that both proposals were based on the recognition of a need to review the mechanism for providing governance and guidance for the Convention. The Committee discussed both proposals without reaching a conclusion on how to bring them together. The Committee encouraged interested Parties to continue multilateral discussions on this issue in preparation for COP13 to seek mutually agreeable solutions to achieve a common goal. The Committee also noted that COP13 could benefit from considering these two draft resolutions together.</w:t>
            </w:r>
          </w:p>
          <w:p w:rsidR="004A7C67" w:rsidRPr="004A7C67" w:rsidRDefault="004A7C67" w:rsidP="004A7C67">
            <w:pPr>
              <w:ind w:right="67"/>
              <w:outlineLvl w:val="0"/>
              <w:rPr>
                <w:rFonts w:eastAsia="Times New Roman" w:cstheme="majorHAnsi"/>
                <w:bCs/>
                <w:spacing w:val="-2"/>
                <w:lang w:val="en-US"/>
              </w:rPr>
            </w:pPr>
          </w:p>
          <w:p w:rsidR="004A7C67" w:rsidRPr="000E67F8" w:rsidRDefault="004A7C67" w:rsidP="004A7C67">
            <w:pPr>
              <w:ind w:right="67"/>
              <w:outlineLvl w:val="0"/>
              <w:rPr>
                <w:rFonts w:eastAsia="Times New Roman" w:cstheme="majorHAnsi"/>
                <w:b/>
                <w:bCs/>
                <w:sz w:val="24"/>
                <w:szCs w:val="24"/>
                <w:lang w:val="en-US"/>
              </w:rPr>
            </w:pPr>
            <w:r w:rsidRPr="004A7C67">
              <w:rPr>
                <w:rFonts w:eastAsia="Times New Roman" w:cstheme="majorHAnsi"/>
                <w:bCs/>
                <w:spacing w:val="-2"/>
                <w:lang w:val="en-US"/>
              </w:rPr>
              <w:t>The present document contains the draft resolution contained in document Doc. SC54-9. The draft resolution contained in document Doc. SC54-21.8 is presented at COP13 in document COP13 Doc. 18.2.</w:t>
            </w:r>
          </w:p>
        </w:tc>
      </w:tr>
    </w:tbl>
    <w:p w:rsidR="00901773" w:rsidRDefault="00901773" w:rsidP="00875E3F">
      <w:pPr>
        <w:pStyle w:val="NoSpacing"/>
      </w:pPr>
    </w:p>
    <w:p w:rsidR="0068221C" w:rsidRDefault="0068221C" w:rsidP="00561F4F">
      <w:pPr>
        <w:rPr>
          <w:rFonts w:asciiTheme="minorHAnsi" w:hAnsiTheme="minorHAnsi"/>
        </w:rPr>
      </w:pPr>
    </w:p>
    <w:p w:rsidR="00D13D03" w:rsidRPr="00AB4355" w:rsidRDefault="00901773" w:rsidP="00412EBD">
      <w:pPr>
        <w:ind w:left="425" w:hanging="425"/>
        <w:rPr>
          <w:rFonts w:asciiTheme="minorHAnsi" w:hAnsiTheme="minorHAnsi"/>
        </w:rPr>
      </w:pPr>
      <w:r w:rsidRPr="00AB4355">
        <w:rPr>
          <w:rFonts w:asciiTheme="minorHAnsi" w:hAnsiTheme="minorHAnsi"/>
        </w:rPr>
        <w:t>1.</w:t>
      </w:r>
      <w:r w:rsidR="00412EBD" w:rsidRPr="00AB4355">
        <w:rPr>
          <w:rFonts w:asciiTheme="minorHAnsi" w:hAnsiTheme="minorHAnsi"/>
        </w:rPr>
        <w:tab/>
      </w:r>
      <w:r w:rsidR="00312E71" w:rsidRPr="00AB4355">
        <w:rPr>
          <w:rFonts w:asciiTheme="minorHAnsi" w:hAnsiTheme="minorHAnsi"/>
        </w:rPr>
        <w:t>RECALLING Resolutions</w:t>
      </w:r>
      <w:r w:rsidR="00D13D03" w:rsidRPr="00AB4355">
        <w:rPr>
          <w:rFonts w:asciiTheme="minorHAnsi" w:hAnsiTheme="minorHAnsi"/>
        </w:rPr>
        <w:t xml:space="preserve"> IX.24, X.4, XII.3, XII.4, XII.7, and XII.9</w:t>
      </w:r>
      <w:r w:rsidR="00B44C58" w:rsidRPr="00AB4355">
        <w:rPr>
          <w:rFonts w:asciiTheme="minorHAnsi" w:hAnsiTheme="minorHAnsi"/>
        </w:rPr>
        <w:t xml:space="preserve">, as well as Decisions SC51-11 and </w:t>
      </w:r>
      <w:r w:rsidR="00F914BD" w:rsidRPr="00AB4355">
        <w:rPr>
          <w:rFonts w:asciiTheme="minorHAnsi" w:hAnsiTheme="minorHAnsi"/>
        </w:rPr>
        <w:t>SC51-16</w:t>
      </w:r>
      <w:r w:rsidR="00A208BA">
        <w:rPr>
          <w:rFonts w:asciiTheme="minorHAnsi" w:hAnsiTheme="minorHAnsi"/>
        </w:rPr>
        <w:t>;</w:t>
      </w:r>
    </w:p>
    <w:p w:rsidR="00901773" w:rsidRPr="00AB4355" w:rsidRDefault="00901773" w:rsidP="00412EBD">
      <w:pPr>
        <w:ind w:left="425" w:hanging="425"/>
        <w:rPr>
          <w:rFonts w:asciiTheme="minorHAnsi" w:hAnsiTheme="minorHAnsi"/>
        </w:rPr>
      </w:pPr>
    </w:p>
    <w:p w:rsidR="005A5E0F" w:rsidRPr="00AB4355" w:rsidRDefault="00901773" w:rsidP="00412EBD">
      <w:pPr>
        <w:pStyle w:val="NoSpacing"/>
        <w:ind w:left="425" w:hanging="425"/>
        <w:rPr>
          <w:rFonts w:cs="Times New Roman"/>
        </w:rPr>
      </w:pPr>
      <w:r w:rsidRPr="00AB4355">
        <w:rPr>
          <w:rFonts w:cs="Times New Roman"/>
        </w:rPr>
        <w:t>2.</w:t>
      </w:r>
      <w:r w:rsidR="00412EBD" w:rsidRPr="00AB4355">
        <w:rPr>
          <w:rFonts w:cs="Times New Roman"/>
        </w:rPr>
        <w:tab/>
      </w:r>
      <w:r w:rsidR="005A5E0F" w:rsidRPr="00AB4355">
        <w:rPr>
          <w:rFonts w:cs="Times New Roman"/>
        </w:rPr>
        <w:t xml:space="preserve">NOTING WITH APPRECIATION the </w:t>
      </w:r>
      <w:r w:rsidR="008C34C7" w:rsidRPr="00AB4355">
        <w:rPr>
          <w:rFonts w:cs="Times New Roman"/>
        </w:rPr>
        <w:t xml:space="preserve">extensive and continuing </w:t>
      </w:r>
      <w:r w:rsidR="005A5E0F" w:rsidRPr="00AB4355">
        <w:rPr>
          <w:rFonts w:cs="Times New Roman"/>
        </w:rPr>
        <w:t xml:space="preserve">work by Parties and the Secretariat to support the implementation of the </w:t>
      </w:r>
      <w:r w:rsidR="008C34C7" w:rsidRPr="00AB4355">
        <w:rPr>
          <w:rFonts w:cs="Times New Roman"/>
        </w:rPr>
        <w:t>C</w:t>
      </w:r>
      <w:r w:rsidR="005A5E0F" w:rsidRPr="00AB4355">
        <w:rPr>
          <w:rFonts w:cs="Times New Roman"/>
        </w:rPr>
        <w:t xml:space="preserve">onvention through </w:t>
      </w:r>
      <w:r w:rsidR="008C34C7" w:rsidRPr="00AB4355">
        <w:rPr>
          <w:rFonts w:cs="Times New Roman"/>
        </w:rPr>
        <w:t>efforts undertaken by the bodies of the Convention</w:t>
      </w:r>
      <w:r w:rsidR="00A208BA">
        <w:rPr>
          <w:rFonts w:cs="Times New Roman"/>
        </w:rPr>
        <w:t>;</w:t>
      </w:r>
    </w:p>
    <w:p w:rsidR="005A5E0F" w:rsidRPr="00AB4355" w:rsidRDefault="005A5E0F" w:rsidP="00412EBD">
      <w:pPr>
        <w:pStyle w:val="NoSpacing"/>
        <w:ind w:left="425" w:hanging="425"/>
        <w:rPr>
          <w:rFonts w:cs="Times New Roman"/>
        </w:rPr>
      </w:pPr>
    </w:p>
    <w:p w:rsidR="00340382" w:rsidRPr="00AB4355" w:rsidRDefault="003F0EB2" w:rsidP="00412EBD">
      <w:pPr>
        <w:pStyle w:val="NoSpacing"/>
        <w:ind w:left="425" w:hanging="425"/>
        <w:rPr>
          <w:rFonts w:cs="Times New Roman"/>
        </w:rPr>
      </w:pPr>
      <w:r w:rsidRPr="00AB4355">
        <w:rPr>
          <w:rFonts w:cs="Times New Roman"/>
        </w:rPr>
        <w:t>3.</w:t>
      </w:r>
      <w:r w:rsidR="00412EBD" w:rsidRPr="00AB4355">
        <w:rPr>
          <w:rFonts w:cs="Times New Roman"/>
        </w:rPr>
        <w:tab/>
      </w:r>
      <w:r w:rsidR="00340382" w:rsidRPr="00AB4355">
        <w:rPr>
          <w:rFonts w:cs="Times New Roman"/>
        </w:rPr>
        <w:t>REITERATING the obligation on all Parties to minimize waste and duplication of process</w:t>
      </w:r>
      <w:r w:rsidR="009B54D1" w:rsidRPr="00AB4355">
        <w:rPr>
          <w:rFonts w:cs="Times New Roman"/>
        </w:rPr>
        <w:t>es</w:t>
      </w:r>
      <w:r w:rsidR="00340382" w:rsidRPr="00AB4355">
        <w:rPr>
          <w:rFonts w:cs="Times New Roman"/>
        </w:rPr>
        <w:t>, and to ensure the effective and efficient use of Convention and Party resources to support the best outcomes for wetlands and the Convention</w:t>
      </w:r>
      <w:r w:rsidR="00A208BA">
        <w:rPr>
          <w:rFonts w:cs="Times New Roman"/>
        </w:rPr>
        <w:t>;</w:t>
      </w:r>
    </w:p>
    <w:p w:rsidR="00340382" w:rsidRPr="00AB4355" w:rsidRDefault="00340382" w:rsidP="00412EBD">
      <w:pPr>
        <w:pStyle w:val="NoSpacing"/>
        <w:ind w:left="425" w:hanging="425"/>
        <w:rPr>
          <w:rFonts w:cs="Times New Roman"/>
        </w:rPr>
      </w:pPr>
    </w:p>
    <w:p w:rsidR="008C34C7" w:rsidRPr="00AB4355" w:rsidRDefault="003F0EB2" w:rsidP="00412EBD">
      <w:pPr>
        <w:pStyle w:val="NoSpacing"/>
        <w:ind w:left="425" w:hanging="425"/>
        <w:rPr>
          <w:rFonts w:cs="Times New Roman"/>
        </w:rPr>
      </w:pPr>
      <w:r w:rsidRPr="00AB4355">
        <w:rPr>
          <w:rFonts w:cs="Times New Roman"/>
        </w:rPr>
        <w:t>4.</w:t>
      </w:r>
      <w:r w:rsidR="00412EBD" w:rsidRPr="00AB4355">
        <w:rPr>
          <w:rFonts w:cs="Times New Roman"/>
        </w:rPr>
        <w:tab/>
      </w:r>
      <w:r w:rsidR="008C34C7" w:rsidRPr="00AB4355">
        <w:rPr>
          <w:rFonts w:cs="Times New Roman"/>
        </w:rPr>
        <w:t>RECOGNIZING that</w:t>
      </w:r>
      <w:r w:rsidR="00A208BA">
        <w:rPr>
          <w:rFonts w:cs="Times New Roman"/>
        </w:rPr>
        <w:t>,</w:t>
      </w:r>
      <w:r w:rsidR="008C34C7" w:rsidRPr="00AB4355">
        <w:rPr>
          <w:rFonts w:cs="Times New Roman"/>
        </w:rPr>
        <w:t xml:space="preserve"> over time</w:t>
      </w:r>
      <w:r w:rsidR="00A208BA">
        <w:rPr>
          <w:rFonts w:cs="Times New Roman"/>
        </w:rPr>
        <w:t>,</w:t>
      </w:r>
      <w:r w:rsidR="008C34C7" w:rsidRPr="00AB4355">
        <w:rPr>
          <w:rFonts w:cs="Times New Roman"/>
        </w:rPr>
        <w:t xml:space="preserve"> some confusion has arisen regarding the intended mandates, reporting arrangements, and duration of some bodies</w:t>
      </w:r>
      <w:r w:rsidR="00EC5F01" w:rsidRPr="00AB4355">
        <w:rPr>
          <w:rFonts w:cs="Times New Roman"/>
        </w:rPr>
        <w:t xml:space="preserve"> of the Convention and the need to leverage the bodies to enhance the effectiveness of the Convention</w:t>
      </w:r>
      <w:r w:rsidR="00A208BA">
        <w:rPr>
          <w:rFonts w:cs="Times New Roman"/>
        </w:rPr>
        <w:t>;</w:t>
      </w:r>
    </w:p>
    <w:p w:rsidR="008C34C7" w:rsidRPr="00AB4355" w:rsidRDefault="008C34C7" w:rsidP="00412EBD">
      <w:pPr>
        <w:pStyle w:val="NoSpacing"/>
        <w:ind w:left="425" w:hanging="425"/>
        <w:rPr>
          <w:rFonts w:cs="Times New Roman"/>
        </w:rPr>
      </w:pPr>
    </w:p>
    <w:p w:rsidR="005A5E0F" w:rsidRPr="00AB4355" w:rsidRDefault="003F0EB2" w:rsidP="00412EBD">
      <w:pPr>
        <w:pStyle w:val="NoSpacing"/>
        <w:ind w:left="425" w:hanging="425"/>
        <w:rPr>
          <w:rFonts w:cs="Times New Roman"/>
        </w:rPr>
      </w:pPr>
      <w:r w:rsidRPr="00AB4355">
        <w:rPr>
          <w:rFonts w:cs="Times New Roman"/>
        </w:rPr>
        <w:t>5.</w:t>
      </w:r>
      <w:r w:rsidR="00412EBD" w:rsidRPr="00AB4355">
        <w:rPr>
          <w:rFonts w:cs="Times New Roman"/>
        </w:rPr>
        <w:tab/>
      </w:r>
      <w:r w:rsidR="008C34C7" w:rsidRPr="00AB4355">
        <w:rPr>
          <w:rFonts w:cs="Times New Roman"/>
        </w:rPr>
        <w:t xml:space="preserve">FURTHER RECOGNIZING that </w:t>
      </w:r>
      <w:r w:rsidR="001A435F" w:rsidRPr="00AB4355">
        <w:rPr>
          <w:rFonts w:cs="Times New Roman"/>
        </w:rPr>
        <w:t xml:space="preserve">implementation of the Convention and its governance and efficient use of its resources can be improved by </w:t>
      </w:r>
      <w:r w:rsidR="008C34C7" w:rsidRPr="00AB4355">
        <w:rPr>
          <w:rFonts w:cs="Times New Roman"/>
        </w:rPr>
        <w:t xml:space="preserve">retiring some </w:t>
      </w:r>
      <w:r w:rsidR="00340382" w:rsidRPr="00AB4355">
        <w:rPr>
          <w:rFonts w:cs="Times New Roman"/>
        </w:rPr>
        <w:t xml:space="preserve">working groups and other </w:t>
      </w:r>
      <w:r w:rsidR="008C34C7" w:rsidRPr="00AB4355">
        <w:rPr>
          <w:rFonts w:cs="Times New Roman"/>
        </w:rPr>
        <w:t>bodies currently supporting the Convention</w:t>
      </w:r>
      <w:r w:rsidR="00A208BA">
        <w:rPr>
          <w:rFonts w:cs="Times New Roman"/>
        </w:rPr>
        <w:t>; and</w:t>
      </w:r>
    </w:p>
    <w:p w:rsidR="005A5E0F" w:rsidRPr="00AB4355" w:rsidRDefault="005A5E0F" w:rsidP="00412EBD">
      <w:pPr>
        <w:pStyle w:val="NoSpacing"/>
        <w:ind w:left="425" w:hanging="425"/>
        <w:rPr>
          <w:rFonts w:cs="Times New Roman"/>
        </w:rPr>
      </w:pPr>
    </w:p>
    <w:p w:rsidR="008C34C7" w:rsidRPr="00AB4355" w:rsidRDefault="003F0EB2" w:rsidP="00412EBD">
      <w:pPr>
        <w:pStyle w:val="NoSpacing"/>
        <w:ind w:left="425" w:hanging="425"/>
        <w:rPr>
          <w:rFonts w:cs="Times New Roman"/>
        </w:rPr>
      </w:pPr>
      <w:r w:rsidRPr="00AB4355">
        <w:rPr>
          <w:rFonts w:cs="Times New Roman"/>
        </w:rPr>
        <w:lastRenderedPageBreak/>
        <w:t>6</w:t>
      </w:r>
      <w:r w:rsidR="00BE78D9" w:rsidRPr="00AB4355">
        <w:rPr>
          <w:rFonts w:cs="Times New Roman"/>
        </w:rPr>
        <w:t>.</w:t>
      </w:r>
      <w:r w:rsidR="00412EBD" w:rsidRPr="00AB4355">
        <w:rPr>
          <w:rFonts w:cs="Times New Roman"/>
        </w:rPr>
        <w:tab/>
      </w:r>
      <w:r w:rsidR="001A435F" w:rsidRPr="00AB4355">
        <w:rPr>
          <w:rFonts w:cs="Times New Roman"/>
        </w:rPr>
        <w:t xml:space="preserve">ALSO </w:t>
      </w:r>
      <w:r w:rsidR="00BE78D9" w:rsidRPr="00AB4355">
        <w:rPr>
          <w:rFonts w:cs="Times New Roman"/>
        </w:rPr>
        <w:t xml:space="preserve">NOTING the benefits to the Parties and the Convention of, as appropriate, deploying Friends of the Chair </w:t>
      </w:r>
      <w:r w:rsidR="008C51F3" w:rsidRPr="00AB4355">
        <w:rPr>
          <w:rFonts w:cs="Times New Roman"/>
        </w:rPr>
        <w:t xml:space="preserve">and working </w:t>
      </w:r>
      <w:r w:rsidR="00BE78D9" w:rsidRPr="00AB4355">
        <w:rPr>
          <w:rFonts w:cs="Times New Roman"/>
        </w:rPr>
        <w:t>groups to undertake work to foster</w:t>
      </w:r>
      <w:r w:rsidR="001A435F" w:rsidRPr="00AB4355">
        <w:rPr>
          <w:rFonts w:cs="Times New Roman"/>
        </w:rPr>
        <w:t xml:space="preserve"> </w:t>
      </w:r>
      <w:r w:rsidR="00BE78D9" w:rsidRPr="00AB4355">
        <w:rPr>
          <w:rFonts w:cs="Times New Roman"/>
        </w:rPr>
        <w:t>implementation of the Convention in the most efficient and effective manner possible</w:t>
      </w:r>
      <w:r w:rsidR="00A208BA">
        <w:rPr>
          <w:rFonts w:cs="Times New Roman"/>
        </w:rPr>
        <w:t>;</w:t>
      </w:r>
    </w:p>
    <w:p w:rsidR="008C34C7" w:rsidRPr="00AB4355" w:rsidRDefault="008C34C7" w:rsidP="00412EBD">
      <w:pPr>
        <w:pStyle w:val="NoSpacing"/>
        <w:ind w:left="425" w:hanging="425"/>
        <w:rPr>
          <w:rFonts w:cs="Times New Roman"/>
        </w:rPr>
      </w:pPr>
    </w:p>
    <w:p w:rsidR="00561F4F" w:rsidRPr="00AB4355" w:rsidRDefault="003F0EB2" w:rsidP="002D0282">
      <w:pPr>
        <w:keepNext/>
        <w:ind w:left="425" w:hanging="425"/>
        <w:jc w:val="center"/>
        <w:rPr>
          <w:rFonts w:asciiTheme="minorHAnsi" w:hAnsiTheme="minorHAnsi"/>
        </w:rPr>
      </w:pPr>
      <w:r w:rsidRPr="00AB4355">
        <w:rPr>
          <w:rFonts w:asciiTheme="minorHAnsi" w:hAnsiTheme="minorHAnsi"/>
        </w:rPr>
        <w:t>THE CONFERENCE OF THE CONTRACTING PARTIES</w:t>
      </w:r>
    </w:p>
    <w:p w:rsidR="00561F4F" w:rsidRPr="00AB4355" w:rsidRDefault="00561F4F" w:rsidP="002D0282">
      <w:pPr>
        <w:pStyle w:val="NoSpacing"/>
        <w:keepNext/>
        <w:ind w:left="425" w:hanging="425"/>
        <w:rPr>
          <w:rFonts w:cs="Times New Roman"/>
        </w:rPr>
      </w:pPr>
    </w:p>
    <w:p w:rsidR="005A5E0F" w:rsidRPr="00AB4355" w:rsidRDefault="003F0EB2" w:rsidP="00412EBD">
      <w:pPr>
        <w:pStyle w:val="NoSpacing"/>
        <w:ind w:left="425" w:hanging="425"/>
        <w:rPr>
          <w:rFonts w:cs="Times New Roman"/>
        </w:rPr>
      </w:pPr>
      <w:r w:rsidRPr="00AB4355">
        <w:rPr>
          <w:rFonts w:cs="Times New Roman"/>
        </w:rPr>
        <w:t>7</w:t>
      </w:r>
      <w:r w:rsidR="008C34C7" w:rsidRPr="00AB4355">
        <w:rPr>
          <w:rFonts w:cs="Times New Roman"/>
        </w:rPr>
        <w:t>.</w:t>
      </w:r>
      <w:r w:rsidR="00412EBD" w:rsidRPr="00AB4355">
        <w:rPr>
          <w:rFonts w:cs="Times New Roman"/>
        </w:rPr>
        <w:tab/>
      </w:r>
      <w:r w:rsidR="00BE78D9" w:rsidRPr="00AB4355">
        <w:rPr>
          <w:rFonts w:cs="Times New Roman"/>
        </w:rPr>
        <w:t xml:space="preserve">EXPRESSES ITS </w:t>
      </w:r>
      <w:r w:rsidR="001A435F" w:rsidRPr="00AB4355">
        <w:rPr>
          <w:rFonts w:cs="Times New Roman"/>
        </w:rPr>
        <w:t>GRATITUDE</w:t>
      </w:r>
      <w:r w:rsidR="00BE78D9" w:rsidRPr="00AB4355">
        <w:rPr>
          <w:rFonts w:cs="Times New Roman"/>
        </w:rPr>
        <w:t xml:space="preserve"> to </w:t>
      </w:r>
      <w:r w:rsidR="008C34C7" w:rsidRPr="00AB4355">
        <w:rPr>
          <w:rFonts w:cs="Times New Roman"/>
        </w:rPr>
        <w:t xml:space="preserve">all Parties that have </w:t>
      </w:r>
      <w:r w:rsidR="00BE78D9" w:rsidRPr="00AB4355">
        <w:rPr>
          <w:rFonts w:cs="Times New Roman"/>
        </w:rPr>
        <w:t xml:space="preserve">supported the </w:t>
      </w:r>
      <w:r w:rsidR="008C34C7" w:rsidRPr="00AB4355">
        <w:rPr>
          <w:rFonts w:cs="Times New Roman"/>
        </w:rPr>
        <w:t>bodies of the Convention</w:t>
      </w:r>
      <w:r w:rsidR="00BE78D9" w:rsidRPr="00AB4355">
        <w:rPr>
          <w:rFonts w:cs="Times New Roman"/>
        </w:rPr>
        <w:t xml:space="preserve"> for their service in these groups</w:t>
      </w:r>
      <w:r w:rsidR="001A435F" w:rsidRPr="00AB4355">
        <w:rPr>
          <w:rFonts w:cs="Times New Roman"/>
        </w:rPr>
        <w:t>,</w:t>
      </w:r>
      <w:r w:rsidR="00BE78D9" w:rsidRPr="00AB4355">
        <w:rPr>
          <w:rFonts w:cs="Times New Roman"/>
        </w:rPr>
        <w:t xml:space="preserve"> </w:t>
      </w:r>
      <w:r w:rsidR="00EC5F01" w:rsidRPr="00AB4355">
        <w:rPr>
          <w:rFonts w:cs="Times New Roman"/>
        </w:rPr>
        <w:t xml:space="preserve">and </w:t>
      </w:r>
      <w:r w:rsidR="001A435F" w:rsidRPr="00AB4355">
        <w:rPr>
          <w:rFonts w:cs="Times New Roman"/>
        </w:rPr>
        <w:t xml:space="preserve">highly </w:t>
      </w:r>
      <w:r w:rsidR="00EC5F01" w:rsidRPr="00AB4355">
        <w:rPr>
          <w:rFonts w:cs="Times New Roman"/>
        </w:rPr>
        <w:t xml:space="preserve">values </w:t>
      </w:r>
      <w:r w:rsidR="00BE78D9" w:rsidRPr="00AB4355">
        <w:rPr>
          <w:rFonts w:cs="Times New Roman"/>
        </w:rPr>
        <w:t>the accomplishments and benefits to the Convention realized as a result of their work</w:t>
      </w:r>
      <w:r w:rsidR="002D0282">
        <w:rPr>
          <w:rFonts w:cs="Times New Roman"/>
        </w:rPr>
        <w:t>;</w:t>
      </w:r>
    </w:p>
    <w:p w:rsidR="005A5E0F" w:rsidRPr="00AB4355" w:rsidRDefault="005A5E0F" w:rsidP="00412EBD">
      <w:pPr>
        <w:pStyle w:val="NoSpacing"/>
        <w:ind w:left="425" w:hanging="425"/>
        <w:rPr>
          <w:rFonts w:cs="Times New Roman"/>
        </w:rPr>
      </w:pPr>
    </w:p>
    <w:p w:rsidR="00BE78D9" w:rsidRPr="00AB4355" w:rsidRDefault="003F0EB2" w:rsidP="00412EBD">
      <w:pPr>
        <w:pStyle w:val="NoSpacing"/>
        <w:ind w:left="425" w:hanging="425"/>
        <w:rPr>
          <w:rFonts w:cs="Times New Roman"/>
        </w:rPr>
      </w:pPr>
      <w:r w:rsidRPr="00AB4355">
        <w:rPr>
          <w:rFonts w:cs="Times New Roman"/>
        </w:rPr>
        <w:t>8</w:t>
      </w:r>
      <w:r w:rsidR="00BE78D9" w:rsidRPr="00AB4355">
        <w:rPr>
          <w:rFonts w:cs="Times New Roman"/>
        </w:rPr>
        <w:t>.</w:t>
      </w:r>
      <w:r w:rsidR="00412EBD" w:rsidRPr="00AB4355">
        <w:rPr>
          <w:rFonts w:cs="Times New Roman"/>
        </w:rPr>
        <w:tab/>
      </w:r>
      <w:r w:rsidR="00BE78D9" w:rsidRPr="00AB4355">
        <w:rPr>
          <w:rFonts w:cs="Times New Roman"/>
        </w:rPr>
        <w:t>DECIDES to retire the</w:t>
      </w:r>
      <w:r w:rsidR="00EC5F01" w:rsidRPr="00AB4355">
        <w:rPr>
          <w:rFonts w:cs="Times New Roman"/>
        </w:rPr>
        <w:t xml:space="preserve"> </w:t>
      </w:r>
      <w:r w:rsidR="00BE78D9" w:rsidRPr="00AB4355">
        <w:rPr>
          <w:rFonts w:cs="Times New Roman"/>
        </w:rPr>
        <w:t>CEPA Working Group</w:t>
      </w:r>
      <w:r w:rsidR="00EC5F01" w:rsidRPr="00AB4355">
        <w:rPr>
          <w:rFonts w:cs="Times New Roman"/>
        </w:rPr>
        <w:t xml:space="preserve">, </w:t>
      </w:r>
      <w:r w:rsidR="00BE78D9" w:rsidRPr="00AB4355">
        <w:rPr>
          <w:rFonts w:cs="Times New Roman"/>
        </w:rPr>
        <w:t>Facilitation Working Group</w:t>
      </w:r>
      <w:r w:rsidR="00EC5F01" w:rsidRPr="00AB4355">
        <w:rPr>
          <w:rFonts w:cs="Times New Roman"/>
        </w:rPr>
        <w:t>,</w:t>
      </w:r>
      <w:r w:rsidR="00BE78D9" w:rsidRPr="00AB4355">
        <w:rPr>
          <w:rFonts w:cs="Times New Roman"/>
        </w:rPr>
        <w:t xml:space="preserve"> Language Strategy Working Group</w:t>
      </w:r>
      <w:r w:rsidR="00EC5F01" w:rsidRPr="00AB4355">
        <w:rPr>
          <w:rFonts w:cs="Times New Roman"/>
        </w:rPr>
        <w:t>,</w:t>
      </w:r>
      <w:r w:rsidR="00BE78D9" w:rsidRPr="00AB4355">
        <w:rPr>
          <w:rFonts w:cs="Times New Roman"/>
        </w:rPr>
        <w:t xml:space="preserve"> Resource Mobilization Working Group</w:t>
      </w:r>
      <w:r w:rsidR="00EC5F01" w:rsidRPr="00AB4355">
        <w:rPr>
          <w:rFonts w:cs="Times New Roman"/>
        </w:rPr>
        <w:t>,</w:t>
      </w:r>
      <w:r w:rsidR="00BE78D9" w:rsidRPr="00AB4355">
        <w:rPr>
          <w:rFonts w:cs="Times New Roman"/>
        </w:rPr>
        <w:t xml:space="preserve"> Staffing Working Group</w:t>
      </w:r>
      <w:r w:rsidR="00EC5F01" w:rsidRPr="00AB4355">
        <w:rPr>
          <w:rFonts w:cs="Times New Roman"/>
        </w:rPr>
        <w:t>,</w:t>
      </w:r>
      <w:r w:rsidR="00BE78D9" w:rsidRPr="00AB4355">
        <w:rPr>
          <w:rFonts w:cs="Times New Roman"/>
        </w:rPr>
        <w:t xml:space="preserve"> Transition Committee</w:t>
      </w:r>
      <w:r w:rsidR="00EC5F01" w:rsidRPr="00AB4355">
        <w:rPr>
          <w:rFonts w:cs="Times New Roman"/>
        </w:rPr>
        <w:t>,</w:t>
      </w:r>
      <w:r w:rsidR="00BE78D9" w:rsidRPr="00AB4355">
        <w:rPr>
          <w:rFonts w:cs="Times New Roman"/>
        </w:rPr>
        <w:t xml:space="preserve"> and Ramsar Regional Initiatives Working Group, with immediate effect</w:t>
      </w:r>
      <w:r w:rsidR="007526E4">
        <w:rPr>
          <w:rFonts w:cs="Times New Roman"/>
        </w:rPr>
        <w:t>;</w:t>
      </w:r>
    </w:p>
    <w:p w:rsidR="00BE78D9" w:rsidRPr="00AB4355" w:rsidRDefault="00BE78D9" w:rsidP="00412EBD">
      <w:pPr>
        <w:pStyle w:val="NoSpacing"/>
        <w:ind w:left="425" w:hanging="425"/>
        <w:rPr>
          <w:rFonts w:cs="Times New Roman"/>
        </w:rPr>
      </w:pPr>
    </w:p>
    <w:p w:rsidR="009B2CBB" w:rsidRPr="00AB4355" w:rsidRDefault="00774ED6" w:rsidP="00412EBD">
      <w:pPr>
        <w:pStyle w:val="NoSpacing"/>
        <w:ind w:left="425" w:hanging="425"/>
        <w:rPr>
          <w:rFonts w:cs="Times New Roman"/>
        </w:rPr>
      </w:pPr>
      <w:r w:rsidRPr="00AB4355">
        <w:rPr>
          <w:rFonts w:cs="Times New Roman"/>
        </w:rPr>
        <w:t>9</w:t>
      </w:r>
      <w:r w:rsidR="009B2CBB" w:rsidRPr="00AB4355">
        <w:rPr>
          <w:rFonts w:cs="Times New Roman"/>
        </w:rPr>
        <w:t>.</w:t>
      </w:r>
      <w:r w:rsidR="00412EBD" w:rsidRPr="00AB4355">
        <w:rPr>
          <w:rFonts w:cs="Times New Roman"/>
        </w:rPr>
        <w:tab/>
      </w:r>
      <w:r w:rsidR="00C836AE" w:rsidRPr="00AB4355">
        <w:rPr>
          <w:rFonts w:cs="Times New Roman"/>
        </w:rPr>
        <w:t xml:space="preserve">ALSO </w:t>
      </w:r>
      <w:r w:rsidR="009B2CBB" w:rsidRPr="00AB4355">
        <w:rPr>
          <w:rFonts w:cs="Times New Roman"/>
        </w:rPr>
        <w:t>DECIDES to revise and update the mandate of the Management Working Group (MWG) to focus on reviewing Memorand</w:t>
      </w:r>
      <w:r w:rsidR="00C738B9">
        <w:rPr>
          <w:rFonts w:cs="Times New Roman"/>
        </w:rPr>
        <w:t>a</w:t>
      </w:r>
      <w:r w:rsidR="009B2CBB" w:rsidRPr="00AB4355">
        <w:rPr>
          <w:rFonts w:cs="Times New Roman"/>
        </w:rPr>
        <w:t xml:space="preserve"> of Understanding (MOUs</w:t>
      </w:r>
      <w:r w:rsidR="0048532A" w:rsidRPr="00AB4355">
        <w:rPr>
          <w:rFonts w:cs="Times New Roman"/>
        </w:rPr>
        <w:t>)</w:t>
      </w:r>
      <w:r w:rsidR="0048532A">
        <w:rPr>
          <w:rFonts w:cs="Times New Roman"/>
        </w:rPr>
        <w:t xml:space="preserve"> and</w:t>
      </w:r>
      <w:r w:rsidR="0048532A" w:rsidRPr="00AB4355">
        <w:rPr>
          <w:rFonts w:cs="Times New Roman"/>
        </w:rPr>
        <w:t xml:space="preserve"> </w:t>
      </w:r>
      <w:r w:rsidR="009B2CBB" w:rsidRPr="00AB4355">
        <w:rPr>
          <w:rFonts w:cs="Times New Roman"/>
        </w:rPr>
        <w:t xml:space="preserve">oversight of the Scientific and Technical Review Panel, noting that the Standing Committee or the Executive Team may delegate to the MWG additional administrative tasks as needed in order to support their work; </w:t>
      </w:r>
      <w:r w:rsidR="00585D9C" w:rsidRPr="00AB4355">
        <w:rPr>
          <w:rFonts w:cs="Times New Roman"/>
        </w:rPr>
        <w:t>and</w:t>
      </w:r>
      <w:r w:rsidR="009B2CBB" w:rsidRPr="00AB4355">
        <w:rPr>
          <w:rFonts w:cs="Times New Roman"/>
        </w:rPr>
        <w:t xml:space="preserve"> FURTHER DECIDES to revise and update the MWG’s membership to include one </w:t>
      </w:r>
      <w:r w:rsidRPr="00AB4355">
        <w:rPr>
          <w:rFonts w:cs="Times New Roman"/>
        </w:rPr>
        <w:t xml:space="preserve">Standing Committee </w:t>
      </w:r>
      <w:r w:rsidR="009B2CBB" w:rsidRPr="00AB4355">
        <w:rPr>
          <w:rFonts w:cs="Times New Roman"/>
        </w:rPr>
        <w:t>representative from each Ramsar</w:t>
      </w:r>
      <w:r w:rsidR="00371AA7">
        <w:rPr>
          <w:rFonts w:cs="Times New Roman"/>
        </w:rPr>
        <w:t xml:space="preserve"> Convention</w:t>
      </w:r>
      <w:r w:rsidR="009B2CBB" w:rsidRPr="00AB4355">
        <w:rPr>
          <w:rFonts w:cs="Times New Roman"/>
        </w:rPr>
        <w:t xml:space="preserve"> region, as well as any other interested Contracting Parties, keeping in mind the desirability of equitable regional participation and keeping the group to a manageable size</w:t>
      </w:r>
      <w:r w:rsidR="00903EC7">
        <w:rPr>
          <w:rFonts w:cs="Times New Roman"/>
        </w:rPr>
        <w:t>;</w:t>
      </w:r>
    </w:p>
    <w:p w:rsidR="009B2CBB" w:rsidRPr="00AB4355" w:rsidRDefault="009B2CBB" w:rsidP="00412EBD">
      <w:pPr>
        <w:pStyle w:val="NoSpacing"/>
        <w:ind w:left="425" w:hanging="425"/>
        <w:rPr>
          <w:rFonts w:cs="Times New Roman"/>
        </w:rPr>
      </w:pPr>
    </w:p>
    <w:p w:rsidR="00F3759F" w:rsidRPr="00AB4355" w:rsidRDefault="00774ED6" w:rsidP="00412EBD">
      <w:pPr>
        <w:pStyle w:val="NoSpacing"/>
        <w:ind w:left="425" w:hanging="425"/>
        <w:rPr>
          <w:rFonts w:cs="Times New Roman"/>
        </w:rPr>
      </w:pPr>
      <w:r w:rsidRPr="00AB4355">
        <w:rPr>
          <w:rFonts w:cs="Times New Roman"/>
        </w:rPr>
        <w:t>10</w:t>
      </w:r>
      <w:r w:rsidR="00F3759F" w:rsidRPr="00AB4355">
        <w:rPr>
          <w:rFonts w:cs="Times New Roman"/>
        </w:rPr>
        <w:t>.</w:t>
      </w:r>
      <w:r w:rsidR="00412EBD" w:rsidRPr="00AB4355">
        <w:rPr>
          <w:rFonts w:cs="Times New Roman"/>
        </w:rPr>
        <w:tab/>
      </w:r>
      <w:r w:rsidR="00F3759F" w:rsidRPr="00AB4355">
        <w:rPr>
          <w:rFonts w:cs="Times New Roman"/>
        </w:rPr>
        <w:t>INVITES the Chairs of these retired bodies to, as appropriate, provide a final report on the outcome of their body’s work to the Standing Committee at its 56</w:t>
      </w:r>
      <w:r w:rsidR="00F3759F" w:rsidRPr="0061716E">
        <w:rPr>
          <w:rFonts w:cs="Times New Roman"/>
        </w:rPr>
        <w:t>th</w:t>
      </w:r>
      <w:r w:rsidR="00F3759F" w:rsidRPr="00AB4355">
        <w:rPr>
          <w:rFonts w:cs="Times New Roman"/>
        </w:rPr>
        <w:t xml:space="preserve"> session</w:t>
      </w:r>
      <w:r w:rsidR="009D4E56">
        <w:rPr>
          <w:rFonts w:cs="Times New Roman"/>
        </w:rPr>
        <w:t>;</w:t>
      </w:r>
    </w:p>
    <w:p w:rsidR="00F3759F" w:rsidRPr="00AB4355" w:rsidRDefault="00F3759F" w:rsidP="00412EBD">
      <w:pPr>
        <w:pStyle w:val="NoSpacing"/>
        <w:ind w:left="425" w:hanging="425"/>
        <w:rPr>
          <w:rFonts w:cs="Times New Roman"/>
        </w:rPr>
      </w:pPr>
    </w:p>
    <w:p w:rsidR="00BE78D9" w:rsidRPr="00AB4355" w:rsidRDefault="003F0EB2" w:rsidP="00412EBD">
      <w:pPr>
        <w:pStyle w:val="NoSpacing"/>
        <w:ind w:left="425" w:hanging="425"/>
        <w:rPr>
          <w:rFonts w:cs="Times New Roman"/>
        </w:rPr>
      </w:pPr>
      <w:r w:rsidRPr="00AB4355">
        <w:rPr>
          <w:rFonts w:cs="Times New Roman"/>
        </w:rPr>
        <w:t>1</w:t>
      </w:r>
      <w:r w:rsidR="00774ED6" w:rsidRPr="00AB4355">
        <w:rPr>
          <w:rFonts w:cs="Times New Roman"/>
        </w:rPr>
        <w:t>1</w:t>
      </w:r>
      <w:r w:rsidR="00BE78D9" w:rsidRPr="00AB4355">
        <w:rPr>
          <w:rFonts w:cs="Times New Roman"/>
        </w:rPr>
        <w:t>.</w:t>
      </w:r>
      <w:r w:rsidR="00412EBD" w:rsidRPr="00AB4355">
        <w:rPr>
          <w:rFonts w:cs="Times New Roman"/>
        </w:rPr>
        <w:tab/>
      </w:r>
      <w:r w:rsidR="00BE78D9" w:rsidRPr="00AB4355">
        <w:rPr>
          <w:rFonts w:cs="Times New Roman"/>
        </w:rPr>
        <w:t xml:space="preserve">DECIDES </w:t>
      </w:r>
      <w:r w:rsidR="00EC5F01" w:rsidRPr="00AB4355">
        <w:rPr>
          <w:rFonts w:cs="Times New Roman"/>
        </w:rPr>
        <w:t xml:space="preserve">to redouble its efforts to leverage the bodies of </w:t>
      </w:r>
      <w:r w:rsidR="009D4E56">
        <w:rPr>
          <w:rFonts w:cs="Times New Roman"/>
        </w:rPr>
        <w:t>the Convention</w:t>
      </w:r>
      <w:r w:rsidR="00EC5F01" w:rsidRPr="00AB4355">
        <w:rPr>
          <w:rFonts w:cs="Times New Roman"/>
        </w:rPr>
        <w:t xml:space="preserve"> </w:t>
      </w:r>
      <w:r w:rsidR="008C51F3" w:rsidRPr="00AB4355">
        <w:rPr>
          <w:rFonts w:cs="Times New Roman"/>
        </w:rPr>
        <w:t xml:space="preserve">in a streamlined manner in order </w:t>
      </w:r>
      <w:r w:rsidR="00EC5F01" w:rsidRPr="00AB4355">
        <w:rPr>
          <w:rFonts w:cs="Times New Roman"/>
        </w:rPr>
        <w:t xml:space="preserve">to enhance the effectiveness of </w:t>
      </w:r>
      <w:r w:rsidR="009D4E56">
        <w:rPr>
          <w:rFonts w:cs="Times New Roman"/>
        </w:rPr>
        <w:t xml:space="preserve">its </w:t>
      </w:r>
      <w:r w:rsidR="00EC5F01" w:rsidRPr="00AB4355">
        <w:rPr>
          <w:rFonts w:cs="Times New Roman"/>
        </w:rPr>
        <w:t xml:space="preserve"> governance and ensure that the work of the Convention is always undertaken in the most efficient and effective manner possible</w:t>
      </w:r>
      <w:r w:rsidR="008865C0">
        <w:rPr>
          <w:rFonts w:cs="Times New Roman"/>
        </w:rPr>
        <w:t>;</w:t>
      </w:r>
    </w:p>
    <w:p w:rsidR="00BE78D9" w:rsidRPr="00AB4355" w:rsidRDefault="00BE78D9" w:rsidP="00412EBD">
      <w:pPr>
        <w:pStyle w:val="NoSpacing"/>
        <w:ind w:left="425" w:hanging="425"/>
        <w:rPr>
          <w:rFonts w:cs="Times New Roman"/>
        </w:rPr>
      </w:pPr>
    </w:p>
    <w:p w:rsidR="00BE78D9" w:rsidRPr="00AB4355" w:rsidRDefault="003F0EB2" w:rsidP="00412EBD">
      <w:pPr>
        <w:pStyle w:val="NoSpacing"/>
        <w:ind w:left="425" w:hanging="425"/>
        <w:rPr>
          <w:rFonts w:cs="Times New Roman"/>
        </w:rPr>
      </w:pPr>
      <w:r w:rsidRPr="00AB4355">
        <w:rPr>
          <w:rFonts w:cs="Times New Roman"/>
        </w:rPr>
        <w:t>1</w:t>
      </w:r>
      <w:r w:rsidR="00774ED6" w:rsidRPr="00AB4355">
        <w:rPr>
          <w:rFonts w:cs="Times New Roman"/>
        </w:rPr>
        <w:t>2</w:t>
      </w:r>
      <w:r w:rsidR="00BE78D9" w:rsidRPr="00AB4355">
        <w:rPr>
          <w:rFonts w:cs="Times New Roman"/>
        </w:rPr>
        <w:t>.</w:t>
      </w:r>
      <w:r w:rsidR="00412EBD" w:rsidRPr="00AB4355">
        <w:rPr>
          <w:rFonts w:cs="Times New Roman"/>
        </w:rPr>
        <w:tab/>
      </w:r>
      <w:r w:rsidR="00BE78D9" w:rsidRPr="00AB4355">
        <w:rPr>
          <w:rFonts w:cs="Times New Roman"/>
        </w:rPr>
        <w:t>I</w:t>
      </w:r>
      <w:r w:rsidR="0000482B" w:rsidRPr="00AB4355">
        <w:rPr>
          <w:rFonts w:cs="Times New Roman"/>
        </w:rPr>
        <w:t>NVITES</w:t>
      </w:r>
      <w:r w:rsidR="00BE78D9" w:rsidRPr="00AB4355">
        <w:rPr>
          <w:rFonts w:cs="Times New Roman"/>
        </w:rPr>
        <w:t xml:space="preserve"> </w:t>
      </w:r>
      <w:r w:rsidR="00AA6699">
        <w:rPr>
          <w:rFonts w:cs="Times New Roman"/>
        </w:rPr>
        <w:t xml:space="preserve">the Chairs of the meetings of the Conference of the Contracting Parties </w:t>
      </w:r>
      <w:r w:rsidR="00BE78D9" w:rsidRPr="00AB4355">
        <w:rPr>
          <w:rFonts w:cs="Times New Roman"/>
        </w:rPr>
        <w:t>and</w:t>
      </w:r>
      <w:r w:rsidR="00AA6699">
        <w:rPr>
          <w:rFonts w:cs="Times New Roman"/>
        </w:rPr>
        <w:t xml:space="preserve"> of</w:t>
      </w:r>
      <w:r w:rsidR="00BE78D9" w:rsidRPr="00AB4355">
        <w:rPr>
          <w:rFonts w:cs="Times New Roman"/>
        </w:rPr>
        <w:t xml:space="preserve"> Standing Committee to make use of </w:t>
      </w:r>
      <w:r w:rsidR="0048532A">
        <w:rPr>
          <w:rFonts w:cs="Times New Roman"/>
        </w:rPr>
        <w:t>“</w:t>
      </w:r>
      <w:r w:rsidR="00BE78D9" w:rsidRPr="00AB4355">
        <w:rPr>
          <w:rFonts w:cs="Times New Roman"/>
        </w:rPr>
        <w:t>Friends of the Chair</w:t>
      </w:r>
      <w:r w:rsidR="0048532A">
        <w:rPr>
          <w:rFonts w:cs="Times New Roman"/>
        </w:rPr>
        <w:t>”</w:t>
      </w:r>
      <w:r w:rsidR="00BE78D9" w:rsidRPr="00AB4355">
        <w:rPr>
          <w:rFonts w:cs="Times New Roman"/>
        </w:rPr>
        <w:t xml:space="preserve"> processes</w:t>
      </w:r>
      <w:r w:rsidR="00620426" w:rsidRPr="00AB4355">
        <w:rPr>
          <w:rFonts w:cs="Times New Roman"/>
        </w:rPr>
        <w:t xml:space="preserve">, as appropriate, </w:t>
      </w:r>
      <w:r w:rsidR="00BE78D9" w:rsidRPr="00AB4355">
        <w:rPr>
          <w:rFonts w:cs="Times New Roman"/>
        </w:rPr>
        <w:t xml:space="preserve">to </w:t>
      </w:r>
      <w:r w:rsidR="0001398F" w:rsidRPr="00AB4355">
        <w:rPr>
          <w:rFonts w:cs="Times New Roman"/>
        </w:rPr>
        <w:t>seek to enhance efficiency and promote effective meetings by delegating</w:t>
      </w:r>
      <w:r w:rsidR="00620426" w:rsidRPr="00AB4355">
        <w:rPr>
          <w:rFonts w:cs="Times New Roman"/>
        </w:rPr>
        <w:t xml:space="preserve"> matters requiring urgent </w:t>
      </w:r>
      <w:r w:rsidR="008C51F3" w:rsidRPr="00AB4355">
        <w:rPr>
          <w:rFonts w:cs="Times New Roman"/>
        </w:rPr>
        <w:t xml:space="preserve">immediate </w:t>
      </w:r>
      <w:r w:rsidR="00620426" w:rsidRPr="00AB4355">
        <w:rPr>
          <w:rFonts w:cs="Times New Roman"/>
        </w:rPr>
        <w:t xml:space="preserve">attention, in order to </w:t>
      </w:r>
      <w:r w:rsidR="00BE78D9" w:rsidRPr="00AB4355">
        <w:rPr>
          <w:rFonts w:cs="Times New Roman"/>
        </w:rPr>
        <w:t>facilitat</w:t>
      </w:r>
      <w:r w:rsidR="00620426" w:rsidRPr="00AB4355">
        <w:rPr>
          <w:rFonts w:cs="Times New Roman"/>
        </w:rPr>
        <w:t>e</w:t>
      </w:r>
      <w:r w:rsidR="00BE78D9" w:rsidRPr="00AB4355">
        <w:rPr>
          <w:rFonts w:cs="Times New Roman"/>
        </w:rPr>
        <w:t xml:space="preserve"> and expedit</w:t>
      </w:r>
      <w:r w:rsidR="00620426" w:rsidRPr="00AB4355">
        <w:rPr>
          <w:rFonts w:cs="Times New Roman"/>
        </w:rPr>
        <w:t>e</w:t>
      </w:r>
      <w:r w:rsidR="00BE78D9" w:rsidRPr="00AB4355">
        <w:rPr>
          <w:rFonts w:cs="Times New Roman"/>
        </w:rPr>
        <w:t xml:space="preserve"> work in service of the Parties during meetings</w:t>
      </w:r>
      <w:r w:rsidR="0000482B" w:rsidRPr="00AB4355">
        <w:rPr>
          <w:rFonts w:cs="Times New Roman"/>
        </w:rPr>
        <w:t xml:space="preserve"> and</w:t>
      </w:r>
      <w:r w:rsidR="00AA6699">
        <w:rPr>
          <w:rFonts w:cs="Times New Roman"/>
        </w:rPr>
        <w:t>,</w:t>
      </w:r>
      <w:r w:rsidR="0000482B" w:rsidRPr="00AB4355">
        <w:rPr>
          <w:rFonts w:cs="Times New Roman"/>
        </w:rPr>
        <w:t xml:space="preserve"> when so doing</w:t>
      </w:r>
      <w:r w:rsidR="00AA6699">
        <w:rPr>
          <w:rFonts w:cs="Times New Roman"/>
        </w:rPr>
        <w:t>,</w:t>
      </w:r>
      <w:r w:rsidR="0000482B" w:rsidRPr="00AB4355">
        <w:rPr>
          <w:rFonts w:cs="Times New Roman"/>
        </w:rPr>
        <w:t xml:space="preserve"> to foster inclusiveness,</w:t>
      </w:r>
      <w:r w:rsidR="00BE78D9" w:rsidRPr="00AB4355">
        <w:rPr>
          <w:rFonts w:cs="Times New Roman"/>
        </w:rPr>
        <w:t xml:space="preserve"> </w:t>
      </w:r>
      <w:r w:rsidR="0000482B" w:rsidRPr="00AB4355">
        <w:rPr>
          <w:rFonts w:cs="Times New Roman"/>
        </w:rPr>
        <w:t xml:space="preserve">with a view to advancing </w:t>
      </w:r>
      <w:r w:rsidR="00BE78D9" w:rsidRPr="00AB4355">
        <w:rPr>
          <w:rFonts w:cs="Times New Roman"/>
        </w:rPr>
        <w:t>implementation of the Convention and its governance</w:t>
      </w:r>
      <w:r w:rsidR="00620426" w:rsidRPr="00AB4355">
        <w:rPr>
          <w:rFonts w:cs="Times New Roman"/>
        </w:rPr>
        <w:t xml:space="preserve"> and mak</w:t>
      </w:r>
      <w:r w:rsidR="0000482B" w:rsidRPr="00AB4355">
        <w:rPr>
          <w:rFonts w:cs="Times New Roman"/>
        </w:rPr>
        <w:t>ing</w:t>
      </w:r>
      <w:r w:rsidR="00620426" w:rsidRPr="00AB4355">
        <w:rPr>
          <w:rFonts w:cs="Times New Roman"/>
        </w:rPr>
        <w:t xml:space="preserve"> </w:t>
      </w:r>
      <w:r w:rsidR="00BE78D9" w:rsidRPr="00AB4355">
        <w:rPr>
          <w:rFonts w:cs="Times New Roman"/>
        </w:rPr>
        <w:t xml:space="preserve">best use of </w:t>
      </w:r>
      <w:r w:rsidR="00620426" w:rsidRPr="00AB4355">
        <w:rPr>
          <w:rFonts w:cs="Times New Roman"/>
        </w:rPr>
        <w:t xml:space="preserve">its </w:t>
      </w:r>
      <w:r w:rsidR="00BE78D9" w:rsidRPr="00AB4355">
        <w:rPr>
          <w:rFonts w:cs="Times New Roman"/>
        </w:rPr>
        <w:t>resources</w:t>
      </w:r>
      <w:r w:rsidR="000E5FDF">
        <w:rPr>
          <w:rFonts w:cs="Times New Roman"/>
        </w:rPr>
        <w:t>;</w:t>
      </w:r>
      <w:r w:rsidR="0000482B" w:rsidRPr="00AB4355">
        <w:rPr>
          <w:rFonts w:cs="Times New Roman"/>
        </w:rPr>
        <w:t xml:space="preserve"> and REQUESTS the Secretariat support</w:t>
      </w:r>
      <w:r w:rsidR="00C671CE">
        <w:rPr>
          <w:rFonts w:cs="Times New Roman"/>
        </w:rPr>
        <w:t xml:space="preserve"> the</w:t>
      </w:r>
      <w:r w:rsidR="0000482B" w:rsidRPr="00AB4355">
        <w:rPr>
          <w:rFonts w:cs="Times New Roman"/>
        </w:rPr>
        <w:t xml:space="preserve"> Chairs in these efforts</w:t>
      </w:r>
      <w:r w:rsidR="00C671CE">
        <w:rPr>
          <w:rFonts w:cs="Times New Roman"/>
        </w:rPr>
        <w:t>;</w:t>
      </w:r>
    </w:p>
    <w:p w:rsidR="00BE78D9" w:rsidRPr="00AB4355" w:rsidRDefault="00BE78D9" w:rsidP="00412EBD">
      <w:pPr>
        <w:pStyle w:val="NoSpacing"/>
        <w:ind w:left="425" w:hanging="425"/>
        <w:rPr>
          <w:rFonts w:cs="Times New Roman"/>
        </w:rPr>
      </w:pPr>
    </w:p>
    <w:p w:rsidR="00620426" w:rsidRPr="00AB4355" w:rsidRDefault="003F0EB2" w:rsidP="00412EBD">
      <w:pPr>
        <w:pStyle w:val="NoSpacing"/>
        <w:ind w:left="425" w:hanging="425"/>
        <w:rPr>
          <w:rFonts w:cs="Times New Roman"/>
        </w:rPr>
      </w:pPr>
      <w:r w:rsidRPr="00AB4355">
        <w:rPr>
          <w:rFonts w:cs="Times New Roman"/>
        </w:rPr>
        <w:t>1</w:t>
      </w:r>
      <w:r w:rsidR="00774ED6" w:rsidRPr="00AB4355">
        <w:rPr>
          <w:rFonts w:cs="Times New Roman"/>
        </w:rPr>
        <w:t>3</w:t>
      </w:r>
      <w:r w:rsidR="00620426" w:rsidRPr="00AB4355">
        <w:rPr>
          <w:rFonts w:cs="Times New Roman"/>
        </w:rPr>
        <w:t>.</w:t>
      </w:r>
      <w:r w:rsidR="00412EBD" w:rsidRPr="00AB4355">
        <w:rPr>
          <w:rFonts w:cs="Times New Roman"/>
        </w:rPr>
        <w:tab/>
      </w:r>
      <w:r w:rsidR="00795718" w:rsidRPr="00AB4355">
        <w:rPr>
          <w:rFonts w:cs="Times New Roman"/>
        </w:rPr>
        <w:t>ALSO</w:t>
      </w:r>
      <w:r w:rsidR="00C836AE" w:rsidRPr="00AB4355">
        <w:rPr>
          <w:rFonts w:cs="Times New Roman"/>
        </w:rPr>
        <w:t xml:space="preserve"> </w:t>
      </w:r>
      <w:r w:rsidR="00620426" w:rsidRPr="00AB4355">
        <w:rPr>
          <w:rFonts w:cs="Times New Roman"/>
        </w:rPr>
        <w:t xml:space="preserve">INVITES Parties to make use of working group processes, as appropriate, to </w:t>
      </w:r>
      <w:r w:rsidR="0001398F" w:rsidRPr="00AB4355">
        <w:rPr>
          <w:rFonts w:cs="Times New Roman"/>
        </w:rPr>
        <w:t xml:space="preserve">enhance efficiency and foster effective meetings by delegating </w:t>
      </w:r>
      <w:r w:rsidR="00620426" w:rsidRPr="00AB4355">
        <w:rPr>
          <w:rFonts w:cs="Times New Roman"/>
        </w:rPr>
        <w:t xml:space="preserve">matters requiring </w:t>
      </w:r>
      <w:r w:rsidR="0000482B" w:rsidRPr="00AB4355">
        <w:rPr>
          <w:rFonts w:cs="Times New Roman"/>
        </w:rPr>
        <w:t>longer</w:t>
      </w:r>
      <w:r w:rsidR="00EB2364">
        <w:rPr>
          <w:rFonts w:cs="Times New Roman"/>
        </w:rPr>
        <w:t>-</w:t>
      </w:r>
      <w:r w:rsidR="0000482B" w:rsidRPr="00AB4355">
        <w:rPr>
          <w:rFonts w:cs="Times New Roman"/>
        </w:rPr>
        <w:t>term attention, in order to facilitate and expedite work in service of the Parties intersessionally</w:t>
      </w:r>
      <w:r w:rsidR="008C51F3" w:rsidRPr="00AB4355">
        <w:rPr>
          <w:rFonts w:cs="Times New Roman"/>
        </w:rPr>
        <w:t>,</w:t>
      </w:r>
      <w:r w:rsidR="0000482B" w:rsidRPr="00AB4355">
        <w:rPr>
          <w:rFonts w:cs="Times New Roman"/>
        </w:rPr>
        <w:t xml:space="preserve"> </w:t>
      </w:r>
      <w:r w:rsidR="00BF221B" w:rsidRPr="00AB4355">
        <w:rPr>
          <w:rFonts w:cs="Times New Roman"/>
        </w:rPr>
        <w:t>report</w:t>
      </w:r>
      <w:r w:rsidR="00A363C6" w:rsidRPr="00AB4355">
        <w:rPr>
          <w:rFonts w:cs="Times New Roman"/>
        </w:rPr>
        <w:t>ing</w:t>
      </w:r>
      <w:r w:rsidR="00BF221B" w:rsidRPr="00AB4355">
        <w:rPr>
          <w:rFonts w:cs="Times New Roman"/>
        </w:rPr>
        <w:t xml:space="preserve"> to the Standing Committee, </w:t>
      </w:r>
      <w:r w:rsidR="0000482B" w:rsidRPr="00AB4355">
        <w:rPr>
          <w:rFonts w:cs="Times New Roman"/>
        </w:rPr>
        <w:t>with a view to advanc</w:t>
      </w:r>
      <w:r w:rsidR="0001398F" w:rsidRPr="00AB4355">
        <w:rPr>
          <w:rFonts w:cs="Times New Roman"/>
        </w:rPr>
        <w:t>ing</w:t>
      </w:r>
      <w:r w:rsidR="0000482B" w:rsidRPr="00AB4355">
        <w:rPr>
          <w:rFonts w:cs="Times New Roman"/>
        </w:rPr>
        <w:t xml:space="preserve"> implementation of the Convention and its governance and mak</w:t>
      </w:r>
      <w:r w:rsidR="0001398F" w:rsidRPr="00AB4355">
        <w:rPr>
          <w:rFonts w:cs="Times New Roman"/>
        </w:rPr>
        <w:t>ing</w:t>
      </w:r>
      <w:r w:rsidR="0000482B" w:rsidRPr="00AB4355">
        <w:rPr>
          <w:rFonts w:cs="Times New Roman"/>
        </w:rPr>
        <w:t xml:space="preserve"> best use of its resources</w:t>
      </w:r>
      <w:r w:rsidR="000E5FDF">
        <w:rPr>
          <w:rFonts w:cs="Times New Roman"/>
        </w:rPr>
        <w:t>;</w:t>
      </w:r>
      <w:r w:rsidR="0000482B" w:rsidRPr="00AB4355">
        <w:rPr>
          <w:rFonts w:cs="Times New Roman"/>
        </w:rPr>
        <w:t xml:space="preserve"> and REQUESTS </w:t>
      </w:r>
      <w:r w:rsidR="0048532A">
        <w:rPr>
          <w:rFonts w:cs="Times New Roman"/>
        </w:rPr>
        <w:t xml:space="preserve">that </w:t>
      </w:r>
      <w:r w:rsidR="0000482B" w:rsidRPr="00AB4355">
        <w:rPr>
          <w:rFonts w:cs="Times New Roman"/>
        </w:rPr>
        <w:t>the Secretariat support the working groups in these efforts when asked to do so</w:t>
      </w:r>
      <w:r w:rsidR="0066208A">
        <w:rPr>
          <w:rFonts w:cs="Times New Roman"/>
        </w:rPr>
        <w:t>;</w:t>
      </w:r>
    </w:p>
    <w:p w:rsidR="00620426" w:rsidRPr="00AB4355" w:rsidRDefault="00620426" w:rsidP="00412EBD">
      <w:pPr>
        <w:pStyle w:val="NoSpacing"/>
        <w:ind w:left="425" w:hanging="425"/>
        <w:rPr>
          <w:rFonts w:cs="Times New Roman"/>
        </w:rPr>
      </w:pPr>
    </w:p>
    <w:p w:rsidR="00620426" w:rsidRPr="00AB4355" w:rsidRDefault="003F0EB2" w:rsidP="00412EBD">
      <w:pPr>
        <w:pStyle w:val="NoSpacing"/>
        <w:ind w:left="425" w:hanging="425"/>
        <w:rPr>
          <w:rFonts w:cs="Times New Roman"/>
        </w:rPr>
      </w:pPr>
      <w:r w:rsidRPr="00AB4355">
        <w:rPr>
          <w:rFonts w:cs="Times New Roman"/>
        </w:rPr>
        <w:t>1</w:t>
      </w:r>
      <w:r w:rsidR="00774ED6" w:rsidRPr="00AB4355">
        <w:rPr>
          <w:rFonts w:cs="Times New Roman"/>
        </w:rPr>
        <w:t>4</w:t>
      </w:r>
      <w:r w:rsidR="0000482B" w:rsidRPr="00AB4355">
        <w:rPr>
          <w:rFonts w:cs="Times New Roman"/>
        </w:rPr>
        <w:t>.</w:t>
      </w:r>
      <w:r w:rsidR="00412EBD" w:rsidRPr="00AB4355">
        <w:rPr>
          <w:rFonts w:cs="Times New Roman"/>
        </w:rPr>
        <w:tab/>
      </w:r>
      <w:r w:rsidR="0000482B" w:rsidRPr="00AB4355">
        <w:rPr>
          <w:rFonts w:cs="Times New Roman"/>
        </w:rPr>
        <w:t xml:space="preserve">URGES Parties </w:t>
      </w:r>
      <w:r w:rsidR="001A435F" w:rsidRPr="00AB4355">
        <w:rPr>
          <w:rFonts w:cs="Times New Roman"/>
        </w:rPr>
        <w:t xml:space="preserve">to ensure </w:t>
      </w:r>
      <w:r w:rsidR="003502FA">
        <w:rPr>
          <w:rFonts w:cs="Times New Roman"/>
        </w:rPr>
        <w:t xml:space="preserve">that </w:t>
      </w:r>
      <w:r w:rsidR="001A435F" w:rsidRPr="00AB4355">
        <w:rPr>
          <w:rFonts w:cs="Times New Roman"/>
        </w:rPr>
        <w:t xml:space="preserve">working group </w:t>
      </w:r>
      <w:r w:rsidR="0000482B" w:rsidRPr="00AB4355">
        <w:rPr>
          <w:rFonts w:cs="Times New Roman"/>
        </w:rPr>
        <w:t>processes have clear mandates and</w:t>
      </w:r>
      <w:r w:rsidR="00620426" w:rsidRPr="00AB4355">
        <w:rPr>
          <w:rFonts w:cs="Times New Roman"/>
        </w:rPr>
        <w:t xml:space="preserve"> scopes, </w:t>
      </w:r>
      <w:r w:rsidR="00A363C6" w:rsidRPr="00AB4355">
        <w:rPr>
          <w:rFonts w:cs="Times New Roman"/>
        </w:rPr>
        <w:t>are regionally representative and</w:t>
      </w:r>
      <w:r w:rsidR="00620426" w:rsidRPr="00AB4355">
        <w:rPr>
          <w:rFonts w:cs="Times New Roman"/>
        </w:rPr>
        <w:t xml:space="preserve"> open to any interested Party, </w:t>
      </w:r>
      <w:r w:rsidR="00BF221B" w:rsidRPr="00AB4355">
        <w:rPr>
          <w:rFonts w:cs="Times New Roman"/>
        </w:rPr>
        <w:t xml:space="preserve">specify </w:t>
      </w:r>
      <w:r w:rsidR="00620426" w:rsidRPr="00AB4355">
        <w:rPr>
          <w:rFonts w:cs="Times New Roman"/>
        </w:rPr>
        <w:t>the anticipated conclusion to the work (expressed as a measure of time</w:t>
      </w:r>
      <w:r w:rsidR="00BF221B" w:rsidRPr="00AB4355">
        <w:rPr>
          <w:rFonts w:cs="Times New Roman"/>
        </w:rPr>
        <w:t xml:space="preserve">, </w:t>
      </w:r>
      <w:r w:rsidR="0001398F" w:rsidRPr="00AB4355">
        <w:rPr>
          <w:rFonts w:cs="Times New Roman"/>
        </w:rPr>
        <w:t>c</w:t>
      </w:r>
      <w:r w:rsidR="009B54D1" w:rsidRPr="00AB4355">
        <w:rPr>
          <w:rFonts w:cs="Times New Roman"/>
        </w:rPr>
        <w:t xml:space="preserve">onclusion </w:t>
      </w:r>
      <w:r w:rsidR="00BF221B" w:rsidRPr="00AB4355">
        <w:rPr>
          <w:rFonts w:cs="Times New Roman"/>
        </w:rPr>
        <w:t>of an event,</w:t>
      </w:r>
      <w:r w:rsidR="00620426" w:rsidRPr="00AB4355">
        <w:rPr>
          <w:rFonts w:cs="Times New Roman"/>
        </w:rPr>
        <w:t xml:space="preserve"> or development of a work product)</w:t>
      </w:r>
      <w:r w:rsidR="00BF221B" w:rsidRPr="00AB4355">
        <w:rPr>
          <w:rFonts w:cs="Times New Roman"/>
        </w:rPr>
        <w:t xml:space="preserve"> generally no later than </w:t>
      </w:r>
      <w:r w:rsidR="00620426" w:rsidRPr="00AB4355">
        <w:rPr>
          <w:rFonts w:cs="Times New Roman"/>
        </w:rPr>
        <w:t xml:space="preserve">by the following </w:t>
      </w:r>
      <w:r w:rsidR="003502FA">
        <w:rPr>
          <w:rFonts w:cs="Times New Roman"/>
        </w:rPr>
        <w:t>meeting of the Conference of the Contracting Parties</w:t>
      </w:r>
      <w:r w:rsidR="00620426" w:rsidRPr="00AB4355">
        <w:rPr>
          <w:rFonts w:cs="Times New Roman"/>
        </w:rPr>
        <w:t xml:space="preserve"> and sooner </w:t>
      </w:r>
      <w:r w:rsidR="00BF221B" w:rsidRPr="00AB4355">
        <w:rPr>
          <w:rFonts w:cs="Times New Roman"/>
        </w:rPr>
        <w:t>when possible</w:t>
      </w:r>
      <w:r w:rsidR="00620426" w:rsidRPr="00AB4355">
        <w:rPr>
          <w:rFonts w:cs="Times New Roman"/>
        </w:rPr>
        <w:t>,</w:t>
      </w:r>
      <w:r w:rsidR="001A435F" w:rsidRPr="00AB4355">
        <w:rPr>
          <w:rFonts w:cs="Times New Roman"/>
        </w:rPr>
        <w:t xml:space="preserve"> and regularly report their progress to the Standing </w:t>
      </w:r>
      <w:r w:rsidR="001A435F" w:rsidRPr="00AB4355">
        <w:rPr>
          <w:rFonts w:cs="Times New Roman"/>
        </w:rPr>
        <w:lastRenderedPageBreak/>
        <w:t>Committee,</w:t>
      </w:r>
      <w:r w:rsidR="00620426" w:rsidRPr="00AB4355">
        <w:rPr>
          <w:rFonts w:cs="Times New Roman"/>
        </w:rPr>
        <w:t xml:space="preserve"> recognizing that the Standing Committee Chair </w:t>
      </w:r>
      <w:r w:rsidR="00BF221B" w:rsidRPr="00AB4355">
        <w:rPr>
          <w:rFonts w:cs="Times New Roman"/>
        </w:rPr>
        <w:t>may</w:t>
      </w:r>
      <w:r w:rsidR="003502FA">
        <w:rPr>
          <w:rFonts w:cs="Times New Roman"/>
        </w:rPr>
        <w:t>,</w:t>
      </w:r>
      <w:r w:rsidR="00BF221B" w:rsidRPr="00AB4355">
        <w:rPr>
          <w:rFonts w:cs="Times New Roman"/>
        </w:rPr>
        <w:t xml:space="preserve"> </w:t>
      </w:r>
      <w:r w:rsidR="009B54D1" w:rsidRPr="00AB4355">
        <w:rPr>
          <w:rFonts w:cs="Times New Roman"/>
        </w:rPr>
        <w:t>as needed</w:t>
      </w:r>
      <w:r w:rsidR="003502FA">
        <w:rPr>
          <w:rFonts w:cs="Times New Roman"/>
        </w:rPr>
        <w:t>,</w:t>
      </w:r>
      <w:r w:rsidR="009B54D1" w:rsidRPr="00AB4355">
        <w:rPr>
          <w:rFonts w:cs="Times New Roman"/>
        </w:rPr>
        <w:t xml:space="preserve"> subsequently </w:t>
      </w:r>
      <w:r w:rsidR="00620426" w:rsidRPr="00AB4355">
        <w:rPr>
          <w:rFonts w:cs="Times New Roman"/>
        </w:rPr>
        <w:t>add tasks</w:t>
      </w:r>
      <w:r w:rsidR="00BF221B" w:rsidRPr="00AB4355">
        <w:rPr>
          <w:rFonts w:cs="Times New Roman"/>
        </w:rPr>
        <w:t xml:space="preserve">, potentially </w:t>
      </w:r>
      <w:r w:rsidR="00620426" w:rsidRPr="00AB4355">
        <w:rPr>
          <w:rFonts w:cs="Times New Roman"/>
        </w:rPr>
        <w:t>impact</w:t>
      </w:r>
      <w:r w:rsidR="00BF221B" w:rsidRPr="00AB4355">
        <w:rPr>
          <w:rFonts w:cs="Times New Roman"/>
        </w:rPr>
        <w:t>ing</w:t>
      </w:r>
      <w:r w:rsidR="00620426" w:rsidRPr="00AB4355">
        <w:rPr>
          <w:rFonts w:cs="Times New Roman"/>
        </w:rPr>
        <w:t xml:space="preserve"> the originally anticipated </w:t>
      </w:r>
      <w:r w:rsidR="00BF221B" w:rsidRPr="00AB4355">
        <w:rPr>
          <w:rFonts w:cs="Times New Roman"/>
        </w:rPr>
        <w:t xml:space="preserve">scope, mandate, </w:t>
      </w:r>
      <w:r w:rsidR="00A363C6" w:rsidRPr="00AB4355">
        <w:rPr>
          <w:rFonts w:cs="Times New Roman"/>
        </w:rPr>
        <w:t>and/</w:t>
      </w:r>
      <w:r w:rsidR="00BF221B" w:rsidRPr="00AB4355">
        <w:rPr>
          <w:rFonts w:cs="Times New Roman"/>
        </w:rPr>
        <w:t xml:space="preserve">or </w:t>
      </w:r>
      <w:r w:rsidR="00620426" w:rsidRPr="00AB4355">
        <w:rPr>
          <w:rFonts w:cs="Times New Roman"/>
        </w:rPr>
        <w:t>timeline</w:t>
      </w:r>
      <w:r w:rsidR="003502FA">
        <w:rPr>
          <w:rFonts w:cs="Times New Roman"/>
        </w:rPr>
        <w:t>;</w:t>
      </w:r>
    </w:p>
    <w:p w:rsidR="00620426" w:rsidRPr="00AB4355" w:rsidRDefault="00620426" w:rsidP="00412EBD">
      <w:pPr>
        <w:pStyle w:val="NoSpacing"/>
        <w:ind w:left="425" w:hanging="425"/>
        <w:rPr>
          <w:rFonts w:cs="Times New Roman"/>
        </w:rPr>
      </w:pPr>
    </w:p>
    <w:p w:rsidR="00620426" w:rsidRPr="00AB4355" w:rsidRDefault="003F0EB2" w:rsidP="00412EBD">
      <w:pPr>
        <w:pStyle w:val="NoSpacing"/>
        <w:ind w:left="425" w:hanging="425"/>
        <w:rPr>
          <w:rFonts w:cs="Times New Roman"/>
        </w:rPr>
      </w:pPr>
      <w:r w:rsidRPr="00AB4355">
        <w:rPr>
          <w:rFonts w:cs="Times New Roman"/>
        </w:rPr>
        <w:t>1</w:t>
      </w:r>
      <w:r w:rsidR="00774ED6" w:rsidRPr="00AB4355">
        <w:rPr>
          <w:rFonts w:cs="Times New Roman"/>
        </w:rPr>
        <w:t>5</w:t>
      </w:r>
      <w:r w:rsidR="00BF221B" w:rsidRPr="00AB4355">
        <w:rPr>
          <w:rFonts w:cs="Times New Roman"/>
        </w:rPr>
        <w:t>.</w:t>
      </w:r>
      <w:r w:rsidR="00412EBD" w:rsidRPr="00AB4355">
        <w:rPr>
          <w:rFonts w:cs="Times New Roman"/>
        </w:rPr>
        <w:tab/>
      </w:r>
      <w:r w:rsidR="00C836AE" w:rsidRPr="00AB4355">
        <w:rPr>
          <w:rFonts w:cs="Times New Roman"/>
        </w:rPr>
        <w:t xml:space="preserve">ALSO </w:t>
      </w:r>
      <w:r w:rsidR="00BF221B" w:rsidRPr="00AB4355">
        <w:rPr>
          <w:rFonts w:cs="Times New Roman"/>
        </w:rPr>
        <w:t>URGES Parties to</w:t>
      </w:r>
      <w:r w:rsidR="00340382" w:rsidRPr="00AB4355">
        <w:rPr>
          <w:rFonts w:cs="Times New Roman"/>
        </w:rPr>
        <w:t xml:space="preserve"> fully, effectively, and ethically engage in working groups and Friends of the Chair groups, and to </w:t>
      </w:r>
      <w:r w:rsidR="00620426" w:rsidRPr="00AB4355">
        <w:rPr>
          <w:rFonts w:cs="Times New Roman"/>
        </w:rPr>
        <w:t xml:space="preserve">respect the results of </w:t>
      </w:r>
      <w:r w:rsidR="00340382" w:rsidRPr="00AB4355">
        <w:rPr>
          <w:rFonts w:cs="Times New Roman"/>
        </w:rPr>
        <w:t>those</w:t>
      </w:r>
      <w:r w:rsidR="00620426" w:rsidRPr="00AB4355">
        <w:rPr>
          <w:rFonts w:cs="Times New Roman"/>
        </w:rPr>
        <w:t xml:space="preserve"> </w:t>
      </w:r>
      <w:r w:rsidR="00BF221B" w:rsidRPr="00AB4355">
        <w:rPr>
          <w:rFonts w:cs="Times New Roman"/>
        </w:rPr>
        <w:t>g</w:t>
      </w:r>
      <w:r w:rsidR="00620426" w:rsidRPr="00AB4355">
        <w:rPr>
          <w:rFonts w:cs="Times New Roman"/>
        </w:rPr>
        <w:t>roups</w:t>
      </w:r>
      <w:r w:rsidR="00A363C6" w:rsidRPr="00AB4355">
        <w:rPr>
          <w:rFonts w:cs="Times New Roman"/>
        </w:rPr>
        <w:t xml:space="preserve">, </w:t>
      </w:r>
      <w:r w:rsidR="0001398F" w:rsidRPr="00AB4355">
        <w:rPr>
          <w:rFonts w:cs="Times New Roman"/>
        </w:rPr>
        <w:t>recognizing</w:t>
      </w:r>
      <w:r w:rsidR="00A363C6" w:rsidRPr="00AB4355">
        <w:rPr>
          <w:rFonts w:cs="Times New Roman"/>
        </w:rPr>
        <w:t xml:space="preserve"> that the ultimate</w:t>
      </w:r>
      <w:r w:rsidR="00620426" w:rsidRPr="00AB4355">
        <w:rPr>
          <w:rFonts w:cs="Times New Roman"/>
        </w:rPr>
        <w:t xml:space="preserve"> decision-making authority </w:t>
      </w:r>
      <w:r w:rsidR="00A363C6" w:rsidRPr="00AB4355">
        <w:rPr>
          <w:rFonts w:cs="Times New Roman"/>
        </w:rPr>
        <w:t>rests</w:t>
      </w:r>
      <w:r w:rsidR="00620426" w:rsidRPr="00AB4355">
        <w:rPr>
          <w:rFonts w:cs="Times New Roman"/>
        </w:rPr>
        <w:t xml:space="preserve"> with the </w:t>
      </w:r>
      <w:r w:rsidR="00A363C6" w:rsidRPr="00AB4355">
        <w:rPr>
          <w:rFonts w:cs="Times New Roman"/>
        </w:rPr>
        <w:t>Standing Committee and/or COP to which the group is reporting and presenting its results</w:t>
      </w:r>
      <w:r w:rsidR="003502FA">
        <w:rPr>
          <w:rFonts w:cs="Times New Roman"/>
        </w:rPr>
        <w:t>; and</w:t>
      </w:r>
    </w:p>
    <w:p w:rsidR="00D13D03" w:rsidRPr="00AB4355" w:rsidRDefault="00D13D03" w:rsidP="00412EBD">
      <w:pPr>
        <w:pStyle w:val="NoSpacing"/>
        <w:ind w:left="425" w:hanging="425"/>
        <w:rPr>
          <w:rFonts w:cs="Times New Roman"/>
        </w:rPr>
      </w:pPr>
    </w:p>
    <w:p w:rsidR="00620426" w:rsidRPr="00AB4355" w:rsidRDefault="00D13D03" w:rsidP="00412EBD">
      <w:pPr>
        <w:pStyle w:val="NoSpacing"/>
        <w:ind w:left="425" w:hanging="425"/>
        <w:rPr>
          <w:rFonts w:cs="Times New Roman"/>
        </w:rPr>
      </w:pPr>
      <w:r w:rsidRPr="00AB4355">
        <w:rPr>
          <w:rFonts w:cs="Times New Roman"/>
        </w:rPr>
        <w:t>1</w:t>
      </w:r>
      <w:r w:rsidR="00774ED6" w:rsidRPr="00AB4355">
        <w:rPr>
          <w:rFonts w:cs="Times New Roman"/>
        </w:rPr>
        <w:t>6</w:t>
      </w:r>
      <w:r w:rsidRPr="00AB4355">
        <w:rPr>
          <w:rFonts w:cs="Times New Roman"/>
        </w:rPr>
        <w:t>.</w:t>
      </w:r>
      <w:r w:rsidR="00412EBD" w:rsidRPr="00AB4355">
        <w:rPr>
          <w:rFonts w:cs="Times New Roman"/>
        </w:rPr>
        <w:tab/>
      </w:r>
      <w:r w:rsidRPr="00AB4355">
        <w:rPr>
          <w:rFonts w:cs="Times New Roman"/>
        </w:rPr>
        <w:t xml:space="preserve">CONFIRMS that </w:t>
      </w:r>
      <w:r w:rsidR="00FA3EC6">
        <w:rPr>
          <w:rFonts w:cs="Times New Roman"/>
        </w:rPr>
        <w:t>the present</w:t>
      </w:r>
      <w:r w:rsidRPr="00AB4355">
        <w:rPr>
          <w:rFonts w:cs="Times New Roman"/>
        </w:rPr>
        <w:t xml:space="preserve"> Resolution supersedes </w:t>
      </w:r>
      <w:r w:rsidR="0048532A">
        <w:rPr>
          <w:rFonts w:cs="Times New Roman"/>
        </w:rPr>
        <w:t xml:space="preserve">the </w:t>
      </w:r>
      <w:r w:rsidR="00F914BD" w:rsidRPr="00AB4355">
        <w:rPr>
          <w:rFonts w:cs="Times New Roman"/>
        </w:rPr>
        <w:t>Resolutions and Decisions referenced in paragraph 1</w:t>
      </w:r>
      <w:r w:rsidR="003258DC" w:rsidRPr="00AB4355">
        <w:rPr>
          <w:rFonts w:cs="Times New Roman"/>
        </w:rPr>
        <w:t xml:space="preserve"> or the relevant provisions thereof</w:t>
      </w:r>
      <w:r w:rsidR="00B440A3" w:rsidRPr="00AB4355">
        <w:rPr>
          <w:rFonts w:cs="Times New Roman"/>
        </w:rPr>
        <w:t>, and that any ongoing responsibilities of the groups retired in paragraph 8 above revert to the Standing Committee to address or delegate further.</w:t>
      </w:r>
    </w:p>
    <w:sectPr w:rsidR="00620426" w:rsidRPr="00AB4355" w:rsidSect="00D44ABA">
      <w:footerReference w:type="default" r:id="rId9"/>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D5A" w:rsidRDefault="00AA7D5A" w:rsidP="00412EBD">
      <w:r>
        <w:separator/>
      </w:r>
    </w:p>
  </w:endnote>
  <w:endnote w:type="continuationSeparator" w:id="0">
    <w:p w:rsidR="00AA7D5A" w:rsidRDefault="00AA7D5A" w:rsidP="00412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EBD" w:rsidRPr="001966E6" w:rsidRDefault="001966E6" w:rsidP="001966E6">
    <w:pPr>
      <w:pStyle w:val="Footer"/>
      <w:rPr>
        <w:sz w:val="20"/>
        <w:szCs w:val="20"/>
      </w:rPr>
    </w:pPr>
    <w:r w:rsidRPr="0041099F">
      <w:rPr>
        <w:sz w:val="20"/>
        <w:szCs w:val="20"/>
      </w:rPr>
      <w:t xml:space="preserve">Ramsar </w:t>
    </w:r>
    <w:r w:rsidRPr="009000B8">
      <w:rPr>
        <w:sz w:val="20"/>
        <w:szCs w:val="20"/>
      </w:rPr>
      <w:t>COP13 Doc.</w:t>
    </w:r>
    <w:r>
      <w:rPr>
        <w:sz w:val="20"/>
        <w:szCs w:val="20"/>
      </w:rPr>
      <w:t>18</w:t>
    </w:r>
    <w:r w:rsidRPr="009000B8">
      <w:rPr>
        <w:sz w:val="20"/>
        <w:szCs w:val="20"/>
      </w:rPr>
      <w:t>.1</w:t>
    </w:r>
    <w:r w:rsidRPr="00D12E4C">
      <w:rPr>
        <w:sz w:val="20"/>
        <w:szCs w:val="20"/>
      </w:rPr>
      <w:tab/>
    </w:r>
    <w:r w:rsidRPr="00D12E4C">
      <w:rPr>
        <w:sz w:val="20"/>
        <w:szCs w:val="20"/>
      </w:rPr>
      <w:tab/>
    </w:r>
    <w:r w:rsidRPr="00D12E4C">
      <w:rPr>
        <w:sz w:val="20"/>
        <w:szCs w:val="20"/>
      </w:rPr>
      <w:fldChar w:fldCharType="begin"/>
    </w:r>
    <w:r w:rsidRPr="00D12E4C">
      <w:rPr>
        <w:sz w:val="20"/>
        <w:szCs w:val="20"/>
      </w:rPr>
      <w:instrText xml:space="preserve"> PAGE   \* MERGEFORMAT </w:instrText>
    </w:r>
    <w:r w:rsidRPr="00D12E4C">
      <w:rPr>
        <w:sz w:val="20"/>
        <w:szCs w:val="20"/>
      </w:rPr>
      <w:fldChar w:fldCharType="separate"/>
    </w:r>
    <w:r w:rsidR="00A23349">
      <w:rPr>
        <w:noProof/>
        <w:sz w:val="20"/>
        <w:szCs w:val="20"/>
      </w:rPr>
      <w:t>2</w:t>
    </w:r>
    <w:r w:rsidRPr="00D12E4C">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D5A" w:rsidRDefault="00AA7D5A" w:rsidP="00412EBD">
      <w:r>
        <w:separator/>
      </w:r>
    </w:p>
  </w:footnote>
  <w:footnote w:type="continuationSeparator" w:id="0">
    <w:p w:rsidR="00AA7D5A" w:rsidRDefault="00AA7D5A" w:rsidP="00412E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602"/>
    <w:rsid w:val="0000482B"/>
    <w:rsid w:val="0001398F"/>
    <w:rsid w:val="0007765F"/>
    <w:rsid w:val="000E5FDF"/>
    <w:rsid w:val="00124143"/>
    <w:rsid w:val="0015525C"/>
    <w:rsid w:val="001966E6"/>
    <w:rsid w:val="001A435F"/>
    <w:rsid w:val="001A6E98"/>
    <w:rsid w:val="001A7602"/>
    <w:rsid w:val="001F2D58"/>
    <w:rsid w:val="00212F14"/>
    <w:rsid w:val="00232E58"/>
    <w:rsid w:val="002378BE"/>
    <w:rsid w:val="002751FC"/>
    <w:rsid w:val="0028276C"/>
    <w:rsid w:val="00285F09"/>
    <w:rsid w:val="002D0282"/>
    <w:rsid w:val="002D088C"/>
    <w:rsid w:val="002D5E7B"/>
    <w:rsid w:val="002E5216"/>
    <w:rsid w:val="00300F7C"/>
    <w:rsid w:val="00312E71"/>
    <w:rsid w:val="00323F46"/>
    <w:rsid w:val="003258DC"/>
    <w:rsid w:val="00326355"/>
    <w:rsid w:val="00340382"/>
    <w:rsid w:val="003502FA"/>
    <w:rsid w:val="00357E07"/>
    <w:rsid w:val="00371AA7"/>
    <w:rsid w:val="00387BF5"/>
    <w:rsid w:val="003C13CC"/>
    <w:rsid w:val="003F0EB2"/>
    <w:rsid w:val="00412EBD"/>
    <w:rsid w:val="00430D3C"/>
    <w:rsid w:val="0048532A"/>
    <w:rsid w:val="004953D7"/>
    <w:rsid w:val="004A50D7"/>
    <w:rsid w:val="004A7C67"/>
    <w:rsid w:val="004C71A8"/>
    <w:rsid w:val="004E2DAC"/>
    <w:rsid w:val="00506929"/>
    <w:rsid w:val="00535707"/>
    <w:rsid w:val="00561F4F"/>
    <w:rsid w:val="00575C7B"/>
    <w:rsid w:val="005847A8"/>
    <w:rsid w:val="00585D9C"/>
    <w:rsid w:val="005A5E0F"/>
    <w:rsid w:val="005A6FE8"/>
    <w:rsid w:val="005D0CF3"/>
    <w:rsid w:val="005F53A9"/>
    <w:rsid w:val="0061716E"/>
    <w:rsid w:val="00620426"/>
    <w:rsid w:val="0066208A"/>
    <w:rsid w:val="0068221C"/>
    <w:rsid w:val="006A7409"/>
    <w:rsid w:val="006D639C"/>
    <w:rsid w:val="007526E4"/>
    <w:rsid w:val="00774ED6"/>
    <w:rsid w:val="007871F3"/>
    <w:rsid w:val="00795718"/>
    <w:rsid w:val="00803268"/>
    <w:rsid w:val="008251C3"/>
    <w:rsid w:val="00840DE2"/>
    <w:rsid w:val="00875E3F"/>
    <w:rsid w:val="008865C0"/>
    <w:rsid w:val="008A6C26"/>
    <w:rsid w:val="008C34C7"/>
    <w:rsid w:val="008C51F3"/>
    <w:rsid w:val="008D22F1"/>
    <w:rsid w:val="008D5F01"/>
    <w:rsid w:val="00901773"/>
    <w:rsid w:val="00903EC7"/>
    <w:rsid w:val="009374C3"/>
    <w:rsid w:val="00972123"/>
    <w:rsid w:val="00995CB2"/>
    <w:rsid w:val="009B2CBB"/>
    <w:rsid w:val="009B54D1"/>
    <w:rsid w:val="009C200F"/>
    <w:rsid w:val="009C3C2F"/>
    <w:rsid w:val="009D4E56"/>
    <w:rsid w:val="00A208BA"/>
    <w:rsid w:val="00A22542"/>
    <w:rsid w:val="00A23349"/>
    <w:rsid w:val="00A26AFB"/>
    <w:rsid w:val="00A334C2"/>
    <w:rsid w:val="00A363C6"/>
    <w:rsid w:val="00A5102E"/>
    <w:rsid w:val="00A829C2"/>
    <w:rsid w:val="00A913F4"/>
    <w:rsid w:val="00A95EEC"/>
    <w:rsid w:val="00AA0E22"/>
    <w:rsid w:val="00AA6699"/>
    <w:rsid w:val="00AA7D5A"/>
    <w:rsid w:val="00AB4355"/>
    <w:rsid w:val="00AC19A9"/>
    <w:rsid w:val="00AC70C7"/>
    <w:rsid w:val="00AF78B8"/>
    <w:rsid w:val="00B33588"/>
    <w:rsid w:val="00B440A3"/>
    <w:rsid w:val="00B44C58"/>
    <w:rsid w:val="00B55E7F"/>
    <w:rsid w:val="00B806B0"/>
    <w:rsid w:val="00B94CE4"/>
    <w:rsid w:val="00B97072"/>
    <w:rsid w:val="00BD2F63"/>
    <w:rsid w:val="00BE78D9"/>
    <w:rsid w:val="00BF221B"/>
    <w:rsid w:val="00C20B3F"/>
    <w:rsid w:val="00C3227D"/>
    <w:rsid w:val="00C671CE"/>
    <w:rsid w:val="00C738B9"/>
    <w:rsid w:val="00C836AE"/>
    <w:rsid w:val="00C851FE"/>
    <w:rsid w:val="00CB1525"/>
    <w:rsid w:val="00CF06FB"/>
    <w:rsid w:val="00D13D03"/>
    <w:rsid w:val="00D44ABA"/>
    <w:rsid w:val="00D8637C"/>
    <w:rsid w:val="00DC0274"/>
    <w:rsid w:val="00DC2CCE"/>
    <w:rsid w:val="00DF215A"/>
    <w:rsid w:val="00E0525E"/>
    <w:rsid w:val="00E74986"/>
    <w:rsid w:val="00E953CE"/>
    <w:rsid w:val="00E968DC"/>
    <w:rsid w:val="00EB2364"/>
    <w:rsid w:val="00EB48A3"/>
    <w:rsid w:val="00EC18AD"/>
    <w:rsid w:val="00EC5F01"/>
    <w:rsid w:val="00F0308B"/>
    <w:rsid w:val="00F220DD"/>
    <w:rsid w:val="00F316F9"/>
    <w:rsid w:val="00F3759F"/>
    <w:rsid w:val="00F914BD"/>
    <w:rsid w:val="00FA3EC6"/>
    <w:rsid w:val="00FE531C"/>
    <w:rsid w:val="00FF7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542"/>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A7602"/>
  </w:style>
  <w:style w:type="character" w:styleId="CommentReference">
    <w:name w:val="annotation reference"/>
    <w:basedOn w:val="DefaultParagraphFont"/>
    <w:uiPriority w:val="99"/>
    <w:semiHidden/>
    <w:unhideWhenUsed/>
    <w:rsid w:val="00285F09"/>
    <w:rPr>
      <w:sz w:val="16"/>
      <w:szCs w:val="16"/>
    </w:rPr>
  </w:style>
  <w:style w:type="paragraph" w:styleId="CommentText">
    <w:name w:val="annotation text"/>
    <w:basedOn w:val="Normal"/>
    <w:link w:val="CommentTextChar"/>
    <w:uiPriority w:val="99"/>
    <w:semiHidden/>
    <w:unhideWhenUsed/>
    <w:rsid w:val="00285F09"/>
    <w:rPr>
      <w:sz w:val="20"/>
      <w:szCs w:val="20"/>
    </w:rPr>
  </w:style>
  <w:style w:type="character" w:customStyle="1" w:styleId="CommentTextChar">
    <w:name w:val="Comment Text Char"/>
    <w:basedOn w:val="DefaultParagraphFont"/>
    <w:link w:val="CommentText"/>
    <w:uiPriority w:val="99"/>
    <w:semiHidden/>
    <w:rsid w:val="00285F09"/>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85F09"/>
    <w:rPr>
      <w:b/>
      <w:bCs/>
    </w:rPr>
  </w:style>
  <w:style w:type="character" w:customStyle="1" w:styleId="CommentSubjectChar">
    <w:name w:val="Comment Subject Char"/>
    <w:basedOn w:val="CommentTextChar"/>
    <w:link w:val="CommentSubject"/>
    <w:uiPriority w:val="99"/>
    <w:semiHidden/>
    <w:rsid w:val="00285F09"/>
    <w:rPr>
      <w:rFonts w:ascii="Calibri" w:eastAsia="Calibri" w:hAnsi="Calibri" w:cs="Times New Roman"/>
      <w:b/>
      <w:bCs/>
      <w:sz w:val="20"/>
      <w:szCs w:val="20"/>
      <w:lang w:val="en-GB"/>
    </w:rPr>
  </w:style>
  <w:style w:type="paragraph" w:styleId="Revision">
    <w:name w:val="Revision"/>
    <w:hidden/>
    <w:uiPriority w:val="99"/>
    <w:semiHidden/>
    <w:rsid w:val="00285F09"/>
    <w:rPr>
      <w:rFonts w:ascii="Calibri" w:eastAsia="Calibri" w:hAnsi="Calibri" w:cs="Times New Roman"/>
      <w:lang w:val="en-GB"/>
    </w:rPr>
  </w:style>
  <w:style w:type="paragraph" w:styleId="BalloonText">
    <w:name w:val="Balloon Text"/>
    <w:basedOn w:val="Normal"/>
    <w:link w:val="BalloonTextChar"/>
    <w:uiPriority w:val="99"/>
    <w:semiHidden/>
    <w:unhideWhenUsed/>
    <w:rsid w:val="00285F09"/>
    <w:rPr>
      <w:rFonts w:ascii="Tahoma" w:hAnsi="Tahoma" w:cs="Tahoma"/>
      <w:sz w:val="16"/>
      <w:szCs w:val="16"/>
    </w:rPr>
  </w:style>
  <w:style w:type="character" w:customStyle="1" w:styleId="BalloonTextChar">
    <w:name w:val="Balloon Text Char"/>
    <w:basedOn w:val="DefaultParagraphFont"/>
    <w:link w:val="BalloonText"/>
    <w:uiPriority w:val="99"/>
    <w:semiHidden/>
    <w:rsid w:val="00285F09"/>
    <w:rPr>
      <w:rFonts w:ascii="Tahoma" w:eastAsia="Calibri" w:hAnsi="Tahoma" w:cs="Tahoma"/>
      <w:sz w:val="16"/>
      <w:szCs w:val="16"/>
      <w:lang w:val="en-GB"/>
    </w:rPr>
  </w:style>
  <w:style w:type="paragraph" w:customStyle="1" w:styleId="Default">
    <w:name w:val="Default"/>
    <w:rsid w:val="00E953CE"/>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901773"/>
    <w:pPr>
      <w:ind w:left="720"/>
      <w:contextualSpacing/>
    </w:pPr>
  </w:style>
  <w:style w:type="paragraph" w:styleId="Header">
    <w:name w:val="header"/>
    <w:basedOn w:val="Normal"/>
    <w:link w:val="HeaderChar"/>
    <w:uiPriority w:val="99"/>
    <w:unhideWhenUsed/>
    <w:rsid w:val="00412EBD"/>
    <w:pPr>
      <w:tabs>
        <w:tab w:val="center" w:pos="4513"/>
        <w:tab w:val="right" w:pos="9026"/>
      </w:tabs>
    </w:pPr>
  </w:style>
  <w:style w:type="character" w:customStyle="1" w:styleId="HeaderChar">
    <w:name w:val="Header Char"/>
    <w:basedOn w:val="DefaultParagraphFont"/>
    <w:link w:val="Header"/>
    <w:uiPriority w:val="99"/>
    <w:rsid w:val="00412EBD"/>
    <w:rPr>
      <w:rFonts w:ascii="Calibri" w:eastAsia="Calibri" w:hAnsi="Calibri" w:cs="Times New Roman"/>
      <w:lang w:val="en-GB"/>
    </w:rPr>
  </w:style>
  <w:style w:type="paragraph" w:styleId="Footer">
    <w:name w:val="footer"/>
    <w:basedOn w:val="Normal"/>
    <w:link w:val="FooterChar"/>
    <w:uiPriority w:val="99"/>
    <w:unhideWhenUsed/>
    <w:rsid w:val="00412EBD"/>
    <w:pPr>
      <w:tabs>
        <w:tab w:val="center" w:pos="4513"/>
        <w:tab w:val="right" w:pos="9026"/>
      </w:tabs>
    </w:pPr>
  </w:style>
  <w:style w:type="character" w:customStyle="1" w:styleId="FooterChar">
    <w:name w:val="Footer Char"/>
    <w:basedOn w:val="DefaultParagraphFont"/>
    <w:link w:val="Footer"/>
    <w:uiPriority w:val="99"/>
    <w:rsid w:val="00412EBD"/>
    <w:rPr>
      <w:rFonts w:ascii="Calibri" w:eastAsia="Calibri" w:hAnsi="Calibri" w:cs="Times New Roman"/>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542"/>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A7602"/>
  </w:style>
  <w:style w:type="character" w:styleId="CommentReference">
    <w:name w:val="annotation reference"/>
    <w:basedOn w:val="DefaultParagraphFont"/>
    <w:uiPriority w:val="99"/>
    <w:semiHidden/>
    <w:unhideWhenUsed/>
    <w:rsid w:val="00285F09"/>
    <w:rPr>
      <w:sz w:val="16"/>
      <w:szCs w:val="16"/>
    </w:rPr>
  </w:style>
  <w:style w:type="paragraph" w:styleId="CommentText">
    <w:name w:val="annotation text"/>
    <w:basedOn w:val="Normal"/>
    <w:link w:val="CommentTextChar"/>
    <w:uiPriority w:val="99"/>
    <w:semiHidden/>
    <w:unhideWhenUsed/>
    <w:rsid w:val="00285F09"/>
    <w:rPr>
      <w:sz w:val="20"/>
      <w:szCs w:val="20"/>
    </w:rPr>
  </w:style>
  <w:style w:type="character" w:customStyle="1" w:styleId="CommentTextChar">
    <w:name w:val="Comment Text Char"/>
    <w:basedOn w:val="DefaultParagraphFont"/>
    <w:link w:val="CommentText"/>
    <w:uiPriority w:val="99"/>
    <w:semiHidden/>
    <w:rsid w:val="00285F09"/>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85F09"/>
    <w:rPr>
      <w:b/>
      <w:bCs/>
    </w:rPr>
  </w:style>
  <w:style w:type="character" w:customStyle="1" w:styleId="CommentSubjectChar">
    <w:name w:val="Comment Subject Char"/>
    <w:basedOn w:val="CommentTextChar"/>
    <w:link w:val="CommentSubject"/>
    <w:uiPriority w:val="99"/>
    <w:semiHidden/>
    <w:rsid w:val="00285F09"/>
    <w:rPr>
      <w:rFonts w:ascii="Calibri" w:eastAsia="Calibri" w:hAnsi="Calibri" w:cs="Times New Roman"/>
      <w:b/>
      <w:bCs/>
      <w:sz w:val="20"/>
      <w:szCs w:val="20"/>
      <w:lang w:val="en-GB"/>
    </w:rPr>
  </w:style>
  <w:style w:type="paragraph" w:styleId="Revision">
    <w:name w:val="Revision"/>
    <w:hidden/>
    <w:uiPriority w:val="99"/>
    <w:semiHidden/>
    <w:rsid w:val="00285F09"/>
    <w:rPr>
      <w:rFonts w:ascii="Calibri" w:eastAsia="Calibri" w:hAnsi="Calibri" w:cs="Times New Roman"/>
      <w:lang w:val="en-GB"/>
    </w:rPr>
  </w:style>
  <w:style w:type="paragraph" w:styleId="BalloonText">
    <w:name w:val="Balloon Text"/>
    <w:basedOn w:val="Normal"/>
    <w:link w:val="BalloonTextChar"/>
    <w:uiPriority w:val="99"/>
    <w:semiHidden/>
    <w:unhideWhenUsed/>
    <w:rsid w:val="00285F09"/>
    <w:rPr>
      <w:rFonts w:ascii="Tahoma" w:hAnsi="Tahoma" w:cs="Tahoma"/>
      <w:sz w:val="16"/>
      <w:szCs w:val="16"/>
    </w:rPr>
  </w:style>
  <w:style w:type="character" w:customStyle="1" w:styleId="BalloonTextChar">
    <w:name w:val="Balloon Text Char"/>
    <w:basedOn w:val="DefaultParagraphFont"/>
    <w:link w:val="BalloonText"/>
    <w:uiPriority w:val="99"/>
    <w:semiHidden/>
    <w:rsid w:val="00285F09"/>
    <w:rPr>
      <w:rFonts w:ascii="Tahoma" w:eastAsia="Calibri" w:hAnsi="Tahoma" w:cs="Tahoma"/>
      <w:sz w:val="16"/>
      <w:szCs w:val="16"/>
      <w:lang w:val="en-GB"/>
    </w:rPr>
  </w:style>
  <w:style w:type="paragraph" w:customStyle="1" w:styleId="Default">
    <w:name w:val="Default"/>
    <w:rsid w:val="00E953CE"/>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901773"/>
    <w:pPr>
      <w:ind w:left="720"/>
      <w:contextualSpacing/>
    </w:pPr>
  </w:style>
  <w:style w:type="paragraph" w:styleId="Header">
    <w:name w:val="header"/>
    <w:basedOn w:val="Normal"/>
    <w:link w:val="HeaderChar"/>
    <w:uiPriority w:val="99"/>
    <w:unhideWhenUsed/>
    <w:rsid w:val="00412EBD"/>
    <w:pPr>
      <w:tabs>
        <w:tab w:val="center" w:pos="4513"/>
        <w:tab w:val="right" w:pos="9026"/>
      </w:tabs>
    </w:pPr>
  </w:style>
  <w:style w:type="character" w:customStyle="1" w:styleId="HeaderChar">
    <w:name w:val="Header Char"/>
    <w:basedOn w:val="DefaultParagraphFont"/>
    <w:link w:val="Header"/>
    <w:uiPriority w:val="99"/>
    <w:rsid w:val="00412EBD"/>
    <w:rPr>
      <w:rFonts w:ascii="Calibri" w:eastAsia="Calibri" w:hAnsi="Calibri" w:cs="Times New Roman"/>
      <w:lang w:val="en-GB"/>
    </w:rPr>
  </w:style>
  <w:style w:type="paragraph" w:styleId="Footer">
    <w:name w:val="footer"/>
    <w:basedOn w:val="Normal"/>
    <w:link w:val="FooterChar"/>
    <w:uiPriority w:val="99"/>
    <w:unhideWhenUsed/>
    <w:rsid w:val="00412EBD"/>
    <w:pPr>
      <w:tabs>
        <w:tab w:val="center" w:pos="4513"/>
        <w:tab w:val="right" w:pos="9026"/>
      </w:tabs>
    </w:pPr>
  </w:style>
  <w:style w:type="character" w:customStyle="1" w:styleId="FooterChar">
    <w:name w:val="Footer Char"/>
    <w:basedOn w:val="DefaultParagraphFont"/>
    <w:link w:val="Footer"/>
    <w:uiPriority w:val="99"/>
    <w:rsid w:val="00412EBD"/>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46DFF-FAFC-41A4-AB96-2099D9DF9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983</Words>
  <Characters>5609</Characters>
  <Application>Microsoft Office Word</Application>
  <DocSecurity>0</DocSecurity>
  <Lines>46</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 S Department of State</Company>
  <LinksUpToDate>false</LinksUpToDate>
  <CharactersWithSpaces>6579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DeRosaBM</dc:creator>
  <cp:lastModifiedBy>Ramsar\JenningsE</cp:lastModifiedBy>
  <cp:revision>4</cp:revision>
  <cp:lastPrinted>2018-01-10T13:54:00Z</cp:lastPrinted>
  <dcterms:created xsi:type="dcterms:W3CDTF">2018-07-19T15:13:00Z</dcterms:created>
  <dcterms:modified xsi:type="dcterms:W3CDTF">2018-07-19T15:36:00Z</dcterms:modified>
</cp:coreProperties>
</file>