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206CE" w14:textId="77777777" w:rsidR="005039A9" w:rsidRPr="00D3166D" w:rsidRDefault="005039A9" w:rsidP="005039A9">
      <w:pPr>
        <w:ind w:right="17"/>
        <w:jc w:val="center"/>
        <w:outlineLvl w:val="0"/>
        <w:rPr>
          <w:rFonts w:eastAsia="Times New Roman" w:cstheme="majorHAnsi"/>
          <w:b/>
          <w:bCs/>
          <w:sz w:val="24"/>
          <w:szCs w:val="24"/>
          <w:lang w:val="es-ES_tradnl"/>
        </w:rPr>
      </w:pPr>
      <w:r w:rsidRPr="00D3166D">
        <w:rPr>
          <w:b/>
          <w:bCs/>
          <w:noProof/>
          <w:sz w:val="28"/>
          <w:szCs w:val="28"/>
          <w:lang w:val="en-US" w:eastAsia="zh-CN"/>
        </w:rPr>
        <w:drawing>
          <wp:anchor distT="0" distB="0" distL="114300" distR="114300" simplePos="0" relativeHeight="251659264" behindDoc="1" locked="0" layoutInCell="1" allowOverlap="1" wp14:anchorId="55C98BA5" wp14:editId="3A7F51BA">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D3166D">
        <w:rPr>
          <w:b/>
          <w:bCs/>
          <w:sz w:val="24"/>
          <w:szCs w:val="24"/>
          <w:lang w:val="es-ES_tradnl"/>
        </w:rPr>
        <w:t>13ª Reunión de la Conferencia de las Partes Contratantes</w:t>
      </w:r>
    </w:p>
    <w:p w14:paraId="1F2C01A7" w14:textId="77777777" w:rsidR="005039A9" w:rsidRPr="00D3166D" w:rsidRDefault="005039A9" w:rsidP="005039A9">
      <w:pPr>
        <w:ind w:right="17"/>
        <w:jc w:val="center"/>
        <w:outlineLvl w:val="0"/>
        <w:rPr>
          <w:rFonts w:eastAsia="Times New Roman" w:cstheme="majorHAnsi"/>
          <w:b/>
          <w:bCs/>
          <w:sz w:val="24"/>
          <w:szCs w:val="24"/>
          <w:lang w:val="es-ES_tradnl"/>
        </w:rPr>
      </w:pPr>
      <w:r w:rsidRPr="00D3166D">
        <w:rPr>
          <w:b/>
          <w:bCs/>
          <w:sz w:val="24"/>
          <w:szCs w:val="24"/>
          <w:lang w:val="es-ES_tradnl"/>
        </w:rPr>
        <w:t>en la Convención de Ramsar sobre los Humedales</w:t>
      </w:r>
    </w:p>
    <w:p w14:paraId="76481DF6" w14:textId="77777777" w:rsidR="005039A9" w:rsidRPr="00D3166D" w:rsidRDefault="005039A9" w:rsidP="005039A9">
      <w:pPr>
        <w:ind w:right="17"/>
        <w:jc w:val="center"/>
        <w:outlineLvl w:val="0"/>
        <w:rPr>
          <w:rFonts w:eastAsia="Times New Roman" w:cstheme="majorHAnsi"/>
          <w:b/>
          <w:bCs/>
          <w:sz w:val="24"/>
          <w:szCs w:val="24"/>
          <w:lang w:val="es-ES_tradnl"/>
        </w:rPr>
      </w:pPr>
    </w:p>
    <w:p w14:paraId="47B24C58" w14:textId="77777777" w:rsidR="005039A9" w:rsidRPr="00D3166D" w:rsidRDefault="005039A9" w:rsidP="005039A9">
      <w:pPr>
        <w:ind w:right="17"/>
        <w:jc w:val="center"/>
        <w:outlineLvl w:val="0"/>
        <w:rPr>
          <w:rFonts w:eastAsia="Times New Roman" w:cstheme="majorHAnsi"/>
          <w:b/>
          <w:bCs/>
          <w:sz w:val="24"/>
          <w:szCs w:val="24"/>
          <w:lang w:val="es-ES_tradnl"/>
        </w:rPr>
      </w:pPr>
      <w:r w:rsidRPr="00D3166D">
        <w:rPr>
          <w:b/>
          <w:bCs/>
          <w:sz w:val="24"/>
          <w:szCs w:val="24"/>
          <w:lang w:val="es-ES_tradnl"/>
        </w:rPr>
        <w:t>“Humedales para un futuro urbano sostenible”</w:t>
      </w:r>
    </w:p>
    <w:p w14:paraId="691E9815" w14:textId="77777777" w:rsidR="00A82C65" w:rsidRPr="00D3166D" w:rsidRDefault="005039A9" w:rsidP="00557E85">
      <w:pPr>
        <w:ind w:right="17"/>
        <w:jc w:val="center"/>
        <w:outlineLvl w:val="0"/>
        <w:rPr>
          <w:b/>
          <w:sz w:val="24"/>
          <w:lang w:val="es-ES_tradnl"/>
        </w:rPr>
      </w:pPr>
      <w:r w:rsidRPr="00D3166D">
        <w:rPr>
          <w:b/>
          <w:sz w:val="24"/>
          <w:lang w:val="es-ES_tradnl"/>
        </w:rPr>
        <w:t>Dubái, Emiratos Árabes Unidos,</w:t>
      </w:r>
    </w:p>
    <w:p w14:paraId="1E27AE0D" w14:textId="5AE29BC7" w:rsidR="005039A9" w:rsidRPr="00D3166D" w:rsidRDefault="005039A9" w:rsidP="00557E85">
      <w:pPr>
        <w:ind w:right="17"/>
        <w:jc w:val="center"/>
        <w:outlineLvl w:val="0"/>
        <w:rPr>
          <w:b/>
          <w:sz w:val="24"/>
          <w:lang w:val="es-ES_tradnl"/>
        </w:rPr>
      </w:pPr>
      <w:r w:rsidRPr="00D3166D">
        <w:rPr>
          <w:b/>
          <w:sz w:val="24"/>
          <w:lang w:val="es-ES_tradnl"/>
        </w:rPr>
        <w:t>21 a 29 de octubre de 2018</w:t>
      </w:r>
    </w:p>
    <w:p w14:paraId="734CF9A4" w14:textId="77777777" w:rsidR="005039A9" w:rsidRPr="00D3166D" w:rsidRDefault="005039A9" w:rsidP="00557E85">
      <w:pPr>
        <w:ind w:right="17"/>
        <w:jc w:val="center"/>
        <w:outlineLvl w:val="0"/>
        <w:rPr>
          <w:b/>
          <w:sz w:val="28"/>
          <w:lang w:val="es-ES_tradnl"/>
        </w:rPr>
      </w:pPr>
    </w:p>
    <w:p w14:paraId="6B120F5F" w14:textId="77777777" w:rsidR="005039A9" w:rsidRPr="00D3166D" w:rsidRDefault="005039A9" w:rsidP="00557E85">
      <w:pPr>
        <w:ind w:right="17"/>
        <w:jc w:val="center"/>
        <w:outlineLvl w:val="0"/>
        <w:rPr>
          <w:b/>
          <w:sz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E43D86" w:rsidRPr="00D3166D" w14:paraId="31C0831D" w14:textId="77777777" w:rsidTr="00B40184">
        <w:tc>
          <w:tcPr>
            <w:tcW w:w="9360" w:type="dxa"/>
          </w:tcPr>
          <w:p w14:paraId="14E8603B" w14:textId="21C3C078" w:rsidR="00E43D86" w:rsidRPr="00D3166D" w:rsidRDefault="00E43D86" w:rsidP="00FA0953">
            <w:pPr>
              <w:ind w:right="67"/>
              <w:jc w:val="right"/>
              <w:outlineLvl w:val="0"/>
              <w:rPr>
                <w:rFonts w:eastAsia="Times New Roman" w:cstheme="majorHAnsi"/>
                <w:b/>
                <w:bCs/>
                <w:sz w:val="24"/>
                <w:szCs w:val="24"/>
                <w:lang w:val="es-ES_tradnl"/>
              </w:rPr>
            </w:pPr>
            <w:r w:rsidRPr="00D3166D">
              <w:rPr>
                <w:b/>
                <w:sz w:val="24"/>
                <w:lang w:val="es-ES_tradnl"/>
              </w:rPr>
              <w:t xml:space="preserve">Ramsar COP13 </w:t>
            </w:r>
            <w:r w:rsidRPr="00D3166D">
              <w:rPr>
                <w:b/>
                <w:bCs/>
                <w:sz w:val="24"/>
                <w:szCs w:val="24"/>
                <w:lang w:val="es-ES_tradnl"/>
              </w:rPr>
              <w:t>Doc.18</w:t>
            </w:r>
            <w:r w:rsidRPr="001966E6">
              <w:rPr>
                <w:rFonts w:eastAsia="Times New Roman" w:cstheme="majorHAnsi"/>
                <w:b/>
                <w:bCs/>
                <w:sz w:val="24"/>
                <w:szCs w:val="24"/>
                <w:lang w:val="en-US"/>
              </w:rPr>
              <w:t>.</w:t>
            </w:r>
            <w:r>
              <w:rPr>
                <w:rFonts w:eastAsia="Times New Roman" w:cstheme="majorHAnsi"/>
                <w:b/>
                <w:bCs/>
                <w:sz w:val="24"/>
                <w:szCs w:val="24"/>
                <w:lang w:val="en-US"/>
              </w:rPr>
              <w:t>1&amp;2</w:t>
            </w:r>
          </w:p>
        </w:tc>
      </w:tr>
    </w:tbl>
    <w:p w14:paraId="4172B48B" w14:textId="77777777" w:rsidR="005039A9" w:rsidRPr="00D3166D" w:rsidRDefault="005039A9" w:rsidP="00557E85">
      <w:pPr>
        <w:ind w:right="17"/>
        <w:jc w:val="center"/>
        <w:outlineLvl w:val="0"/>
        <w:rPr>
          <w:b/>
          <w:sz w:val="28"/>
          <w:lang w:val="es-ES_tradnl"/>
        </w:rPr>
      </w:pPr>
    </w:p>
    <w:p w14:paraId="68851D7F" w14:textId="427EFC7B" w:rsidR="005039A9" w:rsidRPr="00D3166D" w:rsidRDefault="005039A9" w:rsidP="005039A9">
      <w:pPr>
        <w:jc w:val="center"/>
        <w:outlineLvl w:val="0"/>
        <w:rPr>
          <w:rFonts w:cs="Arial"/>
          <w:b/>
          <w:sz w:val="28"/>
          <w:szCs w:val="28"/>
          <w:lang w:val="es-ES_tradnl"/>
        </w:rPr>
      </w:pPr>
      <w:r w:rsidRPr="00D3166D">
        <w:rPr>
          <w:b/>
          <w:bCs/>
          <w:sz w:val="28"/>
          <w:szCs w:val="28"/>
          <w:lang w:val="es-ES_tradnl"/>
        </w:rPr>
        <w:t xml:space="preserve">Proyecto de resolución </w:t>
      </w:r>
      <w:r w:rsidRPr="00D3166D">
        <w:rPr>
          <w:b/>
          <w:sz w:val="28"/>
          <w:szCs w:val="28"/>
          <w:lang w:val="es-ES_tradnl"/>
        </w:rPr>
        <w:t xml:space="preserve">sobre </w:t>
      </w:r>
      <w:r w:rsidR="00A82C65" w:rsidRPr="00D3166D">
        <w:rPr>
          <w:b/>
          <w:sz w:val="28"/>
          <w:szCs w:val="28"/>
          <w:lang w:val="es-ES_tradnl"/>
        </w:rPr>
        <w:t xml:space="preserve">la </w:t>
      </w:r>
      <w:r w:rsidRPr="00D3166D">
        <w:rPr>
          <w:b/>
          <w:sz w:val="28"/>
          <w:szCs w:val="28"/>
          <w:lang w:val="es-ES_tradnl"/>
        </w:rPr>
        <w:t>gobernanza de la Convención</w:t>
      </w:r>
    </w:p>
    <w:p w14:paraId="4FFB313B" w14:textId="77777777" w:rsidR="00D86E75" w:rsidRPr="00D3166D" w:rsidRDefault="00D86E75" w:rsidP="005039A9">
      <w:pPr>
        <w:ind w:hanging="425"/>
        <w:rPr>
          <w:rFonts w:asciiTheme="minorHAnsi" w:hAnsiTheme="minorHAnsi" w:cstheme="minorHAnsi"/>
          <w:b/>
          <w:lang w:val="es-ES_tradnl"/>
        </w:rPr>
      </w:pPr>
    </w:p>
    <w:p w14:paraId="750F7137" w14:textId="77777777" w:rsidR="00D86E75" w:rsidRPr="00D3166D" w:rsidRDefault="00D86E75" w:rsidP="005039A9">
      <w:pPr>
        <w:ind w:hanging="425"/>
        <w:rPr>
          <w:rFonts w:asciiTheme="minorHAnsi" w:hAnsiTheme="minorHAnsi" w:cstheme="minorHAnsi"/>
          <w:b/>
          <w:lang w:val="es-ES_tradnl"/>
        </w:rPr>
      </w:pPr>
    </w:p>
    <w:p w14:paraId="07221B74" w14:textId="574C0B50" w:rsidR="00440B74"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1.</w:t>
      </w:r>
      <w:r w:rsidRPr="00D3166D">
        <w:rPr>
          <w:rFonts w:asciiTheme="minorHAnsi" w:hAnsiTheme="minorHAnsi"/>
          <w:lang w:val="es-ES_tradnl"/>
        </w:rPr>
        <w:tab/>
        <w:t xml:space="preserve">RECONOCIENDO la importancia de brindar un marco institucional </w:t>
      </w:r>
      <w:r w:rsidR="00D3166D" w:rsidRPr="00D3166D">
        <w:rPr>
          <w:rFonts w:asciiTheme="minorHAnsi" w:hAnsiTheme="minorHAnsi"/>
          <w:lang w:val="es-ES_tradnl"/>
        </w:rPr>
        <w:t>ad</w:t>
      </w:r>
      <w:r w:rsidR="00D3166D">
        <w:rPr>
          <w:rFonts w:asciiTheme="minorHAnsi" w:hAnsiTheme="minorHAnsi"/>
          <w:lang w:val="es-ES_tradnl"/>
        </w:rPr>
        <w:t>e</w:t>
      </w:r>
      <w:r w:rsidR="00D3166D" w:rsidRPr="00D3166D">
        <w:rPr>
          <w:rFonts w:asciiTheme="minorHAnsi" w:hAnsiTheme="minorHAnsi"/>
          <w:lang w:val="es-ES_tradnl"/>
        </w:rPr>
        <w:t>cuado</w:t>
      </w:r>
      <w:r w:rsidRPr="00D3166D">
        <w:rPr>
          <w:rFonts w:asciiTheme="minorHAnsi" w:hAnsiTheme="minorHAnsi"/>
          <w:lang w:val="es-ES_tradnl"/>
        </w:rPr>
        <w:t xml:space="preserve"> para la Convención de Ramsar, una convención mundial integrada por 170 Partes;</w:t>
      </w:r>
    </w:p>
    <w:p w14:paraId="412AB4CA" w14:textId="77777777" w:rsidR="00440B74" w:rsidRPr="00D3166D" w:rsidRDefault="00440B74" w:rsidP="00557E85">
      <w:pPr>
        <w:pStyle w:val="ListParagraph"/>
        <w:ind w:left="425" w:hanging="425"/>
        <w:rPr>
          <w:rFonts w:asciiTheme="minorHAnsi" w:hAnsiTheme="minorHAnsi"/>
          <w:lang w:val="es-ES_tradnl"/>
        </w:rPr>
      </w:pPr>
    </w:p>
    <w:p w14:paraId="1F9F6EB6" w14:textId="07BCC24A" w:rsidR="003B3904"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2.</w:t>
      </w:r>
      <w:r w:rsidRPr="00D3166D">
        <w:rPr>
          <w:rFonts w:asciiTheme="minorHAnsi" w:hAnsiTheme="minorHAnsi"/>
          <w:lang w:val="es-ES_tradnl"/>
        </w:rPr>
        <w:tab/>
        <w:t>RECORDANDO la misión de la Convención, que consiste en la conservación y el uso racional de todos los humedales mediante la acción local, regional y nacional y la cooperación internacional como medio de lograr el desarrollo sostenible en todo el mundo;</w:t>
      </w:r>
    </w:p>
    <w:p w14:paraId="4266F1D7" w14:textId="77777777" w:rsidR="00A70CE8" w:rsidRPr="00D3166D" w:rsidRDefault="00A70CE8" w:rsidP="00557E85">
      <w:pPr>
        <w:ind w:left="425" w:hanging="425"/>
        <w:rPr>
          <w:rFonts w:asciiTheme="minorHAnsi" w:hAnsiTheme="minorHAnsi"/>
          <w:lang w:val="es-ES_tradnl"/>
        </w:rPr>
      </w:pPr>
    </w:p>
    <w:p w14:paraId="0258A804" w14:textId="7C99FE14" w:rsidR="00A70CE8"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3.</w:t>
      </w:r>
      <w:r w:rsidRPr="00D3166D">
        <w:rPr>
          <w:rFonts w:asciiTheme="minorHAnsi" w:hAnsiTheme="minorHAnsi"/>
          <w:lang w:val="es-ES_tradnl"/>
        </w:rPr>
        <w:tab/>
        <w:t>RECORDANDO ADEMÁS el compromiso de las Partes Contratantes de trabajar en favor del logro de la misión de la Convención, tanto dentro de sus propios territorios como mediante la cooperación mundial y con otras Partes Contratantes;</w:t>
      </w:r>
    </w:p>
    <w:p w14:paraId="1E324BF1" w14:textId="77777777" w:rsidR="00A70CE8" w:rsidRPr="00D3166D" w:rsidRDefault="00A70CE8" w:rsidP="00557E85">
      <w:pPr>
        <w:ind w:left="425" w:hanging="425"/>
        <w:rPr>
          <w:rFonts w:asciiTheme="minorHAnsi" w:hAnsiTheme="minorHAnsi"/>
          <w:lang w:val="es-ES_tradnl"/>
        </w:rPr>
      </w:pPr>
    </w:p>
    <w:p w14:paraId="0A980FA8" w14:textId="356B9BD8" w:rsidR="00A70CE8"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4.</w:t>
      </w:r>
      <w:r w:rsidRPr="00D3166D">
        <w:rPr>
          <w:rFonts w:asciiTheme="minorHAnsi" w:hAnsiTheme="minorHAnsi"/>
          <w:lang w:val="es-ES_tradnl"/>
        </w:rPr>
        <w:tab/>
        <w:t>RECORDANDO TAMBIÉN la visión del Plan Estratégico de Ramsar para 2016-2024 de que los humedales se conserven, se utilicen de forma racional y se restauren y sus beneficios sean reconocidos y valorados por todos y los objetivos del Plan, de hacer frente a los factores que impulsan la pérdida y degradación de los humedales, llevar a cabo una conservación y un manejo eficaces de la red de sitios Ramsar y de Ciudades de Humedales acreditadas, realizar un uso racional de todos los humedales y mejorar la aplicación de la Convención;</w:t>
      </w:r>
    </w:p>
    <w:p w14:paraId="069D65DE" w14:textId="77777777" w:rsidR="005A2ACF" w:rsidRPr="00D3166D" w:rsidRDefault="005A2ACF" w:rsidP="007B0A34">
      <w:pPr>
        <w:ind w:left="425" w:hanging="425"/>
        <w:rPr>
          <w:rFonts w:asciiTheme="minorHAnsi" w:hAnsiTheme="minorHAnsi"/>
          <w:lang w:val="es-ES_tradnl"/>
        </w:rPr>
      </w:pPr>
    </w:p>
    <w:p w14:paraId="5F59B436" w14:textId="4ECFDEC4" w:rsidR="005A2ACF"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5.</w:t>
      </w:r>
      <w:r w:rsidRPr="00D3166D">
        <w:rPr>
          <w:rFonts w:asciiTheme="minorHAnsi" w:hAnsiTheme="minorHAnsi"/>
          <w:lang w:val="es-ES_tradnl"/>
        </w:rPr>
        <w:tab/>
        <w:t>OBSERVANDO CON RECONOCIMIENTO la extensa y continua labor realizada por las Partes Contratantes y la Secretaría para apoyar la aplicación de la Convención y su Plan Estratégico mediante esfuerzos realizados por los órganos y los grupos de trabajo de esta;</w:t>
      </w:r>
    </w:p>
    <w:p w14:paraId="0F636F29" w14:textId="77777777" w:rsidR="005A2ACF" w:rsidRPr="00D3166D" w:rsidRDefault="005A2ACF" w:rsidP="00557E85">
      <w:pPr>
        <w:pStyle w:val="ListParagraph"/>
        <w:ind w:left="425" w:hanging="425"/>
        <w:rPr>
          <w:rFonts w:asciiTheme="minorHAnsi" w:hAnsiTheme="minorHAnsi"/>
          <w:lang w:val="es-ES_tradnl"/>
        </w:rPr>
      </w:pPr>
    </w:p>
    <w:p w14:paraId="74AC2ED0" w14:textId="47F46DD0" w:rsidR="005A2ACF"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6.</w:t>
      </w:r>
      <w:r w:rsidRPr="00D3166D">
        <w:rPr>
          <w:rFonts w:asciiTheme="minorHAnsi" w:hAnsiTheme="minorHAnsi"/>
          <w:lang w:val="es-ES_tradnl"/>
        </w:rPr>
        <w:tab/>
        <w:t xml:space="preserve">RECONOCIENDO que la Convención </w:t>
      </w:r>
      <w:r w:rsidR="00A82C65" w:rsidRPr="00D3166D">
        <w:rPr>
          <w:rFonts w:asciiTheme="minorHAnsi" w:hAnsiTheme="minorHAnsi"/>
          <w:lang w:val="es-ES_tradnl"/>
        </w:rPr>
        <w:t>debe desempeñar</w:t>
      </w:r>
      <w:r w:rsidRPr="00D3166D">
        <w:rPr>
          <w:rFonts w:asciiTheme="minorHAnsi" w:hAnsiTheme="minorHAnsi"/>
          <w:lang w:val="es-ES_tradnl"/>
        </w:rPr>
        <w:t xml:space="preserve"> un papel crucial y puede hacer una contribución esencial en relación con la Agenda 2030 para el Desarrollo Sostenible y el logro de los Objetivos de Desarrollo Sostenible y los objetivos de las convenciones pertinentes;</w:t>
      </w:r>
    </w:p>
    <w:p w14:paraId="0C8CE73D" w14:textId="77777777" w:rsidR="00DC0647" w:rsidRPr="00D3166D" w:rsidRDefault="00DC0647" w:rsidP="00557E85">
      <w:pPr>
        <w:pStyle w:val="ListParagraph"/>
        <w:ind w:left="425" w:hanging="425"/>
        <w:rPr>
          <w:rFonts w:asciiTheme="minorHAnsi" w:hAnsiTheme="minorHAnsi"/>
          <w:lang w:val="es-ES_tradnl"/>
        </w:rPr>
      </w:pPr>
    </w:p>
    <w:p w14:paraId="148FC470" w14:textId="3F95CFF7" w:rsidR="005A2ACF"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7.</w:t>
      </w:r>
      <w:r w:rsidRPr="00D3166D">
        <w:rPr>
          <w:rFonts w:asciiTheme="minorHAnsi" w:hAnsiTheme="minorHAnsi"/>
          <w:lang w:val="es-ES_tradnl"/>
        </w:rPr>
        <w:tab/>
        <w:t>REITERANDO la obligación de todas las Partes Contratantes de contribuir a los debates y procesos de la Convención de una manera que garantice la utilización eficaz y eficiente de los recursos de la Convención y de las Partes Contratantes a fin de contribuir a los mejores resultados para los humedales y la Convención; y</w:t>
      </w:r>
    </w:p>
    <w:p w14:paraId="6A6FB5C8" w14:textId="77777777" w:rsidR="005A2ACF" w:rsidRPr="00D3166D" w:rsidRDefault="005A2ACF" w:rsidP="00557E85">
      <w:pPr>
        <w:pStyle w:val="ListParagraph"/>
        <w:ind w:left="425" w:hanging="425"/>
        <w:rPr>
          <w:rFonts w:asciiTheme="minorHAnsi" w:hAnsiTheme="minorHAnsi"/>
          <w:lang w:val="es-ES_tradnl"/>
        </w:rPr>
      </w:pPr>
    </w:p>
    <w:p w14:paraId="5A9DA33B" w14:textId="711F9CC0" w:rsidR="005A2ACF"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8.</w:t>
      </w:r>
      <w:r w:rsidRPr="00D3166D">
        <w:rPr>
          <w:rFonts w:asciiTheme="minorHAnsi" w:hAnsiTheme="minorHAnsi"/>
          <w:lang w:val="es-ES_tradnl"/>
        </w:rPr>
        <w:tab/>
        <w:t>RECONOCIENDO que en 2021 se cumplirá el 50º aniversario de la Convención y que los mandatos, las disposiciones sobre presentación de informes y los órganos previstos de la Convención deberían ser examinados y, de ser necesario, revisados a fin de mejorar la eficacia de la Convención, aumentar su visibilidad y fomentar las sinergias;</w:t>
      </w:r>
    </w:p>
    <w:p w14:paraId="6C8BE5A6" w14:textId="77777777" w:rsidR="00A259A1" w:rsidRPr="00D3166D" w:rsidRDefault="00A259A1" w:rsidP="00557E85">
      <w:pPr>
        <w:pStyle w:val="NoSpacing"/>
        <w:ind w:hanging="425"/>
        <w:rPr>
          <w:lang w:val="es-ES_tradnl"/>
        </w:rPr>
      </w:pPr>
    </w:p>
    <w:p w14:paraId="4DF5FBA1" w14:textId="77777777" w:rsidR="005A2ACF" w:rsidRPr="00D3166D" w:rsidRDefault="005A2ACF" w:rsidP="00557E85">
      <w:pPr>
        <w:pStyle w:val="NoSpacing"/>
        <w:keepNext/>
        <w:jc w:val="center"/>
        <w:rPr>
          <w:lang w:val="es-ES_tradnl"/>
        </w:rPr>
      </w:pPr>
      <w:bookmarkStart w:id="0" w:name="_GoBack"/>
      <w:bookmarkEnd w:id="0"/>
      <w:r w:rsidRPr="00D3166D">
        <w:rPr>
          <w:lang w:val="es-ES_tradnl"/>
        </w:rPr>
        <w:lastRenderedPageBreak/>
        <w:t>LA CONFERENCIA DE LAS PARTES CONTRATANTES</w:t>
      </w:r>
    </w:p>
    <w:p w14:paraId="70C31FBC" w14:textId="0527D7A9" w:rsidR="00A259A1" w:rsidRPr="00D3166D" w:rsidRDefault="00D97EC9" w:rsidP="00557E85">
      <w:pPr>
        <w:pStyle w:val="NoSpacing"/>
        <w:keepNext/>
        <w:tabs>
          <w:tab w:val="left" w:pos="6195"/>
        </w:tabs>
        <w:ind w:hanging="425"/>
        <w:rPr>
          <w:lang w:val="es-ES_tradnl"/>
        </w:rPr>
      </w:pPr>
      <w:r w:rsidRPr="00D3166D">
        <w:rPr>
          <w:lang w:val="es-ES_tradnl"/>
        </w:rPr>
        <w:tab/>
      </w:r>
    </w:p>
    <w:p w14:paraId="08A55DBF" w14:textId="7AFDDA9A" w:rsidR="005A2ACF"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9.</w:t>
      </w:r>
      <w:r w:rsidRPr="00D3166D">
        <w:rPr>
          <w:rFonts w:asciiTheme="minorHAnsi" w:hAnsiTheme="minorHAnsi"/>
          <w:lang w:val="es-ES_tradnl"/>
        </w:rPr>
        <w:tab/>
        <w:t>EXPRESA SU AGRADECIMIENTO a todos los órganos y grupos de trabajo de la Convención por los logros y beneficios para la Convención que se han logrado gracias a su trabajo;</w:t>
      </w:r>
    </w:p>
    <w:p w14:paraId="33F69027" w14:textId="77777777" w:rsidR="00322915" w:rsidRPr="00D3166D" w:rsidRDefault="00322915" w:rsidP="00557E85">
      <w:pPr>
        <w:ind w:left="425" w:hanging="425"/>
        <w:rPr>
          <w:rFonts w:asciiTheme="minorHAnsi" w:hAnsiTheme="minorHAnsi"/>
          <w:lang w:val="es-ES_tradnl"/>
        </w:rPr>
      </w:pPr>
    </w:p>
    <w:p w14:paraId="10FA4217" w14:textId="648913B5" w:rsidR="00BF1F18"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10.</w:t>
      </w:r>
      <w:r w:rsidRPr="00D3166D">
        <w:rPr>
          <w:rFonts w:asciiTheme="minorHAnsi" w:hAnsiTheme="minorHAnsi"/>
          <w:lang w:val="es-ES_tradnl"/>
        </w:rPr>
        <w:tab/>
        <w:t xml:space="preserve">DECIDE suprimir los grupos de trabajo que figuran en el Anexo 1 e invita a las Presidencias de estos órganos subsidiarios a que, según proceda, presenten el informe final sobre los resultados de la labor de sus órganos al Comité Permanente, para su publicación en el sitio web de la Convención antes de su 57ª reunión; </w:t>
      </w:r>
    </w:p>
    <w:p w14:paraId="7594AAAA" w14:textId="77777777" w:rsidR="00322915" w:rsidRPr="00D3166D" w:rsidRDefault="00322915" w:rsidP="00557E85">
      <w:pPr>
        <w:ind w:left="425" w:hanging="425"/>
        <w:rPr>
          <w:rFonts w:asciiTheme="minorHAnsi" w:hAnsiTheme="minorHAnsi"/>
          <w:lang w:val="es-ES_tradnl"/>
        </w:rPr>
      </w:pPr>
    </w:p>
    <w:p w14:paraId="7AA98CF3" w14:textId="60A521E1" w:rsidR="006A2474"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11.</w:t>
      </w:r>
      <w:r w:rsidRPr="00D3166D">
        <w:rPr>
          <w:rFonts w:asciiTheme="minorHAnsi" w:hAnsiTheme="minorHAnsi"/>
          <w:lang w:val="es-ES_tradnl"/>
        </w:rPr>
        <w:tab/>
        <w:t>ESTABLECE el Grupo de trabajo sobre la eficacia de conf</w:t>
      </w:r>
      <w:r w:rsidR="00E549FE" w:rsidRPr="00D3166D">
        <w:rPr>
          <w:rFonts w:asciiTheme="minorHAnsi" w:hAnsiTheme="minorHAnsi"/>
          <w:lang w:val="es-ES_tradnl"/>
        </w:rPr>
        <w:t>ormidad con el artículo 25 del r</w:t>
      </w:r>
      <w:r w:rsidRPr="00D3166D">
        <w:rPr>
          <w:rFonts w:asciiTheme="minorHAnsi" w:hAnsiTheme="minorHAnsi"/>
          <w:lang w:val="es-ES_tradnl"/>
        </w:rPr>
        <w:t>eglamento;</w:t>
      </w:r>
    </w:p>
    <w:p w14:paraId="64F95D17" w14:textId="77777777" w:rsidR="00322915" w:rsidRPr="00D3166D" w:rsidRDefault="00322915" w:rsidP="00557E85">
      <w:pPr>
        <w:ind w:left="425" w:hanging="425"/>
        <w:rPr>
          <w:rFonts w:asciiTheme="minorHAnsi" w:hAnsiTheme="minorHAnsi"/>
          <w:lang w:val="es-ES_tradnl"/>
        </w:rPr>
      </w:pPr>
    </w:p>
    <w:p w14:paraId="73F541DF" w14:textId="2CA43AE6" w:rsidR="002072F8"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12.</w:t>
      </w:r>
      <w:r w:rsidRPr="00D3166D">
        <w:rPr>
          <w:rFonts w:asciiTheme="minorHAnsi" w:hAnsiTheme="minorHAnsi"/>
          <w:lang w:val="es-ES_tradnl"/>
        </w:rPr>
        <w:tab/>
        <w:t>DISPONE que el Grupo de trabajo sobre la eficacia esté integrado por un representante en el Comité Permanente de cada una de las regiones de Ramsar, así como por cualquier otra Parte Contratante interesada, teniendo en cuenta la conveniencia de una participación regional equitativa y la necesidad de que el grupo siga teniendo un tamaño manejable;</w:t>
      </w:r>
    </w:p>
    <w:p w14:paraId="7D92B6CF" w14:textId="77777777" w:rsidR="00322915" w:rsidRPr="00D3166D" w:rsidRDefault="00322915" w:rsidP="00557E85">
      <w:pPr>
        <w:ind w:left="425" w:hanging="425"/>
        <w:rPr>
          <w:rFonts w:asciiTheme="minorHAnsi" w:hAnsiTheme="minorHAnsi"/>
          <w:lang w:val="es-ES_tradnl"/>
        </w:rPr>
      </w:pPr>
    </w:p>
    <w:p w14:paraId="55913C70" w14:textId="22B24804" w:rsidR="001E0173"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13.</w:t>
      </w:r>
      <w:r w:rsidRPr="00D3166D">
        <w:rPr>
          <w:rFonts w:asciiTheme="minorHAnsi" w:hAnsiTheme="minorHAnsi"/>
          <w:lang w:val="es-ES_tradnl"/>
        </w:rPr>
        <w:tab/>
        <w:t>DISPONE que los miembros del Grupo de trabajo sobre la eficacia designen a dos</w:t>
      </w:r>
      <w:r w:rsidR="00B254BC" w:rsidRPr="00D3166D">
        <w:rPr>
          <w:rFonts w:asciiTheme="minorHAnsi" w:hAnsiTheme="minorHAnsi"/>
          <w:lang w:val="es-ES_tradnl"/>
        </w:rPr>
        <w:t xml:space="preserve"> de sus miembros como Presidencia y Copresidencia/Vicepresidencia</w:t>
      </w:r>
      <w:r w:rsidRPr="00D3166D">
        <w:rPr>
          <w:rFonts w:asciiTheme="minorHAnsi" w:hAnsiTheme="minorHAnsi"/>
          <w:lang w:val="es-ES_tradnl"/>
        </w:rPr>
        <w:t>, que actuará como Relator;</w:t>
      </w:r>
    </w:p>
    <w:p w14:paraId="0A05D95E" w14:textId="77777777" w:rsidR="00322915" w:rsidRPr="00D3166D" w:rsidRDefault="00322915" w:rsidP="00557E85">
      <w:pPr>
        <w:ind w:left="425" w:hanging="425"/>
        <w:rPr>
          <w:rFonts w:asciiTheme="minorHAnsi" w:hAnsiTheme="minorHAnsi"/>
          <w:lang w:val="es-ES_tradnl"/>
        </w:rPr>
      </w:pPr>
    </w:p>
    <w:p w14:paraId="377F6745" w14:textId="01C0E6CA" w:rsidR="0061706B"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14.</w:t>
      </w:r>
      <w:r w:rsidRPr="00D3166D">
        <w:rPr>
          <w:rFonts w:asciiTheme="minorHAnsi" w:hAnsiTheme="minorHAnsi"/>
          <w:lang w:val="es-ES_tradnl"/>
        </w:rPr>
        <w:tab/>
        <w:t xml:space="preserve">PIDE al Grupo de trabajo sobre la eficacia que examine la estructura de </w:t>
      </w:r>
      <w:r w:rsidR="00A56770" w:rsidRPr="00D3166D">
        <w:rPr>
          <w:rFonts w:asciiTheme="minorHAnsi" w:hAnsiTheme="minorHAnsi"/>
          <w:lang w:val="es-ES_tradnl"/>
        </w:rPr>
        <w:t>gobernanza</w:t>
      </w:r>
      <w:r w:rsidRPr="00D3166D">
        <w:rPr>
          <w:rFonts w:asciiTheme="minorHAnsi" w:hAnsiTheme="minorHAnsi"/>
          <w:lang w:val="es-ES_tradnl"/>
        </w:rPr>
        <w:t xml:space="preserve"> de la Convención con la </w:t>
      </w:r>
      <w:r w:rsidR="0028796D" w:rsidRPr="00D3166D">
        <w:rPr>
          <w:rFonts w:asciiTheme="minorHAnsi" w:hAnsiTheme="minorHAnsi"/>
          <w:lang w:val="es-ES_tradnl"/>
        </w:rPr>
        <w:t>ayuda</w:t>
      </w:r>
      <w:r w:rsidRPr="00D3166D">
        <w:rPr>
          <w:rFonts w:asciiTheme="minorHAnsi" w:hAnsiTheme="minorHAnsi"/>
          <w:lang w:val="es-ES_tradnl"/>
        </w:rPr>
        <w:t xml:space="preserve"> de un consultor independiente, teniendo en cuenta la estructura existente a</w:t>
      </w:r>
      <w:r w:rsidR="00A56770" w:rsidRPr="00D3166D">
        <w:rPr>
          <w:rFonts w:asciiTheme="minorHAnsi" w:hAnsiTheme="minorHAnsi"/>
          <w:lang w:val="es-ES_tradnl"/>
        </w:rPr>
        <w:t xml:space="preserve">l finalizar </w:t>
      </w:r>
      <w:r w:rsidRPr="00D3166D">
        <w:rPr>
          <w:rFonts w:asciiTheme="minorHAnsi" w:hAnsiTheme="minorHAnsi"/>
          <w:lang w:val="es-ES_tradnl"/>
        </w:rPr>
        <w:t xml:space="preserve">la 13ª reunión de la Conferencia de las Partes, </w:t>
      </w:r>
      <w:r w:rsidR="00A56770" w:rsidRPr="00D3166D">
        <w:rPr>
          <w:rFonts w:asciiTheme="minorHAnsi" w:hAnsiTheme="minorHAnsi"/>
          <w:lang w:val="es-ES_tradnl"/>
        </w:rPr>
        <w:t>par</w:t>
      </w:r>
      <w:r w:rsidRPr="00D3166D">
        <w:rPr>
          <w:rFonts w:asciiTheme="minorHAnsi" w:hAnsiTheme="minorHAnsi"/>
          <w:lang w:val="es-ES_tradnl"/>
        </w:rPr>
        <w:t xml:space="preserve">a los fines siguientes: </w:t>
      </w:r>
    </w:p>
    <w:p w14:paraId="5B456DB0" w14:textId="77777777" w:rsidR="0061706B" w:rsidRPr="00D3166D" w:rsidRDefault="0061706B" w:rsidP="00557E85">
      <w:pPr>
        <w:pStyle w:val="ListParagraph"/>
        <w:ind w:left="0"/>
        <w:rPr>
          <w:rFonts w:asciiTheme="minorHAnsi" w:hAnsiTheme="minorHAnsi"/>
          <w:lang w:val="es-ES_tradnl"/>
        </w:rPr>
      </w:pPr>
    </w:p>
    <w:p w14:paraId="4E5A220E" w14:textId="36B0C560" w:rsidR="00A41E77" w:rsidRPr="00D3166D" w:rsidRDefault="0061706B" w:rsidP="00557E85">
      <w:pPr>
        <w:pStyle w:val="ListParagraph"/>
        <w:numPr>
          <w:ilvl w:val="1"/>
          <w:numId w:val="8"/>
        </w:numPr>
        <w:ind w:left="850" w:hanging="425"/>
        <w:rPr>
          <w:rFonts w:asciiTheme="minorHAnsi" w:hAnsiTheme="minorHAnsi"/>
          <w:lang w:val="es-ES_tradnl"/>
        </w:rPr>
      </w:pPr>
      <w:r w:rsidRPr="00D3166D">
        <w:rPr>
          <w:rFonts w:asciiTheme="minorHAnsi" w:hAnsiTheme="minorHAnsi"/>
          <w:lang w:val="es-ES_tradnl"/>
        </w:rPr>
        <w:t>recomendar revisiones (según sea necesario) que mejoren aún más la eficacia, incluidas la eficacia en función del costo y la eficiencia de la Convención, con miras a reducir la carga administrativa y acelerar el proceso para lograr la misión de la Convención de Ramsar, y</w:t>
      </w:r>
    </w:p>
    <w:p w14:paraId="70602773" w14:textId="300177D2" w:rsidR="0061706B" w:rsidRPr="00D3166D" w:rsidRDefault="0061706B" w:rsidP="00557E85">
      <w:pPr>
        <w:pStyle w:val="ListParagraph"/>
        <w:ind w:left="850" w:hanging="425"/>
        <w:rPr>
          <w:rFonts w:asciiTheme="minorHAnsi" w:hAnsiTheme="minorHAnsi"/>
          <w:lang w:val="es-ES_tradnl"/>
        </w:rPr>
      </w:pPr>
    </w:p>
    <w:p w14:paraId="0CD824B7" w14:textId="76D4FD28" w:rsidR="00123DD3" w:rsidRPr="00D3166D" w:rsidRDefault="0061706B" w:rsidP="00557E85">
      <w:pPr>
        <w:pStyle w:val="ListParagraph"/>
        <w:numPr>
          <w:ilvl w:val="1"/>
          <w:numId w:val="8"/>
        </w:numPr>
        <w:ind w:left="850" w:hanging="425"/>
        <w:rPr>
          <w:rFonts w:asciiTheme="minorHAnsi" w:hAnsiTheme="minorHAnsi"/>
          <w:lang w:val="es-ES_tradnl"/>
        </w:rPr>
      </w:pPr>
      <w:r w:rsidRPr="00D3166D">
        <w:rPr>
          <w:rFonts w:asciiTheme="minorHAnsi" w:hAnsiTheme="minorHAnsi"/>
          <w:lang w:val="es-ES_tradnl"/>
        </w:rPr>
        <w:t>proponer un proceso para aplicar sus recomendaciones;</w:t>
      </w:r>
    </w:p>
    <w:p w14:paraId="5B15ECFD" w14:textId="77777777" w:rsidR="00322915" w:rsidRPr="00D3166D" w:rsidRDefault="00322915" w:rsidP="00557E85">
      <w:pPr>
        <w:pStyle w:val="ListParagraph"/>
        <w:ind w:left="0"/>
        <w:rPr>
          <w:rFonts w:asciiTheme="minorHAnsi" w:hAnsiTheme="minorHAnsi"/>
          <w:lang w:val="es-ES_tradnl"/>
        </w:rPr>
      </w:pPr>
    </w:p>
    <w:p w14:paraId="7CE17FB3" w14:textId="3281CD78" w:rsidR="00AB7360"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15.</w:t>
      </w:r>
      <w:r w:rsidRPr="00D3166D">
        <w:rPr>
          <w:rFonts w:asciiTheme="minorHAnsi" w:hAnsiTheme="minorHAnsi"/>
          <w:lang w:val="es-ES_tradnl"/>
        </w:rPr>
        <w:tab/>
        <w:t xml:space="preserve">PIDE al Grupo de trabajo sobre la eficacia que defina su mandato a los efectos de presentarlo al Comité Permanente en su 57ª reunión y que presente un informe en esa reunión y en todas las reuniones posteriores del Comité Permanente, con miras a </w:t>
      </w:r>
      <w:r w:rsidR="001A535A" w:rsidRPr="00D3166D">
        <w:rPr>
          <w:rFonts w:asciiTheme="minorHAnsi" w:hAnsiTheme="minorHAnsi"/>
          <w:lang w:val="es-ES_tradnl"/>
        </w:rPr>
        <w:t>proponer</w:t>
      </w:r>
      <w:r w:rsidRPr="00D3166D">
        <w:rPr>
          <w:rFonts w:asciiTheme="minorHAnsi" w:hAnsiTheme="minorHAnsi"/>
          <w:lang w:val="es-ES_tradnl"/>
        </w:rPr>
        <w:t xml:space="preserve"> sus recomendaciones finales, que deberían incluir un proyecto de </w:t>
      </w:r>
      <w:r w:rsidR="001A535A" w:rsidRPr="00D3166D">
        <w:rPr>
          <w:rFonts w:asciiTheme="minorHAnsi" w:hAnsiTheme="minorHAnsi"/>
          <w:lang w:val="es-ES_tradnl"/>
        </w:rPr>
        <w:t>resolución</w:t>
      </w:r>
      <w:r w:rsidRPr="00D3166D">
        <w:rPr>
          <w:rFonts w:asciiTheme="minorHAnsi" w:hAnsiTheme="minorHAnsi"/>
          <w:lang w:val="es-ES_tradnl"/>
        </w:rPr>
        <w:t xml:space="preserve"> para su examen por el Comité Permanente, en la 59ª reunión; </w:t>
      </w:r>
    </w:p>
    <w:p w14:paraId="200CBC9F" w14:textId="77777777" w:rsidR="001E0173" w:rsidRPr="00D3166D" w:rsidRDefault="001E0173" w:rsidP="00557E85">
      <w:pPr>
        <w:ind w:left="425" w:hanging="425"/>
        <w:rPr>
          <w:rFonts w:asciiTheme="minorHAnsi" w:hAnsiTheme="minorHAnsi"/>
          <w:lang w:val="es-ES_tradnl"/>
        </w:rPr>
      </w:pPr>
    </w:p>
    <w:p w14:paraId="62A2D394" w14:textId="339C7D7E" w:rsidR="005A2ACF"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16.</w:t>
      </w:r>
      <w:r w:rsidRPr="00D3166D">
        <w:rPr>
          <w:rFonts w:asciiTheme="minorHAnsi" w:hAnsiTheme="minorHAnsi"/>
          <w:lang w:val="es-ES_tradnl"/>
        </w:rPr>
        <w:tab/>
        <w:t xml:space="preserve">DECIDE asignar fondos del </w:t>
      </w:r>
      <w:r w:rsidR="001A535A" w:rsidRPr="00D3166D">
        <w:rPr>
          <w:rFonts w:asciiTheme="minorHAnsi" w:hAnsiTheme="minorHAnsi"/>
          <w:lang w:val="es-ES_tradnl"/>
        </w:rPr>
        <w:t>excedente</w:t>
      </w:r>
      <w:r w:rsidRPr="00D3166D">
        <w:rPr>
          <w:rFonts w:asciiTheme="minorHAnsi" w:hAnsiTheme="minorHAnsi"/>
          <w:lang w:val="es-ES_tradnl"/>
        </w:rPr>
        <w:t xml:space="preserve"> identificado en el presupuesto básico para </w:t>
      </w:r>
      <w:r w:rsidR="00C52B7A" w:rsidRPr="00D3166D">
        <w:rPr>
          <w:rFonts w:asciiTheme="minorHAnsi" w:hAnsiTheme="minorHAnsi"/>
          <w:lang w:val="es-ES_tradnl"/>
        </w:rPr>
        <w:t>apoyar la labor del g</w:t>
      </w:r>
      <w:r w:rsidRPr="00D3166D">
        <w:rPr>
          <w:rFonts w:asciiTheme="minorHAnsi" w:hAnsiTheme="minorHAnsi"/>
          <w:lang w:val="es-ES_tradnl"/>
        </w:rPr>
        <w:t>rupo de trabajo, lo que incluye, entre otras cosas, sus reuniones u otro apoyo requerido para llevar a cabo las tareas encomendadas;</w:t>
      </w:r>
    </w:p>
    <w:p w14:paraId="1B9BC3E3" w14:textId="77777777" w:rsidR="003D1A4B" w:rsidRPr="00D3166D" w:rsidRDefault="003D1A4B" w:rsidP="00557E85">
      <w:pPr>
        <w:ind w:left="425" w:hanging="425"/>
        <w:rPr>
          <w:rFonts w:asciiTheme="minorHAnsi" w:hAnsiTheme="minorHAnsi"/>
          <w:lang w:val="es-ES_tradnl"/>
        </w:rPr>
      </w:pPr>
    </w:p>
    <w:p w14:paraId="1C66F04D" w14:textId="7C580F6B" w:rsidR="00B635A0"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17.</w:t>
      </w:r>
      <w:r w:rsidRPr="00D3166D">
        <w:rPr>
          <w:rFonts w:asciiTheme="minorHAnsi" w:hAnsiTheme="minorHAnsi"/>
          <w:lang w:val="es-ES_tradnl"/>
        </w:rPr>
        <w:tab/>
        <w:t>DECIDE ADEMÁS que el Grupo de trabajo sobre la eficacia habrá de finalizar las tareas antes descritas a más tardar para la 59ª reunión del Comité Permanente, en cuya oportunidad se suprimirá el grupo de trabajo a menos que</w:t>
      </w:r>
      <w:r w:rsidR="00C52B7A" w:rsidRPr="00D3166D">
        <w:rPr>
          <w:rFonts w:asciiTheme="minorHAnsi" w:hAnsiTheme="minorHAnsi"/>
          <w:lang w:val="es-ES_tradnl"/>
        </w:rPr>
        <w:t xml:space="preserve"> se decida otra cosa en la 14ª R</w:t>
      </w:r>
      <w:r w:rsidRPr="00D3166D">
        <w:rPr>
          <w:rFonts w:asciiTheme="minorHAnsi" w:hAnsiTheme="minorHAnsi"/>
          <w:lang w:val="es-ES_tradnl"/>
        </w:rPr>
        <w:t>eunión de la Conferencia de las Partes; y</w:t>
      </w:r>
    </w:p>
    <w:p w14:paraId="341D7D8F" w14:textId="77777777" w:rsidR="00B635A0" w:rsidRPr="00D3166D" w:rsidRDefault="00B635A0" w:rsidP="00557E85">
      <w:pPr>
        <w:ind w:left="425" w:hanging="425"/>
        <w:rPr>
          <w:rFonts w:asciiTheme="minorHAnsi" w:hAnsiTheme="minorHAnsi"/>
          <w:lang w:val="es-ES_tradnl"/>
        </w:rPr>
      </w:pPr>
    </w:p>
    <w:p w14:paraId="6A66AAA4" w14:textId="04AFDC51" w:rsidR="00B635A0" w:rsidRPr="00D3166D" w:rsidRDefault="007B0A34" w:rsidP="00557E85">
      <w:pPr>
        <w:ind w:left="425" w:hanging="425"/>
        <w:rPr>
          <w:rFonts w:asciiTheme="minorHAnsi" w:hAnsiTheme="minorHAnsi"/>
          <w:lang w:val="es-ES_tradnl"/>
        </w:rPr>
      </w:pPr>
      <w:r w:rsidRPr="00D3166D">
        <w:rPr>
          <w:rFonts w:asciiTheme="minorHAnsi" w:hAnsiTheme="minorHAnsi"/>
          <w:lang w:val="es-ES_tradnl"/>
        </w:rPr>
        <w:t>18.</w:t>
      </w:r>
      <w:r w:rsidRPr="00D3166D">
        <w:rPr>
          <w:rFonts w:asciiTheme="minorHAnsi" w:hAnsiTheme="minorHAnsi"/>
          <w:lang w:val="es-ES_tradnl"/>
        </w:rPr>
        <w:tab/>
        <w:t>CONFIRMA que la presente resolución deroga las decisiones relativas a todos los grupos de trabajo incluidos en las resoluciones que se indican en el Anexo 1, y que cualquier responsabilidad permanente de estos grupos de trabajo recae sobre el Comité Permanente para llevarla a cabo o delegarla a otra entidad.</w:t>
      </w:r>
    </w:p>
    <w:p w14:paraId="20BB8873" w14:textId="5A11565C" w:rsidR="005039A9" w:rsidRPr="00D3166D" w:rsidRDefault="005039A9">
      <w:pPr>
        <w:spacing w:after="160" w:line="259" w:lineRule="auto"/>
        <w:rPr>
          <w:rFonts w:asciiTheme="minorHAnsi" w:hAnsiTheme="minorHAnsi" w:cstheme="minorHAnsi"/>
          <w:lang w:val="es-ES_tradnl"/>
        </w:rPr>
      </w:pPr>
      <w:r w:rsidRPr="00D3166D">
        <w:rPr>
          <w:lang w:val="es-ES_tradnl"/>
        </w:rPr>
        <w:br w:type="page"/>
      </w:r>
    </w:p>
    <w:p w14:paraId="59AE4AFE" w14:textId="0E9A8900" w:rsidR="005A2ACF" w:rsidRPr="00D3166D" w:rsidRDefault="005039A9" w:rsidP="00557E85">
      <w:pPr>
        <w:rPr>
          <w:rFonts w:asciiTheme="minorHAnsi" w:hAnsiTheme="minorHAnsi"/>
          <w:b/>
          <w:sz w:val="24"/>
          <w:lang w:val="es-ES_tradnl"/>
        </w:rPr>
      </w:pPr>
      <w:r w:rsidRPr="00D3166D">
        <w:rPr>
          <w:rFonts w:asciiTheme="minorHAnsi" w:hAnsiTheme="minorHAnsi"/>
          <w:b/>
          <w:sz w:val="24"/>
          <w:lang w:val="es-ES_tradnl"/>
        </w:rPr>
        <w:lastRenderedPageBreak/>
        <w:t>Anexo 1</w:t>
      </w:r>
    </w:p>
    <w:p w14:paraId="0E7FE6B7" w14:textId="77777777" w:rsidR="002072F8" w:rsidRPr="00D3166D" w:rsidRDefault="002072F8" w:rsidP="00557E85">
      <w:pPr>
        <w:pStyle w:val="NoSpacing"/>
        <w:ind w:hanging="425"/>
        <w:rPr>
          <w:lang w:val="es-ES_tradnl"/>
        </w:rPr>
      </w:pPr>
    </w:p>
    <w:tbl>
      <w:tblPr>
        <w:tblStyle w:val="TableGrid"/>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85" w:type="dxa"/>
          <w:bottom w:w="57" w:type="dxa"/>
          <w:right w:w="85" w:type="dxa"/>
        </w:tblCellMar>
        <w:tblLook w:val="04A0" w:firstRow="1" w:lastRow="0" w:firstColumn="1" w:lastColumn="0" w:noHBand="0" w:noVBand="1"/>
      </w:tblPr>
      <w:tblGrid>
        <w:gridCol w:w="2974"/>
        <w:gridCol w:w="6041"/>
      </w:tblGrid>
      <w:tr w:rsidR="002072F8" w:rsidRPr="00D3166D" w14:paraId="778BE365" w14:textId="77777777" w:rsidTr="00557E85">
        <w:tc>
          <w:tcPr>
            <w:tcW w:w="2974" w:type="dxa"/>
            <w:shd w:val="clear" w:color="auto" w:fill="DEEAF6" w:themeFill="accent1" w:themeFillTint="33"/>
          </w:tcPr>
          <w:p w14:paraId="60A3FB3F" w14:textId="2B7F3653" w:rsidR="002072F8" w:rsidRPr="00D3166D" w:rsidRDefault="00CE4398" w:rsidP="00557E85">
            <w:pPr>
              <w:pStyle w:val="NoSpacing"/>
              <w:jc w:val="center"/>
              <w:rPr>
                <w:b/>
                <w:lang w:val="es-ES_tradnl"/>
              </w:rPr>
            </w:pPr>
            <w:r w:rsidRPr="00D3166D">
              <w:rPr>
                <w:b/>
                <w:lang w:val="es-ES_tradnl"/>
              </w:rPr>
              <w:t>Grupos de trabajo de la Convención de Ramsar</w:t>
            </w:r>
          </w:p>
        </w:tc>
        <w:tc>
          <w:tcPr>
            <w:tcW w:w="6041" w:type="dxa"/>
            <w:shd w:val="clear" w:color="auto" w:fill="DEEAF6" w:themeFill="accent1" w:themeFillTint="33"/>
          </w:tcPr>
          <w:p w14:paraId="0DEA7B61" w14:textId="3FCCC5A9" w:rsidR="002072F8" w:rsidRPr="00D3166D" w:rsidRDefault="002072F8" w:rsidP="00557E85">
            <w:pPr>
              <w:pStyle w:val="NoSpacing"/>
              <w:jc w:val="center"/>
              <w:rPr>
                <w:b/>
                <w:lang w:val="es-ES_tradnl"/>
              </w:rPr>
            </w:pPr>
            <w:r w:rsidRPr="00D3166D">
              <w:rPr>
                <w:b/>
                <w:lang w:val="es-ES_tradnl"/>
              </w:rPr>
              <w:t>Resoluciones/decisiones relativas a estos grupos de trabajo</w:t>
            </w:r>
          </w:p>
        </w:tc>
      </w:tr>
      <w:tr w:rsidR="002072F8" w:rsidRPr="00D3166D" w14:paraId="69D0E789" w14:textId="77777777" w:rsidTr="00557E85">
        <w:tc>
          <w:tcPr>
            <w:tcW w:w="2974" w:type="dxa"/>
          </w:tcPr>
          <w:p w14:paraId="4C9F8B82" w14:textId="27A7292E" w:rsidR="002072F8" w:rsidRPr="00D3166D" w:rsidRDefault="002072F8" w:rsidP="005039A9">
            <w:pPr>
              <w:pStyle w:val="NoSpacing"/>
              <w:rPr>
                <w:lang w:val="es-ES_tradnl"/>
              </w:rPr>
            </w:pPr>
            <w:r w:rsidRPr="00D3166D">
              <w:rPr>
                <w:lang w:val="es-ES_tradnl"/>
              </w:rPr>
              <w:t>Grupo de trabajo sobre la CECoP</w:t>
            </w:r>
          </w:p>
        </w:tc>
        <w:tc>
          <w:tcPr>
            <w:tcW w:w="6041" w:type="dxa"/>
          </w:tcPr>
          <w:p w14:paraId="1FB7D0C5" w14:textId="1B73EDF2" w:rsidR="002072F8" w:rsidRPr="00D3166D" w:rsidRDefault="006C4C08" w:rsidP="005039A9">
            <w:pPr>
              <w:pStyle w:val="NoSpacing"/>
              <w:rPr>
                <w:lang w:val="es-ES_tradnl"/>
              </w:rPr>
            </w:pPr>
            <w:r w:rsidRPr="00D3166D">
              <w:rPr>
                <w:lang w:val="es-ES_tradnl"/>
              </w:rPr>
              <w:t xml:space="preserve">Resolución XII.9 </w:t>
            </w:r>
            <w:r w:rsidRPr="00D3166D">
              <w:rPr>
                <w:i/>
                <w:lang w:val="es-ES_tradnl"/>
              </w:rPr>
              <w:t>Programa de la Convención de Ramsar sobre comunicación, fomento de capacidad, educación, concienciación y participación (CECoP) para 2016-2024</w:t>
            </w:r>
            <w:r w:rsidRPr="00D3166D">
              <w:rPr>
                <w:lang w:val="es-ES_tradnl"/>
              </w:rPr>
              <w:t>.</w:t>
            </w:r>
          </w:p>
        </w:tc>
      </w:tr>
      <w:tr w:rsidR="002072F8" w:rsidRPr="00D3166D" w14:paraId="7AB64356" w14:textId="77777777" w:rsidTr="00557E85">
        <w:tc>
          <w:tcPr>
            <w:tcW w:w="2974" w:type="dxa"/>
          </w:tcPr>
          <w:p w14:paraId="0E4F6809" w14:textId="52E387C0" w:rsidR="002072F8" w:rsidRPr="00D3166D" w:rsidRDefault="002072F8" w:rsidP="005039A9">
            <w:pPr>
              <w:pStyle w:val="NoSpacing"/>
              <w:rPr>
                <w:lang w:val="es-ES_tradnl"/>
              </w:rPr>
            </w:pPr>
            <w:r w:rsidRPr="00D3166D">
              <w:rPr>
                <w:lang w:val="es-ES_tradnl"/>
              </w:rPr>
              <w:t>Grupo de trabajo de facilitación</w:t>
            </w:r>
          </w:p>
        </w:tc>
        <w:tc>
          <w:tcPr>
            <w:tcW w:w="6041" w:type="dxa"/>
          </w:tcPr>
          <w:p w14:paraId="0319F75E" w14:textId="77777777" w:rsidR="00557E85" w:rsidRPr="00D3166D" w:rsidRDefault="00BB7EFF" w:rsidP="005039A9">
            <w:pPr>
              <w:pStyle w:val="NoSpacing"/>
              <w:rPr>
                <w:rFonts w:cstheme="minorHAnsi"/>
                <w:lang w:val="es-ES_tradnl"/>
              </w:rPr>
            </w:pPr>
            <w:r w:rsidRPr="00D3166D">
              <w:rPr>
                <w:lang w:val="es-ES_tradnl"/>
              </w:rPr>
              <w:t xml:space="preserve">Resolución XII.3 </w:t>
            </w:r>
            <w:r w:rsidRPr="00D3166D">
              <w:rPr>
                <w:i/>
                <w:lang w:val="es-ES_tradnl"/>
              </w:rPr>
              <w:t>Mejora de los idiomas, la visibilidad y la envergadura de la Convención, y de las sinergias con otros acuerdos multilaterales sobre el medio ambiente y otras instituciones internacionales</w:t>
            </w:r>
            <w:r w:rsidRPr="00D3166D">
              <w:rPr>
                <w:lang w:val="es-ES_tradnl"/>
              </w:rPr>
              <w:t xml:space="preserve">, y </w:t>
            </w:r>
          </w:p>
          <w:p w14:paraId="1756DF03" w14:textId="0D9E0B08" w:rsidR="002072F8" w:rsidRPr="00D3166D" w:rsidRDefault="00BB7EFF" w:rsidP="005039A9">
            <w:pPr>
              <w:pStyle w:val="NoSpacing"/>
              <w:rPr>
                <w:lang w:val="es-ES_tradnl"/>
              </w:rPr>
            </w:pPr>
            <w:r w:rsidRPr="00D3166D">
              <w:rPr>
                <w:lang w:val="es-ES_tradnl"/>
              </w:rPr>
              <w:t xml:space="preserve">Resolución XII.4 </w:t>
            </w:r>
            <w:r w:rsidRPr="00D3166D">
              <w:rPr>
                <w:i/>
                <w:lang w:val="es-ES_tradnl"/>
              </w:rPr>
              <w:t>Responsabilidades, funciones y composición del Comité Permanente y clasificación de los países por regiones en el marco de la Convención de Ramsar</w:t>
            </w:r>
            <w:r w:rsidRPr="00D3166D">
              <w:rPr>
                <w:lang w:val="es-ES_tradnl"/>
              </w:rPr>
              <w:t>.</w:t>
            </w:r>
          </w:p>
        </w:tc>
      </w:tr>
      <w:tr w:rsidR="002072F8" w:rsidRPr="00D3166D" w14:paraId="0949D8EE" w14:textId="77777777" w:rsidTr="00557E85">
        <w:tc>
          <w:tcPr>
            <w:tcW w:w="2974" w:type="dxa"/>
          </w:tcPr>
          <w:p w14:paraId="3D4244DC" w14:textId="7DDBB9DF" w:rsidR="002072F8" w:rsidRPr="00D3166D" w:rsidRDefault="002072F8" w:rsidP="005039A9">
            <w:pPr>
              <w:pStyle w:val="NoSpacing"/>
              <w:rPr>
                <w:lang w:val="es-ES_tradnl"/>
              </w:rPr>
            </w:pPr>
            <w:r w:rsidRPr="00D3166D">
              <w:rPr>
                <w:lang w:val="es-ES_tradnl"/>
              </w:rPr>
              <w:t>Grupo de trabajo sobre la estrategia lingüística</w:t>
            </w:r>
          </w:p>
        </w:tc>
        <w:tc>
          <w:tcPr>
            <w:tcW w:w="6041" w:type="dxa"/>
          </w:tcPr>
          <w:p w14:paraId="639F8497" w14:textId="136055D8" w:rsidR="002072F8" w:rsidRPr="00D3166D" w:rsidRDefault="006C4C08" w:rsidP="005039A9">
            <w:pPr>
              <w:pStyle w:val="NoSpacing"/>
              <w:rPr>
                <w:lang w:val="es-ES_tradnl"/>
              </w:rPr>
            </w:pPr>
            <w:r w:rsidRPr="00D3166D">
              <w:rPr>
                <w:lang w:val="es-ES_tradnl"/>
              </w:rPr>
              <w:t xml:space="preserve">Resolución XII.3 </w:t>
            </w:r>
            <w:r w:rsidRPr="00D3166D">
              <w:rPr>
                <w:i/>
                <w:lang w:val="es-ES_tradnl"/>
              </w:rPr>
              <w:t>Mejora de los idiomas, la visibilidad y la envergadura de la Convención, y de las sinergias con otros acuerdos multilaterales sobre el medio ambiente y otras instituciones internacionales</w:t>
            </w:r>
            <w:r w:rsidRPr="00D3166D">
              <w:rPr>
                <w:lang w:val="es-ES_tradnl"/>
              </w:rPr>
              <w:t>.</w:t>
            </w:r>
          </w:p>
          <w:p w14:paraId="34B9AA40" w14:textId="77777777" w:rsidR="006C4C08" w:rsidRPr="00D3166D" w:rsidRDefault="006C4C08" w:rsidP="005039A9">
            <w:pPr>
              <w:pStyle w:val="NoSpacing"/>
              <w:rPr>
                <w:lang w:val="es-ES_tradnl"/>
              </w:rPr>
            </w:pPr>
          </w:p>
          <w:p w14:paraId="32588743" w14:textId="51C5241A" w:rsidR="006C4C08" w:rsidRPr="00D3166D" w:rsidRDefault="006C4C08" w:rsidP="005039A9">
            <w:pPr>
              <w:pStyle w:val="NoSpacing"/>
              <w:rPr>
                <w:lang w:val="es-ES_tradnl"/>
              </w:rPr>
            </w:pPr>
            <w:r w:rsidRPr="00D3166D">
              <w:rPr>
                <w:lang w:val="es-ES_tradnl"/>
              </w:rPr>
              <w:t xml:space="preserve">La reunión SC52 (2016) acordó establecer un grupo de trabajo oficioso de composición abierta. </w:t>
            </w:r>
          </w:p>
        </w:tc>
      </w:tr>
      <w:tr w:rsidR="006C4C08" w:rsidRPr="00D3166D" w14:paraId="3EDBCB47" w14:textId="77777777" w:rsidTr="00557E85">
        <w:tc>
          <w:tcPr>
            <w:tcW w:w="2974" w:type="dxa"/>
          </w:tcPr>
          <w:p w14:paraId="7113CFCA" w14:textId="59548570" w:rsidR="006C4C08" w:rsidRPr="00D3166D" w:rsidRDefault="006C4C08" w:rsidP="005039A9">
            <w:pPr>
              <w:pStyle w:val="NoSpacing"/>
              <w:rPr>
                <w:lang w:val="es-ES_tradnl"/>
              </w:rPr>
            </w:pPr>
            <w:r w:rsidRPr="00D3166D">
              <w:rPr>
                <w:lang w:val="es-ES_tradnl"/>
              </w:rPr>
              <w:t xml:space="preserve">Grupo de trabajo sobre </w:t>
            </w:r>
            <w:r w:rsidR="00C52B7A" w:rsidRPr="00D3166D">
              <w:rPr>
                <w:lang w:val="es-ES_tradnl"/>
              </w:rPr>
              <w:t xml:space="preserve">la </w:t>
            </w:r>
            <w:r w:rsidRPr="00D3166D">
              <w:rPr>
                <w:lang w:val="es-ES_tradnl"/>
              </w:rPr>
              <w:t>movilización de recursos</w:t>
            </w:r>
          </w:p>
        </w:tc>
        <w:tc>
          <w:tcPr>
            <w:tcW w:w="6041" w:type="dxa"/>
          </w:tcPr>
          <w:p w14:paraId="20177477" w14:textId="47E10E54" w:rsidR="006C4C08" w:rsidRPr="00D3166D" w:rsidRDefault="006C4C08" w:rsidP="005039A9">
            <w:pPr>
              <w:pStyle w:val="NoSpacing"/>
              <w:rPr>
                <w:lang w:val="es-ES_tradnl"/>
              </w:rPr>
            </w:pPr>
            <w:r w:rsidRPr="00D3166D">
              <w:rPr>
                <w:lang w:val="es-ES_tradnl"/>
              </w:rPr>
              <w:t xml:space="preserve">Resolución XII.7 </w:t>
            </w:r>
            <w:r w:rsidRPr="00D3166D">
              <w:rPr>
                <w:i/>
                <w:lang w:val="es-ES_tradnl"/>
              </w:rPr>
              <w:t>Marco de la Convención de Ramsar para la movilización de recursos y las asociaciones de colaboración</w:t>
            </w:r>
            <w:r w:rsidRPr="00D3166D">
              <w:rPr>
                <w:lang w:val="es-ES_tradnl"/>
              </w:rPr>
              <w:t>.</w:t>
            </w:r>
          </w:p>
        </w:tc>
      </w:tr>
      <w:tr w:rsidR="006C4C08" w:rsidRPr="00D3166D" w14:paraId="33D72EBB" w14:textId="77777777" w:rsidTr="00557E85">
        <w:tc>
          <w:tcPr>
            <w:tcW w:w="2974" w:type="dxa"/>
          </w:tcPr>
          <w:p w14:paraId="78B1E954" w14:textId="6128964C" w:rsidR="006C4C08" w:rsidRPr="00D3166D" w:rsidRDefault="006C4C08" w:rsidP="005039A9">
            <w:pPr>
              <w:pStyle w:val="NoSpacing"/>
              <w:rPr>
                <w:lang w:val="es-ES_tradnl"/>
              </w:rPr>
            </w:pPr>
            <w:r w:rsidRPr="00D3166D">
              <w:rPr>
                <w:lang w:val="es-ES_tradnl"/>
              </w:rPr>
              <w:t>Grupo de trabajo sobre las iniciativas regionales de Ramsar</w:t>
            </w:r>
          </w:p>
        </w:tc>
        <w:tc>
          <w:tcPr>
            <w:tcW w:w="6041" w:type="dxa"/>
          </w:tcPr>
          <w:p w14:paraId="5C513E7D" w14:textId="03746BA0" w:rsidR="006C4C08" w:rsidRPr="00D3166D" w:rsidRDefault="006C4C08" w:rsidP="005039A9">
            <w:pPr>
              <w:pStyle w:val="NoSpacing"/>
              <w:rPr>
                <w:lang w:val="es-ES_tradnl"/>
              </w:rPr>
            </w:pPr>
            <w:r w:rsidRPr="00D3166D">
              <w:rPr>
                <w:lang w:val="es-ES_tradnl"/>
              </w:rPr>
              <w:t>Decisión SC51-11: “El Comité Permanente acordó establecer un nuevo grupo de trabajo para estudiar las implicaciones de los nuevos lineamientos operativos para las iniciativas regionales propuestos y pidió a la Secretaría que apoyara la constitución de ese grupo”.</w:t>
            </w:r>
          </w:p>
        </w:tc>
      </w:tr>
      <w:tr w:rsidR="006C4C08" w:rsidRPr="00D3166D" w14:paraId="4FB2C6EF" w14:textId="77777777" w:rsidTr="00557E85">
        <w:tc>
          <w:tcPr>
            <w:tcW w:w="2974" w:type="dxa"/>
          </w:tcPr>
          <w:p w14:paraId="56F83528" w14:textId="752DAE7F" w:rsidR="006C4C08" w:rsidRPr="00D3166D" w:rsidRDefault="006C4C08" w:rsidP="005039A9">
            <w:pPr>
              <w:pStyle w:val="NoSpacing"/>
              <w:rPr>
                <w:lang w:val="es-ES_tradnl"/>
              </w:rPr>
            </w:pPr>
            <w:r w:rsidRPr="00D3166D">
              <w:rPr>
                <w:lang w:val="es-ES_tradnl"/>
              </w:rPr>
              <w:t>Grupo de trabajo sobre cuestiones de personal</w:t>
            </w:r>
          </w:p>
        </w:tc>
        <w:tc>
          <w:tcPr>
            <w:tcW w:w="6041" w:type="dxa"/>
          </w:tcPr>
          <w:p w14:paraId="0B1C1733" w14:textId="59AEA951" w:rsidR="006C4C08" w:rsidRPr="00D3166D" w:rsidRDefault="006C4C08" w:rsidP="005039A9">
            <w:pPr>
              <w:pStyle w:val="NoSpacing"/>
              <w:rPr>
                <w:lang w:val="es-ES_tradnl"/>
              </w:rPr>
            </w:pPr>
            <w:r w:rsidRPr="00D3166D">
              <w:rPr>
                <w:lang w:val="es-ES_tradnl"/>
              </w:rPr>
              <w:t>Mandato cumplido en la</w:t>
            </w:r>
            <w:r w:rsidR="00C52B7A" w:rsidRPr="00D3166D">
              <w:rPr>
                <w:lang w:val="es-ES_tradnl"/>
              </w:rPr>
              <w:t xml:space="preserve"> reunión</w:t>
            </w:r>
            <w:r w:rsidRPr="00D3166D">
              <w:rPr>
                <w:lang w:val="es-ES_tradnl"/>
              </w:rPr>
              <w:t xml:space="preserve"> SC52</w:t>
            </w:r>
            <w:r w:rsidRPr="00D3166D">
              <w:rPr>
                <w:rStyle w:val="FootnoteReference"/>
                <w:lang w:val="es-ES_tradnl"/>
              </w:rPr>
              <w:footnoteReference w:id="2"/>
            </w:r>
          </w:p>
        </w:tc>
      </w:tr>
      <w:tr w:rsidR="006C4C08" w:rsidRPr="00D3166D" w14:paraId="2B4BD9A8" w14:textId="77777777" w:rsidTr="00557E85">
        <w:tc>
          <w:tcPr>
            <w:tcW w:w="2974" w:type="dxa"/>
          </w:tcPr>
          <w:p w14:paraId="424309E3" w14:textId="4187E6F7" w:rsidR="006C4C08" w:rsidRPr="00D3166D" w:rsidRDefault="006C4C08" w:rsidP="005039A9">
            <w:pPr>
              <w:pStyle w:val="NoSpacing"/>
              <w:rPr>
                <w:lang w:val="es-ES_tradnl"/>
              </w:rPr>
            </w:pPr>
            <w:r w:rsidRPr="00D3166D">
              <w:rPr>
                <w:lang w:val="es-ES_tradnl"/>
              </w:rPr>
              <w:t>Comité de Transición</w:t>
            </w:r>
          </w:p>
        </w:tc>
        <w:tc>
          <w:tcPr>
            <w:tcW w:w="6041" w:type="dxa"/>
          </w:tcPr>
          <w:p w14:paraId="20DF22EE" w14:textId="5B014A94" w:rsidR="006C4C08" w:rsidRPr="00D3166D" w:rsidRDefault="006C4C08" w:rsidP="005039A9">
            <w:pPr>
              <w:pStyle w:val="NoSpacing"/>
              <w:rPr>
                <w:lang w:val="es-ES_tradnl"/>
              </w:rPr>
            </w:pPr>
            <w:r w:rsidRPr="00D3166D">
              <w:rPr>
                <w:lang w:val="es-ES_tradnl"/>
              </w:rPr>
              <w:t xml:space="preserve">Resolución X.4 </w:t>
            </w:r>
            <w:r w:rsidRPr="00D3166D">
              <w:rPr>
                <w:i/>
                <w:lang w:val="es-ES_tradnl"/>
              </w:rPr>
              <w:t>Establecimiento de un Comité de Transición del Grupo de Trabajo Administrativo</w:t>
            </w:r>
            <w:r w:rsidRPr="00D3166D">
              <w:rPr>
                <w:lang w:val="es-ES_tradnl"/>
              </w:rPr>
              <w:t>.</w:t>
            </w:r>
          </w:p>
        </w:tc>
      </w:tr>
    </w:tbl>
    <w:p w14:paraId="2F23540B" w14:textId="1258C829" w:rsidR="00E41F39" w:rsidRPr="00D3166D" w:rsidRDefault="00E41F39" w:rsidP="00557E85">
      <w:pPr>
        <w:tabs>
          <w:tab w:val="left" w:pos="927"/>
          <w:tab w:val="left" w:pos="2116"/>
        </w:tabs>
        <w:rPr>
          <w:rFonts w:asciiTheme="minorHAnsi" w:hAnsiTheme="minorHAnsi"/>
          <w:b/>
          <w:lang w:val="es-ES_tradnl"/>
        </w:rPr>
      </w:pPr>
    </w:p>
    <w:sectPr w:rsidR="00E41F39" w:rsidRPr="00D3166D" w:rsidSect="00557E85">
      <w:foot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76CC7" w14:textId="77777777" w:rsidR="008F22CB" w:rsidRDefault="008F22CB" w:rsidP="00D66226">
      <w:r>
        <w:separator/>
      </w:r>
    </w:p>
  </w:endnote>
  <w:endnote w:type="continuationSeparator" w:id="0">
    <w:p w14:paraId="2785CC77" w14:textId="77777777" w:rsidR="008F22CB" w:rsidRDefault="008F22CB" w:rsidP="00D66226">
      <w:r>
        <w:continuationSeparator/>
      </w:r>
    </w:p>
  </w:endnote>
  <w:endnote w:type="continuationNotice" w:id="1">
    <w:p w14:paraId="0337CCFD" w14:textId="77777777" w:rsidR="008F22CB" w:rsidRDefault="008F2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6404" w14:textId="06D0966E" w:rsidR="00C52B7A" w:rsidRPr="00E43D86" w:rsidRDefault="00E43D86" w:rsidP="00E43D86">
    <w:pPr>
      <w:pStyle w:val="Footer"/>
      <w:rPr>
        <w:sz w:val="20"/>
      </w:rPr>
    </w:pPr>
    <w:r w:rsidRPr="0041099F">
      <w:rPr>
        <w:sz w:val="20"/>
        <w:szCs w:val="20"/>
      </w:rPr>
      <w:t xml:space="preserve">Ramsar </w:t>
    </w:r>
    <w:r w:rsidRPr="009000B8">
      <w:rPr>
        <w:sz w:val="20"/>
        <w:szCs w:val="20"/>
      </w:rPr>
      <w:t>COP13 Doc.</w:t>
    </w:r>
    <w:r>
      <w:rPr>
        <w:sz w:val="20"/>
        <w:szCs w:val="20"/>
      </w:rPr>
      <w:t>18.1&amp;2</w:t>
    </w:r>
    <w:r w:rsidRPr="00D12E4C">
      <w:rPr>
        <w:sz w:val="20"/>
        <w:szCs w:val="20"/>
      </w:rPr>
      <w:tab/>
    </w:r>
    <w:r w:rsidRPr="00D12E4C">
      <w:rPr>
        <w:sz w:val="20"/>
        <w:szCs w:val="20"/>
      </w:rPr>
      <w:tab/>
    </w:r>
    <w:r w:rsidRPr="00557E85">
      <w:rPr>
        <w:sz w:val="20"/>
      </w:rPr>
      <w:fldChar w:fldCharType="begin"/>
    </w:r>
    <w:r w:rsidRPr="00557E85">
      <w:rPr>
        <w:sz w:val="20"/>
      </w:rPr>
      <w:instrText xml:space="preserve"> PAGE   \* MERGEFORMAT </w:instrText>
    </w:r>
    <w:r w:rsidRPr="00557E85">
      <w:rPr>
        <w:sz w:val="20"/>
      </w:rPr>
      <w:fldChar w:fldCharType="separate"/>
    </w:r>
    <w:r w:rsidR="00124DA1">
      <w:rPr>
        <w:noProof/>
        <w:sz w:val="20"/>
      </w:rPr>
      <w:t>3</w:t>
    </w:r>
    <w:r w:rsidRPr="00557E8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BDCFE" w14:textId="77777777" w:rsidR="008F22CB" w:rsidRDefault="008F22CB" w:rsidP="00D66226">
      <w:r>
        <w:separator/>
      </w:r>
    </w:p>
  </w:footnote>
  <w:footnote w:type="continuationSeparator" w:id="0">
    <w:p w14:paraId="58DC8FFB" w14:textId="77777777" w:rsidR="008F22CB" w:rsidRDefault="008F22CB" w:rsidP="00D66226">
      <w:r>
        <w:continuationSeparator/>
      </w:r>
    </w:p>
  </w:footnote>
  <w:footnote w:type="continuationNotice" w:id="1">
    <w:p w14:paraId="494A31A2" w14:textId="77777777" w:rsidR="008F22CB" w:rsidRDefault="008F22CB"/>
  </w:footnote>
  <w:footnote w:id="2">
    <w:p w14:paraId="283CAAC7" w14:textId="7AE2EEFA" w:rsidR="00C52B7A" w:rsidRDefault="00C52B7A">
      <w:pPr>
        <w:pStyle w:val="FootnoteText"/>
      </w:pPr>
      <w:r>
        <w:rPr>
          <w:rStyle w:val="FootnoteReference"/>
        </w:rPr>
        <w:footnoteRef/>
      </w:r>
      <w:r>
        <w:t xml:space="preserve"> </w:t>
      </w:r>
      <w:hyperlink r:id="rId1" w:history="1">
        <w:r>
          <w:rPr>
            <w:rStyle w:val="Hyperlink"/>
          </w:rPr>
          <w:t>https://www.ramsar.org/sites/default/files/documents/library/sc53-05_review_wgs_s.pdf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A4C"/>
    <w:multiLevelType w:val="hybridMultilevel"/>
    <w:tmpl w:val="E6C25F10"/>
    <w:lvl w:ilvl="0" w:tplc="08090001">
      <w:start w:val="1"/>
      <w:numFmt w:val="bullet"/>
      <w:lvlText w:val=""/>
      <w:lvlJc w:val="left"/>
      <w:pPr>
        <w:ind w:left="860" w:hanging="435"/>
      </w:pPr>
      <w:rPr>
        <w:rFonts w:ascii="Symbol" w:hAnsi="Symbol" w:hint="default"/>
      </w:rPr>
    </w:lvl>
    <w:lvl w:ilvl="1" w:tplc="08090001">
      <w:start w:val="1"/>
      <w:numFmt w:val="bullet"/>
      <w:lvlText w:val=""/>
      <w:lvlJc w:val="left"/>
      <w:pPr>
        <w:ind w:left="1505" w:hanging="360"/>
      </w:pPr>
      <w:rPr>
        <w:rFonts w:ascii="Symbol" w:hAnsi="Symbol" w:hint="default"/>
      </w:rPr>
    </w:lvl>
    <w:lvl w:ilvl="2" w:tplc="4E4E7E56">
      <w:numFmt w:val="bullet"/>
      <w:lvlText w:val="•"/>
      <w:lvlJc w:val="left"/>
      <w:pPr>
        <w:ind w:left="2465" w:hanging="420"/>
      </w:pPr>
      <w:rPr>
        <w:rFonts w:ascii="Times New Roman" w:eastAsiaTheme="minorHAnsi" w:hAnsi="Times New Roman" w:cs="Times New Roman"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11B33B2D"/>
    <w:multiLevelType w:val="hybridMultilevel"/>
    <w:tmpl w:val="085E3ECC"/>
    <w:lvl w:ilvl="0" w:tplc="0409000F">
      <w:start w:val="1"/>
      <w:numFmt w:val="decimal"/>
      <w:lvlText w:val="%1."/>
      <w:lvlJc w:val="left"/>
      <w:pPr>
        <w:ind w:left="720" w:hanging="360"/>
      </w:p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836EA"/>
    <w:multiLevelType w:val="hybridMultilevel"/>
    <w:tmpl w:val="D7AC767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A02370"/>
    <w:multiLevelType w:val="hybridMultilevel"/>
    <w:tmpl w:val="78FE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A410B"/>
    <w:multiLevelType w:val="hybridMultilevel"/>
    <w:tmpl w:val="C9624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164F3"/>
    <w:multiLevelType w:val="hybridMultilevel"/>
    <w:tmpl w:val="C6A401FA"/>
    <w:lvl w:ilvl="0" w:tplc="7F3C97E2">
      <w:start w:val="1"/>
      <w:numFmt w:val="lowerLetter"/>
      <w:lvlText w:val="%1."/>
      <w:lvlJc w:val="left"/>
      <w:pPr>
        <w:ind w:left="860" w:hanging="435"/>
      </w:pPr>
      <w:rPr>
        <w:rFonts w:hint="default"/>
      </w:rPr>
    </w:lvl>
    <w:lvl w:ilvl="1" w:tplc="08090001">
      <w:start w:val="1"/>
      <w:numFmt w:val="bullet"/>
      <w:lvlText w:val=""/>
      <w:lvlJc w:val="left"/>
      <w:pPr>
        <w:ind w:left="1505" w:hanging="360"/>
      </w:pPr>
      <w:rPr>
        <w:rFonts w:ascii="Symbol" w:hAnsi="Symbol" w:hint="default"/>
      </w:rPr>
    </w:lvl>
    <w:lvl w:ilvl="2" w:tplc="4E4E7E56">
      <w:numFmt w:val="bullet"/>
      <w:lvlText w:val="•"/>
      <w:lvlJc w:val="left"/>
      <w:pPr>
        <w:ind w:left="2465" w:hanging="420"/>
      </w:pPr>
      <w:rPr>
        <w:rFonts w:ascii="Times New Roman" w:eastAsiaTheme="minorHAnsi" w:hAnsi="Times New Roman" w:cs="Times New Roman"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764C25B7"/>
    <w:multiLevelType w:val="hybridMultilevel"/>
    <w:tmpl w:val="F4C6F57E"/>
    <w:lvl w:ilvl="0" w:tplc="706A0F5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7267A"/>
    <w:multiLevelType w:val="hybridMultilevel"/>
    <w:tmpl w:val="69625A20"/>
    <w:lvl w:ilvl="0" w:tplc="7F3C97E2">
      <w:start w:val="1"/>
      <w:numFmt w:val="lowerLetter"/>
      <w:lvlText w:val="%1."/>
      <w:lvlJc w:val="left"/>
      <w:pPr>
        <w:ind w:left="860" w:hanging="435"/>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7"/>
  </w:num>
  <w:num w:numId="2">
    <w:abstractNumId w:val="4"/>
  </w:num>
  <w:num w:numId="3">
    <w:abstractNumId w:val="1"/>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CF"/>
    <w:rsid w:val="00002076"/>
    <w:rsid w:val="00015CFC"/>
    <w:rsid w:val="0002646E"/>
    <w:rsid w:val="00027331"/>
    <w:rsid w:val="00037C27"/>
    <w:rsid w:val="00040885"/>
    <w:rsid w:val="000612DE"/>
    <w:rsid w:val="00082892"/>
    <w:rsid w:val="000A4161"/>
    <w:rsid w:val="000C02D6"/>
    <w:rsid w:val="00103CCD"/>
    <w:rsid w:val="001113DC"/>
    <w:rsid w:val="001177A4"/>
    <w:rsid w:val="00123DD3"/>
    <w:rsid w:val="00124DA1"/>
    <w:rsid w:val="00180D87"/>
    <w:rsid w:val="00182516"/>
    <w:rsid w:val="001845DE"/>
    <w:rsid w:val="001A535A"/>
    <w:rsid w:val="001A66D9"/>
    <w:rsid w:val="001B5F9F"/>
    <w:rsid w:val="001D416B"/>
    <w:rsid w:val="001E0173"/>
    <w:rsid w:val="002072F8"/>
    <w:rsid w:val="0021450C"/>
    <w:rsid w:val="0021488A"/>
    <w:rsid w:val="002317B4"/>
    <w:rsid w:val="00264868"/>
    <w:rsid w:val="0028796D"/>
    <w:rsid w:val="002D2B0A"/>
    <w:rsid w:val="002F211D"/>
    <w:rsid w:val="002F4F03"/>
    <w:rsid w:val="002F7A3B"/>
    <w:rsid w:val="002F7D71"/>
    <w:rsid w:val="00322705"/>
    <w:rsid w:val="00322915"/>
    <w:rsid w:val="00354D0B"/>
    <w:rsid w:val="00355B91"/>
    <w:rsid w:val="003800D2"/>
    <w:rsid w:val="00381399"/>
    <w:rsid w:val="003B16EB"/>
    <w:rsid w:val="003B3904"/>
    <w:rsid w:val="003D1A4B"/>
    <w:rsid w:val="00426125"/>
    <w:rsid w:val="00440B74"/>
    <w:rsid w:val="0045434B"/>
    <w:rsid w:val="00466C1A"/>
    <w:rsid w:val="004729DE"/>
    <w:rsid w:val="00473C2C"/>
    <w:rsid w:val="00494288"/>
    <w:rsid w:val="004A1186"/>
    <w:rsid w:val="004B5192"/>
    <w:rsid w:val="004C0FDF"/>
    <w:rsid w:val="004F5C60"/>
    <w:rsid w:val="005039A9"/>
    <w:rsid w:val="00557E85"/>
    <w:rsid w:val="00572FD7"/>
    <w:rsid w:val="005771A8"/>
    <w:rsid w:val="005860BD"/>
    <w:rsid w:val="0059728D"/>
    <w:rsid w:val="005A2ACF"/>
    <w:rsid w:val="005A3BF2"/>
    <w:rsid w:val="005B531C"/>
    <w:rsid w:val="005C0250"/>
    <w:rsid w:val="005F0B86"/>
    <w:rsid w:val="0060381C"/>
    <w:rsid w:val="0061706B"/>
    <w:rsid w:val="006277C9"/>
    <w:rsid w:val="0064310B"/>
    <w:rsid w:val="00686116"/>
    <w:rsid w:val="00691B5E"/>
    <w:rsid w:val="006A2474"/>
    <w:rsid w:val="006B1F8B"/>
    <w:rsid w:val="006B7D13"/>
    <w:rsid w:val="006C1502"/>
    <w:rsid w:val="006C4C08"/>
    <w:rsid w:val="006C7CD5"/>
    <w:rsid w:val="006E272F"/>
    <w:rsid w:val="006E7CEC"/>
    <w:rsid w:val="00722F0C"/>
    <w:rsid w:val="0077531F"/>
    <w:rsid w:val="00781037"/>
    <w:rsid w:val="0078217D"/>
    <w:rsid w:val="00796307"/>
    <w:rsid w:val="007B0A34"/>
    <w:rsid w:val="007C0182"/>
    <w:rsid w:val="007C0D04"/>
    <w:rsid w:val="007E0D37"/>
    <w:rsid w:val="007F0387"/>
    <w:rsid w:val="00825AD5"/>
    <w:rsid w:val="008C6B90"/>
    <w:rsid w:val="008C6E7F"/>
    <w:rsid w:val="008D1256"/>
    <w:rsid w:val="008D7071"/>
    <w:rsid w:val="008E10BC"/>
    <w:rsid w:val="008F22CB"/>
    <w:rsid w:val="00900C31"/>
    <w:rsid w:val="009064AB"/>
    <w:rsid w:val="009162ED"/>
    <w:rsid w:val="00953D9C"/>
    <w:rsid w:val="00993EC4"/>
    <w:rsid w:val="009B0A2A"/>
    <w:rsid w:val="009C0E25"/>
    <w:rsid w:val="009F2370"/>
    <w:rsid w:val="00A21D89"/>
    <w:rsid w:val="00A259A1"/>
    <w:rsid w:val="00A360C8"/>
    <w:rsid w:val="00A41E77"/>
    <w:rsid w:val="00A46341"/>
    <w:rsid w:val="00A56770"/>
    <w:rsid w:val="00A70CE8"/>
    <w:rsid w:val="00A7506E"/>
    <w:rsid w:val="00A80F46"/>
    <w:rsid w:val="00A82A1C"/>
    <w:rsid w:val="00A82C65"/>
    <w:rsid w:val="00A93735"/>
    <w:rsid w:val="00A96C6F"/>
    <w:rsid w:val="00AB7360"/>
    <w:rsid w:val="00AD079B"/>
    <w:rsid w:val="00AE0507"/>
    <w:rsid w:val="00AE3396"/>
    <w:rsid w:val="00B254BC"/>
    <w:rsid w:val="00B27B3B"/>
    <w:rsid w:val="00B37A67"/>
    <w:rsid w:val="00B53A47"/>
    <w:rsid w:val="00B635A0"/>
    <w:rsid w:val="00B6445B"/>
    <w:rsid w:val="00B70F61"/>
    <w:rsid w:val="00B927F6"/>
    <w:rsid w:val="00BA7BC4"/>
    <w:rsid w:val="00BB7EFF"/>
    <w:rsid w:val="00BD257C"/>
    <w:rsid w:val="00BE577F"/>
    <w:rsid w:val="00BF1F18"/>
    <w:rsid w:val="00BF7CBE"/>
    <w:rsid w:val="00C15834"/>
    <w:rsid w:val="00C34A84"/>
    <w:rsid w:val="00C52B7A"/>
    <w:rsid w:val="00CC3B03"/>
    <w:rsid w:val="00CD4998"/>
    <w:rsid w:val="00CD504E"/>
    <w:rsid w:val="00CE4398"/>
    <w:rsid w:val="00D16A7F"/>
    <w:rsid w:val="00D3166D"/>
    <w:rsid w:val="00D541FE"/>
    <w:rsid w:val="00D56C41"/>
    <w:rsid w:val="00D61D04"/>
    <w:rsid w:val="00D66226"/>
    <w:rsid w:val="00D70480"/>
    <w:rsid w:val="00D74207"/>
    <w:rsid w:val="00D86E75"/>
    <w:rsid w:val="00D97EC9"/>
    <w:rsid w:val="00DA13BB"/>
    <w:rsid w:val="00DA23A3"/>
    <w:rsid w:val="00DB10B6"/>
    <w:rsid w:val="00DC0647"/>
    <w:rsid w:val="00DC1DEA"/>
    <w:rsid w:val="00DE7B46"/>
    <w:rsid w:val="00DF4EDC"/>
    <w:rsid w:val="00E04A34"/>
    <w:rsid w:val="00E32AC7"/>
    <w:rsid w:val="00E34624"/>
    <w:rsid w:val="00E41F39"/>
    <w:rsid w:val="00E43D86"/>
    <w:rsid w:val="00E549FE"/>
    <w:rsid w:val="00E76896"/>
    <w:rsid w:val="00E82CBF"/>
    <w:rsid w:val="00EC4971"/>
    <w:rsid w:val="00ED22EF"/>
    <w:rsid w:val="00ED47BE"/>
    <w:rsid w:val="00F03952"/>
    <w:rsid w:val="00F363D5"/>
    <w:rsid w:val="00F602CF"/>
    <w:rsid w:val="00F632AC"/>
    <w:rsid w:val="00F77BD8"/>
    <w:rsid w:val="00F92748"/>
    <w:rsid w:val="00F942FE"/>
    <w:rsid w:val="00F96272"/>
    <w:rsid w:val="00FA0953"/>
    <w:rsid w:val="00FD312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F2706"/>
  <w15:docId w15:val="{5FF2369B-426E-4AAA-A5B6-DFBA9EBB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2AC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ACF"/>
    <w:pPr>
      <w:spacing w:after="0" w:line="240" w:lineRule="auto"/>
    </w:pPr>
  </w:style>
  <w:style w:type="paragraph" w:styleId="ListParagraph">
    <w:name w:val="List Paragraph"/>
    <w:basedOn w:val="Normal"/>
    <w:uiPriority w:val="34"/>
    <w:qFormat/>
    <w:rsid w:val="006E272F"/>
    <w:pPr>
      <w:ind w:left="720"/>
      <w:contextualSpacing/>
    </w:pPr>
  </w:style>
  <w:style w:type="character" w:styleId="CommentReference">
    <w:name w:val="annotation reference"/>
    <w:basedOn w:val="DefaultParagraphFont"/>
    <w:uiPriority w:val="99"/>
    <w:semiHidden/>
    <w:unhideWhenUsed/>
    <w:rsid w:val="00DC0647"/>
    <w:rPr>
      <w:sz w:val="16"/>
      <w:szCs w:val="16"/>
    </w:rPr>
  </w:style>
  <w:style w:type="paragraph" w:styleId="CommentText">
    <w:name w:val="annotation text"/>
    <w:basedOn w:val="Normal"/>
    <w:link w:val="CommentTextChar"/>
    <w:uiPriority w:val="99"/>
    <w:semiHidden/>
    <w:unhideWhenUsed/>
    <w:rsid w:val="00DC0647"/>
    <w:rPr>
      <w:sz w:val="20"/>
      <w:szCs w:val="20"/>
    </w:rPr>
  </w:style>
  <w:style w:type="character" w:customStyle="1" w:styleId="CommentTextChar">
    <w:name w:val="Comment Text Char"/>
    <w:basedOn w:val="DefaultParagraphFont"/>
    <w:link w:val="CommentText"/>
    <w:uiPriority w:val="99"/>
    <w:semiHidden/>
    <w:rsid w:val="00DC0647"/>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DC0647"/>
    <w:rPr>
      <w:b/>
      <w:bCs/>
    </w:rPr>
  </w:style>
  <w:style w:type="character" w:customStyle="1" w:styleId="CommentSubjectChar">
    <w:name w:val="Comment Subject Char"/>
    <w:basedOn w:val="CommentTextChar"/>
    <w:link w:val="CommentSubject"/>
    <w:uiPriority w:val="99"/>
    <w:semiHidden/>
    <w:rsid w:val="00DC0647"/>
    <w:rPr>
      <w:rFonts w:ascii="Calibri" w:eastAsia="Calibri" w:hAnsi="Calibri" w:cs="Times New Roman"/>
      <w:b/>
      <w:bCs/>
      <w:sz w:val="20"/>
      <w:szCs w:val="20"/>
      <w:lang w:val="es-ES"/>
    </w:rPr>
  </w:style>
  <w:style w:type="paragraph" w:styleId="Revision">
    <w:name w:val="Revision"/>
    <w:hidden/>
    <w:uiPriority w:val="99"/>
    <w:semiHidden/>
    <w:rsid w:val="00DC064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C0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647"/>
    <w:rPr>
      <w:rFonts w:ascii="Segoe UI" w:eastAsia="Calibri" w:hAnsi="Segoe UI" w:cs="Segoe UI"/>
      <w:sz w:val="18"/>
      <w:szCs w:val="18"/>
      <w:lang w:val="es-ES"/>
    </w:rPr>
  </w:style>
  <w:style w:type="table" w:styleId="TableGrid">
    <w:name w:val="Table Grid"/>
    <w:basedOn w:val="TableNormal"/>
    <w:uiPriority w:val="39"/>
    <w:rsid w:val="00207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6226"/>
    <w:pPr>
      <w:tabs>
        <w:tab w:val="center" w:pos="4513"/>
        <w:tab w:val="right" w:pos="9026"/>
      </w:tabs>
    </w:pPr>
  </w:style>
  <w:style w:type="character" w:customStyle="1" w:styleId="HeaderChar">
    <w:name w:val="Header Char"/>
    <w:basedOn w:val="DefaultParagraphFont"/>
    <w:link w:val="Header"/>
    <w:uiPriority w:val="99"/>
    <w:rsid w:val="00D66226"/>
    <w:rPr>
      <w:rFonts w:ascii="Calibri" w:eastAsia="Calibri" w:hAnsi="Calibri" w:cs="Times New Roman"/>
      <w:lang w:val="es-ES"/>
    </w:rPr>
  </w:style>
  <w:style w:type="paragraph" w:styleId="Footer">
    <w:name w:val="footer"/>
    <w:basedOn w:val="Normal"/>
    <w:link w:val="FooterChar"/>
    <w:uiPriority w:val="99"/>
    <w:unhideWhenUsed/>
    <w:rsid w:val="00D66226"/>
    <w:pPr>
      <w:tabs>
        <w:tab w:val="center" w:pos="4513"/>
        <w:tab w:val="right" w:pos="9026"/>
      </w:tabs>
    </w:pPr>
  </w:style>
  <w:style w:type="character" w:customStyle="1" w:styleId="FooterChar">
    <w:name w:val="Footer Char"/>
    <w:basedOn w:val="DefaultParagraphFont"/>
    <w:link w:val="Footer"/>
    <w:uiPriority w:val="99"/>
    <w:rsid w:val="00D66226"/>
    <w:rPr>
      <w:rFonts w:ascii="Calibri" w:eastAsia="Calibri" w:hAnsi="Calibri" w:cs="Times New Roman"/>
      <w:lang w:val="es-ES"/>
    </w:rPr>
  </w:style>
  <w:style w:type="character" w:styleId="Hyperlink">
    <w:name w:val="Hyperlink"/>
    <w:basedOn w:val="DefaultParagraphFont"/>
    <w:uiPriority w:val="99"/>
    <w:unhideWhenUsed/>
    <w:rsid w:val="000C02D6"/>
    <w:rPr>
      <w:color w:val="0563C1" w:themeColor="hyperlink"/>
      <w:u w:val="single"/>
    </w:rPr>
  </w:style>
  <w:style w:type="character" w:customStyle="1" w:styleId="UnresolvedMention1">
    <w:name w:val="Unresolved Mention1"/>
    <w:basedOn w:val="DefaultParagraphFont"/>
    <w:uiPriority w:val="99"/>
    <w:semiHidden/>
    <w:unhideWhenUsed/>
    <w:rsid w:val="000C02D6"/>
    <w:rPr>
      <w:color w:val="808080"/>
      <w:shd w:val="clear" w:color="auto" w:fill="E6E6E6"/>
    </w:rPr>
  </w:style>
  <w:style w:type="paragraph" w:styleId="FootnoteText">
    <w:name w:val="footnote text"/>
    <w:basedOn w:val="Normal"/>
    <w:link w:val="FootnoteTextChar"/>
    <w:uiPriority w:val="99"/>
    <w:semiHidden/>
    <w:unhideWhenUsed/>
    <w:rsid w:val="006C4C08"/>
    <w:rPr>
      <w:sz w:val="20"/>
      <w:szCs w:val="20"/>
    </w:rPr>
  </w:style>
  <w:style w:type="character" w:customStyle="1" w:styleId="FootnoteTextChar">
    <w:name w:val="Footnote Text Char"/>
    <w:basedOn w:val="DefaultParagraphFont"/>
    <w:link w:val="FootnoteText"/>
    <w:uiPriority w:val="99"/>
    <w:semiHidden/>
    <w:rsid w:val="006C4C08"/>
    <w:rPr>
      <w:rFonts w:ascii="Calibri" w:eastAsia="Calibri" w:hAnsi="Calibri" w:cs="Times New Roman"/>
      <w:sz w:val="20"/>
      <w:szCs w:val="20"/>
      <w:lang w:val="es-ES"/>
    </w:rPr>
  </w:style>
  <w:style w:type="character" w:styleId="FootnoteReference">
    <w:name w:val="footnote reference"/>
    <w:basedOn w:val="DefaultParagraphFont"/>
    <w:uiPriority w:val="99"/>
    <w:semiHidden/>
    <w:unhideWhenUsed/>
    <w:rsid w:val="006C4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documents/library/sc53-05_review_wgs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F29EA-398D-43C8-A322-EBCCAC5C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6366</Characters>
  <Application>Microsoft Office Word</Application>
  <DocSecurity>0</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Victoria Zentilli Del Campo</cp:lastModifiedBy>
  <cp:revision>2</cp:revision>
  <cp:lastPrinted>2018-09-18T20:23:00Z</cp:lastPrinted>
  <dcterms:created xsi:type="dcterms:W3CDTF">2018-10-27T16:17:00Z</dcterms:created>
  <dcterms:modified xsi:type="dcterms:W3CDTF">2018-10-27T16:17:00Z</dcterms:modified>
</cp:coreProperties>
</file>