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78" w:rsidRPr="00E22C48" w:rsidRDefault="00954AB1" w:rsidP="00881D78">
      <w:pPr>
        <w:ind w:right="17"/>
        <w:jc w:val="center"/>
        <w:outlineLvl w:val="0"/>
        <w:rPr>
          <w:rFonts w:eastAsia="Times New Roman" w:cstheme="majorHAnsi"/>
          <w:b/>
          <w:bCs/>
          <w:sz w:val="24"/>
          <w:szCs w:val="24"/>
          <w:lang w:val="fr-FR"/>
        </w:rPr>
      </w:pPr>
      <w:r w:rsidRPr="00E22C48">
        <w:rPr>
          <w:rFonts w:eastAsia="Times New Roman" w:cstheme="majorHAnsi"/>
          <w:b/>
          <w:bCs/>
          <w:noProof/>
          <w:sz w:val="28"/>
          <w:szCs w:val="28"/>
          <w:lang w:val="en-US" w:eastAsia="zh-CN"/>
        </w:rPr>
        <w:drawing>
          <wp:anchor distT="0" distB="0" distL="114300" distR="114300" simplePos="0" relativeHeight="251658240" behindDoc="1" locked="0" layoutInCell="1" allowOverlap="1">
            <wp:simplePos x="0" y="0"/>
            <wp:positionH relativeFrom="column">
              <wp:posOffset>-314278</wp:posOffset>
            </wp:positionH>
            <wp:positionV relativeFrom="page">
              <wp:posOffset>421053</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49248"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Pr>
          <w:rFonts w:cs="Calibri"/>
          <w:b/>
          <w:bCs/>
          <w:sz w:val="24"/>
          <w:szCs w:val="24"/>
          <w:lang w:val="fr-FR"/>
        </w:rPr>
        <w:t>13</w:t>
      </w:r>
      <w:r>
        <w:rPr>
          <w:rFonts w:cs="Calibri"/>
          <w:b/>
          <w:bCs/>
          <w:sz w:val="24"/>
          <w:szCs w:val="24"/>
          <w:vertAlign w:val="superscript"/>
          <w:lang w:val="fr-FR"/>
        </w:rPr>
        <w:t>e</w:t>
      </w:r>
      <w:r>
        <w:rPr>
          <w:rFonts w:cs="Calibri"/>
          <w:b/>
          <w:bCs/>
          <w:sz w:val="24"/>
          <w:szCs w:val="24"/>
          <w:lang w:val="fr-FR"/>
        </w:rPr>
        <w:t xml:space="preserve"> Session de la Conférence des Parties contractantes</w:t>
      </w:r>
    </w:p>
    <w:p w:rsidR="00881D78" w:rsidRPr="00E22C48" w:rsidRDefault="00954AB1" w:rsidP="00881D78">
      <w:pPr>
        <w:ind w:right="17"/>
        <w:jc w:val="center"/>
        <w:outlineLvl w:val="0"/>
        <w:rPr>
          <w:rFonts w:eastAsia="Times New Roman" w:cstheme="majorHAnsi"/>
          <w:b/>
          <w:bCs/>
          <w:sz w:val="24"/>
          <w:szCs w:val="24"/>
          <w:lang w:val="fr-FR"/>
        </w:rPr>
      </w:pPr>
      <w:r>
        <w:rPr>
          <w:rFonts w:cs="Calibri"/>
          <w:b/>
          <w:bCs/>
          <w:sz w:val="24"/>
          <w:szCs w:val="24"/>
          <w:lang w:val="fr-FR"/>
        </w:rPr>
        <w:t>à la Convention de Ramsar sur les zones humides</w:t>
      </w:r>
    </w:p>
    <w:p w:rsidR="00881D78" w:rsidRPr="00E22C48" w:rsidRDefault="00C0411C" w:rsidP="00881D78">
      <w:pPr>
        <w:ind w:right="17"/>
        <w:jc w:val="center"/>
        <w:outlineLvl w:val="0"/>
        <w:rPr>
          <w:rFonts w:eastAsia="Times New Roman" w:cstheme="majorHAnsi"/>
          <w:b/>
          <w:bCs/>
          <w:sz w:val="24"/>
          <w:szCs w:val="24"/>
          <w:lang w:val="fr-FR"/>
        </w:rPr>
      </w:pPr>
    </w:p>
    <w:p w:rsidR="00881D78" w:rsidRPr="00E22C48" w:rsidRDefault="00954AB1" w:rsidP="00881D78">
      <w:pPr>
        <w:ind w:right="17"/>
        <w:jc w:val="center"/>
        <w:outlineLvl w:val="0"/>
        <w:rPr>
          <w:rFonts w:eastAsia="Times New Roman" w:cstheme="majorHAnsi"/>
          <w:b/>
          <w:bCs/>
          <w:sz w:val="24"/>
          <w:szCs w:val="24"/>
          <w:lang w:val="fr-FR"/>
        </w:rPr>
      </w:pPr>
      <w:r>
        <w:rPr>
          <w:rFonts w:cs="Calibri"/>
          <w:b/>
          <w:bCs/>
          <w:sz w:val="24"/>
          <w:szCs w:val="24"/>
          <w:lang w:val="fr-FR"/>
        </w:rPr>
        <w:t>« Les zones humides pour un avenir urbain durable »</w:t>
      </w:r>
    </w:p>
    <w:p w:rsidR="00881D78" w:rsidRPr="00E22C48" w:rsidRDefault="00954AB1" w:rsidP="00881D78">
      <w:pPr>
        <w:ind w:right="17"/>
        <w:jc w:val="center"/>
        <w:outlineLvl w:val="0"/>
        <w:rPr>
          <w:rFonts w:eastAsia="Times New Roman" w:cstheme="majorHAnsi"/>
          <w:b/>
          <w:bCs/>
          <w:sz w:val="24"/>
          <w:szCs w:val="24"/>
          <w:lang w:val="fr-FR"/>
        </w:rPr>
      </w:pPr>
      <w:r>
        <w:rPr>
          <w:rFonts w:cs="Calibri"/>
          <w:b/>
          <w:bCs/>
          <w:sz w:val="24"/>
          <w:szCs w:val="24"/>
          <w:lang w:val="fr-FR"/>
        </w:rPr>
        <w:t>Dubaï, Émirats arabes unis, 21 au 29 octobre 2018</w:t>
      </w:r>
    </w:p>
    <w:p w:rsidR="005039A9" w:rsidRPr="00881D78" w:rsidRDefault="00C0411C" w:rsidP="00557E85">
      <w:pPr>
        <w:ind w:right="17"/>
        <w:jc w:val="center"/>
        <w:outlineLvl w:val="0"/>
        <w:rPr>
          <w:b/>
          <w:sz w:val="28"/>
          <w:lang w:val="fr-FR"/>
        </w:rPr>
      </w:pPr>
    </w:p>
    <w:p w:rsidR="005039A9" w:rsidRPr="00881D78" w:rsidRDefault="00C0411C" w:rsidP="00557E85">
      <w:pPr>
        <w:ind w:right="17"/>
        <w:jc w:val="center"/>
        <w:outlineLvl w:val="0"/>
        <w:rPr>
          <w:b/>
          <w:sz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32259E" w:rsidTr="00164F8C">
        <w:tc>
          <w:tcPr>
            <w:tcW w:w="9360" w:type="dxa"/>
          </w:tcPr>
          <w:p w:rsidR="0032259E" w:rsidRPr="000E67F8" w:rsidRDefault="0032259E" w:rsidP="00FA0953">
            <w:pPr>
              <w:ind w:right="67"/>
              <w:jc w:val="right"/>
              <w:outlineLvl w:val="0"/>
              <w:rPr>
                <w:rFonts w:eastAsia="Times New Roman" w:cstheme="majorHAnsi"/>
                <w:b/>
                <w:bCs/>
                <w:sz w:val="24"/>
                <w:szCs w:val="24"/>
                <w:lang w:val="en-US"/>
              </w:rPr>
            </w:pPr>
            <w:r>
              <w:rPr>
                <w:rFonts w:cs="Calibri"/>
                <w:b/>
                <w:sz w:val="24"/>
                <w:szCs w:val="24"/>
                <w:lang w:val="fr-FR"/>
              </w:rPr>
              <w:t>Ramsar COP13 Doc.18.</w:t>
            </w:r>
            <w:r>
              <w:rPr>
                <w:rFonts w:eastAsia="Times New Roman" w:cstheme="majorHAnsi"/>
                <w:b/>
                <w:bCs/>
                <w:sz w:val="24"/>
                <w:szCs w:val="24"/>
                <w:lang w:val="en-US"/>
              </w:rPr>
              <w:t>1&amp;2</w:t>
            </w:r>
          </w:p>
        </w:tc>
      </w:tr>
    </w:tbl>
    <w:p w:rsidR="005039A9" w:rsidRPr="00557E85" w:rsidRDefault="00C0411C" w:rsidP="00557E85">
      <w:pPr>
        <w:ind w:right="17"/>
        <w:jc w:val="center"/>
        <w:outlineLvl w:val="0"/>
        <w:rPr>
          <w:b/>
          <w:sz w:val="28"/>
        </w:rPr>
      </w:pPr>
    </w:p>
    <w:p w:rsidR="005039A9" w:rsidRPr="00513576" w:rsidRDefault="00954AB1" w:rsidP="005039A9">
      <w:pPr>
        <w:jc w:val="center"/>
        <w:outlineLvl w:val="0"/>
        <w:rPr>
          <w:rFonts w:cs="Arial"/>
          <w:b/>
          <w:sz w:val="28"/>
          <w:szCs w:val="28"/>
          <w:lang w:val="fr-FR"/>
        </w:rPr>
      </w:pPr>
      <w:r>
        <w:rPr>
          <w:rFonts w:cs="Calibri"/>
          <w:b/>
          <w:bCs/>
          <w:sz w:val="28"/>
          <w:szCs w:val="28"/>
          <w:lang w:val="fr-FR"/>
        </w:rPr>
        <w:t>Projet de résolution sur la gouvernance de la Convention</w:t>
      </w:r>
    </w:p>
    <w:p w:rsidR="00D86E75" w:rsidRPr="00513576" w:rsidRDefault="00C0411C" w:rsidP="005039A9">
      <w:pPr>
        <w:ind w:hanging="425"/>
        <w:rPr>
          <w:rFonts w:asciiTheme="minorHAnsi" w:hAnsiTheme="minorHAnsi" w:cstheme="minorHAnsi"/>
          <w:b/>
          <w:lang w:val="fr-FR"/>
        </w:rPr>
      </w:pPr>
    </w:p>
    <w:p w:rsidR="00D86E75" w:rsidRPr="00513576" w:rsidRDefault="00C0411C" w:rsidP="005039A9">
      <w:pPr>
        <w:ind w:hanging="425"/>
        <w:rPr>
          <w:rFonts w:asciiTheme="minorHAnsi" w:hAnsiTheme="minorHAnsi" w:cstheme="minorHAnsi"/>
          <w:b/>
          <w:lang w:val="fr-FR"/>
        </w:rPr>
      </w:pPr>
    </w:p>
    <w:p w:rsidR="00440B74" w:rsidRPr="00513576" w:rsidRDefault="00954AB1" w:rsidP="00557E85">
      <w:pPr>
        <w:ind w:left="425" w:hanging="425"/>
        <w:rPr>
          <w:rFonts w:asciiTheme="minorHAnsi" w:hAnsiTheme="minorHAnsi"/>
          <w:lang w:val="fr-FR"/>
        </w:rPr>
      </w:pPr>
      <w:r>
        <w:rPr>
          <w:rFonts w:cs="Calibri"/>
          <w:lang w:val="fr-FR"/>
        </w:rPr>
        <w:t>1.</w:t>
      </w:r>
      <w:r>
        <w:rPr>
          <w:rFonts w:cs="Calibri"/>
          <w:lang w:val="fr-FR"/>
        </w:rPr>
        <w:tab/>
        <w:t xml:space="preserve">RECONNAISSANT </w:t>
      </w:r>
      <w:r w:rsidR="00513576">
        <w:rPr>
          <w:rFonts w:cs="Calibri"/>
          <w:lang w:val="fr-FR"/>
        </w:rPr>
        <w:t xml:space="preserve">qu’il </w:t>
      </w:r>
      <w:r w:rsidR="00B80DAB">
        <w:rPr>
          <w:rFonts w:cs="Calibri"/>
          <w:lang w:val="fr-FR"/>
        </w:rPr>
        <w:t>importe</w:t>
      </w:r>
      <w:r>
        <w:rPr>
          <w:rFonts w:cs="Calibri"/>
          <w:lang w:val="fr-FR"/>
        </w:rPr>
        <w:t xml:space="preserve"> de fournir un cadre institutionnel adéquat pour </w:t>
      </w:r>
      <w:r w:rsidR="00B80DAB">
        <w:rPr>
          <w:rFonts w:cs="Calibri"/>
          <w:lang w:val="fr-FR"/>
        </w:rPr>
        <w:t xml:space="preserve">la Convention de </w:t>
      </w:r>
      <w:r>
        <w:rPr>
          <w:rFonts w:cs="Calibri"/>
          <w:lang w:val="fr-FR"/>
        </w:rPr>
        <w:t xml:space="preserve">Ramsar, </w:t>
      </w:r>
      <w:r w:rsidR="00B80DAB">
        <w:rPr>
          <w:rFonts w:cs="Calibri"/>
          <w:lang w:val="fr-FR"/>
        </w:rPr>
        <w:t>un</w:t>
      </w:r>
      <w:r w:rsidR="00317909">
        <w:rPr>
          <w:rFonts w:cs="Calibri"/>
          <w:lang w:val="fr-FR"/>
        </w:rPr>
        <w:t xml:space="preserve"> </w:t>
      </w:r>
      <w:r w:rsidR="00B80DAB">
        <w:rPr>
          <w:rFonts w:cs="Calibri"/>
          <w:lang w:val="fr-FR"/>
        </w:rPr>
        <w:t xml:space="preserve">instrument de portée </w:t>
      </w:r>
      <w:r>
        <w:rPr>
          <w:rFonts w:cs="Calibri"/>
          <w:lang w:val="fr-FR"/>
        </w:rPr>
        <w:t>mondiale réunissant 170 Parties</w:t>
      </w:r>
      <w:r w:rsidR="00B80DAB">
        <w:rPr>
          <w:rFonts w:cs="Calibri"/>
          <w:lang w:val="fr-FR"/>
        </w:rPr>
        <w:t xml:space="preserve"> contractantes</w:t>
      </w:r>
      <w:r>
        <w:rPr>
          <w:rFonts w:cs="Calibri"/>
          <w:lang w:val="fr-FR"/>
        </w:rPr>
        <w:t>;</w:t>
      </w:r>
    </w:p>
    <w:p w:rsidR="00440B74" w:rsidRPr="00513576" w:rsidRDefault="00C0411C" w:rsidP="00557E85">
      <w:pPr>
        <w:pStyle w:val="ListParagraph"/>
        <w:ind w:left="425" w:hanging="425"/>
        <w:rPr>
          <w:rFonts w:asciiTheme="minorHAnsi" w:hAnsiTheme="minorHAnsi"/>
          <w:lang w:val="fr-FR"/>
        </w:rPr>
      </w:pPr>
    </w:p>
    <w:p w:rsidR="003B3904" w:rsidRPr="00513576" w:rsidRDefault="00954AB1" w:rsidP="00557E85">
      <w:pPr>
        <w:ind w:left="425" w:hanging="425"/>
        <w:rPr>
          <w:rFonts w:asciiTheme="minorHAnsi" w:hAnsiTheme="minorHAnsi"/>
          <w:lang w:val="fr-FR"/>
        </w:rPr>
      </w:pPr>
      <w:r>
        <w:rPr>
          <w:rFonts w:cs="Calibri"/>
          <w:lang w:val="fr-FR"/>
        </w:rPr>
        <w:t>2.</w:t>
      </w:r>
      <w:r>
        <w:rPr>
          <w:rFonts w:cs="Calibri"/>
          <w:lang w:val="fr-FR"/>
        </w:rPr>
        <w:tab/>
        <w:t xml:space="preserve">RAPPELANT que la Convention </w:t>
      </w:r>
      <w:r w:rsidR="00FA7C2C">
        <w:rPr>
          <w:rFonts w:cs="Calibri"/>
          <w:lang w:val="fr-FR"/>
        </w:rPr>
        <w:t xml:space="preserve">a pour mission </w:t>
      </w:r>
      <w:r>
        <w:rPr>
          <w:rFonts w:cs="Calibri"/>
          <w:lang w:val="fr-FR"/>
        </w:rPr>
        <w:t xml:space="preserve">la conservation et l’utilisation rationnelle des zones humides par des actions locales et nationales et par la coopération internationale, </w:t>
      </w:r>
      <w:r w:rsidR="00FA7C2C">
        <w:rPr>
          <w:rFonts w:cs="Calibri"/>
          <w:lang w:val="fr-FR"/>
        </w:rPr>
        <w:t xml:space="preserve">pour contribuer au </w:t>
      </w:r>
      <w:r>
        <w:rPr>
          <w:rFonts w:cs="Calibri"/>
          <w:lang w:val="fr-FR"/>
        </w:rPr>
        <w:t>développemen</w:t>
      </w:r>
      <w:r w:rsidR="005F74DF">
        <w:rPr>
          <w:rFonts w:cs="Calibri"/>
          <w:lang w:val="fr-FR"/>
        </w:rPr>
        <w:t>t durable dans le monde entier;</w:t>
      </w:r>
    </w:p>
    <w:p w:rsidR="00A70CE8" w:rsidRPr="00513576" w:rsidRDefault="00C0411C" w:rsidP="00557E85">
      <w:pPr>
        <w:ind w:left="425" w:hanging="425"/>
        <w:rPr>
          <w:rFonts w:asciiTheme="minorHAnsi" w:hAnsiTheme="minorHAnsi"/>
          <w:lang w:val="fr-FR"/>
        </w:rPr>
      </w:pPr>
    </w:p>
    <w:p w:rsidR="00A70CE8" w:rsidRPr="00513576" w:rsidRDefault="00954AB1" w:rsidP="00557E85">
      <w:pPr>
        <w:ind w:left="425" w:hanging="425"/>
        <w:rPr>
          <w:rFonts w:asciiTheme="minorHAnsi" w:hAnsiTheme="minorHAnsi"/>
          <w:lang w:val="fr-FR"/>
        </w:rPr>
      </w:pPr>
      <w:r>
        <w:rPr>
          <w:rFonts w:cs="Calibri"/>
          <w:lang w:val="fr-FR"/>
        </w:rPr>
        <w:t>3.</w:t>
      </w:r>
      <w:r>
        <w:rPr>
          <w:rFonts w:cs="Calibri"/>
          <w:lang w:val="fr-FR"/>
        </w:rPr>
        <w:tab/>
        <w:t>RAPPELANT EN OUTRE</w:t>
      </w:r>
      <w:r w:rsidR="00FA7C2C">
        <w:rPr>
          <w:rFonts w:cs="Calibri"/>
          <w:lang w:val="fr-FR"/>
        </w:rPr>
        <w:t xml:space="preserve"> que</w:t>
      </w:r>
      <w:r>
        <w:rPr>
          <w:rFonts w:cs="Calibri"/>
          <w:lang w:val="fr-FR"/>
        </w:rPr>
        <w:t xml:space="preserve"> les Parties contractantes </w:t>
      </w:r>
      <w:r w:rsidR="00FA7C2C">
        <w:rPr>
          <w:rFonts w:cs="Calibri"/>
          <w:lang w:val="fr-FR"/>
        </w:rPr>
        <w:t xml:space="preserve">se sont engagées à réaliser </w:t>
      </w:r>
      <w:r>
        <w:rPr>
          <w:rFonts w:cs="Calibri"/>
          <w:lang w:val="fr-FR"/>
        </w:rPr>
        <w:t xml:space="preserve">la mission de la Convention, sur leur propre territoire et </w:t>
      </w:r>
      <w:r w:rsidR="00B80DAB">
        <w:rPr>
          <w:rFonts w:cs="Calibri"/>
          <w:lang w:val="fr-FR"/>
        </w:rPr>
        <w:t>en</w:t>
      </w:r>
      <w:r>
        <w:rPr>
          <w:rFonts w:cs="Calibri"/>
          <w:lang w:val="fr-FR"/>
        </w:rPr>
        <w:t xml:space="preserve"> </w:t>
      </w:r>
      <w:r w:rsidR="00FA7C2C">
        <w:rPr>
          <w:rFonts w:cs="Calibri"/>
          <w:lang w:val="fr-FR"/>
        </w:rPr>
        <w:t>coopérant</w:t>
      </w:r>
      <w:r>
        <w:rPr>
          <w:rFonts w:cs="Calibri"/>
          <w:lang w:val="fr-FR"/>
        </w:rPr>
        <w:t xml:space="preserve"> </w:t>
      </w:r>
      <w:r w:rsidR="00B80DAB">
        <w:rPr>
          <w:rFonts w:cs="Calibri"/>
          <w:lang w:val="fr-FR"/>
        </w:rPr>
        <w:t xml:space="preserve">à l’échelon </w:t>
      </w:r>
      <w:r>
        <w:rPr>
          <w:rFonts w:cs="Calibri"/>
          <w:lang w:val="fr-FR"/>
        </w:rPr>
        <w:t>mondial et avec les autres Parties contractantes;</w:t>
      </w:r>
    </w:p>
    <w:p w:rsidR="00A70CE8" w:rsidRPr="00513576" w:rsidRDefault="00C0411C" w:rsidP="00557E85">
      <w:pPr>
        <w:ind w:left="425" w:hanging="425"/>
        <w:rPr>
          <w:rFonts w:asciiTheme="minorHAnsi" w:hAnsiTheme="minorHAnsi"/>
          <w:lang w:val="fr-FR"/>
        </w:rPr>
      </w:pPr>
    </w:p>
    <w:p w:rsidR="00A70CE8" w:rsidRPr="00513576" w:rsidRDefault="00954AB1" w:rsidP="00557E85">
      <w:pPr>
        <w:ind w:left="425" w:hanging="425"/>
        <w:rPr>
          <w:rFonts w:asciiTheme="minorHAnsi" w:hAnsiTheme="minorHAnsi"/>
          <w:lang w:val="fr-FR"/>
        </w:rPr>
      </w:pPr>
      <w:r>
        <w:rPr>
          <w:rFonts w:cs="Calibri"/>
          <w:lang w:val="fr-FR"/>
        </w:rPr>
        <w:t>4.</w:t>
      </w:r>
      <w:r>
        <w:rPr>
          <w:rFonts w:cs="Calibri"/>
          <w:lang w:val="fr-FR"/>
        </w:rPr>
        <w:tab/>
        <w:t xml:space="preserve">RAPPELANT ÉGALEMENT la vision du Plan stratégique Ramsar 2016-2024 selon laquelle les zones humides sont conservées, utilisées de façon rationnelle, restaurées et leurs avantages sont reconnus et appréciés de tous, et les objectifs du Plan </w:t>
      </w:r>
      <w:r w:rsidR="00AE49FA">
        <w:rPr>
          <w:rFonts w:cs="Calibri"/>
          <w:lang w:val="fr-FR"/>
        </w:rPr>
        <w:t xml:space="preserve">stratégique </w:t>
      </w:r>
      <w:r>
        <w:rPr>
          <w:rFonts w:cs="Calibri"/>
          <w:lang w:val="fr-FR"/>
        </w:rPr>
        <w:t xml:space="preserve">consistant à s’attaquer aux moteurs de la perte et de la dégradation des zones humides, à conserver et à gérer efficacement le réseau de </w:t>
      </w:r>
      <w:r w:rsidR="00B80DAB">
        <w:rPr>
          <w:rFonts w:cs="Calibri"/>
          <w:lang w:val="fr-FR"/>
        </w:rPr>
        <w:t>S</w:t>
      </w:r>
      <w:r>
        <w:rPr>
          <w:rFonts w:cs="Calibri"/>
          <w:lang w:val="fr-FR"/>
        </w:rPr>
        <w:t xml:space="preserve">ites Ramsar et </w:t>
      </w:r>
      <w:r w:rsidR="00B80DAB">
        <w:rPr>
          <w:rFonts w:cs="Calibri"/>
          <w:lang w:val="fr-FR"/>
        </w:rPr>
        <w:t>le label Ville</w:t>
      </w:r>
      <w:r>
        <w:rPr>
          <w:rFonts w:cs="Calibri"/>
          <w:lang w:val="fr-FR"/>
        </w:rPr>
        <w:t xml:space="preserve"> de</w:t>
      </w:r>
      <w:r w:rsidR="00B80DAB">
        <w:rPr>
          <w:rFonts w:cs="Calibri"/>
          <w:lang w:val="fr-FR"/>
        </w:rPr>
        <w:t>s</w:t>
      </w:r>
      <w:r>
        <w:rPr>
          <w:rFonts w:cs="Calibri"/>
          <w:lang w:val="fr-FR"/>
        </w:rPr>
        <w:t xml:space="preserve"> </w:t>
      </w:r>
      <w:r w:rsidR="00B80DAB">
        <w:rPr>
          <w:rFonts w:cs="Calibri"/>
          <w:lang w:val="fr-FR"/>
        </w:rPr>
        <w:t>Zones H</w:t>
      </w:r>
      <w:r>
        <w:rPr>
          <w:rFonts w:cs="Calibri"/>
          <w:lang w:val="fr-FR"/>
        </w:rPr>
        <w:t>umides accréditée</w:t>
      </w:r>
      <w:r w:rsidR="00B80DAB">
        <w:rPr>
          <w:rFonts w:cs="Calibri"/>
          <w:lang w:val="fr-FR"/>
        </w:rPr>
        <w:t>,</w:t>
      </w:r>
      <w:r w:rsidR="005F74DF">
        <w:rPr>
          <w:rFonts w:cs="Calibri"/>
          <w:lang w:val="fr-FR"/>
        </w:rPr>
        <w:t xml:space="preserve"> </w:t>
      </w:r>
      <w:r w:rsidR="00B80DAB">
        <w:rPr>
          <w:rFonts w:cs="Calibri"/>
          <w:lang w:val="fr-FR"/>
        </w:rPr>
        <w:t xml:space="preserve">à utiliser </w:t>
      </w:r>
      <w:r w:rsidR="005F74DF">
        <w:rPr>
          <w:rFonts w:cs="Calibri"/>
          <w:lang w:val="fr-FR"/>
        </w:rPr>
        <w:t>de manière rationnelle</w:t>
      </w:r>
      <w:r>
        <w:rPr>
          <w:rFonts w:cs="Calibri"/>
          <w:lang w:val="fr-FR"/>
        </w:rPr>
        <w:t xml:space="preserve"> toutes les zones humides et </w:t>
      </w:r>
      <w:r w:rsidR="00B80DAB">
        <w:rPr>
          <w:rFonts w:cs="Calibri"/>
          <w:lang w:val="fr-FR"/>
        </w:rPr>
        <w:t>à améliorer</w:t>
      </w:r>
      <w:r>
        <w:rPr>
          <w:rFonts w:cs="Calibri"/>
          <w:lang w:val="fr-FR"/>
        </w:rPr>
        <w:t xml:space="preserve"> l’application de la Convention;</w:t>
      </w:r>
    </w:p>
    <w:p w:rsidR="005A2ACF" w:rsidRPr="00513576" w:rsidRDefault="00C0411C" w:rsidP="007B0A34">
      <w:pPr>
        <w:ind w:left="425" w:hanging="425"/>
        <w:rPr>
          <w:rFonts w:asciiTheme="minorHAnsi" w:hAnsiTheme="minorHAnsi"/>
          <w:lang w:val="fr-FR"/>
        </w:rPr>
      </w:pPr>
    </w:p>
    <w:p w:rsidR="005A2ACF" w:rsidRPr="00513576" w:rsidRDefault="00954AB1" w:rsidP="00557E85">
      <w:pPr>
        <w:ind w:left="425" w:hanging="425"/>
        <w:rPr>
          <w:rFonts w:asciiTheme="minorHAnsi" w:hAnsiTheme="minorHAnsi"/>
          <w:lang w:val="fr-FR"/>
        </w:rPr>
      </w:pPr>
      <w:r>
        <w:rPr>
          <w:rFonts w:cs="Calibri"/>
          <w:lang w:val="fr-FR"/>
        </w:rPr>
        <w:t>5.</w:t>
      </w:r>
      <w:r>
        <w:rPr>
          <w:rFonts w:cs="Calibri"/>
          <w:lang w:val="fr-FR"/>
        </w:rPr>
        <w:tab/>
        <w:t xml:space="preserve">NOTANT AVEC </w:t>
      </w:r>
      <w:r w:rsidR="00CF1547">
        <w:rPr>
          <w:rFonts w:cs="Calibri"/>
          <w:lang w:val="fr-FR"/>
        </w:rPr>
        <w:t>SATISFACTION</w:t>
      </w:r>
      <w:r>
        <w:rPr>
          <w:rFonts w:cs="Calibri"/>
          <w:lang w:val="fr-FR"/>
        </w:rPr>
        <w:t xml:space="preserve"> le travail considérable et continu des Parties contractantes et du Secrétariat </w:t>
      </w:r>
      <w:r w:rsidR="00AE49FA">
        <w:rPr>
          <w:rFonts w:cs="Calibri"/>
          <w:lang w:val="fr-FR"/>
        </w:rPr>
        <w:t>en appui à</w:t>
      </w:r>
      <w:r>
        <w:rPr>
          <w:rFonts w:cs="Calibri"/>
          <w:lang w:val="fr-FR"/>
        </w:rPr>
        <w:t xml:space="preserve"> l’application de la Convention et de son Plan stratégique </w:t>
      </w:r>
      <w:r w:rsidR="00AE49FA">
        <w:rPr>
          <w:rFonts w:cs="Calibri"/>
          <w:lang w:val="fr-FR"/>
        </w:rPr>
        <w:t>grâce aux</w:t>
      </w:r>
      <w:r>
        <w:rPr>
          <w:rFonts w:cs="Calibri"/>
          <w:lang w:val="fr-FR"/>
        </w:rPr>
        <w:t xml:space="preserve"> efforts déployés par les organes </w:t>
      </w:r>
      <w:r w:rsidR="00AE49FA">
        <w:rPr>
          <w:rFonts w:cs="Calibri"/>
          <w:lang w:val="fr-FR"/>
        </w:rPr>
        <w:t xml:space="preserve">et les </w:t>
      </w:r>
      <w:r>
        <w:rPr>
          <w:rFonts w:cs="Calibri"/>
          <w:lang w:val="fr-FR"/>
        </w:rPr>
        <w:t>groupes de travail</w:t>
      </w:r>
      <w:r w:rsidR="00AE49FA">
        <w:rPr>
          <w:rFonts w:cs="Calibri"/>
          <w:lang w:val="fr-FR"/>
        </w:rPr>
        <w:t xml:space="preserve"> de la Convention</w:t>
      </w:r>
      <w:r>
        <w:rPr>
          <w:rFonts w:cs="Calibri"/>
          <w:lang w:val="fr-FR"/>
        </w:rPr>
        <w:t>;</w:t>
      </w:r>
    </w:p>
    <w:p w:rsidR="005A2ACF" w:rsidRPr="00513576" w:rsidRDefault="00C0411C" w:rsidP="00557E85">
      <w:pPr>
        <w:pStyle w:val="ListParagraph"/>
        <w:ind w:left="425" w:hanging="425"/>
        <w:rPr>
          <w:rFonts w:asciiTheme="minorHAnsi" w:hAnsiTheme="minorHAnsi"/>
          <w:lang w:val="fr-FR"/>
        </w:rPr>
      </w:pPr>
    </w:p>
    <w:p w:rsidR="005A2ACF" w:rsidRPr="00513576" w:rsidRDefault="00954AB1" w:rsidP="00557E85">
      <w:pPr>
        <w:ind w:left="425" w:hanging="425"/>
        <w:rPr>
          <w:rFonts w:asciiTheme="minorHAnsi" w:hAnsiTheme="minorHAnsi"/>
          <w:lang w:val="fr-FR"/>
        </w:rPr>
      </w:pPr>
      <w:r>
        <w:rPr>
          <w:rFonts w:cs="Calibri"/>
          <w:lang w:val="fr-FR"/>
        </w:rPr>
        <w:t>6.</w:t>
      </w:r>
      <w:r>
        <w:rPr>
          <w:rFonts w:cs="Calibri"/>
          <w:lang w:val="fr-FR"/>
        </w:rPr>
        <w:tab/>
        <w:t xml:space="preserve">RECONNAISSANT que la Convention </w:t>
      </w:r>
      <w:r w:rsidR="00AE49FA">
        <w:rPr>
          <w:rFonts w:cs="Calibri"/>
          <w:lang w:val="fr-FR"/>
        </w:rPr>
        <w:t>peut jouer</w:t>
      </w:r>
      <w:r>
        <w:rPr>
          <w:rFonts w:cs="Calibri"/>
          <w:lang w:val="fr-FR"/>
        </w:rPr>
        <w:t xml:space="preserve"> un rôle crucial </w:t>
      </w:r>
      <w:r w:rsidR="00AE49FA">
        <w:rPr>
          <w:rFonts w:cs="Calibri"/>
          <w:lang w:val="fr-FR"/>
        </w:rPr>
        <w:t xml:space="preserve">en contribuant </w:t>
      </w:r>
      <w:r>
        <w:rPr>
          <w:rFonts w:cs="Calibri"/>
          <w:lang w:val="fr-FR"/>
        </w:rPr>
        <w:t xml:space="preserve">à </w:t>
      </w:r>
      <w:r w:rsidR="00AE49FA">
        <w:rPr>
          <w:rFonts w:cs="Calibri"/>
          <w:lang w:val="fr-FR"/>
        </w:rPr>
        <w:t xml:space="preserve">la réalisation du </w:t>
      </w:r>
      <w:r>
        <w:rPr>
          <w:rFonts w:cs="Calibri"/>
          <w:lang w:val="fr-FR"/>
        </w:rPr>
        <w:t>Programme de développement durable à l</w:t>
      </w:r>
      <w:r w:rsidR="007560DD">
        <w:rPr>
          <w:rFonts w:cs="Calibri"/>
          <w:lang w:val="fr-FR"/>
        </w:rPr>
        <w:t>’</w:t>
      </w:r>
      <w:r>
        <w:rPr>
          <w:rFonts w:cs="Calibri"/>
          <w:lang w:val="fr-FR"/>
        </w:rPr>
        <w:t>horizon 2030</w:t>
      </w:r>
      <w:r w:rsidR="00AE49FA">
        <w:rPr>
          <w:rFonts w:cs="Calibri"/>
          <w:lang w:val="fr-FR"/>
        </w:rPr>
        <w:t xml:space="preserve">, </w:t>
      </w:r>
      <w:r>
        <w:rPr>
          <w:rFonts w:cs="Calibri"/>
          <w:lang w:val="fr-FR"/>
        </w:rPr>
        <w:t>des Objectifs de développement durable et des objectifs des conventions pertinentes;</w:t>
      </w:r>
    </w:p>
    <w:p w:rsidR="00DC0647" w:rsidRPr="00513576" w:rsidRDefault="00C0411C" w:rsidP="00557E85">
      <w:pPr>
        <w:pStyle w:val="ListParagraph"/>
        <w:ind w:left="425" w:hanging="425"/>
        <w:rPr>
          <w:rFonts w:asciiTheme="minorHAnsi" w:hAnsiTheme="minorHAnsi"/>
          <w:lang w:val="fr-FR"/>
        </w:rPr>
      </w:pPr>
    </w:p>
    <w:p w:rsidR="005A2ACF" w:rsidRPr="00513576" w:rsidRDefault="00954AB1" w:rsidP="00557E85">
      <w:pPr>
        <w:ind w:left="425" w:hanging="425"/>
        <w:rPr>
          <w:rFonts w:asciiTheme="minorHAnsi" w:hAnsiTheme="minorHAnsi"/>
          <w:lang w:val="fr-FR"/>
        </w:rPr>
      </w:pPr>
      <w:r>
        <w:rPr>
          <w:rFonts w:cs="Calibri"/>
          <w:lang w:val="fr-FR"/>
        </w:rPr>
        <w:t>7.</w:t>
      </w:r>
      <w:r>
        <w:rPr>
          <w:rFonts w:cs="Calibri"/>
          <w:lang w:val="fr-FR"/>
        </w:rPr>
        <w:tab/>
        <w:t xml:space="preserve">RÉITÉRANT l’obligation pour toutes les Parties contractantes de contribuer aux délibérations et aux processus de la Convention de manière à garantir l’utilisation efficace des ressources de la Convention de Ramsar et des Parties contractantes afin d’obtenir les meilleurs résultats pour les zones humides et </w:t>
      </w:r>
      <w:r w:rsidR="005D5EC7">
        <w:rPr>
          <w:rFonts w:cs="Calibri"/>
          <w:lang w:val="fr-FR"/>
        </w:rPr>
        <w:t xml:space="preserve">pour </w:t>
      </w:r>
      <w:r>
        <w:rPr>
          <w:rFonts w:cs="Calibri"/>
          <w:lang w:val="fr-FR"/>
        </w:rPr>
        <w:t>la Convention; et</w:t>
      </w:r>
    </w:p>
    <w:p w:rsidR="005A2ACF" w:rsidRPr="00513576" w:rsidRDefault="00C0411C" w:rsidP="00557E85">
      <w:pPr>
        <w:pStyle w:val="ListParagraph"/>
        <w:ind w:left="425" w:hanging="425"/>
        <w:rPr>
          <w:rFonts w:asciiTheme="minorHAnsi" w:hAnsiTheme="minorHAnsi"/>
          <w:lang w:val="fr-FR"/>
        </w:rPr>
      </w:pPr>
    </w:p>
    <w:p w:rsidR="005A2ACF" w:rsidRPr="00513576" w:rsidRDefault="00954AB1" w:rsidP="00557E85">
      <w:pPr>
        <w:ind w:left="425" w:hanging="425"/>
        <w:rPr>
          <w:rFonts w:asciiTheme="minorHAnsi" w:hAnsiTheme="minorHAnsi"/>
          <w:lang w:val="fr-FR"/>
        </w:rPr>
      </w:pPr>
      <w:r>
        <w:rPr>
          <w:rFonts w:cs="Calibri"/>
          <w:lang w:val="fr-FR"/>
        </w:rPr>
        <w:t>8.</w:t>
      </w:r>
      <w:r>
        <w:rPr>
          <w:rFonts w:cs="Calibri"/>
          <w:lang w:val="fr-FR"/>
        </w:rPr>
        <w:tab/>
      </w:r>
      <w:r w:rsidR="00B80DAB">
        <w:rPr>
          <w:rFonts w:cs="Calibri"/>
          <w:lang w:val="fr-FR"/>
        </w:rPr>
        <w:t>SACHANT</w:t>
      </w:r>
      <w:r>
        <w:rPr>
          <w:rFonts w:cs="Calibri"/>
          <w:lang w:val="fr-FR"/>
        </w:rPr>
        <w:t xml:space="preserve"> que 2021 sera </w:t>
      </w:r>
      <w:r w:rsidR="00B80DAB">
        <w:rPr>
          <w:rFonts w:cs="Calibri"/>
          <w:lang w:val="fr-FR"/>
        </w:rPr>
        <w:t>l’année du</w:t>
      </w:r>
      <w:r>
        <w:rPr>
          <w:rFonts w:cs="Calibri"/>
          <w:lang w:val="fr-FR"/>
        </w:rPr>
        <w:t xml:space="preserve"> 50</w:t>
      </w:r>
      <w:r w:rsidRPr="005F74DF">
        <w:rPr>
          <w:rFonts w:cs="Calibri"/>
          <w:vertAlign w:val="superscript"/>
          <w:lang w:val="fr-FR"/>
        </w:rPr>
        <w:t>e</w:t>
      </w:r>
      <w:r w:rsidR="005F74DF">
        <w:rPr>
          <w:rFonts w:cs="Calibri"/>
          <w:lang w:val="fr-FR"/>
        </w:rPr>
        <w:t> </w:t>
      </w:r>
      <w:r>
        <w:rPr>
          <w:rFonts w:cs="Calibri"/>
          <w:lang w:val="fr-FR"/>
        </w:rPr>
        <w:t xml:space="preserve">anniversaire de la Convention, </w:t>
      </w:r>
      <w:r w:rsidR="00772931">
        <w:rPr>
          <w:rFonts w:cs="Calibri"/>
          <w:lang w:val="fr-FR"/>
        </w:rPr>
        <w:t xml:space="preserve">il conviendrait de revoir </w:t>
      </w:r>
      <w:r>
        <w:rPr>
          <w:rFonts w:cs="Calibri"/>
          <w:lang w:val="fr-FR"/>
        </w:rPr>
        <w:t xml:space="preserve">les mandats, </w:t>
      </w:r>
      <w:r w:rsidR="00772931">
        <w:rPr>
          <w:rFonts w:cs="Calibri"/>
          <w:lang w:val="fr-FR"/>
        </w:rPr>
        <w:t>les procédures d’établissement des rapports</w:t>
      </w:r>
      <w:r>
        <w:rPr>
          <w:rFonts w:cs="Calibri"/>
          <w:lang w:val="fr-FR"/>
        </w:rPr>
        <w:t xml:space="preserve"> et </w:t>
      </w:r>
      <w:r w:rsidR="00772931">
        <w:rPr>
          <w:rFonts w:cs="Calibri"/>
          <w:lang w:val="fr-FR"/>
        </w:rPr>
        <w:t xml:space="preserve">les </w:t>
      </w:r>
      <w:r>
        <w:rPr>
          <w:rFonts w:cs="Calibri"/>
          <w:lang w:val="fr-FR"/>
        </w:rPr>
        <w:t xml:space="preserve">organes de la Convention </w:t>
      </w:r>
      <w:r w:rsidR="00772931">
        <w:rPr>
          <w:rFonts w:cs="Calibri"/>
          <w:lang w:val="fr-FR"/>
        </w:rPr>
        <w:t>tels qu’ils ont été conçus</w:t>
      </w:r>
      <w:r>
        <w:rPr>
          <w:rFonts w:cs="Calibri"/>
          <w:lang w:val="fr-FR"/>
        </w:rPr>
        <w:t xml:space="preserve"> et, le cas échéant, </w:t>
      </w:r>
      <w:r w:rsidR="00772931">
        <w:rPr>
          <w:rFonts w:cs="Calibri"/>
          <w:lang w:val="fr-FR"/>
        </w:rPr>
        <w:t xml:space="preserve">de les remanier pour </w:t>
      </w:r>
      <w:r>
        <w:rPr>
          <w:rFonts w:cs="Calibri"/>
          <w:lang w:val="fr-FR"/>
        </w:rPr>
        <w:t>renforcer l</w:t>
      </w:r>
      <w:r w:rsidR="007560DD">
        <w:rPr>
          <w:rFonts w:cs="Calibri"/>
          <w:lang w:val="fr-FR"/>
        </w:rPr>
        <w:t>’</w:t>
      </w:r>
      <w:r w:rsidR="00772931">
        <w:rPr>
          <w:rFonts w:cs="Calibri"/>
          <w:lang w:val="fr-FR"/>
        </w:rPr>
        <w:t xml:space="preserve">efficacité de la Convention, </w:t>
      </w:r>
      <w:r>
        <w:rPr>
          <w:rFonts w:cs="Calibri"/>
          <w:lang w:val="fr-FR"/>
        </w:rPr>
        <w:t>accroître sa visibilité et favoriser les synergies;</w:t>
      </w:r>
    </w:p>
    <w:p w:rsidR="00A259A1" w:rsidRPr="00513576" w:rsidRDefault="00C0411C" w:rsidP="00557E85">
      <w:pPr>
        <w:pStyle w:val="NoSpacing"/>
        <w:ind w:hanging="425"/>
        <w:rPr>
          <w:lang w:val="fr-FR"/>
        </w:rPr>
      </w:pPr>
    </w:p>
    <w:p w:rsidR="005A2ACF" w:rsidRPr="00513576" w:rsidRDefault="00954AB1" w:rsidP="00557E85">
      <w:pPr>
        <w:pStyle w:val="NoSpacing"/>
        <w:keepNext/>
        <w:jc w:val="center"/>
        <w:rPr>
          <w:lang w:val="fr-FR"/>
        </w:rPr>
      </w:pPr>
      <w:bookmarkStart w:id="0" w:name="_GoBack"/>
      <w:bookmarkEnd w:id="0"/>
      <w:r>
        <w:rPr>
          <w:rFonts w:ascii="Calibri" w:eastAsia="Calibri" w:hAnsi="Calibri" w:cs="Calibri"/>
          <w:lang w:val="fr-FR"/>
        </w:rPr>
        <w:lastRenderedPageBreak/>
        <w:t xml:space="preserve">LA </w:t>
      </w:r>
      <w:r w:rsidR="0042786E">
        <w:rPr>
          <w:rFonts w:ascii="Calibri" w:eastAsia="Calibri" w:hAnsi="Calibri" w:cs="Calibri"/>
          <w:lang w:val="fr-FR"/>
        </w:rPr>
        <w:t>CONFÉRENCE</w:t>
      </w:r>
      <w:r>
        <w:rPr>
          <w:rFonts w:ascii="Calibri" w:eastAsia="Calibri" w:hAnsi="Calibri" w:cs="Calibri"/>
          <w:lang w:val="fr-FR"/>
        </w:rPr>
        <w:t xml:space="preserve"> DES PARTIES CONTRACTANTES</w:t>
      </w:r>
    </w:p>
    <w:p w:rsidR="00A259A1" w:rsidRPr="00513576" w:rsidRDefault="00954AB1" w:rsidP="00557E85">
      <w:pPr>
        <w:pStyle w:val="NoSpacing"/>
        <w:keepNext/>
        <w:tabs>
          <w:tab w:val="left" w:pos="6195"/>
        </w:tabs>
        <w:ind w:hanging="425"/>
        <w:rPr>
          <w:lang w:val="fr-FR"/>
        </w:rPr>
      </w:pPr>
      <w:r w:rsidRPr="00513576">
        <w:rPr>
          <w:lang w:val="fr-FR"/>
        </w:rPr>
        <w:tab/>
      </w:r>
    </w:p>
    <w:p w:rsidR="005A2ACF" w:rsidRPr="00513576" w:rsidRDefault="00954AB1" w:rsidP="00557E85">
      <w:pPr>
        <w:ind w:left="425" w:hanging="425"/>
        <w:rPr>
          <w:rFonts w:asciiTheme="minorHAnsi" w:hAnsiTheme="minorHAnsi"/>
          <w:lang w:val="fr-FR"/>
        </w:rPr>
      </w:pPr>
      <w:r>
        <w:rPr>
          <w:rFonts w:cs="Calibri"/>
          <w:lang w:val="fr-FR"/>
        </w:rPr>
        <w:t>9.</w:t>
      </w:r>
      <w:r>
        <w:rPr>
          <w:rFonts w:cs="Calibri"/>
          <w:lang w:val="fr-FR"/>
        </w:rPr>
        <w:tab/>
        <w:t xml:space="preserve">EXPRIME SA GRATITUDE à tous les organes et groupes de travail de la Convention pour </w:t>
      </w:r>
      <w:r w:rsidR="00B80DAB">
        <w:rPr>
          <w:rFonts w:cs="Calibri"/>
          <w:lang w:val="fr-FR"/>
        </w:rPr>
        <w:t>leurs</w:t>
      </w:r>
      <w:r>
        <w:rPr>
          <w:rFonts w:cs="Calibri"/>
          <w:lang w:val="fr-FR"/>
        </w:rPr>
        <w:t xml:space="preserve"> réalisations et </w:t>
      </w:r>
      <w:r w:rsidR="00B80DAB">
        <w:rPr>
          <w:rFonts w:cs="Calibri"/>
          <w:lang w:val="fr-FR"/>
        </w:rPr>
        <w:t xml:space="preserve">les </w:t>
      </w:r>
      <w:r w:rsidR="00DD413F">
        <w:rPr>
          <w:rFonts w:cs="Calibri"/>
          <w:lang w:val="fr-FR"/>
        </w:rPr>
        <w:t xml:space="preserve">résultats positifs </w:t>
      </w:r>
      <w:r>
        <w:rPr>
          <w:rFonts w:cs="Calibri"/>
          <w:lang w:val="fr-FR"/>
        </w:rPr>
        <w:t>de leurs travaux</w:t>
      </w:r>
      <w:r w:rsidR="00B80DAB">
        <w:rPr>
          <w:rFonts w:cs="Calibri"/>
          <w:lang w:val="fr-FR"/>
        </w:rPr>
        <w:t>.</w:t>
      </w:r>
    </w:p>
    <w:p w:rsidR="00322915" w:rsidRPr="00513576" w:rsidRDefault="00C0411C" w:rsidP="00557E85">
      <w:pPr>
        <w:ind w:left="425" w:hanging="425"/>
        <w:rPr>
          <w:rFonts w:asciiTheme="minorHAnsi" w:hAnsiTheme="minorHAnsi"/>
          <w:lang w:val="fr-FR"/>
        </w:rPr>
      </w:pPr>
    </w:p>
    <w:p w:rsidR="00BF1F18" w:rsidRPr="00513576" w:rsidRDefault="00954AB1" w:rsidP="00557E85">
      <w:pPr>
        <w:ind w:left="425" w:hanging="425"/>
        <w:rPr>
          <w:rFonts w:asciiTheme="minorHAnsi" w:hAnsiTheme="minorHAnsi"/>
          <w:lang w:val="fr-FR"/>
        </w:rPr>
      </w:pPr>
      <w:r>
        <w:rPr>
          <w:rFonts w:cs="Calibri"/>
          <w:lang w:val="fr-FR"/>
        </w:rPr>
        <w:t>10.</w:t>
      </w:r>
      <w:r>
        <w:rPr>
          <w:rFonts w:cs="Calibri"/>
          <w:lang w:val="fr-FR"/>
        </w:rPr>
        <w:tab/>
        <w:t xml:space="preserve">DÉCIDE de </w:t>
      </w:r>
      <w:r w:rsidR="00B80DAB">
        <w:rPr>
          <w:rFonts w:cs="Calibri"/>
          <w:lang w:val="fr-FR"/>
        </w:rPr>
        <w:t xml:space="preserve">supprimer les </w:t>
      </w:r>
      <w:r>
        <w:rPr>
          <w:rFonts w:cs="Calibri"/>
          <w:lang w:val="fr-FR"/>
        </w:rPr>
        <w:t>groupes de travail énumérés à l</w:t>
      </w:r>
      <w:r w:rsidR="007560DD">
        <w:rPr>
          <w:rFonts w:cs="Calibri"/>
          <w:lang w:val="fr-FR"/>
        </w:rPr>
        <w:t>’</w:t>
      </w:r>
      <w:r>
        <w:rPr>
          <w:rFonts w:cs="Calibri"/>
          <w:lang w:val="fr-FR"/>
        </w:rPr>
        <w:t>annexe 1 et invite le</w:t>
      </w:r>
      <w:r w:rsidR="00801CD1">
        <w:rPr>
          <w:rFonts w:cs="Calibri"/>
          <w:lang w:val="fr-FR"/>
        </w:rPr>
        <w:t>ur</w:t>
      </w:r>
      <w:r>
        <w:rPr>
          <w:rFonts w:cs="Calibri"/>
          <w:lang w:val="fr-FR"/>
        </w:rPr>
        <w:t>s présidents à soumettre au Comité permanent</w:t>
      </w:r>
      <w:r w:rsidR="008967D1">
        <w:rPr>
          <w:rFonts w:cs="Calibri"/>
          <w:lang w:val="fr-FR"/>
        </w:rPr>
        <w:t>, s’il y a lieu,</w:t>
      </w:r>
      <w:r>
        <w:rPr>
          <w:rFonts w:cs="Calibri"/>
          <w:lang w:val="fr-FR"/>
        </w:rPr>
        <w:t xml:space="preserve"> le rapport final sur les travaux de </w:t>
      </w:r>
      <w:r w:rsidR="008967D1">
        <w:rPr>
          <w:rFonts w:cs="Calibri"/>
          <w:lang w:val="fr-FR"/>
        </w:rPr>
        <w:t>ces organes subsidiaires pour publication</w:t>
      </w:r>
      <w:r>
        <w:rPr>
          <w:rFonts w:cs="Calibri"/>
          <w:lang w:val="fr-FR"/>
        </w:rPr>
        <w:t xml:space="preserve"> sur le site </w:t>
      </w:r>
      <w:r w:rsidR="00B80DAB">
        <w:rPr>
          <w:rFonts w:cs="Calibri"/>
          <w:lang w:val="fr-FR"/>
        </w:rPr>
        <w:t>w</w:t>
      </w:r>
      <w:r>
        <w:rPr>
          <w:rFonts w:cs="Calibri"/>
          <w:lang w:val="fr-FR"/>
        </w:rPr>
        <w:t>e</w:t>
      </w:r>
      <w:r w:rsidR="0042786E">
        <w:rPr>
          <w:rFonts w:cs="Calibri"/>
          <w:lang w:val="fr-FR"/>
        </w:rPr>
        <w:t>b de la Convention</w:t>
      </w:r>
      <w:r w:rsidR="008009F2">
        <w:rPr>
          <w:rFonts w:cs="Calibri"/>
          <w:lang w:val="fr-FR"/>
        </w:rPr>
        <w:t>, avant la 57</w:t>
      </w:r>
      <w:r w:rsidR="008009F2" w:rsidRPr="008009F2">
        <w:rPr>
          <w:rFonts w:cs="Calibri"/>
          <w:vertAlign w:val="superscript"/>
          <w:lang w:val="fr-FR"/>
        </w:rPr>
        <w:t>e</w:t>
      </w:r>
      <w:r w:rsidR="008009F2">
        <w:rPr>
          <w:rFonts w:cs="Calibri"/>
          <w:lang w:val="fr-FR"/>
        </w:rPr>
        <w:t> Réunion du Comité permanent</w:t>
      </w:r>
      <w:r w:rsidR="00B80DAB">
        <w:rPr>
          <w:rFonts w:cs="Calibri"/>
          <w:lang w:val="fr-FR"/>
        </w:rPr>
        <w:t>.</w:t>
      </w:r>
      <w:r>
        <w:rPr>
          <w:rFonts w:cs="Calibri"/>
          <w:lang w:val="fr-FR"/>
        </w:rPr>
        <w:t xml:space="preserve"> </w:t>
      </w:r>
    </w:p>
    <w:p w:rsidR="00322915" w:rsidRPr="00513576" w:rsidRDefault="00C0411C" w:rsidP="00557E85">
      <w:pPr>
        <w:ind w:left="425" w:hanging="425"/>
        <w:rPr>
          <w:rFonts w:asciiTheme="minorHAnsi" w:hAnsiTheme="minorHAnsi"/>
          <w:lang w:val="fr-FR"/>
        </w:rPr>
      </w:pPr>
    </w:p>
    <w:p w:rsidR="006A2474" w:rsidRPr="00513576" w:rsidRDefault="00954AB1" w:rsidP="00557E85">
      <w:pPr>
        <w:ind w:left="425" w:hanging="425"/>
        <w:rPr>
          <w:rFonts w:asciiTheme="minorHAnsi" w:hAnsiTheme="minorHAnsi"/>
          <w:lang w:val="fr-FR"/>
        </w:rPr>
      </w:pPr>
      <w:r>
        <w:rPr>
          <w:rFonts w:cs="Calibri"/>
          <w:lang w:val="fr-FR"/>
        </w:rPr>
        <w:t>11.</w:t>
      </w:r>
      <w:r>
        <w:rPr>
          <w:rFonts w:cs="Calibri"/>
          <w:lang w:val="fr-FR"/>
        </w:rPr>
        <w:tab/>
        <w:t>ÉTABLIT le Groupe de travail sur l</w:t>
      </w:r>
      <w:r w:rsidR="007560DD">
        <w:rPr>
          <w:rFonts w:cs="Calibri"/>
          <w:lang w:val="fr-FR"/>
        </w:rPr>
        <w:t>’</w:t>
      </w:r>
      <w:r>
        <w:rPr>
          <w:rFonts w:cs="Calibri"/>
          <w:lang w:val="fr-FR"/>
        </w:rPr>
        <w:t>efficacité en vertu de l</w:t>
      </w:r>
      <w:r w:rsidR="007560DD">
        <w:rPr>
          <w:rFonts w:cs="Calibri"/>
          <w:lang w:val="fr-FR"/>
        </w:rPr>
        <w:t>’</w:t>
      </w:r>
      <w:r w:rsidR="00B80DAB">
        <w:rPr>
          <w:rFonts w:cs="Calibri"/>
          <w:lang w:val="fr-FR"/>
        </w:rPr>
        <w:t>a</w:t>
      </w:r>
      <w:r>
        <w:rPr>
          <w:rFonts w:cs="Calibri"/>
          <w:lang w:val="fr-FR"/>
        </w:rPr>
        <w:t>rticle 25 du Règlement intérieur</w:t>
      </w:r>
      <w:r w:rsidR="00B80DAB">
        <w:rPr>
          <w:rFonts w:cs="Calibri"/>
          <w:lang w:val="fr-FR"/>
        </w:rPr>
        <w:t>.</w:t>
      </w:r>
    </w:p>
    <w:p w:rsidR="00322915" w:rsidRPr="00513576" w:rsidRDefault="00C0411C" w:rsidP="00557E85">
      <w:pPr>
        <w:ind w:left="425" w:hanging="425"/>
        <w:rPr>
          <w:rFonts w:asciiTheme="minorHAnsi" w:hAnsiTheme="minorHAnsi"/>
          <w:lang w:val="fr-FR"/>
        </w:rPr>
      </w:pPr>
    </w:p>
    <w:p w:rsidR="002072F8" w:rsidRPr="00513576" w:rsidRDefault="00954AB1" w:rsidP="00557E85">
      <w:pPr>
        <w:ind w:left="425" w:hanging="425"/>
        <w:rPr>
          <w:rFonts w:asciiTheme="minorHAnsi" w:hAnsiTheme="minorHAnsi"/>
          <w:lang w:val="fr-FR"/>
        </w:rPr>
      </w:pPr>
      <w:r>
        <w:rPr>
          <w:rFonts w:cs="Calibri"/>
          <w:lang w:val="fr-FR"/>
        </w:rPr>
        <w:t xml:space="preserve">12. </w:t>
      </w:r>
      <w:r>
        <w:rPr>
          <w:rFonts w:cs="Calibri"/>
          <w:lang w:val="fr-FR"/>
        </w:rPr>
        <w:tab/>
        <w:t>DÉCIDE que le Groupe de travail sur l</w:t>
      </w:r>
      <w:r w:rsidR="007560DD">
        <w:rPr>
          <w:rFonts w:cs="Calibri"/>
          <w:lang w:val="fr-FR"/>
        </w:rPr>
        <w:t>’</w:t>
      </w:r>
      <w:r>
        <w:rPr>
          <w:rFonts w:cs="Calibri"/>
          <w:lang w:val="fr-FR"/>
        </w:rPr>
        <w:t>efficacité est composé d</w:t>
      </w:r>
      <w:r w:rsidR="007560DD">
        <w:rPr>
          <w:rFonts w:cs="Calibri"/>
          <w:lang w:val="fr-FR"/>
        </w:rPr>
        <w:t>’</w:t>
      </w:r>
      <w:r>
        <w:rPr>
          <w:rFonts w:cs="Calibri"/>
          <w:lang w:val="fr-FR"/>
        </w:rPr>
        <w:t xml:space="preserve">un représentant du Comité permanent de chaque région Ramsar ainsi que de toute autre Partie contractante intéressée, </w:t>
      </w:r>
      <w:r w:rsidR="00B80DAB">
        <w:rPr>
          <w:rFonts w:cs="Calibri"/>
          <w:lang w:val="fr-FR"/>
        </w:rPr>
        <w:t>sachant</w:t>
      </w:r>
      <w:r>
        <w:rPr>
          <w:rFonts w:cs="Calibri"/>
          <w:lang w:val="fr-FR"/>
        </w:rPr>
        <w:t xml:space="preserve"> qu’il est souhaitable que la participation soit équitable et que la tai</w:t>
      </w:r>
      <w:r w:rsidR="00B80DAB">
        <w:rPr>
          <w:rFonts w:cs="Calibri"/>
          <w:lang w:val="fr-FR"/>
        </w:rPr>
        <w:t>lle du groupe reste raisonnable.</w:t>
      </w:r>
    </w:p>
    <w:p w:rsidR="00322915" w:rsidRPr="00513576" w:rsidRDefault="00C0411C" w:rsidP="00557E85">
      <w:pPr>
        <w:ind w:left="425" w:hanging="425"/>
        <w:rPr>
          <w:rFonts w:asciiTheme="minorHAnsi" w:hAnsiTheme="minorHAnsi"/>
          <w:lang w:val="fr-FR"/>
        </w:rPr>
      </w:pPr>
    </w:p>
    <w:p w:rsidR="001E0173" w:rsidRPr="00513576" w:rsidRDefault="00954AB1" w:rsidP="00557E85">
      <w:pPr>
        <w:ind w:left="425" w:hanging="425"/>
        <w:rPr>
          <w:rFonts w:asciiTheme="minorHAnsi" w:hAnsiTheme="minorHAnsi"/>
          <w:lang w:val="fr-FR"/>
        </w:rPr>
      </w:pPr>
      <w:r>
        <w:rPr>
          <w:rFonts w:cs="Calibri"/>
          <w:lang w:val="fr-FR"/>
        </w:rPr>
        <w:t>13.</w:t>
      </w:r>
      <w:r>
        <w:rPr>
          <w:rFonts w:cs="Calibri"/>
          <w:lang w:val="fr-FR"/>
        </w:rPr>
        <w:tab/>
        <w:t>CHARGE le Groupe de travail sur l</w:t>
      </w:r>
      <w:r w:rsidR="007560DD">
        <w:rPr>
          <w:rFonts w:cs="Calibri"/>
          <w:lang w:val="fr-FR"/>
        </w:rPr>
        <w:t>’</w:t>
      </w:r>
      <w:r>
        <w:rPr>
          <w:rFonts w:cs="Calibri"/>
          <w:lang w:val="fr-FR"/>
        </w:rPr>
        <w:t>efficacité de désigner</w:t>
      </w:r>
      <w:r w:rsidR="006242DA">
        <w:rPr>
          <w:rFonts w:cs="Calibri"/>
          <w:lang w:val="fr-FR"/>
        </w:rPr>
        <w:t>, parmi</w:t>
      </w:r>
      <w:r>
        <w:rPr>
          <w:rFonts w:cs="Calibri"/>
          <w:lang w:val="fr-FR"/>
        </w:rPr>
        <w:t xml:space="preserve"> ses membres</w:t>
      </w:r>
      <w:r w:rsidR="006242DA">
        <w:rPr>
          <w:rFonts w:cs="Calibri"/>
          <w:lang w:val="fr-FR"/>
        </w:rPr>
        <w:t>,</w:t>
      </w:r>
      <w:r>
        <w:rPr>
          <w:rFonts w:cs="Calibri"/>
          <w:lang w:val="fr-FR"/>
        </w:rPr>
        <w:t xml:space="preserve"> </w:t>
      </w:r>
      <w:r w:rsidR="006242DA">
        <w:rPr>
          <w:rFonts w:cs="Calibri"/>
          <w:lang w:val="fr-FR"/>
        </w:rPr>
        <w:t>un</w:t>
      </w:r>
      <w:r>
        <w:rPr>
          <w:rFonts w:cs="Calibri"/>
          <w:lang w:val="fr-FR"/>
        </w:rPr>
        <w:t xml:space="preserve"> président et </w:t>
      </w:r>
      <w:r w:rsidR="006242DA">
        <w:rPr>
          <w:rFonts w:cs="Calibri"/>
          <w:lang w:val="fr-FR"/>
        </w:rPr>
        <w:t xml:space="preserve">un </w:t>
      </w:r>
      <w:r>
        <w:rPr>
          <w:rFonts w:cs="Calibri"/>
          <w:lang w:val="fr-FR"/>
        </w:rPr>
        <w:t>coprésident/vice-président</w:t>
      </w:r>
      <w:r w:rsidR="006242DA">
        <w:rPr>
          <w:rFonts w:cs="Calibri"/>
          <w:lang w:val="fr-FR"/>
        </w:rPr>
        <w:t xml:space="preserve"> qui agira</w:t>
      </w:r>
      <w:r>
        <w:rPr>
          <w:rFonts w:cs="Calibri"/>
          <w:lang w:val="fr-FR"/>
        </w:rPr>
        <w:t xml:space="preserve"> en </w:t>
      </w:r>
      <w:r w:rsidR="00B80DAB">
        <w:rPr>
          <w:rFonts w:cs="Calibri"/>
          <w:lang w:val="fr-FR"/>
        </w:rPr>
        <w:t>qualité de rapporteur.</w:t>
      </w:r>
    </w:p>
    <w:p w:rsidR="00322915" w:rsidRPr="00513576" w:rsidRDefault="00C0411C" w:rsidP="00557E85">
      <w:pPr>
        <w:ind w:left="425" w:hanging="425"/>
        <w:rPr>
          <w:rFonts w:asciiTheme="minorHAnsi" w:hAnsiTheme="minorHAnsi"/>
          <w:lang w:val="fr-FR"/>
        </w:rPr>
      </w:pPr>
    </w:p>
    <w:p w:rsidR="0061706B" w:rsidRPr="00513576" w:rsidRDefault="00954AB1" w:rsidP="00557E85">
      <w:pPr>
        <w:ind w:left="425" w:hanging="425"/>
        <w:rPr>
          <w:rFonts w:asciiTheme="minorHAnsi" w:hAnsiTheme="minorHAnsi"/>
          <w:lang w:val="fr-FR"/>
        </w:rPr>
      </w:pPr>
      <w:r>
        <w:rPr>
          <w:rFonts w:cs="Calibri"/>
          <w:lang w:val="fr-FR"/>
        </w:rPr>
        <w:t>14.</w:t>
      </w:r>
      <w:r>
        <w:rPr>
          <w:rFonts w:cs="Calibri"/>
          <w:lang w:val="fr-FR"/>
        </w:rPr>
        <w:tab/>
        <w:t>DEMANDE au Groupe de travail sur l</w:t>
      </w:r>
      <w:r w:rsidR="007560DD">
        <w:rPr>
          <w:rFonts w:cs="Calibri"/>
          <w:lang w:val="fr-FR"/>
        </w:rPr>
        <w:t>’</w:t>
      </w:r>
      <w:r>
        <w:rPr>
          <w:rFonts w:cs="Calibri"/>
          <w:lang w:val="fr-FR"/>
        </w:rPr>
        <w:t>efficacité d</w:t>
      </w:r>
      <w:r w:rsidR="007560DD">
        <w:rPr>
          <w:rFonts w:cs="Calibri"/>
          <w:lang w:val="fr-FR"/>
        </w:rPr>
        <w:t>’</w:t>
      </w:r>
      <w:r>
        <w:rPr>
          <w:rFonts w:cs="Calibri"/>
          <w:lang w:val="fr-FR"/>
        </w:rPr>
        <w:t>examiner</w:t>
      </w:r>
      <w:r w:rsidR="006E036C">
        <w:rPr>
          <w:rFonts w:cs="Calibri"/>
          <w:lang w:val="fr-FR"/>
        </w:rPr>
        <w:t>, avec l’assistance d’un consultant indépendant,</w:t>
      </w:r>
      <w:r>
        <w:rPr>
          <w:rFonts w:cs="Calibri"/>
          <w:lang w:val="fr-FR"/>
        </w:rPr>
        <w:t xml:space="preserve"> la structure de gouvernance de la Convention telle qu</w:t>
      </w:r>
      <w:r w:rsidR="007560DD">
        <w:rPr>
          <w:rFonts w:cs="Calibri"/>
          <w:lang w:val="fr-FR"/>
        </w:rPr>
        <w:t>’</w:t>
      </w:r>
      <w:r>
        <w:rPr>
          <w:rFonts w:cs="Calibri"/>
          <w:lang w:val="fr-FR"/>
        </w:rPr>
        <w:t xml:space="preserve">elle </w:t>
      </w:r>
      <w:r w:rsidR="0042786E">
        <w:rPr>
          <w:rFonts w:cs="Calibri"/>
          <w:lang w:val="fr-FR"/>
        </w:rPr>
        <w:t>s</w:t>
      </w:r>
      <w:r w:rsidR="007560DD">
        <w:rPr>
          <w:rFonts w:cs="Calibri"/>
          <w:lang w:val="fr-FR"/>
        </w:rPr>
        <w:t>e</w:t>
      </w:r>
      <w:r w:rsidR="0042786E">
        <w:rPr>
          <w:rFonts w:cs="Calibri"/>
          <w:lang w:val="fr-FR"/>
        </w:rPr>
        <w:t xml:space="preserve"> présente</w:t>
      </w:r>
      <w:r>
        <w:rPr>
          <w:rFonts w:cs="Calibri"/>
          <w:lang w:val="fr-FR"/>
        </w:rPr>
        <w:t xml:space="preserve"> à la clôture de la 13</w:t>
      </w:r>
      <w:r w:rsidRPr="0042786E">
        <w:rPr>
          <w:rFonts w:cs="Calibri"/>
          <w:vertAlign w:val="superscript"/>
          <w:lang w:val="fr-FR"/>
        </w:rPr>
        <w:t>e</w:t>
      </w:r>
      <w:r w:rsidR="0042786E">
        <w:rPr>
          <w:rFonts w:cs="Calibri"/>
          <w:lang w:val="fr-FR"/>
        </w:rPr>
        <w:t> </w:t>
      </w:r>
      <w:r w:rsidR="00B80DAB">
        <w:rPr>
          <w:rFonts w:cs="Calibri"/>
          <w:lang w:val="fr-FR"/>
        </w:rPr>
        <w:t xml:space="preserve">Session de la </w:t>
      </w:r>
      <w:r>
        <w:rPr>
          <w:rFonts w:cs="Calibri"/>
          <w:lang w:val="fr-FR"/>
        </w:rPr>
        <w:t>Conférence des Parties, aux fins de</w:t>
      </w:r>
      <w:r w:rsidR="007560DD">
        <w:rPr>
          <w:rFonts w:cs="Calibri"/>
          <w:lang w:val="fr-FR"/>
        </w:rPr>
        <w:t> </w:t>
      </w:r>
      <w:r>
        <w:rPr>
          <w:rFonts w:cs="Calibri"/>
          <w:lang w:val="fr-FR"/>
        </w:rPr>
        <w:t xml:space="preserve">: </w:t>
      </w:r>
    </w:p>
    <w:p w:rsidR="0061706B" w:rsidRPr="00513576" w:rsidRDefault="00C0411C" w:rsidP="00557E85">
      <w:pPr>
        <w:pStyle w:val="ListParagraph"/>
        <w:ind w:left="0"/>
        <w:rPr>
          <w:rFonts w:asciiTheme="minorHAnsi" w:hAnsiTheme="minorHAnsi"/>
          <w:lang w:val="fr-FR"/>
        </w:rPr>
      </w:pPr>
    </w:p>
    <w:p w:rsidR="00A41E77" w:rsidRPr="00513576" w:rsidRDefault="00B80DAB" w:rsidP="00557E85">
      <w:pPr>
        <w:pStyle w:val="ListParagraph"/>
        <w:numPr>
          <w:ilvl w:val="1"/>
          <w:numId w:val="8"/>
        </w:numPr>
        <w:ind w:left="850" w:hanging="425"/>
        <w:rPr>
          <w:rFonts w:asciiTheme="minorHAnsi" w:hAnsiTheme="minorHAnsi"/>
          <w:lang w:val="fr-FR"/>
        </w:rPr>
      </w:pPr>
      <w:r>
        <w:rPr>
          <w:rFonts w:cs="Calibri"/>
          <w:lang w:val="fr-FR"/>
        </w:rPr>
        <w:t>r</w:t>
      </w:r>
      <w:r w:rsidR="00954AB1">
        <w:rPr>
          <w:rFonts w:cs="Calibri"/>
          <w:lang w:val="fr-FR"/>
        </w:rPr>
        <w:t>ecommander des révisions (le cas échéant) qui renforcent encore l</w:t>
      </w:r>
      <w:r w:rsidR="007560DD">
        <w:rPr>
          <w:rFonts w:cs="Calibri"/>
          <w:lang w:val="fr-FR"/>
        </w:rPr>
        <w:t>’</w:t>
      </w:r>
      <w:r w:rsidR="00954AB1">
        <w:rPr>
          <w:rFonts w:cs="Calibri"/>
          <w:lang w:val="fr-FR"/>
        </w:rPr>
        <w:t>efficacité, y compris la rentabilité, et l</w:t>
      </w:r>
      <w:r w:rsidR="007560DD">
        <w:rPr>
          <w:rFonts w:cs="Calibri"/>
          <w:lang w:val="fr-FR"/>
        </w:rPr>
        <w:t>’</w:t>
      </w:r>
      <w:r w:rsidR="00954AB1">
        <w:rPr>
          <w:rFonts w:cs="Calibri"/>
          <w:lang w:val="fr-FR"/>
        </w:rPr>
        <w:t>efficience de la Convention, afin de réduire les charges administratives et d</w:t>
      </w:r>
      <w:r w:rsidR="007560DD">
        <w:rPr>
          <w:rFonts w:cs="Calibri"/>
          <w:lang w:val="fr-FR"/>
        </w:rPr>
        <w:t>’</w:t>
      </w:r>
      <w:r w:rsidR="00954AB1">
        <w:rPr>
          <w:rFonts w:cs="Calibri"/>
          <w:lang w:val="fr-FR"/>
        </w:rPr>
        <w:t xml:space="preserve">accélérer </w:t>
      </w:r>
      <w:r w:rsidR="00443FD0">
        <w:rPr>
          <w:rFonts w:cs="Calibri"/>
          <w:lang w:val="fr-FR"/>
        </w:rPr>
        <w:t xml:space="preserve">la </w:t>
      </w:r>
      <w:r w:rsidR="00954AB1">
        <w:rPr>
          <w:rFonts w:cs="Calibri"/>
          <w:lang w:val="fr-FR"/>
        </w:rPr>
        <w:t>réalisation de la mission de la Convention de Ramsar</w:t>
      </w:r>
      <w:r w:rsidR="00317909">
        <w:rPr>
          <w:rFonts w:cs="Calibri"/>
          <w:lang w:val="fr-FR"/>
        </w:rPr>
        <w:t>;</w:t>
      </w:r>
      <w:r w:rsidR="00954AB1">
        <w:rPr>
          <w:rFonts w:cs="Calibri"/>
          <w:lang w:val="fr-FR"/>
        </w:rPr>
        <w:t xml:space="preserve"> et</w:t>
      </w:r>
    </w:p>
    <w:p w:rsidR="0061706B" w:rsidRPr="00513576" w:rsidRDefault="00C0411C" w:rsidP="00557E85">
      <w:pPr>
        <w:pStyle w:val="ListParagraph"/>
        <w:ind w:left="850" w:hanging="425"/>
        <w:rPr>
          <w:rFonts w:asciiTheme="minorHAnsi" w:hAnsiTheme="minorHAnsi"/>
          <w:lang w:val="fr-FR"/>
        </w:rPr>
      </w:pPr>
    </w:p>
    <w:p w:rsidR="00123DD3" w:rsidRPr="00513576" w:rsidRDefault="00B80DAB" w:rsidP="00557E85">
      <w:pPr>
        <w:pStyle w:val="ListParagraph"/>
        <w:numPr>
          <w:ilvl w:val="1"/>
          <w:numId w:val="8"/>
        </w:numPr>
        <w:ind w:left="850" w:hanging="425"/>
        <w:rPr>
          <w:rFonts w:asciiTheme="minorHAnsi" w:hAnsiTheme="minorHAnsi"/>
          <w:lang w:val="fr-FR"/>
        </w:rPr>
      </w:pPr>
      <w:r>
        <w:rPr>
          <w:rFonts w:cs="Calibri"/>
          <w:lang w:val="fr-FR"/>
        </w:rPr>
        <w:t>p</w:t>
      </w:r>
      <w:r w:rsidR="00954AB1">
        <w:rPr>
          <w:rFonts w:cs="Calibri"/>
          <w:lang w:val="fr-FR"/>
        </w:rPr>
        <w:t xml:space="preserve">roposer un processus </w:t>
      </w:r>
      <w:r>
        <w:rPr>
          <w:rFonts w:cs="Calibri"/>
          <w:lang w:val="fr-FR"/>
        </w:rPr>
        <w:t>d’application de ses recommandations.</w:t>
      </w:r>
    </w:p>
    <w:p w:rsidR="00322915" w:rsidRPr="00513576" w:rsidRDefault="00C0411C" w:rsidP="00557E85">
      <w:pPr>
        <w:pStyle w:val="ListParagraph"/>
        <w:ind w:left="0"/>
        <w:rPr>
          <w:rFonts w:asciiTheme="minorHAnsi" w:hAnsiTheme="minorHAnsi"/>
          <w:lang w:val="fr-FR"/>
        </w:rPr>
      </w:pPr>
    </w:p>
    <w:p w:rsidR="00AB7360" w:rsidRPr="00513576" w:rsidRDefault="00954AB1" w:rsidP="00557E85">
      <w:pPr>
        <w:ind w:left="425" w:hanging="425"/>
        <w:rPr>
          <w:rFonts w:asciiTheme="minorHAnsi" w:hAnsiTheme="minorHAnsi"/>
          <w:lang w:val="fr-FR"/>
        </w:rPr>
      </w:pPr>
      <w:r>
        <w:rPr>
          <w:rFonts w:cs="Calibri"/>
          <w:lang w:val="fr-FR"/>
        </w:rPr>
        <w:t>15.</w:t>
      </w:r>
      <w:r>
        <w:rPr>
          <w:rFonts w:cs="Calibri"/>
          <w:lang w:val="fr-FR"/>
        </w:rPr>
        <w:tab/>
        <w:t>DEMANDE au Groupe de travail sur l</w:t>
      </w:r>
      <w:r w:rsidR="007560DD">
        <w:rPr>
          <w:rFonts w:cs="Calibri"/>
          <w:lang w:val="fr-FR"/>
        </w:rPr>
        <w:t>’</w:t>
      </w:r>
      <w:r>
        <w:rPr>
          <w:rFonts w:cs="Calibri"/>
          <w:lang w:val="fr-FR"/>
        </w:rPr>
        <w:t>efficacité de définir son mandat pour présentati</w:t>
      </w:r>
      <w:r w:rsidR="0042786E">
        <w:rPr>
          <w:rFonts w:cs="Calibri"/>
          <w:lang w:val="fr-FR"/>
        </w:rPr>
        <w:t xml:space="preserve">on </w:t>
      </w:r>
      <w:r w:rsidR="006B24D2">
        <w:rPr>
          <w:rFonts w:cs="Calibri"/>
          <w:lang w:val="fr-FR"/>
        </w:rPr>
        <w:t>à la</w:t>
      </w:r>
      <w:r w:rsidR="0042786E">
        <w:rPr>
          <w:rFonts w:cs="Calibri"/>
          <w:lang w:val="fr-FR"/>
        </w:rPr>
        <w:t xml:space="preserve"> 57</w:t>
      </w:r>
      <w:r w:rsidR="0042786E" w:rsidRPr="0042786E">
        <w:rPr>
          <w:rFonts w:cs="Calibri"/>
          <w:vertAlign w:val="superscript"/>
          <w:lang w:val="fr-FR"/>
        </w:rPr>
        <w:t>e</w:t>
      </w:r>
      <w:r w:rsidR="0042786E">
        <w:rPr>
          <w:rFonts w:cs="Calibri"/>
          <w:lang w:val="fr-FR"/>
        </w:rPr>
        <w:t> </w:t>
      </w:r>
      <w:r>
        <w:rPr>
          <w:rFonts w:cs="Calibri"/>
          <w:lang w:val="fr-FR"/>
        </w:rPr>
        <w:t>Réunion</w:t>
      </w:r>
      <w:r w:rsidR="006B24D2">
        <w:rPr>
          <w:rFonts w:cs="Calibri"/>
          <w:lang w:val="fr-FR"/>
        </w:rPr>
        <w:t xml:space="preserve"> du Comité permanent</w:t>
      </w:r>
      <w:r w:rsidR="0042786E">
        <w:rPr>
          <w:rFonts w:cs="Calibri"/>
          <w:lang w:val="fr-FR"/>
        </w:rPr>
        <w:t xml:space="preserve">, </w:t>
      </w:r>
      <w:r w:rsidR="00B80DAB">
        <w:rPr>
          <w:rFonts w:cs="Calibri"/>
          <w:lang w:val="fr-FR"/>
        </w:rPr>
        <w:t>et de faire rapport à cette r</w:t>
      </w:r>
      <w:r>
        <w:rPr>
          <w:rFonts w:cs="Calibri"/>
          <w:lang w:val="fr-FR"/>
        </w:rPr>
        <w:t>éunion et à chaque réunion ultérieure du Comité permanent</w:t>
      </w:r>
      <w:r w:rsidR="006B24D2">
        <w:rPr>
          <w:rFonts w:cs="Calibri"/>
          <w:lang w:val="fr-FR"/>
        </w:rPr>
        <w:t>;</w:t>
      </w:r>
      <w:r>
        <w:rPr>
          <w:rFonts w:cs="Calibri"/>
          <w:lang w:val="fr-FR"/>
        </w:rPr>
        <w:t xml:space="preserve"> </w:t>
      </w:r>
      <w:r w:rsidR="006B24D2">
        <w:rPr>
          <w:rFonts w:cs="Calibri"/>
          <w:lang w:val="fr-FR"/>
        </w:rPr>
        <w:t>les</w:t>
      </w:r>
      <w:r>
        <w:rPr>
          <w:rFonts w:cs="Calibri"/>
          <w:lang w:val="fr-FR"/>
        </w:rPr>
        <w:t xml:space="preserve"> r</w:t>
      </w:r>
      <w:r w:rsidR="0042786E">
        <w:rPr>
          <w:rFonts w:cs="Calibri"/>
          <w:lang w:val="fr-FR"/>
        </w:rPr>
        <w:t xml:space="preserve">ecommandations finales </w:t>
      </w:r>
      <w:r w:rsidR="006B24D2">
        <w:rPr>
          <w:rFonts w:cs="Calibri"/>
          <w:lang w:val="fr-FR"/>
        </w:rPr>
        <w:t>seront présentées à l</w:t>
      </w:r>
      <w:r w:rsidR="0042786E">
        <w:rPr>
          <w:rFonts w:cs="Calibri"/>
          <w:lang w:val="fr-FR"/>
        </w:rPr>
        <w:t>a 59</w:t>
      </w:r>
      <w:r w:rsidR="0042786E" w:rsidRPr="0042786E">
        <w:rPr>
          <w:rFonts w:cs="Calibri"/>
          <w:vertAlign w:val="superscript"/>
          <w:lang w:val="fr-FR"/>
        </w:rPr>
        <w:t>e</w:t>
      </w:r>
      <w:r w:rsidR="0042786E">
        <w:rPr>
          <w:rFonts w:cs="Calibri"/>
          <w:lang w:val="fr-FR"/>
        </w:rPr>
        <w:t> </w:t>
      </w:r>
      <w:r>
        <w:rPr>
          <w:rFonts w:cs="Calibri"/>
          <w:lang w:val="fr-FR"/>
        </w:rPr>
        <w:t>Réunion</w:t>
      </w:r>
      <w:r w:rsidR="006B24D2">
        <w:rPr>
          <w:rFonts w:cs="Calibri"/>
          <w:lang w:val="fr-FR"/>
        </w:rPr>
        <w:t xml:space="preserve"> et comprendront</w:t>
      </w:r>
      <w:r>
        <w:rPr>
          <w:rFonts w:cs="Calibri"/>
          <w:lang w:val="fr-FR"/>
        </w:rPr>
        <w:t xml:space="preserve"> un projet de résolution </w:t>
      </w:r>
      <w:r w:rsidR="00B80DAB">
        <w:rPr>
          <w:rFonts w:cs="Calibri"/>
          <w:lang w:val="fr-FR"/>
        </w:rPr>
        <w:t xml:space="preserve">pour </w:t>
      </w:r>
      <w:r>
        <w:rPr>
          <w:rFonts w:cs="Calibri"/>
          <w:lang w:val="fr-FR"/>
        </w:rPr>
        <w:t xml:space="preserve">examen </w:t>
      </w:r>
      <w:r w:rsidR="00B80DAB">
        <w:rPr>
          <w:rFonts w:cs="Calibri"/>
          <w:lang w:val="fr-FR"/>
        </w:rPr>
        <w:t>par le Comité permanent.</w:t>
      </w:r>
      <w:r>
        <w:rPr>
          <w:rFonts w:cs="Calibri"/>
          <w:lang w:val="fr-FR"/>
        </w:rPr>
        <w:t xml:space="preserve"> </w:t>
      </w:r>
    </w:p>
    <w:p w:rsidR="001E0173" w:rsidRPr="00513576" w:rsidRDefault="00C0411C" w:rsidP="00557E85">
      <w:pPr>
        <w:ind w:left="425" w:hanging="425"/>
        <w:rPr>
          <w:rFonts w:asciiTheme="minorHAnsi" w:hAnsiTheme="minorHAnsi"/>
          <w:lang w:val="fr-FR"/>
        </w:rPr>
      </w:pPr>
    </w:p>
    <w:p w:rsidR="005A2ACF" w:rsidRPr="00513576" w:rsidRDefault="0042786E" w:rsidP="00557E85">
      <w:pPr>
        <w:ind w:left="425" w:hanging="425"/>
        <w:rPr>
          <w:rFonts w:asciiTheme="minorHAnsi" w:hAnsiTheme="minorHAnsi"/>
          <w:lang w:val="fr-FR"/>
        </w:rPr>
      </w:pPr>
      <w:r>
        <w:rPr>
          <w:rFonts w:cs="Calibri"/>
          <w:lang w:val="fr-FR"/>
        </w:rPr>
        <w:t>16.</w:t>
      </w:r>
      <w:r>
        <w:rPr>
          <w:rFonts w:cs="Calibri"/>
          <w:lang w:val="fr-FR"/>
        </w:rPr>
        <w:tab/>
        <w:t xml:space="preserve">DÉCIDE </w:t>
      </w:r>
      <w:r w:rsidR="00954AB1">
        <w:rPr>
          <w:rFonts w:cs="Calibri"/>
          <w:lang w:val="fr-FR"/>
        </w:rPr>
        <w:t>d</w:t>
      </w:r>
      <w:r w:rsidR="007560DD">
        <w:rPr>
          <w:rFonts w:cs="Calibri"/>
          <w:lang w:val="fr-FR"/>
        </w:rPr>
        <w:t>’</w:t>
      </w:r>
      <w:r w:rsidR="00954AB1">
        <w:rPr>
          <w:rFonts w:cs="Calibri"/>
          <w:lang w:val="fr-FR"/>
        </w:rPr>
        <w:t>allouer un financement provenant de l</w:t>
      </w:r>
      <w:r w:rsidR="007560DD">
        <w:rPr>
          <w:rFonts w:cs="Calibri"/>
          <w:lang w:val="fr-FR"/>
        </w:rPr>
        <w:t>’</w:t>
      </w:r>
      <w:r w:rsidR="00954AB1">
        <w:rPr>
          <w:rFonts w:cs="Calibri"/>
          <w:lang w:val="fr-FR"/>
        </w:rPr>
        <w:t>excédent actuel</w:t>
      </w:r>
      <w:r w:rsidR="00241095">
        <w:rPr>
          <w:rFonts w:cs="Calibri"/>
          <w:lang w:val="fr-FR"/>
        </w:rPr>
        <w:t xml:space="preserve"> </w:t>
      </w:r>
      <w:r w:rsidR="00954AB1">
        <w:rPr>
          <w:rFonts w:cs="Calibri"/>
          <w:lang w:val="fr-FR"/>
        </w:rPr>
        <w:t xml:space="preserve">du budget </w:t>
      </w:r>
      <w:r w:rsidR="00241095">
        <w:rPr>
          <w:rFonts w:cs="Calibri"/>
          <w:lang w:val="fr-FR"/>
        </w:rPr>
        <w:t xml:space="preserve">administratif </w:t>
      </w:r>
      <w:r w:rsidR="00954AB1">
        <w:rPr>
          <w:rFonts w:cs="Calibri"/>
          <w:lang w:val="fr-FR"/>
        </w:rPr>
        <w:t>pour soutenir les travaux du Groupe de travail, y compris, sans toutefois s</w:t>
      </w:r>
      <w:r w:rsidR="007560DD">
        <w:rPr>
          <w:rFonts w:cs="Calibri"/>
          <w:lang w:val="fr-FR"/>
        </w:rPr>
        <w:t>’</w:t>
      </w:r>
      <w:r w:rsidR="00954AB1">
        <w:rPr>
          <w:rFonts w:cs="Calibri"/>
          <w:lang w:val="fr-FR"/>
        </w:rPr>
        <w:t>y limiter, les réunions ou autres formes d’appui nécessaires à l</w:t>
      </w:r>
      <w:r w:rsidR="007560DD">
        <w:rPr>
          <w:rFonts w:cs="Calibri"/>
          <w:lang w:val="fr-FR"/>
        </w:rPr>
        <w:t>’</w:t>
      </w:r>
      <w:r w:rsidR="00241095">
        <w:rPr>
          <w:rFonts w:cs="Calibri"/>
          <w:lang w:val="fr-FR"/>
        </w:rPr>
        <w:t>accomplissement de ses tâches.</w:t>
      </w:r>
    </w:p>
    <w:p w:rsidR="003D1A4B" w:rsidRPr="00513576" w:rsidRDefault="00C0411C" w:rsidP="00557E85">
      <w:pPr>
        <w:ind w:left="425" w:hanging="425"/>
        <w:rPr>
          <w:rFonts w:asciiTheme="minorHAnsi" w:hAnsiTheme="minorHAnsi"/>
          <w:lang w:val="fr-FR"/>
        </w:rPr>
      </w:pPr>
    </w:p>
    <w:p w:rsidR="00B635A0" w:rsidRPr="00513576" w:rsidRDefault="00954AB1" w:rsidP="00557E85">
      <w:pPr>
        <w:ind w:left="425" w:hanging="425"/>
        <w:rPr>
          <w:rFonts w:asciiTheme="minorHAnsi" w:hAnsiTheme="minorHAnsi"/>
          <w:lang w:val="fr-FR"/>
        </w:rPr>
      </w:pPr>
      <w:r>
        <w:rPr>
          <w:rFonts w:cs="Calibri"/>
          <w:lang w:val="fr-FR"/>
        </w:rPr>
        <w:t>17.</w:t>
      </w:r>
      <w:r>
        <w:rPr>
          <w:rFonts w:cs="Calibri"/>
          <w:lang w:val="fr-FR"/>
        </w:rPr>
        <w:tab/>
        <w:t>DÉCIDE EN OUTRE que le groupe de travail sur l</w:t>
      </w:r>
      <w:r w:rsidR="007560DD">
        <w:rPr>
          <w:rFonts w:cs="Calibri"/>
          <w:lang w:val="fr-FR"/>
        </w:rPr>
        <w:t>’</w:t>
      </w:r>
      <w:r>
        <w:rPr>
          <w:rFonts w:cs="Calibri"/>
          <w:lang w:val="fr-FR"/>
        </w:rPr>
        <w:t>efficacité doit achever les tra</w:t>
      </w:r>
      <w:r w:rsidR="0042786E">
        <w:rPr>
          <w:rFonts w:cs="Calibri"/>
          <w:lang w:val="fr-FR"/>
        </w:rPr>
        <w:t xml:space="preserve">vaux susmentionnés </w:t>
      </w:r>
      <w:r w:rsidR="00BF4DCF">
        <w:rPr>
          <w:rFonts w:cs="Calibri"/>
          <w:lang w:val="fr-FR"/>
        </w:rPr>
        <w:t>au plus tard pour</w:t>
      </w:r>
      <w:r w:rsidR="0042786E">
        <w:rPr>
          <w:rFonts w:cs="Calibri"/>
          <w:lang w:val="fr-FR"/>
        </w:rPr>
        <w:t xml:space="preserve"> la 59</w:t>
      </w:r>
      <w:r w:rsidR="0042786E" w:rsidRPr="0042786E">
        <w:rPr>
          <w:rFonts w:cs="Calibri"/>
          <w:vertAlign w:val="superscript"/>
          <w:lang w:val="fr-FR"/>
        </w:rPr>
        <w:t>e</w:t>
      </w:r>
      <w:r w:rsidR="0042786E">
        <w:rPr>
          <w:rFonts w:cs="Calibri"/>
          <w:lang w:val="fr-FR"/>
        </w:rPr>
        <w:t> </w:t>
      </w:r>
      <w:r>
        <w:rPr>
          <w:rFonts w:cs="Calibri"/>
          <w:lang w:val="fr-FR"/>
        </w:rPr>
        <w:t xml:space="preserve">Réunion du Comité permanent, le groupe sera alors </w:t>
      </w:r>
      <w:r w:rsidR="00BF4DCF">
        <w:rPr>
          <w:rFonts w:cs="Calibri"/>
          <w:lang w:val="fr-FR"/>
        </w:rPr>
        <w:t>supprimé</w:t>
      </w:r>
      <w:r>
        <w:rPr>
          <w:rFonts w:cs="Calibri"/>
          <w:lang w:val="fr-FR"/>
        </w:rPr>
        <w:t>, sauf décision contraire de l</w:t>
      </w:r>
      <w:r w:rsidR="00743196">
        <w:rPr>
          <w:rFonts w:cs="Calibri"/>
          <w:lang w:val="fr-FR"/>
        </w:rPr>
        <w:t>a</w:t>
      </w:r>
      <w:r>
        <w:rPr>
          <w:rFonts w:cs="Calibri"/>
          <w:lang w:val="fr-FR"/>
        </w:rPr>
        <w:t xml:space="preserve"> 14</w:t>
      </w:r>
      <w:r>
        <w:rPr>
          <w:rFonts w:cs="Calibri"/>
          <w:vertAlign w:val="superscript"/>
          <w:lang w:val="fr-FR"/>
        </w:rPr>
        <w:t>e</w:t>
      </w:r>
      <w:r>
        <w:rPr>
          <w:rFonts w:cs="Calibri"/>
          <w:lang w:val="fr-FR"/>
        </w:rPr>
        <w:t xml:space="preserve"> </w:t>
      </w:r>
      <w:r w:rsidR="0042786E">
        <w:rPr>
          <w:rFonts w:cs="Calibri"/>
          <w:lang w:val="fr-FR"/>
        </w:rPr>
        <w:t xml:space="preserve">Session de la </w:t>
      </w:r>
      <w:r>
        <w:rPr>
          <w:rFonts w:cs="Calibri"/>
          <w:lang w:val="fr-FR"/>
        </w:rPr>
        <w:t>Conférence des Parties contractantes</w:t>
      </w:r>
      <w:r w:rsidR="00241095">
        <w:rPr>
          <w:rFonts w:cs="Calibri"/>
          <w:lang w:val="fr-FR"/>
        </w:rPr>
        <w:t>.</w:t>
      </w:r>
    </w:p>
    <w:p w:rsidR="00B635A0" w:rsidRPr="00513576" w:rsidRDefault="00C0411C" w:rsidP="00557E85">
      <w:pPr>
        <w:ind w:left="425" w:hanging="425"/>
        <w:rPr>
          <w:rFonts w:asciiTheme="minorHAnsi" w:hAnsiTheme="minorHAnsi"/>
          <w:lang w:val="fr-FR"/>
        </w:rPr>
      </w:pPr>
    </w:p>
    <w:p w:rsidR="00B635A0" w:rsidRPr="00513576" w:rsidRDefault="00954AB1" w:rsidP="00557E85">
      <w:pPr>
        <w:ind w:left="425" w:hanging="425"/>
        <w:rPr>
          <w:rFonts w:asciiTheme="minorHAnsi" w:hAnsiTheme="minorHAnsi"/>
          <w:lang w:val="fr-FR"/>
        </w:rPr>
      </w:pPr>
      <w:r>
        <w:rPr>
          <w:rFonts w:cs="Calibri"/>
          <w:lang w:val="fr-FR"/>
        </w:rPr>
        <w:t>18.</w:t>
      </w:r>
      <w:r>
        <w:rPr>
          <w:rFonts w:cs="Calibri"/>
          <w:lang w:val="fr-FR"/>
        </w:rPr>
        <w:tab/>
        <w:t xml:space="preserve">CONFIRME que la présente Résolution annule et remplace les décisions relatives à chaque groupe de travail </w:t>
      </w:r>
      <w:r w:rsidR="0042786E">
        <w:rPr>
          <w:rFonts w:cs="Calibri"/>
          <w:lang w:val="fr-FR"/>
        </w:rPr>
        <w:t xml:space="preserve">figurant </w:t>
      </w:r>
      <w:r>
        <w:rPr>
          <w:rFonts w:cs="Calibri"/>
          <w:lang w:val="fr-FR"/>
        </w:rPr>
        <w:t xml:space="preserve">dans les résolutions énumérées à l’annexe 1, et que toutes les responsabilités incombant à ces groupes de travail reviennent </w:t>
      </w:r>
      <w:r w:rsidR="00E34BDB">
        <w:rPr>
          <w:rFonts w:cs="Calibri"/>
          <w:lang w:val="fr-FR"/>
        </w:rPr>
        <w:t xml:space="preserve">désormais </w:t>
      </w:r>
      <w:r>
        <w:rPr>
          <w:rFonts w:cs="Calibri"/>
          <w:lang w:val="fr-FR"/>
        </w:rPr>
        <w:t>au Comité permanent qui les traitera ou les délèguera.</w:t>
      </w:r>
    </w:p>
    <w:p w:rsidR="00B635A0" w:rsidRPr="00513576" w:rsidRDefault="00C0411C" w:rsidP="00557E85">
      <w:pPr>
        <w:pStyle w:val="ListParagraph"/>
        <w:ind w:left="0"/>
        <w:rPr>
          <w:rFonts w:asciiTheme="minorHAnsi" w:hAnsiTheme="minorHAnsi"/>
          <w:lang w:val="fr-FR"/>
        </w:rPr>
      </w:pPr>
    </w:p>
    <w:p w:rsidR="005039A9" w:rsidRPr="00513576" w:rsidRDefault="00954AB1">
      <w:pPr>
        <w:spacing w:after="160" w:line="259" w:lineRule="auto"/>
        <w:rPr>
          <w:rFonts w:asciiTheme="minorHAnsi" w:hAnsiTheme="minorHAnsi" w:cstheme="minorHAnsi"/>
          <w:lang w:val="fr-FR"/>
        </w:rPr>
      </w:pPr>
      <w:r w:rsidRPr="00513576">
        <w:rPr>
          <w:rFonts w:asciiTheme="minorHAnsi" w:hAnsiTheme="minorHAnsi" w:cstheme="minorHAnsi"/>
          <w:lang w:val="fr-FR"/>
        </w:rPr>
        <w:br w:type="page"/>
      </w:r>
    </w:p>
    <w:p w:rsidR="005A2ACF" w:rsidRPr="00557E85" w:rsidRDefault="00954AB1" w:rsidP="00557E85">
      <w:pPr>
        <w:rPr>
          <w:rFonts w:asciiTheme="minorHAnsi" w:hAnsiTheme="minorHAnsi"/>
          <w:b/>
          <w:sz w:val="24"/>
          <w:lang w:val="en-US"/>
        </w:rPr>
      </w:pPr>
      <w:r>
        <w:rPr>
          <w:rFonts w:cs="Calibri"/>
          <w:b/>
          <w:sz w:val="24"/>
          <w:szCs w:val="24"/>
          <w:lang w:val="fr-FR"/>
        </w:rPr>
        <w:lastRenderedPageBreak/>
        <w:t>Annexe 1</w:t>
      </w:r>
    </w:p>
    <w:p w:rsidR="002072F8" w:rsidRPr="00557E85" w:rsidRDefault="00C0411C" w:rsidP="00557E85">
      <w:pPr>
        <w:pStyle w:val="NoSpacing"/>
        <w:ind w:hanging="425"/>
      </w:pPr>
    </w:p>
    <w:tbl>
      <w:tblPr>
        <w:tblStyle w:val="TableGrid"/>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85" w:type="dxa"/>
          <w:bottom w:w="57" w:type="dxa"/>
          <w:right w:w="85" w:type="dxa"/>
        </w:tblCellMar>
        <w:tblLook w:val="04A0" w:firstRow="1" w:lastRow="0" w:firstColumn="1" w:lastColumn="0" w:noHBand="0" w:noVBand="1"/>
      </w:tblPr>
      <w:tblGrid>
        <w:gridCol w:w="2974"/>
        <w:gridCol w:w="6041"/>
      </w:tblGrid>
      <w:tr w:rsidR="00944343" w:rsidRPr="008B4F54" w:rsidTr="00557E85">
        <w:tc>
          <w:tcPr>
            <w:tcW w:w="2974" w:type="dxa"/>
            <w:shd w:val="clear" w:color="auto" w:fill="DEEAF6" w:themeFill="accent1" w:themeFillTint="33"/>
          </w:tcPr>
          <w:p w:rsidR="002072F8" w:rsidRPr="00513576" w:rsidRDefault="00954AB1" w:rsidP="00557E85">
            <w:pPr>
              <w:pStyle w:val="NoSpacing"/>
              <w:jc w:val="center"/>
              <w:rPr>
                <w:b/>
                <w:lang w:val="fr-FR"/>
              </w:rPr>
            </w:pPr>
            <w:r>
              <w:rPr>
                <w:rFonts w:ascii="Calibri" w:eastAsia="Calibri" w:hAnsi="Calibri" w:cs="Calibri"/>
                <w:b/>
                <w:lang w:val="fr-FR"/>
              </w:rPr>
              <w:t>Groupes de travail de la Convention de Ramsar</w:t>
            </w:r>
          </w:p>
        </w:tc>
        <w:tc>
          <w:tcPr>
            <w:tcW w:w="6041" w:type="dxa"/>
            <w:shd w:val="clear" w:color="auto" w:fill="DEEAF6" w:themeFill="accent1" w:themeFillTint="33"/>
          </w:tcPr>
          <w:p w:rsidR="002072F8" w:rsidRPr="00513576" w:rsidRDefault="00954AB1" w:rsidP="00557E85">
            <w:pPr>
              <w:pStyle w:val="NoSpacing"/>
              <w:jc w:val="center"/>
              <w:rPr>
                <w:b/>
                <w:lang w:val="fr-FR"/>
              </w:rPr>
            </w:pPr>
            <w:r>
              <w:rPr>
                <w:rFonts w:ascii="Calibri" w:eastAsia="Calibri" w:hAnsi="Calibri" w:cs="Calibri"/>
                <w:b/>
                <w:lang w:val="fr-FR"/>
              </w:rPr>
              <w:t>Résolutions</w:t>
            </w:r>
            <w:r w:rsidR="007560DD">
              <w:rPr>
                <w:rFonts w:ascii="Calibri" w:eastAsia="Calibri" w:hAnsi="Calibri" w:cs="Calibri"/>
                <w:b/>
                <w:lang w:val="fr-FR"/>
              </w:rPr>
              <w:t>/</w:t>
            </w:r>
            <w:r w:rsidR="00241095">
              <w:rPr>
                <w:rFonts w:ascii="Calibri" w:eastAsia="Calibri" w:hAnsi="Calibri" w:cs="Calibri"/>
                <w:b/>
                <w:lang w:val="fr-FR"/>
              </w:rPr>
              <w:t>D</w:t>
            </w:r>
            <w:r>
              <w:rPr>
                <w:rFonts w:ascii="Calibri" w:eastAsia="Calibri" w:hAnsi="Calibri" w:cs="Calibri"/>
                <w:b/>
                <w:lang w:val="fr-FR"/>
              </w:rPr>
              <w:t>écisions relatives à ces groupes</w:t>
            </w:r>
          </w:p>
        </w:tc>
      </w:tr>
      <w:tr w:rsidR="00944343" w:rsidRPr="008B4F54" w:rsidTr="00557E85">
        <w:tc>
          <w:tcPr>
            <w:tcW w:w="2974" w:type="dxa"/>
          </w:tcPr>
          <w:p w:rsidR="002072F8" w:rsidRPr="00513576" w:rsidRDefault="00954AB1" w:rsidP="005039A9">
            <w:pPr>
              <w:pStyle w:val="NoSpacing"/>
              <w:rPr>
                <w:lang w:val="fr-FR"/>
              </w:rPr>
            </w:pPr>
            <w:r>
              <w:rPr>
                <w:rFonts w:ascii="Calibri" w:eastAsia="Calibri" w:hAnsi="Calibri" w:cs="Calibri"/>
                <w:lang w:val="fr-FR"/>
              </w:rPr>
              <w:t>Groupe de travail sur la CESP</w:t>
            </w:r>
          </w:p>
        </w:tc>
        <w:tc>
          <w:tcPr>
            <w:tcW w:w="6041" w:type="dxa"/>
          </w:tcPr>
          <w:p w:rsidR="002072F8" w:rsidRPr="00513576" w:rsidRDefault="00954AB1" w:rsidP="005039A9">
            <w:pPr>
              <w:pStyle w:val="NoSpacing"/>
              <w:rPr>
                <w:lang w:val="fr-FR"/>
              </w:rPr>
            </w:pPr>
            <w:r>
              <w:rPr>
                <w:rFonts w:ascii="Calibri" w:eastAsia="Calibri" w:hAnsi="Calibri" w:cs="Calibri"/>
                <w:lang w:val="fr-FR"/>
              </w:rPr>
              <w:t xml:space="preserve">Résolution XII.9 </w:t>
            </w:r>
            <w:r>
              <w:rPr>
                <w:rFonts w:ascii="Calibri" w:eastAsia="Calibri" w:hAnsi="Calibri" w:cs="Calibri"/>
                <w:i/>
                <w:lang w:val="fr-FR"/>
              </w:rPr>
              <w:t>Le Programme de la Convention de Ramsar relatif à la communication, au renforcement des capacités, à l’éducation, à la sensibilisation et à la participation (CESP) 2016-2024</w:t>
            </w:r>
            <w:r>
              <w:rPr>
                <w:rFonts w:ascii="Calibri" w:eastAsia="Calibri" w:hAnsi="Calibri" w:cs="Calibri"/>
                <w:lang w:val="fr-FR"/>
              </w:rPr>
              <w:t>.</w:t>
            </w:r>
          </w:p>
        </w:tc>
      </w:tr>
      <w:tr w:rsidR="00944343" w:rsidRPr="008B4F54" w:rsidTr="00557E85">
        <w:tc>
          <w:tcPr>
            <w:tcW w:w="2974" w:type="dxa"/>
          </w:tcPr>
          <w:p w:rsidR="002072F8" w:rsidRPr="00513576" w:rsidRDefault="00954AB1" w:rsidP="005039A9">
            <w:pPr>
              <w:pStyle w:val="NoSpacing"/>
              <w:rPr>
                <w:lang w:val="fr-FR"/>
              </w:rPr>
            </w:pPr>
            <w:r>
              <w:rPr>
                <w:rFonts w:ascii="Calibri" w:eastAsia="Calibri" w:hAnsi="Calibri" w:cs="Calibri"/>
                <w:lang w:val="fr-FR"/>
              </w:rPr>
              <w:t>Groupe de travail sur la facilitation</w:t>
            </w:r>
          </w:p>
        </w:tc>
        <w:tc>
          <w:tcPr>
            <w:tcW w:w="6041" w:type="dxa"/>
          </w:tcPr>
          <w:p w:rsidR="00557E85" w:rsidRPr="00513576" w:rsidRDefault="00954AB1" w:rsidP="005039A9">
            <w:pPr>
              <w:pStyle w:val="NoSpacing"/>
              <w:rPr>
                <w:rFonts w:cstheme="minorHAnsi"/>
                <w:lang w:val="fr-FR"/>
              </w:rPr>
            </w:pPr>
            <w:r>
              <w:rPr>
                <w:rFonts w:ascii="Calibri" w:eastAsia="Calibri" w:hAnsi="Calibri" w:cs="Calibri"/>
                <w:lang w:val="fr-FR"/>
              </w:rPr>
              <w:t xml:space="preserve">Résolution XII.3 </w:t>
            </w:r>
            <w:r>
              <w:rPr>
                <w:rFonts w:ascii="Calibri" w:eastAsia="Calibri" w:hAnsi="Calibri" w:cs="Calibri"/>
                <w:i/>
                <w:lang w:val="fr-FR"/>
              </w:rPr>
              <w:t>Renforcer l’utilisation des langues, la visibilité et la stature de la Convention et améliorer les synergies avec d’autres accords multilatéraux sur l’environnement et autres institutions internationales</w:t>
            </w:r>
            <w:r>
              <w:rPr>
                <w:rFonts w:ascii="Calibri" w:eastAsia="Calibri" w:hAnsi="Calibri" w:cs="Calibri"/>
                <w:lang w:val="fr-FR"/>
              </w:rPr>
              <w:t xml:space="preserve">, et </w:t>
            </w:r>
          </w:p>
          <w:p w:rsidR="002072F8" w:rsidRPr="00513576" w:rsidRDefault="00954AB1" w:rsidP="005039A9">
            <w:pPr>
              <w:pStyle w:val="NoSpacing"/>
              <w:rPr>
                <w:lang w:val="fr-FR"/>
              </w:rPr>
            </w:pPr>
            <w:r>
              <w:rPr>
                <w:rFonts w:ascii="Calibri" w:eastAsia="Calibri" w:hAnsi="Calibri" w:cs="Calibri"/>
                <w:lang w:val="fr-FR"/>
              </w:rPr>
              <w:t xml:space="preserve">Résolution XII.4 </w:t>
            </w:r>
            <w:r>
              <w:rPr>
                <w:rFonts w:ascii="Calibri" w:eastAsia="Calibri" w:hAnsi="Calibri" w:cs="Calibri"/>
                <w:i/>
                <w:lang w:val="fr-FR"/>
              </w:rPr>
              <w:t>Responsabilités, rôle et composition du Comité permanent et répartition régionale des pays dans le cadre de la Convention de Ramsar</w:t>
            </w:r>
            <w:r>
              <w:rPr>
                <w:rFonts w:ascii="Calibri" w:eastAsia="Calibri" w:hAnsi="Calibri" w:cs="Calibri"/>
                <w:lang w:val="fr-FR"/>
              </w:rPr>
              <w:t>.</w:t>
            </w:r>
          </w:p>
        </w:tc>
      </w:tr>
      <w:tr w:rsidR="00944343" w:rsidRPr="008B4F54" w:rsidTr="00CB060F">
        <w:trPr>
          <w:trHeight w:val="1998"/>
        </w:trPr>
        <w:tc>
          <w:tcPr>
            <w:tcW w:w="2974" w:type="dxa"/>
          </w:tcPr>
          <w:p w:rsidR="002072F8" w:rsidRPr="00513576" w:rsidRDefault="00954AB1" w:rsidP="005039A9">
            <w:pPr>
              <w:pStyle w:val="NoSpacing"/>
              <w:rPr>
                <w:lang w:val="fr-FR"/>
              </w:rPr>
            </w:pPr>
            <w:r>
              <w:rPr>
                <w:rFonts w:ascii="Calibri" w:eastAsia="Calibri" w:hAnsi="Calibri" w:cs="Calibri"/>
                <w:lang w:val="fr-FR"/>
              </w:rPr>
              <w:t>Groupe de travail sur la stratégie linguistique</w:t>
            </w:r>
          </w:p>
        </w:tc>
        <w:tc>
          <w:tcPr>
            <w:tcW w:w="6041" w:type="dxa"/>
          </w:tcPr>
          <w:p w:rsidR="002072F8" w:rsidRPr="00513576" w:rsidRDefault="00954AB1" w:rsidP="005039A9">
            <w:pPr>
              <w:pStyle w:val="NoSpacing"/>
              <w:rPr>
                <w:lang w:val="fr-FR"/>
              </w:rPr>
            </w:pPr>
            <w:r>
              <w:rPr>
                <w:rFonts w:ascii="Calibri" w:eastAsia="Calibri" w:hAnsi="Calibri" w:cs="Calibri"/>
                <w:lang w:val="fr-FR"/>
              </w:rPr>
              <w:t>Résolution XII.</w:t>
            </w:r>
            <w:r w:rsidRPr="00BF4DCF">
              <w:rPr>
                <w:rFonts w:ascii="Calibri" w:eastAsia="Calibri" w:hAnsi="Calibri" w:cs="Calibri"/>
                <w:i/>
                <w:lang w:val="fr-FR"/>
              </w:rPr>
              <w:t>3 Renforcer l’utilisation des langues, la visibilité et la stature de la Convention et améliorer les synergies avec d’autres accords multilatéraux sur l’environnement et autres institutions internationales</w:t>
            </w:r>
            <w:r>
              <w:rPr>
                <w:rFonts w:ascii="Calibri" w:eastAsia="Calibri" w:hAnsi="Calibri" w:cs="Calibri"/>
                <w:lang w:val="fr-FR"/>
              </w:rPr>
              <w:t>, et</w:t>
            </w:r>
          </w:p>
          <w:p w:rsidR="006C4C08" w:rsidRPr="00513576" w:rsidRDefault="00C0411C" w:rsidP="005039A9">
            <w:pPr>
              <w:pStyle w:val="NoSpacing"/>
              <w:rPr>
                <w:lang w:val="fr-FR"/>
              </w:rPr>
            </w:pPr>
          </w:p>
          <w:p w:rsidR="006C4C08" w:rsidRPr="00513576" w:rsidRDefault="0042786E" w:rsidP="005039A9">
            <w:pPr>
              <w:pStyle w:val="NoSpacing"/>
              <w:rPr>
                <w:lang w:val="fr-FR"/>
              </w:rPr>
            </w:pPr>
            <w:r>
              <w:rPr>
                <w:rFonts w:ascii="Calibri" w:eastAsia="Calibri" w:hAnsi="Calibri" w:cs="Calibri"/>
                <w:lang w:val="fr-FR"/>
              </w:rPr>
              <w:t>La 52</w:t>
            </w:r>
            <w:r w:rsidRPr="0042786E">
              <w:rPr>
                <w:rFonts w:ascii="Calibri" w:eastAsia="Calibri" w:hAnsi="Calibri" w:cs="Calibri"/>
                <w:vertAlign w:val="superscript"/>
                <w:lang w:val="fr-FR"/>
              </w:rPr>
              <w:t>e</w:t>
            </w:r>
            <w:r>
              <w:rPr>
                <w:rFonts w:ascii="Calibri" w:eastAsia="Calibri" w:hAnsi="Calibri" w:cs="Calibri"/>
                <w:lang w:val="fr-FR"/>
              </w:rPr>
              <w:t> </w:t>
            </w:r>
            <w:r w:rsidR="00954AB1">
              <w:rPr>
                <w:rFonts w:ascii="Calibri" w:eastAsia="Calibri" w:hAnsi="Calibri" w:cs="Calibri"/>
                <w:lang w:val="fr-FR"/>
              </w:rPr>
              <w:t xml:space="preserve">Réunion du Comité permanent (2016) a décidé de créer un groupe de travail informel à composition non limitée. </w:t>
            </w:r>
          </w:p>
        </w:tc>
      </w:tr>
      <w:tr w:rsidR="00944343" w:rsidRPr="008B4F54" w:rsidTr="00557E85">
        <w:tc>
          <w:tcPr>
            <w:tcW w:w="2974" w:type="dxa"/>
          </w:tcPr>
          <w:p w:rsidR="006C4C08" w:rsidRPr="00513576" w:rsidRDefault="00954AB1" w:rsidP="005039A9">
            <w:pPr>
              <w:pStyle w:val="NoSpacing"/>
              <w:rPr>
                <w:lang w:val="fr-FR"/>
              </w:rPr>
            </w:pPr>
            <w:r>
              <w:rPr>
                <w:rFonts w:ascii="Calibri" w:eastAsia="Calibri" w:hAnsi="Calibri" w:cs="Calibri"/>
                <w:lang w:val="fr-FR"/>
              </w:rPr>
              <w:t>Groupe de travail sur la mobilisation des ressources</w:t>
            </w:r>
          </w:p>
        </w:tc>
        <w:tc>
          <w:tcPr>
            <w:tcW w:w="6041" w:type="dxa"/>
          </w:tcPr>
          <w:p w:rsidR="006C4C08" w:rsidRPr="00513576" w:rsidRDefault="00954AB1" w:rsidP="0042786E">
            <w:pPr>
              <w:pStyle w:val="NoSpacing"/>
              <w:rPr>
                <w:lang w:val="fr-FR"/>
              </w:rPr>
            </w:pPr>
            <w:r>
              <w:rPr>
                <w:rFonts w:ascii="Calibri" w:eastAsia="Calibri" w:hAnsi="Calibri" w:cs="Calibri"/>
                <w:lang w:val="fr-FR"/>
              </w:rPr>
              <w:t xml:space="preserve">Résolution XII.7 </w:t>
            </w:r>
            <w:r>
              <w:rPr>
                <w:rFonts w:ascii="Calibri" w:eastAsia="Calibri" w:hAnsi="Calibri" w:cs="Calibri"/>
                <w:i/>
                <w:lang w:val="fr-FR"/>
              </w:rPr>
              <w:t>Cadre de la Convention de Ramsar pour la mobilisation de ressources et les partenariats</w:t>
            </w:r>
            <w:r>
              <w:rPr>
                <w:rFonts w:ascii="Calibri" w:eastAsia="Calibri" w:hAnsi="Calibri" w:cs="Calibri"/>
                <w:lang w:val="fr-FR"/>
              </w:rPr>
              <w:t>.</w:t>
            </w:r>
          </w:p>
        </w:tc>
      </w:tr>
      <w:tr w:rsidR="00944343" w:rsidRPr="008B4F54" w:rsidTr="00557E85">
        <w:tc>
          <w:tcPr>
            <w:tcW w:w="2974" w:type="dxa"/>
          </w:tcPr>
          <w:p w:rsidR="006C4C08" w:rsidRPr="00513576" w:rsidRDefault="00954AB1" w:rsidP="005039A9">
            <w:pPr>
              <w:pStyle w:val="NoSpacing"/>
              <w:rPr>
                <w:lang w:val="fr-FR"/>
              </w:rPr>
            </w:pPr>
            <w:r>
              <w:rPr>
                <w:rFonts w:ascii="Calibri" w:eastAsia="Calibri" w:hAnsi="Calibri" w:cs="Calibri"/>
                <w:lang w:val="fr-FR"/>
              </w:rPr>
              <w:t>Groupe de travail sur les initiatives régionales Ramsar</w:t>
            </w:r>
          </w:p>
        </w:tc>
        <w:tc>
          <w:tcPr>
            <w:tcW w:w="6041" w:type="dxa"/>
          </w:tcPr>
          <w:p w:rsidR="006C4C08" w:rsidRPr="00513576" w:rsidRDefault="00954AB1" w:rsidP="005039A9">
            <w:pPr>
              <w:pStyle w:val="NoSpacing"/>
              <w:rPr>
                <w:lang w:val="fr-FR"/>
              </w:rPr>
            </w:pPr>
            <w:r>
              <w:rPr>
                <w:rFonts w:ascii="Calibri" w:eastAsia="Calibri" w:hAnsi="Calibri" w:cs="Calibri"/>
                <w:lang w:val="fr-FR"/>
              </w:rPr>
              <w:t>Décision SC51-11</w:t>
            </w:r>
            <w:r w:rsidR="007560DD">
              <w:rPr>
                <w:rFonts w:ascii="Calibri" w:eastAsia="Calibri" w:hAnsi="Calibri" w:cs="Calibri"/>
                <w:lang w:val="fr-FR"/>
              </w:rPr>
              <w:t> </w:t>
            </w:r>
            <w:r>
              <w:rPr>
                <w:rFonts w:ascii="Calibri" w:eastAsia="Calibri" w:hAnsi="Calibri" w:cs="Calibri"/>
                <w:lang w:val="fr-FR"/>
              </w:rPr>
              <w:t>: « Le Comité permanent décide d’établir un nouveau groupe de travail chargé d’examiner les incidences du projet de nouvelles Directives opérationnelles pour les initiatives régionales et demande au Secrétariat de soutenir l’établissement du groupe. »</w:t>
            </w:r>
          </w:p>
        </w:tc>
      </w:tr>
      <w:tr w:rsidR="00944343" w:rsidRPr="008B4F54" w:rsidTr="00557E85">
        <w:tc>
          <w:tcPr>
            <w:tcW w:w="2974" w:type="dxa"/>
          </w:tcPr>
          <w:p w:rsidR="006C4C08" w:rsidRPr="00513576" w:rsidRDefault="00954AB1" w:rsidP="005039A9">
            <w:pPr>
              <w:pStyle w:val="NoSpacing"/>
              <w:rPr>
                <w:lang w:val="fr-FR"/>
              </w:rPr>
            </w:pPr>
            <w:r>
              <w:rPr>
                <w:rFonts w:ascii="Calibri" w:eastAsia="Calibri" w:hAnsi="Calibri" w:cs="Calibri"/>
                <w:lang w:val="fr-FR"/>
              </w:rPr>
              <w:t>Groupe de travail sur le personnel</w:t>
            </w:r>
          </w:p>
        </w:tc>
        <w:tc>
          <w:tcPr>
            <w:tcW w:w="6041" w:type="dxa"/>
          </w:tcPr>
          <w:p w:rsidR="006C4C08" w:rsidRPr="00513576" w:rsidRDefault="00954AB1" w:rsidP="0042786E">
            <w:pPr>
              <w:pStyle w:val="NoSpacing"/>
              <w:rPr>
                <w:lang w:val="fr-FR"/>
              </w:rPr>
            </w:pPr>
            <w:r>
              <w:rPr>
                <w:rFonts w:ascii="Calibri" w:eastAsia="Calibri" w:hAnsi="Calibri" w:cs="Calibri"/>
                <w:lang w:val="fr-FR"/>
              </w:rPr>
              <w:t>Mandat ach</w:t>
            </w:r>
            <w:r w:rsidR="0042786E">
              <w:rPr>
                <w:rFonts w:ascii="Calibri" w:eastAsia="Calibri" w:hAnsi="Calibri" w:cs="Calibri"/>
                <w:lang w:val="fr-FR"/>
              </w:rPr>
              <w:t>evé à la 52</w:t>
            </w:r>
            <w:r w:rsidR="0042786E" w:rsidRPr="0042786E">
              <w:rPr>
                <w:rFonts w:ascii="Calibri" w:eastAsia="Calibri" w:hAnsi="Calibri" w:cs="Calibri"/>
                <w:vertAlign w:val="superscript"/>
                <w:lang w:val="fr-FR"/>
              </w:rPr>
              <w:t>e</w:t>
            </w:r>
            <w:r w:rsidR="0042786E">
              <w:rPr>
                <w:rFonts w:ascii="Calibri" w:eastAsia="Calibri" w:hAnsi="Calibri" w:cs="Calibri"/>
                <w:lang w:val="fr-FR"/>
              </w:rPr>
              <w:t> </w:t>
            </w:r>
            <w:r>
              <w:rPr>
                <w:rFonts w:ascii="Calibri" w:eastAsia="Calibri" w:hAnsi="Calibri" w:cs="Calibri"/>
                <w:lang w:val="fr-FR"/>
              </w:rPr>
              <w:t>Réunion du Comité permanent (SC52)</w:t>
            </w:r>
            <w:r>
              <w:rPr>
                <w:rStyle w:val="FootnoteReference"/>
              </w:rPr>
              <w:footnoteReference w:id="2"/>
            </w:r>
          </w:p>
        </w:tc>
      </w:tr>
      <w:tr w:rsidR="00944343" w:rsidRPr="008B4F54" w:rsidTr="00557E85">
        <w:tc>
          <w:tcPr>
            <w:tcW w:w="2974" w:type="dxa"/>
          </w:tcPr>
          <w:p w:rsidR="006C4C08" w:rsidRPr="00557E85" w:rsidRDefault="00954AB1" w:rsidP="005039A9">
            <w:pPr>
              <w:pStyle w:val="NoSpacing"/>
            </w:pPr>
            <w:r>
              <w:rPr>
                <w:rFonts w:ascii="Calibri" w:eastAsia="Calibri" w:hAnsi="Calibri" w:cs="Calibri"/>
                <w:lang w:val="fr-FR"/>
              </w:rPr>
              <w:t>Comité de transition</w:t>
            </w:r>
          </w:p>
        </w:tc>
        <w:tc>
          <w:tcPr>
            <w:tcW w:w="6041" w:type="dxa"/>
          </w:tcPr>
          <w:p w:rsidR="006C4C08" w:rsidRPr="00513576" w:rsidRDefault="00954AB1" w:rsidP="0042786E">
            <w:pPr>
              <w:pStyle w:val="NoSpacing"/>
              <w:rPr>
                <w:lang w:val="fr-FR"/>
              </w:rPr>
            </w:pPr>
            <w:r>
              <w:rPr>
                <w:rFonts w:ascii="Calibri" w:eastAsia="Calibri" w:hAnsi="Calibri" w:cs="Calibri"/>
                <w:lang w:val="fr-FR"/>
              </w:rPr>
              <w:t xml:space="preserve">Résolution X.4 </w:t>
            </w:r>
            <w:r>
              <w:rPr>
                <w:rFonts w:ascii="Calibri" w:eastAsia="Calibri" w:hAnsi="Calibri" w:cs="Calibri"/>
                <w:i/>
                <w:lang w:val="fr-FR"/>
              </w:rPr>
              <w:t>Établissement d’un Comité de transition du Groupe de travail sur la gestion</w:t>
            </w:r>
            <w:r>
              <w:rPr>
                <w:rFonts w:ascii="Calibri" w:eastAsia="Calibri" w:hAnsi="Calibri" w:cs="Calibri"/>
                <w:lang w:val="fr-FR"/>
              </w:rPr>
              <w:t>.</w:t>
            </w:r>
          </w:p>
        </w:tc>
      </w:tr>
    </w:tbl>
    <w:p w:rsidR="00E41F39" w:rsidRPr="00513576" w:rsidRDefault="00C0411C" w:rsidP="00557E85">
      <w:pPr>
        <w:tabs>
          <w:tab w:val="left" w:pos="927"/>
          <w:tab w:val="left" w:pos="2116"/>
        </w:tabs>
        <w:rPr>
          <w:rFonts w:asciiTheme="minorHAnsi" w:hAnsiTheme="minorHAnsi"/>
          <w:b/>
          <w:lang w:val="fr-FR"/>
        </w:rPr>
      </w:pPr>
    </w:p>
    <w:sectPr w:rsidR="00E41F39" w:rsidRPr="00513576" w:rsidSect="00557E85">
      <w:foot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11C" w:rsidRDefault="00C0411C">
      <w:r>
        <w:separator/>
      </w:r>
    </w:p>
  </w:endnote>
  <w:endnote w:type="continuationSeparator" w:id="0">
    <w:p w:rsidR="00C0411C" w:rsidRDefault="00C0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26" w:rsidRPr="00557E85" w:rsidRDefault="0032259E" w:rsidP="00722F0C">
    <w:pPr>
      <w:pStyle w:val="Footer"/>
      <w:rPr>
        <w:sz w:val="20"/>
      </w:rPr>
    </w:pPr>
    <w:r w:rsidRPr="0041099F">
      <w:rPr>
        <w:sz w:val="20"/>
        <w:szCs w:val="20"/>
      </w:rPr>
      <w:t xml:space="preserve">Ramsar </w:t>
    </w:r>
    <w:r w:rsidRPr="009000B8">
      <w:rPr>
        <w:sz w:val="20"/>
        <w:szCs w:val="20"/>
      </w:rPr>
      <w:t>COP13 Doc.</w:t>
    </w:r>
    <w:r>
      <w:rPr>
        <w:sz w:val="20"/>
        <w:szCs w:val="20"/>
      </w:rPr>
      <w:t>18.1&amp;2</w:t>
    </w:r>
    <w:r w:rsidR="00954AB1">
      <w:rPr>
        <w:rFonts w:cs="Calibri"/>
        <w:sz w:val="20"/>
        <w:szCs w:val="20"/>
        <w:lang w:val="fr-FR"/>
      </w:rPr>
      <w:tab/>
    </w:r>
    <w:r w:rsidR="00954AB1">
      <w:rPr>
        <w:rFonts w:cs="Calibri"/>
        <w:sz w:val="20"/>
        <w:szCs w:val="20"/>
        <w:lang w:val="fr-FR"/>
      </w:rPr>
      <w:tab/>
    </w:r>
    <w:r w:rsidR="00954AB1" w:rsidRPr="00557E85">
      <w:rPr>
        <w:sz w:val="20"/>
      </w:rPr>
      <w:fldChar w:fldCharType="begin"/>
    </w:r>
    <w:r w:rsidR="00954AB1" w:rsidRPr="00557E85">
      <w:rPr>
        <w:sz w:val="20"/>
      </w:rPr>
      <w:instrText xml:space="preserve"> PAGE   \* MERGEFORMAT </w:instrText>
    </w:r>
    <w:r w:rsidR="00954AB1" w:rsidRPr="00557E85">
      <w:rPr>
        <w:sz w:val="20"/>
      </w:rPr>
      <w:fldChar w:fldCharType="separate"/>
    </w:r>
    <w:r w:rsidR="008B4F54">
      <w:rPr>
        <w:noProof/>
        <w:sz w:val="20"/>
      </w:rPr>
      <w:t>3</w:t>
    </w:r>
    <w:r w:rsidR="00954AB1" w:rsidRPr="00557E8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11C" w:rsidRDefault="00C0411C" w:rsidP="00D66226">
      <w:r>
        <w:separator/>
      </w:r>
    </w:p>
  </w:footnote>
  <w:footnote w:type="continuationSeparator" w:id="0">
    <w:p w:rsidR="00C0411C" w:rsidRDefault="00C0411C" w:rsidP="00D66226">
      <w:r>
        <w:continuationSeparator/>
      </w:r>
    </w:p>
  </w:footnote>
  <w:footnote w:type="continuationNotice" w:id="1">
    <w:p w:rsidR="00C0411C" w:rsidRDefault="00C0411C"/>
  </w:footnote>
  <w:footnote w:id="2">
    <w:p w:rsidR="006C4C08" w:rsidRDefault="00954AB1">
      <w:pPr>
        <w:pStyle w:val="FootnoteText"/>
      </w:pPr>
      <w:r>
        <w:rPr>
          <w:rStyle w:val="FootnoteReference"/>
        </w:rPr>
        <w:footnoteRef/>
      </w:r>
      <w:r>
        <w:rPr>
          <w:rFonts w:cs="Calibri"/>
          <w:lang w:val="fr-FR"/>
        </w:rPr>
        <w:t xml:space="preserve"> </w:t>
      </w:r>
      <w:hyperlink r:id="rId1" w:history="1">
        <w:r>
          <w:rPr>
            <w:rFonts w:cs="Calibri"/>
            <w:color w:val="0563C1"/>
            <w:u w:val="single"/>
            <w:lang w:val="fr-FR"/>
          </w:rPr>
          <w:t>http://www.ramsar.org/sites/default/files/documents/library/sc53-05_review_wgs_f.pdf</w:t>
        </w:r>
      </w:hyperlink>
      <w:r>
        <w:rPr>
          <w:rFonts w:cs="Calibri"/>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A4C"/>
    <w:multiLevelType w:val="hybridMultilevel"/>
    <w:tmpl w:val="E6C25F10"/>
    <w:lvl w:ilvl="0" w:tplc="17022302">
      <w:start w:val="1"/>
      <w:numFmt w:val="bullet"/>
      <w:lvlText w:val=""/>
      <w:lvlJc w:val="left"/>
      <w:pPr>
        <w:ind w:left="860" w:hanging="435"/>
      </w:pPr>
      <w:rPr>
        <w:rFonts w:ascii="Symbol" w:hAnsi="Symbol" w:hint="default"/>
      </w:rPr>
    </w:lvl>
    <w:lvl w:ilvl="1" w:tplc="7C10D2D2">
      <w:start w:val="1"/>
      <w:numFmt w:val="bullet"/>
      <w:lvlText w:val=""/>
      <w:lvlJc w:val="left"/>
      <w:pPr>
        <w:ind w:left="1505" w:hanging="360"/>
      </w:pPr>
      <w:rPr>
        <w:rFonts w:ascii="Symbol" w:hAnsi="Symbol" w:hint="default"/>
      </w:rPr>
    </w:lvl>
    <w:lvl w:ilvl="2" w:tplc="3E26A79E">
      <w:numFmt w:val="bullet"/>
      <w:lvlText w:val="•"/>
      <w:lvlJc w:val="left"/>
      <w:pPr>
        <w:ind w:left="2465" w:hanging="420"/>
      </w:pPr>
      <w:rPr>
        <w:rFonts w:ascii="Times New Roman" w:eastAsiaTheme="minorHAnsi" w:hAnsi="Times New Roman" w:cs="Times New Roman" w:hint="default"/>
      </w:rPr>
    </w:lvl>
    <w:lvl w:ilvl="3" w:tplc="D3B8F672" w:tentative="1">
      <w:start w:val="1"/>
      <w:numFmt w:val="decimal"/>
      <w:lvlText w:val="%4."/>
      <w:lvlJc w:val="left"/>
      <w:pPr>
        <w:ind w:left="2945" w:hanging="360"/>
      </w:pPr>
    </w:lvl>
    <w:lvl w:ilvl="4" w:tplc="F7A890CA" w:tentative="1">
      <w:start w:val="1"/>
      <w:numFmt w:val="lowerLetter"/>
      <w:lvlText w:val="%5."/>
      <w:lvlJc w:val="left"/>
      <w:pPr>
        <w:ind w:left="3665" w:hanging="360"/>
      </w:pPr>
    </w:lvl>
    <w:lvl w:ilvl="5" w:tplc="22128C22" w:tentative="1">
      <w:start w:val="1"/>
      <w:numFmt w:val="lowerRoman"/>
      <w:lvlText w:val="%6."/>
      <w:lvlJc w:val="right"/>
      <w:pPr>
        <w:ind w:left="4385" w:hanging="180"/>
      </w:pPr>
    </w:lvl>
    <w:lvl w:ilvl="6" w:tplc="8A9C0FFC" w:tentative="1">
      <w:start w:val="1"/>
      <w:numFmt w:val="decimal"/>
      <w:lvlText w:val="%7."/>
      <w:lvlJc w:val="left"/>
      <w:pPr>
        <w:ind w:left="5105" w:hanging="360"/>
      </w:pPr>
    </w:lvl>
    <w:lvl w:ilvl="7" w:tplc="878C69C2" w:tentative="1">
      <w:start w:val="1"/>
      <w:numFmt w:val="lowerLetter"/>
      <w:lvlText w:val="%8."/>
      <w:lvlJc w:val="left"/>
      <w:pPr>
        <w:ind w:left="5825" w:hanging="360"/>
      </w:pPr>
    </w:lvl>
    <w:lvl w:ilvl="8" w:tplc="B8D07408" w:tentative="1">
      <w:start w:val="1"/>
      <w:numFmt w:val="lowerRoman"/>
      <w:lvlText w:val="%9."/>
      <w:lvlJc w:val="right"/>
      <w:pPr>
        <w:ind w:left="6545" w:hanging="180"/>
      </w:pPr>
    </w:lvl>
  </w:abstractNum>
  <w:abstractNum w:abstractNumId="1" w15:restartNumberingAfterBreak="0">
    <w:nsid w:val="11B33B2D"/>
    <w:multiLevelType w:val="hybridMultilevel"/>
    <w:tmpl w:val="085E3ECC"/>
    <w:lvl w:ilvl="0" w:tplc="D20460C0">
      <w:start w:val="1"/>
      <w:numFmt w:val="decimal"/>
      <w:lvlText w:val="%1."/>
      <w:lvlJc w:val="left"/>
      <w:pPr>
        <w:ind w:left="720" w:hanging="360"/>
      </w:pPr>
    </w:lvl>
    <w:lvl w:ilvl="1" w:tplc="01B4B412">
      <w:start w:val="1"/>
      <w:numFmt w:val="lowerLetter"/>
      <w:lvlText w:val="%2)"/>
      <w:lvlJc w:val="left"/>
      <w:pPr>
        <w:ind w:left="1440" w:hanging="360"/>
      </w:pPr>
    </w:lvl>
    <w:lvl w:ilvl="2" w:tplc="CB3A0F80" w:tentative="1">
      <w:start w:val="1"/>
      <w:numFmt w:val="lowerRoman"/>
      <w:lvlText w:val="%3."/>
      <w:lvlJc w:val="right"/>
      <w:pPr>
        <w:ind w:left="2160" w:hanging="180"/>
      </w:pPr>
    </w:lvl>
    <w:lvl w:ilvl="3" w:tplc="E01E95AE" w:tentative="1">
      <w:start w:val="1"/>
      <w:numFmt w:val="decimal"/>
      <w:lvlText w:val="%4."/>
      <w:lvlJc w:val="left"/>
      <w:pPr>
        <w:ind w:left="2880" w:hanging="360"/>
      </w:pPr>
    </w:lvl>
    <w:lvl w:ilvl="4" w:tplc="9AE27B4A" w:tentative="1">
      <w:start w:val="1"/>
      <w:numFmt w:val="lowerLetter"/>
      <w:lvlText w:val="%5."/>
      <w:lvlJc w:val="left"/>
      <w:pPr>
        <w:ind w:left="3600" w:hanging="360"/>
      </w:pPr>
    </w:lvl>
    <w:lvl w:ilvl="5" w:tplc="6C72E4CE" w:tentative="1">
      <w:start w:val="1"/>
      <w:numFmt w:val="lowerRoman"/>
      <w:lvlText w:val="%6."/>
      <w:lvlJc w:val="right"/>
      <w:pPr>
        <w:ind w:left="4320" w:hanging="180"/>
      </w:pPr>
    </w:lvl>
    <w:lvl w:ilvl="6" w:tplc="60BC9D24" w:tentative="1">
      <w:start w:val="1"/>
      <w:numFmt w:val="decimal"/>
      <w:lvlText w:val="%7."/>
      <w:lvlJc w:val="left"/>
      <w:pPr>
        <w:ind w:left="5040" w:hanging="360"/>
      </w:pPr>
    </w:lvl>
    <w:lvl w:ilvl="7" w:tplc="D6C83C74" w:tentative="1">
      <w:start w:val="1"/>
      <w:numFmt w:val="lowerLetter"/>
      <w:lvlText w:val="%8."/>
      <w:lvlJc w:val="left"/>
      <w:pPr>
        <w:ind w:left="5760" w:hanging="360"/>
      </w:pPr>
    </w:lvl>
    <w:lvl w:ilvl="8" w:tplc="BE40435C" w:tentative="1">
      <w:start w:val="1"/>
      <w:numFmt w:val="lowerRoman"/>
      <w:lvlText w:val="%9."/>
      <w:lvlJc w:val="right"/>
      <w:pPr>
        <w:ind w:left="6480" w:hanging="180"/>
      </w:pPr>
    </w:lvl>
  </w:abstractNum>
  <w:abstractNum w:abstractNumId="2" w15:restartNumberingAfterBreak="0">
    <w:nsid w:val="170836EA"/>
    <w:multiLevelType w:val="hybridMultilevel"/>
    <w:tmpl w:val="B86A579E"/>
    <w:lvl w:ilvl="0" w:tplc="97506B5C">
      <w:start w:val="1"/>
      <w:numFmt w:val="lowerLetter"/>
      <w:lvlText w:val="%1."/>
      <w:lvlJc w:val="left"/>
      <w:pPr>
        <w:ind w:left="720" w:hanging="360"/>
      </w:pPr>
    </w:lvl>
    <w:lvl w:ilvl="1" w:tplc="04090017">
      <w:start w:val="1"/>
      <w:numFmt w:val="lowerLetter"/>
      <w:lvlText w:val="%2)"/>
      <w:lvlJc w:val="left"/>
      <w:pPr>
        <w:ind w:left="1440" w:hanging="360"/>
      </w:pPr>
    </w:lvl>
    <w:lvl w:ilvl="2" w:tplc="C5A26720" w:tentative="1">
      <w:start w:val="1"/>
      <w:numFmt w:val="lowerRoman"/>
      <w:lvlText w:val="%3."/>
      <w:lvlJc w:val="right"/>
      <w:pPr>
        <w:ind w:left="2160" w:hanging="180"/>
      </w:pPr>
    </w:lvl>
    <w:lvl w:ilvl="3" w:tplc="D68A1328" w:tentative="1">
      <w:start w:val="1"/>
      <w:numFmt w:val="decimal"/>
      <w:lvlText w:val="%4."/>
      <w:lvlJc w:val="left"/>
      <w:pPr>
        <w:ind w:left="2880" w:hanging="360"/>
      </w:pPr>
    </w:lvl>
    <w:lvl w:ilvl="4" w:tplc="47224758" w:tentative="1">
      <w:start w:val="1"/>
      <w:numFmt w:val="lowerLetter"/>
      <w:lvlText w:val="%5."/>
      <w:lvlJc w:val="left"/>
      <w:pPr>
        <w:ind w:left="3600" w:hanging="360"/>
      </w:pPr>
    </w:lvl>
    <w:lvl w:ilvl="5" w:tplc="9016006C" w:tentative="1">
      <w:start w:val="1"/>
      <w:numFmt w:val="lowerRoman"/>
      <w:lvlText w:val="%6."/>
      <w:lvlJc w:val="right"/>
      <w:pPr>
        <w:ind w:left="4320" w:hanging="180"/>
      </w:pPr>
    </w:lvl>
    <w:lvl w:ilvl="6" w:tplc="A010301A" w:tentative="1">
      <w:start w:val="1"/>
      <w:numFmt w:val="decimal"/>
      <w:lvlText w:val="%7."/>
      <w:lvlJc w:val="left"/>
      <w:pPr>
        <w:ind w:left="5040" w:hanging="360"/>
      </w:pPr>
    </w:lvl>
    <w:lvl w:ilvl="7" w:tplc="9A4CFBB2" w:tentative="1">
      <w:start w:val="1"/>
      <w:numFmt w:val="lowerLetter"/>
      <w:lvlText w:val="%8."/>
      <w:lvlJc w:val="left"/>
      <w:pPr>
        <w:ind w:left="5760" w:hanging="360"/>
      </w:pPr>
    </w:lvl>
    <w:lvl w:ilvl="8" w:tplc="9174A130" w:tentative="1">
      <w:start w:val="1"/>
      <w:numFmt w:val="lowerRoman"/>
      <w:lvlText w:val="%9."/>
      <w:lvlJc w:val="right"/>
      <w:pPr>
        <w:ind w:left="6480" w:hanging="180"/>
      </w:pPr>
    </w:lvl>
  </w:abstractNum>
  <w:abstractNum w:abstractNumId="3" w15:restartNumberingAfterBreak="0">
    <w:nsid w:val="3FA02370"/>
    <w:multiLevelType w:val="hybridMultilevel"/>
    <w:tmpl w:val="78FE3088"/>
    <w:lvl w:ilvl="0" w:tplc="DCFC35C2">
      <w:start w:val="1"/>
      <w:numFmt w:val="bullet"/>
      <w:lvlText w:val=""/>
      <w:lvlJc w:val="left"/>
      <w:pPr>
        <w:ind w:left="720" w:hanging="360"/>
      </w:pPr>
      <w:rPr>
        <w:rFonts w:ascii="Symbol" w:hAnsi="Symbol" w:hint="default"/>
      </w:rPr>
    </w:lvl>
    <w:lvl w:ilvl="1" w:tplc="A984D916" w:tentative="1">
      <w:start w:val="1"/>
      <w:numFmt w:val="bullet"/>
      <w:lvlText w:val="o"/>
      <w:lvlJc w:val="left"/>
      <w:pPr>
        <w:ind w:left="1440" w:hanging="360"/>
      </w:pPr>
      <w:rPr>
        <w:rFonts w:ascii="Courier New" w:hAnsi="Courier New" w:cs="Courier New" w:hint="default"/>
      </w:rPr>
    </w:lvl>
    <w:lvl w:ilvl="2" w:tplc="D0F86F76" w:tentative="1">
      <w:start w:val="1"/>
      <w:numFmt w:val="bullet"/>
      <w:lvlText w:val=""/>
      <w:lvlJc w:val="left"/>
      <w:pPr>
        <w:ind w:left="2160" w:hanging="360"/>
      </w:pPr>
      <w:rPr>
        <w:rFonts w:ascii="Wingdings" w:hAnsi="Wingdings" w:hint="default"/>
      </w:rPr>
    </w:lvl>
    <w:lvl w:ilvl="3" w:tplc="5C467290" w:tentative="1">
      <w:start w:val="1"/>
      <w:numFmt w:val="bullet"/>
      <w:lvlText w:val=""/>
      <w:lvlJc w:val="left"/>
      <w:pPr>
        <w:ind w:left="2880" w:hanging="360"/>
      </w:pPr>
      <w:rPr>
        <w:rFonts w:ascii="Symbol" w:hAnsi="Symbol" w:hint="default"/>
      </w:rPr>
    </w:lvl>
    <w:lvl w:ilvl="4" w:tplc="A15485CC" w:tentative="1">
      <w:start w:val="1"/>
      <w:numFmt w:val="bullet"/>
      <w:lvlText w:val="o"/>
      <w:lvlJc w:val="left"/>
      <w:pPr>
        <w:ind w:left="3600" w:hanging="360"/>
      </w:pPr>
      <w:rPr>
        <w:rFonts w:ascii="Courier New" w:hAnsi="Courier New" w:cs="Courier New" w:hint="default"/>
      </w:rPr>
    </w:lvl>
    <w:lvl w:ilvl="5" w:tplc="7BA87658" w:tentative="1">
      <w:start w:val="1"/>
      <w:numFmt w:val="bullet"/>
      <w:lvlText w:val=""/>
      <w:lvlJc w:val="left"/>
      <w:pPr>
        <w:ind w:left="4320" w:hanging="360"/>
      </w:pPr>
      <w:rPr>
        <w:rFonts w:ascii="Wingdings" w:hAnsi="Wingdings" w:hint="default"/>
      </w:rPr>
    </w:lvl>
    <w:lvl w:ilvl="6" w:tplc="8E385EB2" w:tentative="1">
      <w:start w:val="1"/>
      <w:numFmt w:val="bullet"/>
      <w:lvlText w:val=""/>
      <w:lvlJc w:val="left"/>
      <w:pPr>
        <w:ind w:left="5040" w:hanging="360"/>
      </w:pPr>
      <w:rPr>
        <w:rFonts w:ascii="Symbol" w:hAnsi="Symbol" w:hint="default"/>
      </w:rPr>
    </w:lvl>
    <w:lvl w:ilvl="7" w:tplc="44480B14" w:tentative="1">
      <w:start w:val="1"/>
      <w:numFmt w:val="bullet"/>
      <w:lvlText w:val="o"/>
      <w:lvlJc w:val="left"/>
      <w:pPr>
        <w:ind w:left="5760" w:hanging="360"/>
      </w:pPr>
      <w:rPr>
        <w:rFonts w:ascii="Courier New" w:hAnsi="Courier New" w:cs="Courier New" w:hint="default"/>
      </w:rPr>
    </w:lvl>
    <w:lvl w:ilvl="8" w:tplc="533EC8CA" w:tentative="1">
      <w:start w:val="1"/>
      <w:numFmt w:val="bullet"/>
      <w:lvlText w:val=""/>
      <w:lvlJc w:val="left"/>
      <w:pPr>
        <w:ind w:left="6480" w:hanging="360"/>
      </w:pPr>
      <w:rPr>
        <w:rFonts w:ascii="Wingdings" w:hAnsi="Wingdings" w:hint="default"/>
      </w:rPr>
    </w:lvl>
  </w:abstractNum>
  <w:abstractNum w:abstractNumId="4" w15:restartNumberingAfterBreak="0">
    <w:nsid w:val="447A410B"/>
    <w:multiLevelType w:val="hybridMultilevel"/>
    <w:tmpl w:val="C962496A"/>
    <w:lvl w:ilvl="0" w:tplc="C41858D4">
      <w:start w:val="1"/>
      <w:numFmt w:val="decimal"/>
      <w:lvlText w:val="%1."/>
      <w:lvlJc w:val="left"/>
      <w:pPr>
        <w:ind w:left="720" w:hanging="360"/>
      </w:pPr>
      <w:rPr>
        <w:rFonts w:hint="default"/>
      </w:rPr>
    </w:lvl>
    <w:lvl w:ilvl="1" w:tplc="163AEC1E" w:tentative="1">
      <w:start w:val="1"/>
      <w:numFmt w:val="lowerLetter"/>
      <w:lvlText w:val="%2."/>
      <w:lvlJc w:val="left"/>
      <w:pPr>
        <w:ind w:left="1440" w:hanging="360"/>
      </w:pPr>
    </w:lvl>
    <w:lvl w:ilvl="2" w:tplc="CDB6714C" w:tentative="1">
      <w:start w:val="1"/>
      <w:numFmt w:val="lowerRoman"/>
      <w:lvlText w:val="%3."/>
      <w:lvlJc w:val="right"/>
      <w:pPr>
        <w:ind w:left="2160" w:hanging="180"/>
      </w:pPr>
    </w:lvl>
    <w:lvl w:ilvl="3" w:tplc="D1BA6D1E" w:tentative="1">
      <w:start w:val="1"/>
      <w:numFmt w:val="decimal"/>
      <w:lvlText w:val="%4."/>
      <w:lvlJc w:val="left"/>
      <w:pPr>
        <w:ind w:left="2880" w:hanging="360"/>
      </w:pPr>
    </w:lvl>
    <w:lvl w:ilvl="4" w:tplc="755CBD38" w:tentative="1">
      <w:start w:val="1"/>
      <w:numFmt w:val="lowerLetter"/>
      <w:lvlText w:val="%5."/>
      <w:lvlJc w:val="left"/>
      <w:pPr>
        <w:ind w:left="3600" w:hanging="360"/>
      </w:pPr>
    </w:lvl>
    <w:lvl w:ilvl="5" w:tplc="949CA9BC" w:tentative="1">
      <w:start w:val="1"/>
      <w:numFmt w:val="lowerRoman"/>
      <w:lvlText w:val="%6."/>
      <w:lvlJc w:val="right"/>
      <w:pPr>
        <w:ind w:left="4320" w:hanging="180"/>
      </w:pPr>
    </w:lvl>
    <w:lvl w:ilvl="6" w:tplc="41DAA29E" w:tentative="1">
      <w:start w:val="1"/>
      <w:numFmt w:val="decimal"/>
      <w:lvlText w:val="%7."/>
      <w:lvlJc w:val="left"/>
      <w:pPr>
        <w:ind w:left="5040" w:hanging="360"/>
      </w:pPr>
    </w:lvl>
    <w:lvl w:ilvl="7" w:tplc="2A72DAFA" w:tentative="1">
      <w:start w:val="1"/>
      <w:numFmt w:val="lowerLetter"/>
      <w:lvlText w:val="%8."/>
      <w:lvlJc w:val="left"/>
      <w:pPr>
        <w:ind w:left="5760" w:hanging="360"/>
      </w:pPr>
    </w:lvl>
    <w:lvl w:ilvl="8" w:tplc="51464A7C" w:tentative="1">
      <w:start w:val="1"/>
      <w:numFmt w:val="lowerRoman"/>
      <w:lvlText w:val="%9."/>
      <w:lvlJc w:val="right"/>
      <w:pPr>
        <w:ind w:left="6480" w:hanging="180"/>
      </w:pPr>
    </w:lvl>
  </w:abstractNum>
  <w:abstractNum w:abstractNumId="5" w15:restartNumberingAfterBreak="0">
    <w:nsid w:val="70D164F3"/>
    <w:multiLevelType w:val="hybridMultilevel"/>
    <w:tmpl w:val="C6A401FA"/>
    <w:lvl w:ilvl="0" w:tplc="C3B693CC">
      <w:start w:val="1"/>
      <w:numFmt w:val="lowerLetter"/>
      <w:lvlText w:val="%1."/>
      <w:lvlJc w:val="left"/>
      <w:pPr>
        <w:ind w:left="860" w:hanging="435"/>
      </w:pPr>
      <w:rPr>
        <w:rFonts w:hint="default"/>
      </w:rPr>
    </w:lvl>
    <w:lvl w:ilvl="1" w:tplc="A3BCFC4C">
      <w:start w:val="1"/>
      <w:numFmt w:val="bullet"/>
      <w:lvlText w:val=""/>
      <w:lvlJc w:val="left"/>
      <w:pPr>
        <w:ind w:left="1505" w:hanging="360"/>
      </w:pPr>
      <w:rPr>
        <w:rFonts w:ascii="Symbol" w:hAnsi="Symbol" w:hint="default"/>
      </w:rPr>
    </w:lvl>
    <w:lvl w:ilvl="2" w:tplc="A5A8C60A">
      <w:numFmt w:val="bullet"/>
      <w:lvlText w:val="•"/>
      <w:lvlJc w:val="left"/>
      <w:pPr>
        <w:ind w:left="2465" w:hanging="420"/>
      </w:pPr>
      <w:rPr>
        <w:rFonts w:ascii="Times New Roman" w:eastAsiaTheme="minorHAnsi" w:hAnsi="Times New Roman" w:cs="Times New Roman" w:hint="default"/>
      </w:rPr>
    </w:lvl>
    <w:lvl w:ilvl="3" w:tplc="24449E12" w:tentative="1">
      <w:start w:val="1"/>
      <w:numFmt w:val="decimal"/>
      <w:lvlText w:val="%4."/>
      <w:lvlJc w:val="left"/>
      <w:pPr>
        <w:ind w:left="2945" w:hanging="360"/>
      </w:pPr>
    </w:lvl>
    <w:lvl w:ilvl="4" w:tplc="A4862E68" w:tentative="1">
      <w:start w:val="1"/>
      <w:numFmt w:val="lowerLetter"/>
      <w:lvlText w:val="%5."/>
      <w:lvlJc w:val="left"/>
      <w:pPr>
        <w:ind w:left="3665" w:hanging="360"/>
      </w:pPr>
    </w:lvl>
    <w:lvl w:ilvl="5" w:tplc="D4BCE556" w:tentative="1">
      <w:start w:val="1"/>
      <w:numFmt w:val="lowerRoman"/>
      <w:lvlText w:val="%6."/>
      <w:lvlJc w:val="right"/>
      <w:pPr>
        <w:ind w:left="4385" w:hanging="180"/>
      </w:pPr>
    </w:lvl>
    <w:lvl w:ilvl="6" w:tplc="B9BAA1C4" w:tentative="1">
      <w:start w:val="1"/>
      <w:numFmt w:val="decimal"/>
      <w:lvlText w:val="%7."/>
      <w:lvlJc w:val="left"/>
      <w:pPr>
        <w:ind w:left="5105" w:hanging="360"/>
      </w:pPr>
    </w:lvl>
    <w:lvl w:ilvl="7" w:tplc="4CEA01B0" w:tentative="1">
      <w:start w:val="1"/>
      <w:numFmt w:val="lowerLetter"/>
      <w:lvlText w:val="%8."/>
      <w:lvlJc w:val="left"/>
      <w:pPr>
        <w:ind w:left="5825" w:hanging="360"/>
      </w:pPr>
    </w:lvl>
    <w:lvl w:ilvl="8" w:tplc="239C5F00" w:tentative="1">
      <w:start w:val="1"/>
      <w:numFmt w:val="lowerRoman"/>
      <w:lvlText w:val="%9."/>
      <w:lvlJc w:val="right"/>
      <w:pPr>
        <w:ind w:left="6545" w:hanging="180"/>
      </w:pPr>
    </w:lvl>
  </w:abstractNum>
  <w:abstractNum w:abstractNumId="6" w15:restartNumberingAfterBreak="0">
    <w:nsid w:val="764C25B7"/>
    <w:multiLevelType w:val="hybridMultilevel"/>
    <w:tmpl w:val="F4C6F57E"/>
    <w:lvl w:ilvl="0" w:tplc="CD0CED18">
      <w:start w:val="1"/>
      <w:numFmt w:val="decimal"/>
      <w:lvlText w:val="%1."/>
      <w:lvlJc w:val="left"/>
      <w:pPr>
        <w:ind w:left="780" w:hanging="420"/>
      </w:pPr>
      <w:rPr>
        <w:rFonts w:hint="default"/>
      </w:rPr>
    </w:lvl>
    <w:lvl w:ilvl="1" w:tplc="73B68F16" w:tentative="1">
      <w:start w:val="1"/>
      <w:numFmt w:val="lowerLetter"/>
      <w:lvlText w:val="%2."/>
      <w:lvlJc w:val="left"/>
      <w:pPr>
        <w:ind w:left="1440" w:hanging="360"/>
      </w:pPr>
    </w:lvl>
    <w:lvl w:ilvl="2" w:tplc="E6F4D428" w:tentative="1">
      <w:start w:val="1"/>
      <w:numFmt w:val="lowerRoman"/>
      <w:lvlText w:val="%3."/>
      <w:lvlJc w:val="right"/>
      <w:pPr>
        <w:ind w:left="2160" w:hanging="180"/>
      </w:pPr>
    </w:lvl>
    <w:lvl w:ilvl="3" w:tplc="A9140018" w:tentative="1">
      <w:start w:val="1"/>
      <w:numFmt w:val="decimal"/>
      <w:lvlText w:val="%4."/>
      <w:lvlJc w:val="left"/>
      <w:pPr>
        <w:ind w:left="2880" w:hanging="360"/>
      </w:pPr>
    </w:lvl>
    <w:lvl w:ilvl="4" w:tplc="D47C1624" w:tentative="1">
      <w:start w:val="1"/>
      <w:numFmt w:val="lowerLetter"/>
      <w:lvlText w:val="%5."/>
      <w:lvlJc w:val="left"/>
      <w:pPr>
        <w:ind w:left="3600" w:hanging="360"/>
      </w:pPr>
    </w:lvl>
    <w:lvl w:ilvl="5" w:tplc="B956AA44" w:tentative="1">
      <w:start w:val="1"/>
      <w:numFmt w:val="lowerRoman"/>
      <w:lvlText w:val="%6."/>
      <w:lvlJc w:val="right"/>
      <w:pPr>
        <w:ind w:left="4320" w:hanging="180"/>
      </w:pPr>
    </w:lvl>
    <w:lvl w:ilvl="6" w:tplc="7D0E0756" w:tentative="1">
      <w:start w:val="1"/>
      <w:numFmt w:val="decimal"/>
      <w:lvlText w:val="%7."/>
      <w:lvlJc w:val="left"/>
      <w:pPr>
        <w:ind w:left="5040" w:hanging="360"/>
      </w:pPr>
    </w:lvl>
    <w:lvl w:ilvl="7" w:tplc="B3986AD2" w:tentative="1">
      <w:start w:val="1"/>
      <w:numFmt w:val="lowerLetter"/>
      <w:lvlText w:val="%8."/>
      <w:lvlJc w:val="left"/>
      <w:pPr>
        <w:ind w:left="5760" w:hanging="360"/>
      </w:pPr>
    </w:lvl>
    <w:lvl w:ilvl="8" w:tplc="9CE0BF54" w:tentative="1">
      <w:start w:val="1"/>
      <w:numFmt w:val="lowerRoman"/>
      <w:lvlText w:val="%9."/>
      <w:lvlJc w:val="right"/>
      <w:pPr>
        <w:ind w:left="6480" w:hanging="180"/>
      </w:pPr>
    </w:lvl>
  </w:abstractNum>
  <w:abstractNum w:abstractNumId="7" w15:restartNumberingAfterBreak="0">
    <w:nsid w:val="7DB7267A"/>
    <w:multiLevelType w:val="hybridMultilevel"/>
    <w:tmpl w:val="69625A20"/>
    <w:lvl w:ilvl="0" w:tplc="36188BEC">
      <w:start w:val="1"/>
      <w:numFmt w:val="lowerLetter"/>
      <w:lvlText w:val="%1."/>
      <w:lvlJc w:val="left"/>
      <w:pPr>
        <w:ind w:left="860" w:hanging="435"/>
      </w:pPr>
      <w:rPr>
        <w:rFonts w:hint="default"/>
      </w:rPr>
    </w:lvl>
    <w:lvl w:ilvl="1" w:tplc="8788DFE6">
      <w:start w:val="1"/>
      <w:numFmt w:val="lowerLetter"/>
      <w:lvlText w:val="%2."/>
      <w:lvlJc w:val="left"/>
      <w:pPr>
        <w:ind w:left="1505" w:hanging="360"/>
      </w:pPr>
    </w:lvl>
    <w:lvl w:ilvl="2" w:tplc="305EEBB6" w:tentative="1">
      <w:start w:val="1"/>
      <w:numFmt w:val="lowerRoman"/>
      <w:lvlText w:val="%3."/>
      <w:lvlJc w:val="right"/>
      <w:pPr>
        <w:ind w:left="2225" w:hanging="180"/>
      </w:pPr>
    </w:lvl>
    <w:lvl w:ilvl="3" w:tplc="2DAA490A" w:tentative="1">
      <w:start w:val="1"/>
      <w:numFmt w:val="decimal"/>
      <w:lvlText w:val="%4."/>
      <w:lvlJc w:val="left"/>
      <w:pPr>
        <w:ind w:left="2945" w:hanging="360"/>
      </w:pPr>
    </w:lvl>
    <w:lvl w:ilvl="4" w:tplc="7D2C88EA" w:tentative="1">
      <w:start w:val="1"/>
      <w:numFmt w:val="lowerLetter"/>
      <w:lvlText w:val="%5."/>
      <w:lvlJc w:val="left"/>
      <w:pPr>
        <w:ind w:left="3665" w:hanging="360"/>
      </w:pPr>
    </w:lvl>
    <w:lvl w:ilvl="5" w:tplc="24B474C8" w:tentative="1">
      <w:start w:val="1"/>
      <w:numFmt w:val="lowerRoman"/>
      <w:lvlText w:val="%6."/>
      <w:lvlJc w:val="right"/>
      <w:pPr>
        <w:ind w:left="4385" w:hanging="180"/>
      </w:pPr>
    </w:lvl>
    <w:lvl w:ilvl="6" w:tplc="AEA09F20" w:tentative="1">
      <w:start w:val="1"/>
      <w:numFmt w:val="decimal"/>
      <w:lvlText w:val="%7."/>
      <w:lvlJc w:val="left"/>
      <w:pPr>
        <w:ind w:left="5105" w:hanging="360"/>
      </w:pPr>
    </w:lvl>
    <w:lvl w:ilvl="7" w:tplc="362EFCD6" w:tentative="1">
      <w:start w:val="1"/>
      <w:numFmt w:val="lowerLetter"/>
      <w:lvlText w:val="%8."/>
      <w:lvlJc w:val="left"/>
      <w:pPr>
        <w:ind w:left="5825" w:hanging="360"/>
      </w:pPr>
    </w:lvl>
    <w:lvl w:ilvl="8" w:tplc="24AC3B08" w:tentative="1">
      <w:start w:val="1"/>
      <w:numFmt w:val="lowerRoman"/>
      <w:lvlText w:val="%9."/>
      <w:lvlJc w:val="right"/>
      <w:pPr>
        <w:ind w:left="6545" w:hanging="180"/>
      </w:pPr>
    </w:lvl>
  </w:abstractNum>
  <w:num w:numId="1">
    <w:abstractNumId w:val="7"/>
  </w:num>
  <w:num w:numId="2">
    <w:abstractNumId w:val="4"/>
  </w:num>
  <w:num w:numId="3">
    <w:abstractNumId w:val="1"/>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43"/>
    <w:rsid w:val="001742AF"/>
    <w:rsid w:val="00241095"/>
    <w:rsid w:val="00317909"/>
    <w:rsid w:val="0032259E"/>
    <w:rsid w:val="00343F23"/>
    <w:rsid w:val="00426494"/>
    <w:rsid w:val="0042786E"/>
    <w:rsid w:val="00443FD0"/>
    <w:rsid w:val="00513576"/>
    <w:rsid w:val="00592937"/>
    <w:rsid w:val="00595715"/>
    <w:rsid w:val="005B26CF"/>
    <w:rsid w:val="005D5EC7"/>
    <w:rsid w:val="005F74DF"/>
    <w:rsid w:val="006242DA"/>
    <w:rsid w:val="00663EFB"/>
    <w:rsid w:val="006B24D2"/>
    <w:rsid w:val="006E036C"/>
    <w:rsid w:val="00743196"/>
    <w:rsid w:val="007560DD"/>
    <w:rsid w:val="00772931"/>
    <w:rsid w:val="008009F2"/>
    <w:rsid w:val="00801CD1"/>
    <w:rsid w:val="008967D1"/>
    <w:rsid w:val="008B4F54"/>
    <w:rsid w:val="00944343"/>
    <w:rsid w:val="00954AB1"/>
    <w:rsid w:val="00AE49FA"/>
    <w:rsid w:val="00B411A3"/>
    <w:rsid w:val="00B565CB"/>
    <w:rsid w:val="00B80DAB"/>
    <w:rsid w:val="00BF1593"/>
    <w:rsid w:val="00BF4DCF"/>
    <w:rsid w:val="00C0411C"/>
    <w:rsid w:val="00CB060F"/>
    <w:rsid w:val="00CF1547"/>
    <w:rsid w:val="00DD413F"/>
    <w:rsid w:val="00E34BDB"/>
    <w:rsid w:val="00FA7C2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2EC9F-33B9-48E2-A232-2072661F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2ACF"/>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ACF"/>
    <w:pPr>
      <w:spacing w:after="0" w:line="240" w:lineRule="auto"/>
    </w:pPr>
  </w:style>
  <w:style w:type="paragraph" w:styleId="ListParagraph">
    <w:name w:val="List Paragraph"/>
    <w:basedOn w:val="Normal"/>
    <w:uiPriority w:val="34"/>
    <w:qFormat/>
    <w:rsid w:val="006E272F"/>
    <w:pPr>
      <w:ind w:left="720"/>
      <w:contextualSpacing/>
    </w:pPr>
  </w:style>
  <w:style w:type="character" w:styleId="CommentReference">
    <w:name w:val="annotation reference"/>
    <w:basedOn w:val="DefaultParagraphFont"/>
    <w:uiPriority w:val="99"/>
    <w:semiHidden/>
    <w:unhideWhenUsed/>
    <w:rsid w:val="00DC0647"/>
    <w:rPr>
      <w:sz w:val="16"/>
      <w:szCs w:val="16"/>
    </w:rPr>
  </w:style>
  <w:style w:type="paragraph" w:styleId="CommentText">
    <w:name w:val="annotation text"/>
    <w:basedOn w:val="Normal"/>
    <w:link w:val="CommentTextChar"/>
    <w:uiPriority w:val="99"/>
    <w:semiHidden/>
    <w:unhideWhenUsed/>
    <w:rsid w:val="00DC0647"/>
    <w:rPr>
      <w:sz w:val="20"/>
      <w:szCs w:val="20"/>
    </w:rPr>
  </w:style>
  <w:style w:type="character" w:customStyle="1" w:styleId="CommentTextChar">
    <w:name w:val="Comment Text Char"/>
    <w:basedOn w:val="DefaultParagraphFont"/>
    <w:link w:val="CommentText"/>
    <w:uiPriority w:val="99"/>
    <w:semiHidden/>
    <w:rsid w:val="00DC064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C0647"/>
    <w:rPr>
      <w:b/>
      <w:bCs/>
    </w:rPr>
  </w:style>
  <w:style w:type="character" w:customStyle="1" w:styleId="CommentSubjectChar">
    <w:name w:val="Comment Subject Char"/>
    <w:basedOn w:val="CommentTextChar"/>
    <w:link w:val="CommentSubject"/>
    <w:uiPriority w:val="99"/>
    <w:semiHidden/>
    <w:rsid w:val="00DC0647"/>
    <w:rPr>
      <w:rFonts w:ascii="Calibri" w:eastAsia="Calibri" w:hAnsi="Calibri" w:cs="Times New Roman"/>
      <w:b/>
      <w:bCs/>
      <w:sz w:val="20"/>
      <w:szCs w:val="20"/>
      <w:lang w:val="en-GB"/>
    </w:rPr>
  </w:style>
  <w:style w:type="paragraph" w:styleId="Revision">
    <w:name w:val="Revision"/>
    <w:hidden/>
    <w:uiPriority w:val="99"/>
    <w:semiHidden/>
    <w:rsid w:val="00DC064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DC0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647"/>
    <w:rPr>
      <w:rFonts w:ascii="Segoe UI" w:eastAsia="Calibri" w:hAnsi="Segoe UI" w:cs="Segoe UI"/>
      <w:sz w:val="18"/>
      <w:szCs w:val="18"/>
      <w:lang w:val="en-GB"/>
    </w:rPr>
  </w:style>
  <w:style w:type="table" w:styleId="TableGrid">
    <w:name w:val="Table Grid"/>
    <w:basedOn w:val="TableNormal"/>
    <w:uiPriority w:val="39"/>
    <w:rsid w:val="00207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226"/>
    <w:pPr>
      <w:tabs>
        <w:tab w:val="center" w:pos="4513"/>
        <w:tab w:val="right" w:pos="9026"/>
      </w:tabs>
    </w:pPr>
  </w:style>
  <w:style w:type="character" w:customStyle="1" w:styleId="HeaderChar">
    <w:name w:val="Header Char"/>
    <w:basedOn w:val="DefaultParagraphFont"/>
    <w:link w:val="Header"/>
    <w:uiPriority w:val="99"/>
    <w:rsid w:val="00D66226"/>
    <w:rPr>
      <w:rFonts w:ascii="Calibri" w:eastAsia="Calibri" w:hAnsi="Calibri" w:cs="Times New Roman"/>
      <w:lang w:val="en-GB"/>
    </w:rPr>
  </w:style>
  <w:style w:type="paragraph" w:styleId="Footer">
    <w:name w:val="footer"/>
    <w:basedOn w:val="Normal"/>
    <w:link w:val="FooterChar"/>
    <w:uiPriority w:val="99"/>
    <w:unhideWhenUsed/>
    <w:rsid w:val="00D66226"/>
    <w:pPr>
      <w:tabs>
        <w:tab w:val="center" w:pos="4513"/>
        <w:tab w:val="right" w:pos="9026"/>
      </w:tabs>
    </w:pPr>
  </w:style>
  <w:style w:type="character" w:customStyle="1" w:styleId="FooterChar">
    <w:name w:val="Footer Char"/>
    <w:basedOn w:val="DefaultParagraphFont"/>
    <w:link w:val="Footer"/>
    <w:uiPriority w:val="99"/>
    <w:rsid w:val="00D66226"/>
    <w:rPr>
      <w:rFonts w:ascii="Calibri" w:eastAsia="Calibri" w:hAnsi="Calibri" w:cs="Times New Roman"/>
      <w:lang w:val="en-GB"/>
    </w:rPr>
  </w:style>
  <w:style w:type="character" w:styleId="Hyperlink">
    <w:name w:val="Hyperlink"/>
    <w:basedOn w:val="DefaultParagraphFont"/>
    <w:uiPriority w:val="99"/>
    <w:unhideWhenUsed/>
    <w:rsid w:val="000C02D6"/>
    <w:rPr>
      <w:color w:val="0563C1" w:themeColor="hyperlink"/>
      <w:u w:val="single"/>
    </w:rPr>
  </w:style>
  <w:style w:type="character" w:customStyle="1" w:styleId="UnresolvedMention1">
    <w:name w:val="Unresolved Mention1"/>
    <w:basedOn w:val="DefaultParagraphFont"/>
    <w:uiPriority w:val="99"/>
    <w:semiHidden/>
    <w:unhideWhenUsed/>
    <w:rsid w:val="000C02D6"/>
    <w:rPr>
      <w:color w:val="808080"/>
      <w:shd w:val="clear" w:color="auto" w:fill="E6E6E6"/>
    </w:rPr>
  </w:style>
  <w:style w:type="paragraph" w:styleId="FootnoteText">
    <w:name w:val="footnote text"/>
    <w:basedOn w:val="Normal"/>
    <w:link w:val="FootnoteTextChar"/>
    <w:uiPriority w:val="99"/>
    <w:semiHidden/>
    <w:unhideWhenUsed/>
    <w:rsid w:val="006C4C08"/>
    <w:rPr>
      <w:sz w:val="20"/>
      <w:szCs w:val="20"/>
    </w:rPr>
  </w:style>
  <w:style w:type="character" w:customStyle="1" w:styleId="FootnoteTextChar">
    <w:name w:val="Footnote Text Char"/>
    <w:basedOn w:val="DefaultParagraphFont"/>
    <w:link w:val="FootnoteText"/>
    <w:uiPriority w:val="99"/>
    <w:semiHidden/>
    <w:rsid w:val="006C4C08"/>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6C4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amsar.org/sites/default/files/documents/library/sc53-05_review_wgs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7E84B-D443-4943-B65C-3699D41C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Victoria Zentilli Del Campo</cp:lastModifiedBy>
  <cp:revision>2</cp:revision>
  <cp:lastPrinted>2018-10-27T10:02:00Z</cp:lastPrinted>
  <dcterms:created xsi:type="dcterms:W3CDTF">2018-10-27T16:16:00Z</dcterms:created>
  <dcterms:modified xsi:type="dcterms:W3CDTF">2018-10-27T16:16:00Z</dcterms:modified>
</cp:coreProperties>
</file>