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04959" w14:textId="77777777" w:rsidR="00743F28" w:rsidRPr="00517C51" w:rsidRDefault="00743F28" w:rsidP="00743F28">
      <w:pPr>
        <w:ind w:right="17"/>
        <w:jc w:val="center"/>
        <w:outlineLvl w:val="0"/>
        <w:rPr>
          <w:rFonts w:eastAsia="Times New Roman" w:cstheme="majorHAnsi"/>
          <w:b/>
          <w:bCs/>
          <w:sz w:val="24"/>
          <w:szCs w:val="24"/>
          <w:lang w:val="en-US"/>
        </w:rPr>
      </w:pPr>
      <w:r>
        <w:rPr>
          <w:rFonts w:eastAsia="Times New Roman" w:cstheme="majorHAnsi"/>
          <w:b/>
          <w:bCs/>
          <w:noProof/>
          <w:sz w:val="28"/>
          <w:szCs w:val="28"/>
          <w:lang w:eastAsia="en-GB"/>
        </w:rPr>
        <w:drawing>
          <wp:anchor distT="0" distB="0" distL="114300" distR="114300" simplePos="0" relativeHeight="251659264" behindDoc="1" locked="0" layoutInCell="1" allowOverlap="1" wp14:anchorId="0AD28CAF" wp14:editId="691083D2">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lang w:val="en-US"/>
        </w:rPr>
        <w:t>13th Meeting of the Conference of the Contracting Parties</w:t>
      </w:r>
    </w:p>
    <w:p w14:paraId="1ABA9C86" w14:textId="77777777" w:rsidR="00743F28" w:rsidRPr="00517C51" w:rsidRDefault="00743F28" w:rsidP="00743F28">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Ramsar Convention on Wetlands</w:t>
      </w:r>
    </w:p>
    <w:p w14:paraId="04137535" w14:textId="77777777" w:rsidR="00743F28" w:rsidRPr="00517C51" w:rsidRDefault="00743F28" w:rsidP="00743F28">
      <w:pPr>
        <w:ind w:right="17"/>
        <w:jc w:val="center"/>
        <w:outlineLvl w:val="0"/>
        <w:rPr>
          <w:rFonts w:eastAsia="Times New Roman" w:cstheme="majorHAnsi"/>
          <w:b/>
          <w:bCs/>
          <w:sz w:val="24"/>
          <w:szCs w:val="24"/>
          <w:lang w:val="en-US"/>
        </w:rPr>
      </w:pPr>
    </w:p>
    <w:p w14:paraId="79843264" w14:textId="77777777" w:rsidR="00743F28" w:rsidRPr="00517C51" w:rsidRDefault="00743F28" w:rsidP="00743F28">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“Wetlands for a Sustainable Urban Future”</w:t>
      </w:r>
    </w:p>
    <w:p w14:paraId="5F8E12BF" w14:textId="77777777" w:rsidR="00743F28" w:rsidRPr="00517C51" w:rsidRDefault="00743F28" w:rsidP="00743F28">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Dubai, United Arab Emirates, 21-29 October 2018</w:t>
      </w:r>
    </w:p>
    <w:p w14:paraId="6872234B" w14:textId="77777777" w:rsidR="00743F28" w:rsidRDefault="00743F28" w:rsidP="00743F28">
      <w:pPr>
        <w:ind w:right="17"/>
        <w:jc w:val="center"/>
        <w:outlineLvl w:val="0"/>
        <w:rPr>
          <w:rFonts w:eastAsia="Times New Roman" w:cstheme="majorHAnsi"/>
          <w:b/>
          <w:bCs/>
          <w:sz w:val="28"/>
          <w:szCs w:val="28"/>
        </w:rPr>
      </w:pPr>
    </w:p>
    <w:p w14:paraId="7DC0E263" w14:textId="77777777" w:rsidR="00743F28" w:rsidRDefault="00743F28" w:rsidP="00743F28">
      <w:pPr>
        <w:ind w:right="17"/>
        <w:jc w:val="center"/>
        <w:outlineLvl w:val="0"/>
        <w:rPr>
          <w:rFonts w:eastAsia="Times New Roman"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81B42" w:rsidRPr="000E67F8" w14:paraId="4DE038ED" w14:textId="77777777" w:rsidTr="00570013">
        <w:tc>
          <w:tcPr>
            <w:tcW w:w="9360" w:type="dxa"/>
          </w:tcPr>
          <w:p w14:paraId="5750B297" w14:textId="77777777" w:rsidR="00781B42" w:rsidRPr="000E67F8" w:rsidRDefault="00781B42" w:rsidP="00743F28">
            <w:pPr>
              <w:ind w:right="67"/>
              <w:jc w:val="right"/>
              <w:outlineLvl w:val="0"/>
              <w:rPr>
                <w:rFonts w:eastAsia="Times New Roman" w:cstheme="majorHAnsi"/>
                <w:b/>
                <w:bCs/>
                <w:sz w:val="24"/>
                <w:szCs w:val="24"/>
                <w:lang w:val="en-US"/>
              </w:rPr>
            </w:pPr>
            <w:r w:rsidRPr="000E67F8">
              <w:rPr>
                <w:rFonts w:eastAsia="Times New Roman" w:cstheme="majorHAnsi"/>
                <w:b/>
                <w:bCs/>
                <w:sz w:val="24"/>
                <w:szCs w:val="24"/>
                <w:lang w:val="en-US"/>
              </w:rPr>
              <w:t xml:space="preserve">Ramsar COP13 </w:t>
            </w:r>
            <w:r>
              <w:rPr>
                <w:rFonts w:eastAsia="Times New Roman" w:cstheme="majorHAnsi"/>
                <w:b/>
                <w:bCs/>
                <w:sz w:val="24"/>
                <w:szCs w:val="24"/>
                <w:lang w:val="en-US"/>
              </w:rPr>
              <w:t>Doc.18.17 Rev.1</w:t>
            </w:r>
          </w:p>
        </w:tc>
      </w:tr>
    </w:tbl>
    <w:p w14:paraId="2DF4AF6B" w14:textId="77777777" w:rsidR="003E33E6" w:rsidRDefault="003E33E6" w:rsidP="003E33E6">
      <w:pPr>
        <w:rPr>
          <w:rFonts w:asciiTheme="minorHAnsi" w:hAnsiTheme="minorHAnsi"/>
          <w:b/>
          <w:sz w:val="28"/>
          <w:szCs w:val="28"/>
        </w:rPr>
      </w:pPr>
    </w:p>
    <w:p w14:paraId="1EFA751D" w14:textId="77777777" w:rsidR="003E33E6" w:rsidRDefault="003E33E6" w:rsidP="00CA567F">
      <w:pPr>
        <w:ind w:left="0" w:firstLine="0"/>
        <w:jc w:val="center"/>
        <w:rPr>
          <w:rFonts w:asciiTheme="minorHAnsi" w:eastAsia="Times New Roman" w:hAnsiTheme="minorHAnsi" w:cs="Times New Roman"/>
          <w:sz w:val="28"/>
          <w:szCs w:val="28"/>
        </w:rPr>
      </w:pPr>
      <w:r>
        <w:rPr>
          <w:rFonts w:asciiTheme="minorHAnsi" w:eastAsia="Times New Roman" w:hAnsiTheme="minorHAnsi" w:cs="Times New Roman"/>
          <w:b/>
          <w:bCs/>
          <w:sz w:val="28"/>
          <w:szCs w:val="28"/>
        </w:rPr>
        <w:t>Draft</w:t>
      </w:r>
      <w:r w:rsidR="002529A4">
        <w:rPr>
          <w:rFonts w:asciiTheme="minorHAnsi" w:eastAsia="Times New Roman" w:hAnsiTheme="minorHAnsi" w:cs="Times New Roman"/>
          <w:b/>
          <w:bCs/>
          <w:sz w:val="28"/>
          <w:szCs w:val="28"/>
        </w:rPr>
        <w:t xml:space="preserve"> r</w:t>
      </w:r>
      <w:r>
        <w:rPr>
          <w:rFonts w:asciiTheme="minorHAnsi" w:eastAsia="Times New Roman" w:hAnsiTheme="minorHAnsi" w:cs="Times New Roman"/>
          <w:b/>
          <w:bCs/>
          <w:sz w:val="28"/>
          <w:szCs w:val="28"/>
        </w:rPr>
        <w:t xml:space="preserve">esolution </w:t>
      </w:r>
      <w:r w:rsidR="00C86B81">
        <w:rPr>
          <w:rFonts w:asciiTheme="minorHAnsi" w:eastAsia="Times New Roman" w:hAnsiTheme="minorHAnsi" w:cs="Times New Roman"/>
          <w:b/>
          <w:bCs/>
          <w:sz w:val="28"/>
          <w:szCs w:val="28"/>
        </w:rPr>
        <w:t>on s</w:t>
      </w:r>
      <w:r w:rsidR="00743F28" w:rsidRPr="003E33E6">
        <w:rPr>
          <w:rFonts w:asciiTheme="minorHAnsi" w:eastAsia="Times New Roman" w:hAnsiTheme="minorHAnsi" w:cs="Times New Roman"/>
          <w:b/>
          <w:bCs/>
          <w:sz w:val="28"/>
          <w:szCs w:val="28"/>
        </w:rPr>
        <w:t xml:space="preserve">ustainable </w:t>
      </w:r>
      <w:r w:rsidR="00743F28">
        <w:rPr>
          <w:rFonts w:asciiTheme="minorHAnsi" w:eastAsia="Times New Roman" w:hAnsiTheme="minorHAnsi" w:cs="Times New Roman"/>
          <w:b/>
          <w:bCs/>
          <w:sz w:val="28"/>
          <w:szCs w:val="28"/>
        </w:rPr>
        <w:t>u</w:t>
      </w:r>
      <w:r w:rsidR="00011647" w:rsidRPr="003E33E6">
        <w:rPr>
          <w:rFonts w:asciiTheme="minorHAnsi" w:eastAsia="Times New Roman" w:hAnsiTheme="minorHAnsi" w:cs="Times New Roman"/>
          <w:b/>
          <w:bCs/>
          <w:sz w:val="28"/>
          <w:szCs w:val="28"/>
        </w:rPr>
        <w:t xml:space="preserve">rbanization, </w:t>
      </w:r>
      <w:r w:rsidR="00C86B81">
        <w:rPr>
          <w:rFonts w:asciiTheme="minorHAnsi" w:eastAsia="Times New Roman" w:hAnsiTheme="minorHAnsi" w:cs="Times New Roman"/>
          <w:b/>
          <w:bCs/>
          <w:sz w:val="28"/>
          <w:szCs w:val="28"/>
        </w:rPr>
        <w:br/>
      </w:r>
      <w:r w:rsidR="00011647">
        <w:rPr>
          <w:rFonts w:asciiTheme="minorHAnsi" w:eastAsia="Times New Roman" w:hAnsiTheme="minorHAnsi" w:cs="Times New Roman"/>
          <w:b/>
          <w:bCs/>
          <w:sz w:val="28"/>
          <w:szCs w:val="28"/>
        </w:rPr>
        <w:t>climate change a</w:t>
      </w:r>
      <w:r w:rsidR="00011647" w:rsidRPr="003E33E6">
        <w:rPr>
          <w:rFonts w:asciiTheme="minorHAnsi" w:eastAsia="Times New Roman" w:hAnsiTheme="minorHAnsi" w:cs="Times New Roman"/>
          <w:b/>
          <w:bCs/>
          <w:sz w:val="28"/>
          <w:szCs w:val="28"/>
        </w:rPr>
        <w:t xml:space="preserve">nd wetlands </w:t>
      </w:r>
    </w:p>
    <w:p w14:paraId="096B99D4" w14:textId="77777777" w:rsidR="003E33E6" w:rsidRDefault="003E33E6" w:rsidP="003E33E6">
      <w:pPr>
        <w:jc w:val="right"/>
        <w:rPr>
          <w:rFonts w:asciiTheme="minorHAnsi" w:eastAsia="Times New Roman" w:hAnsiTheme="minorHAnsi" w:cs="Times New Roman"/>
          <w:b/>
          <w:sz w:val="28"/>
          <w:szCs w:val="28"/>
        </w:rPr>
      </w:pPr>
    </w:p>
    <w:p w14:paraId="7FF907A5" w14:textId="77777777" w:rsidR="003E33E6" w:rsidRDefault="003E33E6" w:rsidP="003E33E6">
      <w:pPr>
        <w:ind w:right="16"/>
        <w:rPr>
          <w:rFonts w:asciiTheme="minorHAnsi" w:eastAsia="Times New Roman" w:hAnsiTheme="minorHAnsi" w:cs="Times New Roman"/>
          <w:i/>
        </w:rPr>
      </w:pPr>
      <w:r>
        <w:rPr>
          <w:rFonts w:asciiTheme="minorHAnsi" w:eastAsia="Times New Roman" w:hAnsiTheme="minorHAnsi" w:cs="Times New Roman"/>
          <w:i/>
        </w:rPr>
        <w:t xml:space="preserve">Submitted by </w:t>
      </w:r>
      <w:r w:rsidR="002013A2">
        <w:rPr>
          <w:rFonts w:asciiTheme="minorHAnsi" w:eastAsia="Times New Roman" w:hAnsiTheme="minorHAnsi" w:cs="Times New Roman"/>
          <w:i/>
        </w:rPr>
        <w:t xml:space="preserve">the </w:t>
      </w:r>
      <w:r>
        <w:rPr>
          <w:rFonts w:asciiTheme="minorHAnsi" w:eastAsia="Times New Roman" w:hAnsiTheme="minorHAnsi" w:cs="Times New Roman"/>
          <w:i/>
        </w:rPr>
        <w:t>United Arab Emirates</w:t>
      </w:r>
    </w:p>
    <w:p w14:paraId="0FA73689" w14:textId="77777777" w:rsidR="003E33E6" w:rsidRDefault="003E33E6" w:rsidP="003E33E6"/>
    <w:p w14:paraId="3107E4A2" w14:textId="77777777" w:rsidR="00C86B81" w:rsidRDefault="00C86B81" w:rsidP="003E33E6">
      <w:pPr>
        <w:rPr>
          <w:rFonts w:cs="Arial"/>
        </w:rPr>
      </w:pPr>
    </w:p>
    <w:p w14:paraId="16DADCB7" w14:textId="77777777" w:rsidR="0032628E" w:rsidRDefault="00011647" w:rsidP="00107806">
      <w:pPr>
        <w:contextualSpacing/>
      </w:pPr>
      <w:r>
        <w:t>1.</w:t>
      </w:r>
      <w:r>
        <w:tab/>
      </w:r>
      <w:r w:rsidR="00264DF3" w:rsidRPr="004171D5">
        <w:t xml:space="preserve">RECOGNIZING the Convention’s role </w:t>
      </w:r>
      <w:r w:rsidR="007334C0">
        <w:t>in</w:t>
      </w:r>
      <w:r w:rsidR="00264DF3" w:rsidRPr="004171D5">
        <w:t xml:space="preserve"> address</w:t>
      </w:r>
      <w:r w:rsidR="007334C0">
        <w:t>ing</w:t>
      </w:r>
      <w:r w:rsidR="00264DF3" w:rsidRPr="004171D5">
        <w:t xml:space="preserve"> all issues affecting the maintenance of the ecological character of wetlands</w:t>
      </w:r>
      <w:r w:rsidR="00264DF3">
        <w:t xml:space="preserve"> and </w:t>
      </w:r>
      <w:r w:rsidR="003E33E6">
        <w:t xml:space="preserve">RECALLING Resolution XII.11 on </w:t>
      </w:r>
      <w:r w:rsidR="00FE035F" w:rsidRPr="00FE035F">
        <w:rPr>
          <w:i/>
        </w:rPr>
        <w:t>Peatlands, climate change and wise use: Implications for the Ramsar Convention</w:t>
      </w:r>
      <w:r w:rsidR="00EF4160" w:rsidRPr="005F421A">
        <w:t>,</w:t>
      </w:r>
      <w:r w:rsidR="00FE035F" w:rsidRPr="005F421A">
        <w:t xml:space="preserve"> </w:t>
      </w:r>
      <w:r w:rsidR="003B110C">
        <w:t xml:space="preserve">which </w:t>
      </w:r>
      <w:r w:rsidR="003E33E6">
        <w:t>recognize</w:t>
      </w:r>
      <w:r w:rsidR="00EF4160">
        <w:t>s</w:t>
      </w:r>
      <w:r w:rsidR="003E33E6">
        <w:t xml:space="preserve"> </w:t>
      </w:r>
      <w:r w:rsidR="00FE035F">
        <w:t xml:space="preserve">that </w:t>
      </w:r>
      <w:r w:rsidR="003E33E6">
        <w:t xml:space="preserve">the ecological functions and ecosystem services </w:t>
      </w:r>
      <w:r w:rsidR="00AF0DA5">
        <w:t>of</w:t>
      </w:r>
      <w:r w:rsidR="003E33E6">
        <w:t xml:space="preserve"> wetlands can be seriously degraded if the</w:t>
      </w:r>
      <w:r w:rsidR="00AF0DA5">
        <w:t>se</w:t>
      </w:r>
      <w:r w:rsidR="003E33E6">
        <w:t xml:space="preserve"> ecosystem</w:t>
      </w:r>
      <w:r w:rsidR="00AF0DA5">
        <w:t>s are</w:t>
      </w:r>
      <w:r w:rsidR="003E33E6">
        <w:t xml:space="preserve">  not managed wisely</w:t>
      </w:r>
      <w:r w:rsidR="005723F5">
        <w:t>;</w:t>
      </w:r>
    </w:p>
    <w:p w14:paraId="6552255B" w14:textId="77777777" w:rsidR="0032628E" w:rsidRPr="00852ABF" w:rsidRDefault="0032628E" w:rsidP="00107806">
      <w:pPr>
        <w:pStyle w:val="ListParagraph"/>
        <w:numPr>
          <w:ilvl w:val="0"/>
          <w:numId w:val="0"/>
        </w:numPr>
        <w:suppressAutoHyphens w:val="0"/>
        <w:ind w:left="425" w:hanging="425"/>
        <w:contextualSpacing/>
      </w:pPr>
    </w:p>
    <w:p w14:paraId="1B6FFBD6" w14:textId="77777777" w:rsidR="005A2FF1" w:rsidRDefault="00011647" w:rsidP="00107806">
      <w:pPr>
        <w:contextualSpacing/>
      </w:pPr>
      <w:r>
        <w:rPr>
          <w:lang w:val="en-US"/>
        </w:rPr>
        <w:t>2.</w:t>
      </w:r>
      <w:r>
        <w:rPr>
          <w:lang w:val="en-US"/>
        </w:rPr>
        <w:tab/>
      </w:r>
      <w:r w:rsidR="0032628E" w:rsidRPr="00011647">
        <w:rPr>
          <w:lang w:val="en-US"/>
        </w:rPr>
        <w:t xml:space="preserve">RECALLING that </w:t>
      </w:r>
      <w:r w:rsidR="003E33E6">
        <w:t>Resolution</w:t>
      </w:r>
      <w:r w:rsidR="00627D9E">
        <w:t xml:space="preserve"> </w:t>
      </w:r>
      <w:r w:rsidR="003E33E6">
        <w:t xml:space="preserve">XI.14 on </w:t>
      </w:r>
      <w:r w:rsidR="00FE035F" w:rsidRPr="00FE035F">
        <w:rPr>
          <w:i/>
        </w:rPr>
        <w:t>Climate change and wetlands: implications for the Ramsar Convention on Wetlands</w:t>
      </w:r>
      <w:r w:rsidR="003E33E6">
        <w:t>, which updated Resolution</w:t>
      </w:r>
      <w:r w:rsidR="00627D9E">
        <w:t xml:space="preserve"> </w:t>
      </w:r>
      <w:r w:rsidR="003E33E6">
        <w:t xml:space="preserve">X.24 on </w:t>
      </w:r>
      <w:r w:rsidR="003E33E6" w:rsidRPr="00FE035F">
        <w:rPr>
          <w:i/>
        </w:rPr>
        <w:t xml:space="preserve">Climate </w:t>
      </w:r>
      <w:r w:rsidR="00FE035F" w:rsidRPr="00FE035F">
        <w:rPr>
          <w:i/>
        </w:rPr>
        <w:t>change and wetlands</w:t>
      </w:r>
      <w:r w:rsidR="003E33E6">
        <w:t>, recognize</w:t>
      </w:r>
      <w:r w:rsidR="00506D37">
        <w:t>s</w:t>
      </w:r>
      <w:r w:rsidR="003E33E6">
        <w:t xml:space="preserve"> the potential implications of climate change for the conservation and wise use of wetlands</w:t>
      </w:r>
      <w:r w:rsidR="00CA567F">
        <w:t>,</w:t>
      </w:r>
      <w:r w:rsidR="003E33E6">
        <w:t xml:space="preserve"> and</w:t>
      </w:r>
      <w:r w:rsidR="008A1CB8">
        <w:t xml:space="preserve"> also</w:t>
      </w:r>
      <w:r w:rsidR="003E33E6" w:rsidRPr="004171D5">
        <w:t xml:space="preserve"> call</w:t>
      </w:r>
      <w:r w:rsidR="00506D37">
        <w:t>s</w:t>
      </w:r>
      <w:r w:rsidR="003E33E6" w:rsidRPr="004171D5">
        <w:t xml:space="preserve"> upon Contracting Parties to manage their wetlands in such a way as to increase their resilience to climate change and extreme weather events and to ensure that climate change responses would not lead to serious damage to the ecological character of wetlands</w:t>
      </w:r>
      <w:r w:rsidR="005723F5">
        <w:t>;</w:t>
      </w:r>
      <w:r w:rsidR="003E33E6" w:rsidRPr="004171D5">
        <w:t xml:space="preserve"> </w:t>
      </w:r>
    </w:p>
    <w:p w14:paraId="321D0A2C" w14:textId="77777777" w:rsidR="00CA567F" w:rsidRDefault="00CA567F" w:rsidP="00107806">
      <w:pPr>
        <w:contextualSpacing/>
      </w:pPr>
    </w:p>
    <w:p w14:paraId="1F1C1420" w14:textId="77777777" w:rsidR="00ED028E" w:rsidRPr="00CA567F" w:rsidRDefault="00011647" w:rsidP="00107806">
      <w:pPr>
        <w:contextualSpacing/>
        <w:rPr>
          <w:lang w:val="en-US"/>
        </w:rPr>
      </w:pPr>
      <w:r w:rsidRPr="00CA567F">
        <w:rPr>
          <w:lang w:val="en-US"/>
        </w:rPr>
        <w:t>3.</w:t>
      </w:r>
      <w:r w:rsidRPr="00CA567F">
        <w:rPr>
          <w:lang w:val="en-US"/>
        </w:rPr>
        <w:tab/>
      </w:r>
      <w:r w:rsidR="00ED028E" w:rsidRPr="00CA567F">
        <w:rPr>
          <w:lang w:val="en-US"/>
        </w:rPr>
        <w:t>RECOGNIZING the United Nations Framework Convention on Climate Change (UNFCCC), the Kyoto Protocol and the Paris Agreement adopted under the UNFCCC as the primary multilateral agreements on addressing climate change, and the Intergovernmental Panel on Climate Change (IPCC) as the leading international body for assessing the science related to climate change</w:t>
      </w:r>
      <w:r w:rsidR="00E40EA0">
        <w:rPr>
          <w:lang w:val="en-US"/>
        </w:rPr>
        <w:t>;</w:t>
      </w:r>
    </w:p>
    <w:p w14:paraId="133CD6CF" w14:textId="77777777" w:rsidR="005723F5" w:rsidRDefault="005723F5" w:rsidP="00107806">
      <w:pPr>
        <w:contextualSpacing/>
      </w:pPr>
    </w:p>
    <w:p w14:paraId="20098C1B" w14:textId="77777777" w:rsidR="00086C5A" w:rsidRPr="00086C5A" w:rsidRDefault="00011647" w:rsidP="00107806">
      <w:pPr>
        <w:contextualSpacing/>
      </w:pPr>
      <w:bookmarkStart w:id="0" w:name="_Hlk506883350"/>
      <w:r>
        <w:t>4.</w:t>
      </w:r>
      <w:r>
        <w:tab/>
      </w:r>
      <w:r w:rsidR="007334C0">
        <w:t>ALSO RECOGNIZING</w:t>
      </w:r>
      <w:r w:rsidR="007334C0" w:rsidRPr="00E004A0">
        <w:t xml:space="preserve"> </w:t>
      </w:r>
      <w:r w:rsidR="003E33E6" w:rsidRPr="00E004A0">
        <w:t>that in its Third</w:t>
      </w:r>
      <w:r w:rsidR="003E33E6">
        <w:t>,</w:t>
      </w:r>
      <w:r w:rsidR="003E33E6" w:rsidRPr="00E004A0">
        <w:t xml:space="preserve"> Fourth</w:t>
      </w:r>
      <w:r w:rsidR="003E33E6">
        <w:t xml:space="preserve">, </w:t>
      </w:r>
      <w:r w:rsidR="006F750C">
        <w:t xml:space="preserve">and </w:t>
      </w:r>
      <w:r w:rsidR="001012F5">
        <w:t>Fifth</w:t>
      </w:r>
      <w:r w:rsidR="001012F5" w:rsidRPr="00E004A0">
        <w:t xml:space="preserve"> </w:t>
      </w:r>
      <w:r w:rsidR="003E33E6" w:rsidRPr="00E004A0">
        <w:t>Assessment Reports, the IPCC</w:t>
      </w:r>
      <w:r w:rsidR="003E33E6">
        <w:t xml:space="preserve"> </w:t>
      </w:r>
      <w:r w:rsidR="003E33E6" w:rsidRPr="00E004A0">
        <w:t>concluded that wetlands</w:t>
      </w:r>
      <w:r w:rsidR="005F122E">
        <w:t>,</w:t>
      </w:r>
      <w:r w:rsidR="003E33E6" w:rsidRPr="00E004A0">
        <w:t xml:space="preserve"> </w:t>
      </w:r>
      <w:r w:rsidR="00086C5A" w:rsidRPr="00086C5A">
        <w:t>especially those located in areas with high construction rates, may undergo significant and irreversible damage from climate change</w:t>
      </w:r>
      <w:r w:rsidR="00506D37">
        <w:t>,</w:t>
      </w:r>
      <w:r w:rsidR="00086C5A" w:rsidRPr="00086C5A">
        <w:t xml:space="preserve"> due to the limited adaptive capacities of wetlands and their </w:t>
      </w:r>
      <w:r w:rsidR="00ED028E" w:rsidRPr="00ED028E">
        <w:t>vulnerability</w:t>
      </w:r>
      <w:r w:rsidR="00086C5A" w:rsidRPr="00086C5A">
        <w:t xml:space="preserve"> to associated risks;</w:t>
      </w:r>
    </w:p>
    <w:bookmarkEnd w:id="0"/>
    <w:p w14:paraId="2950B789" w14:textId="77777777" w:rsidR="008A1CB8" w:rsidRDefault="008A1CB8" w:rsidP="00107806">
      <w:pPr>
        <w:contextualSpacing/>
      </w:pPr>
    </w:p>
    <w:p w14:paraId="189DC070" w14:textId="77777777" w:rsidR="003E33E6" w:rsidRDefault="003B676F" w:rsidP="00107806">
      <w:pPr>
        <w:contextualSpacing/>
      </w:pPr>
      <w:r>
        <w:t>5</w:t>
      </w:r>
      <w:r w:rsidR="00011647">
        <w:t>.</w:t>
      </w:r>
      <w:r w:rsidR="00011647">
        <w:tab/>
      </w:r>
      <w:r w:rsidR="003E33E6" w:rsidRPr="000E4EA7">
        <w:t xml:space="preserve">NOTING that paragraph 11 of Resolution XII.11 </w:t>
      </w:r>
      <w:r w:rsidR="0093063A">
        <w:t xml:space="preserve">refers to </w:t>
      </w:r>
      <w:r w:rsidR="003E33E6" w:rsidRPr="000E4EA7">
        <w:t>Decision X/2 adopted by the Convention on Biological Diversity (CBD)</w:t>
      </w:r>
      <w:r w:rsidR="0093063A">
        <w:t xml:space="preserve"> on the </w:t>
      </w:r>
      <w:r w:rsidR="0093063A" w:rsidRPr="0093063A">
        <w:rPr>
          <w:i/>
        </w:rPr>
        <w:t>Strategic Plan for Biodiversity 2011-2020</w:t>
      </w:r>
      <w:r w:rsidR="0093063A">
        <w:rPr>
          <w:i/>
        </w:rPr>
        <w:t xml:space="preserve"> </w:t>
      </w:r>
      <w:r w:rsidR="0093063A" w:rsidRPr="0093063A">
        <w:t>(</w:t>
      </w:r>
      <w:r w:rsidR="0093063A" w:rsidRPr="000E4EA7">
        <w:t>Aichi Target 15</w:t>
      </w:r>
      <w:r w:rsidR="0093063A">
        <w:t>)</w:t>
      </w:r>
      <w:r w:rsidR="003E33E6" w:rsidRPr="000E4EA7">
        <w:t>: “By 2020, ecosystem resilience and the contribution of biodiversity to carbon stocks have been enhanced, through conservation and restoration, including restoration of at least 15 per cent of degraded ecosystems, thereby contributing to climate change mitigation and adaptation and to combating desertification”;</w:t>
      </w:r>
    </w:p>
    <w:p w14:paraId="76EC4EF8" w14:textId="77777777" w:rsidR="00242087" w:rsidRPr="000E4EA7" w:rsidRDefault="00242087" w:rsidP="00107806">
      <w:pPr>
        <w:pStyle w:val="ListParagraph"/>
        <w:numPr>
          <w:ilvl w:val="0"/>
          <w:numId w:val="0"/>
        </w:numPr>
        <w:ind w:left="425" w:hanging="425"/>
        <w:contextualSpacing/>
      </w:pPr>
    </w:p>
    <w:p w14:paraId="629E6878" w14:textId="77777777" w:rsidR="003E33E6" w:rsidRPr="000E4EA7" w:rsidRDefault="003B676F" w:rsidP="00107806">
      <w:pPr>
        <w:contextualSpacing/>
      </w:pPr>
      <w:r>
        <w:t>6</w:t>
      </w:r>
      <w:r w:rsidR="00011647">
        <w:t>.</w:t>
      </w:r>
      <w:r w:rsidR="00011647">
        <w:tab/>
      </w:r>
      <w:r w:rsidR="003E33E6" w:rsidRPr="000E4EA7">
        <w:t xml:space="preserve">AWARE of Resolution 1/8 adopted by the United Nations Environment Assembly of the United Nations Environment Programme on </w:t>
      </w:r>
      <w:r w:rsidR="0093063A" w:rsidRPr="0093063A">
        <w:rPr>
          <w:i/>
        </w:rPr>
        <w:t>Ecosystem-</w:t>
      </w:r>
      <w:r w:rsidR="003E33E6" w:rsidRPr="0093063A">
        <w:rPr>
          <w:i/>
        </w:rPr>
        <w:t>based adaptation</w:t>
      </w:r>
      <w:r w:rsidR="003E33E6" w:rsidRPr="000E4EA7">
        <w:t>;</w:t>
      </w:r>
    </w:p>
    <w:p w14:paraId="721A9E7B" w14:textId="77777777" w:rsidR="003E33E6" w:rsidRDefault="003E33E6" w:rsidP="00107806">
      <w:pPr>
        <w:pStyle w:val="ListParagraph"/>
        <w:numPr>
          <w:ilvl w:val="0"/>
          <w:numId w:val="0"/>
        </w:numPr>
        <w:ind w:left="425" w:hanging="425"/>
      </w:pPr>
    </w:p>
    <w:p w14:paraId="023EBB31" w14:textId="77777777" w:rsidR="003E33E6" w:rsidRDefault="003B676F" w:rsidP="00107806">
      <w:pPr>
        <w:contextualSpacing/>
      </w:pPr>
      <w:r>
        <w:lastRenderedPageBreak/>
        <w:t>7</w:t>
      </w:r>
      <w:r w:rsidR="00011647">
        <w:t>.</w:t>
      </w:r>
      <w:r w:rsidR="00011647">
        <w:tab/>
      </w:r>
      <w:r w:rsidR="0099100F">
        <w:t>AWARE</w:t>
      </w:r>
      <w:r w:rsidR="003E33E6">
        <w:t xml:space="preserve"> that wetland</w:t>
      </w:r>
      <w:r w:rsidR="00242087">
        <w:t>s</w:t>
      </w:r>
      <w:r w:rsidR="007F3CD6">
        <w:t xml:space="preserve"> can</w:t>
      </w:r>
      <w:r w:rsidR="003E33E6">
        <w:t xml:space="preserve"> filter pollutants from water that flows through </w:t>
      </w:r>
      <w:r w:rsidR="00D44E57">
        <w:t>them and reduce the pollutant load on other wetlands downstream</w:t>
      </w:r>
      <w:r w:rsidR="00D10DAD">
        <w:t>;</w:t>
      </w:r>
      <w:r w:rsidR="003E33E6">
        <w:t xml:space="preserve"> </w:t>
      </w:r>
    </w:p>
    <w:p w14:paraId="3B9FE67F" w14:textId="77777777" w:rsidR="003E33E6" w:rsidRDefault="003E33E6" w:rsidP="00107806">
      <w:pPr>
        <w:pStyle w:val="ListParagraph"/>
        <w:numPr>
          <w:ilvl w:val="0"/>
          <w:numId w:val="0"/>
        </w:numPr>
        <w:ind w:left="425" w:hanging="425"/>
      </w:pPr>
    </w:p>
    <w:p w14:paraId="005A699D" w14:textId="77777777" w:rsidR="003E33E6" w:rsidRDefault="003B676F" w:rsidP="00107806">
      <w:pPr>
        <w:contextualSpacing/>
      </w:pPr>
      <w:r>
        <w:t>8</w:t>
      </w:r>
      <w:r w:rsidR="00011647">
        <w:t>.</w:t>
      </w:r>
      <w:r w:rsidR="00011647">
        <w:tab/>
      </w:r>
      <w:r w:rsidR="003E33E6">
        <w:t>RECOGNIZING the efforts and successes of many Contracting Parties in rehabilitating and restoring degraded wetlands, the benefits of sharing practical methods and experiences and of having knowledge-based best-practice guidance;</w:t>
      </w:r>
    </w:p>
    <w:p w14:paraId="27925D7D" w14:textId="77777777" w:rsidR="003E33E6" w:rsidRDefault="003E33E6" w:rsidP="00107806">
      <w:pPr>
        <w:pStyle w:val="ListParagraph"/>
        <w:numPr>
          <w:ilvl w:val="0"/>
          <w:numId w:val="0"/>
        </w:numPr>
        <w:ind w:left="425" w:hanging="425"/>
      </w:pPr>
    </w:p>
    <w:p w14:paraId="351959C2" w14:textId="77777777" w:rsidR="00B22088" w:rsidRPr="000E4EA7" w:rsidRDefault="003B676F" w:rsidP="00107806">
      <w:pPr>
        <w:contextualSpacing/>
      </w:pPr>
      <w:r>
        <w:t>9</w:t>
      </w:r>
      <w:r w:rsidR="00011647">
        <w:t>.</w:t>
      </w:r>
      <w:r w:rsidR="00011647">
        <w:tab/>
      </w:r>
      <w:r w:rsidR="00C127F7">
        <w:t>NOTING</w:t>
      </w:r>
      <w:r w:rsidR="00B22088" w:rsidRPr="000E4EA7">
        <w:t xml:space="preserve"> that paragraph 14 in the annex of Resolution 71/256 on </w:t>
      </w:r>
      <w:r w:rsidR="00B22088" w:rsidRPr="0093063A">
        <w:rPr>
          <w:i/>
        </w:rPr>
        <w:t>New Urban Agenda</w:t>
      </w:r>
      <w:r w:rsidR="00E40EA0">
        <w:rPr>
          <w:i/>
        </w:rPr>
        <w:t xml:space="preserve"> </w:t>
      </w:r>
      <w:r w:rsidR="00AF0DA5" w:rsidRPr="00E40EA0">
        <w:t>(</w:t>
      </w:r>
      <w:r w:rsidR="00F878E3" w:rsidRPr="00E40EA0">
        <w:t>2016)</w:t>
      </w:r>
      <w:r w:rsidR="00B22088" w:rsidRPr="00E40EA0">
        <w:t>,</w:t>
      </w:r>
      <w:r w:rsidR="00B22088" w:rsidRPr="000E4EA7">
        <w:t xml:space="preserve"> adopted by the United Nations Conference on Housing and Sustainable Urban Development (Habitat III), identified the principles </w:t>
      </w:r>
      <w:r w:rsidR="0093063A">
        <w:t xml:space="preserve">of </w:t>
      </w:r>
      <w:r w:rsidR="00B22088" w:rsidRPr="000E4EA7">
        <w:t xml:space="preserve">and commitments to </w:t>
      </w:r>
      <w:r w:rsidR="0093063A" w:rsidRPr="000E4EA7">
        <w:t>ensur</w:t>
      </w:r>
      <w:r w:rsidR="0093063A">
        <w:t>ing</w:t>
      </w:r>
      <w:r w:rsidR="0093063A" w:rsidRPr="000E4EA7">
        <w:t xml:space="preserve"> </w:t>
      </w:r>
      <w:r w:rsidR="00B22088" w:rsidRPr="000E4EA7">
        <w:t>environmental sustainability by promoting clean energy and sustainable use of land and resources in urban developments, by protecting ecosystems and biodiversity, including adopting healthy lifestyle</w:t>
      </w:r>
      <w:r w:rsidR="005F122E">
        <w:t xml:space="preserve">s </w:t>
      </w:r>
      <w:r w:rsidR="00B22088" w:rsidRPr="000E4EA7">
        <w:t>in harmony with nature, by promoting sustainable consumption and production patterns, by building urban resilience, by reducing disaster risks and by mitigating and adapting to climate change</w:t>
      </w:r>
      <w:r w:rsidR="0093063A">
        <w:t>;</w:t>
      </w:r>
    </w:p>
    <w:p w14:paraId="28952512" w14:textId="77777777" w:rsidR="003E33E6" w:rsidRDefault="003E33E6" w:rsidP="00107806">
      <w:pPr>
        <w:pStyle w:val="ListParagraph"/>
        <w:numPr>
          <w:ilvl w:val="0"/>
          <w:numId w:val="0"/>
        </w:numPr>
        <w:ind w:left="425" w:hanging="425"/>
      </w:pPr>
    </w:p>
    <w:p w14:paraId="7CBBE2DA" w14:textId="77777777" w:rsidR="00A75564" w:rsidRDefault="00011647" w:rsidP="00107806">
      <w:pPr>
        <w:contextualSpacing/>
      </w:pPr>
      <w:r>
        <w:t>1</w:t>
      </w:r>
      <w:r w:rsidR="003B676F">
        <w:t>0</w:t>
      </w:r>
      <w:r>
        <w:t>.</w:t>
      </w:r>
      <w:r>
        <w:tab/>
      </w:r>
      <w:r w:rsidR="003E33E6">
        <w:t>AWARE that effective decision</w:t>
      </w:r>
      <w:r w:rsidR="00F61532">
        <w:t>-</w:t>
      </w:r>
      <w:r w:rsidR="003E33E6">
        <w:t>making to limit</w:t>
      </w:r>
      <w:r w:rsidR="00F9656E">
        <w:t xml:space="preserve"> the effects</w:t>
      </w:r>
      <w:r w:rsidR="00A75564">
        <w:t xml:space="preserve"> of</w:t>
      </w:r>
      <w:r w:rsidR="003E33E6">
        <w:t xml:space="preserve"> climate change and manage urban</w:t>
      </w:r>
      <w:r w:rsidR="003E33E6">
        <w:rPr>
          <w:rFonts w:hint="cs"/>
          <w:rtl/>
        </w:rPr>
        <w:t xml:space="preserve"> </w:t>
      </w:r>
      <w:r w:rsidR="003E33E6">
        <w:t>development on wetlands can be</w:t>
      </w:r>
      <w:r w:rsidR="00A75564">
        <w:t>st be</w:t>
      </w:r>
      <w:r w:rsidR="003E33E6">
        <w:t xml:space="preserve"> </w:t>
      </w:r>
      <w:r w:rsidR="00A75564">
        <w:t>supported</w:t>
      </w:r>
      <w:r w:rsidR="003E33E6">
        <w:t xml:space="preserve"> by a wide range of analytical approaches for evaluating expected risks and benefits, </w:t>
      </w:r>
      <w:r w:rsidR="002F4533">
        <w:t>while</w:t>
      </w:r>
      <w:r w:rsidR="00BD0DAD">
        <w:t xml:space="preserve"> </w:t>
      </w:r>
      <w:r w:rsidR="002F4533">
        <w:t xml:space="preserve">ALSO </w:t>
      </w:r>
      <w:r w:rsidR="000E4EA7">
        <w:t>RECOGNIZING the</w:t>
      </w:r>
      <w:r w:rsidR="003E33E6">
        <w:t xml:space="preserve"> importance of governance, </w:t>
      </w:r>
      <w:r w:rsidR="00A75564" w:rsidRPr="00A75564">
        <w:t>data sharing and cooperation, ethics, equity, shared values, economic, social and environmental impact assessments, diverse perceptions, environmental awareness and education, and risk management approaches</w:t>
      </w:r>
      <w:r w:rsidR="00A75564">
        <w:t>;</w:t>
      </w:r>
    </w:p>
    <w:p w14:paraId="4EFAB1B1" w14:textId="77777777" w:rsidR="00A75564" w:rsidRDefault="00A75564" w:rsidP="00107806">
      <w:pPr>
        <w:pStyle w:val="ListParagraph"/>
        <w:numPr>
          <w:ilvl w:val="0"/>
          <w:numId w:val="0"/>
        </w:numPr>
        <w:ind w:left="425" w:hanging="425"/>
        <w:contextualSpacing/>
      </w:pPr>
    </w:p>
    <w:p w14:paraId="027FADBE" w14:textId="77777777" w:rsidR="00320AAB" w:rsidRDefault="00011647" w:rsidP="00107806">
      <w:pPr>
        <w:contextualSpacing/>
      </w:pPr>
      <w:r>
        <w:t>1</w:t>
      </w:r>
      <w:r w:rsidR="003B676F">
        <w:t>1</w:t>
      </w:r>
      <w:r>
        <w:t>.</w:t>
      </w:r>
      <w:r>
        <w:tab/>
      </w:r>
      <w:r w:rsidR="00320AAB">
        <w:t xml:space="preserve">RECALLING </w:t>
      </w:r>
      <w:r w:rsidR="00F878E3">
        <w:t xml:space="preserve">that </w:t>
      </w:r>
      <w:r w:rsidR="005F122E">
        <w:t>R</w:t>
      </w:r>
      <w:r w:rsidR="00320AAB">
        <w:t xml:space="preserve">esolution XI.11 on </w:t>
      </w:r>
      <w:r w:rsidR="0093063A" w:rsidRPr="0093063A">
        <w:rPr>
          <w:i/>
        </w:rPr>
        <w:t>P</w:t>
      </w:r>
      <w:r w:rsidR="00320AAB" w:rsidRPr="0093063A">
        <w:rPr>
          <w:i/>
        </w:rPr>
        <w:t>rinciples for the planning and management of urban and peri-urban wetlands</w:t>
      </w:r>
      <w:r w:rsidR="0049468A">
        <w:t xml:space="preserve"> identifie</w:t>
      </w:r>
      <w:r w:rsidR="000D2E90">
        <w:t>s</w:t>
      </w:r>
      <w:r w:rsidR="0049468A">
        <w:t xml:space="preserve"> key issues and potential solutions for future sustainable urban and wetland management and planning</w:t>
      </w:r>
      <w:r w:rsidR="0093063A">
        <w:t>;</w:t>
      </w:r>
    </w:p>
    <w:p w14:paraId="77390EB6" w14:textId="77777777" w:rsidR="002471C0" w:rsidRDefault="002471C0" w:rsidP="00107806">
      <w:pPr>
        <w:pStyle w:val="ListParagraph"/>
        <w:numPr>
          <w:ilvl w:val="0"/>
          <w:numId w:val="0"/>
        </w:numPr>
        <w:suppressAutoHyphens w:val="0"/>
        <w:ind w:left="425" w:hanging="425"/>
        <w:contextualSpacing/>
      </w:pPr>
    </w:p>
    <w:p w14:paraId="62F66144" w14:textId="77777777" w:rsidR="001E4EBA" w:rsidRDefault="00011647" w:rsidP="00107806">
      <w:pPr>
        <w:contextualSpacing/>
      </w:pPr>
      <w:r>
        <w:t>1</w:t>
      </w:r>
      <w:r w:rsidR="003B676F">
        <w:t>2</w:t>
      </w:r>
      <w:r>
        <w:t>.</w:t>
      </w:r>
      <w:r>
        <w:tab/>
      </w:r>
      <w:r w:rsidR="00BB1A20">
        <w:t>RECALLING</w:t>
      </w:r>
      <w:r w:rsidR="00F878E3">
        <w:t xml:space="preserve"> </w:t>
      </w:r>
      <w:r w:rsidR="005F122E">
        <w:t>R</w:t>
      </w:r>
      <w:r w:rsidR="00BB1A20">
        <w:t xml:space="preserve">esolution X.27 on </w:t>
      </w:r>
      <w:r w:rsidR="004C5ACB">
        <w:rPr>
          <w:i/>
        </w:rPr>
        <w:t>W</w:t>
      </w:r>
      <w:r w:rsidR="00BB1A20" w:rsidRPr="004C5ACB">
        <w:rPr>
          <w:i/>
        </w:rPr>
        <w:t>etlands and urbanization</w:t>
      </w:r>
      <w:r w:rsidR="00BB1A20">
        <w:t>, which urge</w:t>
      </w:r>
      <w:r w:rsidR="00232B49">
        <w:t>s</w:t>
      </w:r>
      <w:r w:rsidR="00BB1A20">
        <w:t xml:space="preserve"> </w:t>
      </w:r>
      <w:r w:rsidR="008457E7">
        <w:t xml:space="preserve">Contracting Parties </w:t>
      </w:r>
      <w:r w:rsidR="00BB1A20">
        <w:t xml:space="preserve">to pay due attention to the importance of their wetlands in urban and peri-urban environments and review the status </w:t>
      </w:r>
      <w:r w:rsidR="005F122E">
        <w:t>of wetlands</w:t>
      </w:r>
      <w:r w:rsidR="008457E7">
        <w:t>,</w:t>
      </w:r>
      <w:r w:rsidR="005F122E">
        <w:t xml:space="preserve"> </w:t>
      </w:r>
      <w:r w:rsidR="00BB1A20">
        <w:t>as well as requesting</w:t>
      </w:r>
      <w:r w:rsidR="00FA4774">
        <w:t xml:space="preserve"> </w:t>
      </w:r>
      <w:r w:rsidR="008457E7">
        <w:t xml:space="preserve"> </w:t>
      </w:r>
      <w:r w:rsidR="00FA4774">
        <w:t>the</w:t>
      </w:r>
      <w:r w:rsidR="00BB1A20">
        <w:t xml:space="preserve"> Scientific and Technical Review</w:t>
      </w:r>
      <w:r w:rsidR="00FA4774">
        <w:t xml:space="preserve"> </w:t>
      </w:r>
      <w:r w:rsidR="00BB1A20">
        <w:t>Panel</w:t>
      </w:r>
      <w:r w:rsidR="00F878E3">
        <w:t xml:space="preserve"> (STRP) to</w:t>
      </w:r>
      <w:r w:rsidR="00BB1A20">
        <w:t xml:space="preserve"> </w:t>
      </w:r>
      <w:r w:rsidR="00BB1A20" w:rsidRPr="00BB1A20">
        <w:t xml:space="preserve">prepare guidelines for managing urban and peri-urban </w:t>
      </w:r>
      <w:r w:rsidR="0009458B" w:rsidRPr="00BB1A20">
        <w:t>wetlands</w:t>
      </w:r>
      <w:r w:rsidR="008457E7">
        <w:t>;</w:t>
      </w:r>
    </w:p>
    <w:p w14:paraId="20FE55EE" w14:textId="77777777" w:rsidR="002F4533" w:rsidRDefault="002F4533" w:rsidP="00107806"/>
    <w:p w14:paraId="58335856" w14:textId="77777777" w:rsidR="00A75564" w:rsidRDefault="00011647" w:rsidP="00107806">
      <w:r>
        <w:t>1</w:t>
      </w:r>
      <w:r w:rsidR="003B676F">
        <w:t>3</w:t>
      </w:r>
      <w:r>
        <w:t>.</w:t>
      </w:r>
      <w:r>
        <w:tab/>
      </w:r>
      <w:r w:rsidR="002F4533">
        <w:t>RECOGNIZING that urban development surrounding wetlands increase</w:t>
      </w:r>
      <w:r w:rsidR="008457E7">
        <w:t>s</w:t>
      </w:r>
      <w:r w:rsidR="002F4533">
        <w:t xml:space="preserve"> the volume </w:t>
      </w:r>
      <w:r w:rsidR="00A75564" w:rsidRPr="00A75564">
        <w:t>and types of pollutants entering wetlands</w:t>
      </w:r>
      <w:r w:rsidR="00342CA7">
        <w:t xml:space="preserve"> and may contribute to other changes in ecological character as well as provide wise use opportunities;</w:t>
      </w:r>
    </w:p>
    <w:p w14:paraId="44D0C305" w14:textId="77777777" w:rsidR="0090322F" w:rsidRDefault="0090322F" w:rsidP="00107806"/>
    <w:p w14:paraId="17D66040" w14:textId="31F37789" w:rsidR="0090322F" w:rsidRDefault="003B676F" w:rsidP="00107806">
      <w:r>
        <w:t>14</w:t>
      </w:r>
      <w:r w:rsidR="0090322F">
        <w:t>.</w:t>
      </w:r>
      <w:r w:rsidR="00107806">
        <w:tab/>
      </w:r>
      <w:r w:rsidR="0090322F">
        <w:t xml:space="preserve">RECALLING that </w:t>
      </w:r>
      <w:r w:rsidR="00E40EA0">
        <w:t>R</w:t>
      </w:r>
      <w:r w:rsidR="0090322F">
        <w:t>esolution XI.9</w:t>
      </w:r>
      <w:r w:rsidR="00E40EA0">
        <w:t xml:space="preserve"> on</w:t>
      </w:r>
      <w:r w:rsidR="0090322F">
        <w:t xml:space="preserve"> </w:t>
      </w:r>
      <w:r w:rsidR="0090322F" w:rsidRPr="00E40EA0">
        <w:rPr>
          <w:i/>
        </w:rPr>
        <w:t>An Integrated Framework and guidelines for avoiding, mitigating and compensating for wetland losses</w:t>
      </w:r>
      <w:r w:rsidR="0090322F">
        <w:t>, Resolution X.2</w:t>
      </w:r>
      <w:r w:rsidR="003761A8">
        <w:t>6</w:t>
      </w:r>
      <w:r w:rsidR="00E40EA0">
        <w:t xml:space="preserve"> on</w:t>
      </w:r>
      <w:r w:rsidR="0090322F">
        <w:t xml:space="preserve"> </w:t>
      </w:r>
      <w:r w:rsidR="0090322F" w:rsidRPr="00E40EA0">
        <w:rPr>
          <w:i/>
        </w:rPr>
        <w:t>Wetlands and extractive industries</w:t>
      </w:r>
      <w:r w:rsidR="0090322F">
        <w:t>, Resolution XI.10</w:t>
      </w:r>
      <w:r w:rsidR="00E40EA0">
        <w:t xml:space="preserve"> on</w:t>
      </w:r>
      <w:r w:rsidR="0090322F">
        <w:t xml:space="preserve"> </w:t>
      </w:r>
      <w:r w:rsidR="0090322F" w:rsidRPr="00E40EA0">
        <w:rPr>
          <w:i/>
        </w:rPr>
        <w:t>Wetlands and energy issues</w:t>
      </w:r>
      <w:r w:rsidR="0090322F">
        <w:t>, and Resolution XI.7</w:t>
      </w:r>
      <w:r w:rsidR="00E40EA0">
        <w:t xml:space="preserve"> on</w:t>
      </w:r>
      <w:r w:rsidR="0090322F">
        <w:t xml:space="preserve"> </w:t>
      </w:r>
      <w:r w:rsidR="0090322F" w:rsidRPr="00E40EA0">
        <w:rPr>
          <w:i/>
        </w:rPr>
        <w:t>Tourism, recreation and wetlands</w:t>
      </w:r>
      <w:r w:rsidR="0090322F">
        <w:t xml:space="preserve"> urge Contracting Parties to implement Strategic Environmental Assessments with all related sectors and conduct long-term monitoring of mitigation and compensation projects, as appropriate, and modify and reorient such projects if necessary, to ensure such actions mitigate and compensate for adverse wetland impacts as planned</w:t>
      </w:r>
      <w:r w:rsidR="00E40EA0">
        <w:t>;</w:t>
      </w:r>
      <w:r w:rsidR="00107806">
        <w:t xml:space="preserve"> and</w:t>
      </w:r>
    </w:p>
    <w:p w14:paraId="16372B07" w14:textId="77777777" w:rsidR="00BF6C2D" w:rsidRDefault="00BF6C2D" w:rsidP="00743F28"/>
    <w:p w14:paraId="5D7A72B9" w14:textId="77777777" w:rsidR="009E1B73" w:rsidRPr="00A75564" w:rsidRDefault="003B676F" w:rsidP="003C697F">
      <w:pPr>
        <w:ind w:left="450" w:hanging="450"/>
      </w:pPr>
      <w:r>
        <w:t>15</w:t>
      </w:r>
      <w:r w:rsidR="003C697F">
        <w:t>.</w:t>
      </w:r>
      <w:r w:rsidR="00107806">
        <w:tab/>
      </w:r>
      <w:r w:rsidR="00D92574">
        <w:t xml:space="preserve">ACKNOWLEDGING </w:t>
      </w:r>
      <w:r w:rsidR="005B299A">
        <w:t>the Ramsar Wetland Cities Accreditation</w:t>
      </w:r>
      <w:r w:rsidR="00BF6C2D">
        <w:t xml:space="preserve"> initiative, which </w:t>
      </w:r>
      <w:r w:rsidR="00BF6C2D" w:rsidRPr="00BF6C2D">
        <w:t>can assist cities, Contracting Parties and stakeholders in promoting awareness and attracting support for the wise use and conservation of wetlands and other sustainable development initiatives</w:t>
      </w:r>
      <w:r w:rsidR="00BF6C2D">
        <w:t>;</w:t>
      </w:r>
      <w:r w:rsidR="008457E7">
        <w:t xml:space="preserve"> </w:t>
      </w:r>
    </w:p>
    <w:p w14:paraId="3D90127A" w14:textId="77777777" w:rsidR="00743F28" w:rsidRDefault="00743F28" w:rsidP="00743F28">
      <w:pPr>
        <w:keepNext/>
        <w:ind w:left="0" w:right="17" w:firstLine="0"/>
        <w:rPr>
          <w:rFonts w:asciiTheme="minorHAnsi" w:eastAsia="Times New Roman" w:hAnsiTheme="minorHAnsi"/>
          <w:bCs/>
        </w:rPr>
      </w:pPr>
    </w:p>
    <w:p w14:paraId="5B21A20B" w14:textId="77777777" w:rsidR="003E33E6" w:rsidRPr="00011647" w:rsidRDefault="003E33E6" w:rsidP="00743F28">
      <w:pPr>
        <w:keepNext/>
        <w:ind w:left="0" w:right="17" w:firstLine="0"/>
        <w:jc w:val="center"/>
        <w:rPr>
          <w:rFonts w:asciiTheme="minorHAnsi" w:eastAsia="Times New Roman" w:hAnsiTheme="minorHAnsi"/>
          <w:bCs/>
        </w:rPr>
      </w:pPr>
      <w:r w:rsidRPr="00011647">
        <w:rPr>
          <w:rFonts w:asciiTheme="minorHAnsi" w:eastAsia="Times New Roman" w:hAnsiTheme="minorHAnsi"/>
          <w:bCs/>
        </w:rPr>
        <w:t>THE CONFERENCE OF THE CONTRACTING PARTIES</w:t>
      </w:r>
    </w:p>
    <w:p w14:paraId="34526407" w14:textId="77777777" w:rsidR="003E33E6" w:rsidRDefault="003E33E6" w:rsidP="00743F28">
      <w:pPr>
        <w:keepNext/>
        <w:ind w:left="0" w:right="17" w:firstLine="0"/>
        <w:rPr>
          <w:rFonts w:asciiTheme="minorHAnsi" w:eastAsia="Times New Roman" w:hAnsiTheme="minorHAnsi" w:cs="Times New Roman"/>
        </w:rPr>
      </w:pPr>
    </w:p>
    <w:p w14:paraId="57D426D3" w14:textId="77777777" w:rsidR="00C7538C" w:rsidRDefault="003C697F" w:rsidP="003C697F">
      <w:pPr>
        <w:contextualSpacing/>
      </w:pPr>
      <w:r>
        <w:t>1</w:t>
      </w:r>
      <w:r w:rsidR="003B676F">
        <w:t>6</w:t>
      </w:r>
      <w:r w:rsidR="00011647">
        <w:t>.</w:t>
      </w:r>
      <w:r w:rsidR="00011647">
        <w:tab/>
      </w:r>
      <w:r w:rsidR="003E33E6">
        <w:t xml:space="preserve">ENCOURAGES Contracting </w:t>
      </w:r>
      <w:r w:rsidR="006A0260">
        <w:t>Parties to</w:t>
      </w:r>
      <w:r w:rsidR="003E33E6">
        <w:t xml:space="preserve"> </w:t>
      </w:r>
      <w:r w:rsidR="000E3819">
        <w:t xml:space="preserve">prevent </w:t>
      </w:r>
      <w:r w:rsidR="003E33E6">
        <w:t>activities that</w:t>
      </w:r>
      <w:r w:rsidR="00342CA7">
        <w:t xml:space="preserve"> may</w:t>
      </w:r>
      <w:r w:rsidR="003E33E6">
        <w:t xml:space="preserve"> </w:t>
      </w:r>
      <w:r w:rsidR="001C508D">
        <w:t>have an adverse impact on</w:t>
      </w:r>
      <w:r w:rsidR="005A3221">
        <w:t xml:space="preserve"> </w:t>
      </w:r>
      <w:r w:rsidR="005A3221" w:rsidRPr="005A3221">
        <w:t xml:space="preserve">urban and </w:t>
      </w:r>
      <w:r w:rsidR="008457E7" w:rsidRPr="005A3221">
        <w:t>peri</w:t>
      </w:r>
      <w:r w:rsidR="008457E7">
        <w:t>-</w:t>
      </w:r>
      <w:r w:rsidR="005A3221" w:rsidRPr="005A3221">
        <w:t>urban</w:t>
      </w:r>
      <w:r w:rsidR="001C508D">
        <w:t xml:space="preserve"> </w:t>
      </w:r>
      <w:r w:rsidR="009954A3">
        <w:t>wetlands</w:t>
      </w:r>
      <w:r w:rsidR="00C7538C">
        <w:t>;</w:t>
      </w:r>
    </w:p>
    <w:p w14:paraId="00E25508" w14:textId="77777777" w:rsidR="002471C0" w:rsidRDefault="002471C0" w:rsidP="00743F28">
      <w:pPr>
        <w:contextualSpacing/>
      </w:pPr>
    </w:p>
    <w:p w14:paraId="05E4C85C" w14:textId="77777777" w:rsidR="003E33E6" w:rsidRDefault="003C697F" w:rsidP="003C697F">
      <w:pPr>
        <w:contextualSpacing/>
      </w:pPr>
      <w:r>
        <w:t>1</w:t>
      </w:r>
      <w:r w:rsidR="003B676F">
        <w:t>7</w:t>
      </w:r>
      <w:r w:rsidR="00011647">
        <w:t>.</w:t>
      </w:r>
      <w:r w:rsidR="00011647">
        <w:tab/>
      </w:r>
      <w:r w:rsidR="00C7538C">
        <w:t xml:space="preserve">URGES </w:t>
      </w:r>
      <w:r w:rsidR="003E33E6">
        <w:t xml:space="preserve">greater </w:t>
      </w:r>
      <w:r w:rsidR="00B537F0">
        <w:t>international and</w:t>
      </w:r>
      <w:r w:rsidR="00911E6B">
        <w:t xml:space="preserve"> national </w:t>
      </w:r>
      <w:r w:rsidR="003E33E6">
        <w:t xml:space="preserve">cooperation, technical assistance and capacity building to address </w:t>
      </w:r>
      <w:r w:rsidR="00342CA7">
        <w:t xml:space="preserve">any </w:t>
      </w:r>
      <w:r w:rsidR="00E37A07">
        <w:t>negative</w:t>
      </w:r>
      <w:r w:rsidR="004311D9">
        <w:t xml:space="preserve"> effects</w:t>
      </w:r>
      <w:r w:rsidR="00342CA7">
        <w:t xml:space="preserve"> resulting from such activities</w:t>
      </w:r>
      <w:r w:rsidR="003F75FA">
        <w:t xml:space="preserve"> that</w:t>
      </w:r>
      <w:r w:rsidR="003F75FA" w:rsidRPr="003F75FA">
        <w:t xml:space="preserve"> negatively affect urban and peri-urban wetlands, notably, surrounding urban development, climate change, effluents, pollution and fragmentation of ecosystems</w:t>
      </w:r>
      <w:r w:rsidR="003E33E6">
        <w:t>;</w:t>
      </w:r>
    </w:p>
    <w:p w14:paraId="34E72A98" w14:textId="77777777" w:rsidR="003E33E6" w:rsidRDefault="003E33E6" w:rsidP="00743F28">
      <w:pPr>
        <w:contextualSpacing/>
      </w:pPr>
    </w:p>
    <w:p w14:paraId="2359DEE6" w14:textId="6BDB4317" w:rsidR="003E33E6" w:rsidRDefault="00011647" w:rsidP="003F75FA">
      <w:pPr>
        <w:contextualSpacing/>
      </w:pPr>
      <w:r>
        <w:t>1</w:t>
      </w:r>
      <w:r w:rsidR="003B676F">
        <w:t>8</w:t>
      </w:r>
      <w:r>
        <w:t>.</w:t>
      </w:r>
      <w:r>
        <w:tab/>
      </w:r>
      <w:r w:rsidR="003E33E6">
        <w:t xml:space="preserve">REQUESTS that the </w:t>
      </w:r>
      <w:r w:rsidR="00741DEE">
        <w:t>S</w:t>
      </w:r>
      <w:r w:rsidR="003E33E6">
        <w:t xml:space="preserve">cientific and Technical Review </w:t>
      </w:r>
      <w:r w:rsidR="00232B49">
        <w:t>P</w:t>
      </w:r>
      <w:r w:rsidR="003E33E6">
        <w:t>anel</w:t>
      </w:r>
      <w:r w:rsidR="00741DEE">
        <w:t>,</w:t>
      </w:r>
      <w:r w:rsidR="003E33E6">
        <w:t xml:space="preserve"> </w:t>
      </w:r>
      <w:r w:rsidR="00141B7B">
        <w:rPr>
          <w:rFonts w:cs="Calibri"/>
          <w:color w:val="262626"/>
          <w:lang w:val="en-US"/>
        </w:rPr>
        <w:t>consistent with its scope, mandate and prio‎rity thematic work areas for 2019-2021, in developing its proposed work plan for presentation at the 57th Meeting of the Standing Committee, and</w:t>
      </w:r>
      <w:r w:rsidR="00141B7B">
        <w:t xml:space="preserve"> </w:t>
      </w:r>
      <w:r w:rsidR="003F75FA">
        <w:t>working</w:t>
      </w:r>
      <w:r w:rsidR="003E33E6">
        <w:t xml:space="preserve"> in </w:t>
      </w:r>
      <w:r w:rsidR="001F54A8">
        <w:t>cooperation</w:t>
      </w:r>
      <w:r w:rsidR="003E33E6">
        <w:t xml:space="preserve"> with interested Contracting Parties and </w:t>
      </w:r>
      <w:r w:rsidR="00741DEE">
        <w:t xml:space="preserve">International Organization Partners </w:t>
      </w:r>
      <w:r w:rsidR="003E33E6">
        <w:t>(</w:t>
      </w:r>
      <w:r w:rsidR="003E33E6" w:rsidRPr="00141B7B">
        <w:t>IOPs)</w:t>
      </w:r>
      <w:r w:rsidR="008536B8" w:rsidRPr="00141B7B">
        <w:t>,</w:t>
      </w:r>
      <w:r w:rsidR="00421AD1" w:rsidRPr="00141B7B">
        <w:t xml:space="preserve"> </w:t>
      </w:r>
      <w:r w:rsidR="00141B7B" w:rsidRPr="00141B7B">
        <w:rPr>
          <w:rFonts w:cs="Calibri"/>
          <w:color w:val="262626"/>
          <w:lang w:val="en-US"/>
        </w:rPr>
        <w:t>consider</w:t>
      </w:r>
      <w:r w:rsidR="00141B7B" w:rsidRPr="00141B7B">
        <w:t xml:space="preserve"> </w:t>
      </w:r>
      <w:r w:rsidR="00421AD1" w:rsidRPr="00141B7B">
        <w:t>t</w:t>
      </w:r>
      <w:r w:rsidR="008D0F2C" w:rsidRPr="00141B7B">
        <w:t>he</w:t>
      </w:r>
      <w:r w:rsidR="008D0F2C">
        <w:t xml:space="preserve"> following</w:t>
      </w:r>
      <w:r w:rsidR="003E33E6">
        <w:t>:</w:t>
      </w:r>
    </w:p>
    <w:p w14:paraId="49C8D14B" w14:textId="77777777" w:rsidR="003E33E6" w:rsidRDefault="003E33E6" w:rsidP="00743F28">
      <w:pPr>
        <w:pStyle w:val="ListParagraph"/>
        <w:numPr>
          <w:ilvl w:val="0"/>
          <w:numId w:val="0"/>
        </w:numPr>
        <w:ind w:left="360"/>
      </w:pPr>
    </w:p>
    <w:p w14:paraId="38120120" w14:textId="77777777" w:rsidR="003E33E6" w:rsidRDefault="00481F27" w:rsidP="003F75FA">
      <w:pPr>
        <w:autoSpaceDE w:val="0"/>
        <w:autoSpaceDN w:val="0"/>
        <w:adjustRightInd w:val="0"/>
        <w:ind w:left="850"/>
        <w:contextualSpacing/>
      </w:pPr>
      <w:r>
        <w:t>a.</w:t>
      </w:r>
      <w:r>
        <w:tab/>
      </w:r>
      <w:r w:rsidR="003E33E6" w:rsidRPr="0009458B">
        <w:t>Develop</w:t>
      </w:r>
      <w:r w:rsidR="00356CA1">
        <w:t>ing</w:t>
      </w:r>
      <w:r w:rsidR="003E33E6" w:rsidRPr="0009458B">
        <w:t xml:space="preserve"> technical guidelines for</w:t>
      </w:r>
      <w:r w:rsidR="00421AD1" w:rsidRPr="0009458B">
        <w:t xml:space="preserve"> the design of</w:t>
      </w:r>
      <w:r w:rsidR="003E33E6" w:rsidRPr="0009458B">
        <w:t xml:space="preserve"> </w:t>
      </w:r>
      <w:bookmarkStart w:id="1" w:name="_Hlk512455156"/>
      <w:r w:rsidR="00B83B44">
        <w:t xml:space="preserve">urban and </w:t>
      </w:r>
      <w:r w:rsidR="00C10005">
        <w:t>peri-</w:t>
      </w:r>
      <w:r w:rsidR="00B83B44">
        <w:t xml:space="preserve">urban </w:t>
      </w:r>
      <w:bookmarkEnd w:id="1"/>
      <w:r w:rsidR="003E33E6" w:rsidRPr="0009458B">
        <w:t xml:space="preserve">Ramsar </w:t>
      </w:r>
      <w:r w:rsidR="00C10005">
        <w:t>Sites</w:t>
      </w:r>
      <w:r w:rsidR="00C10005" w:rsidRPr="008D0F2C">
        <w:t xml:space="preserve"> </w:t>
      </w:r>
      <w:r w:rsidR="008D0F2C" w:rsidRPr="008D0F2C">
        <w:t>using climate scenario, climate model</w:t>
      </w:r>
      <w:r w:rsidR="00356CA1">
        <w:t>ling</w:t>
      </w:r>
      <w:r w:rsidR="008D0F2C" w:rsidRPr="008D0F2C">
        <w:t>, and</w:t>
      </w:r>
      <w:r w:rsidR="003F75FA">
        <w:t xml:space="preserve"> analysis</w:t>
      </w:r>
      <w:r w:rsidR="008D0F2C" w:rsidRPr="008D0F2C">
        <w:t xml:space="preserve"> techniques of climate change</w:t>
      </w:r>
      <w:r w:rsidR="00356CA1">
        <w:t>,</w:t>
      </w:r>
      <w:r w:rsidR="008D0F2C" w:rsidRPr="008D0F2C">
        <w:t xml:space="preserve"> as well as performing functional assessments of wetland</w:t>
      </w:r>
      <w:r w:rsidR="00C10005">
        <w:t>s</w:t>
      </w:r>
      <w:r w:rsidR="008D0F2C" w:rsidRPr="008D0F2C">
        <w:t xml:space="preserve"> using hydrogeomorphic methods</w:t>
      </w:r>
      <w:r w:rsidR="00C10005">
        <w:t>;</w:t>
      </w:r>
      <w:r w:rsidR="008D0F2C" w:rsidRPr="008D0F2C">
        <w:t xml:space="preserve"> </w:t>
      </w:r>
    </w:p>
    <w:p w14:paraId="25C206BD" w14:textId="77777777" w:rsidR="005723F5" w:rsidRPr="0009458B" w:rsidRDefault="005723F5" w:rsidP="00743F28">
      <w:pPr>
        <w:pStyle w:val="ListParagraph"/>
        <w:numPr>
          <w:ilvl w:val="0"/>
          <w:numId w:val="0"/>
        </w:numPr>
        <w:suppressAutoHyphens w:val="0"/>
        <w:autoSpaceDE w:val="0"/>
        <w:autoSpaceDN w:val="0"/>
        <w:adjustRightInd w:val="0"/>
        <w:ind w:left="850" w:hanging="425"/>
        <w:contextualSpacing/>
      </w:pPr>
    </w:p>
    <w:p w14:paraId="1F893988" w14:textId="77777777" w:rsidR="005723F5" w:rsidRDefault="00481F27" w:rsidP="00743F28">
      <w:pPr>
        <w:autoSpaceDE w:val="0"/>
        <w:autoSpaceDN w:val="0"/>
        <w:adjustRightInd w:val="0"/>
        <w:ind w:left="850"/>
        <w:contextualSpacing/>
      </w:pPr>
      <w:r>
        <w:t>b.</w:t>
      </w:r>
      <w:r>
        <w:tab/>
      </w:r>
      <w:r w:rsidR="003E33E6" w:rsidRPr="0009458B">
        <w:t>Develop</w:t>
      </w:r>
      <w:r w:rsidR="00356CA1">
        <w:t>ing</w:t>
      </w:r>
      <w:r w:rsidR="003E33E6" w:rsidRPr="0009458B">
        <w:t xml:space="preserve"> </w:t>
      </w:r>
      <w:r w:rsidR="008D0F2C">
        <w:t xml:space="preserve">technical </w:t>
      </w:r>
      <w:r w:rsidR="003E33E6" w:rsidRPr="0009458B">
        <w:t xml:space="preserve">guidelines for constructed </w:t>
      </w:r>
      <w:r w:rsidR="00B83B44">
        <w:t xml:space="preserve">urban and </w:t>
      </w:r>
      <w:r w:rsidR="00C10005">
        <w:t>peri-</w:t>
      </w:r>
      <w:r w:rsidR="00B83B44">
        <w:t xml:space="preserve">urban </w:t>
      </w:r>
      <w:r w:rsidR="00216649">
        <w:t xml:space="preserve">water </w:t>
      </w:r>
      <w:r w:rsidR="00216649" w:rsidRPr="0009458B">
        <w:t xml:space="preserve">treatment </w:t>
      </w:r>
      <w:r w:rsidR="003E33E6" w:rsidRPr="0009458B">
        <w:t xml:space="preserve">wetlands, </w:t>
      </w:r>
      <w:r w:rsidR="008D0F2C">
        <w:t xml:space="preserve">which would include </w:t>
      </w:r>
      <w:r w:rsidR="00216649">
        <w:t>ensuring</w:t>
      </w:r>
      <w:r w:rsidR="008D0F2C">
        <w:t xml:space="preserve"> </w:t>
      </w:r>
      <w:r w:rsidR="003E33E6" w:rsidRPr="0009458B">
        <w:t xml:space="preserve">water quality and </w:t>
      </w:r>
      <w:r w:rsidR="00216649">
        <w:t xml:space="preserve">the provision of </w:t>
      </w:r>
      <w:r w:rsidR="003E33E6" w:rsidRPr="0009458B">
        <w:t xml:space="preserve">wildlife habitat </w:t>
      </w:r>
      <w:r w:rsidR="00537604" w:rsidRPr="00537604">
        <w:t xml:space="preserve">based on best available standards for the </w:t>
      </w:r>
      <w:r w:rsidR="003E33E6" w:rsidRPr="00C25897">
        <w:t>siting</w:t>
      </w:r>
      <w:r w:rsidR="003E33E6" w:rsidRPr="0009458B">
        <w:t>, design, construction, operation, maintenance and monitoring of constructed treatment wetlands</w:t>
      </w:r>
      <w:r w:rsidR="007E37AF">
        <w:t>, and bioremediation</w:t>
      </w:r>
      <w:r w:rsidR="003E33E6" w:rsidRPr="0009458B">
        <w:t>;</w:t>
      </w:r>
    </w:p>
    <w:p w14:paraId="6E70EB13" w14:textId="77777777" w:rsidR="0025169D" w:rsidRDefault="0025169D" w:rsidP="0025169D">
      <w:pPr>
        <w:autoSpaceDE w:val="0"/>
        <w:autoSpaceDN w:val="0"/>
        <w:adjustRightInd w:val="0"/>
        <w:ind w:left="850" w:hanging="490"/>
        <w:contextualSpacing/>
      </w:pPr>
    </w:p>
    <w:p w14:paraId="7CF71B7B" w14:textId="77777777" w:rsidR="0025169D" w:rsidRDefault="0025169D" w:rsidP="0025169D">
      <w:pPr>
        <w:autoSpaceDE w:val="0"/>
        <w:autoSpaceDN w:val="0"/>
        <w:adjustRightInd w:val="0"/>
        <w:ind w:left="900" w:hanging="450"/>
        <w:contextualSpacing/>
      </w:pPr>
      <w:r>
        <w:t>c.</w:t>
      </w:r>
      <w:r w:rsidR="00107806" w:rsidRPr="00107806">
        <w:t xml:space="preserve"> </w:t>
      </w:r>
      <w:r w:rsidR="00107806">
        <w:tab/>
      </w:r>
      <w:r w:rsidRPr="003B597B">
        <w:t>Develop</w:t>
      </w:r>
      <w:r>
        <w:t>ing</w:t>
      </w:r>
      <w:r w:rsidRPr="003B597B">
        <w:t xml:space="preserve"> technical guidelines to set limits for the pollutant loads </w:t>
      </w:r>
      <w:r>
        <w:t xml:space="preserve">that are discharged into urban </w:t>
      </w:r>
      <w:r w:rsidRPr="003B597B">
        <w:t xml:space="preserve">wetlands, depending on </w:t>
      </w:r>
      <w:r>
        <w:t>its pollutant</w:t>
      </w:r>
      <w:r w:rsidRPr="003B597B">
        <w:t xml:space="preserve"> loa</w:t>
      </w:r>
      <w:r>
        <w:t>d</w:t>
      </w:r>
      <w:r w:rsidRPr="003B597B">
        <w:t xml:space="preserve"> capacity</w:t>
      </w:r>
      <w:r w:rsidR="00E82911">
        <w:t>;</w:t>
      </w:r>
    </w:p>
    <w:p w14:paraId="2EE626F6" w14:textId="77777777" w:rsidR="0025169D" w:rsidRDefault="0025169D" w:rsidP="00743F28">
      <w:pPr>
        <w:autoSpaceDE w:val="0"/>
        <w:autoSpaceDN w:val="0"/>
        <w:adjustRightInd w:val="0"/>
        <w:ind w:left="850"/>
        <w:contextualSpacing/>
      </w:pPr>
    </w:p>
    <w:p w14:paraId="4E7166C9" w14:textId="77777777" w:rsidR="006A0260" w:rsidRDefault="0025169D" w:rsidP="00743F28">
      <w:pPr>
        <w:autoSpaceDE w:val="0"/>
        <w:autoSpaceDN w:val="0"/>
        <w:adjustRightInd w:val="0"/>
        <w:ind w:left="850"/>
        <w:contextualSpacing/>
      </w:pPr>
      <w:r>
        <w:t>d</w:t>
      </w:r>
      <w:r w:rsidR="00481F27">
        <w:t>.</w:t>
      </w:r>
      <w:r w:rsidR="00481F27">
        <w:tab/>
      </w:r>
      <w:r w:rsidR="006A0260" w:rsidRPr="0009458B">
        <w:t>Provid</w:t>
      </w:r>
      <w:r w:rsidR="00356CA1">
        <w:t>ing</w:t>
      </w:r>
      <w:r w:rsidR="00132BFC" w:rsidRPr="0009458B">
        <w:t xml:space="preserve"> </w:t>
      </w:r>
      <w:r w:rsidR="00540567">
        <w:t xml:space="preserve">the highest </w:t>
      </w:r>
      <w:r w:rsidR="00AD5355">
        <w:t xml:space="preserve">quality </w:t>
      </w:r>
      <w:r w:rsidR="00132BFC" w:rsidRPr="0009458B">
        <w:t>standard</w:t>
      </w:r>
      <w:r w:rsidR="006A0260" w:rsidRPr="0009458B">
        <w:t xml:space="preserve"> </w:t>
      </w:r>
      <w:r w:rsidR="00132BFC" w:rsidRPr="0009458B">
        <w:t>operating</w:t>
      </w:r>
      <w:r w:rsidR="003E33E6" w:rsidRPr="0009458B">
        <w:t xml:space="preserve"> procedures</w:t>
      </w:r>
      <w:r w:rsidR="00F23452">
        <w:t xml:space="preserve"> (SOPs)</w:t>
      </w:r>
      <w:r w:rsidR="003E33E6" w:rsidRPr="0009458B">
        <w:t xml:space="preserve"> </w:t>
      </w:r>
      <w:r w:rsidR="00AD5355">
        <w:t xml:space="preserve">for </w:t>
      </w:r>
      <w:r w:rsidR="003E33E6" w:rsidRPr="0009458B">
        <w:t>urban</w:t>
      </w:r>
      <w:r w:rsidR="00320AAB" w:rsidRPr="0009458B">
        <w:t xml:space="preserve"> and peri</w:t>
      </w:r>
      <w:r w:rsidR="00F23452">
        <w:t>-</w:t>
      </w:r>
      <w:r w:rsidR="00320AAB" w:rsidRPr="0009458B">
        <w:t>urban</w:t>
      </w:r>
      <w:r w:rsidR="003E33E6" w:rsidRPr="0009458B">
        <w:t xml:space="preserve"> development </w:t>
      </w:r>
      <w:r w:rsidR="0009458B">
        <w:t>or</w:t>
      </w:r>
      <w:r w:rsidR="00216649" w:rsidRPr="00216649">
        <w:t xml:space="preserve"> </w:t>
      </w:r>
      <w:r w:rsidR="00216649" w:rsidRPr="0009458B">
        <w:t xml:space="preserve">development </w:t>
      </w:r>
      <w:r w:rsidR="0009458B">
        <w:t>adjacent to</w:t>
      </w:r>
      <w:r w:rsidR="003E33E6" w:rsidRPr="0009458B">
        <w:t xml:space="preserve"> Ramsar wetlands</w:t>
      </w:r>
      <w:r w:rsidR="005723F5">
        <w:t>;</w:t>
      </w:r>
      <w:r w:rsidR="00C10005">
        <w:t xml:space="preserve"> and</w:t>
      </w:r>
    </w:p>
    <w:p w14:paraId="6F81086E" w14:textId="77777777" w:rsidR="005723F5" w:rsidRDefault="005723F5" w:rsidP="00743F28">
      <w:pPr>
        <w:pStyle w:val="ListParagraph"/>
        <w:numPr>
          <w:ilvl w:val="0"/>
          <w:numId w:val="0"/>
        </w:numPr>
        <w:suppressAutoHyphens w:val="0"/>
        <w:autoSpaceDE w:val="0"/>
        <w:autoSpaceDN w:val="0"/>
        <w:adjustRightInd w:val="0"/>
        <w:ind w:left="850" w:hanging="425"/>
        <w:contextualSpacing/>
      </w:pPr>
    </w:p>
    <w:p w14:paraId="442D54E1" w14:textId="77777777" w:rsidR="00AD5355" w:rsidRDefault="00107806" w:rsidP="00743F28">
      <w:pPr>
        <w:autoSpaceDE w:val="0"/>
        <w:autoSpaceDN w:val="0"/>
        <w:adjustRightInd w:val="0"/>
        <w:ind w:left="850"/>
        <w:contextualSpacing/>
      </w:pPr>
      <w:r>
        <w:t>e</w:t>
      </w:r>
      <w:r w:rsidR="00481F27">
        <w:t>.</w:t>
      </w:r>
      <w:r w:rsidR="00481F27">
        <w:tab/>
      </w:r>
      <w:r w:rsidR="005723F5">
        <w:t>Develop</w:t>
      </w:r>
      <w:r w:rsidR="00356CA1">
        <w:t>ing</w:t>
      </w:r>
      <w:r w:rsidR="005723F5">
        <w:t xml:space="preserve"> guidelines for </w:t>
      </w:r>
      <w:r w:rsidR="00372797">
        <w:t xml:space="preserve">the wise </w:t>
      </w:r>
      <w:r w:rsidR="00332B8A">
        <w:t xml:space="preserve">use and </w:t>
      </w:r>
      <w:r w:rsidR="005723F5">
        <w:t>manag</w:t>
      </w:r>
      <w:r w:rsidR="00FE0238">
        <w:t>ement of</w:t>
      </w:r>
      <w:r w:rsidR="005723F5">
        <w:t xml:space="preserve"> urban and </w:t>
      </w:r>
      <w:r w:rsidR="00C10005">
        <w:t>peri-</w:t>
      </w:r>
      <w:r w:rsidR="005723F5">
        <w:t>urban wetlands</w:t>
      </w:r>
      <w:r w:rsidR="00FE0238">
        <w:t xml:space="preserve"> and their buffer zones,</w:t>
      </w:r>
      <w:r w:rsidR="005723F5">
        <w:t xml:space="preserve"> considering </w:t>
      </w:r>
      <w:bookmarkStart w:id="2" w:name="_Hlk512424301"/>
      <w:r w:rsidR="00FE0238">
        <w:t xml:space="preserve">factors related to </w:t>
      </w:r>
      <w:r w:rsidR="005723F5">
        <w:t xml:space="preserve">climate change </w:t>
      </w:r>
      <w:bookmarkEnd w:id="2"/>
      <w:r w:rsidR="005723F5">
        <w:t>and ecosystem services</w:t>
      </w:r>
      <w:r w:rsidR="0099109D">
        <w:t xml:space="preserve"> and functions</w:t>
      </w:r>
      <w:r w:rsidR="00C10005">
        <w:t>;</w:t>
      </w:r>
    </w:p>
    <w:p w14:paraId="1A1E0B64" w14:textId="77777777" w:rsidR="0025169D" w:rsidRDefault="0025169D" w:rsidP="00743F28">
      <w:pPr>
        <w:autoSpaceDE w:val="0"/>
        <w:autoSpaceDN w:val="0"/>
        <w:adjustRightInd w:val="0"/>
        <w:ind w:left="850"/>
        <w:contextualSpacing/>
      </w:pPr>
    </w:p>
    <w:p w14:paraId="0DA7B207" w14:textId="77777777" w:rsidR="003E33E6" w:rsidRDefault="003B676F" w:rsidP="00743F28">
      <w:pPr>
        <w:contextualSpacing/>
      </w:pPr>
      <w:r>
        <w:t>19</w:t>
      </w:r>
      <w:r w:rsidR="00011647">
        <w:t>.</w:t>
      </w:r>
      <w:r w:rsidR="00011647">
        <w:tab/>
      </w:r>
      <w:r w:rsidR="002618FB">
        <w:t xml:space="preserve">ALSO </w:t>
      </w:r>
      <w:r w:rsidR="003E33E6">
        <w:t>ENCOURAGE</w:t>
      </w:r>
      <w:r w:rsidR="005C4794">
        <w:t>S</w:t>
      </w:r>
      <w:r w:rsidR="003E33E6">
        <w:t xml:space="preserve"> Contracting </w:t>
      </w:r>
      <w:r w:rsidR="008536B8">
        <w:t>Parties</w:t>
      </w:r>
      <w:r w:rsidR="003E33E6">
        <w:t xml:space="preserve">, as appropriate, to </w:t>
      </w:r>
      <w:r w:rsidR="001003F3">
        <w:t xml:space="preserve">consider </w:t>
      </w:r>
      <w:r w:rsidR="001220B4">
        <w:t xml:space="preserve">taking </w:t>
      </w:r>
      <w:r w:rsidR="001003F3">
        <w:t xml:space="preserve">the following </w:t>
      </w:r>
      <w:r w:rsidR="001220B4">
        <w:t xml:space="preserve">actions respecting </w:t>
      </w:r>
      <w:r w:rsidR="00747C94">
        <w:t xml:space="preserve">the </w:t>
      </w:r>
      <w:r w:rsidR="003E33E6">
        <w:t xml:space="preserve">planning and </w:t>
      </w:r>
      <w:r w:rsidR="00A52031">
        <w:t>management</w:t>
      </w:r>
      <w:r w:rsidR="001220B4">
        <w:t xml:space="preserve"> of wetlands</w:t>
      </w:r>
      <w:r w:rsidR="00A52031">
        <w:t>:</w:t>
      </w:r>
    </w:p>
    <w:p w14:paraId="756580F2" w14:textId="77777777" w:rsidR="008A1CB8" w:rsidRDefault="008A1CB8" w:rsidP="00743F28">
      <w:pPr>
        <w:pStyle w:val="ListParagraph"/>
        <w:numPr>
          <w:ilvl w:val="0"/>
          <w:numId w:val="0"/>
        </w:numPr>
        <w:suppressAutoHyphens w:val="0"/>
        <w:autoSpaceDE w:val="0"/>
        <w:autoSpaceDN w:val="0"/>
        <w:adjustRightInd w:val="0"/>
        <w:ind w:left="720"/>
        <w:contextualSpacing/>
      </w:pPr>
    </w:p>
    <w:p w14:paraId="5210ABEA" w14:textId="77777777" w:rsidR="00EA41E8" w:rsidRDefault="00481F27" w:rsidP="004B1B06">
      <w:pPr>
        <w:autoSpaceDE w:val="0"/>
        <w:autoSpaceDN w:val="0"/>
        <w:adjustRightInd w:val="0"/>
        <w:ind w:left="850"/>
        <w:contextualSpacing/>
      </w:pPr>
      <w:r>
        <w:t>a.</w:t>
      </w:r>
      <w:r>
        <w:tab/>
      </w:r>
      <w:r w:rsidR="00041A5E">
        <w:t>Develop</w:t>
      </w:r>
      <w:r w:rsidR="005C4794">
        <w:t>ing</w:t>
      </w:r>
      <w:r w:rsidR="00041A5E">
        <w:t xml:space="preserve"> and implement</w:t>
      </w:r>
      <w:r w:rsidR="005C4794">
        <w:t>ing</w:t>
      </w:r>
      <w:r w:rsidR="00041A5E">
        <w:t xml:space="preserve"> management plans </w:t>
      </w:r>
      <w:r w:rsidR="00262DCD">
        <w:t>for urban</w:t>
      </w:r>
      <w:r w:rsidR="00BB2D75">
        <w:t xml:space="preserve"> and </w:t>
      </w:r>
      <w:r w:rsidR="00C10005">
        <w:t>peri-</w:t>
      </w:r>
      <w:r w:rsidR="00BB2D75">
        <w:t xml:space="preserve">urban </w:t>
      </w:r>
      <w:r w:rsidR="00041A5E">
        <w:t xml:space="preserve">wetlands and </w:t>
      </w:r>
      <w:r w:rsidR="009D7189">
        <w:t xml:space="preserve">periodically </w:t>
      </w:r>
      <w:r w:rsidR="00041A5E">
        <w:t>monitor</w:t>
      </w:r>
      <w:r w:rsidR="005C4794">
        <w:t>ing</w:t>
      </w:r>
      <w:r w:rsidR="00041A5E">
        <w:t xml:space="preserve"> changes in wetlands</w:t>
      </w:r>
      <w:r w:rsidR="008536B8">
        <w:t>;</w:t>
      </w:r>
      <w:r w:rsidR="004357E9">
        <w:t xml:space="preserve"> </w:t>
      </w:r>
      <w:bookmarkStart w:id="3" w:name="_Hlk512423726"/>
      <w:r w:rsidR="004357E9">
        <w:t>shar</w:t>
      </w:r>
      <w:r w:rsidR="005C4794">
        <w:t>ing</w:t>
      </w:r>
      <w:r w:rsidR="004357E9">
        <w:t xml:space="preserve"> these plans with urban planning authorities</w:t>
      </w:r>
      <w:bookmarkEnd w:id="3"/>
      <w:r w:rsidR="004357E9">
        <w:t>; and encourag</w:t>
      </w:r>
      <w:r w:rsidR="005C4794">
        <w:t>ing</w:t>
      </w:r>
      <w:r w:rsidR="004357E9">
        <w:t xml:space="preserve"> </w:t>
      </w:r>
      <w:r w:rsidR="00C10005">
        <w:t xml:space="preserve">the </w:t>
      </w:r>
      <w:r w:rsidR="004357E9">
        <w:t xml:space="preserve">embedding </w:t>
      </w:r>
      <w:r w:rsidR="00C10005">
        <w:t xml:space="preserve">of </w:t>
      </w:r>
      <w:r w:rsidR="004357E9">
        <w:t xml:space="preserve">urban wetland protection and </w:t>
      </w:r>
      <w:r w:rsidR="004B1B06">
        <w:t xml:space="preserve">setting </w:t>
      </w:r>
      <w:r w:rsidR="004357E9">
        <w:t>goals in municipal and national planning programmes</w:t>
      </w:r>
      <w:r w:rsidR="00C10005">
        <w:t>;</w:t>
      </w:r>
    </w:p>
    <w:p w14:paraId="64A00E57" w14:textId="77777777" w:rsidR="00EA41E8" w:rsidRDefault="00EA41E8" w:rsidP="00743F28">
      <w:pPr>
        <w:autoSpaceDE w:val="0"/>
        <w:autoSpaceDN w:val="0"/>
        <w:adjustRightInd w:val="0"/>
        <w:ind w:left="850"/>
        <w:contextualSpacing/>
      </w:pPr>
    </w:p>
    <w:p w14:paraId="6B5313BE" w14:textId="77777777" w:rsidR="002049F7" w:rsidRDefault="00481F27" w:rsidP="00C112AF">
      <w:pPr>
        <w:autoSpaceDE w:val="0"/>
        <w:autoSpaceDN w:val="0"/>
        <w:adjustRightInd w:val="0"/>
        <w:ind w:left="850"/>
        <w:contextualSpacing/>
      </w:pPr>
      <w:r>
        <w:t>b.</w:t>
      </w:r>
      <w:r>
        <w:tab/>
      </w:r>
      <w:r w:rsidR="007F0151">
        <w:t>Implement</w:t>
      </w:r>
      <w:r w:rsidR="005C4794">
        <w:t>ing</w:t>
      </w:r>
      <w:r w:rsidR="007F0151">
        <w:t xml:space="preserve"> </w:t>
      </w:r>
      <w:r w:rsidR="002049F7">
        <w:t xml:space="preserve">constructed </w:t>
      </w:r>
      <w:r w:rsidR="00262DCD">
        <w:t xml:space="preserve">urban and </w:t>
      </w:r>
      <w:r w:rsidR="00C10005">
        <w:t>peri-</w:t>
      </w:r>
      <w:r w:rsidR="00262DCD">
        <w:t xml:space="preserve">urban </w:t>
      </w:r>
      <w:r w:rsidR="002049F7">
        <w:t>wetland</w:t>
      </w:r>
      <w:r w:rsidR="00FF6E26">
        <w:t xml:space="preserve"> habitat enhancement</w:t>
      </w:r>
      <w:r w:rsidR="00070AFA">
        <w:t xml:space="preserve"> activity</w:t>
      </w:r>
      <w:r w:rsidR="00FF6E26">
        <w:t xml:space="preserve"> </w:t>
      </w:r>
      <w:r w:rsidR="002049F7">
        <w:t xml:space="preserve">by </w:t>
      </w:r>
      <w:r w:rsidR="00852ABF">
        <w:t>integrating treatment</w:t>
      </w:r>
      <w:r w:rsidR="002049F7">
        <w:t xml:space="preserve"> systems that use </w:t>
      </w:r>
      <w:r w:rsidR="00C112AF">
        <w:t xml:space="preserve">biomimetic </w:t>
      </w:r>
      <w:r w:rsidR="002049F7">
        <w:t xml:space="preserve">processes involving </w:t>
      </w:r>
      <w:r w:rsidR="0025169D">
        <w:t xml:space="preserve">native </w:t>
      </w:r>
      <w:r w:rsidR="002049F7">
        <w:t>wetland vegetation, soils, and their associated microbial assemblages to improve water quality</w:t>
      </w:r>
      <w:r w:rsidR="00070AFA">
        <w:t xml:space="preserve"> </w:t>
      </w:r>
      <w:r w:rsidR="00070AFA" w:rsidRPr="00070AFA">
        <w:t>and enhance carbon sequestration potential and resilience to climate change impacts</w:t>
      </w:r>
      <w:r w:rsidR="002049F7">
        <w:t>;</w:t>
      </w:r>
      <w:r w:rsidR="005A6C11">
        <w:t xml:space="preserve"> undertak</w:t>
      </w:r>
      <w:r w:rsidR="00A078B7">
        <w:t>ing</w:t>
      </w:r>
      <w:r w:rsidR="00D75C07">
        <w:t xml:space="preserve"> </w:t>
      </w:r>
      <w:r w:rsidR="00D75C07" w:rsidRPr="00C10005">
        <w:rPr>
          <w:i/>
        </w:rPr>
        <w:t>in situ</w:t>
      </w:r>
      <w:r w:rsidR="00D75C07">
        <w:t xml:space="preserve"> and/or </w:t>
      </w:r>
      <w:r w:rsidR="00D75C07" w:rsidRPr="00C10005">
        <w:rPr>
          <w:i/>
        </w:rPr>
        <w:t>ex situ</w:t>
      </w:r>
      <w:r w:rsidR="00D75C07">
        <w:t xml:space="preserve"> </w:t>
      </w:r>
      <w:r w:rsidR="007E37AF">
        <w:t>bio</w:t>
      </w:r>
      <w:r w:rsidR="00D75C07">
        <w:t>remediation of wetlands</w:t>
      </w:r>
      <w:r w:rsidR="00C10005">
        <w:t>;</w:t>
      </w:r>
    </w:p>
    <w:p w14:paraId="6D294EB1" w14:textId="77777777" w:rsidR="00EA41E8" w:rsidRDefault="00EA41E8" w:rsidP="00743F28">
      <w:pPr>
        <w:autoSpaceDE w:val="0"/>
        <w:autoSpaceDN w:val="0"/>
        <w:adjustRightInd w:val="0"/>
        <w:ind w:left="850"/>
        <w:contextualSpacing/>
      </w:pPr>
    </w:p>
    <w:p w14:paraId="64BCC114" w14:textId="77777777" w:rsidR="003E33E6" w:rsidRDefault="00481F27" w:rsidP="00743F28">
      <w:pPr>
        <w:autoSpaceDE w:val="0"/>
        <w:autoSpaceDN w:val="0"/>
        <w:adjustRightInd w:val="0"/>
        <w:ind w:left="850"/>
        <w:contextualSpacing/>
      </w:pPr>
      <w:r>
        <w:lastRenderedPageBreak/>
        <w:t>c.</w:t>
      </w:r>
      <w:r>
        <w:tab/>
      </w:r>
      <w:r w:rsidR="006A0260">
        <w:t>Involv</w:t>
      </w:r>
      <w:r w:rsidR="00A078B7">
        <w:t>ing</w:t>
      </w:r>
      <w:r w:rsidR="006A0260">
        <w:t xml:space="preserve"> </w:t>
      </w:r>
      <w:r w:rsidR="003E33E6">
        <w:t>local stakeholders</w:t>
      </w:r>
      <w:r w:rsidR="002E27E0">
        <w:t>,</w:t>
      </w:r>
      <w:r w:rsidR="006A0260">
        <w:t xml:space="preserve"> </w:t>
      </w:r>
      <w:r w:rsidR="00603121">
        <w:t>including</w:t>
      </w:r>
      <w:r w:rsidR="00070AFA">
        <w:t xml:space="preserve"> </w:t>
      </w:r>
      <w:r w:rsidR="00070AFA" w:rsidRPr="00070AFA">
        <w:t>but not limited to national and local</w:t>
      </w:r>
      <w:r w:rsidR="006A0260" w:rsidRPr="00070AFA">
        <w:t xml:space="preserve"> </w:t>
      </w:r>
      <w:r w:rsidR="00B950D1">
        <w:t xml:space="preserve">government, </w:t>
      </w:r>
      <w:r w:rsidR="00C10005">
        <w:t xml:space="preserve">the </w:t>
      </w:r>
      <w:r w:rsidR="00B950D1">
        <w:t>private</w:t>
      </w:r>
      <w:r w:rsidR="006A0260">
        <w:t xml:space="preserve"> </w:t>
      </w:r>
      <w:r w:rsidR="00A52031">
        <w:t>sector,</w:t>
      </w:r>
      <w:r w:rsidR="00070AFA" w:rsidRPr="00070AFA">
        <w:t xml:space="preserve"> </w:t>
      </w:r>
      <w:r w:rsidR="00E82911" w:rsidRPr="00070AFA">
        <w:t>non-government</w:t>
      </w:r>
      <w:r w:rsidR="00E82911">
        <w:t>al</w:t>
      </w:r>
      <w:r w:rsidR="00E82911" w:rsidRPr="00070AFA">
        <w:t xml:space="preserve"> organizations</w:t>
      </w:r>
      <w:r w:rsidR="00B950D1">
        <w:t xml:space="preserve">, research centres, educational institutions, </w:t>
      </w:r>
      <w:r w:rsidR="00C10005">
        <w:t xml:space="preserve">the </w:t>
      </w:r>
      <w:r w:rsidR="00B950D1">
        <w:t>tourism sector,</w:t>
      </w:r>
      <w:r w:rsidR="001C508D">
        <w:t xml:space="preserve"> </w:t>
      </w:r>
      <w:r w:rsidR="00C10005">
        <w:t xml:space="preserve">the </w:t>
      </w:r>
      <w:r w:rsidR="001C508D">
        <w:t>heritage sector, indigenous people</w:t>
      </w:r>
      <w:r w:rsidR="00B950D1">
        <w:t xml:space="preserve"> and local communities </w:t>
      </w:r>
      <w:r w:rsidR="00A52031">
        <w:t>in</w:t>
      </w:r>
      <w:r w:rsidR="002E27E0">
        <w:t xml:space="preserve"> the planning</w:t>
      </w:r>
      <w:r w:rsidR="00136687">
        <w:t>, prot</w:t>
      </w:r>
      <w:r w:rsidR="00E82911">
        <w:t>e</w:t>
      </w:r>
      <w:r w:rsidR="00136687">
        <w:t>ction</w:t>
      </w:r>
      <w:r w:rsidR="002E27E0">
        <w:t xml:space="preserve"> and management </w:t>
      </w:r>
      <w:r w:rsidR="00B950D1">
        <w:t xml:space="preserve">of urban and </w:t>
      </w:r>
      <w:r w:rsidR="00C10005">
        <w:t>peri-</w:t>
      </w:r>
      <w:r w:rsidR="00B950D1">
        <w:t xml:space="preserve">urban wetlands, including the establishment of a formal </w:t>
      </w:r>
      <w:r w:rsidR="00177051">
        <w:t xml:space="preserve">national </w:t>
      </w:r>
      <w:r w:rsidR="00B950D1">
        <w:t>urban wetlands stakeholder management committee</w:t>
      </w:r>
      <w:r w:rsidR="003E33E6">
        <w:t>;</w:t>
      </w:r>
    </w:p>
    <w:p w14:paraId="384801F2" w14:textId="77777777" w:rsidR="00EA41E8" w:rsidRDefault="00EA41E8" w:rsidP="00743F28">
      <w:pPr>
        <w:autoSpaceDE w:val="0"/>
        <w:autoSpaceDN w:val="0"/>
        <w:adjustRightInd w:val="0"/>
        <w:ind w:left="850"/>
        <w:contextualSpacing/>
      </w:pPr>
    </w:p>
    <w:p w14:paraId="3D7F670C" w14:textId="54885F02" w:rsidR="005D08D3" w:rsidRDefault="00481F27" w:rsidP="00743F28">
      <w:pPr>
        <w:autoSpaceDE w:val="0"/>
        <w:autoSpaceDN w:val="0"/>
        <w:adjustRightInd w:val="0"/>
        <w:ind w:left="850"/>
        <w:contextualSpacing/>
      </w:pPr>
      <w:r>
        <w:t>d.</w:t>
      </w:r>
      <w:r>
        <w:tab/>
      </w:r>
      <w:r w:rsidR="00041A5E">
        <w:t>Develop</w:t>
      </w:r>
      <w:r w:rsidR="00A078B7">
        <w:t>ing</w:t>
      </w:r>
      <w:r w:rsidR="00107646">
        <w:t xml:space="preserve"> </w:t>
      </w:r>
      <w:r w:rsidR="0026396E">
        <w:t>an</w:t>
      </w:r>
      <w:r w:rsidR="006A0260">
        <w:t xml:space="preserve"> </w:t>
      </w:r>
      <w:r w:rsidR="00262DCD">
        <w:t xml:space="preserve">urban and </w:t>
      </w:r>
      <w:r w:rsidR="00C10005">
        <w:t>peri-</w:t>
      </w:r>
      <w:r w:rsidR="00262DCD">
        <w:t xml:space="preserve">urban </w:t>
      </w:r>
      <w:r w:rsidR="003E33E6">
        <w:t>wetlands inventory</w:t>
      </w:r>
      <w:r w:rsidR="005D08D3">
        <w:t>;</w:t>
      </w:r>
      <w:r w:rsidR="003E33E6">
        <w:t xml:space="preserve"> </w:t>
      </w:r>
      <w:r w:rsidR="00136687">
        <w:t xml:space="preserve">and possibly </w:t>
      </w:r>
      <w:r w:rsidR="00467125" w:rsidRPr="00467125">
        <w:t>classifying</w:t>
      </w:r>
      <w:r w:rsidR="00136687" w:rsidRPr="00467125">
        <w:t xml:space="preserve"> </w:t>
      </w:r>
      <w:r w:rsidR="00070AFA">
        <w:t>them</w:t>
      </w:r>
      <w:r w:rsidR="00E82911">
        <w:t>;</w:t>
      </w:r>
    </w:p>
    <w:p w14:paraId="5BA111CC" w14:textId="77777777" w:rsidR="00EA41E8" w:rsidRDefault="00EA41E8" w:rsidP="00743F28">
      <w:pPr>
        <w:autoSpaceDE w:val="0"/>
        <w:autoSpaceDN w:val="0"/>
        <w:adjustRightInd w:val="0"/>
        <w:ind w:left="850"/>
        <w:contextualSpacing/>
      </w:pPr>
    </w:p>
    <w:p w14:paraId="4D34A22A" w14:textId="77777777" w:rsidR="001A0B26" w:rsidRDefault="00481F27" w:rsidP="00743F28">
      <w:pPr>
        <w:autoSpaceDE w:val="0"/>
        <w:autoSpaceDN w:val="0"/>
        <w:adjustRightInd w:val="0"/>
        <w:ind w:left="850"/>
        <w:contextualSpacing/>
      </w:pPr>
      <w:r>
        <w:t>e.</w:t>
      </w:r>
      <w:r>
        <w:tab/>
      </w:r>
      <w:r w:rsidR="005D08D3">
        <w:t>C</w:t>
      </w:r>
      <w:r w:rsidR="00041A5E">
        <w:t>onduct</w:t>
      </w:r>
      <w:r w:rsidR="00A078B7">
        <w:t>ing</w:t>
      </w:r>
      <w:r w:rsidR="00041A5E">
        <w:t xml:space="preserve"> </w:t>
      </w:r>
      <w:r w:rsidR="003E33E6">
        <w:t>impact</w:t>
      </w:r>
      <w:r w:rsidR="00107646">
        <w:t xml:space="preserve"> and vulnerability</w:t>
      </w:r>
      <w:r w:rsidR="003E33E6">
        <w:t xml:space="preserve"> assessment</w:t>
      </w:r>
      <w:r w:rsidR="00107646">
        <w:t>s</w:t>
      </w:r>
      <w:r w:rsidR="005812A2">
        <w:t xml:space="preserve"> </w:t>
      </w:r>
      <w:r w:rsidR="005D08D3">
        <w:t xml:space="preserve">of </w:t>
      </w:r>
      <w:r w:rsidR="005812A2">
        <w:t>urban development and climate change</w:t>
      </w:r>
      <w:r w:rsidR="005D08D3">
        <w:t xml:space="preserve"> on</w:t>
      </w:r>
      <w:r w:rsidR="008D7168">
        <w:t xml:space="preserve"> urban and peri-urban</w:t>
      </w:r>
      <w:r w:rsidR="005D08D3">
        <w:t xml:space="preserve"> wetlands</w:t>
      </w:r>
      <w:r w:rsidR="003E33E6">
        <w:t>;</w:t>
      </w:r>
      <w:r w:rsidR="00107646">
        <w:t xml:space="preserve"> </w:t>
      </w:r>
      <w:r w:rsidR="00C10005" w:rsidRPr="00107646">
        <w:t>prioriti</w:t>
      </w:r>
      <w:r w:rsidR="00C10005">
        <w:t>z</w:t>
      </w:r>
      <w:r w:rsidR="00A078B7">
        <w:t>ing</w:t>
      </w:r>
      <w:r w:rsidR="00C10005" w:rsidRPr="00107646">
        <w:t xml:space="preserve"> </w:t>
      </w:r>
      <w:r w:rsidR="008D7168">
        <w:t xml:space="preserve">such </w:t>
      </w:r>
      <w:r w:rsidR="00107646" w:rsidRPr="00107646">
        <w:t>wetlands in terms of degree of impact and vulnerability and shar</w:t>
      </w:r>
      <w:r w:rsidR="00A078B7">
        <w:t>ing</w:t>
      </w:r>
      <w:r w:rsidR="00107646" w:rsidRPr="00107646">
        <w:t xml:space="preserve"> the results of these studies with urban development decision-makers</w:t>
      </w:r>
      <w:r w:rsidR="00BA305C">
        <w:t xml:space="preserve"> to prompt</w:t>
      </w:r>
      <w:r w:rsidR="00C2663C">
        <w:t xml:space="preserve"> their utilization</w:t>
      </w:r>
      <w:r w:rsidR="00107646" w:rsidRPr="00107646">
        <w:t xml:space="preserve">; </w:t>
      </w:r>
    </w:p>
    <w:p w14:paraId="773E040A" w14:textId="77777777" w:rsidR="001A0B26" w:rsidRDefault="001A0B26" w:rsidP="00743F28">
      <w:pPr>
        <w:autoSpaceDE w:val="0"/>
        <w:autoSpaceDN w:val="0"/>
        <w:adjustRightInd w:val="0"/>
        <w:ind w:left="0" w:firstLine="0"/>
        <w:contextualSpacing/>
      </w:pPr>
    </w:p>
    <w:p w14:paraId="212DEB38" w14:textId="5DA0FFE0" w:rsidR="001A0B26" w:rsidRPr="00107646" w:rsidRDefault="00C10005" w:rsidP="00C10005">
      <w:pPr>
        <w:autoSpaceDE w:val="0"/>
        <w:autoSpaceDN w:val="0"/>
        <w:adjustRightInd w:val="0"/>
        <w:ind w:left="850"/>
        <w:contextualSpacing/>
      </w:pPr>
      <w:r>
        <w:t>f.</w:t>
      </w:r>
      <w:r>
        <w:tab/>
      </w:r>
      <w:r w:rsidR="00D22768">
        <w:t>E</w:t>
      </w:r>
      <w:r w:rsidR="00D22768" w:rsidRPr="00D22768">
        <w:t>stablish</w:t>
      </w:r>
      <w:r w:rsidR="00A078B7">
        <w:t>ing</w:t>
      </w:r>
      <w:r w:rsidR="00D22768" w:rsidRPr="00D22768">
        <w:t xml:space="preserve"> action program</w:t>
      </w:r>
      <w:r>
        <w:t>me</w:t>
      </w:r>
      <w:r w:rsidR="00D22768" w:rsidRPr="00D22768">
        <w:t>s between local governments to mitigate urban development impacts and climate change risks</w:t>
      </w:r>
      <w:r w:rsidR="00C2663C">
        <w:t xml:space="preserve"> and </w:t>
      </w:r>
      <w:r w:rsidR="00C471B7">
        <w:t xml:space="preserve">for </w:t>
      </w:r>
      <w:bookmarkStart w:id="4" w:name="_GoBack"/>
      <w:bookmarkEnd w:id="4"/>
      <w:r w:rsidR="00C2663C">
        <w:t>adaptation</w:t>
      </w:r>
      <w:r w:rsidR="00D22768" w:rsidRPr="00D22768">
        <w:t xml:space="preserve"> on prioritized wetlands</w:t>
      </w:r>
      <w:r>
        <w:t>; and</w:t>
      </w:r>
    </w:p>
    <w:p w14:paraId="79A59949" w14:textId="77777777" w:rsidR="00BA0D84" w:rsidRDefault="00BA0D84" w:rsidP="00743F28">
      <w:pPr>
        <w:autoSpaceDE w:val="0"/>
        <w:autoSpaceDN w:val="0"/>
        <w:adjustRightInd w:val="0"/>
        <w:ind w:left="850"/>
        <w:contextualSpacing/>
      </w:pPr>
    </w:p>
    <w:p w14:paraId="60F66C78" w14:textId="77777777" w:rsidR="00C97DF9" w:rsidRDefault="00C10005" w:rsidP="008D7168">
      <w:pPr>
        <w:autoSpaceDE w:val="0"/>
        <w:autoSpaceDN w:val="0"/>
        <w:adjustRightInd w:val="0"/>
        <w:ind w:left="850"/>
        <w:contextualSpacing/>
      </w:pPr>
      <w:r>
        <w:t>g.</w:t>
      </w:r>
      <w:r>
        <w:tab/>
      </w:r>
      <w:r w:rsidR="00C97DF9">
        <w:t>Develop</w:t>
      </w:r>
      <w:r w:rsidR="00A078B7">
        <w:t>ing</w:t>
      </w:r>
      <w:r w:rsidR="00C97DF9">
        <w:t xml:space="preserve"> awareness and education programmes on the </w:t>
      </w:r>
      <w:r w:rsidR="008D7168">
        <w:t xml:space="preserve">conservation </w:t>
      </w:r>
      <w:r w:rsidR="00C97DF9">
        <w:t>of urban and peri-urban wetlands</w:t>
      </w:r>
      <w:r w:rsidR="008C4ED7" w:rsidRPr="00D44E57">
        <w:t>, and</w:t>
      </w:r>
      <w:r w:rsidR="00C97DF9">
        <w:t xml:space="preserve"> a plan to promote such programmes among stakeholders</w:t>
      </w:r>
      <w:r w:rsidR="00A574D3">
        <w:t>;</w:t>
      </w:r>
    </w:p>
    <w:p w14:paraId="68AC279C" w14:textId="77777777" w:rsidR="00C97DF9" w:rsidRDefault="00C97DF9" w:rsidP="00743F28">
      <w:pPr>
        <w:pStyle w:val="ListParagraph"/>
        <w:numPr>
          <w:ilvl w:val="0"/>
          <w:numId w:val="0"/>
        </w:numPr>
        <w:autoSpaceDE w:val="0"/>
        <w:autoSpaceDN w:val="0"/>
        <w:adjustRightInd w:val="0"/>
        <w:ind w:left="1440"/>
        <w:contextualSpacing/>
      </w:pPr>
    </w:p>
    <w:p w14:paraId="2F787AB8" w14:textId="77777777" w:rsidR="00642B2A" w:rsidRPr="00F82A50" w:rsidRDefault="003B676F" w:rsidP="00743F28">
      <w:pPr>
        <w:contextualSpacing/>
      </w:pPr>
      <w:r>
        <w:t>20</w:t>
      </w:r>
      <w:r w:rsidR="00481F27">
        <w:t>.</w:t>
      </w:r>
      <w:r w:rsidR="00481F27">
        <w:tab/>
      </w:r>
      <w:r w:rsidR="00642B2A" w:rsidRPr="00F82A50">
        <w:t xml:space="preserve">ENCOURAGES </w:t>
      </w:r>
      <w:r w:rsidR="00C10005">
        <w:t>the</w:t>
      </w:r>
      <w:r w:rsidR="00A23556">
        <w:t xml:space="preserve"> </w:t>
      </w:r>
      <w:r w:rsidR="00C10005">
        <w:t>S</w:t>
      </w:r>
      <w:r w:rsidR="00A23556">
        <w:t>ecretariat</w:t>
      </w:r>
      <w:r w:rsidR="00E66DA0">
        <w:t xml:space="preserve"> </w:t>
      </w:r>
      <w:r w:rsidR="00642B2A" w:rsidRPr="00F82A50">
        <w:t xml:space="preserve">to collaborate with </w:t>
      </w:r>
      <w:r w:rsidR="002618FB">
        <w:t xml:space="preserve">the Secretariats of </w:t>
      </w:r>
      <w:r w:rsidR="00E66DA0">
        <w:t xml:space="preserve">other multilateral </w:t>
      </w:r>
      <w:r w:rsidR="00E82911">
        <w:t xml:space="preserve">environmental </w:t>
      </w:r>
      <w:r w:rsidR="00E66DA0">
        <w:t>agreements</w:t>
      </w:r>
      <w:r w:rsidR="00C10005">
        <w:t xml:space="preserve"> </w:t>
      </w:r>
      <w:r w:rsidR="00C10005" w:rsidRPr="000E4EA7">
        <w:t>(MEAs)</w:t>
      </w:r>
      <w:r w:rsidR="00642B2A" w:rsidRPr="00F82A50">
        <w:t xml:space="preserve">, on the </w:t>
      </w:r>
      <w:r w:rsidR="00041A5E" w:rsidRPr="00F82A50">
        <w:t>impact</w:t>
      </w:r>
      <w:r w:rsidR="00642B2A" w:rsidRPr="00F82A50">
        <w:t xml:space="preserve"> </w:t>
      </w:r>
      <w:r w:rsidR="00041A5E" w:rsidRPr="00F82A50">
        <w:t>of</w:t>
      </w:r>
      <w:r w:rsidR="00642B2A" w:rsidRPr="00F82A50">
        <w:t xml:space="preserve"> urban development and climate change</w:t>
      </w:r>
      <w:r w:rsidR="00041A5E" w:rsidRPr="00F82A50">
        <w:t xml:space="preserve"> on wetlands;</w:t>
      </w:r>
      <w:r w:rsidR="00C10005">
        <w:t xml:space="preserve"> and</w:t>
      </w:r>
    </w:p>
    <w:p w14:paraId="3C089FAA" w14:textId="77777777" w:rsidR="00642B2A" w:rsidRDefault="00642B2A" w:rsidP="00743F28">
      <w:pPr>
        <w:contextualSpacing/>
      </w:pPr>
    </w:p>
    <w:p w14:paraId="31E206CA" w14:textId="77777777" w:rsidR="00525EF1" w:rsidRDefault="00481F27" w:rsidP="00342CA7">
      <w:pPr>
        <w:contextualSpacing/>
      </w:pPr>
      <w:r>
        <w:t>2</w:t>
      </w:r>
      <w:r w:rsidR="003B676F">
        <w:t>1</w:t>
      </w:r>
      <w:r>
        <w:t>.</w:t>
      </w:r>
      <w:r>
        <w:tab/>
      </w:r>
      <w:r w:rsidR="00642B2A" w:rsidRPr="000E4EA7">
        <w:t xml:space="preserve">INVITES the Ramsar </w:t>
      </w:r>
      <w:r w:rsidR="00587C01">
        <w:t xml:space="preserve">Convention </w:t>
      </w:r>
      <w:r w:rsidR="00342CA7">
        <w:t>National Focal Points</w:t>
      </w:r>
      <w:r w:rsidR="00642B2A" w:rsidRPr="000E4EA7">
        <w:t xml:space="preserve"> </w:t>
      </w:r>
      <w:r w:rsidR="00587C01">
        <w:t xml:space="preserve">of Contracting Parties </w:t>
      </w:r>
      <w:r w:rsidR="00642B2A" w:rsidRPr="000E4EA7">
        <w:t>to bring this Resolution to the attention of the national focal points of other MEAs</w:t>
      </w:r>
      <w:r w:rsidR="00587C01">
        <w:t>;</w:t>
      </w:r>
      <w:r w:rsidR="00642B2A" w:rsidRPr="000E4EA7">
        <w:t xml:space="preserve"> and ENCOURAGES Contracting Parties to promote collaborative work among the national focal points of these MEAs in support of its implementation.</w:t>
      </w:r>
    </w:p>
    <w:sectPr w:rsidR="00525EF1" w:rsidSect="00D65420">
      <w:foot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B248" w14:textId="77777777" w:rsidR="00247830" w:rsidRDefault="00247830" w:rsidP="00D65420">
      <w:r>
        <w:separator/>
      </w:r>
    </w:p>
  </w:endnote>
  <w:endnote w:type="continuationSeparator" w:id="0">
    <w:p w14:paraId="76ABC435" w14:textId="77777777" w:rsidR="00247830" w:rsidRDefault="00247830" w:rsidP="00D65420">
      <w:r>
        <w:continuationSeparator/>
      </w:r>
    </w:p>
  </w:endnote>
  <w:endnote w:type="continuationNotice" w:id="1">
    <w:p w14:paraId="4505775A" w14:textId="77777777" w:rsidR="00247830" w:rsidRDefault="0024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2B35" w14:textId="095ECE4E" w:rsidR="00D65420" w:rsidRPr="00743F28" w:rsidRDefault="00743F28" w:rsidP="00743F28">
    <w:pPr>
      <w:pStyle w:val="Footer"/>
      <w:rPr>
        <w:sz w:val="20"/>
        <w:szCs w:val="20"/>
      </w:rPr>
    </w:pPr>
    <w:r>
      <w:rPr>
        <w:sz w:val="20"/>
        <w:szCs w:val="20"/>
      </w:rPr>
      <w:t xml:space="preserve">Ramsar COP13 </w:t>
    </w:r>
    <w:r w:rsidR="00C86B81">
      <w:rPr>
        <w:sz w:val="20"/>
        <w:szCs w:val="20"/>
      </w:rPr>
      <w:t>Doc.18.17</w:t>
    </w:r>
    <w:r w:rsidR="00E40EA0">
      <w:rPr>
        <w:sz w:val="20"/>
        <w:szCs w:val="20"/>
      </w:rPr>
      <w:t xml:space="preserve">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C471B7">
      <w:rPr>
        <w:noProof/>
        <w:sz w:val="20"/>
        <w:szCs w:val="20"/>
      </w:rPr>
      <w:t>2</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BC97" w14:textId="77777777" w:rsidR="00247830" w:rsidRDefault="00247830" w:rsidP="00D65420">
      <w:r>
        <w:separator/>
      </w:r>
    </w:p>
  </w:footnote>
  <w:footnote w:type="continuationSeparator" w:id="0">
    <w:p w14:paraId="35965EC6" w14:textId="77777777" w:rsidR="00247830" w:rsidRDefault="00247830" w:rsidP="00D65420">
      <w:r>
        <w:continuationSeparator/>
      </w:r>
    </w:p>
  </w:footnote>
  <w:footnote w:type="continuationNotice" w:id="1">
    <w:p w14:paraId="0123FE01" w14:textId="77777777" w:rsidR="00247830" w:rsidRDefault="002478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B02"/>
    <w:multiLevelType w:val="hybridMultilevel"/>
    <w:tmpl w:val="4E2079C0"/>
    <w:lvl w:ilvl="0" w:tplc="94783DF4">
      <w:start w:val="1"/>
      <w:numFmt w:val="decimal"/>
      <w:lvlText w:val="%1."/>
      <w:lvlJc w:val="left"/>
      <w:pPr>
        <w:ind w:left="720" w:hanging="360"/>
      </w:pPr>
      <w:rPr>
        <w:rFonts w:hint="default"/>
      </w:rPr>
    </w:lvl>
    <w:lvl w:ilvl="1" w:tplc="26EEEA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A649F"/>
    <w:multiLevelType w:val="hybridMultilevel"/>
    <w:tmpl w:val="178CCB5E"/>
    <w:lvl w:ilvl="0" w:tplc="AE5220A8">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A46EC"/>
    <w:multiLevelType w:val="multilevel"/>
    <w:tmpl w:val="392E2C1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A06C9E"/>
    <w:multiLevelType w:val="hybridMultilevel"/>
    <w:tmpl w:val="6FFEB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E3385"/>
    <w:multiLevelType w:val="hybridMultilevel"/>
    <w:tmpl w:val="FB5EC7EC"/>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1555113D"/>
    <w:multiLevelType w:val="hybridMultilevel"/>
    <w:tmpl w:val="3682A2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92FC1"/>
    <w:multiLevelType w:val="hybridMultilevel"/>
    <w:tmpl w:val="8D8CD5E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6C059D"/>
    <w:multiLevelType w:val="hybridMultilevel"/>
    <w:tmpl w:val="469411AC"/>
    <w:lvl w:ilvl="0" w:tplc="BDF6057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66A4E"/>
    <w:multiLevelType w:val="hybridMultilevel"/>
    <w:tmpl w:val="EE561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DE6AD0"/>
    <w:multiLevelType w:val="hybridMultilevel"/>
    <w:tmpl w:val="D57CB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1B4375"/>
    <w:multiLevelType w:val="hybridMultilevel"/>
    <w:tmpl w:val="337EDED2"/>
    <w:lvl w:ilvl="0" w:tplc="979003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07C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8E7671"/>
    <w:multiLevelType w:val="hybridMultilevel"/>
    <w:tmpl w:val="24623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61A36"/>
    <w:multiLevelType w:val="hybridMultilevel"/>
    <w:tmpl w:val="950C7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C2C15"/>
    <w:multiLevelType w:val="hybridMultilevel"/>
    <w:tmpl w:val="CD58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46100"/>
    <w:multiLevelType w:val="hybridMultilevel"/>
    <w:tmpl w:val="BC30F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E411B5C"/>
    <w:multiLevelType w:val="hybridMultilevel"/>
    <w:tmpl w:val="43A0D4A4"/>
    <w:lvl w:ilvl="0" w:tplc="4ABC872C">
      <w:start w:val="1"/>
      <w:numFmt w:val="decimal"/>
      <w:pStyle w:val="ListParagraph"/>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7FD351A"/>
    <w:multiLevelType w:val="hybridMultilevel"/>
    <w:tmpl w:val="D6285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60FB1"/>
    <w:multiLevelType w:val="hybridMultilevel"/>
    <w:tmpl w:val="3D8E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2681C"/>
    <w:multiLevelType w:val="hybridMultilevel"/>
    <w:tmpl w:val="B796ABF4"/>
    <w:lvl w:ilvl="0" w:tplc="B8D8C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52FD1"/>
    <w:multiLevelType w:val="hybridMultilevel"/>
    <w:tmpl w:val="4A4EF0F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A7956"/>
    <w:multiLevelType w:val="hybridMultilevel"/>
    <w:tmpl w:val="5686DAE4"/>
    <w:lvl w:ilvl="0" w:tplc="AFB891A2">
      <w:start w:val="1"/>
      <w:numFmt w:val="lowerLetter"/>
      <w:lvlText w:val="%1."/>
      <w:lvlJc w:val="left"/>
      <w:pPr>
        <w:ind w:left="845" w:hanging="42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3" w15:restartNumberingAfterBreak="0">
    <w:nsid w:val="762F28F6"/>
    <w:multiLevelType w:val="hybridMultilevel"/>
    <w:tmpl w:val="4530B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94C69"/>
    <w:multiLevelType w:val="hybridMultilevel"/>
    <w:tmpl w:val="F048B5CE"/>
    <w:lvl w:ilvl="0" w:tplc="1D1C1F24">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73A84"/>
    <w:multiLevelType w:val="hybridMultilevel"/>
    <w:tmpl w:val="3DF40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2809A3"/>
    <w:multiLevelType w:val="hybridMultilevel"/>
    <w:tmpl w:val="6ED42114"/>
    <w:lvl w:ilvl="0" w:tplc="A57E4AC8">
      <w:start w:val="1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7"/>
  </w:num>
  <w:num w:numId="5">
    <w:abstractNumId w:val="8"/>
  </w:num>
  <w:num w:numId="6">
    <w:abstractNumId w:val="5"/>
  </w:num>
  <w:num w:numId="7">
    <w:abstractNumId w:val="7"/>
  </w:num>
  <w:num w:numId="8">
    <w:abstractNumId w:val="25"/>
  </w:num>
  <w:num w:numId="9">
    <w:abstractNumId w:val="11"/>
  </w:num>
  <w:num w:numId="10">
    <w:abstractNumId w:val="18"/>
  </w:num>
  <w:num w:numId="11">
    <w:abstractNumId w:val="10"/>
  </w:num>
  <w:num w:numId="12">
    <w:abstractNumId w:val="19"/>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23"/>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15"/>
  </w:num>
  <w:num w:numId="31">
    <w:abstractNumId w:val="3"/>
  </w:num>
  <w:num w:numId="32">
    <w:abstractNumId w:val="6"/>
  </w:num>
  <w:num w:numId="33">
    <w:abstractNumId w:val="12"/>
  </w:num>
  <w:num w:numId="34">
    <w:abstractNumId w:val="2"/>
  </w:num>
  <w:num w:numId="35">
    <w:abstractNumId w:val="22"/>
  </w:num>
  <w:num w:numId="36">
    <w:abstractNumId w:val="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E6"/>
    <w:rsid w:val="00011647"/>
    <w:rsid w:val="00041A5E"/>
    <w:rsid w:val="00047CD3"/>
    <w:rsid w:val="00054077"/>
    <w:rsid w:val="00055D72"/>
    <w:rsid w:val="00070AFA"/>
    <w:rsid w:val="00075C00"/>
    <w:rsid w:val="000762A7"/>
    <w:rsid w:val="00086C5A"/>
    <w:rsid w:val="0009458B"/>
    <w:rsid w:val="00094CBC"/>
    <w:rsid w:val="000D2E90"/>
    <w:rsid w:val="000E3819"/>
    <w:rsid w:val="000E4EA7"/>
    <w:rsid w:val="000F0BA6"/>
    <w:rsid w:val="001003F3"/>
    <w:rsid w:val="001012F5"/>
    <w:rsid w:val="00107646"/>
    <w:rsid w:val="00107806"/>
    <w:rsid w:val="00110A25"/>
    <w:rsid w:val="001118D5"/>
    <w:rsid w:val="0011698C"/>
    <w:rsid w:val="001220B4"/>
    <w:rsid w:val="00132BFC"/>
    <w:rsid w:val="00136687"/>
    <w:rsid w:val="00137CE7"/>
    <w:rsid w:val="00141B7B"/>
    <w:rsid w:val="001567EC"/>
    <w:rsid w:val="00177051"/>
    <w:rsid w:val="001A0B26"/>
    <w:rsid w:val="001C508D"/>
    <w:rsid w:val="001D0101"/>
    <w:rsid w:val="001E4EBA"/>
    <w:rsid w:val="001F54A8"/>
    <w:rsid w:val="002013A2"/>
    <w:rsid w:val="002049F7"/>
    <w:rsid w:val="00216649"/>
    <w:rsid w:val="00232B49"/>
    <w:rsid w:val="00242087"/>
    <w:rsid w:val="00244758"/>
    <w:rsid w:val="002471C0"/>
    <w:rsid w:val="00247830"/>
    <w:rsid w:val="0025169D"/>
    <w:rsid w:val="002529A4"/>
    <w:rsid w:val="002618FB"/>
    <w:rsid w:val="00262DCD"/>
    <w:rsid w:val="0026396E"/>
    <w:rsid w:val="00264DF3"/>
    <w:rsid w:val="002940FA"/>
    <w:rsid w:val="002A29E5"/>
    <w:rsid w:val="002B03EB"/>
    <w:rsid w:val="002B60DF"/>
    <w:rsid w:val="002C4857"/>
    <w:rsid w:val="002C7729"/>
    <w:rsid w:val="002E27E0"/>
    <w:rsid w:val="002F07DF"/>
    <w:rsid w:val="002F4533"/>
    <w:rsid w:val="00320AAB"/>
    <w:rsid w:val="0032628E"/>
    <w:rsid w:val="00327DCE"/>
    <w:rsid w:val="003328C9"/>
    <w:rsid w:val="00332B8A"/>
    <w:rsid w:val="00342CA7"/>
    <w:rsid w:val="00346947"/>
    <w:rsid w:val="0035103E"/>
    <w:rsid w:val="00351F16"/>
    <w:rsid w:val="00356CA1"/>
    <w:rsid w:val="0036206A"/>
    <w:rsid w:val="003675CC"/>
    <w:rsid w:val="0037254E"/>
    <w:rsid w:val="00372797"/>
    <w:rsid w:val="003761A8"/>
    <w:rsid w:val="003803F7"/>
    <w:rsid w:val="003B0185"/>
    <w:rsid w:val="003B110C"/>
    <w:rsid w:val="003B676F"/>
    <w:rsid w:val="003C697F"/>
    <w:rsid w:val="003E194B"/>
    <w:rsid w:val="003E33E6"/>
    <w:rsid w:val="003F75FA"/>
    <w:rsid w:val="00421AD1"/>
    <w:rsid w:val="004311D9"/>
    <w:rsid w:val="004357E9"/>
    <w:rsid w:val="00435CBB"/>
    <w:rsid w:val="00441CC0"/>
    <w:rsid w:val="0046506F"/>
    <w:rsid w:val="00467125"/>
    <w:rsid w:val="0048124D"/>
    <w:rsid w:val="00481F21"/>
    <w:rsid w:val="00481F27"/>
    <w:rsid w:val="00483B76"/>
    <w:rsid w:val="0049468A"/>
    <w:rsid w:val="004B1B06"/>
    <w:rsid w:val="004C5ACB"/>
    <w:rsid w:val="004F3D15"/>
    <w:rsid w:val="004F41E6"/>
    <w:rsid w:val="004F5648"/>
    <w:rsid w:val="00506D37"/>
    <w:rsid w:val="00507DBD"/>
    <w:rsid w:val="00525EF1"/>
    <w:rsid w:val="00537604"/>
    <w:rsid w:val="00540567"/>
    <w:rsid w:val="00563E3A"/>
    <w:rsid w:val="00571EBC"/>
    <w:rsid w:val="005723F5"/>
    <w:rsid w:val="005812A2"/>
    <w:rsid w:val="00587C01"/>
    <w:rsid w:val="00590942"/>
    <w:rsid w:val="005A15B2"/>
    <w:rsid w:val="005A2FF1"/>
    <w:rsid w:val="005A3221"/>
    <w:rsid w:val="005A6C11"/>
    <w:rsid w:val="005B299A"/>
    <w:rsid w:val="005C1495"/>
    <w:rsid w:val="005C4794"/>
    <w:rsid w:val="005D08D3"/>
    <w:rsid w:val="005F122E"/>
    <w:rsid w:val="005F421A"/>
    <w:rsid w:val="00603121"/>
    <w:rsid w:val="00624608"/>
    <w:rsid w:val="00627D9E"/>
    <w:rsid w:val="00631981"/>
    <w:rsid w:val="00642B2A"/>
    <w:rsid w:val="00650AC6"/>
    <w:rsid w:val="00651345"/>
    <w:rsid w:val="00664DA6"/>
    <w:rsid w:val="00692FB2"/>
    <w:rsid w:val="006A0260"/>
    <w:rsid w:val="006A282B"/>
    <w:rsid w:val="006B2C59"/>
    <w:rsid w:val="006D69C8"/>
    <w:rsid w:val="006F750C"/>
    <w:rsid w:val="0072498E"/>
    <w:rsid w:val="007317E3"/>
    <w:rsid w:val="0073281A"/>
    <w:rsid w:val="007334C0"/>
    <w:rsid w:val="00741DEE"/>
    <w:rsid w:val="00743F28"/>
    <w:rsid w:val="00747C94"/>
    <w:rsid w:val="00781179"/>
    <w:rsid w:val="00781B42"/>
    <w:rsid w:val="007A68DD"/>
    <w:rsid w:val="007B594D"/>
    <w:rsid w:val="007C7E42"/>
    <w:rsid w:val="007E37AF"/>
    <w:rsid w:val="007F0151"/>
    <w:rsid w:val="007F2FA6"/>
    <w:rsid w:val="007F3CD6"/>
    <w:rsid w:val="007F768C"/>
    <w:rsid w:val="00800404"/>
    <w:rsid w:val="008203BC"/>
    <w:rsid w:val="00831C4F"/>
    <w:rsid w:val="008457E7"/>
    <w:rsid w:val="00852ABF"/>
    <w:rsid w:val="008536B8"/>
    <w:rsid w:val="00871402"/>
    <w:rsid w:val="00875AB0"/>
    <w:rsid w:val="008A1CB8"/>
    <w:rsid w:val="008C04D8"/>
    <w:rsid w:val="008C4ED7"/>
    <w:rsid w:val="008C63F1"/>
    <w:rsid w:val="008D0F2C"/>
    <w:rsid w:val="008D69DB"/>
    <w:rsid w:val="008D7168"/>
    <w:rsid w:val="0090322F"/>
    <w:rsid w:val="0090734F"/>
    <w:rsid w:val="00910A7D"/>
    <w:rsid w:val="00911E6B"/>
    <w:rsid w:val="0093063A"/>
    <w:rsid w:val="00940824"/>
    <w:rsid w:val="00954D40"/>
    <w:rsid w:val="00956B03"/>
    <w:rsid w:val="009667D7"/>
    <w:rsid w:val="009679BC"/>
    <w:rsid w:val="0097106D"/>
    <w:rsid w:val="009741F4"/>
    <w:rsid w:val="0099100F"/>
    <w:rsid w:val="0099109D"/>
    <w:rsid w:val="009954A3"/>
    <w:rsid w:val="009A3A0D"/>
    <w:rsid w:val="009B1608"/>
    <w:rsid w:val="009D32F5"/>
    <w:rsid w:val="009D7189"/>
    <w:rsid w:val="009E1B73"/>
    <w:rsid w:val="009E2087"/>
    <w:rsid w:val="009F3128"/>
    <w:rsid w:val="009F3532"/>
    <w:rsid w:val="00A05325"/>
    <w:rsid w:val="00A076CB"/>
    <w:rsid w:val="00A078B7"/>
    <w:rsid w:val="00A23556"/>
    <w:rsid w:val="00A316CB"/>
    <w:rsid w:val="00A52031"/>
    <w:rsid w:val="00A574D3"/>
    <w:rsid w:val="00A60ACC"/>
    <w:rsid w:val="00A75564"/>
    <w:rsid w:val="00AD5355"/>
    <w:rsid w:val="00AE73B7"/>
    <w:rsid w:val="00AF0DA5"/>
    <w:rsid w:val="00B001E6"/>
    <w:rsid w:val="00B22088"/>
    <w:rsid w:val="00B537F0"/>
    <w:rsid w:val="00B67C2E"/>
    <w:rsid w:val="00B83B44"/>
    <w:rsid w:val="00B950D1"/>
    <w:rsid w:val="00BA0D84"/>
    <w:rsid w:val="00BA305C"/>
    <w:rsid w:val="00BA3B83"/>
    <w:rsid w:val="00BB1A20"/>
    <w:rsid w:val="00BB2D75"/>
    <w:rsid w:val="00BD0DAD"/>
    <w:rsid w:val="00BD4DFD"/>
    <w:rsid w:val="00BD5DFE"/>
    <w:rsid w:val="00BF59D9"/>
    <w:rsid w:val="00BF6C2D"/>
    <w:rsid w:val="00C03A05"/>
    <w:rsid w:val="00C10005"/>
    <w:rsid w:val="00C112AF"/>
    <w:rsid w:val="00C127F7"/>
    <w:rsid w:val="00C13BE7"/>
    <w:rsid w:val="00C152B0"/>
    <w:rsid w:val="00C25897"/>
    <w:rsid w:val="00C2663C"/>
    <w:rsid w:val="00C41CA6"/>
    <w:rsid w:val="00C471B7"/>
    <w:rsid w:val="00C733EB"/>
    <w:rsid w:val="00C7538C"/>
    <w:rsid w:val="00C82E06"/>
    <w:rsid w:val="00C86B81"/>
    <w:rsid w:val="00C97DF9"/>
    <w:rsid w:val="00CA567F"/>
    <w:rsid w:val="00CB0741"/>
    <w:rsid w:val="00CB359E"/>
    <w:rsid w:val="00CC037D"/>
    <w:rsid w:val="00CD4D5C"/>
    <w:rsid w:val="00CF7342"/>
    <w:rsid w:val="00D10DAD"/>
    <w:rsid w:val="00D22768"/>
    <w:rsid w:val="00D31EC4"/>
    <w:rsid w:val="00D44E57"/>
    <w:rsid w:val="00D465F2"/>
    <w:rsid w:val="00D65420"/>
    <w:rsid w:val="00D667BE"/>
    <w:rsid w:val="00D71EF8"/>
    <w:rsid w:val="00D7570F"/>
    <w:rsid w:val="00D75C07"/>
    <w:rsid w:val="00D92574"/>
    <w:rsid w:val="00D92D4D"/>
    <w:rsid w:val="00D92E5E"/>
    <w:rsid w:val="00E01E30"/>
    <w:rsid w:val="00E05CF8"/>
    <w:rsid w:val="00E37A07"/>
    <w:rsid w:val="00E40EA0"/>
    <w:rsid w:val="00E60B02"/>
    <w:rsid w:val="00E66DA0"/>
    <w:rsid w:val="00E7565C"/>
    <w:rsid w:val="00E82911"/>
    <w:rsid w:val="00E8579B"/>
    <w:rsid w:val="00EA41E8"/>
    <w:rsid w:val="00EC17F7"/>
    <w:rsid w:val="00EC75D5"/>
    <w:rsid w:val="00ED028E"/>
    <w:rsid w:val="00ED1B67"/>
    <w:rsid w:val="00EF2A9F"/>
    <w:rsid w:val="00EF4160"/>
    <w:rsid w:val="00EF5CBF"/>
    <w:rsid w:val="00F11FB2"/>
    <w:rsid w:val="00F12305"/>
    <w:rsid w:val="00F13F78"/>
    <w:rsid w:val="00F23452"/>
    <w:rsid w:val="00F250F3"/>
    <w:rsid w:val="00F406A1"/>
    <w:rsid w:val="00F61532"/>
    <w:rsid w:val="00F71B15"/>
    <w:rsid w:val="00F82A50"/>
    <w:rsid w:val="00F878E3"/>
    <w:rsid w:val="00F93CEE"/>
    <w:rsid w:val="00F9656E"/>
    <w:rsid w:val="00FA4774"/>
    <w:rsid w:val="00FB1AA3"/>
    <w:rsid w:val="00FC41DA"/>
    <w:rsid w:val="00FE0238"/>
    <w:rsid w:val="00FE035F"/>
    <w:rsid w:val="00FE36DB"/>
    <w:rsid w:val="00FF1708"/>
    <w:rsid w:val="00FF3059"/>
    <w:rsid w:val="00FF498E"/>
    <w:rsid w:val="00FF68E9"/>
    <w:rsid w:val="00FF6E2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1AD7"/>
  <w15:docId w15:val="{0907252B-C4A4-4A51-99BE-F641EA1B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3E6"/>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E6"/>
    <w:pPr>
      <w:numPr>
        <w:numId w:val="1"/>
      </w:numPr>
      <w:suppressAutoHyphens/>
    </w:pPr>
    <w:rPr>
      <w:rFonts w:cs="Times New Roman"/>
    </w:rPr>
  </w:style>
  <w:style w:type="table" w:styleId="TableGrid">
    <w:name w:val="Table Grid"/>
    <w:basedOn w:val="TableNormal"/>
    <w:uiPriority w:val="59"/>
    <w:rsid w:val="003E33E6"/>
    <w:pPr>
      <w:spacing w:after="0" w:line="240" w:lineRule="auto"/>
      <w:ind w:left="425" w:hanging="425"/>
    </w:pPr>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B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0260"/>
    <w:rPr>
      <w:sz w:val="16"/>
      <w:szCs w:val="16"/>
    </w:rPr>
  </w:style>
  <w:style w:type="paragraph" w:styleId="CommentText">
    <w:name w:val="annotation text"/>
    <w:basedOn w:val="Normal"/>
    <w:link w:val="CommentTextChar"/>
    <w:uiPriority w:val="99"/>
    <w:semiHidden/>
    <w:unhideWhenUsed/>
    <w:rsid w:val="006A0260"/>
    <w:rPr>
      <w:sz w:val="20"/>
      <w:szCs w:val="20"/>
    </w:rPr>
  </w:style>
  <w:style w:type="character" w:customStyle="1" w:styleId="CommentTextChar">
    <w:name w:val="Comment Text Char"/>
    <w:basedOn w:val="DefaultParagraphFont"/>
    <w:link w:val="CommentText"/>
    <w:uiPriority w:val="99"/>
    <w:semiHidden/>
    <w:rsid w:val="006A026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6A0260"/>
    <w:rPr>
      <w:b/>
      <w:bCs/>
    </w:rPr>
  </w:style>
  <w:style w:type="character" w:customStyle="1" w:styleId="CommentSubjectChar">
    <w:name w:val="Comment Subject Char"/>
    <w:basedOn w:val="CommentTextChar"/>
    <w:link w:val="CommentSubject"/>
    <w:uiPriority w:val="99"/>
    <w:semiHidden/>
    <w:rsid w:val="006A0260"/>
    <w:rPr>
      <w:rFonts w:ascii="Calibri" w:eastAsia="Calibri" w:hAnsi="Calibri"/>
      <w:b/>
      <w:bCs/>
      <w:sz w:val="20"/>
      <w:szCs w:val="20"/>
    </w:rPr>
  </w:style>
  <w:style w:type="character" w:styleId="Hyperlink">
    <w:name w:val="Hyperlink"/>
    <w:basedOn w:val="DefaultParagraphFont"/>
    <w:uiPriority w:val="99"/>
    <w:unhideWhenUsed/>
    <w:rsid w:val="009D32F5"/>
    <w:rPr>
      <w:b w:val="0"/>
      <w:bCs w:val="0"/>
      <w:color w:val="000000"/>
      <w:u w:val="single"/>
    </w:rPr>
  </w:style>
  <w:style w:type="paragraph" w:styleId="Revision">
    <w:name w:val="Revision"/>
    <w:hidden/>
    <w:uiPriority w:val="99"/>
    <w:semiHidden/>
    <w:rsid w:val="0011698C"/>
    <w:pPr>
      <w:spacing w:after="0" w:line="240" w:lineRule="auto"/>
    </w:pPr>
    <w:rPr>
      <w:rFonts w:ascii="Calibri" w:eastAsia="Calibri" w:hAnsi="Calibri"/>
    </w:rPr>
  </w:style>
  <w:style w:type="character" w:customStyle="1" w:styleId="UnresolvedMention1">
    <w:name w:val="Unresolved Mention1"/>
    <w:basedOn w:val="DefaultParagraphFont"/>
    <w:uiPriority w:val="99"/>
    <w:semiHidden/>
    <w:unhideWhenUsed/>
    <w:rsid w:val="002F07DF"/>
    <w:rPr>
      <w:color w:val="808080"/>
      <w:shd w:val="clear" w:color="auto" w:fill="E6E6E6"/>
    </w:rPr>
  </w:style>
  <w:style w:type="paragraph" w:styleId="Header">
    <w:name w:val="header"/>
    <w:basedOn w:val="Normal"/>
    <w:link w:val="HeaderChar"/>
    <w:uiPriority w:val="99"/>
    <w:unhideWhenUsed/>
    <w:rsid w:val="00D65420"/>
    <w:pPr>
      <w:tabs>
        <w:tab w:val="center" w:pos="4513"/>
        <w:tab w:val="right" w:pos="9026"/>
      </w:tabs>
    </w:pPr>
  </w:style>
  <w:style w:type="character" w:customStyle="1" w:styleId="HeaderChar">
    <w:name w:val="Header Char"/>
    <w:basedOn w:val="DefaultParagraphFont"/>
    <w:link w:val="Header"/>
    <w:uiPriority w:val="99"/>
    <w:rsid w:val="00D65420"/>
    <w:rPr>
      <w:rFonts w:ascii="Calibri" w:eastAsia="Calibri" w:hAnsi="Calibri"/>
    </w:rPr>
  </w:style>
  <w:style w:type="paragraph" w:styleId="Footer">
    <w:name w:val="footer"/>
    <w:basedOn w:val="Normal"/>
    <w:link w:val="FooterChar"/>
    <w:uiPriority w:val="99"/>
    <w:unhideWhenUsed/>
    <w:rsid w:val="00D65420"/>
    <w:pPr>
      <w:tabs>
        <w:tab w:val="center" w:pos="4513"/>
        <w:tab w:val="right" w:pos="9026"/>
      </w:tabs>
    </w:pPr>
  </w:style>
  <w:style w:type="character" w:customStyle="1" w:styleId="FooterChar">
    <w:name w:val="Footer Char"/>
    <w:basedOn w:val="DefaultParagraphFont"/>
    <w:link w:val="Footer"/>
    <w:uiPriority w:val="99"/>
    <w:rsid w:val="00D65420"/>
    <w:rPr>
      <w:rFonts w:ascii="Calibri" w:eastAsia="Calibri" w:hAnsi="Calibri"/>
    </w:rPr>
  </w:style>
  <w:style w:type="paragraph" w:customStyle="1" w:styleId="Default">
    <w:name w:val="Default"/>
    <w:rsid w:val="002A29E5"/>
    <w:pPr>
      <w:autoSpaceDE w:val="0"/>
      <w:autoSpaceDN w:val="0"/>
      <w:adjustRightInd w:val="0"/>
      <w:spacing w:after="0" w:line="240" w:lineRule="auto"/>
    </w:pPr>
    <w:rPr>
      <w:rFonts w:ascii="Garamond" w:eastAsia="Calibri"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6609">
      <w:bodyDiv w:val="1"/>
      <w:marLeft w:val="0"/>
      <w:marRight w:val="0"/>
      <w:marTop w:val="0"/>
      <w:marBottom w:val="0"/>
      <w:divBdr>
        <w:top w:val="none" w:sz="0" w:space="0" w:color="auto"/>
        <w:left w:val="none" w:sz="0" w:space="0" w:color="auto"/>
        <w:bottom w:val="none" w:sz="0" w:space="0" w:color="auto"/>
        <w:right w:val="none" w:sz="0" w:space="0" w:color="auto"/>
      </w:divBdr>
    </w:div>
    <w:div w:id="618494917">
      <w:bodyDiv w:val="1"/>
      <w:marLeft w:val="0"/>
      <w:marRight w:val="0"/>
      <w:marTop w:val="0"/>
      <w:marBottom w:val="0"/>
      <w:divBdr>
        <w:top w:val="none" w:sz="0" w:space="0" w:color="auto"/>
        <w:left w:val="none" w:sz="0" w:space="0" w:color="auto"/>
        <w:bottom w:val="none" w:sz="0" w:space="0" w:color="auto"/>
        <w:right w:val="none" w:sz="0" w:space="0" w:color="auto"/>
      </w:divBdr>
    </w:div>
    <w:div w:id="1350447237">
      <w:bodyDiv w:val="1"/>
      <w:marLeft w:val="0"/>
      <w:marRight w:val="0"/>
      <w:marTop w:val="0"/>
      <w:marBottom w:val="0"/>
      <w:divBdr>
        <w:top w:val="none" w:sz="0" w:space="0" w:color="auto"/>
        <w:left w:val="none" w:sz="0" w:space="0" w:color="auto"/>
        <w:bottom w:val="none" w:sz="0" w:space="0" w:color="auto"/>
        <w:right w:val="none" w:sz="0" w:space="0" w:color="auto"/>
      </w:divBdr>
    </w:div>
    <w:div w:id="18007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7AD9-8AFB-49C3-81EE-CF58567F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 Humood Al Mheiri</dc:creator>
  <cp:lastModifiedBy>JENNINGS Edmund</cp:lastModifiedBy>
  <cp:revision>2</cp:revision>
  <cp:lastPrinted>2018-01-31T12:54:00Z</cp:lastPrinted>
  <dcterms:created xsi:type="dcterms:W3CDTF">2018-10-27T16:57:00Z</dcterms:created>
  <dcterms:modified xsi:type="dcterms:W3CDTF">2018-10-27T16:57:00Z</dcterms:modified>
</cp:coreProperties>
</file>