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6F155" w14:textId="02AF19D2" w:rsidR="00517C51" w:rsidRPr="00667A14" w:rsidRDefault="00517C51" w:rsidP="00CC5AE4">
      <w:pPr>
        <w:spacing w:after="0" w:line="240" w:lineRule="auto"/>
        <w:ind w:right="17"/>
        <w:jc w:val="center"/>
        <w:outlineLvl w:val="0"/>
        <w:rPr>
          <w:rFonts w:asciiTheme="majorHAnsi" w:hAnsiTheme="majorHAnsi"/>
          <w:b/>
          <w:sz w:val="24"/>
          <w:lang w:val="es-ES_tradnl"/>
        </w:rPr>
      </w:pPr>
      <w:r w:rsidRPr="00667A14">
        <w:rPr>
          <w:rFonts w:asciiTheme="majorHAnsi" w:eastAsia="Times New Roman" w:hAnsiTheme="majorHAnsi" w:cstheme="majorHAnsi"/>
          <w:b/>
          <w:bCs/>
          <w:noProof/>
          <w:sz w:val="28"/>
          <w:szCs w:val="28"/>
          <w:lang w:val="en-US" w:eastAsia="zh-CN"/>
        </w:rPr>
        <w:drawing>
          <wp:anchor distT="0" distB="0" distL="114300" distR="114300" simplePos="0" relativeHeight="251658240" behindDoc="1" locked="0" layoutInCell="1" allowOverlap="1" wp14:anchorId="345E6AC1" wp14:editId="25323226">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667A14">
        <w:rPr>
          <w:rFonts w:asciiTheme="majorHAnsi" w:eastAsia="Times New Roman" w:hAnsiTheme="majorHAnsi" w:cstheme="majorHAnsi"/>
          <w:b/>
          <w:bCs/>
          <w:sz w:val="24"/>
          <w:szCs w:val="24"/>
          <w:lang w:val="es-ES_tradnl"/>
        </w:rPr>
        <w:t>13</w:t>
      </w:r>
      <w:r w:rsidR="002C5ABB">
        <w:rPr>
          <w:rFonts w:asciiTheme="majorHAnsi" w:eastAsia="Times New Roman" w:hAnsiTheme="majorHAnsi" w:cstheme="majorHAnsi"/>
          <w:b/>
          <w:bCs/>
          <w:sz w:val="24"/>
          <w:szCs w:val="24"/>
          <w:lang w:val="es-ES_tradnl"/>
        </w:rPr>
        <w:t>ª</w:t>
      </w:r>
      <w:r w:rsidRPr="00667A14">
        <w:rPr>
          <w:rFonts w:asciiTheme="majorHAnsi" w:hAnsiTheme="majorHAnsi"/>
          <w:b/>
          <w:sz w:val="24"/>
          <w:lang w:val="es-ES_tradnl"/>
        </w:rPr>
        <w:t xml:space="preserve"> </w:t>
      </w:r>
      <w:r w:rsidR="00B163D6" w:rsidRPr="00667A14">
        <w:rPr>
          <w:rFonts w:asciiTheme="majorHAnsi" w:hAnsiTheme="majorHAnsi"/>
          <w:b/>
          <w:sz w:val="24"/>
          <w:lang w:val="es-ES_tradnl"/>
        </w:rPr>
        <w:t>Reunión de la Conferencia de las Partes Contratantes</w:t>
      </w:r>
    </w:p>
    <w:p w14:paraId="46C2438E" w14:textId="77777777" w:rsidR="00B163D6" w:rsidRPr="00667A14" w:rsidRDefault="00B163D6" w:rsidP="00B163D6">
      <w:pPr>
        <w:ind w:right="17"/>
        <w:jc w:val="center"/>
        <w:outlineLvl w:val="0"/>
        <w:rPr>
          <w:rFonts w:asciiTheme="majorHAnsi" w:eastAsia="Times New Roman" w:hAnsiTheme="majorHAnsi" w:cstheme="majorHAnsi"/>
          <w:b/>
          <w:bCs/>
          <w:sz w:val="24"/>
          <w:szCs w:val="24"/>
          <w:lang w:val="es-ES_tradnl"/>
        </w:rPr>
      </w:pPr>
      <w:r w:rsidRPr="00667A14">
        <w:rPr>
          <w:rFonts w:asciiTheme="majorHAnsi" w:eastAsia="Times New Roman" w:hAnsiTheme="majorHAnsi" w:cstheme="majorHAnsi"/>
          <w:b/>
          <w:bCs/>
          <w:sz w:val="24"/>
          <w:szCs w:val="24"/>
          <w:lang w:val="es-ES_tradnl"/>
        </w:rPr>
        <w:t>en la Convención de Ramsar sobre los Humedales</w:t>
      </w:r>
    </w:p>
    <w:p w14:paraId="67DB3996" w14:textId="020628FD" w:rsidR="00517C51" w:rsidRPr="00667A14" w:rsidRDefault="00517C51" w:rsidP="005D5E85">
      <w:pPr>
        <w:spacing w:after="0" w:line="240" w:lineRule="auto"/>
        <w:ind w:right="17"/>
        <w:jc w:val="center"/>
        <w:outlineLvl w:val="0"/>
        <w:rPr>
          <w:rFonts w:asciiTheme="majorHAnsi" w:eastAsia="Times New Roman" w:hAnsiTheme="majorHAnsi" w:cstheme="majorHAnsi"/>
          <w:b/>
          <w:bCs/>
          <w:sz w:val="24"/>
          <w:szCs w:val="24"/>
          <w:lang w:val="es-ES_tradnl"/>
        </w:rPr>
      </w:pPr>
      <w:r w:rsidRPr="00667A14">
        <w:rPr>
          <w:rFonts w:asciiTheme="majorHAnsi" w:eastAsia="Times New Roman" w:hAnsiTheme="majorHAnsi" w:cstheme="majorHAnsi"/>
          <w:b/>
          <w:bCs/>
          <w:sz w:val="24"/>
          <w:szCs w:val="24"/>
          <w:lang w:val="es-ES_tradnl"/>
        </w:rPr>
        <w:t>“</w:t>
      </w:r>
      <w:r w:rsidR="00B163D6" w:rsidRPr="00667A14">
        <w:rPr>
          <w:rFonts w:asciiTheme="majorHAnsi" w:eastAsia="Times New Roman" w:hAnsiTheme="majorHAnsi" w:cstheme="majorHAnsi"/>
          <w:b/>
          <w:bCs/>
          <w:sz w:val="24"/>
          <w:szCs w:val="24"/>
          <w:lang w:val="es-ES_tradnl"/>
        </w:rPr>
        <w:t>Humedales para un futuro urbano sostenible</w:t>
      </w:r>
      <w:r w:rsidRPr="00667A14">
        <w:rPr>
          <w:rFonts w:asciiTheme="majorHAnsi" w:eastAsia="Times New Roman" w:hAnsiTheme="majorHAnsi" w:cstheme="majorHAnsi"/>
          <w:b/>
          <w:bCs/>
          <w:sz w:val="24"/>
          <w:szCs w:val="24"/>
          <w:lang w:val="es-ES_tradnl"/>
        </w:rPr>
        <w:t>”</w:t>
      </w:r>
    </w:p>
    <w:p w14:paraId="6FD1B3E6" w14:textId="77777777" w:rsidR="00B163D6" w:rsidRPr="00667A14" w:rsidRDefault="00B163D6" w:rsidP="005D5E85">
      <w:pPr>
        <w:spacing w:after="0" w:line="240" w:lineRule="auto"/>
        <w:ind w:right="17"/>
        <w:jc w:val="center"/>
        <w:outlineLvl w:val="0"/>
        <w:rPr>
          <w:rFonts w:asciiTheme="majorHAnsi" w:eastAsia="Times New Roman" w:hAnsiTheme="majorHAnsi" w:cstheme="majorHAnsi"/>
          <w:b/>
          <w:bCs/>
          <w:sz w:val="24"/>
          <w:szCs w:val="24"/>
          <w:lang w:val="es-ES_tradnl"/>
        </w:rPr>
      </w:pPr>
      <w:r w:rsidRPr="00667A14">
        <w:rPr>
          <w:rFonts w:asciiTheme="majorHAnsi" w:eastAsia="Times New Roman" w:hAnsiTheme="majorHAnsi" w:cstheme="majorHAnsi"/>
          <w:b/>
          <w:bCs/>
          <w:sz w:val="24"/>
          <w:szCs w:val="24"/>
          <w:lang w:val="es-ES_tradnl"/>
        </w:rPr>
        <w:t>Dubái, Emiratos Árabes Unidos</w:t>
      </w:r>
      <w:r w:rsidR="00517C51" w:rsidRPr="00667A14">
        <w:rPr>
          <w:rFonts w:asciiTheme="majorHAnsi" w:eastAsia="Times New Roman" w:hAnsiTheme="majorHAnsi" w:cstheme="majorHAnsi"/>
          <w:b/>
          <w:bCs/>
          <w:sz w:val="24"/>
          <w:szCs w:val="24"/>
          <w:lang w:val="es-ES_tradnl"/>
        </w:rPr>
        <w:t xml:space="preserve">, </w:t>
      </w:r>
    </w:p>
    <w:p w14:paraId="603D1385" w14:textId="3D4B526C" w:rsidR="00517C51" w:rsidRPr="00667A14" w:rsidRDefault="00B163D6" w:rsidP="005D5E85">
      <w:pPr>
        <w:spacing w:after="0" w:line="240" w:lineRule="auto"/>
        <w:ind w:right="17"/>
        <w:jc w:val="center"/>
        <w:outlineLvl w:val="0"/>
        <w:rPr>
          <w:rFonts w:asciiTheme="majorHAnsi" w:eastAsia="Times New Roman" w:hAnsiTheme="majorHAnsi" w:cstheme="majorHAnsi"/>
          <w:b/>
          <w:bCs/>
          <w:sz w:val="24"/>
          <w:szCs w:val="24"/>
          <w:lang w:val="es-ES_tradnl"/>
        </w:rPr>
      </w:pPr>
      <w:r w:rsidRPr="00667A14">
        <w:rPr>
          <w:rFonts w:asciiTheme="majorHAnsi" w:eastAsia="Times New Roman" w:hAnsiTheme="majorHAnsi" w:cstheme="majorHAnsi"/>
          <w:b/>
          <w:bCs/>
          <w:sz w:val="24"/>
          <w:szCs w:val="24"/>
          <w:lang w:val="es-ES_tradnl"/>
        </w:rPr>
        <w:t>21 a 29 de octubre de 2018</w:t>
      </w:r>
    </w:p>
    <w:p w14:paraId="2222C1F7" w14:textId="77777777" w:rsidR="00517C51" w:rsidRPr="00667A14" w:rsidRDefault="00517C51" w:rsidP="005D5E85">
      <w:pPr>
        <w:spacing w:after="0" w:line="240" w:lineRule="auto"/>
        <w:ind w:right="17"/>
        <w:jc w:val="center"/>
        <w:outlineLvl w:val="0"/>
        <w:rPr>
          <w:rFonts w:asciiTheme="majorHAnsi" w:eastAsia="Times New Roman" w:hAnsiTheme="majorHAnsi" w:cstheme="majorHAnsi"/>
          <w:b/>
          <w:bCs/>
          <w:sz w:val="28"/>
          <w:szCs w:val="28"/>
          <w:lang w:val="es-ES_tradnl"/>
        </w:rPr>
      </w:pPr>
    </w:p>
    <w:p w14:paraId="2A77E2BE" w14:textId="77777777" w:rsidR="00517C51" w:rsidRPr="00667A14" w:rsidRDefault="00517C51" w:rsidP="005D5E85">
      <w:pPr>
        <w:spacing w:after="0" w:line="240" w:lineRule="auto"/>
        <w:ind w:right="17"/>
        <w:jc w:val="center"/>
        <w:outlineLvl w:val="0"/>
        <w:rPr>
          <w:rFonts w:asciiTheme="majorHAnsi" w:eastAsia="Times New Roman" w:hAnsiTheme="majorHAns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3F6867" w:rsidRPr="00667A14" w14:paraId="2BD18FF9" w14:textId="77777777" w:rsidTr="0040519D">
        <w:tc>
          <w:tcPr>
            <w:tcW w:w="9360" w:type="dxa"/>
          </w:tcPr>
          <w:p w14:paraId="137C8A47" w14:textId="6AB2AE66" w:rsidR="003F6867" w:rsidRPr="00667A14" w:rsidRDefault="003F6867" w:rsidP="00DB4BF5">
            <w:pPr>
              <w:spacing w:after="0" w:line="240" w:lineRule="auto"/>
              <w:ind w:right="67"/>
              <w:jc w:val="right"/>
              <w:outlineLvl w:val="0"/>
              <w:rPr>
                <w:rFonts w:asciiTheme="majorHAnsi" w:eastAsia="Times New Roman" w:hAnsiTheme="majorHAnsi" w:cstheme="majorHAnsi"/>
                <w:b/>
                <w:bCs/>
                <w:sz w:val="24"/>
                <w:szCs w:val="24"/>
                <w:lang w:val="es-ES_tradnl"/>
              </w:rPr>
            </w:pPr>
            <w:r w:rsidRPr="0002232D">
              <w:rPr>
                <w:rFonts w:asciiTheme="majorHAnsi" w:eastAsia="Times New Roman" w:hAnsiTheme="majorHAnsi" w:cstheme="majorHAnsi"/>
                <w:b/>
                <w:bCs/>
                <w:sz w:val="24"/>
                <w:szCs w:val="24"/>
                <w:lang w:val="es-ES_tradnl"/>
              </w:rPr>
              <w:t>Ramsar COP13 Doc.18.11</w:t>
            </w:r>
            <w:r>
              <w:rPr>
                <w:rFonts w:asciiTheme="majorHAnsi" w:eastAsia="Times New Roman" w:hAnsiTheme="majorHAnsi" w:cstheme="majorHAnsi"/>
                <w:b/>
                <w:bCs/>
                <w:sz w:val="24"/>
                <w:szCs w:val="24"/>
                <w:lang w:val="es-ES_tradnl"/>
              </w:rPr>
              <w:t xml:space="preserve"> Rev.1 </w:t>
            </w:r>
          </w:p>
        </w:tc>
      </w:tr>
    </w:tbl>
    <w:p w14:paraId="218D168E" w14:textId="77777777" w:rsidR="00517C51" w:rsidRPr="00667A14" w:rsidRDefault="00517C51" w:rsidP="005D5E85">
      <w:pPr>
        <w:spacing w:after="0" w:line="240" w:lineRule="auto"/>
        <w:ind w:right="17"/>
        <w:jc w:val="center"/>
        <w:outlineLvl w:val="0"/>
        <w:rPr>
          <w:rFonts w:asciiTheme="majorHAnsi" w:eastAsia="Times New Roman" w:hAnsiTheme="majorHAnsi" w:cstheme="majorHAnsi"/>
          <w:b/>
          <w:bCs/>
          <w:sz w:val="28"/>
          <w:szCs w:val="28"/>
          <w:lang w:val="es-ES_tradnl"/>
        </w:rPr>
      </w:pPr>
    </w:p>
    <w:p w14:paraId="664716AF" w14:textId="255A9D1D" w:rsidR="000C3B6E" w:rsidRPr="00667A14" w:rsidRDefault="00B163D6" w:rsidP="00A52CEB">
      <w:pPr>
        <w:spacing w:after="0" w:line="240" w:lineRule="auto"/>
        <w:ind w:right="17"/>
        <w:jc w:val="center"/>
        <w:outlineLvl w:val="0"/>
        <w:rPr>
          <w:rFonts w:asciiTheme="majorHAnsi" w:hAnsiTheme="majorHAnsi"/>
          <w:b/>
          <w:sz w:val="28"/>
          <w:lang w:val="es-ES_tradnl"/>
        </w:rPr>
      </w:pPr>
      <w:r w:rsidRPr="00667A14">
        <w:rPr>
          <w:rFonts w:asciiTheme="majorHAnsi" w:hAnsiTheme="majorHAnsi"/>
          <w:b/>
          <w:sz w:val="28"/>
          <w:lang w:val="es-ES_tradnl"/>
        </w:rPr>
        <w:t xml:space="preserve">Proyecto de resolución </w:t>
      </w:r>
      <w:r w:rsidR="0002232D">
        <w:rPr>
          <w:rFonts w:asciiTheme="majorHAnsi" w:eastAsia="Times New Roman" w:hAnsiTheme="majorHAnsi" w:cstheme="majorHAnsi"/>
          <w:b/>
          <w:bCs/>
          <w:sz w:val="28"/>
          <w:szCs w:val="28"/>
          <w:lang w:val="es-ES_tradnl"/>
        </w:rPr>
        <w:t xml:space="preserve">sobre las </w:t>
      </w:r>
      <w:r w:rsidR="00A52CEB" w:rsidRPr="00667A14">
        <w:rPr>
          <w:rFonts w:asciiTheme="majorHAnsi" w:hAnsiTheme="majorHAnsi"/>
          <w:b/>
          <w:sz w:val="28"/>
          <w:lang w:val="es-ES_tradnl"/>
        </w:rPr>
        <w:t>Misiones Ramsar de Asesoramiento</w:t>
      </w:r>
    </w:p>
    <w:p w14:paraId="3230244C" w14:textId="77777777" w:rsidR="00E203C7" w:rsidRPr="00667A14" w:rsidRDefault="00E203C7" w:rsidP="00A52CEB">
      <w:pPr>
        <w:spacing w:after="0" w:line="240" w:lineRule="auto"/>
        <w:ind w:right="17"/>
        <w:jc w:val="center"/>
        <w:outlineLvl w:val="0"/>
        <w:rPr>
          <w:rFonts w:asciiTheme="majorHAnsi" w:hAnsiTheme="majorHAnsi"/>
          <w:b/>
          <w:sz w:val="28"/>
          <w:lang w:val="es-ES_tradnl"/>
        </w:rPr>
      </w:pPr>
    </w:p>
    <w:p w14:paraId="503E1E86" w14:textId="646BC054" w:rsidR="002058B9" w:rsidRPr="00667A14" w:rsidRDefault="00A52CEB" w:rsidP="00CC5AE4">
      <w:pPr>
        <w:spacing w:after="0" w:line="240" w:lineRule="auto"/>
        <w:ind w:left="425" w:right="16" w:hanging="425"/>
        <w:rPr>
          <w:rFonts w:asciiTheme="majorHAnsi" w:hAnsiTheme="majorHAnsi"/>
          <w:i/>
          <w:lang w:val="es-ES_tradnl"/>
        </w:rPr>
      </w:pPr>
      <w:r w:rsidRPr="00667A14">
        <w:rPr>
          <w:rFonts w:asciiTheme="majorHAnsi" w:hAnsiTheme="majorHAnsi"/>
          <w:i/>
          <w:lang w:val="es-ES_tradnl"/>
        </w:rPr>
        <w:t>Presentado por</w:t>
      </w:r>
      <w:r w:rsidRPr="00667A14">
        <w:rPr>
          <w:rFonts w:asciiTheme="majorHAnsi" w:eastAsia="Times New Roman" w:hAnsiTheme="majorHAnsi" w:cs="Times New Roman"/>
          <w:i/>
          <w:lang w:val="es-ES_tradnl" w:eastAsia="el-GR"/>
        </w:rPr>
        <w:t xml:space="preserve"> </w:t>
      </w:r>
      <w:r w:rsidR="00DB4BF5" w:rsidRPr="00667A14">
        <w:rPr>
          <w:rFonts w:asciiTheme="majorHAnsi" w:hAnsiTheme="majorHAnsi"/>
          <w:i/>
          <w:lang w:val="es-ES_tradnl"/>
        </w:rPr>
        <w:t>Burkina Faso</w:t>
      </w:r>
      <w:r w:rsidR="00250238" w:rsidRPr="00667A14">
        <w:rPr>
          <w:rFonts w:asciiTheme="majorHAnsi" w:eastAsia="Times New Roman" w:hAnsiTheme="majorHAnsi"/>
          <w:i/>
          <w:lang w:val="es-ES_tradnl"/>
        </w:rPr>
        <w:t xml:space="preserve"> </w:t>
      </w:r>
    </w:p>
    <w:p w14:paraId="7A25EA8B" w14:textId="2EEA0E7E" w:rsidR="000E67F8" w:rsidRPr="00667A14" w:rsidRDefault="000E67F8" w:rsidP="00CC5AE4">
      <w:pPr>
        <w:spacing w:after="0" w:line="240" w:lineRule="auto"/>
        <w:ind w:left="425" w:right="16" w:hanging="425"/>
        <w:rPr>
          <w:rFonts w:asciiTheme="majorHAnsi" w:hAnsiTheme="majorHAnsi"/>
          <w:i/>
          <w:lang w:val="es-ES_tradnl"/>
        </w:rPr>
      </w:pPr>
    </w:p>
    <w:p w14:paraId="1BA3DDF8" w14:textId="77777777" w:rsidR="002058B9" w:rsidRPr="00667A14" w:rsidRDefault="002058B9" w:rsidP="00CC5AE4">
      <w:pPr>
        <w:spacing w:after="0" w:line="240" w:lineRule="auto"/>
        <w:ind w:left="425" w:hanging="425"/>
        <w:rPr>
          <w:rFonts w:asciiTheme="majorHAnsi" w:hAnsiTheme="majorHAnsi"/>
          <w:lang w:val="es-ES_tradnl"/>
        </w:rPr>
      </w:pPr>
    </w:p>
    <w:p w14:paraId="78873627" w14:textId="251FB60E"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w:t>
      </w:r>
      <w:r w:rsidRPr="00667A14">
        <w:rPr>
          <w:rFonts w:asciiTheme="majorHAnsi" w:hAnsiTheme="majorHAnsi"/>
          <w:lang w:val="es-ES_tradnl"/>
        </w:rPr>
        <w:tab/>
      </w:r>
      <w:r w:rsidR="00A52CEB" w:rsidRPr="00667A14">
        <w:rPr>
          <w:rFonts w:asciiTheme="majorHAnsi" w:hAnsiTheme="majorHAnsi" w:cs="Arial"/>
          <w:lang w:val="es-ES_tradnl"/>
        </w:rPr>
        <w:t>RECORDANDO la Recomendación 4.7</w:t>
      </w:r>
      <w:r w:rsidR="00B97311">
        <w:rPr>
          <w:rFonts w:asciiTheme="majorHAnsi" w:hAnsiTheme="majorHAnsi" w:cs="Arial"/>
          <w:lang w:val="es-ES_tradnl"/>
        </w:rPr>
        <w:t>,</w:t>
      </w:r>
      <w:r w:rsidR="00A52CEB" w:rsidRPr="00667A14">
        <w:rPr>
          <w:rFonts w:asciiTheme="majorHAnsi" w:hAnsiTheme="majorHAnsi" w:cs="Arial"/>
          <w:lang w:val="es-ES_tradnl"/>
        </w:rPr>
        <w:t xml:space="preserve"> </w:t>
      </w:r>
      <w:r w:rsidR="00B939E9" w:rsidRPr="00667A14">
        <w:rPr>
          <w:rFonts w:asciiTheme="majorHAnsi" w:hAnsiTheme="majorHAnsi" w:cs="Arial"/>
          <w:bCs/>
          <w:lang w:val="es-ES_tradnl"/>
        </w:rPr>
        <w:t>sobre</w:t>
      </w:r>
      <w:r w:rsidR="004D5F00" w:rsidRPr="00667A14">
        <w:rPr>
          <w:rFonts w:asciiTheme="majorHAnsi" w:hAnsiTheme="majorHAnsi" w:cs="Arial"/>
          <w:bCs/>
          <w:lang w:val="es-ES_tradnl"/>
        </w:rPr>
        <w:t xml:space="preserve"> </w:t>
      </w:r>
      <w:r w:rsidR="004D5F00" w:rsidRPr="00667A14">
        <w:rPr>
          <w:rFonts w:asciiTheme="majorHAnsi" w:hAnsiTheme="majorHAnsi" w:cs="Arial"/>
          <w:bCs/>
          <w:i/>
          <w:lang w:val="es-ES_tradnl"/>
        </w:rPr>
        <w:t>Me</w:t>
      </w:r>
      <w:r w:rsidR="00B939E9" w:rsidRPr="00667A14">
        <w:rPr>
          <w:rFonts w:asciiTheme="majorHAnsi" w:hAnsiTheme="majorHAnsi" w:cs="Arial"/>
          <w:bCs/>
          <w:i/>
          <w:lang w:val="es-ES_tradnl"/>
        </w:rPr>
        <w:t>canismos para una mejor aplicación de la Convención de Ramsar</w:t>
      </w:r>
      <w:r w:rsidRPr="00667A14">
        <w:rPr>
          <w:rFonts w:asciiTheme="majorHAnsi" w:hAnsiTheme="majorHAnsi" w:cs="Arial"/>
          <w:bCs/>
          <w:lang w:val="es-ES_tradnl"/>
        </w:rPr>
        <w:t xml:space="preserve">, </w:t>
      </w:r>
      <w:r w:rsidR="00A52CEB" w:rsidRPr="00667A14">
        <w:rPr>
          <w:rFonts w:asciiTheme="majorHAnsi" w:hAnsiTheme="majorHAnsi" w:cs="Arial"/>
          <w:lang w:val="es-ES_tradnl"/>
        </w:rPr>
        <w:t xml:space="preserve">que establece que, en el caso de que haya llegado a conocimiento de la Secretaría que se están produciendo cambios en las características ecológicas de un sitio Ramsar, esta </w:t>
      </w:r>
      <w:r w:rsidR="00700DE5">
        <w:rPr>
          <w:rFonts w:asciiTheme="majorHAnsi" w:hAnsiTheme="majorHAnsi" w:cs="Arial"/>
          <w:lang w:val="es-ES_tradnl"/>
        </w:rPr>
        <w:t xml:space="preserve">deberá </w:t>
      </w:r>
      <w:r w:rsidR="00A52CEB" w:rsidRPr="00667A14">
        <w:rPr>
          <w:rFonts w:asciiTheme="majorHAnsi" w:hAnsiTheme="majorHAnsi" w:cs="Arial"/>
          <w:lang w:val="es-ES_tradnl"/>
        </w:rPr>
        <w:t>propon</w:t>
      </w:r>
      <w:r w:rsidR="00700DE5">
        <w:rPr>
          <w:rFonts w:asciiTheme="majorHAnsi" w:hAnsiTheme="majorHAnsi" w:cs="Arial"/>
          <w:lang w:val="es-ES_tradnl"/>
        </w:rPr>
        <w:t>er</w:t>
      </w:r>
      <w:r w:rsidR="00A52CEB" w:rsidRPr="00667A14">
        <w:rPr>
          <w:rFonts w:asciiTheme="majorHAnsi" w:hAnsiTheme="majorHAnsi" w:cs="Arial"/>
          <w:lang w:val="es-ES_tradnl"/>
        </w:rPr>
        <w:t>, cuando proceda, una Misión Ramsar de Asesoramiento (MRA) para ayudar a las Partes Contratantes a hacer frente a dichos cambios</w:t>
      </w:r>
      <w:r w:rsidRPr="00667A14">
        <w:rPr>
          <w:rFonts w:asciiTheme="majorHAnsi" w:hAnsiTheme="majorHAnsi"/>
          <w:lang w:val="es-ES_tradnl"/>
        </w:rPr>
        <w:t>;</w:t>
      </w:r>
    </w:p>
    <w:p w14:paraId="763565CF" w14:textId="77777777" w:rsidR="00CC00D5" w:rsidRPr="00667A14" w:rsidRDefault="00CC00D5" w:rsidP="00CC5AE4">
      <w:pPr>
        <w:spacing w:after="0" w:line="240" w:lineRule="auto"/>
        <w:ind w:left="425" w:hanging="425"/>
        <w:rPr>
          <w:rFonts w:asciiTheme="majorHAnsi" w:hAnsiTheme="majorHAnsi"/>
          <w:lang w:val="es-ES_tradnl"/>
        </w:rPr>
      </w:pPr>
    </w:p>
    <w:p w14:paraId="798FA8E9" w14:textId="59058A40" w:rsidR="00CC00D5" w:rsidRPr="00667A14" w:rsidRDefault="00CC00D5" w:rsidP="00A52CEB">
      <w:pPr>
        <w:spacing w:after="0" w:line="240" w:lineRule="auto"/>
        <w:ind w:left="425" w:hanging="425"/>
        <w:rPr>
          <w:rFonts w:asciiTheme="majorHAnsi" w:hAnsiTheme="majorHAnsi" w:cs="Arial"/>
          <w:lang w:val="es-ES_tradnl"/>
        </w:rPr>
      </w:pPr>
      <w:r w:rsidRPr="00667A14">
        <w:rPr>
          <w:rFonts w:asciiTheme="majorHAnsi" w:hAnsiTheme="majorHAnsi"/>
          <w:lang w:val="es-ES_tradnl"/>
        </w:rPr>
        <w:t>2.</w:t>
      </w:r>
      <w:r w:rsidRPr="00667A14">
        <w:rPr>
          <w:rFonts w:asciiTheme="majorHAnsi" w:hAnsiTheme="majorHAnsi"/>
          <w:lang w:val="es-ES_tradnl"/>
        </w:rPr>
        <w:tab/>
      </w:r>
      <w:r w:rsidR="00A52CEB" w:rsidRPr="00667A14">
        <w:rPr>
          <w:rFonts w:asciiTheme="majorHAnsi" w:hAnsiTheme="majorHAnsi" w:cs="Arial"/>
          <w:lang w:val="es-ES_tradnl"/>
        </w:rPr>
        <w:t xml:space="preserve">TOMANDO NOTA de que, hasta diciembre de 2016, en todas las regiones de Ramsar se habían presentado 82 solicitudes de este procedimiento, con resultados positivos; y </w:t>
      </w:r>
      <w:r w:rsidR="00700DE5">
        <w:rPr>
          <w:rFonts w:asciiTheme="majorHAnsi" w:hAnsiTheme="majorHAnsi" w:cs="Arial"/>
          <w:lang w:val="es-ES_tradnl"/>
        </w:rPr>
        <w:t xml:space="preserve">DANDO LAS GRACIAS </w:t>
      </w:r>
      <w:r w:rsidR="00A52CEB" w:rsidRPr="00667A14">
        <w:rPr>
          <w:rFonts w:asciiTheme="majorHAnsi" w:hAnsiTheme="majorHAnsi" w:cs="Arial"/>
          <w:lang w:val="es-ES_tradnl"/>
        </w:rPr>
        <w:t>a las Partes que han utilizado las MRA para encontrar soluciones constructivas a las dificultades a las que se enfrentan y como una contribución a sus esfuerzos encaminados a la aplicación eficaz de la Convención</w:t>
      </w:r>
      <w:r w:rsidRPr="00667A14">
        <w:rPr>
          <w:rFonts w:asciiTheme="majorHAnsi" w:hAnsiTheme="majorHAnsi"/>
          <w:lang w:val="es-ES_tradnl"/>
        </w:rPr>
        <w:t>;</w:t>
      </w:r>
    </w:p>
    <w:p w14:paraId="174FF672" w14:textId="77777777" w:rsidR="00CC00D5" w:rsidRPr="00667A14" w:rsidRDefault="00CC00D5" w:rsidP="00CC5AE4">
      <w:pPr>
        <w:spacing w:after="0" w:line="240" w:lineRule="auto"/>
        <w:ind w:left="425" w:hanging="425"/>
        <w:rPr>
          <w:rFonts w:asciiTheme="majorHAnsi" w:hAnsiTheme="majorHAnsi"/>
          <w:lang w:val="es-ES_tradnl"/>
        </w:rPr>
      </w:pPr>
    </w:p>
    <w:p w14:paraId="71AE3A5E" w14:textId="3A695D52"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3.</w:t>
      </w:r>
      <w:r w:rsidRPr="00667A14">
        <w:rPr>
          <w:rFonts w:asciiTheme="majorHAnsi" w:hAnsiTheme="majorHAnsi"/>
          <w:lang w:val="es-ES_tradnl"/>
        </w:rPr>
        <w:tab/>
      </w:r>
      <w:r w:rsidR="00700DE5">
        <w:rPr>
          <w:rFonts w:asciiTheme="majorHAnsi" w:hAnsiTheme="majorHAnsi" w:cs="Arial"/>
          <w:lang w:val="es-ES_tradnl"/>
        </w:rPr>
        <w:t xml:space="preserve">TENIENDO PRESENTE </w:t>
      </w:r>
      <w:r w:rsidR="00AA0DB7">
        <w:rPr>
          <w:rFonts w:asciiTheme="majorHAnsi" w:hAnsiTheme="majorHAnsi" w:cs="Arial"/>
          <w:lang w:val="es-ES_tradnl"/>
        </w:rPr>
        <w:t>la necesidad de</w:t>
      </w:r>
      <w:r w:rsidR="00A52CEB" w:rsidRPr="00667A14">
        <w:rPr>
          <w:rFonts w:asciiTheme="majorHAnsi" w:hAnsiTheme="majorHAnsi" w:cs="Arial"/>
          <w:lang w:val="es-ES_tradnl"/>
        </w:rPr>
        <w:t xml:space="preserve"> </w:t>
      </w:r>
      <w:r w:rsidR="00E47423">
        <w:rPr>
          <w:rFonts w:asciiTheme="majorHAnsi" w:hAnsiTheme="majorHAnsi" w:cs="Arial"/>
          <w:lang w:val="es-ES_tradnl"/>
        </w:rPr>
        <w:t xml:space="preserve">compartir información sobre la disponibilidad </w:t>
      </w:r>
      <w:r w:rsidR="00A52CEB" w:rsidRPr="00667A14">
        <w:rPr>
          <w:rFonts w:asciiTheme="majorHAnsi" w:hAnsiTheme="majorHAnsi" w:cs="Arial"/>
          <w:lang w:val="es-ES_tradnl"/>
        </w:rPr>
        <w:t xml:space="preserve">de las MRA como una herramienta importante y útil para ayudar a las Partes a aplicar la </w:t>
      </w:r>
      <w:r w:rsidR="006855C7" w:rsidRPr="00667A14">
        <w:rPr>
          <w:rFonts w:asciiTheme="majorHAnsi" w:hAnsiTheme="majorHAnsi" w:cs="Arial"/>
          <w:lang w:val="es-ES_tradnl"/>
        </w:rPr>
        <w:t>Convención</w:t>
      </w:r>
      <w:r w:rsidR="002C5ABB">
        <w:rPr>
          <w:rFonts w:asciiTheme="majorHAnsi" w:hAnsiTheme="majorHAnsi" w:cs="Arial"/>
          <w:lang w:val="es-ES_tradnl"/>
        </w:rPr>
        <w:t>,</w:t>
      </w:r>
      <w:r w:rsidR="00E47423">
        <w:rPr>
          <w:rFonts w:asciiTheme="majorHAnsi" w:hAnsiTheme="majorHAnsi" w:cs="Arial"/>
          <w:lang w:val="es-ES_tradnl"/>
        </w:rPr>
        <w:t xml:space="preserve"> y de dar apoyo a las Partes Contratantes que soliciten MRA</w:t>
      </w:r>
      <w:r w:rsidR="006855C7" w:rsidRPr="00667A14">
        <w:rPr>
          <w:rFonts w:asciiTheme="majorHAnsi" w:hAnsiTheme="majorHAnsi" w:cs="Arial"/>
          <w:lang w:val="es-ES_tradnl"/>
        </w:rPr>
        <w:t>;</w:t>
      </w:r>
    </w:p>
    <w:p w14:paraId="440228E0" w14:textId="77777777" w:rsidR="00CC00D5" w:rsidRPr="00667A14" w:rsidRDefault="00CC00D5" w:rsidP="00CC5AE4">
      <w:pPr>
        <w:spacing w:after="0" w:line="240" w:lineRule="auto"/>
        <w:ind w:left="425" w:hanging="425"/>
        <w:rPr>
          <w:rFonts w:asciiTheme="majorHAnsi" w:hAnsiTheme="majorHAnsi"/>
          <w:lang w:val="es-ES_tradnl"/>
        </w:rPr>
      </w:pPr>
    </w:p>
    <w:p w14:paraId="21E6F59D" w14:textId="1C7CCC0A"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4.</w:t>
      </w:r>
      <w:r w:rsidRPr="00667A14">
        <w:rPr>
          <w:rFonts w:asciiTheme="majorHAnsi" w:hAnsiTheme="majorHAnsi"/>
          <w:lang w:val="es-ES_tradnl"/>
        </w:rPr>
        <w:tab/>
      </w:r>
      <w:r w:rsidR="00A52CEB" w:rsidRPr="00667A14">
        <w:rPr>
          <w:rFonts w:asciiTheme="majorHAnsi" w:hAnsiTheme="majorHAnsi" w:cs="Arial"/>
          <w:lang w:val="es-ES_tradnl"/>
        </w:rPr>
        <w:t>RECONOCIENDO ASIMISMO la importante contribución que el Grupo de Examen Científico y Técnico (GECT), las Organizaciones Internacionales Asociadas (OIA) y otros interesados han realizado en la aplicación del proceso de las MRA a lo largo de sus 30 años de historia</w:t>
      </w:r>
      <w:r w:rsidRPr="00667A14">
        <w:rPr>
          <w:rFonts w:asciiTheme="majorHAnsi" w:hAnsiTheme="majorHAnsi"/>
          <w:lang w:val="es-ES_tradnl"/>
        </w:rPr>
        <w:t>;</w:t>
      </w:r>
    </w:p>
    <w:p w14:paraId="34695284" w14:textId="77777777" w:rsidR="00CC00D5" w:rsidRPr="00667A14" w:rsidRDefault="00CC00D5" w:rsidP="00CC5AE4">
      <w:pPr>
        <w:spacing w:after="0" w:line="240" w:lineRule="auto"/>
        <w:ind w:left="425" w:hanging="425"/>
        <w:rPr>
          <w:rFonts w:asciiTheme="majorHAnsi" w:hAnsiTheme="majorHAnsi"/>
          <w:lang w:val="es-ES_tradnl"/>
        </w:rPr>
      </w:pPr>
    </w:p>
    <w:p w14:paraId="478F5A8F" w14:textId="3591488B" w:rsidR="00CC00D5" w:rsidRPr="00667A14" w:rsidRDefault="00CC00D5" w:rsidP="00A52CEB">
      <w:pPr>
        <w:spacing w:after="0" w:line="240" w:lineRule="auto"/>
        <w:ind w:left="425" w:hanging="425"/>
        <w:rPr>
          <w:rFonts w:asciiTheme="majorHAnsi" w:hAnsiTheme="majorHAnsi" w:cs="Arial"/>
          <w:i/>
          <w:lang w:val="es-ES_tradnl"/>
        </w:rPr>
      </w:pPr>
      <w:r w:rsidRPr="00667A14">
        <w:rPr>
          <w:rFonts w:asciiTheme="majorHAnsi" w:hAnsiTheme="majorHAnsi"/>
          <w:lang w:val="es-ES_tradnl"/>
        </w:rPr>
        <w:t>5.</w:t>
      </w:r>
      <w:r w:rsidRPr="00667A14">
        <w:rPr>
          <w:rFonts w:asciiTheme="majorHAnsi" w:hAnsiTheme="majorHAnsi"/>
          <w:lang w:val="es-ES_tradnl"/>
        </w:rPr>
        <w:tab/>
      </w:r>
      <w:r w:rsidR="00A52CEB" w:rsidRPr="00667A14">
        <w:rPr>
          <w:rFonts w:asciiTheme="majorHAnsi" w:hAnsiTheme="majorHAnsi" w:cs="Arial"/>
          <w:lang w:val="es-ES_tradnl"/>
        </w:rPr>
        <w:t>ACOGIENDO CON BENEPLÁCITO el trabajo del GECT en el último trienio para examinar y analizar exhaustivamen</w:t>
      </w:r>
      <w:r w:rsidR="00AA0DB7">
        <w:rPr>
          <w:rFonts w:asciiTheme="majorHAnsi" w:hAnsiTheme="majorHAnsi" w:cs="Arial"/>
          <w:lang w:val="es-ES_tradnl"/>
        </w:rPr>
        <w:t>te los informes de las 82 MRA y</w:t>
      </w:r>
      <w:r w:rsidR="00F544FE" w:rsidRPr="00667A14">
        <w:rPr>
          <w:rFonts w:asciiTheme="majorHAnsi" w:hAnsiTheme="majorHAnsi" w:cs="Arial"/>
          <w:lang w:val="es-ES_tradnl"/>
        </w:rPr>
        <w:t xml:space="preserve"> </w:t>
      </w:r>
      <w:r w:rsidR="00E47423">
        <w:rPr>
          <w:rFonts w:asciiTheme="majorHAnsi" w:hAnsiTheme="majorHAnsi" w:cs="Arial"/>
          <w:lang w:val="es-ES_tradnl"/>
        </w:rPr>
        <w:t xml:space="preserve">AGRADECIENDO </w:t>
      </w:r>
      <w:r w:rsidR="00F544FE" w:rsidRPr="00667A14">
        <w:rPr>
          <w:rFonts w:asciiTheme="majorHAnsi" w:hAnsiTheme="majorHAnsi" w:cs="Arial"/>
          <w:lang w:val="es-ES_tradnl"/>
        </w:rPr>
        <w:t>la nota informativa y la nota sobre políticas sobre MRA derivadas del GECT publicadas</w:t>
      </w:r>
      <w:r w:rsidR="00A52CEB" w:rsidRPr="00667A14">
        <w:rPr>
          <w:rFonts w:asciiTheme="majorHAnsi" w:hAnsiTheme="majorHAnsi" w:cs="Arial"/>
          <w:lang w:val="es-ES_tradnl"/>
        </w:rPr>
        <w:t xml:space="preserve"> en 2018</w:t>
      </w:r>
      <w:r w:rsidRPr="00667A14">
        <w:rPr>
          <w:rFonts w:asciiTheme="majorHAnsi" w:hAnsiTheme="majorHAnsi"/>
          <w:lang w:val="es-ES_tradnl"/>
        </w:rPr>
        <w:t>;</w:t>
      </w:r>
    </w:p>
    <w:p w14:paraId="6191FA29" w14:textId="77777777" w:rsidR="00CC00D5" w:rsidRPr="00667A14" w:rsidRDefault="00CC00D5" w:rsidP="00CC5AE4">
      <w:pPr>
        <w:spacing w:after="0" w:line="240" w:lineRule="auto"/>
        <w:ind w:left="425" w:hanging="425"/>
        <w:rPr>
          <w:rFonts w:asciiTheme="majorHAnsi" w:hAnsiTheme="majorHAnsi"/>
          <w:lang w:val="es-ES_tradnl"/>
        </w:rPr>
      </w:pPr>
    </w:p>
    <w:p w14:paraId="3836EB69" w14:textId="2198D2BE" w:rsidR="00CC00D5" w:rsidRDefault="00CC00D5" w:rsidP="00CC5AE4">
      <w:pPr>
        <w:spacing w:after="0" w:line="240" w:lineRule="auto"/>
        <w:ind w:left="425" w:hanging="425"/>
        <w:rPr>
          <w:rFonts w:asciiTheme="majorHAnsi" w:hAnsiTheme="majorHAnsi" w:cs="Arial"/>
          <w:bCs/>
          <w:lang w:val="es-ES_tradnl"/>
        </w:rPr>
      </w:pPr>
      <w:r w:rsidRPr="00667A14">
        <w:rPr>
          <w:rFonts w:asciiTheme="majorHAnsi" w:hAnsiTheme="majorHAnsi"/>
          <w:lang w:val="es-ES_tradnl"/>
        </w:rPr>
        <w:t>6.</w:t>
      </w:r>
      <w:r w:rsidRPr="00667A14">
        <w:rPr>
          <w:rFonts w:asciiTheme="majorHAnsi" w:hAnsiTheme="majorHAnsi"/>
          <w:lang w:val="es-ES_tradnl"/>
        </w:rPr>
        <w:tab/>
      </w:r>
      <w:r w:rsidR="00A52CEB" w:rsidRPr="00667A14">
        <w:rPr>
          <w:rFonts w:asciiTheme="majorHAnsi" w:hAnsiTheme="majorHAnsi" w:cs="Arial"/>
          <w:lang w:val="es-ES_tradnl"/>
        </w:rPr>
        <w:t>TENIENDO PRESENTE que no ha habido ninguna asignación con cargo al presupuesto básico para apoyar la aplicación del proceso de las MRA desde la 7ª reunión de la Conferencia de las Partes Contratantes en 1999, pero que desde entonces se ha invertido financiación complementaria</w:t>
      </w:r>
      <w:r w:rsidR="00E47423">
        <w:rPr>
          <w:rFonts w:asciiTheme="majorHAnsi" w:hAnsiTheme="majorHAnsi" w:cs="Arial"/>
          <w:lang w:val="es-ES_tradnl"/>
        </w:rPr>
        <w:t xml:space="preserve"> para apoyar 50 MRA</w:t>
      </w:r>
      <w:r w:rsidRPr="00667A14">
        <w:rPr>
          <w:rFonts w:asciiTheme="majorHAnsi" w:hAnsiTheme="majorHAnsi" w:cs="Arial"/>
          <w:bCs/>
          <w:lang w:val="es-ES_tradnl"/>
        </w:rPr>
        <w:t>;</w:t>
      </w:r>
      <w:r w:rsidR="00A52CEB" w:rsidRPr="00667A14">
        <w:rPr>
          <w:rFonts w:asciiTheme="majorHAnsi" w:hAnsiTheme="majorHAnsi" w:cs="Arial"/>
          <w:bCs/>
          <w:lang w:val="es-ES_tradnl"/>
        </w:rPr>
        <w:t xml:space="preserve"> </w:t>
      </w:r>
    </w:p>
    <w:p w14:paraId="71D0ED99" w14:textId="77777777" w:rsidR="00E47423" w:rsidRDefault="00E47423" w:rsidP="00CC5AE4">
      <w:pPr>
        <w:spacing w:after="0" w:line="240" w:lineRule="auto"/>
        <w:ind w:left="425" w:hanging="425"/>
        <w:rPr>
          <w:rFonts w:asciiTheme="majorHAnsi" w:hAnsiTheme="majorHAnsi"/>
          <w:lang w:val="es-ES_tradnl"/>
        </w:rPr>
      </w:pPr>
    </w:p>
    <w:p w14:paraId="0CAB6DED" w14:textId="43E22EB7" w:rsidR="00E47423" w:rsidRPr="00667A14" w:rsidRDefault="00E47423" w:rsidP="00CC5AE4">
      <w:pPr>
        <w:spacing w:after="0" w:line="240" w:lineRule="auto"/>
        <w:ind w:left="425" w:hanging="425"/>
        <w:rPr>
          <w:rFonts w:asciiTheme="majorHAnsi" w:hAnsiTheme="majorHAnsi"/>
          <w:lang w:val="es-ES_tradnl"/>
        </w:rPr>
      </w:pPr>
      <w:r>
        <w:rPr>
          <w:rFonts w:asciiTheme="majorHAnsi" w:hAnsiTheme="majorHAnsi"/>
          <w:lang w:val="es-ES_tradnl"/>
        </w:rPr>
        <w:t>7.</w:t>
      </w:r>
      <w:r>
        <w:rPr>
          <w:rFonts w:asciiTheme="majorHAnsi" w:hAnsiTheme="majorHAnsi"/>
          <w:lang w:val="es-ES_tradnl"/>
        </w:rPr>
        <w:tab/>
        <w:t>TENIENDO EN CUENTA que puede que no siempre haya recursos disponibles para apoyar MRA oportunamente y ALENTANDO a las Partes Contratantes que se encuentren en esa situación a que procuren encontrar otras fuentes de apoyo a la</w:t>
      </w:r>
      <w:r w:rsidR="002C5ABB">
        <w:rPr>
          <w:rFonts w:asciiTheme="majorHAnsi" w:hAnsiTheme="majorHAnsi"/>
          <w:lang w:val="es-ES_tradnl"/>
        </w:rPr>
        <w:t>s</w:t>
      </w:r>
      <w:r>
        <w:rPr>
          <w:rFonts w:asciiTheme="majorHAnsi" w:hAnsiTheme="majorHAnsi"/>
          <w:lang w:val="es-ES_tradnl"/>
        </w:rPr>
        <w:t xml:space="preserve"> MRA; y</w:t>
      </w:r>
    </w:p>
    <w:p w14:paraId="2DF1DFEE" w14:textId="77777777" w:rsidR="00CC00D5" w:rsidRPr="00667A14" w:rsidRDefault="00CC00D5" w:rsidP="00CC5AE4">
      <w:pPr>
        <w:spacing w:after="0" w:line="240" w:lineRule="auto"/>
        <w:ind w:left="425" w:hanging="425"/>
        <w:rPr>
          <w:rFonts w:asciiTheme="majorHAnsi" w:hAnsiTheme="majorHAnsi"/>
          <w:lang w:val="es-ES_tradnl"/>
        </w:rPr>
      </w:pPr>
    </w:p>
    <w:p w14:paraId="33287D8F" w14:textId="7ED9791E" w:rsidR="00CC00D5" w:rsidRPr="00667A14" w:rsidRDefault="00E47423" w:rsidP="00CC5AE4">
      <w:pPr>
        <w:spacing w:after="0" w:line="240" w:lineRule="auto"/>
        <w:ind w:left="425" w:hanging="425"/>
        <w:rPr>
          <w:rFonts w:asciiTheme="majorHAnsi" w:hAnsiTheme="majorHAnsi"/>
          <w:lang w:val="es-ES_tradnl"/>
        </w:rPr>
      </w:pPr>
      <w:r>
        <w:rPr>
          <w:rFonts w:asciiTheme="majorHAnsi" w:hAnsiTheme="majorHAnsi"/>
          <w:lang w:val="es-ES_tradnl"/>
        </w:rPr>
        <w:lastRenderedPageBreak/>
        <w:t>8</w:t>
      </w:r>
      <w:r w:rsidR="00CC00D5" w:rsidRPr="00667A14">
        <w:rPr>
          <w:rFonts w:asciiTheme="majorHAnsi" w:hAnsiTheme="majorHAnsi"/>
          <w:lang w:val="es-ES_tradnl"/>
        </w:rPr>
        <w:t>.</w:t>
      </w:r>
      <w:r w:rsidR="00CC00D5" w:rsidRPr="00667A14">
        <w:rPr>
          <w:rFonts w:asciiTheme="majorHAnsi" w:hAnsiTheme="majorHAnsi"/>
          <w:lang w:val="es-ES_tradnl"/>
        </w:rPr>
        <w:tab/>
      </w:r>
      <w:r w:rsidR="00A52CEB" w:rsidRPr="00667A14">
        <w:rPr>
          <w:rFonts w:asciiTheme="majorHAnsi" w:hAnsiTheme="majorHAnsi" w:cs="Arial"/>
          <w:lang w:val="es-ES_tradnl"/>
        </w:rPr>
        <w:t>RECONOCIENDO el valor que las MRA también revisten para realzar la visibilidad de la Convención, destacar el compromiso de las Partes Contratantes y contribuir a la concienciación pública sobre la conservación y el uso racional de los humedales</w:t>
      </w:r>
      <w:r w:rsidR="00CC00D5" w:rsidRPr="00667A14">
        <w:rPr>
          <w:rFonts w:asciiTheme="majorHAnsi" w:hAnsiTheme="majorHAnsi" w:cs="Arial"/>
          <w:bCs/>
          <w:lang w:val="es-ES_tradnl"/>
        </w:rPr>
        <w:t>;</w:t>
      </w:r>
    </w:p>
    <w:p w14:paraId="3365B775" w14:textId="77777777" w:rsidR="00CC00D5" w:rsidRPr="00667A14" w:rsidRDefault="00CC00D5" w:rsidP="00CC5AE4">
      <w:pPr>
        <w:spacing w:after="0" w:line="240" w:lineRule="auto"/>
        <w:ind w:left="425" w:hanging="425"/>
        <w:rPr>
          <w:rFonts w:asciiTheme="majorHAnsi" w:hAnsiTheme="majorHAnsi"/>
          <w:lang w:val="es-ES_tradnl"/>
        </w:rPr>
      </w:pPr>
    </w:p>
    <w:p w14:paraId="603BDB8B" w14:textId="1577B7B9" w:rsidR="00CC00D5" w:rsidRPr="00667A14" w:rsidRDefault="00A52CEB" w:rsidP="0002232D">
      <w:pPr>
        <w:keepNext/>
        <w:spacing w:after="0" w:line="240" w:lineRule="auto"/>
        <w:ind w:left="425" w:hanging="425"/>
        <w:jc w:val="center"/>
        <w:rPr>
          <w:rFonts w:asciiTheme="majorHAnsi" w:hAnsiTheme="majorHAnsi"/>
          <w:lang w:val="es-ES_tradnl"/>
        </w:rPr>
      </w:pPr>
      <w:r w:rsidRPr="00667A14">
        <w:rPr>
          <w:rFonts w:asciiTheme="majorHAnsi" w:hAnsiTheme="majorHAnsi" w:cs="Arial"/>
          <w:lang w:val="es-ES_tradnl"/>
        </w:rPr>
        <w:t>LA CONFERENCIA DE LAS PARTES</w:t>
      </w:r>
      <w:r w:rsidRPr="00667A14">
        <w:rPr>
          <w:rFonts w:asciiTheme="majorHAnsi" w:hAnsiTheme="majorHAnsi"/>
          <w:lang w:val="es-ES_tradnl"/>
        </w:rPr>
        <w:t xml:space="preserve"> CONTRATANTES</w:t>
      </w:r>
    </w:p>
    <w:p w14:paraId="73624DBE" w14:textId="77777777" w:rsidR="00CC00D5" w:rsidRPr="00667A14" w:rsidRDefault="00CC00D5" w:rsidP="0002232D">
      <w:pPr>
        <w:keepNext/>
        <w:spacing w:after="0" w:line="240" w:lineRule="auto"/>
        <w:ind w:left="425" w:hanging="425"/>
        <w:rPr>
          <w:rFonts w:asciiTheme="majorHAnsi" w:hAnsiTheme="majorHAnsi"/>
          <w:lang w:val="es-ES_tradnl"/>
        </w:rPr>
      </w:pPr>
    </w:p>
    <w:p w14:paraId="1D4D6198" w14:textId="62456931" w:rsidR="00CC00D5" w:rsidRPr="00667A14" w:rsidRDefault="00E47423" w:rsidP="00CC5AE4">
      <w:pPr>
        <w:spacing w:after="0" w:line="240" w:lineRule="auto"/>
        <w:ind w:left="425" w:hanging="425"/>
        <w:rPr>
          <w:rFonts w:asciiTheme="majorHAnsi" w:hAnsiTheme="majorHAnsi"/>
          <w:lang w:val="es-ES_tradnl"/>
        </w:rPr>
      </w:pPr>
      <w:r>
        <w:rPr>
          <w:rFonts w:asciiTheme="majorHAnsi" w:hAnsiTheme="majorHAnsi"/>
          <w:lang w:val="es-ES_tradnl"/>
        </w:rPr>
        <w:t>9</w:t>
      </w:r>
      <w:r w:rsidR="00CC00D5" w:rsidRPr="00667A14">
        <w:rPr>
          <w:rFonts w:asciiTheme="majorHAnsi" w:hAnsiTheme="majorHAnsi"/>
          <w:lang w:val="es-ES_tradnl"/>
        </w:rPr>
        <w:t>.</w:t>
      </w:r>
      <w:r w:rsidR="00CC00D5" w:rsidRPr="00667A14">
        <w:rPr>
          <w:rFonts w:asciiTheme="majorHAnsi" w:hAnsiTheme="majorHAnsi"/>
          <w:lang w:val="es-ES_tradnl"/>
        </w:rPr>
        <w:tab/>
      </w:r>
      <w:r>
        <w:rPr>
          <w:rFonts w:asciiTheme="majorHAnsi" w:hAnsiTheme="majorHAnsi" w:cs="Arial"/>
          <w:lang w:val="es-ES_tradnl"/>
        </w:rPr>
        <w:t xml:space="preserve">CONSIDERA </w:t>
      </w:r>
      <w:r w:rsidR="00A52CEB" w:rsidRPr="00667A14">
        <w:rPr>
          <w:rFonts w:asciiTheme="majorHAnsi" w:hAnsiTheme="majorHAnsi" w:cs="Arial"/>
          <w:lang w:val="es-ES_tradnl"/>
        </w:rPr>
        <w:t xml:space="preserve">que el mecanismo de las Misiones Ramsar de Asesoramiento (MRA) es un </w:t>
      </w:r>
      <w:r w:rsidR="00545D06">
        <w:rPr>
          <w:rFonts w:asciiTheme="majorHAnsi" w:hAnsiTheme="majorHAnsi" w:cs="Arial"/>
          <w:lang w:val="es-ES_tradnl"/>
        </w:rPr>
        <w:t xml:space="preserve">útil </w:t>
      </w:r>
      <w:r w:rsidR="00A52CEB" w:rsidRPr="00667A14">
        <w:rPr>
          <w:rFonts w:asciiTheme="majorHAnsi" w:hAnsiTheme="majorHAnsi" w:cs="Arial"/>
          <w:lang w:val="es-ES_tradnl"/>
        </w:rPr>
        <w:t>instrumento disponible para ayudar a las Partes a aplicar la Convención y constituye un medio para prestar asesoramiento independiente pertinente con el fin de hacer frente a los cambios reales y potenciales en las características ecológicas de los sitios Ramsar</w:t>
      </w:r>
      <w:r w:rsidR="00CC00D5" w:rsidRPr="00667A14">
        <w:rPr>
          <w:rFonts w:asciiTheme="majorHAnsi" w:hAnsiTheme="majorHAnsi"/>
          <w:lang w:val="es-ES_tradnl"/>
        </w:rPr>
        <w:t>;</w:t>
      </w:r>
    </w:p>
    <w:p w14:paraId="3CA5C987" w14:textId="77777777" w:rsidR="00CC00D5" w:rsidRPr="00667A14" w:rsidRDefault="00CC00D5" w:rsidP="00CC5AE4">
      <w:pPr>
        <w:spacing w:after="0" w:line="240" w:lineRule="auto"/>
        <w:ind w:left="425" w:hanging="425"/>
        <w:rPr>
          <w:rFonts w:asciiTheme="majorHAnsi" w:hAnsiTheme="majorHAnsi"/>
          <w:lang w:val="es-ES_tradnl"/>
        </w:rPr>
      </w:pPr>
    </w:p>
    <w:p w14:paraId="3F311A8F" w14:textId="1BE1719E" w:rsidR="00CC00D5" w:rsidRPr="00667A14" w:rsidRDefault="00E47423" w:rsidP="00CC5AE4">
      <w:pPr>
        <w:spacing w:after="0" w:line="240" w:lineRule="auto"/>
        <w:ind w:left="425" w:hanging="425"/>
        <w:rPr>
          <w:rFonts w:asciiTheme="majorHAnsi" w:hAnsiTheme="majorHAnsi"/>
          <w:lang w:val="es-ES_tradnl"/>
        </w:rPr>
      </w:pPr>
      <w:r>
        <w:rPr>
          <w:rFonts w:asciiTheme="majorHAnsi" w:hAnsiTheme="majorHAnsi"/>
          <w:lang w:val="es-ES_tradnl"/>
        </w:rPr>
        <w:t>10</w:t>
      </w:r>
      <w:r w:rsidR="00CC00D5" w:rsidRPr="00667A14">
        <w:rPr>
          <w:rFonts w:asciiTheme="majorHAnsi" w:hAnsiTheme="majorHAnsi"/>
          <w:lang w:val="es-ES_tradnl"/>
        </w:rPr>
        <w:t>.</w:t>
      </w:r>
      <w:r w:rsidR="00CC00D5" w:rsidRPr="00667A14">
        <w:rPr>
          <w:rFonts w:asciiTheme="majorHAnsi" w:hAnsiTheme="majorHAnsi"/>
          <w:lang w:val="es-ES_tradnl"/>
        </w:rPr>
        <w:tab/>
      </w:r>
      <w:r w:rsidR="00A52CEB" w:rsidRPr="00667A14">
        <w:rPr>
          <w:rFonts w:asciiTheme="majorHAnsi" w:hAnsiTheme="majorHAnsi" w:cs="Arial"/>
          <w:lang w:val="es-ES_tradnl"/>
        </w:rPr>
        <w:t xml:space="preserve">ALIENTA a las Partes Contratantes a plantearse </w:t>
      </w:r>
      <w:r w:rsidR="00545D06">
        <w:rPr>
          <w:rFonts w:asciiTheme="majorHAnsi" w:hAnsiTheme="majorHAnsi" w:cs="Arial"/>
          <w:lang w:val="es-ES_tradnl"/>
        </w:rPr>
        <w:t xml:space="preserve">solicitar </w:t>
      </w:r>
      <w:r w:rsidR="00A52CEB" w:rsidRPr="00667A14">
        <w:rPr>
          <w:rFonts w:asciiTheme="majorHAnsi" w:hAnsiTheme="majorHAnsi" w:cs="Arial"/>
          <w:lang w:val="es-ES_tradnl"/>
        </w:rPr>
        <w:t>una aplicación más frecuente de las MRA</w:t>
      </w:r>
      <w:r w:rsidR="00545D06">
        <w:rPr>
          <w:rFonts w:asciiTheme="majorHAnsi" w:hAnsiTheme="majorHAnsi" w:cs="Arial"/>
          <w:lang w:val="es-ES_tradnl"/>
        </w:rPr>
        <w:t xml:space="preserve"> en sus territorios nacionales</w:t>
      </w:r>
      <w:r w:rsidR="00A52CEB" w:rsidRPr="00667A14">
        <w:rPr>
          <w:rFonts w:asciiTheme="majorHAnsi" w:hAnsiTheme="majorHAnsi" w:cs="Arial"/>
          <w:lang w:val="es-ES_tradnl"/>
        </w:rPr>
        <w:t>, cuando proceda</w:t>
      </w:r>
      <w:r w:rsidR="00CC00D5" w:rsidRPr="00667A14">
        <w:rPr>
          <w:rFonts w:asciiTheme="majorHAnsi" w:hAnsiTheme="majorHAnsi"/>
          <w:lang w:val="es-ES_tradnl"/>
        </w:rPr>
        <w:t>;</w:t>
      </w:r>
    </w:p>
    <w:p w14:paraId="59D4A39C" w14:textId="77777777" w:rsidR="00CC00D5" w:rsidRPr="00667A14" w:rsidRDefault="00CC00D5" w:rsidP="00CC5AE4">
      <w:pPr>
        <w:spacing w:after="0" w:line="240" w:lineRule="auto"/>
        <w:ind w:left="425" w:hanging="425"/>
        <w:rPr>
          <w:rFonts w:asciiTheme="majorHAnsi" w:hAnsiTheme="majorHAnsi"/>
          <w:lang w:val="es-ES_tradnl"/>
        </w:rPr>
      </w:pPr>
    </w:p>
    <w:p w14:paraId="4D957256" w14:textId="65D6E36D" w:rsidR="00CC00D5" w:rsidRDefault="00E47423" w:rsidP="00CC5AE4">
      <w:pPr>
        <w:spacing w:after="0" w:line="240" w:lineRule="auto"/>
        <w:ind w:left="425" w:hanging="425"/>
        <w:rPr>
          <w:rFonts w:asciiTheme="majorHAnsi" w:hAnsiTheme="majorHAnsi"/>
          <w:lang w:val="es-ES_tradnl"/>
        </w:rPr>
      </w:pPr>
      <w:r>
        <w:rPr>
          <w:rFonts w:asciiTheme="majorHAnsi" w:hAnsiTheme="majorHAnsi"/>
          <w:lang w:val="es-ES_tradnl"/>
        </w:rPr>
        <w:t>1</w:t>
      </w:r>
      <w:r w:rsidR="00CC00D5" w:rsidRPr="00667A14">
        <w:rPr>
          <w:rFonts w:asciiTheme="majorHAnsi" w:hAnsiTheme="majorHAnsi"/>
          <w:lang w:val="es-ES_tradnl"/>
        </w:rPr>
        <w:t>1.</w:t>
      </w:r>
      <w:r w:rsidR="00CC00D5" w:rsidRPr="00667A14">
        <w:rPr>
          <w:rFonts w:asciiTheme="majorHAnsi" w:hAnsiTheme="majorHAnsi"/>
          <w:lang w:val="es-ES_tradnl"/>
        </w:rPr>
        <w:tab/>
      </w:r>
      <w:r w:rsidR="00A52CEB" w:rsidRPr="00667A14">
        <w:rPr>
          <w:rFonts w:asciiTheme="majorHAnsi" w:hAnsiTheme="majorHAnsi" w:cs="Arial"/>
          <w:lang w:val="es-ES_tradnl"/>
        </w:rPr>
        <w:t xml:space="preserve"> </w:t>
      </w:r>
      <w:r w:rsidR="00545D06">
        <w:rPr>
          <w:rFonts w:asciiTheme="majorHAnsi" w:hAnsiTheme="majorHAnsi" w:cs="Arial"/>
          <w:lang w:val="es-ES_tradnl"/>
        </w:rPr>
        <w:t xml:space="preserve">ENCARGA a la Secretaría </w:t>
      </w:r>
      <w:r w:rsidR="00A52CEB" w:rsidRPr="00667A14">
        <w:rPr>
          <w:rFonts w:asciiTheme="majorHAnsi" w:hAnsiTheme="majorHAnsi" w:cs="Arial"/>
          <w:lang w:val="es-ES_tradnl"/>
        </w:rPr>
        <w:t>que</w:t>
      </w:r>
      <w:r w:rsidR="00545D06">
        <w:rPr>
          <w:rFonts w:asciiTheme="majorHAnsi" w:hAnsiTheme="majorHAnsi" w:cs="Arial"/>
          <w:lang w:val="es-ES_tradnl"/>
        </w:rPr>
        <w:t>, cuando se plantee la conveniencia de MRA, dé la prioridad a que</w:t>
      </w:r>
      <w:r w:rsidR="00A52CEB" w:rsidRPr="00667A14">
        <w:rPr>
          <w:rFonts w:asciiTheme="majorHAnsi" w:hAnsiTheme="majorHAnsi" w:cs="Arial"/>
          <w:lang w:val="es-ES_tradnl"/>
        </w:rPr>
        <w:t xml:space="preserve"> se </w:t>
      </w:r>
      <w:r w:rsidR="00545D06">
        <w:rPr>
          <w:rFonts w:asciiTheme="majorHAnsi" w:hAnsiTheme="majorHAnsi" w:cs="Arial"/>
          <w:lang w:val="es-ES_tradnl"/>
        </w:rPr>
        <w:t xml:space="preserve">lleven a cabo </w:t>
      </w:r>
      <w:r w:rsidR="00A52CEB" w:rsidRPr="00667A14">
        <w:rPr>
          <w:rFonts w:asciiTheme="majorHAnsi" w:hAnsiTheme="majorHAnsi" w:cs="Arial"/>
          <w:lang w:val="es-ES_tradnl"/>
        </w:rPr>
        <w:t xml:space="preserve">MRA </w:t>
      </w:r>
      <w:r w:rsidR="00545D06">
        <w:rPr>
          <w:rFonts w:asciiTheme="majorHAnsi" w:hAnsiTheme="majorHAnsi" w:cs="Arial"/>
          <w:lang w:val="es-ES_tradnl"/>
        </w:rPr>
        <w:t>para los sitios que estén afrontando problemas similares a otros muchos sitios Ramsar, allá donde el informe de la MRA pueda ser útil para otros muchos sitios Ramsar o la MRA pueda añadir valor a los conocimientos existentes acerca de cómo abordar los retos descritos</w:t>
      </w:r>
      <w:r w:rsidR="00CC00D5" w:rsidRPr="00667A14">
        <w:rPr>
          <w:rFonts w:asciiTheme="majorHAnsi" w:hAnsiTheme="majorHAnsi"/>
          <w:lang w:val="es-ES_tradnl"/>
        </w:rPr>
        <w:t>;</w:t>
      </w:r>
    </w:p>
    <w:p w14:paraId="63CEED0A" w14:textId="77777777" w:rsidR="00545D06" w:rsidRDefault="00545D06" w:rsidP="00CC5AE4">
      <w:pPr>
        <w:spacing w:after="0" w:line="240" w:lineRule="auto"/>
        <w:ind w:left="425" w:hanging="425"/>
        <w:rPr>
          <w:rFonts w:asciiTheme="majorHAnsi" w:hAnsiTheme="majorHAnsi"/>
          <w:lang w:val="es-ES_tradnl"/>
        </w:rPr>
      </w:pPr>
    </w:p>
    <w:p w14:paraId="487AEE0E" w14:textId="470E6E2A" w:rsidR="00545D06" w:rsidRPr="00667A14" w:rsidRDefault="00545D06" w:rsidP="00CC5AE4">
      <w:pPr>
        <w:spacing w:after="0" w:line="240" w:lineRule="auto"/>
        <w:ind w:left="425" w:hanging="425"/>
        <w:rPr>
          <w:rFonts w:asciiTheme="majorHAnsi" w:hAnsiTheme="majorHAnsi"/>
          <w:lang w:val="es-ES_tradnl"/>
        </w:rPr>
      </w:pPr>
      <w:r>
        <w:rPr>
          <w:rFonts w:asciiTheme="majorHAnsi" w:hAnsiTheme="majorHAnsi"/>
          <w:lang w:val="es-ES_tradnl"/>
        </w:rPr>
        <w:t>12.</w:t>
      </w:r>
      <w:r w:rsidR="00C40925">
        <w:rPr>
          <w:rFonts w:asciiTheme="majorHAnsi" w:hAnsiTheme="majorHAnsi"/>
          <w:lang w:val="es-ES_tradnl"/>
        </w:rPr>
        <w:tab/>
        <w:t xml:space="preserve">ENCARGA a los </w:t>
      </w:r>
      <w:r w:rsidR="00AA0DB7">
        <w:rPr>
          <w:rFonts w:asciiTheme="majorHAnsi" w:hAnsiTheme="majorHAnsi"/>
          <w:lang w:val="es-ES_tradnl"/>
        </w:rPr>
        <w:t>coordinadores</w:t>
      </w:r>
      <w:r w:rsidR="00C40925">
        <w:rPr>
          <w:rFonts w:asciiTheme="majorHAnsi" w:hAnsiTheme="majorHAnsi"/>
          <w:lang w:val="es-ES_tradnl"/>
        </w:rPr>
        <w:t xml:space="preserve"> </w:t>
      </w:r>
      <w:r w:rsidR="00AA0DB7">
        <w:rPr>
          <w:rFonts w:asciiTheme="majorHAnsi" w:hAnsiTheme="majorHAnsi"/>
          <w:lang w:val="es-ES_tradnl"/>
        </w:rPr>
        <w:t>n</w:t>
      </w:r>
      <w:r w:rsidR="00C40925">
        <w:rPr>
          <w:rFonts w:asciiTheme="majorHAnsi" w:hAnsiTheme="majorHAnsi"/>
          <w:lang w:val="es-ES_tradnl"/>
        </w:rPr>
        <w:t>acionales de las Partes Contratantes solicitantes de MRA que comuniquen a sus puntos focales de otras convenciones que determinen las oportunidades de coordinar las MRA con misiones de otras convenciones, cuando proceda; y PIDE a la Secretaría que, cuando responda a las solicitudes de MRA, en la medida de lo posible evite la duplicación con misiones de otras convenciones que pudieren llevarse a cabo;</w:t>
      </w:r>
    </w:p>
    <w:p w14:paraId="79501ED6" w14:textId="77777777" w:rsidR="00CC00D5" w:rsidRPr="00667A14" w:rsidRDefault="00CC00D5" w:rsidP="00CC5AE4">
      <w:pPr>
        <w:spacing w:after="0" w:line="240" w:lineRule="auto"/>
        <w:ind w:left="425" w:hanging="425"/>
        <w:rPr>
          <w:rFonts w:asciiTheme="majorHAnsi" w:hAnsiTheme="majorHAnsi"/>
          <w:lang w:val="es-ES_tradnl"/>
        </w:rPr>
      </w:pPr>
    </w:p>
    <w:p w14:paraId="11BBF088" w14:textId="728F0EB0" w:rsidR="00CC00D5" w:rsidRPr="00667A14" w:rsidRDefault="00CC00D5" w:rsidP="009E0F53">
      <w:pPr>
        <w:spacing w:after="0" w:line="240" w:lineRule="auto"/>
        <w:ind w:left="425" w:hanging="425"/>
        <w:rPr>
          <w:rFonts w:asciiTheme="majorHAnsi" w:hAnsiTheme="majorHAnsi" w:cs="Arial"/>
          <w:lang w:val="es-ES_tradnl"/>
        </w:rPr>
      </w:pPr>
      <w:r w:rsidRPr="00667A14">
        <w:rPr>
          <w:rFonts w:asciiTheme="majorHAnsi" w:hAnsiTheme="majorHAnsi"/>
          <w:lang w:val="es-ES_tradnl"/>
        </w:rPr>
        <w:t>1</w:t>
      </w:r>
      <w:r w:rsidR="00545D06">
        <w:rPr>
          <w:rFonts w:asciiTheme="majorHAnsi" w:hAnsiTheme="majorHAnsi"/>
          <w:lang w:val="es-ES_tradnl"/>
        </w:rPr>
        <w:t>3</w:t>
      </w:r>
      <w:r w:rsidRPr="00667A14">
        <w:rPr>
          <w:rFonts w:asciiTheme="majorHAnsi" w:hAnsiTheme="majorHAnsi"/>
          <w:lang w:val="es-ES_tradnl"/>
        </w:rPr>
        <w:t>.</w:t>
      </w:r>
      <w:r w:rsidRPr="00667A14">
        <w:rPr>
          <w:rFonts w:asciiTheme="majorHAnsi" w:hAnsiTheme="majorHAnsi"/>
          <w:lang w:val="es-ES_tradnl"/>
        </w:rPr>
        <w:tab/>
      </w:r>
      <w:r w:rsidR="00A52CEB" w:rsidRPr="00667A14">
        <w:rPr>
          <w:rFonts w:asciiTheme="majorHAnsi" w:hAnsiTheme="majorHAnsi" w:cs="Arial"/>
          <w:lang w:val="es-ES_tradnl"/>
        </w:rPr>
        <w:t xml:space="preserve">INSTA a las Partes Contratantes que reciban MRA a que realicen un seguimiento diligente </w:t>
      </w:r>
      <w:r w:rsidR="00C40925">
        <w:rPr>
          <w:rFonts w:asciiTheme="majorHAnsi" w:hAnsiTheme="majorHAnsi" w:cs="Arial"/>
          <w:lang w:val="es-ES_tradnl"/>
        </w:rPr>
        <w:t xml:space="preserve">para </w:t>
      </w:r>
      <w:r w:rsidR="00A52CEB" w:rsidRPr="00667A14">
        <w:rPr>
          <w:rFonts w:asciiTheme="majorHAnsi" w:hAnsiTheme="majorHAnsi" w:cs="Arial"/>
          <w:lang w:val="es-ES_tradnl"/>
        </w:rPr>
        <w:t>foment</w:t>
      </w:r>
      <w:r w:rsidR="00C40925">
        <w:rPr>
          <w:rFonts w:asciiTheme="majorHAnsi" w:hAnsiTheme="majorHAnsi" w:cs="Arial"/>
          <w:lang w:val="es-ES_tradnl"/>
        </w:rPr>
        <w:t>ar</w:t>
      </w:r>
      <w:r w:rsidR="00A52CEB" w:rsidRPr="00667A14">
        <w:rPr>
          <w:rFonts w:asciiTheme="majorHAnsi" w:hAnsiTheme="majorHAnsi" w:cs="Arial"/>
          <w:lang w:val="es-ES_tradnl"/>
        </w:rPr>
        <w:t xml:space="preserve"> la aplicación de las recomendaciones formuladas en los informes de las MRA y eval</w:t>
      </w:r>
      <w:r w:rsidR="00C40925">
        <w:rPr>
          <w:rFonts w:asciiTheme="majorHAnsi" w:hAnsiTheme="majorHAnsi" w:cs="Arial"/>
          <w:lang w:val="es-ES_tradnl"/>
        </w:rPr>
        <w:t>uar</w:t>
      </w:r>
      <w:r w:rsidR="00A52CEB" w:rsidRPr="00667A14">
        <w:rPr>
          <w:rFonts w:asciiTheme="majorHAnsi" w:hAnsiTheme="majorHAnsi" w:cs="Arial"/>
          <w:lang w:val="es-ES_tradnl"/>
        </w:rPr>
        <w:t xml:space="preserve"> </w:t>
      </w:r>
      <w:r w:rsidR="009E0F53" w:rsidRPr="00667A14">
        <w:rPr>
          <w:rFonts w:asciiTheme="majorHAnsi" w:hAnsiTheme="majorHAnsi" w:cs="Arial"/>
          <w:lang w:val="es-ES_tradnl"/>
        </w:rPr>
        <w:t xml:space="preserve">los resultados </w:t>
      </w:r>
      <w:r w:rsidR="00A52CEB" w:rsidRPr="00667A14">
        <w:rPr>
          <w:rFonts w:asciiTheme="majorHAnsi" w:hAnsiTheme="majorHAnsi" w:cs="Arial"/>
          <w:lang w:val="es-ES_tradnl"/>
        </w:rPr>
        <w:t>e inform</w:t>
      </w:r>
      <w:r w:rsidR="00C40925">
        <w:rPr>
          <w:rFonts w:asciiTheme="majorHAnsi" w:hAnsiTheme="majorHAnsi" w:cs="Arial"/>
          <w:lang w:val="es-ES_tradnl"/>
        </w:rPr>
        <w:t>ar</w:t>
      </w:r>
      <w:r w:rsidR="00A52CEB" w:rsidRPr="00667A14">
        <w:rPr>
          <w:rFonts w:asciiTheme="majorHAnsi" w:hAnsiTheme="majorHAnsi" w:cs="Arial"/>
          <w:lang w:val="es-ES_tradnl"/>
        </w:rPr>
        <w:t xml:space="preserve"> sobre </w:t>
      </w:r>
      <w:r w:rsidR="009E0F53" w:rsidRPr="00667A14">
        <w:rPr>
          <w:rFonts w:asciiTheme="majorHAnsi" w:hAnsiTheme="majorHAnsi" w:cs="Arial"/>
          <w:lang w:val="es-ES_tradnl"/>
        </w:rPr>
        <w:t>ellos</w:t>
      </w:r>
      <w:r w:rsidRPr="00667A14">
        <w:rPr>
          <w:rFonts w:asciiTheme="majorHAnsi" w:hAnsiTheme="majorHAnsi"/>
          <w:lang w:val="es-ES_tradnl"/>
        </w:rPr>
        <w:t>;</w:t>
      </w:r>
    </w:p>
    <w:p w14:paraId="72073D63" w14:textId="77777777" w:rsidR="00CC00D5" w:rsidRPr="00667A14" w:rsidRDefault="00CC00D5" w:rsidP="00CC5AE4">
      <w:pPr>
        <w:spacing w:after="0" w:line="240" w:lineRule="auto"/>
        <w:ind w:left="425" w:hanging="425"/>
        <w:rPr>
          <w:rFonts w:asciiTheme="majorHAnsi" w:hAnsiTheme="majorHAnsi"/>
          <w:lang w:val="es-ES_tradnl"/>
        </w:rPr>
      </w:pPr>
    </w:p>
    <w:p w14:paraId="1ACAF0B5" w14:textId="75335BFD"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w:t>
      </w:r>
      <w:r w:rsidR="00545D06">
        <w:rPr>
          <w:rFonts w:asciiTheme="majorHAnsi" w:hAnsiTheme="majorHAnsi"/>
          <w:lang w:val="es-ES_tradnl"/>
        </w:rPr>
        <w:t>4</w:t>
      </w:r>
      <w:r w:rsidRPr="00667A14">
        <w:rPr>
          <w:rFonts w:asciiTheme="majorHAnsi" w:hAnsiTheme="majorHAnsi"/>
          <w:lang w:val="es-ES_tradnl"/>
        </w:rPr>
        <w:t>.</w:t>
      </w:r>
      <w:r w:rsidRPr="00667A14">
        <w:rPr>
          <w:rFonts w:asciiTheme="majorHAnsi" w:hAnsiTheme="majorHAnsi"/>
          <w:lang w:val="es-ES_tradnl"/>
        </w:rPr>
        <w:tab/>
      </w:r>
      <w:r w:rsidR="009E0F53" w:rsidRPr="00667A14">
        <w:rPr>
          <w:rFonts w:asciiTheme="majorHAnsi" w:hAnsiTheme="majorHAnsi" w:cs="Arial"/>
          <w:lang w:val="es-ES_tradnl"/>
        </w:rPr>
        <w:t>REAFIRMA que los informes de las MRA son documentos públicos una vez que las Partes interesadas hayan tenido la oportunidad de aprobarlos</w:t>
      </w:r>
      <w:r w:rsidRPr="00667A14">
        <w:rPr>
          <w:rFonts w:asciiTheme="majorHAnsi" w:hAnsiTheme="majorHAnsi"/>
          <w:lang w:val="es-ES_tradnl"/>
        </w:rPr>
        <w:t>;</w:t>
      </w:r>
    </w:p>
    <w:p w14:paraId="76811F66" w14:textId="77777777" w:rsidR="00CC00D5" w:rsidRPr="00667A14" w:rsidRDefault="00CC00D5" w:rsidP="00CC5AE4">
      <w:pPr>
        <w:spacing w:after="0" w:line="240" w:lineRule="auto"/>
        <w:ind w:left="425" w:hanging="425"/>
        <w:rPr>
          <w:rFonts w:asciiTheme="majorHAnsi" w:hAnsiTheme="majorHAnsi"/>
          <w:lang w:val="es-ES_tradnl"/>
        </w:rPr>
      </w:pPr>
    </w:p>
    <w:p w14:paraId="529E8F7A" w14:textId="41AD0731"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lang w:val="es-ES_tradnl"/>
        </w:rPr>
        <w:t>1</w:t>
      </w:r>
      <w:r w:rsidR="00C40925">
        <w:rPr>
          <w:rFonts w:asciiTheme="majorHAnsi" w:hAnsiTheme="majorHAnsi"/>
          <w:lang w:val="es-ES_tradnl"/>
        </w:rPr>
        <w:t>5</w:t>
      </w:r>
      <w:r w:rsidRPr="00667A14">
        <w:rPr>
          <w:rFonts w:asciiTheme="majorHAnsi" w:hAnsiTheme="majorHAnsi"/>
          <w:lang w:val="es-ES_tradnl"/>
        </w:rPr>
        <w:t>.</w:t>
      </w:r>
      <w:r w:rsidRPr="00667A14">
        <w:rPr>
          <w:rFonts w:asciiTheme="majorHAnsi" w:hAnsiTheme="majorHAnsi"/>
          <w:lang w:val="es-ES_tradnl"/>
        </w:rPr>
        <w:tab/>
      </w:r>
      <w:r w:rsidR="00D34FA5" w:rsidRPr="00667A14">
        <w:rPr>
          <w:rFonts w:asciiTheme="majorHAnsi" w:hAnsiTheme="majorHAnsi" w:cs="Arial"/>
          <w:lang w:val="es-ES_tradnl"/>
        </w:rPr>
        <w:t>ENCARGA a la Secretaría que, en consulta con el Grupo de Examen Científico y Técnico (GECT) , elabore orientaciones operativas para las MRA que</w:t>
      </w:r>
      <w:r w:rsidR="00C40925">
        <w:rPr>
          <w:rFonts w:asciiTheme="majorHAnsi" w:hAnsiTheme="majorHAnsi" w:cs="Arial"/>
          <w:lang w:val="es-ES_tradnl"/>
        </w:rPr>
        <w:t xml:space="preserve"> traten</w:t>
      </w:r>
      <w:r w:rsidR="00D34FA5" w:rsidRPr="00667A14">
        <w:rPr>
          <w:rFonts w:asciiTheme="majorHAnsi" w:hAnsiTheme="majorHAnsi" w:cs="Arial"/>
          <w:lang w:val="es-ES_tradnl"/>
        </w:rPr>
        <w:t xml:space="preserve">, entre otras cosas, </w:t>
      </w:r>
      <w:r w:rsidR="00C40925">
        <w:rPr>
          <w:rFonts w:asciiTheme="majorHAnsi" w:hAnsiTheme="majorHAnsi" w:cs="Arial"/>
          <w:lang w:val="es-ES_tradnl"/>
        </w:rPr>
        <w:t xml:space="preserve">de </w:t>
      </w:r>
      <w:r w:rsidR="00D34FA5" w:rsidRPr="00667A14">
        <w:rPr>
          <w:rFonts w:asciiTheme="majorHAnsi" w:hAnsiTheme="majorHAnsi" w:cs="Arial"/>
          <w:lang w:val="es-ES_tradnl"/>
        </w:rPr>
        <w:t>las cuestiones enumeradas en el Anexo 1 a la presente resolución</w:t>
      </w:r>
      <w:r w:rsidR="00C40925">
        <w:rPr>
          <w:rFonts w:asciiTheme="majorHAnsi" w:hAnsiTheme="majorHAnsi" w:cs="Arial"/>
          <w:lang w:val="es-ES_tradnl"/>
        </w:rPr>
        <w:t xml:space="preserve"> y</w:t>
      </w:r>
      <w:r w:rsidR="00D34FA5" w:rsidRPr="00667A14">
        <w:rPr>
          <w:rFonts w:asciiTheme="majorHAnsi" w:hAnsiTheme="majorHAnsi" w:cs="Arial"/>
          <w:lang w:val="es-ES_tradnl"/>
        </w:rPr>
        <w:t xml:space="preserve">, </w:t>
      </w:r>
      <w:r w:rsidR="00C40925">
        <w:rPr>
          <w:rFonts w:asciiTheme="majorHAnsi" w:hAnsiTheme="majorHAnsi" w:cs="Arial"/>
          <w:lang w:val="es-ES_tradnl"/>
        </w:rPr>
        <w:t xml:space="preserve">teniendo debidamente en cuenta </w:t>
      </w:r>
      <w:r w:rsidR="00C845DB">
        <w:rPr>
          <w:rFonts w:asciiTheme="majorHAnsi" w:hAnsiTheme="majorHAnsi" w:cs="Arial"/>
          <w:lang w:val="es-ES_tradnl"/>
        </w:rPr>
        <w:t xml:space="preserve">la nota informativa y la nota sobre políticas sobre MRA publicadas en 2018, </w:t>
      </w:r>
      <w:r w:rsidR="00D34FA5" w:rsidRPr="00667A14">
        <w:rPr>
          <w:rFonts w:asciiTheme="majorHAnsi" w:hAnsiTheme="majorHAnsi" w:cs="Arial"/>
          <w:lang w:val="es-ES_tradnl"/>
        </w:rPr>
        <w:t>para someterlas a la aprobación del Comité Permanente en su 57ª reunión</w:t>
      </w:r>
      <w:r w:rsidRPr="00667A14">
        <w:rPr>
          <w:rFonts w:asciiTheme="majorHAnsi" w:hAnsiTheme="majorHAnsi"/>
          <w:lang w:val="es-ES_tradnl"/>
        </w:rPr>
        <w:t xml:space="preserve">; </w:t>
      </w:r>
    </w:p>
    <w:p w14:paraId="27F32C3D" w14:textId="77777777" w:rsidR="00CC00D5" w:rsidRPr="00667A14" w:rsidRDefault="00CC00D5" w:rsidP="00CC5AE4">
      <w:pPr>
        <w:spacing w:after="0" w:line="240" w:lineRule="auto"/>
        <w:ind w:left="425" w:hanging="425"/>
        <w:rPr>
          <w:rFonts w:asciiTheme="majorHAnsi" w:hAnsiTheme="majorHAnsi"/>
          <w:lang w:val="es-ES_tradnl"/>
        </w:rPr>
      </w:pPr>
    </w:p>
    <w:p w14:paraId="4F481D89" w14:textId="4AAE390A" w:rsidR="00C845DB" w:rsidRDefault="00CC00D5" w:rsidP="00CC5AE4">
      <w:pPr>
        <w:spacing w:after="0" w:line="240" w:lineRule="auto"/>
        <w:ind w:left="425" w:hanging="425"/>
        <w:rPr>
          <w:rFonts w:asciiTheme="majorHAnsi" w:hAnsiTheme="majorHAnsi" w:cs="Arial"/>
          <w:lang w:val="es-ES_tradnl"/>
        </w:rPr>
      </w:pPr>
      <w:r w:rsidRPr="00667A14">
        <w:rPr>
          <w:rFonts w:asciiTheme="majorHAnsi" w:hAnsiTheme="majorHAnsi"/>
          <w:lang w:val="es-ES_tradnl"/>
        </w:rPr>
        <w:t>1</w:t>
      </w:r>
      <w:r w:rsidR="00C845DB">
        <w:rPr>
          <w:rFonts w:asciiTheme="majorHAnsi" w:hAnsiTheme="majorHAnsi"/>
          <w:lang w:val="es-ES_tradnl"/>
        </w:rPr>
        <w:t>6</w:t>
      </w:r>
      <w:r w:rsidRPr="00667A14">
        <w:rPr>
          <w:rFonts w:asciiTheme="majorHAnsi" w:hAnsiTheme="majorHAnsi"/>
          <w:lang w:val="es-ES_tradnl"/>
        </w:rPr>
        <w:t>.</w:t>
      </w:r>
      <w:r w:rsidRPr="00667A14">
        <w:rPr>
          <w:rFonts w:asciiTheme="majorHAnsi" w:hAnsiTheme="majorHAnsi"/>
          <w:lang w:val="es-ES_tradnl"/>
        </w:rPr>
        <w:tab/>
      </w:r>
      <w:r w:rsidR="00D34FA5" w:rsidRPr="00667A14">
        <w:rPr>
          <w:rFonts w:asciiTheme="majorHAnsi" w:hAnsiTheme="majorHAnsi" w:cs="Arial"/>
          <w:lang w:val="es-ES_tradnl"/>
        </w:rPr>
        <w:t xml:space="preserve">PIDE a </w:t>
      </w:r>
      <w:r w:rsidR="00C845DB">
        <w:rPr>
          <w:rFonts w:asciiTheme="majorHAnsi" w:hAnsiTheme="majorHAnsi" w:cs="Arial"/>
          <w:lang w:val="es-ES_tradnl"/>
        </w:rPr>
        <w:t>la Secretaría que cuide de que se incluyan las competencias técnicas regionales en los equipos de las MRA para aprovechar los conocimientos y la experiencia de los expertos nacionales y regionales, comprendidos los de las OIA, las instituciones de investigación y enseñanza y la sociedad civil, según proceda;</w:t>
      </w:r>
    </w:p>
    <w:p w14:paraId="6B6D47F8" w14:textId="77777777" w:rsidR="00C845DB" w:rsidRDefault="00C845DB" w:rsidP="00CC5AE4">
      <w:pPr>
        <w:spacing w:after="0" w:line="240" w:lineRule="auto"/>
        <w:ind w:left="425" w:hanging="425"/>
        <w:rPr>
          <w:rFonts w:asciiTheme="majorHAnsi" w:hAnsiTheme="majorHAnsi" w:cs="Arial"/>
          <w:lang w:val="es-ES_tradnl"/>
        </w:rPr>
      </w:pPr>
    </w:p>
    <w:p w14:paraId="36F4EFBC" w14:textId="37710136" w:rsidR="00CC00D5" w:rsidRPr="00667A14" w:rsidRDefault="00C845DB" w:rsidP="00CC5AE4">
      <w:pPr>
        <w:spacing w:after="0" w:line="240" w:lineRule="auto"/>
        <w:ind w:left="425" w:hanging="425"/>
        <w:rPr>
          <w:rFonts w:asciiTheme="majorHAnsi" w:hAnsiTheme="majorHAnsi"/>
          <w:lang w:val="es-ES_tradnl"/>
        </w:rPr>
      </w:pPr>
      <w:bookmarkStart w:id="0" w:name="_GoBack"/>
      <w:bookmarkEnd w:id="0"/>
      <w:r>
        <w:rPr>
          <w:rFonts w:asciiTheme="majorHAnsi" w:hAnsiTheme="majorHAnsi" w:cs="Arial"/>
          <w:lang w:val="es-ES_tradnl"/>
        </w:rPr>
        <w:t>17.</w:t>
      </w:r>
      <w:r>
        <w:rPr>
          <w:rFonts w:asciiTheme="majorHAnsi" w:hAnsiTheme="majorHAnsi" w:cs="Arial"/>
          <w:lang w:val="es-ES_tradnl"/>
        </w:rPr>
        <w:tab/>
      </w:r>
      <w:r w:rsidR="007D674E">
        <w:rPr>
          <w:rFonts w:asciiTheme="majorHAnsi" w:hAnsiTheme="majorHAnsi" w:cs="Arial"/>
          <w:lang w:val="es-ES_tradnl"/>
        </w:rPr>
        <w:t>INVITA a</w:t>
      </w:r>
      <w:r>
        <w:rPr>
          <w:rFonts w:asciiTheme="majorHAnsi" w:hAnsiTheme="majorHAnsi" w:cs="Arial"/>
          <w:lang w:val="es-ES_tradnl"/>
        </w:rPr>
        <w:t xml:space="preserve"> </w:t>
      </w:r>
      <w:r w:rsidR="00D34FA5" w:rsidRPr="00667A14">
        <w:rPr>
          <w:rFonts w:asciiTheme="majorHAnsi" w:hAnsiTheme="majorHAnsi" w:cs="Arial"/>
          <w:lang w:val="es-ES_tradnl"/>
        </w:rPr>
        <w:t>las Partes, al sector privado</w:t>
      </w:r>
      <w:r w:rsidR="007D674E">
        <w:rPr>
          <w:rFonts w:asciiTheme="majorHAnsi" w:hAnsiTheme="majorHAnsi" w:cs="Arial"/>
          <w:lang w:val="es-ES_tradnl"/>
        </w:rPr>
        <w:t>, a las entidades financieras</w:t>
      </w:r>
      <w:r w:rsidR="00D34FA5" w:rsidRPr="00667A14">
        <w:rPr>
          <w:rFonts w:asciiTheme="majorHAnsi" w:hAnsiTheme="majorHAnsi" w:cs="Arial"/>
          <w:lang w:val="es-ES_tradnl"/>
        </w:rPr>
        <w:t xml:space="preserve"> y a otros que </w:t>
      </w:r>
      <w:r w:rsidR="007D674E">
        <w:rPr>
          <w:rFonts w:asciiTheme="majorHAnsi" w:hAnsiTheme="majorHAnsi" w:cs="Arial"/>
          <w:lang w:val="es-ES_tradnl"/>
        </w:rPr>
        <w:t xml:space="preserve">puedan hacerlo a que </w:t>
      </w:r>
      <w:r w:rsidR="00D34FA5" w:rsidRPr="00667A14">
        <w:rPr>
          <w:rFonts w:asciiTheme="majorHAnsi" w:hAnsiTheme="majorHAnsi" w:cs="Arial"/>
          <w:lang w:val="es-ES_tradnl"/>
        </w:rPr>
        <w:t xml:space="preserve">estudien la posibilidad de realizar contribuciones voluntarias adicionales para apoyar a las MRA; y ENCARGA TAMBIÉN a la Secretaría que </w:t>
      </w:r>
      <w:r w:rsidR="00F544FE" w:rsidRPr="00667A14">
        <w:rPr>
          <w:rFonts w:asciiTheme="majorHAnsi" w:hAnsiTheme="majorHAnsi" w:cs="Arial"/>
          <w:lang w:val="es-ES_tradnl"/>
        </w:rPr>
        <w:t>tenga en cuenta</w:t>
      </w:r>
      <w:r w:rsidR="00D34FA5" w:rsidRPr="00667A14">
        <w:rPr>
          <w:rFonts w:asciiTheme="majorHAnsi" w:hAnsiTheme="majorHAnsi" w:cs="Arial"/>
          <w:lang w:val="es-ES_tradnl"/>
        </w:rPr>
        <w:t xml:space="preserve"> las necesidades de financiación del mecanismo de las MRA en su Plan de trabajo sobre la movilización de recursos</w:t>
      </w:r>
      <w:r w:rsidR="007D674E">
        <w:rPr>
          <w:rFonts w:asciiTheme="majorHAnsi" w:hAnsiTheme="majorHAnsi" w:cs="Arial"/>
          <w:lang w:val="es-ES_tradnl"/>
        </w:rPr>
        <w:t xml:space="preserve"> y al ejecutar su plan de trabajo</w:t>
      </w:r>
      <w:r w:rsidR="00CC00D5" w:rsidRPr="00667A14">
        <w:rPr>
          <w:rFonts w:asciiTheme="majorHAnsi" w:hAnsiTheme="majorHAnsi"/>
          <w:lang w:val="es-ES_tradnl"/>
        </w:rPr>
        <w:t>;</w:t>
      </w:r>
    </w:p>
    <w:p w14:paraId="6D9DD563" w14:textId="77777777" w:rsidR="00CC00D5" w:rsidRPr="00667A14" w:rsidRDefault="00CC00D5" w:rsidP="00CC5AE4">
      <w:pPr>
        <w:spacing w:after="0" w:line="240" w:lineRule="auto"/>
        <w:ind w:left="425" w:hanging="425"/>
        <w:rPr>
          <w:rFonts w:asciiTheme="majorHAnsi" w:hAnsiTheme="majorHAnsi"/>
          <w:lang w:val="es-ES_tradnl"/>
        </w:rPr>
      </w:pPr>
    </w:p>
    <w:p w14:paraId="5B102BDA" w14:textId="305A84BF" w:rsidR="00CC00D5" w:rsidRDefault="00CC00D5" w:rsidP="00CC5AE4">
      <w:pPr>
        <w:spacing w:after="0" w:line="240" w:lineRule="auto"/>
        <w:ind w:left="425" w:hanging="425"/>
        <w:rPr>
          <w:rFonts w:asciiTheme="majorHAnsi" w:hAnsiTheme="majorHAnsi" w:cs="Arial"/>
          <w:lang w:val="es-ES_tradnl"/>
        </w:rPr>
      </w:pPr>
      <w:r w:rsidRPr="00667A14">
        <w:rPr>
          <w:rFonts w:asciiTheme="majorHAnsi" w:hAnsiTheme="majorHAnsi"/>
          <w:lang w:val="es-ES_tradnl"/>
        </w:rPr>
        <w:lastRenderedPageBreak/>
        <w:t>1</w:t>
      </w:r>
      <w:r w:rsidR="007D674E">
        <w:rPr>
          <w:rFonts w:asciiTheme="majorHAnsi" w:hAnsiTheme="majorHAnsi"/>
          <w:lang w:val="es-ES_tradnl"/>
        </w:rPr>
        <w:t>8</w:t>
      </w:r>
      <w:r w:rsidRPr="00667A14">
        <w:rPr>
          <w:rFonts w:asciiTheme="majorHAnsi" w:hAnsiTheme="majorHAnsi"/>
          <w:lang w:val="es-ES_tradnl"/>
        </w:rPr>
        <w:t>.</w:t>
      </w:r>
      <w:r w:rsidRPr="00667A14">
        <w:rPr>
          <w:rFonts w:asciiTheme="majorHAnsi" w:hAnsiTheme="majorHAnsi"/>
          <w:lang w:val="es-ES_tradnl"/>
        </w:rPr>
        <w:tab/>
      </w:r>
      <w:r w:rsidR="00D34FA5" w:rsidRPr="00667A14">
        <w:rPr>
          <w:rFonts w:asciiTheme="majorHAnsi" w:hAnsiTheme="majorHAnsi" w:cs="Arial"/>
          <w:lang w:val="es-ES_tradnl"/>
        </w:rPr>
        <w:t xml:space="preserve">AGRADECE al GECT su </w:t>
      </w:r>
      <w:r w:rsidR="007D674E">
        <w:rPr>
          <w:rFonts w:asciiTheme="majorHAnsi" w:hAnsiTheme="majorHAnsi" w:cs="Arial"/>
          <w:lang w:val="es-ES_tradnl"/>
        </w:rPr>
        <w:t xml:space="preserve">útil </w:t>
      </w:r>
      <w:r w:rsidR="00D34FA5" w:rsidRPr="00667A14">
        <w:rPr>
          <w:rFonts w:asciiTheme="majorHAnsi" w:hAnsiTheme="majorHAnsi" w:cs="Arial"/>
          <w:lang w:val="es-ES_tradnl"/>
        </w:rPr>
        <w:t>labor realizada durante el trienio 2015-2018 para examinar las experiencias pasadas de las MRA;</w:t>
      </w:r>
    </w:p>
    <w:p w14:paraId="62890AC9" w14:textId="77777777" w:rsidR="007D674E" w:rsidRDefault="007D674E" w:rsidP="00CC5AE4">
      <w:pPr>
        <w:spacing w:after="0" w:line="240" w:lineRule="auto"/>
        <w:ind w:left="425" w:hanging="425"/>
        <w:rPr>
          <w:rFonts w:asciiTheme="majorHAnsi" w:hAnsiTheme="majorHAnsi"/>
          <w:lang w:val="es-ES_tradnl"/>
        </w:rPr>
      </w:pPr>
    </w:p>
    <w:p w14:paraId="2BD6A32F" w14:textId="1BA3636A" w:rsidR="007D674E" w:rsidRPr="00667A14" w:rsidRDefault="007D674E" w:rsidP="00CC5AE4">
      <w:pPr>
        <w:spacing w:after="0" w:line="240" w:lineRule="auto"/>
        <w:ind w:left="425" w:hanging="425"/>
        <w:rPr>
          <w:rFonts w:asciiTheme="majorHAnsi" w:hAnsiTheme="majorHAnsi"/>
          <w:lang w:val="es-ES_tradnl"/>
        </w:rPr>
      </w:pPr>
      <w:r>
        <w:rPr>
          <w:rFonts w:asciiTheme="majorHAnsi" w:hAnsiTheme="majorHAnsi"/>
          <w:lang w:val="es-ES_tradnl"/>
        </w:rPr>
        <w:t>19.</w:t>
      </w:r>
      <w:r>
        <w:rPr>
          <w:rFonts w:asciiTheme="majorHAnsi" w:hAnsiTheme="majorHAnsi"/>
          <w:lang w:val="es-ES_tradnl"/>
        </w:rPr>
        <w:tab/>
        <w:t xml:space="preserve">PIDE a la Secretaría que, según proceda y previa solicitud, asesore a las Partes Contratantes en sus esfuerzos por gestionar los sitios del Registro de Montreux y los sitios a propósito de los cuales se hayan recibido informes relativos a cambios negativos en sus características ecológicas, haciendo participar a los Centros Regionales en esos esfuerzos si viniere al caso; y PIDE ADEMÁS al GECT que, de conformidad con su </w:t>
      </w:r>
      <w:r w:rsidR="00AA0DB7">
        <w:rPr>
          <w:rFonts w:asciiTheme="majorHAnsi" w:hAnsiTheme="majorHAnsi"/>
          <w:lang w:val="es-ES_tradnl"/>
        </w:rPr>
        <w:t>ámbito de aplicación</w:t>
      </w:r>
      <w:r>
        <w:rPr>
          <w:rFonts w:asciiTheme="majorHAnsi" w:hAnsiTheme="majorHAnsi"/>
          <w:lang w:val="es-ES_tradnl"/>
        </w:rPr>
        <w:t xml:space="preserve">, su mandato y sus áreas </w:t>
      </w:r>
      <w:r w:rsidR="00505B81">
        <w:rPr>
          <w:rFonts w:asciiTheme="majorHAnsi" w:hAnsiTheme="majorHAnsi"/>
          <w:lang w:val="es-ES_tradnl"/>
        </w:rPr>
        <w:t xml:space="preserve">temáticas </w:t>
      </w:r>
      <w:r>
        <w:rPr>
          <w:rFonts w:asciiTheme="majorHAnsi" w:hAnsiTheme="majorHAnsi"/>
          <w:lang w:val="es-ES_tradnl"/>
        </w:rPr>
        <w:t>de trabajo</w:t>
      </w:r>
      <w:r w:rsidR="00505B81">
        <w:rPr>
          <w:rFonts w:asciiTheme="majorHAnsi" w:hAnsiTheme="majorHAnsi"/>
          <w:lang w:val="es-ES_tradnl"/>
        </w:rPr>
        <w:t xml:space="preserve"> para 2019-2021, cuando elabore su proyecto de plan de trabajo para presentarlo a la 57ª reunión del Comité Permanente, se plantee la conveniencia de trabajar junto con la Secretaría para apoyar los mencionados esfuerzos;</w:t>
      </w:r>
    </w:p>
    <w:p w14:paraId="166F31D3" w14:textId="6AF57958" w:rsidR="00CC00D5" w:rsidRPr="00667A14" w:rsidRDefault="00CC00D5" w:rsidP="00CC5AE4">
      <w:pPr>
        <w:spacing w:after="0" w:line="240" w:lineRule="auto"/>
        <w:ind w:left="425" w:hanging="425"/>
        <w:rPr>
          <w:rFonts w:asciiTheme="majorHAnsi" w:hAnsiTheme="majorHAnsi"/>
          <w:lang w:val="es-ES_tradnl"/>
        </w:rPr>
      </w:pPr>
    </w:p>
    <w:p w14:paraId="42D72725" w14:textId="66298CAF" w:rsidR="00CC00D5" w:rsidRDefault="00505B81" w:rsidP="00CC5AE4">
      <w:pPr>
        <w:spacing w:after="0" w:line="240" w:lineRule="auto"/>
        <w:ind w:left="425" w:hanging="425"/>
        <w:rPr>
          <w:rFonts w:asciiTheme="majorHAnsi" w:hAnsiTheme="majorHAnsi"/>
          <w:lang w:val="es-ES_tradnl"/>
        </w:rPr>
      </w:pPr>
      <w:r>
        <w:rPr>
          <w:rFonts w:asciiTheme="majorHAnsi" w:hAnsiTheme="majorHAnsi"/>
          <w:lang w:val="es-ES_tradnl"/>
        </w:rPr>
        <w:t>20</w:t>
      </w:r>
      <w:r w:rsidR="00CC00D5" w:rsidRPr="00667A14">
        <w:rPr>
          <w:rFonts w:asciiTheme="majorHAnsi" w:hAnsiTheme="majorHAnsi"/>
          <w:lang w:val="es-ES_tradnl"/>
        </w:rPr>
        <w:t>.</w:t>
      </w:r>
      <w:r w:rsidR="00CC00D5" w:rsidRPr="00667A14">
        <w:rPr>
          <w:rFonts w:asciiTheme="majorHAnsi" w:hAnsiTheme="majorHAnsi"/>
          <w:lang w:val="es-ES_tradnl"/>
        </w:rPr>
        <w:tab/>
      </w:r>
      <w:r w:rsidR="00D34FA5" w:rsidRPr="00667A14">
        <w:rPr>
          <w:rFonts w:asciiTheme="majorHAnsi" w:hAnsiTheme="majorHAnsi" w:cs="Arial"/>
          <w:lang w:val="es-ES_tradnl"/>
        </w:rPr>
        <w:t xml:space="preserve">PIDE a la Secretaría que </w:t>
      </w:r>
      <w:r w:rsidR="00F544FE" w:rsidRPr="00667A14">
        <w:rPr>
          <w:rFonts w:asciiTheme="majorHAnsi" w:hAnsiTheme="majorHAnsi" w:cs="Arial"/>
          <w:lang w:val="es-ES_tradnl"/>
        </w:rPr>
        <w:t>prepare</w:t>
      </w:r>
      <w:r w:rsidR="00D34FA5" w:rsidRPr="00667A14">
        <w:rPr>
          <w:rFonts w:asciiTheme="majorHAnsi" w:hAnsiTheme="majorHAnsi" w:cs="Arial"/>
          <w:lang w:val="es-ES_tradnl"/>
        </w:rPr>
        <w:t xml:space="preserve"> un</w:t>
      </w:r>
      <w:r w:rsidR="00D34FA5" w:rsidRPr="00667A14">
        <w:rPr>
          <w:rFonts w:asciiTheme="majorHAnsi" w:hAnsiTheme="majorHAnsi"/>
          <w:lang w:val="es-ES_tradnl"/>
        </w:rPr>
        <w:t xml:space="preserve"> </w:t>
      </w:r>
      <w:r w:rsidR="00D34FA5" w:rsidRPr="00667A14">
        <w:rPr>
          <w:rFonts w:asciiTheme="majorHAnsi" w:hAnsiTheme="majorHAnsi" w:cs="Arial"/>
          <w:lang w:val="es-ES_tradnl"/>
        </w:rPr>
        <w:t>folleto informativo descargable en todos los idiomas oficiales en el que se expliquen las oportunidades que presentan las MRA para ayudar a las Partes a aplicar la Convención</w:t>
      </w:r>
      <w:r w:rsidR="00CC00D5" w:rsidRPr="00667A14">
        <w:rPr>
          <w:rFonts w:asciiTheme="majorHAnsi" w:hAnsiTheme="majorHAnsi"/>
          <w:lang w:val="es-ES_tradnl"/>
        </w:rPr>
        <w:t xml:space="preserve">. </w:t>
      </w:r>
    </w:p>
    <w:p w14:paraId="0629ADDE" w14:textId="77777777" w:rsidR="00505B81" w:rsidRDefault="00505B81" w:rsidP="00CC5AE4">
      <w:pPr>
        <w:spacing w:after="0" w:line="240" w:lineRule="auto"/>
        <w:ind w:left="425" w:hanging="425"/>
        <w:rPr>
          <w:rFonts w:asciiTheme="majorHAnsi" w:hAnsiTheme="majorHAnsi"/>
          <w:lang w:val="es-ES_tradnl"/>
        </w:rPr>
      </w:pPr>
    </w:p>
    <w:p w14:paraId="02D72CB8" w14:textId="736452A9" w:rsidR="00505B81" w:rsidRPr="00667A14" w:rsidRDefault="00505B81" w:rsidP="00CC5AE4">
      <w:pPr>
        <w:spacing w:after="0" w:line="240" w:lineRule="auto"/>
        <w:ind w:left="425" w:hanging="425"/>
        <w:rPr>
          <w:rFonts w:asciiTheme="majorHAnsi" w:hAnsiTheme="majorHAnsi"/>
          <w:lang w:val="es-ES_tradnl"/>
        </w:rPr>
      </w:pPr>
      <w:r>
        <w:rPr>
          <w:rFonts w:asciiTheme="majorHAnsi" w:hAnsiTheme="majorHAnsi"/>
          <w:lang w:val="es-ES_tradnl"/>
        </w:rPr>
        <w:t>21.</w:t>
      </w:r>
      <w:r>
        <w:rPr>
          <w:rFonts w:asciiTheme="majorHAnsi" w:hAnsiTheme="majorHAnsi"/>
          <w:lang w:val="es-ES_tradnl"/>
        </w:rPr>
        <w:tab/>
        <w:t xml:space="preserve">PIDE ADEMÁS a la Secretaría que presente con prontitud al GECT todas las solicitudes de las Partes Contratantes de retirada de un sitio Ramsar del Registro de Montreux y que informe diligentemente a la Parte Contratante y al Comité Permanente de la recomendación del GECT sobre la decisión </w:t>
      </w:r>
      <w:r w:rsidR="002C5ABB">
        <w:rPr>
          <w:rFonts w:asciiTheme="majorHAnsi" w:hAnsiTheme="majorHAnsi"/>
          <w:lang w:val="es-ES_tradnl"/>
        </w:rPr>
        <w:t>que convenga adoptar s</w:t>
      </w:r>
      <w:r>
        <w:rPr>
          <w:rFonts w:asciiTheme="majorHAnsi" w:hAnsiTheme="majorHAnsi"/>
          <w:lang w:val="es-ES_tradnl"/>
        </w:rPr>
        <w:t>obre tales solicitudes.</w:t>
      </w:r>
    </w:p>
    <w:p w14:paraId="530598D2" w14:textId="77777777" w:rsidR="00CC00D5" w:rsidRPr="00667A14" w:rsidRDefault="00CC00D5" w:rsidP="00CC00D5">
      <w:pPr>
        <w:spacing w:after="0" w:line="240" w:lineRule="auto"/>
        <w:ind w:left="425" w:hanging="425"/>
        <w:rPr>
          <w:rFonts w:asciiTheme="majorHAnsi" w:hAnsiTheme="majorHAnsi" w:cs="Arial"/>
          <w:bCs/>
          <w:lang w:val="es-ES_tradnl"/>
        </w:rPr>
      </w:pPr>
    </w:p>
    <w:p w14:paraId="18C49D16" w14:textId="77777777" w:rsidR="00CC00D5" w:rsidRPr="00667A14" w:rsidRDefault="00CC00D5" w:rsidP="00CC5AE4">
      <w:pPr>
        <w:spacing w:after="0" w:line="240" w:lineRule="auto"/>
        <w:ind w:left="425" w:hanging="425"/>
        <w:rPr>
          <w:rFonts w:asciiTheme="majorHAnsi" w:hAnsiTheme="majorHAnsi"/>
          <w:lang w:val="es-ES_tradnl"/>
        </w:rPr>
      </w:pPr>
      <w:r w:rsidRPr="00667A14">
        <w:rPr>
          <w:rFonts w:asciiTheme="majorHAnsi" w:hAnsiTheme="majorHAnsi" w:cs="Arial"/>
          <w:bCs/>
          <w:lang w:val="es-ES_tradnl"/>
        </w:rPr>
        <w:t> </w:t>
      </w:r>
    </w:p>
    <w:p w14:paraId="49CB24F1" w14:textId="77777777" w:rsidR="00CC00D5" w:rsidRPr="00667A14" w:rsidRDefault="00CC00D5">
      <w:pPr>
        <w:spacing w:after="0" w:line="240" w:lineRule="auto"/>
        <w:rPr>
          <w:rFonts w:asciiTheme="majorHAnsi" w:hAnsiTheme="majorHAnsi"/>
          <w:lang w:val="es-ES_tradnl"/>
        </w:rPr>
      </w:pPr>
      <w:bookmarkStart w:id="1" w:name="_Toc301966924"/>
      <w:r w:rsidRPr="00667A14">
        <w:rPr>
          <w:rFonts w:asciiTheme="majorHAnsi" w:hAnsiTheme="majorHAnsi"/>
          <w:lang w:val="es-ES_tradnl"/>
        </w:rPr>
        <w:br w:type="page"/>
      </w:r>
    </w:p>
    <w:p w14:paraId="11550420" w14:textId="31435471" w:rsidR="00CC00D5" w:rsidRPr="00667A14" w:rsidRDefault="00D34FA5" w:rsidP="00CC5AE4">
      <w:pPr>
        <w:spacing w:after="0" w:line="240" w:lineRule="auto"/>
        <w:ind w:left="425" w:hanging="425"/>
        <w:rPr>
          <w:rFonts w:asciiTheme="majorHAnsi" w:hAnsiTheme="majorHAnsi"/>
          <w:b/>
          <w:sz w:val="24"/>
          <w:lang w:val="es-ES_tradnl"/>
        </w:rPr>
      </w:pPr>
      <w:r w:rsidRPr="00667A14">
        <w:rPr>
          <w:rFonts w:asciiTheme="majorHAnsi" w:hAnsiTheme="majorHAnsi"/>
          <w:b/>
          <w:sz w:val="24"/>
          <w:lang w:val="es-ES_tradnl"/>
        </w:rPr>
        <w:lastRenderedPageBreak/>
        <w:t>Anexo</w:t>
      </w:r>
      <w:r w:rsidR="00CC00D5" w:rsidRPr="00667A14">
        <w:rPr>
          <w:rFonts w:asciiTheme="majorHAnsi" w:hAnsiTheme="majorHAnsi"/>
          <w:b/>
          <w:sz w:val="24"/>
          <w:lang w:val="es-ES_tradnl"/>
        </w:rPr>
        <w:t xml:space="preserve"> 1</w:t>
      </w:r>
    </w:p>
    <w:p w14:paraId="058BF98C" w14:textId="77777777" w:rsidR="00CC00D5" w:rsidRPr="00667A14" w:rsidRDefault="00CC00D5" w:rsidP="00CC5AE4">
      <w:pPr>
        <w:spacing w:after="0" w:line="240" w:lineRule="auto"/>
        <w:ind w:left="425" w:hanging="425"/>
        <w:rPr>
          <w:rFonts w:asciiTheme="majorHAnsi" w:hAnsiTheme="majorHAnsi"/>
          <w:sz w:val="24"/>
          <w:lang w:val="es-ES_tradnl"/>
        </w:rPr>
      </w:pPr>
    </w:p>
    <w:p w14:paraId="713E30E2" w14:textId="6306F1BC" w:rsidR="00CC00D5" w:rsidRPr="00667A14" w:rsidRDefault="00D34FA5" w:rsidP="00D34FA5">
      <w:pPr>
        <w:spacing w:after="0" w:line="240" w:lineRule="auto"/>
        <w:rPr>
          <w:rFonts w:asciiTheme="majorHAnsi" w:hAnsiTheme="majorHAnsi"/>
          <w:b/>
          <w:sz w:val="24"/>
          <w:szCs w:val="24"/>
          <w:lang w:val="es-ES_tradnl"/>
        </w:rPr>
      </w:pPr>
      <w:r w:rsidRPr="00667A14">
        <w:rPr>
          <w:rFonts w:asciiTheme="majorHAnsi" w:hAnsiTheme="majorHAnsi"/>
          <w:b/>
          <w:sz w:val="24"/>
          <w:szCs w:val="24"/>
          <w:lang w:val="es-ES_tradnl"/>
        </w:rPr>
        <w:t xml:space="preserve">Elaboración de </w:t>
      </w:r>
      <w:r w:rsidR="00667A14" w:rsidRPr="00667A14">
        <w:rPr>
          <w:rFonts w:asciiTheme="majorHAnsi" w:hAnsiTheme="majorHAnsi"/>
          <w:b/>
          <w:sz w:val="24"/>
          <w:szCs w:val="24"/>
          <w:lang w:val="es-ES_tradnl"/>
        </w:rPr>
        <w:t>orientaciones</w:t>
      </w:r>
      <w:r w:rsidRPr="00667A14">
        <w:rPr>
          <w:rFonts w:asciiTheme="majorHAnsi" w:hAnsiTheme="majorHAnsi"/>
          <w:b/>
          <w:sz w:val="24"/>
          <w:szCs w:val="24"/>
          <w:lang w:val="es-ES_tradnl"/>
        </w:rPr>
        <w:t xml:space="preserve"> operativas prácticas y técnicas para las Partes Contratantes, la Secretaría y otros interesados en forma de un manual simple que describa los procedimientos a seguir y que </w:t>
      </w:r>
      <w:r w:rsidR="00505B81">
        <w:rPr>
          <w:rFonts w:asciiTheme="majorHAnsi" w:hAnsiTheme="majorHAnsi"/>
          <w:b/>
          <w:sz w:val="24"/>
          <w:szCs w:val="24"/>
          <w:lang w:val="es-ES_tradnl"/>
        </w:rPr>
        <w:t>trate</w:t>
      </w:r>
      <w:r w:rsidRPr="00667A14">
        <w:rPr>
          <w:rFonts w:asciiTheme="majorHAnsi" w:hAnsiTheme="majorHAnsi"/>
          <w:b/>
          <w:sz w:val="24"/>
          <w:szCs w:val="24"/>
          <w:lang w:val="es-ES_tradnl"/>
        </w:rPr>
        <w:t xml:space="preserve">, entre otras cosas, </w:t>
      </w:r>
      <w:r w:rsidR="00505B81">
        <w:rPr>
          <w:rFonts w:asciiTheme="majorHAnsi" w:hAnsiTheme="majorHAnsi"/>
          <w:b/>
          <w:sz w:val="24"/>
          <w:szCs w:val="24"/>
          <w:lang w:val="es-ES_tradnl"/>
        </w:rPr>
        <w:t xml:space="preserve">de </w:t>
      </w:r>
      <w:r w:rsidRPr="00667A14">
        <w:rPr>
          <w:rFonts w:asciiTheme="majorHAnsi" w:hAnsiTheme="majorHAnsi"/>
          <w:b/>
          <w:sz w:val="24"/>
          <w:szCs w:val="24"/>
          <w:lang w:val="es-ES_tradnl"/>
        </w:rPr>
        <w:t>los temas siguientes</w:t>
      </w:r>
    </w:p>
    <w:p w14:paraId="1D3377ED" w14:textId="77777777" w:rsidR="00D34FA5" w:rsidRPr="00667A14" w:rsidRDefault="00D34FA5" w:rsidP="00D34FA5">
      <w:pPr>
        <w:spacing w:after="0" w:line="240" w:lineRule="auto"/>
        <w:rPr>
          <w:rFonts w:asciiTheme="majorHAnsi" w:hAnsiTheme="majorHAnsi"/>
          <w:lang w:val="es-ES_tradnl"/>
        </w:rPr>
      </w:pPr>
    </w:p>
    <w:bookmarkEnd w:id="1"/>
    <w:p w14:paraId="587BE0DE" w14:textId="5E6B483D" w:rsidR="00F544FE" w:rsidRPr="00667A14" w:rsidRDefault="00CC00D5" w:rsidP="00F544FE">
      <w:pPr>
        <w:spacing w:after="0" w:line="240" w:lineRule="auto"/>
        <w:ind w:left="425" w:hanging="425"/>
        <w:rPr>
          <w:rFonts w:asciiTheme="majorHAnsi" w:hAnsiTheme="majorHAnsi"/>
          <w:lang w:val="es-ES_tradnl"/>
        </w:rPr>
      </w:pPr>
      <w:r w:rsidRPr="00667A14">
        <w:rPr>
          <w:rFonts w:asciiTheme="majorHAnsi" w:hAnsiTheme="majorHAnsi" w:cs="Arial"/>
          <w:bCs/>
          <w:lang w:val="es-ES_tradnl"/>
        </w:rPr>
        <w:t>•</w:t>
      </w:r>
      <w:r w:rsidRPr="00667A14">
        <w:rPr>
          <w:rFonts w:asciiTheme="majorHAnsi" w:hAnsiTheme="majorHAnsi" w:cs="Arial"/>
          <w:bCs/>
          <w:lang w:val="es-ES_tradnl"/>
        </w:rPr>
        <w:tab/>
      </w:r>
      <w:r w:rsidR="00D34FA5" w:rsidRPr="00667A14">
        <w:rPr>
          <w:rFonts w:asciiTheme="majorHAnsi" w:hAnsiTheme="majorHAnsi"/>
          <w:lang w:val="es-ES_tradnl"/>
        </w:rPr>
        <w:t xml:space="preserve">Circunstancias que dan lugar a la propuesta de una </w:t>
      </w:r>
      <w:r w:rsidR="001D6D26" w:rsidRPr="001D6D26">
        <w:rPr>
          <w:rFonts w:asciiTheme="majorHAnsi" w:hAnsiTheme="majorHAnsi"/>
          <w:lang w:val="es-ES_tradnl"/>
        </w:rPr>
        <w:t>Misión Ramsar de Asesoramiento (MRA)</w:t>
      </w:r>
    </w:p>
    <w:p w14:paraId="03C4A4BF" w14:textId="77777777" w:rsidR="00F544FE" w:rsidRPr="00667A14" w:rsidRDefault="00F544FE" w:rsidP="00F544FE">
      <w:pPr>
        <w:spacing w:after="0" w:line="240" w:lineRule="auto"/>
        <w:ind w:left="425" w:hanging="425"/>
        <w:rPr>
          <w:rFonts w:asciiTheme="majorHAnsi" w:hAnsiTheme="majorHAnsi"/>
          <w:lang w:val="es-ES_tradnl"/>
        </w:rPr>
      </w:pPr>
    </w:p>
    <w:p w14:paraId="6FC0E160" w14:textId="6E7CEBF1" w:rsidR="00F544FE" w:rsidRPr="00667A14" w:rsidRDefault="00F544FE" w:rsidP="00F544FE">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Vínculos con el artículo 3.2</w:t>
      </w:r>
    </w:p>
    <w:p w14:paraId="71417327" w14:textId="77777777" w:rsidR="00D34FA5" w:rsidRPr="00667A14" w:rsidRDefault="00D34FA5" w:rsidP="00D34FA5">
      <w:pPr>
        <w:spacing w:after="0" w:line="240" w:lineRule="auto"/>
        <w:ind w:left="425"/>
        <w:rPr>
          <w:rFonts w:asciiTheme="majorHAnsi" w:hAnsiTheme="majorHAnsi"/>
          <w:lang w:val="es-ES_tradnl"/>
        </w:rPr>
      </w:pPr>
    </w:p>
    <w:p w14:paraId="76EBA416"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 xml:space="preserve">Vínculos con el Registro de Montreux </w:t>
      </w:r>
    </w:p>
    <w:p w14:paraId="4902E930" w14:textId="77777777" w:rsidR="00D34FA5" w:rsidRPr="00667A14" w:rsidRDefault="00D34FA5" w:rsidP="00D34FA5">
      <w:pPr>
        <w:spacing w:after="0" w:line="240" w:lineRule="auto"/>
        <w:ind w:left="425"/>
        <w:rPr>
          <w:rFonts w:asciiTheme="majorHAnsi" w:hAnsiTheme="majorHAnsi"/>
          <w:lang w:val="es-ES_tradnl"/>
        </w:rPr>
      </w:pPr>
    </w:p>
    <w:p w14:paraId="0FB8A065"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Investigaciones y asesoramiento previos a la MRA</w:t>
      </w:r>
    </w:p>
    <w:p w14:paraId="38EE00E2" w14:textId="77777777" w:rsidR="00D34FA5" w:rsidRPr="00667A14" w:rsidRDefault="00D34FA5" w:rsidP="00D34FA5">
      <w:pPr>
        <w:spacing w:after="0" w:line="240" w:lineRule="auto"/>
        <w:ind w:left="425"/>
        <w:rPr>
          <w:rFonts w:asciiTheme="majorHAnsi" w:hAnsiTheme="majorHAnsi"/>
          <w:lang w:val="es-ES_tradnl"/>
        </w:rPr>
      </w:pPr>
    </w:p>
    <w:p w14:paraId="1DA4AECD"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Prerrogativa de la Parte Contratante de invitar a la MRA y aprobar los términos de referencia (TdR)</w:t>
      </w:r>
    </w:p>
    <w:p w14:paraId="51D2BA00" w14:textId="77777777" w:rsidR="00D34FA5" w:rsidRPr="00667A14" w:rsidRDefault="00D34FA5" w:rsidP="00D34FA5">
      <w:pPr>
        <w:spacing w:after="0" w:line="240" w:lineRule="auto"/>
        <w:ind w:left="425"/>
        <w:rPr>
          <w:rFonts w:asciiTheme="majorHAnsi" w:hAnsiTheme="majorHAnsi"/>
          <w:lang w:val="es-ES_tradnl"/>
        </w:rPr>
      </w:pPr>
    </w:p>
    <w:p w14:paraId="1C366F70" w14:textId="103965C2"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Elaboración de los TdR: buenas prácticas establecidas</w:t>
      </w:r>
    </w:p>
    <w:p w14:paraId="6F5DE291" w14:textId="77777777" w:rsidR="00D34FA5" w:rsidRPr="00667A14" w:rsidRDefault="00D34FA5" w:rsidP="00D34FA5">
      <w:pPr>
        <w:spacing w:after="0" w:line="240" w:lineRule="auto"/>
        <w:ind w:left="425"/>
        <w:rPr>
          <w:rFonts w:asciiTheme="majorHAnsi" w:hAnsiTheme="majorHAnsi"/>
          <w:lang w:val="es-ES_tradnl"/>
        </w:rPr>
      </w:pPr>
    </w:p>
    <w:p w14:paraId="7FC9CE6E"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Ámbito de la MRA</w:t>
      </w:r>
    </w:p>
    <w:p w14:paraId="7C01589B" w14:textId="77777777" w:rsidR="00D34FA5" w:rsidRPr="00667A14" w:rsidRDefault="00D34FA5" w:rsidP="00D34FA5">
      <w:pPr>
        <w:spacing w:after="0" w:line="240" w:lineRule="auto"/>
        <w:ind w:left="425"/>
        <w:rPr>
          <w:rFonts w:asciiTheme="majorHAnsi" w:hAnsiTheme="majorHAnsi"/>
          <w:lang w:val="es-ES_tradnl"/>
        </w:rPr>
      </w:pPr>
    </w:p>
    <w:p w14:paraId="5AB11BE2"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Coordinación y composición del equipo de la misión</w:t>
      </w:r>
    </w:p>
    <w:p w14:paraId="57878464" w14:textId="77777777" w:rsidR="00D34FA5" w:rsidRPr="00667A14" w:rsidRDefault="00D34FA5" w:rsidP="00D34FA5">
      <w:pPr>
        <w:spacing w:after="0" w:line="240" w:lineRule="auto"/>
        <w:ind w:left="425"/>
        <w:rPr>
          <w:rFonts w:asciiTheme="majorHAnsi" w:hAnsiTheme="majorHAnsi"/>
          <w:lang w:val="es-ES_tradnl"/>
        </w:rPr>
      </w:pPr>
    </w:p>
    <w:p w14:paraId="04EEE1A0"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Consideraciones relacionadas con el cronograma</w:t>
      </w:r>
    </w:p>
    <w:p w14:paraId="5B525CD0" w14:textId="77777777" w:rsidR="00D34FA5" w:rsidRPr="00667A14" w:rsidRDefault="00D34FA5" w:rsidP="00D34FA5">
      <w:pPr>
        <w:spacing w:after="0" w:line="240" w:lineRule="auto"/>
        <w:ind w:left="425"/>
        <w:rPr>
          <w:rFonts w:asciiTheme="majorHAnsi" w:hAnsiTheme="majorHAnsi"/>
          <w:lang w:val="es-ES_tradnl"/>
        </w:rPr>
      </w:pPr>
    </w:p>
    <w:p w14:paraId="01BF7F6B" w14:textId="3AAA5A35"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Papel</w:t>
      </w:r>
      <w:r w:rsidR="00F544FE" w:rsidRPr="00667A14">
        <w:rPr>
          <w:rFonts w:asciiTheme="majorHAnsi" w:hAnsiTheme="majorHAnsi"/>
          <w:lang w:val="es-ES_tradnl"/>
        </w:rPr>
        <w:t xml:space="preserve"> de </w:t>
      </w:r>
      <w:r w:rsidRPr="00667A14">
        <w:rPr>
          <w:rFonts w:asciiTheme="majorHAnsi" w:hAnsiTheme="majorHAnsi"/>
          <w:lang w:val="es-ES_tradnl"/>
        </w:rPr>
        <w:t>la Secretaría</w:t>
      </w:r>
    </w:p>
    <w:p w14:paraId="2A87D5E8" w14:textId="77777777" w:rsidR="00D34FA5" w:rsidRPr="00667A14" w:rsidRDefault="00D34FA5" w:rsidP="00D34FA5">
      <w:pPr>
        <w:spacing w:after="0" w:line="240" w:lineRule="auto"/>
        <w:ind w:left="425"/>
        <w:rPr>
          <w:rFonts w:asciiTheme="majorHAnsi" w:hAnsiTheme="majorHAnsi"/>
          <w:lang w:val="es-ES_tradnl"/>
        </w:rPr>
      </w:pPr>
    </w:p>
    <w:p w14:paraId="3825FB4D" w14:textId="53CF4276" w:rsidR="00D34FA5" w:rsidRPr="00667A14" w:rsidRDefault="00F544FE"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Papel d</w:t>
      </w:r>
      <w:r w:rsidR="00D34FA5" w:rsidRPr="00667A14">
        <w:rPr>
          <w:rFonts w:asciiTheme="majorHAnsi" w:hAnsiTheme="majorHAnsi"/>
          <w:lang w:val="es-ES_tradnl"/>
        </w:rPr>
        <w:t>el GECT</w:t>
      </w:r>
    </w:p>
    <w:p w14:paraId="24269789" w14:textId="77777777" w:rsidR="00D34FA5" w:rsidRPr="00667A14" w:rsidRDefault="00D34FA5" w:rsidP="00D34FA5">
      <w:pPr>
        <w:spacing w:after="0" w:line="240" w:lineRule="auto"/>
        <w:ind w:left="425"/>
        <w:rPr>
          <w:rFonts w:asciiTheme="majorHAnsi" w:hAnsiTheme="majorHAnsi"/>
          <w:lang w:val="es-ES_tradnl"/>
        </w:rPr>
      </w:pPr>
    </w:p>
    <w:p w14:paraId="77901F15" w14:textId="0C65B11F"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 xml:space="preserve">Papel </w:t>
      </w:r>
      <w:r w:rsidR="00F544FE" w:rsidRPr="00667A14">
        <w:rPr>
          <w:rFonts w:asciiTheme="majorHAnsi" w:hAnsiTheme="majorHAnsi"/>
          <w:lang w:val="es-ES_tradnl"/>
        </w:rPr>
        <w:t>de</w:t>
      </w:r>
      <w:r w:rsidRPr="00667A14">
        <w:rPr>
          <w:rFonts w:asciiTheme="majorHAnsi" w:hAnsiTheme="majorHAnsi"/>
          <w:lang w:val="es-ES_tradnl"/>
        </w:rPr>
        <w:t xml:space="preserve"> las OIA y otros interesados</w:t>
      </w:r>
    </w:p>
    <w:p w14:paraId="6F05714C" w14:textId="77777777" w:rsidR="00D34FA5" w:rsidRPr="00667A14" w:rsidRDefault="00D34FA5" w:rsidP="00D34FA5">
      <w:pPr>
        <w:spacing w:after="0" w:line="240" w:lineRule="auto"/>
        <w:ind w:left="425"/>
        <w:rPr>
          <w:rFonts w:asciiTheme="majorHAnsi" w:hAnsiTheme="majorHAnsi"/>
          <w:lang w:val="es-ES_tradnl"/>
        </w:rPr>
      </w:pPr>
    </w:p>
    <w:p w14:paraId="3ED85670"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Dotación de recursos a la MRA</w:t>
      </w:r>
    </w:p>
    <w:p w14:paraId="0C78DAD6" w14:textId="77777777" w:rsidR="00D34FA5" w:rsidRPr="00667A14" w:rsidRDefault="00D34FA5" w:rsidP="00D34FA5">
      <w:pPr>
        <w:spacing w:after="0" w:line="240" w:lineRule="auto"/>
        <w:ind w:left="425"/>
        <w:rPr>
          <w:rFonts w:asciiTheme="majorHAnsi" w:hAnsiTheme="majorHAnsi"/>
          <w:lang w:val="es-ES_tradnl"/>
        </w:rPr>
      </w:pPr>
    </w:p>
    <w:p w14:paraId="136FF68C"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Aplicación a posibles sitios Ramsar y otros humedales no designados</w:t>
      </w:r>
    </w:p>
    <w:p w14:paraId="4952122E" w14:textId="77777777" w:rsidR="00D34FA5" w:rsidRPr="00667A14" w:rsidRDefault="00D34FA5" w:rsidP="00D34FA5">
      <w:pPr>
        <w:spacing w:after="0" w:line="240" w:lineRule="auto"/>
        <w:ind w:left="425"/>
        <w:rPr>
          <w:rFonts w:asciiTheme="majorHAnsi" w:hAnsiTheme="majorHAnsi"/>
          <w:lang w:val="es-ES_tradnl"/>
        </w:rPr>
      </w:pPr>
    </w:p>
    <w:p w14:paraId="6C9046D3"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Aplicación en contextos transfronterizos</w:t>
      </w:r>
    </w:p>
    <w:p w14:paraId="75F9FDDE" w14:textId="77777777" w:rsidR="00D34FA5" w:rsidRPr="00667A14" w:rsidRDefault="00D34FA5" w:rsidP="00D34FA5">
      <w:pPr>
        <w:spacing w:after="0" w:line="240" w:lineRule="auto"/>
        <w:ind w:left="425"/>
        <w:rPr>
          <w:rFonts w:asciiTheme="majorHAnsi" w:hAnsiTheme="majorHAnsi"/>
          <w:lang w:val="es-ES_tradnl"/>
        </w:rPr>
      </w:pPr>
    </w:p>
    <w:p w14:paraId="128D192C"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Operación conjunta con mecanismos de otros AMMA</w:t>
      </w:r>
    </w:p>
    <w:p w14:paraId="4A0B79A3" w14:textId="77777777" w:rsidR="00D34FA5" w:rsidRPr="00667A14" w:rsidRDefault="00D34FA5" w:rsidP="00D34FA5">
      <w:pPr>
        <w:spacing w:after="0" w:line="240" w:lineRule="auto"/>
        <w:ind w:left="425"/>
        <w:rPr>
          <w:rFonts w:asciiTheme="majorHAnsi" w:hAnsiTheme="majorHAnsi"/>
          <w:lang w:val="es-ES_tradnl"/>
        </w:rPr>
      </w:pPr>
    </w:p>
    <w:p w14:paraId="35463516"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Estructura y contenido de los informes de las MRA</w:t>
      </w:r>
    </w:p>
    <w:p w14:paraId="616F62C9" w14:textId="77777777" w:rsidR="00D34FA5" w:rsidRPr="00667A14" w:rsidRDefault="00D34FA5" w:rsidP="00D34FA5">
      <w:pPr>
        <w:spacing w:after="0" w:line="240" w:lineRule="auto"/>
        <w:ind w:left="425"/>
        <w:rPr>
          <w:rFonts w:asciiTheme="majorHAnsi" w:hAnsiTheme="majorHAnsi"/>
          <w:lang w:val="es-ES_tradnl"/>
        </w:rPr>
      </w:pPr>
    </w:p>
    <w:p w14:paraId="092D920A"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El proceso de seguimiento de un informe de MRA</w:t>
      </w:r>
    </w:p>
    <w:p w14:paraId="34483504" w14:textId="77777777" w:rsidR="00D34FA5" w:rsidRPr="00667A14" w:rsidRDefault="00D34FA5" w:rsidP="00D34FA5">
      <w:pPr>
        <w:spacing w:after="0" w:line="240" w:lineRule="auto"/>
        <w:ind w:left="425"/>
        <w:rPr>
          <w:rFonts w:asciiTheme="majorHAnsi" w:hAnsiTheme="majorHAnsi"/>
          <w:lang w:val="es-ES_tradnl"/>
        </w:rPr>
      </w:pPr>
    </w:p>
    <w:p w14:paraId="5126BACF" w14:textId="77777777" w:rsidR="00D34FA5" w:rsidRPr="00667A14" w:rsidRDefault="00D34FA5" w:rsidP="00D34FA5">
      <w:pPr>
        <w:numPr>
          <w:ilvl w:val="0"/>
          <w:numId w:val="4"/>
        </w:numPr>
        <w:spacing w:after="0" w:line="240" w:lineRule="auto"/>
        <w:ind w:left="425" w:hanging="425"/>
        <w:rPr>
          <w:rFonts w:asciiTheme="majorHAnsi" w:hAnsiTheme="majorHAnsi"/>
          <w:lang w:val="es-ES_tradnl"/>
        </w:rPr>
      </w:pPr>
      <w:r w:rsidRPr="00667A14">
        <w:rPr>
          <w:rFonts w:asciiTheme="majorHAnsi" w:hAnsiTheme="majorHAnsi"/>
          <w:lang w:val="es-ES_tradnl"/>
        </w:rPr>
        <w:t>Informe sobre las actividades de la MRA, lo que incluye un examen de los resultados en un plazo apropiado tras la finalización de la misión (normalmente unos seis años)</w:t>
      </w:r>
    </w:p>
    <w:p w14:paraId="55D987AA" w14:textId="77777777" w:rsidR="00D34FA5" w:rsidRPr="00667A14" w:rsidRDefault="00D34FA5" w:rsidP="00D34FA5">
      <w:pPr>
        <w:spacing w:after="0" w:line="240" w:lineRule="auto"/>
        <w:rPr>
          <w:rFonts w:asciiTheme="majorHAnsi" w:hAnsiTheme="majorHAnsi"/>
          <w:lang w:val="es-ES_tradnl"/>
        </w:rPr>
      </w:pPr>
    </w:p>
    <w:p w14:paraId="6A41012F" w14:textId="77777777" w:rsidR="00830B75" w:rsidRPr="00667A14" w:rsidRDefault="00830B75" w:rsidP="00D34FA5">
      <w:pPr>
        <w:spacing w:after="0" w:line="240" w:lineRule="auto"/>
        <w:ind w:left="425" w:hanging="425"/>
        <w:rPr>
          <w:rFonts w:ascii="Calibri" w:hAnsi="Calibri"/>
          <w:lang w:val="es-ES_tradnl"/>
        </w:rPr>
      </w:pPr>
    </w:p>
    <w:sectPr w:rsidR="00830B75" w:rsidRPr="00667A14" w:rsidSect="00CC5AE4">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3F6BC" w14:textId="77777777" w:rsidR="001F24F9" w:rsidRDefault="001F24F9" w:rsidP="00830B75">
      <w:pPr>
        <w:spacing w:after="0" w:line="240" w:lineRule="auto"/>
      </w:pPr>
      <w:r>
        <w:separator/>
      </w:r>
    </w:p>
  </w:endnote>
  <w:endnote w:type="continuationSeparator" w:id="0">
    <w:p w14:paraId="074DAAEA" w14:textId="77777777" w:rsidR="001F24F9" w:rsidRDefault="001F24F9" w:rsidP="00830B75">
      <w:pPr>
        <w:spacing w:after="0" w:line="240" w:lineRule="auto"/>
      </w:pPr>
      <w:r>
        <w:continuationSeparator/>
      </w:r>
    </w:p>
  </w:endnote>
  <w:endnote w:type="continuationNotice" w:id="1">
    <w:p w14:paraId="7A0E403A" w14:textId="77777777" w:rsidR="001F24F9" w:rsidRDefault="001F2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5492" w14:textId="656E8F83" w:rsidR="00C845DB" w:rsidRPr="00CC5AE4" w:rsidRDefault="00C845DB" w:rsidP="00CC5AE4">
    <w:pPr>
      <w:pStyle w:val="Footer"/>
      <w:rPr>
        <w:rFonts w:ascii="Calibri" w:hAnsi="Calibri"/>
        <w:sz w:val="20"/>
        <w:lang w:val="en-GB"/>
      </w:rPr>
    </w:pPr>
    <w:r w:rsidRPr="001D6D26">
      <w:rPr>
        <w:rFonts w:ascii="Calibri" w:hAnsi="Calibri"/>
        <w:sz w:val="20"/>
        <w:szCs w:val="20"/>
        <w:lang w:val="en-GB"/>
      </w:rPr>
      <w:t>Ramsar COP13 Doc.18.11</w:t>
    </w:r>
    <w:r w:rsidR="003F6867">
      <w:rPr>
        <w:rFonts w:ascii="Calibri" w:hAnsi="Calibri"/>
        <w:sz w:val="20"/>
        <w:szCs w:val="20"/>
        <w:lang w:val="en-GB"/>
      </w:rPr>
      <w:t xml:space="preserve"> Rev.1</w:t>
    </w:r>
    <w:r w:rsidRPr="00CB5417">
      <w:rPr>
        <w:rFonts w:ascii="Calibri" w:hAnsi="Calibri"/>
        <w:sz w:val="20"/>
        <w:szCs w:val="20"/>
        <w:lang w:val="en-GB"/>
      </w:rPr>
      <w:tab/>
    </w:r>
    <w:r w:rsidRPr="00CB5417">
      <w:rPr>
        <w:rFonts w:ascii="Calibri" w:hAnsi="Calibri"/>
        <w:sz w:val="20"/>
        <w:szCs w:val="20"/>
        <w:lang w:val="en-GB"/>
      </w:rPr>
      <w:tab/>
    </w:r>
    <w:r w:rsidRPr="00CC5AE4">
      <w:rPr>
        <w:rFonts w:ascii="Calibri" w:hAnsi="Calibri"/>
        <w:sz w:val="20"/>
        <w:lang w:val="en-GB"/>
      </w:rPr>
      <w:fldChar w:fldCharType="begin"/>
    </w:r>
    <w:r w:rsidRPr="00CB5417">
      <w:rPr>
        <w:rFonts w:ascii="Calibri" w:hAnsi="Calibri"/>
        <w:sz w:val="20"/>
        <w:szCs w:val="20"/>
        <w:lang w:val="en-GB"/>
      </w:rPr>
      <w:instrText xml:space="preserve"> PAGE   \* MERGEFORMAT </w:instrText>
    </w:r>
    <w:r w:rsidRPr="00CC5AE4">
      <w:rPr>
        <w:rFonts w:ascii="Calibri" w:hAnsi="Calibri"/>
        <w:sz w:val="20"/>
        <w:lang w:val="en-GB"/>
      </w:rPr>
      <w:fldChar w:fldCharType="separate"/>
    </w:r>
    <w:r w:rsidR="00804E7D">
      <w:rPr>
        <w:rFonts w:ascii="Calibri" w:hAnsi="Calibri"/>
        <w:noProof/>
        <w:sz w:val="20"/>
        <w:szCs w:val="20"/>
        <w:lang w:val="en-GB"/>
      </w:rPr>
      <w:t>2</w:t>
    </w:r>
    <w:r w:rsidRPr="00CC5AE4">
      <w:rPr>
        <w:rFonts w:ascii="Calibri" w:hAnsi="Calibri"/>
        <w:sz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7776C" w14:textId="77777777" w:rsidR="001F24F9" w:rsidRDefault="001F24F9" w:rsidP="00830B75">
      <w:pPr>
        <w:spacing w:after="0" w:line="240" w:lineRule="auto"/>
      </w:pPr>
      <w:r>
        <w:separator/>
      </w:r>
    </w:p>
  </w:footnote>
  <w:footnote w:type="continuationSeparator" w:id="0">
    <w:p w14:paraId="17385B6B" w14:textId="77777777" w:rsidR="001F24F9" w:rsidRDefault="001F24F9" w:rsidP="00830B75">
      <w:pPr>
        <w:spacing w:after="0" w:line="240" w:lineRule="auto"/>
      </w:pPr>
      <w:r>
        <w:continuationSeparator/>
      </w:r>
    </w:p>
  </w:footnote>
  <w:footnote w:type="continuationNotice" w:id="1">
    <w:p w14:paraId="73906A9F" w14:textId="77777777" w:rsidR="001F24F9" w:rsidRDefault="001F24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90B"/>
    <w:multiLevelType w:val="hybridMultilevel"/>
    <w:tmpl w:val="1F6E3918"/>
    <w:lvl w:ilvl="0" w:tplc="04090001">
      <w:start w:val="1"/>
      <w:numFmt w:val="bullet"/>
      <w:lvlText w:val=""/>
      <w:lvlJc w:val="left"/>
      <w:pPr>
        <w:ind w:left="720" w:hanging="360"/>
      </w:pPr>
      <w:rPr>
        <w:rFonts w:ascii="Symbol" w:hAnsi="Symbol" w:hint="default"/>
      </w:rPr>
    </w:lvl>
    <w:lvl w:ilvl="1" w:tplc="730032D4">
      <w:numFmt w:val="bullet"/>
      <w:lvlText w:val="-"/>
      <w:lvlJc w:val="left"/>
      <w:pPr>
        <w:ind w:left="1440" w:hanging="360"/>
      </w:pPr>
      <w:rPr>
        <w:rFonts w:ascii="Calibri" w:eastAsia="Calibri" w:hAnsi="Calibri" w:cs="Garamond"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677F5"/>
    <w:multiLevelType w:val="hybridMultilevel"/>
    <w:tmpl w:val="7294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F0882"/>
    <w:multiLevelType w:val="hybridMultilevel"/>
    <w:tmpl w:val="84AA0378"/>
    <w:lvl w:ilvl="0" w:tplc="3028F71E">
      <w:start w:val="1"/>
      <w:numFmt w:val="decimal"/>
      <w:lvlText w:val="%1."/>
      <w:lvlJc w:val="left"/>
      <w:pPr>
        <w:ind w:left="720" w:hanging="360"/>
      </w:pPr>
      <w:rPr>
        <w:rFonts w:asciiTheme="minorHAnsi" w:hAnsiTheme="minorHAnsi" w:cs="Cambria,Bold" w:hint="default"/>
        <w:b w:val="0"/>
        <w:sz w:val="21"/>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22E75A5"/>
    <w:multiLevelType w:val="hybridMultilevel"/>
    <w:tmpl w:val="0462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92438"/>
    <w:multiLevelType w:val="hybridMultilevel"/>
    <w:tmpl w:val="E74E5450"/>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6" w15:restartNumberingAfterBreak="0">
    <w:nsid w:val="6407390E"/>
    <w:multiLevelType w:val="hybridMultilevel"/>
    <w:tmpl w:val="223C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3FD0516"/>
    <w:multiLevelType w:val="hybridMultilevel"/>
    <w:tmpl w:val="76DE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08"/>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75"/>
    <w:rsid w:val="0002232D"/>
    <w:rsid w:val="00026A8E"/>
    <w:rsid w:val="000621E0"/>
    <w:rsid w:val="00090717"/>
    <w:rsid w:val="000C3B6E"/>
    <w:rsid w:val="000E67F8"/>
    <w:rsid w:val="00125EC7"/>
    <w:rsid w:val="00171C2D"/>
    <w:rsid w:val="001C2D5D"/>
    <w:rsid w:val="001D61F7"/>
    <w:rsid w:val="001D6D26"/>
    <w:rsid w:val="001F24F9"/>
    <w:rsid w:val="00204473"/>
    <w:rsid w:val="002058B9"/>
    <w:rsid w:val="002230A2"/>
    <w:rsid w:val="0023272F"/>
    <w:rsid w:val="00235B5A"/>
    <w:rsid w:val="00250238"/>
    <w:rsid w:val="00262C31"/>
    <w:rsid w:val="00285D6F"/>
    <w:rsid w:val="0029031B"/>
    <w:rsid w:val="002A476F"/>
    <w:rsid w:val="002C5ABB"/>
    <w:rsid w:val="002C5C2A"/>
    <w:rsid w:val="002C7FEA"/>
    <w:rsid w:val="002D58D9"/>
    <w:rsid w:val="002F7D93"/>
    <w:rsid w:val="00306560"/>
    <w:rsid w:val="00326FCB"/>
    <w:rsid w:val="00333403"/>
    <w:rsid w:val="00365008"/>
    <w:rsid w:val="00392E80"/>
    <w:rsid w:val="003A270D"/>
    <w:rsid w:val="003F6867"/>
    <w:rsid w:val="003F6910"/>
    <w:rsid w:val="00471EAD"/>
    <w:rsid w:val="004737B9"/>
    <w:rsid w:val="00483127"/>
    <w:rsid w:val="0049204D"/>
    <w:rsid w:val="004D5F00"/>
    <w:rsid w:val="004E7245"/>
    <w:rsid w:val="00505B81"/>
    <w:rsid w:val="0051057C"/>
    <w:rsid w:val="00513640"/>
    <w:rsid w:val="00517C51"/>
    <w:rsid w:val="0052783C"/>
    <w:rsid w:val="00530208"/>
    <w:rsid w:val="00531E66"/>
    <w:rsid w:val="00545D06"/>
    <w:rsid w:val="00553CB0"/>
    <w:rsid w:val="00580A4C"/>
    <w:rsid w:val="005C1743"/>
    <w:rsid w:val="005D0C76"/>
    <w:rsid w:val="005D5DEC"/>
    <w:rsid w:val="005D5E85"/>
    <w:rsid w:val="005E5FBC"/>
    <w:rsid w:val="006571D5"/>
    <w:rsid w:val="00664965"/>
    <w:rsid w:val="00667A14"/>
    <w:rsid w:val="006855C7"/>
    <w:rsid w:val="0068645A"/>
    <w:rsid w:val="00691F17"/>
    <w:rsid w:val="006A7E08"/>
    <w:rsid w:val="006C08A4"/>
    <w:rsid w:val="006C3C6A"/>
    <w:rsid w:val="006E6AAC"/>
    <w:rsid w:val="006F23FB"/>
    <w:rsid w:val="006F2E7A"/>
    <w:rsid w:val="00700DE5"/>
    <w:rsid w:val="0071495B"/>
    <w:rsid w:val="00733A4D"/>
    <w:rsid w:val="00745B25"/>
    <w:rsid w:val="00765487"/>
    <w:rsid w:val="00767B44"/>
    <w:rsid w:val="00771D8B"/>
    <w:rsid w:val="00785341"/>
    <w:rsid w:val="007C22B4"/>
    <w:rsid w:val="007C4BFC"/>
    <w:rsid w:val="007D674E"/>
    <w:rsid w:val="008049FA"/>
    <w:rsid w:val="00804E7D"/>
    <w:rsid w:val="00822002"/>
    <w:rsid w:val="00830B75"/>
    <w:rsid w:val="00836CE0"/>
    <w:rsid w:val="0088551E"/>
    <w:rsid w:val="008A51FE"/>
    <w:rsid w:val="008B181A"/>
    <w:rsid w:val="008B34C4"/>
    <w:rsid w:val="008D3165"/>
    <w:rsid w:val="008E455C"/>
    <w:rsid w:val="008F78B9"/>
    <w:rsid w:val="0094215E"/>
    <w:rsid w:val="00956EC9"/>
    <w:rsid w:val="00971D12"/>
    <w:rsid w:val="00986791"/>
    <w:rsid w:val="009B63C6"/>
    <w:rsid w:val="009C4FB7"/>
    <w:rsid w:val="009C7B24"/>
    <w:rsid w:val="009D478C"/>
    <w:rsid w:val="009E0F53"/>
    <w:rsid w:val="00A154BE"/>
    <w:rsid w:val="00A52CEB"/>
    <w:rsid w:val="00AA0DB7"/>
    <w:rsid w:val="00AC14EA"/>
    <w:rsid w:val="00AE716E"/>
    <w:rsid w:val="00B163D6"/>
    <w:rsid w:val="00B53CF7"/>
    <w:rsid w:val="00B57D0F"/>
    <w:rsid w:val="00B91517"/>
    <w:rsid w:val="00B939E9"/>
    <w:rsid w:val="00B97311"/>
    <w:rsid w:val="00B97E2F"/>
    <w:rsid w:val="00BB4616"/>
    <w:rsid w:val="00BC2517"/>
    <w:rsid w:val="00BD1C7B"/>
    <w:rsid w:val="00C20CC1"/>
    <w:rsid w:val="00C34A05"/>
    <w:rsid w:val="00C40925"/>
    <w:rsid w:val="00C80C76"/>
    <w:rsid w:val="00C845DB"/>
    <w:rsid w:val="00C9629E"/>
    <w:rsid w:val="00CA11DF"/>
    <w:rsid w:val="00CB5417"/>
    <w:rsid w:val="00CC00D5"/>
    <w:rsid w:val="00CC26E0"/>
    <w:rsid w:val="00CC5AE4"/>
    <w:rsid w:val="00D34FA5"/>
    <w:rsid w:val="00D357F0"/>
    <w:rsid w:val="00D57DA6"/>
    <w:rsid w:val="00D7366E"/>
    <w:rsid w:val="00D85104"/>
    <w:rsid w:val="00D876D8"/>
    <w:rsid w:val="00DB4BF5"/>
    <w:rsid w:val="00E16E35"/>
    <w:rsid w:val="00E203C7"/>
    <w:rsid w:val="00E47423"/>
    <w:rsid w:val="00E5070E"/>
    <w:rsid w:val="00E7727D"/>
    <w:rsid w:val="00E77D20"/>
    <w:rsid w:val="00E8003A"/>
    <w:rsid w:val="00E80B41"/>
    <w:rsid w:val="00E95EFA"/>
    <w:rsid w:val="00EA06B7"/>
    <w:rsid w:val="00EC0B0F"/>
    <w:rsid w:val="00F04705"/>
    <w:rsid w:val="00F12AC1"/>
    <w:rsid w:val="00F23ACD"/>
    <w:rsid w:val="00F316CB"/>
    <w:rsid w:val="00F31A8F"/>
    <w:rsid w:val="00F41B4B"/>
    <w:rsid w:val="00F4207D"/>
    <w:rsid w:val="00F45BAC"/>
    <w:rsid w:val="00F53E77"/>
    <w:rsid w:val="00F544FE"/>
    <w:rsid w:val="00F64F24"/>
    <w:rsid w:val="00F70F8A"/>
    <w:rsid w:val="00F80FED"/>
    <w:rsid w:val="00F83ABE"/>
    <w:rsid w:val="00FB5B0C"/>
    <w:rsid w:val="00FC6C8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B1048D"/>
  <w15:docId w15:val="{CD57DDE6-90C9-45E8-8A5E-4AB8850C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5AE4"/>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E4"/>
    <w:pPr>
      <w:ind w:left="720"/>
      <w:contextualSpacing/>
    </w:pPr>
  </w:style>
  <w:style w:type="paragraph" w:styleId="FootnoteText">
    <w:name w:val="footnote text"/>
    <w:basedOn w:val="Normal"/>
    <w:link w:val="FootnoteTextChar"/>
    <w:uiPriority w:val="99"/>
    <w:semiHidden/>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C5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C5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 w:type="paragraph" w:styleId="BalloonText">
    <w:name w:val="Balloon Text"/>
    <w:basedOn w:val="Normal"/>
    <w:link w:val="BalloonTextChar"/>
    <w:uiPriority w:val="99"/>
    <w:semiHidden/>
    <w:unhideWhenUsed/>
    <w:rsid w:val="00CC5AE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4BFC"/>
    <w:rPr>
      <w:rFonts w:asciiTheme="majorHAnsi" w:eastAsiaTheme="majorEastAsia" w:hAnsiTheme="majorHAnsi" w:cstheme="majorBidi"/>
      <w:sz w:val="18"/>
      <w:szCs w:val="18"/>
      <w:lang w:val="x-none" w:eastAsia="en-US"/>
    </w:rPr>
  </w:style>
  <w:style w:type="character" w:styleId="CommentReference">
    <w:name w:val="annotation reference"/>
    <w:basedOn w:val="DefaultParagraphFont"/>
    <w:uiPriority w:val="99"/>
    <w:semiHidden/>
    <w:unhideWhenUsed/>
    <w:rsid w:val="009D478C"/>
    <w:rPr>
      <w:sz w:val="18"/>
      <w:szCs w:val="18"/>
    </w:rPr>
  </w:style>
  <w:style w:type="paragraph" w:styleId="CommentText">
    <w:name w:val="annotation text"/>
    <w:basedOn w:val="Normal"/>
    <w:link w:val="CommentTextChar"/>
    <w:uiPriority w:val="99"/>
    <w:semiHidden/>
    <w:unhideWhenUsed/>
    <w:rsid w:val="009D478C"/>
  </w:style>
  <w:style w:type="character" w:customStyle="1" w:styleId="CommentTextChar">
    <w:name w:val="Comment Text Char"/>
    <w:basedOn w:val="DefaultParagraphFont"/>
    <w:link w:val="CommentText"/>
    <w:uiPriority w:val="99"/>
    <w:semiHidden/>
    <w:rsid w:val="009D478C"/>
    <w:rPr>
      <w:rFonts w:eastAsiaTheme="minorHAnsi"/>
      <w:sz w:val="22"/>
      <w:szCs w:val="22"/>
      <w:lang w:val="x-none" w:eastAsia="en-US"/>
    </w:rPr>
  </w:style>
  <w:style w:type="paragraph" w:styleId="CommentSubject">
    <w:name w:val="annotation subject"/>
    <w:basedOn w:val="CommentText"/>
    <w:next w:val="CommentText"/>
    <w:link w:val="CommentSubjectChar"/>
    <w:uiPriority w:val="99"/>
    <w:semiHidden/>
    <w:unhideWhenUsed/>
    <w:rsid w:val="009D478C"/>
    <w:rPr>
      <w:b/>
      <w:bCs/>
    </w:rPr>
  </w:style>
  <w:style w:type="character" w:customStyle="1" w:styleId="CommentSubjectChar">
    <w:name w:val="Comment Subject Char"/>
    <w:basedOn w:val="CommentTextChar"/>
    <w:link w:val="CommentSubject"/>
    <w:uiPriority w:val="99"/>
    <w:semiHidden/>
    <w:rsid w:val="009D478C"/>
    <w:rPr>
      <w:rFonts w:eastAsiaTheme="minorHAnsi"/>
      <w:b/>
      <w:bCs/>
      <w:sz w:val="22"/>
      <w:szCs w:val="22"/>
      <w:lang w:val="x-none" w:eastAsia="en-US"/>
    </w:rPr>
  </w:style>
  <w:style w:type="paragraph" w:styleId="Revision">
    <w:name w:val="Revision"/>
    <w:hidden/>
    <w:uiPriority w:val="99"/>
    <w:semiHidden/>
    <w:rsid w:val="005E5FBC"/>
    <w:rPr>
      <w:rFonts w:eastAsiaTheme="minorHAns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19938">
      <w:bodyDiv w:val="1"/>
      <w:marLeft w:val="0"/>
      <w:marRight w:val="0"/>
      <w:marTop w:val="0"/>
      <w:marBottom w:val="0"/>
      <w:divBdr>
        <w:top w:val="none" w:sz="0" w:space="0" w:color="auto"/>
        <w:left w:val="none" w:sz="0" w:space="0" w:color="auto"/>
        <w:bottom w:val="none" w:sz="0" w:space="0" w:color="auto"/>
        <w:right w:val="none" w:sz="0" w:space="0" w:color="auto"/>
      </w:divBdr>
    </w:div>
    <w:div w:id="171337111">
      <w:bodyDiv w:val="1"/>
      <w:marLeft w:val="0"/>
      <w:marRight w:val="0"/>
      <w:marTop w:val="0"/>
      <w:marBottom w:val="0"/>
      <w:divBdr>
        <w:top w:val="none" w:sz="0" w:space="0" w:color="auto"/>
        <w:left w:val="none" w:sz="0" w:space="0" w:color="auto"/>
        <w:bottom w:val="none" w:sz="0" w:space="0" w:color="auto"/>
        <w:right w:val="none" w:sz="0" w:space="0" w:color="auto"/>
      </w:divBdr>
    </w:div>
    <w:div w:id="518468448">
      <w:bodyDiv w:val="1"/>
      <w:marLeft w:val="0"/>
      <w:marRight w:val="0"/>
      <w:marTop w:val="0"/>
      <w:marBottom w:val="0"/>
      <w:divBdr>
        <w:top w:val="none" w:sz="0" w:space="0" w:color="auto"/>
        <w:left w:val="none" w:sz="0" w:space="0" w:color="auto"/>
        <w:bottom w:val="none" w:sz="0" w:space="0" w:color="auto"/>
        <w:right w:val="none" w:sz="0" w:space="0" w:color="auto"/>
      </w:divBdr>
    </w:div>
    <w:div w:id="1245651333">
      <w:bodyDiv w:val="1"/>
      <w:marLeft w:val="0"/>
      <w:marRight w:val="0"/>
      <w:marTop w:val="0"/>
      <w:marBottom w:val="0"/>
      <w:divBdr>
        <w:top w:val="none" w:sz="0" w:space="0" w:color="auto"/>
        <w:left w:val="none" w:sz="0" w:space="0" w:color="auto"/>
        <w:bottom w:val="none" w:sz="0" w:space="0" w:color="auto"/>
        <w:right w:val="none" w:sz="0" w:space="0" w:color="auto"/>
      </w:divBdr>
    </w:div>
    <w:div w:id="1445886566">
      <w:bodyDiv w:val="1"/>
      <w:marLeft w:val="0"/>
      <w:marRight w:val="0"/>
      <w:marTop w:val="0"/>
      <w:marBottom w:val="0"/>
      <w:divBdr>
        <w:top w:val="none" w:sz="0" w:space="0" w:color="auto"/>
        <w:left w:val="none" w:sz="0" w:space="0" w:color="auto"/>
        <w:bottom w:val="none" w:sz="0" w:space="0" w:color="auto"/>
        <w:right w:val="none" w:sz="0" w:space="0" w:color="auto"/>
      </w:divBdr>
    </w:div>
    <w:div w:id="1525897856">
      <w:bodyDiv w:val="1"/>
      <w:marLeft w:val="0"/>
      <w:marRight w:val="0"/>
      <w:marTop w:val="0"/>
      <w:marBottom w:val="0"/>
      <w:divBdr>
        <w:top w:val="none" w:sz="0" w:space="0" w:color="auto"/>
        <w:left w:val="none" w:sz="0" w:space="0" w:color="auto"/>
        <w:bottom w:val="none" w:sz="0" w:space="0" w:color="auto"/>
        <w:right w:val="none" w:sz="0" w:space="0" w:color="auto"/>
      </w:divBdr>
    </w:div>
    <w:div w:id="1962611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329CC-389F-449C-9B54-A52D083A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7073</Characters>
  <Application>Microsoft Office Word</Application>
  <DocSecurity>0</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IUCN</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Salam KANE</dc:creator>
  <cp:lastModifiedBy>Victoria Zentilli Del Campo</cp:lastModifiedBy>
  <cp:revision>3</cp:revision>
  <dcterms:created xsi:type="dcterms:W3CDTF">2018-10-27T22:45:00Z</dcterms:created>
  <dcterms:modified xsi:type="dcterms:W3CDTF">2018-10-28T02:44:00Z</dcterms:modified>
</cp:coreProperties>
</file>