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48CB0" w14:textId="77777777" w:rsidR="002F68A9" w:rsidRPr="00EF376C" w:rsidRDefault="002F68A9" w:rsidP="00090C3C">
      <w:pPr>
        <w:spacing w:after="0" w:line="240" w:lineRule="auto"/>
        <w:jc w:val="center"/>
        <w:outlineLvl w:val="0"/>
        <w:rPr>
          <w:rFonts w:ascii="Calibri" w:hAnsi="Calibri" w:cstheme="majorHAnsi"/>
          <w:b/>
          <w:bCs/>
          <w:sz w:val="24"/>
          <w:szCs w:val="24"/>
          <w:lang w:val="fr-CH"/>
        </w:rPr>
      </w:pPr>
      <w:r w:rsidRPr="00EF376C">
        <w:rPr>
          <w:rFonts w:ascii="Calibri" w:hAnsi="Calibri" w:cstheme="majorHAnsi"/>
          <w:b/>
          <w:bCs/>
          <w:noProof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 wp14:anchorId="5B70E175" wp14:editId="2EA2FB2B">
            <wp:simplePos x="0" y="0"/>
            <wp:positionH relativeFrom="column">
              <wp:posOffset>-255905</wp:posOffset>
            </wp:positionH>
            <wp:positionV relativeFrom="page">
              <wp:posOffset>439420</wp:posOffset>
            </wp:positionV>
            <wp:extent cx="1645200" cy="1713600"/>
            <wp:effectExtent l="0" t="0" r="0" b="1270"/>
            <wp:wrapTight wrapText="bothSides">
              <wp:wrapPolygon edited="0">
                <wp:start x="0" y="0"/>
                <wp:lineTo x="0" y="21376"/>
                <wp:lineTo x="21266" y="21376"/>
                <wp:lineTo x="212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17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76C">
        <w:rPr>
          <w:rFonts w:ascii="Calibri" w:hAnsi="Calibri" w:cstheme="majorHAnsi"/>
          <w:b/>
          <w:bCs/>
          <w:sz w:val="24"/>
          <w:szCs w:val="24"/>
          <w:lang w:val="fr-CH"/>
        </w:rPr>
        <w:t>13</w:t>
      </w:r>
      <w:r w:rsidRPr="00EF376C">
        <w:rPr>
          <w:rFonts w:ascii="Calibri" w:hAnsi="Calibri" w:cstheme="majorHAnsi"/>
          <w:b/>
          <w:bCs/>
          <w:sz w:val="24"/>
          <w:szCs w:val="24"/>
          <w:vertAlign w:val="superscript"/>
          <w:lang w:val="fr-CH"/>
        </w:rPr>
        <w:t>e</w:t>
      </w:r>
      <w:r w:rsidRPr="00EF376C">
        <w:rPr>
          <w:rFonts w:ascii="Calibri" w:hAnsi="Calibri" w:cstheme="majorHAnsi"/>
          <w:b/>
          <w:bCs/>
          <w:sz w:val="24"/>
          <w:szCs w:val="24"/>
          <w:lang w:val="fr-CH"/>
        </w:rPr>
        <w:t xml:space="preserve"> Session de la Conférence des Parties contractantes </w:t>
      </w:r>
    </w:p>
    <w:p w14:paraId="0EA63A58" w14:textId="77777777" w:rsidR="002F68A9" w:rsidRPr="00EF376C" w:rsidRDefault="002F68A9" w:rsidP="00090C3C">
      <w:pPr>
        <w:spacing w:after="0" w:line="240" w:lineRule="auto"/>
        <w:jc w:val="center"/>
        <w:outlineLvl w:val="0"/>
        <w:rPr>
          <w:rFonts w:ascii="Calibri" w:hAnsi="Calibri" w:cstheme="majorHAnsi"/>
          <w:b/>
          <w:bCs/>
          <w:sz w:val="24"/>
          <w:szCs w:val="24"/>
          <w:lang w:val="fr-CH"/>
        </w:rPr>
      </w:pPr>
      <w:r w:rsidRPr="00EF376C">
        <w:rPr>
          <w:rFonts w:ascii="Calibri" w:hAnsi="Calibri" w:cstheme="majorHAnsi"/>
          <w:b/>
          <w:bCs/>
          <w:sz w:val="24"/>
          <w:szCs w:val="24"/>
          <w:lang w:val="fr-CH"/>
        </w:rPr>
        <w:t xml:space="preserve">à la Convention de </w:t>
      </w:r>
      <w:proofErr w:type="spellStart"/>
      <w:r w:rsidRPr="00EF376C">
        <w:rPr>
          <w:rFonts w:ascii="Calibri" w:hAnsi="Calibri" w:cstheme="majorHAnsi"/>
          <w:b/>
          <w:bCs/>
          <w:sz w:val="24"/>
          <w:szCs w:val="24"/>
          <w:lang w:val="fr-CH"/>
        </w:rPr>
        <w:t>Ramsar</w:t>
      </w:r>
      <w:proofErr w:type="spellEnd"/>
      <w:r w:rsidRPr="00EF376C">
        <w:rPr>
          <w:rFonts w:ascii="Calibri" w:hAnsi="Calibri" w:cstheme="majorHAnsi"/>
          <w:b/>
          <w:bCs/>
          <w:sz w:val="24"/>
          <w:szCs w:val="24"/>
          <w:lang w:val="fr-CH"/>
        </w:rPr>
        <w:t xml:space="preserve"> sur les zones humides</w:t>
      </w:r>
    </w:p>
    <w:p w14:paraId="1A1905DB" w14:textId="77777777" w:rsidR="002F68A9" w:rsidRPr="00EA553C" w:rsidRDefault="002F68A9" w:rsidP="00090C3C">
      <w:pPr>
        <w:spacing w:after="0" w:line="240" w:lineRule="auto"/>
        <w:jc w:val="center"/>
        <w:outlineLvl w:val="0"/>
        <w:rPr>
          <w:rFonts w:ascii="Calibri" w:hAnsi="Calibri" w:cstheme="majorHAnsi"/>
          <w:b/>
          <w:bCs/>
          <w:lang w:val="fr-CH"/>
        </w:rPr>
      </w:pPr>
    </w:p>
    <w:p w14:paraId="4D026BC3" w14:textId="77777777" w:rsidR="002F68A9" w:rsidRPr="00EF376C" w:rsidRDefault="002F68A9" w:rsidP="00090C3C">
      <w:pPr>
        <w:spacing w:after="0" w:line="240" w:lineRule="auto"/>
        <w:jc w:val="center"/>
        <w:outlineLvl w:val="0"/>
        <w:rPr>
          <w:rFonts w:ascii="Calibri" w:hAnsi="Calibri" w:cstheme="majorHAnsi"/>
          <w:b/>
          <w:bCs/>
          <w:sz w:val="24"/>
          <w:szCs w:val="24"/>
          <w:lang w:val="fr-CH"/>
        </w:rPr>
      </w:pPr>
      <w:r w:rsidRPr="00EF376C">
        <w:rPr>
          <w:rFonts w:ascii="Calibri" w:hAnsi="Calibri" w:cstheme="majorHAnsi"/>
          <w:b/>
          <w:bCs/>
          <w:sz w:val="24"/>
          <w:szCs w:val="24"/>
          <w:lang w:val="fr-CH"/>
        </w:rPr>
        <w:t>« Les zones humides pour un avenir urbain durable »</w:t>
      </w:r>
    </w:p>
    <w:p w14:paraId="70ED036F" w14:textId="77777777" w:rsidR="002F68A9" w:rsidRPr="00EA553C" w:rsidRDefault="002F68A9" w:rsidP="00090C3C">
      <w:pPr>
        <w:spacing w:after="0" w:line="240" w:lineRule="auto"/>
        <w:jc w:val="center"/>
        <w:outlineLvl w:val="0"/>
        <w:rPr>
          <w:rFonts w:ascii="Calibri" w:hAnsi="Calibri" w:cstheme="majorHAnsi"/>
          <w:b/>
          <w:bCs/>
          <w:lang w:val="fr-CH"/>
        </w:rPr>
      </w:pPr>
      <w:r w:rsidRPr="00EF376C">
        <w:rPr>
          <w:rFonts w:ascii="Calibri" w:hAnsi="Calibri" w:cstheme="majorHAnsi"/>
          <w:b/>
          <w:bCs/>
          <w:sz w:val="24"/>
          <w:szCs w:val="24"/>
          <w:lang w:val="fr-CH"/>
        </w:rPr>
        <w:t>Dubaï, Émirats arabes unis, 21 au 29 octobre 2018</w:t>
      </w:r>
    </w:p>
    <w:p w14:paraId="4FA9B33B" w14:textId="13974CD3" w:rsidR="002F68A9" w:rsidRDefault="002F68A9" w:rsidP="00090C3C">
      <w:pPr>
        <w:spacing w:after="0" w:line="240" w:lineRule="auto"/>
        <w:jc w:val="center"/>
        <w:outlineLvl w:val="0"/>
        <w:rPr>
          <w:rFonts w:ascii="Calibri" w:hAnsi="Calibri" w:cstheme="majorHAnsi"/>
          <w:b/>
          <w:bCs/>
          <w:sz w:val="28"/>
          <w:szCs w:val="28"/>
          <w:lang w:val="fr-CH"/>
        </w:rPr>
      </w:pPr>
    </w:p>
    <w:p w14:paraId="2E6AE91C" w14:textId="77777777" w:rsidR="007B5E29" w:rsidRDefault="007B5E29" w:rsidP="00090C3C">
      <w:pPr>
        <w:spacing w:after="0" w:line="240" w:lineRule="auto"/>
        <w:jc w:val="center"/>
        <w:outlineLvl w:val="0"/>
        <w:rPr>
          <w:rFonts w:ascii="Calibri" w:hAnsi="Calibri" w:cstheme="majorHAnsi"/>
          <w:b/>
          <w:bCs/>
          <w:sz w:val="28"/>
          <w:szCs w:val="28"/>
          <w:lang w:val="fr-CH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360"/>
      </w:tblGrid>
      <w:tr w:rsidR="007B5E29" w:rsidRPr="000E67F8" w14:paraId="36DE0C5D" w14:textId="77777777" w:rsidTr="00E73E8D">
        <w:tc>
          <w:tcPr>
            <w:tcW w:w="9360" w:type="dxa"/>
          </w:tcPr>
          <w:p w14:paraId="6790BE36" w14:textId="1B459155" w:rsidR="007B5E29" w:rsidRPr="00EF376C" w:rsidRDefault="007B5E29" w:rsidP="00090C3C">
            <w:pPr>
              <w:spacing w:after="0" w:line="240" w:lineRule="auto"/>
              <w:jc w:val="right"/>
              <w:outlineLvl w:val="0"/>
              <w:rPr>
                <w:rFonts w:ascii="Calibri" w:hAnsi="Calibri" w:cstheme="maj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0C3C">
              <w:rPr>
                <w:rFonts w:ascii="Calibri" w:hAnsi="Calibri" w:cstheme="majorHAnsi"/>
                <w:b/>
                <w:bCs/>
                <w:sz w:val="24"/>
                <w:szCs w:val="24"/>
                <w:lang w:val="en-US"/>
              </w:rPr>
              <w:t>Ramsar</w:t>
            </w:r>
            <w:proofErr w:type="spellEnd"/>
            <w:r w:rsidRPr="00090C3C">
              <w:rPr>
                <w:rFonts w:ascii="Calibri" w:hAnsi="Calibri" w:cstheme="majorHAnsi"/>
                <w:b/>
                <w:bCs/>
                <w:sz w:val="24"/>
                <w:szCs w:val="24"/>
                <w:lang w:val="en-US"/>
              </w:rPr>
              <w:t xml:space="preserve"> COP13 Doc.18.11</w:t>
            </w:r>
            <w:r>
              <w:rPr>
                <w:rFonts w:ascii="Calibri" w:hAnsi="Calibri" w:cstheme="majorHAnsi"/>
                <w:b/>
                <w:bCs/>
                <w:sz w:val="24"/>
                <w:szCs w:val="24"/>
                <w:lang w:val="en-US"/>
              </w:rPr>
              <w:t xml:space="preserve"> Rev.1</w:t>
            </w:r>
          </w:p>
        </w:tc>
      </w:tr>
    </w:tbl>
    <w:p w14:paraId="7F8D1117" w14:textId="77777777" w:rsidR="002F68A9" w:rsidRPr="00090C3C" w:rsidRDefault="002F68A9" w:rsidP="00090C3C">
      <w:pPr>
        <w:spacing w:after="0" w:line="240" w:lineRule="auto"/>
        <w:rPr>
          <w:b/>
          <w:sz w:val="28"/>
          <w:szCs w:val="28"/>
          <w:lang w:val="en-GB"/>
        </w:rPr>
      </w:pPr>
    </w:p>
    <w:p w14:paraId="1E7A4D61" w14:textId="537CF931" w:rsidR="00171C2D" w:rsidRPr="00756A37" w:rsidRDefault="002F68A9" w:rsidP="00090C3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 xml:space="preserve">Projet de résolution </w:t>
      </w:r>
      <w:r w:rsidR="00090C3C">
        <w:rPr>
          <w:b/>
          <w:sz w:val="28"/>
          <w:szCs w:val="28"/>
          <w:lang w:val="fr-CA"/>
        </w:rPr>
        <w:t xml:space="preserve">sur la </w:t>
      </w:r>
      <w:r w:rsidR="00757A18">
        <w:rPr>
          <w:b/>
          <w:sz w:val="28"/>
          <w:lang w:val="fr-CA"/>
        </w:rPr>
        <w:t xml:space="preserve">Mission consultative </w:t>
      </w:r>
      <w:proofErr w:type="spellStart"/>
      <w:r w:rsidR="00E237A3">
        <w:rPr>
          <w:b/>
          <w:sz w:val="28"/>
          <w:lang w:val="fr-CA"/>
        </w:rPr>
        <w:t>Ramsar</w:t>
      </w:r>
      <w:proofErr w:type="spellEnd"/>
    </w:p>
    <w:p w14:paraId="54F74A18" w14:textId="77777777" w:rsidR="00171C2D" w:rsidRPr="00756A37" w:rsidRDefault="00171C2D" w:rsidP="00D876D8">
      <w:pPr>
        <w:spacing w:after="0" w:line="240" w:lineRule="auto"/>
        <w:jc w:val="right"/>
        <w:rPr>
          <w:rFonts w:ascii="Garamond" w:eastAsia="Times New Roman" w:hAnsi="Garamond" w:cs="Times New Roman"/>
          <w:b/>
          <w:lang w:val="fr-CA"/>
        </w:rPr>
      </w:pPr>
    </w:p>
    <w:p w14:paraId="2DE25BFA" w14:textId="77777777" w:rsidR="00171C2D" w:rsidRPr="00756A37" w:rsidRDefault="00757A18" w:rsidP="00090C3C">
      <w:pPr>
        <w:spacing w:after="0" w:line="240" w:lineRule="auto"/>
        <w:rPr>
          <w:rFonts w:eastAsia="Times New Roman" w:cs="Times New Roman"/>
          <w:i/>
          <w:lang w:val="fr-CA" w:eastAsia="el-GR"/>
        </w:rPr>
      </w:pPr>
      <w:r>
        <w:rPr>
          <w:rFonts w:eastAsia="Times New Roman" w:cs="Times New Roman"/>
          <w:i/>
          <w:lang w:val="fr-CA" w:eastAsia="el-GR"/>
        </w:rPr>
        <w:t xml:space="preserve">Présenté par le </w:t>
      </w:r>
      <w:r w:rsidR="00D876D8" w:rsidRPr="00756A37">
        <w:rPr>
          <w:rFonts w:eastAsia="Times New Roman" w:cs="Times New Roman"/>
          <w:i/>
          <w:lang w:val="fr-CA" w:eastAsia="el-GR"/>
        </w:rPr>
        <w:t>Burkina Faso</w:t>
      </w:r>
    </w:p>
    <w:p w14:paraId="5FEF56D1" w14:textId="77777777" w:rsidR="00171C2D" w:rsidRPr="00756A37" w:rsidRDefault="00171C2D" w:rsidP="00090C3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sz w:val="24"/>
          <w:szCs w:val="24"/>
          <w:lang w:val="fr-CA"/>
        </w:rPr>
      </w:pPr>
    </w:p>
    <w:p w14:paraId="468C23A5" w14:textId="77777777" w:rsidR="00D876D8" w:rsidRPr="00756A37" w:rsidRDefault="00D876D8" w:rsidP="00090C3C">
      <w:pPr>
        <w:autoSpaceDE w:val="0"/>
        <w:autoSpaceDN w:val="0"/>
        <w:adjustRightInd w:val="0"/>
        <w:spacing w:after="0" w:line="240" w:lineRule="auto"/>
        <w:rPr>
          <w:rFonts w:ascii="Garamond" w:hAnsi="Garamond" w:cs="Cambria,Bold"/>
          <w:b/>
          <w:bCs/>
          <w:sz w:val="24"/>
          <w:szCs w:val="24"/>
          <w:lang w:val="fr-CA"/>
        </w:rPr>
      </w:pPr>
    </w:p>
    <w:p w14:paraId="09403C9F" w14:textId="78D6A843" w:rsidR="00171C2D" w:rsidRPr="00756A37" w:rsidRDefault="00D876D8" w:rsidP="00090C3C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A"/>
        </w:rPr>
      </w:pPr>
      <w:r w:rsidRPr="00756A37">
        <w:rPr>
          <w:rFonts w:cs="Arial"/>
          <w:lang w:val="fr-CA"/>
        </w:rPr>
        <w:t>1.</w:t>
      </w:r>
      <w:r w:rsidRPr="00756A37">
        <w:rPr>
          <w:rFonts w:cs="Arial"/>
          <w:lang w:val="fr-CA"/>
        </w:rPr>
        <w:tab/>
      </w:r>
      <w:r w:rsidR="00171C2D" w:rsidRPr="00756A37">
        <w:rPr>
          <w:rFonts w:cs="Arial"/>
          <w:lang w:val="fr-CA"/>
        </w:rPr>
        <w:t>R</w:t>
      </w:r>
      <w:r w:rsidR="00757A18">
        <w:rPr>
          <w:rFonts w:cs="Arial"/>
          <w:lang w:val="fr-CA"/>
        </w:rPr>
        <w:t>APPELANT la Recommandation </w:t>
      </w:r>
      <w:r w:rsidR="00171C2D" w:rsidRPr="00756A37">
        <w:rPr>
          <w:rFonts w:cs="Arial"/>
          <w:lang w:val="fr-CA"/>
        </w:rPr>
        <w:t>4.7</w:t>
      </w:r>
      <w:r w:rsidR="002F68A9">
        <w:rPr>
          <w:rFonts w:cs="Arial"/>
          <w:lang w:val="fr-CA"/>
        </w:rPr>
        <w:t xml:space="preserve">, </w:t>
      </w:r>
      <w:r w:rsidR="002F68A9" w:rsidRPr="002F68A9">
        <w:rPr>
          <w:rFonts w:cs="Arial"/>
          <w:i/>
          <w:lang w:val="fr-CA"/>
        </w:rPr>
        <w:t xml:space="preserve">Mécanismes </w:t>
      </w:r>
      <w:r w:rsidR="00332784">
        <w:rPr>
          <w:rFonts w:cs="Arial"/>
          <w:i/>
          <w:lang w:val="fr-CA"/>
        </w:rPr>
        <w:t>permettant</w:t>
      </w:r>
      <w:r w:rsidR="002F68A9" w:rsidRPr="002F68A9">
        <w:rPr>
          <w:rFonts w:cs="Arial"/>
          <w:i/>
          <w:lang w:val="fr-CA"/>
        </w:rPr>
        <w:t xml:space="preserve"> </w:t>
      </w:r>
      <w:r w:rsidR="00332784">
        <w:rPr>
          <w:rFonts w:cs="Arial"/>
          <w:i/>
          <w:lang w:val="fr-CA"/>
        </w:rPr>
        <w:t>d’</w:t>
      </w:r>
      <w:r w:rsidR="002F68A9" w:rsidRPr="002F68A9">
        <w:rPr>
          <w:rFonts w:cs="Arial"/>
          <w:i/>
          <w:lang w:val="fr-CA"/>
        </w:rPr>
        <w:t>améliorer l’application de la Convention,</w:t>
      </w:r>
      <w:r w:rsidR="00171C2D" w:rsidRPr="00756A37">
        <w:rPr>
          <w:rFonts w:cs="Arial"/>
          <w:lang w:val="fr-CA"/>
        </w:rPr>
        <w:t xml:space="preserve"> </w:t>
      </w:r>
      <w:r w:rsidR="00927DBC">
        <w:rPr>
          <w:rFonts w:cs="Arial"/>
          <w:lang w:val="fr-CA"/>
        </w:rPr>
        <w:t>selon laquelle</w:t>
      </w:r>
      <w:r w:rsidR="00757A18">
        <w:rPr>
          <w:rFonts w:cs="Arial"/>
          <w:lang w:val="fr-CA"/>
        </w:rPr>
        <w:t xml:space="preserve">, lorsqu’il est porté à l’attention du Secrétariat qu’un Site </w:t>
      </w:r>
      <w:proofErr w:type="spellStart"/>
      <w:r w:rsidR="00757A18">
        <w:rPr>
          <w:rFonts w:cs="Arial"/>
          <w:lang w:val="fr-CA"/>
        </w:rPr>
        <w:t>Ramsar</w:t>
      </w:r>
      <w:proofErr w:type="spellEnd"/>
      <w:r w:rsidR="00757A18">
        <w:rPr>
          <w:rFonts w:cs="Arial"/>
          <w:lang w:val="fr-CA"/>
        </w:rPr>
        <w:t xml:space="preserve"> est confronté à des changements dans ses caractéristiques</w:t>
      </w:r>
      <w:r w:rsidR="009D4135">
        <w:rPr>
          <w:rFonts w:cs="Arial"/>
          <w:lang w:val="fr-CA"/>
        </w:rPr>
        <w:t xml:space="preserve"> </w:t>
      </w:r>
      <w:r w:rsidR="00757A18">
        <w:rPr>
          <w:rFonts w:cs="Arial"/>
          <w:lang w:val="fr-CA"/>
        </w:rPr>
        <w:t xml:space="preserve">écologiques, </w:t>
      </w:r>
      <w:r w:rsidR="004B102C">
        <w:rPr>
          <w:rFonts w:cs="Arial"/>
          <w:lang w:val="fr-CA"/>
        </w:rPr>
        <w:t>le Secrétariat</w:t>
      </w:r>
      <w:r w:rsidR="00757A18">
        <w:rPr>
          <w:rFonts w:cs="Arial"/>
          <w:lang w:val="fr-CA"/>
        </w:rPr>
        <w:t xml:space="preserve"> propose, s’il y a lieu, une Mission consultative </w:t>
      </w:r>
      <w:proofErr w:type="spellStart"/>
      <w:r w:rsidR="00757A18">
        <w:rPr>
          <w:rFonts w:cs="Arial"/>
          <w:lang w:val="fr-CA"/>
        </w:rPr>
        <w:t>Ramsar</w:t>
      </w:r>
      <w:proofErr w:type="spellEnd"/>
      <w:r w:rsidR="00757A18">
        <w:rPr>
          <w:rFonts w:cs="Arial"/>
          <w:lang w:val="fr-CA"/>
        </w:rPr>
        <w:t xml:space="preserve"> (MCR) pour aider l</w:t>
      </w:r>
      <w:r w:rsidR="00856AA1">
        <w:rPr>
          <w:rFonts w:cs="Arial"/>
          <w:lang w:val="fr-CA"/>
        </w:rPr>
        <w:t>a</w:t>
      </w:r>
      <w:r w:rsidR="00757A18">
        <w:rPr>
          <w:rFonts w:cs="Arial"/>
          <w:lang w:val="fr-CA"/>
        </w:rPr>
        <w:t xml:space="preserve"> Partie contractante</w:t>
      </w:r>
      <w:r w:rsidR="00856AA1">
        <w:rPr>
          <w:rFonts w:cs="Arial"/>
          <w:lang w:val="fr-CA"/>
        </w:rPr>
        <w:t xml:space="preserve"> concernée à remédier aux</w:t>
      </w:r>
      <w:r w:rsidR="00757A18">
        <w:rPr>
          <w:rFonts w:cs="Arial"/>
          <w:lang w:val="fr-CA"/>
        </w:rPr>
        <w:t xml:space="preserve"> changements; </w:t>
      </w:r>
    </w:p>
    <w:p w14:paraId="006264C6" w14:textId="77777777" w:rsidR="00171C2D" w:rsidRPr="00756A37" w:rsidRDefault="00171C2D" w:rsidP="00090C3C">
      <w:pPr>
        <w:pStyle w:val="ListParagraph"/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A"/>
        </w:rPr>
      </w:pPr>
    </w:p>
    <w:p w14:paraId="59C0BE92" w14:textId="223F1F06" w:rsidR="00171C2D" w:rsidRPr="00756A37" w:rsidRDefault="00D876D8" w:rsidP="00090C3C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A"/>
        </w:rPr>
      </w:pPr>
      <w:r w:rsidRPr="00756A37">
        <w:rPr>
          <w:rFonts w:cs="Arial"/>
          <w:lang w:val="fr-CA"/>
        </w:rPr>
        <w:t>2.</w:t>
      </w:r>
      <w:r w:rsidRPr="00756A37">
        <w:rPr>
          <w:rFonts w:cs="Arial"/>
          <w:lang w:val="fr-CA"/>
        </w:rPr>
        <w:tab/>
      </w:r>
      <w:r w:rsidR="00171C2D" w:rsidRPr="00756A37">
        <w:rPr>
          <w:rFonts w:cs="Arial"/>
          <w:lang w:val="fr-CA"/>
        </w:rPr>
        <w:t>NOT</w:t>
      </w:r>
      <w:r w:rsidR="00757A18">
        <w:rPr>
          <w:rFonts w:cs="Arial"/>
          <w:lang w:val="fr-CA"/>
        </w:rPr>
        <w:t>ANT qu</w:t>
      </w:r>
      <w:r w:rsidR="007E5125">
        <w:rPr>
          <w:rFonts w:cs="Arial"/>
          <w:lang w:val="fr-CA"/>
        </w:rPr>
        <w:t>e jusqu’</w:t>
      </w:r>
      <w:r w:rsidR="00757A18">
        <w:rPr>
          <w:rFonts w:cs="Arial"/>
          <w:lang w:val="fr-CA"/>
        </w:rPr>
        <w:t>en décembre </w:t>
      </w:r>
      <w:r w:rsidR="00171C2D" w:rsidRPr="00756A37">
        <w:rPr>
          <w:rFonts w:cs="Arial"/>
          <w:lang w:val="fr-CA"/>
        </w:rPr>
        <w:t xml:space="preserve">2016, </w:t>
      </w:r>
      <w:r w:rsidR="00757A18">
        <w:rPr>
          <w:rFonts w:cs="Arial"/>
          <w:lang w:val="fr-CA"/>
        </w:rPr>
        <w:t xml:space="preserve">pour toutes les Régions </w:t>
      </w:r>
      <w:proofErr w:type="spellStart"/>
      <w:r w:rsidR="00757A18">
        <w:rPr>
          <w:rFonts w:cs="Arial"/>
          <w:lang w:val="fr-CA"/>
        </w:rPr>
        <w:t>Ramsar</w:t>
      </w:r>
      <w:proofErr w:type="spellEnd"/>
      <w:r w:rsidR="00757A18">
        <w:rPr>
          <w:rFonts w:cs="Arial"/>
          <w:lang w:val="fr-CA"/>
        </w:rPr>
        <w:t>, 82 </w:t>
      </w:r>
      <w:r w:rsidR="00856AA1">
        <w:rPr>
          <w:rFonts w:cs="Arial"/>
          <w:lang w:val="fr-CA"/>
        </w:rPr>
        <w:t xml:space="preserve">procédures </w:t>
      </w:r>
      <w:r w:rsidR="004B102C">
        <w:rPr>
          <w:rFonts w:cs="Arial"/>
          <w:lang w:val="fr-CA"/>
        </w:rPr>
        <w:t xml:space="preserve">de MCR </w:t>
      </w:r>
      <w:r w:rsidR="00856AA1">
        <w:rPr>
          <w:rFonts w:cs="Arial"/>
          <w:lang w:val="fr-CA"/>
        </w:rPr>
        <w:t>avaient été appliquées avec</w:t>
      </w:r>
      <w:r w:rsidR="00757A18">
        <w:rPr>
          <w:rFonts w:cs="Arial"/>
          <w:lang w:val="fr-CA"/>
        </w:rPr>
        <w:t xml:space="preserve"> des résultats positifs; et </w:t>
      </w:r>
      <w:r w:rsidR="00BB19E2">
        <w:rPr>
          <w:rFonts w:cs="Arial"/>
          <w:lang w:val="fr-CA"/>
        </w:rPr>
        <w:t xml:space="preserve">RENDANT HOMMAGE aux </w:t>
      </w:r>
      <w:r w:rsidR="00757A18">
        <w:rPr>
          <w:rFonts w:cs="Arial"/>
          <w:lang w:val="fr-CA"/>
        </w:rPr>
        <w:t xml:space="preserve"> Parties </w:t>
      </w:r>
      <w:r w:rsidR="007E5125">
        <w:rPr>
          <w:rFonts w:cs="Arial"/>
          <w:lang w:val="fr-CA"/>
        </w:rPr>
        <w:t xml:space="preserve">contractantes </w:t>
      </w:r>
      <w:r w:rsidR="00757A18">
        <w:rPr>
          <w:rFonts w:cs="Arial"/>
          <w:lang w:val="fr-CA"/>
        </w:rPr>
        <w:t>qui ont</w:t>
      </w:r>
      <w:r w:rsidR="007E5125">
        <w:rPr>
          <w:rFonts w:cs="Arial"/>
          <w:lang w:val="fr-CA"/>
        </w:rPr>
        <w:t>,</w:t>
      </w:r>
      <w:r w:rsidR="00757A18">
        <w:rPr>
          <w:rFonts w:cs="Arial"/>
          <w:lang w:val="fr-CA"/>
        </w:rPr>
        <w:t xml:space="preserve"> à ce jour</w:t>
      </w:r>
      <w:r w:rsidR="007E5125">
        <w:rPr>
          <w:rFonts w:cs="Arial"/>
          <w:lang w:val="fr-CA"/>
        </w:rPr>
        <w:t>,</w:t>
      </w:r>
      <w:r w:rsidR="00757A18">
        <w:rPr>
          <w:rFonts w:cs="Arial"/>
          <w:lang w:val="fr-CA"/>
        </w:rPr>
        <w:t xml:space="preserve"> </w:t>
      </w:r>
      <w:r w:rsidR="00AF2B33">
        <w:rPr>
          <w:rFonts w:cs="Arial"/>
          <w:lang w:val="fr-CA"/>
        </w:rPr>
        <w:t xml:space="preserve">utilisé </w:t>
      </w:r>
      <w:r w:rsidR="00757A18">
        <w:rPr>
          <w:rFonts w:cs="Arial"/>
          <w:lang w:val="fr-CA"/>
        </w:rPr>
        <w:t xml:space="preserve">la MCR afin de trouver des solutions constructives aux difficultés qu’elles rencontrent et comme contribution à leurs efforts </w:t>
      </w:r>
      <w:r w:rsidR="00856AA1">
        <w:rPr>
          <w:rFonts w:cs="Arial"/>
          <w:lang w:val="fr-CA"/>
        </w:rPr>
        <w:t>d’</w:t>
      </w:r>
      <w:r w:rsidR="00757A18">
        <w:rPr>
          <w:rFonts w:cs="Arial"/>
          <w:lang w:val="fr-CA"/>
        </w:rPr>
        <w:t>application efficace de la Convention;</w:t>
      </w:r>
    </w:p>
    <w:p w14:paraId="525BBB2F" w14:textId="77777777" w:rsidR="00171C2D" w:rsidRPr="00756A37" w:rsidRDefault="00171C2D" w:rsidP="00090C3C">
      <w:pPr>
        <w:pStyle w:val="ListParagraph"/>
        <w:spacing w:after="0" w:line="240" w:lineRule="auto"/>
        <w:ind w:left="425" w:hanging="425"/>
        <w:rPr>
          <w:rFonts w:cs="Arial"/>
          <w:lang w:val="fr-CA"/>
        </w:rPr>
      </w:pPr>
    </w:p>
    <w:p w14:paraId="2428E1A1" w14:textId="1280C62C" w:rsidR="00171C2D" w:rsidRDefault="00D876D8" w:rsidP="00090C3C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A"/>
        </w:rPr>
      </w:pPr>
      <w:r w:rsidRPr="00756A37">
        <w:rPr>
          <w:rFonts w:cs="Arial"/>
          <w:lang w:val="fr-CA"/>
        </w:rPr>
        <w:t>3.</w:t>
      </w:r>
      <w:r w:rsidRPr="00756A37">
        <w:rPr>
          <w:rFonts w:cs="Arial"/>
          <w:lang w:val="fr-CA"/>
        </w:rPr>
        <w:tab/>
      </w:r>
      <w:r w:rsidR="00BB19E2">
        <w:rPr>
          <w:rFonts w:cs="Arial"/>
          <w:lang w:val="fr-CA"/>
        </w:rPr>
        <w:t xml:space="preserve">GARDANT À L’ESPRIT </w:t>
      </w:r>
      <w:r w:rsidR="00010801">
        <w:rPr>
          <w:rFonts w:cs="Arial"/>
          <w:lang w:val="fr-CA"/>
        </w:rPr>
        <w:t>qu’il importe</w:t>
      </w:r>
      <w:r w:rsidR="00757A18">
        <w:rPr>
          <w:rFonts w:cs="Arial"/>
          <w:lang w:val="fr-CA"/>
        </w:rPr>
        <w:t xml:space="preserve"> de </w:t>
      </w:r>
      <w:r w:rsidR="00BB19E2">
        <w:rPr>
          <w:rFonts w:cs="Arial"/>
          <w:lang w:val="fr-CA"/>
        </w:rPr>
        <w:t xml:space="preserve">partager des informations sur </w:t>
      </w:r>
      <w:r w:rsidR="002967FC">
        <w:rPr>
          <w:rFonts w:cs="Arial"/>
          <w:lang w:val="fr-CA"/>
        </w:rPr>
        <w:t xml:space="preserve">la mise à disposition </w:t>
      </w:r>
      <w:r w:rsidR="00757A18">
        <w:rPr>
          <w:rFonts w:cs="Arial"/>
          <w:lang w:val="fr-CA"/>
        </w:rPr>
        <w:t>de la MCR</w:t>
      </w:r>
      <w:r w:rsidR="00AF2B33">
        <w:rPr>
          <w:rFonts w:cs="Arial"/>
          <w:lang w:val="fr-CA"/>
        </w:rPr>
        <w:t xml:space="preserve"> comme </w:t>
      </w:r>
      <w:r w:rsidR="00757A18">
        <w:rPr>
          <w:rFonts w:cs="Arial"/>
          <w:lang w:val="fr-CA"/>
        </w:rPr>
        <w:t>outil important et utile</w:t>
      </w:r>
      <w:r w:rsidR="00AF2B33">
        <w:rPr>
          <w:rFonts w:cs="Arial"/>
          <w:lang w:val="fr-CA"/>
        </w:rPr>
        <w:t xml:space="preserve"> </w:t>
      </w:r>
      <w:r w:rsidR="00757A18">
        <w:rPr>
          <w:rFonts w:cs="Arial"/>
          <w:lang w:val="fr-CA"/>
        </w:rPr>
        <w:t>pour aider les Parties</w:t>
      </w:r>
      <w:r w:rsidR="007E5125">
        <w:rPr>
          <w:rFonts w:cs="Arial"/>
          <w:lang w:val="fr-CA"/>
        </w:rPr>
        <w:t xml:space="preserve"> contractantes</w:t>
      </w:r>
      <w:r w:rsidR="00757A18">
        <w:rPr>
          <w:rFonts w:cs="Arial"/>
          <w:lang w:val="fr-CA"/>
        </w:rPr>
        <w:t xml:space="preserve"> à appliquer la Convention</w:t>
      </w:r>
      <w:r w:rsidR="002967FC">
        <w:rPr>
          <w:rFonts w:cs="Arial"/>
          <w:lang w:val="fr-CA"/>
        </w:rPr>
        <w:t xml:space="preserve"> et pour appuyer les Parties contractantes qui demandent des MCR</w:t>
      </w:r>
      <w:r w:rsidR="00757A18">
        <w:rPr>
          <w:rFonts w:cs="Arial"/>
          <w:lang w:val="fr-CA"/>
        </w:rPr>
        <w:t xml:space="preserve">; </w:t>
      </w:r>
    </w:p>
    <w:p w14:paraId="0C6C3BA2" w14:textId="1D447517" w:rsidR="009814B9" w:rsidRPr="00756A37" w:rsidRDefault="009814B9" w:rsidP="00090C3C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A"/>
        </w:rPr>
      </w:pPr>
    </w:p>
    <w:p w14:paraId="5E6EAF81" w14:textId="713F3A82" w:rsidR="0044679E" w:rsidRDefault="00D876D8" w:rsidP="00090C3C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A"/>
        </w:rPr>
      </w:pPr>
      <w:r w:rsidRPr="00756A37">
        <w:rPr>
          <w:rFonts w:cs="Arial"/>
          <w:lang w:val="fr-CA"/>
        </w:rPr>
        <w:t>4.</w:t>
      </w:r>
      <w:r w:rsidRPr="00756A37">
        <w:rPr>
          <w:rFonts w:cs="Arial"/>
          <w:lang w:val="fr-CA"/>
        </w:rPr>
        <w:tab/>
      </w:r>
      <w:r w:rsidR="0044679E">
        <w:rPr>
          <w:rFonts w:cs="Arial"/>
          <w:lang w:val="fr-CA"/>
        </w:rPr>
        <w:t xml:space="preserve">RECONNAISSANT EN OUTRE la contribution importante que le Groupe d’évaluation </w:t>
      </w:r>
      <w:proofErr w:type="spellStart"/>
      <w:r w:rsidR="0044679E">
        <w:rPr>
          <w:rFonts w:cs="Arial"/>
          <w:lang w:val="fr-CA"/>
        </w:rPr>
        <w:t>scientifiqueet</w:t>
      </w:r>
      <w:proofErr w:type="spellEnd"/>
      <w:r w:rsidR="0044679E">
        <w:rPr>
          <w:rFonts w:cs="Arial"/>
          <w:lang w:val="fr-CA"/>
        </w:rPr>
        <w:t xml:space="preserve"> technique (GEST), les Organisations internationales partenaires (OIP) et autres acteurs ont apportée à l’application du processus de MCR en 30 ans d’histoire;</w:t>
      </w:r>
    </w:p>
    <w:p w14:paraId="6DF38446" w14:textId="77777777" w:rsidR="00171C2D" w:rsidRPr="008235CD" w:rsidRDefault="00171C2D" w:rsidP="00090C3C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A"/>
        </w:rPr>
      </w:pPr>
    </w:p>
    <w:p w14:paraId="32266B44" w14:textId="21B473BB" w:rsidR="00171C2D" w:rsidRDefault="00D876D8" w:rsidP="00090C3C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H"/>
        </w:rPr>
      </w:pPr>
      <w:r w:rsidRPr="00756A37">
        <w:rPr>
          <w:rFonts w:cs="Arial"/>
          <w:lang w:val="fr-CA"/>
        </w:rPr>
        <w:t>5.</w:t>
      </w:r>
      <w:r w:rsidRPr="00756A37">
        <w:rPr>
          <w:rFonts w:cs="Arial"/>
          <w:lang w:val="fr-CA"/>
        </w:rPr>
        <w:tab/>
      </w:r>
      <w:r w:rsidR="008235CD">
        <w:rPr>
          <w:rFonts w:cs="Arial"/>
          <w:lang w:val="fr-CA"/>
        </w:rPr>
        <w:t xml:space="preserve">SE FÉLICITANT des travaux accomplis par le GEST, dans la période triennale écoulée, pour examiner et analyser de manière exhaustive le contenu des rapports de 82 missions de MCR, et </w:t>
      </w:r>
      <w:r w:rsidR="002967FC">
        <w:rPr>
          <w:rFonts w:cs="Arial"/>
          <w:lang w:val="fr-CA"/>
        </w:rPr>
        <w:t xml:space="preserve">PRENANT ACTE </w:t>
      </w:r>
      <w:r w:rsidR="008235CD">
        <w:rPr>
          <w:rFonts w:cs="Arial"/>
          <w:lang w:val="fr-CA"/>
        </w:rPr>
        <w:t xml:space="preserve">de la </w:t>
      </w:r>
      <w:r w:rsidR="008235CD">
        <w:rPr>
          <w:rFonts w:cs="Arial"/>
          <w:i/>
          <w:lang w:val="fr-CA"/>
        </w:rPr>
        <w:t>Note d’information</w:t>
      </w:r>
      <w:r w:rsidR="008235CD">
        <w:rPr>
          <w:rFonts w:cs="Arial"/>
          <w:lang w:val="fr-CA"/>
        </w:rPr>
        <w:t xml:space="preserve"> et </w:t>
      </w:r>
      <w:r w:rsidR="007E5125">
        <w:rPr>
          <w:rFonts w:cs="Arial"/>
          <w:lang w:val="fr-CA"/>
        </w:rPr>
        <w:t xml:space="preserve">de </w:t>
      </w:r>
      <w:r w:rsidR="008235CD">
        <w:rPr>
          <w:rFonts w:cs="Arial"/>
          <w:lang w:val="fr-CA"/>
        </w:rPr>
        <w:t>la</w:t>
      </w:r>
      <w:r w:rsidR="008235CD" w:rsidRPr="00756A37">
        <w:rPr>
          <w:rFonts w:cs="Arial"/>
          <w:lang w:val="fr-CA"/>
        </w:rPr>
        <w:t xml:space="preserve"> </w:t>
      </w:r>
      <w:r w:rsidR="008235CD">
        <w:rPr>
          <w:rFonts w:cs="Arial"/>
          <w:i/>
          <w:lang w:val="fr-CA"/>
        </w:rPr>
        <w:t xml:space="preserve">Note d’orientation </w:t>
      </w:r>
      <w:r w:rsidR="008235CD" w:rsidRPr="007E5125">
        <w:rPr>
          <w:rFonts w:cs="Arial"/>
          <w:lang w:val="fr-CA"/>
        </w:rPr>
        <w:t>sur l</w:t>
      </w:r>
      <w:r w:rsidR="007E5125">
        <w:rPr>
          <w:rFonts w:cs="Arial"/>
          <w:lang w:val="fr-CA"/>
        </w:rPr>
        <w:t>a MCR</w:t>
      </w:r>
      <w:r w:rsidR="008235CD" w:rsidRPr="007E5125">
        <w:rPr>
          <w:rFonts w:cs="Arial"/>
          <w:lang w:val="fr-CA"/>
        </w:rPr>
        <w:t xml:space="preserve"> </w:t>
      </w:r>
      <w:r w:rsidR="008235CD">
        <w:rPr>
          <w:rFonts w:cs="Arial"/>
          <w:lang w:val="fr-CA"/>
        </w:rPr>
        <w:t>qui en ont découlé et qui ont été publiées en 2018;</w:t>
      </w:r>
      <w:r w:rsidR="009E1ADC" w:rsidRPr="009814B9">
        <w:rPr>
          <w:rFonts w:cs="Arial"/>
          <w:lang w:val="fr-CH"/>
        </w:rPr>
        <w:t xml:space="preserve"> </w:t>
      </w:r>
    </w:p>
    <w:p w14:paraId="06EDD0AB" w14:textId="77777777" w:rsidR="00171C2D" w:rsidRPr="00756A37" w:rsidRDefault="00171C2D" w:rsidP="00090C3C">
      <w:pPr>
        <w:pStyle w:val="ListParagraph"/>
        <w:spacing w:after="0" w:line="240" w:lineRule="auto"/>
        <w:ind w:left="425" w:hanging="425"/>
        <w:rPr>
          <w:rFonts w:cs="Arial"/>
          <w:lang w:val="fr-CA"/>
        </w:rPr>
      </w:pPr>
    </w:p>
    <w:p w14:paraId="6C6AF61A" w14:textId="22C892FE" w:rsidR="00171C2D" w:rsidRPr="00756A37" w:rsidRDefault="00D876D8" w:rsidP="00090C3C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A"/>
        </w:rPr>
      </w:pPr>
      <w:r w:rsidRPr="00756A37">
        <w:rPr>
          <w:rFonts w:cs="Arial"/>
          <w:lang w:val="fr-CA"/>
        </w:rPr>
        <w:t>6.</w:t>
      </w:r>
      <w:r w:rsidRPr="00756A37">
        <w:rPr>
          <w:rFonts w:cs="Arial"/>
          <w:lang w:val="fr-CA"/>
        </w:rPr>
        <w:tab/>
      </w:r>
      <w:r w:rsidR="009D4135" w:rsidRPr="00756A37">
        <w:rPr>
          <w:rFonts w:cs="Arial"/>
          <w:lang w:val="fr-CA"/>
        </w:rPr>
        <w:t>NOT</w:t>
      </w:r>
      <w:r w:rsidR="009D4135">
        <w:rPr>
          <w:rFonts w:cs="Arial"/>
          <w:lang w:val="fr-CA"/>
        </w:rPr>
        <w:t xml:space="preserve">ANT qu’il n’y a pas eu d’attribution du budget administratif pour soutenir l’application de </w:t>
      </w:r>
      <w:r w:rsidR="007E5125">
        <w:rPr>
          <w:rFonts w:cs="Arial"/>
          <w:lang w:val="fr-CA"/>
        </w:rPr>
        <w:t xml:space="preserve">la </w:t>
      </w:r>
      <w:r w:rsidR="009D4135">
        <w:rPr>
          <w:rFonts w:cs="Arial"/>
          <w:lang w:val="fr-CA"/>
        </w:rPr>
        <w:t xml:space="preserve">MCR depuis la </w:t>
      </w:r>
      <w:r w:rsidR="007E5125">
        <w:rPr>
          <w:rFonts w:cs="Arial"/>
          <w:lang w:val="fr-CA"/>
        </w:rPr>
        <w:t>7</w:t>
      </w:r>
      <w:r w:rsidR="007E5125" w:rsidRPr="007E5125">
        <w:rPr>
          <w:rFonts w:cs="Arial"/>
          <w:vertAlign w:val="superscript"/>
          <w:lang w:val="fr-CA"/>
        </w:rPr>
        <w:t>e</w:t>
      </w:r>
      <w:r w:rsidR="007E5125">
        <w:rPr>
          <w:rFonts w:cs="Arial"/>
          <w:lang w:val="fr-CA"/>
        </w:rPr>
        <w:t xml:space="preserve"> Session de la Conférence des parties contractantes</w:t>
      </w:r>
      <w:r w:rsidR="009D4135">
        <w:rPr>
          <w:rFonts w:cs="Arial"/>
          <w:lang w:val="fr-CA"/>
        </w:rPr>
        <w:t xml:space="preserve">, en 1999, </w:t>
      </w:r>
      <w:r w:rsidR="00EF376C">
        <w:rPr>
          <w:rFonts w:cs="Arial"/>
          <w:lang w:val="fr-CA"/>
        </w:rPr>
        <w:t>et</w:t>
      </w:r>
      <w:r w:rsidR="009D4135" w:rsidRPr="00EA23B3">
        <w:rPr>
          <w:rFonts w:cs="Arial"/>
          <w:lang w:val="fr-CA"/>
        </w:rPr>
        <w:t xml:space="preserve"> </w:t>
      </w:r>
      <w:r w:rsidR="008B218B" w:rsidRPr="00EA23B3">
        <w:rPr>
          <w:rFonts w:cs="Arial"/>
          <w:lang w:val="fr-CA"/>
        </w:rPr>
        <w:t xml:space="preserve">que </w:t>
      </w:r>
      <w:r w:rsidR="009D4135" w:rsidRPr="00EA23B3">
        <w:rPr>
          <w:rFonts w:cs="Arial"/>
          <w:lang w:val="fr-CA"/>
        </w:rPr>
        <w:t xml:space="preserve">le financement non administratif a été </w:t>
      </w:r>
      <w:r w:rsidR="00EF376C">
        <w:rPr>
          <w:rFonts w:cs="Arial"/>
          <w:lang w:val="fr-CA"/>
        </w:rPr>
        <w:t>dépensé</w:t>
      </w:r>
      <w:r w:rsidR="00090C3C">
        <w:rPr>
          <w:rFonts w:cs="Arial"/>
          <w:lang w:val="fr-CA"/>
        </w:rPr>
        <w:t xml:space="preserve"> depuis lors</w:t>
      </w:r>
      <w:r w:rsidR="002967FC">
        <w:rPr>
          <w:rFonts w:cs="Arial"/>
          <w:lang w:val="fr-CA"/>
        </w:rPr>
        <w:t xml:space="preserve"> pour soutenir 50 MCR;</w:t>
      </w:r>
    </w:p>
    <w:p w14:paraId="5E70364F" w14:textId="77777777" w:rsidR="00171C2D" w:rsidRPr="00756A37" w:rsidRDefault="00171C2D" w:rsidP="00090C3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Arial"/>
          <w:lang w:val="fr-CA"/>
        </w:rPr>
      </w:pPr>
    </w:p>
    <w:p w14:paraId="3E9C211E" w14:textId="6BD25A5F" w:rsidR="000A5344" w:rsidRDefault="00D876D8" w:rsidP="000A5344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A"/>
        </w:rPr>
      </w:pPr>
      <w:r w:rsidRPr="00756A37">
        <w:rPr>
          <w:rFonts w:cs="Arial"/>
          <w:lang w:val="fr-CA"/>
        </w:rPr>
        <w:t>7.</w:t>
      </w:r>
      <w:r w:rsidRPr="00756A37">
        <w:rPr>
          <w:rFonts w:cs="Arial"/>
          <w:lang w:val="fr-CA"/>
        </w:rPr>
        <w:tab/>
      </w:r>
      <w:r w:rsidR="002967FC" w:rsidRPr="002967FC">
        <w:rPr>
          <w:rFonts w:cs="Arial"/>
          <w:lang w:val="fr-CA"/>
        </w:rPr>
        <w:t xml:space="preserve">TENANT COMPTE du fait que les ressources </w:t>
      </w:r>
      <w:r w:rsidR="002967FC">
        <w:rPr>
          <w:rFonts w:cs="Arial"/>
          <w:lang w:val="fr-CA"/>
        </w:rPr>
        <w:t xml:space="preserve">pourraient </w:t>
      </w:r>
      <w:r w:rsidR="002967FC" w:rsidRPr="002967FC">
        <w:rPr>
          <w:rFonts w:cs="Arial"/>
          <w:lang w:val="fr-CA"/>
        </w:rPr>
        <w:t xml:space="preserve">ne pas </w:t>
      </w:r>
      <w:r w:rsidR="002967FC">
        <w:rPr>
          <w:rFonts w:cs="Arial"/>
          <w:lang w:val="fr-CA"/>
        </w:rPr>
        <w:t xml:space="preserve">être </w:t>
      </w:r>
      <w:r w:rsidR="002967FC" w:rsidRPr="002967FC">
        <w:rPr>
          <w:rFonts w:cs="Arial"/>
          <w:lang w:val="fr-CA"/>
        </w:rPr>
        <w:t>toujours disponibles pour soutenir les MCR en temps voulu et ENCOURAGEANT les Parties contractantes confrontées à de telles situations à chercher à identifier d'autres sources de soutien pour les MCR</w:t>
      </w:r>
      <w:r w:rsidR="000A5344">
        <w:rPr>
          <w:rFonts w:cs="Arial"/>
          <w:lang w:val="fr-CA"/>
        </w:rPr>
        <w:t>;</w:t>
      </w:r>
      <w:r w:rsidR="002967FC" w:rsidRPr="002967FC">
        <w:rPr>
          <w:rFonts w:cs="Arial"/>
          <w:lang w:val="fr-CA"/>
        </w:rPr>
        <w:t xml:space="preserve"> et</w:t>
      </w:r>
      <w:r w:rsidR="000A5344">
        <w:rPr>
          <w:rFonts w:cs="Arial"/>
          <w:lang w:val="fr-CA"/>
        </w:rPr>
        <w:t xml:space="preserve"> </w:t>
      </w:r>
    </w:p>
    <w:p w14:paraId="0CE3E315" w14:textId="77777777" w:rsidR="000A5344" w:rsidRDefault="000A5344" w:rsidP="000A5344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A"/>
        </w:rPr>
      </w:pPr>
    </w:p>
    <w:p w14:paraId="713477DD" w14:textId="5B286B41" w:rsidR="00171C2D" w:rsidRPr="00756A37" w:rsidRDefault="000A5344" w:rsidP="000A5344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A"/>
        </w:rPr>
      </w:pPr>
      <w:r>
        <w:rPr>
          <w:rFonts w:cs="Arial"/>
          <w:lang w:val="fr-CA"/>
        </w:rPr>
        <w:lastRenderedPageBreak/>
        <w:t>8.</w:t>
      </w:r>
      <w:r>
        <w:rPr>
          <w:rFonts w:cs="Arial"/>
          <w:lang w:val="fr-CA"/>
        </w:rPr>
        <w:tab/>
      </w:r>
      <w:r w:rsidR="00856AA1">
        <w:rPr>
          <w:rFonts w:cs="Arial"/>
          <w:lang w:val="fr-CA"/>
        </w:rPr>
        <w:t>CONSCIENTE de</w:t>
      </w:r>
      <w:r w:rsidR="00D60D70">
        <w:rPr>
          <w:rFonts w:cs="Arial"/>
          <w:lang w:val="fr-CA"/>
        </w:rPr>
        <w:t xml:space="preserve"> l</w:t>
      </w:r>
      <w:r w:rsidR="00856AA1">
        <w:rPr>
          <w:rFonts w:cs="Arial"/>
          <w:lang w:val="fr-CA"/>
        </w:rPr>
        <w:t>’intérêt</w:t>
      </w:r>
      <w:r w:rsidR="00D60D70">
        <w:rPr>
          <w:rFonts w:cs="Arial"/>
          <w:lang w:val="fr-CA"/>
        </w:rPr>
        <w:t xml:space="preserve"> de</w:t>
      </w:r>
      <w:r w:rsidR="004B102C">
        <w:rPr>
          <w:rFonts w:cs="Arial"/>
          <w:lang w:val="fr-CA"/>
        </w:rPr>
        <w:t xml:space="preserve"> la</w:t>
      </w:r>
      <w:r w:rsidR="00D60D70">
        <w:rPr>
          <w:rFonts w:cs="Arial"/>
          <w:lang w:val="fr-CA"/>
        </w:rPr>
        <w:t xml:space="preserve"> MCR </w:t>
      </w:r>
      <w:r w:rsidR="00856AA1">
        <w:rPr>
          <w:rFonts w:cs="Arial"/>
          <w:lang w:val="fr-CA"/>
        </w:rPr>
        <w:t>pour</w:t>
      </w:r>
      <w:r w:rsidR="00D60D70">
        <w:rPr>
          <w:rFonts w:cs="Arial"/>
          <w:lang w:val="fr-CA"/>
        </w:rPr>
        <w:t xml:space="preserve"> la visibilité de la Convention</w:t>
      </w:r>
      <w:r w:rsidR="00856AA1">
        <w:rPr>
          <w:rFonts w:cs="Arial"/>
          <w:lang w:val="fr-CA"/>
        </w:rPr>
        <w:t xml:space="preserve"> et</w:t>
      </w:r>
      <w:r w:rsidR="00D60D70">
        <w:rPr>
          <w:rFonts w:cs="Arial"/>
          <w:lang w:val="fr-CA"/>
        </w:rPr>
        <w:t xml:space="preserve"> </w:t>
      </w:r>
      <w:r w:rsidR="00856AA1">
        <w:rPr>
          <w:rFonts w:cs="Arial"/>
          <w:lang w:val="fr-CA"/>
        </w:rPr>
        <w:t xml:space="preserve">pour </w:t>
      </w:r>
      <w:r w:rsidR="00D60D70">
        <w:rPr>
          <w:rFonts w:cs="Arial"/>
          <w:lang w:val="fr-CA"/>
        </w:rPr>
        <w:t>soulign</w:t>
      </w:r>
      <w:r w:rsidR="00856AA1">
        <w:rPr>
          <w:rFonts w:cs="Arial"/>
          <w:lang w:val="fr-CA"/>
        </w:rPr>
        <w:t>er</w:t>
      </w:r>
      <w:r w:rsidR="00D60D70">
        <w:rPr>
          <w:rFonts w:cs="Arial"/>
          <w:lang w:val="fr-CA"/>
        </w:rPr>
        <w:t xml:space="preserve"> l’engagement des Parties contractantes et contribu</w:t>
      </w:r>
      <w:r w:rsidR="00856AA1">
        <w:rPr>
          <w:rFonts w:cs="Arial"/>
          <w:lang w:val="fr-CA"/>
        </w:rPr>
        <w:t>er</w:t>
      </w:r>
      <w:r w:rsidR="00D60D70">
        <w:rPr>
          <w:rFonts w:cs="Arial"/>
          <w:lang w:val="fr-CA"/>
        </w:rPr>
        <w:t xml:space="preserve"> à la sensibilisation du public à la conservation et à l’utilisation rationnelle des zones humides;</w:t>
      </w:r>
    </w:p>
    <w:p w14:paraId="04E744BC" w14:textId="77777777" w:rsidR="00D876D8" w:rsidRPr="00756A37" w:rsidRDefault="00D876D8" w:rsidP="00090C3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Arial"/>
          <w:lang w:val="fr-CA"/>
        </w:rPr>
      </w:pPr>
    </w:p>
    <w:p w14:paraId="3744A60E" w14:textId="77777777" w:rsidR="00171C2D" w:rsidRPr="00756A37" w:rsidRDefault="00D60D70" w:rsidP="00090C3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Arial"/>
          <w:lang w:val="fr-CA"/>
        </w:rPr>
      </w:pPr>
      <w:r>
        <w:rPr>
          <w:rFonts w:cs="Arial"/>
          <w:lang w:val="fr-CA"/>
        </w:rPr>
        <w:t>LA CONFÉRENCE DES</w:t>
      </w:r>
      <w:r w:rsidR="00171C2D" w:rsidRPr="00756A37">
        <w:rPr>
          <w:rFonts w:cs="Arial"/>
          <w:lang w:val="fr-CA"/>
        </w:rPr>
        <w:t xml:space="preserve"> PARTIES</w:t>
      </w:r>
      <w:r w:rsidR="004B102C">
        <w:rPr>
          <w:rFonts w:cs="Arial"/>
          <w:lang w:val="fr-CA"/>
        </w:rPr>
        <w:t xml:space="preserve"> CONTRACTANTES</w:t>
      </w:r>
    </w:p>
    <w:p w14:paraId="5FA3450B" w14:textId="77777777" w:rsidR="00171C2D" w:rsidRPr="00756A37" w:rsidRDefault="00171C2D" w:rsidP="00090C3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Arial"/>
          <w:lang w:val="fr-CA"/>
        </w:rPr>
      </w:pPr>
    </w:p>
    <w:p w14:paraId="159CAEA9" w14:textId="6FFBBC51" w:rsidR="00171C2D" w:rsidRPr="00756A37" w:rsidRDefault="000A5344" w:rsidP="00090C3C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A"/>
        </w:rPr>
      </w:pPr>
      <w:r>
        <w:rPr>
          <w:rFonts w:cs="Arial"/>
          <w:lang w:val="fr-CA"/>
        </w:rPr>
        <w:t>9</w:t>
      </w:r>
      <w:r w:rsidR="00D876D8" w:rsidRPr="00756A37">
        <w:rPr>
          <w:rFonts w:cs="Arial"/>
          <w:lang w:val="fr-CA"/>
        </w:rPr>
        <w:t>.</w:t>
      </w:r>
      <w:r w:rsidR="00D876D8" w:rsidRPr="00756A37">
        <w:rPr>
          <w:rFonts w:cs="Arial"/>
          <w:lang w:val="fr-CA"/>
        </w:rPr>
        <w:tab/>
      </w:r>
      <w:r>
        <w:rPr>
          <w:rFonts w:cs="Arial"/>
          <w:lang w:val="fr-CA"/>
        </w:rPr>
        <w:t xml:space="preserve">CONSIDÈRE </w:t>
      </w:r>
      <w:r w:rsidR="00D60D70">
        <w:rPr>
          <w:rFonts w:cs="Arial"/>
          <w:lang w:val="fr-CA"/>
        </w:rPr>
        <w:t xml:space="preserve">que le mécanisme de Mission consultative </w:t>
      </w:r>
      <w:proofErr w:type="spellStart"/>
      <w:r w:rsidR="00D60D70">
        <w:rPr>
          <w:rFonts w:cs="Arial"/>
          <w:lang w:val="fr-CA"/>
        </w:rPr>
        <w:t>Ramsar</w:t>
      </w:r>
      <w:proofErr w:type="spellEnd"/>
      <w:r w:rsidR="00D60D70">
        <w:rPr>
          <w:rFonts w:cs="Arial"/>
          <w:lang w:val="fr-CA"/>
        </w:rPr>
        <w:t xml:space="preserve"> est un outil </w:t>
      </w:r>
      <w:r>
        <w:rPr>
          <w:rFonts w:cs="Arial"/>
          <w:lang w:val="fr-CA"/>
        </w:rPr>
        <w:t xml:space="preserve">utile </w:t>
      </w:r>
      <w:r w:rsidR="00856AA1">
        <w:rPr>
          <w:rFonts w:cs="Arial"/>
          <w:lang w:val="fr-CA"/>
        </w:rPr>
        <w:t>dont disposent les</w:t>
      </w:r>
      <w:r w:rsidR="00D60D70">
        <w:rPr>
          <w:rFonts w:cs="Arial"/>
          <w:lang w:val="fr-CA"/>
        </w:rPr>
        <w:t xml:space="preserve"> Parties pour appliquer la Convention et </w:t>
      </w:r>
      <w:r w:rsidR="00856AA1">
        <w:rPr>
          <w:rFonts w:cs="Arial"/>
          <w:lang w:val="fr-CA"/>
        </w:rPr>
        <w:t xml:space="preserve">qu’il </w:t>
      </w:r>
      <w:r w:rsidR="00FF15EE">
        <w:rPr>
          <w:rFonts w:cs="Arial"/>
          <w:lang w:val="fr-CA"/>
        </w:rPr>
        <w:t>offre</w:t>
      </w:r>
      <w:r w:rsidR="00D60D70">
        <w:rPr>
          <w:rFonts w:cs="Arial"/>
          <w:lang w:val="fr-CA"/>
        </w:rPr>
        <w:t xml:space="preserve"> un moyen de fournir un avis indépendant permettant de </w:t>
      </w:r>
      <w:r w:rsidR="00FF15EE">
        <w:rPr>
          <w:rFonts w:cs="Arial"/>
          <w:lang w:val="fr-CA"/>
        </w:rPr>
        <w:t>remédier aux</w:t>
      </w:r>
      <w:r w:rsidR="00D60D70">
        <w:rPr>
          <w:rFonts w:cs="Arial"/>
          <w:lang w:val="fr-CA"/>
        </w:rPr>
        <w:t xml:space="preserve"> changements actuels et potentiels dans les caractéristiques écologiques de Sites </w:t>
      </w:r>
      <w:proofErr w:type="spellStart"/>
      <w:r w:rsidR="00D60D70">
        <w:rPr>
          <w:rFonts w:cs="Arial"/>
          <w:lang w:val="fr-CA"/>
        </w:rPr>
        <w:t>Ramsar</w:t>
      </w:r>
      <w:proofErr w:type="spellEnd"/>
      <w:r w:rsidR="00D60D70">
        <w:rPr>
          <w:rFonts w:cs="Arial"/>
          <w:lang w:val="fr-CA"/>
        </w:rPr>
        <w:t>.</w:t>
      </w:r>
    </w:p>
    <w:p w14:paraId="36E53FF1" w14:textId="77777777" w:rsidR="00171C2D" w:rsidRPr="00756A37" w:rsidRDefault="00171C2D" w:rsidP="00090C3C">
      <w:pPr>
        <w:pStyle w:val="ListParagraph"/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A"/>
        </w:rPr>
      </w:pPr>
    </w:p>
    <w:p w14:paraId="0D2A4206" w14:textId="38ABAC3F" w:rsidR="006105DB" w:rsidRDefault="000A5344" w:rsidP="00090C3C">
      <w:pPr>
        <w:pStyle w:val="ListParagraph"/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A"/>
        </w:rPr>
      </w:pPr>
      <w:r>
        <w:rPr>
          <w:rFonts w:cs="Arial"/>
          <w:lang w:val="fr-CA"/>
        </w:rPr>
        <w:t>10</w:t>
      </w:r>
      <w:r w:rsidR="00D876D8" w:rsidRPr="00756A37">
        <w:rPr>
          <w:rFonts w:cs="Arial"/>
          <w:lang w:val="fr-CA"/>
        </w:rPr>
        <w:t>.</w:t>
      </w:r>
      <w:r w:rsidR="00D876D8" w:rsidRPr="00756A37">
        <w:rPr>
          <w:rFonts w:cs="Arial"/>
          <w:lang w:val="fr-CA"/>
        </w:rPr>
        <w:tab/>
      </w:r>
      <w:r w:rsidR="00171C2D" w:rsidRPr="00756A37">
        <w:rPr>
          <w:rFonts w:cs="Arial"/>
          <w:lang w:val="fr-CA"/>
        </w:rPr>
        <w:t>ENCOURAGE</w:t>
      </w:r>
      <w:r w:rsidR="00D60D70">
        <w:rPr>
          <w:rFonts w:cs="Arial"/>
          <w:lang w:val="fr-CA"/>
        </w:rPr>
        <w:t xml:space="preserve"> </w:t>
      </w:r>
      <w:r w:rsidR="006105DB">
        <w:rPr>
          <w:rFonts w:cs="Arial"/>
          <w:lang w:val="fr-CA"/>
        </w:rPr>
        <w:t xml:space="preserve">les Parties contractantes à </w:t>
      </w:r>
      <w:r w:rsidR="008B218B">
        <w:rPr>
          <w:rFonts w:cs="Arial"/>
          <w:lang w:val="fr-CA"/>
        </w:rPr>
        <w:t>envisager d</w:t>
      </w:r>
      <w:r>
        <w:rPr>
          <w:rFonts w:cs="Arial"/>
          <w:lang w:val="fr-CA"/>
        </w:rPr>
        <w:t>e demander d</w:t>
      </w:r>
      <w:r w:rsidR="008B218B">
        <w:rPr>
          <w:rFonts w:cs="Arial"/>
          <w:lang w:val="fr-CA"/>
        </w:rPr>
        <w:t>’</w:t>
      </w:r>
      <w:r w:rsidR="006105DB">
        <w:rPr>
          <w:rFonts w:cs="Arial"/>
          <w:lang w:val="fr-CA"/>
        </w:rPr>
        <w:t xml:space="preserve">appliquer </w:t>
      </w:r>
      <w:r w:rsidR="00D60D70">
        <w:rPr>
          <w:rFonts w:cs="Arial"/>
          <w:lang w:val="fr-CA"/>
        </w:rPr>
        <w:t>plus fréque</w:t>
      </w:r>
      <w:r w:rsidR="006105DB">
        <w:rPr>
          <w:rFonts w:cs="Arial"/>
          <w:lang w:val="fr-CA"/>
        </w:rPr>
        <w:t>mment</w:t>
      </w:r>
      <w:r w:rsidR="00D60D70">
        <w:rPr>
          <w:rFonts w:cs="Arial"/>
          <w:lang w:val="fr-CA"/>
        </w:rPr>
        <w:t xml:space="preserve"> la procédure de MCR</w:t>
      </w:r>
      <w:r>
        <w:rPr>
          <w:rFonts w:cs="Arial"/>
          <w:lang w:val="fr-CA"/>
        </w:rPr>
        <w:t xml:space="preserve"> sur leur territoire nationa</w:t>
      </w:r>
      <w:r w:rsidR="00777B3F">
        <w:rPr>
          <w:rFonts w:cs="Arial"/>
          <w:lang w:val="fr-CA"/>
        </w:rPr>
        <w:t>l</w:t>
      </w:r>
      <w:r w:rsidR="00FF15EE">
        <w:rPr>
          <w:rFonts w:cs="Arial"/>
          <w:lang w:val="fr-CA"/>
        </w:rPr>
        <w:t>,</w:t>
      </w:r>
      <w:r w:rsidR="00D60D70">
        <w:rPr>
          <w:rFonts w:cs="Arial"/>
          <w:lang w:val="fr-CA"/>
        </w:rPr>
        <w:t xml:space="preserve"> dans les cas appropriés</w:t>
      </w:r>
      <w:r w:rsidR="006105DB">
        <w:rPr>
          <w:rFonts w:cs="Arial"/>
          <w:lang w:val="fr-CA"/>
        </w:rPr>
        <w:t>.</w:t>
      </w:r>
      <w:r w:rsidR="006105DB" w:rsidDel="006105DB">
        <w:rPr>
          <w:rFonts w:cs="Arial"/>
          <w:lang w:val="fr-CA"/>
        </w:rPr>
        <w:t xml:space="preserve"> </w:t>
      </w:r>
    </w:p>
    <w:p w14:paraId="1C69F07C" w14:textId="77777777" w:rsidR="00171C2D" w:rsidRPr="00756A37" w:rsidRDefault="00171C2D" w:rsidP="00090C3C">
      <w:pPr>
        <w:pStyle w:val="ListParagraph"/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A"/>
        </w:rPr>
      </w:pPr>
    </w:p>
    <w:p w14:paraId="1F3BCA9F" w14:textId="6686DA48" w:rsidR="00171C2D" w:rsidRPr="00756A37" w:rsidRDefault="00875CC8" w:rsidP="00090C3C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A"/>
        </w:rPr>
      </w:pPr>
      <w:r>
        <w:rPr>
          <w:rFonts w:cs="Arial"/>
          <w:lang w:val="fr-CA"/>
        </w:rPr>
        <w:t>1</w:t>
      </w:r>
      <w:r w:rsidR="000A5344">
        <w:rPr>
          <w:rFonts w:cs="Arial"/>
          <w:lang w:val="fr-CA"/>
        </w:rPr>
        <w:t>1</w:t>
      </w:r>
      <w:r>
        <w:rPr>
          <w:rFonts w:cs="Arial"/>
          <w:lang w:val="fr-CA"/>
        </w:rPr>
        <w:t>.</w:t>
      </w:r>
      <w:r>
        <w:rPr>
          <w:rFonts w:cs="Arial"/>
          <w:lang w:val="fr-CA"/>
        </w:rPr>
        <w:tab/>
      </w:r>
      <w:r w:rsidR="000A5344" w:rsidRPr="000A5344">
        <w:rPr>
          <w:rFonts w:cs="Arial"/>
          <w:lang w:val="fr-CA"/>
        </w:rPr>
        <w:t xml:space="preserve">CHARGE le Secrétariat, lorsqu'il examine les MCR, de donner la priorité à l'application de MCR </w:t>
      </w:r>
      <w:r w:rsidR="000A5344">
        <w:rPr>
          <w:rFonts w:cs="Arial"/>
          <w:lang w:val="fr-CA"/>
        </w:rPr>
        <w:t xml:space="preserve">sur </w:t>
      </w:r>
      <w:r w:rsidR="00C85610">
        <w:rPr>
          <w:rFonts w:cs="Arial"/>
          <w:lang w:val="fr-CA"/>
        </w:rPr>
        <w:t>d</w:t>
      </w:r>
      <w:r w:rsidR="000A5344" w:rsidRPr="000A5344">
        <w:rPr>
          <w:rFonts w:cs="Arial"/>
          <w:lang w:val="fr-CA"/>
        </w:rPr>
        <w:t xml:space="preserve">es sites qui connaissent des problèmes similaires à ceux de nombreux autres </w:t>
      </w:r>
      <w:r w:rsidR="000A5344">
        <w:rPr>
          <w:rFonts w:cs="Arial"/>
          <w:lang w:val="fr-CA"/>
        </w:rPr>
        <w:t>S</w:t>
      </w:r>
      <w:r w:rsidR="000A5344" w:rsidRPr="000A5344">
        <w:rPr>
          <w:rFonts w:cs="Arial"/>
          <w:lang w:val="fr-CA"/>
        </w:rPr>
        <w:t xml:space="preserve">ites </w:t>
      </w:r>
      <w:proofErr w:type="spellStart"/>
      <w:r w:rsidR="000A5344" w:rsidRPr="000A5344">
        <w:rPr>
          <w:rFonts w:cs="Arial"/>
          <w:lang w:val="fr-CA"/>
        </w:rPr>
        <w:t>Ramsar</w:t>
      </w:r>
      <w:proofErr w:type="spellEnd"/>
      <w:r w:rsidR="000A5344" w:rsidRPr="000A5344">
        <w:rPr>
          <w:rFonts w:cs="Arial"/>
          <w:lang w:val="fr-CA"/>
        </w:rPr>
        <w:t>, lorsque le rapport sur l</w:t>
      </w:r>
      <w:r w:rsidR="00C85610">
        <w:rPr>
          <w:rFonts w:cs="Arial"/>
          <w:lang w:val="fr-CA"/>
        </w:rPr>
        <w:t>a</w:t>
      </w:r>
      <w:r w:rsidR="000A5344" w:rsidRPr="000A5344">
        <w:rPr>
          <w:rFonts w:cs="Arial"/>
          <w:lang w:val="fr-CA"/>
        </w:rPr>
        <w:t xml:space="preserve"> MCR peut être utile </w:t>
      </w:r>
      <w:r w:rsidR="00C85610">
        <w:rPr>
          <w:rFonts w:cs="Arial"/>
          <w:lang w:val="fr-CA"/>
        </w:rPr>
        <w:t>à</w:t>
      </w:r>
      <w:r w:rsidR="000A5344" w:rsidRPr="000A5344">
        <w:rPr>
          <w:rFonts w:cs="Arial"/>
          <w:lang w:val="fr-CA"/>
        </w:rPr>
        <w:t xml:space="preserve"> de nombreuses autres zones humides</w:t>
      </w:r>
      <w:r w:rsidR="00C85610">
        <w:rPr>
          <w:rFonts w:cs="Arial"/>
          <w:lang w:val="fr-CA"/>
        </w:rPr>
        <w:t>,</w:t>
      </w:r>
      <w:r w:rsidR="000A5344" w:rsidRPr="000A5344">
        <w:rPr>
          <w:rFonts w:cs="Arial"/>
          <w:lang w:val="fr-CA"/>
        </w:rPr>
        <w:t xml:space="preserve"> ou lorsque l</w:t>
      </w:r>
      <w:r w:rsidR="00C85610">
        <w:rPr>
          <w:rFonts w:cs="Arial"/>
          <w:lang w:val="fr-CA"/>
        </w:rPr>
        <w:t>a</w:t>
      </w:r>
      <w:r w:rsidR="000A5344" w:rsidRPr="000A5344">
        <w:rPr>
          <w:rFonts w:cs="Arial"/>
          <w:lang w:val="fr-CA"/>
        </w:rPr>
        <w:t xml:space="preserve"> MCR peu</w:t>
      </w:r>
      <w:r w:rsidR="00C85610">
        <w:rPr>
          <w:rFonts w:cs="Arial"/>
          <w:lang w:val="fr-CA"/>
        </w:rPr>
        <w:t>t</w:t>
      </w:r>
      <w:r w:rsidR="000A5344" w:rsidRPr="000A5344">
        <w:rPr>
          <w:rFonts w:cs="Arial"/>
          <w:lang w:val="fr-CA"/>
        </w:rPr>
        <w:t xml:space="preserve"> ajouter de la valeur aux connaissances existantes sur les moyens de relever les problèmes décrits</w:t>
      </w:r>
      <w:r w:rsidR="00407F81">
        <w:rPr>
          <w:rFonts w:cs="Arial"/>
          <w:lang w:val="fr-CA"/>
        </w:rPr>
        <w:t xml:space="preserve">. </w:t>
      </w:r>
      <w:r w:rsidR="00171C2D" w:rsidRPr="00756A37">
        <w:rPr>
          <w:rFonts w:cs="Arial"/>
          <w:lang w:val="fr-CA"/>
        </w:rPr>
        <w:t xml:space="preserve"> </w:t>
      </w:r>
    </w:p>
    <w:p w14:paraId="53D8F05B" w14:textId="77777777" w:rsidR="00171C2D" w:rsidRPr="00756A37" w:rsidRDefault="00171C2D" w:rsidP="00090C3C">
      <w:pPr>
        <w:pStyle w:val="ListParagraph"/>
        <w:autoSpaceDE w:val="0"/>
        <w:autoSpaceDN w:val="0"/>
        <w:adjustRightInd w:val="0"/>
        <w:spacing w:after="0" w:line="240" w:lineRule="auto"/>
        <w:ind w:left="425" w:hanging="425"/>
        <w:contextualSpacing w:val="0"/>
        <w:rPr>
          <w:rFonts w:cs="Arial"/>
          <w:lang w:val="fr-CA"/>
        </w:rPr>
      </w:pPr>
    </w:p>
    <w:p w14:paraId="3C9C2546" w14:textId="6C6FA6C5" w:rsidR="00CF5F7E" w:rsidRDefault="00D876D8" w:rsidP="00090C3C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A"/>
        </w:rPr>
      </w:pPr>
      <w:r w:rsidRPr="00756A37">
        <w:rPr>
          <w:rFonts w:cs="Arial"/>
          <w:lang w:val="fr-CA"/>
        </w:rPr>
        <w:t>1</w:t>
      </w:r>
      <w:r w:rsidR="00C85610">
        <w:rPr>
          <w:rFonts w:cs="Arial"/>
          <w:lang w:val="fr-CA"/>
        </w:rPr>
        <w:t>2</w:t>
      </w:r>
      <w:r w:rsidRPr="00756A37">
        <w:rPr>
          <w:rFonts w:cs="Arial"/>
          <w:lang w:val="fr-CA"/>
        </w:rPr>
        <w:t>.</w:t>
      </w:r>
      <w:r w:rsidR="007B5E29">
        <w:rPr>
          <w:rFonts w:cs="Arial"/>
          <w:lang w:val="fr-CA"/>
        </w:rPr>
        <w:tab/>
      </w:r>
      <w:r w:rsidR="00C85610">
        <w:rPr>
          <w:rFonts w:cs="Arial"/>
          <w:lang w:val="fr-CA"/>
        </w:rPr>
        <w:t xml:space="preserve">CHARGE les Correspondants nationaux des Parties contractantes de communiquer avec les correspondants </w:t>
      </w:r>
      <w:r w:rsidR="00C85610" w:rsidRPr="00C85610">
        <w:rPr>
          <w:rFonts w:cs="Arial"/>
          <w:lang w:val="fr-CA"/>
        </w:rPr>
        <w:t>nationa</w:t>
      </w:r>
      <w:r w:rsidR="00CF5F7E">
        <w:rPr>
          <w:rFonts w:cs="Arial"/>
          <w:lang w:val="fr-CA"/>
        </w:rPr>
        <w:t>ux</w:t>
      </w:r>
      <w:r w:rsidR="00777B3F">
        <w:rPr>
          <w:rFonts w:cs="Arial"/>
          <w:lang w:val="fr-CA"/>
        </w:rPr>
        <w:t xml:space="preserve"> </w:t>
      </w:r>
      <w:r w:rsidR="00C85610">
        <w:rPr>
          <w:rFonts w:cs="Arial"/>
          <w:lang w:val="fr-CA"/>
        </w:rPr>
        <w:t xml:space="preserve">d’autres conventions afin d’identifier les possibilités de coordonner </w:t>
      </w:r>
      <w:r w:rsidR="00CF5F7E">
        <w:rPr>
          <w:rFonts w:cs="Arial"/>
          <w:lang w:val="fr-CA"/>
        </w:rPr>
        <w:t xml:space="preserve">les MCR avec les missions d’autres conventions, le cas échéant; et PRIE le Secrétariat, lorsqu’il répond à une demande de MCR, d’éviter le double emploi avec d’autres missions qui pourraient être entreprises par d’autres conventions, dans la mesure où cela peut se faire.  </w:t>
      </w:r>
    </w:p>
    <w:p w14:paraId="5F973111" w14:textId="77777777" w:rsidR="00CF5F7E" w:rsidRDefault="00CF5F7E" w:rsidP="00090C3C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A"/>
        </w:rPr>
      </w:pPr>
    </w:p>
    <w:p w14:paraId="59099A6A" w14:textId="548CE42C" w:rsidR="008367AF" w:rsidRDefault="00CF5F7E" w:rsidP="00090C3C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A"/>
        </w:rPr>
      </w:pPr>
      <w:r>
        <w:rPr>
          <w:rFonts w:cs="Arial"/>
          <w:lang w:val="fr-CA"/>
        </w:rPr>
        <w:t>13.</w:t>
      </w:r>
      <w:r>
        <w:rPr>
          <w:rFonts w:cs="Arial"/>
          <w:lang w:val="fr-CA"/>
        </w:rPr>
        <w:tab/>
      </w:r>
      <w:r w:rsidR="00407F81">
        <w:rPr>
          <w:rFonts w:cs="Arial"/>
          <w:lang w:val="fr-CA"/>
        </w:rPr>
        <w:t xml:space="preserve">EXHORTE les Parties </w:t>
      </w:r>
      <w:r>
        <w:rPr>
          <w:rFonts w:cs="Arial"/>
          <w:lang w:val="fr-CA"/>
        </w:rPr>
        <w:t xml:space="preserve">contractantes </w:t>
      </w:r>
      <w:r w:rsidR="005A4F93">
        <w:rPr>
          <w:rFonts w:cs="Arial"/>
          <w:lang w:val="fr-CA"/>
        </w:rPr>
        <w:t xml:space="preserve">accueillant des MCR </w:t>
      </w:r>
      <w:r w:rsidR="00407F81">
        <w:rPr>
          <w:rFonts w:cs="Arial"/>
          <w:lang w:val="fr-CA"/>
        </w:rPr>
        <w:t xml:space="preserve">à </w:t>
      </w:r>
      <w:r w:rsidR="00FF15EE">
        <w:rPr>
          <w:rFonts w:cs="Arial"/>
          <w:lang w:val="fr-CA"/>
        </w:rPr>
        <w:t>donner suite</w:t>
      </w:r>
      <w:r w:rsidR="008367AF">
        <w:rPr>
          <w:rFonts w:cs="Arial"/>
          <w:lang w:val="fr-CA"/>
        </w:rPr>
        <w:t xml:space="preserve"> sans tarder</w:t>
      </w:r>
      <w:r>
        <w:rPr>
          <w:rFonts w:cs="Arial"/>
          <w:lang w:val="fr-CA"/>
        </w:rPr>
        <w:t>,</w:t>
      </w:r>
      <w:r w:rsidR="008367AF">
        <w:rPr>
          <w:rFonts w:cs="Arial"/>
          <w:lang w:val="fr-CA"/>
        </w:rPr>
        <w:t xml:space="preserve"> afin de favoriser l’application des </w:t>
      </w:r>
      <w:r w:rsidR="00407F81">
        <w:rPr>
          <w:rFonts w:cs="Arial"/>
          <w:lang w:val="fr-CA"/>
        </w:rPr>
        <w:t xml:space="preserve">recommandations </w:t>
      </w:r>
      <w:r w:rsidR="00FF15EE">
        <w:rPr>
          <w:rFonts w:cs="Arial"/>
          <w:lang w:val="fr-CA"/>
        </w:rPr>
        <w:t>des</w:t>
      </w:r>
      <w:r w:rsidR="00407F81">
        <w:rPr>
          <w:rFonts w:cs="Arial"/>
          <w:lang w:val="fr-CA"/>
        </w:rPr>
        <w:t xml:space="preserve"> rapports de MCR et </w:t>
      </w:r>
      <w:r>
        <w:rPr>
          <w:rFonts w:cs="Arial"/>
          <w:lang w:val="fr-CA"/>
        </w:rPr>
        <w:t>d’</w:t>
      </w:r>
      <w:bookmarkStart w:id="0" w:name="_GoBack"/>
      <w:bookmarkEnd w:id="0"/>
      <w:r w:rsidR="00407F81">
        <w:rPr>
          <w:rFonts w:cs="Arial"/>
          <w:lang w:val="fr-CA"/>
        </w:rPr>
        <w:t xml:space="preserve">évaluer </w:t>
      </w:r>
      <w:r w:rsidR="00FF15EE">
        <w:rPr>
          <w:rFonts w:cs="Arial"/>
          <w:lang w:val="fr-CA"/>
        </w:rPr>
        <w:t xml:space="preserve">les résultats </w:t>
      </w:r>
      <w:r w:rsidR="00407F81">
        <w:rPr>
          <w:rFonts w:cs="Arial"/>
          <w:lang w:val="fr-CA"/>
        </w:rPr>
        <w:t xml:space="preserve">et </w:t>
      </w:r>
      <w:r w:rsidR="00FF15EE">
        <w:rPr>
          <w:rFonts w:cs="Arial"/>
          <w:lang w:val="fr-CA"/>
        </w:rPr>
        <w:t>rendre compte à cet égard</w:t>
      </w:r>
      <w:r w:rsidR="008367AF">
        <w:rPr>
          <w:rFonts w:cs="Arial"/>
          <w:lang w:val="fr-CA"/>
        </w:rPr>
        <w:t xml:space="preserve">. </w:t>
      </w:r>
    </w:p>
    <w:p w14:paraId="1E271893" w14:textId="77777777" w:rsidR="008367AF" w:rsidRDefault="008367AF" w:rsidP="00090C3C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A"/>
        </w:rPr>
      </w:pPr>
    </w:p>
    <w:p w14:paraId="465735E8" w14:textId="2F44259E" w:rsidR="008367AF" w:rsidRDefault="008367AF" w:rsidP="00090C3C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A"/>
        </w:rPr>
      </w:pPr>
      <w:r>
        <w:rPr>
          <w:rFonts w:cs="Arial"/>
          <w:lang w:val="fr-CA"/>
        </w:rPr>
        <w:t>1</w:t>
      </w:r>
      <w:r w:rsidR="00CF5F7E">
        <w:rPr>
          <w:rFonts w:cs="Arial"/>
          <w:lang w:val="fr-CA"/>
        </w:rPr>
        <w:t>4</w:t>
      </w:r>
      <w:r>
        <w:rPr>
          <w:rFonts w:cs="Arial"/>
          <w:lang w:val="fr-CA"/>
        </w:rPr>
        <w:t>.</w:t>
      </w:r>
      <w:r w:rsidR="00660EB5">
        <w:rPr>
          <w:rFonts w:cs="Arial"/>
          <w:lang w:val="fr-CA"/>
        </w:rPr>
        <w:tab/>
      </w:r>
      <w:r w:rsidRPr="00756A37">
        <w:rPr>
          <w:rFonts w:cs="Arial"/>
          <w:lang w:val="fr-CA"/>
        </w:rPr>
        <w:t>R</w:t>
      </w:r>
      <w:r>
        <w:rPr>
          <w:rFonts w:cs="Arial"/>
          <w:lang w:val="fr-CA"/>
        </w:rPr>
        <w:t>ÉAFFIRME que les rapports de MCR sont des documents publics une fois que la Partie concernée a eu la possibilité de les approuver.</w:t>
      </w:r>
    </w:p>
    <w:p w14:paraId="33AAE299" w14:textId="77777777" w:rsidR="008367AF" w:rsidRDefault="008367AF" w:rsidP="00090C3C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A"/>
        </w:rPr>
      </w:pPr>
    </w:p>
    <w:p w14:paraId="4489AE8C" w14:textId="7EE65144" w:rsidR="00171C2D" w:rsidRPr="00756A37" w:rsidRDefault="008367AF" w:rsidP="00090C3C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A"/>
        </w:rPr>
      </w:pPr>
      <w:r>
        <w:rPr>
          <w:rFonts w:cs="Arial"/>
          <w:lang w:val="fr-CA"/>
        </w:rPr>
        <w:t>1</w:t>
      </w:r>
      <w:r w:rsidR="00CF5F7E">
        <w:rPr>
          <w:rFonts w:cs="Arial"/>
          <w:lang w:val="fr-CA"/>
        </w:rPr>
        <w:t>5</w:t>
      </w:r>
      <w:r w:rsidR="00875CC8">
        <w:rPr>
          <w:rFonts w:cs="Arial"/>
          <w:lang w:val="fr-CA"/>
        </w:rPr>
        <w:t>.</w:t>
      </w:r>
      <w:r w:rsidR="00875CC8">
        <w:rPr>
          <w:rFonts w:cs="Arial"/>
          <w:lang w:val="fr-CA"/>
        </w:rPr>
        <w:tab/>
      </w:r>
      <w:r>
        <w:rPr>
          <w:rFonts w:cs="Arial"/>
          <w:lang w:val="fr-CA"/>
        </w:rPr>
        <w:t xml:space="preserve">DONNE INSTRUCTION au Secrétariat, en consultation avec le </w:t>
      </w:r>
      <w:r w:rsidR="007E5125">
        <w:rPr>
          <w:rFonts w:cs="Arial"/>
          <w:lang w:val="fr-CA"/>
        </w:rPr>
        <w:t>Groupe d’évaluation scientifique et technique (GEST)</w:t>
      </w:r>
      <w:r w:rsidR="00442023">
        <w:rPr>
          <w:rFonts w:cs="Arial"/>
          <w:lang w:val="fr-CA"/>
        </w:rPr>
        <w:t xml:space="preserve">, </w:t>
      </w:r>
      <w:r>
        <w:rPr>
          <w:rFonts w:cs="Arial"/>
          <w:lang w:val="fr-CA"/>
        </w:rPr>
        <w:t>de préparer des orientations opérationnelles pour la MCR</w:t>
      </w:r>
      <w:r w:rsidR="00091687">
        <w:rPr>
          <w:rFonts w:cs="Arial"/>
          <w:lang w:val="fr-CA"/>
        </w:rPr>
        <w:t xml:space="preserve">, </w:t>
      </w:r>
      <w:r w:rsidR="003C755D">
        <w:rPr>
          <w:rFonts w:cs="Arial"/>
          <w:lang w:val="fr-CA"/>
        </w:rPr>
        <w:t>traitant</w:t>
      </w:r>
      <w:r>
        <w:rPr>
          <w:rFonts w:cs="Arial"/>
          <w:lang w:val="fr-CA"/>
        </w:rPr>
        <w:t xml:space="preserve">, entre autres, </w:t>
      </w:r>
      <w:r w:rsidR="003C755D">
        <w:rPr>
          <w:rFonts w:cs="Arial"/>
          <w:lang w:val="fr-CA"/>
        </w:rPr>
        <w:t>d</w:t>
      </w:r>
      <w:r>
        <w:rPr>
          <w:rFonts w:cs="Arial"/>
          <w:lang w:val="fr-CA"/>
        </w:rPr>
        <w:t xml:space="preserve">es questions énumérées </w:t>
      </w:r>
      <w:r w:rsidR="00091687">
        <w:rPr>
          <w:rFonts w:cs="Arial"/>
          <w:lang w:val="fr-CA"/>
        </w:rPr>
        <w:t>à l’</w:t>
      </w:r>
      <w:r w:rsidR="007E5125">
        <w:rPr>
          <w:rFonts w:cs="Arial"/>
          <w:lang w:val="fr-CA"/>
        </w:rPr>
        <w:t>a</w:t>
      </w:r>
      <w:r>
        <w:rPr>
          <w:rFonts w:cs="Arial"/>
          <w:lang w:val="fr-CA"/>
        </w:rPr>
        <w:t>nnexe 1</w:t>
      </w:r>
      <w:r w:rsidR="007E5125">
        <w:rPr>
          <w:rFonts w:cs="Arial"/>
          <w:lang w:val="fr-CA"/>
        </w:rPr>
        <w:t xml:space="preserve"> de la présente Résolution</w:t>
      </w:r>
      <w:r>
        <w:rPr>
          <w:rFonts w:cs="Arial"/>
          <w:lang w:val="fr-CA"/>
        </w:rPr>
        <w:t xml:space="preserve">, </w:t>
      </w:r>
      <w:r w:rsidR="003C755D">
        <w:rPr>
          <w:rFonts w:cs="Arial"/>
          <w:lang w:val="fr-CA"/>
        </w:rPr>
        <w:t xml:space="preserve">et accordant la considération voulue à la Note d’Information et à la Note d’orientation sur la MCR publiées en 2018, </w:t>
      </w:r>
      <w:r>
        <w:rPr>
          <w:rFonts w:cs="Arial"/>
          <w:lang w:val="fr-CA"/>
        </w:rPr>
        <w:t xml:space="preserve">qui seront soumises pour adoption au Comité permanent à sa </w:t>
      </w:r>
      <w:r w:rsidR="007E5125">
        <w:rPr>
          <w:lang w:val="fr-CA"/>
        </w:rPr>
        <w:t>57</w:t>
      </w:r>
      <w:r w:rsidRPr="00407F81">
        <w:rPr>
          <w:vertAlign w:val="superscript"/>
          <w:lang w:val="fr-CA"/>
        </w:rPr>
        <w:t>e</w:t>
      </w:r>
      <w:r>
        <w:rPr>
          <w:lang w:val="fr-CA"/>
        </w:rPr>
        <w:t> Réunion.</w:t>
      </w:r>
      <w:r w:rsidR="00407F81">
        <w:rPr>
          <w:rFonts w:cs="Arial"/>
          <w:lang w:val="fr-CA"/>
        </w:rPr>
        <w:t xml:space="preserve"> </w:t>
      </w:r>
    </w:p>
    <w:p w14:paraId="70FA0261" w14:textId="77777777" w:rsidR="00171C2D" w:rsidRPr="00756A37" w:rsidRDefault="00171C2D" w:rsidP="00090C3C">
      <w:pPr>
        <w:pStyle w:val="ListParagraph"/>
        <w:spacing w:after="0" w:line="240" w:lineRule="auto"/>
        <w:ind w:left="425" w:hanging="425"/>
        <w:rPr>
          <w:rFonts w:cs="Arial"/>
          <w:lang w:val="fr-CA"/>
        </w:rPr>
      </w:pPr>
    </w:p>
    <w:p w14:paraId="4650E618" w14:textId="7E07C343" w:rsidR="007A16F8" w:rsidRDefault="00D876D8" w:rsidP="00090C3C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A"/>
        </w:rPr>
      </w:pPr>
      <w:r w:rsidRPr="00756A37">
        <w:rPr>
          <w:rFonts w:cs="Arial"/>
          <w:lang w:val="fr-CA"/>
        </w:rPr>
        <w:t>1</w:t>
      </w:r>
      <w:r w:rsidR="003C755D">
        <w:rPr>
          <w:rFonts w:cs="Arial"/>
          <w:lang w:val="fr-CA"/>
        </w:rPr>
        <w:t>6</w:t>
      </w:r>
      <w:r w:rsidRPr="00756A37">
        <w:rPr>
          <w:rFonts w:cs="Arial"/>
          <w:lang w:val="fr-CA"/>
        </w:rPr>
        <w:t>.</w:t>
      </w:r>
      <w:r w:rsidR="005D7070">
        <w:rPr>
          <w:rFonts w:cs="Arial"/>
          <w:lang w:val="fr-CA"/>
        </w:rPr>
        <w:t xml:space="preserve"> </w:t>
      </w:r>
      <w:r w:rsidR="007B5E29">
        <w:rPr>
          <w:rFonts w:cs="Arial"/>
          <w:lang w:val="fr-CA"/>
        </w:rPr>
        <w:tab/>
      </w:r>
      <w:r w:rsidR="003C755D">
        <w:rPr>
          <w:rFonts w:cs="Arial"/>
          <w:lang w:val="fr-CA"/>
        </w:rPr>
        <w:t xml:space="preserve">PRIE le Secrétariat de s’assurer </w:t>
      </w:r>
      <w:r w:rsidR="003C755D" w:rsidRPr="003C755D">
        <w:rPr>
          <w:rFonts w:cs="Arial"/>
          <w:lang w:val="fr-CA"/>
        </w:rPr>
        <w:t xml:space="preserve">que l'expertise régionale </w:t>
      </w:r>
      <w:r w:rsidR="003C755D">
        <w:rPr>
          <w:rFonts w:cs="Arial"/>
          <w:lang w:val="fr-CA"/>
        </w:rPr>
        <w:t xml:space="preserve">est prise en compte </w:t>
      </w:r>
      <w:r w:rsidR="003C755D" w:rsidRPr="003C755D">
        <w:rPr>
          <w:rFonts w:cs="Arial"/>
          <w:lang w:val="fr-CA"/>
        </w:rPr>
        <w:t xml:space="preserve">dans les équipes </w:t>
      </w:r>
      <w:r w:rsidR="003C755D">
        <w:rPr>
          <w:rFonts w:cs="Arial"/>
          <w:lang w:val="fr-CA"/>
        </w:rPr>
        <w:t>de la MCR</w:t>
      </w:r>
      <w:r w:rsidR="003C755D" w:rsidRPr="003C755D">
        <w:rPr>
          <w:rFonts w:cs="Arial"/>
          <w:lang w:val="fr-CA"/>
        </w:rPr>
        <w:t xml:space="preserve"> afin de tirer parti des connaissances et de l'expérience des experts nationaux et régionaux, </w:t>
      </w:r>
      <w:r w:rsidR="003C755D">
        <w:rPr>
          <w:rFonts w:cs="Arial"/>
          <w:lang w:val="fr-CA"/>
        </w:rPr>
        <w:t xml:space="preserve">notamment ceux </w:t>
      </w:r>
      <w:r w:rsidR="007A16F8">
        <w:rPr>
          <w:rFonts w:cs="Arial"/>
          <w:lang w:val="fr-CA"/>
        </w:rPr>
        <w:t xml:space="preserve">des </w:t>
      </w:r>
      <w:r w:rsidR="003C755D" w:rsidRPr="003C755D">
        <w:rPr>
          <w:rFonts w:cs="Arial"/>
          <w:lang w:val="fr-CA"/>
        </w:rPr>
        <w:t>O</w:t>
      </w:r>
      <w:r w:rsidR="007A16F8">
        <w:rPr>
          <w:rFonts w:cs="Arial"/>
          <w:lang w:val="fr-CA"/>
        </w:rPr>
        <w:t>I</w:t>
      </w:r>
      <w:r w:rsidR="003C755D" w:rsidRPr="003C755D">
        <w:rPr>
          <w:rFonts w:cs="Arial"/>
          <w:lang w:val="fr-CA"/>
        </w:rPr>
        <w:t xml:space="preserve">P, </w:t>
      </w:r>
      <w:r w:rsidR="007A16F8">
        <w:rPr>
          <w:rFonts w:cs="Arial"/>
          <w:lang w:val="fr-CA"/>
        </w:rPr>
        <w:t xml:space="preserve">des </w:t>
      </w:r>
      <w:r w:rsidR="003C755D" w:rsidRPr="003C755D">
        <w:rPr>
          <w:rFonts w:cs="Arial"/>
          <w:lang w:val="fr-CA"/>
        </w:rPr>
        <w:t>institut</w:t>
      </w:r>
      <w:r w:rsidR="007A16F8">
        <w:rPr>
          <w:rFonts w:cs="Arial"/>
          <w:lang w:val="fr-CA"/>
        </w:rPr>
        <w:t>s</w:t>
      </w:r>
      <w:r w:rsidR="003C755D" w:rsidRPr="003C755D">
        <w:rPr>
          <w:rFonts w:cs="Arial"/>
          <w:lang w:val="fr-CA"/>
        </w:rPr>
        <w:t xml:space="preserve"> de recherche et d'éducation</w:t>
      </w:r>
      <w:r w:rsidR="007A16F8">
        <w:rPr>
          <w:rFonts w:cs="Arial"/>
          <w:lang w:val="fr-CA"/>
        </w:rPr>
        <w:t>,</w:t>
      </w:r>
      <w:r w:rsidR="003C755D" w:rsidRPr="003C755D">
        <w:rPr>
          <w:rFonts w:cs="Arial"/>
          <w:lang w:val="fr-CA"/>
        </w:rPr>
        <w:t xml:space="preserve"> et </w:t>
      </w:r>
      <w:r w:rsidR="007A16F8">
        <w:rPr>
          <w:rFonts w:cs="Arial"/>
          <w:lang w:val="fr-CA"/>
        </w:rPr>
        <w:t>de</w:t>
      </w:r>
      <w:r w:rsidR="003C755D" w:rsidRPr="003C755D">
        <w:rPr>
          <w:rFonts w:cs="Arial"/>
          <w:lang w:val="fr-CA"/>
        </w:rPr>
        <w:t xml:space="preserve"> la société civile, le cas échéant</w:t>
      </w:r>
      <w:r w:rsidR="007A16F8">
        <w:rPr>
          <w:rFonts w:cs="Arial"/>
          <w:lang w:val="fr-CA"/>
        </w:rPr>
        <w:t>.</w:t>
      </w:r>
    </w:p>
    <w:p w14:paraId="6874757A" w14:textId="77777777" w:rsidR="007A16F8" w:rsidRDefault="007A16F8" w:rsidP="00090C3C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A"/>
        </w:rPr>
      </w:pPr>
    </w:p>
    <w:p w14:paraId="423A350E" w14:textId="4FD6A59B" w:rsidR="00171C2D" w:rsidRPr="00756A37" w:rsidRDefault="007A16F8" w:rsidP="00090C3C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A"/>
        </w:rPr>
      </w:pPr>
      <w:r>
        <w:rPr>
          <w:rFonts w:cs="Arial"/>
          <w:lang w:val="fr-CA"/>
        </w:rPr>
        <w:t>17.</w:t>
      </w:r>
      <w:r>
        <w:rPr>
          <w:rFonts w:cs="Arial"/>
          <w:lang w:val="fr-CA"/>
        </w:rPr>
        <w:tab/>
        <w:t xml:space="preserve">INVITE </w:t>
      </w:r>
      <w:r w:rsidR="00676E3E">
        <w:rPr>
          <w:rFonts w:cs="Arial"/>
          <w:lang w:val="fr-CA"/>
        </w:rPr>
        <w:t>les Parties</w:t>
      </w:r>
      <w:r>
        <w:rPr>
          <w:rFonts w:cs="Arial"/>
          <w:lang w:val="fr-CA"/>
        </w:rPr>
        <w:t>,</w:t>
      </w:r>
      <w:r w:rsidR="00676E3E">
        <w:rPr>
          <w:rFonts w:cs="Arial"/>
          <w:lang w:val="fr-CA"/>
        </w:rPr>
        <w:t xml:space="preserve"> le secteur privé</w:t>
      </w:r>
      <w:r>
        <w:rPr>
          <w:rFonts w:cs="Arial"/>
          <w:lang w:val="fr-CA"/>
        </w:rPr>
        <w:t xml:space="preserve"> et</w:t>
      </w:r>
      <w:r w:rsidR="0079746A">
        <w:rPr>
          <w:rFonts w:cs="Arial"/>
          <w:lang w:val="fr-CA"/>
        </w:rPr>
        <w:t xml:space="preserve"> </w:t>
      </w:r>
      <w:r>
        <w:rPr>
          <w:rFonts w:cs="Arial"/>
          <w:lang w:val="fr-CA"/>
        </w:rPr>
        <w:t xml:space="preserve">les institutions financières, </w:t>
      </w:r>
      <w:r w:rsidR="0079746A">
        <w:rPr>
          <w:rFonts w:cs="Arial"/>
          <w:lang w:val="fr-CA"/>
        </w:rPr>
        <w:t>entre</w:t>
      </w:r>
      <w:r w:rsidR="00676E3E">
        <w:rPr>
          <w:rFonts w:cs="Arial"/>
          <w:lang w:val="fr-CA"/>
        </w:rPr>
        <w:t xml:space="preserve"> autres, </w:t>
      </w:r>
      <w:r>
        <w:rPr>
          <w:rFonts w:cs="Arial"/>
          <w:lang w:val="fr-CA"/>
        </w:rPr>
        <w:t xml:space="preserve">qui sont en mesure de le faire, </w:t>
      </w:r>
      <w:r w:rsidR="0079746A">
        <w:rPr>
          <w:rFonts w:cs="Arial"/>
          <w:lang w:val="fr-CA"/>
        </w:rPr>
        <w:t xml:space="preserve">à </w:t>
      </w:r>
      <w:r w:rsidR="00676E3E">
        <w:rPr>
          <w:rFonts w:cs="Arial"/>
          <w:lang w:val="fr-CA"/>
        </w:rPr>
        <w:t xml:space="preserve">envisager de verser des contributions volontaires supplémentaires en appui </w:t>
      </w:r>
      <w:r>
        <w:rPr>
          <w:rFonts w:cs="Arial"/>
          <w:lang w:val="fr-CA"/>
        </w:rPr>
        <w:t>aux</w:t>
      </w:r>
      <w:r w:rsidR="00676E3E">
        <w:rPr>
          <w:rFonts w:cs="Arial"/>
          <w:lang w:val="fr-CA"/>
        </w:rPr>
        <w:t xml:space="preserve"> MCR; et DONNE INSTRUCTION au Secrétariat de tenir compte des besoins financiers du mécanisme de MCR dans son Plan de travail relatif à la mobilisation des ressources</w:t>
      </w:r>
      <w:r>
        <w:rPr>
          <w:rFonts w:cs="Arial"/>
          <w:lang w:val="fr-CA"/>
        </w:rPr>
        <w:t xml:space="preserve"> et dans l’exécution de son Plan de travail</w:t>
      </w:r>
      <w:r w:rsidR="00676E3E">
        <w:rPr>
          <w:rFonts w:cs="Arial"/>
          <w:lang w:val="fr-CA"/>
        </w:rPr>
        <w:t>.</w:t>
      </w:r>
      <w:r w:rsidR="00D876D8" w:rsidRPr="00756A37">
        <w:rPr>
          <w:rFonts w:cs="Arial"/>
          <w:lang w:val="fr-CA"/>
        </w:rPr>
        <w:tab/>
      </w:r>
      <w:r w:rsidR="00407F81">
        <w:rPr>
          <w:rFonts w:cs="Arial"/>
          <w:lang w:val="fr-CA"/>
        </w:rPr>
        <w:t xml:space="preserve"> </w:t>
      </w:r>
    </w:p>
    <w:p w14:paraId="4E1230A1" w14:textId="77777777" w:rsidR="00171C2D" w:rsidRPr="00756A37" w:rsidRDefault="00171C2D" w:rsidP="00090C3C">
      <w:pPr>
        <w:pStyle w:val="ListParagraph"/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A"/>
        </w:rPr>
      </w:pPr>
    </w:p>
    <w:p w14:paraId="5289441F" w14:textId="3D7012F7" w:rsidR="00171C2D" w:rsidRPr="00756A37" w:rsidRDefault="00A95A0E" w:rsidP="00090C3C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A"/>
        </w:rPr>
      </w:pPr>
      <w:r>
        <w:rPr>
          <w:rFonts w:cs="Arial"/>
          <w:lang w:val="fr-CA"/>
        </w:rPr>
        <w:lastRenderedPageBreak/>
        <w:t>1</w:t>
      </w:r>
      <w:r w:rsidR="007A16F8">
        <w:rPr>
          <w:rFonts w:cs="Arial"/>
          <w:lang w:val="fr-CA"/>
        </w:rPr>
        <w:t>8</w:t>
      </w:r>
      <w:r>
        <w:rPr>
          <w:rFonts w:cs="Arial"/>
          <w:lang w:val="fr-CA"/>
        </w:rPr>
        <w:t>.</w:t>
      </w:r>
      <w:r>
        <w:rPr>
          <w:rFonts w:cs="Arial"/>
          <w:lang w:val="fr-CA"/>
        </w:rPr>
        <w:tab/>
      </w:r>
      <w:r w:rsidR="00407F81">
        <w:rPr>
          <w:rFonts w:cs="Arial"/>
          <w:lang w:val="fr-CA"/>
        </w:rPr>
        <w:t xml:space="preserve">REMERCIE le GEST pour ses travaux </w:t>
      </w:r>
      <w:r w:rsidR="007A16F8">
        <w:rPr>
          <w:rFonts w:cs="Arial"/>
          <w:lang w:val="fr-CA"/>
        </w:rPr>
        <w:t xml:space="preserve">utiles </w:t>
      </w:r>
      <w:r w:rsidR="00407F81">
        <w:rPr>
          <w:rFonts w:cs="Arial"/>
          <w:lang w:val="fr-CA"/>
        </w:rPr>
        <w:t>durant la période triennale 2015</w:t>
      </w:r>
      <w:r w:rsidR="00407F81">
        <w:rPr>
          <w:rFonts w:cs="Arial"/>
          <w:lang w:val="fr-CA"/>
        </w:rPr>
        <w:noBreakHyphen/>
      </w:r>
      <w:r w:rsidR="00171C2D" w:rsidRPr="00756A37">
        <w:rPr>
          <w:rFonts w:cs="Arial"/>
          <w:lang w:val="fr-CA"/>
        </w:rPr>
        <w:t xml:space="preserve">2018 </w:t>
      </w:r>
      <w:r w:rsidR="00407F81">
        <w:rPr>
          <w:rFonts w:cs="Arial"/>
          <w:lang w:val="fr-CA"/>
        </w:rPr>
        <w:t xml:space="preserve">en matière de révision de l’expérience passée </w:t>
      </w:r>
      <w:r w:rsidR="000A22B4">
        <w:rPr>
          <w:rFonts w:cs="Arial"/>
          <w:lang w:val="fr-CA"/>
        </w:rPr>
        <w:t>concernant</w:t>
      </w:r>
      <w:r w:rsidR="00407F81">
        <w:rPr>
          <w:rFonts w:cs="Arial"/>
          <w:lang w:val="fr-CA"/>
        </w:rPr>
        <w:t xml:space="preserve"> la MCR. </w:t>
      </w:r>
    </w:p>
    <w:p w14:paraId="77073592" w14:textId="77777777" w:rsidR="00171C2D" w:rsidRPr="00A05AA0" w:rsidRDefault="00171C2D" w:rsidP="00090C3C">
      <w:pPr>
        <w:pStyle w:val="ListParagraph"/>
        <w:spacing w:after="0" w:line="240" w:lineRule="auto"/>
        <w:ind w:left="425" w:hanging="425"/>
        <w:rPr>
          <w:rFonts w:cs="Arial"/>
          <w:lang w:val="fr-FR"/>
        </w:rPr>
      </w:pPr>
    </w:p>
    <w:p w14:paraId="6C274197" w14:textId="5578B1E0" w:rsidR="00014DC0" w:rsidRDefault="008B218B" w:rsidP="00090C3C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FR"/>
        </w:rPr>
      </w:pPr>
      <w:r>
        <w:rPr>
          <w:rFonts w:cs="Arial"/>
          <w:lang w:val="fr-FR"/>
        </w:rPr>
        <w:t>1</w:t>
      </w:r>
      <w:r w:rsidR="00014DC0">
        <w:rPr>
          <w:rFonts w:cs="Arial"/>
          <w:lang w:val="fr-FR"/>
        </w:rPr>
        <w:t>9</w:t>
      </w:r>
      <w:r w:rsidR="00D876D8" w:rsidRPr="00A05AA0">
        <w:rPr>
          <w:rFonts w:cs="Arial"/>
          <w:lang w:val="fr-FR"/>
        </w:rPr>
        <w:t>.</w:t>
      </w:r>
      <w:r w:rsidR="00D876D8" w:rsidRPr="00A05AA0">
        <w:rPr>
          <w:rFonts w:cs="Arial"/>
          <w:lang w:val="fr-FR"/>
        </w:rPr>
        <w:tab/>
      </w:r>
      <w:r w:rsidR="007A16F8">
        <w:rPr>
          <w:rFonts w:cs="Arial"/>
          <w:lang w:val="fr-FR"/>
        </w:rPr>
        <w:t>PRIE le Secrétariat</w:t>
      </w:r>
      <w:r w:rsidR="00014DC0">
        <w:rPr>
          <w:rFonts w:cs="Arial"/>
          <w:lang w:val="fr-FR"/>
        </w:rPr>
        <w:t>,</w:t>
      </w:r>
      <w:r w:rsidR="007A16F8">
        <w:rPr>
          <w:rFonts w:cs="Arial"/>
          <w:lang w:val="fr-FR"/>
        </w:rPr>
        <w:t xml:space="preserve"> </w:t>
      </w:r>
      <w:r w:rsidR="007A16F8" w:rsidRPr="007A16F8">
        <w:rPr>
          <w:rFonts w:cs="Arial"/>
          <w:lang w:val="fr-FR"/>
        </w:rPr>
        <w:t xml:space="preserve">le cas échéant et sur demande, de conseiller les Parties contractantes dans leurs efforts de gestion des </w:t>
      </w:r>
      <w:r w:rsidR="00777B3F">
        <w:rPr>
          <w:rFonts w:cs="Arial"/>
          <w:lang w:val="fr-FR"/>
        </w:rPr>
        <w:t>s</w:t>
      </w:r>
      <w:r w:rsidR="007A16F8" w:rsidRPr="007A16F8">
        <w:rPr>
          <w:rFonts w:cs="Arial"/>
          <w:lang w:val="fr-FR"/>
        </w:rPr>
        <w:t xml:space="preserve">ites inscrits au Registre de Montreux et des </w:t>
      </w:r>
      <w:r w:rsidR="00777B3F">
        <w:rPr>
          <w:rFonts w:cs="Arial"/>
          <w:lang w:val="fr-FR"/>
        </w:rPr>
        <w:t>si</w:t>
      </w:r>
      <w:r w:rsidR="007A16F8" w:rsidRPr="007A16F8">
        <w:rPr>
          <w:rFonts w:cs="Arial"/>
          <w:lang w:val="fr-FR"/>
        </w:rPr>
        <w:t xml:space="preserve">tes pour lesquels des rapports sur les changements </w:t>
      </w:r>
      <w:r w:rsidR="00014DC0">
        <w:rPr>
          <w:rFonts w:cs="Arial"/>
          <w:lang w:val="fr-FR"/>
        </w:rPr>
        <w:t>négatifs</w:t>
      </w:r>
      <w:r w:rsidR="007A16F8" w:rsidRPr="007A16F8">
        <w:rPr>
          <w:rFonts w:cs="Arial"/>
          <w:lang w:val="fr-FR"/>
        </w:rPr>
        <w:t xml:space="preserve"> dans les caractéristiques écologiques </w:t>
      </w:r>
      <w:r w:rsidR="00014DC0">
        <w:rPr>
          <w:rFonts w:cs="Arial"/>
          <w:lang w:val="fr-FR"/>
        </w:rPr>
        <w:t>s</w:t>
      </w:r>
      <w:r w:rsidR="007A16F8" w:rsidRPr="007A16F8">
        <w:rPr>
          <w:rFonts w:cs="Arial"/>
          <w:lang w:val="fr-FR"/>
        </w:rPr>
        <w:t xml:space="preserve">ont </w:t>
      </w:r>
      <w:r w:rsidR="00014DC0">
        <w:rPr>
          <w:rFonts w:cs="Arial"/>
          <w:lang w:val="fr-FR"/>
        </w:rPr>
        <w:t>intervenus</w:t>
      </w:r>
      <w:r w:rsidR="007A16F8" w:rsidRPr="007A16F8">
        <w:rPr>
          <w:rFonts w:cs="Arial"/>
          <w:lang w:val="fr-FR"/>
        </w:rPr>
        <w:t xml:space="preserve">, en engageant les </w:t>
      </w:r>
      <w:r w:rsidR="00014DC0">
        <w:rPr>
          <w:rFonts w:cs="Arial"/>
          <w:lang w:val="fr-FR"/>
        </w:rPr>
        <w:t>C</w:t>
      </w:r>
      <w:r w:rsidR="007A16F8" w:rsidRPr="007A16F8">
        <w:rPr>
          <w:rFonts w:cs="Arial"/>
          <w:lang w:val="fr-FR"/>
        </w:rPr>
        <w:t xml:space="preserve">entres régionaux </w:t>
      </w:r>
      <w:r w:rsidR="00014DC0">
        <w:rPr>
          <w:rFonts w:cs="Arial"/>
          <w:lang w:val="fr-FR"/>
        </w:rPr>
        <w:t xml:space="preserve">à participer à </w:t>
      </w:r>
      <w:r w:rsidR="007A16F8" w:rsidRPr="007A16F8">
        <w:rPr>
          <w:rFonts w:cs="Arial"/>
          <w:lang w:val="fr-FR"/>
        </w:rPr>
        <w:t>ces efforts, le cas échéant; et DEMANDE EN OUTRE au GEST, conformément à s</w:t>
      </w:r>
      <w:r w:rsidR="00014DC0">
        <w:rPr>
          <w:rFonts w:cs="Arial"/>
          <w:lang w:val="fr-FR"/>
        </w:rPr>
        <w:t>on champs d’action</w:t>
      </w:r>
      <w:r w:rsidR="007A16F8" w:rsidRPr="007A16F8">
        <w:rPr>
          <w:rFonts w:cs="Arial"/>
          <w:lang w:val="fr-FR"/>
        </w:rPr>
        <w:t xml:space="preserve">, son mandat et ses domaines </w:t>
      </w:r>
      <w:r w:rsidR="00014DC0">
        <w:rPr>
          <w:rFonts w:cs="Arial"/>
          <w:lang w:val="fr-FR"/>
        </w:rPr>
        <w:t xml:space="preserve">de travail </w:t>
      </w:r>
      <w:r w:rsidR="007A16F8" w:rsidRPr="007A16F8">
        <w:rPr>
          <w:rFonts w:cs="Arial"/>
          <w:lang w:val="fr-FR"/>
        </w:rPr>
        <w:t xml:space="preserve">thématiques prioritaires pour 2019-2021, d'élaborer son programme de travail </w:t>
      </w:r>
      <w:r w:rsidR="00014DC0">
        <w:rPr>
          <w:rFonts w:cs="Arial"/>
          <w:lang w:val="fr-FR"/>
        </w:rPr>
        <w:t xml:space="preserve">à soumettre </w:t>
      </w:r>
      <w:r w:rsidR="007A16F8" w:rsidRPr="007A16F8">
        <w:rPr>
          <w:rFonts w:cs="Arial"/>
          <w:lang w:val="fr-FR"/>
        </w:rPr>
        <w:t>à la 57</w:t>
      </w:r>
      <w:r w:rsidR="007A16F8" w:rsidRPr="00777B3F">
        <w:rPr>
          <w:rFonts w:cs="Arial"/>
          <w:vertAlign w:val="superscript"/>
          <w:lang w:val="fr-FR"/>
        </w:rPr>
        <w:t xml:space="preserve">e </w:t>
      </w:r>
      <w:r w:rsidR="00014DC0">
        <w:rPr>
          <w:rFonts w:cs="Arial"/>
          <w:lang w:val="fr-FR"/>
        </w:rPr>
        <w:t>R</w:t>
      </w:r>
      <w:r w:rsidR="007A16F8" w:rsidRPr="007A16F8">
        <w:rPr>
          <w:rFonts w:cs="Arial"/>
          <w:lang w:val="fr-FR"/>
        </w:rPr>
        <w:t xml:space="preserve">éunion du Comité permanent, afin </w:t>
      </w:r>
      <w:r w:rsidR="00014DC0">
        <w:rPr>
          <w:rFonts w:cs="Arial"/>
          <w:lang w:val="fr-FR"/>
        </w:rPr>
        <w:t xml:space="preserve">qu’ils envisagent </w:t>
      </w:r>
      <w:r w:rsidR="007A16F8" w:rsidRPr="007A16F8">
        <w:rPr>
          <w:rFonts w:cs="Arial"/>
          <w:lang w:val="fr-FR"/>
        </w:rPr>
        <w:t xml:space="preserve">de travailler avec le Secrétariat pour </w:t>
      </w:r>
      <w:r w:rsidR="00014DC0">
        <w:rPr>
          <w:rFonts w:cs="Arial"/>
          <w:lang w:val="fr-FR"/>
        </w:rPr>
        <w:t>soutenir</w:t>
      </w:r>
      <w:r w:rsidR="007A16F8" w:rsidRPr="007A16F8">
        <w:rPr>
          <w:rFonts w:cs="Arial"/>
          <w:lang w:val="fr-FR"/>
        </w:rPr>
        <w:t xml:space="preserve"> ces efforts</w:t>
      </w:r>
      <w:r w:rsidR="00014DC0">
        <w:rPr>
          <w:rFonts w:cs="Arial"/>
          <w:lang w:val="fr-FR"/>
        </w:rPr>
        <w:t>.</w:t>
      </w:r>
    </w:p>
    <w:p w14:paraId="232BF46D" w14:textId="77777777" w:rsidR="00014DC0" w:rsidRDefault="00014DC0" w:rsidP="00090C3C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A"/>
        </w:rPr>
      </w:pPr>
    </w:p>
    <w:p w14:paraId="6A9F19D9" w14:textId="46C0CDE1" w:rsidR="00171C2D" w:rsidRDefault="00014DC0" w:rsidP="00090C3C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A"/>
        </w:rPr>
      </w:pPr>
      <w:r>
        <w:rPr>
          <w:rFonts w:cs="Arial"/>
          <w:lang w:val="fr-CA"/>
        </w:rPr>
        <w:t>20.</w:t>
      </w:r>
      <w:r>
        <w:rPr>
          <w:rFonts w:cs="Arial"/>
          <w:lang w:val="fr-CA"/>
        </w:rPr>
        <w:tab/>
      </w:r>
      <w:r w:rsidR="00407F81" w:rsidRPr="00407F81">
        <w:rPr>
          <w:rFonts w:cs="Arial"/>
          <w:lang w:val="fr-CA"/>
        </w:rPr>
        <w:t>DONNE INSTRUCTION au Secrétariat d’</w:t>
      </w:r>
      <w:r w:rsidR="00407F81">
        <w:rPr>
          <w:rFonts w:cs="Arial"/>
          <w:lang w:val="fr-CA"/>
        </w:rPr>
        <w:t xml:space="preserve">élaborer </w:t>
      </w:r>
      <w:r w:rsidR="00282883">
        <w:rPr>
          <w:rFonts w:cs="Arial"/>
          <w:lang w:val="fr-CA"/>
        </w:rPr>
        <w:t xml:space="preserve">une brochure </w:t>
      </w:r>
      <w:r w:rsidR="00407F81">
        <w:rPr>
          <w:rFonts w:cs="Arial"/>
          <w:lang w:val="fr-CA"/>
        </w:rPr>
        <w:t>d’information</w:t>
      </w:r>
      <w:r w:rsidR="00282883">
        <w:rPr>
          <w:rFonts w:cs="Arial"/>
          <w:lang w:val="fr-CA"/>
        </w:rPr>
        <w:t xml:space="preserve"> téléchargeable</w:t>
      </w:r>
      <w:r w:rsidR="00407F81">
        <w:rPr>
          <w:rFonts w:cs="Arial"/>
          <w:lang w:val="fr-CA"/>
        </w:rPr>
        <w:t xml:space="preserve"> </w:t>
      </w:r>
      <w:r w:rsidR="00282883">
        <w:rPr>
          <w:rFonts w:cs="Arial"/>
          <w:lang w:val="fr-CA"/>
        </w:rPr>
        <w:t>dans toutes les langues officielles, expliquant les possibilités qu’offre</w:t>
      </w:r>
      <w:r w:rsidR="0079746A">
        <w:rPr>
          <w:rFonts w:cs="Arial"/>
          <w:lang w:val="fr-CA"/>
        </w:rPr>
        <w:t xml:space="preserve"> la</w:t>
      </w:r>
      <w:r w:rsidR="00282883">
        <w:rPr>
          <w:rFonts w:cs="Arial"/>
          <w:lang w:val="fr-CA"/>
        </w:rPr>
        <w:t xml:space="preserve"> MCR d’</w:t>
      </w:r>
      <w:r w:rsidR="00407F81">
        <w:rPr>
          <w:rFonts w:cs="Arial"/>
          <w:lang w:val="fr-CA"/>
        </w:rPr>
        <w:t xml:space="preserve">aider les Parties à appliquer la Convention. </w:t>
      </w:r>
    </w:p>
    <w:p w14:paraId="6DA6FBDA" w14:textId="3A18CAE3" w:rsidR="00014DC0" w:rsidRDefault="00014DC0" w:rsidP="00090C3C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A"/>
        </w:rPr>
      </w:pPr>
    </w:p>
    <w:p w14:paraId="642C477F" w14:textId="2E411532" w:rsidR="00014DC0" w:rsidRPr="00407F81" w:rsidRDefault="00014DC0" w:rsidP="00090C3C">
      <w:pPr>
        <w:autoSpaceDE w:val="0"/>
        <w:autoSpaceDN w:val="0"/>
        <w:adjustRightInd w:val="0"/>
        <w:spacing w:after="0" w:line="240" w:lineRule="auto"/>
        <w:ind w:left="425" w:hanging="425"/>
        <w:rPr>
          <w:rFonts w:cs="Arial"/>
          <w:lang w:val="fr-CA"/>
        </w:rPr>
      </w:pPr>
      <w:r>
        <w:rPr>
          <w:rFonts w:cs="Arial"/>
          <w:lang w:val="fr-CA"/>
        </w:rPr>
        <w:t xml:space="preserve">21.   </w:t>
      </w:r>
      <w:r w:rsidRPr="00014DC0">
        <w:rPr>
          <w:rFonts w:cs="Arial"/>
          <w:lang w:val="fr-CA"/>
        </w:rPr>
        <w:t xml:space="preserve">DEMANDE EN OUTRE au Secrétariat de soumettre rapidement au GEST toutes les demandes de retrait de </w:t>
      </w:r>
      <w:r w:rsidR="00EC1415">
        <w:rPr>
          <w:rFonts w:cs="Arial"/>
          <w:lang w:val="fr-CA"/>
        </w:rPr>
        <w:t>S</w:t>
      </w:r>
      <w:r w:rsidRPr="00014DC0">
        <w:rPr>
          <w:rFonts w:cs="Arial"/>
          <w:lang w:val="fr-CA"/>
        </w:rPr>
        <w:t xml:space="preserve">ites </w:t>
      </w:r>
      <w:proofErr w:type="spellStart"/>
      <w:r w:rsidRPr="00014DC0">
        <w:rPr>
          <w:rFonts w:cs="Arial"/>
          <w:lang w:val="fr-CA"/>
        </w:rPr>
        <w:t>Ramsar</w:t>
      </w:r>
      <w:proofErr w:type="spellEnd"/>
      <w:r w:rsidRPr="00014DC0">
        <w:rPr>
          <w:rFonts w:cs="Arial"/>
          <w:lang w:val="fr-CA"/>
        </w:rPr>
        <w:t xml:space="preserve"> du Registre de Montreux </w:t>
      </w:r>
      <w:r w:rsidR="00EC1415">
        <w:rPr>
          <w:rFonts w:cs="Arial"/>
          <w:lang w:val="fr-CA"/>
        </w:rPr>
        <w:t xml:space="preserve">soumises par </w:t>
      </w:r>
      <w:r w:rsidRPr="00014DC0">
        <w:rPr>
          <w:rFonts w:cs="Arial"/>
          <w:lang w:val="fr-CA"/>
        </w:rPr>
        <w:t>de</w:t>
      </w:r>
      <w:r w:rsidR="00EC1415">
        <w:rPr>
          <w:rFonts w:cs="Arial"/>
          <w:lang w:val="fr-CA"/>
        </w:rPr>
        <w:t>s</w:t>
      </w:r>
      <w:r w:rsidRPr="00014DC0">
        <w:rPr>
          <w:rFonts w:cs="Arial"/>
          <w:lang w:val="fr-CA"/>
        </w:rPr>
        <w:t xml:space="preserve"> Parties contractantes et d'informer rapidement la Partie contractante et le Comité permanent de la recommandation du GEST concernant le traitement de ces demandes.</w:t>
      </w:r>
    </w:p>
    <w:p w14:paraId="74AF84C0" w14:textId="77777777" w:rsidR="00171C2D" w:rsidRPr="00A05AA0" w:rsidRDefault="00171C2D" w:rsidP="00090C3C">
      <w:pPr>
        <w:pStyle w:val="ListParagraph"/>
        <w:autoSpaceDE w:val="0"/>
        <w:autoSpaceDN w:val="0"/>
        <w:adjustRightInd w:val="0"/>
        <w:spacing w:after="0" w:line="240" w:lineRule="auto"/>
        <w:ind w:left="567"/>
        <w:rPr>
          <w:rFonts w:cstheme="minorHAnsi"/>
          <w:lang w:val="fr-FR"/>
        </w:rPr>
      </w:pPr>
    </w:p>
    <w:p w14:paraId="0C84C1AC" w14:textId="77777777" w:rsidR="00171C2D" w:rsidRPr="00D876D8" w:rsidRDefault="00171C2D" w:rsidP="00090C3C">
      <w:pPr>
        <w:spacing w:after="0" w:line="240" w:lineRule="auto"/>
      </w:pPr>
      <w:bookmarkStart w:id="1" w:name="_Toc301966924"/>
      <w:r w:rsidRPr="00D876D8">
        <w:br w:type="page"/>
      </w:r>
    </w:p>
    <w:p w14:paraId="4C2C22EA" w14:textId="23A112D1" w:rsidR="005C1743" w:rsidRPr="00853DAF" w:rsidRDefault="005C1743" w:rsidP="00090C3C">
      <w:pPr>
        <w:spacing w:after="0" w:line="240" w:lineRule="auto"/>
        <w:rPr>
          <w:b/>
          <w:sz w:val="24"/>
          <w:szCs w:val="24"/>
          <w:lang w:val="fr-CA"/>
        </w:rPr>
      </w:pPr>
      <w:r w:rsidRPr="00853DAF">
        <w:rPr>
          <w:b/>
          <w:sz w:val="24"/>
          <w:szCs w:val="24"/>
          <w:lang w:val="fr-CA"/>
        </w:rPr>
        <w:lastRenderedPageBreak/>
        <w:t>Annex</w:t>
      </w:r>
      <w:r w:rsidR="00853DAF">
        <w:rPr>
          <w:b/>
          <w:sz w:val="24"/>
          <w:szCs w:val="24"/>
          <w:lang w:val="fr-CA"/>
        </w:rPr>
        <w:t>e</w:t>
      </w:r>
      <w:r w:rsidRPr="00853DAF">
        <w:rPr>
          <w:b/>
          <w:sz w:val="24"/>
          <w:szCs w:val="24"/>
          <w:lang w:val="fr-CA"/>
        </w:rPr>
        <w:t xml:space="preserve"> </w:t>
      </w:r>
      <w:r w:rsidR="000C1B37">
        <w:rPr>
          <w:b/>
          <w:sz w:val="24"/>
          <w:szCs w:val="24"/>
          <w:lang w:val="fr-CA"/>
        </w:rPr>
        <w:t>1</w:t>
      </w:r>
    </w:p>
    <w:p w14:paraId="54444512" w14:textId="77777777" w:rsidR="005C1743" w:rsidRPr="00853DAF" w:rsidRDefault="005C1743" w:rsidP="00090C3C">
      <w:pPr>
        <w:spacing w:after="0" w:line="240" w:lineRule="auto"/>
        <w:rPr>
          <w:b/>
          <w:sz w:val="24"/>
          <w:szCs w:val="24"/>
          <w:lang w:val="fr-CA"/>
        </w:rPr>
      </w:pPr>
    </w:p>
    <w:p w14:paraId="5A1AAA1D" w14:textId="24600E5C" w:rsidR="00171C2D" w:rsidRPr="00853DAF" w:rsidRDefault="00853DAF" w:rsidP="00090C3C">
      <w:pPr>
        <w:spacing w:after="0" w:line="240" w:lineRule="auto"/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Élaboration d’orientations pratiques et techniques opérationnelles pour les Parties</w:t>
      </w:r>
      <w:r w:rsidR="0079746A">
        <w:rPr>
          <w:b/>
          <w:sz w:val="24"/>
          <w:szCs w:val="24"/>
          <w:lang w:val="fr-CA"/>
        </w:rPr>
        <w:t xml:space="preserve"> contractantes</w:t>
      </w:r>
      <w:r>
        <w:rPr>
          <w:b/>
          <w:sz w:val="24"/>
          <w:szCs w:val="24"/>
          <w:lang w:val="fr-CA"/>
        </w:rPr>
        <w:t xml:space="preserve">, le Secrétariat et autres acteurs sous forme de guide simple et progressif couvrant, entre autres, les thèmes suivants </w:t>
      </w:r>
    </w:p>
    <w:p w14:paraId="4BFD0DED" w14:textId="77777777" w:rsidR="005C1743" w:rsidRPr="00853DAF" w:rsidRDefault="005C1743" w:rsidP="00090C3C">
      <w:pPr>
        <w:spacing w:after="0" w:line="240" w:lineRule="auto"/>
        <w:rPr>
          <w:b/>
          <w:lang w:val="fr-CA"/>
        </w:rPr>
      </w:pPr>
    </w:p>
    <w:bookmarkEnd w:id="1"/>
    <w:p w14:paraId="460C0C72" w14:textId="0F94DF33" w:rsidR="00171C2D" w:rsidRPr="00853DAF" w:rsidRDefault="00853DAF" w:rsidP="00090C3C">
      <w:pPr>
        <w:numPr>
          <w:ilvl w:val="0"/>
          <w:numId w:val="2"/>
        </w:numPr>
        <w:spacing w:after="0" w:line="240" w:lineRule="auto"/>
        <w:ind w:left="450" w:hanging="450"/>
        <w:rPr>
          <w:lang w:val="fr-CA"/>
        </w:rPr>
      </w:pPr>
      <w:r>
        <w:rPr>
          <w:lang w:val="fr-CA"/>
        </w:rPr>
        <w:t xml:space="preserve">Circonstances qui ont déclenché le recours proposé à une </w:t>
      </w:r>
      <w:r w:rsidR="00090C3C">
        <w:rPr>
          <w:rFonts w:cs="Arial"/>
          <w:lang w:val="fr-CA"/>
        </w:rPr>
        <w:t xml:space="preserve">Mission consultative </w:t>
      </w:r>
      <w:proofErr w:type="spellStart"/>
      <w:r w:rsidR="00090C3C">
        <w:rPr>
          <w:rFonts w:cs="Arial"/>
          <w:lang w:val="fr-CA"/>
        </w:rPr>
        <w:t>Ramsar</w:t>
      </w:r>
      <w:proofErr w:type="spellEnd"/>
      <w:r w:rsidR="00090C3C">
        <w:rPr>
          <w:rFonts w:cs="Arial"/>
          <w:lang w:val="fr-CA"/>
        </w:rPr>
        <w:t xml:space="preserve"> (MCR)</w:t>
      </w:r>
    </w:p>
    <w:p w14:paraId="574658F7" w14:textId="77777777" w:rsidR="005C1743" w:rsidRPr="00853DAF" w:rsidRDefault="005C1743" w:rsidP="00090C3C">
      <w:pPr>
        <w:spacing w:after="0" w:line="240" w:lineRule="auto"/>
        <w:ind w:left="425"/>
        <w:rPr>
          <w:lang w:val="fr-CA"/>
        </w:rPr>
      </w:pPr>
    </w:p>
    <w:p w14:paraId="40CFD69E" w14:textId="77777777" w:rsidR="00171C2D" w:rsidRPr="00853DAF" w:rsidRDefault="00171C2D" w:rsidP="00090C3C">
      <w:pPr>
        <w:numPr>
          <w:ilvl w:val="0"/>
          <w:numId w:val="2"/>
        </w:numPr>
        <w:spacing w:after="0" w:line="240" w:lineRule="auto"/>
        <w:ind w:left="450" w:hanging="450"/>
        <w:rPr>
          <w:lang w:val="fr-CA"/>
        </w:rPr>
      </w:pPr>
      <w:r w:rsidRPr="00853DAF">
        <w:rPr>
          <w:lang w:val="fr-CA"/>
        </w:rPr>
        <w:t>Li</w:t>
      </w:r>
      <w:r w:rsidR="00853DAF">
        <w:rPr>
          <w:lang w:val="fr-CA"/>
        </w:rPr>
        <w:t>ens avec l’</w:t>
      </w:r>
      <w:r w:rsidRPr="00853DAF">
        <w:rPr>
          <w:lang w:val="fr-CA"/>
        </w:rPr>
        <w:t>Article 3.2</w:t>
      </w:r>
    </w:p>
    <w:p w14:paraId="006951E8" w14:textId="77777777" w:rsidR="005C1743" w:rsidRPr="00853DAF" w:rsidRDefault="005C1743" w:rsidP="00090C3C">
      <w:pPr>
        <w:spacing w:after="0" w:line="240" w:lineRule="auto"/>
        <w:ind w:left="450" w:hanging="450"/>
        <w:rPr>
          <w:lang w:val="fr-CA"/>
        </w:rPr>
      </w:pPr>
    </w:p>
    <w:p w14:paraId="6377D0F9" w14:textId="77777777" w:rsidR="00171C2D" w:rsidRPr="00853DAF" w:rsidRDefault="00171C2D" w:rsidP="00090C3C">
      <w:pPr>
        <w:numPr>
          <w:ilvl w:val="0"/>
          <w:numId w:val="2"/>
        </w:numPr>
        <w:spacing w:after="0" w:line="240" w:lineRule="auto"/>
        <w:ind w:left="450" w:hanging="450"/>
        <w:rPr>
          <w:lang w:val="fr-CA"/>
        </w:rPr>
      </w:pPr>
      <w:r w:rsidRPr="00853DAF">
        <w:rPr>
          <w:lang w:val="fr-CA"/>
        </w:rPr>
        <w:t>Li</w:t>
      </w:r>
      <w:r w:rsidR="00853DAF">
        <w:rPr>
          <w:lang w:val="fr-CA"/>
        </w:rPr>
        <w:t xml:space="preserve">ens avec le Registre de </w:t>
      </w:r>
      <w:r w:rsidRPr="00853DAF">
        <w:rPr>
          <w:lang w:val="fr-CA"/>
        </w:rPr>
        <w:t xml:space="preserve">Montreux </w:t>
      </w:r>
    </w:p>
    <w:p w14:paraId="0698DA4C" w14:textId="77777777" w:rsidR="005C1743" w:rsidRPr="00853DAF" w:rsidRDefault="005C1743" w:rsidP="00090C3C">
      <w:pPr>
        <w:spacing w:after="0" w:line="240" w:lineRule="auto"/>
        <w:ind w:left="450" w:hanging="450"/>
        <w:rPr>
          <w:lang w:val="fr-CA"/>
        </w:rPr>
      </w:pPr>
    </w:p>
    <w:p w14:paraId="30FB3E72" w14:textId="77777777" w:rsidR="00171C2D" w:rsidRPr="00853DAF" w:rsidRDefault="00853DAF" w:rsidP="00090C3C">
      <w:pPr>
        <w:numPr>
          <w:ilvl w:val="0"/>
          <w:numId w:val="2"/>
        </w:numPr>
        <w:spacing w:after="0" w:line="240" w:lineRule="auto"/>
        <w:ind w:left="450" w:hanging="450"/>
        <w:rPr>
          <w:lang w:val="fr-CA"/>
        </w:rPr>
      </w:pPr>
      <w:r>
        <w:rPr>
          <w:lang w:val="fr-CA"/>
        </w:rPr>
        <w:t>Enquêtes et avis pré</w:t>
      </w:r>
      <w:r>
        <w:rPr>
          <w:lang w:val="fr-CA"/>
        </w:rPr>
        <w:noBreakHyphen/>
        <w:t>MCR</w:t>
      </w:r>
    </w:p>
    <w:p w14:paraId="31977508" w14:textId="77777777" w:rsidR="005C1743" w:rsidRPr="00853DAF" w:rsidRDefault="005C1743" w:rsidP="00090C3C">
      <w:pPr>
        <w:spacing w:after="0" w:line="240" w:lineRule="auto"/>
        <w:ind w:left="450" w:hanging="450"/>
        <w:rPr>
          <w:lang w:val="fr-CA"/>
        </w:rPr>
      </w:pPr>
    </w:p>
    <w:p w14:paraId="1A7170AD" w14:textId="77777777" w:rsidR="00171C2D" w:rsidRPr="00853DAF" w:rsidRDefault="00853DAF" w:rsidP="00090C3C">
      <w:pPr>
        <w:numPr>
          <w:ilvl w:val="0"/>
          <w:numId w:val="2"/>
        </w:numPr>
        <w:spacing w:after="0" w:line="240" w:lineRule="auto"/>
        <w:ind w:left="450" w:hanging="450"/>
        <w:rPr>
          <w:lang w:val="fr-CA"/>
        </w:rPr>
      </w:pPr>
      <w:r>
        <w:rPr>
          <w:lang w:val="fr-CA"/>
        </w:rPr>
        <w:t>Prérogative de la Partie contractante d’inviter une MCR/d’approuver le cahier des charges (</w:t>
      </w:r>
      <w:proofErr w:type="spellStart"/>
      <w:r>
        <w:rPr>
          <w:lang w:val="fr-CA"/>
        </w:rPr>
        <w:t>CdC</w:t>
      </w:r>
      <w:proofErr w:type="spellEnd"/>
      <w:r>
        <w:rPr>
          <w:lang w:val="fr-CA"/>
        </w:rPr>
        <w:t xml:space="preserve">) </w:t>
      </w:r>
    </w:p>
    <w:p w14:paraId="0CFC5C3E" w14:textId="77777777" w:rsidR="005C1743" w:rsidRPr="00853DAF" w:rsidRDefault="005C1743" w:rsidP="00090C3C">
      <w:pPr>
        <w:spacing w:after="0" w:line="240" w:lineRule="auto"/>
        <w:ind w:left="450" w:hanging="450"/>
        <w:rPr>
          <w:lang w:val="fr-CA"/>
        </w:rPr>
      </w:pPr>
    </w:p>
    <w:p w14:paraId="486B5D43" w14:textId="77777777" w:rsidR="00171C2D" w:rsidRPr="00853DAF" w:rsidRDefault="00853DAF" w:rsidP="00090C3C">
      <w:pPr>
        <w:numPr>
          <w:ilvl w:val="0"/>
          <w:numId w:val="2"/>
        </w:numPr>
        <w:spacing w:after="0" w:line="240" w:lineRule="auto"/>
        <w:ind w:left="450" w:hanging="450"/>
        <w:rPr>
          <w:lang w:val="fr-CA"/>
        </w:rPr>
      </w:pPr>
      <w:r>
        <w:rPr>
          <w:lang w:val="fr-CA"/>
        </w:rPr>
        <w:t>Élabor</w:t>
      </w:r>
      <w:r w:rsidR="00362CE1">
        <w:rPr>
          <w:lang w:val="fr-CA"/>
        </w:rPr>
        <w:t>ation du</w:t>
      </w:r>
      <w:r>
        <w:rPr>
          <w:lang w:val="fr-CA"/>
        </w:rPr>
        <w:t xml:space="preserve"> </w:t>
      </w:r>
      <w:proofErr w:type="spellStart"/>
      <w:r>
        <w:rPr>
          <w:lang w:val="fr-CA"/>
        </w:rPr>
        <w:t>CdC</w:t>
      </w:r>
      <w:proofErr w:type="spellEnd"/>
      <w:r>
        <w:rPr>
          <w:lang w:val="fr-CA"/>
        </w:rPr>
        <w:t xml:space="preserve"> – normes de bonnes pratiques </w:t>
      </w:r>
    </w:p>
    <w:p w14:paraId="59E5A9A8" w14:textId="77777777" w:rsidR="005C1743" w:rsidRPr="00853DAF" w:rsidRDefault="005C1743" w:rsidP="00090C3C">
      <w:pPr>
        <w:spacing w:after="0" w:line="240" w:lineRule="auto"/>
        <w:ind w:left="450" w:hanging="450"/>
        <w:rPr>
          <w:lang w:val="fr-CA"/>
        </w:rPr>
      </w:pPr>
    </w:p>
    <w:p w14:paraId="5AAA7576" w14:textId="77777777" w:rsidR="00171C2D" w:rsidRPr="00853DAF" w:rsidRDefault="00853DAF" w:rsidP="00090C3C">
      <w:pPr>
        <w:numPr>
          <w:ilvl w:val="0"/>
          <w:numId w:val="2"/>
        </w:numPr>
        <w:spacing w:after="0" w:line="240" w:lineRule="auto"/>
        <w:ind w:left="450" w:hanging="450"/>
        <w:rPr>
          <w:lang w:val="fr-CA"/>
        </w:rPr>
      </w:pPr>
      <w:r>
        <w:rPr>
          <w:lang w:val="fr-CA"/>
        </w:rPr>
        <w:t>Portée de la MCR</w:t>
      </w:r>
    </w:p>
    <w:p w14:paraId="58690B21" w14:textId="77777777" w:rsidR="005C1743" w:rsidRPr="00853DAF" w:rsidRDefault="005C1743" w:rsidP="00090C3C">
      <w:pPr>
        <w:spacing w:after="0" w:line="240" w:lineRule="auto"/>
        <w:ind w:left="450" w:hanging="450"/>
        <w:rPr>
          <w:lang w:val="fr-CA"/>
        </w:rPr>
      </w:pPr>
    </w:p>
    <w:p w14:paraId="50DCD3F8" w14:textId="77777777" w:rsidR="00171C2D" w:rsidRPr="00853DAF" w:rsidRDefault="00171C2D" w:rsidP="00090C3C">
      <w:pPr>
        <w:numPr>
          <w:ilvl w:val="0"/>
          <w:numId w:val="2"/>
        </w:numPr>
        <w:spacing w:after="0" w:line="240" w:lineRule="auto"/>
        <w:ind w:left="450" w:hanging="450"/>
        <w:rPr>
          <w:lang w:val="fr-CA"/>
        </w:rPr>
      </w:pPr>
      <w:r w:rsidRPr="00853DAF">
        <w:rPr>
          <w:lang w:val="fr-CA"/>
        </w:rPr>
        <w:t xml:space="preserve">Coordination </w:t>
      </w:r>
      <w:r w:rsidR="00853DAF">
        <w:rPr>
          <w:lang w:val="fr-CA"/>
        </w:rPr>
        <w:t xml:space="preserve">et composition de l’équipe de la mission </w:t>
      </w:r>
    </w:p>
    <w:p w14:paraId="42BCA8E9" w14:textId="77777777" w:rsidR="005C1743" w:rsidRPr="00853DAF" w:rsidRDefault="005C1743" w:rsidP="00090C3C">
      <w:pPr>
        <w:spacing w:after="0" w:line="240" w:lineRule="auto"/>
        <w:ind w:left="450" w:hanging="450"/>
        <w:rPr>
          <w:lang w:val="fr-CA"/>
        </w:rPr>
      </w:pPr>
    </w:p>
    <w:p w14:paraId="5AA8C7FD" w14:textId="77777777" w:rsidR="00171C2D" w:rsidRPr="00853DAF" w:rsidRDefault="003F3430" w:rsidP="00090C3C">
      <w:pPr>
        <w:numPr>
          <w:ilvl w:val="0"/>
          <w:numId w:val="2"/>
        </w:numPr>
        <w:spacing w:after="0" w:line="240" w:lineRule="auto"/>
        <w:ind w:left="450" w:hanging="450"/>
        <w:rPr>
          <w:lang w:val="fr-CA"/>
        </w:rPr>
      </w:pPr>
      <w:r>
        <w:rPr>
          <w:lang w:val="fr-CA"/>
        </w:rPr>
        <w:t xml:space="preserve">Considérations </w:t>
      </w:r>
      <w:r w:rsidR="00362CE1">
        <w:rPr>
          <w:lang w:val="fr-CA"/>
        </w:rPr>
        <w:t>relatives au</w:t>
      </w:r>
      <w:r>
        <w:rPr>
          <w:lang w:val="fr-CA"/>
        </w:rPr>
        <w:t xml:space="preserve"> calendrier</w:t>
      </w:r>
    </w:p>
    <w:p w14:paraId="180D0A7B" w14:textId="77777777" w:rsidR="005C1743" w:rsidRPr="00853DAF" w:rsidRDefault="005C1743" w:rsidP="00090C3C">
      <w:pPr>
        <w:spacing w:after="0" w:line="240" w:lineRule="auto"/>
        <w:ind w:left="425"/>
        <w:rPr>
          <w:lang w:val="fr-CA"/>
        </w:rPr>
      </w:pPr>
    </w:p>
    <w:p w14:paraId="4757D4CB" w14:textId="77777777" w:rsidR="00171C2D" w:rsidRPr="00853DAF" w:rsidRDefault="00171C2D" w:rsidP="00090C3C">
      <w:pPr>
        <w:numPr>
          <w:ilvl w:val="0"/>
          <w:numId w:val="2"/>
        </w:numPr>
        <w:spacing w:after="0" w:line="240" w:lineRule="auto"/>
        <w:ind w:left="450" w:hanging="450"/>
        <w:rPr>
          <w:lang w:val="fr-CA"/>
        </w:rPr>
      </w:pPr>
      <w:r w:rsidRPr="00853DAF">
        <w:rPr>
          <w:lang w:val="fr-CA"/>
        </w:rPr>
        <w:t>R</w:t>
      </w:r>
      <w:r w:rsidR="003F3430">
        <w:rPr>
          <w:lang w:val="fr-CA"/>
        </w:rPr>
        <w:t>ôle du Secrétariat</w:t>
      </w:r>
    </w:p>
    <w:p w14:paraId="0F8B4DDC" w14:textId="77777777" w:rsidR="005C1743" w:rsidRPr="00853DAF" w:rsidRDefault="005C1743" w:rsidP="00090C3C">
      <w:pPr>
        <w:spacing w:after="0" w:line="240" w:lineRule="auto"/>
        <w:ind w:left="450" w:hanging="450"/>
        <w:rPr>
          <w:lang w:val="fr-CA"/>
        </w:rPr>
      </w:pPr>
    </w:p>
    <w:p w14:paraId="6E36A9CA" w14:textId="77777777" w:rsidR="00171C2D" w:rsidRPr="00853DAF" w:rsidRDefault="00171C2D" w:rsidP="00090C3C">
      <w:pPr>
        <w:numPr>
          <w:ilvl w:val="0"/>
          <w:numId w:val="2"/>
        </w:numPr>
        <w:spacing w:after="0" w:line="240" w:lineRule="auto"/>
        <w:ind w:left="450" w:hanging="450"/>
        <w:rPr>
          <w:lang w:val="fr-CA"/>
        </w:rPr>
      </w:pPr>
      <w:r w:rsidRPr="00853DAF">
        <w:rPr>
          <w:lang w:val="fr-CA"/>
        </w:rPr>
        <w:t>R</w:t>
      </w:r>
      <w:r w:rsidR="003F3430">
        <w:rPr>
          <w:lang w:val="fr-CA"/>
        </w:rPr>
        <w:t>ôle du GEST</w:t>
      </w:r>
    </w:p>
    <w:p w14:paraId="421CA56A" w14:textId="77777777" w:rsidR="005C1743" w:rsidRPr="00853DAF" w:rsidRDefault="005C1743" w:rsidP="00090C3C">
      <w:pPr>
        <w:spacing w:after="0" w:line="240" w:lineRule="auto"/>
        <w:ind w:left="450" w:hanging="450"/>
        <w:rPr>
          <w:lang w:val="fr-CA"/>
        </w:rPr>
      </w:pPr>
    </w:p>
    <w:p w14:paraId="6002B73C" w14:textId="77777777" w:rsidR="00171C2D" w:rsidRPr="00853DAF" w:rsidRDefault="00171C2D" w:rsidP="00090C3C">
      <w:pPr>
        <w:numPr>
          <w:ilvl w:val="0"/>
          <w:numId w:val="2"/>
        </w:numPr>
        <w:spacing w:after="0" w:line="240" w:lineRule="auto"/>
        <w:ind w:left="450" w:hanging="450"/>
        <w:rPr>
          <w:lang w:val="fr-CA"/>
        </w:rPr>
      </w:pPr>
      <w:r w:rsidRPr="00853DAF">
        <w:rPr>
          <w:lang w:val="fr-CA"/>
        </w:rPr>
        <w:t>R</w:t>
      </w:r>
      <w:r w:rsidR="003F3430">
        <w:rPr>
          <w:lang w:val="fr-CA"/>
        </w:rPr>
        <w:t>ôle des OIP et autres parties prenantes</w:t>
      </w:r>
    </w:p>
    <w:p w14:paraId="633C6FEE" w14:textId="77777777" w:rsidR="005C1743" w:rsidRPr="00853DAF" w:rsidRDefault="005C1743" w:rsidP="00090C3C">
      <w:pPr>
        <w:spacing w:after="0" w:line="240" w:lineRule="auto"/>
        <w:ind w:left="450" w:hanging="450"/>
        <w:rPr>
          <w:lang w:val="fr-CA"/>
        </w:rPr>
      </w:pPr>
    </w:p>
    <w:p w14:paraId="209EF653" w14:textId="77777777" w:rsidR="00171C2D" w:rsidRPr="00853DAF" w:rsidRDefault="003F3430" w:rsidP="00090C3C">
      <w:pPr>
        <w:numPr>
          <w:ilvl w:val="0"/>
          <w:numId w:val="2"/>
        </w:numPr>
        <w:spacing w:after="0" w:line="240" w:lineRule="auto"/>
        <w:ind w:left="450" w:hanging="450"/>
        <w:rPr>
          <w:lang w:val="fr-CA"/>
        </w:rPr>
      </w:pPr>
      <w:r>
        <w:rPr>
          <w:lang w:val="fr-CA"/>
        </w:rPr>
        <w:t>Financement de la MCR</w:t>
      </w:r>
    </w:p>
    <w:p w14:paraId="0D5C811B" w14:textId="77777777" w:rsidR="005C1743" w:rsidRPr="00853DAF" w:rsidRDefault="005C1743" w:rsidP="00090C3C">
      <w:pPr>
        <w:spacing w:after="0" w:line="240" w:lineRule="auto"/>
        <w:ind w:left="450" w:hanging="450"/>
        <w:rPr>
          <w:lang w:val="fr-CA"/>
        </w:rPr>
      </w:pPr>
    </w:p>
    <w:p w14:paraId="30D1B011" w14:textId="77777777" w:rsidR="00171C2D" w:rsidRPr="00853DAF" w:rsidRDefault="00171C2D" w:rsidP="00090C3C">
      <w:pPr>
        <w:numPr>
          <w:ilvl w:val="0"/>
          <w:numId w:val="2"/>
        </w:numPr>
        <w:spacing w:after="0" w:line="240" w:lineRule="auto"/>
        <w:ind w:left="450" w:hanging="450"/>
        <w:rPr>
          <w:lang w:val="fr-CA"/>
        </w:rPr>
      </w:pPr>
      <w:r w:rsidRPr="00853DAF">
        <w:rPr>
          <w:lang w:val="fr-CA"/>
        </w:rPr>
        <w:t xml:space="preserve">Application </w:t>
      </w:r>
      <w:r w:rsidR="003F3430">
        <w:rPr>
          <w:lang w:val="fr-CA"/>
        </w:rPr>
        <w:t xml:space="preserve">à des Sites </w:t>
      </w:r>
      <w:proofErr w:type="spellStart"/>
      <w:r w:rsidR="003F3430">
        <w:rPr>
          <w:lang w:val="fr-CA"/>
        </w:rPr>
        <w:t>Ramsar</w:t>
      </w:r>
      <w:proofErr w:type="spellEnd"/>
      <w:r w:rsidR="003F3430">
        <w:rPr>
          <w:lang w:val="fr-CA"/>
        </w:rPr>
        <w:t xml:space="preserve"> candidats et autres zones humides non inscrites </w:t>
      </w:r>
    </w:p>
    <w:p w14:paraId="775C4C0C" w14:textId="77777777" w:rsidR="005C1743" w:rsidRPr="00853DAF" w:rsidRDefault="005C1743" w:rsidP="00090C3C">
      <w:pPr>
        <w:spacing w:after="0" w:line="240" w:lineRule="auto"/>
        <w:ind w:left="450" w:hanging="450"/>
        <w:rPr>
          <w:lang w:val="fr-CA"/>
        </w:rPr>
      </w:pPr>
    </w:p>
    <w:p w14:paraId="2ADE5A54" w14:textId="77777777" w:rsidR="00171C2D" w:rsidRPr="00853DAF" w:rsidRDefault="00171C2D" w:rsidP="00090C3C">
      <w:pPr>
        <w:numPr>
          <w:ilvl w:val="0"/>
          <w:numId w:val="2"/>
        </w:numPr>
        <w:spacing w:after="0" w:line="240" w:lineRule="auto"/>
        <w:ind w:left="450" w:hanging="450"/>
        <w:rPr>
          <w:lang w:val="fr-CA"/>
        </w:rPr>
      </w:pPr>
      <w:r w:rsidRPr="00853DAF">
        <w:rPr>
          <w:lang w:val="fr-CA"/>
        </w:rPr>
        <w:t xml:space="preserve">Application </w:t>
      </w:r>
      <w:r w:rsidR="003F3430">
        <w:rPr>
          <w:lang w:val="fr-CA"/>
        </w:rPr>
        <w:t>dans un contexte transfrontalier</w:t>
      </w:r>
    </w:p>
    <w:p w14:paraId="2F3C06A2" w14:textId="77777777" w:rsidR="005C1743" w:rsidRPr="00853DAF" w:rsidRDefault="005C1743" w:rsidP="00090C3C">
      <w:pPr>
        <w:spacing w:after="0" w:line="240" w:lineRule="auto"/>
        <w:ind w:left="450" w:hanging="450"/>
        <w:rPr>
          <w:lang w:val="fr-CA"/>
        </w:rPr>
      </w:pPr>
    </w:p>
    <w:p w14:paraId="2CD73E95" w14:textId="77777777" w:rsidR="00171C2D" w:rsidRPr="00853DAF" w:rsidRDefault="003F3430" w:rsidP="00090C3C">
      <w:pPr>
        <w:numPr>
          <w:ilvl w:val="0"/>
          <w:numId w:val="2"/>
        </w:numPr>
        <w:spacing w:after="0" w:line="240" w:lineRule="auto"/>
        <w:ind w:left="450" w:hanging="450"/>
        <w:rPr>
          <w:lang w:val="fr-CA"/>
        </w:rPr>
      </w:pPr>
      <w:r>
        <w:rPr>
          <w:lang w:val="fr-CA"/>
        </w:rPr>
        <w:t xml:space="preserve">Fonctionnement sur une base </w:t>
      </w:r>
      <w:r w:rsidR="00362CE1">
        <w:rPr>
          <w:lang w:val="fr-CA"/>
        </w:rPr>
        <w:t>conjointe</w:t>
      </w:r>
      <w:r>
        <w:rPr>
          <w:lang w:val="fr-CA"/>
        </w:rPr>
        <w:t xml:space="preserve"> avec les mécanismes d’autres AME </w:t>
      </w:r>
    </w:p>
    <w:p w14:paraId="5888A9C7" w14:textId="77777777" w:rsidR="005C1743" w:rsidRPr="00853DAF" w:rsidRDefault="005C1743" w:rsidP="00090C3C">
      <w:pPr>
        <w:spacing w:after="0" w:line="240" w:lineRule="auto"/>
        <w:ind w:left="450" w:hanging="450"/>
        <w:rPr>
          <w:lang w:val="fr-CA"/>
        </w:rPr>
      </w:pPr>
    </w:p>
    <w:p w14:paraId="0DE6145B" w14:textId="77777777" w:rsidR="00171C2D" w:rsidRPr="00853DAF" w:rsidRDefault="00171C2D" w:rsidP="00090C3C">
      <w:pPr>
        <w:numPr>
          <w:ilvl w:val="0"/>
          <w:numId w:val="2"/>
        </w:numPr>
        <w:spacing w:after="0" w:line="240" w:lineRule="auto"/>
        <w:ind w:left="450" w:hanging="450"/>
        <w:rPr>
          <w:lang w:val="fr-CA"/>
        </w:rPr>
      </w:pPr>
      <w:r w:rsidRPr="00853DAF">
        <w:rPr>
          <w:lang w:val="fr-CA"/>
        </w:rPr>
        <w:t xml:space="preserve">Structure </w:t>
      </w:r>
      <w:r w:rsidR="003F3430">
        <w:rPr>
          <w:lang w:val="fr-CA"/>
        </w:rPr>
        <w:t xml:space="preserve">et contenu </w:t>
      </w:r>
      <w:r w:rsidR="00362CE1">
        <w:rPr>
          <w:lang w:val="fr-CA"/>
        </w:rPr>
        <w:t xml:space="preserve">d’un rapport </w:t>
      </w:r>
      <w:r w:rsidR="003F3430">
        <w:rPr>
          <w:lang w:val="fr-CA"/>
        </w:rPr>
        <w:t xml:space="preserve">de MCR </w:t>
      </w:r>
    </w:p>
    <w:p w14:paraId="4EA7B176" w14:textId="77777777" w:rsidR="005C1743" w:rsidRPr="00853DAF" w:rsidRDefault="005C1743" w:rsidP="00090C3C">
      <w:pPr>
        <w:spacing w:after="0" w:line="240" w:lineRule="auto"/>
        <w:ind w:left="425"/>
        <w:rPr>
          <w:lang w:val="fr-CA"/>
        </w:rPr>
      </w:pPr>
    </w:p>
    <w:p w14:paraId="124FE3DF" w14:textId="77777777" w:rsidR="00171C2D" w:rsidRPr="00853DAF" w:rsidRDefault="003F3430" w:rsidP="00090C3C">
      <w:pPr>
        <w:numPr>
          <w:ilvl w:val="0"/>
          <w:numId w:val="2"/>
        </w:numPr>
        <w:spacing w:after="0" w:line="240" w:lineRule="auto"/>
        <w:ind w:left="450" w:hanging="450"/>
        <w:rPr>
          <w:lang w:val="fr-CA"/>
        </w:rPr>
      </w:pPr>
      <w:r>
        <w:rPr>
          <w:lang w:val="fr-CA"/>
        </w:rPr>
        <w:t>Processus de suivi d’un rapport de MCR</w:t>
      </w:r>
    </w:p>
    <w:p w14:paraId="1DE599FC" w14:textId="77777777" w:rsidR="005C1743" w:rsidRPr="00853DAF" w:rsidRDefault="005C1743" w:rsidP="00090C3C">
      <w:pPr>
        <w:spacing w:after="0" w:line="240" w:lineRule="auto"/>
        <w:ind w:left="450" w:hanging="450"/>
        <w:rPr>
          <w:lang w:val="fr-CA"/>
        </w:rPr>
      </w:pPr>
    </w:p>
    <w:p w14:paraId="0C512653" w14:textId="77777777" w:rsidR="00171C2D" w:rsidRPr="00853DAF" w:rsidRDefault="00171C2D" w:rsidP="00090C3C">
      <w:pPr>
        <w:numPr>
          <w:ilvl w:val="0"/>
          <w:numId w:val="2"/>
        </w:numPr>
        <w:spacing w:after="0" w:line="240" w:lineRule="auto"/>
        <w:ind w:left="450" w:hanging="450"/>
        <w:rPr>
          <w:lang w:val="fr-CA"/>
        </w:rPr>
      </w:pPr>
      <w:r w:rsidRPr="00853DAF">
        <w:rPr>
          <w:lang w:val="fr-CA"/>
        </w:rPr>
        <w:t>R</w:t>
      </w:r>
      <w:r w:rsidR="003F3430">
        <w:rPr>
          <w:lang w:val="fr-CA"/>
        </w:rPr>
        <w:t xml:space="preserve">apport sur les activités de la MCR, y compris étude </w:t>
      </w:r>
      <w:r w:rsidR="004B102C">
        <w:rPr>
          <w:lang w:val="fr-CA"/>
        </w:rPr>
        <w:t xml:space="preserve">opportune </w:t>
      </w:r>
      <w:r w:rsidR="003F3430">
        <w:rPr>
          <w:lang w:val="fr-CA"/>
        </w:rPr>
        <w:t>des résultats</w:t>
      </w:r>
      <w:r w:rsidR="00362CE1">
        <w:rPr>
          <w:lang w:val="fr-CA"/>
        </w:rPr>
        <w:t>,</w:t>
      </w:r>
      <w:r w:rsidR="003F3430">
        <w:rPr>
          <w:lang w:val="fr-CA"/>
        </w:rPr>
        <w:t xml:space="preserve"> après la fin de la mission (généralement environ six ans) </w:t>
      </w:r>
    </w:p>
    <w:p w14:paraId="20380676" w14:textId="77777777" w:rsidR="00171C2D" w:rsidRPr="00D876D8" w:rsidRDefault="00171C2D" w:rsidP="00090C3C">
      <w:pPr>
        <w:spacing w:after="0" w:line="240" w:lineRule="auto"/>
      </w:pPr>
    </w:p>
    <w:p w14:paraId="205C9B36" w14:textId="77777777" w:rsidR="00531E66" w:rsidRPr="00D876D8" w:rsidRDefault="00531E66" w:rsidP="00090C3C">
      <w:pPr>
        <w:spacing w:after="0" w:line="240" w:lineRule="auto"/>
      </w:pPr>
    </w:p>
    <w:sectPr w:rsidR="00531E66" w:rsidRPr="00D876D8" w:rsidSect="00D876D8">
      <w:footerReference w:type="default" r:id="rId8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17F37" w14:textId="77777777" w:rsidR="008727DE" w:rsidRDefault="008727DE">
      <w:pPr>
        <w:spacing w:after="0" w:line="240" w:lineRule="auto"/>
      </w:pPr>
      <w:r>
        <w:separator/>
      </w:r>
    </w:p>
  </w:endnote>
  <w:endnote w:type="continuationSeparator" w:id="0">
    <w:p w14:paraId="4B22D32B" w14:textId="77777777" w:rsidR="008727DE" w:rsidRDefault="00872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75734" w14:textId="558D22D3" w:rsidR="00124AEC" w:rsidRPr="00090C3C" w:rsidRDefault="00090C3C" w:rsidP="00090C3C">
    <w:pPr>
      <w:pStyle w:val="Footer"/>
      <w:tabs>
        <w:tab w:val="clear" w:pos="9638"/>
        <w:tab w:val="right" w:pos="9000"/>
      </w:tabs>
      <w:rPr>
        <w:rFonts w:ascii="Calibri" w:hAnsi="Calibri"/>
        <w:sz w:val="20"/>
        <w:szCs w:val="20"/>
        <w:lang w:val="en-GB"/>
      </w:rPr>
    </w:pPr>
    <w:proofErr w:type="spellStart"/>
    <w:r>
      <w:rPr>
        <w:rFonts w:ascii="Calibri" w:hAnsi="Calibri"/>
        <w:sz w:val="20"/>
        <w:szCs w:val="20"/>
        <w:lang w:val="en-GB"/>
      </w:rPr>
      <w:t>Ramsar</w:t>
    </w:r>
    <w:proofErr w:type="spellEnd"/>
    <w:r>
      <w:rPr>
        <w:rFonts w:ascii="Calibri" w:hAnsi="Calibri"/>
        <w:sz w:val="20"/>
        <w:szCs w:val="20"/>
        <w:lang w:val="en-GB"/>
      </w:rPr>
      <w:t xml:space="preserve"> COP13 Doc.18.11</w:t>
    </w:r>
    <w:r w:rsidR="007B5E29">
      <w:rPr>
        <w:rFonts w:ascii="Calibri" w:hAnsi="Calibri"/>
        <w:sz w:val="20"/>
        <w:szCs w:val="20"/>
        <w:lang w:val="en-GB"/>
      </w:rPr>
      <w:t xml:space="preserve"> Rev.1</w:t>
    </w:r>
    <w:r w:rsidRPr="00CB5417">
      <w:rPr>
        <w:rFonts w:ascii="Calibri" w:hAnsi="Calibri"/>
        <w:sz w:val="20"/>
        <w:szCs w:val="20"/>
        <w:lang w:val="en-GB"/>
      </w:rPr>
      <w:tab/>
    </w:r>
    <w:r w:rsidRPr="00CB5417">
      <w:rPr>
        <w:rFonts w:ascii="Calibri" w:hAnsi="Calibri"/>
        <w:sz w:val="20"/>
        <w:szCs w:val="20"/>
        <w:lang w:val="en-GB"/>
      </w:rPr>
      <w:tab/>
    </w:r>
    <w:r w:rsidRPr="00CB5417">
      <w:rPr>
        <w:rFonts w:ascii="Calibri" w:hAnsi="Calibri"/>
        <w:sz w:val="20"/>
        <w:szCs w:val="20"/>
        <w:lang w:val="en-GB"/>
      </w:rPr>
      <w:fldChar w:fldCharType="begin"/>
    </w:r>
    <w:r w:rsidRPr="00CB5417">
      <w:rPr>
        <w:rFonts w:ascii="Calibri" w:hAnsi="Calibri"/>
        <w:sz w:val="20"/>
        <w:szCs w:val="20"/>
        <w:lang w:val="en-GB"/>
      </w:rPr>
      <w:instrText xml:space="preserve"> PAGE   \* MERGEFORMAT </w:instrText>
    </w:r>
    <w:r w:rsidRPr="00CB5417">
      <w:rPr>
        <w:rFonts w:ascii="Calibri" w:hAnsi="Calibri"/>
        <w:sz w:val="20"/>
        <w:szCs w:val="20"/>
        <w:lang w:val="en-GB"/>
      </w:rPr>
      <w:fldChar w:fldCharType="separate"/>
    </w:r>
    <w:r w:rsidR="00660EB5">
      <w:rPr>
        <w:rFonts w:ascii="Calibri" w:hAnsi="Calibri"/>
        <w:noProof/>
        <w:sz w:val="20"/>
        <w:szCs w:val="20"/>
        <w:lang w:val="en-GB"/>
      </w:rPr>
      <w:t>3</w:t>
    </w:r>
    <w:r w:rsidRPr="00CB5417">
      <w:rPr>
        <w:rFonts w:ascii="Calibri" w:hAnsi="Calibri"/>
        <w:noProof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F6D75" w14:textId="77777777" w:rsidR="008727DE" w:rsidRDefault="008727DE">
      <w:pPr>
        <w:spacing w:after="0" w:line="240" w:lineRule="auto"/>
      </w:pPr>
      <w:r>
        <w:separator/>
      </w:r>
    </w:p>
  </w:footnote>
  <w:footnote w:type="continuationSeparator" w:id="0">
    <w:p w14:paraId="6FAD89C9" w14:textId="77777777" w:rsidR="008727DE" w:rsidRDefault="00872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90B"/>
    <w:multiLevelType w:val="hybridMultilevel"/>
    <w:tmpl w:val="1F6E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032D4">
      <w:numFmt w:val="bullet"/>
      <w:lvlText w:val="-"/>
      <w:lvlJc w:val="left"/>
      <w:pPr>
        <w:ind w:left="1440" w:hanging="360"/>
      </w:pPr>
      <w:rPr>
        <w:rFonts w:ascii="Calibri" w:eastAsia="Calibri" w:hAnsi="Calibri" w:cs="Garamond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7F5"/>
    <w:multiLevelType w:val="hybridMultilevel"/>
    <w:tmpl w:val="72940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F0882"/>
    <w:multiLevelType w:val="hybridMultilevel"/>
    <w:tmpl w:val="84AA0378"/>
    <w:lvl w:ilvl="0" w:tplc="3028F7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mbria,Bold" w:hint="default"/>
        <w:b w:val="0"/>
        <w:sz w:val="21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5A5"/>
    <w:multiLevelType w:val="hybridMultilevel"/>
    <w:tmpl w:val="04626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7390E"/>
    <w:multiLevelType w:val="hybridMultilevel"/>
    <w:tmpl w:val="223C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D0516"/>
    <w:multiLevelType w:val="hybridMultilevel"/>
    <w:tmpl w:val="76DE8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2D"/>
    <w:rsid w:val="0000725F"/>
    <w:rsid w:val="00010801"/>
    <w:rsid w:val="00014DC0"/>
    <w:rsid w:val="00090C3C"/>
    <w:rsid w:val="00091687"/>
    <w:rsid w:val="000A22B4"/>
    <w:rsid w:val="000A3B64"/>
    <w:rsid w:val="000A5344"/>
    <w:rsid w:val="000C1B37"/>
    <w:rsid w:val="00102DC6"/>
    <w:rsid w:val="00125EC7"/>
    <w:rsid w:val="00171C2D"/>
    <w:rsid w:val="00191B63"/>
    <w:rsid w:val="001A31CE"/>
    <w:rsid w:val="001C551D"/>
    <w:rsid w:val="001F330C"/>
    <w:rsid w:val="002224BE"/>
    <w:rsid w:val="002230A2"/>
    <w:rsid w:val="00274119"/>
    <w:rsid w:val="00282883"/>
    <w:rsid w:val="002967FC"/>
    <w:rsid w:val="00296DB7"/>
    <w:rsid w:val="002E3C1D"/>
    <w:rsid w:val="002F68A9"/>
    <w:rsid w:val="00332784"/>
    <w:rsid w:val="00362CE1"/>
    <w:rsid w:val="003B1F7A"/>
    <w:rsid w:val="003C755D"/>
    <w:rsid w:val="003D1039"/>
    <w:rsid w:val="003E75F0"/>
    <w:rsid w:val="003F3430"/>
    <w:rsid w:val="00405124"/>
    <w:rsid w:val="00407F81"/>
    <w:rsid w:val="004105F5"/>
    <w:rsid w:val="0041435D"/>
    <w:rsid w:val="00442023"/>
    <w:rsid w:val="00445E24"/>
    <w:rsid w:val="0044679E"/>
    <w:rsid w:val="004B102C"/>
    <w:rsid w:val="004D07EF"/>
    <w:rsid w:val="00500D42"/>
    <w:rsid w:val="005050DB"/>
    <w:rsid w:val="00522791"/>
    <w:rsid w:val="00531E66"/>
    <w:rsid w:val="005A21F3"/>
    <w:rsid w:val="005A4F93"/>
    <w:rsid w:val="005C1743"/>
    <w:rsid w:val="005D7070"/>
    <w:rsid w:val="006105DB"/>
    <w:rsid w:val="00660EB5"/>
    <w:rsid w:val="00676E3E"/>
    <w:rsid w:val="007013C0"/>
    <w:rsid w:val="00711482"/>
    <w:rsid w:val="0072370F"/>
    <w:rsid w:val="007335C6"/>
    <w:rsid w:val="00756A37"/>
    <w:rsid w:val="00757A18"/>
    <w:rsid w:val="00777B3F"/>
    <w:rsid w:val="0079746A"/>
    <w:rsid w:val="007A16F8"/>
    <w:rsid w:val="007B5E29"/>
    <w:rsid w:val="007E5125"/>
    <w:rsid w:val="008235CD"/>
    <w:rsid w:val="008367AF"/>
    <w:rsid w:val="00853DAF"/>
    <w:rsid w:val="00856AA1"/>
    <w:rsid w:val="00867B45"/>
    <w:rsid w:val="008727DE"/>
    <w:rsid w:val="00875CC8"/>
    <w:rsid w:val="008B218B"/>
    <w:rsid w:val="009216FC"/>
    <w:rsid w:val="00927DBC"/>
    <w:rsid w:val="00965211"/>
    <w:rsid w:val="009814B9"/>
    <w:rsid w:val="009822D7"/>
    <w:rsid w:val="009D4135"/>
    <w:rsid w:val="009E1ADC"/>
    <w:rsid w:val="00A05AA0"/>
    <w:rsid w:val="00A42623"/>
    <w:rsid w:val="00A95A0E"/>
    <w:rsid w:val="00AB15CD"/>
    <w:rsid w:val="00AE716E"/>
    <w:rsid w:val="00AF2B33"/>
    <w:rsid w:val="00B01232"/>
    <w:rsid w:val="00B05642"/>
    <w:rsid w:val="00B344F9"/>
    <w:rsid w:val="00B53D5A"/>
    <w:rsid w:val="00B80950"/>
    <w:rsid w:val="00BB19E2"/>
    <w:rsid w:val="00BF3603"/>
    <w:rsid w:val="00C36ABD"/>
    <w:rsid w:val="00C67781"/>
    <w:rsid w:val="00C7218D"/>
    <w:rsid w:val="00C85610"/>
    <w:rsid w:val="00CC26E0"/>
    <w:rsid w:val="00CF5F7E"/>
    <w:rsid w:val="00D60D70"/>
    <w:rsid w:val="00D84FDE"/>
    <w:rsid w:val="00D876D8"/>
    <w:rsid w:val="00DE1FA7"/>
    <w:rsid w:val="00E237A3"/>
    <w:rsid w:val="00EA23B3"/>
    <w:rsid w:val="00EC1415"/>
    <w:rsid w:val="00ED458F"/>
    <w:rsid w:val="00EF376C"/>
    <w:rsid w:val="00FA217C"/>
    <w:rsid w:val="00F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C55C8"/>
  <w15:docId w15:val="{EFF3B1E3-1349-C246-8EAF-2178B839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71C2D"/>
    <w:pPr>
      <w:spacing w:after="200" w:line="276" w:lineRule="auto"/>
    </w:pPr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C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1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C2D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171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C2D"/>
    <w:rPr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02C"/>
    <w:rPr>
      <w:rFonts w:ascii="Segoe UI" w:hAnsi="Segoe UI" w:cs="Segoe UI"/>
      <w:sz w:val="18"/>
      <w:szCs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Victoria Zentilli Del Campo</cp:lastModifiedBy>
  <cp:revision>3</cp:revision>
  <cp:lastPrinted>2018-02-22T14:01:00Z</cp:lastPrinted>
  <dcterms:created xsi:type="dcterms:W3CDTF">2018-10-27T22:43:00Z</dcterms:created>
  <dcterms:modified xsi:type="dcterms:W3CDTF">2018-10-28T02:43:00Z</dcterms:modified>
</cp:coreProperties>
</file>