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6F155" w14:textId="37884E7B" w:rsidR="00517C51" w:rsidRPr="00667A14" w:rsidRDefault="00517C51" w:rsidP="00CC5AE4">
      <w:pPr>
        <w:spacing w:after="0" w:line="240" w:lineRule="auto"/>
        <w:ind w:right="17"/>
        <w:jc w:val="center"/>
        <w:outlineLvl w:val="0"/>
        <w:rPr>
          <w:rFonts w:asciiTheme="majorHAnsi" w:hAnsiTheme="majorHAnsi"/>
          <w:b/>
          <w:sz w:val="24"/>
          <w:lang w:val="es-ES_tradnl"/>
        </w:rPr>
      </w:pPr>
      <w:r w:rsidRPr="00667A14">
        <w:rPr>
          <w:rFonts w:asciiTheme="majorHAnsi" w:eastAsia="Times New Roman" w:hAnsiTheme="majorHAnsi" w:cstheme="majorHAnsi"/>
          <w:b/>
          <w:bCs/>
          <w:noProof/>
          <w:sz w:val="28"/>
          <w:szCs w:val="28"/>
          <w:lang w:val="en-GB" w:eastAsia="en-GB"/>
        </w:rPr>
        <w:drawing>
          <wp:anchor distT="0" distB="0" distL="114300" distR="114300" simplePos="0" relativeHeight="251658240" behindDoc="1" locked="0" layoutInCell="1" allowOverlap="1" wp14:anchorId="345E6AC1" wp14:editId="2532322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667A14">
        <w:rPr>
          <w:rFonts w:asciiTheme="majorHAnsi" w:eastAsia="Times New Roman" w:hAnsiTheme="majorHAnsi" w:cstheme="majorHAnsi"/>
          <w:b/>
          <w:bCs/>
          <w:sz w:val="24"/>
          <w:szCs w:val="24"/>
          <w:lang w:val="es-ES_tradnl"/>
        </w:rPr>
        <w:t>13th</w:t>
      </w:r>
      <w:r w:rsidRPr="00667A14">
        <w:rPr>
          <w:rFonts w:asciiTheme="majorHAnsi" w:hAnsiTheme="majorHAnsi"/>
          <w:b/>
          <w:sz w:val="24"/>
          <w:lang w:val="es-ES_tradnl"/>
        </w:rPr>
        <w:t xml:space="preserve"> </w:t>
      </w:r>
      <w:r w:rsidR="00B163D6" w:rsidRPr="00667A14">
        <w:rPr>
          <w:rFonts w:asciiTheme="majorHAnsi" w:hAnsiTheme="majorHAnsi"/>
          <w:b/>
          <w:sz w:val="24"/>
          <w:lang w:val="es-ES_tradnl"/>
        </w:rPr>
        <w:t>Reunión de la Conferencia de las Partes Contratantes</w:t>
      </w:r>
    </w:p>
    <w:p w14:paraId="46C2438E" w14:textId="77777777" w:rsidR="00B163D6" w:rsidRPr="00667A14" w:rsidRDefault="00B163D6" w:rsidP="00B163D6">
      <w:pPr>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en la Convención de Ramsar sobre los Humedales</w:t>
      </w:r>
    </w:p>
    <w:p w14:paraId="67DB3996" w14:textId="020628FD"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w:t>
      </w:r>
      <w:r w:rsidR="00B163D6" w:rsidRPr="00667A14">
        <w:rPr>
          <w:rFonts w:asciiTheme="majorHAnsi" w:eastAsia="Times New Roman" w:hAnsiTheme="majorHAnsi" w:cstheme="majorHAnsi"/>
          <w:b/>
          <w:bCs/>
          <w:sz w:val="24"/>
          <w:szCs w:val="24"/>
          <w:lang w:val="es-ES_tradnl"/>
        </w:rPr>
        <w:t>Humedales para un futuro urbano sostenible</w:t>
      </w:r>
      <w:r w:rsidRPr="00667A14">
        <w:rPr>
          <w:rFonts w:asciiTheme="majorHAnsi" w:eastAsia="Times New Roman" w:hAnsiTheme="majorHAnsi" w:cstheme="majorHAnsi"/>
          <w:b/>
          <w:bCs/>
          <w:sz w:val="24"/>
          <w:szCs w:val="24"/>
          <w:lang w:val="es-ES_tradnl"/>
        </w:rPr>
        <w:t>”</w:t>
      </w:r>
    </w:p>
    <w:p w14:paraId="6FD1B3E6" w14:textId="77777777" w:rsidR="00B163D6" w:rsidRPr="00667A14" w:rsidRDefault="00B163D6"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Dubái, Emiratos Árabes Unidos</w:t>
      </w:r>
      <w:r w:rsidR="00517C51" w:rsidRPr="00667A14">
        <w:rPr>
          <w:rFonts w:asciiTheme="majorHAnsi" w:eastAsia="Times New Roman" w:hAnsiTheme="majorHAnsi" w:cstheme="majorHAnsi"/>
          <w:b/>
          <w:bCs/>
          <w:sz w:val="24"/>
          <w:szCs w:val="24"/>
          <w:lang w:val="es-ES_tradnl"/>
        </w:rPr>
        <w:t xml:space="preserve">, </w:t>
      </w:r>
    </w:p>
    <w:p w14:paraId="603D1385" w14:textId="3D4B526C" w:rsidR="00517C51" w:rsidRPr="00667A14" w:rsidRDefault="00B163D6"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21 a 29 de octubre de 2018</w:t>
      </w:r>
    </w:p>
    <w:p w14:paraId="2222C1F7"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p w14:paraId="2A77E2BE"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E67F8" w:rsidRPr="00667A14" w14:paraId="2BD18FF9" w14:textId="77777777" w:rsidTr="002D58D9">
        <w:tc>
          <w:tcPr>
            <w:tcW w:w="4708" w:type="dxa"/>
          </w:tcPr>
          <w:p w14:paraId="54426DD6" w14:textId="77777777" w:rsidR="000E67F8" w:rsidRPr="00667A14" w:rsidRDefault="000E67F8" w:rsidP="005D5E85">
            <w:pPr>
              <w:spacing w:after="0" w:line="240" w:lineRule="auto"/>
              <w:ind w:right="17"/>
              <w:jc w:val="center"/>
              <w:outlineLvl w:val="0"/>
              <w:rPr>
                <w:rFonts w:asciiTheme="majorHAnsi" w:eastAsia="Times New Roman" w:hAnsiTheme="majorHAnsi" w:cstheme="majorHAnsi"/>
                <w:b/>
                <w:bCs/>
                <w:sz w:val="24"/>
                <w:szCs w:val="24"/>
                <w:lang w:val="es-ES_tradnl"/>
              </w:rPr>
            </w:pPr>
          </w:p>
        </w:tc>
        <w:tc>
          <w:tcPr>
            <w:tcW w:w="4652" w:type="dxa"/>
          </w:tcPr>
          <w:p w14:paraId="137C8A47" w14:textId="6FE5DB09" w:rsidR="000E67F8" w:rsidRPr="00667A14" w:rsidRDefault="0002232D" w:rsidP="00DB4BF5">
            <w:pPr>
              <w:spacing w:after="0" w:line="240" w:lineRule="auto"/>
              <w:ind w:right="67"/>
              <w:jc w:val="right"/>
              <w:outlineLvl w:val="0"/>
              <w:rPr>
                <w:rFonts w:asciiTheme="majorHAnsi" w:eastAsia="Times New Roman" w:hAnsiTheme="majorHAnsi" w:cstheme="majorHAnsi"/>
                <w:b/>
                <w:bCs/>
                <w:sz w:val="24"/>
                <w:szCs w:val="24"/>
                <w:lang w:val="es-ES_tradnl"/>
              </w:rPr>
            </w:pPr>
            <w:r w:rsidRPr="0002232D">
              <w:rPr>
                <w:rFonts w:asciiTheme="majorHAnsi" w:eastAsia="Times New Roman" w:hAnsiTheme="majorHAnsi" w:cstheme="majorHAnsi"/>
                <w:b/>
                <w:bCs/>
                <w:sz w:val="24"/>
                <w:szCs w:val="24"/>
                <w:lang w:val="es-ES_tradnl"/>
              </w:rPr>
              <w:t>Ramsar COP13 Doc.18.11</w:t>
            </w:r>
          </w:p>
        </w:tc>
      </w:tr>
    </w:tbl>
    <w:p w14:paraId="218D168E"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p w14:paraId="664716AF" w14:textId="255A9D1D" w:rsidR="000C3B6E" w:rsidRPr="00667A14" w:rsidRDefault="00B163D6" w:rsidP="00A52CEB">
      <w:pPr>
        <w:spacing w:after="0" w:line="240" w:lineRule="auto"/>
        <w:ind w:right="17"/>
        <w:jc w:val="center"/>
        <w:outlineLvl w:val="0"/>
        <w:rPr>
          <w:rFonts w:asciiTheme="majorHAnsi" w:hAnsiTheme="majorHAnsi"/>
          <w:b/>
          <w:sz w:val="28"/>
          <w:lang w:val="es-ES_tradnl"/>
        </w:rPr>
      </w:pPr>
      <w:r w:rsidRPr="00667A14">
        <w:rPr>
          <w:rFonts w:asciiTheme="majorHAnsi" w:hAnsiTheme="majorHAnsi"/>
          <w:b/>
          <w:sz w:val="28"/>
          <w:lang w:val="es-ES_tradnl"/>
        </w:rPr>
        <w:t>P</w:t>
      </w:r>
      <w:bookmarkStart w:id="0" w:name="_GoBack"/>
      <w:r w:rsidRPr="00667A14">
        <w:rPr>
          <w:rFonts w:asciiTheme="majorHAnsi" w:hAnsiTheme="majorHAnsi"/>
          <w:b/>
          <w:sz w:val="28"/>
          <w:lang w:val="es-ES_tradnl"/>
        </w:rPr>
        <w:t xml:space="preserve">royecto de resolución </w:t>
      </w:r>
      <w:r w:rsidR="0002232D">
        <w:rPr>
          <w:rFonts w:asciiTheme="majorHAnsi" w:eastAsia="Times New Roman" w:hAnsiTheme="majorHAnsi" w:cstheme="majorHAnsi"/>
          <w:b/>
          <w:bCs/>
          <w:sz w:val="28"/>
          <w:szCs w:val="28"/>
          <w:lang w:val="es-ES_tradnl"/>
        </w:rPr>
        <w:t xml:space="preserve">sobre las </w:t>
      </w:r>
      <w:r w:rsidR="00A52CEB" w:rsidRPr="00667A14">
        <w:rPr>
          <w:rFonts w:asciiTheme="majorHAnsi" w:hAnsiTheme="majorHAnsi"/>
          <w:b/>
          <w:sz w:val="28"/>
          <w:lang w:val="es-ES_tradnl"/>
        </w:rPr>
        <w:t>Misiones Ramsar de Asesoramiento</w:t>
      </w:r>
      <w:bookmarkEnd w:id="0"/>
    </w:p>
    <w:p w14:paraId="3230244C" w14:textId="77777777" w:rsidR="00E203C7" w:rsidRPr="00667A14" w:rsidRDefault="00E203C7" w:rsidP="00A52CEB">
      <w:pPr>
        <w:spacing w:after="0" w:line="240" w:lineRule="auto"/>
        <w:ind w:right="17"/>
        <w:jc w:val="center"/>
        <w:outlineLvl w:val="0"/>
        <w:rPr>
          <w:rFonts w:asciiTheme="majorHAnsi" w:hAnsiTheme="majorHAnsi"/>
          <w:b/>
          <w:sz w:val="28"/>
          <w:lang w:val="es-ES_tradnl"/>
        </w:rPr>
      </w:pPr>
    </w:p>
    <w:p w14:paraId="503E1E86" w14:textId="646BC054" w:rsidR="002058B9" w:rsidRPr="00667A14" w:rsidRDefault="00A52CEB" w:rsidP="00CC5AE4">
      <w:pPr>
        <w:spacing w:after="0" w:line="240" w:lineRule="auto"/>
        <w:ind w:left="425" w:right="16" w:hanging="425"/>
        <w:rPr>
          <w:rFonts w:asciiTheme="majorHAnsi" w:hAnsiTheme="majorHAnsi"/>
          <w:i/>
          <w:lang w:val="es-ES_tradnl"/>
        </w:rPr>
      </w:pPr>
      <w:r w:rsidRPr="00667A14">
        <w:rPr>
          <w:rFonts w:asciiTheme="majorHAnsi" w:hAnsiTheme="majorHAnsi"/>
          <w:i/>
          <w:lang w:val="es-ES_tradnl"/>
        </w:rPr>
        <w:t>Presentado por</w:t>
      </w:r>
      <w:r w:rsidRPr="00667A14">
        <w:rPr>
          <w:rFonts w:asciiTheme="majorHAnsi" w:eastAsia="Times New Roman" w:hAnsiTheme="majorHAnsi" w:cs="Times New Roman"/>
          <w:i/>
          <w:lang w:val="es-ES_tradnl" w:eastAsia="el-GR"/>
        </w:rPr>
        <w:t xml:space="preserve"> </w:t>
      </w:r>
      <w:r w:rsidR="00DB4BF5" w:rsidRPr="00667A14">
        <w:rPr>
          <w:rFonts w:asciiTheme="majorHAnsi" w:hAnsiTheme="majorHAnsi"/>
          <w:i/>
          <w:lang w:val="es-ES_tradnl"/>
        </w:rPr>
        <w:t>Burkina Faso</w:t>
      </w:r>
      <w:r w:rsidR="00250238" w:rsidRPr="00667A14">
        <w:rPr>
          <w:rFonts w:asciiTheme="majorHAnsi" w:eastAsia="Times New Roman" w:hAnsiTheme="majorHAnsi"/>
          <w:i/>
          <w:lang w:val="es-ES_tradnl"/>
        </w:rPr>
        <w:t xml:space="preserve"> </w:t>
      </w:r>
    </w:p>
    <w:p w14:paraId="7A25EA8B" w14:textId="2EEA0E7E" w:rsidR="000E67F8" w:rsidRPr="00667A14" w:rsidRDefault="000E67F8" w:rsidP="00CC5AE4">
      <w:pPr>
        <w:spacing w:after="0" w:line="240" w:lineRule="auto"/>
        <w:ind w:left="425" w:right="16" w:hanging="425"/>
        <w:rPr>
          <w:rFonts w:asciiTheme="majorHAnsi" w:hAnsiTheme="majorHAnsi"/>
          <w:i/>
          <w:lang w:val="es-ES_tradnl"/>
        </w:rPr>
      </w:pPr>
    </w:p>
    <w:p w14:paraId="1BA3DDF8" w14:textId="77777777" w:rsidR="002058B9" w:rsidRPr="00667A14" w:rsidRDefault="002058B9" w:rsidP="00CC5AE4">
      <w:pPr>
        <w:spacing w:after="0" w:line="240" w:lineRule="auto"/>
        <w:ind w:left="425" w:hanging="425"/>
        <w:rPr>
          <w:rFonts w:asciiTheme="majorHAnsi" w:hAnsiTheme="majorHAnsi"/>
          <w:lang w:val="es-ES_tradnl"/>
        </w:rPr>
      </w:pPr>
    </w:p>
    <w:p w14:paraId="78873627" w14:textId="0F7ACD36"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w:t>
      </w:r>
      <w:r w:rsidRPr="00667A14">
        <w:rPr>
          <w:rFonts w:asciiTheme="majorHAnsi" w:hAnsiTheme="majorHAnsi"/>
          <w:lang w:val="es-ES_tradnl"/>
        </w:rPr>
        <w:tab/>
      </w:r>
      <w:r w:rsidR="00A52CEB" w:rsidRPr="00667A14">
        <w:rPr>
          <w:rFonts w:asciiTheme="majorHAnsi" w:hAnsiTheme="majorHAnsi" w:cs="Arial"/>
          <w:lang w:val="es-ES_tradnl"/>
        </w:rPr>
        <w:t>RECORDANDO la Recomendación 4.7</w:t>
      </w:r>
      <w:r w:rsidR="00B97311">
        <w:rPr>
          <w:rFonts w:asciiTheme="majorHAnsi" w:hAnsiTheme="majorHAnsi" w:cs="Arial"/>
          <w:lang w:val="es-ES_tradnl"/>
        </w:rPr>
        <w:t>,</w:t>
      </w:r>
      <w:r w:rsidR="00A52CEB" w:rsidRPr="00667A14">
        <w:rPr>
          <w:rFonts w:asciiTheme="majorHAnsi" w:hAnsiTheme="majorHAnsi" w:cs="Arial"/>
          <w:lang w:val="es-ES_tradnl"/>
        </w:rPr>
        <w:t xml:space="preserve"> </w:t>
      </w:r>
      <w:r w:rsidR="00B939E9" w:rsidRPr="00667A14">
        <w:rPr>
          <w:rFonts w:asciiTheme="majorHAnsi" w:hAnsiTheme="majorHAnsi" w:cs="Arial"/>
          <w:bCs/>
          <w:lang w:val="es-ES_tradnl"/>
        </w:rPr>
        <w:t>sobre</w:t>
      </w:r>
      <w:r w:rsidR="004D5F00" w:rsidRPr="00667A14">
        <w:rPr>
          <w:rFonts w:asciiTheme="majorHAnsi" w:hAnsiTheme="majorHAnsi" w:cs="Arial"/>
          <w:bCs/>
          <w:lang w:val="es-ES_tradnl"/>
        </w:rPr>
        <w:t xml:space="preserve"> </w:t>
      </w:r>
      <w:r w:rsidR="004D5F00" w:rsidRPr="00667A14">
        <w:rPr>
          <w:rFonts w:asciiTheme="majorHAnsi" w:hAnsiTheme="majorHAnsi" w:cs="Arial"/>
          <w:bCs/>
          <w:i/>
          <w:lang w:val="es-ES_tradnl"/>
        </w:rPr>
        <w:t>Me</w:t>
      </w:r>
      <w:r w:rsidR="00B939E9" w:rsidRPr="00667A14">
        <w:rPr>
          <w:rFonts w:asciiTheme="majorHAnsi" w:hAnsiTheme="majorHAnsi" w:cs="Arial"/>
          <w:bCs/>
          <w:i/>
          <w:lang w:val="es-ES_tradnl"/>
        </w:rPr>
        <w:t>canismos para una mejor aplicación de la Convención de Ramsar</w:t>
      </w:r>
      <w:r w:rsidRPr="00667A14">
        <w:rPr>
          <w:rFonts w:asciiTheme="majorHAnsi" w:hAnsiTheme="majorHAnsi" w:cs="Arial"/>
          <w:bCs/>
          <w:lang w:val="es-ES_tradnl"/>
        </w:rPr>
        <w:t xml:space="preserve">, </w:t>
      </w:r>
      <w:r w:rsidR="00A52CEB" w:rsidRPr="00667A14">
        <w:rPr>
          <w:rFonts w:asciiTheme="majorHAnsi" w:hAnsiTheme="majorHAnsi" w:cs="Arial"/>
          <w:lang w:val="es-ES_tradnl"/>
        </w:rPr>
        <w:t>que establece que, en el caso de que haya llegado a conocimiento de la Secretaría que se están produciendo cambios en las características ecológicas de un sitio Ramsar, esta proponga, cuando proceda, una Misión Ramsar de Asesoramiento (MRA) para ayudar a las Partes Contratantes a hacer frente a dichos cambios</w:t>
      </w:r>
      <w:r w:rsidRPr="00667A14">
        <w:rPr>
          <w:rFonts w:asciiTheme="majorHAnsi" w:hAnsiTheme="majorHAnsi"/>
          <w:lang w:val="es-ES_tradnl"/>
        </w:rPr>
        <w:t>;</w:t>
      </w:r>
    </w:p>
    <w:p w14:paraId="763565CF" w14:textId="77777777" w:rsidR="00CC00D5" w:rsidRPr="00667A14" w:rsidRDefault="00CC00D5" w:rsidP="00CC5AE4">
      <w:pPr>
        <w:spacing w:after="0" w:line="240" w:lineRule="auto"/>
        <w:ind w:left="425" w:hanging="425"/>
        <w:rPr>
          <w:rFonts w:asciiTheme="majorHAnsi" w:hAnsiTheme="majorHAnsi"/>
          <w:lang w:val="es-ES_tradnl"/>
        </w:rPr>
      </w:pPr>
    </w:p>
    <w:p w14:paraId="798FA8E9" w14:textId="077AA3D8" w:rsidR="00CC00D5" w:rsidRPr="00667A14" w:rsidRDefault="00CC00D5" w:rsidP="00A52CEB">
      <w:pPr>
        <w:spacing w:after="0" w:line="240" w:lineRule="auto"/>
        <w:ind w:left="425" w:hanging="425"/>
        <w:rPr>
          <w:rFonts w:asciiTheme="majorHAnsi" w:hAnsiTheme="majorHAnsi" w:cs="Arial"/>
          <w:lang w:val="es-ES_tradnl"/>
        </w:rPr>
      </w:pPr>
      <w:r w:rsidRPr="00667A14">
        <w:rPr>
          <w:rFonts w:asciiTheme="majorHAnsi" w:hAnsiTheme="majorHAnsi"/>
          <w:lang w:val="es-ES_tradnl"/>
        </w:rPr>
        <w:t>2.</w:t>
      </w:r>
      <w:r w:rsidRPr="00667A14">
        <w:rPr>
          <w:rFonts w:asciiTheme="majorHAnsi" w:hAnsiTheme="majorHAnsi"/>
          <w:lang w:val="es-ES_tradnl"/>
        </w:rPr>
        <w:tab/>
      </w:r>
      <w:r w:rsidR="00A52CEB" w:rsidRPr="00667A14">
        <w:rPr>
          <w:rFonts w:asciiTheme="majorHAnsi" w:hAnsiTheme="majorHAnsi" w:cs="Arial"/>
          <w:lang w:val="es-ES_tradnl"/>
        </w:rPr>
        <w:t>TOMANDO NOTA de que, hasta diciembre de 2016, en todas las regiones de Ramsar se habían presentado 82 solicitudes de este procedimiento, con resultados positivos; y ENCOMIANDO a aquellas Partes que han utilizado las MRA para encontrar soluciones constructivas a las dificultades a las que se enfrentan y como una contribución a sus esfuerzos encaminados a la aplicación eficaz de la Convención</w:t>
      </w:r>
      <w:r w:rsidRPr="00667A14">
        <w:rPr>
          <w:rFonts w:asciiTheme="majorHAnsi" w:hAnsiTheme="majorHAnsi"/>
          <w:lang w:val="es-ES_tradnl"/>
        </w:rPr>
        <w:t>;</w:t>
      </w:r>
    </w:p>
    <w:p w14:paraId="174FF672" w14:textId="77777777" w:rsidR="00CC00D5" w:rsidRPr="00667A14" w:rsidRDefault="00CC00D5" w:rsidP="00CC5AE4">
      <w:pPr>
        <w:spacing w:after="0" w:line="240" w:lineRule="auto"/>
        <w:ind w:left="425" w:hanging="425"/>
        <w:rPr>
          <w:rFonts w:asciiTheme="majorHAnsi" w:hAnsiTheme="majorHAnsi"/>
          <w:lang w:val="es-ES_tradnl"/>
        </w:rPr>
      </w:pPr>
    </w:p>
    <w:p w14:paraId="71AE3A5E" w14:textId="37E3D234"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3.</w:t>
      </w:r>
      <w:r w:rsidRPr="00667A14">
        <w:rPr>
          <w:rFonts w:asciiTheme="majorHAnsi" w:hAnsiTheme="majorHAnsi"/>
          <w:lang w:val="es-ES_tradnl"/>
        </w:rPr>
        <w:tab/>
      </w:r>
      <w:r w:rsidR="00A52CEB" w:rsidRPr="00667A14">
        <w:rPr>
          <w:rFonts w:asciiTheme="majorHAnsi" w:hAnsiTheme="majorHAnsi" w:cs="Arial"/>
          <w:lang w:val="es-ES_tradnl"/>
        </w:rPr>
        <w:t xml:space="preserve">RECONOCIENDO la necesidad de apoyar y fomentar un mayor uso de las MRA como una herramienta importante y útil para ayudar a las Partes a aplicar la </w:t>
      </w:r>
      <w:r w:rsidR="006855C7" w:rsidRPr="00667A14">
        <w:rPr>
          <w:rFonts w:asciiTheme="majorHAnsi" w:hAnsiTheme="majorHAnsi" w:cs="Arial"/>
          <w:lang w:val="es-ES_tradnl"/>
        </w:rPr>
        <w:t>Convención;</w:t>
      </w:r>
    </w:p>
    <w:p w14:paraId="440228E0" w14:textId="77777777" w:rsidR="00CC00D5" w:rsidRPr="00667A14" w:rsidRDefault="00CC00D5" w:rsidP="00CC5AE4">
      <w:pPr>
        <w:spacing w:after="0" w:line="240" w:lineRule="auto"/>
        <w:ind w:left="425" w:hanging="425"/>
        <w:rPr>
          <w:rFonts w:asciiTheme="majorHAnsi" w:hAnsiTheme="majorHAnsi"/>
          <w:lang w:val="es-ES_tradnl"/>
        </w:rPr>
      </w:pPr>
    </w:p>
    <w:p w14:paraId="21E6F59D" w14:textId="1C7CCC0A"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4.</w:t>
      </w:r>
      <w:r w:rsidRPr="00667A14">
        <w:rPr>
          <w:rFonts w:asciiTheme="majorHAnsi" w:hAnsiTheme="majorHAnsi"/>
          <w:lang w:val="es-ES_tradnl"/>
        </w:rPr>
        <w:tab/>
      </w:r>
      <w:r w:rsidR="00A52CEB" w:rsidRPr="00667A14">
        <w:rPr>
          <w:rFonts w:asciiTheme="majorHAnsi" w:hAnsiTheme="majorHAnsi" w:cs="Arial"/>
          <w:lang w:val="es-ES_tradnl"/>
        </w:rPr>
        <w:t>RECONOCIENDO ASIMISMO la importante contribución que el Grupo de Examen Científico y Técnico (GECT), las Organizaciones Internacionales Asociadas (OIA) y otros interesados han realizado en la aplicación del proceso de las MRA a lo largo de sus 30 años de historia</w:t>
      </w:r>
      <w:r w:rsidRPr="00667A14">
        <w:rPr>
          <w:rFonts w:asciiTheme="majorHAnsi" w:hAnsiTheme="majorHAnsi"/>
          <w:lang w:val="es-ES_tradnl"/>
        </w:rPr>
        <w:t>;</w:t>
      </w:r>
    </w:p>
    <w:p w14:paraId="34695284" w14:textId="77777777" w:rsidR="00CC00D5" w:rsidRPr="00667A14" w:rsidRDefault="00CC00D5" w:rsidP="00CC5AE4">
      <w:pPr>
        <w:spacing w:after="0" w:line="240" w:lineRule="auto"/>
        <w:ind w:left="425" w:hanging="425"/>
        <w:rPr>
          <w:rFonts w:asciiTheme="majorHAnsi" w:hAnsiTheme="majorHAnsi"/>
          <w:lang w:val="es-ES_tradnl"/>
        </w:rPr>
      </w:pPr>
    </w:p>
    <w:p w14:paraId="478F5A8F" w14:textId="092202E5" w:rsidR="00CC00D5" w:rsidRPr="00667A14" w:rsidRDefault="00CC00D5" w:rsidP="00A52CEB">
      <w:pPr>
        <w:spacing w:after="0" w:line="240" w:lineRule="auto"/>
        <w:ind w:left="425" w:hanging="425"/>
        <w:rPr>
          <w:rFonts w:asciiTheme="majorHAnsi" w:hAnsiTheme="majorHAnsi" w:cs="Arial"/>
          <w:i/>
          <w:lang w:val="es-ES_tradnl"/>
        </w:rPr>
      </w:pPr>
      <w:r w:rsidRPr="00667A14">
        <w:rPr>
          <w:rFonts w:asciiTheme="majorHAnsi" w:hAnsiTheme="majorHAnsi"/>
          <w:lang w:val="es-ES_tradnl"/>
        </w:rPr>
        <w:t>5.</w:t>
      </w:r>
      <w:r w:rsidRPr="00667A14">
        <w:rPr>
          <w:rFonts w:asciiTheme="majorHAnsi" w:hAnsiTheme="majorHAnsi"/>
          <w:lang w:val="es-ES_tradnl"/>
        </w:rPr>
        <w:tab/>
      </w:r>
      <w:r w:rsidR="00A52CEB" w:rsidRPr="00667A14">
        <w:rPr>
          <w:rFonts w:asciiTheme="majorHAnsi" w:hAnsiTheme="majorHAnsi" w:cs="Arial"/>
          <w:lang w:val="es-ES_tradnl"/>
        </w:rPr>
        <w:t>ACOGIENDO CON BENEPLÁCITO el trabajo del GECT en el último trienio para examinar y analizar exhaustivamente los informes de las 82 MRA y ACOGIENDO ADEMÁS CON SATISF</w:t>
      </w:r>
      <w:r w:rsidR="00F544FE" w:rsidRPr="00667A14">
        <w:rPr>
          <w:rFonts w:asciiTheme="majorHAnsi" w:hAnsiTheme="majorHAnsi" w:cs="Arial"/>
          <w:lang w:val="es-ES_tradnl"/>
        </w:rPr>
        <w:t>ACCIÓN la nota informativa y la nota sobre políticas sobre MRA derivadas del GECT publicadas</w:t>
      </w:r>
      <w:r w:rsidR="00A52CEB" w:rsidRPr="00667A14">
        <w:rPr>
          <w:rFonts w:asciiTheme="majorHAnsi" w:hAnsiTheme="majorHAnsi" w:cs="Arial"/>
          <w:lang w:val="es-ES_tradnl"/>
        </w:rPr>
        <w:t xml:space="preserve"> en 2018</w:t>
      </w:r>
      <w:r w:rsidRPr="00667A14">
        <w:rPr>
          <w:rFonts w:asciiTheme="majorHAnsi" w:hAnsiTheme="majorHAnsi"/>
          <w:lang w:val="es-ES_tradnl"/>
        </w:rPr>
        <w:t>;</w:t>
      </w:r>
    </w:p>
    <w:p w14:paraId="6191FA29" w14:textId="77777777" w:rsidR="00CC00D5" w:rsidRPr="00667A14" w:rsidRDefault="00CC00D5" w:rsidP="00CC5AE4">
      <w:pPr>
        <w:spacing w:after="0" w:line="240" w:lineRule="auto"/>
        <w:ind w:left="425" w:hanging="425"/>
        <w:rPr>
          <w:rFonts w:asciiTheme="majorHAnsi" w:hAnsiTheme="majorHAnsi"/>
          <w:lang w:val="es-ES_tradnl"/>
        </w:rPr>
      </w:pPr>
    </w:p>
    <w:p w14:paraId="3836EB69" w14:textId="24D6AC0A"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6.</w:t>
      </w:r>
      <w:r w:rsidRPr="00667A14">
        <w:rPr>
          <w:rFonts w:asciiTheme="majorHAnsi" w:hAnsiTheme="majorHAnsi"/>
          <w:lang w:val="es-ES_tradnl"/>
        </w:rPr>
        <w:tab/>
      </w:r>
      <w:r w:rsidR="00A52CEB" w:rsidRPr="00667A14">
        <w:rPr>
          <w:rFonts w:asciiTheme="majorHAnsi" w:hAnsiTheme="majorHAnsi" w:cs="Arial"/>
          <w:lang w:val="es-ES_tradnl"/>
        </w:rPr>
        <w:t>TENIENDO PRESENTE que no ha habido ninguna asignación con cargo al presupuesto básico para apoyar la aplicación del proceso de las MRA desde la 7ª reunión de la Conferencia de las Partes Contratantes en 1999, pero que desde entonces se ha invertido financiación complementaria</w:t>
      </w:r>
      <w:r w:rsidRPr="00667A14">
        <w:rPr>
          <w:rFonts w:asciiTheme="majorHAnsi" w:hAnsiTheme="majorHAnsi" w:cs="Arial"/>
          <w:bCs/>
          <w:lang w:val="es-ES_tradnl"/>
        </w:rPr>
        <w:t>;</w:t>
      </w:r>
      <w:r w:rsidR="00A52CEB" w:rsidRPr="00667A14">
        <w:rPr>
          <w:rFonts w:asciiTheme="majorHAnsi" w:hAnsiTheme="majorHAnsi" w:cs="Arial"/>
          <w:bCs/>
          <w:lang w:val="es-ES_tradnl"/>
        </w:rPr>
        <w:t xml:space="preserve"> y</w:t>
      </w:r>
    </w:p>
    <w:p w14:paraId="2DF1DFEE" w14:textId="77777777" w:rsidR="00CC00D5" w:rsidRPr="00667A14" w:rsidRDefault="00CC00D5" w:rsidP="00CC5AE4">
      <w:pPr>
        <w:spacing w:after="0" w:line="240" w:lineRule="auto"/>
        <w:ind w:left="425" w:hanging="425"/>
        <w:rPr>
          <w:rFonts w:asciiTheme="majorHAnsi" w:hAnsiTheme="majorHAnsi"/>
          <w:lang w:val="es-ES_tradnl"/>
        </w:rPr>
      </w:pPr>
    </w:p>
    <w:p w14:paraId="33287D8F" w14:textId="5A92B03B"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7.</w:t>
      </w:r>
      <w:r w:rsidRPr="00667A14">
        <w:rPr>
          <w:rFonts w:asciiTheme="majorHAnsi" w:hAnsiTheme="majorHAnsi"/>
          <w:lang w:val="es-ES_tradnl"/>
        </w:rPr>
        <w:tab/>
      </w:r>
      <w:r w:rsidR="00A52CEB" w:rsidRPr="00667A14">
        <w:rPr>
          <w:rFonts w:asciiTheme="majorHAnsi" w:hAnsiTheme="majorHAnsi" w:cs="Arial"/>
          <w:lang w:val="es-ES_tradnl"/>
        </w:rPr>
        <w:t>RECONOCIENDO el valor que las MRA también revisten para realzar la visibilidad de la Convención, destacar el compromiso de las Partes Contratantes y contribuir a la concienciación pública sobre la conservación y el uso racional de los humedales</w:t>
      </w:r>
      <w:r w:rsidRPr="00667A14">
        <w:rPr>
          <w:rFonts w:asciiTheme="majorHAnsi" w:hAnsiTheme="majorHAnsi" w:cs="Arial"/>
          <w:bCs/>
          <w:lang w:val="es-ES_tradnl"/>
        </w:rPr>
        <w:t>;</w:t>
      </w:r>
    </w:p>
    <w:p w14:paraId="3365B775" w14:textId="77777777" w:rsidR="00CC00D5" w:rsidRPr="00667A14" w:rsidRDefault="00CC00D5" w:rsidP="00CC5AE4">
      <w:pPr>
        <w:spacing w:after="0" w:line="240" w:lineRule="auto"/>
        <w:ind w:left="425" w:hanging="425"/>
        <w:rPr>
          <w:rFonts w:asciiTheme="majorHAnsi" w:hAnsiTheme="majorHAnsi"/>
          <w:lang w:val="es-ES_tradnl"/>
        </w:rPr>
      </w:pPr>
    </w:p>
    <w:p w14:paraId="603BDB8B" w14:textId="1577B7B9" w:rsidR="00CC00D5" w:rsidRPr="00667A14" w:rsidRDefault="00A52CEB" w:rsidP="0002232D">
      <w:pPr>
        <w:keepNext/>
        <w:spacing w:after="0" w:line="240" w:lineRule="auto"/>
        <w:ind w:left="425" w:hanging="425"/>
        <w:jc w:val="center"/>
        <w:rPr>
          <w:rFonts w:asciiTheme="majorHAnsi" w:hAnsiTheme="majorHAnsi"/>
          <w:lang w:val="es-ES_tradnl"/>
        </w:rPr>
      </w:pPr>
      <w:r w:rsidRPr="00667A14">
        <w:rPr>
          <w:rFonts w:asciiTheme="majorHAnsi" w:hAnsiTheme="majorHAnsi" w:cs="Arial"/>
          <w:lang w:val="es-ES_tradnl"/>
        </w:rPr>
        <w:lastRenderedPageBreak/>
        <w:t>LA CONFERENCIA DE LAS PARTES</w:t>
      </w:r>
      <w:r w:rsidRPr="00667A14">
        <w:rPr>
          <w:rFonts w:asciiTheme="majorHAnsi" w:hAnsiTheme="majorHAnsi"/>
          <w:lang w:val="es-ES_tradnl"/>
        </w:rPr>
        <w:t xml:space="preserve"> CONTRATANTES</w:t>
      </w:r>
    </w:p>
    <w:p w14:paraId="73624DBE" w14:textId="77777777" w:rsidR="00CC00D5" w:rsidRPr="00667A14" w:rsidRDefault="00CC00D5" w:rsidP="0002232D">
      <w:pPr>
        <w:keepNext/>
        <w:spacing w:after="0" w:line="240" w:lineRule="auto"/>
        <w:ind w:left="425" w:hanging="425"/>
        <w:rPr>
          <w:rFonts w:asciiTheme="majorHAnsi" w:hAnsiTheme="majorHAnsi"/>
          <w:lang w:val="es-ES_tradnl"/>
        </w:rPr>
      </w:pPr>
    </w:p>
    <w:p w14:paraId="1D4D6198" w14:textId="13B7E190"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8.</w:t>
      </w:r>
      <w:r w:rsidRPr="00667A14">
        <w:rPr>
          <w:rFonts w:asciiTheme="majorHAnsi" w:hAnsiTheme="majorHAnsi"/>
          <w:lang w:val="es-ES_tradnl"/>
        </w:rPr>
        <w:tab/>
      </w:r>
      <w:r w:rsidR="00A52CEB" w:rsidRPr="00667A14">
        <w:rPr>
          <w:rFonts w:asciiTheme="majorHAnsi" w:hAnsiTheme="majorHAnsi" w:cs="Arial"/>
          <w:lang w:val="es-ES_tradnl"/>
        </w:rPr>
        <w:t>REAFIRMA que el mecanismo de las Misiones Ramsar de Asesoramiento (MRA) es uno de los principales instrumentos disponibles para ayudar a las Partes a aplicar la Convención y constituye un medio para prestar asesoramiento independiente pertinente con el fin de hacer frente a los cambios reales y potenciales en las características ecológicas de los sitios Ramsar</w:t>
      </w:r>
      <w:r w:rsidRPr="00667A14">
        <w:rPr>
          <w:rFonts w:asciiTheme="majorHAnsi" w:hAnsiTheme="majorHAnsi"/>
          <w:lang w:val="es-ES_tradnl"/>
        </w:rPr>
        <w:t>;</w:t>
      </w:r>
    </w:p>
    <w:p w14:paraId="3CA5C987" w14:textId="77777777" w:rsidR="00CC00D5" w:rsidRPr="00667A14" w:rsidRDefault="00CC00D5" w:rsidP="00CC5AE4">
      <w:pPr>
        <w:spacing w:after="0" w:line="240" w:lineRule="auto"/>
        <w:ind w:left="425" w:hanging="425"/>
        <w:rPr>
          <w:rFonts w:asciiTheme="majorHAnsi" w:hAnsiTheme="majorHAnsi"/>
          <w:lang w:val="es-ES_tradnl"/>
        </w:rPr>
      </w:pPr>
    </w:p>
    <w:p w14:paraId="3F311A8F" w14:textId="56ECD392"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9.</w:t>
      </w:r>
      <w:r w:rsidRPr="00667A14">
        <w:rPr>
          <w:rFonts w:asciiTheme="majorHAnsi" w:hAnsiTheme="majorHAnsi"/>
          <w:lang w:val="es-ES_tradnl"/>
        </w:rPr>
        <w:tab/>
      </w:r>
      <w:r w:rsidR="00A52CEB" w:rsidRPr="00667A14">
        <w:rPr>
          <w:rFonts w:asciiTheme="majorHAnsi" w:hAnsiTheme="majorHAnsi" w:cs="Arial"/>
          <w:lang w:val="es-ES_tradnl"/>
        </w:rPr>
        <w:t>ALIENTA a las Partes Contratantes a plantearse una aplicación más frecuente de las MRA, cuando proceda</w:t>
      </w:r>
      <w:r w:rsidRPr="00667A14">
        <w:rPr>
          <w:rFonts w:asciiTheme="majorHAnsi" w:hAnsiTheme="majorHAnsi"/>
          <w:lang w:val="es-ES_tradnl"/>
        </w:rPr>
        <w:t>;</w:t>
      </w:r>
    </w:p>
    <w:p w14:paraId="59D4A39C" w14:textId="77777777" w:rsidR="00CC00D5" w:rsidRPr="00667A14" w:rsidRDefault="00CC00D5" w:rsidP="00CC5AE4">
      <w:pPr>
        <w:spacing w:after="0" w:line="240" w:lineRule="auto"/>
        <w:ind w:left="425" w:hanging="425"/>
        <w:rPr>
          <w:rFonts w:asciiTheme="majorHAnsi" w:hAnsiTheme="majorHAnsi"/>
          <w:lang w:val="es-ES_tradnl"/>
        </w:rPr>
      </w:pPr>
    </w:p>
    <w:p w14:paraId="4D957256" w14:textId="479BF4C9"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10.</w:t>
      </w:r>
      <w:r w:rsidRPr="00667A14">
        <w:rPr>
          <w:rFonts w:asciiTheme="majorHAnsi" w:hAnsiTheme="majorHAnsi"/>
          <w:lang w:val="es-ES_tradnl"/>
        </w:rPr>
        <w:tab/>
      </w:r>
      <w:r w:rsidR="00A52CEB" w:rsidRPr="00667A14">
        <w:rPr>
          <w:rFonts w:asciiTheme="majorHAnsi" w:hAnsiTheme="majorHAnsi" w:cs="Arial"/>
          <w:lang w:val="es-ES_tradnl"/>
        </w:rPr>
        <w:t>ALIENTA a que se utilicen las MRA en sinergia con misiones de otras convenciones, si procede</w:t>
      </w:r>
      <w:r w:rsidRPr="00667A14">
        <w:rPr>
          <w:rFonts w:asciiTheme="majorHAnsi" w:hAnsiTheme="majorHAnsi"/>
          <w:lang w:val="es-ES_tradnl"/>
        </w:rPr>
        <w:t>;</w:t>
      </w:r>
    </w:p>
    <w:p w14:paraId="79501ED6" w14:textId="77777777" w:rsidR="00CC00D5" w:rsidRPr="00667A14" w:rsidRDefault="00CC00D5" w:rsidP="00CC5AE4">
      <w:pPr>
        <w:spacing w:after="0" w:line="240" w:lineRule="auto"/>
        <w:ind w:left="425" w:hanging="425"/>
        <w:rPr>
          <w:rFonts w:asciiTheme="majorHAnsi" w:hAnsiTheme="majorHAnsi"/>
          <w:lang w:val="es-ES_tradnl"/>
        </w:rPr>
      </w:pPr>
    </w:p>
    <w:p w14:paraId="11BBF088" w14:textId="56CC371D" w:rsidR="00CC00D5" w:rsidRPr="00667A14" w:rsidRDefault="00CC00D5" w:rsidP="009E0F53">
      <w:pPr>
        <w:spacing w:after="0" w:line="240" w:lineRule="auto"/>
        <w:ind w:left="425" w:hanging="425"/>
        <w:rPr>
          <w:rFonts w:asciiTheme="majorHAnsi" w:hAnsiTheme="majorHAnsi" w:cs="Arial"/>
          <w:lang w:val="es-ES_tradnl"/>
        </w:rPr>
      </w:pPr>
      <w:r w:rsidRPr="00667A14">
        <w:rPr>
          <w:rFonts w:asciiTheme="majorHAnsi" w:hAnsiTheme="majorHAnsi"/>
          <w:lang w:val="es-ES_tradnl"/>
        </w:rPr>
        <w:t>11.</w:t>
      </w:r>
      <w:r w:rsidRPr="00667A14">
        <w:rPr>
          <w:rFonts w:asciiTheme="majorHAnsi" w:hAnsiTheme="majorHAnsi"/>
          <w:lang w:val="es-ES_tradnl"/>
        </w:rPr>
        <w:tab/>
      </w:r>
      <w:r w:rsidR="00A52CEB" w:rsidRPr="00667A14">
        <w:rPr>
          <w:rFonts w:asciiTheme="majorHAnsi" w:hAnsiTheme="majorHAnsi" w:cs="Arial"/>
          <w:lang w:val="es-ES_tradnl"/>
        </w:rPr>
        <w:t xml:space="preserve">INSTA a las Partes Contratantes que reciban MRA a que realicen un seguimiento diligente, fomenten la aplicación de las recomendaciones formuladas en los informes de las MRA y evalúen </w:t>
      </w:r>
      <w:r w:rsidR="009E0F53" w:rsidRPr="00667A14">
        <w:rPr>
          <w:rFonts w:asciiTheme="majorHAnsi" w:hAnsiTheme="majorHAnsi" w:cs="Arial"/>
          <w:lang w:val="es-ES_tradnl"/>
        </w:rPr>
        <w:t xml:space="preserve">los resultados </w:t>
      </w:r>
      <w:r w:rsidR="00A52CEB" w:rsidRPr="00667A14">
        <w:rPr>
          <w:rFonts w:asciiTheme="majorHAnsi" w:hAnsiTheme="majorHAnsi" w:cs="Arial"/>
          <w:lang w:val="es-ES_tradnl"/>
        </w:rPr>
        <w:t xml:space="preserve">e informen sobre </w:t>
      </w:r>
      <w:r w:rsidR="009E0F53" w:rsidRPr="00667A14">
        <w:rPr>
          <w:rFonts w:asciiTheme="majorHAnsi" w:hAnsiTheme="majorHAnsi" w:cs="Arial"/>
          <w:lang w:val="es-ES_tradnl"/>
        </w:rPr>
        <w:t>ellos</w:t>
      </w:r>
      <w:r w:rsidRPr="00667A14">
        <w:rPr>
          <w:rFonts w:asciiTheme="majorHAnsi" w:hAnsiTheme="majorHAnsi"/>
          <w:lang w:val="es-ES_tradnl"/>
        </w:rPr>
        <w:t>;</w:t>
      </w:r>
    </w:p>
    <w:p w14:paraId="72073D63" w14:textId="77777777" w:rsidR="00CC00D5" w:rsidRPr="00667A14" w:rsidRDefault="00CC00D5" w:rsidP="00CC5AE4">
      <w:pPr>
        <w:spacing w:after="0" w:line="240" w:lineRule="auto"/>
        <w:ind w:left="425" w:hanging="425"/>
        <w:rPr>
          <w:rFonts w:asciiTheme="majorHAnsi" w:hAnsiTheme="majorHAnsi"/>
          <w:lang w:val="es-ES_tradnl"/>
        </w:rPr>
      </w:pPr>
    </w:p>
    <w:p w14:paraId="1ACAF0B5" w14:textId="10A70415"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12.</w:t>
      </w:r>
      <w:r w:rsidRPr="00667A14">
        <w:rPr>
          <w:rFonts w:asciiTheme="majorHAnsi" w:hAnsiTheme="majorHAnsi"/>
          <w:lang w:val="es-ES_tradnl"/>
        </w:rPr>
        <w:tab/>
      </w:r>
      <w:r w:rsidR="009E0F53" w:rsidRPr="00667A14">
        <w:rPr>
          <w:rFonts w:asciiTheme="majorHAnsi" w:hAnsiTheme="majorHAnsi" w:cs="Arial"/>
          <w:lang w:val="es-ES_tradnl"/>
        </w:rPr>
        <w:t>REAFIRMA que los informes de las MRA son documentos públicos una vez que las Partes interesadas hayan tenido la oportunidad de aprobarlos</w:t>
      </w:r>
      <w:r w:rsidRPr="00667A14">
        <w:rPr>
          <w:rFonts w:asciiTheme="majorHAnsi" w:hAnsiTheme="majorHAnsi"/>
          <w:lang w:val="es-ES_tradnl"/>
        </w:rPr>
        <w:t>;</w:t>
      </w:r>
    </w:p>
    <w:p w14:paraId="76811F66" w14:textId="77777777" w:rsidR="00CC00D5" w:rsidRPr="00667A14" w:rsidRDefault="00CC00D5" w:rsidP="00CC5AE4">
      <w:pPr>
        <w:spacing w:after="0" w:line="240" w:lineRule="auto"/>
        <w:ind w:left="425" w:hanging="425"/>
        <w:rPr>
          <w:rFonts w:asciiTheme="majorHAnsi" w:hAnsiTheme="majorHAnsi"/>
          <w:lang w:val="es-ES_tradnl"/>
        </w:rPr>
      </w:pPr>
    </w:p>
    <w:p w14:paraId="529E8F7A" w14:textId="41490909"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13.</w:t>
      </w:r>
      <w:r w:rsidRPr="00667A14">
        <w:rPr>
          <w:rFonts w:asciiTheme="majorHAnsi" w:hAnsiTheme="majorHAnsi"/>
          <w:lang w:val="es-ES_tradnl"/>
        </w:rPr>
        <w:tab/>
      </w:r>
      <w:r w:rsidR="00D34FA5" w:rsidRPr="00667A14">
        <w:rPr>
          <w:rFonts w:asciiTheme="majorHAnsi" w:hAnsiTheme="majorHAnsi" w:cs="Arial"/>
          <w:lang w:val="es-ES_tradnl"/>
        </w:rPr>
        <w:t>ENCARGA a la Secretaría que, en consulta con el Grupo de Examen Científico y Técnico (GECT) y teniendo en cuenta sus conclusiones en la nota informativa y la nota sobre políticas sobre MRA publicadas en 2018, elabore orientaciones operativas para las MRA que abarquen, entre otras cosas, las cuestiones enumeradas en el Anexo 1 a la presente resolución, para someterlas a la aprobación del Comité Permanente en su 57ª reunión</w:t>
      </w:r>
      <w:r w:rsidRPr="00667A14">
        <w:rPr>
          <w:rFonts w:asciiTheme="majorHAnsi" w:hAnsiTheme="majorHAnsi"/>
          <w:lang w:val="es-ES_tradnl"/>
        </w:rPr>
        <w:t xml:space="preserve">; </w:t>
      </w:r>
    </w:p>
    <w:p w14:paraId="27F32C3D" w14:textId="77777777" w:rsidR="00CC00D5" w:rsidRPr="00667A14" w:rsidRDefault="00CC00D5" w:rsidP="00CC5AE4">
      <w:pPr>
        <w:spacing w:after="0" w:line="240" w:lineRule="auto"/>
        <w:ind w:left="425" w:hanging="425"/>
        <w:rPr>
          <w:rFonts w:asciiTheme="majorHAnsi" w:hAnsiTheme="majorHAnsi"/>
          <w:lang w:val="es-ES_tradnl"/>
        </w:rPr>
      </w:pPr>
    </w:p>
    <w:p w14:paraId="36F4EFBC" w14:textId="1BE33AFE"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14.</w:t>
      </w:r>
      <w:r w:rsidRPr="00667A14">
        <w:rPr>
          <w:rFonts w:asciiTheme="majorHAnsi" w:hAnsiTheme="majorHAnsi"/>
          <w:lang w:val="es-ES_tradnl"/>
        </w:rPr>
        <w:tab/>
      </w:r>
      <w:r w:rsidR="00D34FA5" w:rsidRPr="00667A14">
        <w:rPr>
          <w:rFonts w:asciiTheme="majorHAnsi" w:hAnsiTheme="majorHAnsi" w:cs="Arial"/>
          <w:lang w:val="es-ES_tradnl"/>
        </w:rPr>
        <w:t xml:space="preserve">ALIENTA a las Partes Contratantes a plantearse la realización de una asignación con cargo al presupuesto básico para el mecanismo de las MRA; PIDE a las Partes, al sector privado y a otros que estudien la posibilidad de realizar contribuciones voluntarias adicionales para apoyar a las MRA; y ENCARGA TAMBIÉN a la Secretaría que </w:t>
      </w:r>
      <w:r w:rsidR="00F544FE" w:rsidRPr="00667A14">
        <w:rPr>
          <w:rFonts w:asciiTheme="majorHAnsi" w:hAnsiTheme="majorHAnsi" w:cs="Arial"/>
          <w:lang w:val="es-ES_tradnl"/>
        </w:rPr>
        <w:t>tenga en cuenta</w:t>
      </w:r>
      <w:r w:rsidR="00D34FA5" w:rsidRPr="00667A14">
        <w:rPr>
          <w:rFonts w:asciiTheme="majorHAnsi" w:hAnsiTheme="majorHAnsi" w:cs="Arial"/>
          <w:lang w:val="es-ES_tradnl"/>
        </w:rPr>
        <w:t xml:space="preserve"> las necesidades de financiación del mecanismo de las MRA en su Plan de trabajo sobre la movilización de recursos</w:t>
      </w:r>
      <w:r w:rsidRPr="00667A14">
        <w:rPr>
          <w:rFonts w:asciiTheme="majorHAnsi" w:hAnsiTheme="majorHAnsi"/>
          <w:lang w:val="es-ES_tradnl"/>
        </w:rPr>
        <w:t>;</w:t>
      </w:r>
    </w:p>
    <w:p w14:paraId="6D9DD563" w14:textId="77777777" w:rsidR="00CC00D5" w:rsidRPr="00667A14" w:rsidRDefault="00CC00D5" w:rsidP="00CC5AE4">
      <w:pPr>
        <w:spacing w:after="0" w:line="240" w:lineRule="auto"/>
        <w:ind w:left="425" w:hanging="425"/>
        <w:rPr>
          <w:rFonts w:asciiTheme="majorHAnsi" w:hAnsiTheme="majorHAnsi"/>
          <w:lang w:val="es-ES_tradnl"/>
        </w:rPr>
      </w:pPr>
    </w:p>
    <w:p w14:paraId="5B102BDA" w14:textId="3BDF3251"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15.</w:t>
      </w:r>
      <w:r w:rsidRPr="00667A14">
        <w:rPr>
          <w:rFonts w:asciiTheme="majorHAnsi" w:hAnsiTheme="majorHAnsi"/>
          <w:lang w:val="es-ES_tradnl"/>
        </w:rPr>
        <w:tab/>
      </w:r>
      <w:r w:rsidR="00D34FA5" w:rsidRPr="00667A14">
        <w:rPr>
          <w:rFonts w:asciiTheme="majorHAnsi" w:hAnsiTheme="majorHAnsi" w:cs="Arial"/>
          <w:lang w:val="es-ES_tradnl"/>
        </w:rPr>
        <w:t>AGRADECE al GECT su importante labor realizada durante el trienio 2015-2018 para examinar las experiencias pasadas de las MRA; y</w:t>
      </w:r>
    </w:p>
    <w:p w14:paraId="166F31D3" w14:textId="77777777" w:rsidR="00CC00D5" w:rsidRPr="00667A14" w:rsidRDefault="00CC00D5" w:rsidP="00CC5AE4">
      <w:pPr>
        <w:spacing w:after="0" w:line="240" w:lineRule="auto"/>
        <w:ind w:left="425" w:hanging="425"/>
        <w:rPr>
          <w:rFonts w:asciiTheme="majorHAnsi" w:hAnsiTheme="majorHAnsi"/>
          <w:lang w:val="es-ES_tradnl"/>
        </w:rPr>
      </w:pPr>
    </w:p>
    <w:p w14:paraId="42D72725" w14:textId="725F7D13"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16.</w:t>
      </w:r>
      <w:r w:rsidRPr="00667A14">
        <w:rPr>
          <w:rFonts w:asciiTheme="majorHAnsi" w:hAnsiTheme="majorHAnsi"/>
          <w:lang w:val="es-ES_tradnl"/>
        </w:rPr>
        <w:tab/>
      </w:r>
      <w:r w:rsidR="00D34FA5" w:rsidRPr="00667A14">
        <w:rPr>
          <w:rFonts w:asciiTheme="majorHAnsi" w:hAnsiTheme="majorHAnsi" w:cs="Arial"/>
          <w:lang w:val="es-ES_tradnl"/>
        </w:rPr>
        <w:t xml:space="preserve">PIDE a la Secretaría que </w:t>
      </w:r>
      <w:r w:rsidR="00F544FE" w:rsidRPr="00667A14">
        <w:rPr>
          <w:rFonts w:asciiTheme="majorHAnsi" w:hAnsiTheme="majorHAnsi" w:cs="Arial"/>
          <w:lang w:val="es-ES_tradnl"/>
        </w:rPr>
        <w:t>prepare</w:t>
      </w:r>
      <w:r w:rsidR="00D34FA5" w:rsidRPr="00667A14">
        <w:rPr>
          <w:rFonts w:asciiTheme="majorHAnsi" w:hAnsiTheme="majorHAnsi" w:cs="Arial"/>
          <w:lang w:val="es-ES_tradnl"/>
        </w:rPr>
        <w:t xml:space="preserve"> un</w:t>
      </w:r>
      <w:r w:rsidR="00D34FA5" w:rsidRPr="00667A14">
        <w:rPr>
          <w:rFonts w:asciiTheme="majorHAnsi" w:hAnsiTheme="majorHAnsi"/>
          <w:lang w:val="es-ES_tradnl"/>
        </w:rPr>
        <w:t xml:space="preserve"> </w:t>
      </w:r>
      <w:r w:rsidR="00D34FA5" w:rsidRPr="00667A14">
        <w:rPr>
          <w:rFonts w:asciiTheme="majorHAnsi" w:hAnsiTheme="majorHAnsi" w:cs="Arial"/>
          <w:lang w:val="es-ES_tradnl"/>
        </w:rPr>
        <w:t>folleto informativo descargable en todos los idiomas oficiales en el que se expliquen las oportunidades que presentan las MRA para ayudar a las Partes a aplicar la Convención</w:t>
      </w:r>
      <w:r w:rsidRPr="00667A14">
        <w:rPr>
          <w:rFonts w:asciiTheme="majorHAnsi" w:hAnsiTheme="majorHAnsi"/>
          <w:lang w:val="es-ES_tradnl"/>
        </w:rPr>
        <w:t xml:space="preserve">. </w:t>
      </w:r>
    </w:p>
    <w:p w14:paraId="530598D2" w14:textId="77777777" w:rsidR="00CC00D5" w:rsidRPr="00667A14" w:rsidRDefault="00CC00D5" w:rsidP="00CC00D5">
      <w:pPr>
        <w:spacing w:after="0" w:line="240" w:lineRule="auto"/>
        <w:ind w:left="425" w:hanging="425"/>
        <w:rPr>
          <w:rFonts w:asciiTheme="majorHAnsi" w:hAnsiTheme="majorHAnsi" w:cs="Arial"/>
          <w:bCs/>
          <w:lang w:val="es-ES_tradnl"/>
        </w:rPr>
      </w:pPr>
    </w:p>
    <w:p w14:paraId="18C49D16" w14:textId="77777777"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cs="Arial"/>
          <w:bCs/>
          <w:lang w:val="es-ES_tradnl"/>
        </w:rPr>
        <w:t> </w:t>
      </w:r>
    </w:p>
    <w:p w14:paraId="49CB24F1" w14:textId="77777777" w:rsidR="00CC00D5" w:rsidRPr="00667A14" w:rsidRDefault="00CC00D5">
      <w:pPr>
        <w:spacing w:after="0" w:line="240" w:lineRule="auto"/>
        <w:rPr>
          <w:rFonts w:asciiTheme="majorHAnsi" w:hAnsiTheme="majorHAnsi"/>
          <w:lang w:val="es-ES_tradnl"/>
        </w:rPr>
      </w:pPr>
      <w:bookmarkStart w:id="1" w:name="_Toc301966924"/>
      <w:r w:rsidRPr="00667A14">
        <w:rPr>
          <w:rFonts w:asciiTheme="majorHAnsi" w:hAnsiTheme="majorHAnsi"/>
          <w:lang w:val="es-ES_tradnl"/>
        </w:rPr>
        <w:br w:type="page"/>
      </w:r>
    </w:p>
    <w:p w14:paraId="11550420" w14:textId="31435471" w:rsidR="00CC00D5" w:rsidRPr="00667A14" w:rsidRDefault="00D34FA5" w:rsidP="00CC5AE4">
      <w:pPr>
        <w:spacing w:after="0" w:line="240" w:lineRule="auto"/>
        <w:ind w:left="425" w:hanging="425"/>
        <w:rPr>
          <w:rFonts w:asciiTheme="majorHAnsi" w:hAnsiTheme="majorHAnsi"/>
          <w:b/>
          <w:sz w:val="24"/>
          <w:lang w:val="es-ES_tradnl"/>
        </w:rPr>
      </w:pPr>
      <w:r w:rsidRPr="00667A14">
        <w:rPr>
          <w:rFonts w:asciiTheme="majorHAnsi" w:hAnsiTheme="majorHAnsi"/>
          <w:b/>
          <w:sz w:val="24"/>
          <w:lang w:val="es-ES_tradnl"/>
        </w:rPr>
        <w:lastRenderedPageBreak/>
        <w:t>Anexo</w:t>
      </w:r>
      <w:r w:rsidR="00CC00D5" w:rsidRPr="00667A14">
        <w:rPr>
          <w:rFonts w:asciiTheme="majorHAnsi" w:hAnsiTheme="majorHAnsi"/>
          <w:b/>
          <w:sz w:val="24"/>
          <w:lang w:val="es-ES_tradnl"/>
        </w:rPr>
        <w:t xml:space="preserve"> 1</w:t>
      </w:r>
    </w:p>
    <w:p w14:paraId="058BF98C" w14:textId="77777777" w:rsidR="00CC00D5" w:rsidRPr="00667A14" w:rsidRDefault="00CC00D5" w:rsidP="00CC5AE4">
      <w:pPr>
        <w:spacing w:after="0" w:line="240" w:lineRule="auto"/>
        <w:ind w:left="425" w:hanging="425"/>
        <w:rPr>
          <w:rFonts w:asciiTheme="majorHAnsi" w:hAnsiTheme="majorHAnsi"/>
          <w:sz w:val="24"/>
          <w:lang w:val="es-ES_tradnl"/>
        </w:rPr>
      </w:pPr>
    </w:p>
    <w:p w14:paraId="713E30E2" w14:textId="2F7D04EF" w:rsidR="00CC00D5" w:rsidRPr="00667A14" w:rsidRDefault="00D34FA5" w:rsidP="00D34FA5">
      <w:pPr>
        <w:spacing w:after="0" w:line="240" w:lineRule="auto"/>
        <w:rPr>
          <w:rFonts w:asciiTheme="majorHAnsi" w:hAnsiTheme="majorHAnsi"/>
          <w:b/>
          <w:sz w:val="24"/>
          <w:szCs w:val="24"/>
          <w:lang w:val="es-ES_tradnl"/>
        </w:rPr>
      </w:pPr>
      <w:r w:rsidRPr="00667A14">
        <w:rPr>
          <w:rFonts w:asciiTheme="majorHAnsi" w:hAnsiTheme="majorHAnsi"/>
          <w:b/>
          <w:sz w:val="24"/>
          <w:szCs w:val="24"/>
          <w:lang w:val="es-ES_tradnl"/>
        </w:rPr>
        <w:t xml:space="preserve">Elaboración de </w:t>
      </w:r>
      <w:r w:rsidR="00667A14" w:rsidRPr="00667A14">
        <w:rPr>
          <w:rFonts w:asciiTheme="majorHAnsi" w:hAnsiTheme="majorHAnsi"/>
          <w:b/>
          <w:sz w:val="24"/>
          <w:szCs w:val="24"/>
          <w:lang w:val="es-ES_tradnl"/>
        </w:rPr>
        <w:t>orientaciones</w:t>
      </w:r>
      <w:r w:rsidRPr="00667A14">
        <w:rPr>
          <w:rFonts w:asciiTheme="majorHAnsi" w:hAnsiTheme="majorHAnsi"/>
          <w:b/>
          <w:sz w:val="24"/>
          <w:szCs w:val="24"/>
          <w:lang w:val="es-ES_tradnl"/>
        </w:rPr>
        <w:t xml:space="preserve"> operativas prácticas y técnicas para las Partes Contratantes, la Secretaría y otros interesados en forma de un manual simple que describa los procedimientos a seguir y que abarque, entre otras cosas, los temas siguientes</w:t>
      </w:r>
    </w:p>
    <w:p w14:paraId="1D3377ED" w14:textId="77777777" w:rsidR="00D34FA5" w:rsidRPr="00667A14" w:rsidRDefault="00D34FA5" w:rsidP="00D34FA5">
      <w:pPr>
        <w:spacing w:after="0" w:line="240" w:lineRule="auto"/>
        <w:rPr>
          <w:rFonts w:asciiTheme="majorHAnsi" w:hAnsiTheme="majorHAnsi"/>
          <w:lang w:val="es-ES_tradnl"/>
        </w:rPr>
      </w:pPr>
    </w:p>
    <w:bookmarkEnd w:id="1"/>
    <w:p w14:paraId="587BE0DE" w14:textId="5E6B483D" w:rsidR="00F544FE" w:rsidRPr="00667A14" w:rsidRDefault="00CC00D5" w:rsidP="00F544FE">
      <w:pPr>
        <w:spacing w:after="0" w:line="240" w:lineRule="auto"/>
        <w:ind w:left="425" w:hanging="425"/>
        <w:rPr>
          <w:rFonts w:asciiTheme="majorHAnsi" w:hAnsiTheme="majorHAnsi"/>
          <w:lang w:val="es-ES_tradnl"/>
        </w:rPr>
      </w:pPr>
      <w:r w:rsidRPr="00667A14">
        <w:rPr>
          <w:rFonts w:asciiTheme="majorHAnsi" w:hAnsiTheme="majorHAnsi" w:cs="Arial"/>
          <w:bCs/>
          <w:lang w:val="es-ES_tradnl"/>
        </w:rPr>
        <w:t>•</w:t>
      </w:r>
      <w:r w:rsidRPr="00667A14">
        <w:rPr>
          <w:rFonts w:asciiTheme="majorHAnsi" w:hAnsiTheme="majorHAnsi" w:cs="Arial"/>
          <w:bCs/>
          <w:lang w:val="es-ES_tradnl"/>
        </w:rPr>
        <w:tab/>
      </w:r>
      <w:r w:rsidR="00D34FA5" w:rsidRPr="00667A14">
        <w:rPr>
          <w:rFonts w:asciiTheme="majorHAnsi" w:hAnsiTheme="majorHAnsi"/>
          <w:lang w:val="es-ES_tradnl"/>
        </w:rPr>
        <w:t xml:space="preserve">Circunstancias que dan lugar a la propuesta de una </w:t>
      </w:r>
      <w:r w:rsidR="001D6D26" w:rsidRPr="001D6D26">
        <w:rPr>
          <w:rFonts w:asciiTheme="majorHAnsi" w:hAnsiTheme="majorHAnsi"/>
          <w:lang w:val="es-ES_tradnl"/>
        </w:rPr>
        <w:t>Misión Ramsar de Asesoramiento (MRA)</w:t>
      </w:r>
    </w:p>
    <w:p w14:paraId="03C4A4BF" w14:textId="77777777" w:rsidR="00F544FE" w:rsidRPr="00667A14" w:rsidRDefault="00F544FE" w:rsidP="00F544FE">
      <w:pPr>
        <w:spacing w:after="0" w:line="240" w:lineRule="auto"/>
        <w:ind w:left="425" w:hanging="425"/>
        <w:rPr>
          <w:rFonts w:asciiTheme="majorHAnsi" w:hAnsiTheme="majorHAnsi"/>
          <w:lang w:val="es-ES_tradnl"/>
        </w:rPr>
      </w:pPr>
    </w:p>
    <w:p w14:paraId="6FC0E160" w14:textId="6E7CEBF1" w:rsidR="00F544FE" w:rsidRPr="00667A14" w:rsidRDefault="00F544FE" w:rsidP="00F544FE">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Vínculos con el artículo 3.2</w:t>
      </w:r>
    </w:p>
    <w:p w14:paraId="71417327" w14:textId="77777777" w:rsidR="00D34FA5" w:rsidRPr="00667A14" w:rsidRDefault="00D34FA5" w:rsidP="00D34FA5">
      <w:pPr>
        <w:spacing w:after="0" w:line="240" w:lineRule="auto"/>
        <w:ind w:left="425"/>
        <w:rPr>
          <w:rFonts w:asciiTheme="majorHAnsi" w:hAnsiTheme="majorHAnsi"/>
          <w:lang w:val="es-ES_tradnl"/>
        </w:rPr>
      </w:pPr>
    </w:p>
    <w:p w14:paraId="76EBA416"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 xml:space="preserve">Vínculos con el Registro de Montreux </w:t>
      </w:r>
    </w:p>
    <w:p w14:paraId="4902E930" w14:textId="77777777" w:rsidR="00D34FA5" w:rsidRPr="00667A14" w:rsidRDefault="00D34FA5" w:rsidP="00D34FA5">
      <w:pPr>
        <w:spacing w:after="0" w:line="240" w:lineRule="auto"/>
        <w:ind w:left="425"/>
        <w:rPr>
          <w:rFonts w:asciiTheme="majorHAnsi" w:hAnsiTheme="majorHAnsi"/>
          <w:lang w:val="es-ES_tradnl"/>
        </w:rPr>
      </w:pPr>
    </w:p>
    <w:p w14:paraId="0FB8A065"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Investigaciones y asesoramiento previos a la MRA</w:t>
      </w:r>
    </w:p>
    <w:p w14:paraId="38EE00E2" w14:textId="77777777" w:rsidR="00D34FA5" w:rsidRPr="00667A14" w:rsidRDefault="00D34FA5" w:rsidP="00D34FA5">
      <w:pPr>
        <w:spacing w:after="0" w:line="240" w:lineRule="auto"/>
        <w:ind w:left="425"/>
        <w:rPr>
          <w:rFonts w:asciiTheme="majorHAnsi" w:hAnsiTheme="majorHAnsi"/>
          <w:lang w:val="es-ES_tradnl"/>
        </w:rPr>
      </w:pPr>
    </w:p>
    <w:p w14:paraId="1DA4AECD"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Prerrogativa de la Parte Contratante de invitar a la MRA y aprobar los términos de referencia (TdR)</w:t>
      </w:r>
    </w:p>
    <w:p w14:paraId="51D2BA00" w14:textId="77777777" w:rsidR="00D34FA5" w:rsidRPr="00667A14" w:rsidRDefault="00D34FA5" w:rsidP="00D34FA5">
      <w:pPr>
        <w:spacing w:after="0" w:line="240" w:lineRule="auto"/>
        <w:ind w:left="425"/>
        <w:rPr>
          <w:rFonts w:asciiTheme="majorHAnsi" w:hAnsiTheme="majorHAnsi"/>
          <w:lang w:val="es-ES_tradnl"/>
        </w:rPr>
      </w:pPr>
    </w:p>
    <w:p w14:paraId="1C366F70" w14:textId="103965C2"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Elaboración de los TdR: buenas prácticas establecidas</w:t>
      </w:r>
    </w:p>
    <w:p w14:paraId="6F5DE291" w14:textId="77777777" w:rsidR="00D34FA5" w:rsidRPr="00667A14" w:rsidRDefault="00D34FA5" w:rsidP="00D34FA5">
      <w:pPr>
        <w:spacing w:after="0" w:line="240" w:lineRule="auto"/>
        <w:ind w:left="425"/>
        <w:rPr>
          <w:rFonts w:asciiTheme="majorHAnsi" w:hAnsiTheme="majorHAnsi"/>
          <w:lang w:val="es-ES_tradnl"/>
        </w:rPr>
      </w:pPr>
    </w:p>
    <w:p w14:paraId="7FC9CE6E"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Ámbito de la MRA</w:t>
      </w:r>
    </w:p>
    <w:p w14:paraId="7C01589B" w14:textId="77777777" w:rsidR="00D34FA5" w:rsidRPr="00667A14" w:rsidRDefault="00D34FA5" w:rsidP="00D34FA5">
      <w:pPr>
        <w:spacing w:after="0" w:line="240" w:lineRule="auto"/>
        <w:ind w:left="425"/>
        <w:rPr>
          <w:rFonts w:asciiTheme="majorHAnsi" w:hAnsiTheme="majorHAnsi"/>
          <w:lang w:val="es-ES_tradnl"/>
        </w:rPr>
      </w:pPr>
    </w:p>
    <w:p w14:paraId="5AB11BE2"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Coordinación y composición del equipo de la misión</w:t>
      </w:r>
    </w:p>
    <w:p w14:paraId="57878464" w14:textId="77777777" w:rsidR="00D34FA5" w:rsidRPr="00667A14" w:rsidRDefault="00D34FA5" w:rsidP="00D34FA5">
      <w:pPr>
        <w:spacing w:after="0" w:line="240" w:lineRule="auto"/>
        <w:ind w:left="425"/>
        <w:rPr>
          <w:rFonts w:asciiTheme="majorHAnsi" w:hAnsiTheme="majorHAnsi"/>
          <w:lang w:val="es-ES_tradnl"/>
        </w:rPr>
      </w:pPr>
    </w:p>
    <w:p w14:paraId="04EEE1A0"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Consideraciones relacionadas con el cronograma</w:t>
      </w:r>
    </w:p>
    <w:p w14:paraId="5B525CD0" w14:textId="77777777" w:rsidR="00D34FA5" w:rsidRPr="00667A14" w:rsidRDefault="00D34FA5" w:rsidP="00D34FA5">
      <w:pPr>
        <w:spacing w:after="0" w:line="240" w:lineRule="auto"/>
        <w:ind w:left="425"/>
        <w:rPr>
          <w:rFonts w:asciiTheme="majorHAnsi" w:hAnsiTheme="majorHAnsi"/>
          <w:lang w:val="es-ES_tradnl"/>
        </w:rPr>
      </w:pPr>
    </w:p>
    <w:p w14:paraId="01BF7F6B" w14:textId="3AAA5A35"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Papel</w:t>
      </w:r>
      <w:r w:rsidR="00F544FE" w:rsidRPr="00667A14">
        <w:rPr>
          <w:rFonts w:asciiTheme="majorHAnsi" w:hAnsiTheme="majorHAnsi"/>
          <w:lang w:val="es-ES_tradnl"/>
        </w:rPr>
        <w:t xml:space="preserve"> de </w:t>
      </w:r>
      <w:r w:rsidRPr="00667A14">
        <w:rPr>
          <w:rFonts w:asciiTheme="majorHAnsi" w:hAnsiTheme="majorHAnsi"/>
          <w:lang w:val="es-ES_tradnl"/>
        </w:rPr>
        <w:t>la Secretaría</w:t>
      </w:r>
    </w:p>
    <w:p w14:paraId="2A87D5E8" w14:textId="77777777" w:rsidR="00D34FA5" w:rsidRPr="00667A14" w:rsidRDefault="00D34FA5" w:rsidP="00D34FA5">
      <w:pPr>
        <w:spacing w:after="0" w:line="240" w:lineRule="auto"/>
        <w:ind w:left="425"/>
        <w:rPr>
          <w:rFonts w:asciiTheme="majorHAnsi" w:hAnsiTheme="majorHAnsi"/>
          <w:lang w:val="es-ES_tradnl"/>
        </w:rPr>
      </w:pPr>
    </w:p>
    <w:p w14:paraId="3825FB4D" w14:textId="53CF4276" w:rsidR="00D34FA5" w:rsidRPr="00667A14" w:rsidRDefault="00F544FE"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Papel d</w:t>
      </w:r>
      <w:r w:rsidR="00D34FA5" w:rsidRPr="00667A14">
        <w:rPr>
          <w:rFonts w:asciiTheme="majorHAnsi" w:hAnsiTheme="majorHAnsi"/>
          <w:lang w:val="es-ES_tradnl"/>
        </w:rPr>
        <w:t>el GECT</w:t>
      </w:r>
    </w:p>
    <w:p w14:paraId="24269789" w14:textId="77777777" w:rsidR="00D34FA5" w:rsidRPr="00667A14" w:rsidRDefault="00D34FA5" w:rsidP="00D34FA5">
      <w:pPr>
        <w:spacing w:after="0" w:line="240" w:lineRule="auto"/>
        <w:ind w:left="425"/>
        <w:rPr>
          <w:rFonts w:asciiTheme="majorHAnsi" w:hAnsiTheme="majorHAnsi"/>
          <w:lang w:val="es-ES_tradnl"/>
        </w:rPr>
      </w:pPr>
    </w:p>
    <w:p w14:paraId="77901F15" w14:textId="0C65B11F"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 xml:space="preserve">Papel </w:t>
      </w:r>
      <w:r w:rsidR="00F544FE" w:rsidRPr="00667A14">
        <w:rPr>
          <w:rFonts w:asciiTheme="majorHAnsi" w:hAnsiTheme="majorHAnsi"/>
          <w:lang w:val="es-ES_tradnl"/>
        </w:rPr>
        <w:t>de</w:t>
      </w:r>
      <w:r w:rsidRPr="00667A14">
        <w:rPr>
          <w:rFonts w:asciiTheme="majorHAnsi" w:hAnsiTheme="majorHAnsi"/>
          <w:lang w:val="es-ES_tradnl"/>
        </w:rPr>
        <w:t xml:space="preserve"> las OIA y otros interesados</w:t>
      </w:r>
    </w:p>
    <w:p w14:paraId="6F05714C" w14:textId="77777777" w:rsidR="00D34FA5" w:rsidRPr="00667A14" w:rsidRDefault="00D34FA5" w:rsidP="00D34FA5">
      <w:pPr>
        <w:spacing w:after="0" w:line="240" w:lineRule="auto"/>
        <w:ind w:left="425"/>
        <w:rPr>
          <w:rFonts w:asciiTheme="majorHAnsi" w:hAnsiTheme="majorHAnsi"/>
          <w:lang w:val="es-ES_tradnl"/>
        </w:rPr>
      </w:pPr>
    </w:p>
    <w:p w14:paraId="3ED85670"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Dotación de recursos a la MRA</w:t>
      </w:r>
    </w:p>
    <w:p w14:paraId="0C78DAD6" w14:textId="77777777" w:rsidR="00D34FA5" w:rsidRPr="00667A14" w:rsidRDefault="00D34FA5" w:rsidP="00D34FA5">
      <w:pPr>
        <w:spacing w:after="0" w:line="240" w:lineRule="auto"/>
        <w:ind w:left="425"/>
        <w:rPr>
          <w:rFonts w:asciiTheme="majorHAnsi" w:hAnsiTheme="majorHAnsi"/>
          <w:lang w:val="es-ES_tradnl"/>
        </w:rPr>
      </w:pPr>
    </w:p>
    <w:p w14:paraId="136FF68C"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Aplicación a posibles sitios Ramsar y otros humedales no designados</w:t>
      </w:r>
    </w:p>
    <w:p w14:paraId="4952122E" w14:textId="77777777" w:rsidR="00D34FA5" w:rsidRPr="00667A14" w:rsidRDefault="00D34FA5" w:rsidP="00D34FA5">
      <w:pPr>
        <w:spacing w:after="0" w:line="240" w:lineRule="auto"/>
        <w:ind w:left="425"/>
        <w:rPr>
          <w:rFonts w:asciiTheme="majorHAnsi" w:hAnsiTheme="majorHAnsi"/>
          <w:lang w:val="es-ES_tradnl"/>
        </w:rPr>
      </w:pPr>
    </w:p>
    <w:p w14:paraId="6C9046D3"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Aplicación en contextos transfronterizos</w:t>
      </w:r>
    </w:p>
    <w:p w14:paraId="75F9FDDE" w14:textId="77777777" w:rsidR="00D34FA5" w:rsidRPr="00667A14" w:rsidRDefault="00D34FA5" w:rsidP="00D34FA5">
      <w:pPr>
        <w:spacing w:after="0" w:line="240" w:lineRule="auto"/>
        <w:ind w:left="425"/>
        <w:rPr>
          <w:rFonts w:asciiTheme="majorHAnsi" w:hAnsiTheme="majorHAnsi"/>
          <w:lang w:val="es-ES_tradnl"/>
        </w:rPr>
      </w:pPr>
    </w:p>
    <w:p w14:paraId="128D192C"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Operación conjunta con mecanismos de otros AMMA</w:t>
      </w:r>
    </w:p>
    <w:p w14:paraId="4A0B79A3" w14:textId="77777777" w:rsidR="00D34FA5" w:rsidRPr="00667A14" w:rsidRDefault="00D34FA5" w:rsidP="00D34FA5">
      <w:pPr>
        <w:spacing w:after="0" w:line="240" w:lineRule="auto"/>
        <w:ind w:left="425"/>
        <w:rPr>
          <w:rFonts w:asciiTheme="majorHAnsi" w:hAnsiTheme="majorHAnsi"/>
          <w:lang w:val="es-ES_tradnl"/>
        </w:rPr>
      </w:pPr>
    </w:p>
    <w:p w14:paraId="35463516"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Estructura y contenido de los informes de las MRA</w:t>
      </w:r>
    </w:p>
    <w:p w14:paraId="616F62C9" w14:textId="77777777" w:rsidR="00D34FA5" w:rsidRPr="00667A14" w:rsidRDefault="00D34FA5" w:rsidP="00D34FA5">
      <w:pPr>
        <w:spacing w:after="0" w:line="240" w:lineRule="auto"/>
        <w:ind w:left="425"/>
        <w:rPr>
          <w:rFonts w:asciiTheme="majorHAnsi" w:hAnsiTheme="majorHAnsi"/>
          <w:lang w:val="es-ES_tradnl"/>
        </w:rPr>
      </w:pPr>
    </w:p>
    <w:p w14:paraId="092D920A"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El proceso de seguimiento de un informe de MRA</w:t>
      </w:r>
    </w:p>
    <w:p w14:paraId="34483504" w14:textId="77777777" w:rsidR="00D34FA5" w:rsidRPr="00667A14" w:rsidRDefault="00D34FA5" w:rsidP="00D34FA5">
      <w:pPr>
        <w:spacing w:after="0" w:line="240" w:lineRule="auto"/>
        <w:ind w:left="425"/>
        <w:rPr>
          <w:rFonts w:asciiTheme="majorHAnsi" w:hAnsiTheme="majorHAnsi"/>
          <w:lang w:val="es-ES_tradnl"/>
        </w:rPr>
      </w:pPr>
    </w:p>
    <w:p w14:paraId="5126BACF"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Informe sobre las actividades de la MRA, lo que incluye un examen de los resultados en un plazo apropiado tras la finalización de la misión (normalmente unos seis años)</w:t>
      </w:r>
    </w:p>
    <w:p w14:paraId="55D987AA" w14:textId="77777777" w:rsidR="00D34FA5" w:rsidRPr="00667A14" w:rsidRDefault="00D34FA5" w:rsidP="00D34FA5">
      <w:pPr>
        <w:spacing w:after="0" w:line="240" w:lineRule="auto"/>
        <w:rPr>
          <w:rFonts w:asciiTheme="majorHAnsi" w:hAnsiTheme="majorHAnsi"/>
          <w:lang w:val="es-ES_tradnl"/>
        </w:rPr>
      </w:pPr>
    </w:p>
    <w:p w14:paraId="6A41012F" w14:textId="77777777" w:rsidR="00830B75" w:rsidRPr="00667A14" w:rsidRDefault="00830B75" w:rsidP="00D34FA5">
      <w:pPr>
        <w:spacing w:after="0" w:line="240" w:lineRule="auto"/>
        <w:ind w:left="425" w:hanging="425"/>
        <w:rPr>
          <w:rFonts w:ascii="Calibri" w:hAnsi="Calibri"/>
          <w:lang w:val="es-ES_tradnl"/>
        </w:rPr>
      </w:pPr>
    </w:p>
    <w:sectPr w:rsidR="00830B75" w:rsidRPr="00667A14" w:rsidSect="00CC5AE4">
      <w:footerReference w:type="default" r:id="rId10"/>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37AA0" w16cid:durableId="1E8B2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8A19A" w14:textId="77777777" w:rsidR="00F544FE" w:rsidRDefault="00F544FE" w:rsidP="00830B75">
      <w:pPr>
        <w:spacing w:after="0" w:line="240" w:lineRule="auto"/>
      </w:pPr>
      <w:r>
        <w:separator/>
      </w:r>
    </w:p>
  </w:endnote>
  <w:endnote w:type="continuationSeparator" w:id="0">
    <w:p w14:paraId="11F05CDB" w14:textId="77777777" w:rsidR="00F544FE" w:rsidRDefault="00F544FE" w:rsidP="00830B75">
      <w:pPr>
        <w:spacing w:after="0" w:line="240" w:lineRule="auto"/>
      </w:pPr>
      <w:r>
        <w:continuationSeparator/>
      </w:r>
    </w:p>
  </w:endnote>
  <w:endnote w:type="continuationNotice" w:id="1">
    <w:p w14:paraId="2584AB82" w14:textId="77777777" w:rsidR="00F544FE" w:rsidRDefault="00F54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75492" w14:textId="5CFB399F" w:rsidR="00F544FE" w:rsidRPr="00CC5AE4" w:rsidRDefault="001D6D26" w:rsidP="00CC5AE4">
    <w:pPr>
      <w:pStyle w:val="Footer"/>
      <w:rPr>
        <w:rFonts w:ascii="Calibri" w:hAnsi="Calibri"/>
        <w:sz w:val="20"/>
        <w:lang w:val="en-GB"/>
      </w:rPr>
    </w:pPr>
    <w:r w:rsidRPr="001D6D26">
      <w:rPr>
        <w:rFonts w:ascii="Calibri" w:hAnsi="Calibri"/>
        <w:sz w:val="20"/>
        <w:szCs w:val="20"/>
        <w:lang w:val="en-GB"/>
      </w:rPr>
      <w:t>Ramsar COP13 Doc.18.11</w:t>
    </w:r>
    <w:r w:rsidR="00F544FE" w:rsidRPr="00CB5417">
      <w:rPr>
        <w:rFonts w:ascii="Calibri" w:hAnsi="Calibri"/>
        <w:sz w:val="20"/>
        <w:szCs w:val="20"/>
        <w:lang w:val="en-GB"/>
      </w:rPr>
      <w:tab/>
    </w:r>
    <w:r w:rsidR="00F544FE" w:rsidRPr="00CB5417">
      <w:rPr>
        <w:rFonts w:ascii="Calibri" w:hAnsi="Calibri"/>
        <w:sz w:val="20"/>
        <w:szCs w:val="20"/>
        <w:lang w:val="en-GB"/>
      </w:rPr>
      <w:tab/>
    </w:r>
    <w:r w:rsidR="00F544FE" w:rsidRPr="00CC5AE4">
      <w:rPr>
        <w:rFonts w:ascii="Calibri" w:hAnsi="Calibri"/>
        <w:sz w:val="20"/>
        <w:lang w:val="en-GB"/>
      </w:rPr>
      <w:fldChar w:fldCharType="begin"/>
    </w:r>
    <w:r w:rsidR="00F544FE" w:rsidRPr="00CB5417">
      <w:rPr>
        <w:rFonts w:ascii="Calibri" w:hAnsi="Calibri"/>
        <w:sz w:val="20"/>
        <w:szCs w:val="20"/>
        <w:lang w:val="en-GB"/>
      </w:rPr>
      <w:instrText xml:space="preserve"> PAGE   \* MERGEFORMAT </w:instrText>
    </w:r>
    <w:r w:rsidR="00F544FE" w:rsidRPr="00CC5AE4">
      <w:rPr>
        <w:rFonts w:ascii="Calibri" w:hAnsi="Calibri"/>
        <w:sz w:val="20"/>
        <w:lang w:val="en-GB"/>
      </w:rPr>
      <w:fldChar w:fldCharType="separate"/>
    </w:r>
    <w:r>
      <w:rPr>
        <w:rFonts w:ascii="Calibri" w:hAnsi="Calibri"/>
        <w:noProof/>
        <w:sz w:val="20"/>
        <w:szCs w:val="20"/>
        <w:lang w:val="en-GB"/>
      </w:rPr>
      <w:t>3</w:t>
    </w:r>
    <w:r w:rsidR="00F544FE" w:rsidRPr="00CC5AE4">
      <w:rPr>
        <w:rFonts w:ascii="Calibri" w:hAnsi="Calibri"/>
        <w:sz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C8B5B" w14:textId="77777777" w:rsidR="00F544FE" w:rsidRDefault="00F544FE" w:rsidP="00830B75">
      <w:pPr>
        <w:spacing w:after="0" w:line="240" w:lineRule="auto"/>
      </w:pPr>
      <w:r>
        <w:separator/>
      </w:r>
    </w:p>
  </w:footnote>
  <w:footnote w:type="continuationSeparator" w:id="0">
    <w:p w14:paraId="0BADC5F0" w14:textId="77777777" w:rsidR="00F544FE" w:rsidRDefault="00F544FE" w:rsidP="00830B75">
      <w:pPr>
        <w:spacing w:after="0" w:line="240" w:lineRule="auto"/>
      </w:pPr>
      <w:r>
        <w:continuationSeparator/>
      </w:r>
    </w:p>
  </w:footnote>
  <w:footnote w:type="continuationNotice" w:id="1">
    <w:p w14:paraId="10934BE2" w14:textId="77777777" w:rsidR="00F544FE" w:rsidRDefault="00F544F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90B"/>
    <w:multiLevelType w:val="hybridMultilevel"/>
    <w:tmpl w:val="1F6E3918"/>
    <w:lvl w:ilvl="0" w:tplc="04090001">
      <w:start w:val="1"/>
      <w:numFmt w:val="bullet"/>
      <w:lvlText w:val=""/>
      <w:lvlJc w:val="left"/>
      <w:pPr>
        <w:ind w:left="720" w:hanging="360"/>
      </w:pPr>
      <w:rPr>
        <w:rFonts w:ascii="Symbol" w:hAnsi="Symbol" w:hint="default"/>
      </w:rPr>
    </w:lvl>
    <w:lvl w:ilvl="1" w:tplc="730032D4">
      <w:numFmt w:val="bullet"/>
      <w:lvlText w:val="-"/>
      <w:lvlJc w:val="left"/>
      <w:pPr>
        <w:ind w:left="1440" w:hanging="360"/>
      </w:pPr>
      <w:rPr>
        <w:rFonts w:ascii="Calibri" w:eastAsia="Calibri" w:hAnsi="Calibri" w:cs="Garamon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54677F5"/>
    <w:multiLevelType w:val="hybridMultilevel"/>
    <w:tmpl w:val="729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2E75A5"/>
    <w:multiLevelType w:val="hybridMultilevel"/>
    <w:tmpl w:val="046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nsid w:val="6407390E"/>
    <w:multiLevelType w:val="hybridMultilevel"/>
    <w:tmpl w:val="223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73FD0516"/>
    <w:multiLevelType w:val="hybridMultilevel"/>
    <w:tmpl w:val="76D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sar\AldousJ">
    <w15:presenceInfo w15:providerId="None" w15:userId="Ramsar\Aldou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708"/>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5"/>
    <w:rsid w:val="0002232D"/>
    <w:rsid w:val="00026A8E"/>
    <w:rsid w:val="000621E0"/>
    <w:rsid w:val="000C3B6E"/>
    <w:rsid w:val="000E67F8"/>
    <w:rsid w:val="00125EC7"/>
    <w:rsid w:val="00171C2D"/>
    <w:rsid w:val="001D61F7"/>
    <w:rsid w:val="001D6D26"/>
    <w:rsid w:val="00204473"/>
    <w:rsid w:val="002058B9"/>
    <w:rsid w:val="002230A2"/>
    <w:rsid w:val="0023272F"/>
    <w:rsid w:val="00235B5A"/>
    <w:rsid w:val="00250238"/>
    <w:rsid w:val="00262C31"/>
    <w:rsid w:val="00285D6F"/>
    <w:rsid w:val="0029031B"/>
    <w:rsid w:val="002A476F"/>
    <w:rsid w:val="002C5C2A"/>
    <w:rsid w:val="002C7FEA"/>
    <w:rsid w:val="002D58D9"/>
    <w:rsid w:val="002F7D93"/>
    <w:rsid w:val="00326FCB"/>
    <w:rsid w:val="00333403"/>
    <w:rsid w:val="00365008"/>
    <w:rsid w:val="00392E80"/>
    <w:rsid w:val="003A270D"/>
    <w:rsid w:val="003F6910"/>
    <w:rsid w:val="00471EAD"/>
    <w:rsid w:val="004737B9"/>
    <w:rsid w:val="00483127"/>
    <w:rsid w:val="0049204D"/>
    <w:rsid w:val="004D5F00"/>
    <w:rsid w:val="004E7245"/>
    <w:rsid w:val="0051057C"/>
    <w:rsid w:val="00513640"/>
    <w:rsid w:val="00517C51"/>
    <w:rsid w:val="0052783C"/>
    <w:rsid w:val="00530208"/>
    <w:rsid w:val="00531E66"/>
    <w:rsid w:val="00553CB0"/>
    <w:rsid w:val="00580A4C"/>
    <w:rsid w:val="005C1743"/>
    <w:rsid w:val="005D0C76"/>
    <w:rsid w:val="005D5DEC"/>
    <w:rsid w:val="005D5E85"/>
    <w:rsid w:val="005E5FBC"/>
    <w:rsid w:val="006571D5"/>
    <w:rsid w:val="00664965"/>
    <w:rsid w:val="00667A14"/>
    <w:rsid w:val="006855C7"/>
    <w:rsid w:val="0068645A"/>
    <w:rsid w:val="00691F17"/>
    <w:rsid w:val="006A7E08"/>
    <w:rsid w:val="006C08A4"/>
    <w:rsid w:val="006C3C6A"/>
    <w:rsid w:val="006E6AAC"/>
    <w:rsid w:val="006F23FB"/>
    <w:rsid w:val="006F2E7A"/>
    <w:rsid w:val="0071495B"/>
    <w:rsid w:val="00733A4D"/>
    <w:rsid w:val="00745B25"/>
    <w:rsid w:val="00765487"/>
    <w:rsid w:val="00767B44"/>
    <w:rsid w:val="00771D8B"/>
    <w:rsid w:val="00785341"/>
    <w:rsid w:val="007C22B4"/>
    <w:rsid w:val="007C4BFC"/>
    <w:rsid w:val="008049FA"/>
    <w:rsid w:val="00822002"/>
    <w:rsid w:val="00830B75"/>
    <w:rsid w:val="00836CE0"/>
    <w:rsid w:val="008A51FE"/>
    <w:rsid w:val="008B181A"/>
    <w:rsid w:val="008B34C4"/>
    <w:rsid w:val="008D3165"/>
    <w:rsid w:val="008E455C"/>
    <w:rsid w:val="0094215E"/>
    <w:rsid w:val="00956EC9"/>
    <w:rsid w:val="00971D12"/>
    <w:rsid w:val="00986791"/>
    <w:rsid w:val="009B63C6"/>
    <w:rsid w:val="009C4FB7"/>
    <w:rsid w:val="009C7B24"/>
    <w:rsid w:val="009D478C"/>
    <w:rsid w:val="009E0F53"/>
    <w:rsid w:val="00A154BE"/>
    <w:rsid w:val="00A52CEB"/>
    <w:rsid w:val="00AC14EA"/>
    <w:rsid w:val="00AE716E"/>
    <w:rsid w:val="00B163D6"/>
    <w:rsid w:val="00B53CF7"/>
    <w:rsid w:val="00B57D0F"/>
    <w:rsid w:val="00B91517"/>
    <w:rsid w:val="00B939E9"/>
    <w:rsid w:val="00B97311"/>
    <w:rsid w:val="00B97E2F"/>
    <w:rsid w:val="00BB4616"/>
    <w:rsid w:val="00BC2517"/>
    <w:rsid w:val="00BD1C7B"/>
    <w:rsid w:val="00C20CC1"/>
    <w:rsid w:val="00C80C76"/>
    <w:rsid w:val="00C9629E"/>
    <w:rsid w:val="00CA11DF"/>
    <w:rsid w:val="00CB5417"/>
    <w:rsid w:val="00CC00D5"/>
    <w:rsid w:val="00CC26E0"/>
    <w:rsid w:val="00CC5AE4"/>
    <w:rsid w:val="00D34FA5"/>
    <w:rsid w:val="00D357F0"/>
    <w:rsid w:val="00D57DA6"/>
    <w:rsid w:val="00D7366E"/>
    <w:rsid w:val="00D85104"/>
    <w:rsid w:val="00D876D8"/>
    <w:rsid w:val="00DB4BF5"/>
    <w:rsid w:val="00E16E35"/>
    <w:rsid w:val="00E203C7"/>
    <w:rsid w:val="00E5070E"/>
    <w:rsid w:val="00E7727D"/>
    <w:rsid w:val="00E77D20"/>
    <w:rsid w:val="00E8003A"/>
    <w:rsid w:val="00E80B41"/>
    <w:rsid w:val="00E95EFA"/>
    <w:rsid w:val="00EA06B7"/>
    <w:rsid w:val="00EC0B0F"/>
    <w:rsid w:val="00F04705"/>
    <w:rsid w:val="00F12AC1"/>
    <w:rsid w:val="00F23ACD"/>
    <w:rsid w:val="00F316CB"/>
    <w:rsid w:val="00F31A8F"/>
    <w:rsid w:val="00F41B4B"/>
    <w:rsid w:val="00F4207D"/>
    <w:rsid w:val="00F45BAC"/>
    <w:rsid w:val="00F53E77"/>
    <w:rsid w:val="00F544FE"/>
    <w:rsid w:val="00F64F24"/>
    <w:rsid w:val="00F70F8A"/>
    <w:rsid w:val="00F80FED"/>
    <w:rsid w:val="00F83ABE"/>
    <w:rsid w:val="00FB5B0C"/>
    <w:rsid w:val="00FC6C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E4"/>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E4"/>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C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C5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CC5AE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E4"/>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E4"/>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C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C5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CC5AE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938">
      <w:bodyDiv w:val="1"/>
      <w:marLeft w:val="0"/>
      <w:marRight w:val="0"/>
      <w:marTop w:val="0"/>
      <w:marBottom w:val="0"/>
      <w:divBdr>
        <w:top w:val="none" w:sz="0" w:space="0" w:color="auto"/>
        <w:left w:val="none" w:sz="0" w:space="0" w:color="auto"/>
        <w:bottom w:val="none" w:sz="0" w:space="0" w:color="auto"/>
        <w:right w:val="none" w:sz="0" w:space="0" w:color="auto"/>
      </w:divBdr>
    </w:div>
    <w:div w:id="171337111">
      <w:bodyDiv w:val="1"/>
      <w:marLeft w:val="0"/>
      <w:marRight w:val="0"/>
      <w:marTop w:val="0"/>
      <w:marBottom w:val="0"/>
      <w:divBdr>
        <w:top w:val="none" w:sz="0" w:space="0" w:color="auto"/>
        <w:left w:val="none" w:sz="0" w:space="0" w:color="auto"/>
        <w:bottom w:val="none" w:sz="0" w:space="0" w:color="auto"/>
        <w:right w:val="none" w:sz="0" w:space="0" w:color="auto"/>
      </w:divBdr>
    </w:div>
    <w:div w:id="518468448">
      <w:bodyDiv w:val="1"/>
      <w:marLeft w:val="0"/>
      <w:marRight w:val="0"/>
      <w:marTop w:val="0"/>
      <w:marBottom w:val="0"/>
      <w:divBdr>
        <w:top w:val="none" w:sz="0" w:space="0" w:color="auto"/>
        <w:left w:val="none" w:sz="0" w:space="0" w:color="auto"/>
        <w:bottom w:val="none" w:sz="0" w:space="0" w:color="auto"/>
        <w:right w:val="none" w:sz="0" w:space="0" w:color="auto"/>
      </w:divBdr>
    </w:div>
    <w:div w:id="1245651333">
      <w:bodyDiv w:val="1"/>
      <w:marLeft w:val="0"/>
      <w:marRight w:val="0"/>
      <w:marTop w:val="0"/>
      <w:marBottom w:val="0"/>
      <w:divBdr>
        <w:top w:val="none" w:sz="0" w:space="0" w:color="auto"/>
        <w:left w:val="none" w:sz="0" w:space="0" w:color="auto"/>
        <w:bottom w:val="none" w:sz="0" w:space="0" w:color="auto"/>
        <w:right w:val="none" w:sz="0" w:space="0" w:color="auto"/>
      </w:divBdr>
    </w:div>
    <w:div w:id="1445886566">
      <w:bodyDiv w:val="1"/>
      <w:marLeft w:val="0"/>
      <w:marRight w:val="0"/>
      <w:marTop w:val="0"/>
      <w:marBottom w:val="0"/>
      <w:divBdr>
        <w:top w:val="none" w:sz="0" w:space="0" w:color="auto"/>
        <w:left w:val="none" w:sz="0" w:space="0" w:color="auto"/>
        <w:bottom w:val="none" w:sz="0" w:space="0" w:color="auto"/>
        <w:right w:val="none" w:sz="0" w:space="0" w:color="auto"/>
      </w:divBdr>
    </w:div>
    <w:div w:id="1525897856">
      <w:bodyDiv w:val="1"/>
      <w:marLeft w:val="0"/>
      <w:marRight w:val="0"/>
      <w:marTop w:val="0"/>
      <w:marBottom w:val="0"/>
      <w:divBdr>
        <w:top w:val="none" w:sz="0" w:space="0" w:color="auto"/>
        <w:left w:val="none" w:sz="0" w:space="0" w:color="auto"/>
        <w:bottom w:val="none" w:sz="0" w:space="0" w:color="auto"/>
        <w:right w:val="none" w:sz="0" w:space="0" w:color="auto"/>
      </w:divBdr>
    </w:div>
    <w:div w:id="1962611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F3F5-DCCD-4266-A136-0FE9D0AA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4975</Characters>
  <Application>Microsoft Office Word</Application>
  <DocSecurity>0</DocSecurity>
  <Lines>92</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2</cp:revision>
  <dcterms:created xsi:type="dcterms:W3CDTF">2018-07-20T13:38:00Z</dcterms:created>
  <dcterms:modified xsi:type="dcterms:W3CDTF">2018-07-20T13:38:00Z</dcterms:modified>
</cp:coreProperties>
</file>