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48CB0" w14:textId="77777777" w:rsidR="002F68A9" w:rsidRPr="00EF376C" w:rsidRDefault="002F68A9" w:rsidP="00090C3C">
      <w:pPr>
        <w:spacing w:after="0" w:line="240" w:lineRule="auto"/>
        <w:jc w:val="center"/>
        <w:outlineLvl w:val="0"/>
        <w:rPr>
          <w:rFonts w:ascii="Calibri" w:hAnsi="Calibri" w:cstheme="majorHAnsi"/>
          <w:b/>
          <w:bCs/>
          <w:sz w:val="24"/>
          <w:szCs w:val="24"/>
          <w:lang w:val="fr-CH"/>
        </w:rPr>
      </w:pPr>
      <w:bookmarkStart w:id="0" w:name="_GoBack"/>
      <w:bookmarkEnd w:id="0"/>
      <w:r w:rsidRPr="00EF376C">
        <w:rPr>
          <w:rFonts w:ascii="Calibri" w:hAnsi="Calibri" w:cstheme="majorHAnsi"/>
          <w:b/>
          <w:bCs/>
          <w:noProof/>
          <w:sz w:val="24"/>
          <w:szCs w:val="24"/>
          <w:lang w:val="en-GB" w:eastAsia="en-GB"/>
        </w:rPr>
        <w:drawing>
          <wp:anchor distT="0" distB="0" distL="114300" distR="114300" simplePos="0" relativeHeight="251659264" behindDoc="1" locked="0" layoutInCell="1" allowOverlap="1" wp14:anchorId="5B70E175" wp14:editId="1486202C">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EF376C">
        <w:rPr>
          <w:rFonts w:ascii="Calibri" w:hAnsi="Calibri" w:cstheme="majorHAnsi"/>
          <w:b/>
          <w:bCs/>
          <w:sz w:val="24"/>
          <w:szCs w:val="24"/>
          <w:lang w:val="fr-CH"/>
        </w:rPr>
        <w:t>13</w:t>
      </w:r>
      <w:r w:rsidRPr="00EF376C">
        <w:rPr>
          <w:rFonts w:ascii="Calibri" w:hAnsi="Calibri" w:cstheme="majorHAnsi"/>
          <w:b/>
          <w:bCs/>
          <w:sz w:val="24"/>
          <w:szCs w:val="24"/>
          <w:vertAlign w:val="superscript"/>
          <w:lang w:val="fr-CH"/>
        </w:rPr>
        <w:t>e</w:t>
      </w:r>
      <w:r w:rsidRPr="00EF376C">
        <w:rPr>
          <w:rFonts w:ascii="Calibri" w:hAnsi="Calibri" w:cstheme="majorHAnsi"/>
          <w:b/>
          <w:bCs/>
          <w:sz w:val="24"/>
          <w:szCs w:val="24"/>
          <w:lang w:val="fr-CH"/>
        </w:rPr>
        <w:t xml:space="preserve"> Session de la Conférence des Parties contractantes </w:t>
      </w:r>
    </w:p>
    <w:p w14:paraId="0EA63A58" w14:textId="77777777" w:rsidR="002F68A9" w:rsidRPr="00EF376C" w:rsidRDefault="002F68A9" w:rsidP="00090C3C">
      <w:pPr>
        <w:spacing w:after="0" w:line="240" w:lineRule="auto"/>
        <w:jc w:val="center"/>
        <w:outlineLvl w:val="0"/>
        <w:rPr>
          <w:rFonts w:ascii="Calibri" w:hAnsi="Calibri" w:cstheme="majorHAnsi"/>
          <w:b/>
          <w:bCs/>
          <w:sz w:val="24"/>
          <w:szCs w:val="24"/>
          <w:lang w:val="fr-CH"/>
        </w:rPr>
      </w:pPr>
      <w:r w:rsidRPr="00EF376C">
        <w:rPr>
          <w:rFonts w:ascii="Calibri" w:hAnsi="Calibri" w:cstheme="majorHAnsi"/>
          <w:b/>
          <w:bCs/>
          <w:sz w:val="24"/>
          <w:szCs w:val="24"/>
          <w:lang w:val="fr-CH"/>
        </w:rPr>
        <w:t>à la Convention de Ramsar sur les zones humides</w:t>
      </w:r>
    </w:p>
    <w:p w14:paraId="1A1905DB" w14:textId="77777777" w:rsidR="002F68A9" w:rsidRPr="00EA553C" w:rsidRDefault="002F68A9" w:rsidP="00090C3C">
      <w:pPr>
        <w:spacing w:after="0" w:line="240" w:lineRule="auto"/>
        <w:jc w:val="center"/>
        <w:outlineLvl w:val="0"/>
        <w:rPr>
          <w:rFonts w:ascii="Calibri" w:hAnsi="Calibri" w:cstheme="majorHAnsi"/>
          <w:b/>
          <w:bCs/>
          <w:lang w:val="fr-CH"/>
        </w:rPr>
      </w:pPr>
    </w:p>
    <w:p w14:paraId="4D026BC3" w14:textId="77777777" w:rsidR="002F68A9" w:rsidRPr="00EF376C" w:rsidRDefault="002F68A9" w:rsidP="00090C3C">
      <w:pPr>
        <w:spacing w:after="0" w:line="240" w:lineRule="auto"/>
        <w:jc w:val="center"/>
        <w:outlineLvl w:val="0"/>
        <w:rPr>
          <w:rFonts w:ascii="Calibri" w:hAnsi="Calibri" w:cstheme="majorHAnsi"/>
          <w:b/>
          <w:bCs/>
          <w:sz w:val="24"/>
          <w:szCs w:val="24"/>
          <w:lang w:val="fr-CH"/>
        </w:rPr>
      </w:pPr>
      <w:r w:rsidRPr="00EF376C">
        <w:rPr>
          <w:rFonts w:ascii="Calibri" w:hAnsi="Calibri" w:cstheme="majorHAnsi"/>
          <w:b/>
          <w:bCs/>
          <w:sz w:val="24"/>
          <w:szCs w:val="24"/>
          <w:lang w:val="fr-CH"/>
        </w:rPr>
        <w:t>« Les zones humides pour un avenir urbain durable »</w:t>
      </w:r>
    </w:p>
    <w:p w14:paraId="70ED036F" w14:textId="77777777" w:rsidR="002F68A9" w:rsidRPr="00EA553C" w:rsidRDefault="002F68A9" w:rsidP="00090C3C">
      <w:pPr>
        <w:spacing w:after="0" w:line="240" w:lineRule="auto"/>
        <w:jc w:val="center"/>
        <w:outlineLvl w:val="0"/>
        <w:rPr>
          <w:rFonts w:ascii="Calibri" w:hAnsi="Calibri" w:cstheme="majorHAnsi"/>
          <w:b/>
          <w:bCs/>
          <w:lang w:val="fr-CH"/>
        </w:rPr>
      </w:pPr>
      <w:r w:rsidRPr="00EF376C">
        <w:rPr>
          <w:rFonts w:ascii="Calibri" w:hAnsi="Calibri" w:cstheme="majorHAnsi"/>
          <w:b/>
          <w:bCs/>
          <w:sz w:val="24"/>
          <w:szCs w:val="24"/>
          <w:lang w:val="fr-CH"/>
        </w:rPr>
        <w:t>Dubaï, Émirats arabes unis, 21 au 29 octobre 2018</w:t>
      </w:r>
    </w:p>
    <w:p w14:paraId="4FA9B33B" w14:textId="77777777" w:rsidR="002F68A9" w:rsidRDefault="002F68A9" w:rsidP="00090C3C">
      <w:pPr>
        <w:spacing w:after="0" w:line="240" w:lineRule="auto"/>
        <w:jc w:val="center"/>
        <w:outlineLvl w:val="0"/>
        <w:rPr>
          <w:rFonts w:ascii="Calibri" w:hAnsi="Calibri"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2F68A9" w:rsidRPr="000E67F8" w14:paraId="36DE0C5D" w14:textId="77777777" w:rsidTr="000A62C3">
        <w:tc>
          <w:tcPr>
            <w:tcW w:w="4708" w:type="dxa"/>
          </w:tcPr>
          <w:p w14:paraId="666FBC1E" w14:textId="77777777" w:rsidR="002F68A9" w:rsidRPr="00EA553C" w:rsidRDefault="002F68A9" w:rsidP="00090C3C">
            <w:pPr>
              <w:spacing w:after="0" w:line="240" w:lineRule="auto"/>
              <w:jc w:val="center"/>
              <w:outlineLvl w:val="0"/>
              <w:rPr>
                <w:rFonts w:ascii="Calibri" w:hAnsi="Calibri" w:cstheme="majorHAnsi"/>
                <w:b/>
                <w:bCs/>
                <w:lang w:val="fr-CH"/>
              </w:rPr>
            </w:pPr>
          </w:p>
        </w:tc>
        <w:tc>
          <w:tcPr>
            <w:tcW w:w="4652" w:type="dxa"/>
          </w:tcPr>
          <w:p w14:paraId="6790BE36" w14:textId="7EB815B6" w:rsidR="002F68A9" w:rsidRPr="00EF376C" w:rsidRDefault="00090C3C" w:rsidP="00090C3C">
            <w:pPr>
              <w:spacing w:after="0" w:line="240" w:lineRule="auto"/>
              <w:jc w:val="right"/>
              <w:outlineLvl w:val="0"/>
              <w:rPr>
                <w:rFonts w:ascii="Calibri" w:hAnsi="Calibri" w:cstheme="majorHAnsi"/>
                <w:b/>
                <w:bCs/>
                <w:sz w:val="24"/>
                <w:szCs w:val="24"/>
                <w:lang w:val="en-US"/>
              </w:rPr>
            </w:pPr>
            <w:r w:rsidRPr="00090C3C">
              <w:rPr>
                <w:rFonts w:ascii="Calibri" w:hAnsi="Calibri" w:cstheme="majorHAnsi"/>
                <w:b/>
                <w:bCs/>
                <w:sz w:val="24"/>
                <w:szCs w:val="24"/>
                <w:lang w:val="en-US"/>
              </w:rPr>
              <w:t>Ramsar COP13 Doc.18.11</w:t>
            </w:r>
          </w:p>
        </w:tc>
      </w:tr>
    </w:tbl>
    <w:p w14:paraId="7F8D1117" w14:textId="77777777" w:rsidR="002F68A9" w:rsidRPr="00090C3C" w:rsidRDefault="002F68A9" w:rsidP="00090C3C">
      <w:pPr>
        <w:spacing w:after="0" w:line="240" w:lineRule="auto"/>
        <w:rPr>
          <w:b/>
          <w:sz w:val="28"/>
          <w:szCs w:val="28"/>
          <w:lang w:val="en-GB"/>
        </w:rPr>
      </w:pPr>
    </w:p>
    <w:p w14:paraId="1E7A4D61" w14:textId="537CF931" w:rsidR="00171C2D" w:rsidRPr="00756A37" w:rsidRDefault="002F68A9" w:rsidP="00090C3C">
      <w:pPr>
        <w:spacing w:after="0" w:line="240" w:lineRule="auto"/>
        <w:jc w:val="center"/>
        <w:rPr>
          <w:rFonts w:eastAsia="Times New Roman" w:cs="Times New Roman"/>
          <w:sz w:val="28"/>
          <w:szCs w:val="28"/>
          <w:lang w:val="fr-CA"/>
        </w:rPr>
      </w:pPr>
      <w:r>
        <w:rPr>
          <w:b/>
          <w:sz w:val="28"/>
          <w:szCs w:val="28"/>
          <w:lang w:val="fr-CA"/>
        </w:rPr>
        <w:t xml:space="preserve">Projet de résolution </w:t>
      </w:r>
      <w:r w:rsidR="00090C3C">
        <w:rPr>
          <w:b/>
          <w:sz w:val="28"/>
          <w:szCs w:val="28"/>
          <w:lang w:val="fr-CA"/>
        </w:rPr>
        <w:t xml:space="preserve">sur la </w:t>
      </w:r>
      <w:r w:rsidR="00757A18">
        <w:rPr>
          <w:b/>
          <w:sz w:val="28"/>
          <w:lang w:val="fr-CA"/>
        </w:rPr>
        <w:t xml:space="preserve">Mission consultative </w:t>
      </w:r>
      <w:r w:rsidR="00E237A3">
        <w:rPr>
          <w:b/>
          <w:sz w:val="28"/>
          <w:lang w:val="fr-CA"/>
        </w:rPr>
        <w:t>Ramsar</w:t>
      </w:r>
    </w:p>
    <w:p w14:paraId="54F74A18" w14:textId="77777777" w:rsidR="00171C2D" w:rsidRPr="00756A37" w:rsidRDefault="00171C2D" w:rsidP="00D876D8">
      <w:pPr>
        <w:spacing w:after="0" w:line="240" w:lineRule="auto"/>
        <w:jc w:val="right"/>
        <w:rPr>
          <w:rFonts w:ascii="Garamond" w:eastAsia="Times New Roman" w:hAnsi="Garamond" w:cs="Times New Roman"/>
          <w:b/>
          <w:lang w:val="fr-CA"/>
        </w:rPr>
      </w:pPr>
    </w:p>
    <w:p w14:paraId="2DE25BFA" w14:textId="77777777" w:rsidR="00171C2D" w:rsidRPr="00756A37" w:rsidRDefault="00757A18" w:rsidP="00090C3C">
      <w:pPr>
        <w:spacing w:after="0" w:line="240" w:lineRule="auto"/>
        <w:rPr>
          <w:rFonts w:eastAsia="Times New Roman" w:cs="Times New Roman"/>
          <w:i/>
          <w:lang w:val="fr-CA" w:eastAsia="el-GR"/>
        </w:rPr>
      </w:pPr>
      <w:r>
        <w:rPr>
          <w:rFonts w:eastAsia="Times New Roman" w:cs="Times New Roman"/>
          <w:i/>
          <w:lang w:val="fr-CA" w:eastAsia="el-GR"/>
        </w:rPr>
        <w:t xml:space="preserve">Présenté par le </w:t>
      </w:r>
      <w:r w:rsidR="00D876D8" w:rsidRPr="00756A37">
        <w:rPr>
          <w:rFonts w:eastAsia="Times New Roman" w:cs="Times New Roman"/>
          <w:i/>
          <w:lang w:val="fr-CA" w:eastAsia="el-GR"/>
        </w:rPr>
        <w:t>Burkina Faso</w:t>
      </w:r>
    </w:p>
    <w:p w14:paraId="5FEF56D1" w14:textId="77777777" w:rsidR="00171C2D" w:rsidRPr="00756A37" w:rsidRDefault="00171C2D" w:rsidP="00090C3C">
      <w:pPr>
        <w:autoSpaceDE w:val="0"/>
        <w:autoSpaceDN w:val="0"/>
        <w:adjustRightInd w:val="0"/>
        <w:spacing w:after="0" w:line="240" w:lineRule="auto"/>
        <w:rPr>
          <w:rFonts w:ascii="Garamond" w:hAnsi="Garamond" w:cs="Arial"/>
          <w:b/>
          <w:sz w:val="24"/>
          <w:szCs w:val="24"/>
          <w:lang w:val="fr-CA"/>
        </w:rPr>
      </w:pPr>
    </w:p>
    <w:p w14:paraId="468C23A5" w14:textId="77777777" w:rsidR="00D876D8" w:rsidRPr="00756A37" w:rsidRDefault="00D876D8" w:rsidP="00090C3C">
      <w:pPr>
        <w:autoSpaceDE w:val="0"/>
        <w:autoSpaceDN w:val="0"/>
        <w:adjustRightInd w:val="0"/>
        <w:spacing w:after="0" w:line="240" w:lineRule="auto"/>
        <w:rPr>
          <w:rFonts w:ascii="Garamond" w:hAnsi="Garamond" w:cs="Cambria,Bold"/>
          <w:b/>
          <w:bCs/>
          <w:sz w:val="24"/>
          <w:szCs w:val="24"/>
          <w:lang w:val="fr-CA"/>
        </w:rPr>
      </w:pPr>
    </w:p>
    <w:p w14:paraId="09403C9F" w14:textId="78D6A843" w:rsidR="00171C2D" w:rsidRPr="00756A37" w:rsidRDefault="00D876D8" w:rsidP="00090C3C">
      <w:pPr>
        <w:autoSpaceDE w:val="0"/>
        <w:autoSpaceDN w:val="0"/>
        <w:adjustRightInd w:val="0"/>
        <w:spacing w:after="0" w:line="240" w:lineRule="auto"/>
        <w:ind w:left="425" w:hanging="425"/>
        <w:rPr>
          <w:rFonts w:cs="Arial"/>
          <w:lang w:val="fr-CA"/>
        </w:rPr>
      </w:pPr>
      <w:r w:rsidRPr="00756A37">
        <w:rPr>
          <w:rFonts w:cs="Arial"/>
          <w:lang w:val="fr-CA"/>
        </w:rPr>
        <w:t>1.</w:t>
      </w:r>
      <w:r w:rsidRPr="00756A37">
        <w:rPr>
          <w:rFonts w:cs="Arial"/>
          <w:lang w:val="fr-CA"/>
        </w:rPr>
        <w:tab/>
      </w:r>
      <w:r w:rsidR="00171C2D" w:rsidRPr="00756A37">
        <w:rPr>
          <w:rFonts w:cs="Arial"/>
          <w:lang w:val="fr-CA"/>
        </w:rPr>
        <w:t>R</w:t>
      </w:r>
      <w:r w:rsidR="00757A18">
        <w:rPr>
          <w:rFonts w:cs="Arial"/>
          <w:lang w:val="fr-CA"/>
        </w:rPr>
        <w:t>APPELANT la Recommandation </w:t>
      </w:r>
      <w:r w:rsidR="00171C2D" w:rsidRPr="00756A37">
        <w:rPr>
          <w:rFonts w:cs="Arial"/>
          <w:lang w:val="fr-CA"/>
        </w:rPr>
        <w:t>4.7</w:t>
      </w:r>
      <w:r w:rsidR="002F68A9">
        <w:rPr>
          <w:rFonts w:cs="Arial"/>
          <w:lang w:val="fr-CA"/>
        </w:rPr>
        <w:t xml:space="preserve">, </w:t>
      </w:r>
      <w:r w:rsidR="002F68A9" w:rsidRPr="002F68A9">
        <w:rPr>
          <w:rFonts w:cs="Arial"/>
          <w:i/>
          <w:lang w:val="fr-CA"/>
        </w:rPr>
        <w:t xml:space="preserve">Mécanismes </w:t>
      </w:r>
      <w:r w:rsidR="00332784">
        <w:rPr>
          <w:rFonts w:cs="Arial"/>
          <w:i/>
          <w:lang w:val="fr-CA"/>
        </w:rPr>
        <w:t>permettant</w:t>
      </w:r>
      <w:r w:rsidR="002F68A9" w:rsidRPr="002F68A9">
        <w:rPr>
          <w:rFonts w:cs="Arial"/>
          <w:i/>
          <w:lang w:val="fr-CA"/>
        </w:rPr>
        <w:t xml:space="preserve"> </w:t>
      </w:r>
      <w:r w:rsidR="00332784">
        <w:rPr>
          <w:rFonts w:cs="Arial"/>
          <w:i/>
          <w:lang w:val="fr-CA"/>
        </w:rPr>
        <w:t>d’</w:t>
      </w:r>
      <w:r w:rsidR="002F68A9" w:rsidRPr="002F68A9">
        <w:rPr>
          <w:rFonts w:cs="Arial"/>
          <w:i/>
          <w:lang w:val="fr-CA"/>
        </w:rPr>
        <w:t>améliorer l’application de la Convention,</w:t>
      </w:r>
      <w:r w:rsidR="00171C2D" w:rsidRPr="00756A37">
        <w:rPr>
          <w:rFonts w:cs="Arial"/>
          <w:lang w:val="fr-CA"/>
        </w:rPr>
        <w:t xml:space="preserve"> </w:t>
      </w:r>
      <w:r w:rsidR="00927DBC">
        <w:rPr>
          <w:rFonts w:cs="Arial"/>
          <w:lang w:val="fr-CA"/>
        </w:rPr>
        <w:t>selon laquelle</w:t>
      </w:r>
      <w:r w:rsidR="00757A18">
        <w:rPr>
          <w:rFonts w:cs="Arial"/>
          <w:lang w:val="fr-CA"/>
        </w:rPr>
        <w:t>, lorsqu’il est porté à l’attention du Secrétariat qu’un Site Ramsar est confronté à des changements dans ses caractéristiques</w:t>
      </w:r>
      <w:r w:rsidR="009D4135">
        <w:rPr>
          <w:rFonts w:cs="Arial"/>
          <w:lang w:val="fr-CA"/>
        </w:rPr>
        <w:t xml:space="preserve"> </w:t>
      </w:r>
      <w:r w:rsidR="00757A18">
        <w:rPr>
          <w:rFonts w:cs="Arial"/>
          <w:lang w:val="fr-CA"/>
        </w:rPr>
        <w:t xml:space="preserve">écologiques, </w:t>
      </w:r>
      <w:r w:rsidR="004B102C">
        <w:rPr>
          <w:rFonts w:cs="Arial"/>
          <w:lang w:val="fr-CA"/>
        </w:rPr>
        <w:t>le Secrétariat</w:t>
      </w:r>
      <w:r w:rsidR="00757A18">
        <w:rPr>
          <w:rFonts w:cs="Arial"/>
          <w:lang w:val="fr-CA"/>
        </w:rPr>
        <w:t xml:space="preserve"> propose, s’il y a lieu, une Mission consultative Ramsar (MCR) pour aider l</w:t>
      </w:r>
      <w:r w:rsidR="00856AA1">
        <w:rPr>
          <w:rFonts w:cs="Arial"/>
          <w:lang w:val="fr-CA"/>
        </w:rPr>
        <w:t>a</w:t>
      </w:r>
      <w:r w:rsidR="00757A18">
        <w:rPr>
          <w:rFonts w:cs="Arial"/>
          <w:lang w:val="fr-CA"/>
        </w:rPr>
        <w:t xml:space="preserve"> Partie contractante</w:t>
      </w:r>
      <w:r w:rsidR="00856AA1">
        <w:rPr>
          <w:rFonts w:cs="Arial"/>
          <w:lang w:val="fr-CA"/>
        </w:rPr>
        <w:t xml:space="preserve"> concernée à remédier aux</w:t>
      </w:r>
      <w:r w:rsidR="00757A18">
        <w:rPr>
          <w:rFonts w:cs="Arial"/>
          <w:lang w:val="fr-CA"/>
        </w:rPr>
        <w:t xml:space="preserve"> changements; </w:t>
      </w:r>
    </w:p>
    <w:p w14:paraId="006264C6" w14:textId="77777777" w:rsidR="00171C2D" w:rsidRPr="00756A37" w:rsidRDefault="00171C2D" w:rsidP="00090C3C">
      <w:pPr>
        <w:pStyle w:val="ListParagraph"/>
        <w:autoSpaceDE w:val="0"/>
        <w:autoSpaceDN w:val="0"/>
        <w:adjustRightInd w:val="0"/>
        <w:spacing w:after="0" w:line="240" w:lineRule="auto"/>
        <w:ind w:left="425" w:hanging="425"/>
        <w:rPr>
          <w:rFonts w:cs="Arial"/>
          <w:lang w:val="fr-CA"/>
        </w:rPr>
      </w:pPr>
    </w:p>
    <w:p w14:paraId="59C0BE92" w14:textId="200EFC29" w:rsidR="00171C2D" w:rsidRPr="00756A37" w:rsidRDefault="00D876D8" w:rsidP="00090C3C">
      <w:pPr>
        <w:autoSpaceDE w:val="0"/>
        <w:autoSpaceDN w:val="0"/>
        <w:adjustRightInd w:val="0"/>
        <w:spacing w:after="0" w:line="240" w:lineRule="auto"/>
        <w:ind w:left="425" w:hanging="425"/>
        <w:rPr>
          <w:rFonts w:cs="Arial"/>
          <w:lang w:val="fr-CA"/>
        </w:rPr>
      </w:pPr>
      <w:r w:rsidRPr="00756A37">
        <w:rPr>
          <w:rFonts w:cs="Arial"/>
          <w:lang w:val="fr-CA"/>
        </w:rPr>
        <w:t>2.</w:t>
      </w:r>
      <w:r w:rsidRPr="00756A37">
        <w:rPr>
          <w:rFonts w:cs="Arial"/>
          <w:lang w:val="fr-CA"/>
        </w:rPr>
        <w:tab/>
      </w:r>
      <w:r w:rsidR="00171C2D" w:rsidRPr="00756A37">
        <w:rPr>
          <w:rFonts w:cs="Arial"/>
          <w:lang w:val="fr-CA"/>
        </w:rPr>
        <w:t>NOT</w:t>
      </w:r>
      <w:r w:rsidR="00757A18">
        <w:rPr>
          <w:rFonts w:cs="Arial"/>
          <w:lang w:val="fr-CA"/>
        </w:rPr>
        <w:t>ANT qu</w:t>
      </w:r>
      <w:r w:rsidR="007E5125">
        <w:rPr>
          <w:rFonts w:cs="Arial"/>
          <w:lang w:val="fr-CA"/>
        </w:rPr>
        <w:t>e jusqu’</w:t>
      </w:r>
      <w:r w:rsidR="00757A18">
        <w:rPr>
          <w:rFonts w:cs="Arial"/>
          <w:lang w:val="fr-CA"/>
        </w:rPr>
        <w:t>en décembre </w:t>
      </w:r>
      <w:r w:rsidR="00171C2D" w:rsidRPr="00756A37">
        <w:rPr>
          <w:rFonts w:cs="Arial"/>
          <w:lang w:val="fr-CA"/>
        </w:rPr>
        <w:t xml:space="preserve">2016, </w:t>
      </w:r>
      <w:r w:rsidR="00757A18">
        <w:rPr>
          <w:rFonts w:cs="Arial"/>
          <w:lang w:val="fr-CA"/>
        </w:rPr>
        <w:t>pour toutes les Régions Ramsar, 82 </w:t>
      </w:r>
      <w:r w:rsidR="00856AA1">
        <w:rPr>
          <w:rFonts w:cs="Arial"/>
          <w:lang w:val="fr-CA"/>
        </w:rPr>
        <w:t xml:space="preserve">procédures </w:t>
      </w:r>
      <w:r w:rsidR="004B102C">
        <w:rPr>
          <w:rFonts w:cs="Arial"/>
          <w:lang w:val="fr-CA"/>
        </w:rPr>
        <w:t xml:space="preserve">de MCR </w:t>
      </w:r>
      <w:r w:rsidR="00856AA1">
        <w:rPr>
          <w:rFonts w:cs="Arial"/>
          <w:lang w:val="fr-CA"/>
        </w:rPr>
        <w:t>avaient été appliquées avec</w:t>
      </w:r>
      <w:r w:rsidR="00757A18">
        <w:rPr>
          <w:rFonts w:cs="Arial"/>
          <w:lang w:val="fr-CA"/>
        </w:rPr>
        <w:t xml:space="preserve"> des résultats positifs; et FÉLICITANT les Parties </w:t>
      </w:r>
      <w:r w:rsidR="007E5125">
        <w:rPr>
          <w:rFonts w:cs="Arial"/>
          <w:lang w:val="fr-CA"/>
        </w:rPr>
        <w:t xml:space="preserve">contractantes </w:t>
      </w:r>
      <w:r w:rsidR="00757A18">
        <w:rPr>
          <w:rFonts w:cs="Arial"/>
          <w:lang w:val="fr-CA"/>
        </w:rPr>
        <w:t>qui ont</w:t>
      </w:r>
      <w:r w:rsidR="007E5125">
        <w:rPr>
          <w:rFonts w:cs="Arial"/>
          <w:lang w:val="fr-CA"/>
        </w:rPr>
        <w:t>,</w:t>
      </w:r>
      <w:r w:rsidR="00757A18">
        <w:rPr>
          <w:rFonts w:cs="Arial"/>
          <w:lang w:val="fr-CA"/>
        </w:rPr>
        <w:t xml:space="preserve"> à ce jour</w:t>
      </w:r>
      <w:r w:rsidR="007E5125">
        <w:rPr>
          <w:rFonts w:cs="Arial"/>
          <w:lang w:val="fr-CA"/>
        </w:rPr>
        <w:t>,</w:t>
      </w:r>
      <w:r w:rsidR="00757A18">
        <w:rPr>
          <w:rFonts w:cs="Arial"/>
          <w:lang w:val="fr-CA"/>
        </w:rPr>
        <w:t xml:space="preserve"> </w:t>
      </w:r>
      <w:r w:rsidR="00AF2B33">
        <w:rPr>
          <w:rFonts w:cs="Arial"/>
          <w:lang w:val="fr-CA"/>
        </w:rPr>
        <w:t xml:space="preserve">utilisé </w:t>
      </w:r>
      <w:r w:rsidR="00757A18">
        <w:rPr>
          <w:rFonts w:cs="Arial"/>
          <w:lang w:val="fr-CA"/>
        </w:rPr>
        <w:t xml:space="preserve">la MCR afin de trouver des solutions constructives aux difficultés qu’elles rencontrent et comme contribution à leurs efforts </w:t>
      </w:r>
      <w:r w:rsidR="00856AA1">
        <w:rPr>
          <w:rFonts w:cs="Arial"/>
          <w:lang w:val="fr-CA"/>
        </w:rPr>
        <w:t>d’</w:t>
      </w:r>
      <w:r w:rsidR="00757A18">
        <w:rPr>
          <w:rFonts w:cs="Arial"/>
          <w:lang w:val="fr-CA"/>
        </w:rPr>
        <w:t>application efficace de la Convention;</w:t>
      </w:r>
    </w:p>
    <w:p w14:paraId="525BBB2F" w14:textId="77777777" w:rsidR="00171C2D" w:rsidRPr="00756A37" w:rsidRDefault="00171C2D" w:rsidP="00090C3C">
      <w:pPr>
        <w:pStyle w:val="ListParagraph"/>
        <w:spacing w:after="0" w:line="240" w:lineRule="auto"/>
        <w:ind w:left="425" w:hanging="425"/>
        <w:rPr>
          <w:rFonts w:cs="Arial"/>
          <w:lang w:val="fr-CA"/>
        </w:rPr>
      </w:pPr>
    </w:p>
    <w:p w14:paraId="2428E1A1" w14:textId="79EC6617" w:rsidR="00171C2D" w:rsidRDefault="00D876D8" w:rsidP="00090C3C">
      <w:pPr>
        <w:autoSpaceDE w:val="0"/>
        <w:autoSpaceDN w:val="0"/>
        <w:adjustRightInd w:val="0"/>
        <w:spacing w:after="0" w:line="240" w:lineRule="auto"/>
        <w:ind w:left="425" w:hanging="425"/>
        <w:rPr>
          <w:rFonts w:cs="Arial"/>
          <w:lang w:val="fr-CA"/>
        </w:rPr>
      </w:pPr>
      <w:r w:rsidRPr="00756A37">
        <w:rPr>
          <w:rFonts w:cs="Arial"/>
          <w:lang w:val="fr-CA"/>
        </w:rPr>
        <w:t>3.</w:t>
      </w:r>
      <w:r w:rsidRPr="00756A37">
        <w:rPr>
          <w:rFonts w:cs="Arial"/>
          <w:lang w:val="fr-CA"/>
        </w:rPr>
        <w:tab/>
      </w:r>
      <w:r w:rsidR="00171C2D" w:rsidRPr="00756A37">
        <w:rPr>
          <w:rFonts w:cs="Arial"/>
          <w:lang w:val="fr-CA"/>
        </w:rPr>
        <w:t>RECO</w:t>
      </w:r>
      <w:r w:rsidR="00757A18">
        <w:rPr>
          <w:rFonts w:cs="Arial"/>
          <w:lang w:val="fr-CA"/>
        </w:rPr>
        <w:t xml:space="preserve">NNAISSANT </w:t>
      </w:r>
      <w:r w:rsidR="00010801">
        <w:rPr>
          <w:rFonts w:cs="Arial"/>
          <w:lang w:val="fr-CA"/>
        </w:rPr>
        <w:t>qu’il importe</w:t>
      </w:r>
      <w:r w:rsidR="00757A18">
        <w:rPr>
          <w:rFonts w:cs="Arial"/>
          <w:lang w:val="fr-CA"/>
        </w:rPr>
        <w:t xml:space="preserve"> de sou</w:t>
      </w:r>
      <w:r w:rsidR="000A3B64">
        <w:rPr>
          <w:rFonts w:cs="Arial"/>
          <w:lang w:val="fr-CA"/>
        </w:rPr>
        <w:t>tenir</w:t>
      </w:r>
      <w:r w:rsidR="00757A18">
        <w:rPr>
          <w:rFonts w:cs="Arial"/>
          <w:lang w:val="fr-CA"/>
        </w:rPr>
        <w:t xml:space="preserve"> et promouvoir une plus </w:t>
      </w:r>
      <w:r w:rsidR="00010801">
        <w:rPr>
          <w:rFonts w:cs="Arial"/>
          <w:lang w:val="fr-CA"/>
        </w:rPr>
        <w:t>large</w:t>
      </w:r>
      <w:r w:rsidR="00757A18">
        <w:rPr>
          <w:rFonts w:cs="Arial"/>
          <w:lang w:val="fr-CA"/>
        </w:rPr>
        <w:t xml:space="preserve"> application de la MCR</w:t>
      </w:r>
      <w:r w:rsidR="00AF2B33">
        <w:rPr>
          <w:rFonts w:cs="Arial"/>
          <w:lang w:val="fr-CA"/>
        </w:rPr>
        <w:t xml:space="preserve"> comme </w:t>
      </w:r>
      <w:r w:rsidR="00757A18">
        <w:rPr>
          <w:rFonts w:cs="Arial"/>
          <w:lang w:val="fr-CA"/>
        </w:rPr>
        <w:t xml:space="preserve"> outil important et utile</w:t>
      </w:r>
      <w:r w:rsidR="00AF2B33">
        <w:rPr>
          <w:rFonts w:cs="Arial"/>
          <w:lang w:val="fr-CA"/>
        </w:rPr>
        <w:t xml:space="preserve"> </w:t>
      </w:r>
      <w:r w:rsidR="00757A18">
        <w:rPr>
          <w:rFonts w:cs="Arial"/>
          <w:lang w:val="fr-CA"/>
        </w:rPr>
        <w:t>pour aider les Parties</w:t>
      </w:r>
      <w:r w:rsidR="007E5125">
        <w:rPr>
          <w:rFonts w:cs="Arial"/>
          <w:lang w:val="fr-CA"/>
        </w:rPr>
        <w:t xml:space="preserve"> contractantes</w:t>
      </w:r>
      <w:r w:rsidR="00757A18">
        <w:rPr>
          <w:rFonts w:cs="Arial"/>
          <w:lang w:val="fr-CA"/>
        </w:rPr>
        <w:t xml:space="preserve"> à appliquer la Convention; </w:t>
      </w:r>
    </w:p>
    <w:p w14:paraId="0C6C3BA2" w14:textId="1D447517" w:rsidR="009814B9" w:rsidRPr="00756A37" w:rsidRDefault="009814B9" w:rsidP="00090C3C">
      <w:pPr>
        <w:autoSpaceDE w:val="0"/>
        <w:autoSpaceDN w:val="0"/>
        <w:adjustRightInd w:val="0"/>
        <w:spacing w:after="0" w:line="240" w:lineRule="auto"/>
        <w:ind w:left="425" w:hanging="425"/>
        <w:rPr>
          <w:rFonts w:cs="Arial"/>
          <w:lang w:val="fr-CA"/>
        </w:rPr>
      </w:pPr>
    </w:p>
    <w:p w14:paraId="5E6EAF81" w14:textId="77777777" w:rsidR="0044679E" w:rsidRDefault="00D876D8" w:rsidP="00090C3C">
      <w:pPr>
        <w:autoSpaceDE w:val="0"/>
        <w:autoSpaceDN w:val="0"/>
        <w:adjustRightInd w:val="0"/>
        <w:spacing w:after="0" w:line="240" w:lineRule="auto"/>
        <w:ind w:left="425" w:hanging="425"/>
        <w:rPr>
          <w:rFonts w:cs="Arial"/>
          <w:lang w:val="fr-CA"/>
        </w:rPr>
      </w:pPr>
      <w:r w:rsidRPr="00756A37">
        <w:rPr>
          <w:rFonts w:cs="Arial"/>
          <w:lang w:val="fr-CA"/>
        </w:rPr>
        <w:t>4.</w:t>
      </w:r>
      <w:r w:rsidRPr="00756A37">
        <w:rPr>
          <w:rFonts w:cs="Arial"/>
          <w:lang w:val="fr-CA"/>
        </w:rPr>
        <w:tab/>
      </w:r>
      <w:r w:rsidR="0044679E">
        <w:rPr>
          <w:rFonts w:cs="Arial"/>
          <w:lang w:val="fr-CA"/>
        </w:rPr>
        <w:t>RECONNAISSANT EN OUTRE la contribution importante que le Groupe d’évaluation scientifique et technique (GEST), les Organisations internationales partenaires (OIP) et autres acteurs ont apportée à l’application du processus de MCR en 30 ans d’histoire;</w:t>
      </w:r>
    </w:p>
    <w:p w14:paraId="6DF38446" w14:textId="77777777" w:rsidR="00171C2D" w:rsidRPr="008235CD" w:rsidRDefault="00171C2D" w:rsidP="00090C3C">
      <w:pPr>
        <w:autoSpaceDE w:val="0"/>
        <w:autoSpaceDN w:val="0"/>
        <w:adjustRightInd w:val="0"/>
        <w:spacing w:after="0" w:line="240" w:lineRule="auto"/>
        <w:ind w:left="425" w:hanging="425"/>
        <w:rPr>
          <w:rFonts w:cs="Arial"/>
          <w:lang w:val="fr-CA"/>
        </w:rPr>
      </w:pPr>
    </w:p>
    <w:p w14:paraId="32266B44" w14:textId="501FF619" w:rsidR="00171C2D" w:rsidRDefault="00D876D8" w:rsidP="00090C3C">
      <w:pPr>
        <w:autoSpaceDE w:val="0"/>
        <w:autoSpaceDN w:val="0"/>
        <w:adjustRightInd w:val="0"/>
        <w:spacing w:after="0" w:line="240" w:lineRule="auto"/>
        <w:ind w:left="425" w:hanging="425"/>
        <w:rPr>
          <w:rFonts w:cs="Arial"/>
          <w:lang w:val="fr-CH"/>
        </w:rPr>
      </w:pPr>
      <w:r w:rsidRPr="00756A37">
        <w:rPr>
          <w:rFonts w:cs="Arial"/>
          <w:lang w:val="fr-CA"/>
        </w:rPr>
        <w:t>5.</w:t>
      </w:r>
      <w:r w:rsidRPr="00756A37">
        <w:rPr>
          <w:rFonts w:cs="Arial"/>
          <w:lang w:val="fr-CA"/>
        </w:rPr>
        <w:tab/>
      </w:r>
      <w:r w:rsidR="008235CD">
        <w:rPr>
          <w:rFonts w:cs="Arial"/>
          <w:lang w:val="fr-CA"/>
        </w:rPr>
        <w:t xml:space="preserve">SE FÉLICITANT des travaux accomplis par le GEST, dans la période triennale écoulée, pour examiner et analyser de manière exhaustive le contenu des rapports de 82 missions de MCR, et SE FÉLICITANT EN OUTRE de la </w:t>
      </w:r>
      <w:r w:rsidR="008235CD">
        <w:rPr>
          <w:rFonts w:cs="Arial"/>
          <w:i/>
          <w:lang w:val="fr-CA"/>
        </w:rPr>
        <w:t>Note d’information</w:t>
      </w:r>
      <w:r w:rsidR="008235CD">
        <w:rPr>
          <w:rFonts w:cs="Arial"/>
          <w:lang w:val="fr-CA"/>
        </w:rPr>
        <w:t xml:space="preserve"> et </w:t>
      </w:r>
      <w:r w:rsidR="007E5125">
        <w:rPr>
          <w:rFonts w:cs="Arial"/>
          <w:lang w:val="fr-CA"/>
        </w:rPr>
        <w:t xml:space="preserve">de </w:t>
      </w:r>
      <w:r w:rsidR="008235CD">
        <w:rPr>
          <w:rFonts w:cs="Arial"/>
          <w:lang w:val="fr-CA"/>
        </w:rPr>
        <w:t>la</w:t>
      </w:r>
      <w:r w:rsidR="008235CD" w:rsidRPr="00756A37">
        <w:rPr>
          <w:rFonts w:cs="Arial"/>
          <w:lang w:val="fr-CA"/>
        </w:rPr>
        <w:t xml:space="preserve"> </w:t>
      </w:r>
      <w:r w:rsidR="008235CD">
        <w:rPr>
          <w:rFonts w:cs="Arial"/>
          <w:i/>
          <w:lang w:val="fr-CA"/>
        </w:rPr>
        <w:t xml:space="preserve">Note d’orientation </w:t>
      </w:r>
      <w:r w:rsidR="008235CD" w:rsidRPr="007E5125">
        <w:rPr>
          <w:rFonts w:cs="Arial"/>
          <w:lang w:val="fr-CA"/>
        </w:rPr>
        <w:t>sur l</w:t>
      </w:r>
      <w:r w:rsidR="007E5125">
        <w:rPr>
          <w:rFonts w:cs="Arial"/>
          <w:lang w:val="fr-CA"/>
        </w:rPr>
        <w:t>a MCR</w:t>
      </w:r>
      <w:r w:rsidR="008235CD" w:rsidRPr="007E5125">
        <w:rPr>
          <w:rFonts w:cs="Arial"/>
          <w:lang w:val="fr-CA"/>
        </w:rPr>
        <w:t xml:space="preserve"> </w:t>
      </w:r>
      <w:r w:rsidR="008235CD">
        <w:rPr>
          <w:rFonts w:cs="Arial"/>
          <w:lang w:val="fr-CA"/>
        </w:rPr>
        <w:t>qui en ont découlé et qui ont été publiées en 2018;</w:t>
      </w:r>
      <w:r w:rsidR="009E1ADC" w:rsidRPr="009814B9">
        <w:rPr>
          <w:rFonts w:cs="Arial"/>
          <w:lang w:val="fr-CH"/>
        </w:rPr>
        <w:t xml:space="preserve"> </w:t>
      </w:r>
    </w:p>
    <w:p w14:paraId="06EDD0AB" w14:textId="77777777" w:rsidR="00171C2D" w:rsidRPr="00756A37" w:rsidRDefault="00171C2D" w:rsidP="00090C3C">
      <w:pPr>
        <w:pStyle w:val="ListParagraph"/>
        <w:spacing w:after="0" w:line="240" w:lineRule="auto"/>
        <w:ind w:left="425" w:hanging="425"/>
        <w:rPr>
          <w:rFonts w:cs="Arial"/>
          <w:lang w:val="fr-CA"/>
        </w:rPr>
      </w:pPr>
    </w:p>
    <w:p w14:paraId="6C6AF61A" w14:textId="493CE79B" w:rsidR="00171C2D" w:rsidRPr="00756A37" w:rsidRDefault="00D876D8" w:rsidP="00090C3C">
      <w:pPr>
        <w:autoSpaceDE w:val="0"/>
        <w:autoSpaceDN w:val="0"/>
        <w:adjustRightInd w:val="0"/>
        <w:spacing w:after="0" w:line="240" w:lineRule="auto"/>
        <w:ind w:left="425" w:hanging="425"/>
        <w:rPr>
          <w:rFonts w:cs="Arial"/>
          <w:lang w:val="fr-CA"/>
        </w:rPr>
      </w:pPr>
      <w:r w:rsidRPr="00756A37">
        <w:rPr>
          <w:rFonts w:cs="Arial"/>
          <w:lang w:val="fr-CA"/>
        </w:rPr>
        <w:t>6.</w:t>
      </w:r>
      <w:r w:rsidRPr="00756A37">
        <w:rPr>
          <w:rFonts w:cs="Arial"/>
          <w:lang w:val="fr-CA"/>
        </w:rPr>
        <w:tab/>
      </w:r>
      <w:r w:rsidR="009D4135" w:rsidRPr="00756A37">
        <w:rPr>
          <w:rFonts w:cs="Arial"/>
          <w:lang w:val="fr-CA"/>
        </w:rPr>
        <w:t>NOT</w:t>
      </w:r>
      <w:r w:rsidR="009D4135">
        <w:rPr>
          <w:rFonts w:cs="Arial"/>
          <w:lang w:val="fr-CA"/>
        </w:rPr>
        <w:t xml:space="preserve">ANT qu’il n’y a pas eu d’attribution du budget administratif pour soutenir l’application de </w:t>
      </w:r>
      <w:r w:rsidR="007E5125">
        <w:rPr>
          <w:rFonts w:cs="Arial"/>
          <w:lang w:val="fr-CA"/>
        </w:rPr>
        <w:t xml:space="preserve">la </w:t>
      </w:r>
      <w:r w:rsidR="009D4135">
        <w:rPr>
          <w:rFonts w:cs="Arial"/>
          <w:lang w:val="fr-CA"/>
        </w:rPr>
        <w:t xml:space="preserve">MCR depuis la </w:t>
      </w:r>
      <w:r w:rsidR="007E5125">
        <w:rPr>
          <w:rFonts w:cs="Arial"/>
          <w:lang w:val="fr-CA"/>
        </w:rPr>
        <w:t>7</w:t>
      </w:r>
      <w:r w:rsidR="007E5125" w:rsidRPr="007E5125">
        <w:rPr>
          <w:rFonts w:cs="Arial"/>
          <w:vertAlign w:val="superscript"/>
          <w:lang w:val="fr-CA"/>
        </w:rPr>
        <w:t>e</w:t>
      </w:r>
      <w:r w:rsidR="007E5125">
        <w:rPr>
          <w:rFonts w:cs="Arial"/>
          <w:lang w:val="fr-CA"/>
        </w:rPr>
        <w:t xml:space="preserve"> Session de la Conférence des parties contractantes</w:t>
      </w:r>
      <w:r w:rsidR="009D4135">
        <w:rPr>
          <w:rFonts w:cs="Arial"/>
          <w:lang w:val="fr-CA"/>
        </w:rPr>
        <w:t xml:space="preserve">, en 1999, </w:t>
      </w:r>
      <w:r w:rsidR="00EF376C">
        <w:rPr>
          <w:rFonts w:cs="Arial"/>
          <w:lang w:val="fr-CA"/>
        </w:rPr>
        <w:t>et</w:t>
      </w:r>
      <w:r w:rsidR="009D4135" w:rsidRPr="00EA23B3">
        <w:rPr>
          <w:rFonts w:cs="Arial"/>
          <w:lang w:val="fr-CA"/>
        </w:rPr>
        <w:t xml:space="preserve"> </w:t>
      </w:r>
      <w:r w:rsidR="008B218B" w:rsidRPr="00EA23B3">
        <w:rPr>
          <w:rFonts w:cs="Arial"/>
          <w:lang w:val="fr-CA"/>
        </w:rPr>
        <w:t xml:space="preserve">que </w:t>
      </w:r>
      <w:r w:rsidR="009D4135" w:rsidRPr="00EA23B3">
        <w:rPr>
          <w:rFonts w:cs="Arial"/>
          <w:lang w:val="fr-CA"/>
        </w:rPr>
        <w:t xml:space="preserve">le financement non administratif a été </w:t>
      </w:r>
      <w:r w:rsidR="00EF376C">
        <w:rPr>
          <w:rFonts w:cs="Arial"/>
          <w:lang w:val="fr-CA"/>
        </w:rPr>
        <w:t>dépensé</w:t>
      </w:r>
      <w:r w:rsidR="00090C3C">
        <w:rPr>
          <w:rFonts w:cs="Arial"/>
          <w:lang w:val="fr-CA"/>
        </w:rPr>
        <w:t xml:space="preserve"> depuis lors; et</w:t>
      </w:r>
    </w:p>
    <w:p w14:paraId="5E70364F" w14:textId="77777777" w:rsidR="00171C2D" w:rsidRPr="00756A37" w:rsidRDefault="00171C2D" w:rsidP="00090C3C">
      <w:pPr>
        <w:pStyle w:val="ListParagraph"/>
        <w:autoSpaceDE w:val="0"/>
        <w:autoSpaceDN w:val="0"/>
        <w:adjustRightInd w:val="0"/>
        <w:spacing w:after="0" w:line="240" w:lineRule="auto"/>
        <w:ind w:left="0"/>
        <w:rPr>
          <w:rFonts w:cs="Arial"/>
          <w:lang w:val="fr-CA"/>
        </w:rPr>
      </w:pPr>
    </w:p>
    <w:p w14:paraId="713477DD" w14:textId="3D60D50C" w:rsidR="00171C2D" w:rsidRPr="00756A37" w:rsidRDefault="00D876D8" w:rsidP="00090C3C">
      <w:pPr>
        <w:autoSpaceDE w:val="0"/>
        <w:autoSpaceDN w:val="0"/>
        <w:adjustRightInd w:val="0"/>
        <w:spacing w:after="0" w:line="240" w:lineRule="auto"/>
        <w:ind w:left="425" w:hanging="425"/>
        <w:rPr>
          <w:rFonts w:cs="Arial"/>
          <w:lang w:val="fr-CA"/>
        </w:rPr>
      </w:pPr>
      <w:r w:rsidRPr="00756A37">
        <w:rPr>
          <w:rFonts w:cs="Arial"/>
          <w:lang w:val="fr-CA"/>
        </w:rPr>
        <w:t>7.</w:t>
      </w:r>
      <w:r w:rsidRPr="00756A37">
        <w:rPr>
          <w:rFonts w:cs="Arial"/>
          <w:lang w:val="fr-CA"/>
        </w:rPr>
        <w:tab/>
      </w:r>
      <w:r w:rsidR="00856AA1">
        <w:rPr>
          <w:rFonts w:cs="Arial"/>
          <w:lang w:val="fr-CA"/>
        </w:rPr>
        <w:t>CONSCIENTE de</w:t>
      </w:r>
      <w:r w:rsidR="00D60D70">
        <w:rPr>
          <w:rFonts w:cs="Arial"/>
          <w:lang w:val="fr-CA"/>
        </w:rPr>
        <w:t xml:space="preserve"> l</w:t>
      </w:r>
      <w:r w:rsidR="00856AA1">
        <w:rPr>
          <w:rFonts w:cs="Arial"/>
          <w:lang w:val="fr-CA"/>
        </w:rPr>
        <w:t>’intérêt</w:t>
      </w:r>
      <w:r w:rsidR="00D60D70">
        <w:rPr>
          <w:rFonts w:cs="Arial"/>
          <w:lang w:val="fr-CA"/>
        </w:rPr>
        <w:t xml:space="preserve"> de</w:t>
      </w:r>
      <w:r w:rsidR="004B102C">
        <w:rPr>
          <w:rFonts w:cs="Arial"/>
          <w:lang w:val="fr-CA"/>
        </w:rPr>
        <w:t xml:space="preserve"> la</w:t>
      </w:r>
      <w:r w:rsidR="00D60D70">
        <w:rPr>
          <w:rFonts w:cs="Arial"/>
          <w:lang w:val="fr-CA"/>
        </w:rPr>
        <w:t xml:space="preserve"> MCR </w:t>
      </w:r>
      <w:r w:rsidR="00856AA1">
        <w:rPr>
          <w:rFonts w:cs="Arial"/>
          <w:lang w:val="fr-CA"/>
        </w:rPr>
        <w:t>pour</w:t>
      </w:r>
      <w:r w:rsidR="00D60D70">
        <w:rPr>
          <w:rFonts w:cs="Arial"/>
          <w:lang w:val="fr-CA"/>
        </w:rPr>
        <w:t xml:space="preserve"> la visibilité de la Convention</w:t>
      </w:r>
      <w:r w:rsidR="00856AA1">
        <w:rPr>
          <w:rFonts w:cs="Arial"/>
          <w:lang w:val="fr-CA"/>
        </w:rPr>
        <w:t xml:space="preserve"> et</w:t>
      </w:r>
      <w:r w:rsidR="00D60D70">
        <w:rPr>
          <w:rFonts w:cs="Arial"/>
          <w:lang w:val="fr-CA"/>
        </w:rPr>
        <w:t xml:space="preserve"> </w:t>
      </w:r>
      <w:r w:rsidR="00856AA1">
        <w:rPr>
          <w:rFonts w:cs="Arial"/>
          <w:lang w:val="fr-CA"/>
        </w:rPr>
        <w:t xml:space="preserve">pour </w:t>
      </w:r>
      <w:r w:rsidR="00D60D70">
        <w:rPr>
          <w:rFonts w:cs="Arial"/>
          <w:lang w:val="fr-CA"/>
        </w:rPr>
        <w:t>soulign</w:t>
      </w:r>
      <w:r w:rsidR="00856AA1">
        <w:rPr>
          <w:rFonts w:cs="Arial"/>
          <w:lang w:val="fr-CA"/>
        </w:rPr>
        <w:t>er</w:t>
      </w:r>
      <w:r w:rsidR="00D60D70">
        <w:rPr>
          <w:rFonts w:cs="Arial"/>
          <w:lang w:val="fr-CA"/>
        </w:rPr>
        <w:t xml:space="preserve"> l’engagement des Parties contractantes et contribu</w:t>
      </w:r>
      <w:r w:rsidR="00856AA1">
        <w:rPr>
          <w:rFonts w:cs="Arial"/>
          <w:lang w:val="fr-CA"/>
        </w:rPr>
        <w:t>er</w:t>
      </w:r>
      <w:r w:rsidR="00D60D70">
        <w:rPr>
          <w:rFonts w:cs="Arial"/>
          <w:lang w:val="fr-CA"/>
        </w:rPr>
        <w:t xml:space="preserve"> à la sensibilisation du public à la conservation et à l’utilisation rationnelle des zones humides;</w:t>
      </w:r>
    </w:p>
    <w:p w14:paraId="04E744BC" w14:textId="77777777" w:rsidR="00D876D8" w:rsidRPr="00756A37" w:rsidRDefault="00D876D8" w:rsidP="00090C3C">
      <w:pPr>
        <w:keepNext/>
        <w:autoSpaceDE w:val="0"/>
        <w:autoSpaceDN w:val="0"/>
        <w:adjustRightInd w:val="0"/>
        <w:spacing w:after="0" w:line="240" w:lineRule="auto"/>
        <w:jc w:val="center"/>
        <w:rPr>
          <w:rFonts w:cs="Arial"/>
          <w:lang w:val="fr-CA"/>
        </w:rPr>
      </w:pPr>
    </w:p>
    <w:p w14:paraId="3744A60E" w14:textId="77777777" w:rsidR="00171C2D" w:rsidRPr="00756A37" w:rsidRDefault="00D60D70" w:rsidP="00090C3C">
      <w:pPr>
        <w:keepNext/>
        <w:autoSpaceDE w:val="0"/>
        <w:autoSpaceDN w:val="0"/>
        <w:adjustRightInd w:val="0"/>
        <w:spacing w:after="0" w:line="240" w:lineRule="auto"/>
        <w:jc w:val="center"/>
        <w:rPr>
          <w:rFonts w:cs="Arial"/>
          <w:lang w:val="fr-CA"/>
        </w:rPr>
      </w:pPr>
      <w:r>
        <w:rPr>
          <w:rFonts w:cs="Arial"/>
          <w:lang w:val="fr-CA"/>
        </w:rPr>
        <w:t>LA CONFÉRENCE DES</w:t>
      </w:r>
      <w:r w:rsidR="00171C2D" w:rsidRPr="00756A37">
        <w:rPr>
          <w:rFonts w:cs="Arial"/>
          <w:lang w:val="fr-CA"/>
        </w:rPr>
        <w:t xml:space="preserve"> PARTIES</w:t>
      </w:r>
      <w:r w:rsidR="004B102C">
        <w:rPr>
          <w:rFonts w:cs="Arial"/>
          <w:lang w:val="fr-CA"/>
        </w:rPr>
        <w:t xml:space="preserve"> CONTRACTANTES</w:t>
      </w:r>
    </w:p>
    <w:p w14:paraId="5FA3450B" w14:textId="77777777" w:rsidR="00171C2D" w:rsidRPr="00756A37" w:rsidRDefault="00171C2D" w:rsidP="00090C3C">
      <w:pPr>
        <w:keepNext/>
        <w:autoSpaceDE w:val="0"/>
        <w:autoSpaceDN w:val="0"/>
        <w:adjustRightInd w:val="0"/>
        <w:spacing w:after="0" w:line="240" w:lineRule="auto"/>
        <w:jc w:val="center"/>
        <w:rPr>
          <w:rFonts w:cs="Arial"/>
          <w:lang w:val="fr-CA"/>
        </w:rPr>
      </w:pPr>
    </w:p>
    <w:p w14:paraId="159CAEA9" w14:textId="20DCDD15" w:rsidR="00171C2D" w:rsidRPr="00756A37" w:rsidRDefault="006105DB" w:rsidP="00090C3C">
      <w:pPr>
        <w:autoSpaceDE w:val="0"/>
        <w:autoSpaceDN w:val="0"/>
        <w:adjustRightInd w:val="0"/>
        <w:spacing w:after="0" w:line="240" w:lineRule="auto"/>
        <w:ind w:left="425" w:hanging="425"/>
        <w:rPr>
          <w:rFonts w:cs="Arial"/>
          <w:lang w:val="fr-CA"/>
        </w:rPr>
      </w:pPr>
      <w:r>
        <w:rPr>
          <w:rFonts w:cs="Arial"/>
          <w:lang w:val="fr-CA"/>
        </w:rPr>
        <w:t>8</w:t>
      </w:r>
      <w:r w:rsidR="00D876D8" w:rsidRPr="00756A37">
        <w:rPr>
          <w:rFonts w:cs="Arial"/>
          <w:lang w:val="fr-CA"/>
        </w:rPr>
        <w:t>.</w:t>
      </w:r>
      <w:r w:rsidR="00D876D8" w:rsidRPr="00756A37">
        <w:rPr>
          <w:rFonts w:cs="Arial"/>
          <w:lang w:val="fr-CA"/>
        </w:rPr>
        <w:tab/>
      </w:r>
      <w:r w:rsidR="00171C2D" w:rsidRPr="00756A37">
        <w:rPr>
          <w:rFonts w:cs="Arial"/>
          <w:lang w:val="fr-CA"/>
        </w:rPr>
        <w:t>R</w:t>
      </w:r>
      <w:r w:rsidR="00D60D70">
        <w:rPr>
          <w:rFonts w:cs="Arial"/>
          <w:lang w:val="fr-CA"/>
        </w:rPr>
        <w:t xml:space="preserve">ÉAFFIRME que le mécanisme de Mission consultative Ramsar est un des outils </w:t>
      </w:r>
      <w:r w:rsidR="00856AA1">
        <w:rPr>
          <w:rFonts w:cs="Arial"/>
          <w:lang w:val="fr-CA"/>
        </w:rPr>
        <w:t>essentiel</w:t>
      </w:r>
      <w:r w:rsidR="004B102C">
        <w:rPr>
          <w:rFonts w:cs="Arial"/>
          <w:lang w:val="fr-CA"/>
        </w:rPr>
        <w:t>s</w:t>
      </w:r>
      <w:r w:rsidR="00856AA1">
        <w:rPr>
          <w:rFonts w:cs="Arial"/>
          <w:lang w:val="fr-CA"/>
        </w:rPr>
        <w:t xml:space="preserve"> dont disposent les</w:t>
      </w:r>
      <w:r w:rsidR="00D60D70">
        <w:rPr>
          <w:rFonts w:cs="Arial"/>
          <w:lang w:val="fr-CA"/>
        </w:rPr>
        <w:t xml:space="preserve"> Parties pour appliquer la Convention et </w:t>
      </w:r>
      <w:r w:rsidR="00856AA1">
        <w:rPr>
          <w:rFonts w:cs="Arial"/>
          <w:lang w:val="fr-CA"/>
        </w:rPr>
        <w:t xml:space="preserve">qu’il </w:t>
      </w:r>
      <w:r w:rsidR="00FF15EE">
        <w:rPr>
          <w:rFonts w:cs="Arial"/>
          <w:lang w:val="fr-CA"/>
        </w:rPr>
        <w:t>offre</w:t>
      </w:r>
      <w:r w:rsidR="00D60D70">
        <w:rPr>
          <w:rFonts w:cs="Arial"/>
          <w:lang w:val="fr-CA"/>
        </w:rPr>
        <w:t xml:space="preserve"> un moyen de fournir un avis indépendant permettant de </w:t>
      </w:r>
      <w:r w:rsidR="00FF15EE">
        <w:rPr>
          <w:rFonts w:cs="Arial"/>
          <w:lang w:val="fr-CA"/>
        </w:rPr>
        <w:t>remédier aux</w:t>
      </w:r>
      <w:r w:rsidR="00D60D70">
        <w:rPr>
          <w:rFonts w:cs="Arial"/>
          <w:lang w:val="fr-CA"/>
        </w:rPr>
        <w:t xml:space="preserve"> changements actuels et potentiels dans les caractéristiques écologiques de Sites Ramsar.</w:t>
      </w:r>
    </w:p>
    <w:p w14:paraId="36E53FF1" w14:textId="77777777" w:rsidR="00171C2D" w:rsidRPr="00756A37" w:rsidRDefault="00171C2D" w:rsidP="00090C3C">
      <w:pPr>
        <w:pStyle w:val="ListParagraph"/>
        <w:autoSpaceDE w:val="0"/>
        <w:autoSpaceDN w:val="0"/>
        <w:adjustRightInd w:val="0"/>
        <w:spacing w:after="0" w:line="240" w:lineRule="auto"/>
        <w:ind w:left="425" w:hanging="425"/>
        <w:rPr>
          <w:rFonts w:cs="Arial"/>
          <w:lang w:val="fr-CA"/>
        </w:rPr>
      </w:pPr>
    </w:p>
    <w:p w14:paraId="0D2A4206" w14:textId="77274601" w:rsidR="006105DB" w:rsidRDefault="006105DB" w:rsidP="00090C3C">
      <w:pPr>
        <w:pStyle w:val="ListParagraph"/>
        <w:autoSpaceDE w:val="0"/>
        <w:autoSpaceDN w:val="0"/>
        <w:adjustRightInd w:val="0"/>
        <w:spacing w:after="0" w:line="240" w:lineRule="auto"/>
        <w:ind w:left="425" w:hanging="425"/>
        <w:rPr>
          <w:rFonts w:cs="Arial"/>
          <w:lang w:val="fr-CA"/>
        </w:rPr>
      </w:pPr>
      <w:r>
        <w:rPr>
          <w:rFonts w:cs="Arial"/>
          <w:lang w:val="fr-CA"/>
        </w:rPr>
        <w:t>9</w:t>
      </w:r>
      <w:r w:rsidR="00D876D8" w:rsidRPr="00756A37">
        <w:rPr>
          <w:rFonts w:cs="Arial"/>
          <w:lang w:val="fr-CA"/>
        </w:rPr>
        <w:t>.</w:t>
      </w:r>
      <w:r w:rsidR="00D876D8" w:rsidRPr="00756A37">
        <w:rPr>
          <w:rFonts w:cs="Arial"/>
          <w:lang w:val="fr-CA"/>
        </w:rPr>
        <w:tab/>
      </w:r>
      <w:r w:rsidR="00171C2D" w:rsidRPr="00756A37">
        <w:rPr>
          <w:rFonts w:cs="Arial"/>
          <w:lang w:val="fr-CA"/>
        </w:rPr>
        <w:t>ENCOURAGE</w:t>
      </w:r>
      <w:r w:rsidR="00D60D70">
        <w:rPr>
          <w:rFonts w:cs="Arial"/>
          <w:lang w:val="fr-CA"/>
        </w:rPr>
        <w:t xml:space="preserve"> </w:t>
      </w:r>
      <w:r>
        <w:rPr>
          <w:rFonts w:cs="Arial"/>
          <w:lang w:val="fr-CA"/>
        </w:rPr>
        <w:t xml:space="preserve">les Parties contractantes à </w:t>
      </w:r>
      <w:r w:rsidR="008B218B">
        <w:rPr>
          <w:rFonts w:cs="Arial"/>
          <w:lang w:val="fr-CA"/>
        </w:rPr>
        <w:t>envisager d’</w:t>
      </w:r>
      <w:r>
        <w:rPr>
          <w:rFonts w:cs="Arial"/>
          <w:lang w:val="fr-CA"/>
        </w:rPr>
        <w:t xml:space="preserve">appliquer </w:t>
      </w:r>
      <w:r w:rsidR="00D60D70">
        <w:rPr>
          <w:rFonts w:cs="Arial"/>
          <w:lang w:val="fr-CA"/>
        </w:rPr>
        <w:t>plus fréque</w:t>
      </w:r>
      <w:r>
        <w:rPr>
          <w:rFonts w:cs="Arial"/>
          <w:lang w:val="fr-CA"/>
        </w:rPr>
        <w:t>mment</w:t>
      </w:r>
      <w:r w:rsidR="00D60D70">
        <w:rPr>
          <w:rFonts w:cs="Arial"/>
          <w:lang w:val="fr-CA"/>
        </w:rPr>
        <w:t xml:space="preserve"> la procédure de MCR</w:t>
      </w:r>
      <w:r w:rsidR="00FF15EE">
        <w:rPr>
          <w:rFonts w:cs="Arial"/>
          <w:lang w:val="fr-CA"/>
        </w:rPr>
        <w:t>,</w:t>
      </w:r>
      <w:r w:rsidR="00D60D70">
        <w:rPr>
          <w:rFonts w:cs="Arial"/>
          <w:lang w:val="fr-CA"/>
        </w:rPr>
        <w:t xml:space="preserve"> dans les cas appropriés</w:t>
      </w:r>
      <w:r>
        <w:rPr>
          <w:rFonts w:cs="Arial"/>
          <w:lang w:val="fr-CA"/>
        </w:rPr>
        <w:t>.</w:t>
      </w:r>
      <w:r w:rsidDel="006105DB">
        <w:rPr>
          <w:rFonts w:cs="Arial"/>
          <w:lang w:val="fr-CA"/>
        </w:rPr>
        <w:t xml:space="preserve"> </w:t>
      </w:r>
    </w:p>
    <w:p w14:paraId="1C69F07C" w14:textId="77777777" w:rsidR="00171C2D" w:rsidRPr="00756A37" w:rsidRDefault="00171C2D" w:rsidP="00090C3C">
      <w:pPr>
        <w:pStyle w:val="ListParagraph"/>
        <w:autoSpaceDE w:val="0"/>
        <w:autoSpaceDN w:val="0"/>
        <w:adjustRightInd w:val="0"/>
        <w:spacing w:after="0" w:line="240" w:lineRule="auto"/>
        <w:ind w:left="425" w:hanging="425"/>
        <w:rPr>
          <w:rFonts w:cs="Arial"/>
          <w:lang w:val="fr-CA"/>
        </w:rPr>
      </w:pPr>
    </w:p>
    <w:p w14:paraId="1F3BCA9F" w14:textId="0184CFA6" w:rsidR="00171C2D" w:rsidRPr="00756A37" w:rsidRDefault="00875CC8" w:rsidP="00090C3C">
      <w:pPr>
        <w:autoSpaceDE w:val="0"/>
        <w:autoSpaceDN w:val="0"/>
        <w:adjustRightInd w:val="0"/>
        <w:spacing w:after="0" w:line="240" w:lineRule="auto"/>
        <w:ind w:left="425" w:hanging="425"/>
        <w:rPr>
          <w:rFonts w:cs="Arial"/>
          <w:lang w:val="fr-CA"/>
        </w:rPr>
      </w:pPr>
      <w:r>
        <w:rPr>
          <w:rFonts w:cs="Arial"/>
          <w:lang w:val="fr-CA"/>
        </w:rPr>
        <w:t>10.</w:t>
      </w:r>
      <w:r>
        <w:rPr>
          <w:rFonts w:cs="Arial"/>
          <w:lang w:val="fr-CA"/>
        </w:rPr>
        <w:tab/>
      </w:r>
      <w:r w:rsidR="00171C2D" w:rsidRPr="00756A37">
        <w:rPr>
          <w:rFonts w:cs="Arial"/>
          <w:lang w:val="fr-CA"/>
        </w:rPr>
        <w:t>ENCOURAGE</w:t>
      </w:r>
      <w:r w:rsidR="00D60D70">
        <w:rPr>
          <w:rFonts w:cs="Arial"/>
          <w:lang w:val="fr-CA"/>
        </w:rPr>
        <w:t xml:space="preserve"> </w:t>
      </w:r>
      <w:r w:rsidR="00407F81">
        <w:rPr>
          <w:rFonts w:cs="Arial"/>
          <w:lang w:val="fr-CA"/>
        </w:rPr>
        <w:t>l</w:t>
      </w:r>
      <w:r w:rsidR="004B102C">
        <w:rPr>
          <w:rFonts w:cs="Arial"/>
          <w:lang w:val="fr-CA"/>
        </w:rPr>
        <w:t>’application</w:t>
      </w:r>
      <w:r w:rsidR="00407F81">
        <w:rPr>
          <w:rFonts w:cs="Arial"/>
          <w:lang w:val="fr-CA"/>
        </w:rPr>
        <w:t xml:space="preserve"> de la MCR </w:t>
      </w:r>
      <w:r w:rsidR="00B80950">
        <w:rPr>
          <w:rFonts w:cs="Arial"/>
          <w:lang w:val="fr-CA"/>
        </w:rPr>
        <w:t xml:space="preserve">en synergie </w:t>
      </w:r>
      <w:r w:rsidR="00407F81">
        <w:rPr>
          <w:rFonts w:cs="Arial"/>
          <w:lang w:val="fr-CA"/>
        </w:rPr>
        <w:t xml:space="preserve">avec les </w:t>
      </w:r>
      <w:r w:rsidR="00B80950">
        <w:rPr>
          <w:rFonts w:cs="Arial"/>
          <w:lang w:val="fr-CA"/>
        </w:rPr>
        <w:t xml:space="preserve">missions </w:t>
      </w:r>
      <w:r w:rsidR="00407F81">
        <w:rPr>
          <w:rFonts w:cs="Arial"/>
          <w:lang w:val="fr-CA"/>
        </w:rPr>
        <w:t xml:space="preserve">d’autres </w:t>
      </w:r>
      <w:r w:rsidR="00B80950">
        <w:rPr>
          <w:rFonts w:cs="Arial"/>
          <w:lang w:val="fr-CA"/>
        </w:rPr>
        <w:t>conventions dans les cas appropriés</w:t>
      </w:r>
      <w:r w:rsidR="00407F81">
        <w:rPr>
          <w:rFonts w:cs="Arial"/>
          <w:lang w:val="fr-CA"/>
        </w:rPr>
        <w:t xml:space="preserve">. </w:t>
      </w:r>
      <w:r w:rsidR="00171C2D" w:rsidRPr="00756A37">
        <w:rPr>
          <w:rFonts w:cs="Arial"/>
          <w:lang w:val="fr-CA"/>
        </w:rPr>
        <w:t xml:space="preserve"> </w:t>
      </w:r>
    </w:p>
    <w:p w14:paraId="53D8F05B" w14:textId="77777777" w:rsidR="00171C2D" w:rsidRPr="00756A37" w:rsidRDefault="00171C2D" w:rsidP="00090C3C">
      <w:pPr>
        <w:pStyle w:val="ListParagraph"/>
        <w:autoSpaceDE w:val="0"/>
        <w:autoSpaceDN w:val="0"/>
        <w:adjustRightInd w:val="0"/>
        <w:spacing w:after="0" w:line="240" w:lineRule="auto"/>
        <w:ind w:left="425" w:hanging="425"/>
        <w:contextualSpacing w:val="0"/>
        <w:rPr>
          <w:rFonts w:cs="Arial"/>
          <w:lang w:val="fr-CA"/>
        </w:rPr>
      </w:pPr>
    </w:p>
    <w:p w14:paraId="59099A6A" w14:textId="3C046996" w:rsidR="008367AF" w:rsidRDefault="00D876D8" w:rsidP="00090C3C">
      <w:pPr>
        <w:autoSpaceDE w:val="0"/>
        <w:autoSpaceDN w:val="0"/>
        <w:adjustRightInd w:val="0"/>
        <w:spacing w:after="0" w:line="240" w:lineRule="auto"/>
        <w:ind w:left="425" w:hanging="425"/>
        <w:rPr>
          <w:rFonts w:cs="Arial"/>
          <w:lang w:val="fr-CA"/>
        </w:rPr>
      </w:pPr>
      <w:r w:rsidRPr="00756A37">
        <w:rPr>
          <w:rFonts w:cs="Arial"/>
          <w:lang w:val="fr-CA"/>
        </w:rPr>
        <w:t>1</w:t>
      </w:r>
      <w:r w:rsidR="00B80950">
        <w:rPr>
          <w:rFonts w:cs="Arial"/>
          <w:lang w:val="fr-CA"/>
        </w:rPr>
        <w:t>1</w:t>
      </w:r>
      <w:r w:rsidRPr="00756A37">
        <w:rPr>
          <w:rFonts w:cs="Arial"/>
          <w:lang w:val="fr-CA"/>
        </w:rPr>
        <w:t>.</w:t>
      </w:r>
      <w:r w:rsidRPr="00756A37">
        <w:rPr>
          <w:rFonts w:cs="Arial"/>
          <w:lang w:val="fr-CA"/>
        </w:rPr>
        <w:tab/>
      </w:r>
      <w:r w:rsidR="00407F81">
        <w:rPr>
          <w:rFonts w:cs="Arial"/>
          <w:lang w:val="fr-CA"/>
        </w:rPr>
        <w:t xml:space="preserve">EXHORTE les Parties </w:t>
      </w:r>
      <w:r w:rsidR="005A4F93">
        <w:rPr>
          <w:rFonts w:cs="Arial"/>
          <w:lang w:val="fr-CA"/>
        </w:rPr>
        <w:t xml:space="preserve">accueillant des MCR </w:t>
      </w:r>
      <w:r w:rsidR="00407F81">
        <w:rPr>
          <w:rFonts w:cs="Arial"/>
          <w:lang w:val="fr-CA"/>
        </w:rPr>
        <w:t xml:space="preserve">à </w:t>
      </w:r>
      <w:r w:rsidR="00FF15EE">
        <w:rPr>
          <w:rFonts w:cs="Arial"/>
          <w:lang w:val="fr-CA"/>
        </w:rPr>
        <w:t>donner suite</w:t>
      </w:r>
      <w:r w:rsidR="008367AF">
        <w:rPr>
          <w:rFonts w:cs="Arial"/>
          <w:lang w:val="fr-CA"/>
        </w:rPr>
        <w:t xml:space="preserve"> sans tarder afin de favoriser l’application des </w:t>
      </w:r>
      <w:r w:rsidR="00407F81">
        <w:rPr>
          <w:rFonts w:cs="Arial"/>
          <w:lang w:val="fr-CA"/>
        </w:rPr>
        <w:t xml:space="preserve">recommandations </w:t>
      </w:r>
      <w:r w:rsidR="00FF15EE">
        <w:rPr>
          <w:rFonts w:cs="Arial"/>
          <w:lang w:val="fr-CA"/>
        </w:rPr>
        <w:t>des</w:t>
      </w:r>
      <w:r w:rsidR="00407F81">
        <w:rPr>
          <w:rFonts w:cs="Arial"/>
          <w:lang w:val="fr-CA"/>
        </w:rPr>
        <w:t xml:space="preserve"> rapports de MCR et </w:t>
      </w:r>
      <w:r w:rsidR="00FF15EE">
        <w:rPr>
          <w:rFonts w:cs="Arial"/>
          <w:lang w:val="fr-CA"/>
        </w:rPr>
        <w:t>à</w:t>
      </w:r>
      <w:r w:rsidR="00407F81">
        <w:rPr>
          <w:rFonts w:cs="Arial"/>
          <w:lang w:val="fr-CA"/>
        </w:rPr>
        <w:t xml:space="preserve"> évaluer </w:t>
      </w:r>
      <w:r w:rsidR="00FF15EE">
        <w:rPr>
          <w:rFonts w:cs="Arial"/>
          <w:lang w:val="fr-CA"/>
        </w:rPr>
        <w:t xml:space="preserve">les résultats </w:t>
      </w:r>
      <w:r w:rsidR="00407F81">
        <w:rPr>
          <w:rFonts w:cs="Arial"/>
          <w:lang w:val="fr-CA"/>
        </w:rPr>
        <w:t xml:space="preserve">et </w:t>
      </w:r>
      <w:r w:rsidR="00FF15EE">
        <w:rPr>
          <w:rFonts w:cs="Arial"/>
          <w:lang w:val="fr-CA"/>
        </w:rPr>
        <w:t>rendre compte à cet égard</w:t>
      </w:r>
      <w:r w:rsidR="008367AF">
        <w:rPr>
          <w:rFonts w:cs="Arial"/>
          <w:lang w:val="fr-CA"/>
        </w:rPr>
        <w:t xml:space="preserve">. </w:t>
      </w:r>
    </w:p>
    <w:p w14:paraId="1E271893" w14:textId="77777777" w:rsidR="008367AF" w:rsidRDefault="008367AF" w:rsidP="00090C3C">
      <w:pPr>
        <w:autoSpaceDE w:val="0"/>
        <w:autoSpaceDN w:val="0"/>
        <w:adjustRightInd w:val="0"/>
        <w:spacing w:after="0" w:line="240" w:lineRule="auto"/>
        <w:ind w:left="425" w:hanging="425"/>
        <w:rPr>
          <w:rFonts w:cs="Arial"/>
          <w:lang w:val="fr-CA"/>
        </w:rPr>
      </w:pPr>
    </w:p>
    <w:p w14:paraId="465735E8" w14:textId="10537AE8" w:rsidR="008367AF" w:rsidRDefault="008367AF" w:rsidP="00090C3C">
      <w:pPr>
        <w:autoSpaceDE w:val="0"/>
        <w:autoSpaceDN w:val="0"/>
        <w:adjustRightInd w:val="0"/>
        <w:spacing w:after="0" w:line="240" w:lineRule="auto"/>
        <w:ind w:left="425" w:hanging="425"/>
        <w:rPr>
          <w:rFonts w:cs="Arial"/>
          <w:lang w:val="fr-CA"/>
        </w:rPr>
      </w:pPr>
      <w:r>
        <w:rPr>
          <w:rFonts w:cs="Arial"/>
          <w:lang w:val="fr-CA"/>
        </w:rPr>
        <w:t xml:space="preserve">12. </w:t>
      </w:r>
      <w:r w:rsidR="00407F81">
        <w:rPr>
          <w:rFonts w:cs="Arial"/>
          <w:lang w:val="fr-CA"/>
        </w:rPr>
        <w:t xml:space="preserve"> </w:t>
      </w:r>
      <w:r w:rsidRPr="00756A37">
        <w:rPr>
          <w:rFonts w:cs="Arial"/>
          <w:lang w:val="fr-CA"/>
        </w:rPr>
        <w:t>R</w:t>
      </w:r>
      <w:r>
        <w:rPr>
          <w:rFonts w:cs="Arial"/>
          <w:lang w:val="fr-CA"/>
        </w:rPr>
        <w:t>ÉAFFIRME que les rapports de MCR sont des documents publics une fois que la Partie concernée a eu la possibilité de les approuver.</w:t>
      </w:r>
    </w:p>
    <w:p w14:paraId="33AAE299" w14:textId="77777777" w:rsidR="008367AF" w:rsidRDefault="008367AF" w:rsidP="00090C3C">
      <w:pPr>
        <w:autoSpaceDE w:val="0"/>
        <w:autoSpaceDN w:val="0"/>
        <w:adjustRightInd w:val="0"/>
        <w:spacing w:after="0" w:line="240" w:lineRule="auto"/>
        <w:ind w:left="425" w:hanging="425"/>
        <w:rPr>
          <w:rFonts w:cs="Arial"/>
          <w:lang w:val="fr-CA"/>
        </w:rPr>
      </w:pPr>
    </w:p>
    <w:p w14:paraId="4489AE8C" w14:textId="7EB339A6" w:rsidR="00171C2D" w:rsidRPr="00756A37" w:rsidRDefault="008367AF" w:rsidP="00090C3C">
      <w:pPr>
        <w:autoSpaceDE w:val="0"/>
        <w:autoSpaceDN w:val="0"/>
        <w:adjustRightInd w:val="0"/>
        <w:spacing w:after="0" w:line="240" w:lineRule="auto"/>
        <w:ind w:left="425" w:hanging="425"/>
        <w:rPr>
          <w:rFonts w:cs="Arial"/>
          <w:lang w:val="fr-CA"/>
        </w:rPr>
      </w:pPr>
      <w:r>
        <w:rPr>
          <w:rFonts w:cs="Arial"/>
          <w:lang w:val="fr-CA"/>
        </w:rPr>
        <w:t>13</w:t>
      </w:r>
      <w:r w:rsidR="00875CC8">
        <w:rPr>
          <w:rFonts w:cs="Arial"/>
          <w:lang w:val="fr-CA"/>
        </w:rPr>
        <w:t>.</w:t>
      </w:r>
      <w:r w:rsidR="00875CC8">
        <w:rPr>
          <w:rFonts w:cs="Arial"/>
          <w:lang w:val="fr-CA"/>
        </w:rPr>
        <w:tab/>
      </w:r>
      <w:r>
        <w:rPr>
          <w:rFonts w:cs="Arial"/>
          <w:lang w:val="fr-CA"/>
        </w:rPr>
        <w:t xml:space="preserve">DONNE INSTRUCTION au Secrétariat, en consultation avec le </w:t>
      </w:r>
      <w:r w:rsidR="007E5125">
        <w:rPr>
          <w:rFonts w:cs="Arial"/>
          <w:lang w:val="fr-CA"/>
        </w:rPr>
        <w:t>Groupe d’évaluation scientifique et technique (GEST)</w:t>
      </w:r>
      <w:r w:rsidR="00442023">
        <w:rPr>
          <w:rFonts w:cs="Arial"/>
          <w:lang w:val="fr-CA"/>
        </w:rPr>
        <w:t xml:space="preserve">, </w:t>
      </w:r>
      <w:r w:rsidR="00442023" w:rsidRPr="00442023">
        <w:rPr>
          <w:rFonts w:cs="Arial"/>
          <w:lang w:val="fr-CA"/>
        </w:rPr>
        <w:t>vu ses conclusions dans l</w:t>
      </w:r>
      <w:r w:rsidR="007E5125">
        <w:rPr>
          <w:rFonts w:cs="Arial"/>
          <w:lang w:val="fr-CA"/>
        </w:rPr>
        <w:t>a</w:t>
      </w:r>
      <w:r w:rsidR="00442023" w:rsidRPr="00442023">
        <w:rPr>
          <w:rFonts w:cs="Arial"/>
          <w:lang w:val="fr-CA"/>
        </w:rPr>
        <w:t xml:space="preserve"> </w:t>
      </w:r>
      <w:r w:rsidR="00442023">
        <w:rPr>
          <w:rFonts w:cs="Arial"/>
          <w:i/>
          <w:lang w:val="fr-CA"/>
        </w:rPr>
        <w:t>Note d’information</w:t>
      </w:r>
      <w:r w:rsidR="00442023">
        <w:rPr>
          <w:rFonts w:cs="Arial"/>
          <w:lang w:val="fr-CA"/>
        </w:rPr>
        <w:t xml:space="preserve"> et la</w:t>
      </w:r>
      <w:r w:rsidR="00442023" w:rsidRPr="00756A37">
        <w:rPr>
          <w:rFonts w:cs="Arial"/>
          <w:lang w:val="fr-CA"/>
        </w:rPr>
        <w:t xml:space="preserve"> </w:t>
      </w:r>
      <w:r w:rsidR="00442023">
        <w:rPr>
          <w:rFonts w:cs="Arial"/>
          <w:i/>
          <w:lang w:val="fr-CA"/>
        </w:rPr>
        <w:t xml:space="preserve">Note d’orientation </w:t>
      </w:r>
      <w:r w:rsidR="007E5125">
        <w:rPr>
          <w:rFonts w:cs="Arial"/>
          <w:lang w:val="fr-CA"/>
        </w:rPr>
        <w:t>sur la MCR, publiées en 2018</w:t>
      </w:r>
      <w:r w:rsidRPr="007E5125">
        <w:rPr>
          <w:rFonts w:cs="Arial"/>
          <w:lang w:val="fr-CA"/>
        </w:rPr>
        <w:t>,</w:t>
      </w:r>
      <w:r>
        <w:rPr>
          <w:rFonts w:cs="Arial"/>
          <w:lang w:val="fr-CA"/>
        </w:rPr>
        <w:t xml:space="preserve"> de préparer des orientations opérationnelles pour la MCR</w:t>
      </w:r>
      <w:r w:rsidR="00091687">
        <w:rPr>
          <w:rFonts w:cs="Arial"/>
          <w:lang w:val="fr-CA"/>
        </w:rPr>
        <w:t xml:space="preserve">, </w:t>
      </w:r>
      <w:r>
        <w:rPr>
          <w:rFonts w:cs="Arial"/>
          <w:lang w:val="fr-CA"/>
        </w:rPr>
        <w:t xml:space="preserve">couvrant, entre autres, les questions énumérées </w:t>
      </w:r>
      <w:r w:rsidR="00091687">
        <w:rPr>
          <w:rFonts w:cs="Arial"/>
          <w:lang w:val="fr-CA"/>
        </w:rPr>
        <w:t>à l’</w:t>
      </w:r>
      <w:r w:rsidR="007E5125">
        <w:rPr>
          <w:rFonts w:cs="Arial"/>
          <w:lang w:val="fr-CA"/>
        </w:rPr>
        <w:t>a</w:t>
      </w:r>
      <w:r>
        <w:rPr>
          <w:rFonts w:cs="Arial"/>
          <w:lang w:val="fr-CA"/>
        </w:rPr>
        <w:t>nnexe 1</w:t>
      </w:r>
      <w:r w:rsidR="007E5125">
        <w:rPr>
          <w:rFonts w:cs="Arial"/>
          <w:lang w:val="fr-CA"/>
        </w:rPr>
        <w:t xml:space="preserve"> de la présente Résolution</w:t>
      </w:r>
      <w:r>
        <w:rPr>
          <w:rFonts w:cs="Arial"/>
          <w:lang w:val="fr-CA"/>
        </w:rPr>
        <w:t xml:space="preserve">, qui seront soumises pour adoption au Comité permanent à sa </w:t>
      </w:r>
      <w:r w:rsidR="007E5125">
        <w:rPr>
          <w:lang w:val="fr-CA"/>
        </w:rPr>
        <w:t>57</w:t>
      </w:r>
      <w:r w:rsidRPr="00407F81">
        <w:rPr>
          <w:vertAlign w:val="superscript"/>
          <w:lang w:val="fr-CA"/>
        </w:rPr>
        <w:t>e</w:t>
      </w:r>
      <w:r>
        <w:rPr>
          <w:lang w:val="fr-CA"/>
        </w:rPr>
        <w:t> Réunion.</w:t>
      </w:r>
      <w:r w:rsidR="00407F81">
        <w:rPr>
          <w:rFonts w:cs="Arial"/>
          <w:lang w:val="fr-CA"/>
        </w:rPr>
        <w:t xml:space="preserve"> </w:t>
      </w:r>
    </w:p>
    <w:p w14:paraId="70FA0261" w14:textId="77777777" w:rsidR="00171C2D" w:rsidRPr="00756A37" w:rsidRDefault="00171C2D" w:rsidP="00090C3C">
      <w:pPr>
        <w:pStyle w:val="ListParagraph"/>
        <w:spacing w:after="0" w:line="240" w:lineRule="auto"/>
        <w:ind w:left="425" w:hanging="425"/>
        <w:rPr>
          <w:rFonts w:cs="Arial"/>
          <w:lang w:val="fr-CA"/>
        </w:rPr>
      </w:pPr>
    </w:p>
    <w:p w14:paraId="423A350E" w14:textId="3E1D68A3" w:rsidR="00171C2D" w:rsidRPr="00756A37" w:rsidRDefault="00D876D8" w:rsidP="00090C3C">
      <w:pPr>
        <w:autoSpaceDE w:val="0"/>
        <w:autoSpaceDN w:val="0"/>
        <w:adjustRightInd w:val="0"/>
        <w:spacing w:after="0" w:line="240" w:lineRule="auto"/>
        <w:ind w:left="425" w:hanging="425"/>
        <w:rPr>
          <w:rFonts w:cs="Arial"/>
          <w:lang w:val="fr-CA"/>
        </w:rPr>
      </w:pPr>
      <w:r w:rsidRPr="00756A37">
        <w:rPr>
          <w:rFonts w:cs="Arial"/>
          <w:lang w:val="fr-CA"/>
        </w:rPr>
        <w:t>1</w:t>
      </w:r>
      <w:r w:rsidR="005D7070">
        <w:rPr>
          <w:rFonts w:cs="Arial"/>
          <w:lang w:val="fr-CA"/>
        </w:rPr>
        <w:t>4</w:t>
      </w:r>
      <w:r w:rsidRPr="00756A37">
        <w:rPr>
          <w:rFonts w:cs="Arial"/>
          <w:lang w:val="fr-CA"/>
        </w:rPr>
        <w:t>.</w:t>
      </w:r>
      <w:r w:rsidR="005D7070">
        <w:rPr>
          <w:rFonts w:cs="Arial"/>
          <w:lang w:val="fr-CA"/>
        </w:rPr>
        <w:t xml:space="preserve"> </w:t>
      </w:r>
      <w:r w:rsidR="005D7070">
        <w:rPr>
          <w:rFonts w:cs="Arial"/>
          <w:lang w:val="fr-CA"/>
        </w:rPr>
        <w:tab/>
      </w:r>
      <w:r w:rsidR="007E5125">
        <w:rPr>
          <w:rFonts w:cs="Arial"/>
          <w:lang w:val="fr-CA"/>
        </w:rPr>
        <w:t xml:space="preserve">ENCOURAGE les Parties contractantes à </w:t>
      </w:r>
      <w:r w:rsidR="00676E3E">
        <w:rPr>
          <w:rFonts w:cs="Arial"/>
          <w:lang w:val="fr-CA"/>
        </w:rPr>
        <w:t xml:space="preserve">envisager </w:t>
      </w:r>
      <w:r w:rsidR="00676E3E" w:rsidRPr="00676E3E">
        <w:rPr>
          <w:rFonts w:cs="Arial"/>
          <w:lang w:val="fr-CA"/>
        </w:rPr>
        <w:t>de faire une attribution du budget administratif au mécanisme de MCR</w:t>
      </w:r>
      <w:r w:rsidR="00676E3E">
        <w:rPr>
          <w:rFonts w:cs="Arial"/>
          <w:lang w:val="fr-CA"/>
        </w:rPr>
        <w:t xml:space="preserve">; </w:t>
      </w:r>
      <w:r w:rsidR="004105F5">
        <w:rPr>
          <w:rFonts w:cs="Arial"/>
          <w:lang w:val="fr-CA"/>
        </w:rPr>
        <w:t xml:space="preserve"> </w:t>
      </w:r>
      <w:r w:rsidR="00676E3E">
        <w:rPr>
          <w:rFonts w:cs="Arial"/>
          <w:lang w:val="fr-CA"/>
        </w:rPr>
        <w:t>APPELLE les Parties</w:t>
      </w:r>
      <w:r w:rsidR="0079746A">
        <w:rPr>
          <w:rFonts w:cs="Arial"/>
          <w:lang w:val="fr-CA"/>
        </w:rPr>
        <w:t xml:space="preserve"> et</w:t>
      </w:r>
      <w:r w:rsidR="00676E3E">
        <w:rPr>
          <w:rFonts w:cs="Arial"/>
          <w:lang w:val="fr-CA"/>
        </w:rPr>
        <w:t xml:space="preserve"> le secteur privé</w:t>
      </w:r>
      <w:r w:rsidR="0079746A">
        <w:rPr>
          <w:rFonts w:cs="Arial"/>
          <w:lang w:val="fr-CA"/>
        </w:rPr>
        <w:t>, entre</w:t>
      </w:r>
      <w:r w:rsidR="00676E3E">
        <w:rPr>
          <w:rFonts w:cs="Arial"/>
          <w:lang w:val="fr-CA"/>
        </w:rPr>
        <w:t xml:space="preserve"> autres, </w:t>
      </w:r>
      <w:r w:rsidR="0079746A">
        <w:rPr>
          <w:rFonts w:cs="Arial"/>
          <w:lang w:val="fr-CA"/>
        </w:rPr>
        <w:t xml:space="preserve">à </w:t>
      </w:r>
      <w:r w:rsidR="00676E3E">
        <w:rPr>
          <w:rFonts w:cs="Arial"/>
          <w:lang w:val="fr-CA"/>
        </w:rPr>
        <w:t>envisager de verser des contributions volontaires supplémentaires en appui à la MCR; et DONNE INSTRUCTION au Secrétariat de tenir compte des besoins financiers du mécanisme de MCR dans son Plan de travail relatif à la mobilisation des ressources.</w:t>
      </w:r>
      <w:r w:rsidRPr="00756A37">
        <w:rPr>
          <w:rFonts w:cs="Arial"/>
          <w:lang w:val="fr-CA"/>
        </w:rPr>
        <w:tab/>
      </w:r>
      <w:r w:rsidR="00407F81">
        <w:rPr>
          <w:rFonts w:cs="Arial"/>
          <w:lang w:val="fr-CA"/>
        </w:rPr>
        <w:t xml:space="preserve"> </w:t>
      </w:r>
    </w:p>
    <w:p w14:paraId="4E1230A1" w14:textId="77777777" w:rsidR="00171C2D" w:rsidRPr="00756A37" w:rsidRDefault="00171C2D" w:rsidP="00090C3C">
      <w:pPr>
        <w:pStyle w:val="ListParagraph"/>
        <w:autoSpaceDE w:val="0"/>
        <w:autoSpaceDN w:val="0"/>
        <w:adjustRightInd w:val="0"/>
        <w:spacing w:after="0" w:line="240" w:lineRule="auto"/>
        <w:ind w:left="425" w:hanging="425"/>
        <w:rPr>
          <w:rFonts w:cs="Arial"/>
          <w:lang w:val="fr-CA"/>
        </w:rPr>
      </w:pPr>
    </w:p>
    <w:p w14:paraId="5289441F" w14:textId="037DB3E8" w:rsidR="00171C2D" w:rsidRPr="00756A37" w:rsidRDefault="00A95A0E" w:rsidP="00090C3C">
      <w:pPr>
        <w:autoSpaceDE w:val="0"/>
        <w:autoSpaceDN w:val="0"/>
        <w:adjustRightInd w:val="0"/>
        <w:spacing w:after="0" w:line="240" w:lineRule="auto"/>
        <w:ind w:left="425" w:hanging="425"/>
        <w:rPr>
          <w:rFonts w:cs="Arial"/>
          <w:lang w:val="fr-CA"/>
        </w:rPr>
      </w:pPr>
      <w:r>
        <w:rPr>
          <w:rFonts w:cs="Arial"/>
          <w:lang w:val="fr-CA"/>
        </w:rPr>
        <w:t>15.</w:t>
      </w:r>
      <w:r>
        <w:rPr>
          <w:rFonts w:cs="Arial"/>
          <w:lang w:val="fr-CA"/>
        </w:rPr>
        <w:tab/>
      </w:r>
      <w:r w:rsidR="00407F81">
        <w:rPr>
          <w:rFonts w:cs="Arial"/>
          <w:lang w:val="fr-CA"/>
        </w:rPr>
        <w:t>REMERCIE le GEST pour ses travaux importants durant la période triennale 2015</w:t>
      </w:r>
      <w:r w:rsidR="00407F81">
        <w:rPr>
          <w:rFonts w:cs="Arial"/>
          <w:lang w:val="fr-CA"/>
        </w:rPr>
        <w:noBreakHyphen/>
      </w:r>
      <w:r w:rsidR="00171C2D" w:rsidRPr="00756A37">
        <w:rPr>
          <w:rFonts w:cs="Arial"/>
          <w:lang w:val="fr-CA"/>
        </w:rPr>
        <w:t xml:space="preserve">2018 </w:t>
      </w:r>
      <w:r w:rsidR="00407F81">
        <w:rPr>
          <w:rFonts w:cs="Arial"/>
          <w:lang w:val="fr-CA"/>
        </w:rPr>
        <w:t xml:space="preserve">en matière de révision de l’expérience passée </w:t>
      </w:r>
      <w:r w:rsidR="000A22B4">
        <w:rPr>
          <w:rFonts w:cs="Arial"/>
          <w:lang w:val="fr-CA"/>
        </w:rPr>
        <w:t>concernant</w:t>
      </w:r>
      <w:r w:rsidR="00407F81">
        <w:rPr>
          <w:rFonts w:cs="Arial"/>
          <w:lang w:val="fr-CA"/>
        </w:rPr>
        <w:t xml:space="preserve"> la MCR. </w:t>
      </w:r>
    </w:p>
    <w:p w14:paraId="77073592" w14:textId="77777777" w:rsidR="00171C2D" w:rsidRPr="00A05AA0" w:rsidRDefault="00171C2D" w:rsidP="00090C3C">
      <w:pPr>
        <w:pStyle w:val="ListParagraph"/>
        <w:spacing w:after="0" w:line="240" w:lineRule="auto"/>
        <w:ind w:left="425" w:hanging="425"/>
        <w:rPr>
          <w:rFonts w:cs="Arial"/>
          <w:lang w:val="fr-FR"/>
        </w:rPr>
      </w:pPr>
    </w:p>
    <w:p w14:paraId="6A9F19D9" w14:textId="1036E2AD" w:rsidR="00171C2D" w:rsidRPr="00407F81" w:rsidRDefault="008B218B" w:rsidP="00090C3C">
      <w:pPr>
        <w:autoSpaceDE w:val="0"/>
        <w:autoSpaceDN w:val="0"/>
        <w:adjustRightInd w:val="0"/>
        <w:spacing w:after="0" w:line="240" w:lineRule="auto"/>
        <w:ind w:left="425" w:hanging="425"/>
        <w:rPr>
          <w:rFonts w:cs="Arial"/>
          <w:lang w:val="fr-CA"/>
        </w:rPr>
      </w:pPr>
      <w:r>
        <w:rPr>
          <w:rFonts w:cs="Arial"/>
          <w:lang w:val="fr-FR"/>
        </w:rPr>
        <w:t>1</w:t>
      </w:r>
      <w:r w:rsidR="00282883">
        <w:rPr>
          <w:rFonts w:cs="Arial"/>
          <w:lang w:val="fr-FR"/>
        </w:rPr>
        <w:t>6</w:t>
      </w:r>
      <w:r w:rsidR="00D876D8" w:rsidRPr="00A05AA0">
        <w:rPr>
          <w:rFonts w:cs="Arial"/>
          <w:lang w:val="fr-FR"/>
        </w:rPr>
        <w:t>.</w:t>
      </w:r>
      <w:r w:rsidR="00D876D8" w:rsidRPr="00A05AA0">
        <w:rPr>
          <w:rFonts w:cs="Arial"/>
          <w:lang w:val="fr-FR"/>
        </w:rPr>
        <w:tab/>
      </w:r>
      <w:r w:rsidR="00407F81" w:rsidRPr="00407F81">
        <w:rPr>
          <w:rFonts w:cs="Arial"/>
          <w:lang w:val="fr-CA"/>
        </w:rPr>
        <w:t>DONNE INSTRUCTION au Secrétariat d’</w:t>
      </w:r>
      <w:r w:rsidR="00407F81">
        <w:rPr>
          <w:rFonts w:cs="Arial"/>
          <w:lang w:val="fr-CA"/>
        </w:rPr>
        <w:t xml:space="preserve">élaborer </w:t>
      </w:r>
      <w:r w:rsidR="00282883">
        <w:rPr>
          <w:rFonts w:cs="Arial"/>
          <w:lang w:val="fr-CA"/>
        </w:rPr>
        <w:t xml:space="preserve">une brochure </w:t>
      </w:r>
      <w:r w:rsidR="00407F81">
        <w:rPr>
          <w:rFonts w:cs="Arial"/>
          <w:lang w:val="fr-CA"/>
        </w:rPr>
        <w:t>d’information</w:t>
      </w:r>
      <w:r w:rsidR="00282883">
        <w:rPr>
          <w:rFonts w:cs="Arial"/>
          <w:lang w:val="fr-CA"/>
        </w:rPr>
        <w:t xml:space="preserve"> téléchargeable</w:t>
      </w:r>
      <w:r w:rsidR="00407F81">
        <w:rPr>
          <w:rFonts w:cs="Arial"/>
          <w:lang w:val="fr-CA"/>
        </w:rPr>
        <w:t xml:space="preserve"> </w:t>
      </w:r>
      <w:r w:rsidR="00282883">
        <w:rPr>
          <w:rFonts w:cs="Arial"/>
          <w:lang w:val="fr-CA"/>
        </w:rPr>
        <w:t>dans toutes les langues officielles, expliquant les possibilités qu’offre</w:t>
      </w:r>
      <w:r w:rsidR="0079746A">
        <w:rPr>
          <w:rFonts w:cs="Arial"/>
          <w:lang w:val="fr-CA"/>
        </w:rPr>
        <w:t xml:space="preserve"> la</w:t>
      </w:r>
      <w:r w:rsidR="00282883">
        <w:rPr>
          <w:rFonts w:cs="Arial"/>
          <w:lang w:val="fr-CA"/>
        </w:rPr>
        <w:t xml:space="preserve"> MCR d’</w:t>
      </w:r>
      <w:r w:rsidR="00407F81">
        <w:rPr>
          <w:rFonts w:cs="Arial"/>
          <w:lang w:val="fr-CA"/>
        </w:rPr>
        <w:t xml:space="preserve">aider les Parties à appliquer la Convention. </w:t>
      </w:r>
    </w:p>
    <w:p w14:paraId="74AF84C0" w14:textId="77777777" w:rsidR="00171C2D" w:rsidRPr="00A05AA0" w:rsidRDefault="00171C2D" w:rsidP="00090C3C">
      <w:pPr>
        <w:pStyle w:val="ListParagraph"/>
        <w:autoSpaceDE w:val="0"/>
        <w:autoSpaceDN w:val="0"/>
        <w:adjustRightInd w:val="0"/>
        <w:spacing w:after="0" w:line="240" w:lineRule="auto"/>
        <w:ind w:left="567"/>
        <w:rPr>
          <w:rFonts w:cstheme="minorHAnsi"/>
          <w:lang w:val="fr-FR"/>
        </w:rPr>
      </w:pPr>
    </w:p>
    <w:p w14:paraId="0C84C1AC" w14:textId="77777777" w:rsidR="00171C2D" w:rsidRPr="00D876D8" w:rsidRDefault="00171C2D" w:rsidP="00090C3C">
      <w:pPr>
        <w:spacing w:after="0" w:line="240" w:lineRule="auto"/>
      </w:pPr>
      <w:bookmarkStart w:id="1" w:name="_Toc301966924"/>
      <w:r w:rsidRPr="00D876D8">
        <w:br w:type="page"/>
      </w:r>
    </w:p>
    <w:p w14:paraId="4C2C22EA" w14:textId="23A112D1" w:rsidR="005C1743" w:rsidRPr="00853DAF" w:rsidRDefault="005C1743" w:rsidP="00090C3C">
      <w:pPr>
        <w:spacing w:after="0" w:line="240" w:lineRule="auto"/>
        <w:rPr>
          <w:b/>
          <w:sz w:val="24"/>
          <w:szCs w:val="24"/>
          <w:lang w:val="fr-CA"/>
        </w:rPr>
      </w:pPr>
      <w:r w:rsidRPr="00853DAF">
        <w:rPr>
          <w:b/>
          <w:sz w:val="24"/>
          <w:szCs w:val="24"/>
          <w:lang w:val="fr-CA"/>
        </w:rPr>
        <w:lastRenderedPageBreak/>
        <w:t>Annex</w:t>
      </w:r>
      <w:r w:rsidR="00853DAF">
        <w:rPr>
          <w:b/>
          <w:sz w:val="24"/>
          <w:szCs w:val="24"/>
          <w:lang w:val="fr-CA"/>
        </w:rPr>
        <w:t>e</w:t>
      </w:r>
      <w:r w:rsidRPr="00853DAF">
        <w:rPr>
          <w:b/>
          <w:sz w:val="24"/>
          <w:szCs w:val="24"/>
          <w:lang w:val="fr-CA"/>
        </w:rPr>
        <w:t xml:space="preserve"> </w:t>
      </w:r>
      <w:r w:rsidR="000C1B37">
        <w:rPr>
          <w:b/>
          <w:sz w:val="24"/>
          <w:szCs w:val="24"/>
          <w:lang w:val="fr-CA"/>
        </w:rPr>
        <w:t>1</w:t>
      </w:r>
    </w:p>
    <w:p w14:paraId="54444512" w14:textId="77777777" w:rsidR="005C1743" w:rsidRPr="00853DAF" w:rsidRDefault="005C1743" w:rsidP="00090C3C">
      <w:pPr>
        <w:spacing w:after="0" w:line="240" w:lineRule="auto"/>
        <w:rPr>
          <w:b/>
          <w:sz w:val="24"/>
          <w:szCs w:val="24"/>
          <w:lang w:val="fr-CA"/>
        </w:rPr>
      </w:pPr>
    </w:p>
    <w:p w14:paraId="5A1AAA1D" w14:textId="24600E5C" w:rsidR="00171C2D" w:rsidRPr="00853DAF" w:rsidRDefault="00853DAF" w:rsidP="00090C3C">
      <w:pPr>
        <w:spacing w:after="0" w:line="240" w:lineRule="auto"/>
        <w:rPr>
          <w:b/>
          <w:sz w:val="24"/>
          <w:szCs w:val="24"/>
          <w:lang w:val="fr-CA"/>
        </w:rPr>
      </w:pPr>
      <w:r>
        <w:rPr>
          <w:b/>
          <w:sz w:val="24"/>
          <w:szCs w:val="24"/>
          <w:lang w:val="fr-CA"/>
        </w:rPr>
        <w:t>Élaboration d’orientations pratiques et techniques opérationnelles pour les Parties</w:t>
      </w:r>
      <w:r w:rsidR="0079746A">
        <w:rPr>
          <w:b/>
          <w:sz w:val="24"/>
          <w:szCs w:val="24"/>
          <w:lang w:val="fr-CA"/>
        </w:rPr>
        <w:t xml:space="preserve"> contractantes</w:t>
      </w:r>
      <w:r>
        <w:rPr>
          <w:b/>
          <w:sz w:val="24"/>
          <w:szCs w:val="24"/>
          <w:lang w:val="fr-CA"/>
        </w:rPr>
        <w:t xml:space="preserve">, le Secrétariat et autres acteurs sous forme de guide simple et progressif couvrant, entre autres, les thèmes suivants </w:t>
      </w:r>
    </w:p>
    <w:p w14:paraId="4BFD0DED" w14:textId="77777777" w:rsidR="005C1743" w:rsidRPr="00853DAF" w:rsidRDefault="005C1743" w:rsidP="00090C3C">
      <w:pPr>
        <w:spacing w:after="0" w:line="240" w:lineRule="auto"/>
        <w:rPr>
          <w:b/>
          <w:lang w:val="fr-CA"/>
        </w:rPr>
      </w:pPr>
    </w:p>
    <w:bookmarkEnd w:id="1"/>
    <w:p w14:paraId="460C0C72" w14:textId="0F94DF33" w:rsidR="00171C2D" w:rsidRPr="00853DAF" w:rsidRDefault="00853DAF" w:rsidP="00090C3C">
      <w:pPr>
        <w:numPr>
          <w:ilvl w:val="0"/>
          <w:numId w:val="2"/>
        </w:numPr>
        <w:spacing w:after="0" w:line="240" w:lineRule="auto"/>
        <w:ind w:left="450" w:hanging="450"/>
        <w:rPr>
          <w:lang w:val="fr-CA"/>
        </w:rPr>
      </w:pPr>
      <w:r>
        <w:rPr>
          <w:lang w:val="fr-CA"/>
        </w:rPr>
        <w:t xml:space="preserve">Circonstances qui ont déclenché le recours proposé à une </w:t>
      </w:r>
      <w:r w:rsidR="00090C3C">
        <w:rPr>
          <w:rFonts w:cs="Arial"/>
          <w:lang w:val="fr-CA"/>
        </w:rPr>
        <w:t>Mission consultative Ramsar</w:t>
      </w:r>
      <w:r w:rsidR="00090C3C">
        <w:rPr>
          <w:rFonts w:cs="Arial"/>
          <w:lang w:val="fr-CA"/>
        </w:rPr>
        <w:t xml:space="preserve"> (MCR)</w:t>
      </w:r>
    </w:p>
    <w:p w14:paraId="574658F7" w14:textId="77777777" w:rsidR="005C1743" w:rsidRPr="00853DAF" w:rsidRDefault="005C1743" w:rsidP="00090C3C">
      <w:pPr>
        <w:spacing w:after="0" w:line="240" w:lineRule="auto"/>
        <w:ind w:left="425"/>
        <w:rPr>
          <w:lang w:val="fr-CA"/>
        </w:rPr>
      </w:pPr>
    </w:p>
    <w:p w14:paraId="40CFD69E" w14:textId="77777777" w:rsidR="00171C2D" w:rsidRPr="00853DAF" w:rsidRDefault="00171C2D" w:rsidP="00090C3C">
      <w:pPr>
        <w:numPr>
          <w:ilvl w:val="0"/>
          <w:numId w:val="2"/>
        </w:numPr>
        <w:spacing w:after="0" w:line="240" w:lineRule="auto"/>
        <w:ind w:left="450" w:hanging="450"/>
        <w:rPr>
          <w:lang w:val="fr-CA"/>
        </w:rPr>
      </w:pPr>
      <w:r w:rsidRPr="00853DAF">
        <w:rPr>
          <w:lang w:val="fr-CA"/>
        </w:rPr>
        <w:t>Li</w:t>
      </w:r>
      <w:r w:rsidR="00853DAF">
        <w:rPr>
          <w:lang w:val="fr-CA"/>
        </w:rPr>
        <w:t>ens avec l’</w:t>
      </w:r>
      <w:r w:rsidRPr="00853DAF">
        <w:rPr>
          <w:lang w:val="fr-CA"/>
        </w:rPr>
        <w:t>Article 3.2</w:t>
      </w:r>
    </w:p>
    <w:p w14:paraId="006951E8" w14:textId="77777777" w:rsidR="005C1743" w:rsidRPr="00853DAF" w:rsidRDefault="005C1743" w:rsidP="00090C3C">
      <w:pPr>
        <w:spacing w:after="0" w:line="240" w:lineRule="auto"/>
        <w:ind w:left="450" w:hanging="450"/>
        <w:rPr>
          <w:lang w:val="fr-CA"/>
        </w:rPr>
      </w:pPr>
    </w:p>
    <w:p w14:paraId="6377D0F9" w14:textId="77777777" w:rsidR="00171C2D" w:rsidRPr="00853DAF" w:rsidRDefault="00171C2D" w:rsidP="00090C3C">
      <w:pPr>
        <w:numPr>
          <w:ilvl w:val="0"/>
          <w:numId w:val="2"/>
        </w:numPr>
        <w:spacing w:after="0" w:line="240" w:lineRule="auto"/>
        <w:ind w:left="450" w:hanging="450"/>
        <w:rPr>
          <w:lang w:val="fr-CA"/>
        </w:rPr>
      </w:pPr>
      <w:r w:rsidRPr="00853DAF">
        <w:rPr>
          <w:lang w:val="fr-CA"/>
        </w:rPr>
        <w:t>Li</w:t>
      </w:r>
      <w:r w:rsidR="00853DAF">
        <w:rPr>
          <w:lang w:val="fr-CA"/>
        </w:rPr>
        <w:t xml:space="preserve">ens avec le Registre de </w:t>
      </w:r>
      <w:r w:rsidRPr="00853DAF">
        <w:rPr>
          <w:lang w:val="fr-CA"/>
        </w:rPr>
        <w:t xml:space="preserve">Montreux </w:t>
      </w:r>
    </w:p>
    <w:p w14:paraId="0698DA4C" w14:textId="77777777" w:rsidR="005C1743" w:rsidRPr="00853DAF" w:rsidRDefault="005C1743" w:rsidP="00090C3C">
      <w:pPr>
        <w:spacing w:after="0" w:line="240" w:lineRule="auto"/>
        <w:ind w:left="450" w:hanging="450"/>
        <w:rPr>
          <w:lang w:val="fr-CA"/>
        </w:rPr>
      </w:pPr>
    </w:p>
    <w:p w14:paraId="30FB3E72" w14:textId="77777777" w:rsidR="00171C2D" w:rsidRPr="00853DAF" w:rsidRDefault="00853DAF" w:rsidP="00090C3C">
      <w:pPr>
        <w:numPr>
          <w:ilvl w:val="0"/>
          <w:numId w:val="2"/>
        </w:numPr>
        <w:spacing w:after="0" w:line="240" w:lineRule="auto"/>
        <w:ind w:left="450" w:hanging="450"/>
        <w:rPr>
          <w:lang w:val="fr-CA"/>
        </w:rPr>
      </w:pPr>
      <w:r>
        <w:rPr>
          <w:lang w:val="fr-CA"/>
        </w:rPr>
        <w:t>Enquêtes et avis pré</w:t>
      </w:r>
      <w:r>
        <w:rPr>
          <w:lang w:val="fr-CA"/>
        </w:rPr>
        <w:noBreakHyphen/>
        <w:t>MCR</w:t>
      </w:r>
    </w:p>
    <w:p w14:paraId="31977508" w14:textId="77777777" w:rsidR="005C1743" w:rsidRPr="00853DAF" w:rsidRDefault="005C1743" w:rsidP="00090C3C">
      <w:pPr>
        <w:spacing w:after="0" w:line="240" w:lineRule="auto"/>
        <w:ind w:left="450" w:hanging="450"/>
        <w:rPr>
          <w:lang w:val="fr-CA"/>
        </w:rPr>
      </w:pPr>
    </w:p>
    <w:p w14:paraId="1A7170AD" w14:textId="77777777" w:rsidR="00171C2D" w:rsidRPr="00853DAF" w:rsidRDefault="00853DAF" w:rsidP="00090C3C">
      <w:pPr>
        <w:numPr>
          <w:ilvl w:val="0"/>
          <w:numId w:val="2"/>
        </w:numPr>
        <w:spacing w:after="0" w:line="240" w:lineRule="auto"/>
        <w:ind w:left="450" w:hanging="450"/>
        <w:rPr>
          <w:lang w:val="fr-CA"/>
        </w:rPr>
      </w:pPr>
      <w:r>
        <w:rPr>
          <w:lang w:val="fr-CA"/>
        </w:rPr>
        <w:t xml:space="preserve">Prérogative de la Partie contractante d’inviter une MCR/d’approuver le cahier des charges (CdC) </w:t>
      </w:r>
    </w:p>
    <w:p w14:paraId="0CFC5C3E" w14:textId="77777777" w:rsidR="005C1743" w:rsidRPr="00853DAF" w:rsidRDefault="005C1743" w:rsidP="00090C3C">
      <w:pPr>
        <w:spacing w:after="0" w:line="240" w:lineRule="auto"/>
        <w:ind w:left="450" w:hanging="450"/>
        <w:rPr>
          <w:lang w:val="fr-CA"/>
        </w:rPr>
      </w:pPr>
    </w:p>
    <w:p w14:paraId="486B5D43" w14:textId="77777777" w:rsidR="00171C2D" w:rsidRPr="00853DAF" w:rsidRDefault="00853DAF" w:rsidP="00090C3C">
      <w:pPr>
        <w:numPr>
          <w:ilvl w:val="0"/>
          <w:numId w:val="2"/>
        </w:numPr>
        <w:spacing w:after="0" w:line="240" w:lineRule="auto"/>
        <w:ind w:left="450" w:hanging="450"/>
        <w:rPr>
          <w:lang w:val="fr-CA"/>
        </w:rPr>
      </w:pPr>
      <w:r>
        <w:rPr>
          <w:lang w:val="fr-CA"/>
        </w:rPr>
        <w:t>Élabor</w:t>
      </w:r>
      <w:r w:rsidR="00362CE1">
        <w:rPr>
          <w:lang w:val="fr-CA"/>
        </w:rPr>
        <w:t>ation du</w:t>
      </w:r>
      <w:r>
        <w:rPr>
          <w:lang w:val="fr-CA"/>
        </w:rPr>
        <w:t xml:space="preserve"> CdC – normes de bonnes pratiques </w:t>
      </w:r>
    </w:p>
    <w:p w14:paraId="59E5A9A8" w14:textId="77777777" w:rsidR="005C1743" w:rsidRPr="00853DAF" w:rsidRDefault="005C1743" w:rsidP="00090C3C">
      <w:pPr>
        <w:spacing w:after="0" w:line="240" w:lineRule="auto"/>
        <w:ind w:left="450" w:hanging="450"/>
        <w:rPr>
          <w:lang w:val="fr-CA"/>
        </w:rPr>
      </w:pPr>
    </w:p>
    <w:p w14:paraId="5AAA7576" w14:textId="77777777" w:rsidR="00171C2D" w:rsidRPr="00853DAF" w:rsidRDefault="00853DAF" w:rsidP="00090C3C">
      <w:pPr>
        <w:numPr>
          <w:ilvl w:val="0"/>
          <w:numId w:val="2"/>
        </w:numPr>
        <w:spacing w:after="0" w:line="240" w:lineRule="auto"/>
        <w:ind w:left="450" w:hanging="450"/>
        <w:rPr>
          <w:lang w:val="fr-CA"/>
        </w:rPr>
      </w:pPr>
      <w:r>
        <w:rPr>
          <w:lang w:val="fr-CA"/>
        </w:rPr>
        <w:t>Portée de la MCR</w:t>
      </w:r>
    </w:p>
    <w:p w14:paraId="58690B21" w14:textId="77777777" w:rsidR="005C1743" w:rsidRPr="00853DAF" w:rsidRDefault="005C1743" w:rsidP="00090C3C">
      <w:pPr>
        <w:spacing w:after="0" w:line="240" w:lineRule="auto"/>
        <w:ind w:left="450" w:hanging="450"/>
        <w:rPr>
          <w:lang w:val="fr-CA"/>
        </w:rPr>
      </w:pPr>
    </w:p>
    <w:p w14:paraId="50DCD3F8" w14:textId="77777777" w:rsidR="00171C2D" w:rsidRPr="00853DAF" w:rsidRDefault="00171C2D" w:rsidP="00090C3C">
      <w:pPr>
        <w:numPr>
          <w:ilvl w:val="0"/>
          <w:numId w:val="2"/>
        </w:numPr>
        <w:spacing w:after="0" w:line="240" w:lineRule="auto"/>
        <w:ind w:left="450" w:hanging="450"/>
        <w:rPr>
          <w:lang w:val="fr-CA"/>
        </w:rPr>
      </w:pPr>
      <w:r w:rsidRPr="00853DAF">
        <w:rPr>
          <w:lang w:val="fr-CA"/>
        </w:rPr>
        <w:t xml:space="preserve">Coordination </w:t>
      </w:r>
      <w:r w:rsidR="00853DAF">
        <w:rPr>
          <w:lang w:val="fr-CA"/>
        </w:rPr>
        <w:t xml:space="preserve">et composition de l’équipe de la mission </w:t>
      </w:r>
    </w:p>
    <w:p w14:paraId="42BCA8E9" w14:textId="77777777" w:rsidR="005C1743" w:rsidRPr="00853DAF" w:rsidRDefault="005C1743" w:rsidP="00090C3C">
      <w:pPr>
        <w:spacing w:after="0" w:line="240" w:lineRule="auto"/>
        <w:ind w:left="450" w:hanging="450"/>
        <w:rPr>
          <w:lang w:val="fr-CA"/>
        </w:rPr>
      </w:pPr>
    </w:p>
    <w:p w14:paraId="5AA8C7FD" w14:textId="77777777" w:rsidR="00171C2D" w:rsidRPr="00853DAF" w:rsidRDefault="003F3430" w:rsidP="00090C3C">
      <w:pPr>
        <w:numPr>
          <w:ilvl w:val="0"/>
          <w:numId w:val="2"/>
        </w:numPr>
        <w:spacing w:after="0" w:line="240" w:lineRule="auto"/>
        <w:ind w:left="450" w:hanging="450"/>
        <w:rPr>
          <w:lang w:val="fr-CA"/>
        </w:rPr>
      </w:pPr>
      <w:r>
        <w:rPr>
          <w:lang w:val="fr-CA"/>
        </w:rPr>
        <w:t xml:space="preserve">Considérations </w:t>
      </w:r>
      <w:r w:rsidR="00362CE1">
        <w:rPr>
          <w:lang w:val="fr-CA"/>
        </w:rPr>
        <w:t>relatives au</w:t>
      </w:r>
      <w:r>
        <w:rPr>
          <w:lang w:val="fr-CA"/>
        </w:rPr>
        <w:t xml:space="preserve"> calendrier</w:t>
      </w:r>
    </w:p>
    <w:p w14:paraId="180D0A7B" w14:textId="77777777" w:rsidR="005C1743" w:rsidRPr="00853DAF" w:rsidRDefault="005C1743" w:rsidP="00090C3C">
      <w:pPr>
        <w:spacing w:after="0" w:line="240" w:lineRule="auto"/>
        <w:ind w:left="425"/>
        <w:rPr>
          <w:lang w:val="fr-CA"/>
        </w:rPr>
      </w:pPr>
    </w:p>
    <w:p w14:paraId="4757D4CB" w14:textId="77777777" w:rsidR="00171C2D" w:rsidRPr="00853DAF" w:rsidRDefault="00171C2D" w:rsidP="00090C3C">
      <w:pPr>
        <w:numPr>
          <w:ilvl w:val="0"/>
          <w:numId w:val="2"/>
        </w:numPr>
        <w:spacing w:after="0" w:line="240" w:lineRule="auto"/>
        <w:ind w:left="450" w:hanging="450"/>
        <w:rPr>
          <w:lang w:val="fr-CA"/>
        </w:rPr>
      </w:pPr>
      <w:r w:rsidRPr="00853DAF">
        <w:rPr>
          <w:lang w:val="fr-CA"/>
        </w:rPr>
        <w:t>R</w:t>
      </w:r>
      <w:r w:rsidR="003F3430">
        <w:rPr>
          <w:lang w:val="fr-CA"/>
        </w:rPr>
        <w:t>ôle du Secrétariat</w:t>
      </w:r>
    </w:p>
    <w:p w14:paraId="0F8B4DDC" w14:textId="77777777" w:rsidR="005C1743" w:rsidRPr="00853DAF" w:rsidRDefault="005C1743" w:rsidP="00090C3C">
      <w:pPr>
        <w:spacing w:after="0" w:line="240" w:lineRule="auto"/>
        <w:ind w:left="450" w:hanging="450"/>
        <w:rPr>
          <w:lang w:val="fr-CA"/>
        </w:rPr>
      </w:pPr>
    </w:p>
    <w:p w14:paraId="6E36A9CA" w14:textId="77777777" w:rsidR="00171C2D" w:rsidRPr="00853DAF" w:rsidRDefault="00171C2D" w:rsidP="00090C3C">
      <w:pPr>
        <w:numPr>
          <w:ilvl w:val="0"/>
          <w:numId w:val="2"/>
        </w:numPr>
        <w:spacing w:after="0" w:line="240" w:lineRule="auto"/>
        <w:ind w:left="450" w:hanging="450"/>
        <w:rPr>
          <w:lang w:val="fr-CA"/>
        </w:rPr>
      </w:pPr>
      <w:r w:rsidRPr="00853DAF">
        <w:rPr>
          <w:lang w:val="fr-CA"/>
        </w:rPr>
        <w:t>R</w:t>
      </w:r>
      <w:r w:rsidR="003F3430">
        <w:rPr>
          <w:lang w:val="fr-CA"/>
        </w:rPr>
        <w:t>ôle du GEST</w:t>
      </w:r>
    </w:p>
    <w:p w14:paraId="421CA56A" w14:textId="77777777" w:rsidR="005C1743" w:rsidRPr="00853DAF" w:rsidRDefault="005C1743" w:rsidP="00090C3C">
      <w:pPr>
        <w:spacing w:after="0" w:line="240" w:lineRule="auto"/>
        <w:ind w:left="450" w:hanging="450"/>
        <w:rPr>
          <w:lang w:val="fr-CA"/>
        </w:rPr>
      </w:pPr>
    </w:p>
    <w:p w14:paraId="6002B73C" w14:textId="77777777" w:rsidR="00171C2D" w:rsidRPr="00853DAF" w:rsidRDefault="00171C2D" w:rsidP="00090C3C">
      <w:pPr>
        <w:numPr>
          <w:ilvl w:val="0"/>
          <w:numId w:val="2"/>
        </w:numPr>
        <w:spacing w:after="0" w:line="240" w:lineRule="auto"/>
        <w:ind w:left="450" w:hanging="450"/>
        <w:rPr>
          <w:lang w:val="fr-CA"/>
        </w:rPr>
      </w:pPr>
      <w:r w:rsidRPr="00853DAF">
        <w:rPr>
          <w:lang w:val="fr-CA"/>
        </w:rPr>
        <w:t>R</w:t>
      </w:r>
      <w:r w:rsidR="003F3430">
        <w:rPr>
          <w:lang w:val="fr-CA"/>
        </w:rPr>
        <w:t>ôle des OIP et autres parties prenantes</w:t>
      </w:r>
    </w:p>
    <w:p w14:paraId="633C6FEE" w14:textId="77777777" w:rsidR="005C1743" w:rsidRPr="00853DAF" w:rsidRDefault="005C1743" w:rsidP="00090C3C">
      <w:pPr>
        <w:spacing w:after="0" w:line="240" w:lineRule="auto"/>
        <w:ind w:left="450" w:hanging="450"/>
        <w:rPr>
          <w:lang w:val="fr-CA"/>
        </w:rPr>
      </w:pPr>
    </w:p>
    <w:p w14:paraId="209EF653" w14:textId="77777777" w:rsidR="00171C2D" w:rsidRPr="00853DAF" w:rsidRDefault="003F3430" w:rsidP="00090C3C">
      <w:pPr>
        <w:numPr>
          <w:ilvl w:val="0"/>
          <w:numId w:val="2"/>
        </w:numPr>
        <w:spacing w:after="0" w:line="240" w:lineRule="auto"/>
        <w:ind w:left="450" w:hanging="450"/>
        <w:rPr>
          <w:lang w:val="fr-CA"/>
        </w:rPr>
      </w:pPr>
      <w:r>
        <w:rPr>
          <w:lang w:val="fr-CA"/>
        </w:rPr>
        <w:t>Financement de la MCR</w:t>
      </w:r>
    </w:p>
    <w:p w14:paraId="0D5C811B" w14:textId="77777777" w:rsidR="005C1743" w:rsidRPr="00853DAF" w:rsidRDefault="005C1743" w:rsidP="00090C3C">
      <w:pPr>
        <w:spacing w:after="0" w:line="240" w:lineRule="auto"/>
        <w:ind w:left="450" w:hanging="450"/>
        <w:rPr>
          <w:lang w:val="fr-CA"/>
        </w:rPr>
      </w:pPr>
    </w:p>
    <w:p w14:paraId="30D1B011" w14:textId="77777777" w:rsidR="00171C2D" w:rsidRPr="00853DAF" w:rsidRDefault="00171C2D" w:rsidP="00090C3C">
      <w:pPr>
        <w:numPr>
          <w:ilvl w:val="0"/>
          <w:numId w:val="2"/>
        </w:numPr>
        <w:spacing w:after="0" w:line="240" w:lineRule="auto"/>
        <w:ind w:left="450" w:hanging="450"/>
        <w:rPr>
          <w:lang w:val="fr-CA"/>
        </w:rPr>
      </w:pPr>
      <w:r w:rsidRPr="00853DAF">
        <w:rPr>
          <w:lang w:val="fr-CA"/>
        </w:rPr>
        <w:t xml:space="preserve">Application </w:t>
      </w:r>
      <w:r w:rsidR="003F3430">
        <w:rPr>
          <w:lang w:val="fr-CA"/>
        </w:rPr>
        <w:t xml:space="preserve">à des Sites Ramsar candidats et autres zones humides non inscrites </w:t>
      </w:r>
    </w:p>
    <w:p w14:paraId="775C4C0C" w14:textId="77777777" w:rsidR="005C1743" w:rsidRPr="00853DAF" w:rsidRDefault="005C1743" w:rsidP="00090C3C">
      <w:pPr>
        <w:spacing w:after="0" w:line="240" w:lineRule="auto"/>
        <w:ind w:left="450" w:hanging="450"/>
        <w:rPr>
          <w:lang w:val="fr-CA"/>
        </w:rPr>
      </w:pPr>
    </w:p>
    <w:p w14:paraId="2ADE5A54" w14:textId="77777777" w:rsidR="00171C2D" w:rsidRPr="00853DAF" w:rsidRDefault="00171C2D" w:rsidP="00090C3C">
      <w:pPr>
        <w:numPr>
          <w:ilvl w:val="0"/>
          <w:numId w:val="2"/>
        </w:numPr>
        <w:spacing w:after="0" w:line="240" w:lineRule="auto"/>
        <w:ind w:left="450" w:hanging="450"/>
        <w:rPr>
          <w:lang w:val="fr-CA"/>
        </w:rPr>
      </w:pPr>
      <w:r w:rsidRPr="00853DAF">
        <w:rPr>
          <w:lang w:val="fr-CA"/>
        </w:rPr>
        <w:t xml:space="preserve">Application </w:t>
      </w:r>
      <w:r w:rsidR="003F3430">
        <w:rPr>
          <w:lang w:val="fr-CA"/>
        </w:rPr>
        <w:t>dans un contexte transfrontalier</w:t>
      </w:r>
    </w:p>
    <w:p w14:paraId="2F3C06A2" w14:textId="77777777" w:rsidR="005C1743" w:rsidRPr="00853DAF" w:rsidRDefault="005C1743" w:rsidP="00090C3C">
      <w:pPr>
        <w:spacing w:after="0" w:line="240" w:lineRule="auto"/>
        <w:ind w:left="450" w:hanging="450"/>
        <w:rPr>
          <w:lang w:val="fr-CA"/>
        </w:rPr>
      </w:pPr>
    </w:p>
    <w:p w14:paraId="2CD73E95" w14:textId="77777777" w:rsidR="00171C2D" w:rsidRPr="00853DAF" w:rsidRDefault="003F3430" w:rsidP="00090C3C">
      <w:pPr>
        <w:numPr>
          <w:ilvl w:val="0"/>
          <w:numId w:val="2"/>
        </w:numPr>
        <w:spacing w:after="0" w:line="240" w:lineRule="auto"/>
        <w:ind w:left="450" w:hanging="450"/>
        <w:rPr>
          <w:lang w:val="fr-CA"/>
        </w:rPr>
      </w:pPr>
      <w:r>
        <w:rPr>
          <w:lang w:val="fr-CA"/>
        </w:rPr>
        <w:t xml:space="preserve">Fonctionnement sur une base </w:t>
      </w:r>
      <w:r w:rsidR="00362CE1">
        <w:rPr>
          <w:lang w:val="fr-CA"/>
        </w:rPr>
        <w:t>conjointe</w:t>
      </w:r>
      <w:r>
        <w:rPr>
          <w:lang w:val="fr-CA"/>
        </w:rPr>
        <w:t xml:space="preserve"> avec les mécanismes d’autres AME </w:t>
      </w:r>
    </w:p>
    <w:p w14:paraId="5888A9C7" w14:textId="77777777" w:rsidR="005C1743" w:rsidRPr="00853DAF" w:rsidRDefault="005C1743" w:rsidP="00090C3C">
      <w:pPr>
        <w:spacing w:after="0" w:line="240" w:lineRule="auto"/>
        <w:ind w:left="450" w:hanging="450"/>
        <w:rPr>
          <w:lang w:val="fr-CA"/>
        </w:rPr>
      </w:pPr>
    </w:p>
    <w:p w14:paraId="0DE6145B" w14:textId="77777777" w:rsidR="00171C2D" w:rsidRPr="00853DAF" w:rsidRDefault="00171C2D" w:rsidP="00090C3C">
      <w:pPr>
        <w:numPr>
          <w:ilvl w:val="0"/>
          <w:numId w:val="2"/>
        </w:numPr>
        <w:spacing w:after="0" w:line="240" w:lineRule="auto"/>
        <w:ind w:left="450" w:hanging="450"/>
        <w:rPr>
          <w:lang w:val="fr-CA"/>
        </w:rPr>
      </w:pPr>
      <w:r w:rsidRPr="00853DAF">
        <w:rPr>
          <w:lang w:val="fr-CA"/>
        </w:rPr>
        <w:t xml:space="preserve">Structure </w:t>
      </w:r>
      <w:r w:rsidR="003F3430">
        <w:rPr>
          <w:lang w:val="fr-CA"/>
        </w:rPr>
        <w:t xml:space="preserve">et contenu </w:t>
      </w:r>
      <w:r w:rsidR="00362CE1">
        <w:rPr>
          <w:lang w:val="fr-CA"/>
        </w:rPr>
        <w:t xml:space="preserve">d’un rapport </w:t>
      </w:r>
      <w:r w:rsidR="003F3430">
        <w:rPr>
          <w:lang w:val="fr-CA"/>
        </w:rPr>
        <w:t xml:space="preserve">de MCR </w:t>
      </w:r>
    </w:p>
    <w:p w14:paraId="4EA7B176" w14:textId="77777777" w:rsidR="005C1743" w:rsidRPr="00853DAF" w:rsidRDefault="005C1743" w:rsidP="00090C3C">
      <w:pPr>
        <w:spacing w:after="0" w:line="240" w:lineRule="auto"/>
        <w:ind w:left="425"/>
        <w:rPr>
          <w:lang w:val="fr-CA"/>
        </w:rPr>
      </w:pPr>
    </w:p>
    <w:p w14:paraId="124FE3DF" w14:textId="77777777" w:rsidR="00171C2D" w:rsidRPr="00853DAF" w:rsidRDefault="003F3430" w:rsidP="00090C3C">
      <w:pPr>
        <w:numPr>
          <w:ilvl w:val="0"/>
          <w:numId w:val="2"/>
        </w:numPr>
        <w:spacing w:after="0" w:line="240" w:lineRule="auto"/>
        <w:ind w:left="450" w:hanging="450"/>
        <w:rPr>
          <w:lang w:val="fr-CA"/>
        </w:rPr>
      </w:pPr>
      <w:r>
        <w:rPr>
          <w:lang w:val="fr-CA"/>
        </w:rPr>
        <w:t>Processus de suivi d’un rapport de MCR</w:t>
      </w:r>
    </w:p>
    <w:p w14:paraId="1DE599FC" w14:textId="77777777" w:rsidR="005C1743" w:rsidRPr="00853DAF" w:rsidRDefault="005C1743" w:rsidP="00090C3C">
      <w:pPr>
        <w:spacing w:after="0" w:line="240" w:lineRule="auto"/>
        <w:ind w:left="450" w:hanging="450"/>
        <w:rPr>
          <w:lang w:val="fr-CA"/>
        </w:rPr>
      </w:pPr>
    </w:p>
    <w:p w14:paraId="0C512653" w14:textId="77777777" w:rsidR="00171C2D" w:rsidRPr="00853DAF" w:rsidRDefault="00171C2D" w:rsidP="00090C3C">
      <w:pPr>
        <w:numPr>
          <w:ilvl w:val="0"/>
          <w:numId w:val="2"/>
        </w:numPr>
        <w:spacing w:after="0" w:line="240" w:lineRule="auto"/>
        <w:ind w:left="450" w:hanging="450"/>
        <w:rPr>
          <w:lang w:val="fr-CA"/>
        </w:rPr>
      </w:pPr>
      <w:r w:rsidRPr="00853DAF">
        <w:rPr>
          <w:lang w:val="fr-CA"/>
        </w:rPr>
        <w:t>R</w:t>
      </w:r>
      <w:r w:rsidR="003F3430">
        <w:rPr>
          <w:lang w:val="fr-CA"/>
        </w:rPr>
        <w:t xml:space="preserve">apport sur les activités de la MCR, y compris étude </w:t>
      </w:r>
      <w:r w:rsidR="004B102C">
        <w:rPr>
          <w:lang w:val="fr-CA"/>
        </w:rPr>
        <w:t xml:space="preserve">opportune </w:t>
      </w:r>
      <w:r w:rsidR="003F3430">
        <w:rPr>
          <w:lang w:val="fr-CA"/>
        </w:rPr>
        <w:t>des résultats</w:t>
      </w:r>
      <w:r w:rsidR="00362CE1">
        <w:rPr>
          <w:lang w:val="fr-CA"/>
        </w:rPr>
        <w:t>,</w:t>
      </w:r>
      <w:r w:rsidR="003F3430">
        <w:rPr>
          <w:lang w:val="fr-CA"/>
        </w:rPr>
        <w:t xml:space="preserve"> après la fin de la mission (généralement environ six ans) </w:t>
      </w:r>
    </w:p>
    <w:p w14:paraId="20380676" w14:textId="77777777" w:rsidR="00171C2D" w:rsidRPr="00D876D8" w:rsidRDefault="00171C2D" w:rsidP="00090C3C">
      <w:pPr>
        <w:spacing w:after="0" w:line="240" w:lineRule="auto"/>
      </w:pPr>
    </w:p>
    <w:p w14:paraId="205C9B36" w14:textId="77777777" w:rsidR="00531E66" w:rsidRPr="00D876D8" w:rsidRDefault="00531E66" w:rsidP="00090C3C">
      <w:pPr>
        <w:spacing w:after="0" w:line="240" w:lineRule="auto"/>
      </w:pPr>
    </w:p>
    <w:sectPr w:rsidR="00531E66" w:rsidRPr="00D876D8" w:rsidSect="00D876D8">
      <w:foot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5748C" w14:textId="77777777" w:rsidR="00C7218D" w:rsidRDefault="00C7218D">
      <w:pPr>
        <w:spacing w:after="0" w:line="240" w:lineRule="auto"/>
      </w:pPr>
      <w:r>
        <w:separator/>
      </w:r>
    </w:p>
  </w:endnote>
  <w:endnote w:type="continuationSeparator" w:id="0">
    <w:p w14:paraId="1CF02878" w14:textId="77777777" w:rsidR="00C7218D" w:rsidRDefault="00C7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75734" w14:textId="02E07249" w:rsidR="00124AEC" w:rsidRPr="00090C3C" w:rsidRDefault="00090C3C" w:rsidP="00090C3C">
    <w:pPr>
      <w:pStyle w:val="Footer"/>
      <w:tabs>
        <w:tab w:val="clear" w:pos="9638"/>
        <w:tab w:val="right" w:pos="9000"/>
      </w:tabs>
      <w:rPr>
        <w:rFonts w:ascii="Calibri" w:hAnsi="Calibri"/>
        <w:sz w:val="20"/>
        <w:szCs w:val="20"/>
        <w:lang w:val="en-GB"/>
      </w:rPr>
    </w:pPr>
    <w:r>
      <w:rPr>
        <w:rFonts w:ascii="Calibri" w:hAnsi="Calibri"/>
        <w:sz w:val="20"/>
        <w:szCs w:val="20"/>
        <w:lang w:val="en-GB"/>
      </w:rPr>
      <w:t>Ramsar COP13 Doc.18.11</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B01232">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C8371" w14:textId="77777777" w:rsidR="00C7218D" w:rsidRDefault="00C7218D">
      <w:pPr>
        <w:spacing w:after="0" w:line="240" w:lineRule="auto"/>
      </w:pPr>
      <w:r>
        <w:separator/>
      </w:r>
    </w:p>
  </w:footnote>
  <w:footnote w:type="continuationSeparator" w:id="0">
    <w:p w14:paraId="1C2B6DDC" w14:textId="77777777" w:rsidR="00C7218D" w:rsidRDefault="00C72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90B"/>
    <w:multiLevelType w:val="hybridMultilevel"/>
    <w:tmpl w:val="1F6E3918"/>
    <w:lvl w:ilvl="0" w:tplc="04090001">
      <w:start w:val="1"/>
      <w:numFmt w:val="bullet"/>
      <w:lvlText w:val=""/>
      <w:lvlJc w:val="left"/>
      <w:pPr>
        <w:ind w:left="720" w:hanging="360"/>
      </w:pPr>
      <w:rPr>
        <w:rFonts w:ascii="Symbol" w:hAnsi="Symbol" w:hint="default"/>
      </w:rPr>
    </w:lvl>
    <w:lvl w:ilvl="1" w:tplc="730032D4">
      <w:numFmt w:val="bullet"/>
      <w:lvlText w:val="-"/>
      <w:lvlJc w:val="left"/>
      <w:pPr>
        <w:ind w:left="1440" w:hanging="360"/>
      </w:pPr>
      <w:rPr>
        <w:rFonts w:ascii="Calibri" w:eastAsia="Calibri" w:hAnsi="Calibri" w:cs="Garamond"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54677F5"/>
    <w:multiLevelType w:val="hybridMultilevel"/>
    <w:tmpl w:val="7294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F0882"/>
    <w:multiLevelType w:val="hybridMultilevel"/>
    <w:tmpl w:val="84AA0378"/>
    <w:lvl w:ilvl="0" w:tplc="3028F71E">
      <w:start w:val="1"/>
      <w:numFmt w:val="decimal"/>
      <w:lvlText w:val="%1."/>
      <w:lvlJc w:val="left"/>
      <w:pPr>
        <w:ind w:left="720" w:hanging="360"/>
      </w:pPr>
      <w:rPr>
        <w:rFonts w:asciiTheme="minorHAnsi" w:hAnsiTheme="minorHAnsi" w:cs="Cambria,Bold" w:hint="default"/>
        <w:b w:val="0"/>
        <w:sz w:val="21"/>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22E75A5"/>
    <w:multiLevelType w:val="hybridMultilevel"/>
    <w:tmpl w:val="0462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7390E"/>
    <w:multiLevelType w:val="hybridMultilevel"/>
    <w:tmpl w:val="223C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73FD0516"/>
    <w:multiLevelType w:val="hybridMultilevel"/>
    <w:tmpl w:val="76DE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2D"/>
    <w:rsid w:val="0000725F"/>
    <w:rsid w:val="00010801"/>
    <w:rsid w:val="00090C3C"/>
    <w:rsid w:val="00091687"/>
    <w:rsid w:val="000A22B4"/>
    <w:rsid w:val="000A3B64"/>
    <w:rsid w:val="000C1B37"/>
    <w:rsid w:val="00102DC6"/>
    <w:rsid w:val="00125EC7"/>
    <w:rsid w:val="00171C2D"/>
    <w:rsid w:val="00191B63"/>
    <w:rsid w:val="001A31CE"/>
    <w:rsid w:val="001C551D"/>
    <w:rsid w:val="001F330C"/>
    <w:rsid w:val="002224BE"/>
    <w:rsid w:val="002230A2"/>
    <w:rsid w:val="00274119"/>
    <w:rsid w:val="00282883"/>
    <w:rsid w:val="00296DB7"/>
    <w:rsid w:val="002E3C1D"/>
    <w:rsid w:val="002F68A9"/>
    <w:rsid w:val="00332784"/>
    <w:rsid w:val="00362CE1"/>
    <w:rsid w:val="003B1F7A"/>
    <w:rsid w:val="003D1039"/>
    <w:rsid w:val="003E75F0"/>
    <w:rsid w:val="003F3430"/>
    <w:rsid w:val="00407F81"/>
    <w:rsid w:val="004105F5"/>
    <w:rsid w:val="0041435D"/>
    <w:rsid w:val="00442023"/>
    <w:rsid w:val="00445E24"/>
    <w:rsid w:val="0044679E"/>
    <w:rsid w:val="004B102C"/>
    <w:rsid w:val="004D07EF"/>
    <w:rsid w:val="00500D42"/>
    <w:rsid w:val="005050DB"/>
    <w:rsid w:val="00522791"/>
    <w:rsid w:val="00531E66"/>
    <w:rsid w:val="005A4F93"/>
    <w:rsid w:val="005C1743"/>
    <w:rsid w:val="005D7070"/>
    <w:rsid w:val="006105DB"/>
    <w:rsid w:val="00676E3E"/>
    <w:rsid w:val="00711482"/>
    <w:rsid w:val="0072370F"/>
    <w:rsid w:val="007335C6"/>
    <w:rsid w:val="00756A37"/>
    <w:rsid w:val="00757A18"/>
    <w:rsid w:val="0079746A"/>
    <w:rsid w:val="007E5125"/>
    <w:rsid w:val="008235CD"/>
    <w:rsid w:val="008367AF"/>
    <w:rsid w:val="00853DAF"/>
    <w:rsid w:val="00856AA1"/>
    <w:rsid w:val="00867B45"/>
    <w:rsid w:val="00875CC8"/>
    <w:rsid w:val="008B218B"/>
    <w:rsid w:val="00927DBC"/>
    <w:rsid w:val="00965211"/>
    <w:rsid w:val="009814B9"/>
    <w:rsid w:val="009822D7"/>
    <w:rsid w:val="009D4135"/>
    <w:rsid w:val="009E1ADC"/>
    <w:rsid w:val="00A05AA0"/>
    <w:rsid w:val="00A42623"/>
    <w:rsid w:val="00A95A0E"/>
    <w:rsid w:val="00AB15CD"/>
    <w:rsid w:val="00AE716E"/>
    <w:rsid w:val="00AF2B33"/>
    <w:rsid w:val="00B01232"/>
    <w:rsid w:val="00B05642"/>
    <w:rsid w:val="00B53D5A"/>
    <w:rsid w:val="00B80950"/>
    <w:rsid w:val="00BF3603"/>
    <w:rsid w:val="00C36ABD"/>
    <w:rsid w:val="00C67781"/>
    <w:rsid w:val="00C7218D"/>
    <w:rsid w:val="00CC26E0"/>
    <w:rsid w:val="00D60D70"/>
    <w:rsid w:val="00D84FDE"/>
    <w:rsid w:val="00D876D8"/>
    <w:rsid w:val="00DE1FA7"/>
    <w:rsid w:val="00E237A3"/>
    <w:rsid w:val="00EA23B3"/>
    <w:rsid w:val="00ED458F"/>
    <w:rsid w:val="00EF376C"/>
    <w:rsid w:val="00FA217C"/>
    <w:rsid w:val="00FF1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C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2D"/>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2D"/>
    <w:pPr>
      <w:ind w:left="720"/>
      <w:contextualSpacing/>
    </w:pPr>
  </w:style>
  <w:style w:type="paragraph" w:styleId="Header">
    <w:name w:val="header"/>
    <w:basedOn w:val="Normal"/>
    <w:link w:val="HeaderChar"/>
    <w:uiPriority w:val="99"/>
    <w:unhideWhenUsed/>
    <w:rsid w:val="00171C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71C2D"/>
    <w:rPr>
      <w:lang w:val="da-DK"/>
    </w:rPr>
  </w:style>
  <w:style w:type="paragraph" w:styleId="Footer">
    <w:name w:val="footer"/>
    <w:basedOn w:val="Normal"/>
    <w:link w:val="FooterChar"/>
    <w:uiPriority w:val="99"/>
    <w:unhideWhenUsed/>
    <w:rsid w:val="00171C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71C2D"/>
    <w:rPr>
      <w:lang w:val="da-DK"/>
    </w:rPr>
  </w:style>
  <w:style w:type="paragraph" w:styleId="BalloonText">
    <w:name w:val="Balloon Text"/>
    <w:basedOn w:val="Normal"/>
    <w:link w:val="BalloonTextChar"/>
    <w:uiPriority w:val="99"/>
    <w:semiHidden/>
    <w:unhideWhenUsed/>
    <w:rsid w:val="004B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02C"/>
    <w:rPr>
      <w:rFonts w:ascii="Segoe UI" w:hAnsi="Segoe UI" w:cs="Segoe UI"/>
      <w:sz w:val="18"/>
      <w:szCs w:val="18"/>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2D"/>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C2D"/>
    <w:pPr>
      <w:ind w:left="720"/>
      <w:contextualSpacing/>
    </w:pPr>
  </w:style>
  <w:style w:type="paragraph" w:styleId="Header">
    <w:name w:val="header"/>
    <w:basedOn w:val="Normal"/>
    <w:link w:val="HeaderChar"/>
    <w:uiPriority w:val="99"/>
    <w:unhideWhenUsed/>
    <w:rsid w:val="00171C2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71C2D"/>
    <w:rPr>
      <w:lang w:val="da-DK"/>
    </w:rPr>
  </w:style>
  <w:style w:type="paragraph" w:styleId="Footer">
    <w:name w:val="footer"/>
    <w:basedOn w:val="Normal"/>
    <w:link w:val="FooterChar"/>
    <w:uiPriority w:val="99"/>
    <w:unhideWhenUsed/>
    <w:rsid w:val="00171C2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71C2D"/>
    <w:rPr>
      <w:lang w:val="da-DK"/>
    </w:rPr>
  </w:style>
  <w:style w:type="paragraph" w:styleId="BalloonText">
    <w:name w:val="Balloon Text"/>
    <w:basedOn w:val="Normal"/>
    <w:link w:val="BalloonTextChar"/>
    <w:uiPriority w:val="99"/>
    <w:semiHidden/>
    <w:unhideWhenUsed/>
    <w:rsid w:val="004B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02C"/>
    <w:rPr>
      <w:rFonts w:ascii="Segoe UI" w:hAnsi="Segoe UI" w:cs="Segoe UI"/>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4893</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Ramsar\JenningsE</cp:lastModifiedBy>
  <cp:revision>3</cp:revision>
  <cp:lastPrinted>2018-02-22T14:01:00Z</cp:lastPrinted>
  <dcterms:created xsi:type="dcterms:W3CDTF">2018-07-21T17:59:00Z</dcterms:created>
  <dcterms:modified xsi:type="dcterms:W3CDTF">2018-07-21T18:00:00Z</dcterms:modified>
</cp:coreProperties>
</file>