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BF6" w:rsidRPr="00472E37" w:rsidRDefault="00CA4BF6" w:rsidP="00CA4BF6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noProof/>
          <w:sz w:val="24"/>
          <w:szCs w:val="24"/>
          <w:lang w:val="es-ES"/>
        </w:rPr>
      </w:pPr>
      <w:r w:rsidRPr="00472E37">
        <w:rPr>
          <w:rFonts w:eastAsia="Times New Roman" w:cstheme="majorHAnsi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4618BC2C" wp14:editId="3DF7BD26">
            <wp:simplePos x="0" y="0"/>
            <wp:positionH relativeFrom="column">
              <wp:posOffset>-235833</wp:posOffset>
            </wp:positionH>
            <wp:positionV relativeFrom="paragraph">
              <wp:posOffset>295</wp:posOffset>
            </wp:positionV>
            <wp:extent cx="1646555" cy="1714500"/>
            <wp:effectExtent l="0" t="0" r="0" b="0"/>
            <wp:wrapTight wrapText="bothSides">
              <wp:wrapPolygon edited="0">
                <wp:start x="0" y="0"/>
                <wp:lineTo x="0" y="21360"/>
                <wp:lineTo x="21242" y="21360"/>
                <wp:lineTo x="2124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- COP13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2E37">
        <w:rPr>
          <w:rFonts w:eastAsia="Times New Roman" w:cstheme="majorHAnsi"/>
          <w:b/>
          <w:bCs/>
          <w:noProof/>
          <w:sz w:val="24"/>
          <w:szCs w:val="24"/>
          <w:lang w:val="es-ES"/>
        </w:rPr>
        <w:t>13ª Reunión de la Conferencia de las Partes Contratantes</w:t>
      </w:r>
    </w:p>
    <w:p w:rsidR="00CA4BF6" w:rsidRPr="00472E37" w:rsidRDefault="00CA4BF6" w:rsidP="00CA4BF6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noProof/>
          <w:sz w:val="24"/>
          <w:szCs w:val="24"/>
          <w:lang w:val="es-ES"/>
        </w:rPr>
      </w:pPr>
      <w:r w:rsidRPr="00472E37">
        <w:rPr>
          <w:rFonts w:eastAsia="Times New Roman" w:cstheme="majorHAnsi"/>
          <w:b/>
          <w:bCs/>
          <w:noProof/>
          <w:sz w:val="24"/>
          <w:szCs w:val="24"/>
          <w:lang w:val="es-ES"/>
        </w:rPr>
        <w:t xml:space="preserve">en la Convención de Ramsar sobre los Humedales </w:t>
      </w:r>
    </w:p>
    <w:p w:rsidR="00CA4BF6" w:rsidRPr="00472E37" w:rsidRDefault="00CA4BF6" w:rsidP="00CA4BF6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noProof/>
          <w:sz w:val="24"/>
          <w:szCs w:val="24"/>
          <w:lang w:val="es-ES"/>
        </w:rPr>
      </w:pPr>
    </w:p>
    <w:p w:rsidR="00CA4BF6" w:rsidRPr="00472E37" w:rsidRDefault="00CA4BF6" w:rsidP="00CA4BF6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noProof/>
          <w:sz w:val="24"/>
          <w:szCs w:val="24"/>
          <w:lang w:val="es-ES"/>
        </w:rPr>
      </w:pPr>
      <w:r w:rsidRPr="00472E37">
        <w:rPr>
          <w:rFonts w:eastAsia="Times New Roman" w:cstheme="majorHAnsi"/>
          <w:b/>
          <w:bCs/>
          <w:noProof/>
          <w:sz w:val="24"/>
          <w:szCs w:val="24"/>
          <w:lang w:val="es-ES"/>
        </w:rPr>
        <w:t>“Humedales para un futuro urbano sostenible”</w:t>
      </w:r>
    </w:p>
    <w:p w:rsidR="00CA4BF6" w:rsidRPr="00472E37" w:rsidRDefault="00CA4BF6" w:rsidP="00CA4BF6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noProof/>
          <w:sz w:val="24"/>
          <w:szCs w:val="24"/>
          <w:lang w:val="es-ES"/>
        </w:rPr>
      </w:pPr>
      <w:r w:rsidRPr="00472E37">
        <w:rPr>
          <w:rFonts w:eastAsia="Times New Roman" w:cstheme="majorHAnsi"/>
          <w:b/>
          <w:bCs/>
          <w:noProof/>
          <w:sz w:val="24"/>
          <w:szCs w:val="24"/>
          <w:lang w:val="es-ES"/>
        </w:rPr>
        <w:t>Dubái, Emiratos Árabes Unidos,</w:t>
      </w:r>
    </w:p>
    <w:p w:rsidR="00CA4BF6" w:rsidRPr="00472E37" w:rsidRDefault="00CA4BF6" w:rsidP="00CA4BF6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noProof/>
          <w:sz w:val="24"/>
          <w:szCs w:val="24"/>
          <w:lang w:val="es-ES"/>
        </w:rPr>
      </w:pPr>
      <w:r w:rsidRPr="00472E37">
        <w:rPr>
          <w:rFonts w:eastAsia="Times New Roman" w:cstheme="majorHAnsi"/>
          <w:b/>
          <w:bCs/>
          <w:noProof/>
          <w:sz w:val="24"/>
          <w:szCs w:val="24"/>
          <w:lang w:val="es-ES"/>
        </w:rPr>
        <w:t>21 a 29 de octubre de 2018</w:t>
      </w:r>
    </w:p>
    <w:p w:rsidR="00CA4BF6" w:rsidRPr="00472E37" w:rsidRDefault="00CA4BF6" w:rsidP="00CA4BF6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noProof/>
          <w:sz w:val="28"/>
          <w:szCs w:val="28"/>
          <w:lang w:val="es-ES"/>
        </w:rPr>
      </w:pPr>
    </w:p>
    <w:p w:rsidR="00CA4BF6" w:rsidRPr="00472E37" w:rsidRDefault="00CA4BF6" w:rsidP="00CA4BF6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noProof/>
          <w:sz w:val="28"/>
          <w:szCs w:val="28"/>
          <w:lang w:val="es-ES"/>
        </w:rPr>
      </w:pPr>
    </w:p>
    <w:p w:rsidR="00CA4BF6" w:rsidRPr="00472E37" w:rsidRDefault="00CA4BF6" w:rsidP="00CA4BF6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noProof/>
          <w:sz w:val="28"/>
          <w:szCs w:val="28"/>
          <w:lang w:val="es-ES"/>
        </w:rPr>
      </w:pPr>
    </w:p>
    <w:tbl>
      <w:tblPr>
        <w:tblW w:w="936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4708"/>
        <w:gridCol w:w="4652"/>
      </w:tblGrid>
      <w:tr w:rsidR="00CA4BF6" w:rsidRPr="00472E37" w:rsidTr="003F0E5C">
        <w:tc>
          <w:tcPr>
            <w:tcW w:w="4708" w:type="dxa"/>
          </w:tcPr>
          <w:p w:rsidR="00CA4BF6" w:rsidRPr="00472E37" w:rsidRDefault="00CA4BF6" w:rsidP="003F0E5C">
            <w:pPr>
              <w:spacing w:after="0" w:line="240" w:lineRule="auto"/>
              <w:ind w:right="17"/>
              <w:jc w:val="center"/>
              <w:outlineLvl w:val="0"/>
              <w:rPr>
                <w:rFonts w:eastAsia="Times New Roman" w:cstheme="majorHAnsi"/>
                <w:b/>
                <w:bCs/>
                <w:noProof/>
                <w:sz w:val="24"/>
                <w:szCs w:val="24"/>
                <w:lang w:val="es-ES"/>
              </w:rPr>
            </w:pPr>
          </w:p>
        </w:tc>
        <w:tc>
          <w:tcPr>
            <w:tcW w:w="4652" w:type="dxa"/>
          </w:tcPr>
          <w:p w:rsidR="00CA4BF6" w:rsidRPr="00472E37" w:rsidRDefault="00CA4BF6" w:rsidP="003F0E5C">
            <w:pPr>
              <w:spacing w:after="0" w:line="240" w:lineRule="auto"/>
              <w:ind w:right="67"/>
              <w:jc w:val="right"/>
              <w:outlineLvl w:val="0"/>
              <w:rPr>
                <w:rFonts w:eastAsia="Times New Roman" w:cstheme="majorHAnsi"/>
                <w:b/>
                <w:bCs/>
                <w:noProof/>
                <w:sz w:val="24"/>
                <w:szCs w:val="24"/>
                <w:lang w:val="es-ES"/>
              </w:rPr>
            </w:pPr>
            <w:r w:rsidRPr="00472E37">
              <w:rPr>
                <w:rFonts w:eastAsia="Times New Roman" w:cstheme="majorHAnsi"/>
                <w:b/>
                <w:bCs/>
                <w:noProof/>
                <w:sz w:val="24"/>
                <w:szCs w:val="24"/>
                <w:lang w:val="es-ES"/>
              </w:rPr>
              <w:t xml:space="preserve"> Ramsar COP13 Doc.17</w:t>
            </w:r>
          </w:p>
        </w:tc>
      </w:tr>
    </w:tbl>
    <w:p w:rsidR="007D17A6" w:rsidRPr="00472E37" w:rsidRDefault="007D17A6" w:rsidP="007D17A6">
      <w:pPr>
        <w:spacing w:after="0" w:line="240" w:lineRule="auto"/>
        <w:jc w:val="center"/>
        <w:rPr>
          <w:rFonts w:cs="Arial"/>
          <w:b/>
          <w:noProof/>
          <w:sz w:val="28"/>
          <w:szCs w:val="28"/>
          <w:lang w:val="es-ES"/>
        </w:rPr>
      </w:pPr>
    </w:p>
    <w:p w:rsidR="008F0B06" w:rsidRPr="00472E37" w:rsidRDefault="008F0B06" w:rsidP="00E51CBD">
      <w:pPr>
        <w:spacing w:after="0" w:line="240" w:lineRule="auto"/>
        <w:jc w:val="center"/>
        <w:rPr>
          <w:rFonts w:cs="Arial"/>
          <w:b/>
          <w:noProof/>
          <w:sz w:val="28"/>
          <w:szCs w:val="28"/>
          <w:lang w:val="es-ES"/>
        </w:rPr>
      </w:pPr>
      <w:r w:rsidRPr="00472E37">
        <w:rPr>
          <w:rFonts w:cs="Arial"/>
          <w:b/>
          <w:noProof/>
          <w:sz w:val="28"/>
          <w:szCs w:val="28"/>
          <w:lang w:val="es-ES"/>
        </w:rPr>
        <w:t xml:space="preserve">Informe de la Secretaría sobre las </w:t>
      </w:r>
      <w:r w:rsidR="00BE4E89" w:rsidRPr="00472E37">
        <w:rPr>
          <w:rFonts w:cs="Arial"/>
          <w:b/>
          <w:noProof/>
          <w:sz w:val="28"/>
          <w:szCs w:val="28"/>
          <w:lang w:val="es-ES"/>
        </w:rPr>
        <w:t>consecuencias</w:t>
      </w:r>
      <w:r w:rsidRPr="00472E37">
        <w:rPr>
          <w:rFonts w:cs="Arial"/>
          <w:b/>
          <w:noProof/>
          <w:sz w:val="28"/>
          <w:szCs w:val="28"/>
          <w:lang w:val="es-ES"/>
        </w:rPr>
        <w:t xml:space="preserve"> administrativas y financieras de los proyectos de resolución</w:t>
      </w:r>
    </w:p>
    <w:p w:rsidR="00803D7B" w:rsidRPr="00472E37" w:rsidRDefault="00803D7B" w:rsidP="00803D7B">
      <w:pPr>
        <w:spacing w:after="0" w:line="240" w:lineRule="auto"/>
        <w:rPr>
          <w:rFonts w:cs="Arial"/>
          <w:b/>
          <w:noProof/>
          <w:lang w:val="es-ES"/>
        </w:rPr>
      </w:pPr>
    </w:p>
    <w:p w:rsidR="00A02D00" w:rsidRPr="00472E37" w:rsidRDefault="00A02D00" w:rsidP="00803D7B">
      <w:pPr>
        <w:spacing w:after="0" w:line="240" w:lineRule="auto"/>
        <w:rPr>
          <w:rFonts w:cs="Arial"/>
          <w:b/>
          <w:noProof/>
          <w:lang w:val="es-ES"/>
        </w:rPr>
      </w:pPr>
    </w:p>
    <w:p w:rsidR="00803D7B" w:rsidRPr="00472E37" w:rsidRDefault="00803D7B" w:rsidP="00BE4E89">
      <w:pPr>
        <w:spacing w:after="0" w:line="240" w:lineRule="auto"/>
        <w:ind w:left="425" w:hanging="425"/>
        <w:rPr>
          <w:rFonts w:cs="Arial"/>
          <w:noProof/>
          <w:lang w:val="es-ES"/>
        </w:rPr>
      </w:pPr>
      <w:r w:rsidRPr="00472E37">
        <w:rPr>
          <w:rFonts w:cs="Arial"/>
          <w:noProof/>
          <w:lang w:val="es-ES"/>
        </w:rPr>
        <w:t>1.</w:t>
      </w:r>
      <w:r w:rsidRPr="00472E37">
        <w:rPr>
          <w:rFonts w:cs="Arial"/>
          <w:noProof/>
          <w:lang w:val="es-ES"/>
        </w:rPr>
        <w:tab/>
      </w:r>
      <w:r w:rsidR="008F0B06" w:rsidRPr="00472E37">
        <w:rPr>
          <w:rFonts w:cs="Arial"/>
          <w:noProof/>
          <w:lang w:val="es-ES"/>
        </w:rPr>
        <w:t xml:space="preserve">El </w:t>
      </w:r>
      <w:r w:rsidR="00BE4E89" w:rsidRPr="00472E37">
        <w:rPr>
          <w:rFonts w:cs="Arial"/>
          <w:noProof/>
          <w:lang w:val="es-ES"/>
        </w:rPr>
        <w:t>c</w:t>
      </w:r>
      <w:r w:rsidR="008F0B06" w:rsidRPr="00472E37">
        <w:rPr>
          <w:rFonts w:cs="Arial"/>
          <w:noProof/>
          <w:lang w:val="es-ES"/>
        </w:rPr>
        <w:t xml:space="preserve">uadro 1 a continuación identifica las </w:t>
      </w:r>
      <w:r w:rsidR="00BE4E89" w:rsidRPr="00472E37">
        <w:rPr>
          <w:rFonts w:cs="Arial"/>
          <w:noProof/>
          <w:lang w:val="es-ES"/>
        </w:rPr>
        <w:t>consecuencias</w:t>
      </w:r>
      <w:r w:rsidR="008F0B06" w:rsidRPr="00472E37">
        <w:rPr>
          <w:rFonts w:cs="Arial"/>
          <w:noProof/>
          <w:lang w:val="es-ES"/>
        </w:rPr>
        <w:t xml:space="preserve"> administrativas y financieras proyecta</w:t>
      </w:r>
      <w:r w:rsidR="00BE4E89" w:rsidRPr="00472E37">
        <w:rPr>
          <w:rFonts w:cs="Arial"/>
          <w:noProof/>
          <w:lang w:val="es-ES"/>
        </w:rPr>
        <w:t>da</w:t>
      </w:r>
      <w:r w:rsidR="008F0B06" w:rsidRPr="00472E37">
        <w:rPr>
          <w:rFonts w:cs="Arial"/>
          <w:noProof/>
          <w:lang w:val="es-ES"/>
        </w:rPr>
        <w:t xml:space="preserve">s </w:t>
      </w:r>
      <w:r w:rsidR="00BE4E89" w:rsidRPr="00472E37">
        <w:rPr>
          <w:rFonts w:cs="Arial"/>
          <w:noProof/>
          <w:lang w:val="es-ES"/>
        </w:rPr>
        <w:t xml:space="preserve">de los asuntos sustantivos del orden del día </w:t>
      </w:r>
      <w:r w:rsidR="00977708">
        <w:rPr>
          <w:rFonts w:cs="Arial"/>
          <w:noProof/>
          <w:lang w:val="es-ES"/>
        </w:rPr>
        <w:t>para</w:t>
      </w:r>
      <w:r w:rsidR="00BE4E89" w:rsidRPr="00472E37">
        <w:rPr>
          <w:rFonts w:cs="Arial"/>
          <w:noProof/>
          <w:lang w:val="es-ES"/>
        </w:rPr>
        <w:t xml:space="preserve"> la COP13, compilados por la Secretaría con arreglo al artículo 14 del reglamento</w:t>
      </w:r>
      <w:r w:rsidR="008C18E1" w:rsidRPr="00472E37">
        <w:rPr>
          <w:rStyle w:val="FootnoteReference"/>
          <w:rFonts w:cs="Arial"/>
          <w:noProof/>
          <w:lang w:val="es-ES"/>
        </w:rPr>
        <w:footnoteReference w:id="2"/>
      </w:r>
      <w:r w:rsidR="008C18E1" w:rsidRPr="00472E37">
        <w:rPr>
          <w:rFonts w:cs="Arial"/>
          <w:noProof/>
          <w:lang w:val="es-ES"/>
        </w:rPr>
        <w:t>.</w:t>
      </w:r>
      <w:r w:rsidR="006027BF">
        <w:rPr>
          <w:rFonts w:cs="Arial"/>
          <w:noProof/>
          <w:lang w:val="es-ES"/>
        </w:rPr>
        <w:t xml:space="preserve"> </w:t>
      </w:r>
    </w:p>
    <w:p w:rsidR="00803D7B" w:rsidRPr="00472E37" w:rsidRDefault="00803D7B" w:rsidP="00803D7B">
      <w:pPr>
        <w:spacing w:after="0" w:line="240" w:lineRule="auto"/>
        <w:ind w:left="425" w:hanging="425"/>
        <w:rPr>
          <w:rFonts w:cs="Arial"/>
          <w:noProof/>
          <w:lang w:val="es-ES"/>
        </w:rPr>
      </w:pPr>
    </w:p>
    <w:p w:rsidR="008C18E1" w:rsidRPr="00472E37" w:rsidRDefault="0039726E" w:rsidP="008C18E1">
      <w:pPr>
        <w:spacing w:after="0" w:line="240" w:lineRule="auto"/>
        <w:jc w:val="both"/>
        <w:rPr>
          <w:rFonts w:cs="Arial"/>
          <w:i/>
          <w:noProof/>
          <w:lang w:val="es-ES"/>
        </w:rPr>
      </w:pPr>
      <w:r w:rsidRPr="00472E37">
        <w:rPr>
          <w:rFonts w:cs="Arial"/>
          <w:i/>
          <w:noProof/>
          <w:lang w:val="es-ES"/>
        </w:rPr>
        <w:t>Cuadro</w:t>
      </w:r>
      <w:r w:rsidR="008C18E1" w:rsidRPr="00472E37">
        <w:rPr>
          <w:rFonts w:cs="Arial"/>
          <w:i/>
          <w:noProof/>
          <w:lang w:val="es-ES"/>
        </w:rPr>
        <w:t xml:space="preserve"> 1: </w:t>
      </w:r>
      <w:r w:rsidR="00472E37" w:rsidRPr="00472E37">
        <w:rPr>
          <w:rFonts w:cs="Arial"/>
          <w:i/>
          <w:noProof/>
          <w:lang w:val="es-ES"/>
        </w:rPr>
        <w:t>Consecuencias administrativas y financieras de los proyectos de resolución</w:t>
      </w:r>
    </w:p>
    <w:tbl>
      <w:tblPr>
        <w:tblW w:w="5267" w:type="pct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127"/>
        <w:gridCol w:w="3259"/>
        <w:gridCol w:w="1136"/>
        <w:gridCol w:w="1841"/>
      </w:tblGrid>
      <w:tr w:rsidR="006027BF" w:rsidRPr="00472E37" w:rsidTr="00FD65B8">
        <w:trPr>
          <w:cantSplit/>
          <w:tblHeader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51CBD" w:rsidRPr="00472E37" w:rsidRDefault="00E51CBD" w:rsidP="00E51CB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lang w:val="es-ES" w:eastAsia="en-GB"/>
              </w:rPr>
              <w:t>Document</w:t>
            </w:r>
            <w:r w:rsidR="00472E37" w:rsidRPr="00472E37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lang w:val="es-ES" w:eastAsia="en-GB"/>
              </w:rPr>
              <w:t>o</w:t>
            </w: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51CBD" w:rsidRPr="007662C4" w:rsidRDefault="00472E37" w:rsidP="00E51CB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lang w:val="es-ES" w:eastAsia="en-GB"/>
              </w:rPr>
            </w:pPr>
            <w:r w:rsidRPr="007662C4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lang w:val="es-ES" w:eastAsia="en-GB"/>
              </w:rPr>
              <w:t>Proyecto de resolución</w:t>
            </w:r>
          </w:p>
        </w:tc>
        <w:tc>
          <w:tcPr>
            <w:tcW w:w="1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51CBD" w:rsidRPr="00472E37" w:rsidRDefault="003211FC" w:rsidP="00E51CB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lang w:val="es-ES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lang w:val="es-ES" w:eastAsia="en-GB"/>
              </w:rPr>
              <w:t>Actividades/tareas</w:t>
            </w:r>
            <w:r w:rsidR="00472E37" w:rsidRPr="00472E37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lang w:val="es-ES" w:eastAsia="en-GB"/>
              </w:rPr>
              <w:t xml:space="preserve"> requeridas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51CBD" w:rsidRPr="00472E37" w:rsidRDefault="00472E37" w:rsidP="00CD1B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lang w:val="es-ES" w:eastAsia="en-GB"/>
              </w:rPr>
              <w:t>Días</w:t>
            </w:r>
            <w:r w:rsidR="00372647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lang w:val="es-ES" w:eastAsia="en-GB"/>
              </w:rPr>
              <w:t>-funcionario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832BF" w:rsidRDefault="00472E37" w:rsidP="00E51CB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lang w:val="es-ES" w:eastAsia="en-GB"/>
              </w:rPr>
              <w:t xml:space="preserve">Fondos </w:t>
            </w:r>
            <w:r w:rsidR="00C832BF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lang w:val="es-ES" w:eastAsia="en-GB"/>
              </w:rPr>
              <w:t>no financiados con cargo al presupuesto básico</w:t>
            </w:r>
            <w:r w:rsidR="00E51CBD" w:rsidRPr="00472E37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lang w:val="es-ES" w:eastAsia="en-GB"/>
              </w:rPr>
              <w:t xml:space="preserve"> </w:t>
            </w:r>
          </w:p>
          <w:p w:rsidR="00E51CBD" w:rsidRPr="00472E37" w:rsidRDefault="00E51CBD" w:rsidP="00E51CB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lang w:val="es-ES" w:eastAsia="en-GB"/>
              </w:rPr>
              <w:t>(</w:t>
            </w:r>
            <w:r w:rsidR="00472E37" w:rsidRPr="00472E37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lang w:val="es-ES" w:eastAsia="en-GB"/>
              </w:rPr>
              <w:t>en francos suizos</w:t>
            </w:r>
            <w:r w:rsidRPr="00472E37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lang w:val="es-ES" w:eastAsia="en-GB"/>
              </w:rPr>
              <w:t>)</w:t>
            </w:r>
          </w:p>
        </w:tc>
      </w:tr>
      <w:tr w:rsidR="006027BF" w:rsidRPr="00472E37" w:rsidTr="00FD65B8">
        <w:trPr>
          <w:cantSplit/>
        </w:trPr>
        <w:tc>
          <w:tcPr>
            <w:tcW w:w="5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472E37" w:rsidRDefault="00E51CBD" w:rsidP="00E51CBD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18.1</w:t>
            </w: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E37" w:rsidRPr="007662C4" w:rsidRDefault="00472E37" w:rsidP="00472E37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7662C4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Proyecto de resolución sobre la mejora de la eficacia</w:t>
            </w:r>
          </w:p>
          <w:p w:rsidR="00E51CBD" w:rsidRPr="007662C4" w:rsidRDefault="00472E37" w:rsidP="00472E37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7662C4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de la Convención</w:t>
            </w:r>
          </w:p>
        </w:tc>
        <w:tc>
          <w:tcPr>
            <w:tcW w:w="1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472E37" w:rsidRDefault="00441320" w:rsidP="00E51CBD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D17622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No </w:t>
            </w:r>
            <w:r w:rsidR="006F4DF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hay</w:t>
            </w:r>
            <w:r w:rsidRPr="00D17622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</w:t>
            </w:r>
            <w:r w:rsidR="003211FC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actividades/tareas</w:t>
            </w:r>
            <w:r w:rsidR="006F4DF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importantes</w:t>
            </w:r>
            <w:r w:rsidRPr="00D17622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</w:t>
            </w:r>
            <w:r w:rsidR="006F4DF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que sea necesario realizar</w:t>
            </w:r>
            <w:r w:rsidRPr="00D17622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.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472E37" w:rsidRDefault="00E51CBD" w:rsidP="00CD1B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0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472E37" w:rsidRDefault="00E51CBD" w:rsidP="00E51CB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0</w:t>
            </w:r>
          </w:p>
        </w:tc>
      </w:tr>
      <w:tr w:rsidR="006027BF" w:rsidRPr="00472E37" w:rsidTr="00FD65B8">
        <w:trPr>
          <w:cantSplit/>
        </w:trPr>
        <w:tc>
          <w:tcPr>
            <w:tcW w:w="5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472E37" w:rsidRDefault="00E51CBD" w:rsidP="00E51CBD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18.2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E37" w:rsidRPr="007662C4" w:rsidRDefault="00472E37" w:rsidP="00472E37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7662C4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Proyecto de resolución sobre la mejora de la eficacia de las estructuras y de los procesos de la</w:t>
            </w:r>
          </w:p>
          <w:p w:rsidR="00E51CBD" w:rsidRPr="007662C4" w:rsidRDefault="00472E37" w:rsidP="00472E37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7662C4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de la Convención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472E37" w:rsidRDefault="006B0458" w:rsidP="00E51CBD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Apoyo</w:t>
            </w:r>
            <w:r w:rsidR="00441320" w:rsidRPr="00441320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para</w:t>
            </w:r>
            <w:r w:rsidR="00441320" w:rsidRPr="00441320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viaje</w:t>
            </w:r>
            <w:r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s</w:t>
            </w:r>
            <w:r w:rsidR="00441320" w:rsidRPr="00441320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y dos </w:t>
            </w:r>
            <w:r w:rsidR="00ED58D0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sesiones</w:t>
            </w:r>
            <w:r w:rsidR="00441320" w:rsidRPr="00441320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de</w:t>
            </w:r>
            <w:r w:rsidR="00441320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l</w:t>
            </w:r>
            <w:r w:rsidR="00441320" w:rsidRPr="00441320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Grupo de </w:t>
            </w:r>
            <w:r w:rsidR="00ED58D0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T</w:t>
            </w:r>
            <w:r w:rsidR="00441320" w:rsidRPr="00441320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rabajo de </w:t>
            </w:r>
            <w:r w:rsidR="00ED58D0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C</w:t>
            </w:r>
            <w:r w:rsidR="00441320" w:rsidRPr="00441320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omposición </w:t>
            </w:r>
            <w:r w:rsidR="00ED58D0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A</w:t>
            </w:r>
            <w:r w:rsidR="00441320" w:rsidRPr="00441320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bierta. Apoyo </w:t>
            </w:r>
            <w:r w:rsidR="0046086B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par</w:t>
            </w:r>
            <w:r w:rsidR="00441320" w:rsidRPr="00441320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a reuni</w:t>
            </w:r>
            <w:r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ones</w:t>
            </w:r>
            <w:r w:rsidR="00441320" w:rsidRPr="00441320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de la </w:t>
            </w:r>
            <w:r w:rsidR="00441320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M</w:t>
            </w:r>
            <w:r w:rsidR="00441320" w:rsidRPr="00441320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esa de </w:t>
            </w:r>
            <w:r w:rsidR="00441320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la C</w:t>
            </w:r>
            <w:r w:rsidR="00441320" w:rsidRPr="00441320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onferencia</w:t>
            </w:r>
            <w:r w:rsidR="00441320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.</w:t>
            </w:r>
            <w:r w:rsidR="00441320" w:rsidRPr="00441320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Apoyo </w:t>
            </w:r>
            <w:r w:rsidR="0046086B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par</w:t>
            </w:r>
            <w:r w:rsidR="00441320" w:rsidRPr="00441320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a reuniones </w:t>
            </w:r>
            <w:r w:rsidR="0046086B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del</w:t>
            </w:r>
            <w:r w:rsidR="00441320" w:rsidRPr="00441320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Comité de </w:t>
            </w:r>
            <w:r w:rsidR="00ED58D0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F</w:t>
            </w:r>
            <w:r w:rsidR="00441320" w:rsidRPr="00441320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inanzas</w:t>
            </w:r>
            <w:r w:rsidR="003C5203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</w:t>
            </w:r>
            <w:r w:rsidR="00441320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y </w:t>
            </w:r>
            <w:r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de </w:t>
            </w:r>
            <w:r w:rsidR="00441320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la</w:t>
            </w:r>
            <w:r w:rsidR="00441320" w:rsidRPr="00441320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Interfaz </w:t>
            </w:r>
            <w:r w:rsidR="00ED58D0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Ciencia-Política</w:t>
            </w:r>
            <w:r w:rsidR="00441320" w:rsidRPr="00441320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472E37" w:rsidRDefault="00E51CBD" w:rsidP="00CD1B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472E37" w:rsidRDefault="00E51CBD" w:rsidP="00E51CB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1</w:t>
            </w:r>
            <w:r w:rsidR="00AA216F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.</w:t>
            </w: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660</w:t>
            </w:r>
            <w:r w:rsidR="00AA216F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.</w:t>
            </w: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000</w:t>
            </w:r>
          </w:p>
        </w:tc>
      </w:tr>
      <w:tr w:rsidR="006027BF" w:rsidRPr="00472E37" w:rsidTr="00FD65B8">
        <w:trPr>
          <w:cantSplit/>
        </w:trPr>
        <w:tc>
          <w:tcPr>
            <w:tcW w:w="5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F7" w:rsidRPr="00472E37" w:rsidRDefault="006F4DF7" w:rsidP="006F4DF7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18.3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F7" w:rsidRPr="007662C4" w:rsidRDefault="006F4DF7" w:rsidP="006F4DF7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7662C4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Proyecto de resolución sobre las responsabilidades, funciones y composición del Comité Permanente y clasificación de los países por regiones en el marco de la Convención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F7" w:rsidRPr="00472E37" w:rsidRDefault="006F4DF7" w:rsidP="006F4DF7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D17622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No </w:t>
            </w:r>
            <w:r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hay</w:t>
            </w:r>
            <w:r w:rsidRPr="00D17622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</w:t>
            </w:r>
            <w:r w:rsidR="003211FC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actividades/tareas</w:t>
            </w:r>
            <w:r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importantes</w:t>
            </w:r>
            <w:r w:rsidRPr="00D17622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que sea necesario realizar</w:t>
            </w:r>
            <w:r w:rsidRPr="00D17622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F7" w:rsidRPr="00472E37" w:rsidRDefault="006F4DF7" w:rsidP="006F4D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F7" w:rsidRPr="00472E37" w:rsidRDefault="006F4DF7" w:rsidP="006F4DF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0</w:t>
            </w:r>
          </w:p>
        </w:tc>
      </w:tr>
      <w:tr w:rsidR="006027BF" w:rsidRPr="00472E37" w:rsidTr="00FD65B8">
        <w:trPr>
          <w:cantSplit/>
        </w:trPr>
        <w:tc>
          <w:tcPr>
            <w:tcW w:w="5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472E37" w:rsidRDefault="00E51CBD" w:rsidP="00E51CBD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18.4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7662C4" w:rsidRDefault="009C3773" w:rsidP="00E51CBD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7662C4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Proyecto de resolución sobre la estrategia lingüística de la Convención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CBD" w:rsidRPr="00472E37" w:rsidRDefault="00441320" w:rsidP="00E51CBD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Productos del GECT en español, francés e inglés. Traducción de documentos y textos clave. Interpretación.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CBD" w:rsidRPr="00472E37" w:rsidRDefault="00E51CBD" w:rsidP="00CD1B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40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CBD" w:rsidRPr="00472E37" w:rsidRDefault="00E51CBD" w:rsidP="00E51CB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530</w:t>
            </w:r>
            <w:r w:rsidR="00FA0AC1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.</w:t>
            </w: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000</w:t>
            </w:r>
          </w:p>
        </w:tc>
      </w:tr>
      <w:tr w:rsidR="006027BF" w:rsidRPr="00472E37" w:rsidTr="00FD65B8">
        <w:trPr>
          <w:cantSplit/>
        </w:trPr>
        <w:tc>
          <w:tcPr>
            <w:tcW w:w="5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F7" w:rsidRPr="00472E37" w:rsidRDefault="006F4DF7" w:rsidP="006F4DF7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18.5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F7" w:rsidRPr="007662C4" w:rsidRDefault="006F4DF7" w:rsidP="006F4DF7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7662C4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Proyecto de resolución sobre asuntos financieros y presupuestarios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F7" w:rsidRPr="00472E37" w:rsidRDefault="006F4DF7" w:rsidP="006F4DF7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D17622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No </w:t>
            </w:r>
            <w:r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hay</w:t>
            </w:r>
            <w:r w:rsidRPr="00D17622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</w:t>
            </w:r>
            <w:r w:rsidR="003211FC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actividades/tareas</w:t>
            </w:r>
            <w:r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importantes</w:t>
            </w:r>
            <w:r w:rsidRPr="00D17622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que sea necesario realizar</w:t>
            </w:r>
            <w:r w:rsidRPr="00D17622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F7" w:rsidRPr="00472E37" w:rsidRDefault="006F4DF7" w:rsidP="006F4D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F7" w:rsidRPr="00472E37" w:rsidRDefault="006F4DF7" w:rsidP="006F4DF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0</w:t>
            </w:r>
          </w:p>
        </w:tc>
      </w:tr>
      <w:tr w:rsidR="006027BF" w:rsidRPr="00472E37" w:rsidTr="00FD65B8">
        <w:trPr>
          <w:cantSplit/>
        </w:trPr>
        <w:tc>
          <w:tcPr>
            <w:tcW w:w="5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472E37" w:rsidRDefault="00E51CBD" w:rsidP="00E51CBD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18.6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7662C4" w:rsidRDefault="007662C4" w:rsidP="007662C4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7662C4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Proyecto de resolución sobre el examen del cuarto Plan Estratégico de la Convención de Ramsar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AC1" w:rsidRDefault="00BB7C57" w:rsidP="00E51CBD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BB7C5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Consultor </w:t>
            </w:r>
            <w:r w:rsidR="00FA0AC1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para apoyar </w:t>
            </w:r>
            <w:r w:rsidR="006D3DFF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al</w:t>
            </w:r>
            <w:r w:rsidRPr="00BB7C5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grupo de trabajo. Reuni</w:t>
            </w:r>
            <w:r w:rsidR="006D3DFF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ones </w:t>
            </w:r>
            <w:r w:rsidRPr="00BB7C5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presencial</w:t>
            </w:r>
            <w:r w:rsidR="00E62CED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es</w:t>
            </w:r>
            <w:r w:rsidRPr="00BB7C5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</w:t>
            </w:r>
            <w:r w:rsidR="006D3DFF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de</w:t>
            </w:r>
            <w:r w:rsidR="00FA0AC1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l</w:t>
            </w:r>
            <w:r w:rsidRPr="00BB7C5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grupo de trabajo.</w:t>
            </w:r>
          </w:p>
          <w:p w:rsidR="00E51CBD" w:rsidRPr="00472E37" w:rsidRDefault="00E51CBD" w:rsidP="00E51CBD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472E37" w:rsidRDefault="00E51CBD" w:rsidP="00CD1B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472E37" w:rsidRDefault="00E51CBD" w:rsidP="00E51CB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45</w:t>
            </w:r>
            <w:r w:rsidR="00FA0AC1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.</w:t>
            </w: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000</w:t>
            </w:r>
          </w:p>
        </w:tc>
      </w:tr>
      <w:tr w:rsidR="006027BF" w:rsidRPr="00472E37" w:rsidTr="00FD65B8">
        <w:trPr>
          <w:cantSplit/>
        </w:trPr>
        <w:tc>
          <w:tcPr>
            <w:tcW w:w="5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472E37" w:rsidRDefault="00E51CBD" w:rsidP="00E51CBD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18.7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7662C4" w:rsidRDefault="007662C4" w:rsidP="007662C4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7662C4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Proyecto de resolución sobre la mejora de la aplicación y visibilidad de la Convención y de las sinergias con otros acuerdos multilaterales sobre el medio ambiente e instituciones internacionales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472E37" w:rsidRDefault="00FA0AC1" w:rsidP="00E51CBD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FA0AC1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Finalización de los inventarios de humedales y </w:t>
            </w:r>
            <w:r w:rsidR="008D09C2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la</w:t>
            </w:r>
            <w:r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</w:t>
            </w:r>
            <w:r w:rsidRPr="00FA0AC1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extensión</w:t>
            </w:r>
            <w:r w:rsidR="008D09C2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de los humedales</w:t>
            </w:r>
            <w:r w:rsidRPr="00FA0AC1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para informar sobre el </w:t>
            </w:r>
            <w:r w:rsidR="00716E9E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i</w:t>
            </w:r>
            <w:r w:rsidRPr="00FA0AC1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ndicador 6.6.1</w:t>
            </w:r>
            <w:r w:rsidR="00716E9E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.</w:t>
            </w:r>
            <w:r w:rsidRPr="00FA0AC1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Invitar a </w:t>
            </w:r>
            <w:r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oradores</w:t>
            </w:r>
            <w:r w:rsidRPr="00FA0AC1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externos </w:t>
            </w:r>
            <w:r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para que apoyen</w:t>
            </w:r>
            <w:r w:rsidRPr="00FA0AC1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a las Partes Contratantes.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472E37" w:rsidRDefault="00E51CBD" w:rsidP="00CD1B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472E37" w:rsidRDefault="00E51CBD" w:rsidP="00E51CB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165</w:t>
            </w:r>
            <w:r w:rsidR="00FA0AC1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.</w:t>
            </w: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000</w:t>
            </w:r>
          </w:p>
        </w:tc>
      </w:tr>
      <w:tr w:rsidR="006027BF" w:rsidRPr="00472E37" w:rsidTr="00FD65B8">
        <w:trPr>
          <w:cantSplit/>
        </w:trPr>
        <w:tc>
          <w:tcPr>
            <w:tcW w:w="5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472E37" w:rsidRDefault="00E51CBD" w:rsidP="00E51CBD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18.8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7662C4" w:rsidRDefault="007662C4" w:rsidP="00E51CBD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7662C4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Proyecto de resolución sobre las iniciativas regionales de Ramsar para 2019-2021 y su marco operativo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472E37" w:rsidRDefault="00FA0AC1" w:rsidP="00E51CBD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FA0AC1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Análisis de informes anuales y elaboración de</w:t>
            </w:r>
            <w:r w:rsidR="008D09C2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una</w:t>
            </w:r>
            <w:r w:rsidRPr="00FA0AC1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evaluación</w:t>
            </w:r>
            <w:r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resumida</w:t>
            </w:r>
            <w:r w:rsidRPr="00FA0AC1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. Participar en la </w:t>
            </w:r>
            <w:r w:rsidR="00716E9E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gobernanza</w:t>
            </w:r>
            <w:r w:rsidRPr="00FA0AC1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de las IRR.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CBD" w:rsidRPr="00472E37" w:rsidRDefault="00E51CBD" w:rsidP="00CD1B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472E37" w:rsidRDefault="00E51CBD" w:rsidP="00E51CB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0</w:t>
            </w:r>
          </w:p>
        </w:tc>
      </w:tr>
      <w:tr w:rsidR="006027BF" w:rsidRPr="00472E37" w:rsidTr="00FD65B8">
        <w:trPr>
          <w:cantSplit/>
        </w:trPr>
        <w:tc>
          <w:tcPr>
            <w:tcW w:w="5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F7" w:rsidRPr="00472E37" w:rsidRDefault="006F4DF7" w:rsidP="006F4DF7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18.9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F7" w:rsidRPr="007662C4" w:rsidRDefault="006F4DF7" w:rsidP="006F4DF7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7662C4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Proyecto de resolución sobre el Día Mundial de los Humedales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F7" w:rsidRPr="00472E37" w:rsidRDefault="006F4DF7" w:rsidP="006F4DF7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D17622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No </w:t>
            </w:r>
            <w:r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hay</w:t>
            </w:r>
            <w:r w:rsidRPr="00D17622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actividades/tareas</w:t>
            </w:r>
            <w:r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importantes</w:t>
            </w:r>
            <w:r w:rsidRPr="00D17622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que sea necesario realizar</w:t>
            </w:r>
            <w:r w:rsidRPr="00D17622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F7" w:rsidRPr="00472E37" w:rsidRDefault="006F4DF7" w:rsidP="006F4D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F7" w:rsidRPr="00472E37" w:rsidRDefault="006F4DF7" w:rsidP="006F4DF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0</w:t>
            </w:r>
          </w:p>
        </w:tc>
      </w:tr>
      <w:tr w:rsidR="006027BF" w:rsidRPr="00472E37" w:rsidTr="00FD65B8">
        <w:trPr>
          <w:cantSplit/>
        </w:trPr>
        <w:tc>
          <w:tcPr>
            <w:tcW w:w="5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472E37" w:rsidRDefault="00E51CBD" w:rsidP="00E51CBD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18.10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7662C4" w:rsidRDefault="007662C4" w:rsidP="007662C4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7662C4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Proyecto de resolución sobre el estado de los sitios incluidos en la Lista de Humedales de Importancia Internacional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472E37" w:rsidRDefault="008D09C2" w:rsidP="00FA0AC1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Ingresar</w:t>
            </w:r>
            <w:r w:rsidR="00FA0AC1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nuevos sitios Ramsar y concluir actualizaciones. Abordar expedientes del Artículo 3.2</w:t>
            </w:r>
            <w:r w:rsidR="00E51CBD"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.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472E37" w:rsidRDefault="00E51CBD" w:rsidP="00CD1B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100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472E37" w:rsidRDefault="00E51CBD" w:rsidP="00E51CB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0</w:t>
            </w:r>
          </w:p>
        </w:tc>
      </w:tr>
      <w:tr w:rsidR="006027BF" w:rsidRPr="00472E37" w:rsidTr="00FD65B8">
        <w:trPr>
          <w:cantSplit/>
        </w:trPr>
        <w:tc>
          <w:tcPr>
            <w:tcW w:w="5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472E37" w:rsidRDefault="00E51CBD" w:rsidP="00E51CBD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18.11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7662C4" w:rsidRDefault="007662C4" w:rsidP="007662C4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7662C4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Proyecto de resolución sobre las Misiones Ramsar de Asesoramiento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472E37" w:rsidRDefault="00A52C91" w:rsidP="00E51CBD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Conseguir </w:t>
            </w:r>
            <w:r w:rsidR="006027BF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fondos </w:t>
            </w:r>
            <w:r w:rsidR="00C832BF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no financiados con cargo al presupuesto básico</w:t>
            </w:r>
            <w:r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para las MRA.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472E37" w:rsidRDefault="00E51CBD" w:rsidP="00CD1B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472E37" w:rsidRDefault="00E51CBD" w:rsidP="00E51CB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225</w:t>
            </w:r>
            <w:r w:rsidR="00A52C91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.</w:t>
            </w: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000</w:t>
            </w:r>
          </w:p>
        </w:tc>
      </w:tr>
      <w:tr w:rsidR="006027BF" w:rsidRPr="00472E37" w:rsidTr="00FD65B8">
        <w:trPr>
          <w:cantSplit/>
        </w:trPr>
        <w:tc>
          <w:tcPr>
            <w:tcW w:w="5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472E37" w:rsidRDefault="00E51CBD" w:rsidP="00E51CBD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18.12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7662C4" w:rsidRDefault="007662C4" w:rsidP="007662C4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7662C4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Proyecto de resolución sobre la aplicación futura de los aspectos científicos y técnicos de la Convención para 2019-202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472E37" w:rsidRDefault="00A52C91" w:rsidP="00E51CBD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Brindar apoyo en la elaboración</w:t>
            </w:r>
            <w:r w:rsidR="00FC7DE0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y distribución de productos del GECT (</w:t>
            </w:r>
            <w:r w:rsidR="00FC7DE0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se asume</w:t>
            </w:r>
            <w:r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un número similar de productos que en el trienio actual e incluye una </w:t>
            </w:r>
            <w:r w:rsidR="00FC7DE0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futura</w:t>
            </w:r>
            <w:r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Perspectiva Mundial sobre los Humedales).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472E37" w:rsidRDefault="00E51CBD" w:rsidP="00CD1B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472E37" w:rsidRDefault="00E51CBD" w:rsidP="00E51CB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300</w:t>
            </w:r>
            <w:r w:rsidR="0037264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.</w:t>
            </w: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000</w:t>
            </w:r>
          </w:p>
        </w:tc>
      </w:tr>
      <w:tr w:rsidR="006027BF" w:rsidRPr="00472E37" w:rsidTr="00FD65B8">
        <w:trPr>
          <w:cantSplit/>
        </w:trPr>
        <w:tc>
          <w:tcPr>
            <w:tcW w:w="5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F7" w:rsidRPr="00472E37" w:rsidRDefault="006F4DF7" w:rsidP="006F4DF7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18.13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F7" w:rsidRPr="007662C4" w:rsidRDefault="006F4DF7" w:rsidP="006F4DF7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7662C4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Proyecto de resolución sobre orientaciones para identificar Humedales de Importancia Internacional (sitios Ramsar) para la regulación del cambio climático mundial como argumento adicional a los criterios existentes de Ramsar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F7" w:rsidRPr="00472E37" w:rsidRDefault="006F4DF7" w:rsidP="006F4DF7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D17622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No </w:t>
            </w:r>
            <w:r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hay</w:t>
            </w:r>
            <w:r w:rsidRPr="00D17622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</w:t>
            </w:r>
            <w:r w:rsidR="003211FC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actividades/tareas</w:t>
            </w:r>
            <w:r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importantes</w:t>
            </w:r>
            <w:r w:rsidRPr="00D17622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que sea necesario realizar</w:t>
            </w:r>
            <w:r w:rsidRPr="00D17622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F7" w:rsidRPr="00472E37" w:rsidRDefault="006F4DF7" w:rsidP="006F4D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F7" w:rsidRPr="00472E37" w:rsidRDefault="006F4DF7" w:rsidP="006F4DF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0</w:t>
            </w:r>
          </w:p>
        </w:tc>
      </w:tr>
      <w:tr w:rsidR="006027BF" w:rsidRPr="00472E37" w:rsidTr="00FD65B8">
        <w:trPr>
          <w:cantSplit/>
        </w:trPr>
        <w:tc>
          <w:tcPr>
            <w:tcW w:w="5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472E37" w:rsidRDefault="00E51CBD" w:rsidP="00E51CBD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18.14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7662C4" w:rsidRDefault="007662C4" w:rsidP="007662C4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7662C4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Proyecto de resolución sobre la restauración de turberas degradadas para mitigar el cambio climático y adaptarse a este y mejorar la biodiversidad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C91" w:rsidRDefault="00A52C91" w:rsidP="00034C36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Elaboración de un Informe Técnico de Ramsar y de una Nota Informativa. Seguimiento a la Resolución VIII.17.</w:t>
            </w:r>
          </w:p>
          <w:p w:rsidR="00E51CBD" w:rsidRPr="00472E37" w:rsidRDefault="00E51CBD" w:rsidP="00034C36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472E37" w:rsidRDefault="00E51CBD" w:rsidP="00CD1B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472E37" w:rsidRDefault="00E51CBD" w:rsidP="00E51CB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45</w:t>
            </w:r>
            <w:r w:rsidR="0037264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.</w:t>
            </w: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000</w:t>
            </w:r>
          </w:p>
        </w:tc>
      </w:tr>
      <w:tr w:rsidR="006027BF" w:rsidRPr="00472E37" w:rsidTr="00FD65B8">
        <w:trPr>
          <w:cantSplit/>
        </w:trPr>
        <w:tc>
          <w:tcPr>
            <w:tcW w:w="5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472E37" w:rsidRDefault="00E51CBD" w:rsidP="00E51CBD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18.15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7662C4" w:rsidRDefault="007662C4" w:rsidP="007662C4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7662C4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Proyecto de resolución sobre la promoción de la conservación, restauración y gestión sostenible de los ecosistemas costeros de carbono azul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472E37" w:rsidRDefault="00A52C91" w:rsidP="00E51CBD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Estudio </w:t>
            </w:r>
            <w:r w:rsidR="00FC7DE0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documental</w:t>
            </w:r>
            <w:r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sobre los sistemas costeros de carbono azul</w:t>
            </w:r>
            <w:r w:rsidR="00034C36"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472E37" w:rsidRDefault="00E51CBD" w:rsidP="00CD1B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C36" w:rsidRPr="00472E37" w:rsidRDefault="00034C36" w:rsidP="00034C3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165</w:t>
            </w:r>
            <w:r w:rsidR="00A52C91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.</w:t>
            </w: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000 </w:t>
            </w:r>
          </w:p>
          <w:p w:rsidR="00E51CBD" w:rsidRPr="00472E37" w:rsidRDefault="00034C36" w:rsidP="00034C36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(Cost</w:t>
            </w:r>
            <w:r w:rsidR="00A52C91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o</w:t>
            </w: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</w:t>
            </w:r>
            <w:r w:rsidR="00A52C91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incluido</w:t>
            </w: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</w:t>
            </w:r>
            <w:r w:rsidR="00A52C91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e</w:t>
            </w: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n</w:t>
            </w:r>
            <w:r w:rsidR="00A52C91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el</w:t>
            </w: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Doc.</w:t>
            </w:r>
            <w:r w:rsidR="00E51CBD"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18.7</w:t>
            </w:r>
            <w:r w:rsidR="00A52C91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,</w:t>
            </w: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</w:t>
            </w:r>
            <w:r w:rsidR="00A52C91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arriba</w:t>
            </w: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)</w:t>
            </w:r>
          </w:p>
        </w:tc>
      </w:tr>
      <w:tr w:rsidR="006027BF" w:rsidRPr="00472E37" w:rsidTr="00FD65B8">
        <w:trPr>
          <w:cantSplit/>
        </w:trPr>
        <w:tc>
          <w:tcPr>
            <w:tcW w:w="5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472E37" w:rsidRDefault="00E51CBD" w:rsidP="00E51CBD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18.16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7662C4" w:rsidRDefault="007662C4" w:rsidP="007662C4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7662C4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Proyecto de resolución sobre los valores culturales, los pueblos indígenas y las comunidades locales y la mitigación del cambio climático y adaptación a este en los humedales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472E37" w:rsidRDefault="00A52C91" w:rsidP="00E51CBD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Conseguir estudios de caso. Examinar y modificar los Lineamientos para los Inventarios Culturales Rápidos para humedales. Examinar y actualizar las orientaciones de Ramsar sobre la cultura y los humedales. Apoyar la aplicación de la resolución.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472E37" w:rsidRDefault="00E51CBD" w:rsidP="00CD1B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40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472E37" w:rsidRDefault="00E51CBD" w:rsidP="00E51CB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0</w:t>
            </w:r>
          </w:p>
        </w:tc>
      </w:tr>
      <w:tr w:rsidR="006027BF" w:rsidRPr="00472E37" w:rsidTr="00FD65B8">
        <w:trPr>
          <w:cantSplit/>
        </w:trPr>
        <w:tc>
          <w:tcPr>
            <w:tcW w:w="5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472E37" w:rsidRDefault="00E51CBD" w:rsidP="00E51CBD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18.17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7662C4" w:rsidRDefault="007662C4" w:rsidP="007662C4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7662C4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Proyecto de resolución sobre urbanización, cambio climático y humedales sostenibles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472E37" w:rsidRDefault="00FC7DE0" w:rsidP="00E51CBD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Elaboración</w:t>
            </w:r>
            <w:r w:rsidR="00A52C91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de Informes Técnicos de Ramsar para el diseño y construcción de </w:t>
            </w:r>
            <w:r w:rsidR="002B49E3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sitios urbanos y periurbanos. </w:t>
            </w:r>
            <w:r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Elaboración</w:t>
            </w:r>
            <w:r w:rsidR="002B49E3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de una Nota Informativa</w:t>
            </w:r>
            <w:r w:rsidR="00034C36"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472E37" w:rsidRDefault="00E51CBD" w:rsidP="00CD1B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472E37" w:rsidRDefault="00E51CBD" w:rsidP="00E51CB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39</w:t>
            </w:r>
            <w:r w:rsidR="0037264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.</w:t>
            </w: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000</w:t>
            </w:r>
          </w:p>
        </w:tc>
      </w:tr>
      <w:tr w:rsidR="006027BF" w:rsidRPr="00472E37" w:rsidTr="00FD65B8">
        <w:trPr>
          <w:cantSplit/>
        </w:trPr>
        <w:tc>
          <w:tcPr>
            <w:tcW w:w="5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472E37" w:rsidRDefault="00E51CBD" w:rsidP="00E51CBD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18.18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7662C4" w:rsidRDefault="007662C4" w:rsidP="007662C4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7662C4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Proyecto de resolución sobre la evaluación rápida de los servicios de los ecosistemas de humedales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472E37" w:rsidRDefault="002B49E3" w:rsidP="00E51CBD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Organizar y alojar seminarios a través de Internet</w:t>
            </w:r>
            <w:r w:rsidR="00034C36"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472E37" w:rsidRDefault="00E51CBD" w:rsidP="00CD1B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18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472E37" w:rsidRDefault="00E51CBD" w:rsidP="00E51CB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0</w:t>
            </w:r>
          </w:p>
        </w:tc>
      </w:tr>
      <w:tr w:rsidR="006027BF" w:rsidRPr="00472E37" w:rsidTr="00FD65B8">
        <w:trPr>
          <w:cantSplit/>
        </w:trPr>
        <w:tc>
          <w:tcPr>
            <w:tcW w:w="5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F7" w:rsidRPr="00472E37" w:rsidRDefault="006F4DF7" w:rsidP="006F4DF7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18.19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F7" w:rsidRPr="007662C4" w:rsidRDefault="006F4DF7" w:rsidP="006F4DF7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7662C4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Proyecto de resolución sobre la importancia de los humedales para la paz y la seguridad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F7" w:rsidRPr="00472E37" w:rsidRDefault="006F4DF7" w:rsidP="006F4DF7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D17622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No </w:t>
            </w:r>
            <w:r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hay</w:t>
            </w:r>
            <w:r w:rsidRPr="00D17622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</w:t>
            </w:r>
            <w:r w:rsidR="003211FC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actividades/tareas</w:t>
            </w:r>
            <w:r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importantes</w:t>
            </w:r>
            <w:r w:rsidRPr="00D17622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que sea necesario realizar</w:t>
            </w:r>
            <w:r w:rsidRPr="00D17622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F7" w:rsidRPr="00472E37" w:rsidRDefault="006F4DF7" w:rsidP="006F4D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F7" w:rsidRPr="00472E37" w:rsidRDefault="006F4DF7" w:rsidP="006F4DF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0</w:t>
            </w:r>
          </w:p>
        </w:tc>
      </w:tr>
      <w:tr w:rsidR="006027BF" w:rsidRPr="00472E37" w:rsidTr="00FD65B8">
        <w:trPr>
          <w:cantSplit/>
        </w:trPr>
        <w:tc>
          <w:tcPr>
            <w:tcW w:w="5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472E37" w:rsidRDefault="00E51CBD" w:rsidP="00E51CBD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18.20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7662C4" w:rsidRDefault="007662C4" w:rsidP="007662C4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7662C4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Proyecto de resolución sobre los humedales y el género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472E37" w:rsidRDefault="002B49E3" w:rsidP="002B49E3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Elabora</w:t>
            </w:r>
            <w:r w:rsidR="0079386A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ción de</w:t>
            </w:r>
            <w:r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una ficha informativa para apoyar a las Partes Contratantes en la incorporación de la perspectiva de género en el Plan Estratégico. Capacitación para todo el personal de la Secretaría</w:t>
            </w:r>
            <w:r w:rsidR="00716E9E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sobre la igualdad de género</w:t>
            </w:r>
            <w:r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. Elabora</w:t>
            </w:r>
            <w:r w:rsidR="00E84ED5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ción de</w:t>
            </w:r>
            <w:r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un informe sobre </w:t>
            </w:r>
            <w:r w:rsidR="00AB64FE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los medios por los cuales</w:t>
            </w:r>
            <w:r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la Convención puede generar objetivos relacionados con el género</w:t>
            </w:r>
            <w:r w:rsidR="00EA2616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</w:t>
            </w:r>
            <w:r w:rsidR="00AB64FE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que sean coherentes</w:t>
            </w:r>
            <w:r w:rsidR="00EA2616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con </w:t>
            </w:r>
            <w:r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la </w:t>
            </w:r>
            <w:r w:rsidR="00B21124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“Estrategia para todo el sistema sobre la paridad de género” </w:t>
            </w:r>
            <w:r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del Secretario General de las Naciones Unidas</w:t>
            </w:r>
            <w:r w:rsidR="00314B82"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. </w:t>
            </w:r>
            <w:r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Apoy</w:t>
            </w:r>
            <w:r w:rsidR="00E84ED5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o</w:t>
            </w:r>
            <w:r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a las Partes en el fortalecimiento de los sistemas nacionales</w:t>
            </w:r>
            <w:r w:rsidR="00501D6E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de estadística</w:t>
            </w:r>
            <w:r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para mejorar la presentación de informes con </w:t>
            </w:r>
            <w:r w:rsidR="00EA2616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información desglosada por sexos y análisis por géneros</w:t>
            </w:r>
            <w:r w:rsidR="00034C36"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472E37" w:rsidRDefault="00E51CBD" w:rsidP="00CD1B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472E37" w:rsidRDefault="00E51CBD" w:rsidP="00E51CB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36</w:t>
            </w:r>
            <w:r w:rsidR="002B49E3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.</w:t>
            </w: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000</w:t>
            </w:r>
          </w:p>
        </w:tc>
      </w:tr>
      <w:tr w:rsidR="006027BF" w:rsidRPr="00472E37" w:rsidTr="00FD65B8">
        <w:trPr>
          <w:cantSplit/>
        </w:trPr>
        <w:tc>
          <w:tcPr>
            <w:tcW w:w="5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472E37" w:rsidRDefault="00E51CBD" w:rsidP="00E51CBD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18.21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7662C4" w:rsidRDefault="007662C4" w:rsidP="007662C4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7662C4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Proyecto de resolución sobre la agricultura en los humedales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472E37" w:rsidRDefault="0079386A" w:rsidP="00E51CBD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Recopilación de estudios de caso y mejores prácticas (consultor). Ofrecer una descripción general de la degradación de los humedales desde 1970. Prestar asesoramiento </w:t>
            </w:r>
            <w:r w:rsidR="002A2E9E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sobre la</w:t>
            </w:r>
            <w:r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</w:t>
            </w:r>
            <w:r w:rsidR="002A2E9E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retirada de</w:t>
            </w:r>
            <w:r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subvenciones</w:t>
            </w:r>
            <w:r w:rsidR="00E51CBD"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472E37" w:rsidRDefault="00E51CBD" w:rsidP="00CD1B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472E37" w:rsidRDefault="00E51CBD" w:rsidP="00E51CB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20</w:t>
            </w:r>
            <w:r w:rsidR="0079386A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.</w:t>
            </w: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000</w:t>
            </w:r>
          </w:p>
        </w:tc>
      </w:tr>
      <w:tr w:rsidR="006027BF" w:rsidRPr="00472E37" w:rsidTr="00FD65B8">
        <w:trPr>
          <w:cantSplit/>
        </w:trPr>
        <w:tc>
          <w:tcPr>
            <w:tcW w:w="5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F7" w:rsidRPr="00472E37" w:rsidRDefault="006F4DF7" w:rsidP="006F4DF7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18.22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F7" w:rsidRPr="007662C4" w:rsidRDefault="006F4DF7" w:rsidP="006F4DF7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7662C4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Proyecto de resolución sobre el fomento de la conservación y el uso racional de los humedales intermareales y hábitats ecológicamente relacionados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F7" w:rsidRPr="00472E37" w:rsidRDefault="006F4DF7" w:rsidP="006F4DF7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D17622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No </w:t>
            </w:r>
            <w:r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hay</w:t>
            </w:r>
            <w:r w:rsidRPr="00D17622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</w:t>
            </w:r>
            <w:r w:rsidR="003211FC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actividades/tareas</w:t>
            </w:r>
            <w:r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importantes</w:t>
            </w:r>
            <w:r w:rsidRPr="00D17622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que sea necesario realizar</w:t>
            </w:r>
            <w:r w:rsidRPr="00D17622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F7" w:rsidRPr="00472E37" w:rsidRDefault="006F4DF7" w:rsidP="006F4D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F7" w:rsidRPr="00472E37" w:rsidRDefault="006F4DF7" w:rsidP="006F4DF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0</w:t>
            </w:r>
          </w:p>
        </w:tc>
      </w:tr>
      <w:tr w:rsidR="006027BF" w:rsidRPr="00472E37" w:rsidTr="00FD65B8">
        <w:trPr>
          <w:cantSplit/>
        </w:trPr>
        <w:tc>
          <w:tcPr>
            <w:tcW w:w="5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472E37" w:rsidRDefault="00E51CBD" w:rsidP="00E51CBD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18.23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7662C4" w:rsidRDefault="007662C4" w:rsidP="007662C4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lang w:val="es-ES"/>
              </w:rPr>
            </w:pPr>
            <w:r w:rsidRPr="007662C4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Proyecto de resolución sobre la conservación y el manejo de pequeños humedales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472E37" w:rsidRDefault="0079386A" w:rsidP="00AB3417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Promover la importancia de los pequeños humedales ante los Acuerdos Multilaterales sobre el Medio Ambiente y el Foro Político de Alto Nivel</w:t>
            </w:r>
            <w:r w:rsidR="00034C36"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472E37" w:rsidRDefault="00E51CBD" w:rsidP="00CD1B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6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472E37" w:rsidRDefault="00E51CBD" w:rsidP="00E51CB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0</w:t>
            </w:r>
          </w:p>
        </w:tc>
      </w:tr>
      <w:tr w:rsidR="006027BF" w:rsidRPr="00472E37" w:rsidTr="00FD65B8">
        <w:trPr>
          <w:cantSplit/>
        </w:trPr>
        <w:tc>
          <w:tcPr>
            <w:tcW w:w="5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F7" w:rsidRPr="00472E37" w:rsidRDefault="006F4DF7" w:rsidP="006F4DF7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18.24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F7" w:rsidRPr="007662C4" w:rsidRDefault="006F4DF7" w:rsidP="006F4DF7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7662C4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Proyecto de resolución sobre los humedales en Asia occidental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F7" w:rsidRPr="00472E37" w:rsidRDefault="006F4DF7" w:rsidP="006F4DF7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D17622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No </w:t>
            </w:r>
            <w:r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hay</w:t>
            </w:r>
            <w:r w:rsidRPr="00D17622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</w:t>
            </w:r>
            <w:r w:rsidR="003211FC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actividades/tareas</w:t>
            </w:r>
            <w:r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importantes</w:t>
            </w:r>
            <w:r w:rsidRPr="00D17622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que sea necesario realizar</w:t>
            </w:r>
            <w:r w:rsidRPr="00D17622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F7" w:rsidRPr="00472E37" w:rsidRDefault="006F4DF7" w:rsidP="006F4D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F7" w:rsidRPr="00472E37" w:rsidRDefault="006F4DF7" w:rsidP="006F4DF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0</w:t>
            </w:r>
          </w:p>
        </w:tc>
      </w:tr>
      <w:tr w:rsidR="006027BF" w:rsidRPr="00472E37" w:rsidTr="00FD65B8">
        <w:trPr>
          <w:cantSplit/>
        </w:trPr>
        <w:tc>
          <w:tcPr>
            <w:tcW w:w="5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472E37" w:rsidRDefault="00E51CBD" w:rsidP="00E51CBD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18.25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7662C4" w:rsidRDefault="007662C4" w:rsidP="007662C4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7662C4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Proyecto de resolución sobre los humedales en las regiones polares y subpolares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472E37" w:rsidRDefault="0079386A" w:rsidP="00AB3417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Concienciar sobre los humedales polares. Desarrollar sinergias con otros AMMA y organizaciones intergubernamentales</w:t>
            </w:r>
            <w:r w:rsidR="00034C36"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472E37" w:rsidRDefault="00E51CBD" w:rsidP="00CD1B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472E37" w:rsidRDefault="00E51CBD" w:rsidP="00E51CB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0</w:t>
            </w:r>
          </w:p>
        </w:tc>
      </w:tr>
      <w:tr w:rsidR="006027BF" w:rsidRPr="00472E37" w:rsidTr="00FD65B8">
        <w:trPr>
          <w:cantSplit/>
        </w:trPr>
        <w:tc>
          <w:tcPr>
            <w:tcW w:w="59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472E37" w:rsidRDefault="00E51CBD" w:rsidP="00E51CBD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18.26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7662C4" w:rsidRDefault="007662C4" w:rsidP="007662C4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7662C4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Proyecto de resolución sobre el fortalecimiento de la conservación de las zonas de reproducción, alimentación y crecimiento de las tortugas marinas y la designación como sitios Ramsar de los lugares importantes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472E37" w:rsidRDefault="00372647" w:rsidP="00AB3417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Colaborar</w:t>
            </w:r>
            <w:r w:rsidR="0079386A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con la Convención Interamericana para la Protección</w:t>
            </w:r>
            <w:r w:rsidR="008541CA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</w:t>
            </w:r>
            <w:r w:rsidR="0079386A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y la Conservación de las Tortugas Marinas (</w:t>
            </w:r>
            <w:r w:rsidR="008541CA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CIT</w:t>
            </w:r>
            <w:r w:rsidR="0079386A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) y el </w:t>
            </w:r>
            <w:r w:rsidR="008541CA" w:rsidRPr="004136BF">
              <w:rPr>
                <w:lang w:val="es-ES_tradnl"/>
              </w:rPr>
              <w:t>MdE sobre la Conservación y Ordenación de las Tortugas Marinas y sus Hábitats del Océano Índico y Asia Sudoriental (IOSEA)</w:t>
            </w:r>
            <w:r w:rsidR="008541CA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 xml:space="preserve">para fomentar la conservación de las tortugas marinas </w:t>
            </w:r>
            <w:r w:rsidR="0079386A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en los sitios Ramsar. Ayudar a las Partes a incluir la conservación de las tortugas marinas</w:t>
            </w:r>
            <w:r w:rsidR="008541CA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en los planes de manejo de</w:t>
            </w:r>
            <w:r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los</w:t>
            </w:r>
            <w:r w:rsidR="008541CA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 xml:space="preserve"> sitios</w:t>
            </w:r>
            <w:r w:rsidR="00034C36"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472E37" w:rsidRDefault="00E51CBD" w:rsidP="00CD1B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6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1CBD" w:rsidRPr="00472E37" w:rsidRDefault="00E51CBD" w:rsidP="00E51CB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</w:pPr>
            <w:r w:rsidRPr="00472E37">
              <w:rPr>
                <w:rFonts w:asciiTheme="minorHAnsi" w:eastAsia="Times New Roman" w:hAnsiTheme="minorHAnsi" w:cstheme="minorHAnsi"/>
                <w:noProof/>
                <w:color w:val="000000"/>
                <w:lang w:val="es-ES" w:eastAsia="en-GB"/>
              </w:rPr>
              <w:t>0</w:t>
            </w:r>
          </w:p>
        </w:tc>
      </w:tr>
    </w:tbl>
    <w:p w:rsidR="008C18E1" w:rsidRDefault="008C18E1" w:rsidP="008C18E1">
      <w:pPr>
        <w:spacing w:after="0" w:line="240" w:lineRule="auto"/>
        <w:rPr>
          <w:rFonts w:cs="Arial"/>
          <w:b/>
          <w:noProof/>
          <w:lang w:val="es-ES"/>
        </w:rPr>
      </w:pPr>
    </w:p>
    <w:p w:rsidR="00FD65B8" w:rsidRPr="00472E37" w:rsidRDefault="00FD65B8" w:rsidP="008C18E1">
      <w:pPr>
        <w:spacing w:after="0" w:line="240" w:lineRule="auto"/>
        <w:rPr>
          <w:rFonts w:cs="Arial"/>
          <w:b/>
          <w:noProof/>
          <w:lang w:val="es-ES"/>
        </w:rPr>
      </w:pPr>
    </w:p>
    <w:p w:rsidR="00FD65B8" w:rsidRDefault="00FD65B8">
      <w:pPr>
        <w:rPr>
          <w:rFonts w:cs="Arial"/>
          <w:noProof/>
          <w:lang w:val="es-ES"/>
        </w:rPr>
      </w:pPr>
      <w:r>
        <w:rPr>
          <w:rFonts w:cs="Arial"/>
          <w:noProof/>
          <w:lang w:val="es-ES"/>
        </w:rPr>
        <w:lastRenderedPageBreak/>
        <w:br w:type="page"/>
      </w:r>
    </w:p>
    <w:p w:rsidR="008C18E1" w:rsidRDefault="008C18E1" w:rsidP="008B5EF6">
      <w:pPr>
        <w:spacing w:after="0" w:line="240" w:lineRule="auto"/>
        <w:ind w:left="425" w:hanging="425"/>
        <w:rPr>
          <w:rFonts w:cs="Arial"/>
          <w:noProof/>
          <w:lang w:val="es-ES"/>
        </w:rPr>
      </w:pPr>
      <w:r w:rsidRPr="00F76801">
        <w:rPr>
          <w:rFonts w:cs="Arial"/>
          <w:noProof/>
          <w:lang w:val="es-ES"/>
        </w:rPr>
        <w:t>2.</w:t>
      </w:r>
      <w:r w:rsidRPr="00F76801">
        <w:rPr>
          <w:rFonts w:cs="Arial"/>
          <w:noProof/>
          <w:lang w:val="es-ES"/>
        </w:rPr>
        <w:tab/>
      </w:r>
      <w:r w:rsidR="007279EE" w:rsidRPr="00F76801">
        <w:rPr>
          <w:rFonts w:cs="Arial"/>
          <w:noProof/>
          <w:lang w:val="es-ES"/>
        </w:rPr>
        <w:t xml:space="preserve">Se </w:t>
      </w:r>
      <w:r w:rsidR="008B5EF6">
        <w:rPr>
          <w:rFonts w:cs="Arial"/>
          <w:noProof/>
          <w:lang w:val="es-ES"/>
        </w:rPr>
        <w:t>espera</w:t>
      </w:r>
      <w:r w:rsidR="007279EE" w:rsidRPr="00F76801">
        <w:rPr>
          <w:rFonts w:cs="Arial"/>
          <w:noProof/>
          <w:lang w:val="es-ES"/>
        </w:rPr>
        <w:t xml:space="preserve"> que</w:t>
      </w:r>
      <w:r w:rsidR="008B5EF6" w:rsidRPr="008B5EF6">
        <w:rPr>
          <w:rFonts w:cs="Arial"/>
          <w:noProof/>
          <w:lang w:val="es-ES"/>
        </w:rPr>
        <w:t xml:space="preserve"> </w:t>
      </w:r>
      <w:r w:rsidR="008B5EF6" w:rsidRPr="00F76801">
        <w:rPr>
          <w:rFonts w:cs="Arial"/>
          <w:noProof/>
          <w:lang w:val="es-ES"/>
        </w:rPr>
        <w:t>en la COP13</w:t>
      </w:r>
      <w:r w:rsidR="007279EE" w:rsidRPr="00F76801">
        <w:rPr>
          <w:rFonts w:cs="Arial"/>
          <w:noProof/>
          <w:lang w:val="es-ES"/>
        </w:rPr>
        <w:t xml:space="preserve"> la Conferencia de las Partes Contratantes identifique las necesidades de </w:t>
      </w:r>
      <w:r w:rsidR="006027BF">
        <w:rPr>
          <w:rFonts w:cs="Arial"/>
          <w:noProof/>
          <w:lang w:val="es-ES"/>
        </w:rPr>
        <w:t xml:space="preserve">fondos </w:t>
      </w:r>
      <w:r w:rsidR="00F22BD5">
        <w:rPr>
          <w:rFonts w:cs="Arial"/>
          <w:noProof/>
          <w:lang w:val="es-ES"/>
        </w:rPr>
        <w:t>no financiados con cargo al presupuesto básico</w:t>
      </w:r>
      <w:r w:rsidR="007279EE" w:rsidRPr="00F76801">
        <w:rPr>
          <w:rFonts w:cs="Arial"/>
          <w:noProof/>
          <w:lang w:val="es-ES"/>
        </w:rPr>
        <w:t xml:space="preserve"> para el próximo trienio y las enumere </w:t>
      </w:r>
      <w:r w:rsidR="00F22BD5">
        <w:rPr>
          <w:rFonts w:cs="Arial"/>
          <w:noProof/>
          <w:lang w:val="es-ES"/>
        </w:rPr>
        <w:t>por</w:t>
      </w:r>
      <w:r w:rsidR="007279EE" w:rsidRPr="00F76801">
        <w:rPr>
          <w:rFonts w:cs="Arial"/>
          <w:noProof/>
          <w:lang w:val="es-ES"/>
        </w:rPr>
        <w:t xml:space="preserve"> orden de prioridad. Para ayudar a las Partes en esta labor, la Secretaría ha examinado las prioridades de </w:t>
      </w:r>
      <w:r w:rsidR="0015645A">
        <w:rPr>
          <w:rFonts w:cs="Arial"/>
          <w:noProof/>
          <w:lang w:val="es-ES"/>
        </w:rPr>
        <w:t xml:space="preserve">fondos </w:t>
      </w:r>
      <w:r w:rsidR="00F22BD5">
        <w:rPr>
          <w:rFonts w:cs="Arial"/>
          <w:noProof/>
          <w:lang w:val="es-ES"/>
        </w:rPr>
        <w:t>no financiados con cargo al presupuesto básico</w:t>
      </w:r>
      <w:r w:rsidR="00F22BD5" w:rsidRPr="00F76801">
        <w:rPr>
          <w:rFonts w:cs="Arial"/>
          <w:noProof/>
          <w:lang w:val="es-ES"/>
        </w:rPr>
        <w:t xml:space="preserve"> </w:t>
      </w:r>
      <w:r w:rsidR="007279EE" w:rsidRPr="00F76801">
        <w:rPr>
          <w:rFonts w:cs="Arial"/>
          <w:noProof/>
          <w:lang w:val="es-ES"/>
        </w:rPr>
        <w:t xml:space="preserve">identificadas por las Partes en la COP12 (véase la Resolución XII.1, Anexo 3), el plan de trabajo para el trienio actual y los proyectos de resolución </w:t>
      </w:r>
      <w:r w:rsidR="008B5EF6">
        <w:rPr>
          <w:rFonts w:cs="Arial"/>
          <w:noProof/>
          <w:lang w:val="es-ES"/>
        </w:rPr>
        <w:t xml:space="preserve">que examinará </w:t>
      </w:r>
      <w:r w:rsidR="007279EE" w:rsidRPr="00F76801">
        <w:rPr>
          <w:rFonts w:cs="Arial"/>
          <w:noProof/>
          <w:lang w:val="es-ES"/>
        </w:rPr>
        <w:t xml:space="preserve">la COP13, y sugiere las </w:t>
      </w:r>
      <w:r w:rsidR="00F22BD5" w:rsidRPr="00F76801">
        <w:rPr>
          <w:rFonts w:cs="Arial"/>
          <w:noProof/>
          <w:lang w:val="es-ES"/>
        </w:rPr>
        <w:t xml:space="preserve">prioridades de </w:t>
      </w:r>
      <w:r w:rsidR="00F22BD5">
        <w:rPr>
          <w:rFonts w:cs="Arial"/>
          <w:noProof/>
          <w:lang w:val="es-ES"/>
        </w:rPr>
        <w:t>fondos no financiados con cargo al presupuesto básico</w:t>
      </w:r>
      <w:r w:rsidR="00F22BD5" w:rsidRPr="00F76801">
        <w:rPr>
          <w:rFonts w:cs="Arial"/>
          <w:noProof/>
          <w:lang w:val="es-ES"/>
        </w:rPr>
        <w:t xml:space="preserve"> </w:t>
      </w:r>
      <w:r w:rsidR="007279EE" w:rsidRPr="00F76801">
        <w:rPr>
          <w:rFonts w:cs="Arial"/>
          <w:noProof/>
          <w:lang w:val="es-ES"/>
        </w:rPr>
        <w:t xml:space="preserve">que </w:t>
      </w:r>
      <w:r w:rsidR="008B5EF6">
        <w:rPr>
          <w:rFonts w:cs="Arial"/>
          <w:noProof/>
          <w:lang w:val="es-ES"/>
        </w:rPr>
        <w:t>figuran</w:t>
      </w:r>
      <w:r w:rsidR="007279EE" w:rsidRPr="00F76801">
        <w:rPr>
          <w:rFonts w:cs="Arial"/>
          <w:noProof/>
          <w:lang w:val="es-ES"/>
        </w:rPr>
        <w:t xml:space="preserve"> en el </w:t>
      </w:r>
      <w:r w:rsidR="008B5EF6">
        <w:rPr>
          <w:rFonts w:cs="Arial"/>
          <w:noProof/>
          <w:lang w:val="es-ES"/>
        </w:rPr>
        <w:t>c</w:t>
      </w:r>
      <w:r w:rsidR="007279EE" w:rsidRPr="00F76801">
        <w:rPr>
          <w:rFonts w:cs="Arial"/>
          <w:noProof/>
          <w:lang w:val="es-ES"/>
        </w:rPr>
        <w:t>uadro 2 para su consideración.</w:t>
      </w:r>
    </w:p>
    <w:p w:rsidR="008B5EF6" w:rsidRPr="00472E37" w:rsidRDefault="008B5EF6" w:rsidP="008B5EF6">
      <w:pPr>
        <w:spacing w:after="0" w:line="240" w:lineRule="auto"/>
        <w:ind w:left="425" w:hanging="425"/>
        <w:rPr>
          <w:rFonts w:cs="Arial"/>
          <w:noProof/>
          <w:lang w:val="es-ES"/>
        </w:rPr>
      </w:pPr>
    </w:p>
    <w:p w:rsidR="008C18E1" w:rsidRPr="00F22BD5" w:rsidRDefault="007279EE" w:rsidP="008C18E1">
      <w:pPr>
        <w:spacing w:after="0" w:line="240" w:lineRule="auto"/>
        <w:jc w:val="both"/>
        <w:rPr>
          <w:rFonts w:cs="Arial"/>
          <w:i/>
          <w:noProof/>
          <w:lang w:val="es-ES"/>
        </w:rPr>
      </w:pPr>
      <w:r w:rsidRPr="00F22BD5">
        <w:rPr>
          <w:rFonts w:cs="Arial"/>
          <w:i/>
          <w:noProof/>
          <w:lang w:val="es-ES"/>
        </w:rPr>
        <w:t>Cuadro</w:t>
      </w:r>
      <w:r w:rsidR="008C18E1" w:rsidRPr="00F22BD5">
        <w:rPr>
          <w:rFonts w:cs="Arial"/>
          <w:i/>
          <w:noProof/>
          <w:lang w:val="es-ES"/>
        </w:rPr>
        <w:t xml:space="preserve"> 2: </w:t>
      </w:r>
      <w:r w:rsidR="00CD1B44" w:rsidRPr="00F22BD5">
        <w:rPr>
          <w:rFonts w:cs="Arial"/>
          <w:i/>
          <w:noProof/>
          <w:lang w:val="es-ES"/>
        </w:rPr>
        <w:t>List</w:t>
      </w:r>
      <w:r w:rsidRPr="00F22BD5">
        <w:rPr>
          <w:rFonts w:cs="Arial"/>
          <w:i/>
          <w:noProof/>
          <w:lang w:val="es-ES"/>
        </w:rPr>
        <w:t xml:space="preserve">a sugerida de prioridades de </w:t>
      </w:r>
      <w:r w:rsidR="00F22BD5" w:rsidRPr="00F22BD5">
        <w:rPr>
          <w:rFonts w:cs="Arial"/>
          <w:i/>
          <w:noProof/>
          <w:lang w:val="es-ES"/>
        </w:rPr>
        <w:t>fondos no financiados con cargo al presupuesto básico</w:t>
      </w:r>
    </w:p>
    <w:tbl>
      <w:tblPr>
        <w:tblStyle w:val="TableGrid"/>
        <w:tblW w:w="932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778"/>
        <w:gridCol w:w="3544"/>
      </w:tblGrid>
      <w:tr w:rsidR="008C18E1" w:rsidRPr="00FD65B8" w:rsidTr="008C18E1">
        <w:tc>
          <w:tcPr>
            <w:tcW w:w="5778" w:type="dxa"/>
            <w:shd w:val="clear" w:color="auto" w:fill="DBE5F1" w:themeFill="accent1" w:themeFillTint="33"/>
          </w:tcPr>
          <w:p w:rsidR="008C18E1" w:rsidRPr="00472E37" w:rsidRDefault="008C18E1" w:rsidP="008C18E1">
            <w:pPr>
              <w:jc w:val="center"/>
              <w:rPr>
                <w:rFonts w:asciiTheme="minorHAnsi" w:hAnsiTheme="minorHAnsi" w:cstheme="minorHAnsi"/>
                <w:b/>
                <w:noProof/>
                <w:lang w:val="es-ES"/>
              </w:rPr>
            </w:pPr>
            <w:r w:rsidRPr="00472E37">
              <w:rPr>
                <w:rFonts w:asciiTheme="minorHAnsi" w:hAnsiTheme="minorHAnsi" w:cstheme="minorHAnsi"/>
                <w:b/>
                <w:noProof/>
                <w:lang w:val="es-ES"/>
              </w:rPr>
              <w:t>Activi</w:t>
            </w:r>
            <w:r w:rsidR="007279EE">
              <w:rPr>
                <w:rFonts w:asciiTheme="minorHAnsi" w:hAnsiTheme="minorHAnsi" w:cstheme="minorHAnsi"/>
                <w:b/>
                <w:noProof/>
                <w:lang w:val="es-ES"/>
              </w:rPr>
              <w:t>dad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:rsidR="007279EE" w:rsidRDefault="007F40AF" w:rsidP="00CD1B44">
            <w:pPr>
              <w:jc w:val="center"/>
              <w:rPr>
                <w:rFonts w:asciiTheme="minorHAnsi" w:hAnsiTheme="minorHAnsi" w:cstheme="minorHAnsi"/>
                <w:b/>
                <w:noProof/>
                <w:lang w:val="es-ES"/>
              </w:rPr>
            </w:pPr>
            <w:r>
              <w:rPr>
                <w:rFonts w:asciiTheme="minorHAnsi" w:hAnsiTheme="minorHAnsi" w:cstheme="minorHAnsi"/>
                <w:b/>
                <w:noProof/>
                <w:lang w:val="es-ES"/>
              </w:rPr>
              <w:t>Cantidad requerida en</w:t>
            </w:r>
            <w:r w:rsidR="007279EE">
              <w:rPr>
                <w:rFonts w:asciiTheme="minorHAnsi" w:hAnsiTheme="minorHAnsi" w:cstheme="minorHAnsi"/>
                <w:b/>
                <w:noProof/>
                <w:lang w:val="es-ES"/>
              </w:rPr>
              <w:t xml:space="preserve"> tres años </w:t>
            </w:r>
          </w:p>
          <w:p w:rsidR="008C18E1" w:rsidRPr="00472E37" w:rsidRDefault="007279EE" w:rsidP="005908F1">
            <w:pPr>
              <w:jc w:val="center"/>
              <w:rPr>
                <w:rFonts w:asciiTheme="minorHAnsi" w:hAnsiTheme="minorHAnsi" w:cstheme="minorHAnsi"/>
                <w:b/>
                <w:noProof/>
                <w:lang w:val="es-ES"/>
              </w:rPr>
            </w:pPr>
            <w:r>
              <w:rPr>
                <w:rFonts w:asciiTheme="minorHAnsi" w:hAnsiTheme="minorHAnsi" w:cstheme="minorHAnsi"/>
                <w:b/>
                <w:noProof/>
                <w:lang w:val="es-ES"/>
              </w:rPr>
              <w:t xml:space="preserve">(en francos suizos)  </w:t>
            </w:r>
          </w:p>
        </w:tc>
      </w:tr>
      <w:tr w:rsidR="008C18E1" w:rsidRPr="00472E37" w:rsidTr="008C18E1">
        <w:tc>
          <w:tcPr>
            <w:tcW w:w="5778" w:type="dxa"/>
          </w:tcPr>
          <w:p w:rsidR="008C18E1" w:rsidRPr="00472E37" w:rsidRDefault="007279EE" w:rsidP="00485CC6">
            <w:pPr>
              <w:rPr>
                <w:rFonts w:asciiTheme="minorHAnsi" w:hAnsiTheme="minorHAnsi" w:cstheme="minorHAnsi"/>
                <w:noProof/>
                <w:lang w:val="es-ES"/>
              </w:rPr>
            </w:pPr>
            <w:r>
              <w:rPr>
                <w:rFonts w:asciiTheme="minorHAnsi" w:hAnsiTheme="minorHAnsi" w:cstheme="minorHAnsi"/>
                <w:noProof/>
                <w:lang w:val="es-ES"/>
              </w:rPr>
              <w:t>Día Mundial de los Humedales</w:t>
            </w:r>
          </w:p>
        </w:tc>
        <w:tc>
          <w:tcPr>
            <w:tcW w:w="3544" w:type="dxa"/>
          </w:tcPr>
          <w:p w:rsidR="008C18E1" w:rsidRPr="00472E37" w:rsidRDefault="00BE3591" w:rsidP="008C18E1">
            <w:pPr>
              <w:jc w:val="center"/>
              <w:rPr>
                <w:rFonts w:asciiTheme="minorHAnsi" w:hAnsiTheme="minorHAnsi" w:cstheme="minorHAnsi"/>
                <w:noProof/>
                <w:lang w:val="es-ES"/>
              </w:rPr>
            </w:pPr>
            <w:r w:rsidRPr="00472E37">
              <w:rPr>
                <w:rFonts w:asciiTheme="minorHAnsi" w:hAnsiTheme="minorHAnsi" w:cstheme="minorHAnsi"/>
                <w:noProof/>
                <w:lang w:val="es-ES"/>
              </w:rPr>
              <w:t>250</w:t>
            </w:r>
            <w:r w:rsidR="007279EE">
              <w:rPr>
                <w:rFonts w:asciiTheme="minorHAnsi" w:hAnsiTheme="minorHAnsi" w:cstheme="minorHAnsi"/>
                <w:noProof/>
                <w:lang w:val="es-ES"/>
              </w:rPr>
              <w:t>.</w:t>
            </w:r>
            <w:r w:rsidR="008C18E1" w:rsidRPr="00472E37">
              <w:rPr>
                <w:rFonts w:asciiTheme="minorHAnsi" w:hAnsiTheme="minorHAnsi" w:cstheme="minorHAnsi"/>
                <w:noProof/>
                <w:lang w:val="es-ES"/>
              </w:rPr>
              <w:t>000</w:t>
            </w:r>
          </w:p>
        </w:tc>
      </w:tr>
      <w:tr w:rsidR="008C18E1" w:rsidRPr="00472E37" w:rsidTr="008C18E1">
        <w:tc>
          <w:tcPr>
            <w:tcW w:w="5778" w:type="dxa"/>
          </w:tcPr>
          <w:p w:rsidR="008C18E1" w:rsidRPr="00472E37" w:rsidRDefault="007279EE" w:rsidP="00485CC6">
            <w:pPr>
              <w:rPr>
                <w:rFonts w:asciiTheme="minorHAnsi" w:hAnsiTheme="minorHAnsi" w:cstheme="minorHAnsi"/>
                <w:noProof/>
                <w:lang w:val="es-ES"/>
              </w:rPr>
            </w:pPr>
            <w:r>
              <w:rPr>
                <w:rFonts w:asciiTheme="minorHAnsi" w:hAnsiTheme="minorHAnsi" w:cstheme="minorHAnsi"/>
                <w:noProof/>
                <w:lang w:val="es-ES"/>
              </w:rPr>
              <w:t xml:space="preserve">Inventarios completos de los humedales para informar sobre el </w:t>
            </w:r>
            <w:r w:rsidR="00E62CED">
              <w:rPr>
                <w:rFonts w:asciiTheme="minorHAnsi" w:hAnsiTheme="minorHAnsi" w:cstheme="minorHAnsi"/>
                <w:noProof/>
                <w:lang w:val="es-ES"/>
              </w:rPr>
              <w:t>i</w:t>
            </w:r>
            <w:r>
              <w:rPr>
                <w:rFonts w:asciiTheme="minorHAnsi" w:hAnsiTheme="minorHAnsi" w:cstheme="minorHAnsi"/>
                <w:noProof/>
                <w:lang w:val="es-ES"/>
              </w:rPr>
              <w:t xml:space="preserve">ndicador </w:t>
            </w:r>
            <w:r w:rsidR="008C18E1" w:rsidRPr="00472E37">
              <w:rPr>
                <w:rFonts w:asciiTheme="minorHAnsi" w:hAnsiTheme="minorHAnsi" w:cstheme="minorHAnsi"/>
                <w:noProof/>
                <w:lang w:val="es-ES"/>
              </w:rPr>
              <w:t>6.6.1</w:t>
            </w:r>
          </w:p>
        </w:tc>
        <w:tc>
          <w:tcPr>
            <w:tcW w:w="3544" w:type="dxa"/>
          </w:tcPr>
          <w:p w:rsidR="008C18E1" w:rsidRPr="00472E37" w:rsidRDefault="008C18E1" w:rsidP="008C18E1">
            <w:pPr>
              <w:jc w:val="center"/>
              <w:rPr>
                <w:rFonts w:asciiTheme="minorHAnsi" w:hAnsiTheme="minorHAnsi" w:cstheme="minorHAnsi"/>
                <w:noProof/>
                <w:lang w:val="es-ES"/>
              </w:rPr>
            </w:pPr>
            <w:r w:rsidRPr="00472E37">
              <w:rPr>
                <w:rFonts w:asciiTheme="minorHAnsi" w:hAnsiTheme="minorHAnsi" w:cstheme="minorHAnsi"/>
                <w:noProof/>
                <w:lang w:val="es-ES"/>
              </w:rPr>
              <w:t>165</w:t>
            </w:r>
            <w:r w:rsidR="007279EE">
              <w:rPr>
                <w:rFonts w:asciiTheme="minorHAnsi" w:hAnsiTheme="minorHAnsi" w:cstheme="minorHAnsi"/>
                <w:noProof/>
                <w:lang w:val="es-ES"/>
              </w:rPr>
              <w:t>.</w:t>
            </w:r>
            <w:r w:rsidRPr="00472E37">
              <w:rPr>
                <w:rFonts w:asciiTheme="minorHAnsi" w:hAnsiTheme="minorHAnsi" w:cstheme="minorHAnsi"/>
                <w:noProof/>
                <w:lang w:val="es-ES"/>
              </w:rPr>
              <w:t>000</w:t>
            </w:r>
          </w:p>
        </w:tc>
      </w:tr>
      <w:tr w:rsidR="008C18E1" w:rsidRPr="00472E37" w:rsidTr="008C18E1">
        <w:tc>
          <w:tcPr>
            <w:tcW w:w="5778" w:type="dxa"/>
          </w:tcPr>
          <w:p w:rsidR="008C18E1" w:rsidRPr="00472E37" w:rsidRDefault="007279EE" w:rsidP="00485CC6">
            <w:pPr>
              <w:rPr>
                <w:rFonts w:asciiTheme="minorHAnsi" w:hAnsiTheme="minorHAnsi" w:cstheme="minorHAnsi"/>
                <w:noProof/>
                <w:lang w:val="es-ES"/>
              </w:rPr>
            </w:pPr>
            <w:r>
              <w:rPr>
                <w:rFonts w:asciiTheme="minorHAnsi" w:hAnsiTheme="minorHAnsi" w:cstheme="minorHAnsi"/>
                <w:noProof/>
                <w:lang w:val="es-ES"/>
              </w:rPr>
              <w:t>Misiones Ramsar de Asesoramiento</w:t>
            </w:r>
          </w:p>
        </w:tc>
        <w:tc>
          <w:tcPr>
            <w:tcW w:w="3544" w:type="dxa"/>
          </w:tcPr>
          <w:p w:rsidR="008C18E1" w:rsidRPr="00472E37" w:rsidRDefault="008C18E1" w:rsidP="008C18E1">
            <w:pPr>
              <w:jc w:val="center"/>
              <w:rPr>
                <w:rFonts w:asciiTheme="minorHAnsi" w:hAnsiTheme="minorHAnsi" w:cstheme="minorHAnsi"/>
                <w:noProof/>
                <w:lang w:val="es-ES"/>
              </w:rPr>
            </w:pPr>
            <w:r w:rsidRPr="00472E37">
              <w:rPr>
                <w:rFonts w:asciiTheme="minorHAnsi" w:hAnsiTheme="minorHAnsi" w:cstheme="minorHAnsi"/>
                <w:noProof/>
                <w:lang w:val="es-ES"/>
              </w:rPr>
              <w:t>225</w:t>
            </w:r>
            <w:r w:rsidR="007279EE">
              <w:rPr>
                <w:rFonts w:asciiTheme="minorHAnsi" w:hAnsiTheme="minorHAnsi" w:cstheme="minorHAnsi"/>
                <w:noProof/>
                <w:lang w:val="es-ES"/>
              </w:rPr>
              <w:t>.</w:t>
            </w:r>
            <w:r w:rsidRPr="00472E37">
              <w:rPr>
                <w:rFonts w:asciiTheme="minorHAnsi" w:hAnsiTheme="minorHAnsi" w:cstheme="minorHAnsi"/>
                <w:noProof/>
                <w:lang w:val="es-ES"/>
              </w:rPr>
              <w:t>000</w:t>
            </w:r>
          </w:p>
        </w:tc>
      </w:tr>
      <w:tr w:rsidR="008C18E1" w:rsidRPr="00472E37" w:rsidTr="008C18E1">
        <w:tc>
          <w:tcPr>
            <w:tcW w:w="5778" w:type="dxa"/>
          </w:tcPr>
          <w:p w:rsidR="008C18E1" w:rsidRPr="00472E37" w:rsidRDefault="007279EE" w:rsidP="00485CC6">
            <w:pPr>
              <w:rPr>
                <w:rFonts w:asciiTheme="minorHAnsi" w:hAnsiTheme="minorHAnsi" w:cstheme="minorHAnsi"/>
                <w:noProof/>
                <w:lang w:val="es-ES"/>
              </w:rPr>
            </w:pPr>
            <w:r>
              <w:rPr>
                <w:rFonts w:asciiTheme="minorHAnsi" w:hAnsiTheme="minorHAnsi" w:cstheme="minorHAnsi"/>
                <w:noProof/>
                <w:lang w:val="es-ES"/>
              </w:rPr>
              <w:t xml:space="preserve">Patrocinio </w:t>
            </w:r>
            <w:r w:rsidR="00F22BD5">
              <w:rPr>
                <w:rFonts w:asciiTheme="minorHAnsi" w:hAnsiTheme="minorHAnsi" w:cstheme="minorHAnsi"/>
                <w:noProof/>
                <w:lang w:val="es-ES"/>
              </w:rPr>
              <w:t>de la asistencia</w:t>
            </w:r>
            <w:r>
              <w:rPr>
                <w:rFonts w:asciiTheme="minorHAnsi" w:hAnsiTheme="minorHAnsi" w:cstheme="minorHAnsi"/>
                <w:noProof/>
                <w:lang w:val="es-ES"/>
              </w:rPr>
              <w:t xml:space="preserve"> </w:t>
            </w:r>
            <w:r w:rsidR="00F22BD5">
              <w:rPr>
                <w:rFonts w:asciiTheme="minorHAnsi" w:hAnsiTheme="minorHAnsi" w:cstheme="minorHAnsi"/>
                <w:noProof/>
                <w:lang w:val="es-ES"/>
              </w:rPr>
              <w:t xml:space="preserve">a </w:t>
            </w:r>
            <w:r>
              <w:rPr>
                <w:rFonts w:asciiTheme="minorHAnsi" w:hAnsiTheme="minorHAnsi" w:cstheme="minorHAnsi"/>
                <w:noProof/>
                <w:lang w:val="es-ES"/>
              </w:rPr>
              <w:t xml:space="preserve">la </w:t>
            </w:r>
            <w:r w:rsidR="008C18E1" w:rsidRPr="00472E37">
              <w:rPr>
                <w:rFonts w:asciiTheme="minorHAnsi" w:hAnsiTheme="minorHAnsi" w:cstheme="minorHAnsi"/>
                <w:noProof/>
                <w:lang w:val="es-ES"/>
              </w:rPr>
              <w:t xml:space="preserve">COP14 </w:t>
            </w:r>
            <w:r>
              <w:rPr>
                <w:rFonts w:asciiTheme="minorHAnsi" w:hAnsiTheme="minorHAnsi" w:cstheme="minorHAnsi"/>
                <w:noProof/>
                <w:lang w:val="es-ES"/>
              </w:rPr>
              <w:t xml:space="preserve">y </w:t>
            </w:r>
            <w:r w:rsidR="00F22BD5">
              <w:rPr>
                <w:rFonts w:asciiTheme="minorHAnsi" w:hAnsiTheme="minorHAnsi" w:cstheme="minorHAnsi"/>
                <w:noProof/>
                <w:lang w:val="es-ES"/>
              </w:rPr>
              <w:t>las reuniones previas</w:t>
            </w:r>
            <w:r>
              <w:rPr>
                <w:rFonts w:asciiTheme="minorHAnsi" w:hAnsiTheme="minorHAnsi" w:cstheme="minorHAnsi"/>
                <w:noProof/>
                <w:lang w:val="es-ES"/>
              </w:rPr>
              <w:t xml:space="preserve"> a la </w:t>
            </w:r>
            <w:r w:rsidR="008C18E1" w:rsidRPr="00472E37">
              <w:rPr>
                <w:rFonts w:asciiTheme="minorHAnsi" w:hAnsiTheme="minorHAnsi" w:cstheme="minorHAnsi"/>
                <w:noProof/>
                <w:lang w:val="es-ES"/>
              </w:rPr>
              <w:t xml:space="preserve">COP14 </w:t>
            </w:r>
            <w:r>
              <w:rPr>
                <w:rFonts w:asciiTheme="minorHAnsi" w:hAnsiTheme="minorHAnsi" w:cstheme="minorHAnsi"/>
                <w:noProof/>
                <w:lang w:val="es-ES"/>
              </w:rPr>
              <w:t xml:space="preserve">para </w:t>
            </w:r>
            <w:r w:rsidR="00F22BD5">
              <w:rPr>
                <w:rFonts w:asciiTheme="minorHAnsi" w:hAnsiTheme="minorHAnsi" w:cstheme="minorHAnsi"/>
                <w:noProof/>
                <w:lang w:val="es-ES"/>
              </w:rPr>
              <w:t xml:space="preserve">los </w:t>
            </w:r>
            <w:r>
              <w:rPr>
                <w:rFonts w:asciiTheme="minorHAnsi" w:hAnsiTheme="minorHAnsi" w:cstheme="minorHAnsi"/>
                <w:noProof/>
                <w:lang w:val="es-ES"/>
              </w:rPr>
              <w:t xml:space="preserve">delegados </w:t>
            </w:r>
            <w:r w:rsidR="00F22BD5">
              <w:rPr>
                <w:rFonts w:asciiTheme="minorHAnsi" w:hAnsiTheme="minorHAnsi" w:cstheme="minorHAnsi"/>
                <w:noProof/>
                <w:lang w:val="es-ES"/>
              </w:rPr>
              <w:t>candidatos</w:t>
            </w:r>
          </w:p>
        </w:tc>
        <w:tc>
          <w:tcPr>
            <w:tcW w:w="3544" w:type="dxa"/>
          </w:tcPr>
          <w:p w:rsidR="008C18E1" w:rsidRPr="00472E37" w:rsidRDefault="008C18E1" w:rsidP="008C18E1">
            <w:pPr>
              <w:jc w:val="center"/>
              <w:rPr>
                <w:rFonts w:asciiTheme="minorHAnsi" w:hAnsiTheme="minorHAnsi" w:cstheme="minorHAnsi"/>
                <w:noProof/>
                <w:lang w:val="es-ES"/>
              </w:rPr>
            </w:pPr>
            <w:r w:rsidRPr="00472E37">
              <w:rPr>
                <w:rFonts w:asciiTheme="minorHAnsi" w:hAnsiTheme="minorHAnsi" w:cstheme="minorHAnsi"/>
                <w:noProof/>
                <w:lang w:val="es-ES"/>
              </w:rPr>
              <w:t>700</w:t>
            </w:r>
            <w:r w:rsidR="007279EE">
              <w:rPr>
                <w:rFonts w:asciiTheme="minorHAnsi" w:hAnsiTheme="minorHAnsi" w:cstheme="minorHAnsi"/>
                <w:noProof/>
                <w:lang w:val="es-ES"/>
              </w:rPr>
              <w:t>.</w:t>
            </w:r>
            <w:r w:rsidRPr="00472E37">
              <w:rPr>
                <w:rFonts w:asciiTheme="minorHAnsi" w:hAnsiTheme="minorHAnsi" w:cstheme="minorHAnsi"/>
                <w:noProof/>
                <w:lang w:val="es-ES"/>
              </w:rPr>
              <w:t>000</w:t>
            </w:r>
          </w:p>
        </w:tc>
      </w:tr>
      <w:tr w:rsidR="008C18E1" w:rsidRPr="00472E37" w:rsidTr="008C18E1">
        <w:tc>
          <w:tcPr>
            <w:tcW w:w="5778" w:type="dxa"/>
          </w:tcPr>
          <w:p w:rsidR="008C18E1" w:rsidRPr="00472E37" w:rsidRDefault="005908F1" w:rsidP="00485CC6">
            <w:pPr>
              <w:rPr>
                <w:rFonts w:asciiTheme="minorHAnsi" w:hAnsiTheme="minorHAnsi" w:cstheme="minorHAnsi"/>
                <w:noProof/>
                <w:lang w:val="es-ES"/>
              </w:rPr>
            </w:pPr>
            <w:r>
              <w:rPr>
                <w:rFonts w:asciiTheme="minorHAnsi" w:hAnsiTheme="minorHAnsi" w:cstheme="minorHAnsi"/>
                <w:noProof/>
                <w:lang w:val="es-ES"/>
              </w:rPr>
              <w:t>Apoyo a iniciativas regionales</w:t>
            </w:r>
          </w:p>
        </w:tc>
        <w:tc>
          <w:tcPr>
            <w:tcW w:w="3544" w:type="dxa"/>
          </w:tcPr>
          <w:p w:rsidR="008C18E1" w:rsidRPr="00472E37" w:rsidRDefault="008C18E1" w:rsidP="008C18E1">
            <w:pPr>
              <w:jc w:val="center"/>
              <w:rPr>
                <w:rFonts w:asciiTheme="minorHAnsi" w:hAnsiTheme="minorHAnsi" w:cstheme="minorHAnsi"/>
                <w:noProof/>
                <w:lang w:val="es-ES"/>
              </w:rPr>
            </w:pPr>
            <w:r w:rsidRPr="00472E37">
              <w:rPr>
                <w:rFonts w:asciiTheme="minorHAnsi" w:hAnsiTheme="minorHAnsi" w:cstheme="minorHAnsi"/>
                <w:noProof/>
                <w:lang w:val="es-ES"/>
              </w:rPr>
              <w:t>150</w:t>
            </w:r>
            <w:r w:rsidR="007279EE">
              <w:rPr>
                <w:rFonts w:asciiTheme="minorHAnsi" w:hAnsiTheme="minorHAnsi" w:cstheme="minorHAnsi"/>
                <w:noProof/>
                <w:lang w:val="es-ES"/>
              </w:rPr>
              <w:t>.</w:t>
            </w:r>
            <w:r w:rsidRPr="00472E37">
              <w:rPr>
                <w:rFonts w:asciiTheme="minorHAnsi" w:hAnsiTheme="minorHAnsi" w:cstheme="minorHAnsi"/>
                <w:noProof/>
                <w:lang w:val="es-ES"/>
              </w:rPr>
              <w:t>000</w:t>
            </w:r>
          </w:p>
        </w:tc>
      </w:tr>
      <w:tr w:rsidR="008C18E1" w:rsidRPr="00472E37" w:rsidTr="008C18E1">
        <w:tc>
          <w:tcPr>
            <w:tcW w:w="5778" w:type="dxa"/>
          </w:tcPr>
          <w:p w:rsidR="008C18E1" w:rsidRPr="00472E37" w:rsidRDefault="005908F1" w:rsidP="00485CC6">
            <w:pPr>
              <w:rPr>
                <w:rFonts w:asciiTheme="minorHAnsi" w:hAnsiTheme="minorHAnsi" w:cstheme="minorHAnsi"/>
                <w:noProof/>
                <w:lang w:val="es-ES"/>
              </w:rPr>
            </w:pPr>
            <w:r>
              <w:rPr>
                <w:rFonts w:asciiTheme="minorHAnsi" w:hAnsiTheme="minorHAnsi" w:cstheme="minorHAnsi"/>
                <w:noProof/>
                <w:lang w:val="es-ES"/>
              </w:rPr>
              <w:t xml:space="preserve">Programa de CECoP de </w:t>
            </w:r>
            <w:r w:rsidR="008C18E1" w:rsidRPr="00472E37">
              <w:rPr>
                <w:rFonts w:asciiTheme="minorHAnsi" w:hAnsiTheme="minorHAnsi" w:cstheme="minorHAnsi"/>
                <w:noProof/>
                <w:lang w:val="es-ES"/>
              </w:rPr>
              <w:t>Ramsar</w:t>
            </w:r>
          </w:p>
        </w:tc>
        <w:tc>
          <w:tcPr>
            <w:tcW w:w="3544" w:type="dxa"/>
          </w:tcPr>
          <w:p w:rsidR="008C18E1" w:rsidRPr="00472E37" w:rsidRDefault="008C18E1" w:rsidP="008C18E1">
            <w:pPr>
              <w:jc w:val="center"/>
              <w:rPr>
                <w:rFonts w:asciiTheme="minorHAnsi" w:hAnsiTheme="minorHAnsi" w:cstheme="minorHAnsi"/>
                <w:noProof/>
                <w:lang w:val="es-ES"/>
              </w:rPr>
            </w:pPr>
            <w:r w:rsidRPr="00472E37">
              <w:rPr>
                <w:rFonts w:asciiTheme="minorHAnsi" w:hAnsiTheme="minorHAnsi" w:cstheme="minorHAnsi"/>
                <w:noProof/>
                <w:lang w:val="es-ES"/>
              </w:rPr>
              <w:t>200</w:t>
            </w:r>
            <w:r w:rsidR="007279EE">
              <w:rPr>
                <w:rFonts w:asciiTheme="minorHAnsi" w:hAnsiTheme="minorHAnsi" w:cstheme="minorHAnsi"/>
                <w:noProof/>
                <w:lang w:val="es-ES"/>
              </w:rPr>
              <w:t>.</w:t>
            </w:r>
            <w:r w:rsidRPr="00472E37">
              <w:rPr>
                <w:rFonts w:asciiTheme="minorHAnsi" w:hAnsiTheme="minorHAnsi" w:cstheme="minorHAnsi"/>
                <w:noProof/>
                <w:lang w:val="es-ES"/>
              </w:rPr>
              <w:t>000</w:t>
            </w:r>
          </w:p>
        </w:tc>
      </w:tr>
    </w:tbl>
    <w:p w:rsidR="008C18E1" w:rsidRPr="00472E37" w:rsidRDefault="008C18E1" w:rsidP="006027BF">
      <w:pPr>
        <w:spacing w:after="0" w:line="240" w:lineRule="auto"/>
        <w:rPr>
          <w:rFonts w:cs="Arial"/>
          <w:b/>
          <w:noProof/>
          <w:lang w:val="es-ES"/>
        </w:rPr>
      </w:pPr>
      <w:bookmarkStart w:id="0" w:name="_GoBack"/>
      <w:bookmarkEnd w:id="0"/>
    </w:p>
    <w:sectPr w:rsidR="008C18E1" w:rsidRPr="00472E37" w:rsidSect="00E51CBD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F00" w:rsidRDefault="007A6F00" w:rsidP="00DF2386">
      <w:pPr>
        <w:spacing w:after="0" w:line="240" w:lineRule="auto"/>
      </w:pPr>
      <w:r>
        <w:separator/>
      </w:r>
    </w:p>
  </w:endnote>
  <w:endnote w:type="continuationSeparator" w:id="0">
    <w:p w:rsidR="007A6F00" w:rsidRDefault="007A6F00" w:rsidP="00DF2386">
      <w:pPr>
        <w:spacing w:after="0" w:line="240" w:lineRule="auto"/>
      </w:pPr>
      <w:r>
        <w:continuationSeparator/>
      </w:r>
    </w:p>
  </w:endnote>
  <w:endnote w:type="continuationNotice" w:id="1">
    <w:p w:rsidR="007A6F00" w:rsidRDefault="007A6F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E71" w:rsidRPr="00381F23" w:rsidRDefault="0041099F" w:rsidP="00D12E4C">
    <w:pPr>
      <w:pStyle w:val="Footer"/>
      <w:rPr>
        <w:noProof/>
        <w:sz w:val="20"/>
        <w:szCs w:val="20"/>
        <w:lang w:val="es-ES"/>
      </w:rPr>
    </w:pPr>
    <w:r w:rsidRPr="00381F23">
      <w:rPr>
        <w:noProof/>
        <w:sz w:val="20"/>
        <w:szCs w:val="20"/>
        <w:lang w:val="es-ES"/>
      </w:rPr>
      <w:t xml:space="preserve">Ramsar </w:t>
    </w:r>
    <w:r w:rsidR="009000B8" w:rsidRPr="00381F23">
      <w:rPr>
        <w:noProof/>
        <w:sz w:val="20"/>
        <w:szCs w:val="20"/>
        <w:lang w:val="es-ES"/>
      </w:rPr>
      <w:t>COP13 Doc.</w:t>
    </w:r>
    <w:r w:rsidR="00034C36" w:rsidRPr="00381F23">
      <w:rPr>
        <w:noProof/>
        <w:sz w:val="20"/>
        <w:szCs w:val="20"/>
        <w:lang w:val="es-ES"/>
      </w:rPr>
      <w:t>17</w:t>
    </w:r>
    <w:r w:rsidR="00D12E4C" w:rsidRPr="00381F23">
      <w:rPr>
        <w:noProof/>
        <w:sz w:val="20"/>
        <w:szCs w:val="20"/>
        <w:lang w:val="es-ES"/>
      </w:rPr>
      <w:tab/>
    </w:r>
    <w:r w:rsidR="00D12E4C" w:rsidRPr="00381F23">
      <w:rPr>
        <w:noProof/>
        <w:sz w:val="20"/>
        <w:szCs w:val="20"/>
        <w:lang w:val="es-ES"/>
      </w:rPr>
      <w:tab/>
    </w:r>
    <w:r w:rsidR="00D12E4C" w:rsidRPr="00381F23">
      <w:rPr>
        <w:noProof/>
        <w:sz w:val="20"/>
        <w:szCs w:val="20"/>
        <w:lang w:val="es-ES"/>
      </w:rPr>
      <w:fldChar w:fldCharType="begin"/>
    </w:r>
    <w:r w:rsidR="00D12E4C" w:rsidRPr="00381F23">
      <w:rPr>
        <w:noProof/>
        <w:sz w:val="20"/>
        <w:szCs w:val="20"/>
        <w:lang w:val="es-ES"/>
      </w:rPr>
      <w:instrText xml:space="preserve"> PAGE   \* MERGEFORMAT </w:instrText>
    </w:r>
    <w:r w:rsidR="00D12E4C" w:rsidRPr="00381F23">
      <w:rPr>
        <w:noProof/>
        <w:sz w:val="20"/>
        <w:szCs w:val="20"/>
        <w:lang w:val="es-ES"/>
      </w:rPr>
      <w:fldChar w:fldCharType="separate"/>
    </w:r>
    <w:r w:rsidR="00FD65B8">
      <w:rPr>
        <w:noProof/>
        <w:sz w:val="20"/>
        <w:szCs w:val="20"/>
        <w:lang w:val="es-ES"/>
      </w:rPr>
      <w:t>2</w:t>
    </w:r>
    <w:r w:rsidR="00D12E4C" w:rsidRPr="00381F23">
      <w:rPr>
        <w:noProof/>
        <w:sz w:val="20"/>
        <w:szCs w:val="20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F00" w:rsidRDefault="007A6F00" w:rsidP="00DF2386">
      <w:pPr>
        <w:spacing w:after="0" w:line="240" w:lineRule="auto"/>
      </w:pPr>
      <w:r>
        <w:separator/>
      </w:r>
    </w:p>
  </w:footnote>
  <w:footnote w:type="continuationSeparator" w:id="0">
    <w:p w:rsidR="007A6F00" w:rsidRDefault="007A6F00" w:rsidP="00DF2386">
      <w:pPr>
        <w:spacing w:after="0" w:line="240" w:lineRule="auto"/>
      </w:pPr>
      <w:r>
        <w:continuationSeparator/>
      </w:r>
    </w:p>
  </w:footnote>
  <w:footnote w:type="continuationNotice" w:id="1">
    <w:p w:rsidR="007A6F00" w:rsidRDefault="007A6F00">
      <w:pPr>
        <w:spacing w:after="0" w:line="240" w:lineRule="auto"/>
      </w:pPr>
    </w:p>
  </w:footnote>
  <w:footnote w:id="2">
    <w:p w:rsidR="008C18E1" w:rsidRPr="00BE4E89" w:rsidRDefault="008C18E1" w:rsidP="008C18E1">
      <w:pPr>
        <w:pStyle w:val="Default"/>
        <w:jc w:val="both"/>
        <w:rPr>
          <w:b/>
          <w:bCs/>
          <w:i/>
          <w:noProof/>
          <w:sz w:val="20"/>
          <w:szCs w:val="20"/>
          <w:lang w:val="es-ES"/>
        </w:rPr>
      </w:pPr>
      <w:r w:rsidRPr="008C18E1">
        <w:rPr>
          <w:rStyle w:val="FootnoteReference"/>
          <w:i/>
        </w:rPr>
        <w:footnoteRef/>
      </w:r>
      <w:r w:rsidRPr="00FD65B8">
        <w:rPr>
          <w:i/>
          <w:lang w:val="fr-FR"/>
        </w:rPr>
        <w:t xml:space="preserve"> </w:t>
      </w:r>
      <w:r w:rsidR="00BE4E89" w:rsidRPr="00BE4E89">
        <w:rPr>
          <w:b/>
          <w:bCs/>
          <w:i/>
          <w:noProof/>
          <w:sz w:val="20"/>
          <w:szCs w:val="20"/>
          <w:lang w:val="es-ES"/>
        </w:rPr>
        <w:t>Artículo</w:t>
      </w:r>
      <w:r w:rsidRPr="00BE4E89">
        <w:rPr>
          <w:b/>
          <w:bCs/>
          <w:i/>
          <w:noProof/>
          <w:sz w:val="20"/>
          <w:szCs w:val="20"/>
          <w:lang w:val="es-ES"/>
        </w:rPr>
        <w:t xml:space="preserve"> 14</w:t>
      </w:r>
      <w:r w:rsidR="00146230">
        <w:rPr>
          <w:b/>
          <w:bCs/>
          <w:i/>
          <w:noProof/>
          <w:sz w:val="20"/>
          <w:szCs w:val="20"/>
          <w:lang w:val="es-ES"/>
        </w:rPr>
        <w:t>:</w:t>
      </w:r>
      <w:r w:rsidRPr="00BE4E89">
        <w:rPr>
          <w:b/>
          <w:bCs/>
          <w:i/>
          <w:noProof/>
          <w:sz w:val="20"/>
          <w:szCs w:val="20"/>
          <w:lang w:val="es-ES"/>
        </w:rPr>
        <w:t xml:space="preserve"> </w:t>
      </w:r>
      <w:r w:rsidR="00BE4E89" w:rsidRPr="00BE4E89">
        <w:rPr>
          <w:b/>
          <w:bCs/>
          <w:i/>
          <w:noProof/>
          <w:sz w:val="20"/>
          <w:szCs w:val="20"/>
          <w:lang w:val="es-ES"/>
        </w:rPr>
        <w:t xml:space="preserve">Informe de la Secretaría sobre las consecuencias administrativas y financieras de los puntos del orden del día </w:t>
      </w:r>
    </w:p>
    <w:p w:rsidR="008C18E1" w:rsidRPr="00BE4E89" w:rsidRDefault="00BE4E89" w:rsidP="008C18E1">
      <w:pPr>
        <w:spacing w:after="0" w:line="240" w:lineRule="auto"/>
        <w:jc w:val="both"/>
        <w:rPr>
          <w:i/>
          <w:noProof/>
          <w:sz w:val="20"/>
          <w:szCs w:val="20"/>
          <w:lang w:val="es-ES"/>
        </w:rPr>
      </w:pPr>
      <w:r>
        <w:rPr>
          <w:i/>
          <w:noProof/>
          <w:sz w:val="20"/>
          <w:szCs w:val="20"/>
          <w:lang w:val="es-ES"/>
        </w:rPr>
        <w:t>La Secretaría informará sobre las consecuencias administrativas y financieras de todos los asuntos sustantivos del orden del día presentados a la reunión de la Conferencia de las Partes en un plazo de 24 horas desde la apertura de la reunión y antes de que la Conferencia de las Partes tome decisiones sobre dichos asuntos</w:t>
      </w:r>
      <w:r w:rsidR="008C18E1" w:rsidRPr="00FD65B8">
        <w:rPr>
          <w:i/>
          <w:sz w:val="20"/>
          <w:szCs w:val="20"/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E71" w:rsidRDefault="00F73E71">
    <w:pPr>
      <w:pStyle w:val="Header"/>
    </w:pPr>
  </w:p>
  <w:p w:rsidR="00F73E71" w:rsidRDefault="00F73E71">
    <w:pPr>
      <w:pStyle w:val="Header"/>
    </w:pPr>
  </w:p>
  <w:p w:rsidR="00CB65B7" w:rsidRDefault="00CB65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3078"/>
    <w:multiLevelType w:val="hybridMultilevel"/>
    <w:tmpl w:val="79A88B56"/>
    <w:lvl w:ilvl="0" w:tplc="49BE4BFA">
      <w:start w:val="1"/>
      <w:numFmt w:val="lowerLetter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D64322"/>
    <w:multiLevelType w:val="hybridMultilevel"/>
    <w:tmpl w:val="868AD4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22620"/>
    <w:multiLevelType w:val="hybridMultilevel"/>
    <w:tmpl w:val="6E1A5A50"/>
    <w:lvl w:ilvl="0" w:tplc="0809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" w15:restartNumberingAfterBreak="0">
    <w:nsid w:val="173F01EF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FC2EE8"/>
    <w:multiLevelType w:val="hybridMultilevel"/>
    <w:tmpl w:val="80803138"/>
    <w:lvl w:ilvl="0" w:tplc="1FAEB404">
      <w:start w:val="1"/>
      <w:numFmt w:val="lowerLetter"/>
      <w:lvlText w:val="%1."/>
      <w:lvlJc w:val="left"/>
      <w:pPr>
        <w:ind w:left="927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E93B16"/>
    <w:multiLevelType w:val="hybridMultilevel"/>
    <w:tmpl w:val="150E1CF8"/>
    <w:lvl w:ilvl="0" w:tplc="96CCB7D2">
      <w:start w:val="3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F582CB7"/>
    <w:multiLevelType w:val="hybridMultilevel"/>
    <w:tmpl w:val="6DBC2620"/>
    <w:lvl w:ilvl="0" w:tplc="6D4ECE6A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94F20"/>
    <w:multiLevelType w:val="hybridMultilevel"/>
    <w:tmpl w:val="7D7C98A2"/>
    <w:lvl w:ilvl="0" w:tplc="C4685480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702F5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D22AC2"/>
    <w:multiLevelType w:val="hybridMultilevel"/>
    <w:tmpl w:val="44CE1856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96CCB7D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F80C1D"/>
    <w:multiLevelType w:val="hybridMultilevel"/>
    <w:tmpl w:val="4E4C4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0151A2"/>
    <w:multiLevelType w:val="hybridMultilevel"/>
    <w:tmpl w:val="87DEC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16C94"/>
    <w:multiLevelType w:val="hybridMultilevel"/>
    <w:tmpl w:val="578C0E4C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69699D"/>
    <w:multiLevelType w:val="hybridMultilevel"/>
    <w:tmpl w:val="E1E6C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8385E"/>
    <w:multiLevelType w:val="hybridMultilevel"/>
    <w:tmpl w:val="56208B90"/>
    <w:lvl w:ilvl="0" w:tplc="D3B08506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7B265A4"/>
    <w:multiLevelType w:val="hybridMultilevel"/>
    <w:tmpl w:val="3C62CEAC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602ABE">
      <w:start w:val="1"/>
      <w:numFmt w:val="lowerLetter"/>
      <w:lvlText w:val="%2."/>
      <w:lvlJc w:val="left"/>
      <w:pPr>
        <w:ind w:left="851" w:hanging="426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F3304A"/>
    <w:multiLevelType w:val="hybridMultilevel"/>
    <w:tmpl w:val="963E67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67BFD"/>
    <w:multiLevelType w:val="hybridMultilevel"/>
    <w:tmpl w:val="C2A4B670"/>
    <w:lvl w:ilvl="0" w:tplc="3230A32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B7C1E"/>
    <w:multiLevelType w:val="hybridMultilevel"/>
    <w:tmpl w:val="9D3C9652"/>
    <w:lvl w:ilvl="0" w:tplc="3230A32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F7BD2"/>
    <w:multiLevelType w:val="hybridMultilevel"/>
    <w:tmpl w:val="4260D606"/>
    <w:lvl w:ilvl="0" w:tplc="C420B0E2">
      <w:start w:val="14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BEC7214"/>
    <w:multiLevelType w:val="hybridMultilevel"/>
    <w:tmpl w:val="CEC2949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C019EB"/>
    <w:multiLevelType w:val="hybridMultilevel"/>
    <w:tmpl w:val="BB3222F0"/>
    <w:lvl w:ilvl="0" w:tplc="D3B085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E31A11"/>
    <w:multiLevelType w:val="hybridMultilevel"/>
    <w:tmpl w:val="7EFE6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62F0F"/>
    <w:multiLevelType w:val="hybridMultilevel"/>
    <w:tmpl w:val="9328EB66"/>
    <w:lvl w:ilvl="0" w:tplc="60F06A0A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4" w15:restartNumberingAfterBreak="0">
    <w:nsid w:val="5BFC251F"/>
    <w:multiLevelType w:val="hybridMultilevel"/>
    <w:tmpl w:val="BCAC9ED8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8B7D3B"/>
    <w:multiLevelType w:val="hybridMultilevel"/>
    <w:tmpl w:val="F86AA15E"/>
    <w:lvl w:ilvl="0" w:tplc="F7447174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6" w15:restartNumberingAfterBreak="0">
    <w:nsid w:val="5E411B5C"/>
    <w:multiLevelType w:val="hybridMultilevel"/>
    <w:tmpl w:val="43A0D4A4"/>
    <w:lvl w:ilvl="0" w:tplc="4ABC872C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94227"/>
    <w:multiLevelType w:val="hybridMultilevel"/>
    <w:tmpl w:val="2C16D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B7649C"/>
    <w:multiLevelType w:val="hybridMultilevel"/>
    <w:tmpl w:val="60340988"/>
    <w:lvl w:ilvl="0" w:tplc="9F16882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1E778C"/>
    <w:multiLevelType w:val="hybridMultilevel"/>
    <w:tmpl w:val="8CC83936"/>
    <w:lvl w:ilvl="0" w:tplc="D21AB97E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0" w15:restartNumberingAfterBreak="0">
    <w:nsid w:val="7F715757"/>
    <w:multiLevelType w:val="hybridMultilevel"/>
    <w:tmpl w:val="5C6ABED8"/>
    <w:lvl w:ilvl="0" w:tplc="96CCB7D2">
      <w:start w:val="3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7"/>
  </w:num>
  <w:num w:numId="7">
    <w:abstractNumId w:val="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3"/>
  </w:num>
  <w:num w:numId="13">
    <w:abstractNumId w:val="16"/>
  </w:num>
  <w:num w:numId="14">
    <w:abstractNumId w:val="10"/>
  </w:num>
  <w:num w:numId="15">
    <w:abstractNumId w:val="1"/>
  </w:num>
  <w:num w:numId="16">
    <w:abstractNumId w:val="13"/>
  </w:num>
  <w:num w:numId="17">
    <w:abstractNumId w:val="21"/>
  </w:num>
  <w:num w:numId="18">
    <w:abstractNumId w:val="29"/>
  </w:num>
  <w:num w:numId="19">
    <w:abstractNumId w:val="28"/>
  </w:num>
  <w:num w:numId="20">
    <w:abstractNumId w:val="23"/>
  </w:num>
  <w:num w:numId="21">
    <w:abstractNumId w:val="25"/>
  </w:num>
  <w:num w:numId="22">
    <w:abstractNumId w:val="14"/>
  </w:num>
  <w:num w:numId="23">
    <w:abstractNumId w:val="22"/>
  </w:num>
  <w:num w:numId="24">
    <w:abstractNumId w:val="19"/>
  </w:num>
  <w:num w:numId="25">
    <w:abstractNumId w:val="30"/>
  </w:num>
  <w:num w:numId="26">
    <w:abstractNumId w:val="5"/>
  </w:num>
  <w:num w:numId="27">
    <w:abstractNumId w:val="9"/>
  </w:num>
  <w:num w:numId="28">
    <w:abstractNumId w:val="17"/>
  </w:num>
  <w:num w:numId="29">
    <w:abstractNumId w:val="26"/>
  </w:num>
  <w:num w:numId="30">
    <w:abstractNumId w:val="18"/>
  </w:num>
  <w:num w:numId="31">
    <w:abstractNumId w:val="20"/>
  </w:num>
  <w:num w:numId="32">
    <w:abstractNumId w:val="11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TrackFormatting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86"/>
    <w:rsid w:val="00004515"/>
    <w:rsid w:val="00007D7E"/>
    <w:rsid w:val="0001280D"/>
    <w:rsid w:val="00017A16"/>
    <w:rsid w:val="00022E8C"/>
    <w:rsid w:val="00030B1D"/>
    <w:rsid w:val="00033E40"/>
    <w:rsid w:val="00034C36"/>
    <w:rsid w:val="00037CE0"/>
    <w:rsid w:val="00050008"/>
    <w:rsid w:val="000524CC"/>
    <w:rsid w:val="00053929"/>
    <w:rsid w:val="000551F6"/>
    <w:rsid w:val="00065B98"/>
    <w:rsid w:val="00071EF9"/>
    <w:rsid w:val="000725B7"/>
    <w:rsid w:val="000736AD"/>
    <w:rsid w:val="00074DE8"/>
    <w:rsid w:val="0008208F"/>
    <w:rsid w:val="00082689"/>
    <w:rsid w:val="00082A48"/>
    <w:rsid w:val="00082E30"/>
    <w:rsid w:val="00086AA5"/>
    <w:rsid w:val="000905B8"/>
    <w:rsid w:val="00091DC7"/>
    <w:rsid w:val="00092F7C"/>
    <w:rsid w:val="000A3E3E"/>
    <w:rsid w:val="000A6DD3"/>
    <w:rsid w:val="000B03AB"/>
    <w:rsid w:val="000C09C0"/>
    <w:rsid w:val="000C66CA"/>
    <w:rsid w:val="000D5C76"/>
    <w:rsid w:val="000E2FA0"/>
    <w:rsid w:val="000E47E9"/>
    <w:rsid w:val="000E64B4"/>
    <w:rsid w:val="000F2F6F"/>
    <w:rsid w:val="000F30D7"/>
    <w:rsid w:val="000F4BF0"/>
    <w:rsid w:val="00100323"/>
    <w:rsid w:val="0010203E"/>
    <w:rsid w:val="0010406A"/>
    <w:rsid w:val="001046FE"/>
    <w:rsid w:val="001052C7"/>
    <w:rsid w:val="00112287"/>
    <w:rsid w:val="0012096C"/>
    <w:rsid w:val="00121597"/>
    <w:rsid w:val="00127828"/>
    <w:rsid w:val="001308F5"/>
    <w:rsid w:val="00146230"/>
    <w:rsid w:val="00146BDE"/>
    <w:rsid w:val="00147FE6"/>
    <w:rsid w:val="0015491F"/>
    <w:rsid w:val="001550A5"/>
    <w:rsid w:val="0015645A"/>
    <w:rsid w:val="00161BDA"/>
    <w:rsid w:val="00163246"/>
    <w:rsid w:val="00164595"/>
    <w:rsid w:val="001678BD"/>
    <w:rsid w:val="00171618"/>
    <w:rsid w:val="00172DB8"/>
    <w:rsid w:val="00176959"/>
    <w:rsid w:val="001819B1"/>
    <w:rsid w:val="00190197"/>
    <w:rsid w:val="00192DDE"/>
    <w:rsid w:val="00196220"/>
    <w:rsid w:val="00197D00"/>
    <w:rsid w:val="001A46C7"/>
    <w:rsid w:val="001A48C7"/>
    <w:rsid w:val="001A7044"/>
    <w:rsid w:val="001B0F0C"/>
    <w:rsid w:val="001B10F1"/>
    <w:rsid w:val="001C5E41"/>
    <w:rsid w:val="001C77BC"/>
    <w:rsid w:val="001D1697"/>
    <w:rsid w:val="001D42C7"/>
    <w:rsid w:val="001D48BB"/>
    <w:rsid w:val="001E00E3"/>
    <w:rsid w:val="001E2204"/>
    <w:rsid w:val="001F01BA"/>
    <w:rsid w:val="001F2349"/>
    <w:rsid w:val="001F2FE4"/>
    <w:rsid w:val="001F3D08"/>
    <w:rsid w:val="002005D2"/>
    <w:rsid w:val="00200B53"/>
    <w:rsid w:val="00201663"/>
    <w:rsid w:val="0020298B"/>
    <w:rsid w:val="00205989"/>
    <w:rsid w:val="00206111"/>
    <w:rsid w:val="0021171D"/>
    <w:rsid w:val="002137E0"/>
    <w:rsid w:val="002236CA"/>
    <w:rsid w:val="00224E79"/>
    <w:rsid w:val="00225413"/>
    <w:rsid w:val="00227310"/>
    <w:rsid w:val="00244E1D"/>
    <w:rsid w:val="00246E5E"/>
    <w:rsid w:val="00264EC9"/>
    <w:rsid w:val="00266F2F"/>
    <w:rsid w:val="00270DEF"/>
    <w:rsid w:val="00272269"/>
    <w:rsid w:val="002741AC"/>
    <w:rsid w:val="002766B3"/>
    <w:rsid w:val="002819C0"/>
    <w:rsid w:val="00282490"/>
    <w:rsid w:val="002951F6"/>
    <w:rsid w:val="00295556"/>
    <w:rsid w:val="00295BB5"/>
    <w:rsid w:val="00296395"/>
    <w:rsid w:val="002A2E9E"/>
    <w:rsid w:val="002A4D58"/>
    <w:rsid w:val="002A5A4D"/>
    <w:rsid w:val="002B4262"/>
    <w:rsid w:val="002B49E3"/>
    <w:rsid w:val="002C0750"/>
    <w:rsid w:val="002C5469"/>
    <w:rsid w:val="002C728A"/>
    <w:rsid w:val="002C7F04"/>
    <w:rsid w:val="002D5A4D"/>
    <w:rsid w:val="002D5ED7"/>
    <w:rsid w:val="002E22AF"/>
    <w:rsid w:val="002E4240"/>
    <w:rsid w:val="002E5902"/>
    <w:rsid w:val="003035BB"/>
    <w:rsid w:val="00314B82"/>
    <w:rsid w:val="003211FC"/>
    <w:rsid w:val="003221DE"/>
    <w:rsid w:val="00322441"/>
    <w:rsid w:val="00324398"/>
    <w:rsid w:val="003341CA"/>
    <w:rsid w:val="003455AA"/>
    <w:rsid w:val="00351CCA"/>
    <w:rsid w:val="003523C9"/>
    <w:rsid w:val="00357EE9"/>
    <w:rsid w:val="00372647"/>
    <w:rsid w:val="00374E48"/>
    <w:rsid w:val="003756B9"/>
    <w:rsid w:val="00375B6C"/>
    <w:rsid w:val="00381F23"/>
    <w:rsid w:val="00384FC3"/>
    <w:rsid w:val="003864C3"/>
    <w:rsid w:val="003872C7"/>
    <w:rsid w:val="0039008C"/>
    <w:rsid w:val="00390AD7"/>
    <w:rsid w:val="00391FEF"/>
    <w:rsid w:val="00393B6A"/>
    <w:rsid w:val="0039424B"/>
    <w:rsid w:val="00394FD7"/>
    <w:rsid w:val="0039726E"/>
    <w:rsid w:val="003A20CD"/>
    <w:rsid w:val="003A3804"/>
    <w:rsid w:val="003A4C88"/>
    <w:rsid w:val="003A52BE"/>
    <w:rsid w:val="003A5866"/>
    <w:rsid w:val="003A6E9F"/>
    <w:rsid w:val="003B399B"/>
    <w:rsid w:val="003B5243"/>
    <w:rsid w:val="003C5203"/>
    <w:rsid w:val="003D052D"/>
    <w:rsid w:val="003D1784"/>
    <w:rsid w:val="003D4CD6"/>
    <w:rsid w:val="003D6306"/>
    <w:rsid w:val="003D6B96"/>
    <w:rsid w:val="003D703E"/>
    <w:rsid w:val="003E03D0"/>
    <w:rsid w:val="003E2F84"/>
    <w:rsid w:val="003E5C6A"/>
    <w:rsid w:val="0040316C"/>
    <w:rsid w:val="00410920"/>
    <w:rsid w:val="0041099F"/>
    <w:rsid w:val="004200D3"/>
    <w:rsid w:val="004228C7"/>
    <w:rsid w:val="00427063"/>
    <w:rsid w:val="0042798B"/>
    <w:rsid w:val="00434913"/>
    <w:rsid w:val="004351EF"/>
    <w:rsid w:val="00436009"/>
    <w:rsid w:val="00441320"/>
    <w:rsid w:val="00441CD2"/>
    <w:rsid w:val="004474F8"/>
    <w:rsid w:val="0045525B"/>
    <w:rsid w:val="0045707E"/>
    <w:rsid w:val="00457CF8"/>
    <w:rsid w:val="0046086B"/>
    <w:rsid w:val="00462A06"/>
    <w:rsid w:val="004723BD"/>
    <w:rsid w:val="00472E37"/>
    <w:rsid w:val="00477550"/>
    <w:rsid w:val="00477ED6"/>
    <w:rsid w:val="004804F5"/>
    <w:rsid w:val="00480C8A"/>
    <w:rsid w:val="004844A8"/>
    <w:rsid w:val="00484A82"/>
    <w:rsid w:val="00492F6D"/>
    <w:rsid w:val="0049577B"/>
    <w:rsid w:val="00496803"/>
    <w:rsid w:val="00497E7C"/>
    <w:rsid w:val="004A2733"/>
    <w:rsid w:val="004A5063"/>
    <w:rsid w:val="004A62F0"/>
    <w:rsid w:val="004B6213"/>
    <w:rsid w:val="004B6688"/>
    <w:rsid w:val="004B7487"/>
    <w:rsid w:val="004C1B3E"/>
    <w:rsid w:val="004C3787"/>
    <w:rsid w:val="004D772A"/>
    <w:rsid w:val="004F0C12"/>
    <w:rsid w:val="004F497B"/>
    <w:rsid w:val="004F5C50"/>
    <w:rsid w:val="00501265"/>
    <w:rsid w:val="00501D6E"/>
    <w:rsid w:val="0050686B"/>
    <w:rsid w:val="00506DF9"/>
    <w:rsid w:val="00506F27"/>
    <w:rsid w:val="005244A4"/>
    <w:rsid w:val="00525BEB"/>
    <w:rsid w:val="00527783"/>
    <w:rsid w:val="005318C9"/>
    <w:rsid w:val="00534B6F"/>
    <w:rsid w:val="00541A7B"/>
    <w:rsid w:val="00551CD4"/>
    <w:rsid w:val="0055637B"/>
    <w:rsid w:val="005636AE"/>
    <w:rsid w:val="005667A1"/>
    <w:rsid w:val="00566BF9"/>
    <w:rsid w:val="00567644"/>
    <w:rsid w:val="00577E43"/>
    <w:rsid w:val="005807FB"/>
    <w:rsid w:val="005814B5"/>
    <w:rsid w:val="00584E91"/>
    <w:rsid w:val="005908F1"/>
    <w:rsid w:val="00594301"/>
    <w:rsid w:val="005A2ACC"/>
    <w:rsid w:val="005A5AE7"/>
    <w:rsid w:val="005B23A9"/>
    <w:rsid w:val="005B2D5D"/>
    <w:rsid w:val="005C2E4A"/>
    <w:rsid w:val="005D2BDB"/>
    <w:rsid w:val="005D377E"/>
    <w:rsid w:val="005D3E9D"/>
    <w:rsid w:val="005E120D"/>
    <w:rsid w:val="005E51E7"/>
    <w:rsid w:val="005E55B3"/>
    <w:rsid w:val="005F3339"/>
    <w:rsid w:val="006027BF"/>
    <w:rsid w:val="00603A19"/>
    <w:rsid w:val="00610467"/>
    <w:rsid w:val="00612CDC"/>
    <w:rsid w:val="0062381A"/>
    <w:rsid w:val="006256D3"/>
    <w:rsid w:val="00626FCC"/>
    <w:rsid w:val="00627BB7"/>
    <w:rsid w:val="0063493E"/>
    <w:rsid w:val="00645426"/>
    <w:rsid w:val="00647C77"/>
    <w:rsid w:val="0065136E"/>
    <w:rsid w:val="00652D62"/>
    <w:rsid w:val="0065485B"/>
    <w:rsid w:val="006567C7"/>
    <w:rsid w:val="0065687D"/>
    <w:rsid w:val="00656BD8"/>
    <w:rsid w:val="006616FE"/>
    <w:rsid w:val="00670D71"/>
    <w:rsid w:val="0067376E"/>
    <w:rsid w:val="006739A1"/>
    <w:rsid w:val="006805BB"/>
    <w:rsid w:val="00685A65"/>
    <w:rsid w:val="0069009E"/>
    <w:rsid w:val="006929A6"/>
    <w:rsid w:val="006A3FDB"/>
    <w:rsid w:val="006A76F8"/>
    <w:rsid w:val="006B0458"/>
    <w:rsid w:val="006B376A"/>
    <w:rsid w:val="006B5077"/>
    <w:rsid w:val="006C479A"/>
    <w:rsid w:val="006C65C0"/>
    <w:rsid w:val="006D3DFF"/>
    <w:rsid w:val="006E0E0F"/>
    <w:rsid w:val="006E7DCE"/>
    <w:rsid w:val="006E7E35"/>
    <w:rsid w:val="006F018A"/>
    <w:rsid w:val="006F4DF7"/>
    <w:rsid w:val="006F54F5"/>
    <w:rsid w:val="00704E5B"/>
    <w:rsid w:val="007050FF"/>
    <w:rsid w:val="00705210"/>
    <w:rsid w:val="00715518"/>
    <w:rsid w:val="00716E9E"/>
    <w:rsid w:val="007279EE"/>
    <w:rsid w:val="00731C1A"/>
    <w:rsid w:val="007328C0"/>
    <w:rsid w:val="00733B55"/>
    <w:rsid w:val="007377A5"/>
    <w:rsid w:val="00737D84"/>
    <w:rsid w:val="00743CE3"/>
    <w:rsid w:val="00752D17"/>
    <w:rsid w:val="00762FE1"/>
    <w:rsid w:val="00764D2C"/>
    <w:rsid w:val="007662C4"/>
    <w:rsid w:val="00766962"/>
    <w:rsid w:val="00770916"/>
    <w:rsid w:val="00775287"/>
    <w:rsid w:val="00777E05"/>
    <w:rsid w:val="00782F8D"/>
    <w:rsid w:val="00784871"/>
    <w:rsid w:val="00785F35"/>
    <w:rsid w:val="007908CF"/>
    <w:rsid w:val="0079386A"/>
    <w:rsid w:val="007A1AB7"/>
    <w:rsid w:val="007A6F00"/>
    <w:rsid w:val="007B11A1"/>
    <w:rsid w:val="007B29A8"/>
    <w:rsid w:val="007B31D8"/>
    <w:rsid w:val="007B7E70"/>
    <w:rsid w:val="007C792E"/>
    <w:rsid w:val="007D0F77"/>
    <w:rsid w:val="007D136A"/>
    <w:rsid w:val="007D17A6"/>
    <w:rsid w:val="007D33F4"/>
    <w:rsid w:val="007D773F"/>
    <w:rsid w:val="007E31CC"/>
    <w:rsid w:val="007E5BF6"/>
    <w:rsid w:val="007F1BE1"/>
    <w:rsid w:val="007F2437"/>
    <w:rsid w:val="007F3ABE"/>
    <w:rsid w:val="007F40AF"/>
    <w:rsid w:val="00803D7B"/>
    <w:rsid w:val="008162BD"/>
    <w:rsid w:val="0082248C"/>
    <w:rsid w:val="00822534"/>
    <w:rsid w:val="00832778"/>
    <w:rsid w:val="008328E9"/>
    <w:rsid w:val="00833F00"/>
    <w:rsid w:val="00835BCB"/>
    <w:rsid w:val="00835CDC"/>
    <w:rsid w:val="00840181"/>
    <w:rsid w:val="00843099"/>
    <w:rsid w:val="00850B09"/>
    <w:rsid w:val="008541CA"/>
    <w:rsid w:val="008556CD"/>
    <w:rsid w:val="00857B3C"/>
    <w:rsid w:val="00857C7D"/>
    <w:rsid w:val="0086200D"/>
    <w:rsid w:val="00863B9D"/>
    <w:rsid w:val="00863BE6"/>
    <w:rsid w:val="008641BF"/>
    <w:rsid w:val="00872F5F"/>
    <w:rsid w:val="008751EB"/>
    <w:rsid w:val="00876334"/>
    <w:rsid w:val="008775BC"/>
    <w:rsid w:val="00882F1B"/>
    <w:rsid w:val="00883E3D"/>
    <w:rsid w:val="008902A5"/>
    <w:rsid w:val="008A70CE"/>
    <w:rsid w:val="008A7156"/>
    <w:rsid w:val="008B1FD6"/>
    <w:rsid w:val="008B3FED"/>
    <w:rsid w:val="008B5EF6"/>
    <w:rsid w:val="008C169F"/>
    <w:rsid w:val="008C18E1"/>
    <w:rsid w:val="008C25E4"/>
    <w:rsid w:val="008C2DAE"/>
    <w:rsid w:val="008C2F21"/>
    <w:rsid w:val="008C603F"/>
    <w:rsid w:val="008C6BFA"/>
    <w:rsid w:val="008D09C2"/>
    <w:rsid w:val="008D3BB2"/>
    <w:rsid w:val="008D6247"/>
    <w:rsid w:val="008D66E3"/>
    <w:rsid w:val="008D75A2"/>
    <w:rsid w:val="008E4F48"/>
    <w:rsid w:val="008F0B06"/>
    <w:rsid w:val="008F1736"/>
    <w:rsid w:val="008F1E6B"/>
    <w:rsid w:val="008F2881"/>
    <w:rsid w:val="009000B8"/>
    <w:rsid w:val="009059A9"/>
    <w:rsid w:val="00906806"/>
    <w:rsid w:val="00915B54"/>
    <w:rsid w:val="00922B91"/>
    <w:rsid w:val="00923724"/>
    <w:rsid w:val="00924B40"/>
    <w:rsid w:val="0092515E"/>
    <w:rsid w:val="00934276"/>
    <w:rsid w:val="00935CC3"/>
    <w:rsid w:val="009461E9"/>
    <w:rsid w:val="0094770B"/>
    <w:rsid w:val="00950BDB"/>
    <w:rsid w:val="0095183A"/>
    <w:rsid w:val="0095787D"/>
    <w:rsid w:val="00961A26"/>
    <w:rsid w:val="00966FED"/>
    <w:rsid w:val="009710CC"/>
    <w:rsid w:val="0097565A"/>
    <w:rsid w:val="00977708"/>
    <w:rsid w:val="009919DF"/>
    <w:rsid w:val="009A26BD"/>
    <w:rsid w:val="009B18B3"/>
    <w:rsid w:val="009B2267"/>
    <w:rsid w:val="009C3773"/>
    <w:rsid w:val="009C4662"/>
    <w:rsid w:val="009C4D14"/>
    <w:rsid w:val="009C5CBA"/>
    <w:rsid w:val="009D1C2C"/>
    <w:rsid w:val="009D57A1"/>
    <w:rsid w:val="009E237E"/>
    <w:rsid w:val="009E4F8A"/>
    <w:rsid w:val="009E5374"/>
    <w:rsid w:val="009F120C"/>
    <w:rsid w:val="009F345D"/>
    <w:rsid w:val="009F7842"/>
    <w:rsid w:val="00A02D00"/>
    <w:rsid w:val="00A12117"/>
    <w:rsid w:val="00A13218"/>
    <w:rsid w:val="00A17B7B"/>
    <w:rsid w:val="00A227A3"/>
    <w:rsid w:val="00A26418"/>
    <w:rsid w:val="00A324A8"/>
    <w:rsid w:val="00A33C3B"/>
    <w:rsid w:val="00A41CA7"/>
    <w:rsid w:val="00A42C70"/>
    <w:rsid w:val="00A42D73"/>
    <w:rsid w:val="00A5199D"/>
    <w:rsid w:val="00A52C91"/>
    <w:rsid w:val="00A54CC2"/>
    <w:rsid w:val="00A60B73"/>
    <w:rsid w:val="00A61346"/>
    <w:rsid w:val="00A71A2E"/>
    <w:rsid w:val="00A73BA4"/>
    <w:rsid w:val="00A80080"/>
    <w:rsid w:val="00A85181"/>
    <w:rsid w:val="00A85A07"/>
    <w:rsid w:val="00A905FA"/>
    <w:rsid w:val="00A94E0B"/>
    <w:rsid w:val="00A95733"/>
    <w:rsid w:val="00A9780F"/>
    <w:rsid w:val="00AA216F"/>
    <w:rsid w:val="00AA2B72"/>
    <w:rsid w:val="00AA3DB1"/>
    <w:rsid w:val="00AA3E55"/>
    <w:rsid w:val="00AA4DC9"/>
    <w:rsid w:val="00AA4F82"/>
    <w:rsid w:val="00AB3417"/>
    <w:rsid w:val="00AB3D05"/>
    <w:rsid w:val="00AB4639"/>
    <w:rsid w:val="00AB4951"/>
    <w:rsid w:val="00AB4D8C"/>
    <w:rsid w:val="00AB5EA0"/>
    <w:rsid w:val="00AB64FE"/>
    <w:rsid w:val="00AC233F"/>
    <w:rsid w:val="00AC46B3"/>
    <w:rsid w:val="00AC4FAD"/>
    <w:rsid w:val="00AC54FF"/>
    <w:rsid w:val="00AD6D9D"/>
    <w:rsid w:val="00AE0A27"/>
    <w:rsid w:val="00AE162E"/>
    <w:rsid w:val="00AE2367"/>
    <w:rsid w:val="00AF2E67"/>
    <w:rsid w:val="00B02469"/>
    <w:rsid w:val="00B057FC"/>
    <w:rsid w:val="00B20D7F"/>
    <w:rsid w:val="00B21124"/>
    <w:rsid w:val="00B315A0"/>
    <w:rsid w:val="00B34A18"/>
    <w:rsid w:val="00B40119"/>
    <w:rsid w:val="00B41637"/>
    <w:rsid w:val="00B468CE"/>
    <w:rsid w:val="00B4730A"/>
    <w:rsid w:val="00B50C5D"/>
    <w:rsid w:val="00B52EC9"/>
    <w:rsid w:val="00B579CB"/>
    <w:rsid w:val="00B626CD"/>
    <w:rsid w:val="00B63903"/>
    <w:rsid w:val="00B63B99"/>
    <w:rsid w:val="00B70083"/>
    <w:rsid w:val="00B7088F"/>
    <w:rsid w:val="00B70C9B"/>
    <w:rsid w:val="00B719B6"/>
    <w:rsid w:val="00B75BAE"/>
    <w:rsid w:val="00B8658C"/>
    <w:rsid w:val="00B87C24"/>
    <w:rsid w:val="00B924B2"/>
    <w:rsid w:val="00B943DB"/>
    <w:rsid w:val="00B94CD6"/>
    <w:rsid w:val="00B976C0"/>
    <w:rsid w:val="00BA0E0D"/>
    <w:rsid w:val="00BA1014"/>
    <w:rsid w:val="00BA13C6"/>
    <w:rsid w:val="00BA603F"/>
    <w:rsid w:val="00BB1268"/>
    <w:rsid w:val="00BB28F6"/>
    <w:rsid w:val="00BB47C9"/>
    <w:rsid w:val="00BB67CF"/>
    <w:rsid w:val="00BB6DD4"/>
    <w:rsid w:val="00BB7C57"/>
    <w:rsid w:val="00BC1C3D"/>
    <w:rsid w:val="00BC2609"/>
    <w:rsid w:val="00BC3212"/>
    <w:rsid w:val="00BC4100"/>
    <w:rsid w:val="00BC449C"/>
    <w:rsid w:val="00BD5148"/>
    <w:rsid w:val="00BD72FE"/>
    <w:rsid w:val="00BE3591"/>
    <w:rsid w:val="00BE3888"/>
    <w:rsid w:val="00BE4E89"/>
    <w:rsid w:val="00BF20AA"/>
    <w:rsid w:val="00BF2724"/>
    <w:rsid w:val="00C04170"/>
    <w:rsid w:val="00C051BF"/>
    <w:rsid w:val="00C13145"/>
    <w:rsid w:val="00C20787"/>
    <w:rsid w:val="00C24460"/>
    <w:rsid w:val="00C32D70"/>
    <w:rsid w:val="00C35729"/>
    <w:rsid w:val="00C441EF"/>
    <w:rsid w:val="00C51BF2"/>
    <w:rsid w:val="00C64192"/>
    <w:rsid w:val="00C70684"/>
    <w:rsid w:val="00C8140F"/>
    <w:rsid w:val="00C82AAA"/>
    <w:rsid w:val="00C832BF"/>
    <w:rsid w:val="00C837D0"/>
    <w:rsid w:val="00C92BE3"/>
    <w:rsid w:val="00CA4BF6"/>
    <w:rsid w:val="00CB1B36"/>
    <w:rsid w:val="00CB65B7"/>
    <w:rsid w:val="00CC2663"/>
    <w:rsid w:val="00CC40B9"/>
    <w:rsid w:val="00CD191D"/>
    <w:rsid w:val="00CD1B44"/>
    <w:rsid w:val="00CE0962"/>
    <w:rsid w:val="00CE750F"/>
    <w:rsid w:val="00CF1957"/>
    <w:rsid w:val="00CF75A1"/>
    <w:rsid w:val="00D015D6"/>
    <w:rsid w:val="00D03F6B"/>
    <w:rsid w:val="00D0530C"/>
    <w:rsid w:val="00D10BFC"/>
    <w:rsid w:val="00D11142"/>
    <w:rsid w:val="00D12E4C"/>
    <w:rsid w:val="00D160CB"/>
    <w:rsid w:val="00D16861"/>
    <w:rsid w:val="00D17622"/>
    <w:rsid w:val="00D23042"/>
    <w:rsid w:val="00D23A96"/>
    <w:rsid w:val="00D245A1"/>
    <w:rsid w:val="00D24687"/>
    <w:rsid w:val="00D3216C"/>
    <w:rsid w:val="00D3601B"/>
    <w:rsid w:val="00D3621D"/>
    <w:rsid w:val="00D37914"/>
    <w:rsid w:val="00D407D6"/>
    <w:rsid w:val="00D415E2"/>
    <w:rsid w:val="00D42055"/>
    <w:rsid w:val="00D50F55"/>
    <w:rsid w:val="00D60E59"/>
    <w:rsid w:val="00D62782"/>
    <w:rsid w:val="00D647C3"/>
    <w:rsid w:val="00D72E9F"/>
    <w:rsid w:val="00D7591F"/>
    <w:rsid w:val="00D76E93"/>
    <w:rsid w:val="00D84916"/>
    <w:rsid w:val="00D86F2D"/>
    <w:rsid w:val="00D94203"/>
    <w:rsid w:val="00D9633A"/>
    <w:rsid w:val="00DA057C"/>
    <w:rsid w:val="00DA2823"/>
    <w:rsid w:val="00DA3A73"/>
    <w:rsid w:val="00DA7DC2"/>
    <w:rsid w:val="00DA7DCE"/>
    <w:rsid w:val="00DB2430"/>
    <w:rsid w:val="00DB2CEE"/>
    <w:rsid w:val="00DB383A"/>
    <w:rsid w:val="00DC6C7C"/>
    <w:rsid w:val="00DC71D9"/>
    <w:rsid w:val="00DD6E06"/>
    <w:rsid w:val="00DE2B38"/>
    <w:rsid w:val="00DF2386"/>
    <w:rsid w:val="00DF5339"/>
    <w:rsid w:val="00DF7FE7"/>
    <w:rsid w:val="00E013F3"/>
    <w:rsid w:val="00E036AD"/>
    <w:rsid w:val="00E06077"/>
    <w:rsid w:val="00E15B74"/>
    <w:rsid w:val="00E222FB"/>
    <w:rsid w:val="00E2262A"/>
    <w:rsid w:val="00E24F5C"/>
    <w:rsid w:val="00E25604"/>
    <w:rsid w:val="00E34BC5"/>
    <w:rsid w:val="00E414F5"/>
    <w:rsid w:val="00E46367"/>
    <w:rsid w:val="00E519AF"/>
    <w:rsid w:val="00E51CBD"/>
    <w:rsid w:val="00E529C2"/>
    <w:rsid w:val="00E568DD"/>
    <w:rsid w:val="00E62208"/>
    <w:rsid w:val="00E625E5"/>
    <w:rsid w:val="00E62CED"/>
    <w:rsid w:val="00E63F0B"/>
    <w:rsid w:val="00E752CF"/>
    <w:rsid w:val="00E77D97"/>
    <w:rsid w:val="00E77F3D"/>
    <w:rsid w:val="00E813A1"/>
    <w:rsid w:val="00E84ED5"/>
    <w:rsid w:val="00E907F9"/>
    <w:rsid w:val="00E91B09"/>
    <w:rsid w:val="00E9307A"/>
    <w:rsid w:val="00E964E0"/>
    <w:rsid w:val="00EA2616"/>
    <w:rsid w:val="00EA3A7F"/>
    <w:rsid w:val="00EA4AE6"/>
    <w:rsid w:val="00EB2D3E"/>
    <w:rsid w:val="00EB586B"/>
    <w:rsid w:val="00EC0E5E"/>
    <w:rsid w:val="00EC598F"/>
    <w:rsid w:val="00ED58D0"/>
    <w:rsid w:val="00ED6C09"/>
    <w:rsid w:val="00EE21CB"/>
    <w:rsid w:val="00EE3F96"/>
    <w:rsid w:val="00EE448D"/>
    <w:rsid w:val="00EE6B09"/>
    <w:rsid w:val="00F01E40"/>
    <w:rsid w:val="00F078F1"/>
    <w:rsid w:val="00F15BDC"/>
    <w:rsid w:val="00F21B04"/>
    <w:rsid w:val="00F22BD5"/>
    <w:rsid w:val="00F2412D"/>
    <w:rsid w:val="00F349FD"/>
    <w:rsid w:val="00F351AF"/>
    <w:rsid w:val="00F35921"/>
    <w:rsid w:val="00F40029"/>
    <w:rsid w:val="00F41E45"/>
    <w:rsid w:val="00F45E22"/>
    <w:rsid w:val="00F53B98"/>
    <w:rsid w:val="00F564E7"/>
    <w:rsid w:val="00F6732B"/>
    <w:rsid w:val="00F72D79"/>
    <w:rsid w:val="00F73E71"/>
    <w:rsid w:val="00F76801"/>
    <w:rsid w:val="00F807D4"/>
    <w:rsid w:val="00F85F7A"/>
    <w:rsid w:val="00F86070"/>
    <w:rsid w:val="00F90892"/>
    <w:rsid w:val="00F942A0"/>
    <w:rsid w:val="00FA0AC1"/>
    <w:rsid w:val="00FA74E5"/>
    <w:rsid w:val="00FB66D7"/>
    <w:rsid w:val="00FC5E60"/>
    <w:rsid w:val="00FC7DE0"/>
    <w:rsid w:val="00FD65B8"/>
    <w:rsid w:val="00FE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BE484D8"/>
  <w15:docId w15:val="{F02DF7B1-7322-4EBC-9091-2ABB8143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3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F23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386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F2386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DF23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2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6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60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60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09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52B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24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5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4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5A1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6A7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75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1B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35BB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472E37"/>
    <w:rPr>
      <w:i/>
      <w:iCs/>
    </w:rPr>
  </w:style>
  <w:style w:type="character" w:customStyle="1" w:styleId="apple-converted-space">
    <w:name w:val="apple-converted-space"/>
    <w:basedOn w:val="DefaultParagraphFont"/>
    <w:rsid w:val="00472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9B375-AB95-4874-A1D4-9240EEB9C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1332</Words>
  <Characters>7745</Characters>
  <Application>Microsoft Office Word</Application>
  <DocSecurity>4</DocSecurity>
  <Lines>455</Lines>
  <Paragraphs>206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>barzdo@ramsar.org</Manager>
  <Company>Ramsar Convention Secretariat</Company>
  <LinksUpToDate>false</LinksUpToDate>
  <CharactersWithSpaces>8871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barzdo@ramsar.org</dc:creator>
  <cp:keywords/>
  <dc:description/>
  <cp:lastModifiedBy>JENNINGS Edmund</cp:lastModifiedBy>
  <cp:revision>2</cp:revision>
  <cp:lastPrinted>2018-01-22T11:47:00Z</cp:lastPrinted>
  <dcterms:created xsi:type="dcterms:W3CDTF">2018-10-19T22:21:00Z</dcterms:created>
  <dcterms:modified xsi:type="dcterms:W3CDTF">2018-10-19T22:21:00Z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