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CC" w:rsidRPr="00517C51" w:rsidRDefault="007E31CC" w:rsidP="007D17A6">
      <w:pPr>
        <w:spacing w:after="0" w:line="240" w:lineRule="auto"/>
        <w:ind w:right="17"/>
        <w:jc w:val="center"/>
        <w:outlineLvl w:val="0"/>
        <w:rPr>
          <w:rFonts w:eastAsia="Times New Roman" w:cstheme="majorHAnsi"/>
          <w:b/>
          <w:bCs/>
          <w:sz w:val="24"/>
          <w:szCs w:val="24"/>
          <w:lang w:val="en-US"/>
        </w:rPr>
      </w:pPr>
      <w:r>
        <w:rPr>
          <w:rFonts w:eastAsia="Times New Roman" w:cstheme="majorHAnsi"/>
          <w:b/>
          <w:bCs/>
          <w:noProof/>
          <w:sz w:val="28"/>
          <w:szCs w:val="28"/>
          <w:lang w:eastAsia="en-GB"/>
        </w:rPr>
        <w:drawing>
          <wp:anchor distT="0" distB="0" distL="114300" distR="114300" simplePos="0" relativeHeight="251658240" behindDoc="0" locked="0" layoutInCell="1" allowOverlap="1" wp14:anchorId="4A39B707" wp14:editId="232F55EC">
            <wp:simplePos x="0" y="0"/>
            <wp:positionH relativeFrom="column">
              <wp:posOffset>-191135</wp:posOffset>
            </wp:positionH>
            <wp:positionV relativeFrom="page">
              <wp:posOffset>385283</wp:posOffset>
            </wp:positionV>
            <wp:extent cx="1645200" cy="171360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 Meeting of the Conference of the Contracting Parties</w:t>
      </w:r>
    </w:p>
    <w:p w:rsidR="007E31CC" w:rsidRPr="00517C51" w:rsidRDefault="007E31CC" w:rsidP="007D17A6">
      <w:pPr>
        <w:spacing w:after="0" w:line="240" w:lineRule="auto"/>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Ramsar Convention on Wetlands</w:t>
      </w:r>
    </w:p>
    <w:p w:rsidR="007E31CC" w:rsidRPr="00517C51" w:rsidRDefault="007E31CC" w:rsidP="007D17A6">
      <w:pPr>
        <w:spacing w:after="0" w:line="240" w:lineRule="auto"/>
        <w:ind w:right="17"/>
        <w:jc w:val="center"/>
        <w:outlineLvl w:val="0"/>
        <w:rPr>
          <w:rFonts w:eastAsia="Times New Roman" w:cstheme="majorHAnsi"/>
          <w:b/>
          <w:bCs/>
          <w:sz w:val="24"/>
          <w:szCs w:val="24"/>
          <w:lang w:val="en-US"/>
        </w:rPr>
      </w:pPr>
    </w:p>
    <w:p w:rsidR="007E31CC" w:rsidRPr="00517C51" w:rsidRDefault="007E31CC" w:rsidP="007D17A6">
      <w:pPr>
        <w:spacing w:after="0" w:line="240" w:lineRule="auto"/>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 for a Sustainable Urban Future”</w:t>
      </w:r>
    </w:p>
    <w:p w:rsidR="007E31CC" w:rsidRPr="00517C51" w:rsidRDefault="007E31CC" w:rsidP="007D17A6">
      <w:pPr>
        <w:spacing w:after="0" w:line="240" w:lineRule="auto"/>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 United Arab Emirates, 21-29 October 2018</w:t>
      </w:r>
    </w:p>
    <w:p w:rsidR="007E31CC" w:rsidRDefault="007E31CC" w:rsidP="007D17A6">
      <w:pPr>
        <w:spacing w:after="0" w:line="240" w:lineRule="auto"/>
        <w:ind w:right="17"/>
        <w:jc w:val="center"/>
        <w:outlineLvl w:val="0"/>
        <w:rPr>
          <w:rFonts w:eastAsia="Times New Roman" w:cstheme="majorHAnsi"/>
          <w:b/>
          <w:bCs/>
          <w:sz w:val="28"/>
          <w:szCs w:val="28"/>
        </w:rPr>
      </w:pPr>
    </w:p>
    <w:p w:rsidR="007E31CC" w:rsidRDefault="007E31CC" w:rsidP="007D17A6">
      <w:pPr>
        <w:spacing w:after="0" w:line="240" w:lineRule="auto"/>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E31CC" w:rsidRPr="000E67F8" w:rsidTr="00BF4531">
        <w:tc>
          <w:tcPr>
            <w:tcW w:w="4708" w:type="dxa"/>
          </w:tcPr>
          <w:p w:rsidR="007E31CC" w:rsidRPr="000E67F8" w:rsidRDefault="007E31CC" w:rsidP="007D17A6">
            <w:pPr>
              <w:spacing w:after="0" w:line="240" w:lineRule="auto"/>
              <w:ind w:right="17"/>
              <w:jc w:val="center"/>
              <w:outlineLvl w:val="0"/>
              <w:rPr>
                <w:rFonts w:eastAsia="Times New Roman" w:cstheme="majorHAnsi"/>
                <w:b/>
                <w:bCs/>
                <w:sz w:val="24"/>
                <w:szCs w:val="24"/>
                <w:lang w:val="en-US"/>
              </w:rPr>
            </w:pPr>
          </w:p>
        </w:tc>
        <w:tc>
          <w:tcPr>
            <w:tcW w:w="4652" w:type="dxa"/>
          </w:tcPr>
          <w:p w:rsidR="007E31CC" w:rsidRPr="000E67F8" w:rsidRDefault="007E31CC" w:rsidP="00E51CBD">
            <w:pPr>
              <w:spacing w:after="0" w:line="240" w:lineRule="auto"/>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 xml:space="preserve">Ramsar COP13 </w:t>
            </w:r>
            <w:r>
              <w:rPr>
                <w:rFonts w:eastAsia="Times New Roman" w:cstheme="majorHAnsi"/>
                <w:b/>
                <w:bCs/>
                <w:sz w:val="24"/>
                <w:szCs w:val="24"/>
                <w:lang w:val="en-US"/>
              </w:rPr>
              <w:t>Doc.</w:t>
            </w:r>
            <w:r w:rsidR="00E51CBD">
              <w:rPr>
                <w:rFonts w:eastAsia="Times New Roman" w:cstheme="majorHAnsi"/>
                <w:b/>
                <w:bCs/>
                <w:sz w:val="24"/>
                <w:szCs w:val="24"/>
                <w:lang w:val="en-US"/>
              </w:rPr>
              <w:t>17</w:t>
            </w:r>
          </w:p>
        </w:tc>
      </w:tr>
    </w:tbl>
    <w:p w:rsidR="007D17A6" w:rsidRDefault="007D17A6" w:rsidP="007D17A6">
      <w:pPr>
        <w:spacing w:after="0" w:line="240" w:lineRule="auto"/>
        <w:jc w:val="center"/>
        <w:rPr>
          <w:rFonts w:cs="Arial"/>
          <w:b/>
          <w:sz w:val="28"/>
          <w:szCs w:val="28"/>
        </w:rPr>
      </w:pPr>
    </w:p>
    <w:p w:rsidR="001B0F0C" w:rsidRDefault="00E51CBD" w:rsidP="00E51CBD">
      <w:pPr>
        <w:spacing w:after="0" w:line="240" w:lineRule="auto"/>
        <w:jc w:val="center"/>
        <w:rPr>
          <w:rFonts w:cs="Arial"/>
          <w:b/>
          <w:sz w:val="28"/>
          <w:szCs w:val="28"/>
        </w:rPr>
      </w:pPr>
      <w:r w:rsidRPr="00E51CBD">
        <w:rPr>
          <w:rFonts w:cs="Arial"/>
          <w:b/>
          <w:sz w:val="28"/>
          <w:szCs w:val="28"/>
        </w:rPr>
        <w:t xml:space="preserve">Secretariat’s report on administrative and financial implications </w:t>
      </w:r>
      <w:r w:rsidR="00A324A8">
        <w:rPr>
          <w:rFonts w:cs="Arial"/>
          <w:b/>
          <w:sz w:val="28"/>
          <w:szCs w:val="28"/>
        </w:rPr>
        <w:br/>
      </w:r>
      <w:r w:rsidRPr="00E51CBD">
        <w:rPr>
          <w:rFonts w:cs="Arial"/>
          <w:b/>
          <w:sz w:val="28"/>
          <w:szCs w:val="28"/>
        </w:rPr>
        <w:t>of draft resolutions</w:t>
      </w:r>
    </w:p>
    <w:p w:rsidR="00803D7B" w:rsidRDefault="00803D7B" w:rsidP="00803D7B">
      <w:pPr>
        <w:spacing w:after="0" w:line="240" w:lineRule="auto"/>
        <w:rPr>
          <w:rFonts w:cs="Arial"/>
          <w:b/>
        </w:rPr>
      </w:pPr>
    </w:p>
    <w:p w:rsidR="00A02D00" w:rsidRDefault="00A02D00" w:rsidP="00803D7B">
      <w:pPr>
        <w:spacing w:after="0" w:line="240" w:lineRule="auto"/>
        <w:rPr>
          <w:rFonts w:cs="Arial"/>
          <w:b/>
        </w:rPr>
      </w:pPr>
      <w:bookmarkStart w:id="0" w:name="_GoBack"/>
      <w:bookmarkEnd w:id="0"/>
    </w:p>
    <w:p w:rsidR="00803D7B" w:rsidRDefault="00803D7B" w:rsidP="00803D7B">
      <w:pPr>
        <w:spacing w:after="0" w:line="240" w:lineRule="auto"/>
        <w:ind w:left="425" w:hanging="425"/>
        <w:rPr>
          <w:rFonts w:cs="Arial"/>
        </w:rPr>
      </w:pPr>
      <w:r>
        <w:rPr>
          <w:rFonts w:cs="Arial"/>
        </w:rPr>
        <w:t>1.</w:t>
      </w:r>
      <w:r>
        <w:rPr>
          <w:rFonts w:cs="Arial"/>
        </w:rPr>
        <w:tab/>
      </w:r>
      <w:r w:rsidR="008C18E1">
        <w:rPr>
          <w:rFonts w:cs="Arial"/>
        </w:rPr>
        <w:t>T</w:t>
      </w:r>
      <w:r w:rsidRPr="00803D7B">
        <w:rPr>
          <w:rFonts w:cs="Arial"/>
        </w:rPr>
        <w:t xml:space="preserve">able </w:t>
      </w:r>
      <w:r w:rsidR="008C18E1">
        <w:rPr>
          <w:rFonts w:cs="Arial"/>
        </w:rPr>
        <w:t xml:space="preserve">1 </w:t>
      </w:r>
      <w:r w:rsidRPr="00803D7B">
        <w:rPr>
          <w:rFonts w:cs="Arial"/>
        </w:rPr>
        <w:t>below identifies the projected administrative and financial implications of substantive agenda items for COP</w:t>
      </w:r>
      <w:r>
        <w:rPr>
          <w:rFonts w:cs="Arial"/>
        </w:rPr>
        <w:t xml:space="preserve">13, </w:t>
      </w:r>
      <w:r w:rsidR="00CD1B44">
        <w:rPr>
          <w:rFonts w:cs="Arial"/>
        </w:rPr>
        <w:t xml:space="preserve">compiled by the Secretariat </w:t>
      </w:r>
      <w:r>
        <w:rPr>
          <w:rFonts w:cs="Arial"/>
        </w:rPr>
        <w:t>in accordance with Rule 14 of the Rules of Procedure</w:t>
      </w:r>
      <w:r w:rsidR="008C18E1">
        <w:rPr>
          <w:rStyle w:val="FootnoteReference"/>
          <w:rFonts w:cs="Arial"/>
        </w:rPr>
        <w:footnoteReference w:id="2"/>
      </w:r>
      <w:r w:rsidR="008C18E1">
        <w:rPr>
          <w:rFonts w:cs="Arial"/>
        </w:rPr>
        <w:t>.</w:t>
      </w:r>
    </w:p>
    <w:p w:rsidR="00803D7B" w:rsidRDefault="00803D7B" w:rsidP="00803D7B">
      <w:pPr>
        <w:spacing w:after="0" w:line="240" w:lineRule="auto"/>
        <w:ind w:left="425" w:hanging="425"/>
        <w:rPr>
          <w:rFonts w:cs="Arial"/>
        </w:rPr>
      </w:pPr>
    </w:p>
    <w:p w:rsidR="008C18E1" w:rsidRPr="008C18E1" w:rsidRDefault="008C18E1" w:rsidP="008C18E1">
      <w:pPr>
        <w:spacing w:after="0" w:line="240" w:lineRule="auto"/>
        <w:jc w:val="both"/>
        <w:rPr>
          <w:rFonts w:cs="Arial"/>
          <w:i/>
        </w:rPr>
      </w:pPr>
      <w:r w:rsidRPr="008C18E1">
        <w:rPr>
          <w:rFonts w:cs="Arial"/>
          <w:i/>
        </w:rPr>
        <w:t xml:space="preserve">Table </w:t>
      </w:r>
      <w:r>
        <w:rPr>
          <w:rFonts w:cs="Arial"/>
          <w:i/>
        </w:rPr>
        <w:t>1:</w:t>
      </w:r>
      <w:r w:rsidRPr="008C18E1">
        <w:rPr>
          <w:rFonts w:cs="Arial"/>
          <w:i/>
        </w:rPr>
        <w:t xml:space="preserve"> Administrative and financial implications of draft resolutions</w:t>
      </w:r>
    </w:p>
    <w:tbl>
      <w:tblPr>
        <w:tblW w:w="5000" w:type="pct"/>
        <w:tblInd w:w="-5" w:type="dxa"/>
        <w:tblLook w:val="04A0" w:firstRow="1" w:lastRow="0" w:firstColumn="1" w:lastColumn="0" w:noHBand="0" w:noVBand="1"/>
      </w:tblPr>
      <w:tblGrid>
        <w:gridCol w:w="1270"/>
        <w:gridCol w:w="2654"/>
        <w:gridCol w:w="3103"/>
        <w:gridCol w:w="790"/>
        <w:gridCol w:w="1199"/>
      </w:tblGrid>
      <w:tr w:rsidR="00E51CBD" w:rsidRPr="00E51CBD" w:rsidTr="00B87C24">
        <w:trPr>
          <w:cantSplit/>
          <w:tblHeader/>
        </w:trPr>
        <w:tc>
          <w:tcPr>
            <w:tcW w:w="7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1CBD" w:rsidRPr="00E51CBD" w:rsidRDefault="00E51CBD" w:rsidP="00E51CBD">
            <w:pPr>
              <w:spacing w:after="0" w:line="240" w:lineRule="auto"/>
              <w:jc w:val="center"/>
              <w:rPr>
                <w:rFonts w:asciiTheme="minorHAnsi" w:eastAsia="Times New Roman" w:hAnsiTheme="minorHAnsi" w:cstheme="minorHAnsi"/>
                <w:b/>
                <w:bCs/>
                <w:color w:val="000000"/>
                <w:lang w:eastAsia="en-GB"/>
              </w:rPr>
            </w:pPr>
            <w:r w:rsidRPr="00E51CBD">
              <w:rPr>
                <w:rFonts w:asciiTheme="minorHAnsi" w:eastAsia="Times New Roman" w:hAnsiTheme="minorHAnsi" w:cstheme="minorHAnsi"/>
                <w:b/>
                <w:bCs/>
                <w:color w:val="000000"/>
                <w:lang w:eastAsia="en-GB"/>
              </w:rPr>
              <w:t>Document</w:t>
            </w:r>
          </w:p>
        </w:tc>
        <w:tc>
          <w:tcPr>
            <w:tcW w:w="147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A324A8" w:rsidP="00E51CBD">
            <w:pPr>
              <w:spacing w:after="0" w:line="240" w:lineRule="auto"/>
              <w:jc w:val="center"/>
              <w:rPr>
                <w:rFonts w:asciiTheme="minorHAnsi" w:eastAsia="Times New Roman" w:hAnsiTheme="minorHAnsi" w:cstheme="minorHAnsi"/>
                <w:b/>
                <w:bCs/>
                <w:color w:val="000000"/>
                <w:lang w:eastAsia="en-GB"/>
              </w:rPr>
            </w:pPr>
            <w:r>
              <w:rPr>
                <w:rFonts w:asciiTheme="minorHAnsi" w:eastAsia="Times New Roman" w:hAnsiTheme="minorHAnsi" w:cstheme="minorHAnsi"/>
                <w:b/>
                <w:bCs/>
                <w:color w:val="000000"/>
                <w:lang w:eastAsia="en-GB"/>
              </w:rPr>
              <w:t>Draft r</w:t>
            </w:r>
            <w:r w:rsidR="00E51CBD" w:rsidRPr="00E51CBD">
              <w:rPr>
                <w:rFonts w:asciiTheme="minorHAnsi" w:eastAsia="Times New Roman" w:hAnsiTheme="minorHAnsi" w:cstheme="minorHAnsi"/>
                <w:b/>
                <w:bCs/>
                <w:color w:val="000000"/>
                <w:lang w:eastAsia="en-GB"/>
              </w:rPr>
              <w:t>esolution</w:t>
            </w:r>
          </w:p>
        </w:tc>
        <w:tc>
          <w:tcPr>
            <w:tcW w:w="172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E51CBD" w:rsidP="00E51CBD">
            <w:pPr>
              <w:spacing w:after="0" w:line="240" w:lineRule="auto"/>
              <w:jc w:val="center"/>
              <w:rPr>
                <w:rFonts w:asciiTheme="minorHAnsi" w:eastAsia="Times New Roman" w:hAnsiTheme="minorHAnsi" w:cstheme="minorHAnsi"/>
                <w:b/>
                <w:bCs/>
                <w:color w:val="000000"/>
                <w:lang w:eastAsia="en-GB"/>
              </w:rPr>
            </w:pPr>
            <w:r w:rsidRPr="00E51CBD">
              <w:rPr>
                <w:rFonts w:asciiTheme="minorHAnsi" w:eastAsia="Times New Roman" w:hAnsiTheme="minorHAnsi" w:cstheme="minorHAnsi"/>
                <w:b/>
                <w:bCs/>
                <w:color w:val="000000"/>
                <w:lang w:eastAsia="en-GB"/>
              </w:rPr>
              <w:t xml:space="preserve">Activities / </w:t>
            </w:r>
            <w:r w:rsidR="00A324A8" w:rsidRPr="00E51CBD">
              <w:rPr>
                <w:rFonts w:asciiTheme="minorHAnsi" w:eastAsia="Times New Roman" w:hAnsiTheme="minorHAnsi" w:cstheme="minorHAnsi"/>
                <w:b/>
                <w:bCs/>
                <w:color w:val="000000"/>
                <w:lang w:eastAsia="en-GB"/>
              </w:rPr>
              <w:t>tasks required</w:t>
            </w:r>
          </w:p>
        </w:tc>
        <w:tc>
          <w:tcPr>
            <w:tcW w:w="438"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E51CBD" w:rsidP="00CD1B44">
            <w:pPr>
              <w:spacing w:after="0" w:line="240" w:lineRule="auto"/>
              <w:jc w:val="center"/>
              <w:rPr>
                <w:rFonts w:asciiTheme="minorHAnsi" w:eastAsia="Times New Roman" w:hAnsiTheme="minorHAnsi" w:cstheme="minorHAnsi"/>
                <w:b/>
                <w:bCs/>
                <w:color w:val="000000"/>
                <w:lang w:eastAsia="en-GB"/>
              </w:rPr>
            </w:pPr>
            <w:r w:rsidRPr="00E51CBD">
              <w:rPr>
                <w:rFonts w:asciiTheme="minorHAnsi" w:eastAsia="Times New Roman" w:hAnsiTheme="minorHAnsi" w:cstheme="minorHAnsi"/>
                <w:b/>
                <w:bCs/>
                <w:color w:val="000000"/>
                <w:lang w:eastAsia="en-GB"/>
              </w:rPr>
              <w:t xml:space="preserve">Staff </w:t>
            </w:r>
            <w:r w:rsidR="00A324A8" w:rsidRPr="00E51CBD">
              <w:rPr>
                <w:rFonts w:asciiTheme="minorHAnsi" w:eastAsia="Times New Roman" w:hAnsiTheme="minorHAnsi" w:cstheme="minorHAnsi"/>
                <w:b/>
                <w:bCs/>
                <w:color w:val="000000"/>
                <w:lang w:eastAsia="en-GB"/>
              </w:rPr>
              <w:t>days</w:t>
            </w:r>
          </w:p>
        </w:tc>
        <w:tc>
          <w:tcPr>
            <w:tcW w:w="665"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51CBD" w:rsidRPr="00E51CBD" w:rsidRDefault="00E51CBD" w:rsidP="00E51CBD">
            <w:pPr>
              <w:spacing w:after="0" w:line="240" w:lineRule="auto"/>
              <w:jc w:val="center"/>
              <w:rPr>
                <w:rFonts w:asciiTheme="minorHAnsi" w:eastAsia="Times New Roman" w:hAnsiTheme="minorHAnsi" w:cstheme="minorHAnsi"/>
                <w:b/>
                <w:bCs/>
                <w:color w:val="000000"/>
                <w:lang w:eastAsia="en-GB"/>
              </w:rPr>
            </w:pPr>
            <w:r w:rsidRPr="00E51CBD">
              <w:rPr>
                <w:rFonts w:asciiTheme="minorHAnsi" w:eastAsia="Times New Roman" w:hAnsiTheme="minorHAnsi" w:cstheme="minorHAnsi"/>
                <w:b/>
                <w:bCs/>
                <w:color w:val="000000"/>
                <w:lang w:eastAsia="en-GB"/>
              </w:rPr>
              <w:t>Non-</w:t>
            </w:r>
            <w:r w:rsidR="00A324A8" w:rsidRPr="00E51CBD">
              <w:rPr>
                <w:rFonts w:asciiTheme="minorHAnsi" w:eastAsia="Times New Roman" w:hAnsiTheme="minorHAnsi" w:cstheme="minorHAnsi"/>
                <w:b/>
                <w:bCs/>
                <w:color w:val="000000"/>
                <w:lang w:eastAsia="en-GB"/>
              </w:rPr>
              <w:t xml:space="preserve">core </w:t>
            </w:r>
            <w:r w:rsidRPr="00E51CBD">
              <w:rPr>
                <w:rFonts w:asciiTheme="minorHAnsi" w:eastAsia="Times New Roman" w:hAnsiTheme="minorHAnsi" w:cstheme="minorHAnsi"/>
                <w:b/>
                <w:bCs/>
                <w:color w:val="000000"/>
                <w:lang w:eastAsia="en-GB"/>
              </w:rPr>
              <w:t>funds (CHF)</w:t>
            </w:r>
          </w:p>
        </w:tc>
      </w:tr>
      <w:tr w:rsidR="00034C36" w:rsidRPr="00E51CBD" w:rsidTr="00B87C24">
        <w:trPr>
          <w:cantSplit/>
        </w:trPr>
        <w:tc>
          <w:tcPr>
            <w:tcW w:w="704" w:type="pct"/>
            <w:tcBorders>
              <w:top w:val="single" w:sz="4" w:space="0" w:color="auto"/>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w:t>
            </w:r>
          </w:p>
        </w:tc>
        <w:tc>
          <w:tcPr>
            <w:tcW w:w="1471" w:type="pct"/>
            <w:tcBorders>
              <w:top w:val="single" w:sz="4" w:space="0" w:color="auto"/>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Enhancing the effectiveness of the Ramsar Convention</w:t>
            </w:r>
          </w:p>
        </w:tc>
        <w:tc>
          <w:tcPr>
            <w:tcW w:w="1721" w:type="pct"/>
            <w:tcBorders>
              <w:top w:val="single" w:sz="4" w:space="0" w:color="auto"/>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single" w:sz="4" w:space="0" w:color="auto"/>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single" w:sz="4" w:space="0" w:color="auto"/>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Improving the efficiency of structures and processes of the Convention</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Travel and meeting support for two Open Ended Working Group meetings. Meeting support for Conference Bureau. Meeting support for Finance Committee and Science &amp; Policy Interface.</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1,660,000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18.3</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Responsibilities, roles and composition of the Standing Committee and regional categorization of countries under the Convention</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18.4</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Language strategy for the Convention</w:t>
            </w:r>
          </w:p>
        </w:tc>
        <w:tc>
          <w:tcPr>
            <w:tcW w:w="1721" w:type="pct"/>
            <w:tcBorders>
              <w:top w:val="nil"/>
              <w:left w:val="nil"/>
              <w:bottom w:val="single" w:sz="4" w:space="0" w:color="auto"/>
              <w:right w:val="single" w:sz="4" w:space="0" w:color="auto"/>
            </w:tcBorders>
            <w:shd w:val="clear" w:color="000000" w:fill="FFFFFF"/>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 xml:space="preserve">STRP products in English, French and Spanish. Translation of key documents and texts. Interpretation. </w:t>
            </w:r>
          </w:p>
        </w:tc>
        <w:tc>
          <w:tcPr>
            <w:tcW w:w="438" w:type="pct"/>
            <w:tcBorders>
              <w:top w:val="nil"/>
              <w:left w:val="nil"/>
              <w:bottom w:val="single" w:sz="4" w:space="0" w:color="auto"/>
              <w:right w:val="single" w:sz="4" w:space="0" w:color="auto"/>
            </w:tcBorders>
            <w:shd w:val="clear" w:color="000000" w:fill="FFFFFF"/>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40</w:t>
            </w:r>
          </w:p>
        </w:tc>
        <w:tc>
          <w:tcPr>
            <w:tcW w:w="665" w:type="pct"/>
            <w:tcBorders>
              <w:top w:val="nil"/>
              <w:left w:val="nil"/>
              <w:bottom w:val="single" w:sz="4" w:space="0" w:color="auto"/>
              <w:right w:val="single" w:sz="4" w:space="0" w:color="auto"/>
            </w:tcBorders>
            <w:shd w:val="clear" w:color="000000" w:fill="FFFFFF"/>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530,000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18.5</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Financial and budgetary matters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lastRenderedPageBreak/>
              <w:t>18.6</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Review of the fourth Strategic Plan of the Ramsar Convention</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Consultant to support working group. Face-to-face meeting for working group.</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45,000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18.7</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Enhancing the Convention's implementation, visibility and synergies with other multilateral environmental agreements and other international institutions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Completion of wetland inventories a</w:t>
            </w:r>
            <w:r w:rsidR="00AB3417">
              <w:rPr>
                <w:rFonts w:asciiTheme="minorHAnsi" w:eastAsia="Times New Roman" w:hAnsiTheme="minorHAnsi" w:cstheme="minorHAnsi"/>
                <w:color w:val="000000"/>
                <w:lang w:eastAsia="en-GB"/>
              </w:rPr>
              <w:t>nd wetland extent to report on I</w:t>
            </w:r>
            <w:r w:rsidRPr="00E51CBD">
              <w:rPr>
                <w:rFonts w:asciiTheme="minorHAnsi" w:eastAsia="Times New Roman" w:hAnsiTheme="minorHAnsi" w:cstheme="minorHAnsi"/>
                <w:color w:val="000000"/>
                <w:lang w:eastAsia="en-GB"/>
              </w:rPr>
              <w:t>ndicator 6.6.1. Invite external speakers to support C</w:t>
            </w:r>
            <w:r w:rsidR="00034C36">
              <w:rPr>
                <w:rFonts w:asciiTheme="minorHAnsi" w:eastAsia="Times New Roman" w:hAnsiTheme="minorHAnsi" w:cstheme="minorHAnsi"/>
                <w:color w:val="000000"/>
                <w:lang w:eastAsia="en-GB"/>
              </w:rPr>
              <w:t xml:space="preserve">ontracting </w:t>
            </w:r>
            <w:r w:rsidRPr="00E51CBD">
              <w:rPr>
                <w:rFonts w:asciiTheme="minorHAnsi" w:eastAsia="Times New Roman" w:hAnsiTheme="minorHAnsi" w:cstheme="minorHAnsi"/>
                <w:color w:val="000000"/>
                <w:lang w:eastAsia="en-GB"/>
              </w:rPr>
              <w:t>P</w:t>
            </w:r>
            <w:r w:rsidR="00034C36">
              <w:rPr>
                <w:rFonts w:asciiTheme="minorHAnsi" w:eastAsia="Times New Roman" w:hAnsiTheme="minorHAnsi" w:cstheme="minorHAnsi"/>
                <w:color w:val="000000"/>
                <w:lang w:eastAsia="en-GB"/>
              </w:rPr>
              <w:t>artie</w:t>
            </w:r>
            <w:r w:rsidRPr="00E51CBD">
              <w:rPr>
                <w:rFonts w:asciiTheme="minorHAnsi" w:eastAsia="Times New Roman" w:hAnsiTheme="minorHAnsi" w:cstheme="minorHAnsi"/>
                <w:color w:val="000000"/>
                <w:lang w:eastAsia="en-GB"/>
              </w:rPr>
              <w:t>s.</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165,000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18.8</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Ramsar Regional Initiatives 2019 - 2021 and their operational framework</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Analysis of annual reports and preparation of a summary assessment. Participate in governance of RRIs.</w:t>
            </w:r>
          </w:p>
        </w:tc>
        <w:tc>
          <w:tcPr>
            <w:tcW w:w="438" w:type="pct"/>
            <w:tcBorders>
              <w:top w:val="nil"/>
              <w:left w:val="nil"/>
              <w:bottom w:val="single" w:sz="4" w:space="0" w:color="auto"/>
              <w:right w:val="single" w:sz="4" w:space="0" w:color="auto"/>
            </w:tcBorders>
            <w:shd w:val="clear" w:color="000000" w:fill="FFFFFF"/>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18.9</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World Wetlands Day</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18.10</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Status of sites on the List of Wetlands of International Importance</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034C36" w:rsidP="00AB3417">
            <w:p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Input new Ramsar S</w:t>
            </w:r>
            <w:r w:rsidR="00E51CBD" w:rsidRPr="00E51CBD">
              <w:rPr>
                <w:rFonts w:asciiTheme="minorHAnsi" w:eastAsia="Times New Roman" w:hAnsiTheme="minorHAnsi" w:cstheme="minorHAnsi"/>
                <w:color w:val="000000"/>
                <w:lang w:eastAsia="en-GB"/>
              </w:rPr>
              <w:t>ites and complete updates. Address Art</w:t>
            </w:r>
            <w:r w:rsidR="00AB3417">
              <w:rPr>
                <w:rFonts w:asciiTheme="minorHAnsi" w:eastAsia="Times New Roman" w:hAnsiTheme="minorHAnsi" w:cstheme="minorHAnsi"/>
                <w:color w:val="000000"/>
                <w:lang w:eastAsia="en-GB"/>
              </w:rPr>
              <w:t>icle</w:t>
            </w:r>
            <w:r w:rsidR="00E51CBD" w:rsidRPr="00E51CBD">
              <w:rPr>
                <w:rFonts w:asciiTheme="minorHAnsi" w:eastAsia="Times New Roman" w:hAnsiTheme="minorHAnsi" w:cstheme="minorHAnsi"/>
                <w:color w:val="000000"/>
                <w:lang w:eastAsia="en-GB"/>
              </w:rPr>
              <w:t xml:space="preserve"> 3.2 cases. </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100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18.11</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Ramsar Advisory Missions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Secure non-core funding for RAMs</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225,000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18.12</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Future Implementation of STRP aspects of the Convention 2019 - 2021</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Provide support in preparation and distribution of STRP outputs (assumes a similar number of outputs as the current triennium including a future G</w:t>
            </w:r>
            <w:r w:rsidR="00034C36">
              <w:rPr>
                <w:rFonts w:asciiTheme="minorHAnsi" w:eastAsia="Times New Roman" w:hAnsiTheme="minorHAnsi" w:cstheme="minorHAnsi"/>
                <w:color w:val="000000"/>
                <w:lang w:eastAsia="en-GB"/>
              </w:rPr>
              <w:t xml:space="preserve">lobal </w:t>
            </w:r>
            <w:r w:rsidRPr="00E51CBD">
              <w:rPr>
                <w:rFonts w:asciiTheme="minorHAnsi" w:eastAsia="Times New Roman" w:hAnsiTheme="minorHAnsi" w:cstheme="minorHAnsi"/>
                <w:color w:val="000000"/>
                <w:lang w:eastAsia="en-GB"/>
              </w:rPr>
              <w:t>W</w:t>
            </w:r>
            <w:r w:rsidR="00034C36">
              <w:rPr>
                <w:rFonts w:asciiTheme="minorHAnsi" w:eastAsia="Times New Roman" w:hAnsiTheme="minorHAnsi" w:cstheme="minorHAnsi"/>
                <w:color w:val="000000"/>
                <w:lang w:eastAsia="en-GB"/>
              </w:rPr>
              <w:t xml:space="preserve">etland </w:t>
            </w:r>
            <w:r w:rsidRPr="00E51CBD">
              <w:rPr>
                <w:rFonts w:asciiTheme="minorHAnsi" w:eastAsia="Times New Roman" w:hAnsiTheme="minorHAnsi" w:cstheme="minorHAnsi"/>
                <w:color w:val="000000"/>
                <w:lang w:eastAsia="en-GB"/>
              </w:rPr>
              <w:t>O</w:t>
            </w:r>
            <w:r w:rsidR="00034C36">
              <w:rPr>
                <w:rFonts w:asciiTheme="minorHAnsi" w:eastAsia="Times New Roman" w:hAnsiTheme="minorHAnsi" w:cstheme="minorHAnsi"/>
                <w:color w:val="000000"/>
                <w:lang w:eastAsia="en-GB"/>
              </w:rPr>
              <w:t>utlook</w:t>
            </w:r>
            <w:r w:rsidRPr="00E51CBD">
              <w:rPr>
                <w:rFonts w:asciiTheme="minorHAnsi" w:eastAsia="Times New Roman" w:hAnsiTheme="minorHAnsi" w:cstheme="minorHAnsi"/>
                <w:color w:val="000000"/>
                <w:lang w:eastAsia="en-GB"/>
              </w:rPr>
              <w:t>)</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300,000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18.13</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Guidance on identifying Wetlands of International Importance for global climate change regulation as an additional argument to existing Ramsar criteria</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18.14</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Restoration of degraded peatlands to mitigate and adapt to climate change and enhance biodiversity</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034C36">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Production of a Ramsar Techncial Report and Briefing Note. Follow up to Res</w:t>
            </w:r>
            <w:r w:rsidR="00034C36">
              <w:rPr>
                <w:rFonts w:asciiTheme="minorHAnsi" w:eastAsia="Times New Roman" w:hAnsiTheme="minorHAnsi" w:cstheme="minorHAnsi"/>
                <w:color w:val="000000"/>
                <w:lang w:eastAsia="en-GB"/>
              </w:rPr>
              <w:t>olution</w:t>
            </w:r>
            <w:r w:rsidRPr="00E51CBD">
              <w:rPr>
                <w:rFonts w:asciiTheme="minorHAnsi" w:eastAsia="Times New Roman" w:hAnsiTheme="minorHAnsi" w:cstheme="minorHAnsi"/>
                <w:color w:val="000000"/>
                <w:lang w:eastAsia="en-GB"/>
              </w:rPr>
              <w:t xml:space="preserve"> VIII.17</w:t>
            </w:r>
            <w:r w:rsidR="00034C36">
              <w:rPr>
                <w:rFonts w:asciiTheme="minorHAnsi" w:eastAsia="Times New Roman" w:hAnsiTheme="minorHAnsi" w:cstheme="minorHAnsi"/>
                <w:color w:val="000000"/>
                <w:lang w:eastAsia="en-GB"/>
              </w:rPr>
              <w:t>.</w:t>
            </w:r>
            <w:r w:rsidRPr="00E51CBD">
              <w:rPr>
                <w:rFonts w:asciiTheme="minorHAnsi" w:eastAsia="Times New Roman" w:hAnsiTheme="minorHAnsi" w:cstheme="minorHAnsi"/>
                <w:color w:val="000000"/>
                <w:lang w:eastAsia="en-GB"/>
              </w:rPr>
              <w:t xml:space="preserve"> </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45,000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18.15</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Promoting conservation, restoration and sustainable management of blue carbon ecosystems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Desk study of coastal blue carbon systems</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034C36" w:rsidRDefault="00034C36" w:rsidP="00034C36">
            <w:pPr>
              <w:spacing w:after="0" w:line="240" w:lineRule="auto"/>
              <w:jc w:val="right"/>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165,000 </w:t>
            </w:r>
          </w:p>
          <w:p w:rsidR="00E51CBD" w:rsidRPr="00E51CBD" w:rsidRDefault="00034C36" w:rsidP="00034C36">
            <w:p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(Cost included in Doc.</w:t>
            </w:r>
            <w:r w:rsidR="00E51CBD" w:rsidRPr="00E51CBD">
              <w:rPr>
                <w:rFonts w:asciiTheme="minorHAnsi" w:eastAsia="Times New Roman" w:hAnsiTheme="minorHAnsi" w:cstheme="minorHAnsi"/>
                <w:color w:val="000000"/>
                <w:lang w:eastAsia="en-GB"/>
              </w:rPr>
              <w:t>18.7</w:t>
            </w:r>
            <w:r>
              <w:rPr>
                <w:rFonts w:asciiTheme="minorHAnsi" w:eastAsia="Times New Roman" w:hAnsiTheme="minorHAnsi" w:cstheme="minorHAnsi"/>
                <w:color w:val="000000"/>
                <w:lang w:eastAsia="en-GB"/>
              </w:rPr>
              <w:t xml:space="preserve"> above)</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lastRenderedPageBreak/>
              <w:t>18.16</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Cultural values, indigenous peoples and local communities, and climate change mitigation and adaptation in wetlands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Secure case studies. Review and revise Guidelines for Rapid Cultural Inventories in Wetlands. Review and update Ramsar guidance on culture and wetlands. Support implementation of the resolution</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40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18.17</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Sustainable urbanization, climate change and wetlands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Production of Ramsar Techncial Reports for the design and construction of urban and peri-urban Sites Production a Briefing Note</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39,000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18.18</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Rapid assessment of wetland ecosystem services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Organize and host webinars</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18.19</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Importance of wetlands for peace and security</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18.20</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Gender and wetlands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A324A8">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 xml:space="preserve">Development of a factsheet to support </w:t>
            </w:r>
            <w:r w:rsidR="00034C36" w:rsidRPr="00E51CBD">
              <w:rPr>
                <w:rFonts w:asciiTheme="minorHAnsi" w:eastAsia="Times New Roman" w:hAnsiTheme="minorHAnsi" w:cstheme="minorHAnsi"/>
                <w:color w:val="000000"/>
                <w:lang w:eastAsia="en-GB"/>
              </w:rPr>
              <w:t>C</w:t>
            </w:r>
            <w:r w:rsidR="00034C36">
              <w:rPr>
                <w:rFonts w:asciiTheme="minorHAnsi" w:eastAsia="Times New Roman" w:hAnsiTheme="minorHAnsi" w:cstheme="minorHAnsi"/>
                <w:color w:val="000000"/>
                <w:lang w:eastAsia="en-GB"/>
              </w:rPr>
              <w:t xml:space="preserve">ontracting </w:t>
            </w:r>
            <w:r w:rsidR="00034C36" w:rsidRPr="00E51CBD">
              <w:rPr>
                <w:rFonts w:asciiTheme="minorHAnsi" w:eastAsia="Times New Roman" w:hAnsiTheme="minorHAnsi" w:cstheme="minorHAnsi"/>
                <w:color w:val="000000"/>
                <w:lang w:eastAsia="en-GB"/>
              </w:rPr>
              <w:t>P</w:t>
            </w:r>
            <w:r w:rsidR="00034C36">
              <w:rPr>
                <w:rFonts w:asciiTheme="minorHAnsi" w:eastAsia="Times New Roman" w:hAnsiTheme="minorHAnsi" w:cstheme="minorHAnsi"/>
                <w:color w:val="000000"/>
                <w:lang w:eastAsia="en-GB"/>
              </w:rPr>
              <w:t>artie</w:t>
            </w:r>
            <w:r w:rsidR="00034C36" w:rsidRPr="00E51CBD">
              <w:rPr>
                <w:rFonts w:asciiTheme="minorHAnsi" w:eastAsia="Times New Roman" w:hAnsiTheme="minorHAnsi" w:cstheme="minorHAnsi"/>
                <w:color w:val="000000"/>
                <w:lang w:eastAsia="en-GB"/>
              </w:rPr>
              <w:t xml:space="preserve">s </w:t>
            </w:r>
            <w:r w:rsidRPr="00E51CBD">
              <w:rPr>
                <w:rFonts w:asciiTheme="minorHAnsi" w:eastAsia="Times New Roman" w:hAnsiTheme="minorHAnsi" w:cstheme="minorHAnsi"/>
                <w:color w:val="000000"/>
                <w:lang w:eastAsia="en-GB"/>
              </w:rPr>
              <w:t>in mainstreaming gender in the Strategic Plan. Gender training for all secretariat staff. Develop report on how the Convention can generate gender-rel</w:t>
            </w:r>
            <w:r w:rsidR="00A324A8">
              <w:rPr>
                <w:rFonts w:asciiTheme="minorHAnsi" w:eastAsia="Times New Roman" w:hAnsiTheme="minorHAnsi" w:cstheme="minorHAnsi"/>
                <w:color w:val="000000"/>
                <w:lang w:eastAsia="en-GB"/>
              </w:rPr>
              <w:t>a</w:t>
            </w:r>
            <w:r w:rsidRPr="00E51CBD">
              <w:rPr>
                <w:rFonts w:asciiTheme="minorHAnsi" w:eastAsia="Times New Roman" w:hAnsiTheme="minorHAnsi" w:cstheme="minorHAnsi"/>
                <w:color w:val="000000"/>
                <w:lang w:eastAsia="en-GB"/>
              </w:rPr>
              <w:t>ted goals consistent with the UN S</w:t>
            </w:r>
            <w:r w:rsidR="00034C36">
              <w:rPr>
                <w:rFonts w:asciiTheme="minorHAnsi" w:eastAsia="Times New Roman" w:hAnsiTheme="minorHAnsi" w:cstheme="minorHAnsi"/>
                <w:color w:val="000000"/>
                <w:lang w:eastAsia="en-GB"/>
              </w:rPr>
              <w:t>ecretary</w:t>
            </w:r>
            <w:r w:rsidR="00314B82">
              <w:rPr>
                <w:rFonts w:asciiTheme="minorHAnsi" w:eastAsia="Times New Roman" w:hAnsiTheme="minorHAnsi" w:cstheme="minorHAnsi"/>
                <w:color w:val="000000"/>
                <w:lang w:eastAsia="en-GB"/>
              </w:rPr>
              <w:t>-</w:t>
            </w:r>
            <w:r w:rsidRPr="00E51CBD">
              <w:rPr>
                <w:rFonts w:asciiTheme="minorHAnsi" w:eastAsia="Times New Roman" w:hAnsiTheme="minorHAnsi" w:cstheme="minorHAnsi"/>
                <w:color w:val="000000"/>
                <w:lang w:eastAsia="en-GB"/>
              </w:rPr>
              <w:t>G</w:t>
            </w:r>
            <w:r w:rsidR="00034C36">
              <w:rPr>
                <w:rFonts w:asciiTheme="minorHAnsi" w:eastAsia="Times New Roman" w:hAnsiTheme="minorHAnsi" w:cstheme="minorHAnsi"/>
                <w:color w:val="000000"/>
                <w:lang w:eastAsia="en-GB"/>
              </w:rPr>
              <w:t>eneral’</w:t>
            </w:r>
            <w:r w:rsidRPr="00E51CBD">
              <w:rPr>
                <w:rFonts w:asciiTheme="minorHAnsi" w:eastAsia="Times New Roman" w:hAnsiTheme="minorHAnsi" w:cstheme="minorHAnsi"/>
                <w:color w:val="000000"/>
                <w:lang w:eastAsia="en-GB"/>
              </w:rPr>
              <w:t>s system-wide strategy on gender pa</w:t>
            </w:r>
            <w:r w:rsidR="00314B82">
              <w:rPr>
                <w:rFonts w:asciiTheme="minorHAnsi" w:eastAsia="Times New Roman" w:hAnsiTheme="minorHAnsi" w:cstheme="minorHAnsi"/>
                <w:color w:val="000000"/>
                <w:lang w:eastAsia="en-GB"/>
              </w:rPr>
              <w:t>rity. Support Parties in streng</w:t>
            </w:r>
            <w:r w:rsidRPr="00E51CBD">
              <w:rPr>
                <w:rFonts w:asciiTheme="minorHAnsi" w:eastAsia="Times New Roman" w:hAnsiTheme="minorHAnsi" w:cstheme="minorHAnsi"/>
                <w:color w:val="000000"/>
                <w:lang w:eastAsia="en-GB"/>
              </w:rPr>
              <w:t>t</w:t>
            </w:r>
            <w:r w:rsidR="00314B82">
              <w:rPr>
                <w:rFonts w:asciiTheme="minorHAnsi" w:eastAsia="Times New Roman" w:hAnsiTheme="minorHAnsi" w:cstheme="minorHAnsi"/>
                <w:color w:val="000000"/>
                <w:lang w:eastAsia="en-GB"/>
              </w:rPr>
              <w:t>h</w:t>
            </w:r>
            <w:r w:rsidRPr="00E51CBD">
              <w:rPr>
                <w:rFonts w:asciiTheme="minorHAnsi" w:eastAsia="Times New Roman" w:hAnsiTheme="minorHAnsi" w:cstheme="minorHAnsi"/>
                <w:color w:val="000000"/>
                <w:lang w:eastAsia="en-GB"/>
              </w:rPr>
              <w:t>ening national statistics systems to improve reporting sex-disaggregated data and gender analysis</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36,000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18.21</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Agriculture in wetlands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Compile case studies and best practices (consultant). Develop overview of wetland degradation since 1970. Provide advice to withdraw subsidies.</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20,000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18.22</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Promoting the conservation and wise use of intertidal wetlands and ecologically associated habitats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18.23</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Conservation and management of small wetlands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AB3417">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Promote importance of small wetlands to M</w:t>
            </w:r>
            <w:r w:rsidR="00AB3417">
              <w:rPr>
                <w:rFonts w:asciiTheme="minorHAnsi" w:eastAsia="Times New Roman" w:hAnsiTheme="minorHAnsi" w:cstheme="minorHAnsi"/>
                <w:color w:val="000000"/>
                <w:lang w:eastAsia="en-GB"/>
              </w:rPr>
              <w:t xml:space="preserve">ultilateral </w:t>
            </w:r>
            <w:r w:rsidRPr="00E51CBD">
              <w:rPr>
                <w:rFonts w:asciiTheme="minorHAnsi" w:eastAsia="Times New Roman" w:hAnsiTheme="minorHAnsi" w:cstheme="minorHAnsi"/>
                <w:color w:val="000000"/>
                <w:lang w:eastAsia="en-GB"/>
              </w:rPr>
              <w:t>E</w:t>
            </w:r>
            <w:r w:rsidR="00AB3417">
              <w:rPr>
                <w:rFonts w:asciiTheme="minorHAnsi" w:eastAsia="Times New Roman" w:hAnsiTheme="minorHAnsi" w:cstheme="minorHAnsi"/>
                <w:color w:val="000000"/>
                <w:lang w:eastAsia="en-GB"/>
              </w:rPr>
              <w:t xml:space="preserve">nvironmental </w:t>
            </w:r>
            <w:r w:rsidRPr="00E51CBD">
              <w:rPr>
                <w:rFonts w:asciiTheme="minorHAnsi" w:eastAsia="Times New Roman" w:hAnsiTheme="minorHAnsi" w:cstheme="minorHAnsi"/>
                <w:color w:val="000000"/>
                <w:lang w:eastAsia="en-GB"/>
              </w:rPr>
              <w:t>A</w:t>
            </w:r>
            <w:r w:rsidR="00AB3417">
              <w:rPr>
                <w:rFonts w:asciiTheme="minorHAnsi" w:eastAsia="Times New Roman" w:hAnsiTheme="minorHAnsi" w:cstheme="minorHAnsi"/>
                <w:color w:val="000000"/>
                <w:lang w:eastAsia="en-GB"/>
              </w:rPr>
              <w:t>greement</w:t>
            </w:r>
            <w:r w:rsidRPr="00E51CBD">
              <w:rPr>
                <w:rFonts w:asciiTheme="minorHAnsi" w:eastAsia="Times New Roman" w:hAnsiTheme="minorHAnsi" w:cstheme="minorHAnsi"/>
                <w:color w:val="000000"/>
                <w:lang w:eastAsia="en-GB"/>
              </w:rPr>
              <w:t>s and H</w:t>
            </w:r>
            <w:r w:rsidR="00AB3417">
              <w:rPr>
                <w:rFonts w:asciiTheme="minorHAnsi" w:eastAsia="Times New Roman" w:hAnsiTheme="minorHAnsi" w:cstheme="minorHAnsi"/>
                <w:color w:val="000000"/>
                <w:lang w:eastAsia="en-GB"/>
              </w:rPr>
              <w:t xml:space="preserve">igh-level </w:t>
            </w:r>
            <w:r w:rsidRPr="00E51CBD">
              <w:rPr>
                <w:rFonts w:asciiTheme="minorHAnsi" w:eastAsia="Times New Roman" w:hAnsiTheme="minorHAnsi" w:cstheme="minorHAnsi"/>
                <w:color w:val="000000"/>
                <w:lang w:eastAsia="en-GB"/>
              </w:rPr>
              <w:t>P</w:t>
            </w:r>
            <w:r w:rsidR="00AB3417">
              <w:rPr>
                <w:rFonts w:asciiTheme="minorHAnsi" w:eastAsia="Times New Roman" w:hAnsiTheme="minorHAnsi" w:cstheme="minorHAnsi"/>
                <w:color w:val="000000"/>
                <w:lang w:eastAsia="en-GB"/>
              </w:rPr>
              <w:t xml:space="preserve">olitical </w:t>
            </w:r>
            <w:r w:rsidRPr="00E51CBD">
              <w:rPr>
                <w:rFonts w:asciiTheme="minorHAnsi" w:eastAsia="Times New Roman" w:hAnsiTheme="minorHAnsi" w:cstheme="minorHAnsi"/>
                <w:color w:val="000000"/>
                <w:lang w:eastAsia="en-GB"/>
              </w:rPr>
              <w:t>F</w:t>
            </w:r>
            <w:r w:rsidR="00AB3417">
              <w:rPr>
                <w:rFonts w:asciiTheme="minorHAnsi" w:eastAsia="Times New Roman" w:hAnsiTheme="minorHAnsi" w:cstheme="minorHAnsi"/>
                <w:color w:val="000000"/>
                <w:lang w:eastAsia="en-GB"/>
              </w:rPr>
              <w:t>orum</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6</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lastRenderedPageBreak/>
              <w:t>18.24</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Wetlands in West Asia</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No significant activities/tasks required</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18.25</w:t>
            </w:r>
          </w:p>
        </w:tc>
        <w:tc>
          <w:tcPr>
            <w:tcW w:w="1471"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Wetlands in polar and subpolar regions</w:t>
            </w:r>
          </w:p>
        </w:tc>
        <w:tc>
          <w:tcPr>
            <w:tcW w:w="1721" w:type="pct"/>
            <w:tcBorders>
              <w:top w:val="nil"/>
              <w:left w:val="nil"/>
              <w:bottom w:val="single" w:sz="4" w:space="0" w:color="auto"/>
              <w:right w:val="single" w:sz="4" w:space="0" w:color="auto"/>
            </w:tcBorders>
            <w:shd w:val="clear" w:color="auto" w:fill="auto"/>
            <w:hideMark/>
          </w:tcPr>
          <w:p w:rsidR="00E51CBD" w:rsidRPr="00E51CBD" w:rsidRDefault="00E51CBD" w:rsidP="00AB3417">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Raise awareness for polar wetlands. Develop synergies with other MEAs and I</w:t>
            </w:r>
            <w:r w:rsidR="00AB3417">
              <w:rPr>
                <w:rFonts w:asciiTheme="minorHAnsi" w:eastAsia="Times New Roman" w:hAnsiTheme="minorHAnsi" w:cstheme="minorHAnsi"/>
                <w:color w:val="000000"/>
                <w:lang w:eastAsia="en-GB"/>
              </w:rPr>
              <w:t xml:space="preserve">ntergovernmental </w:t>
            </w:r>
            <w:r w:rsidRPr="00E51CBD">
              <w:rPr>
                <w:rFonts w:asciiTheme="minorHAnsi" w:eastAsia="Times New Roman" w:hAnsiTheme="minorHAnsi" w:cstheme="minorHAnsi"/>
                <w:color w:val="000000"/>
                <w:lang w:eastAsia="en-GB"/>
              </w:rPr>
              <w:t>O</w:t>
            </w:r>
            <w:r w:rsidR="00AB3417">
              <w:rPr>
                <w:rFonts w:asciiTheme="minorHAnsi" w:eastAsia="Times New Roman" w:hAnsiTheme="minorHAnsi" w:cstheme="minorHAnsi"/>
                <w:color w:val="000000"/>
                <w:lang w:eastAsia="en-GB"/>
              </w:rPr>
              <w:t>rganization</w:t>
            </w:r>
            <w:r w:rsidRPr="00E51CBD">
              <w:rPr>
                <w:rFonts w:asciiTheme="minorHAnsi" w:eastAsia="Times New Roman" w:hAnsiTheme="minorHAnsi" w:cstheme="minorHAnsi"/>
                <w:color w:val="000000"/>
                <w:lang w:eastAsia="en-GB"/>
              </w:rPr>
              <w:t>s</w:t>
            </w:r>
            <w:r w:rsidR="00034C36">
              <w:rPr>
                <w:rFonts w:asciiTheme="minorHAnsi" w:eastAsia="Times New Roman" w:hAnsiTheme="minorHAnsi" w:cstheme="minorHAnsi"/>
                <w:color w:val="000000"/>
                <w:lang w:eastAsia="en-GB"/>
              </w:rPr>
              <w:t>.</w:t>
            </w:r>
          </w:p>
        </w:tc>
        <w:tc>
          <w:tcPr>
            <w:tcW w:w="438" w:type="pct"/>
            <w:tcBorders>
              <w:top w:val="nil"/>
              <w:left w:val="nil"/>
              <w:bottom w:val="single" w:sz="4"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c>
          <w:tcPr>
            <w:tcW w:w="665" w:type="pct"/>
            <w:tcBorders>
              <w:top w:val="nil"/>
              <w:left w:val="nil"/>
              <w:bottom w:val="single" w:sz="4"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r w:rsidR="00034C36" w:rsidRPr="00E51CBD" w:rsidTr="00B87C24">
        <w:trPr>
          <w:cantSplit/>
        </w:trPr>
        <w:tc>
          <w:tcPr>
            <w:tcW w:w="704" w:type="pct"/>
            <w:tcBorders>
              <w:top w:val="nil"/>
              <w:left w:val="single" w:sz="8" w:space="0" w:color="auto"/>
              <w:bottom w:val="single" w:sz="8"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18.26</w:t>
            </w:r>
          </w:p>
        </w:tc>
        <w:tc>
          <w:tcPr>
            <w:tcW w:w="1471" w:type="pct"/>
            <w:tcBorders>
              <w:top w:val="nil"/>
              <w:left w:val="nil"/>
              <w:bottom w:val="single" w:sz="8" w:space="0" w:color="auto"/>
              <w:right w:val="single" w:sz="4" w:space="0" w:color="auto"/>
            </w:tcBorders>
            <w:shd w:val="clear" w:color="auto" w:fill="auto"/>
            <w:hideMark/>
          </w:tcPr>
          <w:p w:rsidR="00E51CBD" w:rsidRPr="00E51CBD" w:rsidRDefault="00E51CBD" w:rsidP="00E51CBD">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Enhanced conservation of sea turtle breeding, feeding and nursery areas and the designation of key areas as Ramsar Sites</w:t>
            </w:r>
          </w:p>
        </w:tc>
        <w:tc>
          <w:tcPr>
            <w:tcW w:w="1721" w:type="pct"/>
            <w:tcBorders>
              <w:top w:val="nil"/>
              <w:left w:val="nil"/>
              <w:bottom w:val="single" w:sz="8" w:space="0" w:color="auto"/>
              <w:right w:val="single" w:sz="4" w:space="0" w:color="auto"/>
            </w:tcBorders>
            <w:shd w:val="clear" w:color="auto" w:fill="auto"/>
            <w:hideMark/>
          </w:tcPr>
          <w:p w:rsidR="00E51CBD" w:rsidRPr="00E51CBD" w:rsidRDefault="00E51CBD" w:rsidP="00AB3417">
            <w:pPr>
              <w:spacing w:after="0" w:line="240" w:lineRule="auto"/>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 xml:space="preserve">Engage with </w:t>
            </w:r>
            <w:r w:rsidR="00AB3417">
              <w:rPr>
                <w:rFonts w:asciiTheme="minorHAnsi" w:eastAsia="Times New Roman" w:hAnsiTheme="minorHAnsi" w:cstheme="minorHAnsi"/>
                <w:color w:val="000000"/>
                <w:lang w:eastAsia="en-GB"/>
              </w:rPr>
              <w:t xml:space="preserve">the </w:t>
            </w:r>
            <w:r w:rsidR="00AB3417">
              <w:rPr>
                <w:rFonts w:ascii="Helvetica" w:hAnsi="Helvetica"/>
                <w:color w:val="000000"/>
                <w:sz w:val="21"/>
                <w:szCs w:val="21"/>
                <w:shd w:val="clear" w:color="auto" w:fill="FFFFFF"/>
              </w:rPr>
              <w:t>Inter-American Convention for the Protection and Conservation of Sea Turtles (IAC)</w:t>
            </w:r>
            <w:r w:rsidRPr="00E51CBD">
              <w:rPr>
                <w:rFonts w:asciiTheme="minorHAnsi" w:eastAsia="Times New Roman" w:hAnsiTheme="minorHAnsi" w:cstheme="minorHAnsi"/>
                <w:color w:val="000000"/>
                <w:lang w:eastAsia="en-GB"/>
              </w:rPr>
              <w:t xml:space="preserve"> and </w:t>
            </w:r>
            <w:r w:rsidR="00AB3417">
              <w:rPr>
                <w:rFonts w:asciiTheme="minorHAnsi" w:eastAsia="Times New Roman" w:hAnsiTheme="minorHAnsi" w:cstheme="minorHAnsi"/>
                <w:color w:val="000000"/>
                <w:lang w:eastAsia="en-GB"/>
              </w:rPr>
              <w:t xml:space="preserve">the </w:t>
            </w:r>
            <w:r w:rsidR="00AB3417" w:rsidRPr="00AB3417">
              <w:rPr>
                <w:rFonts w:asciiTheme="minorHAnsi" w:eastAsia="Times New Roman" w:hAnsiTheme="minorHAnsi" w:cstheme="minorHAnsi"/>
                <w:color w:val="000000"/>
                <w:lang w:eastAsia="en-GB"/>
              </w:rPr>
              <w:t xml:space="preserve">IOSEA Marine Turtle MOU </w:t>
            </w:r>
            <w:r w:rsidRPr="00E51CBD">
              <w:rPr>
                <w:rFonts w:asciiTheme="minorHAnsi" w:eastAsia="Times New Roman" w:hAnsiTheme="minorHAnsi" w:cstheme="minorHAnsi"/>
                <w:color w:val="000000"/>
                <w:lang w:eastAsia="en-GB"/>
              </w:rPr>
              <w:t xml:space="preserve">to futher sea turtle conservation in Ramsar </w:t>
            </w:r>
            <w:r w:rsidR="00AB3417">
              <w:rPr>
                <w:rFonts w:asciiTheme="minorHAnsi" w:eastAsia="Times New Roman" w:hAnsiTheme="minorHAnsi" w:cstheme="minorHAnsi"/>
                <w:color w:val="000000"/>
                <w:lang w:eastAsia="en-GB"/>
              </w:rPr>
              <w:t>S</w:t>
            </w:r>
            <w:r w:rsidRPr="00E51CBD">
              <w:rPr>
                <w:rFonts w:asciiTheme="minorHAnsi" w:eastAsia="Times New Roman" w:hAnsiTheme="minorHAnsi" w:cstheme="minorHAnsi"/>
                <w:color w:val="000000"/>
                <w:lang w:eastAsia="en-GB"/>
              </w:rPr>
              <w:t xml:space="preserve">ites. Assist </w:t>
            </w:r>
            <w:r w:rsidR="00AB3417">
              <w:rPr>
                <w:rFonts w:asciiTheme="minorHAnsi" w:eastAsia="Times New Roman" w:hAnsiTheme="minorHAnsi" w:cstheme="minorHAnsi"/>
                <w:color w:val="000000"/>
                <w:lang w:eastAsia="en-GB"/>
              </w:rPr>
              <w:t>Parties</w:t>
            </w:r>
            <w:r w:rsidRPr="00E51CBD">
              <w:rPr>
                <w:rFonts w:asciiTheme="minorHAnsi" w:eastAsia="Times New Roman" w:hAnsiTheme="minorHAnsi" w:cstheme="minorHAnsi"/>
                <w:color w:val="000000"/>
                <w:lang w:eastAsia="en-GB"/>
              </w:rPr>
              <w:t xml:space="preserve"> in including sea turtle conservation in site management plans</w:t>
            </w:r>
            <w:r w:rsidR="00034C36">
              <w:rPr>
                <w:rFonts w:asciiTheme="minorHAnsi" w:eastAsia="Times New Roman" w:hAnsiTheme="minorHAnsi" w:cstheme="minorHAnsi"/>
                <w:color w:val="000000"/>
                <w:lang w:eastAsia="en-GB"/>
              </w:rPr>
              <w:t>.</w:t>
            </w:r>
          </w:p>
        </w:tc>
        <w:tc>
          <w:tcPr>
            <w:tcW w:w="438" w:type="pct"/>
            <w:tcBorders>
              <w:top w:val="nil"/>
              <w:left w:val="nil"/>
              <w:bottom w:val="single" w:sz="8" w:space="0" w:color="auto"/>
              <w:right w:val="single" w:sz="4" w:space="0" w:color="auto"/>
            </w:tcBorders>
            <w:shd w:val="clear" w:color="auto" w:fill="auto"/>
            <w:hideMark/>
          </w:tcPr>
          <w:p w:rsidR="00E51CBD" w:rsidRPr="00E51CBD" w:rsidRDefault="00E51CBD" w:rsidP="00CD1B44">
            <w:pPr>
              <w:spacing w:after="0" w:line="240" w:lineRule="auto"/>
              <w:jc w:val="center"/>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6</w:t>
            </w:r>
          </w:p>
        </w:tc>
        <w:tc>
          <w:tcPr>
            <w:tcW w:w="665" w:type="pct"/>
            <w:tcBorders>
              <w:top w:val="nil"/>
              <w:left w:val="nil"/>
              <w:bottom w:val="single" w:sz="8" w:space="0" w:color="auto"/>
              <w:right w:val="single" w:sz="4" w:space="0" w:color="auto"/>
            </w:tcBorders>
            <w:shd w:val="clear" w:color="auto" w:fill="auto"/>
            <w:hideMark/>
          </w:tcPr>
          <w:p w:rsidR="00E51CBD" w:rsidRPr="00E51CBD" w:rsidRDefault="00E51CBD" w:rsidP="00E51CBD">
            <w:pPr>
              <w:spacing w:after="0" w:line="240" w:lineRule="auto"/>
              <w:jc w:val="right"/>
              <w:rPr>
                <w:rFonts w:asciiTheme="minorHAnsi" w:eastAsia="Times New Roman" w:hAnsiTheme="minorHAnsi" w:cstheme="minorHAnsi"/>
                <w:color w:val="000000"/>
                <w:lang w:eastAsia="en-GB"/>
              </w:rPr>
            </w:pPr>
            <w:r w:rsidRPr="00E51CBD">
              <w:rPr>
                <w:rFonts w:asciiTheme="minorHAnsi" w:eastAsia="Times New Roman" w:hAnsiTheme="minorHAnsi" w:cstheme="minorHAnsi"/>
                <w:color w:val="000000"/>
                <w:lang w:eastAsia="en-GB"/>
              </w:rPr>
              <w:t>0</w:t>
            </w:r>
          </w:p>
        </w:tc>
      </w:tr>
    </w:tbl>
    <w:p w:rsidR="008C18E1" w:rsidRDefault="008C18E1" w:rsidP="008C18E1">
      <w:pPr>
        <w:spacing w:after="0" w:line="240" w:lineRule="auto"/>
        <w:rPr>
          <w:rFonts w:cs="Arial"/>
          <w:b/>
        </w:rPr>
      </w:pPr>
    </w:p>
    <w:p w:rsidR="008C18E1" w:rsidRDefault="008C18E1" w:rsidP="008C18E1">
      <w:pPr>
        <w:spacing w:after="0" w:line="240" w:lineRule="auto"/>
        <w:rPr>
          <w:rFonts w:cs="Arial"/>
          <w:b/>
        </w:rPr>
      </w:pPr>
    </w:p>
    <w:p w:rsidR="008C18E1" w:rsidRDefault="008C18E1" w:rsidP="008C18E1">
      <w:pPr>
        <w:spacing w:after="0" w:line="240" w:lineRule="auto"/>
        <w:ind w:left="425" w:hanging="425"/>
        <w:rPr>
          <w:rFonts w:cs="Arial"/>
        </w:rPr>
      </w:pPr>
      <w:r>
        <w:rPr>
          <w:rFonts w:cs="Arial"/>
        </w:rPr>
        <w:t>2.</w:t>
      </w:r>
      <w:r>
        <w:rPr>
          <w:rFonts w:cs="Arial"/>
        </w:rPr>
        <w:tab/>
        <w:t xml:space="preserve">The Conference of Contracting Parties </w:t>
      </w:r>
      <w:r w:rsidRPr="00803D7B">
        <w:rPr>
          <w:rFonts w:cs="Arial"/>
        </w:rPr>
        <w:t>is</w:t>
      </w:r>
      <w:r>
        <w:rPr>
          <w:rFonts w:cs="Arial"/>
        </w:rPr>
        <w:t xml:space="preserve"> expected</w:t>
      </w:r>
      <w:r w:rsidRPr="00803D7B">
        <w:rPr>
          <w:rFonts w:cs="Arial"/>
        </w:rPr>
        <w:t xml:space="preserve"> </w:t>
      </w:r>
      <w:r w:rsidR="00CD1B44">
        <w:rPr>
          <w:rFonts w:cs="Arial"/>
        </w:rPr>
        <w:t xml:space="preserve">at </w:t>
      </w:r>
      <w:r w:rsidR="00CD1B44" w:rsidRPr="00803D7B">
        <w:rPr>
          <w:rFonts w:cs="Arial"/>
        </w:rPr>
        <w:t xml:space="preserve">COP13 </w:t>
      </w:r>
      <w:r w:rsidRPr="00803D7B">
        <w:rPr>
          <w:rFonts w:cs="Arial"/>
        </w:rPr>
        <w:t xml:space="preserve">to identify non-core funding needs for the next triennium and list them in order of priority. To assist </w:t>
      </w:r>
      <w:r>
        <w:rPr>
          <w:rFonts w:cs="Arial"/>
        </w:rPr>
        <w:t>the Parties</w:t>
      </w:r>
      <w:r w:rsidRPr="00803D7B">
        <w:rPr>
          <w:rFonts w:cs="Arial"/>
        </w:rPr>
        <w:t xml:space="preserve"> in this effort, the Secretariat has reviewed the non-core funding priorities identified by </w:t>
      </w:r>
      <w:r>
        <w:rPr>
          <w:rFonts w:cs="Arial"/>
        </w:rPr>
        <w:t xml:space="preserve">the Parties at </w:t>
      </w:r>
      <w:r w:rsidRPr="00803D7B">
        <w:rPr>
          <w:rFonts w:cs="Arial"/>
        </w:rPr>
        <w:t>COP12 (</w:t>
      </w:r>
      <w:r>
        <w:rPr>
          <w:rFonts w:cs="Arial"/>
        </w:rPr>
        <w:t xml:space="preserve">see </w:t>
      </w:r>
      <w:r w:rsidRPr="00803D7B">
        <w:rPr>
          <w:rFonts w:cs="Arial"/>
        </w:rPr>
        <w:t xml:space="preserve">Resolution XII.1 Annex 3), the work plan for the current triennium and </w:t>
      </w:r>
      <w:r>
        <w:rPr>
          <w:rFonts w:cs="Arial"/>
        </w:rPr>
        <w:t xml:space="preserve">draft </w:t>
      </w:r>
      <w:r w:rsidRPr="00803D7B">
        <w:rPr>
          <w:rFonts w:cs="Arial"/>
        </w:rPr>
        <w:t xml:space="preserve">resolutions </w:t>
      </w:r>
      <w:r>
        <w:rPr>
          <w:rFonts w:cs="Arial"/>
        </w:rPr>
        <w:t xml:space="preserve">submitted to </w:t>
      </w:r>
      <w:r w:rsidRPr="00803D7B">
        <w:rPr>
          <w:rFonts w:cs="Arial"/>
        </w:rPr>
        <w:t>COP13</w:t>
      </w:r>
      <w:r>
        <w:rPr>
          <w:rFonts w:cs="Arial"/>
        </w:rPr>
        <w:t>,</w:t>
      </w:r>
      <w:r w:rsidRPr="00803D7B">
        <w:rPr>
          <w:rFonts w:cs="Arial"/>
        </w:rPr>
        <w:t xml:space="preserve"> and suggests the non-core funding priorities </w:t>
      </w:r>
      <w:r>
        <w:rPr>
          <w:rFonts w:cs="Arial"/>
        </w:rPr>
        <w:t xml:space="preserve">listed at Table 2 </w:t>
      </w:r>
      <w:r w:rsidRPr="00803D7B">
        <w:rPr>
          <w:rFonts w:cs="Arial"/>
        </w:rPr>
        <w:t>for consideration</w:t>
      </w:r>
      <w:r>
        <w:rPr>
          <w:rFonts w:cs="Arial"/>
        </w:rPr>
        <w:t>.</w:t>
      </w:r>
    </w:p>
    <w:p w:rsidR="008C18E1" w:rsidRDefault="008C18E1" w:rsidP="008C18E1">
      <w:pPr>
        <w:spacing w:after="0" w:line="240" w:lineRule="auto"/>
        <w:ind w:left="425" w:hanging="425"/>
        <w:rPr>
          <w:rFonts w:cs="Arial"/>
        </w:rPr>
      </w:pPr>
    </w:p>
    <w:p w:rsidR="008C18E1" w:rsidRPr="00CD1B44" w:rsidRDefault="008C18E1" w:rsidP="008C18E1">
      <w:pPr>
        <w:spacing w:after="0" w:line="240" w:lineRule="auto"/>
        <w:jc w:val="both"/>
        <w:rPr>
          <w:rFonts w:cs="Arial"/>
          <w:i/>
        </w:rPr>
      </w:pPr>
      <w:r w:rsidRPr="00CD1B44">
        <w:rPr>
          <w:rFonts w:cs="Arial"/>
          <w:i/>
        </w:rPr>
        <w:t xml:space="preserve">Table 2: </w:t>
      </w:r>
      <w:r w:rsidR="00CD1B44" w:rsidRPr="00CD1B44">
        <w:rPr>
          <w:rFonts w:cs="Arial"/>
          <w:i/>
        </w:rPr>
        <w:t>List of suggested non-core funding priorities</w:t>
      </w:r>
    </w:p>
    <w:tbl>
      <w:tblPr>
        <w:tblStyle w:val="TableGrid"/>
        <w:tblW w:w="9322" w:type="dxa"/>
        <w:tblCellMar>
          <w:top w:w="57" w:type="dxa"/>
          <w:bottom w:w="57" w:type="dxa"/>
        </w:tblCellMar>
        <w:tblLook w:val="04A0" w:firstRow="1" w:lastRow="0" w:firstColumn="1" w:lastColumn="0" w:noHBand="0" w:noVBand="1"/>
      </w:tblPr>
      <w:tblGrid>
        <w:gridCol w:w="5778"/>
        <w:gridCol w:w="3544"/>
      </w:tblGrid>
      <w:tr w:rsidR="008C18E1" w:rsidRPr="008C18E1" w:rsidTr="008C18E1">
        <w:tc>
          <w:tcPr>
            <w:tcW w:w="5778" w:type="dxa"/>
            <w:shd w:val="clear" w:color="auto" w:fill="DBE5F1" w:themeFill="accent1" w:themeFillTint="33"/>
          </w:tcPr>
          <w:p w:rsidR="008C18E1" w:rsidRPr="008C18E1" w:rsidRDefault="008C18E1" w:rsidP="008C18E1">
            <w:pPr>
              <w:jc w:val="center"/>
              <w:rPr>
                <w:rFonts w:asciiTheme="minorHAnsi" w:hAnsiTheme="minorHAnsi" w:cstheme="minorHAnsi"/>
                <w:b/>
              </w:rPr>
            </w:pPr>
            <w:r w:rsidRPr="008C18E1">
              <w:rPr>
                <w:rFonts w:asciiTheme="minorHAnsi" w:hAnsiTheme="minorHAnsi" w:cstheme="minorHAnsi"/>
                <w:b/>
              </w:rPr>
              <w:t>Activity</w:t>
            </w:r>
          </w:p>
        </w:tc>
        <w:tc>
          <w:tcPr>
            <w:tcW w:w="3544" w:type="dxa"/>
            <w:shd w:val="clear" w:color="auto" w:fill="DBE5F1" w:themeFill="accent1" w:themeFillTint="33"/>
          </w:tcPr>
          <w:p w:rsidR="008C18E1" w:rsidRPr="008C18E1" w:rsidRDefault="00CD1B44" w:rsidP="00CD1B44">
            <w:pPr>
              <w:jc w:val="center"/>
              <w:rPr>
                <w:rFonts w:asciiTheme="minorHAnsi" w:hAnsiTheme="minorHAnsi" w:cstheme="minorHAnsi"/>
                <w:b/>
              </w:rPr>
            </w:pPr>
            <w:r>
              <w:rPr>
                <w:rFonts w:asciiTheme="minorHAnsi" w:hAnsiTheme="minorHAnsi" w:cstheme="minorHAnsi"/>
                <w:b/>
              </w:rPr>
              <w:t>Three-y</w:t>
            </w:r>
            <w:r w:rsidR="008C18E1" w:rsidRPr="008C18E1">
              <w:rPr>
                <w:rFonts w:asciiTheme="minorHAnsi" w:hAnsiTheme="minorHAnsi" w:cstheme="minorHAnsi"/>
                <w:b/>
              </w:rPr>
              <w:t xml:space="preserve">ear </w:t>
            </w:r>
            <w:r>
              <w:rPr>
                <w:rFonts w:asciiTheme="minorHAnsi" w:hAnsiTheme="minorHAnsi" w:cstheme="minorHAnsi"/>
                <w:b/>
              </w:rPr>
              <w:t>f</w:t>
            </w:r>
            <w:r w:rsidR="008C18E1" w:rsidRPr="008C18E1">
              <w:rPr>
                <w:rFonts w:asciiTheme="minorHAnsi" w:hAnsiTheme="minorHAnsi" w:cstheme="minorHAnsi"/>
                <w:b/>
              </w:rPr>
              <w:t xml:space="preserve">unding </w:t>
            </w:r>
            <w:r>
              <w:rPr>
                <w:rFonts w:asciiTheme="minorHAnsi" w:hAnsiTheme="minorHAnsi" w:cstheme="minorHAnsi"/>
                <w:b/>
              </w:rPr>
              <w:t>r</w:t>
            </w:r>
            <w:r w:rsidR="008C18E1" w:rsidRPr="008C18E1">
              <w:rPr>
                <w:rFonts w:asciiTheme="minorHAnsi" w:hAnsiTheme="minorHAnsi" w:cstheme="minorHAnsi"/>
                <w:b/>
              </w:rPr>
              <w:t>equirement (CHF)</w:t>
            </w:r>
          </w:p>
        </w:tc>
      </w:tr>
      <w:tr w:rsidR="008C18E1" w:rsidTr="008C18E1">
        <w:tc>
          <w:tcPr>
            <w:tcW w:w="5778" w:type="dxa"/>
          </w:tcPr>
          <w:p w:rsidR="008C18E1" w:rsidRPr="003E3ED7" w:rsidRDefault="008C18E1" w:rsidP="00485CC6">
            <w:pPr>
              <w:rPr>
                <w:rFonts w:asciiTheme="minorHAnsi" w:hAnsiTheme="minorHAnsi" w:cstheme="minorHAnsi"/>
              </w:rPr>
            </w:pPr>
            <w:r w:rsidRPr="003E3ED7">
              <w:rPr>
                <w:rFonts w:asciiTheme="minorHAnsi" w:hAnsiTheme="minorHAnsi" w:cstheme="minorHAnsi"/>
              </w:rPr>
              <w:t>World Wetlands Day</w:t>
            </w:r>
          </w:p>
        </w:tc>
        <w:tc>
          <w:tcPr>
            <w:tcW w:w="3544" w:type="dxa"/>
          </w:tcPr>
          <w:p w:rsidR="008C18E1" w:rsidRPr="003E3ED7" w:rsidRDefault="00BE3591" w:rsidP="008C18E1">
            <w:pPr>
              <w:jc w:val="center"/>
              <w:rPr>
                <w:rFonts w:asciiTheme="minorHAnsi" w:hAnsiTheme="minorHAnsi" w:cstheme="minorHAnsi"/>
              </w:rPr>
            </w:pPr>
            <w:r>
              <w:rPr>
                <w:rFonts w:asciiTheme="minorHAnsi" w:hAnsiTheme="minorHAnsi" w:cstheme="minorHAnsi"/>
              </w:rPr>
              <w:t>250</w:t>
            </w:r>
            <w:r w:rsidR="008C18E1" w:rsidRPr="003E3ED7">
              <w:rPr>
                <w:rFonts w:asciiTheme="minorHAnsi" w:hAnsiTheme="minorHAnsi" w:cstheme="minorHAnsi"/>
              </w:rPr>
              <w:t>,000</w:t>
            </w:r>
          </w:p>
        </w:tc>
      </w:tr>
      <w:tr w:rsidR="008C18E1" w:rsidTr="008C18E1">
        <w:tc>
          <w:tcPr>
            <w:tcW w:w="5778" w:type="dxa"/>
          </w:tcPr>
          <w:p w:rsidR="008C18E1" w:rsidRPr="003E3ED7" w:rsidRDefault="008C18E1" w:rsidP="00485CC6">
            <w:pPr>
              <w:rPr>
                <w:rFonts w:asciiTheme="minorHAnsi" w:hAnsiTheme="minorHAnsi" w:cstheme="minorHAnsi"/>
              </w:rPr>
            </w:pPr>
            <w:r w:rsidRPr="003E3ED7">
              <w:rPr>
                <w:rFonts w:asciiTheme="minorHAnsi" w:hAnsiTheme="minorHAnsi" w:cstheme="minorHAnsi"/>
              </w:rPr>
              <w:t>Complete wetland inventories to report on indicator 6.6.1</w:t>
            </w:r>
          </w:p>
        </w:tc>
        <w:tc>
          <w:tcPr>
            <w:tcW w:w="3544" w:type="dxa"/>
          </w:tcPr>
          <w:p w:rsidR="008C18E1" w:rsidRPr="003E3ED7" w:rsidRDefault="008C18E1" w:rsidP="008C18E1">
            <w:pPr>
              <w:jc w:val="center"/>
              <w:rPr>
                <w:rFonts w:asciiTheme="minorHAnsi" w:hAnsiTheme="minorHAnsi" w:cstheme="minorHAnsi"/>
              </w:rPr>
            </w:pPr>
            <w:r w:rsidRPr="003E3ED7">
              <w:rPr>
                <w:rFonts w:asciiTheme="minorHAnsi" w:hAnsiTheme="minorHAnsi" w:cstheme="minorHAnsi"/>
              </w:rPr>
              <w:t>165,000</w:t>
            </w:r>
          </w:p>
        </w:tc>
      </w:tr>
      <w:tr w:rsidR="008C18E1" w:rsidTr="008C18E1">
        <w:tc>
          <w:tcPr>
            <w:tcW w:w="5778" w:type="dxa"/>
          </w:tcPr>
          <w:p w:rsidR="008C18E1" w:rsidRPr="003E3ED7" w:rsidRDefault="008C18E1" w:rsidP="00485CC6">
            <w:pPr>
              <w:rPr>
                <w:rFonts w:asciiTheme="minorHAnsi" w:hAnsiTheme="minorHAnsi" w:cstheme="minorHAnsi"/>
              </w:rPr>
            </w:pPr>
            <w:r w:rsidRPr="003E3ED7">
              <w:rPr>
                <w:rFonts w:asciiTheme="minorHAnsi" w:hAnsiTheme="minorHAnsi" w:cstheme="minorHAnsi"/>
              </w:rPr>
              <w:t>Ramsar Advisory Missions</w:t>
            </w:r>
          </w:p>
        </w:tc>
        <w:tc>
          <w:tcPr>
            <w:tcW w:w="3544" w:type="dxa"/>
          </w:tcPr>
          <w:p w:rsidR="008C18E1" w:rsidRPr="003E3ED7" w:rsidRDefault="008C18E1" w:rsidP="008C18E1">
            <w:pPr>
              <w:jc w:val="center"/>
              <w:rPr>
                <w:rFonts w:asciiTheme="minorHAnsi" w:hAnsiTheme="minorHAnsi" w:cstheme="minorHAnsi"/>
              </w:rPr>
            </w:pPr>
            <w:r w:rsidRPr="003E3ED7">
              <w:rPr>
                <w:rFonts w:asciiTheme="minorHAnsi" w:hAnsiTheme="minorHAnsi" w:cstheme="minorHAnsi"/>
              </w:rPr>
              <w:t>225,000</w:t>
            </w:r>
          </w:p>
        </w:tc>
      </w:tr>
      <w:tr w:rsidR="008C18E1" w:rsidTr="008C18E1">
        <w:tc>
          <w:tcPr>
            <w:tcW w:w="5778" w:type="dxa"/>
          </w:tcPr>
          <w:p w:rsidR="008C18E1" w:rsidRPr="003E3ED7" w:rsidRDefault="008C18E1" w:rsidP="00485CC6">
            <w:pPr>
              <w:rPr>
                <w:rFonts w:asciiTheme="minorHAnsi" w:hAnsiTheme="minorHAnsi" w:cstheme="minorHAnsi"/>
              </w:rPr>
            </w:pPr>
            <w:r w:rsidRPr="003E3ED7">
              <w:rPr>
                <w:rFonts w:asciiTheme="minorHAnsi" w:hAnsiTheme="minorHAnsi" w:cstheme="minorHAnsi"/>
              </w:rPr>
              <w:t>COP14  and Pre-COP14 sponsorship for eligible delegates</w:t>
            </w:r>
          </w:p>
        </w:tc>
        <w:tc>
          <w:tcPr>
            <w:tcW w:w="3544" w:type="dxa"/>
          </w:tcPr>
          <w:p w:rsidR="008C18E1" w:rsidRPr="003E3ED7" w:rsidRDefault="008C18E1" w:rsidP="008C18E1">
            <w:pPr>
              <w:jc w:val="center"/>
              <w:rPr>
                <w:rFonts w:asciiTheme="minorHAnsi" w:hAnsiTheme="minorHAnsi" w:cstheme="minorHAnsi"/>
              </w:rPr>
            </w:pPr>
            <w:r w:rsidRPr="003E3ED7">
              <w:rPr>
                <w:rFonts w:asciiTheme="minorHAnsi" w:hAnsiTheme="minorHAnsi" w:cstheme="minorHAnsi"/>
              </w:rPr>
              <w:t>700,000</w:t>
            </w:r>
          </w:p>
        </w:tc>
      </w:tr>
      <w:tr w:rsidR="008C18E1" w:rsidTr="008C18E1">
        <w:tc>
          <w:tcPr>
            <w:tcW w:w="5778" w:type="dxa"/>
          </w:tcPr>
          <w:p w:rsidR="008C18E1" w:rsidRPr="003E3ED7" w:rsidRDefault="008C18E1" w:rsidP="00485CC6">
            <w:pPr>
              <w:rPr>
                <w:rFonts w:asciiTheme="minorHAnsi" w:hAnsiTheme="minorHAnsi" w:cstheme="minorHAnsi"/>
              </w:rPr>
            </w:pPr>
            <w:r w:rsidRPr="003E3ED7">
              <w:rPr>
                <w:rFonts w:asciiTheme="minorHAnsi" w:hAnsiTheme="minorHAnsi" w:cstheme="minorHAnsi"/>
              </w:rPr>
              <w:t>Support of Regional Initiatives</w:t>
            </w:r>
          </w:p>
        </w:tc>
        <w:tc>
          <w:tcPr>
            <w:tcW w:w="3544" w:type="dxa"/>
          </w:tcPr>
          <w:p w:rsidR="008C18E1" w:rsidRPr="003E3ED7" w:rsidRDefault="008C18E1" w:rsidP="008C18E1">
            <w:pPr>
              <w:jc w:val="center"/>
              <w:rPr>
                <w:rFonts w:asciiTheme="minorHAnsi" w:hAnsiTheme="minorHAnsi" w:cstheme="minorHAnsi"/>
              </w:rPr>
            </w:pPr>
            <w:r w:rsidRPr="003E3ED7">
              <w:rPr>
                <w:rFonts w:asciiTheme="minorHAnsi" w:hAnsiTheme="minorHAnsi" w:cstheme="minorHAnsi"/>
              </w:rPr>
              <w:t>150,000</w:t>
            </w:r>
          </w:p>
        </w:tc>
      </w:tr>
      <w:tr w:rsidR="008C18E1" w:rsidTr="008C18E1">
        <w:tc>
          <w:tcPr>
            <w:tcW w:w="5778" w:type="dxa"/>
          </w:tcPr>
          <w:p w:rsidR="008C18E1" w:rsidRPr="003E3ED7" w:rsidRDefault="008C18E1" w:rsidP="00485CC6">
            <w:pPr>
              <w:rPr>
                <w:rFonts w:asciiTheme="minorHAnsi" w:hAnsiTheme="minorHAnsi" w:cstheme="minorHAnsi"/>
              </w:rPr>
            </w:pPr>
            <w:r>
              <w:rPr>
                <w:rFonts w:asciiTheme="minorHAnsi" w:hAnsiTheme="minorHAnsi" w:cstheme="minorHAnsi"/>
              </w:rPr>
              <w:t>Ramsar CEPA Programme</w:t>
            </w:r>
          </w:p>
        </w:tc>
        <w:tc>
          <w:tcPr>
            <w:tcW w:w="3544" w:type="dxa"/>
          </w:tcPr>
          <w:p w:rsidR="008C18E1" w:rsidRPr="003E3ED7" w:rsidRDefault="008C18E1" w:rsidP="008C18E1">
            <w:pPr>
              <w:jc w:val="center"/>
              <w:rPr>
                <w:rFonts w:asciiTheme="minorHAnsi" w:hAnsiTheme="minorHAnsi" w:cstheme="minorHAnsi"/>
              </w:rPr>
            </w:pPr>
            <w:r w:rsidRPr="003E3ED7">
              <w:rPr>
                <w:rFonts w:asciiTheme="minorHAnsi" w:hAnsiTheme="minorHAnsi" w:cstheme="minorHAnsi"/>
              </w:rPr>
              <w:t>200,000</w:t>
            </w:r>
          </w:p>
        </w:tc>
      </w:tr>
    </w:tbl>
    <w:p w:rsidR="008C18E1" w:rsidRPr="00803D7B" w:rsidRDefault="008C18E1" w:rsidP="008C18E1">
      <w:pPr>
        <w:spacing w:after="0" w:line="240" w:lineRule="auto"/>
        <w:ind w:left="425" w:hanging="425"/>
        <w:rPr>
          <w:rFonts w:cs="Arial"/>
        </w:rPr>
      </w:pPr>
    </w:p>
    <w:p w:rsidR="008C18E1" w:rsidRDefault="008C18E1" w:rsidP="00E51CBD">
      <w:pPr>
        <w:spacing w:after="0" w:line="240" w:lineRule="auto"/>
        <w:jc w:val="center"/>
        <w:rPr>
          <w:rFonts w:cs="Arial"/>
          <w:b/>
        </w:rPr>
      </w:pPr>
    </w:p>
    <w:sectPr w:rsidR="008C18E1" w:rsidSect="00E51CBD">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74" w:rsidRDefault="00E15B74" w:rsidP="00DF2386">
      <w:pPr>
        <w:spacing w:after="0" w:line="240" w:lineRule="auto"/>
      </w:pPr>
      <w:r>
        <w:separator/>
      </w:r>
    </w:p>
  </w:endnote>
  <w:endnote w:type="continuationSeparator" w:id="0">
    <w:p w:rsidR="00E15B74" w:rsidRDefault="00E15B74" w:rsidP="00DF2386">
      <w:pPr>
        <w:spacing w:after="0" w:line="240" w:lineRule="auto"/>
      </w:pPr>
      <w:r>
        <w:continuationSeparator/>
      </w:r>
    </w:p>
  </w:endnote>
  <w:endnote w:type="continuationNotice" w:id="1">
    <w:p w:rsidR="00E15B74" w:rsidRDefault="00E15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71" w:rsidRPr="00D12E4C" w:rsidRDefault="0041099F" w:rsidP="00D12E4C">
    <w:pPr>
      <w:pStyle w:val="Footer"/>
      <w:rPr>
        <w:sz w:val="20"/>
        <w:szCs w:val="20"/>
      </w:rPr>
    </w:pPr>
    <w:r w:rsidRPr="0041099F">
      <w:rPr>
        <w:sz w:val="20"/>
        <w:szCs w:val="20"/>
      </w:rPr>
      <w:t xml:space="preserve">Ramsar </w:t>
    </w:r>
    <w:r w:rsidR="009000B8" w:rsidRPr="009000B8">
      <w:rPr>
        <w:sz w:val="20"/>
        <w:szCs w:val="20"/>
      </w:rPr>
      <w:t>COP13 Doc.</w:t>
    </w:r>
    <w:r w:rsidR="00034C36">
      <w:rPr>
        <w:sz w:val="20"/>
        <w:szCs w:val="20"/>
      </w:rPr>
      <w:t>17</w:t>
    </w:r>
    <w:r w:rsidR="00D12E4C" w:rsidRPr="00D12E4C">
      <w:rPr>
        <w:sz w:val="20"/>
        <w:szCs w:val="20"/>
      </w:rPr>
      <w:tab/>
    </w:r>
    <w:r w:rsidR="00D12E4C" w:rsidRPr="00D12E4C">
      <w:rPr>
        <w:sz w:val="20"/>
        <w:szCs w:val="20"/>
      </w:rPr>
      <w:tab/>
    </w:r>
    <w:r w:rsidR="00D12E4C" w:rsidRPr="00D12E4C">
      <w:rPr>
        <w:sz w:val="20"/>
        <w:szCs w:val="20"/>
      </w:rPr>
      <w:fldChar w:fldCharType="begin"/>
    </w:r>
    <w:r w:rsidR="00D12E4C" w:rsidRPr="00D12E4C">
      <w:rPr>
        <w:sz w:val="20"/>
        <w:szCs w:val="20"/>
      </w:rPr>
      <w:instrText xml:space="preserve"> PAGE   \* MERGEFORMAT </w:instrText>
    </w:r>
    <w:r w:rsidR="00D12E4C" w:rsidRPr="00D12E4C">
      <w:rPr>
        <w:sz w:val="20"/>
        <w:szCs w:val="20"/>
      </w:rPr>
      <w:fldChar w:fldCharType="separate"/>
    </w:r>
    <w:r w:rsidR="00A02D00">
      <w:rPr>
        <w:noProof/>
        <w:sz w:val="20"/>
        <w:szCs w:val="20"/>
      </w:rPr>
      <w:t>3</w:t>
    </w:r>
    <w:r w:rsidR="00D12E4C" w:rsidRPr="00D12E4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74" w:rsidRDefault="00E15B74" w:rsidP="00DF2386">
      <w:pPr>
        <w:spacing w:after="0" w:line="240" w:lineRule="auto"/>
      </w:pPr>
      <w:r>
        <w:separator/>
      </w:r>
    </w:p>
  </w:footnote>
  <w:footnote w:type="continuationSeparator" w:id="0">
    <w:p w:rsidR="00E15B74" w:rsidRDefault="00E15B74" w:rsidP="00DF2386">
      <w:pPr>
        <w:spacing w:after="0" w:line="240" w:lineRule="auto"/>
      </w:pPr>
      <w:r>
        <w:continuationSeparator/>
      </w:r>
    </w:p>
  </w:footnote>
  <w:footnote w:type="continuationNotice" w:id="1">
    <w:p w:rsidR="00E15B74" w:rsidRDefault="00E15B74">
      <w:pPr>
        <w:spacing w:after="0" w:line="240" w:lineRule="auto"/>
      </w:pPr>
    </w:p>
  </w:footnote>
  <w:footnote w:id="2">
    <w:p w:rsidR="008C18E1" w:rsidRPr="00B87C24" w:rsidRDefault="008C18E1" w:rsidP="008C18E1">
      <w:pPr>
        <w:pStyle w:val="Default"/>
        <w:jc w:val="both"/>
        <w:rPr>
          <w:b/>
          <w:bCs/>
          <w:i/>
          <w:sz w:val="20"/>
          <w:szCs w:val="20"/>
        </w:rPr>
      </w:pPr>
      <w:r w:rsidRPr="008C18E1">
        <w:rPr>
          <w:rStyle w:val="FootnoteReference"/>
          <w:i/>
        </w:rPr>
        <w:footnoteRef/>
      </w:r>
      <w:r w:rsidRPr="008C18E1">
        <w:rPr>
          <w:i/>
        </w:rPr>
        <w:t xml:space="preserve"> </w:t>
      </w:r>
      <w:r w:rsidRPr="00B87C24">
        <w:rPr>
          <w:b/>
          <w:bCs/>
          <w:i/>
          <w:sz w:val="20"/>
          <w:szCs w:val="20"/>
        </w:rPr>
        <w:t xml:space="preserve">Rule 14 Secretariat’s report on administrative and financial implications of agenda items </w:t>
      </w:r>
    </w:p>
    <w:p w:rsidR="008C18E1" w:rsidRPr="008C18E1" w:rsidRDefault="008C18E1" w:rsidP="008C18E1">
      <w:pPr>
        <w:spacing w:after="0" w:line="240" w:lineRule="auto"/>
        <w:jc w:val="both"/>
        <w:rPr>
          <w:rFonts w:cs="Arial"/>
          <w:i/>
        </w:rPr>
      </w:pPr>
      <w:r w:rsidRPr="00B87C24">
        <w:rPr>
          <w:i/>
          <w:sz w:val="20"/>
          <w:szCs w:val="20"/>
        </w:rPr>
        <w:t>The Secretariat shall report, within 24 hours of the opening of the meeting of the Conference of the Parties, on the projected administrative and financial implications of all substantive agenda items submitted to the meeting and before decisions on these items are taken by the Conference of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71" w:rsidRDefault="00F73E71">
    <w:pPr>
      <w:pStyle w:val="Header"/>
    </w:pPr>
  </w:p>
  <w:p w:rsidR="00F73E71" w:rsidRDefault="00F73E71">
    <w:pPr>
      <w:pStyle w:val="Header"/>
    </w:pPr>
  </w:p>
  <w:p w:rsidR="00CB65B7" w:rsidRDefault="00CB65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16"/>
  </w:num>
  <w:num w:numId="14">
    <w:abstractNumId w:val="10"/>
  </w:num>
  <w:num w:numId="15">
    <w:abstractNumId w:val="1"/>
  </w:num>
  <w:num w:numId="16">
    <w:abstractNumId w:val="13"/>
  </w:num>
  <w:num w:numId="17">
    <w:abstractNumId w:val="21"/>
  </w:num>
  <w:num w:numId="18">
    <w:abstractNumId w:val="29"/>
  </w:num>
  <w:num w:numId="19">
    <w:abstractNumId w:val="28"/>
  </w:num>
  <w:num w:numId="20">
    <w:abstractNumId w:val="23"/>
  </w:num>
  <w:num w:numId="21">
    <w:abstractNumId w:val="25"/>
  </w:num>
  <w:num w:numId="22">
    <w:abstractNumId w:val="14"/>
  </w:num>
  <w:num w:numId="23">
    <w:abstractNumId w:val="22"/>
  </w:num>
  <w:num w:numId="24">
    <w:abstractNumId w:val="19"/>
  </w:num>
  <w:num w:numId="25">
    <w:abstractNumId w:val="30"/>
  </w:num>
  <w:num w:numId="26">
    <w:abstractNumId w:val="5"/>
  </w:num>
  <w:num w:numId="27">
    <w:abstractNumId w:val="9"/>
  </w:num>
  <w:num w:numId="28">
    <w:abstractNumId w:val="17"/>
  </w:num>
  <w:num w:numId="29">
    <w:abstractNumId w:val="26"/>
  </w:num>
  <w:num w:numId="30">
    <w:abstractNumId w:val="18"/>
  </w:num>
  <w:num w:numId="31">
    <w:abstractNumId w:val="20"/>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280D"/>
    <w:rsid w:val="00017A16"/>
    <w:rsid w:val="00022E8C"/>
    <w:rsid w:val="00030B1D"/>
    <w:rsid w:val="00033E40"/>
    <w:rsid w:val="00034C36"/>
    <w:rsid w:val="00037CE0"/>
    <w:rsid w:val="00050008"/>
    <w:rsid w:val="000524CC"/>
    <w:rsid w:val="00053929"/>
    <w:rsid w:val="000551F6"/>
    <w:rsid w:val="00065B98"/>
    <w:rsid w:val="00071EF9"/>
    <w:rsid w:val="000725B7"/>
    <w:rsid w:val="000736AD"/>
    <w:rsid w:val="00074DE8"/>
    <w:rsid w:val="0008208F"/>
    <w:rsid w:val="00082689"/>
    <w:rsid w:val="00082A48"/>
    <w:rsid w:val="00082E30"/>
    <w:rsid w:val="00086AA5"/>
    <w:rsid w:val="000905B8"/>
    <w:rsid w:val="00091DC7"/>
    <w:rsid w:val="00092F7C"/>
    <w:rsid w:val="000A3E3E"/>
    <w:rsid w:val="000A6DD3"/>
    <w:rsid w:val="000B03AB"/>
    <w:rsid w:val="000C09C0"/>
    <w:rsid w:val="000C66CA"/>
    <w:rsid w:val="000D5C76"/>
    <w:rsid w:val="000E2FA0"/>
    <w:rsid w:val="000E47E9"/>
    <w:rsid w:val="000E64B4"/>
    <w:rsid w:val="000F2F6F"/>
    <w:rsid w:val="000F30D7"/>
    <w:rsid w:val="000F4BF0"/>
    <w:rsid w:val="00100323"/>
    <w:rsid w:val="0010203E"/>
    <w:rsid w:val="0010406A"/>
    <w:rsid w:val="001046FE"/>
    <w:rsid w:val="001052C7"/>
    <w:rsid w:val="00112287"/>
    <w:rsid w:val="0012096C"/>
    <w:rsid w:val="00121597"/>
    <w:rsid w:val="00127828"/>
    <w:rsid w:val="001308F5"/>
    <w:rsid w:val="00146BDE"/>
    <w:rsid w:val="00147FE6"/>
    <w:rsid w:val="0015491F"/>
    <w:rsid w:val="001550A5"/>
    <w:rsid w:val="00161BDA"/>
    <w:rsid w:val="00163246"/>
    <w:rsid w:val="00164595"/>
    <w:rsid w:val="001678BD"/>
    <w:rsid w:val="00171618"/>
    <w:rsid w:val="00172DB8"/>
    <w:rsid w:val="00176959"/>
    <w:rsid w:val="001819B1"/>
    <w:rsid w:val="00190197"/>
    <w:rsid w:val="00192DDE"/>
    <w:rsid w:val="00196220"/>
    <w:rsid w:val="00197D00"/>
    <w:rsid w:val="001A46C7"/>
    <w:rsid w:val="001A48C7"/>
    <w:rsid w:val="001A7044"/>
    <w:rsid w:val="001B0F0C"/>
    <w:rsid w:val="001B10F1"/>
    <w:rsid w:val="001C5E41"/>
    <w:rsid w:val="001C77BC"/>
    <w:rsid w:val="001D1697"/>
    <w:rsid w:val="001D42C7"/>
    <w:rsid w:val="001D48BB"/>
    <w:rsid w:val="001E00E3"/>
    <w:rsid w:val="001E2204"/>
    <w:rsid w:val="001F01BA"/>
    <w:rsid w:val="001F2349"/>
    <w:rsid w:val="001F2FE4"/>
    <w:rsid w:val="001F3D08"/>
    <w:rsid w:val="002005D2"/>
    <w:rsid w:val="00200B53"/>
    <w:rsid w:val="00201663"/>
    <w:rsid w:val="0020298B"/>
    <w:rsid w:val="00205989"/>
    <w:rsid w:val="00206111"/>
    <w:rsid w:val="0021171D"/>
    <w:rsid w:val="002137E0"/>
    <w:rsid w:val="002236CA"/>
    <w:rsid w:val="00224E79"/>
    <w:rsid w:val="00227310"/>
    <w:rsid w:val="00244E1D"/>
    <w:rsid w:val="00246E5E"/>
    <w:rsid w:val="00264EC9"/>
    <w:rsid w:val="00266F2F"/>
    <w:rsid w:val="00270DEF"/>
    <w:rsid w:val="00272269"/>
    <w:rsid w:val="002741AC"/>
    <w:rsid w:val="002766B3"/>
    <w:rsid w:val="002819C0"/>
    <w:rsid w:val="00282490"/>
    <w:rsid w:val="002951F6"/>
    <w:rsid w:val="00295556"/>
    <w:rsid w:val="00295BB5"/>
    <w:rsid w:val="00296395"/>
    <w:rsid w:val="002A4D58"/>
    <w:rsid w:val="002A5A4D"/>
    <w:rsid w:val="002B4262"/>
    <w:rsid w:val="002C0750"/>
    <w:rsid w:val="002C5469"/>
    <w:rsid w:val="002C728A"/>
    <w:rsid w:val="002C7F04"/>
    <w:rsid w:val="002D5A4D"/>
    <w:rsid w:val="002D5ED7"/>
    <w:rsid w:val="002E22AF"/>
    <w:rsid w:val="002E4240"/>
    <w:rsid w:val="002E5902"/>
    <w:rsid w:val="003035BB"/>
    <w:rsid w:val="00314B82"/>
    <w:rsid w:val="003221DE"/>
    <w:rsid w:val="00322441"/>
    <w:rsid w:val="00324398"/>
    <w:rsid w:val="003341CA"/>
    <w:rsid w:val="003455AA"/>
    <w:rsid w:val="00351CCA"/>
    <w:rsid w:val="003523C9"/>
    <w:rsid w:val="00357EE9"/>
    <w:rsid w:val="00374E48"/>
    <w:rsid w:val="003756B9"/>
    <w:rsid w:val="00375B6C"/>
    <w:rsid w:val="00384FC3"/>
    <w:rsid w:val="003864C3"/>
    <w:rsid w:val="003872C7"/>
    <w:rsid w:val="0039008C"/>
    <w:rsid w:val="00390AD7"/>
    <w:rsid w:val="00391FEF"/>
    <w:rsid w:val="00393B6A"/>
    <w:rsid w:val="0039424B"/>
    <w:rsid w:val="00394FD7"/>
    <w:rsid w:val="003A20CD"/>
    <w:rsid w:val="003A3804"/>
    <w:rsid w:val="003A4C88"/>
    <w:rsid w:val="003A52BE"/>
    <w:rsid w:val="003A5866"/>
    <w:rsid w:val="003A6E9F"/>
    <w:rsid w:val="003B399B"/>
    <w:rsid w:val="003B5243"/>
    <w:rsid w:val="003D052D"/>
    <w:rsid w:val="003D1784"/>
    <w:rsid w:val="003D4CD6"/>
    <w:rsid w:val="003D6306"/>
    <w:rsid w:val="003D6B96"/>
    <w:rsid w:val="003D703E"/>
    <w:rsid w:val="003E03D0"/>
    <w:rsid w:val="003E2F84"/>
    <w:rsid w:val="003E5C6A"/>
    <w:rsid w:val="0040316C"/>
    <w:rsid w:val="00410920"/>
    <w:rsid w:val="0041099F"/>
    <w:rsid w:val="004200D3"/>
    <w:rsid w:val="004228C7"/>
    <w:rsid w:val="00427063"/>
    <w:rsid w:val="0042798B"/>
    <w:rsid w:val="00434913"/>
    <w:rsid w:val="004351EF"/>
    <w:rsid w:val="00436009"/>
    <w:rsid w:val="00441CD2"/>
    <w:rsid w:val="004474F8"/>
    <w:rsid w:val="0045525B"/>
    <w:rsid w:val="0045707E"/>
    <w:rsid w:val="00457CF8"/>
    <w:rsid w:val="00462A06"/>
    <w:rsid w:val="004723BD"/>
    <w:rsid w:val="00477550"/>
    <w:rsid w:val="00477ED6"/>
    <w:rsid w:val="004804F5"/>
    <w:rsid w:val="00480C8A"/>
    <w:rsid w:val="004844A8"/>
    <w:rsid w:val="00484A82"/>
    <w:rsid w:val="00492F6D"/>
    <w:rsid w:val="0049577B"/>
    <w:rsid w:val="00496803"/>
    <w:rsid w:val="00497E7C"/>
    <w:rsid w:val="004A2733"/>
    <w:rsid w:val="004A5063"/>
    <w:rsid w:val="004A62F0"/>
    <w:rsid w:val="004B6213"/>
    <w:rsid w:val="004B6688"/>
    <w:rsid w:val="004B7487"/>
    <w:rsid w:val="004C1B3E"/>
    <w:rsid w:val="004C3787"/>
    <w:rsid w:val="004D772A"/>
    <w:rsid w:val="004F0C12"/>
    <w:rsid w:val="004F497B"/>
    <w:rsid w:val="004F5C50"/>
    <w:rsid w:val="00501265"/>
    <w:rsid w:val="0050686B"/>
    <w:rsid w:val="00506DF9"/>
    <w:rsid w:val="00506F27"/>
    <w:rsid w:val="005244A4"/>
    <w:rsid w:val="00525BEB"/>
    <w:rsid w:val="00527783"/>
    <w:rsid w:val="005318C9"/>
    <w:rsid w:val="00534B6F"/>
    <w:rsid w:val="00541A7B"/>
    <w:rsid w:val="00551CD4"/>
    <w:rsid w:val="0055637B"/>
    <w:rsid w:val="005636AE"/>
    <w:rsid w:val="005667A1"/>
    <w:rsid w:val="00566BF9"/>
    <w:rsid w:val="00567644"/>
    <w:rsid w:val="00577E43"/>
    <w:rsid w:val="005807FB"/>
    <w:rsid w:val="005814B5"/>
    <w:rsid w:val="00584E91"/>
    <w:rsid w:val="00594301"/>
    <w:rsid w:val="005A2ACC"/>
    <w:rsid w:val="005A5AE7"/>
    <w:rsid w:val="005B23A9"/>
    <w:rsid w:val="005B2D5D"/>
    <w:rsid w:val="005C2E4A"/>
    <w:rsid w:val="005D2BDB"/>
    <w:rsid w:val="005D377E"/>
    <w:rsid w:val="005D3E9D"/>
    <w:rsid w:val="005E120D"/>
    <w:rsid w:val="005E51E7"/>
    <w:rsid w:val="005E55B3"/>
    <w:rsid w:val="005F3339"/>
    <w:rsid w:val="00603A19"/>
    <w:rsid w:val="00610467"/>
    <w:rsid w:val="00612CDC"/>
    <w:rsid w:val="0062381A"/>
    <w:rsid w:val="006256D3"/>
    <w:rsid w:val="00626FCC"/>
    <w:rsid w:val="00627BB7"/>
    <w:rsid w:val="0063493E"/>
    <w:rsid w:val="00645426"/>
    <w:rsid w:val="00647C77"/>
    <w:rsid w:val="0065136E"/>
    <w:rsid w:val="00652D62"/>
    <w:rsid w:val="0065485B"/>
    <w:rsid w:val="006567C7"/>
    <w:rsid w:val="0065687D"/>
    <w:rsid w:val="00656BD8"/>
    <w:rsid w:val="006616FE"/>
    <w:rsid w:val="00670D71"/>
    <w:rsid w:val="0067376E"/>
    <w:rsid w:val="006739A1"/>
    <w:rsid w:val="006805BB"/>
    <w:rsid w:val="00685A65"/>
    <w:rsid w:val="0069009E"/>
    <w:rsid w:val="006929A6"/>
    <w:rsid w:val="006A3FDB"/>
    <w:rsid w:val="006A76F8"/>
    <w:rsid w:val="006B5077"/>
    <w:rsid w:val="006C479A"/>
    <w:rsid w:val="006C65C0"/>
    <w:rsid w:val="006E0E0F"/>
    <w:rsid w:val="006E7DCE"/>
    <w:rsid w:val="006E7E35"/>
    <w:rsid w:val="006F018A"/>
    <w:rsid w:val="006F54F5"/>
    <w:rsid w:val="00704E5B"/>
    <w:rsid w:val="007050FF"/>
    <w:rsid w:val="00705210"/>
    <w:rsid w:val="00715518"/>
    <w:rsid w:val="00731C1A"/>
    <w:rsid w:val="007328C0"/>
    <w:rsid w:val="00733B55"/>
    <w:rsid w:val="007377A5"/>
    <w:rsid w:val="00737D84"/>
    <w:rsid w:val="00743CE3"/>
    <w:rsid w:val="00752D17"/>
    <w:rsid w:val="00762FE1"/>
    <w:rsid w:val="00764D2C"/>
    <w:rsid w:val="00766962"/>
    <w:rsid w:val="00770916"/>
    <w:rsid w:val="00775287"/>
    <w:rsid w:val="00777E05"/>
    <w:rsid w:val="00782F8D"/>
    <w:rsid w:val="00784871"/>
    <w:rsid w:val="00785F35"/>
    <w:rsid w:val="007908CF"/>
    <w:rsid w:val="007A1AB7"/>
    <w:rsid w:val="007B11A1"/>
    <w:rsid w:val="007B29A8"/>
    <w:rsid w:val="007B31D8"/>
    <w:rsid w:val="007B7E70"/>
    <w:rsid w:val="007C792E"/>
    <w:rsid w:val="007D0F77"/>
    <w:rsid w:val="007D136A"/>
    <w:rsid w:val="007D17A6"/>
    <w:rsid w:val="007D33F4"/>
    <w:rsid w:val="007D773F"/>
    <w:rsid w:val="007E31CC"/>
    <w:rsid w:val="007E5BF6"/>
    <w:rsid w:val="007F1BE1"/>
    <w:rsid w:val="007F2437"/>
    <w:rsid w:val="007F3ABE"/>
    <w:rsid w:val="00803D7B"/>
    <w:rsid w:val="008162BD"/>
    <w:rsid w:val="0082248C"/>
    <w:rsid w:val="00822534"/>
    <w:rsid w:val="00832778"/>
    <w:rsid w:val="008328E9"/>
    <w:rsid w:val="00833F00"/>
    <w:rsid w:val="00835BCB"/>
    <w:rsid w:val="00835CDC"/>
    <w:rsid w:val="00840181"/>
    <w:rsid w:val="00843099"/>
    <w:rsid w:val="00850B09"/>
    <w:rsid w:val="008556CD"/>
    <w:rsid w:val="00857B3C"/>
    <w:rsid w:val="00857C7D"/>
    <w:rsid w:val="0086200D"/>
    <w:rsid w:val="00863B9D"/>
    <w:rsid w:val="00863BE6"/>
    <w:rsid w:val="008641BF"/>
    <w:rsid w:val="00872F5F"/>
    <w:rsid w:val="008751EB"/>
    <w:rsid w:val="00876334"/>
    <w:rsid w:val="008775BC"/>
    <w:rsid w:val="00882F1B"/>
    <w:rsid w:val="00883E3D"/>
    <w:rsid w:val="008902A5"/>
    <w:rsid w:val="008A70CE"/>
    <w:rsid w:val="008A7156"/>
    <w:rsid w:val="008B1FD6"/>
    <w:rsid w:val="008B3FED"/>
    <w:rsid w:val="008C169F"/>
    <w:rsid w:val="008C18E1"/>
    <w:rsid w:val="008C25E4"/>
    <w:rsid w:val="008C2DAE"/>
    <w:rsid w:val="008C2F21"/>
    <w:rsid w:val="008C603F"/>
    <w:rsid w:val="008C6BFA"/>
    <w:rsid w:val="008D3BB2"/>
    <w:rsid w:val="008D6247"/>
    <w:rsid w:val="008D75A2"/>
    <w:rsid w:val="008E4F48"/>
    <w:rsid w:val="008F1736"/>
    <w:rsid w:val="008F1E6B"/>
    <w:rsid w:val="008F2881"/>
    <w:rsid w:val="009000B8"/>
    <w:rsid w:val="009059A9"/>
    <w:rsid w:val="00906806"/>
    <w:rsid w:val="00915B54"/>
    <w:rsid w:val="00922B91"/>
    <w:rsid w:val="00923724"/>
    <w:rsid w:val="00924B40"/>
    <w:rsid w:val="0092515E"/>
    <w:rsid w:val="00934276"/>
    <w:rsid w:val="00935CC3"/>
    <w:rsid w:val="009461E9"/>
    <w:rsid w:val="0094770B"/>
    <w:rsid w:val="00950BDB"/>
    <w:rsid w:val="0095183A"/>
    <w:rsid w:val="0095787D"/>
    <w:rsid w:val="00961A26"/>
    <w:rsid w:val="00966FED"/>
    <w:rsid w:val="009710CC"/>
    <w:rsid w:val="0097565A"/>
    <w:rsid w:val="009919DF"/>
    <w:rsid w:val="009A26BD"/>
    <w:rsid w:val="009B18B3"/>
    <w:rsid w:val="009B2267"/>
    <w:rsid w:val="009C4662"/>
    <w:rsid w:val="009C4D14"/>
    <w:rsid w:val="009C5CBA"/>
    <w:rsid w:val="009D1C2C"/>
    <w:rsid w:val="009D57A1"/>
    <w:rsid w:val="009E237E"/>
    <w:rsid w:val="009E4F8A"/>
    <w:rsid w:val="009E5374"/>
    <w:rsid w:val="009F120C"/>
    <w:rsid w:val="009F345D"/>
    <w:rsid w:val="009F7842"/>
    <w:rsid w:val="00A02D00"/>
    <w:rsid w:val="00A12117"/>
    <w:rsid w:val="00A13218"/>
    <w:rsid w:val="00A17B7B"/>
    <w:rsid w:val="00A227A3"/>
    <w:rsid w:val="00A26418"/>
    <w:rsid w:val="00A324A8"/>
    <w:rsid w:val="00A33C3B"/>
    <w:rsid w:val="00A41CA7"/>
    <w:rsid w:val="00A42C70"/>
    <w:rsid w:val="00A42D73"/>
    <w:rsid w:val="00A5199D"/>
    <w:rsid w:val="00A54CC2"/>
    <w:rsid w:val="00A60B73"/>
    <w:rsid w:val="00A61346"/>
    <w:rsid w:val="00A71A2E"/>
    <w:rsid w:val="00A73BA4"/>
    <w:rsid w:val="00A80080"/>
    <w:rsid w:val="00A85181"/>
    <w:rsid w:val="00A85A07"/>
    <w:rsid w:val="00A905FA"/>
    <w:rsid w:val="00A94E0B"/>
    <w:rsid w:val="00A95733"/>
    <w:rsid w:val="00A9780F"/>
    <w:rsid w:val="00AA3DB1"/>
    <w:rsid w:val="00AA3E55"/>
    <w:rsid w:val="00AA4DC9"/>
    <w:rsid w:val="00AA4F82"/>
    <w:rsid w:val="00AB3417"/>
    <w:rsid w:val="00AB3D05"/>
    <w:rsid w:val="00AB4639"/>
    <w:rsid w:val="00AB4951"/>
    <w:rsid w:val="00AB4D8C"/>
    <w:rsid w:val="00AB5EA0"/>
    <w:rsid w:val="00AC233F"/>
    <w:rsid w:val="00AC46B3"/>
    <w:rsid w:val="00AC4FAD"/>
    <w:rsid w:val="00AC54FF"/>
    <w:rsid w:val="00AD6D9D"/>
    <w:rsid w:val="00AE0A27"/>
    <w:rsid w:val="00AE162E"/>
    <w:rsid w:val="00AE2367"/>
    <w:rsid w:val="00AF2E67"/>
    <w:rsid w:val="00B02469"/>
    <w:rsid w:val="00B057FC"/>
    <w:rsid w:val="00B20D7F"/>
    <w:rsid w:val="00B315A0"/>
    <w:rsid w:val="00B34A18"/>
    <w:rsid w:val="00B40119"/>
    <w:rsid w:val="00B41637"/>
    <w:rsid w:val="00B468CE"/>
    <w:rsid w:val="00B4730A"/>
    <w:rsid w:val="00B50C5D"/>
    <w:rsid w:val="00B52EC9"/>
    <w:rsid w:val="00B579CB"/>
    <w:rsid w:val="00B626CD"/>
    <w:rsid w:val="00B63903"/>
    <w:rsid w:val="00B63B99"/>
    <w:rsid w:val="00B70083"/>
    <w:rsid w:val="00B70C9B"/>
    <w:rsid w:val="00B719B6"/>
    <w:rsid w:val="00B75BAE"/>
    <w:rsid w:val="00B8658C"/>
    <w:rsid w:val="00B87C24"/>
    <w:rsid w:val="00B924B2"/>
    <w:rsid w:val="00B943DB"/>
    <w:rsid w:val="00B94CD6"/>
    <w:rsid w:val="00B976C0"/>
    <w:rsid w:val="00BA0E0D"/>
    <w:rsid w:val="00BA1014"/>
    <w:rsid w:val="00BA13C6"/>
    <w:rsid w:val="00BA603F"/>
    <w:rsid w:val="00BB1268"/>
    <w:rsid w:val="00BB28F6"/>
    <w:rsid w:val="00BB47C9"/>
    <w:rsid w:val="00BB67CF"/>
    <w:rsid w:val="00BB6DD4"/>
    <w:rsid w:val="00BC1C3D"/>
    <w:rsid w:val="00BC2609"/>
    <w:rsid w:val="00BC3212"/>
    <w:rsid w:val="00BC4100"/>
    <w:rsid w:val="00BC449C"/>
    <w:rsid w:val="00BD5148"/>
    <w:rsid w:val="00BD72FE"/>
    <w:rsid w:val="00BE3591"/>
    <w:rsid w:val="00BE3888"/>
    <w:rsid w:val="00BF20AA"/>
    <w:rsid w:val="00BF2724"/>
    <w:rsid w:val="00C04170"/>
    <w:rsid w:val="00C051BF"/>
    <w:rsid w:val="00C13145"/>
    <w:rsid w:val="00C20787"/>
    <w:rsid w:val="00C24460"/>
    <w:rsid w:val="00C32D70"/>
    <w:rsid w:val="00C35729"/>
    <w:rsid w:val="00C441EF"/>
    <w:rsid w:val="00C51BF2"/>
    <w:rsid w:val="00C64192"/>
    <w:rsid w:val="00C70684"/>
    <w:rsid w:val="00C8140F"/>
    <w:rsid w:val="00C82AAA"/>
    <w:rsid w:val="00C837D0"/>
    <w:rsid w:val="00C92BE3"/>
    <w:rsid w:val="00CB1B36"/>
    <w:rsid w:val="00CB65B7"/>
    <w:rsid w:val="00CC2663"/>
    <w:rsid w:val="00CC40B9"/>
    <w:rsid w:val="00CD191D"/>
    <w:rsid w:val="00CD1B44"/>
    <w:rsid w:val="00CE0962"/>
    <w:rsid w:val="00CE750F"/>
    <w:rsid w:val="00CF1957"/>
    <w:rsid w:val="00CF75A1"/>
    <w:rsid w:val="00D015D6"/>
    <w:rsid w:val="00D03F6B"/>
    <w:rsid w:val="00D0530C"/>
    <w:rsid w:val="00D10BFC"/>
    <w:rsid w:val="00D11142"/>
    <w:rsid w:val="00D12E4C"/>
    <w:rsid w:val="00D160CB"/>
    <w:rsid w:val="00D16861"/>
    <w:rsid w:val="00D23042"/>
    <w:rsid w:val="00D23A96"/>
    <w:rsid w:val="00D245A1"/>
    <w:rsid w:val="00D24687"/>
    <w:rsid w:val="00D3216C"/>
    <w:rsid w:val="00D3601B"/>
    <w:rsid w:val="00D3621D"/>
    <w:rsid w:val="00D37914"/>
    <w:rsid w:val="00D407D6"/>
    <w:rsid w:val="00D415E2"/>
    <w:rsid w:val="00D42055"/>
    <w:rsid w:val="00D50F55"/>
    <w:rsid w:val="00D60E59"/>
    <w:rsid w:val="00D62782"/>
    <w:rsid w:val="00D647C3"/>
    <w:rsid w:val="00D72E9F"/>
    <w:rsid w:val="00D7591F"/>
    <w:rsid w:val="00D84916"/>
    <w:rsid w:val="00D86F2D"/>
    <w:rsid w:val="00D94203"/>
    <w:rsid w:val="00D9633A"/>
    <w:rsid w:val="00DA057C"/>
    <w:rsid w:val="00DA2823"/>
    <w:rsid w:val="00DA3A73"/>
    <w:rsid w:val="00DA7DC2"/>
    <w:rsid w:val="00DA7DCE"/>
    <w:rsid w:val="00DB2430"/>
    <w:rsid w:val="00DB383A"/>
    <w:rsid w:val="00DC6C7C"/>
    <w:rsid w:val="00DC71D9"/>
    <w:rsid w:val="00DD6E06"/>
    <w:rsid w:val="00DE2B38"/>
    <w:rsid w:val="00DF2386"/>
    <w:rsid w:val="00DF5339"/>
    <w:rsid w:val="00DF7FE7"/>
    <w:rsid w:val="00E013F3"/>
    <w:rsid w:val="00E036AD"/>
    <w:rsid w:val="00E06077"/>
    <w:rsid w:val="00E15B74"/>
    <w:rsid w:val="00E222FB"/>
    <w:rsid w:val="00E2262A"/>
    <w:rsid w:val="00E24F5C"/>
    <w:rsid w:val="00E34BC5"/>
    <w:rsid w:val="00E414F5"/>
    <w:rsid w:val="00E46367"/>
    <w:rsid w:val="00E519AF"/>
    <w:rsid w:val="00E51CBD"/>
    <w:rsid w:val="00E529C2"/>
    <w:rsid w:val="00E568DD"/>
    <w:rsid w:val="00E62208"/>
    <w:rsid w:val="00E625E5"/>
    <w:rsid w:val="00E63F0B"/>
    <w:rsid w:val="00E752CF"/>
    <w:rsid w:val="00E77D97"/>
    <w:rsid w:val="00E77F3D"/>
    <w:rsid w:val="00E813A1"/>
    <w:rsid w:val="00E907F9"/>
    <w:rsid w:val="00E91B09"/>
    <w:rsid w:val="00E9307A"/>
    <w:rsid w:val="00E964E0"/>
    <w:rsid w:val="00EA3A7F"/>
    <w:rsid w:val="00EA4AE6"/>
    <w:rsid w:val="00EB2D3E"/>
    <w:rsid w:val="00EB586B"/>
    <w:rsid w:val="00EC0E5E"/>
    <w:rsid w:val="00EC598F"/>
    <w:rsid w:val="00ED6C09"/>
    <w:rsid w:val="00EE21CB"/>
    <w:rsid w:val="00EE3F96"/>
    <w:rsid w:val="00EE448D"/>
    <w:rsid w:val="00EE6B09"/>
    <w:rsid w:val="00F01E40"/>
    <w:rsid w:val="00F078F1"/>
    <w:rsid w:val="00F15BDC"/>
    <w:rsid w:val="00F21B04"/>
    <w:rsid w:val="00F2412D"/>
    <w:rsid w:val="00F349FD"/>
    <w:rsid w:val="00F35921"/>
    <w:rsid w:val="00F40029"/>
    <w:rsid w:val="00F41E45"/>
    <w:rsid w:val="00F45E22"/>
    <w:rsid w:val="00F53B98"/>
    <w:rsid w:val="00F564E7"/>
    <w:rsid w:val="00F6732B"/>
    <w:rsid w:val="00F72D79"/>
    <w:rsid w:val="00F73E71"/>
    <w:rsid w:val="00F807D4"/>
    <w:rsid w:val="00F85F7A"/>
    <w:rsid w:val="00F86070"/>
    <w:rsid w:val="00F90892"/>
    <w:rsid w:val="00F942A0"/>
    <w:rsid w:val="00FA74E5"/>
    <w:rsid w:val="00FB66D7"/>
    <w:rsid w:val="00FC5E60"/>
    <w:rsid w:val="00FE2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6FEB5D"/>
  <w15:docId w15:val="{F02DF7B1-7322-4EBC-9091-2ABB8143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B1B36"/>
    <w:rPr>
      <w:color w:val="0000FF" w:themeColor="hyperlink"/>
      <w:u w:val="single"/>
    </w:rPr>
  </w:style>
  <w:style w:type="character" w:styleId="FollowedHyperlink">
    <w:name w:val="FollowedHyperlink"/>
    <w:basedOn w:val="DefaultParagraphFont"/>
    <w:uiPriority w:val="99"/>
    <w:semiHidden/>
    <w:unhideWhenUsed/>
    <w:rsid w:val="00303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884751458">
      <w:bodyDiv w:val="1"/>
      <w:marLeft w:val="0"/>
      <w:marRight w:val="0"/>
      <w:marTop w:val="0"/>
      <w:marBottom w:val="0"/>
      <w:divBdr>
        <w:top w:val="none" w:sz="0" w:space="0" w:color="auto"/>
        <w:left w:val="none" w:sz="0" w:space="0" w:color="auto"/>
        <w:bottom w:val="none" w:sz="0" w:space="0" w:color="auto"/>
        <w:right w:val="none" w:sz="0" w:space="0" w:color="auto"/>
      </w:divBdr>
    </w:div>
    <w:div w:id="16842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4B4C-5CB0-46D6-ADA6-DB8D9643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Convention Secretariat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barzdo@ramsar.org</dc:creator>
  <cp:lastModifiedBy>JENNINGS Edmund</cp:lastModifiedBy>
  <cp:revision>3</cp:revision>
  <cp:lastPrinted>2018-01-22T11:47:00Z</cp:lastPrinted>
  <dcterms:created xsi:type="dcterms:W3CDTF">2018-10-18T08:31:00Z</dcterms:created>
  <dcterms:modified xsi:type="dcterms:W3CDTF">2018-10-18T08:32:00Z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