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9142" w14:textId="2A66B536" w:rsidR="00C50F56" w:rsidRPr="00B97122" w:rsidRDefault="00C50F56" w:rsidP="004C3670">
      <w:pPr>
        <w:ind w:right="17"/>
        <w:jc w:val="center"/>
        <w:outlineLvl w:val="0"/>
        <w:rPr>
          <w:rFonts w:asciiTheme="majorHAnsi" w:eastAsia="Times New Roman" w:hAnsiTheme="majorHAnsi" w:cstheme="majorHAnsi"/>
          <w:b/>
          <w:bCs/>
          <w:sz w:val="22"/>
          <w:szCs w:val="22"/>
          <w:lang w:val="es-ES_tradnl"/>
        </w:rPr>
      </w:pPr>
      <w:r w:rsidRPr="00B97122">
        <w:rPr>
          <w:rFonts w:asciiTheme="majorHAnsi" w:eastAsia="Times New Roman" w:hAnsiTheme="majorHAnsi" w:cstheme="majorHAnsi"/>
          <w:b/>
          <w:bCs/>
          <w:noProof/>
          <w:sz w:val="22"/>
          <w:szCs w:val="22"/>
          <w:lang w:val="en-GB" w:eastAsia="en-GB"/>
        </w:rPr>
        <w:drawing>
          <wp:anchor distT="0" distB="0" distL="114300" distR="114300" simplePos="0" relativeHeight="251659264" behindDoc="1" locked="0" layoutInCell="1" allowOverlap="1" wp14:anchorId="05B76111" wp14:editId="6713827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1670A8" w:rsidRPr="00B97122">
        <w:rPr>
          <w:rFonts w:ascii="Calibri" w:hAnsi="Calibri" w:cstheme="majorHAnsi"/>
          <w:b/>
          <w:bCs/>
          <w:sz w:val="22"/>
          <w:szCs w:val="22"/>
          <w:lang w:val="es-ES_tradnl"/>
        </w:rPr>
        <w:t>13ª Reunión de la Conferencia de las Partes Contratante</w:t>
      </w:r>
      <w:r w:rsidR="001670A8" w:rsidRPr="00B97122">
        <w:rPr>
          <w:rFonts w:ascii="Calibri" w:eastAsia="Times New Roman" w:hAnsi="Calibri" w:cstheme="majorHAnsi"/>
          <w:b/>
          <w:bCs/>
          <w:sz w:val="22"/>
          <w:szCs w:val="22"/>
          <w:lang w:val="es-ES_tradnl"/>
        </w:rPr>
        <w:t>s</w:t>
      </w:r>
    </w:p>
    <w:p w14:paraId="3733584F" w14:textId="70D3AB2A" w:rsidR="00C50F56" w:rsidRPr="00B97122" w:rsidRDefault="001670A8" w:rsidP="004C3670">
      <w:pPr>
        <w:ind w:right="17"/>
        <w:jc w:val="center"/>
        <w:outlineLvl w:val="0"/>
        <w:rPr>
          <w:rFonts w:asciiTheme="majorHAnsi" w:eastAsia="Times New Roman" w:hAnsiTheme="majorHAnsi" w:cstheme="majorHAnsi"/>
          <w:b/>
          <w:bCs/>
          <w:sz w:val="22"/>
          <w:szCs w:val="22"/>
          <w:lang w:val="es-ES_tradnl"/>
        </w:rPr>
      </w:pPr>
      <w:r w:rsidRPr="00B97122">
        <w:rPr>
          <w:rFonts w:ascii="Calibri" w:hAnsi="Calibri" w:cstheme="majorHAnsi"/>
          <w:b/>
          <w:bCs/>
          <w:sz w:val="22"/>
          <w:szCs w:val="22"/>
          <w:lang w:val="es-ES_tradnl"/>
        </w:rPr>
        <w:t>en la Convención de Ramsar sobre los Humedale</w:t>
      </w:r>
      <w:r w:rsidR="00C50F56" w:rsidRPr="00B97122">
        <w:rPr>
          <w:rFonts w:asciiTheme="majorHAnsi" w:eastAsia="Times New Roman" w:hAnsiTheme="majorHAnsi" w:cstheme="majorHAnsi"/>
          <w:b/>
          <w:bCs/>
          <w:sz w:val="22"/>
          <w:szCs w:val="22"/>
          <w:lang w:val="es-ES_tradnl"/>
        </w:rPr>
        <w:t>s</w:t>
      </w:r>
    </w:p>
    <w:p w14:paraId="47CFA58A" w14:textId="77777777" w:rsidR="00C50F56" w:rsidRPr="00B97122" w:rsidRDefault="00C50F56" w:rsidP="004C3670">
      <w:pPr>
        <w:ind w:right="17"/>
        <w:jc w:val="center"/>
        <w:outlineLvl w:val="0"/>
        <w:rPr>
          <w:rFonts w:asciiTheme="majorHAnsi" w:eastAsia="Times New Roman" w:hAnsiTheme="majorHAnsi" w:cstheme="majorHAnsi"/>
          <w:b/>
          <w:bCs/>
          <w:sz w:val="22"/>
          <w:szCs w:val="22"/>
          <w:lang w:val="es-ES_tradnl"/>
        </w:rPr>
      </w:pPr>
    </w:p>
    <w:p w14:paraId="50D11B91" w14:textId="77777777" w:rsidR="001670A8" w:rsidRPr="00B97122" w:rsidRDefault="00C50F56" w:rsidP="001670A8">
      <w:pPr>
        <w:tabs>
          <w:tab w:val="left" w:pos="1134"/>
        </w:tabs>
        <w:ind w:right="17"/>
        <w:jc w:val="center"/>
        <w:outlineLvl w:val="0"/>
        <w:rPr>
          <w:rFonts w:ascii="Calibri" w:hAnsi="Calibri" w:cstheme="majorHAnsi"/>
          <w:b/>
          <w:bCs/>
          <w:sz w:val="22"/>
          <w:szCs w:val="22"/>
          <w:lang w:val="es-ES_tradnl"/>
        </w:rPr>
      </w:pPr>
      <w:r w:rsidRPr="00B97122">
        <w:rPr>
          <w:rFonts w:asciiTheme="majorHAnsi" w:eastAsia="Times New Roman" w:hAnsiTheme="majorHAnsi" w:cstheme="majorHAnsi"/>
          <w:b/>
          <w:bCs/>
          <w:sz w:val="22"/>
          <w:szCs w:val="22"/>
          <w:lang w:val="es-ES_tradnl"/>
        </w:rPr>
        <w:t>“</w:t>
      </w:r>
      <w:r w:rsidR="001670A8" w:rsidRPr="00B97122">
        <w:rPr>
          <w:rFonts w:ascii="Calibri" w:hAnsi="Calibri" w:cstheme="majorHAnsi"/>
          <w:b/>
          <w:bCs/>
          <w:sz w:val="22"/>
          <w:szCs w:val="22"/>
          <w:lang w:val="es-ES_tradnl"/>
        </w:rPr>
        <w:t>Humedales para un futuro urbano sostenible”</w:t>
      </w:r>
    </w:p>
    <w:p w14:paraId="011B6923" w14:textId="77777777" w:rsidR="001670A8" w:rsidRPr="00B97122" w:rsidRDefault="001670A8" w:rsidP="001670A8">
      <w:pPr>
        <w:tabs>
          <w:tab w:val="left" w:pos="1134"/>
        </w:tabs>
        <w:ind w:right="17"/>
        <w:jc w:val="center"/>
        <w:outlineLvl w:val="0"/>
        <w:rPr>
          <w:rFonts w:ascii="Calibri" w:hAnsi="Calibri" w:cstheme="majorHAnsi"/>
          <w:b/>
          <w:bCs/>
          <w:sz w:val="22"/>
          <w:szCs w:val="22"/>
          <w:lang w:val="es-ES_tradnl"/>
        </w:rPr>
      </w:pPr>
      <w:r w:rsidRPr="00B97122">
        <w:rPr>
          <w:rFonts w:ascii="Calibri" w:hAnsi="Calibri" w:cstheme="majorHAnsi"/>
          <w:b/>
          <w:bCs/>
          <w:sz w:val="22"/>
          <w:szCs w:val="22"/>
          <w:lang w:val="es-ES_tradnl"/>
        </w:rPr>
        <w:t>Dubái, Emiratos Árabes Unidos,</w:t>
      </w:r>
    </w:p>
    <w:p w14:paraId="3D433799" w14:textId="139D26EE" w:rsidR="00C50F56" w:rsidRPr="00B97122" w:rsidRDefault="001670A8" w:rsidP="001670A8">
      <w:pPr>
        <w:ind w:right="17"/>
        <w:jc w:val="center"/>
        <w:outlineLvl w:val="0"/>
        <w:rPr>
          <w:rFonts w:asciiTheme="majorHAnsi" w:eastAsia="Times New Roman" w:hAnsiTheme="majorHAnsi" w:cstheme="majorHAnsi"/>
          <w:b/>
          <w:bCs/>
          <w:sz w:val="22"/>
          <w:szCs w:val="22"/>
          <w:lang w:val="es-ES_tradnl"/>
        </w:rPr>
      </w:pPr>
      <w:r w:rsidRPr="00B97122">
        <w:rPr>
          <w:rFonts w:ascii="Calibri" w:hAnsi="Calibri" w:cstheme="majorHAnsi"/>
          <w:b/>
          <w:bCs/>
          <w:sz w:val="22"/>
          <w:szCs w:val="22"/>
          <w:lang w:val="es-ES_tradnl"/>
        </w:rPr>
        <w:t xml:space="preserve">21 a 29 de octubre de </w:t>
      </w:r>
      <w:r w:rsidR="00C50F56" w:rsidRPr="00B97122">
        <w:rPr>
          <w:rFonts w:asciiTheme="majorHAnsi" w:eastAsia="Times New Roman" w:hAnsiTheme="majorHAnsi" w:cstheme="majorHAnsi"/>
          <w:b/>
          <w:bCs/>
          <w:sz w:val="22"/>
          <w:szCs w:val="22"/>
          <w:lang w:val="es-ES_tradnl"/>
        </w:rPr>
        <w:t>2018</w:t>
      </w:r>
    </w:p>
    <w:p w14:paraId="56B8CE2F" w14:textId="77777777" w:rsidR="00C50F56" w:rsidRPr="00B97122" w:rsidRDefault="00C50F56" w:rsidP="004C3670">
      <w:pPr>
        <w:ind w:right="17"/>
        <w:jc w:val="center"/>
        <w:outlineLvl w:val="0"/>
        <w:rPr>
          <w:rFonts w:asciiTheme="majorHAnsi" w:eastAsia="Times New Roman" w:hAnsiTheme="majorHAnsi" w:cstheme="majorHAnsi"/>
          <w:b/>
          <w:bCs/>
          <w:sz w:val="22"/>
          <w:szCs w:val="22"/>
          <w:lang w:val="es-ES_tradnl"/>
        </w:rPr>
      </w:pPr>
    </w:p>
    <w:p w14:paraId="0ACAC69B" w14:textId="77777777" w:rsidR="00C50F56" w:rsidRPr="00B97122" w:rsidRDefault="00C50F56" w:rsidP="004C3670">
      <w:pPr>
        <w:ind w:right="17"/>
        <w:jc w:val="center"/>
        <w:outlineLvl w:val="0"/>
        <w:rPr>
          <w:rFonts w:asciiTheme="majorHAnsi" w:eastAsia="Times New Roman" w:hAnsiTheme="majorHAnsi" w:cstheme="majorHAnsi"/>
          <w:b/>
          <w:bCs/>
          <w:sz w:val="22"/>
          <w:szCs w:val="22"/>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50F56" w:rsidRPr="00B97122" w14:paraId="778891CD" w14:textId="77777777" w:rsidTr="00B7466B">
        <w:tc>
          <w:tcPr>
            <w:tcW w:w="4708" w:type="dxa"/>
          </w:tcPr>
          <w:p w14:paraId="2031E082" w14:textId="77777777" w:rsidR="00C50F56" w:rsidRPr="00B97122" w:rsidRDefault="00C50F56" w:rsidP="004C3670">
            <w:pPr>
              <w:ind w:right="17"/>
              <w:jc w:val="center"/>
              <w:outlineLvl w:val="0"/>
              <w:rPr>
                <w:rFonts w:asciiTheme="majorHAnsi" w:eastAsia="Times New Roman" w:hAnsiTheme="majorHAnsi" w:cstheme="majorHAnsi"/>
                <w:b/>
                <w:bCs/>
                <w:sz w:val="22"/>
                <w:szCs w:val="22"/>
                <w:lang w:val="es-ES_tradnl"/>
              </w:rPr>
            </w:pPr>
          </w:p>
        </w:tc>
        <w:tc>
          <w:tcPr>
            <w:tcW w:w="4652" w:type="dxa"/>
          </w:tcPr>
          <w:p w14:paraId="347E978B" w14:textId="0ADCAB45" w:rsidR="00C50F56" w:rsidRPr="00B97122" w:rsidRDefault="00C50F56" w:rsidP="004C3670">
            <w:pPr>
              <w:ind w:right="67"/>
              <w:jc w:val="right"/>
              <w:outlineLvl w:val="0"/>
              <w:rPr>
                <w:rFonts w:asciiTheme="majorHAnsi" w:eastAsia="Times New Roman" w:hAnsiTheme="majorHAnsi" w:cstheme="majorHAnsi"/>
                <w:b/>
                <w:bCs/>
                <w:sz w:val="22"/>
                <w:szCs w:val="22"/>
                <w:lang w:val="es-ES_tradnl"/>
              </w:rPr>
            </w:pPr>
            <w:r w:rsidRPr="00B97122">
              <w:rPr>
                <w:rFonts w:asciiTheme="majorHAnsi" w:eastAsia="Times New Roman" w:hAnsiTheme="majorHAnsi" w:cstheme="majorHAnsi"/>
                <w:b/>
                <w:bCs/>
                <w:sz w:val="22"/>
                <w:szCs w:val="22"/>
                <w:lang w:val="es-ES_tradnl"/>
              </w:rPr>
              <w:t>Ramsar COP13 Doc.</w:t>
            </w:r>
            <w:r w:rsidR="003D28E4" w:rsidRPr="00B97122">
              <w:rPr>
                <w:rFonts w:asciiTheme="majorHAnsi" w:eastAsia="Times New Roman" w:hAnsiTheme="majorHAnsi" w:cstheme="majorHAnsi"/>
                <w:b/>
                <w:bCs/>
                <w:sz w:val="22"/>
                <w:szCs w:val="22"/>
                <w:lang w:val="es-ES_tradnl"/>
              </w:rPr>
              <w:t>10</w:t>
            </w:r>
          </w:p>
        </w:tc>
      </w:tr>
    </w:tbl>
    <w:p w14:paraId="4D4E4B4D" w14:textId="77777777" w:rsidR="00C50F56" w:rsidRPr="00B97122" w:rsidRDefault="00C50F56" w:rsidP="004C3670">
      <w:pPr>
        <w:rPr>
          <w:rFonts w:asciiTheme="majorHAnsi" w:hAnsiTheme="majorHAnsi"/>
          <w:b/>
          <w:sz w:val="22"/>
          <w:szCs w:val="22"/>
          <w:lang w:val="es-ES_tradnl"/>
        </w:rPr>
      </w:pPr>
    </w:p>
    <w:p w14:paraId="6C79032B" w14:textId="1709CE31" w:rsidR="005825FD" w:rsidRPr="00C44990" w:rsidRDefault="001670A8" w:rsidP="004C3670">
      <w:pPr>
        <w:autoSpaceDE w:val="0"/>
        <w:autoSpaceDN w:val="0"/>
        <w:adjustRightInd w:val="0"/>
        <w:ind w:right="288"/>
        <w:jc w:val="center"/>
        <w:rPr>
          <w:rFonts w:asciiTheme="majorHAnsi" w:hAnsiTheme="majorHAnsi" w:cs="Calibri"/>
          <w:b/>
          <w:bCs/>
          <w:sz w:val="28"/>
          <w:szCs w:val="28"/>
          <w:lang w:val="es-ES_tradnl"/>
        </w:rPr>
      </w:pPr>
      <w:r w:rsidRPr="00C44990">
        <w:rPr>
          <w:rFonts w:asciiTheme="majorHAnsi" w:hAnsiTheme="majorHAnsi"/>
          <w:b/>
          <w:bCs/>
          <w:color w:val="000000"/>
          <w:sz w:val="28"/>
          <w:szCs w:val="28"/>
          <w:lang w:val="es-ES_tradnl"/>
        </w:rPr>
        <w:t xml:space="preserve">Informe sobre la aplicación del Programa de CECoP para </w:t>
      </w:r>
      <w:r w:rsidR="00C64326" w:rsidRPr="00C44990">
        <w:rPr>
          <w:rFonts w:asciiTheme="majorHAnsi" w:hAnsiTheme="majorHAnsi"/>
          <w:b/>
          <w:bCs/>
          <w:color w:val="000000"/>
          <w:sz w:val="28"/>
          <w:szCs w:val="28"/>
          <w:lang w:val="es-ES_tradnl"/>
        </w:rPr>
        <w:t>2016-2018</w:t>
      </w:r>
      <w:r w:rsidR="003D28E4" w:rsidRPr="00C44990">
        <w:rPr>
          <w:rFonts w:asciiTheme="majorHAnsi" w:hAnsiTheme="majorHAnsi"/>
          <w:b/>
          <w:bCs/>
          <w:color w:val="000000"/>
          <w:sz w:val="28"/>
          <w:szCs w:val="28"/>
          <w:lang w:val="es-ES_tradnl"/>
        </w:rPr>
        <w:br/>
      </w:r>
      <w:r w:rsidRPr="00C44990">
        <w:rPr>
          <w:rFonts w:asciiTheme="majorHAnsi" w:hAnsiTheme="majorHAnsi"/>
          <w:b/>
          <w:bCs/>
          <w:color w:val="000000"/>
          <w:sz w:val="28"/>
          <w:szCs w:val="28"/>
          <w:lang w:val="es-ES_tradnl"/>
        </w:rPr>
        <w:t xml:space="preserve">y recomendaciones sobre </w:t>
      </w:r>
      <w:r w:rsidR="0064077F" w:rsidRPr="00C44990">
        <w:rPr>
          <w:rFonts w:asciiTheme="majorHAnsi" w:hAnsiTheme="majorHAnsi"/>
          <w:b/>
          <w:bCs/>
          <w:sz w:val="28"/>
          <w:szCs w:val="28"/>
          <w:lang w:val="es-ES_tradnl"/>
        </w:rPr>
        <w:t>orientaciones futuras</w:t>
      </w:r>
    </w:p>
    <w:p w14:paraId="797B7770" w14:textId="77777777" w:rsidR="005825FD" w:rsidRPr="00B97122" w:rsidRDefault="005825FD" w:rsidP="004C3670">
      <w:pPr>
        <w:autoSpaceDE w:val="0"/>
        <w:autoSpaceDN w:val="0"/>
        <w:adjustRightInd w:val="0"/>
        <w:ind w:right="288"/>
        <w:rPr>
          <w:rFonts w:asciiTheme="majorHAnsi" w:hAnsiTheme="majorHAnsi" w:cs="Calibri"/>
          <w:b/>
          <w:bCs/>
          <w:sz w:val="22"/>
          <w:szCs w:val="22"/>
          <w:lang w:val="es-ES_tradnl"/>
        </w:rPr>
      </w:pPr>
    </w:p>
    <w:p w14:paraId="78C0075B" w14:textId="77777777" w:rsidR="00C50F56" w:rsidRPr="00B97122" w:rsidRDefault="00C50F56" w:rsidP="004C3670">
      <w:pPr>
        <w:autoSpaceDE w:val="0"/>
        <w:autoSpaceDN w:val="0"/>
        <w:adjustRightInd w:val="0"/>
        <w:ind w:right="288"/>
        <w:rPr>
          <w:rFonts w:asciiTheme="majorHAnsi" w:hAnsiTheme="majorHAnsi" w:cs="Calibri"/>
          <w:b/>
          <w:bCs/>
          <w:sz w:val="22"/>
          <w:szCs w:val="22"/>
          <w:lang w:val="es-ES_tradnl"/>
        </w:rPr>
      </w:pPr>
    </w:p>
    <w:p w14:paraId="15FE2855" w14:textId="67BCE088" w:rsidR="00C64326" w:rsidRPr="00B97122" w:rsidRDefault="001670A8" w:rsidP="004C3670">
      <w:pPr>
        <w:autoSpaceDE w:val="0"/>
        <w:autoSpaceDN w:val="0"/>
        <w:adjustRightInd w:val="0"/>
        <w:rPr>
          <w:rFonts w:asciiTheme="majorHAnsi" w:hAnsiTheme="majorHAnsi" w:cs="Calibri"/>
          <w:bCs/>
          <w:sz w:val="22"/>
          <w:szCs w:val="22"/>
          <w:u w:val="single"/>
          <w:lang w:val="es-ES_tradnl"/>
        </w:rPr>
      </w:pPr>
      <w:r w:rsidRPr="00B97122">
        <w:rPr>
          <w:rFonts w:asciiTheme="majorHAnsi" w:hAnsiTheme="majorHAnsi" w:cs="Calibri"/>
          <w:bCs/>
          <w:sz w:val="22"/>
          <w:szCs w:val="22"/>
          <w:u w:val="single"/>
          <w:lang w:val="es-ES_tradnl"/>
        </w:rPr>
        <w:t>Resumen</w:t>
      </w:r>
    </w:p>
    <w:p w14:paraId="16704F2D" w14:textId="77777777" w:rsidR="00013A20" w:rsidRPr="00B97122" w:rsidRDefault="00013A20" w:rsidP="004C3670">
      <w:pPr>
        <w:pStyle w:val="BodyText"/>
        <w:widowControl/>
        <w:tabs>
          <w:tab w:val="left" w:pos="544"/>
        </w:tabs>
        <w:ind w:left="425" w:hanging="425"/>
        <w:rPr>
          <w:rFonts w:asciiTheme="majorHAnsi" w:hAnsiTheme="majorHAnsi"/>
          <w:lang w:val="es-ES_tradnl"/>
        </w:rPr>
      </w:pPr>
    </w:p>
    <w:p w14:paraId="525DFBCD" w14:textId="410D895D" w:rsidR="00C64326" w:rsidRPr="00B97122" w:rsidRDefault="00013A2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w:t>
      </w:r>
      <w:r w:rsidRPr="00B97122">
        <w:rPr>
          <w:rFonts w:asciiTheme="majorHAnsi" w:hAnsiTheme="majorHAnsi"/>
          <w:lang w:val="es-ES_tradnl"/>
        </w:rPr>
        <w:tab/>
      </w:r>
      <w:r w:rsidR="001670A8" w:rsidRPr="00B97122">
        <w:rPr>
          <w:rFonts w:asciiTheme="majorHAnsi" w:hAnsiTheme="majorHAnsi"/>
          <w:lang w:val="es-ES_tradnl"/>
        </w:rPr>
        <w:t xml:space="preserve">El presente documento contiene un examen de los progresos realizados en la aplicación del Programa de CECoP durante el trienio </w:t>
      </w:r>
      <w:r w:rsidR="00C64326" w:rsidRPr="00B97122">
        <w:rPr>
          <w:rFonts w:asciiTheme="majorHAnsi" w:hAnsiTheme="majorHAnsi" w:cs="Times New Roman"/>
          <w:lang w:val="es-ES_tradnl"/>
        </w:rPr>
        <w:t xml:space="preserve">2016-2018 </w:t>
      </w:r>
      <w:r w:rsidR="001670A8" w:rsidRPr="00B97122">
        <w:rPr>
          <w:rFonts w:asciiTheme="majorHAnsi" w:hAnsiTheme="majorHAnsi" w:cs="Times New Roman"/>
          <w:lang w:val="es-ES_tradnl"/>
        </w:rPr>
        <w:t xml:space="preserve">y recomendaciones del Grupo de supervisión de las actividades de CECoP sobre un nuevo enfoque </w:t>
      </w:r>
      <w:r w:rsidR="0064077F" w:rsidRPr="00B97122">
        <w:rPr>
          <w:rFonts w:asciiTheme="majorHAnsi" w:hAnsiTheme="majorHAnsi" w:cs="Times New Roman"/>
          <w:lang w:val="es-ES_tradnl"/>
        </w:rPr>
        <w:t>en</w:t>
      </w:r>
      <w:r w:rsidR="001670A8" w:rsidRPr="00B97122">
        <w:rPr>
          <w:rFonts w:asciiTheme="majorHAnsi" w:hAnsiTheme="majorHAnsi" w:cs="Times New Roman"/>
          <w:lang w:val="es-ES_tradnl"/>
        </w:rPr>
        <w:t xml:space="preserve"> la aplicación de la CECoP.</w:t>
      </w:r>
    </w:p>
    <w:p w14:paraId="50778250" w14:textId="77777777" w:rsidR="00013A20" w:rsidRPr="00B97122" w:rsidRDefault="00013A20" w:rsidP="004C3670">
      <w:pPr>
        <w:pStyle w:val="BodyText"/>
        <w:widowControl/>
        <w:tabs>
          <w:tab w:val="left" w:pos="544"/>
        </w:tabs>
        <w:ind w:left="425" w:hanging="425"/>
        <w:rPr>
          <w:rFonts w:asciiTheme="majorHAnsi" w:hAnsiTheme="majorHAnsi" w:cs="Times New Roman"/>
          <w:lang w:val="es-ES_tradnl"/>
        </w:rPr>
      </w:pPr>
    </w:p>
    <w:p w14:paraId="7A91C6C7" w14:textId="34F67AE5" w:rsidR="00C64326" w:rsidRPr="00B97122" w:rsidRDefault="00013A2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2.</w:t>
      </w:r>
      <w:r w:rsidRPr="00B97122">
        <w:rPr>
          <w:rFonts w:asciiTheme="majorHAnsi" w:hAnsiTheme="majorHAnsi" w:cs="Times New Roman"/>
          <w:lang w:val="es-ES_tradnl"/>
        </w:rPr>
        <w:tab/>
      </w:r>
      <w:r w:rsidR="001670A8" w:rsidRPr="00B97122">
        <w:rPr>
          <w:rFonts w:asciiTheme="majorHAnsi" w:hAnsiTheme="majorHAnsi" w:cs="Times New Roman"/>
          <w:lang w:val="es-ES_tradnl"/>
        </w:rPr>
        <w:t xml:space="preserve">En cuanto a los </w:t>
      </w:r>
      <w:r w:rsidR="0064077F" w:rsidRPr="00B97122">
        <w:rPr>
          <w:rFonts w:asciiTheme="majorHAnsi" w:hAnsiTheme="majorHAnsi" w:cs="Times New Roman"/>
          <w:lang w:val="es-ES_tradnl"/>
        </w:rPr>
        <w:t>progresos realizados</w:t>
      </w:r>
      <w:r w:rsidR="001670A8" w:rsidRPr="00B97122">
        <w:rPr>
          <w:rFonts w:asciiTheme="majorHAnsi" w:hAnsiTheme="majorHAnsi" w:cs="Times New Roman"/>
          <w:lang w:val="es-ES_tradnl"/>
        </w:rPr>
        <w:t xml:space="preserve"> en el último trienio, se han realizado muchas actividades en el marco de los nueve objetivos del Programa de CECoP, con logros en materia de liderazgo, apoyo y </w:t>
      </w:r>
      <w:r w:rsidR="00E441E2" w:rsidRPr="00B97122">
        <w:rPr>
          <w:rFonts w:asciiTheme="majorHAnsi" w:hAnsiTheme="majorHAnsi" w:cs="Times New Roman"/>
          <w:lang w:val="es-ES_tradnl"/>
        </w:rPr>
        <w:t>creación de capacidad</w:t>
      </w:r>
      <w:r w:rsidR="001670A8" w:rsidRPr="00B97122">
        <w:rPr>
          <w:rFonts w:asciiTheme="majorHAnsi" w:hAnsiTheme="majorHAnsi" w:cs="Times New Roman"/>
          <w:lang w:val="es-ES_tradnl"/>
        </w:rPr>
        <w:t xml:space="preserve"> para </w:t>
      </w:r>
      <w:r w:rsidR="005919ED" w:rsidRPr="00B97122">
        <w:rPr>
          <w:rFonts w:asciiTheme="majorHAnsi" w:hAnsiTheme="majorHAnsi" w:cs="Times New Roman"/>
          <w:lang w:val="es-ES_tradnl"/>
        </w:rPr>
        <w:t>administradores</w:t>
      </w:r>
      <w:r w:rsidR="001670A8" w:rsidRPr="00B97122">
        <w:rPr>
          <w:rFonts w:asciiTheme="majorHAnsi" w:hAnsiTheme="majorHAnsi" w:cs="Times New Roman"/>
          <w:lang w:val="es-ES_tradnl"/>
        </w:rPr>
        <w:t xml:space="preserve"> de sitios, partic</w:t>
      </w:r>
      <w:r w:rsidR="00E441E2" w:rsidRPr="00B97122">
        <w:rPr>
          <w:rFonts w:asciiTheme="majorHAnsi" w:hAnsiTheme="majorHAnsi" w:cs="Times New Roman"/>
          <w:lang w:val="es-ES_tradnl"/>
        </w:rPr>
        <w:t>ipación de nuevos interesados</w:t>
      </w:r>
      <w:r w:rsidR="001670A8" w:rsidRPr="00B97122">
        <w:rPr>
          <w:rFonts w:asciiTheme="majorHAnsi" w:hAnsiTheme="majorHAnsi" w:cs="Times New Roman"/>
          <w:lang w:val="es-ES_tradnl"/>
        </w:rPr>
        <w:t xml:space="preserve">, el Día Mundial de los Humedales y otras campañas y </w:t>
      </w:r>
      <w:r w:rsidR="00E441E2" w:rsidRPr="00B97122">
        <w:rPr>
          <w:rFonts w:asciiTheme="majorHAnsi" w:hAnsiTheme="majorHAnsi" w:cs="Times New Roman"/>
          <w:lang w:val="es-ES_tradnl"/>
        </w:rPr>
        <w:t>diversos</w:t>
      </w:r>
      <w:r w:rsidR="001670A8" w:rsidRPr="00B97122">
        <w:rPr>
          <w:rFonts w:asciiTheme="majorHAnsi" w:hAnsiTheme="majorHAnsi" w:cs="Times New Roman"/>
          <w:lang w:val="es-ES_tradnl"/>
        </w:rPr>
        <w:t xml:space="preserve"> materiales </w:t>
      </w:r>
      <w:r w:rsidR="00E441E2" w:rsidRPr="00B97122">
        <w:rPr>
          <w:rFonts w:asciiTheme="majorHAnsi" w:hAnsiTheme="majorHAnsi" w:cs="Times New Roman"/>
          <w:lang w:val="es-ES_tradnl"/>
        </w:rPr>
        <w:t>educativos y de promoción</w:t>
      </w:r>
      <w:r w:rsidR="001670A8" w:rsidRPr="00B97122">
        <w:rPr>
          <w:rFonts w:asciiTheme="majorHAnsi" w:hAnsiTheme="majorHAnsi" w:cs="Times New Roman"/>
          <w:lang w:val="es-ES_tradnl"/>
        </w:rPr>
        <w:t xml:space="preserve">. No obstante, </w:t>
      </w:r>
      <w:r w:rsidR="00E441E2" w:rsidRPr="00B97122">
        <w:rPr>
          <w:rFonts w:asciiTheme="majorHAnsi" w:hAnsiTheme="majorHAnsi" w:cs="Times New Roman"/>
          <w:lang w:val="es-ES_tradnl"/>
        </w:rPr>
        <w:t xml:space="preserve">es difícil evaluar </w:t>
      </w:r>
      <w:r w:rsidR="001670A8" w:rsidRPr="00B97122">
        <w:rPr>
          <w:rFonts w:asciiTheme="majorHAnsi" w:hAnsiTheme="majorHAnsi" w:cs="Times New Roman"/>
          <w:lang w:val="es-ES_tradnl"/>
        </w:rPr>
        <w:t xml:space="preserve">el impacto de estas </w:t>
      </w:r>
      <w:r w:rsidR="0017000D">
        <w:rPr>
          <w:rFonts w:asciiTheme="majorHAnsi" w:hAnsiTheme="majorHAnsi" w:cs="Times New Roman"/>
          <w:lang w:val="es-ES_tradnl"/>
        </w:rPr>
        <w:t>iniciativas</w:t>
      </w:r>
      <w:r w:rsidR="001670A8" w:rsidRPr="00B97122">
        <w:rPr>
          <w:rFonts w:asciiTheme="majorHAnsi" w:hAnsiTheme="majorHAnsi" w:cs="Times New Roman"/>
          <w:lang w:val="es-ES_tradnl"/>
        </w:rPr>
        <w:t xml:space="preserve"> y es necesario incorporar metodologías de evaluación para </w:t>
      </w:r>
      <w:r w:rsidR="005919ED" w:rsidRPr="00B97122">
        <w:rPr>
          <w:rFonts w:asciiTheme="majorHAnsi" w:hAnsiTheme="majorHAnsi" w:cs="Times New Roman"/>
          <w:lang w:val="es-ES_tradnl"/>
        </w:rPr>
        <w:t>perfeccionar</w:t>
      </w:r>
      <w:r w:rsidR="001670A8" w:rsidRPr="00B97122">
        <w:rPr>
          <w:rFonts w:asciiTheme="majorHAnsi" w:hAnsiTheme="majorHAnsi" w:cs="Times New Roman"/>
          <w:lang w:val="es-ES_tradnl"/>
        </w:rPr>
        <w:t xml:space="preserve"> </w:t>
      </w:r>
      <w:r w:rsidR="00E441E2" w:rsidRPr="00B97122">
        <w:rPr>
          <w:rFonts w:asciiTheme="majorHAnsi" w:hAnsiTheme="majorHAnsi" w:cs="Times New Roman"/>
          <w:lang w:val="es-ES_tradnl"/>
        </w:rPr>
        <w:t xml:space="preserve">las actividades </w:t>
      </w:r>
      <w:r w:rsidR="001670A8" w:rsidRPr="00B97122">
        <w:rPr>
          <w:rFonts w:asciiTheme="majorHAnsi" w:hAnsiTheme="majorHAnsi" w:cs="Times New Roman"/>
          <w:lang w:val="es-ES_tradnl"/>
        </w:rPr>
        <w:t xml:space="preserve">futuras </w:t>
      </w:r>
      <w:r w:rsidR="00E441E2" w:rsidRPr="00B97122">
        <w:rPr>
          <w:rFonts w:asciiTheme="majorHAnsi" w:hAnsiTheme="majorHAnsi" w:cs="Times New Roman"/>
          <w:lang w:val="es-ES_tradnl"/>
        </w:rPr>
        <w:t xml:space="preserve">de </w:t>
      </w:r>
      <w:r w:rsidR="001670A8" w:rsidRPr="00B97122">
        <w:rPr>
          <w:rFonts w:asciiTheme="majorHAnsi" w:hAnsiTheme="majorHAnsi" w:cs="Times New Roman"/>
          <w:lang w:val="es-ES_tradnl"/>
        </w:rPr>
        <w:t xml:space="preserve">CECoP. </w:t>
      </w:r>
      <w:r w:rsidR="00E441E2" w:rsidRPr="00B97122">
        <w:rPr>
          <w:rFonts w:asciiTheme="majorHAnsi" w:hAnsiTheme="majorHAnsi" w:cs="Times New Roman"/>
          <w:lang w:val="es-ES_tradnl"/>
        </w:rPr>
        <w:t xml:space="preserve">Algunos mecanismos posibles </w:t>
      </w:r>
      <w:r w:rsidR="001670A8" w:rsidRPr="00B97122">
        <w:rPr>
          <w:rFonts w:asciiTheme="majorHAnsi" w:hAnsiTheme="majorHAnsi" w:cs="Times New Roman"/>
          <w:lang w:val="es-ES_tradnl"/>
        </w:rPr>
        <w:t xml:space="preserve">para medir </w:t>
      </w:r>
      <w:r w:rsidR="00E441E2" w:rsidRPr="00B97122">
        <w:rPr>
          <w:rFonts w:asciiTheme="majorHAnsi" w:hAnsiTheme="majorHAnsi" w:cs="Times New Roman"/>
          <w:lang w:val="es-ES_tradnl"/>
        </w:rPr>
        <w:t xml:space="preserve">dicho impacto </w:t>
      </w:r>
      <w:r w:rsidR="001670A8" w:rsidRPr="00B97122">
        <w:rPr>
          <w:rFonts w:asciiTheme="majorHAnsi" w:hAnsiTheme="majorHAnsi" w:cs="Times New Roman"/>
          <w:lang w:val="es-ES_tradnl"/>
        </w:rPr>
        <w:t xml:space="preserve">son la presentación de informes sobre los resultados a escala nacional y mundial, las evaluaciones de </w:t>
      </w:r>
      <w:r w:rsidR="0017000D" w:rsidRPr="00B97122">
        <w:rPr>
          <w:rFonts w:asciiTheme="majorHAnsi" w:hAnsiTheme="majorHAnsi" w:cs="Times New Roman"/>
          <w:lang w:val="es-ES_tradnl"/>
        </w:rPr>
        <w:t>actividades</w:t>
      </w:r>
      <w:r w:rsidR="001670A8" w:rsidRPr="00B97122">
        <w:rPr>
          <w:rFonts w:asciiTheme="majorHAnsi" w:hAnsiTheme="majorHAnsi" w:cs="Times New Roman"/>
          <w:lang w:val="es-ES_tradnl"/>
        </w:rPr>
        <w:t xml:space="preserve"> concretas y el examen del Plan Estratégico de Ramsar</w:t>
      </w:r>
      <w:r w:rsidR="00C64326" w:rsidRPr="00B97122">
        <w:rPr>
          <w:rFonts w:asciiTheme="majorHAnsi" w:hAnsiTheme="majorHAnsi" w:cs="Times New Roman"/>
          <w:lang w:val="es-ES_tradnl"/>
        </w:rPr>
        <w:t>.</w:t>
      </w:r>
    </w:p>
    <w:p w14:paraId="084710EC" w14:textId="77777777" w:rsidR="00013A20" w:rsidRPr="00B97122" w:rsidRDefault="00013A20" w:rsidP="004C3670">
      <w:pPr>
        <w:pStyle w:val="BodyText"/>
        <w:widowControl/>
        <w:tabs>
          <w:tab w:val="left" w:pos="544"/>
        </w:tabs>
        <w:ind w:left="425" w:hanging="425"/>
        <w:rPr>
          <w:rFonts w:asciiTheme="majorHAnsi" w:hAnsiTheme="majorHAnsi"/>
          <w:lang w:val="es-ES_tradnl"/>
        </w:rPr>
      </w:pPr>
    </w:p>
    <w:p w14:paraId="4583C24B" w14:textId="3854B537" w:rsidR="00C64326" w:rsidRPr="00B97122" w:rsidRDefault="00013A2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3.</w:t>
      </w:r>
      <w:r w:rsidRPr="00B97122">
        <w:rPr>
          <w:rFonts w:asciiTheme="majorHAnsi" w:hAnsiTheme="majorHAnsi"/>
          <w:lang w:val="es-ES_tradnl"/>
        </w:rPr>
        <w:tab/>
      </w:r>
      <w:r w:rsidR="001670A8" w:rsidRPr="00B97122">
        <w:rPr>
          <w:rFonts w:asciiTheme="majorHAnsi" w:hAnsiTheme="majorHAnsi"/>
          <w:lang w:val="es-ES_tradnl"/>
        </w:rPr>
        <w:t xml:space="preserve">Se han </w:t>
      </w:r>
      <w:r w:rsidR="00E441E2" w:rsidRPr="00B97122">
        <w:rPr>
          <w:rFonts w:asciiTheme="majorHAnsi" w:hAnsiTheme="majorHAnsi"/>
          <w:lang w:val="es-ES_tradnl"/>
        </w:rPr>
        <w:t>formulado</w:t>
      </w:r>
      <w:r w:rsidR="001670A8" w:rsidRPr="00B97122">
        <w:rPr>
          <w:rFonts w:asciiTheme="majorHAnsi" w:hAnsiTheme="majorHAnsi"/>
          <w:lang w:val="es-ES_tradnl"/>
        </w:rPr>
        <w:t xml:space="preserve"> recomendaciones sobre un nuevo </w:t>
      </w:r>
      <w:r w:rsidR="00E441E2" w:rsidRPr="00B97122">
        <w:rPr>
          <w:rFonts w:asciiTheme="majorHAnsi" w:hAnsiTheme="majorHAnsi"/>
          <w:lang w:val="es-ES_tradnl"/>
        </w:rPr>
        <w:t xml:space="preserve">enfoque de la </w:t>
      </w:r>
      <w:r w:rsidR="001670A8" w:rsidRPr="00B97122">
        <w:rPr>
          <w:rFonts w:asciiTheme="majorHAnsi" w:hAnsiTheme="majorHAnsi" w:cs="Times New Roman"/>
          <w:lang w:val="es-ES_tradnl"/>
        </w:rPr>
        <w:t>CECoP</w:t>
      </w:r>
      <w:r w:rsidR="00C64326" w:rsidRPr="00B97122">
        <w:rPr>
          <w:rFonts w:asciiTheme="majorHAnsi" w:hAnsiTheme="majorHAnsi" w:cs="Times New Roman"/>
          <w:lang w:val="es-ES_tradnl"/>
        </w:rPr>
        <w:t xml:space="preserve"> </w:t>
      </w:r>
      <w:r w:rsidR="001670A8" w:rsidRPr="00B97122">
        <w:rPr>
          <w:rFonts w:asciiTheme="majorHAnsi" w:hAnsiTheme="majorHAnsi" w:cs="Times New Roman"/>
          <w:lang w:val="es-ES_tradnl"/>
        </w:rPr>
        <w:t xml:space="preserve">para servir de </w:t>
      </w:r>
      <w:r w:rsidR="00E441E2" w:rsidRPr="00B97122">
        <w:rPr>
          <w:rFonts w:asciiTheme="majorHAnsi" w:hAnsiTheme="majorHAnsi" w:cs="Times New Roman"/>
          <w:lang w:val="es-ES_tradnl"/>
        </w:rPr>
        <w:t>base de</w:t>
      </w:r>
      <w:r w:rsidR="001670A8" w:rsidRPr="00B97122">
        <w:rPr>
          <w:rFonts w:asciiTheme="majorHAnsi" w:hAnsiTheme="majorHAnsi" w:cs="Times New Roman"/>
          <w:lang w:val="es-ES_tradnl"/>
        </w:rPr>
        <w:t xml:space="preserve"> un proyecto de resolución para la </w:t>
      </w:r>
      <w:r w:rsidR="00C64326" w:rsidRPr="00B97122">
        <w:rPr>
          <w:rFonts w:asciiTheme="majorHAnsi" w:hAnsiTheme="majorHAnsi" w:cs="Times New Roman"/>
          <w:lang w:val="es-ES_tradnl"/>
        </w:rPr>
        <w:t xml:space="preserve">COP14 </w:t>
      </w:r>
      <w:r w:rsidR="001670A8" w:rsidRPr="00B97122">
        <w:rPr>
          <w:rFonts w:asciiTheme="majorHAnsi" w:hAnsiTheme="majorHAnsi" w:cs="Times New Roman"/>
          <w:lang w:val="es-ES_tradnl"/>
        </w:rPr>
        <w:t xml:space="preserve">sobre el futuro de la CECoP y </w:t>
      </w:r>
      <w:r w:rsidR="00E441E2" w:rsidRPr="00B97122">
        <w:rPr>
          <w:rFonts w:asciiTheme="majorHAnsi" w:hAnsiTheme="majorHAnsi" w:cs="Times New Roman"/>
          <w:lang w:val="es-ES_tradnl"/>
        </w:rPr>
        <w:t xml:space="preserve">realizar aportaciones </w:t>
      </w:r>
      <w:r w:rsidR="001670A8" w:rsidRPr="00B97122">
        <w:rPr>
          <w:rFonts w:asciiTheme="majorHAnsi" w:hAnsiTheme="majorHAnsi" w:cs="Times New Roman"/>
          <w:lang w:val="es-ES_tradnl"/>
        </w:rPr>
        <w:t xml:space="preserve">al examen del Plan Estratégico de Ramsar y </w:t>
      </w:r>
      <w:r w:rsidR="00B97122" w:rsidRPr="00B97122">
        <w:rPr>
          <w:rFonts w:asciiTheme="majorHAnsi" w:hAnsiTheme="majorHAnsi" w:cs="Times New Roman"/>
          <w:lang w:val="es-ES_tradnl"/>
        </w:rPr>
        <w:t>del</w:t>
      </w:r>
      <w:r w:rsidR="001670A8" w:rsidRPr="00B97122">
        <w:rPr>
          <w:rFonts w:asciiTheme="majorHAnsi" w:hAnsiTheme="majorHAnsi" w:cs="Times New Roman"/>
          <w:lang w:val="es-ES_tradnl"/>
        </w:rPr>
        <w:t xml:space="preserve"> Programa de CECoP, así com</w:t>
      </w:r>
      <w:r w:rsidR="00E441E2" w:rsidRPr="00B97122">
        <w:rPr>
          <w:rFonts w:asciiTheme="majorHAnsi" w:hAnsiTheme="majorHAnsi" w:cs="Times New Roman"/>
          <w:lang w:val="es-ES_tradnl"/>
        </w:rPr>
        <w:t xml:space="preserve">o al enfoque más amplio </w:t>
      </w:r>
      <w:r w:rsidR="00B97122" w:rsidRPr="00B97122">
        <w:rPr>
          <w:rFonts w:asciiTheme="majorHAnsi" w:hAnsiTheme="majorHAnsi" w:cs="Times New Roman"/>
          <w:lang w:val="es-ES_tradnl"/>
        </w:rPr>
        <w:t>de</w:t>
      </w:r>
      <w:r w:rsidR="001670A8" w:rsidRPr="00B97122">
        <w:rPr>
          <w:rFonts w:asciiTheme="majorHAnsi" w:hAnsiTheme="majorHAnsi" w:cs="Times New Roman"/>
          <w:lang w:val="es-ES_tradnl"/>
        </w:rPr>
        <w:t xml:space="preserve"> la </w:t>
      </w:r>
      <w:r w:rsidR="00B97122" w:rsidRPr="00B97122">
        <w:rPr>
          <w:rFonts w:asciiTheme="majorHAnsi" w:hAnsiTheme="majorHAnsi" w:cs="Times New Roman"/>
          <w:lang w:val="es-ES_tradnl"/>
        </w:rPr>
        <w:t xml:space="preserve">aplicación de Ramsar </w:t>
      </w:r>
      <w:r w:rsidR="001670A8" w:rsidRPr="00B97122">
        <w:rPr>
          <w:rFonts w:asciiTheme="majorHAnsi" w:hAnsiTheme="majorHAnsi" w:cs="Times New Roman"/>
          <w:lang w:val="es-ES_tradnl"/>
        </w:rPr>
        <w:t>después de 2</w:t>
      </w:r>
      <w:r w:rsidR="00C64326" w:rsidRPr="00B97122">
        <w:rPr>
          <w:rFonts w:asciiTheme="majorHAnsi" w:hAnsiTheme="majorHAnsi" w:cs="Times New Roman"/>
          <w:lang w:val="es-ES_tradnl"/>
        </w:rPr>
        <w:t>024.</w:t>
      </w:r>
    </w:p>
    <w:p w14:paraId="06E00CF2" w14:textId="77777777" w:rsidR="00013A20" w:rsidRPr="00B97122" w:rsidRDefault="00013A20" w:rsidP="004C3670">
      <w:pPr>
        <w:pStyle w:val="BodyText"/>
        <w:widowControl/>
        <w:tabs>
          <w:tab w:val="left" w:pos="544"/>
        </w:tabs>
        <w:ind w:left="425" w:hanging="425"/>
        <w:rPr>
          <w:rFonts w:asciiTheme="majorHAnsi" w:hAnsiTheme="majorHAnsi"/>
          <w:lang w:val="es-ES_tradnl"/>
        </w:rPr>
      </w:pPr>
    </w:p>
    <w:p w14:paraId="6AC196C7" w14:textId="1B61C759" w:rsidR="00C64326" w:rsidRPr="00B97122" w:rsidRDefault="00013A2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4.</w:t>
      </w:r>
      <w:r w:rsidRPr="00B97122">
        <w:rPr>
          <w:rFonts w:asciiTheme="majorHAnsi" w:hAnsiTheme="majorHAnsi"/>
          <w:lang w:val="es-ES_tradnl"/>
        </w:rPr>
        <w:tab/>
      </w:r>
      <w:r w:rsidR="001670A8" w:rsidRPr="00B97122">
        <w:rPr>
          <w:rFonts w:asciiTheme="majorHAnsi" w:hAnsiTheme="majorHAnsi"/>
          <w:lang w:val="es-ES_tradnl"/>
        </w:rPr>
        <w:t>Algunas de las principales cuestiones que habría que examinar son las siguientes:</w:t>
      </w:r>
    </w:p>
    <w:p w14:paraId="1FC240D6" w14:textId="425C89FA" w:rsidR="00C64326" w:rsidRPr="00B97122" w:rsidRDefault="00B97122" w:rsidP="004C3670">
      <w:pPr>
        <w:numPr>
          <w:ilvl w:val="0"/>
          <w:numId w:val="18"/>
        </w:numPr>
        <w:spacing w:after="200"/>
        <w:ind w:left="714" w:hanging="357"/>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Seguir buscando y perfeccionando</w:t>
      </w:r>
      <w:r w:rsidR="001670A8" w:rsidRPr="00B97122">
        <w:rPr>
          <w:rFonts w:asciiTheme="majorHAnsi" w:eastAsia="Calibri" w:hAnsiTheme="majorHAnsi" w:cs="Times New Roman"/>
          <w:sz w:val="22"/>
          <w:szCs w:val="22"/>
          <w:lang w:val="es-ES_tradnl"/>
        </w:rPr>
        <w:t xml:space="preserve"> la eficiencia </w:t>
      </w:r>
      <w:r w:rsidRPr="00B97122">
        <w:rPr>
          <w:rFonts w:asciiTheme="majorHAnsi" w:eastAsia="Calibri" w:hAnsiTheme="majorHAnsi" w:cs="Times New Roman"/>
          <w:sz w:val="22"/>
          <w:szCs w:val="22"/>
          <w:lang w:val="es-ES_tradnl"/>
        </w:rPr>
        <w:t>operativa</w:t>
      </w:r>
      <w:r>
        <w:rPr>
          <w:rFonts w:asciiTheme="majorHAnsi" w:eastAsia="Calibri" w:hAnsiTheme="majorHAnsi" w:cs="Times New Roman"/>
          <w:sz w:val="22"/>
          <w:szCs w:val="22"/>
          <w:lang w:val="es-ES_tradnl"/>
        </w:rPr>
        <w:t xml:space="preserve"> para</w:t>
      </w:r>
      <w:r w:rsidR="001670A8" w:rsidRPr="00B97122">
        <w:rPr>
          <w:rFonts w:asciiTheme="majorHAnsi" w:eastAsia="Calibri" w:hAnsiTheme="majorHAnsi" w:cs="Times New Roman"/>
          <w:sz w:val="22"/>
          <w:szCs w:val="22"/>
          <w:lang w:val="es-ES_tradnl"/>
        </w:rPr>
        <w:t xml:space="preserve"> </w:t>
      </w:r>
      <w:r>
        <w:rPr>
          <w:rFonts w:asciiTheme="majorHAnsi" w:eastAsia="Calibri" w:hAnsiTheme="majorHAnsi" w:cs="Times New Roman"/>
          <w:sz w:val="22"/>
          <w:szCs w:val="22"/>
          <w:lang w:val="es-ES_tradnl"/>
        </w:rPr>
        <w:t xml:space="preserve">llevar a </w:t>
      </w:r>
      <w:r w:rsidRPr="00B97122">
        <w:rPr>
          <w:rFonts w:asciiTheme="majorHAnsi" w:eastAsia="Calibri" w:hAnsiTheme="majorHAnsi" w:cs="Times New Roman"/>
          <w:sz w:val="22"/>
          <w:szCs w:val="22"/>
          <w:lang w:val="es-ES_tradnl"/>
        </w:rPr>
        <w:t xml:space="preserve">cabo la </w:t>
      </w:r>
      <w:r w:rsidR="001670A8" w:rsidRPr="00B97122">
        <w:rPr>
          <w:rFonts w:asciiTheme="majorHAnsi" w:eastAsia="Calibri" w:hAnsiTheme="majorHAnsi" w:cs="Times New Roman"/>
          <w:sz w:val="22"/>
          <w:szCs w:val="22"/>
          <w:lang w:val="es-ES_tradnl"/>
        </w:rPr>
        <w:t>CECoP</w:t>
      </w:r>
      <w:r w:rsidR="0017000D">
        <w:rPr>
          <w:rFonts w:asciiTheme="majorHAnsi" w:eastAsia="Calibri" w:hAnsiTheme="majorHAnsi" w:cs="Times New Roman"/>
          <w:sz w:val="22"/>
          <w:szCs w:val="22"/>
          <w:lang w:val="es-ES_tradnl"/>
        </w:rPr>
        <w:t xml:space="preserve"> </w:t>
      </w:r>
      <w:r w:rsidR="001670A8" w:rsidRPr="00B97122">
        <w:rPr>
          <w:rFonts w:asciiTheme="majorHAnsi" w:eastAsia="Calibri" w:hAnsiTheme="majorHAnsi" w:cs="Times New Roman"/>
          <w:sz w:val="22"/>
          <w:szCs w:val="22"/>
          <w:lang w:val="es-ES_tradnl"/>
        </w:rPr>
        <w:t xml:space="preserve">mediante </w:t>
      </w:r>
      <w:r>
        <w:rPr>
          <w:rFonts w:asciiTheme="majorHAnsi" w:eastAsia="Calibri" w:hAnsiTheme="majorHAnsi" w:cs="Times New Roman"/>
          <w:sz w:val="22"/>
          <w:szCs w:val="22"/>
          <w:lang w:val="es-ES_tradnl"/>
        </w:rPr>
        <w:t>la</w:t>
      </w:r>
      <w:r w:rsidR="001670A8" w:rsidRPr="00B97122">
        <w:rPr>
          <w:rFonts w:asciiTheme="majorHAnsi" w:eastAsia="Calibri" w:hAnsiTheme="majorHAnsi" w:cs="Times New Roman"/>
          <w:sz w:val="22"/>
          <w:szCs w:val="22"/>
          <w:lang w:val="es-ES_tradnl"/>
        </w:rPr>
        <w:t xml:space="preserve"> integración de </w:t>
      </w:r>
      <w:r>
        <w:rPr>
          <w:rFonts w:asciiTheme="majorHAnsi" w:eastAsia="Calibri" w:hAnsiTheme="majorHAnsi" w:cs="Times New Roman"/>
          <w:sz w:val="22"/>
          <w:szCs w:val="22"/>
          <w:lang w:val="es-ES_tradnl"/>
        </w:rPr>
        <w:t>esta</w:t>
      </w:r>
      <w:r w:rsidR="001670A8" w:rsidRPr="00B97122">
        <w:rPr>
          <w:rFonts w:asciiTheme="majorHAnsi" w:eastAsia="Calibri" w:hAnsiTheme="majorHAnsi" w:cs="Times New Roman"/>
          <w:sz w:val="22"/>
          <w:szCs w:val="22"/>
          <w:lang w:val="es-ES_tradnl"/>
        </w:rPr>
        <w:t xml:space="preserve"> en todos los aspectos de la aplica</w:t>
      </w:r>
      <w:r w:rsidR="0017000D">
        <w:rPr>
          <w:rFonts w:asciiTheme="majorHAnsi" w:eastAsia="Calibri" w:hAnsiTheme="majorHAnsi" w:cs="Times New Roman"/>
          <w:sz w:val="22"/>
          <w:szCs w:val="22"/>
          <w:lang w:val="es-ES_tradnl"/>
        </w:rPr>
        <w:t>ción de la Convención de Ramsar.</w:t>
      </w:r>
    </w:p>
    <w:p w14:paraId="7A3E24D6" w14:textId="39FE6036" w:rsidR="00C64326" w:rsidRPr="00B97122" w:rsidRDefault="00B97122" w:rsidP="004C3670">
      <w:pPr>
        <w:numPr>
          <w:ilvl w:val="0"/>
          <w:numId w:val="18"/>
        </w:numPr>
        <w:spacing w:after="200"/>
        <w:ind w:left="714"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Optimizar</w:t>
      </w:r>
      <w:r w:rsidR="00C64326" w:rsidRPr="00B97122">
        <w:rPr>
          <w:rFonts w:asciiTheme="majorHAnsi" w:eastAsia="Calibri" w:hAnsiTheme="majorHAnsi" w:cs="Times New Roman"/>
          <w:sz w:val="22"/>
          <w:szCs w:val="22"/>
          <w:lang w:val="es-ES_tradnl"/>
        </w:rPr>
        <w:t xml:space="preserve"> </w:t>
      </w:r>
      <w:r w:rsidR="001670A8" w:rsidRPr="00B97122">
        <w:rPr>
          <w:rFonts w:asciiTheme="majorHAnsi" w:eastAsia="Calibri" w:hAnsiTheme="majorHAnsi" w:cs="Times New Roman"/>
          <w:sz w:val="22"/>
          <w:szCs w:val="22"/>
          <w:lang w:val="es-ES_tradnl"/>
        </w:rPr>
        <w:t xml:space="preserve">la gobernanza y armonizar la presentación de informes sobre </w:t>
      </w:r>
      <w:r w:rsidR="00361AE0">
        <w:rPr>
          <w:rFonts w:asciiTheme="majorHAnsi" w:eastAsia="Calibri" w:hAnsiTheme="majorHAnsi" w:cs="Times New Roman"/>
          <w:sz w:val="22"/>
          <w:szCs w:val="22"/>
          <w:lang w:val="es-ES_tradnl"/>
        </w:rPr>
        <w:t xml:space="preserve">la </w:t>
      </w:r>
      <w:r w:rsidR="001670A8" w:rsidRPr="00B97122">
        <w:rPr>
          <w:rFonts w:asciiTheme="majorHAnsi" w:eastAsia="Calibri" w:hAnsiTheme="majorHAnsi" w:cs="Times New Roman"/>
          <w:sz w:val="22"/>
          <w:szCs w:val="22"/>
          <w:lang w:val="es-ES_tradnl"/>
        </w:rPr>
        <w:t xml:space="preserve">CECoP </w:t>
      </w:r>
      <w:r>
        <w:rPr>
          <w:rFonts w:asciiTheme="majorHAnsi" w:eastAsia="Calibri" w:hAnsiTheme="majorHAnsi" w:cs="Times New Roman"/>
          <w:sz w:val="22"/>
          <w:szCs w:val="22"/>
          <w:lang w:val="es-ES_tradnl"/>
        </w:rPr>
        <w:t xml:space="preserve">por </w:t>
      </w:r>
      <w:r w:rsidR="001670A8" w:rsidRPr="00B97122">
        <w:rPr>
          <w:rFonts w:asciiTheme="majorHAnsi" w:eastAsia="Calibri" w:hAnsiTheme="majorHAnsi" w:cs="Times New Roman"/>
          <w:sz w:val="22"/>
          <w:szCs w:val="22"/>
          <w:lang w:val="es-ES_tradnl"/>
        </w:rPr>
        <w:t>las Partes Contratantes</w:t>
      </w:r>
      <w:r>
        <w:rPr>
          <w:rFonts w:asciiTheme="majorHAnsi" w:eastAsia="Calibri" w:hAnsiTheme="majorHAnsi" w:cs="Times New Roman"/>
          <w:sz w:val="22"/>
          <w:szCs w:val="22"/>
          <w:lang w:val="es-ES_tradnl"/>
        </w:rPr>
        <w:t xml:space="preserve"> y la Secretaría</w:t>
      </w:r>
      <w:r w:rsidR="00C64326" w:rsidRPr="00B97122">
        <w:rPr>
          <w:rFonts w:asciiTheme="majorHAnsi" w:eastAsia="Calibri" w:hAnsiTheme="majorHAnsi" w:cs="Times New Roman"/>
          <w:sz w:val="22"/>
          <w:szCs w:val="22"/>
          <w:lang w:val="es-ES_tradnl"/>
        </w:rPr>
        <w:t>.</w:t>
      </w:r>
    </w:p>
    <w:p w14:paraId="3D181071" w14:textId="6F02C669" w:rsidR="00C64326" w:rsidRPr="00B97122" w:rsidRDefault="001670A8" w:rsidP="004C3670">
      <w:pPr>
        <w:numPr>
          <w:ilvl w:val="0"/>
          <w:numId w:val="18"/>
        </w:numPr>
        <w:spacing w:after="200"/>
        <w:ind w:left="714"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Evaluar la </w:t>
      </w:r>
      <w:r w:rsidR="00B97122">
        <w:rPr>
          <w:rFonts w:asciiTheme="majorHAnsi" w:eastAsia="Calibri" w:hAnsiTheme="majorHAnsi" w:cs="Times New Roman"/>
          <w:sz w:val="22"/>
          <w:szCs w:val="22"/>
          <w:lang w:val="es-ES_tradnl"/>
        </w:rPr>
        <w:t xml:space="preserve">eficacia </w:t>
      </w:r>
      <w:r w:rsidRPr="00B97122">
        <w:rPr>
          <w:rFonts w:asciiTheme="majorHAnsi" w:eastAsia="Calibri" w:hAnsiTheme="majorHAnsi" w:cs="Times New Roman"/>
          <w:sz w:val="22"/>
          <w:szCs w:val="22"/>
          <w:lang w:val="es-ES_tradnl"/>
        </w:rPr>
        <w:t>de las actividades de CECoP</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a todos los niveles para identificar las prioridades y aprovechar los recursos limita</w:t>
      </w:r>
      <w:r w:rsidR="00B97122">
        <w:rPr>
          <w:rFonts w:asciiTheme="majorHAnsi" w:eastAsia="Calibri" w:hAnsiTheme="majorHAnsi" w:cs="Times New Roman"/>
          <w:sz w:val="22"/>
          <w:szCs w:val="22"/>
          <w:lang w:val="es-ES_tradnl"/>
        </w:rPr>
        <w:t>dos de la mejor manera posible</w:t>
      </w:r>
      <w:r w:rsidRPr="00B97122">
        <w:rPr>
          <w:rFonts w:asciiTheme="majorHAnsi" w:eastAsia="Calibri" w:hAnsiTheme="majorHAnsi" w:cs="Times New Roman"/>
          <w:sz w:val="22"/>
          <w:szCs w:val="22"/>
          <w:lang w:val="es-ES_tradnl"/>
        </w:rPr>
        <w:t>.</w:t>
      </w:r>
    </w:p>
    <w:p w14:paraId="5F3B8BB3" w14:textId="758EAA7B" w:rsidR="00C64326" w:rsidRPr="00B97122" w:rsidRDefault="00B97122" w:rsidP="004C3670">
      <w:pPr>
        <w:numPr>
          <w:ilvl w:val="0"/>
          <w:numId w:val="18"/>
        </w:numPr>
        <w:spacing w:after="200"/>
        <w:ind w:left="714" w:hanging="357"/>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Brindar</w:t>
      </w:r>
      <w:r w:rsidR="001670A8" w:rsidRPr="00B97122">
        <w:rPr>
          <w:rFonts w:asciiTheme="majorHAnsi" w:eastAsia="Calibri" w:hAnsiTheme="majorHAnsi" w:cs="Times New Roman"/>
          <w:sz w:val="22"/>
          <w:szCs w:val="22"/>
          <w:lang w:val="es-ES_tradnl"/>
        </w:rPr>
        <w:t xml:space="preserve"> un apoyo dirigido a las Partes Contratantes, por ejemplo </w:t>
      </w:r>
      <w:r w:rsidRPr="00B97122">
        <w:rPr>
          <w:rFonts w:asciiTheme="majorHAnsi" w:eastAsia="Calibri" w:hAnsiTheme="majorHAnsi" w:cs="Times New Roman"/>
          <w:sz w:val="22"/>
          <w:szCs w:val="22"/>
          <w:lang w:val="es-ES_tradnl"/>
        </w:rPr>
        <w:t>creación</w:t>
      </w:r>
      <w:r w:rsidR="001670A8" w:rsidRPr="00B97122">
        <w:rPr>
          <w:rFonts w:asciiTheme="majorHAnsi" w:eastAsia="Calibri" w:hAnsiTheme="majorHAnsi" w:cs="Times New Roman"/>
          <w:sz w:val="22"/>
          <w:szCs w:val="22"/>
          <w:lang w:val="es-ES_tradnl"/>
        </w:rPr>
        <w:t xml:space="preserve"> de capacidad y herramientas prácticas</w:t>
      </w:r>
      <w:r w:rsidR="00C64326" w:rsidRPr="00B97122">
        <w:rPr>
          <w:rFonts w:asciiTheme="majorHAnsi" w:eastAsia="Calibri" w:hAnsiTheme="majorHAnsi" w:cs="Times New Roman"/>
          <w:sz w:val="22"/>
          <w:szCs w:val="22"/>
          <w:lang w:val="es-ES_tradnl"/>
        </w:rPr>
        <w:t xml:space="preserve">. </w:t>
      </w:r>
    </w:p>
    <w:p w14:paraId="0A6B4B44" w14:textId="6716F348" w:rsidR="00C64326" w:rsidRPr="00B97122" w:rsidRDefault="001670A8" w:rsidP="004C3670">
      <w:pPr>
        <w:numPr>
          <w:ilvl w:val="0"/>
          <w:numId w:val="18"/>
        </w:numPr>
        <w:spacing w:after="200"/>
        <w:ind w:left="714"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Mejorar la capacidad del GECT para comunicar sus ha</w:t>
      </w:r>
      <w:r w:rsidR="00B97122">
        <w:rPr>
          <w:rFonts w:asciiTheme="majorHAnsi" w:eastAsia="Calibri" w:hAnsiTheme="majorHAnsi" w:cs="Times New Roman"/>
          <w:sz w:val="22"/>
          <w:szCs w:val="22"/>
          <w:lang w:val="es-ES_tradnl"/>
        </w:rPr>
        <w:t>llazgos</w:t>
      </w:r>
      <w:r w:rsidR="00C64326" w:rsidRPr="00B97122">
        <w:rPr>
          <w:rFonts w:asciiTheme="majorHAnsi" w:eastAsia="Calibri" w:hAnsiTheme="majorHAnsi" w:cs="Times New Roman"/>
          <w:sz w:val="22"/>
          <w:szCs w:val="22"/>
          <w:lang w:val="es-ES_tradnl"/>
        </w:rPr>
        <w:t>.</w:t>
      </w:r>
    </w:p>
    <w:p w14:paraId="51331F22" w14:textId="2A6CA3DE" w:rsidR="00C64326" w:rsidRPr="00B97122" w:rsidRDefault="001670A8" w:rsidP="004C3670">
      <w:pPr>
        <w:numPr>
          <w:ilvl w:val="0"/>
          <w:numId w:val="18"/>
        </w:numPr>
        <w:spacing w:after="200"/>
        <w:ind w:left="714"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Alentar a las Partes Contratantes a incrementar su compromiso con la CECoP</w:t>
      </w:r>
      <w:r w:rsidR="00C64326" w:rsidRPr="00B97122">
        <w:rPr>
          <w:rFonts w:asciiTheme="majorHAnsi" w:eastAsia="Calibri" w:hAnsiTheme="majorHAnsi" w:cs="Times New Roman"/>
          <w:sz w:val="22"/>
          <w:szCs w:val="22"/>
          <w:lang w:val="es-ES_tradnl"/>
        </w:rPr>
        <w:t>, reco</w:t>
      </w:r>
      <w:r w:rsidRPr="00B97122">
        <w:rPr>
          <w:rFonts w:asciiTheme="majorHAnsi" w:eastAsia="Calibri" w:hAnsiTheme="majorHAnsi" w:cs="Times New Roman"/>
          <w:sz w:val="22"/>
          <w:szCs w:val="22"/>
          <w:lang w:val="es-ES_tradnl"/>
        </w:rPr>
        <w:t>nociendo su importancia para aument</w:t>
      </w:r>
      <w:r w:rsidR="005919ED">
        <w:rPr>
          <w:rFonts w:asciiTheme="majorHAnsi" w:eastAsia="Calibri" w:hAnsiTheme="majorHAnsi" w:cs="Times New Roman"/>
          <w:sz w:val="22"/>
          <w:szCs w:val="22"/>
          <w:lang w:val="es-ES_tradnl"/>
        </w:rPr>
        <w:t>ar la concienciación pública y la promoción</w:t>
      </w:r>
      <w:r w:rsidRPr="00B97122">
        <w:rPr>
          <w:rFonts w:asciiTheme="majorHAnsi" w:eastAsia="Calibri" w:hAnsiTheme="majorHAnsi" w:cs="Times New Roman"/>
          <w:sz w:val="22"/>
          <w:szCs w:val="22"/>
          <w:lang w:val="es-ES_tradnl"/>
        </w:rPr>
        <w:t>.</w:t>
      </w:r>
    </w:p>
    <w:p w14:paraId="02F33967" w14:textId="77777777" w:rsidR="00013A20" w:rsidRPr="00B97122" w:rsidRDefault="00013A20" w:rsidP="004C3670">
      <w:pPr>
        <w:spacing w:after="200"/>
        <w:ind w:left="720"/>
        <w:contextualSpacing/>
        <w:rPr>
          <w:rFonts w:asciiTheme="majorHAnsi" w:eastAsia="Calibri" w:hAnsiTheme="majorHAnsi" w:cs="Times New Roman"/>
          <w:sz w:val="22"/>
          <w:szCs w:val="22"/>
          <w:lang w:val="es-ES_tradnl"/>
        </w:rPr>
      </w:pPr>
    </w:p>
    <w:p w14:paraId="313E345E" w14:textId="27E4296F" w:rsidR="00C64326" w:rsidRPr="00B97122" w:rsidRDefault="005919ED" w:rsidP="004C3670">
      <w:pPr>
        <w:keepNext/>
        <w:autoSpaceDE w:val="0"/>
        <w:autoSpaceDN w:val="0"/>
        <w:adjustRightInd w:val="0"/>
        <w:rPr>
          <w:rFonts w:asciiTheme="majorHAnsi" w:hAnsiTheme="majorHAnsi" w:cs="Calibri"/>
          <w:bCs/>
          <w:sz w:val="22"/>
          <w:szCs w:val="22"/>
          <w:u w:val="single"/>
          <w:lang w:val="es-ES_tradnl"/>
        </w:rPr>
      </w:pPr>
      <w:r w:rsidRPr="00B97122">
        <w:rPr>
          <w:rFonts w:asciiTheme="majorHAnsi" w:hAnsiTheme="majorHAnsi" w:cs="Calibri"/>
          <w:bCs/>
          <w:sz w:val="22"/>
          <w:szCs w:val="22"/>
          <w:u w:val="single"/>
          <w:lang w:val="es-ES_tradnl"/>
        </w:rPr>
        <w:lastRenderedPageBreak/>
        <w:t>Introducción</w:t>
      </w:r>
    </w:p>
    <w:p w14:paraId="47EDCA1B" w14:textId="77777777" w:rsidR="00013A20" w:rsidRPr="00B97122" w:rsidRDefault="00013A20" w:rsidP="004C3670">
      <w:pPr>
        <w:pStyle w:val="BodyText"/>
        <w:keepNext/>
        <w:widowControl/>
        <w:tabs>
          <w:tab w:val="left" w:pos="544"/>
        </w:tabs>
        <w:ind w:left="425" w:hanging="425"/>
        <w:rPr>
          <w:rFonts w:asciiTheme="majorHAnsi" w:hAnsiTheme="majorHAnsi"/>
          <w:lang w:val="es-ES_tradnl"/>
        </w:rPr>
      </w:pPr>
    </w:p>
    <w:p w14:paraId="3A6BCBE5" w14:textId="4BEF16A2" w:rsidR="00C64326" w:rsidRPr="00B97122" w:rsidRDefault="00207F77"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5.</w:t>
      </w:r>
      <w:r w:rsidRPr="00B97122">
        <w:rPr>
          <w:rFonts w:asciiTheme="majorHAnsi" w:hAnsiTheme="majorHAnsi"/>
          <w:lang w:val="es-ES_tradnl"/>
        </w:rPr>
        <w:tab/>
      </w:r>
      <w:r w:rsidR="001670A8" w:rsidRPr="00B97122">
        <w:rPr>
          <w:rFonts w:asciiTheme="majorHAnsi" w:hAnsiTheme="majorHAnsi"/>
          <w:lang w:val="es-ES_tradnl"/>
        </w:rPr>
        <w:t xml:space="preserve">Las actividades de comunicación, </w:t>
      </w:r>
      <w:r w:rsidR="001670A8" w:rsidRPr="005919ED">
        <w:rPr>
          <w:rFonts w:asciiTheme="majorHAnsi" w:hAnsiTheme="majorHAnsi"/>
          <w:lang w:val="es-ES_tradnl"/>
        </w:rPr>
        <w:t>creación</w:t>
      </w:r>
      <w:r w:rsidR="001670A8" w:rsidRPr="00B97122">
        <w:rPr>
          <w:rFonts w:asciiTheme="majorHAnsi" w:hAnsiTheme="majorHAnsi"/>
          <w:lang w:val="es-ES_tradnl"/>
        </w:rPr>
        <w:t xml:space="preserve"> de capacidad, educación, concienciación y participación (CECoP) tienen una larga historia en la Convención, habiendo evolucionado desde el Programa de </w:t>
      </w:r>
      <w:r w:rsidR="005919ED">
        <w:rPr>
          <w:rFonts w:asciiTheme="majorHAnsi" w:hAnsiTheme="majorHAnsi"/>
          <w:lang w:val="es-ES_tradnl"/>
        </w:rPr>
        <w:t>Promoción</w:t>
      </w:r>
      <w:r w:rsidR="001670A8" w:rsidRPr="00B97122">
        <w:rPr>
          <w:rFonts w:asciiTheme="majorHAnsi" w:hAnsiTheme="majorHAnsi"/>
          <w:lang w:val="es-ES_tradnl"/>
        </w:rPr>
        <w:t xml:space="preserve"> en </w:t>
      </w:r>
      <w:r w:rsidR="00C64326" w:rsidRPr="00B97122">
        <w:rPr>
          <w:rFonts w:asciiTheme="majorHAnsi" w:hAnsiTheme="majorHAnsi" w:cs="Times New Roman"/>
          <w:lang w:val="es-ES_tradnl"/>
        </w:rPr>
        <w:t xml:space="preserve">1999 </w:t>
      </w:r>
      <w:r w:rsidR="001670A8" w:rsidRPr="00B97122">
        <w:rPr>
          <w:rFonts w:asciiTheme="majorHAnsi" w:hAnsiTheme="majorHAnsi" w:cs="Times New Roman"/>
          <w:lang w:val="es-ES_tradnl"/>
        </w:rPr>
        <w:t xml:space="preserve">hasta los programas de CECoP de </w:t>
      </w:r>
      <w:r w:rsidR="00C64326" w:rsidRPr="00B97122">
        <w:rPr>
          <w:rFonts w:asciiTheme="majorHAnsi" w:hAnsiTheme="majorHAnsi" w:cs="Times New Roman"/>
          <w:lang w:val="es-ES_tradnl"/>
        </w:rPr>
        <w:t>2009-2015</w:t>
      </w:r>
      <w:r w:rsidR="001670A8" w:rsidRPr="00B97122">
        <w:rPr>
          <w:rFonts w:asciiTheme="majorHAnsi" w:hAnsiTheme="majorHAnsi" w:cs="Times New Roman"/>
          <w:lang w:val="es-ES_tradnl"/>
        </w:rPr>
        <w:t xml:space="preserve"> y el programa actual</w:t>
      </w:r>
      <w:r w:rsidR="005919ED">
        <w:rPr>
          <w:rFonts w:asciiTheme="majorHAnsi" w:hAnsiTheme="majorHAnsi" w:cs="Times New Roman"/>
          <w:lang w:val="es-ES_tradnl"/>
        </w:rPr>
        <w:t xml:space="preserve"> para</w:t>
      </w:r>
      <w:r w:rsidR="001670A8" w:rsidRPr="00B97122">
        <w:rPr>
          <w:rFonts w:asciiTheme="majorHAnsi" w:hAnsiTheme="majorHAnsi" w:cs="Times New Roman"/>
          <w:lang w:val="es-ES_tradnl"/>
        </w:rPr>
        <w:t xml:space="preserve"> </w:t>
      </w:r>
      <w:r w:rsidR="00C64326" w:rsidRPr="00B97122">
        <w:rPr>
          <w:rFonts w:asciiTheme="majorHAnsi" w:hAnsiTheme="majorHAnsi" w:cs="Times New Roman"/>
          <w:lang w:val="es-ES_tradnl"/>
        </w:rPr>
        <w:t>2016-2024.</w:t>
      </w:r>
    </w:p>
    <w:p w14:paraId="55A30727" w14:textId="77777777" w:rsidR="00207F77" w:rsidRPr="00B97122" w:rsidRDefault="00207F77" w:rsidP="004C3670">
      <w:pPr>
        <w:pStyle w:val="BodyText"/>
        <w:widowControl/>
        <w:tabs>
          <w:tab w:val="left" w:pos="544"/>
        </w:tabs>
        <w:ind w:left="425" w:hanging="425"/>
        <w:rPr>
          <w:rFonts w:asciiTheme="majorHAnsi" w:hAnsiTheme="majorHAnsi"/>
          <w:lang w:val="es-ES_tradnl"/>
        </w:rPr>
      </w:pPr>
    </w:p>
    <w:p w14:paraId="5479F08C" w14:textId="04E8125C" w:rsidR="00C64326" w:rsidRPr="00B97122" w:rsidRDefault="00207F77"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6.</w:t>
      </w:r>
      <w:r w:rsidRPr="00B97122">
        <w:rPr>
          <w:rFonts w:asciiTheme="majorHAnsi" w:hAnsiTheme="majorHAnsi"/>
          <w:lang w:val="es-ES_tradnl"/>
        </w:rPr>
        <w:tab/>
      </w:r>
      <w:r w:rsidR="001670A8" w:rsidRPr="00B97122">
        <w:rPr>
          <w:rFonts w:asciiTheme="majorHAnsi" w:hAnsiTheme="majorHAnsi"/>
          <w:lang w:val="es-ES_tradnl"/>
        </w:rPr>
        <w:t xml:space="preserve">Las resoluciones de la Convención de Ramsar (entre otras, las resoluciones </w:t>
      </w:r>
      <w:r w:rsidR="00C64326" w:rsidRPr="00B97122">
        <w:rPr>
          <w:rFonts w:asciiTheme="majorHAnsi" w:hAnsiTheme="majorHAnsi" w:cs="Times New Roman"/>
          <w:lang w:val="es-ES_tradnl"/>
        </w:rPr>
        <w:t>VII.9, X.8</w:t>
      </w:r>
      <w:r w:rsidR="00361AE0">
        <w:rPr>
          <w:rFonts w:asciiTheme="majorHAnsi" w:hAnsiTheme="majorHAnsi" w:cs="Times New Roman"/>
          <w:lang w:val="es-ES_tradnl"/>
        </w:rPr>
        <w:t xml:space="preserve"> y </w:t>
      </w:r>
      <w:r w:rsidR="00C64326" w:rsidRPr="00B97122">
        <w:rPr>
          <w:rFonts w:asciiTheme="majorHAnsi" w:hAnsiTheme="majorHAnsi" w:cs="Times New Roman"/>
          <w:lang w:val="es-ES_tradnl"/>
        </w:rPr>
        <w:t xml:space="preserve">XII.9) </w:t>
      </w:r>
      <w:r w:rsidR="001670A8" w:rsidRPr="00B97122">
        <w:rPr>
          <w:rFonts w:asciiTheme="majorHAnsi" w:hAnsiTheme="majorHAnsi" w:cs="Times New Roman"/>
          <w:lang w:val="es-ES_tradnl"/>
        </w:rPr>
        <w:t xml:space="preserve">muestran </w:t>
      </w:r>
      <w:r w:rsidR="002F6C88">
        <w:rPr>
          <w:rFonts w:asciiTheme="majorHAnsi" w:hAnsiTheme="majorHAnsi" w:cs="Times New Roman"/>
          <w:lang w:val="es-ES_tradnl"/>
        </w:rPr>
        <w:t xml:space="preserve">que las Partes Contratantes reconocen claramente </w:t>
      </w:r>
      <w:r w:rsidR="001670A8" w:rsidRPr="00B97122">
        <w:rPr>
          <w:rFonts w:asciiTheme="majorHAnsi" w:hAnsiTheme="majorHAnsi" w:cs="Times New Roman"/>
          <w:lang w:val="es-ES_tradnl"/>
        </w:rPr>
        <w:t>el importante papel de la</w:t>
      </w:r>
      <w:r w:rsidR="00C64326" w:rsidRPr="00B97122">
        <w:rPr>
          <w:rFonts w:asciiTheme="majorHAnsi" w:hAnsiTheme="majorHAnsi" w:cs="Times New Roman"/>
          <w:lang w:val="es-ES_tradnl"/>
        </w:rPr>
        <w:t xml:space="preserve"> </w:t>
      </w:r>
      <w:r w:rsidR="001670A8" w:rsidRPr="00B97122">
        <w:rPr>
          <w:rFonts w:asciiTheme="majorHAnsi" w:hAnsiTheme="majorHAnsi" w:cs="Times New Roman"/>
          <w:lang w:val="es-ES_tradnl"/>
        </w:rPr>
        <w:t>CECoP</w:t>
      </w:r>
      <w:r w:rsidR="00C64326" w:rsidRPr="00B97122">
        <w:rPr>
          <w:rFonts w:asciiTheme="majorHAnsi" w:hAnsiTheme="majorHAnsi" w:cs="Times New Roman"/>
          <w:lang w:val="es-ES_tradnl"/>
        </w:rPr>
        <w:t xml:space="preserve"> </w:t>
      </w:r>
      <w:r w:rsidR="001670A8" w:rsidRPr="00B97122">
        <w:rPr>
          <w:rFonts w:asciiTheme="majorHAnsi" w:hAnsiTheme="majorHAnsi" w:cs="Times New Roman"/>
          <w:lang w:val="es-ES_tradnl"/>
        </w:rPr>
        <w:t xml:space="preserve">en la </w:t>
      </w:r>
      <w:r w:rsidR="00B7466B" w:rsidRPr="00B97122">
        <w:rPr>
          <w:rFonts w:asciiTheme="majorHAnsi" w:hAnsiTheme="majorHAnsi" w:cs="Times New Roman"/>
          <w:lang w:val="es-ES_tradnl"/>
        </w:rPr>
        <w:t>aplicación de la Convención</w:t>
      </w:r>
      <w:r w:rsidR="00D55CA3">
        <w:rPr>
          <w:rFonts w:asciiTheme="majorHAnsi" w:hAnsiTheme="majorHAnsi" w:cs="Times New Roman"/>
          <w:lang w:val="es-ES_tradnl"/>
        </w:rPr>
        <w:t xml:space="preserve"> y su Plan Estratégico haciendo participar a las personas, involucrándolas y capacitándolas para </w:t>
      </w:r>
      <w:r w:rsidR="00B7466B" w:rsidRPr="00B97122">
        <w:rPr>
          <w:rFonts w:asciiTheme="majorHAnsi" w:hAnsiTheme="majorHAnsi" w:cs="Times New Roman"/>
          <w:lang w:val="es-ES_tradnl"/>
        </w:rPr>
        <w:t>que actúen en pro de la conservación y el uso racional de los humedales.</w:t>
      </w:r>
    </w:p>
    <w:p w14:paraId="0A9D19D3" w14:textId="77777777" w:rsidR="00207F77" w:rsidRPr="00B97122" w:rsidRDefault="00207F77" w:rsidP="004C3670">
      <w:pPr>
        <w:pStyle w:val="BodyText"/>
        <w:widowControl/>
        <w:tabs>
          <w:tab w:val="left" w:pos="544"/>
        </w:tabs>
        <w:ind w:left="425" w:hanging="425"/>
        <w:rPr>
          <w:rFonts w:asciiTheme="majorHAnsi" w:hAnsiTheme="majorHAnsi"/>
          <w:lang w:val="es-ES_tradnl"/>
        </w:rPr>
      </w:pPr>
    </w:p>
    <w:p w14:paraId="650E1B53" w14:textId="7E89CC8E" w:rsidR="00C64326" w:rsidRPr="00B97122" w:rsidRDefault="00207F77"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7.</w:t>
      </w:r>
      <w:r w:rsidRPr="00B97122">
        <w:rPr>
          <w:rFonts w:asciiTheme="majorHAnsi" w:hAnsiTheme="majorHAnsi"/>
          <w:lang w:val="es-ES_tradnl"/>
        </w:rPr>
        <w:tab/>
      </w:r>
      <w:r w:rsidR="00B7466B" w:rsidRPr="00B97122">
        <w:rPr>
          <w:rFonts w:asciiTheme="majorHAnsi" w:hAnsiTheme="majorHAnsi"/>
          <w:lang w:val="es-ES_tradnl"/>
        </w:rPr>
        <w:t xml:space="preserve">En la </w:t>
      </w:r>
      <w:r w:rsidR="00C64326" w:rsidRPr="00B97122">
        <w:rPr>
          <w:rFonts w:asciiTheme="majorHAnsi" w:hAnsiTheme="majorHAnsi" w:cs="Times New Roman"/>
          <w:lang w:val="es-ES_tradnl"/>
        </w:rPr>
        <w:t>12</w:t>
      </w:r>
      <w:r w:rsidR="00B7466B" w:rsidRPr="00B97122">
        <w:rPr>
          <w:rFonts w:asciiTheme="majorHAnsi" w:hAnsiTheme="majorHAnsi" w:cs="Times New Roman"/>
          <w:lang w:val="es-ES_tradnl"/>
        </w:rPr>
        <w:t xml:space="preserve">ª </w:t>
      </w:r>
      <w:r w:rsidR="00A5526C">
        <w:rPr>
          <w:rFonts w:asciiTheme="majorHAnsi" w:hAnsiTheme="majorHAnsi" w:cs="Times New Roman"/>
          <w:lang w:val="es-ES_tradnl"/>
        </w:rPr>
        <w:t xml:space="preserve">reunión de la </w:t>
      </w:r>
      <w:r w:rsidR="00B7466B" w:rsidRPr="00B97122">
        <w:rPr>
          <w:rFonts w:asciiTheme="majorHAnsi" w:hAnsiTheme="majorHAnsi" w:cs="Times New Roman"/>
          <w:lang w:val="es-ES_tradnl"/>
        </w:rPr>
        <w:t>C</w:t>
      </w:r>
      <w:r w:rsidR="00A5526C">
        <w:rPr>
          <w:rFonts w:asciiTheme="majorHAnsi" w:hAnsiTheme="majorHAnsi" w:cs="Times New Roman"/>
          <w:lang w:val="es-ES_tradnl"/>
        </w:rPr>
        <w:t>onferencia de las Partes</w:t>
      </w:r>
      <w:r w:rsidR="00B7466B" w:rsidRPr="00B97122">
        <w:rPr>
          <w:rFonts w:asciiTheme="majorHAnsi" w:hAnsiTheme="majorHAnsi" w:cs="Times New Roman"/>
          <w:lang w:val="es-ES_tradnl"/>
        </w:rPr>
        <w:t xml:space="preserve">, celebrada en </w:t>
      </w:r>
      <w:r w:rsidR="00C64326" w:rsidRPr="00B97122">
        <w:rPr>
          <w:rFonts w:asciiTheme="majorHAnsi" w:hAnsiTheme="majorHAnsi" w:cs="Times New Roman"/>
          <w:lang w:val="es-ES_tradnl"/>
        </w:rPr>
        <w:t xml:space="preserve">2015, </w:t>
      </w:r>
      <w:r w:rsidR="00B7466B" w:rsidRPr="00B97122">
        <w:rPr>
          <w:rFonts w:asciiTheme="majorHAnsi" w:hAnsiTheme="majorHAnsi" w:cs="Times New Roman"/>
          <w:lang w:val="es-ES_tradnl"/>
        </w:rPr>
        <w:t xml:space="preserve">las Partes Contratantes aprobaron un nuevo Programa de CECoP para 2016-2024 a través de la </w:t>
      </w:r>
      <w:hyperlink r:id="rId9" w:history="1">
        <w:r w:rsidR="00C64326" w:rsidRPr="00B97122">
          <w:rPr>
            <w:rFonts w:asciiTheme="majorHAnsi" w:hAnsiTheme="majorHAnsi" w:cs="Times New Roman"/>
            <w:lang w:val="es-ES_tradnl"/>
          </w:rPr>
          <w:t>Resolu</w:t>
        </w:r>
        <w:r w:rsidR="00936F5E" w:rsidRPr="00B97122">
          <w:rPr>
            <w:rFonts w:asciiTheme="majorHAnsi" w:hAnsiTheme="majorHAnsi" w:cs="Times New Roman"/>
            <w:lang w:val="es-ES_tradnl"/>
          </w:rPr>
          <w:t>ción</w:t>
        </w:r>
        <w:r w:rsidR="00C64326" w:rsidRPr="00B97122">
          <w:rPr>
            <w:rFonts w:asciiTheme="majorHAnsi" w:hAnsiTheme="majorHAnsi" w:cs="Times New Roman"/>
            <w:lang w:val="es-ES_tradnl"/>
          </w:rPr>
          <w:t xml:space="preserve"> XII.9</w:t>
        </w:r>
      </w:hyperlink>
      <w:r w:rsidR="00C64326" w:rsidRPr="00B97122">
        <w:rPr>
          <w:rFonts w:asciiTheme="majorHAnsi" w:hAnsiTheme="majorHAnsi" w:cs="Times New Roman"/>
          <w:lang w:val="es-ES_tradnl"/>
        </w:rPr>
        <w:t xml:space="preserve">. </w:t>
      </w:r>
      <w:r w:rsidR="00936F5E" w:rsidRPr="00B97122">
        <w:rPr>
          <w:rFonts w:asciiTheme="majorHAnsi" w:hAnsiTheme="majorHAnsi" w:cs="Times New Roman"/>
          <w:lang w:val="es-ES_tradnl"/>
        </w:rPr>
        <w:t xml:space="preserve">El Programa contiene nueve </w:t>
      </w:r>
      <w:r w:rsidR="00A5526C" w:rsidRPr="00B97122">
        <w:rPr>
          <w:rFonts w:asciiTheme="majorHAnsi" w:hAnsiTheme="majorHAnsi" w:cs="Times New Roman"/>
          <w:lang w:val="es-ES_tradnl"/>
        </w:rPr>
        <w:t>objetivos</w:t>
      </w:r>
      <w:r w:rsidR="00936F5E" w:rsidRPr="00B97122">
        <w:rPr>
          <w:rFonts w:asciiTheme="majorHAnsi" w:hAnsiTheme="majorHAnsi" w:cs="Times New Roman"/>
          <w:lang w:val="es-ES_tradnl"/>
        </w:rPr>
        <w:t xml:space="preserve"> y 43 metas </w:t>
      </w:r>
      <w:r w:rsidR="00D861EC">
        <w:rPr>
          <w:rFonts w:asciiTheme="majorHAnsi" w:hAnsiTheme="majorHAnsi" w:cs="Times New Roman"/>
          <w:lang w:val="es-ES_tradnl"/>
        </w:rPr>
        <w:t>en materia de</w:t>
      </w:r>
      <w:r w:rsidR="00A5526C">
        <w:rPr>
          <w:rFonts w:asciiTheme="majorHAnsi" w:hAnsiTheme="majorHAnsi" w:cs="Times New Roman"/>
          <w:lang w:val="es-ES_tradnl"/>
        </w:rPr>
        <w:t xml:space="preserve"> CECoP</w:t>
      </w:r>
      <w:r w:rsidR="00C64326" w:rsidRPr="00B97122">
        <w:rPr>
          <w:rFonts w:asciiTheme="majorHAnsi" w:hAnsiTheme="majorHAnsi" w:cs="Times New Roman"/>
          <w:lang w:val="es-ES_tradnl"/>
        </w:rPr>
        <w:t>.</w:t>
      </w:r>
    </w:p>
    <w:p w14:paraId="0478E1EF" w14:textId="77777777" w:rsidR="00207F77" w:rsidRPr="00B97122" w:rsidRDefault="00207F77" w:rsidP="004C3670">
      <w:pPr>
        <w:pStyle w:val="BodyText"/>
        <w:widowControl/>
        <w:tabs>
          <w:tab w:val="left" w:pos="544"/>
        </w:tabs>
        <w:ind w:left="425" w:hanging="425"/>
        <w:rPr>
          <w:rFonts w:asciiTheme="majorHAnsi" w:hAnsiTheme="majorHAnsi"/>
          <w:lang w:val="es-ES_tradnl"/>
        </w:rPr>
      </w:pPr>
    </w:p>
    <w:p w14:paraId="693B31A4" w14:textId="18BED351" w:rsidR="00C64326" w:rsidRPr="00B97122" w:rsidRDefault="00207F77"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8.</w:t>
      </w:r>
      <w:r w:rsidRPr="00B97122">
        <w:rPr>
          <w:rFonts w:asciiTheme="majorHAnsi" w:hAnsiTheme="majorHAnsi"/>
          <w:lang w:val="es-ES_tradnl"/>
        </w:rPr>
        <w:tab/>
      </w:r>
      <w:r w:rsidR="00B229E7" w:rsidRPr="00B97122">
        <w:rPr>
          <w:rFonts w:asciiTheme="majorHAnsi" w:hAnsiTheme="majorHAnsi"/>
          <w:lang w:val="es-ES_tradnl"/>
        </w:rPr>
        <w:t xml:space="preserve">Las responsabilidades </w:t>
      </w:r>
      <w:r w:rsidR="008C38E8">
        <w:rPr>
          <w:rFonts w:asciiTheme="majorHAnsi" w:hAnsiTheme="majorHAnsi"/>
          <w:lang w:val="es-ES_tradnl"/>
        </w:rPr>
        <w:t>en materia de</w:t>
      </w:r>
      <w:r w:rsidR="00B229E7" w:rsidRPr="00B97122">
        <w:rPr>
          <w:rFonts w:asciiTheme="majorHAnsi" w:hAnsiTheme="majorHAnsi"/>
          <w:lang w:val="es-ES_tradnl"/>
        </w:rPr>
        <w:t xml:space="preserve"> aplicación son </w:t>
      </w:r>
      <w:r w:rsidR="00D861EC" w:rsidRPr="00B97122">
        <w:rPr>
          <w:rFonts w:asciiTheme="majorHAnsi" w:hAnsiTheme="majorHAnsi"/>
          <w:lang w:val="es-ES_tradnl"/>
        </w:rPr>
        <w:t>compartidas</w:t>
      </w:r>
      <w:r w:rsidR="00B229E7" w:rsidRPr="00B97122">
        <w:rPr>
          <w:rFonts w:asciiTheme="majorHAnsi" w:hAnsiTheme="majorHAnsi"/>
          <w:lang w:val="es-ES_tradnl"/>
        </w:rPr>
        <w:t xml:space="preserve"> entre </w:t>
      </w:r>
      <w:r w:rsidR="00D861EC">
        <w:rPr>
          <w:rFonts w:asciiTheme="majorHAnsi" w:hAnsiTheme="majorHAnsi"/>
          <w:lang w:val="es-ES_tradnl"/>
        </w:rPr>
        <w:t>las</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Partes Contratantes</w:t>
      </w:r>
      <w:r w:rsidR="00C64326" w:rsidRPr="00B97122">
        <w:rPr>
          <w:rFonts w:asciiTheme="majorHAnsi" w:hAnsiTheme="majorHAnsi" w:cs="Times New Roman"/>
          <w:lang w:val="es-ES_tradnl"/>
        </w:rPr>
        <w:t xml:space="preserve">, </w:t>
      </w:r>
      <w:r w:rsidR="00D861EC">
        <w:rPr>
          <w:rFonts w:asciiTheme="majorHAnsi" w:hAnsiTheme="majorHAnsi" w:cs="Times New Roman"/>
          <w:lang w:val="es-ES_tradnl"/>
        </w:rPr>
        <w:t>la</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Secretaría de Ramsar</w:t>
      </w:r>
      <w:r w:rsidR="00C64326" w:rsidRPr="00B97122">
        <w:rPr>
          <w:rFonts w:asciiTheme="majorHAnsi" w:hAnsiTheme="majorHAnsi" w:cs="Times New Roman"/>
          <w:lang w:val="es-ES_tradnl"/>
        </w:rPr>
        <w:t>,</w:t>
      </w:r>
      <w:r w:rsidR="00B229E7" w:rsidRPr="00B97122">
        <w:rPr>
          <w:rFonts w:asciiTheme="majorHAnsi" w:hAnsiTheme="majorHAnsi" w:cs="Times New Roman"/>
          <w:lang w:val="es-ES_tradnl"/>
        </w:rPr>
        <w:t xml:space="preserve"> las Organizaciones Internacionales Asociadas </w:t>
      </w:r>
      <w:r w:rsidR="00AA624D" w:rsidRPr="00AA624D">
        <w:rPr>
          <w:rFonts w:asciiTheme="majorHAnsi" w:hAnsiTheme="majorHAnsi" w:cs="Times New Roman"/>
          <w:lang w:val="es-ES_tradnl"/>
        </w:rPr>
        <w:t>a</w:t>
      </w:r>
      <w:r w:rsidR="00B229E7" w:rsidRPr="00AA624D">
        <w:rPr>
          <w:rFonts w:asciiTheme="majorHAnsi" w:hAnsiTheme="majorHAnsi" w:cs="Times New Roman"/>
          <w:lang w:val="es-ES_tradnl"/>
        </w:rPr>
        <w:t xml:space="preserve"> la Convención</w:t>
      </w:r>
      <w:r w:rsidR="00B229E7" w:rsidRPr="00B97122">
        <w:rPr>
          <w:rFonts w:asciiTheme="majorHAnsi" w:hAnsiTheme="majorHAnsi" w:cs="Times New Roman"/>
          <w:lang w:val="es-ES_tradnl"/>
        </w:rPr>
        <w:t xml:space="preserve"> (OIA</w:t>
      </w:r>
      <w:r w:rsidR="00AA624D">
        <w:rPr>
          <w:rFonts w:asciiTheme="majorHAnsi" w:hAnsiTheme="majorHAnsi" w:cs="Times New Roman"/>
          <w:lang w:val="es-ES_tradnl"/>
        </w:rPr>
        <w:t xml:space="preserve">), las ONG, las organizaciones </w:t>
      </w:r>
      <w:r w:rsidR="00AA624D" w:rsidRPr="00B97122">
        <w:rPr>
          <w:rFonts w:asciiTheme="majorHAnsi" w:hAnsiTheme="majorHAnsi" w:cs="Times New Roman"/>
          <w:lang w:val="es-ES_tradnl"/>
        </w:rPr>
        <w:t>comunitarias</w:t>
      </w:r>
      <w:r w:rsidR="00B229E7" w:rsidRPr="00B97122">
        <w:rPr>
          <w:rFonts w:asciiTheme="majorHAnsi" w:hAnsiTheme="majorHAnsi" w:cs="Times New Roman"/>
          <w:lang w:val="es-ES_tradnl"/>
        </w:rPr>
        <w:t xml:space="preserve"> y otros interesados. Las Partes Contratantes</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 xml:space="preserve">son los principales responsables de la aplicación del Programa de </w:t>
      </w:r>
      <w:r w:rsidR="001670A8" w:rsidRPr="00B97122">
        <w:rPr>
          <w:rFonts w:asciiTheme="majorHAnsi" w:hAnsiTheme="majorHAnsi" w:cs="Times New Roman"/>
          <w:lang w:val="es-ES_tradnl"/>
        </w:rPr>
        <w:t>CECoP</w:t>
      </w:r>
      <w:r w:rsidR="00B229E7" w:rsidRPr="00B97122">
        <w:rPr>
          <w:rFonts w:asciiTheme="majorHAnsi" w:hAnsiTheme="majorHAnsi" w:cs="Times New Roman"/>
          <w:lang w:val="es-ES_tradnl"/>
        </w:rPr>
        <w:t>,</w:t>
      </w:r>
      <w:r w:rsidR="00AA624D">
        <w:rPr>
          <w:rFonts w:asciiTheme="majorHAnsi" w:hAnsiTheme="majorHAnsi" w:cs="Times New Roman"/>
          <w:lang w:val="es-ES_tradnl"/>
        </w:rPr>
        <w:t xml:space="preserve"> </w:t>
      </w:r>
      <w:r w:rsidR="00B229E7" w:rsidRPr="00B97122">
        <w:rPr>
          <w:rFonts w:asciiTheme="majorHAnsi" w:hAnsiTheme="majorHAnsi" w:cs="Times New Roman"/>
          <w:lang w:val="es-ES_tradnl"/>
        </w:rPr>
        <w:t xml:space="preserve">a través de sus </w:t>
      </w:r>
      <w:r w:rsidR="00AA624D">
        <w:rPr>
          <w:rFonts w:asciiTheme="majorHAnsi" w:hAnsiTheme="majorHAnsi" w:cs="Times New Roman"/>
          <w:lang w:val="es-ES_tradnl"/>
        </w:rPr>
        <w:t>c</w:t>
      </w:r>
      <w:r w:rsidR="00B229E7" w:rsidRPr="00B97122">
        <w:rPr>
          <w:rFonts w:asciiTheme="majorHAnsi" w:hAnsiTheme="majorHAnsi" w:cs="Times New Roman"/>
          <w:lang w:val="es-ES_tradnl"/>
        </w:rPr>
        <w:t xml:space="preserve">oordinadores </w:t>
      </w:r>
      <w:r w:rsidR="00AA624D">
        <w:rPr>
          <w:rFonts w:asciiTheme="majorHAnsi" w:hAnsiTheme="majorHAnsi" w:cs="Times New Roman"/>
          <w:lang w:val="es-ES_tradnl"/>
        </w:rPr>
        <w:t xml:space="preserve">nacionales, </w:t>
      </w:r>
      <w:r w:rsidR="00AA624D" w:rsidRPr="008C38E8">
        <w:rPr>
          <w:rFonts w:asciiTheme="majorHAnsi" w:hAnsiTheme="majorHAnsi" w:cs="Times New Roman"/>
          <w:lang w:val="es-ES_tradnl"/>
        </w:rPr>
        <w:t>coordinadores</w:t>
      </w:r>
      <w:r w:rsidR="00AA624D" w:rsidRPr="00AA624D">
        <w:rPr>
          <w:rFonts w:asciiTheme="majorHAnsi" w:hAnsiTheme="majorHAnsi" w:cs="Times New Roman"/>
          <w:color w:val="FF0000"/>
          <w:lang w:val="es-ES_tradnl"/>
        </w:rPr>
        <w:t xml:space="preserve"> </w:t>
      </w:r>
      <w:r w:rsidR="00B229E7" w:rsidRPr="00B97122">
        <w:rPr>
          <w:rFonts w:asciiTheme="majorHAnsi" w:hAnsiTheme="majorHAnsi" w:cs="Times New Roman"/>
          <w:lang w:val="es-ES_tradnl"/>
        </w:rPr>
        <w:t xml:space="preserve">de CECoP, organizaciones comunitarias, iniciativas regionales de Ramsar y centros de educación </w:t>
      </w:r>
      <w:r w:rsidR="00AA624D" w:rsidRPr="00B97122">
        <w:rPr>
          <w:rFonts w:asciiTheme="majorHAnsi" w:hAnsiTheme="majorHAnsi" w:cs="Times New Roman"/>
          <w:lang w:val="es-ES_tradnl"/>
        </w:rPr>
        <w:t>sobre</w:t>
      </w:r>
      <w:r w:rsidR="00B229E7" w:rsidRPr="00B97122">
        <w:rPr>
          <w:rFonts w:asciiTheme="majorHAnsi" w:hAnsiTheme="majorHAnsi" w:cs="Times New Roman"/>
          <w:lang w:val="es-ES_tradnl"/>
        </w:rPr>
        <w:t xml:space="preserve"> humedales. Se invita a las</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Partes Contratantes</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 xml:space="preserve">a formular </w:t>
      </w:r>
      <w:r w:rsidR="00AA624D">
        <w:rPr>
          <w:rFonts w:asciiTheme="majorHAnsi" w:hAnsiTheme="majorHAnsi" w:cs="Times New Roman"/>
          <w:lang w:val="es-ES_tradnl"/>
        </w:rPr>
        <w:t>planes de acción nacionales de CECoP</w:t>
      </w:r>
      <w:r w:rsidR="00B229E7" w:rsidRPr="00B97122">
        <w:rPr>
          <w:rFonts w:asciiTheme="majorHAnsi" w:hAnsiTheme="majorHAnsi" w:cs="Times New Roman"/>
          <w:lang w:val="es-ES_tradnl"/>
        </w:rPr>
        <w:t xml:space="preserve"> para </w:t>
      </w:r>
      <w:r w:rsidR="00823811">
        <w:rPr>
          <w:rFonts w:asciiTheme="majorHAnsi" w:hAnsiTheme="majorHAnsi" w:cs="Times New Roman"/>
          <w:lang w:val="es-ES_tradnl"/>
        </w:rPr>
        <w:t>determinar las</w:t>
      </w:r>
      <w:r w:rsidR="00B229E7" w:rsidRPr="00B97122">
        <w:rPr>
          <w:rFonts w:asciiTheme="majorHAnsi" w:hAnsiTheme="majorHAnsi" w:cs="Times New Roman"/>
          <w:lang w:val="es-ES_tradnl"/>
        </w:rPr>
        <w:t xml:space="preserve"> actividades prioritarias en materia de CECoP y </w:t>
      </w:r>
      <w:r w:rsidR="00823811">
        <w:rPr>
          <w:rFonts w:asciiTheme="majorHAnsi" w:hAnsiTheme="majorHAnsi" w:cs="Times New Roman"/>
          <w:lang w:val="es-ES_tradnl"/>
        </w:rPr>
        <w:t>a informar s</w:t>
      </w:r>
      <w:r w:rsidR="00B229E7" w:rsidRPr="00B97122">
        <w:rPr>
          <w:rFonts w:asciiTheme="majorHAnsi" w:hAnsiTheme="majorHAnsi" w:cs="Times New Roman"/>
          <w:lang w:val="es-ES_tradnl"/>
        </w:rPr>
        <w:t xml:space="preserve">obre sus avances mediante informes </w:t>
      </w:r>
      <w:r w:rsidR="00823811" w:rsidRPr="00B97122">
        <w:rPr>
          <w:rFonts w:asciiTheme="majorHAnsi" w:hAnsiTheme="majorHAnsi" w:cs="Times New Roman"/>
          <w:lang w:val="es-ES_tradnl"/>
        </w:rPr>
        <w:t>nacionales</w:t>
      </w:r>
      <w:r w:rsidR="00B229E7" w:rsidRPr="00B97122">
        <w:rPr>
          <w:rFonts w:asciiTheme="majorHAnsi" w:hAnsiTheme="majorHAnsi" w:cs="Times New Roman"/>
          <w:lang w:val="es-ES_tradnl"/>
        </w:rPr>
        <w:t xml:space="preserve"> </w:t>
      </w:r>
      <w:r w:rsidR="00823811">
        <w:rPr>
          <w:rFonts w:asciiTheme="majorHAnsi" w:hAnsiTheme="majorHAnsi" w:cs="Times New Roman"/>
          <w:lang w:val="es-ES_tradnl"/>
        </w:rPr>
        <w:t>trienales a la COP.</w:t>
      </w:r>
    </w:p>
    <w:p w14:paraId="4F4D5908" w14:textId="77777777" w:rsidR="00207F77" w:rsidRPr="00B97122" w:rsidRDefault="00207F77" w:rsidP="004C3670">
      <w:pPr>
        <w:pStyle w:val="BodyText"/>
        <w:widowControl/>
        <w:tabs>
          <w:tab w:val="left" w:pos="544"/>
        </w:tabs>
        <w:ind w:left="425" w:hanging="425"/>
        <w:rPr>
          <w:rFonts w:asciiTheme="majorHAnsi" w:hAnsiTheme="majorHAnsi" w:cs="Times New Roman"/>
          <w:lang w:val="es-ES_tradnl"/>
        </w:rPr>
      </w:pPr>
    </w:p>
    <w:p w14:paraId="1EEC4F66" w14:textId="33B493E7" w:rsidR="00C64326" w:rsidRPr="00B97122" w:rsidRDefault="004C367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9.</w:t>
      </w:r>
      <w:r w:rsidRPr="00B97122">
        <w:rPr>
          <w:rFonts w:asciiTheme="majorHAnsi" w:hAnsiTheme="majorHAnsi" w:cs="Times New Roman"/>
          <w:lang w:val="es-ES_tradnl"/>
        </w:rPr>
        <w:tab/>
      </w:r>
      <w:r w:rsidR="00B229E7" w:rsidRPr="00B97122">
        <w:rPr>
          <w:rFonts w:asciiTheme="majorHAnsi" w:hAnsiTheme="majorHAnsi" w:cs="Times New Roman"/>
          <w:lang w:val="es-ES_tradnl"/>
        </w:rPr>
        <w:t xml:space="preserve">La Secretaría apoya la aplicación de </w:t>
      </w:r>
      <w:r w:rsidR="00B229E7" w:rsidRPr="000819A5">
        <w:rPr>
          <w:rFonts w:asciiTheme="majorHAnsi" w:hAnsiTheme="majorHAnsi" w:cs="Times New Roman"/>
          <w:lang w:val="es-ES_tradnl"/>
        </w:rPr>
        <w:t>la</w:t>
      </w:r>
      <w:r w:rsidR="00B229E7" w:rsidRPr="00B97122">
        <w:rPr>
          <w:rFonts w:asciiTheme="majorHAnsi" w:hAnsiTheme="majorHAnsi" w:cs="Times New Roman"/>
          <w:lang w:val="es-ES_tradnl"/>
        </w:rPr>
        <w:t xml:space="preserve"> </w:t>
      </w:r>
      <w:r w:rsidR="001670A8" w:rsidRPr="00B97122">
        <w:rPr>
          <w:rFonts w:asciiTheme="majorHAnsi" w:hAnsiTheme="majorHAnsi" w:cs="Times New Roman"/>
          <w:lang w:val="es-ES_tradnl"/>
        </w:rPr>
        <w:t>CECoP</w:t>
      </w:r>
      <w:r w:rsidR="008C38E8">
        <w:rPr>
          <w:rFonts w:asciiTheme="majorHAnsi" w:hAnsiTheme="majorHAnsi" w:cs="Times New Roman"/>
          <w:lang w:val="es-ES_tradnl"/>
        </w:rPr>
        <w:t xml:space="preserve"> y elaboró un P</w:t>
      </w:r>
      <w:r w:rsidR="000819A5">
        <w:rPr>
          <w:rFonts w:asciiTheme="majorHAnsi" w:hAnsiTheme="majorHAnsi" w:cs="Times New Roman"/>
          <w:lang w:val="es-ES_tradnl"/>
        </w:rPr>
        <w:t xml:space="preserve">lan de </w:t>
      </w:r>
      <w:r w:rsidR="008C38E8">
        <w:rPr>
          <w:rFonts w:asciiTheme="majorHAnsi" w:hAnsiTheme="majorHAnsi" w:cs="Times New Roman"/>
          <w:lang w:val="es-ES_tradnl"/>
        </w:rPr>
        <w:t>A</w:t>
      </w:r>
      <w:r w:rsidR="00B229E7" w:rsidRPr="00B97122">
        <w:rPr>
          <w:rFonts w:asciiTheme="majorHAnsi" w:hAnsiTheme="majorHAnsi" w:cs="Times New Roman"/>
          <w:lang w:val="es-ES_tradnl"/>
        </w:rPr>
        <w:t>c</w:t>
      </w:r>
      <w:r w:rsidR="000819A5">
        <w:rPr>
          <w:rFonts w:asciiTheme="majorHAnsi" w:hAnsiTheme="majorHAnsi" w:cs="Times New Roman"/>
          <w:lang w:val="es-ES_tradnl"/>
        </w:rPr>
        <w:t>ción de CECoP para 2016-2018 a fin de</w:t>
      </w:r>
      <w:r w:rsidR="00B229E7" w:rsidRPr="00B97122">
        <w:rPr>
          <w:rFonts w:asciiTheme="majorHAnsi" w:hAnsiTheme="majorHAnsi" w:cs="Times New Roman"/>
          <w:lang w:val="es-ES_tradnl"/>
        </w:rPr>
        <w:t xml:space="preserve"> guiar sus actividades. E</w:t>
      </w:r>
      <w:r w:rsidR="000819A5">
        <w:rPr>
          <w:rFonts w:asciiTheme="majorHAnsi" w:hAnsiTheme="majorHAnsi" w:cs="Times New Roman"/>
          <w:lang w:val="es-ES_tradnl"/>
        </w:rPr>
        <w:t>l p</w:t>
      </w:r>
      <w:r w:rsidR="00B229E7" w:rsidRPr="00B97122">
        <w:rPr>
          <w:rFonts w:asciiTheme="majorHAnsi" w:hAnsiTheme="majorHAnsi" w:cs="Times New Roman"/>
          <w:lang w:val="es-ES_tradnl"/>
        </w:rPr>
        <w:t xml:space="preserve">lan fue revisado para mejorar su </w:t>
      </w:r>
      <w:r w:rsidR="00DE2869">
        <w:rPr>
          <w:rFonts w:asciiTheme="majorHAnsi" w:hAnsiTheme="majorHAnsi" w:cs="Times New Roman"/>
          <w:lang w:val="es-ES_tradnl"/>
        </w:rPr>
        <w:t xml:space="preserve">enfoque </w:t>
      </w:r>
      <w:r w:rsidR="00B229E7" w:rsidRPr="00B97122">
        <w:rPr>
          <w:rFonts w:asciiTheme="majorHAnsi" w:hAnsiTheme="majorHAnsi" w:cs="Times New Roman"/>
          <w:lang w:val="es-ES_tradnl"/>
        </w:rPr>
        <w:t xml:space="preserve">y, en la 53ª reunión del Comité Permanente, </w:t>
      </w:r>
      <w:r w:rsidR="00B229E7" w:rsidRPr="005A7BFC">
        <w:rPr>
          <w:rFonts w:asciiTheme="majorHAnsi" w:hAnsiTheme="majorHAnsi" w:cs="Times New Roman"/>
          <w:lang w:val="es-ES_tradnl"/>
        </w:rPr>
        <w:t>se publicó un</w:t>
      </w:r>
      <w:r w:rsidR="00B229E7" w:rsidRPr="00B97122">
        <w:rPr>
          <w:rFonts w:asciiTheme="majorHAnsi" w:hAnsiTheme="majorHAnsi" w:cs="Times New Roman"/>
          <w:lang w:val="es-ES_tradnl"/>
        </w:rPr>
        <w:t xml:space="preserve"> </w:t>
      </w:r>
      <w:hyperlink r:id="rId10" w:history="1">
        <w:r w:rsidR="005A7BFC">
          <w:rPr>
            <w:rFonts w:asciiTheme="majorHAnsi" w:hAnsiTheme="majorHAnsi" w:cs="Times New Roman"/>
            <w:color w:val="0000FF"/>
            <w:u w:val="single"/>
            <w:lang w:val="es-ES_tradnl"/>
          </w:rPr>
          <w:t>informe sobre los avance</w:t>
        </w:r>
        <w:r w:rsidR="008C38E8">
          <w:rPr>
            <w:rFonts w:asciiTheme="majorHAnsi" w:hAnsiTheme="majorHAnsi" w:cs="Times New Roman"/>
            <w:color w:val="0000FF"/>
            <w:u w:val="single"/>
            <w:lang w:val="es-ES_tradnl"/>
          </w:rPr>
          <w:t>s en la aplicación del Plan de Ac</w:t>
        </w:r>
        <w:r w:rsidR="005A7BFC">
          <w:rPr>
            <w:rFonts w:asciiTheme="majorHAnsi" w:hAnsiTheme="majorHAnsi" w:cs="Times New Roman"/>
            <w:color w:val="0000FF"/>
            <w:u w:val="single"/>
            <w:lang w:val="es-ES_tradnl"/>
          </w:rPr>
          <w:t>ción</w:t>
        </w:r>
      </w:hyperlink>
      <w:r w:rsidR="00C64326" w:rsidRPr="00B97122">
        <w:rPr>
          <w:rFonts w:asciiTheme="majorHAnsi" w:hAnsiTheme="majorHAnsi" w:cs="Times New Roman"/>
          <w:lang w:val="es-ES_tradnl"/>
        </w:rPr>
        <w:t xml:space="preserve">. </w:t>
      </w:r>
      <w:r w:rsidR="005A7BFC">
        <w:rPr>
          <w:rFonts w:asciiTheme="majorHAnsi" w:hAnsiTheme="majorHAnsi" w:cs="Times New Roman"/>
          <w:lang w:val="es-ES_tradnl"/>
        </w:rPr>
        <w:t>Con el fin de seguir un enfoque más coordinado, se integró e</w:t>
      </w:r>
      <w:r w:rsidR="00B229E7" w:rsidRPr="00B97122">
        <w:rPr>
          <w:rFonts w:asciiTheme="majorHAnsi" w:hAnsiTheme="majorHAnsi" w:cs="Times New Roman"/>
          <w:lang w:val="es-ES_tradnl"/>
        </w:rPr>
        <w:t xml:space="preserve">l Plan de </w:t>
      </w:r>
      <w:r w:rsidR="008C38E8">
        <w:rPr>
          <w:rFonts w:asciiTheme="majorHAnsi" w:hAnsiTheme="majorHAnsi" w:cs="Times New Roman"/>
          <w:lang w:val="es-ES_tradnl"/>
        </w:rPr>
        <w:t>A</w:t>
      </w:r>
      <w:r w:rsidR="00B229E7" w:rsidRPr="00B97122">
        <w:rPr>
          <w:rFonts w:asciiTheme="majorHAnsi" w:hAnsiTheme="majorHAnsi" w:cs="Times New Roman"/>
          <w:lang w:val="es-ES_tradnl"/>
        </w:rPr>
        <w:t xml:space="preserve">cción de CECoP en los planes de trabajo </w:t>
      </w:r>
      <w:r w:rsidR="005A7BFC">
        <w:rPr>
          <w:rFonts w:asciiTheme="majorHAnsi" w:hAnsiTheme="majorHAnsi" w:cs="Times New Roman"/>
          <w:lang w:val="es-ES_tradnl"/>
        </w:rPr>
        <w:t>anual</w:t>
      </w:r>
      <w:r w:rsidR="00B229E7" w:rsidRPr="00B97122">
        <w:rPr>
          <w:rFonts w:asciiTheme="majorHAnsi" w:hAnsiTheme="majorHAnsi" w:cs="Times New Roman"/>
          <w:lang w:val="es-ES_tradnl"/>
        </w:rPr>
        <w:t xml:space="preserve"> y trienal de la Secretaría</w:t>
      </w:r>
      <w:r w:rsidR="00C64326" w:rsidRPr="00B97122">
        <w:rPr>
          <w:rFonts w:asciiTheme="majorHAnsi" w:hAnsiTheme="majorHAnsi" w:cs="Times New Roman"/>
          <w:lang w:val="es-ES_tradnl"/>
        </w:rPr>
        <w:t xml:space="preserve">.  </w:t>
      </w:r>
    </w:p>
    <w:p w14:paraId="519C50B1" w14:textId="77777777" w:rsidR="004C3670" w:rsidRPr="00B97122" w:rsidRDefault="004C3670" w:rsidP="004C3670">
      <w:pPr>
        <w:pStyle w:val="BodyText"/>
        <w:widowControl/>
        <w:tabs>
          <w:tab w:val="left" w:pos="544"/>
        </w:tabs>
        <w:ind w:left="425" w:hanging="425"/>
        <w:rPr>
          <w:rFonts w:asciiTheme="majorHAnsi" w:hAnsiTheme="majorHAnsi"/>
          <w:lang w:val="es-ES_tradnl"/>
        </w:rPr>
      </w:pPr>
    </w:p>
    <w:p w14:paraId="6AAEC854" w14:textId="32748D67" w:rsidR="00C64326" w:rsidRPr="00B97122" w:rsidRDefault="004C367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10.</w:t>
      </w:r>
      <w:r w:rsidRPr="00B97122">
        <w:rPr>
          <w:rFonts w:asciiTheme="majorHAnsi" w:hAnsiTheme="majorHAnsi"/>
          <w:lang w:val="es-ES_tradnl"/>
        </w:rPr>
        <w:tab/>
      </w:r>
      <w:r w:rsidR="00B229E7" w:rsidRPr="00B97122">
        <w:rPr>
          <w:rFonts w:asciiTheme="majorHAnsi" w:hAnsiTheme="majorHAnsi"/>
          <w:lang w:val="es-ES_tradnl"/>
        </w:rPr>
        <w:t xml:space="preserve">Las Organizaciones </w:t>
      </w:r>
      <w:r w:rsidR="00D366C2" w:rsidRPr="00B97122">
        <w:rPr>
          <w:rFonts w:asciiTheme="majorHAnsi" w:hAnsiTheme="majorHAnsi"/>
          <w:lang w:val="es-ES_tradnl"/>
        </w:rPr>
        <w:t>Internacionales</w:t>
      </w:r>
      <w:r w:rsidR="00B229E7" w:rsidRPr="00B97122">
        <w:rPr>
          <w:rFonts w:asciiTheme="majorHAnsi" w:hAnsiTheme="majorHAnsi"/>
          <w:lang w:val="es-ES_tradnl"/>
        </w:rPr>
        <w:t xml:space="preserve"> Asociadas </w:t>
      </w:r>
      <w:r w:rsidR="00C64326" w:rsidRPr="00B97122">
        <w:rPr>
          <w:rFonts w:asciiTheme="majorHAnsi" w:hAnsiTheme="majorHAnsi" w:cs="Times New Roman"/>
          <w:lang w:val="es-ES_tradnl"/>
        </w:rPr>
        <w:t>(Birdlife International,</w:t>
      </w:r>
      <w:r w:rsidR="00C92ACB">
        <w:rPr>
          <w:rFonts w:asciiTheme="majorHAnsi" w:hAnsiTheme="majorHAnsi" w:cs="Times New Roman"/>
          <w:lang w:val="es-ES_tradnl"/>
        </w:rPr>
        <w:t xml:space="preserve"> el Instituto Internacional para el Manejo del Agua, </w:t>
      </w:r>
      <w:r w:rsidR="00B229E7" w:rsidRPr="00B97122">
        <w:rPr>
          <w:rFonts w:asciiTheme="majorHAnsi" w:hAnsiTheme="majorHAnsi" w:cs="Times New Roman"/>
          <w:lang w:val="es-ES_tradnl"/>
        </w:rPr>
        <w:t>la UIC</w:t>
      </w:r>
      <w:r w:rsidR="00C64326" w:rsidRPr="00B97122">
        <w:rPr>
          <w:rFonts w:asciiTheme="majorHAnsi" w:hAnsiTheme="majorHAnsi" w:cs="Times New Roman"/>
          <w:lang w:val="es-ES_tradnl"/>
        </w:rPr>
        <w:t xml:space="preserve">N, Wetlands International, Wildfowl and Wetlands Trust </w:t>
      </w:r>
      <w:r w:rsidR="00B229E7" w:rsidRPr="00B97122">
        <w:rPr>
          <w:rFonts w:asciiTheme="majorHAnsi" w:hAnsiTheme="majorHAnsi" w:cs="Times New Roman"/>
          <w:lang w:val="es-ES_tradnl"/>
        </w:rPr>
        <w:t xml:space="preserve">y </w:t>
      </w:r>
      <w:r w:rsidR="00C92ACB">
        <w:rPr>
          <w:rFonts w:asciiTheme="majorHAnsi" w:hAnsiTheme="majorHAnsi" w:cs="Times New Roman"/>
          <w:lang w:val="es-ES_tradnl"/>
        </w:rPr>
        <w:t>el Fondo Mundial para la Naturaleza</w:t>
      </w:r>
      <w:r w:rsidR="00C64326" w:rsidRPr="00B97122">
        <w:rPr>
          <w:rFonts w:asciiTheme="majorHAnsi" w:hAnsiTheme="majorHAnsi" w:cs="Times New Roman"/>
          <w:lang w:val="es-ES_tradnl"/>
        </w:rPr>
        <w:t xml:space="preserve">) </w:t>
      </w:r>
      <w:r w:rsidR="00B229E7" w:rsidRPr="00B97122">
        <w:rPr>
          <w:rFonts w:asciiTheme="majorHAnsi" w:hAnsiTheme="majorHAnsi" w:cs="Times New Roman"/>
          <w:lang w:val="es-ES_tradnl"/>
        </w:rPr>
        <w:t xml:space="preserve">han </w:t>
      </w:r>
      <w:r w:rsidR="00C92ACB">
        <w:rPr>
          <w:rFonts w:asciiTheme="majorHAnsi" w:hAnsiTheme="majorHAnsi" w:cs="Times New Roman"/>
          <w:lang w:val="es-ES_tradnl"/>
        </w:rPr>
        <w:t xml:space="preserve">jugado un papel activo en la promoción de </w:t>
      </w:r>
      <w:r w:rsidR="00B229E7" w:rsidRPr="00B97122">
        <w:rPr>
          <w:rFonts w:asciiTheme="majorHAnsi" w:hAnsiTheme="majorHAnsi" w:cs="Times New Roman"/>
          <w:lang w:val="es-ES_tradnl"/>
        </w:rPr>
        <w:t xml:space="preserve">la Convención y la </w:t>
      </w:r>
      <w:r w:rsidR="00C92ACB">
        <w:rPr>
          <w:rFonts w:asciiTheme="majorHAnsi" w:hAnsiTheme="majorHAnsi" w:cs="Times New Roman"/>
          <w:lang w:val="es-ES_tradnl"/>
        </w:rPr>
        <w:t>ejecución</w:t>
      </w:r>
      <w:r w:rsidR="00B229E7" w:rsidRPr="00B97122">
        <w:rPr>
          <w:rFonts w:asciiTheme="majorHAnsi" w:hAnsiTheme="majorHAnsi" w:cs="Times New Roman"/>
          <w:lang w:val="es-ES_tradnl"/>
        </w:rPr>
        <w:t xml:space="preserve"> del Plan Estratégico de Ramsar.</w:t>
      </w:r>
    </w:p>
    <w:p w14:paraId="7BD26217" w14:textId="77777777" w:rsidR="004C3670" w:rsidRPr="00B97122" w:rsidRDefault="004C3670" w:rsidP="004C3670">
      <w:pPr>
        <w:pStyle w:val="BodyText"/>
        <w:widowControl/>
        <w:tabs>
          <w:tab w:val="left" w:pos="544"/>
        </w:tabs>
        <w:ind w:left="425" w:hanging="425"/>
        <w:rPr>
          <w:rFonts w:asciiTheme="majorHAnsi" w:hAnsiTheme="majorHAnsi" w:cs="Times New Roman"/>
          <w:lang w:val="es-ES_tradnl"/>
        </w:rPr>
      </w:pPr>
    </w:p>
    <w:p w14:paraId="4E483B45" w14:textId="14FA1FFE" w:rsidR="00C64326" w:rsidRPr="00786232" w:rsidRDefault="004C3670" w:rsidP="00C92ACB">
      <w:pPr>
        <w:pStyle w:val="BodyText"/>
        <w:widowControl/>
        <w:tabs>
          <w:tab w:val="left" w:pos="544"/>
          <w:tab w:val="left" w:pos="5812"/>
        </w:tabs>
        <w:ind w:left="425" w:hanging="425"/>
        <w:rPr>
          <w:rFonts w:asciiTheme="majorHAnsi" w:hAnsiTheme="majorHAnsi" w:cs="Times New Roman"/>
          <w:lang w:val="es-ES_tradnl"/>
        </w:rPr>
      </w:pPr>
      <w:r w:rsidRPr="00B97122">
        <w:rPr>
          <w:rFonts w:asciiTheme="majorHAnsi" w:hAnsiTheme="majorHAnsi" w:cs="Times New Roman"/>
          <w:lang w:val="es-ES_tradnl"/>
        </w:rPr>
        <w:t>11.</w:t>
      </w:r>
      <w:r w:rsidRPr="00B97122">
        <w:rPr>
          <w:rFonts w:asciiTheme="majorHAnsi" w:hAnsiTheme="majorHAnsi" w:cs="Times New Roman"/>
          <w:lang w:val="es-ES_tradnl"/>
        </w:rPr>
        <w:tab/>
      </w:r>
      <w:r w:rsidR="00B229E7" w:rsidRPr="00B97122">
        <w:rPr>
          <w:rFonts w:asciiTheme="majorHAnsi" w:hAnsiTheme="majorHAnsi" w:cs="Times New Roman"/>
          <w:lang w:val="es-ES_tradnl"/>
        </w:rPr>
        <w:t>El Grupo de supervisión de las actividades de</w:t>
      </w:r>
      <w:r w:rsidR="00C64326" w:rsidRPr="00B97122">
        <w:rPr>
          <w:rFonts w:asciiTheme="majorHAnsi" w:hAnsiTheme="majorHAnsi" w:cs="Times New Roman"/>
          <w:lang w:val="es-ES_tradnl"/>
        </w:rPr>
        <w:t xml:space="preserve"> </w:t>
      </w:r>
      <w:r w:rsidR="001670A8" w:rsidRPr="00B97122">
        <w:rPr>
          <w:rFonts w:asciiTheme="majorHAnsi" w:hAnsiTheme="majorHAnsi" w:cs="Times New Roman"/>
          <w:lang w:val="es-ES_tradnl"/>
        </w:rPr>
        <w:t>CECoP</w:t>
      </w:r>
      <w:r w:rsidR="00B229E7" w:rsidRPr="00B97122">
        <w:rPr>
          <w:rFonts w:asciiTheme="majorHAnsi" w:hAnsiTheme="majorHAnsi" w:cs="Times New Roman"/>
          <w:lang w:val="es-ES_tradnl"/>
        </w:rPr>
        <w:t xml:space="preserve"> fue creado en </w:t>
      </w:r>
      <w:r w:rsidR="00C64326" w:rsidRPr="00B97122">
        <w:rPr>
          <w:rFonts w:asciiTheme="majorHAnsi" w:hAnsiTheme="majorHAnsi" w:cs="Times New Roman"/>
          <w:lang w:val="es-ES_tradnl"/>
        </w:rPr>
        <w:t>2006 (</w:t>
      </w:r>
      <w:r w:rsidR="00B229E7" w:rsidRPr="00B97122">
        <w:rPr>
          <w:rFonts w:asciiTheme="majorHAnsi" w:hAnsiTheme="majorHAnsi" w:cs="Times New Roman"/>
          <w:lang w:val="es-ES_tradnl"/>
        </w:rPr>
        <w:t xml:space="preserve">por la 34ª reunión del Comité Permanente, con arreglo a la </w:t>
      </w:r>
      <w:r w:rsidR="00C92ACB" w:rsidRPr="00B97122">
        <w:rPr>
          <w:rFonts w:asciiTheme="majorHAnsi" w:hAnsiTheme="majorHAnsi" w:cs="Times New Roman"/>
          <w:lang w:val="es-ES_tradnl"/>
        </w:rPr>
        <w:t>Resolución</w:t>
      </w:r>
      <w:r w:rsidR="00B229E7" w:rsidRPr="00B97122">
        <w:rPr>
          <w:rFonts w:asciiTheme="majorHAnsi" w:hAnsiTheme="majorHAnsi" w:cs="Times New Roman"/>
          <w:lang w:val="es-ES_tradnl"/>
        </w:rPr>
        <w:t xml:space="preserve"> </w:t>
      </w:r>
      <w:r w:rsidR="00C64326" w:rsidRPr="00B97122">
        <w:rPr>
          <w:rFonts w:asciiTheme="majorHAnsi" w:hAnsiTheme="majorHAnsi" w:cs="Times New Roman"/>
          <w:lang w:val="es-ES_tradnl"/>
        </w:rPr>
        <w:t xml:space="preserve">IX.18) </w:t>
      </w:r>
      <w:r w:rsidR="00B229E7" w:rsidRPr="00B97122">
        <w:rPr>
          <w:rFonts w:asciiTheme="majorHAnsi" w:hAnsiTheme="majorHAnsi" w:cs="Times New Roman"/>
          <w:lang w:val="es-ES_tradnl"/>
        </w:rPr>
        <w:t xml:space="preserve">para realizar un seguimiento </w:t>
      </w:r>
      <w:r w:rsidR="00786232">
        <w:rPr>
          <w:rFonts w:asciiTheme="majorHAnsi" w:hAnsiTheme="majorHAnsi" w:cs="Times New Roman"/>
          <w:lang w:val="es-ES_tradnl"/>
        </w:rPr>
        <w:t>y presentar informes sobre l</w:t>
      </w:r>
      <w:r w:rsidR="00B229E7" w:rsidRPr="00B97122">
        <w:rPr>
          <w:rFonts w:asciiTheme="majorHAnsi" w:hAnsiTheme="majorHAnsi" w:cs="Times New Roman"/>
          <w:lang w:val="es-ES_tradnl"/>
        </w:rPr>
        <w:t xml:space="preserve">as </w:t>
      </w:r>
      <w:r w:rsidR="00B229E7" w:rsidRPr="00786232">
        <w:rPr>
          <w:rFonts w:asciiTheme="majorHAnsi" w:hAnsiTheme="majorHAnsi" w:cs="Times New Roman"/>
          <w:lang w:val="es-ES_tradnl"/>
        </w:rPr>
        <w:t>cuestiones de</w:t>
      </w:r>
      <w:r w:rsidR="00C64326" w:rsidRPr="00786232">
        <w:rPr>
          <w:rFonts w:asciiTheme="majorHAnsi" w:hAnsiTheme="majorHAnsi" w:cs="Times New Roman"/>
          <w:lang w:val="es-ES_tradnl"/>
        </w:rPr>
        <w:t xml:space="preserve"> </w:t>
      </w:r>
      <w:r w:rsidR="001670A8" w:rsidRPr="00786232">
        <w:rPr>
          <w:rFonts w:asciiTheme="majorHAnsi" w:hAnsiTheme="majorHAnsi" w:cs="Times New Roman"/>
          <w:lang w:val="es-ES_tradnl"/>
        </w:rPr>
        <w:t>CECoP</w:t>
      </w:r>
      <w:r w:rsidR="00C64326" w:rsidRPr="00786232">
        <w:rPr>
          <w:rFonts w:asciiTheme="majorHAnsi" w:hAnsiTheme="majorHAnsi" w:cs="Times New Roman"/>
          <w:lang w:val="es-ES_tradnl"/>
        </w:rPr>
        <w:t xml:space="preserve"> </w:t>
      </w:r>
      <w:r w:rsidR="00B229E7" w:rsidRPr="00786232">
        <w:rPr>
          <w:rFonts w:asciiTheme="majorHAnsi" w:hAnsiTheme="majorHAnsi" w:cs="Times New Roman"/>
          <w:lang w:val="es-ES_tradnl"/>
        </w:rPr>
        <w:t xml:space="preserve">a escala nacional y </w:t>
      </w:r>
      <w:r w:rsidR="00786232" w:rsidRPr="00786232">
        <w:rPr>
          <w:rFonts w:asciiTheme="majorHAnsi" w:hAnsiTheme="majorHAnsi" w:cs="Times New Roman"/>
          <w:lang w:val="es-ES_tradnl"/>
        </w:rPr>
        <w:t xml:space="preserve">también sobre los avances en la aplicación del </w:t>
      </w:r>
      <w:r w:rsidR="00003376" w:rsidRPr="00786232">
        <w:rPr>
          <w:rFonts w:asciiTheme="majorHAnsi" w:hAnsiTheme="majorHAnsi" w:cs="Times New Roman"/>
          <w:lang w:val="es-ES_tradnl"/>
        </w:rPr>
        <w:t>Programa de CECoP</w:t>
      </w:r>
      <w:r w:rsidR="00786232" w:rsidRPr="00786232">
        <w:rPr>
          <w:rFonts w:asciiTheme="majorHAnsi" w:hAnsiTheme="majorHAnsi" w:cs="Times New Roman"/>
          <w:lang w:val="es-ES_tradnl"/>
        </w:rPr>
        <w:t>.</w:t>
      </w:r>
    </w:p>
    <w:p w14:paraId="0A48936C" w14:textId="77777777" w:rsidR="004C3670" w:rsidRPr="00B97122" w:rsidRDefault="004C3670" w:rsidP="004C3670">
      <w:pPr>
        <w:pStyle w:val="BodyText"/>
        <w:widowControl/>
        <w:tabs>
          <w:tab w:val="left" w:pos="544"/>
        </w:tabs>
        <w:ind w:left="425" w:hanging="425"/>
        <w:rPr>
          <w:rFonts w:asciiTheme="majorHAnsi" w:hAnsiTheme="majorHAnsi" w:cs="Times New Roman"/>
          <w:lang w:val="es-ES_tradnl"/>
        </w:rPr>
      </w:pPr>
      <w:bookmarkStart w:id="0" w:name="_GoBack"/>
      <w:bookmarkEnd w:id="0"/>
    </w:p>
    <w:p w14:paraId="4416B077" w14:textId="50662F7E" w:rsidR="00C64326" w:rsidRPr="00B97122" w:rsidRDefault="004C367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12.</w:t>
      </w:r>
      <w:r w:rsidRPr="00B97122">
        <w:rPr>
          <w:rFonts w:asciiTheme="majorHAnsi" w:hAnsiTheme="majorHAnsi" w:cs="Times New Roman"/>
          <w:lang w:val="es-ES_tradnl"/>
        </w:rPr>
        <w:tab/>
      </w:r>
      <w:r w:rsidR="00D66EFC" w:rsidRPr="00B97122">
        <w:rPr>
          <w:rFonts w:asciiTheme="majorHAnsi" w:hAnsiTheme="majorHAnsi" w:cs="Times New Roman"/>
          <w:lang w:val="es-ES_tradnl"/>
        </w:rPr>
        <w:t>La Secretaría y el Grupo de supervisión de las actividades de CECoP</w:t>
      </w:r>
      <w:r w:rsidR="00C64326" w:rsidRPr="00B97122">
        <w:rPr>
          <w:rFonts w:asciiTheme="majorHAnsi" w:hAnsiTheme="majorHAnsi" w:cs="Times New Roman"/>
          <w:lang w:val="es-ES_tradnl"/>
        </w:rPr>
        <w:t xml:space="preserve"> </w:t>
      </w:r>
      <w:r w:rsidR="00D66EFC" w:rsidRPr="00B97122">
        <w:rPr>
          <w:rFonts w:asciiTheme="majorHAnsi" w:hAnsiTheme="majorHAnsi" w:cs="Times New Roman"/>
          <w:lang w:val="es-ES_tradnl"/>
        </w:rPr>
        <w:t xml:space="preserve">han </w:t>
      </w:r>
      <w:r w:rsidR="00786232">
        <w:rPr>
          <w:rFonts w:asciiTheme="majorHAnsi" w:hAnsiTheme="majorHAnsi" w:cs="Times New Roman"/>
          <w:lang w:val="es-ES_tradnl"/>
        </w:rPr>
        <w:t>realizado aportaciones</w:t>
      </w:r>
      <w:r w:rsidR="00D66EFC" w:rsidRPr="00B97122">
        <w:rPr>
          <w:rFonts w:asciiTheme="majorHAnsi" w:hAnsiTheme="majorHAnsi" w:cs="Times New Roman"/>
          <w:lang w:val="es-ES_tradnl"/>
        </w:rPr>
        <w:t xml:space="preserve"> al presente </w:t>
      </w:r>
      <w:r w:rsidR="00786232" w:rsidRPr="00B97122">
        <w:rPr>
          <w:rFonts w:asciiTheme="majorHAnsi" w:hAnsiTheme="majorHAnsi" w:cs="Times New Roman"/>
          <w:lang w:val="es-ES_tradnl"/>
        </w:rPr>
        <w:t>informe</w:t>
      </w:r>
      <w:r w:rsidR="00C64326" w:rsidRPr="00B97122">
        <w:rPr>
          <w:rFonts w:asciiTheme="majorHAnsi" w:hAnsiTheme="majorHAnsi" w:cs="Times New Roman"/>
          <w:lang w:val="es-ES_tradnl"/>
        </w:rPr>
        <w:t>.</w:t>
      </w:r>
    </w:p>
    <w:p w14:paraId="1D4C5507" w14:textId="77777777" w:rsidR="004C3670" w:rsidRPr="00B97122" w:rsidRDefault="004C3670" w:rsidP="004C3670">
      <w:pPr>
        <w:pStyle w:val="BodyText"/>
        <w:widowControl/>
        <w:tabs>
          <w:tab w:val="left" w:pos="544"/>
        </w:tabs>
        <w:ind w:left="425" w:hanging="425"/>
        <w:rPr>
          <w:rFonts w:asciiTheme="majorHAnsi" w:hAnsiTheme="majorHAnsi" w:cs="Times New Roman"/>
          <w:lang w:val="es-ES_tradnl"/>
        </w:rPr>
      </w:pPr>
    </w:p>
    <w:p w14:paraId="357C9C5F" w14:textId="7DEFFB34" w:rsidR="00C64326" w:rsidRPr="00B97122" w:rsidRDefault="00D66EFC" w:rsidP="004C3670">
      <w:pPr>
        <w:autoSpaceDE w:val="0"/>
        <w:autoSpaceDN w:val="0"/>
        <w:adjustRightInd w:val="0"/>
        <w:rPr>
          <w:rFonts w:asciiTheme="majorHAnsi" w:hAnsiTheme="majorHAnsi" w:cs="Calibri"/>
          <w:bCs/>
          <w:sz w:val="22"/>
          <w:szCs w:val="22"/>
          <w:u w:val="single"/>
          <w:lang w:val="es-ES_tradnl"/>
        </w:rPr>
      </w:pPr>
      <w:r w:rsidRPr="00B97122">
        <w:rPr>
          <w:rFonts w:asciiTheme="majorHAnsi" w:hAnsiTheme="majorHAnsi" w:cs="Calibri"/>
          <w:bCs/>
          <w:sz w:val="22"/>
          <w:szCs w:val="22"/>
          <w:u w:val="single"/>
          <w:lang w:val="es-ES_tradnl"/>
        </w:rPr>
        <w:t xml:space="preserve">Logros </w:t>
      </w:r>
      <w:r w:rsidR="00786232">
        <w:rPr>
          <w:rFonts w:asciiTheme="majorHAnsi" w:hAnsiTheme="majorHAnsi" w:cs="Calibri"/>
          <w:bCs/>
          <w:sz w:val="22"/>
          <w:szCs w:val="22"/>
          <w:u w:val="single"/>
          <w:lang w:val="es-ES_tradnl"/>
        </w:rPr>
        <w:t>obtenidos</w:t>
      </w:r>
      <w:r w:rsidRPr="00B97122">
        <w:rPr>
          <w:rFonts w:asciiTheme="majorHAnsi" w:hAnsiTheme="majorHAnsi" w:cs="Calibri"/>
          <w:bCs/>
          <w:sz w:val="22"/>
          <w:szCs w:val="22"/>
          <w:u w:val="single"/>
          <w:lang w:val="es-ES_tradnl"/>
        </w:rPr>
        <w:t xml:space="preserve"> en </w:t>
      </w:r>
      <w:r w:rsidR="00786232" w:rsidRPr="00B97122">
        <w:rPr>
          <w:rFonts w:asciiTheme="majorHAnsi" w:hAnsiTheme="majorHAnsi" w:cs="Calibri"/>
          <w:bCs/>
          <w:sz w:val="22"/>
          <w:szCs w:val="22"/>
          <w:u w:val="single"/>
          <w:lang w:val="es-ES_tradnl"/>
        </w:rPr>
        <w:t>materia</w:t>
      </w:r>
      <w:r w:rsidRPr="00B97122">
        <w:rPr>
          <w:rFonts w:asciiTheme="majorHAnsi" w:hAnsiTheme="majorHAnsi" w:cs="Calibri"/>
          <w:bCs/>
          <w:sz w:val="22"/>
          <w:szCs w:val="22"/>
          <w:u w:val="single"/>
          <w:lang w:val="es-ES_tradnl"/>
        </w:rPr>
        <w:t xml:space="preserve"> de CECoP durante el período</w:t>
      </w:r>
      <w:r w:rsidR="00C64326" w:rsidRPr="00B97122">
        <w:rPr>
          <w:rFonts w:asciiTheme="majorHAnsi" w:hAnsiTheme="majorHAnsi" w:cs="Calibri"/>
          <w:bCs/>
          <w:sz w:val="22"/>
          <w:szCs w:val="22"/>
          <w:u w:val="single"/>
          <w:lang w:val="es-ES_tradnl"/>
        </w:rPr>
        <w:t xml:space="preserve"> 2016-2018</w:t>
      </w:r>
    </w:p>
    <w:p w14:paraId="41784043" w14:textId="77777777" w:rsidR="004C3670" w:rsidRPr="00B97122" w:rsidRDefault="004C3670" w:rsidP="004C3670">
      <w:pPr>
        <w:pStyle w:val="BodyText"/>
        <w:widowControl/>
        <w:tabs>
          <w:tab w:val="left" w:pos="544"/>
        </w:tabs>
        <w:ind w:left="425" w:hanging="425"/>
        <w:rPr>
          <w:rFonts w:asciiTheme="majorHAnsi" w:hAnsiTheme="majorHAnsi"/>
          <w:lang w:val="es-ES_tradnl"/>
        </w:rPr>
      </w:pPr>
    </w:p>
    <w:p w14:paraId="0887CBDF" w14:textId="11F4421B" w:rsidR="00C64326" w:rsidRPr="00B97122" w:rsidRDefault="004C367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13.</w:t>
      </w:r>
      <w:r w:rsidRPr="00B97122">
        <w:rPr>
          <w:rFonts w:asciiTheme="majorHAnsi" w:hAnsiTheme="majorHAnsi"/>
          <w:lang w:val="es-ES_tradnl"/>
        </w:rPr>
        <w:tab/>
      </w:r>
      <w:r w:rsidR="00B20380" w:rsidRPr="00B97122">
        <w:rPr>
          <w:rFonts w:asciiTheme="majorHAnsi" w:hAnsiTheme="majorHAnsi"/>
          <w:lang w:val="es-ES_tradnl"/>
        </w:rPr>
        <w:t xml:space="preserve">La siguiente evaluación de los progresos realizados en la </w:t>
      </w:r>
      <w:r w:rsidR="00786232" w:rsidRPr="00B97122">
        <w:rPr>
          <w:rFonts w:asciiTheme="majorHAnsi" w:hAnsiTheme="majorHAnsi"/>
          <w:lang w:val="es-ES_tradnl"/>
        </w:rPr>
        <w:t>aplicación</w:t>
      </w:r>
      <w:r w:rsidR="00B20380" w:rsidRPr="00B97122">
        <w:rPr>
          <w:rFonts w:asciiTheme="majorHAnsi" w:hAnsiTheme="majorHAnsi"/>
          <w:lang w:val="es-ES_tradnl"/>
        </w:rPr>
        <w:t xml:space="preserve"> del </w:t>
      </w:r>
      <w:r w:rsidR="00003376" w:rsidRPr="00B97122">
        <w:rPr>
          <w:rFonts w:asciiTheme="majorHAnsi" w:hAnsiTheme="majorHAnsi" w:cs="Times New Roman"/>
          <w:lang w:val="es-ES_tradnl"/>
        </w:rPr>
        <w:t xml:space="preserve">Programa de CECoP se basa en un </w:t>
      </w:r>
      <w:r w:rsidR="00786232" w:rsidRPr="00B97122">
        <w:rPr>
          <w:rFonts w:asciiTheme="majorHAnsi" w:hAnsiTheme="majorHAnsi" w:cs="Times New Roman"/>
          <w:lang w:val="es-ES_tradnl"/>
        </w:rPr>
        <w:t>análisis</w:t>
      </w:r>
      <w:r w:rsidR="00786232">
        <w:rPr>
          <w:rFonts w:asciiTheme="majorHAnsi" w:hAnsiTheme="majorHAnsi" w:cs="Times New Roman"/>
          <w:lang w:val="es-ES_tradnl"/>
        </w:rPr>
        <w:t xml:space="preserve"> de los informes nacionales presentados por </w:t>
      </w:r>
      <w:r w:rsidR="00003376" w:rsidRPr="00B97122">
        <w:rPr>
          <w:rFonts w:asciiTheme="majorHAnsi" w:hAnsiTheme="majorHAnsi" w:cs="Times New Roman"/>
          <w:lang w:val="es-ES_tradnl"/>
        </w:rPr>
        <w:t xml:space="preserve">las Partes </w:t>
      </w:r>
      <w:r w:rsidR="00786232" w:rsidRPr="00B97122">
        <w:rPr>
          <w:rFonts w:asciiTheme="majorHAnsi" w:hAnsiTheme="majorHAnsi" w:cs="Times New Roman"/>
          <w:lang w:val="es-ES_tradnl"/>
        </w:rPr>
        <w:t>Contratantes</w:t>
      </w:r>
      <w:r w:rsidR="00003376" w:rsidRPr="00B97122">
        <w:rPr>
          <w:rFonts w:asciiTheme="majorHAnsi" w:hAnsiTheme="majorHAnsi" w:cs="Times New Roman"/>
          <w:lang w:val="es-ES_tradnl"/>
        </w:rPr>
        <w:t xml:space="preserve"> a la COP13 </w:t>
      </w:r>
      <w:r w:rsidR="00786232">
        <w:rPr>
          <w:rFonts w:asciiTheme="majorHAnsi" w:hAnsiTheme="majorHAnsi" w:cs="Times New Roman"/>
          <w:lang w:val="es-ES_tradnl"/>
        </w:rPr>
        <w:t xml:space="preserve">y de </w:t>
      </w:r>
      <w:r w:rsidR="00003376" w:rsidRPr="00B97122">
        <w:rPr>
          <w:rFonts w:asciiTheme="majorHAnsi" w:hAnsiTheme="majorHAnsi" w:cs="Times New Roman"/>
          <w:lang w:val="es-ES_tradnl"/>
        </w:rPr>
        <w:t xml:space="preserve">los informes de la Secretaría sobre su aplicación </w:t>
      </w:r>
      <w:r w:rsidR="007750A9">
        <w:rPr>
          <w:rFonts w:asciiTheme="majorHAnsi" w:hAnsiTheme="majorHAnsi" w:cs="Times New Roman"/>
          <w:lang w:val="es-ES_tradnl"/>
        </w:rPr>
        <w:t>del Plan de A</w:t>
      </w:r>
      <w:r w:rsidR="00786232">
        <w:rPr>
          <w:rFonts w:asciiTheme="majorHAnsi" w:hAnsiTheme="majorHAnsi" w:cs="Times New Roman"/>
          <w:lang w:val="es-ES_tradnl"/>
        </w:rPr>
        <w:t>cción de CECoP</w:t>
      </w:r>
      <w:r w:rsidR="00C64326" w:rsidRPr="00B97122">
        <w:rPr>
          <w:rFonts w:asciiTheme="majorHAnsi" w:hAnsiTheme="majorHAnsi" w:cs="Times New Roman"/>
          <w:lang w:val="es-ES_tradnl"/>
        </w:rPr>
        <w:t>.</w:t>
      </w:r>
    </w:p>
    <w:p w14:paraId="3685324E" w14:textId="77777777" w:rsidR="004C3670" w:rsidRPr="00B97122" w:rsidRDefault="004C3670" w:rsidP="004C3670">
      <w:pPr>
        <w:pStyle w:val="BodyText"/>
        <w:widowControl/>
        <w:tabs>
          <w:tab w:val="left" w:pos="544"/>
        </w:tabs>
        <w:ind w:left="425" w:hanging="425"/>
        <w:rPr>
          <w:rFonts w:asciiTheme="majorHAnsi" w:hAnsiTheme="majorHAnsi" w:cs="Times New Roman"/>
          <w:lang w:val="es-ES_tradnl"/>
        </w:rPr>
      </w:pPr>
    </w:p>
    <w:p w14:paraId="5CA4D7F1" w14:textId="5585F99E" w:rsidR="00C64326" w:rsidRPr="00B97122" w:rsidRDefault="004C3670"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lastRenderedPageBreak/>
        <w:t>14.</w:t>
      </w:r>
      <w:r w:rsidRPr="00B97122">
        <w:rPr>
          <w:rFonts w:asciiTheme="majorHAnsi" w:hAnsiTheme="majorHAnsi" w:cs="Times New Roman"/>
          <w:lang w:val="es-ES_tradnl"/>
        </w:rPr>
        <w:tab/>
      </w:r>
      <w:r w:rsidR="00786232">
        <w:rPr>
          <w:rFonts w:asciiTheme="majorHAnsi" w:hAnsiTheme="majorHAnsi" w:cs="Times New Roman"/>
          <w:lang w:val="es-ES_tradnl"/>
        </w:rPr>
        <w:t>En cuanto a los nueve objetivos</w:t>
      </w:r>
      <w:r w:rsidR="00003376" w:rsidRPr="00B97122">
        <w:rPr>
          <w:rFonts w:asciiTheme="majorHAnsi" w:hAnsiTheme="majorHAnsi" w:cs="Times New Roman"/>
          <w:lang w:val="es-ES_tradnl"/>
        </w:rPr>
        <w:t xml:space="preserve"> del Programa </w:t>
      </w:r>
      <w:r w:rsidR="00003376" w:rsidRPr="00786232">
        <w:rPr>
          <w:rFonts w:asciiTheme="majorHAnsi" w:hAnsiTheme="majorHAnsi" w:cs="Times New Roman"/>
          <w:lang w:val="es-ES_tradnl"/>
        </w:rPr>
        <w:t>de CECoP</w:t>
      </w:r>
      <w:r w:rsidR="00786232" w:rsidRPr="00786232">
        <w:rPr>
          <w:rFonts w:asciiTheme="majorHAnsi" w:hAnsiTheme="majorHAnsi" w:cs="Times New Roman"/>
          <w:lang w:val="es-ES_tradnl"/>
        </w:rPr>
        <w:t xml:space="preserve"> para</w:t>
      </w:r>
      <w:r w:rsidR="00C64326" w:rsidRPr="00786232">
        <w:rPr>
          <w:rFonts w:asciiTheme="majorHAnsi" w:hAnsiTheme="majorHAnsi" w:cs="Times New Roman"/>
          <w:lang w:val="es-ES_tradnl"/>
        </w:rPr>
        <w:t xml:space="preserve"> 2016-2024</w:t>
      </w:r>
      <w:r w:rsidR="00C64326" w:rsidRPr="00B97122">
        <w:rPr>
          <w:rFonts w:asciiTheme="majorHAnsi" w:hAnsiTheme="majorHAnsi" w:cs="Times New Roman"/>
          <w:lang w:val="es-ES_tradnl"/>
        </w:rPr>
        <w:t>,</w:t>
      </w:r>
      <w:r w:rsidR="00003376" w:rsidRPr="00B97122">
        <w:rPr>
          <w:rFonts w:asciiTheme="majorHAnsi" w:hAnsiTheme="majorHAnsi" w:cs="Times New Roman"/>
          <w:lang w:val="es-ES_tradnl"/>
        </w:rPr>
        <w:t xml:space="preserve"> se </w:t>
      </w:r>
      <w:r w:rsidR="00786232">
        <w:rPr>
          <w:rFonts w:asciiTheme="majorHAnsi" w:hAnsiTheme="majorHAnsi" w:cs="Times New Roman"/>
          <w:lang w:val="es-ES_tradnl"/>
        </w:rPr>
        <w:t>realizaron</w:t>
      </w:r>
      <w:r w:rsidR="00003376" w:rsidRPr="00B97122">
        <w:rPr>
          <w:rFonts w:asciiTheme="majorHAnsi" w:hAnsiTheme="majorHAnsi" w:cs="Times New Roman"/>
          <w:lang w:val="es-ES_tradnl"/>
        </w:rPr>
        <w:t xml:space="preserve"> los siguien</w:t>
      </w:r>
      <w:r w:rsidR="00A07BFB">
        <w:rPr>
          <w:rFonts w:asciiTheme="majorHAnsi" w:hAnsiTheme="majorHAnsi" w:cs="Times New Roman"/>
          <w:lang w:val="es-ES_tradnl"/>
        </w:rPr>
        <w:t>tes avances durante el trienio</w:t>
      </w:r>
      <w:r w:rsidR="00C64326" w:rsidRPr="00B97122">
        <w:rPr>
          <w:rFonts w:asciiTheme="majorHAnsi" w:hAnsiTheme="majorHAnsi" w:cs="Times New Roman"/>
          <w:lang w:val="es-ES_tradnl"/>
        </w:rPr>
        <w:t>:</w:t>
      </w:r>
    </w:p>
    <w:p w14:paraId="07827058" w14:textId="77777777" w:rsidR="004C3670" w:rsidRPr="00B97122" w:rsidRDefault="004C3670" w:rsidP="004C3670">
      <w:pPr>
        <w:pStyle w:val="BodyText"/>
        <w:widowControl/>
        <w:tabs>
          <w:tab w:val="left" w:pos="544"/>
        </w:tabs>
        <w:ind w:left="425" w:hanging="425"/>
        <w:rPr>
          <w:rFonts w:asciiTheme="majorHAnsi" w:hAnsiTheme="majorHAnsi" w:cs="Times New Roman"/>
          <w:lang w:val="es-ES_tradnl"/>
        </w:rPr>
      </w:pPr>
    </w:p>
    <w:p w14:paraId="3AFD1FA7" w14:textId="3A957462" w:rsidR="00C64326" w:rsidRPr="00B97122" w:rsidRDefault="00A07BFB" w:rsidP="004C3670">
      <w:pPr>
        <w:keepNext/>
        <w:spacing w:after="200"/>
        <w:rPr>
          <w:rFonts w:asciiTheme="majorHAnsi" w:eastAsia="Calibri" w:hAnsiTheme="majorHAnsi" w:cs="Times New Roman"/>
          <w:i/>
          <w:sz w:val="22"/>
          <w:szCs w:val="22"/>
          <w:lang w:val="es-ES_tradnl"/>
        </w:rPr>
      </w:pPr>
      <w:r w:rsidRPr="00A07BFB">
        <w:rPr>
          <w:rFonts w:asciiTheme="majorHAnsi" w:eastAsia="Calibri" w:hAnsiTheme="majorHAnsi" w:cs="Times New Roman"/>
          <w:i/>
          <w:sz w:val="22"/>
          <w:szCs w:val="22"/>
          <w:lang w:val="es-ES_tradnl"/>
        </w:rPr>
        <w:t>Objetivo</w:t>
      </w:r>
      <w:r>
        <w:rPr>
          <w:rFonts w:asciiTheme="majorHAnsi" w:eastAsia="Calibri" w:hAnsiTheme="majorHAnsi" w:cs="Times New Roman"/>
          <w:i/>
          <w:color w:val="FF0000"/>
          <w:sz w:val="22"/>
          <w:szCs w:val="22"/>
          <w:lang w:val="es-ES_tradnl"/>
        </w:rPr>
        <w:t xml:space="preserve"> </w:t>
      </w:r>
      <w:r w:rsidR="00C64326" w:rsidRPr="00B97122">
        <w:rPr>
          <w:rFonts w:asciiTheme="majorHAnsi" w:eastAsia="Calibri" w:hAnsiTheme="majorHAnsi" w:cs="Times New Roman"/>
          <w:i/>
          <w:sz w:val="22"/>
          <w:szCs w:val="22"/>
          <w:lang w:val="es-ES_tradnl"/>
        </w:rPr>
        <w:t xml:space="preserve">1 – </w:t>
      </w:r>
      <w:r w:rsidR="00003376" w:rsidRPr="00B97122">
        <w:rPr>
          <w:rFonts w:asciiTheme="majorHAnsi" w:eastAsia="Calibri" w:hAnsiTheme="majorHAnsi" w:cs="Times New Roman"/>
          <w:i/>
          <w:sz w:val="22"/>
          <w:szCs w:val="22"/>
          <w:lang w:val="es-ES_tradnl"/>
        </w:rPr>
        <w:t>Liderazgo, apoyo institucional y redes</w:t>
      </w:r>
    </w:p>
    <w:p w14:paraId="1BB4211D" w14:textId="1D66B6BF" w:rsidR="00C64326" w:rsidRPr="002432F8" w:rsidRDefault="002B729F" w:rsidP="004C3670">
      <w:pPr>
        <w:numPr>
          <w:ilvl w:val="0"/>
          <w:numId w:val="17"/>
        </w:numPr>
        <w:spacing w:after="200"/>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L</w:t>
      </w:r>
      <w:r w:rsidR="00A07BFB">
        <w:rPr>
          <w:rFonts w:asciiTheme="majorHAnsi" w:eastAsia="Calibri" w:hAnsiTheme="majorHAnsi" w:cs="Times New Roman"/>
          <w:sz w:val="22"/>
          <w:szCs w:val="22"/>
          <w:lang w:val="es-ES_tradnl"/>
        </w:rPr>
        <w:t>a</w:t>
      </w:r>
      <w:r w:rsidR="00003376" w:rsidRPr="00B97122">
        <w:rPr>
          <w:rFonts w:asciiTheme="majorHAnsi" w:eastAsia="Calibri" w:hAnsiTheme="majorHAnsi" w:cs="Times New Roman"/>
          <w:sz w:val="22"/>
          <w:szCs w:val="22"/>
          <w:lang w:val="es-ES_tradnl"/>
        </w:rPr>
        <w:t xml:space="preserve"> </w:t>
      </w:r>
      <w:r w:rsidR="00A07BFB" w:rsidRPr="00A07BFB">
        <w:rPr>
          <w:rFonts w:asciiTheme="majorHAnsi" w:eastAsia="Calibri" w:hAnsiTheme="majorHAnsi" w:cs="Times New Roman"/>
          <w:sz w:val="22"/>
          <w:szCs w:val="22"/>
          <w:lang w:val="es-ES_tradnl"/>
        </w:rPr>
        <w:t>Secretaria</w:t>
      </w:r>
      <w:r w:rsidR="00003376" w:rsidRPr="00B97122">
        <w:rPr>
          <w:rFonts w:asciiTheme="majorHAnsi" w:eastAsia="Calibri" w:hAnsiTheme="majorHAnsi" w:cs="Times New Roman"/>
          <w:sz w:val="22"/>
          <w:szCs w:val="22"/>
          <w:lang w:val="es-ES_tradnl"/>
        </w:rPr>
        <w:t xml:space="preserve"> General y las Partes Con</w:t>
      </w:r>
      <w:r w:rsidR="00B229E7" w:rsidRPr="00B97122">
        <w:rPr>
          <w:rFonts w:asciiTheme="majorHAnsi" w:eastAsia="Calibri" w:hAnsiTheme="majorHAnsi" w:cs="Times New Roman"/>
          <w:sz w:val="22"/>
          <w:szCs w:val="22"/>
          <w:lang w:val="es-ES_tradnl"/>
        </w:rPr>
        <w:t>tratantes</w:t>
      </w:r>
      <w:r w:rsidR="00C64326" w:rsidRPr="00B97122">
        <w:rPr>
          <w:rFonts w:asciiTheme="majorHAnsi" w:eastAsia="Calibri" w:hAnsiTheme="majorHAnsi" w:cs="Times New Roman"/>
          <w:sz w:val="22"/>
          <w:szCs w:val="22"/>
          <w:lang w:val="es-ES_tradnl"/>
        </w:rPr>
        <w:t xml:space="preserve"> </w:t>
      </w:r>
      <w:r w:rsidR="00003376" w:rsidRPr="00B97122">
        <w:rPr>
          <w:rFonts w:asciiTheme="majorHAnsi" w:eastAsia="Calibri" w:hAnsiTheme="majorHAnsi" w:cs="Times New Roman"/>
          <w:sz w:val="22"/>
          <w:szCs w:val="22"/>
          <w:lang w:val="es-ES_tradnl"/>
        </w:rPr>
        <w:t>aumentaron la visib</w:t>
      </w:r>
      <w:r>
        <w:rPr>
          <w:rFonts w:asciiTheme="majorHAnsi" w:eastAsia="Calibri" w:hAnsiTheme="majorHAnsi" w:cs="Times New Roman"/>
          <w:sz w:val="22"/>
          <w:szCs w:val="22"/>
          <w:lang w:val="es-ES_tradnl"/>
        </w:rPr>
        <w:t xml:space="preserve">ilidad de Ramsar y mejoraron la </w:t>
      </w:r>
      <w:r w:rsidR="00003376" w:rsidRPr="00B97122">
        <w:rPr>
          <w:rFonts w:asciiTheme="majorHAnsi" w:eastAsia="Calibri" w:hAnsiTheme="majorHAnsi" w:cs="Times New Roman"/>
          <w:sz w:val="22"/>
          <w:szCs w:val="22"/>
          <w:lang w:val="es-ES_tradnl"/>
        </w:rPr>
        <w:t xml:space="preserve">participación en procesos </w:t>
      </w:r>
      <w:r>
        <w:rPr>
          <w:rFonts w:asciiTheme="majorHAnsi" w:eastAsia="Calibri" w:hAnsiTheme="majorHAnsi" w:cs="Times New Roman"/>
          <w:sz w:val="22"/>
          <w:szCs w:val="22"/>
          <w:lang w:val="es-ES_tradnl"/>
        </w:rPr>
        <w:t>estratégico</w:t>
      </w:r>
      <w:r w:rsidR="00003376" w:rsidRPr="00B97122">
        <w:rPr>
          <w:rFonts w:asciiTheme="majorHAnsi" w:eastAsia="Calibri" w:hAnsiTheme="majorHAnsi" w:cs="Times New Roman"/>
          <w:sz w:val="22"/>
          <w:szCs w:val="22"/>
          <w:lang w:val="es-ES_tradnl"/>
        </w:rPr>
        <w:t xml:space="preserve">s </w:t>
      </w:r>
      <w:r w:rsidR="00A75810">
        <w:rPr>
          <w:rFonts w:asciiTheme="majorHAnsi" w:eastAsia="Calibri" w:hAnsiTheme="majorHAnsi" w:cs="Times New Roman"/>
          <w:sz w:val="22"/>
          <w:szCs w:val="22"/>
          <w:lang w:val="es-ES_tradnl"/>
        </w:rPr>
        <w:t xml:space="preserve">de formulación de políticas </w:t>
      </w:r>
      <w:r w:rsidR="00003376" w:rsidRPr="00B97122">
        <w:rPr>
          <w:rFonts w:asciiTheme="majorHAnsi" w:eastAsia="Calibri" w:hAnsiTheme="majorHAnsi" w:cs="Times New Roman"/>
          <w:sz w:val="22"/>
          <w:szCs w:val="22"/>
          <w:lang w:val="es-ES_tradnl"/>
        </w:rPr>
        <w:t xml:space="preserve">mediante contribuciones a los indicadores de los Objetivos de Desarrollo </w:t>
      </w:r>
      <w:r w:rsidR="00A75810" w:rsidRPr="00B97122">
        <w:rPr>
          <w:rFonts w:asciiTheme="majorHAnsi" w:eastAsia="Calibri" w:hAnsiTheme="majorHAnsi" w:cs="Times New Roman"/>
          <w:sz w:val="22"/>
          <w:szCs w:val="22"/>
          <w:lang w:val="es-ES_tradnl"/>
        </w:rPr>
        <w:t>Sostenible</w:t>
      </w:r>
      <w:r w:rsidR="00003376" w:rsidRPr="00B97122">
        <w:rPr>
          <w:rFonts w:asciiTheme="majorHAnsi" w:eastAsia="Calibri" w:hAnsiTheme="majorHAnsi" w:cs="Times New Roman"/>
          <w:sz w:val="22"/>
          <w:szCs w:val="22"/>
          <w:lang w:val="es-ES_tradnl"/>
        </w:rPr>
        <w:t xml:space="preserve">, el Congreso Mundial de la </w:t>
      </w:r>
      <w:r w:rsidR="00F2191D" w:rsidRPr="00B97122">
        <w:rPr>
          <w:rFonts w:asciiTheme="majorHAnsi" w:eastAsia="Calibri" w:hAnsiTheme="majorHAnsi" w:cs="Times New Roman"/>
          <w:sz w:val="22"/>
          <w:szCs w:val="22"/>
          <w:lang w:val="es-ES_tradnl"/>
        </w:rPr>
        <w:t>Naturaleza</w:t>
      </w:r>
      <w:r w:rsidR="00003376" w:rsidRPr="00B97122">
        <w:rPr>
          <w:rFonts w:asciiTheme="majorHAnsi" w:eastAsia="Calibri" w:hAnsiTheme="majorHAnsi" w:cs="Times New Roman"/>
          <w:sz w:val="22"/>
          <w:szCs w:val="22"/>
          <w:lang w:val="es-ES_tradnl"/>
        </w:rPr>
        <w:t xml:space="preserve"> de la UICN (septiembre de </w:t>
      </w:r>
      <w:r w:rsidR="00C64326" w:rsidRPr="00B97122">
        <w:rPr>
          <w:rFonts w:asciiTheme="majorHAnsi" w:eastAsia="Calibri" w:hAnsiTheme="majorHAnsi" w:cs="Times New Roman"/>
          <w:sz w:val="22"/>
          <w:szCs w:val="22"/>
          <w:lang w:val="es-ES_tradnl"/>
        </w:rPr>
        <w:t xml:space="preserve">2016), </w:t>
      </w:r>
      <w:r w:rsidR="00F2191D">
        <w:rPr>
          <w:rFonts w:asciiTheme="majorHAnsi" w:eastAsia="Calibri" w:hAnsiTheme="majorHAnsi" w:cs="Times New Roman"/>
          <w:sz w:val="22"/>
          <w:szCs w:val="22"/>
          <w:lang w:val="es-ES_tradnl"/>
        </w:rPr>
        <w:t xml:space="preserve">la Conferencia de las Naciones Unidas sobre los Océanos </w:t>
      </w:r>
      <w:r w:rsidR="00F2191D" w:rsidRPr="002432F8">
        <w:rPr>
          <w:rFonts w:asciiTheme="majorHAnsi" w:eastAsia="Calibri" w:hAnsiTheme="majorHAnsi" w:cs="Times New Roman"/>
          <w:sz w:val="22"/>
          <w:szCs w:val="22"/>
          <w:lang w:val="es-ES_tradnl"/>
        </w:rPr>
        <w:t xml:space="preserve">(junio de </w:t>
      </w:r>
      <w:r w:rsidR="00C64326" w:rsidRPr="002432F8">
        <w:rPr>
          <w:rFonts w:asciiTheme="majorHAnsi" w:eastAsia="Calibri" w:hAnsiTheme="majorHAnsi" w:cs="Times New Roman"/>
          <w:sz w:val="22"/>
          <w:szCs w:val="22"/>
          <w:lang w:val="es-ES_tradnl"/>
        </w:rPr>
        <w:t>2017),</w:t>
      </w:r>
      <w:r w:rsidR="00F2191D" w:rsidRPr="002432F8">
        <w:rPr>
          <w:rFonts w:asciiTheme="majorHAnsi" w:eastAsia="Calibri" w:hAnsiTheme="majorHAnsi" w:cs="Times New Roman"/>
          <w:sz w:val="22"/>
          <w:szCs w:val="22"/>
          <w:lang w:val="es-ES_tradnl"/>
        </w:rPr>
        <w:t xml:space="preserve"> la Alianza internacional sobre el carbono azul (septiembre de </w:t>
      </w:r>
      <w:r w:rsidR="00C64326" w:rsidRPr="002432F8">
        <w:rPr>
          <w:rFonts w:asciiTheme="majorHAnsi" w:eastAsia="Calibri" w:hAnsiTheme="majorHAnsi" w:cs="Times New Roman"/>
          <w:sz w:val="22"/>
          <w:szCs w:val="22"/>
          <w:lang w:val="es-ES_tradnl"/>
        </w:rPr>
        <w:t xml:space="preserve">2017), </w:t>
      </w:r>
      <w:r w:rsidR="00F2191D" w:rsidRPr="002432F8">
        <w:rPr>
          <w:rFonts w:asciiTheme="majorHAnsi" w:eastAsia="Calibri" w:hAnsiTheme="majorHAnsi" w:cs="Times New Roman"/>
          <w:sz w:val="22"/>
          <w:szCs w:val="22"/>
          <w:lang w:val="es-ES_tradnl"/>
        </w:rPr>
        <w:t xml:space="preserve">el Grupo de enlace de las convenciones relacionadas con la biodiversidad (septiembre de </w:t>
      </w:r>
      <w:r w:rsidR="00C64326" w:rsidRPr="002432F8">
        <w:rPr>
          <w:rFonts w:asciiTheme="majorHAnsi" w:eastAsia="Calibri" w:hAnsiTheme="majorHAnsi" w:cs="Times New Roman"/>
          <w:sz w:val="22"/>
          <w:szCs w:val="22"/>
          <w:lang w:val="es-ES_tradnl"/>
        </w:rPr>
        <w:t xml:space="preserve">2017), </w:t>
      </w:r>
      <w:r w:rsidR="00F2191D" w:rsidRPr="002432F8">
        <w:rPr>
          <w:rFonts w:asciiTheme="majorHAnsi" w:eastAsia="Calibri" w:hAnsiTheme="majorHAnsi" w:cs="Times New Roman"/>
          <w:sz w:val="22"/>
          <w:szCs w:val="22"/>
          <w:lang w:val="es-ES_tradnl"/>
        </w:rPr>
        <w:t xml:space="preserve">la CEM o </w:t>
      </w:r>
      <w:r w:rsidR="00C64326" w:rsidRPr="002432F8">
        <w:rPr>
          <w:rFonts w:asciiTheme="majorHAnsi" w:eastAsia="Calibri" w:hAnsiTheme="majorHAnsi" w:cs="Times New Roman"/>
          <w:sz w:val="22"/>
          <w:szCs w:val="22"/>
          <w:lang w:val="es-ES_tradnl"/>
        </w:rPr>
        <w:t>CMS (</w:t>
      </w:r>
      <w:r w:rsidR="00F2191D" w:rsidRPr="002432F8">
        <w:rPr>
          <w:rFonts w:asciiTheme="majorHAnsi" w:eastAsia="Calibri" w:hAnsiTheme="majorHAnsi" w:cs="Times New Roman"/>
          <w:sz w:val="22"/>
          <w:szCs w:val="22"/>
          <w:lang w:val="es-ES_tradnl"/>
        </w:rPr>
        <w:t>octubre de</w:t>
      </w:r>
      <w:r w:rsidR="00C64326" w:rsidRPr="002432F8">
        <w:rPr>
          <w:rFonts w:asciiTheme="majorHAnsi" w:eastAsia="Calibri" w:hAnsiTheme="majorHAnsi" w:cs="Times New Roman"/>
          <w:sz w:val="22"/>
          <w:szCs w:val="22"/>
          <w:lang w:val="es-ES_tradnl"/>
        </w:rPr>
        <w:t xml:space="preserve"> 2017), </w:t>
      </w:r>
      <w:r w:rsidR="00F2191D" w:rsidRPr="002432F8">
        <w:rPr>
          <w:rFonts w:asciiTheme="majorHAnsi" w:eastAsia="Calibri" w:hAnsiTheme="majorHAnsi" w:cs="Times New Roman"/>
          <w:sz w:val="22"/>
          <w:szCs w:val="22"/>
          <w:lang w:val="es-ES_tradnl"/>
        </w:rPr>
        <w:t xml:space="preserve">la CMNUCC (noviembre de </w:t>
      </w:r>
      <w:r w:rsidR="00C64326" w:rsidRPr="002432F8">
        <w:rPr>
          <w:rFonts w:asciiTheme="majorHAnsi" w:eastAsia="Calibri" w:hAnsiTheme="majorHAnsi" w:cs="Times New Roman"/>
          <w:sz w:val="22"/>
          <w:szCs w:val="22"/>
          <w:lang w:val="es-ES_tradnl"/>
        </w:rPr>
        <w:t xml:space="preserve">2016 </w:t>
      </w:r>
      <w:r w:rsidR="00F2191D" w:rsidRPr="002432F8">
        <w:rPr>
          <w:rFonts w:asciiTheme="majorHAnsi" w:eastAsia="Calibri" w:hAnsiTheme="majorHAnsi" w:cs="Times New Roman"/>
          <w:sz w:val="22"/>
          <w:szCs w:val="22"/>
          <w:lang w:val="es-ES_tradnl"/>
        </w:rPr>
        <w:t xml:space="preserve">y noviembre de </w:t>
      </w:r>
      <w:r w:rsidR="00C64326" w:rsidRPr="002432F8">
        <w:rPr>
          <w:rFonts w:asciiTheme="majorHAnsi" w:eastAsia="Calibri" w:hAnsiTheme="majorHAnsi" w:cs="Times New Roman"/>
          <w:sz w:val="22"/>
          <w:szCs w:val="22"/>
          <w:lang w:val="es-ES_tradnl"/>
        </w:rPr>
        <w:t xml:space="preserve">2017), </w:t>
      </w:r>
      <w:r w:rsidR="002432F8" w:rsidRPr="002432F8">
        <w:rPr>
          <w:rFonts w:asciiTheme="majorHAnsi" w:eastAsia="Calibri" w:hAnsiTheme="majorHAnsi" w:cs="Times New Roman"/>
          <w:sz w:val="22"/>
          <w:szCs w:val="22"/>
          <w:lang w:val="es-ES_tradnl"/>
        </w:rPr>
        <w:t xml:space="preserve">la Asamblea de las Naciones Unidas para el Medio Ambiente (diciembre de 2017) y el Foro Político de Alto Nivel sobre el Desarrollo Sostenible (julio de </w:t>
      </w:r>
      <w:r w:rsidR="00C64326" w:rsidRPr="002432F8">
        <w:rPr>
          <w:rFonts w:asciiTheme="majorHAnsi" w:eastAsia="Calibri" w:hAnsiTheme="majorHAnsi" w:cs="Times New Roman"/>
          <w:sz w:val="22"/>
          <w:szCs w:val="22"/>
          <w:lang w:val="es-ES_tradnl"/>
        </w:rPr>
        <w:t>2018).</w:t>
      </w:r>
    </w:p>
    <w:p w14:paraId="68670809" w14:textId="39B866E7" w:rsidR="00C64326" w:rsidRPr="00B97122" w:rsidRDefault="002432F8" w:rsidP="004C3670">
      <w:pPr>
        <w:numPr>
          <w:ilvl w:val="0"/>
          <w:numId w:val="17"/>
        </w:numPr>
        <w:spacing w:after="200"/>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Se aumenta l</w:t>
      </w:r>
      <w:r w:rsidR="003C2744" w:rsidRPr="00B97122">
        <w:rPr>
          <w:rFonts w:asciiTheme="majorHAnsi" w:eastAsia="Calibri" w:hAnsiTheme="majorHAnsi" w:cs="Times New Roman"/>
          <w:sz w:val="22"/>
          <w:szCs w:val="22"/>
          <w:lang w:val="es-ES_tradnl"/>
        </w:rPr>
        <w:t xml:space="preserve">a visibilidad de la </w:t>
      </w:r>
      <w:r w:rsidRPr="00B97122">
        <w:rPr>
          <w:rFonts w:asciiTheme="majorHAnsi" w:eastAsia="Calibri" w:hAnsiTheme="majorHAnsi" w:cs="Times New Roman"/>
          <w:sz w:val="22"/>
          <w:szCs w:val="22"/>
          <w:lang w:val="es-ES_tradnl"/>
        </w:rPr>
        <w:t>Convención</w:t>
      </w:r>
      <w:r w:rsidR="003C2744" w:rsidRPr="00B97122">
        <w:rPr>
          <w:rFonts w:asciiTheme="majorHAnsi" w:eastAsia="Calibri" w:hAnsiTheme="majorHAnsi" w:cs="Times New Roman"/>
          <w:sz w:val="22"/>
          <w:szCs w:val="22"/>
          <w:lang w:val="es-ES_tradnl"/>
        </w:rPr>
        <w:t xml:space="preserve"> de Ramsar </w:t>
      </w:r>
      <w:r w:rsidR="002B3464" w:rsidRPr="00B97122">
        <w:rPr>
          <w:rFonts w:asciiTheme="majorHAnsi" w:eastAsia="Calibri" w:hAnsiTheme="majorHAnsi" w:cs="Times New Roman"/>
          <w:sz w:val="22"/>
          <w:szCs w:val="22"/>
          <w:lang w:val="es-ES_tradnl"/>
        </w:rPr>
        <w:t>gracias a</w:t>
      </w:r>
      <w:r w:rsidR="00C64326" w:rsidRPr="00B97122">
        <w:rPr>
          <w:rFonts w:asciiTheme="majorHAnsi" w:eastAsia="Calibri" w:hAnsiTheme="majorHAnsi" w:cs="Times New Roman"/>
          <w:sz w:val="22"/>
          <w:szCs w:val="22"/>
          <w:lang w:val="es-ES_tradnl"/>
        </w:rPr>
        <w:t xml:space="preserve"> InforMEA, </w:t>
      </w:r>
      <w:r w:rsidRPr="002432F8">
        <w:rPr>
          <w:rFonts w:asciiTheme="majorHAnsi" w:eastAsia="Calibri" w:hAnsiTheme="majorHAnsi" w:cs="Times New Roman"/>
          <w:sz w:val="22"/>
          <w:szCs w:val="22"/>
          <w:lang w:val="es-ES_tradnl"/>
        </w:rPr>
        <w:t>el portal de información de las Naciones Unidas sobre los acuerdos ambientales multilaterales</w:t>
      </w:r>
      <w:r>
        <w:rPr>
          <w:rFonts w:asciiTheme="majorHAnsi" w:eastAsia="Calibri" w:hAnsiTheme="majorHAnsi" w:cs="Times New Roman"/>
          <w:sz w:val="22"/>
          <w:szCs w:val="22"/>
          <w:lang w:val="es-ES_tradnl"/>
        </w:rPr>
        <w:t xml:space="preserve"> (AAM o AMMA)</w:t>
      </w:r>
      <w:r w:rsidR="00C64326" w:rsidRPr="00B97122">
        <w:rPr>
          <w:rFonts w:asciiTheme="majorHAnsi" w:eastAsia="Calibri" w:hAnsiTheme="majorHAnsi" w:cs="Times New Roman"/>
          <w:sz w:val="22"/>
          <w:szCs w:val="22"/>
          <w:lang w:val="es-ES_tradnl"/>
        </w:rPr>
        <w:t xml:space="preserve">. </w:t>
      </w:r>
      <w:r w:rsidR="002B3464" w:rsidRPr="00B97122">
        <w:rPr>
          <w:rFonts w:asciiTheme="majorHAnsi" w:eastAsia="Calibri" w:hAnsiTheme="majorHAnsi" w:cs="Times New Roman"/>
          <w:sz w:val="22"/>
          <w:szCs w:val="22"/>
          <w:lang w:val="es-ES_tradnl"/>
        </w:rPr>
        <w:t xml:space="preserve">El portal incluye actualmente </w:t>
      </w:r>
      <w:r w:rsidR="00C64326" w:rsidRPr="00B97122">
        <w:rPr>
          <w:rFonts w:asciiTheme="majorHAnsi" w:eastAsia="Calibri" w:hAnsiTheme="majorHAnsi" w:cs="Times New Roman"/>
          <w:sz w:val="22"/>
          <w:szCs w:val="22"/>
          <w:lang w:val="es-ES_tradnl"/>
        </w:rPr>
        <w:t xml:space="preserve">17 </w:t>
      </w:r>
      <w:r>
        <w:rPr>
          <w:rFonts w:asciiTheme="majorHAnsi" w:eastAsia="Calibri" w:hAnsiTheme="majorHAnsi" w:cs="Times New Roman"/>
          <w:sz w:val="22"/>
          <w:szCs w:val="22"/>
          <w:lang w:val="es-ES_tradnl"/>
        </w:rPr>
        <w:t xml:space="preserve">AMMA correspondientes a </w:t>
      </w:r>
      <w:r w:rsidR="002B3464" w:rsidRPr="00B97122">
        <w:rPr>
          <w:rFonts w:asciiTheme="majorHAnsi" w:eastAsia="Calibri" w:hAnsiTheme="majorHAnsi" w:cs="Times New Roman"/>
          <w:sz w:val="22"/>
          <w:szCs w:val="22"/>
          <w:lang w:val="es-ES_tradnl"/>
        </w:rPr>
        <w:t xml:space="preserve">12 secretarías. Está abierto a los observadores </w:t>
      </w:r>
      <w:r>
        <w:rPr>
          <w:rFonts w:asciiTheme="majorHAnsi" w:eastAsia="Calibri" w:hAnsiTheme="majorHAnsi" w:cs="Times New Roman"/>
          <w:sz w:val="22"/>
          <w:szCs w:val="22"/>
          <w:lang w:val="es-ES_tradnl"/>
        </w:rPr>
        <w:t xml:space="preserve">que participan </w:t>
      </w:r>
      <w:r w:rsidR="002B3464" w:rsidRPr="00B97122">
        <w:rPr>
          <w:rFonts w:asciiTheme="majorHAnsi" w:eastAsia="Calibri" w:hAnsiTheme="majorHAnsi" w:cs="Times New Roman"/>
          <w:sz w:val="22"/>
          <w:szCs w:val="22"/>
          <w:lang w:val="es-ES_tradnl"/>
        </w:rPr>
        <w:t xml:space="preserve">en la información y gestión de datos de </w:t>
      </w:r>
      <w:r w:rsidRPr="00B97122">
        <w:rPr>
          <w:rFonts w:asciiTheme="majorHAnsi" w:eastAsia="Calibri" w:hAnsiTheme="majorHAnsi" w:cs="Times New Roman"/>
          <w:sz w:val="22"/>
          <w:szCs w:val="22"/>
          <w:lang w:val="es-ES_tradnl"/>
        </w:rPr>
        <w:t>los</w:t>
      </w:r>
      <w:r>
        <w:rPr>
          <w:rFonts w:asciiTheme="majorHAnsi" w:eastAsia="Calibri" w:hAnsiTheme="majorHAnsi" w:cs="Times New Roman"/>
          <w:sz w:val="22"/>
          <w:szCs w:val="22"/>
          <w:lang w:val="es-ES_tradnl"/>
        </w:rPr>
        <w:t xml:space="preserve"> AMMA. En lo que se refiere a la Convención de Ramsar, el p</w:t>
      </w:r>
      <w:r w:rsidR="002B3464" w:rsidRPr="00B97122">
        <w:rPr>
          <w:rFonts w:asciiTheme="majorHAnsi" w:eastAsia="Calibri" w:hAnsiTheme="majorHAnsi" w:cs="Times New Roman"/>
          <w:sz w:val="22"/>
          <w:szCs w:val="22"/>
          <w:lang w:val="es-ES_tradnl"/>
        </w:rPr>
        <w:t xml:space="preserve">ortal InforMEA presenta las decisiones y </w:t>
      </w:r>
      <w:r w:rsidRPr="00B97122">
        <w:rPr>
          <w:rFonts w:asciiTheme="majorHAnsi" w:eastAsia="Calibri" w:hAnsiTheme="majorHAnsi" w:cs="Times New Roman"/>
          <w:sz w:val="22"/>
          <w:szCs w:val="22"/>
          <w:lang w:val="es-ES_tradnl"/>
        </w:rPr>
        <w:t>resoluciones</w:t>
      </w:r>
      <w:r>
        <w:rPr>
          <w:rFonts w:asciiTheme="majorHAnsi" w:eastAsia="Calibri" w:hAnsiTheme="majorHAnsi" w:cs="Times New Roman"/>
          <w:sz w:val="22"/>
          <w:szCs w:val="22"/>
          <w:lang w:val="es-ES_tradnl"/>
        </w:rPr>
        <w:t xml:space="preserve"> de la COP, los países miembros</w:t>
      </w:r>
      <w:r w:rsidR="002B3464" w:rsidRPr="00B97122">
        <w:rPr>
          <w:rFonts w:asciiTheme="majorHAnsi" w:eastAsia="Calibri" w:hAnsiTheme="majorHAnsi" w:cs="Times New Roman"/>
          <w:sz w:val="22"/>
          <w:szCs w:val="22"/>
          <w:lang w:val="es-ES_tradnl"/>
        </w:rPr>
        <w:t xml:space="preserve">, </w:t>
      </w:r>
      <w:r>
        <w:rPr>
          <w:rFonts w:asciiTheme="majorHAnsi" w:eastAsia="Calibri" w:hAnsiTheme="majorHAnsi" w:cs="Times New Roman"/>
          <w:sz w:val="22"/>
          <w:szCs w:val="22"/>
          <w:lang w:val="es-ES_tradnl"/>
        </w:rPr>
        <w:t xml:space="preserve">los coordinadores nacionales, los </w:t>
      </w:r>
      <w:r w:rsidR="002B3464" w:rsidRPr="00B97122">
        <w:rPr>
          <w:rFonts w:asciiTheme="majorHAnsi" w:eastAsia="Calibri" w:hAnsiTheme="majorHAnsi" w:cs="Times New Roman"/>
          <w:sz w:val="22"/>
          <w:szCs w:val="22"/>
          <w:lang w:val="es-ES_tradnl"/>
        </w:rPr>
        <w:t xml:space="preserve">informes nacionales y </w:t>
      </w:r>
      <w:r>
        <w:rPr>
          <w:rFonts w:asciiTheme="majorHAnsi" w:eastAsia="Calibri" w:hAnsiTheme="majorHAnsi" w:cs="Times New Roman"/>
          <w:sz w:val="22"/>
          <w:szCs w:val="22"/>
          <w:lang w:val="es-ES_tradnl"/>
        </w:rPr>
        <w:t xml:space="preserve">los </w:t>
      </w:r>
      <w:r w:rsidR="002B3464" w:rsidRPr="00B97122">
        <w:rPr>
          <w:rFonts w:asciiTheme="majorHAnsi" w:eastAsia="Calibri" w:hAnsiTheme="majorHAnsi" w:cs="Times New Roman"/>
          <w:sz w:val="22"/>
          <w:szCs w:val="22"/>
          <w:lang w:val="es-ES_tradnl"/>
        </w:rPr>
        <w:t>sitios Ramsar (</w:t>
      </w:r>
      <w:r w:rsidR="002B3464" w:rsidRPr="002432F8">
        <w:rPr>
          <w:rFonts w:asciiTheme="majorHAnsi" w:eastAsia="Calibri" w:hAnsiTheme="majorHAnsi" w:cs="Times New Roman"/>
          <w:sz w:val="22"/>
          <w:szCs w:val="22"/>
          <w:lang w:val="es-ES_tradnl"/>
        </w:rPr>
        <w:t>véase</w:t>
      </w:r>
      <w:r w:rsidR="002B3464"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www.informea.org/</w:t>
      </w:r>
      <w:r w:rsidR="00C64326" w:rsidRPr="002432F8">
        <w:rPr>
          <w:rFonts w:asciiTheme="majorHAnsi" w:eastAsia="Calibri" w:hAnsiTheme="majorHAnsi" w:cs="Times New Roman"/>
          <w:sz w:val="22"/>
          <w:szCs w:val="22"/>
          <w:lang w:val="es-ES_tradnl"/>
        </w:rPr>
        <w:t>en</w:t>
      </w:r>
      <w:r w:rsidR="00C64326" w:rsidRPr="00B97122">
        <w:rPr>
          <w:rFonts w:asciiTheme="majorHAnsi" w:eastAsia="Calibri" w:hAnsiTheme="majorHAnsi" w:cs="Times New Roman"/>
          <w:sz w:val="22"/>
          <w:szCs w:val="22"/>
          <w:lang w:val="es-ES_tradnl"/>
        </w:rPr>
        <w:t xml:space="preserve">/treaties/ramsar). </w:t>
      </w:r>
      <w:r w:rsidR="002B3464" w:rsidRPr="00B97122">
        <w:rPr>
          <w:rFonts w:asciiTheme="majorHAnsi" w:eastAsia="Calibri" w:hAnsiTheme="majorHAnsi" w:cs="Times New Roman"/>
          <w:sz w:val="22"/>
          <w:szCs w:val="22"/>
          <w:lang w:val="es-ES_tradnl"/>
        </w:rPr>
        <w:t>La plataforma de aprendizaje de In</w:t>
      </w:r>
      <w:r w:rsidR="00C64326" w:rsidRPr="00B97122">
        <w:rPr>
          <w:rFonts w:asciiTheme="majorHAnsi" w:eastAsia="Calibri" w:hAnsiTheme="majorHAnsi" w:cs="Times New Roman"/>
          <w:sz w:val="22"/>
          <w:szCs w:val="22"/>
          <w:lang w:val="es-ES_tradnl"/>
        </w:rPr>
        <w:t>forMEA</w:t>
      </w:r>
      <w:r w:rsidR="002B3464" w:rsidRPr="00B97122">
        <w:rPr>
          <w:rFonts w:asciiTheme="majorHAnsi" w:eastAsia="Calibri" w:hAnsiTheme="majorHAnsi" w:cs="Times New Roman"/>
          <w:sz w:val="22"/>
          <w:szCs w:val="22"/>
          <w:lang w:val="es-ES_tradnl"/>
        </w:rPr>
        <w:t xml:space="preserve"> contiene </w:t>
      </w:r>
      <w:r>
        <w:rPr>
          <w:rFonts w:asciiTheme="majorHAnsi" w:eastAsia="Calibri" w:hAnsiTheme="majorHAnsi" w:cs="Times New Roman"/>
          <w:sz w:val="22"/>
          <w:szCs w:val="22"/>
          <w:lang w:val="es-ES_tradnl"/>
        </w:rPr>
        <w:t>u</w:t>
      </w:r>
      <w:r w:rsidR="002B3464" w:rsidRPr="00B97122">
        <w:rPr>
          <w:rFonts w:asciiTheme="majorHAnsi" w:eastAsia="Calibri" w:hAnsiTheme="majorHAnsi" w:cs="Times New Roman"/>
          <w:sz w:val="22"/>
          <w:szCs w:val="22"/>
          <w:lang w:val="es-ES_tradnl"/>
        </w:rPr>
        <w:t>n curso introductorio sobre Ramsar</w:t>
      </w:r>
      <w:r>
        <w:rPr>
          <w:rFonts w:asciiTheme="majorHAnsi" w:eastAsia="Calibri" w:hAnsiTheme="majorHAnsi" w:cs="Times New Roman"/>
          <w:sz w:val="22"/>
          <w:szCs w:val="22"/>
          <w:lang w:val="es-ES_tradnl"/>
        </w:rPr>
        <w:t>, que es muy popular, y otros cursos importantes</w:t>
      </w:r>
      <w:r w:rsidR="002B3464" w:rsidRPr="00B97122">
        <w:rPr>
          <w:rFonts w:asciiTheme="majorHAnsi" w:eastAsia="Calibri" w:hAnsiTheme="majorHAnsi" w:cs="Times New Roman"/>
          <w:sz w:val="22"/>
          <w:szCs w:val="22"/>
          <w:lang w:val="es-ES_tradnl"/>
        </w:rPr>
        <w:t>,</w:t>
      </w:r>
      <w:r>
        <w:rPr>
          <w:rFonts w:asciiTheme="majorHAnsi" w:eastAsia="Calibri" w:hAnsiTheme="majorHAnsi" w:cs="Times New Roman"/>
          <w:sz w:val="22"/>
          <w:szCs w:val="22"/>
          <w:lang w:val="es-ES_tradnl"/>
        </w:rPr>
        <w:t xml:space="preserve"> </w:t>
      </w:r>
      <w:r w:rsidR="002B3464" w:rsidRPr="00B97122">
        <w:rPr>
          <w:rFonts w:asciiTheme="majorHAnsi" w:eastAsia="Calibri" w:hAnsiTheme="majorHAnsi" w:cs="Times New Roman"/>
          <w:sz w:val="22"/>
          <w:szCs w:val="22"/>
          <w:lang w:val="es-ES_tradnl"/>
        </w:rPr>
        <w:t xml:space="preserve">tales como una </w:t>
      </w:r>
      <w:r w:rsidRPr="00B97122">
        <w:rPr>
          <w:rFonts w:asciiTheme="majorHAnsi" w:eastAsia="Calibri" w:hAnsiTheme="majorHAnsi" w:cs="Times New Roman"/>
          <w:sz w:val="22"/>
          <w:szCs w:val="22"/>
          <w:lang w:val="es-ES_tradnl"/>
        </w:rPr>
        <w:t>introducción</w:t>
      </w:r>
      <w:r w:rsidR="004C219C">
        <w:rPr>
          <w:rFonts w:asciiTheme="majorHAnsi" w:eastAsia="Calibri" w:hAnsiTheme="majorHAnsi" w:cs="Times New Roman"/>
          <w:sz w:val="22"/>
          <w:szCs w:val="22"/>
          <w:lang w:val="es-ES_tradnl"/>
        </w:rPr>
        <w:t xml:space="preserve"> a la gobernanza ambiental</w:t>
      </w:r>
      <w:r w:rsidR="002B3464" w:rsidRPr="00B97122">
        <w:rPr>
          <w:rFonts w:asciiTheme="majorHAnsi" w:eastAsia="Calibri" w:hAnsiTheme="majorHAnsi" w:cs="Times New Roman"/>
          <w:sz w:val="22"/>
          <w:szCs w:val="22"/>
          <w:lang w:val="es-ES_tradnl"/>
        </w:rPr>
        <w:t xml:space="preserve">. La </w:t>
      </w:r>
      <w:r w:rsidR="00B229E7" w:rsidRPr="00B97122">
        <w:rPr>
          <w:rFonts w:asciiTheme="majorHAnsi" w:eastAsia="Calibri" w:hAnsiTheme="majorHAnsi" w:cs="Times New Roman"/>
          <w:sz w:val="22"/>
          <w:szCs w:val="22"/>
          <w:lang w:val="es-ES_tradnl"/>
        </w:rPr>
        <w:t>Secretaría de Ramsar</w:t>
      </w:r>
      <w:r w:rsidR="00C64326" w:rsidRPr="00B97122">
        <w:rPr>
          <w:rFonts w:asciiTheme="majorHAnsi" w:eastAsia="Calibri" w:hAnsiTheme="majorHAnsi" w:cs="Times New Roman"/>
          <w:sz w:val="22"/>
          <w:szCs w:val="22"/>
          <w:lang w:val="es-ES_tradnl"/>
        </w:rPr>
        <w:t xml:space="preserve"> </w:t>
      </w:r>
      <w:r w:rsidR="00E46F6F" w:rsidRPr="00B97122">
        <w:rPr>
          <w:rFonts w:asciiTheme="majorHAnsi" w:eastAsia="Calibri" w:hAnsiTheme="majorHAnsi" w:cs="Times New Roman"/>
          <w:sz w:val="22"/>
          <w:szCs w:val="22"/>
          <w:lang w:val="es-ES_tradnl"/>
        </w:rPr>
        <w:t xml:space="preserve">procurará presentar contenidos cada vez más </w:t>
      </w:r>
      <w:r w:rsidR="004C219C">
        <w:rPr>
          <w:rFonts w:asciiTheme="majorHAnsi" w:eastAsia="Calibri" w:hAnsiTheme="majorHAnsi" w:cs="Times New Roman"/>
          <w:sz w:val="22"/>
          <w:szCs w:val="22"/>
          <w:lang w:val="es-ES_tradnl"/>
        </w:rPr>
        <w:t>diversos</w:t>
      </w:r>
      <w:r w:rsidR="00E46F6F" w:rsidRPr="00B97122">
        <w:rPr>
          <w:rFonts w:asciiTheme="majorHAnsi" w:eastAsia="Calibri" w:hAnsiTheme="majorHAnsi" w:cs="Times New Roman"/>
          <w:sz w:val="22"/>
          <w:szCs w:val="22"/>
          <w:lang w:val="es-ES_tradnl"/>
        </w:rPr>
        <w:t xml:space="preserve"> en este portal.</w:t>
      </w:r>
    </w:p>
    <w:p w14:paraId="53AC2B71" w14:textId="4DAE3B7E" w:rsidR="00C64326" w:rsidRPr="00B97122" w:rsidRDefault="00E46F6F"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Existen planes de acción para la </w:t>
      </w:r>
      <w:r w:rsidR="001670A8" w:rsidRPr="00B97122">
        <w:rPr>
          <w:rFonts w:asciiTheme="majorHAnsi" w:eastAsia="Calibri" w:hAnsiTheme="majorHAnsi" w:cs="Times New Roman"/>
          <w:sz w:val="22"/>
          <w:szCs w:val="22"/>
          <w:lang w:val="es-ES_tradnl"/>
        </w:rPr>
        <w:t>CECoP</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en </w:t>
      </w:r>
      <w:r w:rsidR="004C219C" w:rsidRPr="00B97122">
        <w:rPr>
          <w:rFonts w:asciiTheme="majorHAnsi" w:eastAsia="Calibri" w:hAnsiTheme="majorHAnsi" w:cs="Times New Roman"/>
          <w:sz w:val="22"/>
          <w:szCs w:val="22"/>
          <w:lang w:val="es-ES_tradnl"/>
        </w:rPr>
        <w:t>materia</w:t>
      </w:r>
      <w:r w:rsidRPr="00B97122">
        <w:rPr>
          <w:rFonts w:asciiTheme="majorHAnsi" w:eastAsia="Calibri" w:hAnsiTheme="majorHAnsi" w:cs="Times New Roman"/>
          <w:sz w:val="22"/>
          <w:szCs w:val="22"/>
          <w:lang w:val="es-ES_tradnl"/>
        </w:rPr>
        <w:t xml:space="preserve"> de humedales en el </w:t>
      </w:r>
      <w:r w:rsidR="00C64326" w:rsidRPr="00B97122">
        <w:rPr>
          <w:rFonts w:asciiTheme="majorHAnsi" w:eastAsia="Calibri" w:hAnsiTheme="majorHAnsi" w:cs="Times New Roman"/>
          <w:sz w:val="22"/>
          <w:szCs w:val="22"/>
          <w:lang w:val="es-ES_tradnl"/>
        </w:rPr>
        <w:t>24</w:t>
      </w:r>
      <w:r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de las</w:t>
      </w:r>
      <w:r w:rsidR="00C64326" w:rsidRPr="00B97122">
        <w:rPr>
          <w:rFonts w:asciiTheme="majorHAnsi" w:eastAsia="Calibri" w:hAnsiTheme="majorHAnsi" w:cs="Times New Roman"/>
          <w:sz w:val="22"/>
          <w:szCs w:val="22"/>
          <w:lang w:val="es-ES_tradnl"/>
        </w:rPr>
        <w:t xml:space="preserve"> </w:t>
      </w:r>
      <w:r w:rsidR="00B229E7" w:rsidRPr="00B97122">
        <w:rPr>
          <w:rFonts w:asciiTheme="majorHAnsi" w:eastAsia="Calibri" w:hAnsiTheme="majorHAnsi" w:cs="Times New Roman"/>
          <w:sz w:val="22"/>
          <w:szCs w:val="22"/>
          <w:lang w:val="es-ES_tradnl"/>
        </w:rPr>
        <w:t>Partes Contratantes</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una ligera disminución respecto del </w:t>
      </w:r>
      <w:r w:rsidR="00C64326" w:rsidRPr="00B97122">
        <w:rPr>
          <w:rFonts w:asciiTheme="majorHAnsi" w:eastAsia="Calibri" w:hAnsiTheme="majorHAnsi" w:cs="Times New Roman"/>
          <w:sz w:val="22"/>
          <w:szCs w:val="22"/>
          <w:lang w:val="es-ES_tradnl"/>
        </w:rPr>
        <w:t>27</w:t>
      </w:r>
      <w:r w:rsidRPr="00B97122">
        <w:rPr>
          <w:rFonts w:asciiTheme="majorHAnsi" w:eastAsia="Calibri" w:hAnsiTheme="majorHAnsi" w:cs="Times New Roman"/>
          <w:sz w:val="22"/>
          <w:szCs w:val="22"/>
          <w:lang w:val="es-ES_tradnl"/>
        </w:rPr>
        <w:t xml:space="preserve"> % indicado en la COP12</w:t>
      </w:r>
      <w:r w:rsidR="004C219C">
        <w:rPr>
          <w:rFonts w:asciiTheme="majorHAnsi" w:eastAsia="Calibri" w:hAnsiTheme="majorHAnsi" w:cs="Times New Roman"/>
          <w:sz w:val="22"/>
          <w:szCs w:val="22"/>
          <w:lang w:val="es-ES_tradnl"/>
        </w:rPr>
        <w:t xml:space="preserve">). El 36 % de las Partes cuentan </w:t>
      </w:r>
      <w:r w:rsidRPr="00B97122">
        <w:rPr>
          <w:rFonts w:asciiTheme="majorHAnsi" w:eastAsia="Calibri" w:hAnsiTheme="majorHAnsi" w:cs="Times New Roman"/>
          <w:sz w:val="22"/>
          <w:szCs w:val="22"/>
          <w:lang w:val="es-ES_tradnl"/>
        </w:rPr>
        <w:t>con planes l</w:t>
      </w:r>
      <w:r w:rsidR="004C219C">
        <w:rPr>
          <w:rFonts w:asciiTheme="majorHAnsi" w:eastAsia="Calibri" w:hAnsiTheme="majorHAnsi" w:cs="Times New Roman"/>
          <w:sz w:val="22"/>
          <w:szCs w:val="22"/>
          <w:lang w:val="es-ES_tradnl"/>
        </w:rPr>
        <w:t>ocales a escala de los sitios</w:t>
      </w:r>
      <w:r w:rsidRPr="00B97122">
        <w:rPr>
          <w:rFonts w:asciiTheme="majorHAnsi" w:eastAsia="Calibri" w:hAnsiTheme="majorHAnsi" w:cs="Times New Roman"/>
          <w:sz w:val="22"/>
          <w:szCs w:val="22"/>
          <w:lang w:val="es-ES_tradnl"/>
        </w:rPr>
        <w:t xml:space="preserve">. </w:t>
      </w:r>
      <w:r w:rsidR="004C219C">
        <w:rPr>
          <w:rFonts w:asciiTheme="majorHAnsi" w:eastAsia="Calibri" w:hAnsiTheme="majorHAnsi" w:cs="Times New Roman"/>
          <w:sz w:val="22"/>
          <w:szCs w:val="22"/>
          <w:lang w:val="es-ES_tradnl"/>
        </w:rPr>
        <w:t>Es</w:t>
      </w:r>
      <w:r w:rsidRPr="00B97122">
        <w:rPr>
          <w:rFonts w:asciiTheme="majorHAnsi" w:eastAsia="Calibri" w:hAnsiTheme="majorHAnsi" w:cs="Times New Roman"/>
          <w:sz w:val="22"/>
          <w:szCs w:val="22"/>
          <w:lang w:val="es-ES_tradnl"/>
        </w:rPr>
        <w:t xml:space="preserve"> necesario </w:t>
      </w:r>
      <w:r w:rsidR="004C219C">
        <w:rPr>
          <w:rFonts w:asciiTheme="majorHAnsi" w:eastAsia="Calibri" w:hAnsiTheme="majorHAnsi" w:cs="Times New Roman"/>
          <w:sz w:val="22"/>
          <w:szCs w:val="22"/>
          <w:lang w:val="es-ES_tradnl"/>
        </w:rPr>
        <w:t xml:space="preserve">analizar con más detenimiento </w:t>
      </w:r>
      <w:r w:rsidRPr="00B97122">
        <w:rPr>
          <w:rFonts w:asciiTheme="majorHAnsi" w:eastAsia="Calibri" w:hAnsiTheme="majorHAnsi" w:cs="Times New Roman"/>
          <w:sz w:val="22"/>
          <w:szCs w:val="22"/>
          <w:lang w:val="es-ES_tradnl"/>
        </w:rPr>
        <w:t>est</w:t>
      </w:r>
      <w:r w:rsidR="004C219C">
        <w:rPr>
          <w:rFonts w:asciiTheme="majorHAnsi" w:eastAsia="Calibri" w:hAnsiTheme="majorHAnsi" w:cs="Times New Roman"/>
          <w:sz w:val="22"/>
          <w:szCs w:val="22"/>
          <w:lang w:val="es-ES_tradnl"/>
        </w:rPr>
        <w:t xml:space="preserve">e bajo nivel de aceptación </w:t>
      </w:r>
      <w:r w:rsidRPr="00B97122">
        <w:rPr>
          <w:rFonts w:asciiTheme="majorHAnsi" w:eastAsia="Calibri" w:hAnsiTheme="majorHAnsi" w:cs="Times New Roman"/>
          <w:sz w:val="22"/>
          <w:szCs w:val="22"/>
          <w:lang w:val="es-ES_tradnl"/>
        </w:rPr>
        <w:t xml:space="preserve">para entender los factores </w:t>
      </w:r>
      <w:r w:rsidR="004C219C" w:rsidRPr="00B97122">
        <w:rPr>
          <w:rFonts w:asciiTheme="majorHAnsi" w:eastAsia="Calibri" w:hAnsiTheme="majorHAnsi" w:cs="Times New Roman"/>
          <w:sz w:val="22"/>
          <w:szCs w:val="22"/>
          <w:lang w:val="es-ES_tradnl"/>
        </w:rPr>
        <w:t>que</w:t>
      </w:r>
      <w:r w:rsidRPr="00B97122">
        <w:rPr>
          <w:rFonts w:asciiTheme="majorHAnsi" w:eastAsia="Calibri" w:hAnsiTheme="majorHAnsi" w:cs="Times New Roman"/>
          <w:sz w:val="22"/>
          <w:szCs w:val="22"/>
          <w:lang w:val="es-ES_tradnl"/>
        </w:rPr>
        <w:t xml:space="preserve"> influyen sobre esta tendencia (baja prioridad, </w:t>
      </w:r>
      <w:r w:rsidR="004C219C">
        <w:rPr>
          <w:rFonts w:asciiTheme="majorHAnsi" w:eastAsia="Calibri" w:hAnsiTheme="majorHAnsi" w:cs="Times New Roman"/>
          <w:sz w:val="22"/>
          <w:szCs w:val="22"/>
          <w:lang w:val="es-ES_tradnl"/>
        </w:rPr>
        <w:t>ausencia de</w:t>
      </w:r>
      <w:r w:rsidRPr="00B97122">
        <w:rPr>
          <w:rFonts w:asciiTheme="majorHAnsi" w:eastAsia="Calibri" w:hAnsiTheme="majorHAnsi" w:cs="Times New Roman"/>
          <w:sz w:val="22"/>
          <w:szCs w:val="22"/>
          <w:lang w:val="es-ES_tradnl"/>
        </w:rPr>
        <w:t xml:space="preserve"> valor aña</w:t>
      </w:r>
      <w:r w:rsidR="004C219C">
        <w:rPr>
          <w:rFonts w:asciiTheme="majorHAnsi" w:eastAsia="Calibri" w:hAnsiTheme="majorHAnsi" w:cs="Times New Roman"/>
          <w:sz w:val="22"/>
          <w:szCs w:val="22"/>
          <w:lang w:val="es-ES_tradnl"/>
        </w:rPr>
        <w:t xml:space="preserve">dido, </w:t>
      </w:r>
      <w:r w:rsidRPr="00B97122">
        <w:rPr>
          <w:rFonts w:asciiTheme="majorHAnsi" w:eastAsia="Calibri" w:hAnsiTheme="majorHAnsi" w:cs="Times New Roman"/>
          <w:sz w:val="22"/>
          <w:szCs w:val="22"/>
          <w:lang w:val="es-ES_tradnl"/>
        </w:rPr>
        <w:t xml:space="preserve">falta de recursos, impedimentos institucionales, etc.). Es </w:t>
      </w:r>
      <w:r w:rsidR="004C219C" w:rsidRPr="00B97122">
        <w:rPr>
          <w:rFonts w:asciiTheme="majorHAnsi" w:eastAsia="Calibri" w:hAnsiTheme="majorHAnsi" w:cs="Times New Roman"/>
          <w:sz w:val="22"/>
          <w:szCs w:val="22"/>
          <w:lang w:val="es-ES_tradnl"/>
        </w:rPr>
        <w:t>probable</w:t>
      </w:r>
      <w:r w:rsidRPr="00B97122">
        <w:rPr>
          <w:rFonts w:asciiTheme="majorHAnsi" w:eastAsia="Calibri" w:hAnsiTheme="majorHAnsi" w:cs="Times New Roman"/>
          <w:sz w:val="22"/>
          <w:szCs w:val="22"/>
          <w:lang w:val="es-ES_tradnl"/>
        </w:rPr>
        <w:t xml:space="preserve"> que una mejor </w:t>
      </w:r>
      <w:r w:rsidR="004C219C" w:rsidRPr="00B97122">
        <w:rPr>
          <w:rFonts w:asciiTheme="majorHAnsi" w:eastAsia="Calibri" w:hAnsiTheme="majorHAnsi" w:cs="Times New Roman"/>
          <w:sz w:val="22"/>
          <w:szCs w:val="22"/>
          <w:lang w:val="es-ES_tradnl"/>
        </w:rPr>
        <w:t>planificación</w:t>
      </w:r>
      <w:r w:rsidRPr="00B97122">
        <w:rPr>
          <w:rFonts w:asciiTheme="majorHAnsi" w:eastAsia="Calibri" w:hAnsiTheme="majorHAnsi" w:cs="Times New Roman"/>
          <w:sz w:val="22"/>
          <w:szCs w:val="22"/>
          <w:lang w:val="es-ES_tradnl"/>
        </w:rPr>
        <w:t xml:space="preserve"> de</w:t>
      </w:r>
      <w:r w:rsidR="004C219C">
        <w:rPr>
          <w:rFonts w:asciiTheme="majorHAnsi" w:eastAsia="Calibri" w:hAnsiTheme="majorHAnsi" w:cs="Times New Roman"/>
          <w:sz w:val="22"/>
          <w:szCs w:val="22"/>
          <w:lang w:val="es-ES_tradnl"/>
        </w:rPr>
        <w:t xml:space="preserve"> la</w:t>
      </w:r>
      <w:r w:rsidRPr="00B97122">
        <w:rPr>
          <w:rFonts w:asciiTheme="majorHAnsi" w:eastAsia="Calibri" w:hAnsiTheme="majorHAnsi" w:cs="Times New Roman"/>
          <w:sz w:val="22"/>
          <w:szCs w:val="22"/>
          <w:lang w:val="es-ES_tradnl"/>
        </w:rPr>
        <w:t xml:space="preserve"> </w:t>
      </w:r>
      <w:r w:rsidR="001670A8" w:rsidRPr="00B97122">
        <w:rPr>
          <w:rFonts w:asciiTheme="majorHAnsi" w:eastAsia="Calibri" w:hAnsiTheme="majorHAnsi" w:cs="Times New Roman"/>
          <w:sz w:val="22"/>
          <w:szCs w:val="22"/>
          <w:lang w:val="es-ES_tradnl"/>
        </w:rPr>
        <w:t>CECoP</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a escala nacional contribuya a </w:t>
      </w:r>
      <w:r w:rsidR="004C219C">
        <w:rPr>
          <w:rFonts w:asciiTheme="majorHAnsi" w:eastAsia="Calibri" w:hAnsiTheme="majorHAnsi" w:cs="Times New Roman"/>
          <w:sz w:val="22"/>
          <w:szCs w:val="22"/>
          <w:lang w:val="es-ES_tradnl"/>
        </w:rPr>
        <w:t>centrarse mejor</w:t>
      </w:r>
      <w:r w:rsidRPr="00B97122">
        <w:rPr>
          <w:rFonts w:asciiTheme="majorHAnsi" w:eastAsia="Calibri" w:hAnsiTheme="majorHAnsi" w:cs="Times New Roman"/>
          <w:sz w:val="22"/>
          <w:szCs w:val="22"/>
          <w:lang w:val="es-ES_tradnl"/>
        </w:rPr>
        <w:t xml:space="preserve"> en las prioridades </w:t>
      </w:r>
      <w:r w:rsidR="004C219C">
        <w:rPr>
          <w:rFonts w:asciiTheme="majorHAnsi" w:eastAsia="Calibri" w:hAnsiTheme="majorHAnsi" w:cs="Times New Roman"/>
          <w:sz w:val="22"/>
          <w:szCs w:val="22"/>
          <w:lang w:val="es-ES_tradnl"/>
        </w:rPr>
        <w:t>esenciales</w:t>
      </w:r>
      <w:r w:rsidR="00C64326" w:rsidRPr="00B97122">
        <w:rPr>
          <w:rFonts w:asciiTheme="majorHAnsi" w:eastAsia="Calibri" w:hAnsiTheme="majorHAnsi" w:cs="Times New Roman"/>
          <w:sz w:val="22"/>
          <w:szCs w:val="22"/>
          <w:lang w:val="es-ES_tradnl"/>
        </w:rPr>
        <w:t xml:space="preserve">.  </w:t>
      </w:r>
    </w:p>
    <w:p w14:paraId="0F0B76A7" w14:textId="6CAF81DF" w:rsidR="00C64326" w:rsidRPr="00B97122" w:rsidRDefault="000437E3"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Solo en torno al </w:t>
      </w:r>
      <w:r w:rsidR="00C64326" w:rsidRPr="00B97122">
        <w:rPr>
          <w:rFonts w:asciiTheme="majorHAnsi" w:eastAsia="Calibri" w:hAnsiTheme="majorHAnsi" w:cs="Times New Roman"/>
          <w:sz w:val="22"/>
          <w:szCs w:val="22"/>
          <w:lang w:val="es-ES_tradnl"/>
        </w:rPr>
        <w:t>50</w:t>
      </w:r>
      <w:r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de las Partes señalaron que </w:t>
      </w:r>
      <w:r w:rsidR="004C219C" w:rsidRPr="00B97122">
        <w:rPr>
          <w:rFonts w:asciiTheme="majorHAnsi" w:eastAsia="Calibri" w:hAnsiTheme="majorHAnsi" w:cs="Times New Roman"/>
          <w:sz w:val="22"/>
          <w:szCs w:val="22"/>
          <w:lang w:val="es-ES_tradnl"/>
        </w:rPr>
        <w:t xml:space="preserve">disponen </w:t>
      </w:r>
      <w:r w:rsidR="004C219C">
        <w:rPr>
          <w:rFonts w:asciiTheme="majorHAnsi" w:eastAsia="Calibri" w:hAnsiTheme="majorHAnsi" w:cs="Times New Roman"/>
          <w:sz w:val="22"/>
          <w:szCs w:val="22"/>
          <w:lang w:val="es-ES_tradnl"/>
        </w:rPr>
        <w:t>de</w:t>
      </w:r>
      <w:r w:rsidR="0056259B">
        <w:rPr>
          <w:rFonts w:asciiTheme="majorHAnsi" w:eastAsia="Calibri" w:hAnsiTheme="majorHAnsi" w:cs="Times New Roman"/>
          <w:sz w:val="22"/>
          <w:szCs w:val="22"/>
          <w:lang w:val="es-ES_tradnl"/>
        </w:rPr>
        <w:t xml:space="preserve"> mecanismos de comunicación </w:t>
      </w:r>
      <w:r w:rsidRPr="00B97122">
        <w:rPr>
          <w:rFonts w:asciiTheme="majorHAnsi" w:eastAsia="Calibri" w:hAnsiTheme="majorHAnsi" w:cs="Times New Roman"/>
          <w:sz w:val="22"/>
          <w:szCs w:val="22"/>
          <w:lang w:val="es-ES_tradnl"/>
        </w:rPr>
        <w:t>para compartir las orientacion</w:t>
      </w:r>
      <w:r w:rsidR="0056259B">
        <w:rPr>
          <w:rFonts w:asciiTheme="majorHAnsi" w:eastAsia="Calibri" w:hAnsiTheme="majorHAnsi" w:cs="Times New Roman"/>
          <w:sz w:val="22"/>
          <w:szCs w:val="22"/>
          <w:lang w:val="es-ES_tradnl"/>
        </w:rPr>
        <w:t>es y la información de Ramsar</w:t>
      </w:r>
      <w:r w:rsidRPr="00B97122">
        <w:rPr>
          <w:rFonts w:asciiTheme="majorHAnsi" w:eastAsia="Calibri" w:hAnsiTheme="majorHAnsi" w:cs="Times New Roman"/>
          <w:sz w:val="22"/>
          <w:szCs w:val="22"/>
          <w:lang w:val="es-ES_tradnl"/>
        </w:rPr>
        <w:t xml:space="preserve"> con los administradores de los sitios Ramsar, los coordinadores nacionales de otros AMMA y otros ministerios,</w:t>
      </w:r>
      <w:r w:rsidR="0056259B">
        <w:rPr>
          <w:rFonts w:asciiTheme="majorHAnsi" w:eastAsia="Calibri" w:hAnsiTheme="majorHAnsi" w:cs="Times New Roman"/>
          <w:sz w:val="22"/>
          <w:szCs w:val="22"/>
          <w:lang w:val="es-ES_tradnl"/>
        </w:rPr>
        <w:t xml:space="preserve"> departamentos y organismos</w:t>
      </w:r>
      <w:r w:rsidRPr="00B97122">
        <w:rPr>
          <w:rFonts w:asciiTheme="majorHAnsi" w:eastAsia="Calibri" w:hAnsiTheme="majorHAnsi" w:cs="Times New Roman"/>
          <w:sz w:val="22"/>
          <w:szCs w:val="22"/>
          <w:lang w:val="es-ES_tradnl"/>
        </w:rPr>
        <w:t xml:space="preserve">. Esta cifra baja es preocupante, ya que </w:t>
      </w:r>
      <w:r w:rsidR="008A3FE1">
        <w:rPr>
          <w:rFonts w:asciiTheme="majorHAnsi" w:eastAsia="Calibri" w:hAnsiTheme="majorHAnsi" w:cs="Times New Roman"/>
          <w:sz w:val="22"/>
          <w:szCs w:val="22"/>
          <w:lang w:val="es-ES_tradnl"/>
        </w:rPr>
        <w:t>estos</w:t>
      </w:r>
      <w:r w:rsidRPr="00B97122">
        <w:rPr>
          <w:rFonts w:asciiTheme="majorHAnsi" w:eastAsia="Calibri" w:hAnsiTheme="majorHAnsi" w:cs="Times New Roman"/>
          <w:sz w:val="22"/>
          <w:szCs w:val="22"/>
          <w:lang w:val="es-ES_tradnl"/>
        </w:rPr>
        <w:t xml:space="preserve"> mecanismos son cruciales para apoyar a los administradores de sitios</w:t>
      </w:r>
      <w:r w:rsidR="0056259B">
        <w:rPr>
          <w:rFonts w:asciiTheme="majorHAnsi" w:eastAsia="Calibri" w:hAnsiTheme="majorHAnsi" w:cs="Times New Roman"/>
          <w:sz w:val="22"/>
          <w:szCs w:val="22"/>
          <w:lang w:val="es-ES_tradnl"/>
        </w:rPr>
        <w:t xml:space="preserve"> en su tarea de </w:t>
      </w:r>
      <w:r w:rsidRPr="00B97122">
        <w:rPr>
          <w:rFonts w:asciiTheme="majorHAnsi" w:eastAsia="Calibri" w:hAnsiTheme="majorHAnsi" w:cs="Times New Roman"/>
          <w:sz w:val="22"/>
          <w:szCs w:val="22"/>
          <w:lang w:val="es-ES_tradnl"/>
        </w:rPr>
        <w:t>gestionar los humedales de Ramsar y para</w:t>
      </w:r>
      <w:r w:rsidR="00EA77EA">
        <w:rPr>
          <w:rFonts w:asciiTheme="majorHAnsi" w:eastAsia="Calibri" w:hAnsiTheme="majorHAnsi" w:cs="Times New Roman"/>
          <w:sz w:val="22"/>
          <w:szCs w:val="22"/>
          <w:lang w:val="es-ES_tradnl"/>
        </w:rPr>
        <w:t xml:space="preserve"> </w:t>
      </w:r>
      <w:r w:rsidR="00A839AD">
        <w:rPr>
          <w:rFonts w:asciiTheme="majorHAnsi" w:eastAsia="Calibri" w:hAnsiTheme="majorHAnsi" w:cs="Times New Roman"/>
          <w:sz w:val="22"/>
          <w:szCs w:val="22"/>
          <w:lang w:val="es-ES_tradnl"/>
        </w:rPr>
        <w:t xml:space="preserve">atraer </w:t>
      </w:r>
      <w:r w:rsidRPr="00B97122">
        <w:rPr>
          <w:rFonts w:asciiTheme="majorHAnsi" w:eastAsia="Calibri" w:hAnsiTheme="majorHAnsi" w:cs="Times New Roman"/>
          <w:sz w:val="22"/>
          <w:szCs w:val="22"/>
          <w:lang w:val="es-ES_tradnl"/>
        </w:rPr>
        <w:t xml:space="preserve">a los organismos pertinentes </w:t>
      </w:r>
      <w:r w:rsidR="008A3FE1">
        <w:rPr>
          <w:rFonts w:asciiTheme="majorHAnsi" w:eastAsia="Calibri" w:hAnsiTheme="majorHAnsi" w:cs="Times New Roman"/>
          <w:sz w:val="22"/>
          <w:szCs w:val="22"/>
          <w:lang w:val="es-ES_tradnl"/>
        </w:rPr>
        <w:t>a fin de</w:t>
      </w:r>
      <w:r w:rsidRPr="00B97122">
        <w:rPr>
          <w:rFonts w:asciiTheme="majorHAnsi" w:eastAsia="Calibri" w:hAnsiTheme="majorHAnsi" w:cs="Times New Roman"/>
          <w:sz w:val="22"/>
          <w:szCs w:val="22"/>
          <w:lang w:val="es-ES_tradnl"/>
        </w:rPr>
        <w:t xml:space="preserve"> que entiendan y apliquen la Convención de Ramsar.</w:t>
      </w:r>
    </w:p>
    <w:p w14:paraId="45D3AE06" w14:textId="7A8A2B4A" w:rsidR="00C64326" w:rsidRPr="00B97122" w:rsidRDefault="000437E3" w:rsidP="00EB0248">
      <w:pPr>
        <w:numPr>
          <w:ilvl w:val="0"/>
          <w:numId w:val="17"/>
        </w:numPr>
        <w:ind w:left="714"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En </w:t>
      </w:r>
      <w:r w:rsidR="00275FA3" w:rsidRPr="00B97122">
        <w:rPr>
          <w:rFonts w:asciiTheme="majorHAnsi" w:eastAsia="Calibri" w:hAnsiTheme="majorHAnsi" w:cs="Times New Roman"/>
          <w:sz w:val="22"/>
          <w:szCs w:val="22"/>
          <w:lang w:val="es-ES_tradnl"/>
        </w:rPr>
        <w:t>cuanto</w:t>
      </w:r>
      <w:r w:rsidRPr="00B97122">
        <w:rPr>
          <w:rFonts w:asciiTheme="majorHAnsi" w:eastAsia="Calibri" w:hAnsiTheme="majorHAnsi" w:cs="Times New Roman"/>
          <w:sz w:val="22"/>
          <w:szCs w:val="22"/>
          <w:lang w:val="es-ES_tradnl"/>
        </w:rPr>
        <w:t xml:space="preserve"> a los comités nacionales </w:t>
      </w:r>
      <w:r w:rsidR="00275FA3">
        <w:rPr>
          <w:rFonts w:asciiTheme="majorHAnsi" w:eastAsia="Calibri" w:hAnsiTheme="majorHAnsi" w:cs="Times New Roman"/>
          <w:sz w:val="22"/>
          <w:szCs w:val="22"/>
          <w:lang w:val="es-ES_tradnl"/>
        </w:rPr>
        <w:t xml:space="preserve">de Ramsar </w:t>
      </w:r>
      <w:r w:rsidRPr="00B97122">
        <w:rPr>
          <w:rFonts w:asciiTheme="majorHAnsi" w:eastAsia="Calibri" w:hAnsiTheme="majorHAnsi" w:cs="Times New Roman"/>
          <w:sz w:val="22"/>
          <w:szCs w:val="22"/>
          <w:lang w:val="es-ES_tradnl"/>
        </w:rPr>
        <w:t xml:space="preserve">o </w:t>
      </w:r>
      <w:r w:rsidR="00275FA3">
        <w:rPr>
          <w:rFonts w:asciiTheme="majorHAnsi" w:eastAsia="Calibri" w:hAnsiTheme="majorHAnsi" w:cs="Times New Roman"/>
          <w:sz w:val="22"/>
          <w:szCs w:val="22"/>
          <w:lang w:val="es-ES_tradnl"/>
        </w:rPr>
        <w:t>de humedales que están operativos y abarcan distintos sectores, s</w:t>
      </w:r>
      <w:r w:rsidRPr="00B97122">
        <w:rPr>
          <w:rFonts w:asciiTheme="majorHAnsi" w:eastAsia="Calibri" w:hAnsiTheme="majorHAnsi" w:cs="Times New Roman"/>
          <w:sz w:val="22"/>
          <w:szCs w:val="22"/>
          <w:lang w:val="es-ES_tradnl"/>
        </w:rPr>
        <w:t xml:space="preserve">e ha indicado una disminución considerable, del </w:t>
      </w:r>
      <w:r w:rsidR="00C64326" w:rsidRPr="00275FA3">
        <w:rPr>
          <w:rFonts w:asciiTheme="majorHAnsi" w:eastAsia="Calibri" w:hAnsiTheme="majorHAnsi" w:cs="Times New Roman"/>
          <w:sz w:val="22"/>
          <w:szCs w:val="22"/>
          <w:lang w:val="es-ES_tradnl"/>
        </w:rPr>
        <w:t>63</w:t>
      </w:r>
      <w:r w:rsidR="00275FA3" w:rsidRPr="00275FA3">
        <w:rPr>
          <w:rFonts w:asciiTheme="majorHAnsi" w:eastAsia="Calibri" w:hAnsiTheme="majorHAnsi" w:cs="Times New Roman"/>
          <w:sz w:val="22"/>
          <w:szCs w:val="22"/>
          <w:lang w:val="es-ES_tradnl"/>
        </w:rPr>
        <w:t xml:space="preserve"> </w:t>
      </w:r>
      <w:r w:rsidR="00C64326" w:rsidRPr="00275FA3">
        <w:rPr>
          <w:rFonts w:asciiTheme="majorHAnsi" w:eastAsia="Calibri" w:hAnsiTheme="majorHAnsi" w:cs="Times New Roman"/>
          <w:sz w:val="22"/>
          <w:szCs w:val="22"/>
          <w:lang w:val="es-ES_tradnl"/>
        </w:rPr>
        <w:t>%</w:t>
      </w:r>
      <w:r w:rsidRPr="00B97122">
        <w:rPr>
          <w:rFonts w:asciiTheme="majorHAnsi" w:eastAsia="Calibri" w:hAnsiTheme="majorHAnsi" w:cs="Times New Roman"/>
          <w:sz w:val="22"/>
          <w:szCs w:val="22"/>
          <w:lang w:val="es-ES_tradnl"/>
        </w:rPr>
        <w:t xml:space="preserve"> en la COP12 a un </w:t>
      </w:r>
      <w:r w:rsidR="00C64326" w:rsidRPr="00B97122">
        <w:rPr>
          <w:rFonts w:asciiTheme="majorHAnsi" w:eastAsia="Calibri" w:hAnsiTheme="majorHAnsi" w:cs="Times New Roman"/>
          <w:sz w:val="22"/>
          <w:szCs w:val="22"/>
          <w:lang w:val="es-ES_tradnl"/>
        </w:rPr>
        <w:t>49</w:t>
      </w:r>
      <w:r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00275FA3" w:rsidRPr="00B97122">
        <w:rPr>
          <w:rFonts w:asciiTheme="majorHAnsi" w:eastAsia="Calibri" w:hAnsiTheme="majorHAnsi" w:cs="Times New Roman"/>
          <w:sz w:val="22"/>
          <w:szCs w:val="22"/>
          <w:lang w:val="es-ES_tradnl"/>
        </w:rPr>
        <w:t>durante</w:t>
      </w:r>
      <w:r w:rsidRPr="00B97122">
        <w:rPr>
          <w:rFonts w:asciiTheme="majorHAnsi" w:eastAsia="Calibri" w:hAnsiTheme="majorHAnsi" w:cs="Times New Roman"/>
          <w:sz w:val="22"/>
          <w:szCs w:val="22"/>
          <w:lang w:val="es-ES_tradnl"/>
        </w:rPr>
        <w:t xml:space="preserve"> este </w:t>
      </w:r>
      <w:r w:rsidR="00275FA3" w:rsidRPr="00B97122">
        <w:rPr>
          <w:rFonts w:asciiTheme="majorHAnsi" w:eastAsia="Calibri" w:hAnsiTheme="majorHAnsi" w:cs="Times New Roman"/>
          <w:sz w:val="22"/>
          <w:szCs w:val="22"/>
          <w:lang w:val="es-ES_tradnl"/>
        </w:rPr>
        <w:t>período</w:t>
      </w:r>
      <w:r w:rsidRPr="00B97122">
        <w:rPr>
          <w:rFonts w:asciiTheme="majorHAnsi" w:eastAsia="Calibri" w:hAnsiTheme="majorHAnsi" w:cs="Times New Roman"/>
          <w:sz w:val="22"/>
          <w:szCs w:val="22"/>
          <w:lang w:val="es-ES_tradnl"/>
        </w:rPr>
        <w:t xml:space="preserve"> de presentación de </w:t>
      </w:r>
      <w:r w:rsidR="00275FA3" w:rsidRPr="00B97122">
        <w:rPr>
          <w:rFonts w:asciiTheme="majorHAnsi" w:eastAsia="Calibri" w:hAnsiTheme="majorHAnsi" w:cs="Times New Roman"/>
          <w:sz w:val="22"/>
          <w:szCs w:val="22"/>
          <w:lang w:val="es-ES_tradnl"/>
        </w:rPr>
        <w:t>informes</w:t>
      </w:r>
      <w:r w:rsidRPr="00B97122">
        <w:rPr>
          <w:rFonts w:asciiTheme="majorHAnsi" w:eastAsia="Calibri" w:hAnsiTheme="majorHAnsi" w:cs="Times New Roman"/>
          <w:sz w:val="22"/>
          <w:szCs w:val="22"/>
          <w:lang w:val="es-ES_tradnl"/>
        </w:rPr>
        <w:t xml:space="preserve">. Esto también es </w:t>
      </w:r>
      <w:r w:rsidR="00275FA3" w:rsidRPr="00B97122">
        <w:rPr>
          <w:rFonts w:asciiTheme="majorHAnsi" w:eastAsia="Calibri" w:hAnsiTheme="majorHAnsi" w:cs="Times New Roman"/>
          <w:sz w:val="22"/>
          <w:szCs w:val="22"/>
          <w:lang w:val="es-ES_tradnl"/>
        </w:rPr>
        <w:t>preocupante</w:t>
      </w:r>
      <w:r w:rsidRPr="00B97122">
        <w:rPr>
          <w:rFonts w:asciiTheme="majorHAnsi" w:eastAsia="Calibri" w:hAnsiTheme="majorHAnsi" w:cs="Times New Roman"/>
          <w:sz w:val="22"/>
          <w:szCs w:val="22"/>
          <w:lang w:val="es-ES_tradnl"/>
        </w:rPr>
        <w:t xml:space="preserve">, </w:t>
      </w:r>
      <w:r w:rsidR="00275FA3">
        <w:rPr>
          <w:rFonts w:asciiTheme="majorHAnsi" w:eastAsia="Calibri" w:hAnsiTheme="majorHAnsi" w:cs="Times New Roman"/>
          <w:sz w:val="22"/>
          <w:szCs w:val="22"/>
          <w:lang w:val="es-ES_tradnl"/>
        </w:rPr>
        <w:t>dado</w:t>
      </w:r>
      <w:r w:rsidRPr="00B97122">
        <w:rPr>
          <w:rFonts w:asciiTheme="majorHAnsi" w:eastAsia="Calibri" w:hAnsiTheme="majorHAnsi" w:cs="Times New Roman"/>
          <w:sz w:val="22"/>
          <w:szCs w:val="22"/>
          <w:lang w:val="es-ES_tradnl"/>
        </w:rPr>
        <w:t xml:space="preserve"> que estos comités son una herramienta importante para integrar la conservación y el uso racional de los humedales en las </w:t>
      </w:r>
      <w:r w:rsidR="00275FA3" w:rsidRPr="00B97122">
        <w:rPr>
          <w:rFonts w:asciiTheme="majorHAnsi" w:eastAsia="Calibri" w:hAnsiTheme="majorHAnsi" w:cs="Times New Roman"/>
          <w:sz w:val="22"/>
          <w:szCs w:val="22"/>
          <w:lang w:val="es-ES_tradnl"/>
        </w:rPr>
        <w:t>consideraciones</w:t>
      </w:r>
      <w:r w:rsidRPr="00B97122">
        <w:rPr>
          <w:rFonts w:asciiTheme="majorHAnsi" w:eastAsia="Calibri" w:hAnsiTheme="majorHAnsi" w:cs="Times New Roman"/>
          <w:sz w:val="22"/>
          <w:szCs w:val="22"/>
          <w:lang w:val="es-ES_tradnl"/>
        </w:rPr>
        <w:t xml:space="preserve"> </w:t>
      </w:r>
      <w:r w:rsidR="00275FA3">
        <w:rPr>
          <w:rFonts w:asciiTheme="majorHAnsi" w:eastAsia="Calibri" w:hAnsiTheme="majorHAnsi" w:cs="Times New Roman"/>
          <w:sz w:val="22"/>
          <w:szCs w:val="22"/>
          <w:lang w:val="es-ES_tradnl"/>
        </w:rPr>
        <w:t>sobre</w:t>
      </w:r>
      <w:r w:rsidRPr="00B97122">
        <w:rPr>
          <w:rFonts w:asciiTheme="majorHAnsi" w:eastAsia="Calibri" w:hAnsiTheme="majorHAnsi" w:cs="Times New Roman"/>
          <w:sz w:val="22"/>
          <w:szCs w:val="22"/>
          <w:lang w:val="es-ES_tradnl"/>
        </w:rPr>
        <w:t xml:space="preserve"> políticas nacionales y para garantizar que en la toma de </w:t>
      </w:r>
      <w:r w:rsidR="00275FA3" w:rsidRPr="00B97122">
        <w:rPr>
          <w:rFonts w:asciiTheme="majorHAnsi" w:eastAsia="Calibri" w:hAnsiTheme="majorHAnsi" w:cs="Times New Roman"/>
          <w:sz w:val="22"/>
          <w:szCs w:val="22"/>
          <w:lang w:val="es-ES_tradnl"/>
        </w:rPr>
        <w:t>decisiones</w:t>
      </w:r>
      <w:r w:rsidRPr="00B97122">
        <w:rPr>
          <w:rFonts w:asciiTheme="majorHAnsi" w:eastAsia="Calibri" w:hAnsiTheme="majorHAnsi" w:cs="Times New Roman"/>
          <w:sz w:val="22"/>
          <w:szCs w:val="22"/>
          <w:lang w:val="es-ES_tradnl"/>
        </w:rPr>
        <w:t xml:space="preserve"> se tenga</w:t>
      </w:r>
      <w:r w:rsidR="00275FA3">
        <w:rPr>
          <w:rFonts w:asciiTheme="majorHAnsi" w:eastAsia="Calibri" w:hAnsiTheme="majorHAnsi" w:cs="Times New Roman"/>
          <w:sz w:val="22"/>
          <w:szCs w:val="22"/>
          <w:lang w:val="es-ES_tradnl"/>
        </w:rPr>
        <w:t>n</w:t>
      </w:r>
      <w:r w:rsidRPr="00B97122">
        <w:rPr>
          <w:rFonts w:asciiTheme="majorHAnsi" w:eastAsia="Calibri" w:hAnsiTheme="majorHAnsi" w:cs="Times New Roman"/>
          <w:sz w:val="22"/>
          <w:szCs w:val="22"/>
          <w:lang w:val="es-ES_tradnl"/>
        </w:rPr>
        <w:t xml:space="preserve"> en cuenta </w:t>
      </w:r>
      <w:r w:rsidR="00275FA3">
        <w:rPr>
          <w:rFonts w:asciiTheme="majorHAnsi" w:eastAsia="Calibri" w:hAnsiTheme="majorHAnsi" w:cs="Times New Roman"/>
          <w:sz w:val="22"/>
          <w:szCs w:val="22"/>
          <w:lang w:val="es-ES_tradnl"/>
        </w:rPr>
        <w:t>l</w:t>
      </w:r>
      <w:r w:rsidRPr="00B97122">
        <w:rPr>
          <w:rFonts w:asciiTheme="majorHAnsi" w:eastAsia="Calibri" w:hAnsiTheme="majorHAnsi" w:cs="Times New Roman"/>
          <w:sz w:val="22"/>
          <w:szCs w:val="22"/>
          <w:lang w:val="es-ES_tradnl"/>
        </w:rPr>
        <w:t xml:space="preserve">os servicios ecológicos que brindan los humedales. </w:t>
      </w:r>
      <w:r w:rsidR="00275FA3" w:rsidRPr="00B97122">
        <w:rPr>
          <w:rFonts w:asciiTheme="majorHAnsi" w:eastAsia="Calibri" w:hAnsiTheme="majorHAnsi" w:cs="Times New Roman"/>
          <w:sz w:val="22"/>
          <w:szCs w:val="22"/>
          <w:lang w:val="es-ES_tradnl"/>
        </w:rPr>
        <w:t>Concretamente</w:t>
      </w:r>
      <w:r w:rsidRPr="00B97122">
        <w:rPr>
          <w:rFonts w:asciiTheme="majorHAnsi" w:eastAsia="Calibri" w:hAnsiTheme="majorHAnsi" w:cs="Times New Roman"/>
          <w:sz w:val="22"/>
          <w:szCs w:val="22"/>
          <w:lang w:val="es-ES_tradnl"/>
        </w:rPr>
        <w:t xml:space="preserve">, las </w:t>
      </w:r>
      <w:r w:rsidR="00275FA3" w:rsidRPr="00275FA3">
        <w:rPr>
          <w:rFonts w:asciiTheme="majorHAnsi" w:eastAsia="Calibri" w:hAnsiTheme="majorHAnsi" w:cs="Times New Roman"/>
          <w:sz w:val="22"/>
          <w:szCs w:val="22"/>
          <w:lang w:val="es-ES_tradnl"/>
        </w:rPr>
        <w:t>m</w:t>
      </w:r>
      <w:r w:rsidRPr="00275FA3">
        <w:rPr>
          <w:rFonts w:asciiTheme="majorHAnsi" w:eastAsia="Calibri" w:hAnsiTheme="majorHAnsi" w:cs="Times New Roman"/>
          <w:sz w:val="22"/>
          <w:szCs w:val="22"/>
          <w:lang w:val="es-ES_tradnl"/>
        </w:rPr>
        <w:t xml:space="preserve">etas </w:t>
      </w:r>
      <w:r w:rsidR="00C64326" w:rsidRPr="00275FA3">
        <w:rPr>
          <w:rFonts w:asciiTheme="majorHAnsi" w:eastAsia="Calibri" w:hAnsiTheme="majorHAnsi" w:cs="Times New Roman"/>
          <w:sz w:val="22"/>
          <w:szCs w:val="22"/>
          <w:lang w:val="es-ES_tradnl"/>
        </w:rPr>
        <w:t xml:space="preserve">1 </w:t>
      </w:r>
      <w:r w:rsidR="00275FA3">
        <w:rPr>
          <w:rFonts w:asciiTheme="majorHAnsi" w:eastAsia="Calibri" w:hAnsiTheme="majorHAnsi" w:cs="Times New Roman"/>
          <w:sz w:val="22"/>
          <w:szCs w:val="22"/>
          <w:lang w:val="es-ES_tradnl"/>
        </w:rPr>
        <w:t xml:space="preserve">y </w:t>
      </w:r>
      <w:r w:rsidR="00C64326" w:rsidRPr="00B97122">
        <w:rPr>
          <w:rFonts w:asciiTheme="majorHAnsi" w:eastAsia="Calibri" w:hAnsiTheme="majorHAnsi" w:cs="Times New Roman"/>
          <w:sz w:val="22"/>
          <w:szCs w:val="22"/>
          <w:lang w:val="es-ES_tradnl"/>
        </w:rPr>
        <w:t xml:space="preserve">13 </w:t>
      </w:r>
      <w:r w:rsidRPr="00B97122">
        <w:rPr>
          <w:rFonts w:asciiTheme="majorHAnsi" w:eastAsia="Calibri" w:hAnsiTheme="majorHAnsi" w:cs="Times New Roman"/>
          <w:sz w:val="22"/>
          <w:szCs w:val="22"/>
          <w:lang w:val="es-ES_tradnl"/>
        </w:rPr>
        <w:t xml:space="preserve">del Plan Estratégico </w:t>
      </w:r>
      <w:r w:rsidR="00275FA3" w:rsidRPr="00B97122">
        <w:rPr>
          <w:rFonts w:asciiTheme="majorHAnsi" w:eastAsia="Calibri" w:hAnsiTheme="majorHAnsi" w:cs="Times New Roman"/>
          <w:sz w:val="22"/>
          <w:szCs w:val="22"/>
          <w:lang w:val="es-ES_tradnl"/>
        </w:rPr>
        <w:t>alientan</w:t>
      </w:r>
      <w:r w:rsidRPr="00B97122">
        <w:rPr>
          <w:rFonts w:asciiTheme="majorHAnsi" w:eastAsia="Calibri" w:hAnsiTheme="majorHAnsi" w:cs="Times New Roman"/>
          <w:sz w:val="22"/>
          <w:szCs w:val="22"/>
          <w:lang w:val="es-ES_tradnl"/>
        </w:rPr>
        <w:t xml:space="preserve"> a las </w:t>
      </w:r>
      <w:r w:rsidR="00B229E7" w:rsidRPr="00B97122">
        <w:rPr>
          <w:rFonts w:asciiTheme="majorHAnsi" w:eastAsia="Calibri" w:hAnsiTheme="majorHAnsi" w:cs="Times New Roman"/>
          <w:sz w:val="22"/>
          <w:szCs w:val="22"/>
          <w:lang w:val="es-ES_tradnl"/>
        </w:rPr>
        <w:t>Partes Contratantes</w:t>
      </w:r>
      <w:r w:rsidR="00C64326" w:rsidRPr="00B97122">
        <w:rPr>
          <w:rFonts w:asciiTheme="majorHAnsi" w:eastAsia="Calibri" w:hAnsiTheme="majorHAnsi" w:cs="Times New Roman"/>
          <w:sz w:val="22"/>
          <w:szCs w:val="22"/>
          <w:lang w:val="es-ES_tradnl"/>
        </w:rPr>
        <w:t xml:space="preserve"> </w:t>
      </w:r>
      <w:r w:rsidR="00275FA3">
        <w:rPr>
          <w:rFonts w:asciiTheme="majorHAnsi" w:eastAsia="Calibri" w:hAnsiTheme="majorHAnsi" w:cs="Times New Roman"/>
          <w:sz w:val="22"/>
          <w:szCs w:val="22"/>
          <w:lang w:val="es-ES_tradnl"/>
        </w:rPr>
        <w:t>a integrar los beneficios de los humedales en las políticas y planes nacionales o locales relativos a sectores clave y a incrementar la sostenibilidad de sectores clave cuando estos afectan a los humedales.</w:t>
      </w:r>
    </w:p>
    <w:p w14:paraId="1BD34DAB" w14:textId="77777777" w:rsidR="00EB0248" w:rsidRPr="00B97122" w:rsidRDefault="00EB0248" w:rsidP="00EB0248">
      <w:pPr>
        <w:contextualSpacing/>
        <w:rPr>
          <w:rFonts w:asciiTheme="majorHAnsi" w:eastAsia="Calibri" w:hAnsiTheme="majorHAnsi" w:cs="Times New Roman"/>
          <w:sz w:val="22"/>
          <w:szCs w:val="22"/>
          <w:lang w:val="es-ES_tradnl"/>
        </w:rPr>
      </w:pPr>
    </w:p>
    <w:p w14:paraId="64C7EF59" w14:textId="6B6265E0" w:rsidR="00C64326" w:rsidRPr="00B97122" w:rsidRDefault="00A07BFB" w:rsidP="004C3670">
      <w:pPr>
        <w:keepNext/>
        <w:spacing w:after="200"/>
        <w:rPr>
          <w:rFonts w:asciiTheme="majorHAnsi" w:eastAsia="Calibri" w:hAnsiTheme="majorHAnsi" w:cs="Times New Roman"/>
          <w:i/>
          <w:sz w:val="22"/>
          <w:szCs w:val="22"/>
          <w:lang w:val="es-ES_tradnl"/>
        </w:rPr>
      </w:pPr>
      <w:r w:rsidRPr="00275FA3">
        <w:rPr>
          <w:rFonts w:asciiTheme="majorHAnsi" w:eastAsia="Calibri" w:hAnsiTheme="majorHAnsi" w:cs="Times New Roman"/>
          <w:i/>
          <w:sz w:val="22"/>
          <w:szCs w:val="22"/>
          <w:lang w:val="es-ES_tradnl"/>
        </w:rPr>
        <w:lastRenderedPageBreak/>
        <w:t>Objetivo</w:t>
      </w:r>
      <w:r>
        <w:rPr>
          <w:rFonts w:asciiTheme="majorHAnsi" w:eastAsia="Calibri" w:hAnsiTheme="majorHAnsi" w:cs="Times New Roman"/>
          <w:i/>
          <w:color w:val="FF0000"/>
          <w:sz w:val="22"/>
          <w:szCs w:val="22"/>
          <w:lang w:val="es-ES_tradnl"/>
        </w:rPr>
        <w:t xml:space="preserve"> </w:t>
      </w:r>
      <w:r w:rsidR="00C64326" w:rsidRPr="00B97122">
        <w:rPr>
          <w:rFonts w:asciiTheme="majorHAnsi" w:eastAsia="Calibri" w:hAnsiTheme="majorHAnsi" w:cs="Times New Roman"/>
          <w:i/>
          <w:sz w:val="22"/>
          <w:szCs w:val="22"/>
          <w:lang w:val="es-ES_tradnl"/>
        </w:rPr>
        <w:t>2 – Integra</w:t>
      </w:r>
      <w:r w:rsidR="000437E3" w:rsidRPr="00B97122">
        <w:rPr>
          <w:rFonts w:asciiTheme="majorHAnsi" w:eastAsia="Calibri" w:hAnsiTheme="majorHAnsi" w:cs="Times New Roman"/>
          <w:i/>
          <w:sz w:val="22"/>
          <w:szCs w:val="22"/>
          <w:lang w:val="es-ES_tradnl"/>
        </w:rPr>
        <w:t>ción de la CECoP en las actividades de la Convención</w:t>
      </w:r>
    </w:p>
    <w:p w14:paraId="65361AFF" w14:textId="601C4CB5" w:rsidR="00C64326" w:rsidRPr="00B97122" w:rsidRDefault="000437E3" w:rsidP="004C3670">
      <w:pPr>
        <w:numPr>
          <w:ilvl w:val="0"/>
          <w:numId w:val="20"/>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La CEC</w:t>
      </w:r>
      <w:r w:rsidR="001670A8" w:rsidRPr="00B97122">
        <w:rPr>
          <w:rFonts w:asciiTheme="majorHAnsi" w:eastAsia="Calibri" w:hAnsiTheme="majorHAnsi" w:cs="Times New Roman"/>
          <w:sz w:val="22"/>
          <w:szCs w:val="22"/>
          <w:lang w:val="es-ES_tradnl"/>
        </w:rPr>
        <w:t>oP</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forma parte integral de la aplicación de Ramsar y </w:t>
      </w:r>
      <w:r w:rsidR="008F7F98" w:rsidRPr="00B97122">
        <w:rPr>
          <w:rFonts w:asciiTheme="majorHAnsi" w:eastAsia="Calibri" w:hAnsiTheme="majorHAnsi" w:cs="Times New Roman"/>
          <w:sz w:val="22"/>
          <w:szCs w:val="22"/>
          <w:lang w:val="es-ES_tradnl"/>
        </w:rPr>
        <w:t>juega</w:t>
      </w:r>
      <w:r w:rsidRPr="00B97122">
        <w:rPr>
          <w:rFonts w:asciiTheme="majorHAnsi" w:eastAsia="Calibri" w:hAnsiTheme="majorHAnsi" w:cs="Times New Roman"/>
          <w:sz w:val="22"/>
          <w:szCs w:val="22"/>
          <w:lang w:val="es-ES_tradnl"/>
        </w:rPr>
        <w:t xml:space="preserve"> un papel esencial en la promoción de los valores de los humedales, la </w:t>
      </w:r>
      <w:r w:rsidR="00457CD7">
        <w:rPr>
          <w:rFonts w:asciiTheme="majorHAnsi" w:eastAsia="Calibri" w:hAnsiTheme="majorHAnsi" w:cs="Times New Roman"/>
          <w:sz w:val="22"/>
          <w:szCs w:val="22"/>
          <w:lang w:val="es-ES_tradnl"/>
        </w:rPr>
        <w:t>implicación</w:t>
      </w:r>
      <w:r w:rsidR="008F7F98">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de los administradores de humedales y la comunidad </w:t>
      </w:r>
      <w:r w:rsidR="008A5E23">
        <w:rPr>
          <w:rFonts w:asciiTheme="majorHAnsi" w:eastAsia="Calibri" w:hAnsiTheme="majorHAnsi" w:cs="Times New Roman"/>
          <w:sz w:val="22"/>
          <w:szCs w:val="22"/>
          <w:lang w:val="es-ES_tradnl"/>
        </w:rPr>
        <w:t xml:space="preserve">en general </w:t>
      </w:r>
      <w:r w:rsidRPr="00B97122">
        <w:rPr>
          <w:rFonts w:asciiTheme="majorHAnsi" w:eastAsia="Calibri" w:hAnsiTheme="majorHAnsi" w:cs="Times New Roman"/>
          <w:sz w:val="22"/>
          <w:szCs w:val="22"/>
          <w:lang w:val="es-ES_tradnl"/>
        </w:rPr>
        <w:t xml:space="preserve">en la </w:t>
      </w:r>
      <w:r w:rsidR="008A5E23" w:rsidRPr="00B97122">
        <w:rPr>
          <w:rFonts w:asciiTheme="majorHAnsi" w:eastAsia="Calibri" w:hAnsiTheme="majorHAnsi" w:cs="Times New Roman"/>
          <w:sz w:val="22"/>
          <w:szCs w:val="22"/>
          <w:lang w:val="es-ES_tradnl"/>
        </w:rPr>
        <w:t>conservación</w:t>
      </w:r>
      <w:r w:rsidRPr="00B97122">
        <w:rPr>
          <w:rFonts w:asciiTheme="majorHAnsi" w:eastAsia="Calibri" w:hAnsiTheme="majorHAnsi" w:cs="Times New Roman"/>
          <w:sz w:val="22"/>
          <w:szCs w:val="22"/>
          <w:lang w:val="es-ES_tradnl"/>
        </w:rPr>
        <w:t xml:space="preserve"> y el uso racional de los humedales, </w:t>
      </w:r>
      <w:r w:rsidR="008A5E23">
        <w:rPr>
          <w:rFonts w:asciiTheme="majorHAnsi" w:eastAsia="Calibri" w:hAnsiTheme="majorHAnsi" w:cs="Times New Roman"/>
          <w:sz w:val="22"/>
          <w:szCs w:val="22"/>
          <w:lang w:val="es-ES_tradnl"/>
        </w:rPr>
        <w:t xml:space="preserve">el fomento de la capacidad </w:t>
      </w:r>
      <w:r w:rsidRPr="00B97122">
        <w:rPr>
          <w:rFonts w:asciiTheme="majorHAnsi" w:eastAsia="Calibri" w:hAnsiTheme="majorHAnsi" w:cs="Times New Roman"/>
          <w:sz w:val="22"/>
          <w:szCs w:val="22"/>
          <w:lang w:val="es-ES_tradnl"/>
        </w:rPr>
        <w:t xml:space="preserve">para entender y gestionar los </w:t>
      </w:r>
      <w:r w:rsidR="008A5E23" w:rsidRPr="00B97122">
        <w:rPr>
          <w:rFonts w:asciiTheme="majorHAnsi" w:eastAsia="Calibri" w:hAnsiTheme="majorHAnsi" w:cs="Times New Roman"/>
          <w:sz w:val="22"/>
          <w:szCs w:val="22"/>
          <w:lang w:val="es-ES_tradnl"/>
        </w:rPr>
        <w:t>humedales</w:t>
      </w:r>
      <w:r w:rsidRPr="00B97122">
        <w:rPr>
          <w:rFonts w:asciiTheme="majorHAnsi" w:eastAsia="Calibri" w:hAnsiTheme="majorHAnsi" w:cs="Times New Roman"/>
          <w:sz w:val="22"/>
          <w:szCs w:val="22"/>
          <w:lang w:val="es-ES_tradnl"/>
        </w:rPr>
        <w:t xml:space="preserve"> y </w:t>
      </w:r>
      <w:r w:rsidR="008A5E23" w:rsidRPr="00B97122">
        <w:rPr>
          <w:rFonts w:asciiTheme="majorHAnsi" w:eastAsia="Calibri" w:hAnsiTheme="majorHAnsi" w:cs="Times New Roman"/>
          <w:sz w:val="22"/>
          <w:szCs w:val="22"/>
          <w:lang w:val="es-ES_tradnl"/>
        </w:rPr>
        <w:t xml:space="preserve">hacer frente </w:t>
      </w:r>
      <w:r w:rsidR="008A5E23">
        <w:rPr>
          <w:rFonts w:asciiTheme="majorHAnsi" w:eastAsia="Calibri" w:hAnsiTheme="majorHAnsi" w:cs="Times New Roman"/>
          <w:sz w:val="22"/>
          <w:szCs w:val="22"/>
          <w:lang w:val="es-ES_tradnl"/>
        </w:rPr>
        <w:t>a</w:t>
      </w:r>
      <w:r w:rsidRPr="00B97122">
        <w:rPr>
          <w:rFonts w:asciiTheme="majorHAnsi" w:eastAsia="Calibri" w:hAnsiTheme="majorHAnsi" w:cs="Times New Roman"/>
          <w:sz w:val="22"/>
          <w:szCs w:val="22"/>
          <w:lang w:val="es-ES_tradnl"/>
        </w:rPr>
        <w:t xml:space="preserve"> las </w:t>
      </w:r>
      <w:r w:rsidR="008A5E23" w:rsidRPr="00B97122">
        <w:rPr>
          <w:rFonts w:asciiTheme="majorHAnsi" w:eastAsia="Calibri" w:hAnsiTheme="majorHAnsi" w:cs="Times New Roman"/>
          <w:sz w:val="22"/>
          <w:szCs w:val="22"/>
          <w:lang w:val="es-ES_tradnl"/>
        </w:rPr>
        <w:t>cuestiones</w:t>
      </w:r>
      <w:r w:rsidR="008A5E23">
        <w:rPr>
          <w:rFonts w:asciiTheme="majorHAnsi" w:eastAsia="Calibri" w:hAnsiTheme="majorHAnsi" w:cs="Times New Roman"/>
          <w:sz w:val="22"/>
          <w:szCs w:val="22"/>
          <w:lang w:val="es-ES_tradnl"/>
        </w:rPr>
        <w:t xml:space="preserve"> emergentes </w:t>
      </w:r>
      <w:r w:rsidRPr="00B97122">
        <w:rPr>
          <w:rFonts w:asciiTheme="majorHAnsi" w:eastAsia="Calibri" w:hAnsiTheme="majorHAnsi" w:cs="Times New Roman"/>
          <w:sz w:val="22"/>
          <w:szCs w:val="22"/>
          <w:lang w:val="es-ES_tradnl"/>
        </w:rPr>
        <w:t xml:space="preserve">y </w:t>
      </w:r>
      <w:r w:rsidR="0094074F" w:rsidRPr="00B97122">
        <w:rPr>
          <w:rFonts w:asciiTheme="majorHAnsi" w:eastAsia="Calibri" w:hAnsiTheme="majorHAnsi" w:cs="Times New Roman"/>
          <w:sz w:val="22"/>
          <w:szCs w:val="22"/>
          <w:lang w:val="es-ES_tradnl"/>
        </w:rPr>
        <w:t>la presen</w:t>
      </w:r>
      <w:r w:rsidR="008A5E23">
        <w:rPr>
          <w:rFonts w:asciiTheme="majorHAnsi" w:eastAsia="Calibri" w:hAnsiTheme="majorHAnsi" w:cs="Times New Roman"/>
          <w:sz w:val="22"/>
          <w:szCs w:val="22"/>
          <w:lang w:val="es-ES_tradnl"/>
        </w:rPr>
        <w:t xml:space="preserve">tación de informes </w:t>
      </w:r>
      <w:r w:rsidR="0094074F" w:rsidRPr="00B97122">
        <w:rPr>
          <w:rFonts w:asciiTheme="majorHAnsi" w:eastAsia="Calibri" w:hAnsiTheme="majorHAnsi" w:cs="Times New Roman"/>
          <w:sz w:val="22"/>
          <w:szCs w:val="22"/>
          <w:lang w:val="es-ES_tradnl"/>
        </w:rPr>
        <w:t xml:space="preserve">a escala local y </w:t>
      </w:r>
      <w:r w:rsidR="008A5E23" w:rsidRPr="00B97122">
        <w:rPr>
          <w:rFonts w:asciiTheme="majorHAnsi" w:eastAsia="Calibri" w:hAnsiTheme="majorHAnsi" w:cs="Times New Roman"/>
          <w:sz w:val="22"/>
          <w:szCs w:val="22"/>
          <w:lang w:val="es-ES_tradnl"/>
        </w:rPr>
        <w:t>mundial</w:t>
      </w:r>
      <w:r w:rsidR="0094074F" w:rsidRPr="00B97122">
        <w:rPr>
          <w:rFonts w:asciiTheme="majorHAnsi" w:eastAsia="Calibri" w:hAnsiTheme="majorHAnsi" w:cs="Times New Roman"/>
          <w:sz w:val="22"/>
          <w:szCs w:val="22"/>
          <w:lang w:val="es-ES_tradnl"/>
        </w:rPr>
        <w:t xml:space="preserve"> sobre </w:t>
      </w:r>
      <w:r w:rsidR="008A5E23" w:rsidRPr="00B97122">
        <w:rPr>
          <w:rFonts w:asciiTheme="majorHAnsi" w:eastAsia="Calibri" w:hAnsiTheme="majorHAnsi" w:cs="Times New Roman"/>
          <w:sz w:val="22"/>
          <w:szCs w:val="22"/>
          <w:lang w:val="es-ES_tradnl"/>
        </w:rPr>
        <w:t>los</w:t>
      </w:r>
      <w:r w:rsidR="008A5E23">
        <w:rPr>
          <w:rFonts w:asciiTheme="majorHAnsi" w:eastAsia="Calibri" w:hAnsiTheme="majorHAnsi" w:cs="Times New Roman"/>
          <w:sz w:val="22"/>
          <w:szCs w:val="22"/>
          <w:lang w:val="es-ES_tradnl"/>
        </w:rPr>
        <w:t xml:space="preserve"> avances</w:t>
      </w:r>
      <w:r w:rsidR="00C64326" w:rsidRPr="00B97122">
        <w:rPr>
          <w:rFonts w:asciiTheme="majorHAnsi" w:eastAsia="Calibri" w:hAnsiTheme="majorHAnsi" w:cs="Times New Roman"/>
          <w:sz w:val="22"/>
          <w:szCs w:val="22"/>
          <w:lang w:val="es-ES_tradnl"/>
        </w:rPr>
        <w:t>.</w:t>
      </w:r>
    </w:p>
    <w:p w14:paraId="67B69787" w14:textId="7522CEE7" w:rsidR="00C64326" w:rsidRPr="00B97122" w:rsidRDefault="0094074F" w:rsidP="004C3670">
      <w:pPr>
        <w:numPr>
          <w:ilvl w:val="0"/>
          <w:numId w:val="20"/>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El sitio web de Rams</w:t>
      </w:r>
      <w:r w:rsidR="008A5E23">
        <w:rPr>
          <w:rFonts w:asciiTheme="majorHAnsi" w:eastAsia="Calibri" w:hAnsiTheme="majorHAnsi" w:cs="Times New Roman"/>
          <w:sz w:val="22"/>
          <w:szCs w:val="22"/>
          <w:lang w:val="es-ES_tradnl"/>
        </w:rPr>
        <w:t>a</w:t>
      </w:r>
      <w:r w:rsidRPr="00B97122">
        <w:rPr>
          <w:rFonts w:asciiTheme="majorHAnsi" w:eastAsia="Calibri" w:hAnsiTheme="majorHAnsi" w:cs="Times New Roman"/>
          <w:sz w:val="22"/>
          <w:szCs w:val="22"/>
          <w:lang w:val="es-ES_tradnl"/>
        </w:rPr>
        <w:t xml:space="preserve">r es un elemento importante de la </w:t>
      </w:r>
      <w:r w:rsidR="008A5E23" w:rsidRPr="00B97122">
        <w:rPr>
          <w:rFonts w:asciiTheme="majorHAnsi" w:eastAsia="Calibri" w:hAnsiTheme="majorHAnsi" w:cs="Times New Roman"/>
          <w:sz w:val="22"/>
          <w:szCs w:val="22"/>
          <w:lang w:val="es-ES_tradnl"/>
        </w:rPr>
        <w:t>aplicación</w:t>
      </w:r>
      <w:r w:rsidRPr="00B97122">
        <w:rPr>
          <w:rFonts w:asciiTheme="majorHAnsi" w:eastAsia="Calibri" w:hAnsiTheme="majorHAnsi" w:cs="Times New Roman"/>
          <w:sz w:val="22"/>
          <w:szCs w:val="22"/>
          <w:lang w:val="es-ES_tradnl"/>
        </w:rPr>
        <w:t xml:space="preserve"> de Ramsar, entre otras cosas </w:t>
      </w:r>
      <w:r w:rsidR="008A5E23">
        <w:rPr>
          <w:rFonts w:asciiTheme="majorHAnsi" w:eastAsia="Calibri" w:hAnsiTheme="majorHAnsi" w:cs="Times New Roman"/>
          <w:sz w:val="22"/>
          <w:szCs w:val="22"/>
          <w:lang w:val="es-ES_tradnl"/>
        </w:rPr>
        <w:t xml:space="preserve">porque recopila </w:t>
      </w:r>
      <w:r w:rsidRPr="00B97122">
        <w:rPr>
          <w:rFonts w:asciiTheme="majorHAnsi" w:eastAsia="Calibri" w:hAnsiTheme="majorHAnsi" w:cs="Times New Roman"/>
          <w:sz w:val="22"/>
          <w:szCs w:val="22"/>
          <w:lang w:val="es-ES_tradnl"/>
        </w:rPr>
        <w:t xml:space="preserve">decisiones e información de las </w:t>
      </w:r>
      <w:r w:rsidR="008A5E23" w:rsidRPr="00B97122">
        <w:rPr>
          <w:rFonts w:asciiTheme="majorHAnsi" w:eastAsia="Calibri" w:hAnsiTheme="majorHAnsi" w:cs="Times New Roman"/>
          <w:sz w:val="22"/>
          <w:szCs w:val="22"/>
          <w:lang w:val="es-ES_tradnl"/>
        </w:rPr>
        <w:t>reuniones</w:t>
      </w:r>
      <w:r w:rsidRPr="00B97122">
        <w:rPr>
          <w:rFonts w:asciiTheme="majorHAnsi" w:eastAsia="Calibri" w:hAnsiTheme="majorHAnsi" w:cs="Times New Roman"/>
          <w:sz w:val="22"/>
          <w:szCs w:val="22"/>
          <w:lang w:val="es-ES_tradnl"/>
        </w:rPr>
        <w:t xml:space="preserve"> de la </w:t>
      </w:r>
      <w:r w:rsidR="008A5E23" w:rsidRPr="00B97122">
        <w:rPr>
          <w:rFonts w:asciiTheme="majorHAnsi" w:eastAsia="Calibri" w:hAnsiTheme="majorHAnsi" w:cs="Times New Roman"/>
          <w:sz w:val="22"/>
          <w:szCs w:val="22"/>
          <w:lang w:val="es-ES_tradnl"/>
        </w:rPr>
        <w:t>Convención</w:t>
      </w:r>
      <w:r w:rsidRPr="00B97122">
        <w:rPr>
          <w:rFonts w:asciiTheme="majorHAnsi" w:eastAsia="Calibri" w:hAnsiTheme="majorHAnsi" w:cs="Times New Roman"/>
          <w:sz w:val="22"/>
          <w:szCs w:val="22"/>
          <w:lang w:val="es-ES_tradnl"/>
        </w:rPr>
        <w:t xml:space="preserve">, </w:t>
      </w:r>
      <w:r w:rsidR="008A5E23">
        <w:rPr>
          <w:rFonts w:asciiTheme="majorHAnsi" w:eastAsia="Calibri" w:hAnsiTheme="majorHAnsi" w:cs="Times New Roman"/>
          <w:sz w:val="22"/>
          <w:szCs w:val="22"/>
          <w:lang w:val="es-ES_tradnl"/>
        </w:rPr>
        <w:t xml:space="preserve">contiene </w:t>
      </w:r>
      <w:r w:rsidRPr="00B97122">
        <w:rPr>
          <w:rFonts w:asciiTheme="majorHAnsi" w:eastAsia="Calibri" w:hAnsiTheme="majorHAnsi" w:cs="Times New Roman"/>
          <w:sz w:val="22"/>
          <w:szCs w:val="22"/>
          <w:lang w:val="es-ES_tradnl"/>
        </w:rPr>
        <w:t xml:space="preserve">datos sobre los sitios Ramsar (en el Servicio de Información sobre Sitios Ramsar), divulga material científico y técnico y </w:t>
      </w:r>
      <w:r w:rsidR="008A5E23">
        <w:rPr>
          <w:rFonts w:asciiTheme="majorHAnsi" w:eastAsia="Calibri" w:hAnsiTheme="majorHAnsi" w:cs="Times New Roman"/>
          <w:sz w:val="22"/>
          <w:szCs w:val="22"/>
          <w:lang w:val="es-ES_tradnl"/>
        </w:rPr>
        <w:t xml:space="preserve">promueve </w:t>
      </w:r>
      <w:r w:rsidRPr="00B97122">
        <w:rPr>
          <w:rFonts w:asciiTheme="majorHAnsi" w:eastAsia="Calibri" w:hAnsiTheme="majorHAnsi" w:cs="Times New Roman"/>
          <w:sz w:val="22"/>
          <w:szCs w:val="22"/>
          <w:lang w:val="es-ES_tradnl"/>
        </w:rPr>
        <w:t xml:space="preserve">los sitios Ramsar y las </w:t>
      </w:r>
      <w:r w:rsidR="008A5E23">
        <w:rPr>
          <w:rFonts w:asciiTheme="majorHAnsi" w:eastAsia="Calibri" w:hAnsiTheme="majorHAnsi" w:cs="Times New Roman"/>
          <w:sz w:val="22"/>
          <w:szCs w:val="22"/>
          <w:lang w:val="es-ES_tradnl"/>
        </w:rPr>
        <w:t xml:space="preserve">noticias </w:t>
      </w:r>
      <w:r w:rsidR="008A5E23" w:rsidRPr="00B97122">
        <w:rPr>
          <w:rFonts w:asciiTheme="majorHAnsi" w:eastAsia="Calibri" w:hAnsiTheme="majorHAnsi" w:cs="Times New Roman"/>
          <w:sz w:val="22"/>
          <w:szCs w:val="22"/>
          <w:lang w:val="es-ES_tradnl"/>
        </w:rPr>
        <w:t>sobre</w:t>
      </w:r>
      <w:r w:rsidRPr="00B97122">
        <w:rPr>
          <w:rFonts w:asciiTheme="majorHAnsi" w:eastAsia="Calibri" w:hAnsiTheme="majorHAnsi" w:cs="Times New Roman"/>
          <w:sz w:val="22"/>
          <w:szCs w:val="22"/>
          <w:lang w:val="es-ES_tradnl"/>
        </w:rPr>
        <w:t xml:space="preserve"> humedales. </w:t>
      </w:r>
      <w:r w:rsidR="008A5E23">
        <w:rPr>
          <w:rFonts w:asciiTheme="majorHAnsi" w:eastAsia="Calibri" w:hAnsiTheme="majorHAnsi" w:cs="Times New Roman"/>
          <w:sz w:val="22"/>
          <w:szCs w:val="22"/>
          <w:lang w:val="es-ES_tradnl"/>
        </w:rPr>
        <w:t>D</w:t>
      </w:r>
      <w:r w:rsidR="008A5E23" w:rsidRPr="00B97122">
        <w:rPr>
          <w:rFonts w:asciiTheme="majorHAnsi" w:eastAsia="Calibri" w:hAnsiTheme="majorHAnsi" w:cs="Times New Roman"/>
          <w:sz w:val="22"/>
          <w:szCs w:val="22"/>
          <w:lang w:val="es-ES_tradnl"/>
        </w:rPr>
        <w:t xml:space="preserve">urante este trienio </w:t>
      </w:r>
      <w:r w:rsidR="008A5E23">
        <w:rPr>
          <w:rFonts w:asciiTheme="majorHAnsi" w:eastAsia="Calibri" w:hAnsiTheme="majorHAnsi" w:cs="Times New Roman"/>
          <w:sz w:val="22"/>
          <w:szCs w:val="22"/>
          <w:lang w:val="es-ES_tradnl"/>
        </w:rPr>
        <w:t>s</w:t>
      </w:r>
      <w:r w:rsidRPr="00B97122">
        <w:rPr>
          <w:rFonts w:asciiTheme="majorHAnsi" w:eastAsia="Calibri" w:hAnsiTheme="majorHAnsi" w:cs="Times New Roman"/>
          <w:sz w:val="22"/>
          <w:szCs w:val="22"/>
          <w:lang w:val="es-ES_tradnl"/>
        </w:rPr>
        <w:t xml:space="preserve">e han añadido </w:t>
      </w:r>
      <w:r w:rsidR="008A5E23">
        <w:rPr>
          <w:rFonts w:asciiTheme="majorHAnsi" w:eastAsia="Calibri" w:hAnsiTheme="majorHAnsi" w:cs="Times New Roman"/>
          <w:sz w:val="22"/>
          <w:szCs w:val="22"/>
          <w:lang w:val="es-ES_tradnl"/>
        </w:rPr>
        <w:t>contenidos</w:t>
      </w:r>
      <w:r w:rsidRPr="00B97122">
        <w:rPr>
          <w:rFonts w:asciiTheme="majorHAnsi" w:eastAsia="Calibri" w:hAnsiTheme="majorHAnsi" w:cs="Times New Roman"/>
          <w:sz w:val="22"/>
          <w:szCs w:val="22"/>
          <w:lang w:val="es-ES_tradnl"/>
        </w:rPr>
        <w:t xml:space="preserve"> importantes al sitio web (</w:t>
      </w:r>
      <w:r w:rsidR="008A5E23">
        <w:rPr>
          <w:rFonts w:asciiTheme="majorHAnsi" w:eastAsia="Calibri" w:hAnsiTheme="majorHAnsi" w:cs="Times New Roman"/>
          <w:sz w:val="22"/>
          <w:szCs w:val="22"/>
          <w:lang w:val="es-ES_tradnl"/>
        </w:rPr>
        <w:t xml:space="preserve">p. ej., </w:t>
      </w:r>
      <w:r w:rsidR="008A5E23" w:rsidRPr="00B97122">
        <w:rPr>
          <w:rFonts w:asciiTheme="majorHAnsi" w:eastAsia="Calibri" w:hAnsiTheme="majorHAnsi" w:cs="Times New Roman"/>
          <w:sz w:val="22"/>
          <w:szCs w:val="22"/>
          <w:lang w:val="es-ES_tradnl"/>
        </w:rPr>
        <w:t>documentos</w:t>
      </w:r>
      <w:r w:rsidRPr="00B97122">
        <w:rPr>
          <w:rFonts w:asciiTheme="majorHAnsi" w:eastAsia="Calibri" w:hAnsiTheme="majorHAnsi" w:cs="Times New Roman"/>
          <w:sz w:val="22"/>
          <w:szCs w:val="22"/>
          <w:lang w:val="es-ES_tradnl"/>
        </w:rPr>
        <w:t xml:space="preserve"> de </w:t>
      </w:r>
      <w:r w:rsidR="008A5E23" w:rsidRPr="00B97122">
        <w:rPr>
          <w:rFonts w:asciiTheme="majorHAnsi" w:eastAsia="Calibri" w:hAnsiTheme="majorHAnsi" w:cs="Times New Roman"/>
          <w:sz w:val="22"/>
          <w:szCs w:val="22"/>
          <w:lang w:val="es-ES_tradnl"/>
        </w:rPr>
        <w:t>reuniones</w:t>
      </w:r>
      <w:r w:rsidR="008A5E23">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publicaciones, videos y otros </w:t>
      </w:r>
      <w:r w:rsidR="008A5E23" w:rsidRPr="00B97122">
        <w:rPr>
          <w:rFonts w:asciiTheme="majorHAnsi" w:eastAsia="Calibri" w:hAnsiTheme="majorHAnsi" w:cs="Times New Roman"/>
          <w:sz w:val="22"/>
          <w:szCs w:val="22"/>
          <w:lang w:val="es-ES_tradnl"/>
        </w:rPr>
        <w:t>recursos</w:t>
      </w:r>
      <w:r w:rsidR="008A5E23">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y </w:t>
      </w:r>
      <w:r w:rsidR="008A5E23">
        <w:rPr>
          <w:rFonts w:asciiTheme="majorHAnsi" w:eastAsia="Calibri" w:hAnsiTheme="majorHAnsi" w:cs="Times New Roman"/>
          <w:sz w:val="22"/>
          <w:szCs w:val="22"/>
          <w:lang w:val="es-ES_tradnl"/>
        </w:rPr>
        <w:t xml:space="preserve">el año </w:t>
      </w:r>
      <w:r w:rsidRPr="00B97122">
        <w:rPr>
          <w:rFonts w:asciiTheme="majorHAnsi" w:eastAsia="Calibri" w:hAnsiTheme="majorHAnsi" w:cs="Times New Roman"/>
          <w:sz w:val="22"/>
          <w:szCs w:val="22"/>
          <w:lang w:val="es-ES_tradnl"/>
        </w:rPr>
        <w:t xml:space="preserve">pasado el sitio </w:t>
      </w:r>
      <w:r w:rsidR="008A5E23">
        <w:rPr>
          <w:rFonts w:asciiTheme="majorHAnsi" w:eastAsia="Calibri" w:hAnsiTheme="majorHAnsi" w:cs="Times New Roman"/>
          <w:sz w:val="22"/>
          <w:szCs w:val="22"/>
          <w:lang w:val="es-ES_tradnl"/>
        </w:rPr>
        <w:t>recibió casi medio millón de visitas</w:t>
      </w:r>
      <w:r w:rsidRPr="00B97122">
        <w:rPr>
          <w:rFonts w:asciiTheme="majorHAnsi" w:eastAsia="Calibri" w:hAnsiTheme="majorHAnsi" w:cs="Times New Roman"/>
          <w:sz w:val="22"/>
          <w:szCs w:val="22"/>
          <w:lang w:val="es-ES_tradnl"/>
        </w:rPr>
        <w:t>.</w:t>
      </w:r>
    </w:p>
    <w:p w14:paraId="62E00FA6" w14:textId="29A5A7C7" w:rsidR="00C64326" w:rsidRPr="00B97122" w:rsidRDefault="008A5E23" w:rsidP="006347EB">
      <w:pPr>
        <w:numPr>
          <w:ilvl w:val="0"/>
          <w:numId w:val="20"/>
        </w:numPr>
        <w:ind w:left="714" w:hanging="357"/>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El Boletín de Ramsar</w:t>
      </w:r>
      <w:r w:rsidR="0094074F" w:rsidRPr="00B97122">
        <w:rPr>
          <w:rFonts w:asciiTheme="majorHAnsi" w:eastAsia="Calibri" w:hAnsiTheme="majorHAnsi" w:cs="Times New Roman"/>
          <w:sz w:val="22"/>
          <w:szCs w:val="22"/>
          <w:lang w:val="es-ES_tradnl"/>
        </w:rPr>
        <w:t xml:space="preserve">, que se publica cada 3 o 4 meses, </w:t>
      </w:r>
      <w:r>
        <w:rPr>
          <w:rFonts w:asciiTheme="majorHAnsi" w:eastAsia="Calibri" w:hAnsiTheme="majorHAnsi" w:cs="Times New Roman"/>
          <w:sz w:val="22"/>
          <w:szCs w:val="22"/>
          <w:lang w:val="es-ES_tradnl"/>
        </w:rPr>
        <w:t xml:space="preserve">fue </w:t>
      </w:r>
      <w:r w:rsidR="0094074F" w:rsidRPr="00B97122">
        <w:rPr>
          <w:rFonts w:asciiTheme="majorHAnsi" w:eastAsia="Calibri" w:hAnsiTheme="majorHAnsi" w:cs="Times New Roman"/>
          <w:sz w:val="22"/>
          <w:szCs w:val="22"/>
          <w:lang w:val="es-ES_tradnl"/>
        </w:rPr>
        <w:t>un m</w:t>
      </w:r>
      <w:r>
        <w:rPr>
          <w:rFonts w:asciiTheme="majorHAnsi" w:eastAsia="Calibri" w:hAnsiTheme="majorHAnsi" w:cs="Times New Roman"/>
          <w:sz w:val="22"/>
          <w:szCs w:val="22"/>
          <w:lang w:val="es-ES_tradnl"/>
        </w:rPr>
        <w:t xml:space="preserve">edio de comunicación </w:t>
      </w:r>
      <w:r w:rsidR="0094074F" w:rsidRPr="00B97122">
        <w:rPr>
          <w:rFonts w:asciiTheme="majorHAnsi" w:eastAsia="Calibri" w:hAnsiTheme="majorHAnsi" w:cs="Times New Roman"/>
          <w:sz w:val="22"/>
          <w:szCs w:val="22"/>
          <w:lang w:val="es-ES_tradnl"/>
        </w:rPr>
        <w:t xml:space="preserve">periódico entre la Secretaría y las </w:t>
      </w:r>
      <w:r w:rsidR="00B229E7" w:rsidRPr="00B97122">
        <w:rPr>
          <w:rFonts w:asciiTheme="majorHAnsi" w:eastAsia="Calibri" w:hAnsiTheme="majorHAnsi" w:cs="Times New Roman"/>
          <w:sz w:val="22"/>
          <w:szCs w:val="22"/>
          <w:lang w:val="es-ES_tradnl"/>
        </w:rPr>
        <w:t>Partes Contratantes</w:t>
      </w:r>
      <w:r w:rsidR="00C64326" w:rsidRPr="00B97122">
        <w:rPr>
          <w:rFonts w:asciiTheme="majorHAnsi" w:eastAsia="Calibri" w:hAnsiTheme="majorHAnsi" w:cs="Times New Roman"/>
          <w:sz w:val="22"/>
          <w:szCs w:val="22"/>
          <w:lang w:val="es-ES_tradnl"/>
        </w:rPr>
        <w:t>,</w:t>
      </w:r>
      <w:r w:rsidR="0094074F" w:rsidRPr="00B97122">
        <w:rPr>
          <w:rFonts w:asciiTheme="majorHAnsi" w:eastAsia="Calibri" w:hAnsiTheme="majorHAnsi" w:cs="Times New Roman"/>
          <w:sz w:val="22"/>
          <w:szCs w:val="22"/>
          <w:lang w:val="es-ES_tradnl"/>
        </w:rPr>
        <w:t xml:space="preserve"> además de los foros de correo electrónico de Ramsar y de CECoP.</w:t>
      </w:r>
    </w:p>
    <w:p w14:paraId="6E0EE232" w14:textId="77777777" w:rsidR="006347EB" w:rsidRPr="00B97122" w:rsidRDefault="006347EB" w:rsidP="006347EB">
      <w:pPr>
        <w:contextualSpacing/>
        <w:rPr>
          <w:rFonts w:asciiTheme="majorHAnsi" w:eastAsia="Calibri" w:hAnsiTheme="majorHAnsi" w:cs="Times New Roman"/>
          <w:sz w:val="22"/>
          <w:szCs w:val="22"/>
          <w:lang w:val="es-ES_tradnl"/>
        </w:rPr>
      </w:pPr>
    </w:p>
    <w:p w14:paraId="2C9F0FBF" w14:textId="77777777" w:rsidR="00D07BD5"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t xml:space="preserve">Objetivo </w:t>
      </w:r>
      <w:r w:rsidR="00C64326" w:rsidRPr="00B97122">
        <w:rPr>
          <w:rFonts w:asciiTheme="majorHAnsi" w:eastAsia="Calibri" w:hAnsiTheme="majorHAnsi" w:cs="Times New Roman"/>
          <w:i/>
          <w:sz w:val="22"/>
          <w:szCs w:val="22"/>
          <w:lang w:val="es-ES_tradnl"/>
        </w:rPr>
        <w:t xml:space="preserve">3 – </w:t>
      </w:r>
      <w:r w:rsidR="0094074F" w:rsidRPr="00B97122">
        <w:rPr>
          <w:rFonts w:asciiTheme="majorHAnsi" w:eastAsia="Calibri" w:hAnsiTheme="majorHAnsi" w:cs="Times New Roman"/>
          <w:i/>
          <w:sz w:val="22"/>
          <w:szCs w:val="22"/>
          <w:lang w:val="es-ES_tradnl"/>
        </w:rPr>
        <w:t>Apoyo sobre el uso racional para administradores de sitios Ramsar y de otros humedales y</w:t>
      </w:r>
    </w:p>
    <w:p w14:paraId="48C54BF0" w14:textId="6D2BDCF0" w:rsidR="00C64326" w:rsidRPr="00B97122" w:rsidRDefault="0094074F" w:rsidP="004C3670">
      <w:pPr>
        <w:keepNext/>
        <w:spacing w:after="200"/>
        <w:rPr>
          <w:rFonts w:asciiTheme="majorHAnsi" w:eastAsia="Calibri" w:hAnsiTheme="majorHAnsi" w:cs="Times New Roman"/>
          <w:i/>
          <w:sz w:val="22"/>
          <w:szCs w:val="22"/>
          <w:lang w:val="es-ES_tradnl"/>
        </w:rPr>
      </w:pPr>
      <w:r w:rsidRPr="00B97122">
        <w:rPr>
          <w:rFonts w:asciiTheme="majorHAnsi" w:eastAsia="Calibri" w:hAnsiTheme="majorHAnsi" w:cs="Times New Roman"/>
          <w:i/>
          <w:sz w:val="22"/>
          <w:szCs w:val="22"/>
          <w:lang w:val="es-ES_tradnl"/>
        </w:rPr>
        <w:t>Objetivo</w:t>
      </w:r>
      <w:r w:rsidR="00C64326" w:rsidRPr="00B97122">
        <w:rPr>
          <w:rFonts w:asciiTheme="majorHAnsi" w:eastAsia="Calibri" w:hAnsiTheme="majorHAnsi" w:cs="Times New Roman"/>
          <w:i/>
          <w:sz w:val="22"/>
          <w:szCs w:val="22"/>
          <w:lang w:val="es-ES_tradnl"/>
        </w:rPr>
        <w:t xml:space="preserve"> 4 – </w:t>
      </w:r>
      <w:r w:rsidRPr="00B97122">
        <w:rPr>
          <w:rFonts w:asciiTheme="majorHAnsi" w:eastAsia="Calibri" w:hAnsiTheme="majorHAnsi" w:cs="Times New Roman"/>
          <w:i/>
          <w:sz w:val="22"/>
          <w:szCs w:val="22"/>
          <w:lang w:val="es-ES_tradnl"/>
        </w:rPr>
        <w:t xml:space="preserve">Creación de </w:t>
      </w:r>
      <w:r w:rsidRPr="00D07BD5">
        <w:rPr>
          <w:rFonts w:asciiTheme="majorHAnsi" w:eastAsia="Calibri" w:hAnsiTheme="majorHAnsi" w:cs="Times New Roman"/>
          <w:i/>
          <w:sz w:val="22"/>
          <w:szCs w:val="22"/>
          <w:lang w:val="es-ES_tradnl"/>
        </w:rPr>
        <w:t>capacidad</w:t>
      </w:r>
    </w:p>
    <w:p w14:paraId="53FF20F6" w14:textId="474E915B" w:rsidR="00C64326" w:rsidRPr="00B97122" w:rsidRDefault="0094074F"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w:t>
      </w:r>
      <w:r w:rsidR="00D07BD5" w:rsidRPr="00B97122">
        <w:rPr>
          <w:rFonts w:asciiTheme="majorHAnsi" w:eastAsia="Calibri" w:hAnsiTheme="majorHAnsi" w:cs="Times New Roman"/>
          <w:sz w:val="22"/>
          <w:szCs w:val="22"/>
          <w:lang w:val="es-ES_tradnl"/>
        </w:rPr>
        <w:t>Secretaría</w:t>
      </w:r>
      <w:r w:rsidRPr="00B97122">
        <w:rPr>
          <w:rFonts w:asciiTheme="majorHAnsi" w:eastAsia="Calibri" w:hAnsiTheme="majorHAnsi" w:cs="Times New Roman"/>
          <w:sz w:val="22"/>
          <w:szCs w:val="22"/>
          <w:lang w:val="es-ES_tradnl"/>
        </w:rPr>
        <w:t xml:space="preserve"> </w:t>
      </w:r>
      <w:r w:rsidR="00D07BD5" w:rsidRPr="00B97122">
        <w:rPr>
          <w:rFonts w:asciiTheme="majorHAnsi" w:eastAsia="Calibri" w:hAnsiTheme="majorHAnsi" w:cs="Times New Roman"/>
          <w:sz w:val="22"/>
          <w:szCs w:val="22"/>
          <w:lang w:val="es-ES_tradnl"/>
        </w:rPr>
        <w:t>fortaleció</w:t>
      </w:r>
      <w:r w:rsidRPr="00B97122">
        <w:rPr>
          <w:rFonts w:asciiTheme="majorHAnsi" w:eastAsia="Calibri" w:hAnsiTheme="majorHAnsi" w:cs="Times New Roman"/>
          <w:sz w:val="22"/>
          <w:szCs w:val="22"/>
          <w:lang w:val="es-ES_tradnl"/>
        </w:rPr>
        <w:t xml:space="preserve"> su papel </w:t>
      </w:r>
      <w:r w:rsidR="00D07BD5">
        <w:rPr>
          <w:rFonts w:asciiTheme="majorHAnsi" w:eastAsia="Calibri" w:hAnsiTheme="majorHAnsi" w:cs="Times New Roman"/>
          <w:sz w:val="22"/>
          <w:szCs w:val="22"/>
          <w:lang w:val="es-ES_tradnl"/>
        </w:rPr>
        <w:t xml:space="preserve">en la prestación de apoyo directo a la </w:t>
      </w:r>
      <w:r w:rsidR="00730ABC">
        <w:rPr>
          <w:rFonts w:asciiTheme="majorHAnsi" w:eastAsia="Calibri" w:hAnsiTheme="majorHAnsi" w:cs="Times New Roman"/>
          <w:sz w:val="22"/>
          <w:szCs w:val="22"/>
          <w:lang w:val="es-ES_tradnl"/>
        </w:rPr>
        <w:t xml:space="preserve">creación de </w:t>
      </w:r>
      <w:r w:rsidR="00D07BD5">
        <w:rPr>
          <w:rFonts w:asciiTheme="majorHAnsi" w:eastAsia="Calibri" w:hAnsiTheme="majorHAnsi" w:cs="Times New Roman"/>
          <w:sz w:val="22"/>
          <w:szCs w:val="22"/>
          <w:lang w:val="es-ES_tradnl"/>
        </w:rPr>
        <w:t>capacidad en</w:t>
      </w:r>
      <w:r w:rsidR="00C64326" w:rsidRPr="00B97122">
        <w:rPr>
          <w:rFonts w:asciiTheme="majorHAnsi" w:eastAsia="Calibri" w:hAnsiTheme="majorHAnsi" w:cs="Times New Roman"/>
          <w:sz w:val="22"/>
          <w:szCs w:val="22"/>
          <w:lang w:val="es-ES_tradnl"/>
        </w:rPr>
        <w:t xml:space="preserve"> </w:t>
      </w:r>
      <w:r w:rsidR="00B229E7" w:rsidRPr="00B97122">
        <w:rPr>
          <w:rFonts w:asciiTheme="majorHAnsi" w:eastAsia="Calibri" w:hAnsiTheme="majorHAnsi" w:cs="Times New Roman"/>
          <w:sz w:val="22"/>
          <w:szCs w:val="22"/>
          <w:lang w:val="es-ES_tradnl"/>
        </w:rPr>
        <w:t>Partes Contratantes</w:t>
      </w:r>
      <w:r w:rsidR="00C64326" w:rsidRPr="00B97122">
        <w:rPr>
          <w:rFonts w:asciiTheme="majorHAnsi" w:eastAsia="Calibri" w:hAnsiTheme="majorHAnsi" w:cs="Times New Roman"/>
          <w:sz w:val="22"/>
          <w:szCs w:val="22"/>
          <w:lang w:val="es-ES_tradnl"/>
        </w:rPr>
        <w:t xml:space="preserve"> </w:t>
      </w:r>
      <w:r w:rsidR="00DB0CA1" w:rsidRPr="00B97122">
        <w:rPr>
          <w:rFonts w:asciiTheme="majorHAnsi" w:eastAsia="Calibri" w:hAnsiTheme="majorHAnsi" w:cs="Times New Roman"/>
          <w:sz w:val="22"/>
          <w:szCs w:val="22"/>
          <w:lang w:val="es-ES_tradnl"/>
        </w:rPr>
        <w:t xml:space="preserve">concretas mediante distintos materiales y herramientas, tales como seminarios web, tutoriales y herramientas para ayudar a la </w:t>
      </w:r>
      <w:r w:rsidR="00730ABC" w:rsidRPr="00B97122">
        <w:rPr>
          <w:rFonts w:asciiTheme="majorHAnsi" w:eastAsia="Calibri" w:hAnsiTheme="majorHAnsi" w:cs="Times New Roman"/>
          <w:sz w:val="22"/>
          <w:szCs w:val="22"/>
          <w:lang w:val="es-ES_tradnl"/>
        </w:rPr>
        <w:t>presentación</w:t>
      </w:r>
      <w:r w:rsidR="00DB0CA1" w:rsidRPr="00B97122">
        <w:rPr>
          <w:rFonts w:asciiTheme="majorHAnsi" w:eastAsia="Calibri" w:hAnsiTheme="majorHAnsi" w:cs="Times New Roman"/>
          <w:sz w:val="22"/>
          <w:szCs w:val="22"/>
          <w:lang w:val="es-ES_tradnl"/>
        </w:rPr>
        <w:t xml:space="preserve"> de informes en línea, </w:t>
      </w:r>
      <w:r w:rsidR="00E65C3F" w:rsidRPr="00B97122">
        <w:rPr>
          <w:rFonts w:asciiTheme="majorHAnsi" w:eastAsia="Calibri" w:hAnsiTheme="majorHAnsi" w:cs="Times New Roman"/>
          <w:sz w:val="22"/>
          <w:szCs w:val="22"/>
          <w:lang w:val="es-ES_tradnl"/>
        </w:rPr>
        <w:t>particularmente</w:t>
      </w:r>
      <w:r w:rsidR="00DB0CA1" w:rsidRPr="00B97122">
        <w:rPr>
          <w:rFonts w:asciiTheme="majorHAnsi" w:eastAsia="Calibri" w:hAnsiTheme="majorHAnsi" w:cs="Times New Roman"/>
          <w:sz w:val="22"/>
          <w:szCs w:val="22"/>
          <w:lang w:val="es-ES_tradnl"/>
        </w:rPr>
        <w:t xml:space="preserve"> sobre la “</w:t>
      </w:r>
      <w:r w:rsidR="00E65C3F" w:rsidRPr="00B97122">
        <w:rPr>
          <w:rFonts w:asciiTheme="majorHAnsi" w:eastAsia="Calibri" w:hAnsiTheme="majorHAnsi" w:cs="Times New Roman"/>
          <w:sz w:val="22"/>
          <w:szCs w:val="22"/>
          <w:lang w:val="es-ES_tradnl"/>
        </w:rPr>
        <w:t>extensión</w:t>
      </w:r>
      <w:r w:rsidR="00DB0CA1" w:rsidRPr="00B97122">
        <w:rPr>
          <w:rFonts w:asciiTheme="majorHAnsi" w:eastAsia="Calibri" w:hAnsiTheme="majorHAnsi" w:cs="Times New Roman"/>
          <w:sz w:val="22"/>
          <w:szCs w:val="22"/>
          <w:lang w:val="es-ES_tradnl"/>
        </w:rPr>
        <w:t xml:space="preserve"> de los humedales”.</w:t>
      </w:r>
    </w:p>
    <w:p w14:paraId="7DA050FC" w14:textId="7E7F738C" w:rsidR="00C64326" w:rsidRPr="00B97122" w:rsidRDefault="00DB0CA1"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Se ha seguido </w:t>
      </w:r>
      <w:r w:rsidR="00E65C3F">
        <w:rPr>
          <w:rFonts w:asciiTheme="majorHAnsi" w:eastAsia="Calibri" w:hAnsiTheme="majorHAnsi" w:cs="Times New Roman"/>
          <w:sz w:val="22"/>
          <w:szCs w:val="22"/>
          <w:lang w:val="es-ES_tradnl"/>
        </w:rPr>
        <w:t>añadiendo</w:t>
      </w:r>
      <w:r w:rsidRPr="00B97122">
        <w:rPr>
          <w:rFonts w:asciiTheme="majorHAnsi" w:eastAsia="Calibri" w:hAnsiTheme="majorHAnsi" w:cs="Times New Roman"/>
          <w:sz w:val="22"/>
          <w:szCs w:val="22"/>
          <w:lang w:val="es-ES_tradnl"/>
        </w:rPr>
        <w:t xml:space="preserve"> </w:t>
      </w:r>
      <w:r w:rsidR="00E65C3F" w:rsidRPr="00B97122">
        <w:rPr>
          <w:rFonts w:asciiTheme="majorHAnsi" w:eastAsia="Calibri" w:hAnsiTheme="majorHAnsi" w:cs="Times New Roman"/>
          <w:sz w:val="22"/>
          <w:szCs w:val="22"/>
          <w:lang w:val="es-ES_tradnl"/>
        </w:rPr>
        <w:t>información</w:t>
      </w:r>
      <w:r w:rsidRPr="00B97122">
        <w:rPr>
          <w:rFonts w:asciiTheme="majorHAnsi" w:eastAsia="Calibri" w:hAnsiTheme="majorHAnsi" w:cs="Times New Roman"/>
          <w:sz w:val="22"/>
          <w:szCs w:val="22"/>
          <w:lang w:val="es-ES_tradnl"/>
        </w:rPr>
        <w:t xml:space="preserve"> sobre los sitios en el Servicio de Información sobre Sitios Ramsar. Se elaboraron un manual de formación y videos</w:t>
      </w:r>
      <w:r w:rsidR="00C64326" w:rsidRPr="00B97122">
        <w:rPr>
          <w:rFonts w:asciiTheme="majorHAnsi" w:eastAsia="Calibri" w:hAnsiTheme="majorHAnsi" w:cs="Times New Roman"/>
          <w:sz w:val="22"/>
          <w:szCs w:val="22"/>
          <w:lang w:val="es-ES_tradnl"/>
        </w:rPr>
        <w:t>.</w:t>
      </w:r>
    </w:p>
    <w:p w14:paraId="0A4FC8AA" w14:textId="2410D49E" w:rsidR="00C64326" w:rsidRPr="00B97122" w:rsidRDefault="00DB0CA1" w:rsidP="00C4499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Se preparó con la Secretaría y se publicó en línea un juego de </w:t>
      </w:r>
      <w:r w:rsidR="00542A0B" w:rsidRPr="00B97122">
        <w:rPr>
          <w:rFonts w:asciiTheme="majorHAnsi" w:eastAsia="Calibri" w:hAnsiTheme="majorHAnsi" w:cs="Times New Roman"/>
          <w:sz w:val="22"/>
          <w:szCs w:val="22"/>
          <w:lang w:val="es-ES_tradnl"/>
        </w:rPr>
        <w:t>herramientas</w:t>
      </w:r>
      <w:r w:rsidRPr="00B97122">
        <w:rPr>
          <w:rFonts w:asciiTheme="majorHAnsi" w:eastAsia="Calibri" w:hAnsiTheme="majorHAnsi" w:cs="Times New Roman"/>
          <w:sz w:val="22"/>
          <w:szCs w:val="22"/>
          <w:lang w:val="es-ES_tradnl"/>
        </w:rPr>
        <w:t xml:space="preserve"> para </w:t>
      </w:r>
      <w:r w:rsidR="00542A0B">
        <w:rPr>
          <w:rFonts w:asciiTheme="majorHAnsi" w:eastAsia="Calibri" w:hAnsiTheme="majorHAnsi" w:cs="Times New Roman"/>
          <w:sz w:val="22"/>
          <w:szCs w:val="22"/>
          <w:lang w:val="es-ES_tradnl"/>
        </w:rPr>
        <w:t xml:space="preserve">el manejo de </w:t>
      </w:r>
      <w:r w:rsidRPr="00B97122">
        <w:rPr>
          <w:rFonts w:asciiTheme="majorHAnsi" w:eastAsia="Calibri" w:hAnsiTheme="majorHAnsi" w:cs="Times New Roman"/>
          <w:sz w:val="22"/>
          <w:szCs w:val="22"/>
          <w:lang w:val="es-ES_tradnl"/>
        </w:rPr>
        <w:t>los sitios R</w:t>
      </w:r>
      <w:r w:rsidR="00542A0B">
        <w:rPr>
          <w:rFonts w:asciiTheme="majorHAnsi" w:eastAsia="Calibri" w:hAnsiTheme="majorHAnsi" w:cs="Times New Roman"/>
          <w:sz w:val="22"/>
          <w:szCs w:val="22"/>
          <w:lang w:val="es-ES_tradnl"/>
        </w:rPr>
        <w:t>amsar</w:t>
      </w:r>
      <w:r w:rsidRPr="00B97122">
        <w:rPr>
          <w:rFonts w:asciiTheme="majorHAnsi" w:eastAsia="Calibri" w:hAnsiTheme="majorHAnsi" w:cs="Times New Roman"/>
          <w:sz w:val="22"/>
          <w:szCs w:val="22"/>
          <w:lang w:val="es-ES_tradnl"/>
        </w:rPr>
        <w:t xml:space="preserve">, que proporciona </w:t>
      </w:r>
      <w:r w:rsidR="00542A0B" w:rsidRPr="00B97122">
        <w:rPr>
          <w:rFonts w:asciiTheme="majorHAnsi" w:eastAsia="Calibri" w:hAnsiTheme="majorHAnsi" w:cs="Times New Roman"/>
          <w:sz w:val="22"/>
          <w:szCs w:val="22"/>
          <w:lang w:val="es-ES_tradnl"/>
        </w:rPr>
        <w:t>orientaciones</w:t>
      </w:r>
      <w:r w:rsidRPr="00B97122">
        <w:rPr>
          <w:rFonts w:asciiTheme="majorHAnsi" w:eastAsia="Calibri" w:hAnsiTheme="majorHAnsi" w:cs="Times New Roman"/>
          <w:sz w:val="22"/>
          <w:szCs w:val="22"/>
          <w:lang w:val="es-ES_tradnl"/>
        </w:rPr>
        <w:t xml:space="preserve"> a los administradores de sitios sobre los </w:t>
      </w:r>
      <w:r w:rsidR="00EE1BA1" w:rsidRPr="00B97122">
        <w:rPr>
          <w:rFonts w:asciiTheme="majorHAnsi" w:eastAsia="Calibri" w:hAnsiTheme="majorHAnsi" w:cs="Times New Roman"/>
          <w:sz w:val="22"/>
          <w:szCs w:val="22"/>
          <w:lang w:val="es-ES_tradnl"/>
        </w:rPr>
        <w:t>principales</w:t>
      </w:r>
      <w:r w:rsidRPr="00B97122">
        <w:rPr>
          <w:rFonts w:asciiTheme="majorHAnsi" w:eastAsia="Calibri" w:hAnsiTheme="majorHAnsi" w:cs="Times New Roman"/>
          <w:sz w:val="22"/>
          <w:szCs w:val="22"/>
          <w:lang w:val="es-ES_tradnl"/>
        </w:rPr>
        <w:t xml:space="preserve"> </w:t>
      </w:r>
      <w:r w:rsidR="00EE1BA1">
        <w:rPr>
          <w:rFonts w:asciiTheme="majorHAnsi" w:eastAsia="Calibri" w:hAnsiTheme="majorHAnsi" w:cs="Times New Roman"/>
          <w:sz w:val="22"/>
          <w:szCs w:val="22"/>
          <w:lang w:val="es-ES_tradnl"/>
        </w:rPr>
        <w:t>componentes y etapas</w:t>
      </w:r>
      <w:r w:rsidRPr="00B97122">
        <w:rPr>
          <w:rFonts w:asciiTheme="majorHAnsi" w:eastAsia="Calibri" w:hAnsiTheme="majorHAnsi" w:cs="Times New Roman"/>
          <w:sz w:val="22"/>
          <w:szCs w:val="22"/>
          <w:lang w:val="es-ES_tradnl"/>
        </w:rPr>
        <w:t xml:space="preserve"> que conlleva la gestión de </w:t>
      </w:r>
      <w:r w:rsidRPr="00EE1BA1">
        <w:rPr>
          <w:rFonts w:asciiTheme="majorHAnsi" w:eastAsia="Calibri" w:hAnsiTheme="majorHAnsi" w:cs="Times New Roman"/>
          <w:sz w:val="22"/>
          <w:szCs w:val="22"/>
          <w:lang w:val="es-ES_tradnl"/>
        </w:rPr>
        <w:t>un sitio Ramsar</w:t>
      </w:r>
      <w:r w:rsidR="00EE1BA1">
        <w:rPr>
          <w:rFonts w:asciiTheme="majorHAnsi" w:eastAsia="Calibri" w:hAnsiTheme="majorHAnsi" w:cs="Times New Roman"/>
          <w:sz w:val="22"/>
          <w:szCs w:val="22"/>
          <w:lang w:val="es-ES_tradnl"/>
        </w:rPr>
        <w:t>. El juego de herramientas está disponible en la dirección</w:t>
      </w:r>
      <w:r w:rsidR="00C44990">
        <w:rPr>
          <w:rFonts w:asciiTheme="majorHAnsi" w:eastAsia="Calibri" w:hAnsiTheme="majorHAnsi" w:cs="Times New Roman"/>
          <w:sz w:val="22"/>
          <w:szCs w:val="22"/>
          <w:lang w:val="es-ES_tradnl"/>
        </w:rPr>
        <w:t xml:space="preserve"> </w:t>
      </w:r>
      <w:hyperlink r:id="rId11" w:history="1">
        <w:r w:rsidR="00C44990" w:rsidRPr="00C44990">
          <w:rPr>
            <w:rStyle w:val="Hyperlink"/>
            <w:rFonts w:asciiTheme="majorHAnsi" w:hAnsiTheme="majorHAnsi" w:cstheme="majorHAnsi"/>
            <w:sz w:val="22"/>
            <w:szCs w:val="22"/>
            <w:lang w:val="fr-FR"/>
          </w:rPr>
          <w:t>https://www.ramsar.org/es/recursos/juego-de-herramientas-para-el-manejo-de-sitios-ramsar</w:t>
        </w:r>
      </w:hyperlink>
      <w:r w:rsidR="00C44990">
        <w:rPr>
          <w:lang w:val="fr-FR"/>
        </w:rPr>
        <w:t xml:space="preserve"> </w:t>
      </w:r>
    </w:p>
    <w:p w14:paraId="31D1D1A3" w14:textId="0D35B3CC" w:rsidR="00C64326" w:rsidRPr="00B97122" w:rsidRDefault="00DB0CA1"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Secretaría </w:t>
      </w:r>
      <w:r w:rsidR="00EE1BA1">
        <w:rPr>
          <w:rFonts w:asciiTheme="majorHAnsi" w:eastAsia="Calibri" w:hAnsiTheme="majorHAnsi" w:cs="Times New Roman"/>
          <w:sz w:val="22"/>
          <w:szCs w:val="22"/>
          <w:lang w:val="es-ES_tradnl"/>
        </w:rPr>
        <w:t>elaboró</w:t>
      </w:r>
      <w:r w:rsidRPr="00B97122">
        <w:rPr>
          <w:rFonts w:asciiTheme="majorHAnsi" w:eastAsia="Calibri" w:hAnsiTheme="majorHAnsi" w:cs="Times New Roman"/>
          <w:sz w:val="22"/>
          <w:szCs w:val="22"/>
          <w:lang w:val="es-ES_tradnl"/>
        </w:rPr>
        <w:t xml:space="preserve"> varias </w:t>
      </w:r>
      <w:r w:rsidR="00EE1BA1" w:rsidRPr="00B97122">
        <w:rPr>
          <w:rFonts w:asciiTheme="majorHAnsi" w:eastAsia="Calibri" w:hAnsiTheme="majorHAnsi" w:cs="Times New Roman"/>
          <w:sz w:val="22"/>
          <w:szCs w:val="22"/>
          <w:lang w:val="es-ES_tradnl"/>
        </w:rPr>
        <w:t>publicaciones</w:t>
      </w:r>
      <w:r w:rsidRPr="00B97122">
        <w:rPr>
          <w:rFonts w:asciiTheme="majorHAnsi" w:eastAsia="Calibri" w:hAnsiTheme="majorHAnsi" w:cs="Times New Roman"/>
          <w:sz w:val="22"/>
          <w:szCs w:val="22"/>
          <w:lang w:val="es-ES_tradnl"/>
        </w:rPr>
        <w:t xml:space="preserve"> sobre humedales, que se </w:t>
      </w:r>
      <w:r w:rsidR="00EE1BA1" w:rsidRPr="00B97122">
        <w:rPr>
          <w:rFonts w:asciiTheme="majorHAnsi" w:eastAsia="Calibri" w:hAnsiTheme="majorHAnsi" w:cs="Times New Roman"/>
          <w:sz w:val="22"/>
          <w:szCs w:val="22"/>
          <w:lang w:val="es-ES_tradnl"/>
        </w:rPr>
        <w:t>compartieron</w:t>
      </w:r>
      <w:r w:rsidRPr="00B97122">
        <w:rPr>
          <w:rFonts w:asciiTheme="majorHAnsi" w:eastAsia="Calibri" w:hAnsiTheme="majorHAnsi" w:cs="Times New Roman"/>
          <w:sz w:val="22"/>
          <w:szCs w:val="22"/>
          <w:lang w:val="es-ES_tradnl"/>
        </w:rPr>
        <w:t xml:space="preserve"> con las redes de </w:t>
      </w:r>
      <w:r w:rsidR="001670A8" w:rsidRPr="00B97122">
        <w:rPr>
          <w:rFonts w:asciiTheme="majorHAnsi" w:eastAsia="Calibri" w:hAnsiTheme="majorHAnsi" w:cs="Times New Roman"/>
          <w:sz w:val="22"/>
          <w:szCs w:val="22"/>
          <w:lang w:val="es-ES_tradnl"/>
        </w:rPr>
        <w:t>CECoP</w:t>
      </w:r>
      <w:r w:rsidRPr="00B97122">
        <w:rPr>
          <w:rFonts w:asciiTheme="majorHAnsi" w:eastAsia="Calibri" w:hAnsiTheme="majorHAnsi" w:cs="Times New Roman"/>
          <w:sz w:val="22"/>
          <w:szCs w:val="22"/>
          <w:lang w:val="es-ES_tradnl"/>
        </w:rPr>
        <w:t xml:space="preserve">, y </w:t>
      </w:r>
      <w:r w:rsidR="00EE1BA1" w:rsidRPr="00B97122">
        <w:rPr>
          <w:rFonts w:asciiTheme="majorHAnsi" w:eastAsia="Calibri" w:hAnsiTheme="majorHAnsi" w:cs="Times New Roman"/>
          <w:sz w:val="22"/>
          <w:szCs w:val="22"/>
          <w:lang w:val="es-ES_tradnl"/>
        </w:rPr>
        <w:t>preparó</w:t>
      </w:r>
      <w:r w:rsidRPr="00B97122">
        <w:rPr>
          <w:rFonts w:asciiTheme="majorHAnsi" w:eastAsia="Calibri" w:hAnsiTheme="majorHAnsi" w:cs="Times New Roman"/>
          <w:sz w:val="22"/>
          <w:szCs w:val="22"/>
          <w:lang w:val="es-ES_tradnl"/>
        </w:rPr>
        <w:t xml:space="preserve"> siete videos cortos acerca de los </w:t>
      </w:r>
      <w:r w:rsidR="00EE1BA1" w:rsidRPr="00B97122">
        <w:rPr>
          <w:rFonts w:asciiTheme="majorHAnsi" w:eastAsia="Calibri" w:hAnsiTheme="majorHAnsi" w:cs="Times New Roman"/>
          <w:sz w:val="22"/>
          <w:szCs w:val="22"/>
          <w:lang w:val="es-ES_tradnl"/>
        </w:rPr>
        <w:t>beneficios</w:t>
      </w:r>
      <w:r w:rsidRPr="00B97122">
        <w:rPr>
          <w:rFonts w:asciiTheme="majorHAnsi" w:eastAsia="Calibri" w:hAnsiTheme="majorHAnsi" w:cs="Times New Roman"/>
          <w:sz w:val="22"/>
          <w:szCs w:val="22"/>
          <w:lang w:val="es-ES_tradnl"/>
        </w:rPr>
        <w:t xml:space="preserve"> de los humedales</w:t>
      </w:r>
      <w:r w:rsidR="00C64326" w:rsidRPr="00B97122">
        <w:rPr>
          <w:rFonts w:asciiTheme="majorHAnsi" w:eastAsia="Calibri" w:hAnsiTheme="majorHAnsi" w:cs="Times New Roman"/>
          <w:sz w:val="22"/>
          <w:szCs w:val="22"/>
          <w:lang w:val="es-ES_tradnl"/>
        </w:rPr>
        <w:t>.</w:t>
      </w:r>
    </w:p>
    <w:p w14:paraId="596436AD" w14:textId="6E2D1F2A" w:rsidR="00C64326" w:rsidRPr="00B97122" w:rsidRDefault="00DB0CA1"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Se </w:t>
      </w:r>
      <w:r w:rsidR="00EE1BA1">
        <w:rPr>
          <w:rFonts w:asciiTheme="majorHAnsi" w:eastAsia="Calibri" w:hAnsiTheme="majorHAnsi" w:cs="Times New Roman"/>
          <w:sz w:val="22"/>
          <w:szCs w:val="22"/>
          <w:lang w:val="es-ES_tradnl"/>
        </w:rPr>
        <w:t>solicitaron</w:t>
      </w:r>
      <w:r w:rsidRPr="00B97122">
        <w:rPr>
          <w:rFonts w:asciiTheme="majorHAnsi" w:eastAsia="Calibri" w:hAnsiTheme="majorHAnsi" w:cs="Times New Roman"/>
          <w:sz w:val="22"/>
          <w:szCs w:val="22"/>
          <w:lang w:val="es-ES_tradnl"/>
        </w:rPr>
        <w:t xml:space="preserve"> </w:t>
      </w:r>
      <w:r w:rsidR="00EE1BA1">
        <w:rPr>
          <w:rFonts w:asciiTheme="majorHAnsi" w:eastAsia="Calibri" w:hAnsiTheme="majorHAnsi" w:cs="Times New Roman"/>
          <w:sz w:val="22"/>
          <w:szCs w:val="22"/>
          <w:lang w:val="es-ES_tradnl"/>
        </w:rPr>
        <w:t xml:space="preserve">candidaturas a </w:t>
      </w:r>
      <w:r w:rsidRPr="00B97122">
        <w:rPr>
          <w:rFonts w:asciiTheme="majorHAnsi" w:eastAsia="Calibri" w:hAnsiTheme="majorHAnsi" w:cs="Times New Roman"/>
          <w:sz w:val="22"/>
          <w:szCs w:val="22"/>
          <w:lang w:val="es-ES_tradnl"/>
        </w:rPr>
        <w:t>los Premios Ramsar a la Conservación de los</w:t>
      </w:r>
      <w:r w:rsidR="002920BB">
        <w:rPr>
          <w:rFonts w:asciiTheme="majorHAnsi" w:eastAsia="Calibri" w:hAnsiTheme="majorHAnsi" w:cs="Times New Roman"/>
          <w:sz w:val="22"/>
          <w:szCs w:val="22"/>
          <w:lang w:val="es-ES_tradnl"/>
        </w:rPr>
        <w:t xml:space="preserve"> Humedales, que se presentarán en</w:t>
      </w:r>
      <w:r w:rsidRPr="00B97122">
        <w:rPr>
          <w:rFonts w:asciiTheme="majorHAnsi" w:eastAsia="Calibri" w:hAnsiTheme="majorHAnsi" w:cs="Times New Roman"/>
          <w:sz w:val="22"/>
          <w:szCs w:val="22"/>
          <w:lang w:val="es-ES_tradnl"/>
        </w:rPr>
        <w:t xml:space="preserve"> la </w:t>
      </w:r>
      <w:r w:rsidR="00EE1BA1">
        <w:rPr>
          <w:rFonts w:asciiTheme="majorHAnsi" w:eastAsia="Calibri" w:hAnsiTheme="majorHAnsi" w:cs="Times New Roman"/>
          <w:sz w:val="22"/>
          <w:szCs w:val="22"/>
          <w:lang w:val="es-ES_tradnl"/>
        </w:rPr>
        <w:t>COP13 para reconocer y honrar</w:t>
      </w:r>
      <w:r w:rsidRPr="00B97122">
        <w:rPr>
          <w:rFonts w:asciiTheme="majorHAnsi" w:eastAsia="Calibri" w:hAnsiTheme="majorHAnsi" w:cs="Times New Roman"/>
          <w:sz w:val="22"/>
          <w:szCs w:val="22"/>
          <w:lang w:val="es-ES_tradnl"/>
        </w:rPr>
        <w:t xml:space="preserve"> </w:t>
      </w:r>
      <w:r w:rsidR="00EE1BA1" w:rsidRPr="00EE1BA1">
        <w:rPr>
          <w:rFonts w:asciiTheme="majorHAnsi" w:eastAsia="Calibri" w:hAnsiTheme="majorHAnsi" w:cs="Times New Roman"/>
          <w:sz w:val="22"/>
          <w:szCs w:val="22"/>
          <w:lang w:val="es-ES_tradnl"/>
        </w:rPr>
        <w:t>los logros realizados por personas, organizaciones y gobiernos de todo el mundo en favor de la conservación y el uso racional de los humedales</w:t>
      </w:r>
      <w:r w:rsidRPr="00B97122">
        <w:rPr>
          <w:rFonts w:asciiTheme="majorHAnsi" w:eastAsia="Calibri" w:hAnsiTheme="majorHAnsi" w:cs="Times New Roman"/>
          <w:sz w:val="22"/>
          <w:szCs w:val="22"/>
          <w:lang w:val="es-ES_tradnl"/>
        </w:rPr>
        <w:t xml:space="preserve">. </w:t>
      </w:r>
      <w:r w:rsidR="0037435F">
        <w:rPr>
          <w:rFonts w:asciiTheme="majorHAnsi" w:eastAsia="Calibri" w:hAnsiTheme="majorHAnsi" w:cs="Times New Roman"/>
          <w:sz w:val="22"/>
          <w:szCs w:val="22"/>
          <w:lang w:val="es-ES_tradnl"/>
        </w:rPr>
        <w:t>El Grupo Danone ofreció un</w:t>
      </w:r>
      <w:r w:rsidRPr="00B97122">
        <w:rPr>
          <w:rFonts w:asciiTheme="majorHAnsi" w:eastAsia="Calibri" w:hAnsiTheme="majorHAnsi" w:cs="Times New Roman"/>
          <w:sz w:val="22"/>
          <w:szCs w:val="22"/>
          <w:lang w:val="es-ES_tradnl"/>
        </w:rPr>
        <w:t xml:space="preserve"> Premio Especial Evian de 10.000 dólares de </w:t>
      </w:r>
      <w:r w:rsidR="0037435F">
        <w:rPr>
          <w:rFonts w:asciiTheme="majorHAnsi" w:eastAsia="Calibri" w:hAnsiTheme="majorHAnsi" w:cs="Times New Roman"/>
          <w:sz w:val="22"/>
          <w:szCs w:val="22"/>
          <w:lang w:val="es-ES_tradnl"/>
        </w:rPr>
        <w:t xml:space="preserve">los </w:t>
      </w:r>
      <w:r w:rsidRPr="00B97122">
        <w:rPr>
          <w:rFonts w:asciiTheme="majorHAnsi" w:eastAsia="Calibri" w:hAnsiTheme="majorHAnsi" w:cs="Times New Roman"/>
          <w:sz w:val="22"/>
          <w:szCs w:val="22"/>
          <w:lang w:val="es-ES_tradnl"/>
        </w:rPr>
        <w:t xml:space="preserve">EE. </w:t>
      </w:r>
      <w:r w:rsidR="0037435F">
        <w:rPr>
          <w:rFonts w:asciiTheme="majorHAnsi" w:eastAsia="Calibri" w:hAnsiTheme="majorHAnsi" w:cs="Times New Roman"/>
          <w:sz w:val="22"/>
          <w:szCs w:val="22"/>
          <w:lang w:val="es-ES_tradnl"/>
        </w:rPr>
        <w:t>UU. en cada categoría</w:t>
      </w:r>
      <w:r w:rsidRPr="00B97122">
        <w:rPr>
          <w:rFonts w:asciiTheme="majorHAnsi" w:eastAsia="Calibri" w:hAnsiTheme="majorHAnsi" w:cs="Times New Roman"/>
          <w:sz w:val="22"/>
          <w:szCs w:val="22"/>
          <w:lang w:val="es-ES_tradnl"/>
        </w:rPr>
        <w:t>.</w:t>
      </w:r>
    </w:p>
    <w:p w14:paraId="74926A3A" w14:textId="1A619662" w:rsidR="00C64326" w:rsidRPr="00B97122" w:rsidRDefault="00DB0CA1"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Las </w:t>
      </w:r>
      <w:r w:rsidR="0037435F" w:rsidRPr="00B97122">
        <w:rPr>
          <w:rFonts w:asciiTheme="majorHAnsi" w:eastAsia="Calibri" w:hAnsiTheme="majorHAnsi" w:cs="Times New Roman"/>
          <w:sz w:val="22"/>
          <w:szCs w:val="22"/>
          <w:lang w:val="es-ES_tradnl"/>
        </w:rPr>
        <w:t>iniciativas</w:t>
      </w:r>
      <w:r w:rsidRPr="00B97122">
        <w:rPr>
          <w:rFonts w:asciiTheme="majorHAnsi" w:eastAsia="Calibri" w:hAnsiTheme="majorHAnsi" w:cs="Times New Roman"/>
          <w:sz w:val="22"/>
          <w:szCs w:val="22"/>
          <w:lang w:val="es-ES_tradnl"/>
        </w:rPr>
        <w:t xml:space="preserve"> regionales de Ramsar </w:t>
      </w:r>
      <w:r w:rsidR="000D487E">
        <w:rPr>
          <w:rFonts w:asciiTheme="majorHAnsi" w:eastAsia="Calibri" w:hAnsiTheme="majorHAnsi" w:cs="Times New Roman"/>
          <w:sz w:val="22"/>
          <w:szCs w:val="22"/>
          <w:lang w:val="es-ES_tradnl"/>
        </w:rPr>
        <w:t xml:space="preserve">(IRR) </w:t>
      </w:r>
      <w:r w:rsidR="0037435F" w:rsidRPr="00B97122">
        <w:rPr>
          <w:rFonts w:asciiTheme="majorHAnsi" w:eastAsia="Calibri" w:hAnsiTheme="majorHAnsi" w:cs="Times New Roman"/>
          <w:sz w:val="22"/>
          <w:szCs w:val="22"/>
          <w:lang w:val="es-ES_tradnl"/>
        </w:rPr>
        <w:t>siguieron</w:t>
      </w:r>
      <w:r w:rsidR="0037435F">
        <w:rPr>
          <w:rFonts w:asciiTheme="majorHAnsi" w:eastAsia="Calibri" w:hAnsiTheme="majorHAnsi" w:cs="Times New Roman"/>
          <w:sz w:val="22"/>
          <w:szCs w:val="22"/>
          <w:lang w:val="es-ES_tradnl"/>
        </w:rPr>
        <w:t xml:space="preserve"> apoyando a l</w:t>
      </w:r>
      <w:r w:rsidRPr="00B97122">
        <w:rPr>
          <w:rFonts w:asciiTheme="majorHAnsi" w:eastAsia="Calibri" w:hAnsiTheme="majorHAnsi" w:cs="Times New Roman"/>
          <w:sz w:val="22"/>
          <w:szCs w:val="22"/>
          <w:lang w:val="es-ES_tradnl"/>
        </w:rPr>
        <w:t xml:space="preserve">a </w:t>
      </w:r>
      <w:r w:rsidR="0037435F" w:rsidRPr="00B97122">
        <w:rPr>
          <w:rFonts w:asciiTheme="majorHAnsi" w:eastAsia="Calibri" w:hAnsiTheme="majorHAnsi" w:cs="Times New Roman"/>
          <w:sz w:val="22"/>
          <w:szCs w:val="22"/>
          <w:lang w:val="es-ES_tradnl"/>
        </w:rPr>
        <w:t>Convención</w:t>
      </w:r>
      <w:r w:rsidRPr="00B97122">
        <w:rPr>
          <w:rFonts w:asciiTheme="majorHAnsi" w:eastAsia="Calibri" w:hAnsiTheme="majorHAnsi" w:cs="Times New Roman"/>
          <w:sz w:val="22"/>
          <w:szCs w:val="22"/>
          <w:lang w:val="es-ES_tradnl"/>
        </w:rPr>
        <w:t xml:space="preserve">. </w:t>
      </w:r>
      <w:r w:rsidR="0037435F">
        <w:rPr>
          <w:rFonts w:asciiTheme="majorHAnsi" w:eastAsia="Calibri" w:hAnsiTheme="majorHAnsi" w:cs="Times New Roman"/>
          <w:sz w:val="22"/>
          <w:szCs w:val="22"/>
          <w:lang w:val="es-ES_tradnl"/>
        </w:rPr>
        <w:t>Estas</w:t>
      </w:r>
      <w:r w:rsidRPr="00B97122">
        <w:rPr>
          <w:rFonts w:asciiTheme="majorHAnsi" w:eastAsia="Calibri" w:hAnsiTheme="majorHAnsi" w:cs="Times New Roman"/>
          <w:sz w:val="22"/>
          <w:szCs w:val="22"/>
          <w:lang w:val="es-ES_tradnl"/>
        </w:rPr>
        <w:t xml:space="preserve"> incluyen los cuatro Centros Regionales de Ramsar que promueven la cooperación </w:t>
      </w:r>
      <w:r w:rsidR="0037435F" w:rsidRPr="00B97122">
        <w:rPr>
          <w:rFonts w:asciiTheme="majorHAnsi" w:eastAsia="Calibri" w:hAnsiTheme="majorHAnsi" w:cs="Times New Roman"/>
          <w:sz w:val="22"/>
          <w:szCs w:val="22"/>
          <w:lang w:val="es-ES_tradnl"/>
        </w:rPr>
        <w:t>científica</w:t>
      </w:r>
      <w:r w:rsidRPr="00B97122">
        <w:rPr>
          <w:rFonts w:asciiTheme="majorHAnsi" w:eastAsia="Calibri" w:hAnsiTheme="majorHAnsi" w:cs="Times New Roman"/>
          <w:sz w:val="22"/>
          <w:szCs w:val="22"/>
          <w:lang w:val="es-ES_tradnl"/>
        </w:rPr>
        <w:t xml:space="preserve"> y técnica</w:t>
      </w:r>
      <w:r w:rsidR="0037435F">
        <w:rPr>
          <w:rFonts w:asciiTheme="majorHAnsi" w:eastAsia="Calibri" w:hAnsiTheme="majorHAnsi" w:cs="Times New Roman"/>
          <w:sz w:val="22"/>
          <w:szCs w:val="22"/>
          <w:lang w:val="es-ES_tradnl"/>
        </w:rPr>
        <w:t>, la formación y capacitación</w:t>
      </w:r>
      <w:r w:rsidRPr="00B97122">
        <w:rPr>
          <w:rFonts w:asciiTheme="majorHAnsi" w:eastAsia="Calibri" w:hAnsiTheme="majorHAnsi" w:cs="Times New Roman"/>
          <w:sz w:val="22"/>
          <w:szCs w:val="22"/>
          <w:lang w:val="es-ES_tradnl"/>
        </w:rPr>
        <w:t xml:space="preserve"> y las quince Redes Nacionales que apoyan la colaboración entre gobiernos, expertos, ONG internacionales, </w:t>
      </w:r>
      <w:r w:rsidR="0037435F" w:rsidRPr="00B97122">
        <w:rPr>
          <w:rFonts w:asciiTheme="majorHAnsi" w:eastAsia="Calibri" w:hAnsiTheme="majorHAnsi" w:cs="Times New Roman"/>
          <w:sz w:val="22"/>
          <w:szCs w:val="22"/>
          <w:lang w:val="es-ES_tradnl"/>
        </w:rPr>
        <w:t>comunidades</w:t>
      </w:r>
      <w:r w:rsidRPr="00B97122">
        <w:rPr>
          <w:rFonts w:asciiTheme="majorHAnsi" w:eastAsia="Calibri" w:hAnsiTheme="majorHAnsi" w:cs="Times New Roman"/>
          <w:sz w:val="22"/>
          <w:szCs w:val="22"/>
          <w:lang w:val="es-ES_tradnl"/>
        </w:rPr>
        <w:t xml:space="preserve"> locales y el sector empresarial</w:t>
      </w:r>
      <w:r w:rsidR="0037435F">
        <w:rPr>
          <w:rFonts w:asciiTheme="majorHAnsi" w:eastAsia="Calibri" w:hAnsiTheme="majorHAnsi" w:cs="Times New Roman"/>
          <w:sz w:val="22"/>
          <w:szCs w:val="22"/>
          <w:lang w:val="es-ES_tradnl"/>
        </w:rPr>
        <w:t xml:space="preserve">. Para obtener información detallada véanse los </w:t>
      </w:r>
      <w:r w:rsidR="000D487E">
        <w:rPr>
          <w:rFonts w:asciiTheme="majorHAnsi" w:eastAsia="Calibri" w:hAnsiTheme="majorHAnsi" w:cs="Times New Roman"/>
          <w:sz w:val="22"/>
          <w:szCs w:val="22"/>
          <w:lang w:val="es-ES_tradnl"/>
        </w:rPr>
        <w:t>informes anuales</w:t>
      </w:r>
      <w:r w:rsidRPr="00B97122">
        <w:rPr>
          <w:rFonts w:asciiTheme="majorHAnsi" w:eastAsia="Calibri" w:hAnsiTheme="majorHAnsi" w:cs="Times New Roman"/>
          <w:sz w:val="22"/>
          <w:szCs w:val="22"/>
          <w:lang w:val="es-ES_tradnl"/>
        </w:rPr>
        <w:t xml:space="preserve"> de las </w:t>
      </w:r>
      <w:r w:rsidR="000D487E">
        <w:rPr>
          <w:rFonts w:asciiTheme="majorHAnsi" w:eastAsia="Calibri" w:hAnsiTheme="majorHAnsi" w:cs="Times New Roman"/>
          <w:sz w:val="22"/>
          <w:szCs w:val="22"/>
          <w:lang w:val="es-ES_tradnl"/>
        </w:rPr>
        <w:t>IRR</w:t>
      </w:r>
      <w:r w:rsidR="00EF5198" w:rsidRPr="00B97122">
        <w:rPr>
          <w:rFonts w:asciiTheme="majorHAnsi" w:eastAsia="Calibri" w:hAnsiTheme="majorHAnsi" w:cs="Times New Roman"/>
          <w:sz w:val="22"/>
          <w:szCs w:val="22"/>
          <w:lang w:val="es-ES_tradnl"/>
        </w:rPr>
        <w:t xml:space="preserve">, </w:t>
      </w:r>
      <w:r w:rsidR="005C5C94">
        <w:rPr>
          <w:rFonts w:asciiTheme="majorHAnsi" w:eastAsia="Calibri" w:hAnsiTheme="majorHAnsi" w:cs="Times New Roman"/>
          <w:sz w:val="22"/>
          <w:szCs w:val="22"/>
          <w:lang w:val="es-ES_tradnl"/>
        </w:rPr>
        <w:t xml:space="preserve">entre </w:t>
      </w:r>
      <w:r w:rsidR="00EF5198" w:rsidRPr="00B97122">
        <w:rPr>
          <w:rFonts w:asciiTheme="majorHAnsi" w:eastAsia="Calibri" w:hAnsiTheme="majorHAnsi" w:cs="Times New Roman"/>
          <w:sz w:val="22"/>
          <w:szCs w:val="22"/>
          <w:lang w:val="es-ES_tradnl"/>
        </w:rPr>
        <w:t xml:space="preserve">cuyos logros en 2017 </w:t>
      </w:r>
      <w:r w:rsidR="005C5C94">
        <w:rPr>
          <w:rFonts w:asciiTheme="majorHAnsi" w:eastAsia="Calibri" w:hAnsiTheme="majorHAnsi" w:cs="Times New Roman"/>
          <w:sz w:val="22"/>
          <w:szCs w:val="22"/>
          <w:lang w:val="es-ES_tradnl"/>
        </w:rPr>
        <w:t>figuran</w:t>
      </w:r>
      <w:r w:rsidR="00EF5198" w:rsidRPr="00B97122">
        <w:rPr>
          <w:rFonts w:asciiTheme="majorHAnsi" w:eastAsia="Calibri" w:hAnsiTheme="majorHAnsi" w:cs="Times New Roman"/>
          <w:sz w:val="22"/>
          <w:szCs w:val="22"/>
          <w:lang w:val="es-ES_tradnl"/>
        </w:rPr>
        <w:t xml:space="preserve"> los siguientes</w:t>
      </w:r>
      <w:r w:rsidR="00C64326" w:rsidRPr="00B97122">
        <w:rPr>
          <w:rFonts w:asciiTheme="majorHAnsi" w:eastAsia="Calibri" w:hAnsiTheme="majorHAnsi" w:cs="Times New Roman"/>
          <w:sz w:val="22"/>
          <w:szCs w:val="22"/>
          <w:lang w:val="es-ES_tradnl"/>
        </w:rPr>
        <w:t>:</w:t>
      </w:r>
    </w:p>
    <w:p w14:paraId="30023C0A" w14:textId="2A546F7D" w:rsidR="00C64326" w:rsidRPr="00B97122" w:rsidRDefault="00EA422F" w:rsidP="004C3670">
      <w:pPr>
        <w:numPr>
          <w:ilvl w:val="1"/>
          <w:numId w:val="19"/>
        </w:numPr>
        <w:spacing w:after="200"/>
        <w:contextualSpacing/>
        <w:rPr>
          <w:rFonts w:asciiTheme="majorHAnsi" w:eastAsia="Calibri" w:hAnsiTheme="majorHAnsi" w:cs="Times New Roman"/>
          <w:sz w:val="22"/>
          <w:szCs w:val="22"/>
          <w:lang w:val="es-ES_tradnl"/>
        </w:rPr>
      </w:pPr>
      <w:r w:rsidRPr="00EA422F">
        <w:rPr>
          <w:rFonts w:asciiTheme="majorHAnsi" w:eastAsia="Calibri" w:hAnsiTheme="majorHAnsi" w:cs="Times New Roman"/>
          <w:sz w:val="22"/>
          <w:szCs w:val="22"/>
          <w:lang w:val="es-ES_tradnl"/>
        </w:rPr>
        <w:t xml:space="preserve">El Centro Regional de </w:t>
      </w:r>
      <w:r w:rsidR="00C64326" w:rsidRPr="00EA422F">
        <w:rPr>
          <w:rFonts w:asciiTheme="majorHAnsi" w:eastAsia="Calibri" w:hAnsiTheme="majorHAnsi" w:cs="Times New Roman"/>
          <w:sz w:val="22"/>
          <w:szCs w:val="22"/>
          <w:lang w:val="es-ES_tradnl"/>
        </w:rPr>
        <w:t xml:space="preserve">Ramsar </w:t>
      </w:r>
      <w:r w:rsidRPr="00EA422F">
        <w:rPr>
          <w:rFonts w:asciiTheme="majorHAnsi" w:eastAsia="Calibri" w:hAnsiTheme="majorHAnsi" w:cs="Times New Roman"/>
          <w:sz w:val="22"/>
          <w:szCs w:val="22"/>
          <w:lang w:val="es-ES_tradnl"/>
        </w:rPr>
        <w:t xml:space="preserve">para Asia Oriental </w:t>
      </w:r>
      <w:r w:rsidR="00477A92" w:rsidRPr="00EA422F">
        <w:rPr>
          <w:rFonts w:asciiTheme="majorHAnsi" w:eastAsia="Calibri" w:hAnsiTheme="majorHAnsi" w:cs="Times New Roman"/>
          <w:sz w:val="22"/>
          <w:szCs w:val="22"/>
          <w:lang w:val="es-ES_tradnl"/>
        </w:rPr>
        <w:t>organizó</w:t>
      </w:r>
      <w:r>
        <w:rPr>
          <w:rFonts w:asciiTheme="majorHAnsi" w:eastAsia="Calibri" w:hAnsiTheme="majorHAnsi" w:cs="Times New Roman"/>
          <w:sz w:val="22"/>
          <w:szCs w:val="22"/>
          <w:lang w:val="es-ES_tradnl"/>
        </w:rPr>
        <w:t xml:space="preserve"> un taller i</w:t>
      </w:r>
      <w:r w:rsidR="00477A92" w:rsidRPr="00B97122">
        <w:rPr>
          <w:rFonts w:asciiTheme="majorHAnsi" w:eastAsia="Calibri" w:hAnsiTheme="majorHAnsi" w:cs="Times New Roman"/>
          <w:sz w:val="22"/>
          <w:szCs w:val="22"/>
          <w:lang w:val="es-ES_tradnl"/>
        </w:rPr>
        <w:t xml:space="preserve">nternacional </w:t>
      </w:r>
      <w:r>
        <w:rPr>
          <w:rFonts w:asciiTheme="majorHAnsi" w:eastAsia="Calibri" w:hAnsiTheme="majorHAnsi" w:cs="Times New Roman"/>
          <w:sz w:val="22"/>
          <w:szCs w:val="22"/>
          <w:lang w:val="es-ES_tradnl"/>
        </w:rPr>
        <w:t xml:space="preserve">sobre el Día Mundial de los </w:t>
      </w:r>
      <w:r w:rsidRPr="00EA422F">
        <w:rPr>
          <w:rFonts w:asciiTheme="majorHAnsi" w:eastAsia="Calibri" w:hAnsiTheme="majorHAnsi" w:cs="Times New Roman"/>
          <w:sz w:val="22"/>
          <w:szCs w:val="22"/>
          <w:lang w:val="es-ES_tradnl"/>
        </w:rPr>
        <w:t>Humedales (</w:t>
      </w:r>
      <w:r w:rsidR="00477A92" w:rsidRPr="00EA422F">
        <w:rPr>
          <w:rFonts w:asciiTheme="majorHAnsi" w:eastAsia="Calibri" w:hAnsiTheme="majorHAnsi" w:cs="Times New Roman"/>
          <w:sz w:val="22"/>
          <w:szCs w:val="22"/>
          <w:lang w:val="es-ES_tradnl"/>
        </w:rPr>
        <w:t>DMH</w:t>
      </w:r>
      <w:r w:rsidRPr="00EA422F">
        <w:rPr>
          <w:rFonts w:asciiTheme="majorHAnsi" w:eastAsia="Calibri" w:hAnsiTheme="majorHAnsi" w:cs="Times New Roman"/>
          <w:sz w:val="22"/>
          <w:szCs w:val="22"/>
          <w:lang w:val="es-ES_tradnl"/>
        </w:rPr>
        <w:t>) en</w:t>
      </w:r>
      <w:r w:rsidR="00477A92"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2017</w:t>
      </w:r>
      <w:r w:rsidR="00477A92" w:rsidRPr="00B97122">
        <w:rPr>
          <w:rFonts w:asciiTheme="majorHAnsi" w:eastAsia="Calibri" w:hAnsiTheme="majorHAnsi" w:cs="Times New Roman"/>
          <w:sz w:val="22"/>
          <w:szCs w:val="22"/>
          <w:lang w:val="es-ES_tradnl"/>
        </w:rPr>
        <w:t xml:space="preserve"> titulado </w:t>
      </w:r>
      <w:r>
        <w:rPr>
          <w:rFonts w:asciiTheme="majorHAnsi" w:eastAsia="Calibri" w:hAnsiTheme="majorHAnsi" w:cs="Times New Roman"/>
          <w:sz w:val="22"/>
          <w:szCs w:val="22"/>
          <w:lang w:val="es-ES_tradnl"/>
        </w:rPr>
        <w:t>“</w:t>
      </w:r>
      <w:r w:rsidR="00C64326" w:rsidRPr="00B97122">
        <w:rPr>
          <w:rFonts w:asciiTheme="majorHAnsi" w:eastAsia="Calibri" w:hAnsiTheme="majorHAnsi" w:cs="Times New Roman"/>
          <w:sz w:val="22"/>
          <w:szCs w:val="22"/>
          <w:lang w:val="es-ES_tradnl"/>
        </w:rPr>
        <w:t>Wetlands, our natural safeguard against disasters</w:t>
      </w:r>
      <w:r>
        <w:rPr>
          <w:rFonts w:asciiTheme="majorHAnsi" w:eastAsia="Calibri" w:hAnsiTheme="majorHAnsi" w:cs="Times New Roman"/>
          <w:sz w:val="22"/>
          <w:szCs w:val="22"/>
          <w:lang w:val="es-ES_tradnl"/>
        </w:rPr>
        <w:t>” [Humedales, nuestra protección natural frente a los desastres]</w:t>
      </w:r>
      <w:r w:rsidR="00C64326" w:rsidRPr="00B97122">
        <w:rPr>
          <w:rFonts w:asciiTheme="majorHAnsi" w:eastAsia="Calibri" w:hAnsiTheme="majorHAnsi" w:cs="Times New Roman"/>
          <w:sz w:val="22"/>
          <w:szCs w:val="22"/>
          <w:lang w:val="es-ES_tradnl"/>
        </w:rPr>
        <w:t>,</w:t>
      </w:r>
      <w:r w:rsidR="00477A92" w:rsidRPr="00B97122">
        <w:rPr>
          <w:rFonts w:asciiTheme="majorHAnsi" w:eastAsia="Calibri" w:hAnsiTheme="majorHAnsi" w:cs="Times New Roman"/>
          <w:sz w:val="22"/>
          <w:szCs w:val="22"/>
          <w:lang w:val="es-ES_tradnl"/>
        </w:rPr>
        <w:t xml:space="preserve"> con el </w:t>
      </w:r>
      <w:r w:rsidR="00C64326" w:rsidRPr="00B97122">
        <w:rPr>
          <w:rFonts w:asciiTheme="majorHAnsi" w:eastAsia="Calibri" w:hAnsiTheme="majorHAnsi" w:cs="Times New Roman"/>
          <w:sz w:val="22"/>
          <w:szCs w:val="22"/>
          <w:lang w:val="es-ES_tradnl"/>
        </w:rPr>
        <w:t xml:space="preserve">National Wetland Centre </w:t>
      </w:r>
      <w:r w:rsidR="00EC570F">
        <w:rPr>
          <w:rFonts w:asciiTheme="majorHAnsi" w:eastAsia="Calibri" w:hAnsiTheme="majorHAnsi" w:cs="Times New Roman"/>
          <w:sz w:val="22"/>
          <w:szCs w:val="22"/>
          <w:lang w:val="es-ES_tradnl"/>
        </w:rPr>
        <w:t xml:space="preserve">(Centro Nacional de Humedales de </w:t>
      </w:r>
      <w:r w:rsidR="00EC570F">
        <w:rPr>
          <w:rFonts w:asciiTheme="majorHAnsi" w:eastAsia="Calibri" w:hAnsiTheme="majorHAnsi" w:cs="Times New Roman"/>
          <w:sz w:val="22"/>
          <w:szCs w:val="22"/>
          <w:lang w:val="es-ES_tradnl"/>
        </w:rPr>
        <w:lastRenderedPageBreak/>
        <w:t xml:space="preserve">Corea del Sur) y la </w:t>
      </w:r>
      <w:r w:rsidR="00C64326" w:rsidRPr="00B97122">
        <w:rPr>
          <w:rFonts w:asciiTheme="majorHAnsi" w:eastAsia="Calibri" w:hAnsiTheme="majorHAnsi" w:cs="Times New Roman"/>
          <w:sz w:val="22"/>
          <w:szCs w:val="22"/>
          <w:lang w:val="es-ES_tradnl"/>
        </w:rPr>
        <w:t xml:space="preserve">Korean Wetland Society </w:t>
      </w:r>
      <w:r w:rsidR="00477A92" w:rsidRPr="00B97122">
        <w:rPr>
          <w:rFonts w:asciiTheme="majorHAnsi" w:eastAsia="Calibri" w:hAnsiTheme="majorHAnsi" w:cs="Times New Roman"/>
          <w:sz w:val="22"/>
          <w:szCs w:val="22"/>
          <w:lang w:val="es-ES_tradnl"/>
        </w:rPr>
        <w:t xml:space="preserve">y </w:t>
      </w:r>
      <w:r w:rsidR="00EC570F" w:rsidRPr="00B97122">
        <w:rPr>
          <w:rFonts w:asciiTheme="majorHAnsi" w:eastAsia="Calibri" w:hAnsiTheme="majorHAnsi" w:cs="Times New Roman"/>
          <w:sz w:val="22"/>
          <w:szCs w:val="22"/>
          <w:lang w:val="es-ES_tradnl"/>
        </w:rPr>
        <w:t>preparó</w:t>
      </w:r>
      <w:r w:rsidR="00477A92" w:rsidRPr="00B97122">
        <w:rPr>
          <w:rFonts w:asciiTheme="majorHAnsi" w:eastAsia="Calibri" w:hAnsiTheme="majorHAnsi" w:cs="Times New Roman"/>
          <w:sz w:val="22"/>
          <w:szCs w:val="22"/>
          <w:lang w:val="es-ES_tradnl"/>
        </w:rPr>
        <w:t xml:space="preserve"> una guía sobre la designación y gestión de sitios Ramsar</w:t>
      </w:r>
      <w:r w:rsidR="00C64326" w:rsidRPr="00B97122">
        <w:rPr>
          <w:rFonts w:asciiTheme="majorHAnsi" w:eastAsia="Calibri" w:hAnsiTheme="majorHAnsi" w:cs="Times New Roman"/>
          <w:sz w:val="22"/>
          <w:szCs w:val="22"/>
          <w:lang w:val="es-ES_tradnl"/>
        </w:rPr>
        <w:t>.</w:t>
      </w:r>
    </w:p>
    <w:p w14:paraId="60C626F8" w14:textId="615F5EE2" w:rsidR="00C64326" w:rsidRPr="00B97122" w:rsidRDefault="00EC570F" w:rsidP="004C3670">
      <w:pPr>
        <w:numPr>
          <w:ilvl w:val="1"/>
          <w:numId w:val="19"/>
        </w:numPr>
        <w:spacing w:after="200"/>
        <w:contextualSpacing/>
        <w:rPr>
          <w:rFonts w:asciiTheme="majorHAnsi" w:eastAsia="Calibri" w:hAnsiTheme="majorHAnsi" w:cs="Times New Roman"/>
          <w:sz w:val="22"/>
          <w:szCs w:val="22"/>
          <w:lang w:val="es-ES_tradnl"/>
        </w:rPr>
      </w:pPr>
      <w:r w:rsidRPr="00EC570F">
        <w:rPr>
          <w:rFonts w:asciiTheme="majorHAnsi" w:eastAsia="Calibri" w:hAnsiTheme="majorHAnsi" w:cs="Times New Roman"/>
          <w:sz w:val="22"/>
          <w:szCs w:val="22"/>
          <w:lang w:val="es-ES_tradnl"/>
        </w:rPr>
        <w:t xml:space="preserve">El Centro Ramsar para África Oriental </w:t>
      </w:r>
      <w:r>
        <w:rPr>
          <w:rFonts w:asciiTheme="majorHAnsi" w:eastAsia="Calibri" w:hAnsiTheme="majorHAnsi" w:cs="Times New Roman"/>
          <w:sz w:val="22"/>
          <w:szCs w:val="22"/>
          <w:lang w:val="es-ES_tradnl"/>
        </w:rPr>
        <w:t xml:space="preserve">publicó una herramienta para </w:t>
      </w:r>
      <w:r w:rsidR="008E6EC9" w:rsidRPr="00EC570F">
        <w:rPr>
          <w:rFonts w:asciiTheme="majorHAnsi" w:eastAsia="Calibri" w:hAnsiTheme="majorHAnsi" w:cs="Times New Roman"/>
          <w:sz w:val="22"/>
          <w:szCs w:val="22"/>
          <w:lang w:val="es-ES_tradnl"/>
        </w:rPr>
        <w:t>la evaluación de los humedales, actualizó 11 Fichas Informativas</w:t>
      </w:r>
      <w:r>
        <w:rPr>
          <w:rFonts w:asciiTheme="majorHAnsi" w:eastAsia="Calibri" w:hAnsiTheme="majorHAnsi" w:cs="Times New Roman"/>
          <w:sz w:val="22"/>
          <w:szCs w:val="22"/>
          <w:lang w:val="es-ES_tradnl"/>
        </w:rPr>
        <w:t xml:space="preserve"> </w:t>
      </w:r>
      <w:r w:rsidR="008E6EC9" w:rsidRPr="00B97122">
        <w:rPr>
          <w:rFonts w:asciiTheme="majorHAnsi" w:eastAsia="Calibri" w:hAnsiTheme="majorHAnsi" w:cs="Times New Roman"/>
          <w:sz w:val="22"/>
          <w:szCs w:val="22"/>
          <w:lang w:val="es-ES_tradnl"/>
        </w:rPr>
        <w:t xml:space="preserve">y mapas </w:t>
      </w:r>
      <w:r>
        <w:rPr>
          <w:rFonts w:asciiTheme="majorHAnsi" w:eastAsia="Calibri" w:hAnsiTheme="majorHAnsi" w:cs="Times New Roman"/>
          <w:sz w:val="22"/>
          <w:szCs w:val="22"/>
          <w:lang w:val="es-ES_tradnl"/>
        </w:rPr>
        <w:t xml:space="preserve">correspondientes a sitios Ramsar </w:t>
      </w:r>
      <w:r w:rsidR="008E6EC9" w:rsidRPr="00B97122">
        <w:rPr>
          <w:rFonts w:asciiTheme="majorHAnsi" w:eastAsia="Calibri" w:hAnsiTheme="majorHAnsi" w:cs="Times New Roman"/>
          <w:sz w:val="22"/>
          <w:szCs w:val="22"/>
          <w:lang w:val="es-ES_tradnl"/>
        </w:rPr>
        <w:t>en Ugan</w:t>
      </w:r>
      <w:r>
        <w:rPr>
          <w:rFonts w:asciiTheme="majorHAnsi" w:eastAsia="Calibri" w:hAnsiTheme="majorHAnsi" w:cs="Times New Roman"/>
          <w:sz w:val="22"/>
          <w:szCs w:val="22"/>
          <w:lang w:val="es-ES_tradnl"/>
        </w:rPr>
        <w:t>da y preparó buenas prácticas</w:t>
      </w:r>
      <w:r w:rsidR="008E6EC9" w:rsidRPr="00B97122">
        <w:rPr>
          <w:rFonts w:asciiTheme="majorHAnsi" w:eastAsia="Calibri" w:hAnsiTheme="majorHAnsi" w:cs="Times New Roman"/>
          <w:sz w:val="22"/>
          <w:szCs w:val="22"/>
          <w:lang w:val="es-ES_tradnl"/>
        </w:rPr>
        <w:t xml:space="preserve"> </w:t>
      </w:r>
      <w:r w:rsidR="001C7795">
        <w:rPr>
          <w:rFonts w:asciiTheme="majorHAnsi" w:eastAsia="Calibri" w:hAnsiTheme="majorHAnsi" w:cs="Times New Roman"/>
          <w:sz w:val="22"/>
          <w:szCs w:val="22"/>
          <w:lang w:val="es-ES_tradnl"/>
        </w:rPr>
        <w:t>para</w:t>
      </w:r>
      <w:r w:rsidR="008E6EC9" w:rsidRPr="00B97122">
        <w:rPr>
          <w:rFonts w:asciiTheme="majorHAnsi" w:eastAsia="Calibri" w:hAnsiTheme="majorHAnsi" w:cs="Times New Roman"/>
          <w:sz w:val="22"/>
          <w:szCs w:val="22"/>
          <w:lang w:val="es-ES_tradnl"/>
        </w:rPr>
        <w:t xml:space="preserve"> tres sitios Ramsar.</w:t>
      </w:r>
    </w:p>
    <w:p w14:paraId="2CD1E20B" w14:textId="1A5808AF" w:rsidR="00C64326" w:rsidRPr="00B97122" w:rsidRDefault="001C7795" w:rsidP="004C3670">
      <w:pPr>
        <w:numPr>
          <w:ilvl w:val="1"/>
          <w:numId w:val="19"/>
        </w:numPr>
        <w:spacing w:after="200"/>
        <w:contextualSpacing/>
        <w:rPr>
          <w:rFonts w:asciiTheme="majorHAnsi" w:eastAsia="Calibri" w:hAnsiTheme="majorHAnsi" w:cs="Times New Roman"/>
          <w:sz w:val="22"/>
          <w:szCs w:val="22"/>
          <w:lang w:val="es-ES_tradnl"/>
        </w:rPr>
      </w:pPr>
      <w:r w:rsidRPr="001C7795">
        <w:rPr>
          <w:rFonts w:asciiTheme="majorHAnsi" w:eastAsia="Calibri" w:hAnsiTheme="majorHAnsi" w:cs="Times New Roman"/>
          <w:sz w:val="22"/>
          <w:szCs w:val="22"/>
          <w:lang w:val="es-ES_tradnl"/>
        </w:rPr>
        <w:t xml:space="preserve">La Alianza de la Vía Migratoria Asia Oriental-Australasia </w:t>
      </w:r>
      <w:r w:rsidR="008E6EC9" w:rsidRPr="001C7795">
        <w:rPr>
          <w:rFonts w:asciiTheme="majorHAnsi" w:eastAsia="Calibri" w:hAnsiTheme="majorHAnsi" w:cs="Times New Roman"/>
          <w:sz w:val="22"/>
          <w:szCs w:val="22"/>
          <w:lang w:val="es-ES_tradnl"/>
        </w:rPr>
        <w:t>adoptó</w:t>
      </w:r>
      <w:r>
        <w:rPr>
          <w:rFonts w:asciiTheme="majorHAnsi" w:eastAsia="Calibri" w:hAnsiTheme="majorHAnsi" w:cs="Times New Roman"/>
          <w:sz w:val="22"/>
          <w:szCs w:val="22"/>
          <w:lang w:val="es-ES_tradnl"/>
        </w:rPr>
        <w:t xml:space="preserve"> un plan de acción y una e</w:t>
      </w:r>
      <w:r w:rsidR="008E6EC9" w:rsidRPr="00B97122">
        <w:rPr>
          <w:rFonts w:asciiTheme="majorHAnsi" w:eastAsia="Calibri" w:hAnsiTheme="majorHAnsi" w:cs="Times New Roman"/>
          <w:sz w:val="22"/>
          <w:szCs w:val="22"/>
          <w:lang w:val="es-ES_tradnl"/>
        </w:rPr>
        <w:t xml:space="preserve">strategia de </w:t>
      </w:r>
      <w:r w:rsidR="001670A8" w:rsidRPr="00B97122">
        <w:rPr>
          <w:rFonts w:asciiTheme="majorHAnsi" w:eastAsia="Calibri" w:hAnsiTheme="majorHAnsi" w:cs="Times New Roman"/>
          <w:sz w:val="22"/>
          <w:szCs w:val="22"/>
          <w:lang w:val="es-ES_tradnl"/>
        </w:rPr>
        <w:t>CECoP</w:t>
      </w:r>
      <w:r w:rsidR="008E6EC9" w:rsidRPr="00B97122">
        <w:rPr>
          <w:rFonts w:asciiTheme="majorHAnsi" w:eastAsia="Calibri" w:hAnsiTheme="majorHAnsi" w:cs="Times New Roman"/>
          <w:sz w:val="22"/>
          <w:szCs w:val="22"/>
          <w:lang w:val="es-ES_tradnl"/>
        </w:rPr>
        <w:t xml:space="preserve">, organizó un curso de formación para administradores de </w:t>
      </w:r>
      <w:r w:rsidRPr="00B97122">
        <w:rPr>
          <w:rFonts w:asciiTheme="majorHAnsi" w:eastAsia="Calibri" w:hAnsiTheme="majorHAnsi" w:cs="Times New Roman"/>
          <w:sz w:val="22"/>
          <w:szCs w:val="22"/>
          <w:lang w:val="es-ES_tradnl"/>
        </w:rPr>
        <w:t>sitios</w:t>
      </w:r>
      <w:r w:rsidR="008E6EC9" w:rsidRPr="00B97122">
        <w:rPr>
          <w:rFonts w:asciiTheme="majorHAnsi" w:eastAsia="Calibri" w:hAnsiTheme="majorHAnsi" w:cs="Times New Roman"/>
          <w:sz w:val="22"/>
          <w:szCs w:val="22"/>
          <w:lang w:val="es-ES_tradnl"/>
        </w:rPr>
        <w:t xml:space="preserve"> en China, trabajó sobre una nueva base </w:t>
      </w:r>
      <w:r w:rsidRPr="00B97122">
        <w:rPr>
          <w:rFonts w:asciiTheme="majorHAnsi" w:eastAsia="Calibri" w:hAnsiTheme="majorHAnsi" w:cs="Times New Roman"/>
          <w:sz w:val="22"/>
          <w:szCs w:val="22"/>
          <w:lang w:val="es-ES_tradnl"/>
        </w:rPr>
        <w:t>de datos</w:t>
      </w:r>
      <w:r w:rsidR="008E6EC9" w:rsidRPr="00B97122">
        <w:rPr>
          <w:rFonts w:asciiTheme="majorHAnsi" w:eastAsia="Calibri" w:hAnsiTheme="majorHAnsi" w:cs="Times New Roman"/>
          <w:sz w:val="22"/>
          <w:szCs w:val="22"/>
          <w:lang w:val="es-ES_tradnl"/>
        </w:rPr>
        <w:t xml:space="preserve"> sobre </w:t>
      </w:r>
      <w:r>
        <w:rPr>
          <w:rFonts w:asciiTheme="majorHAnsi" w:eastAsia="Calibri" w:hAnsiTheme="majorHAnsi" w:cs="Times New Roman"/>
          <w:sz w:val="22"/>
          <w:szCs w:val="22"/>
          <w:lang w:val="es-ES_tradnl"/>
        </w:rPr>
        <w:t xml:space="preserve">los sitios de la </w:t>
      </w:r>
      <w:r w:rsidR="00335470">
        <w:rPr>
          <w:rFonts w:asciiTheme="majorHAnsi" w:eastAsia="Calibri" w:hAnsiTheme="majorHAnsi" w:cs="Times New Roman"/>
          <w:sz w:val="22"/>
          <w:szCs w:val="22"/>
          <w:lang w:val="es-ES_tradnl"/>
        </w:rPr>
        <w:t xml:space="preserve">red de la vía migratoria, llamados </w:t>
      </w:r>
      <w:r w:rsidR="008E6EC9" w:rsidRPr="00335470">
        <w:rPr>
          <w:rFonts w:asciiTheme="majorHAnsi" w:eastAsia="Calibri" w:hAnsiTheme="majorHAnsi" w:cs="Times New Roman"/>
          <w:i/>
          <w:sz w:val="22"/>
          <w:szCs w:val="22"/>
          <w:lang w:val="es-ES_tradnl"/>
        </w:rPr>
        <w:t>Flyway Network Sites</w:t>
      </w:r>
      <w:r w:rsidR="00335470">
        <w:rPr>
          <w:rFonts w:asciiTheme="majorHAnsi" w:eastAsia="Calibri" w:hAnsiTheme="majorHAnsi" w:cs="Times New Roman"/>
          <w:sz w:val="22"/>
          <w:szCs w:val="22"/>
          <w:lang w:val="es-ES_tradnl"/>
        </w:rPr>
        <w:t xml:space="preserve">, </w:t>
      </w:r>
      <w:r w:rsidR="008E6EC9" w:rsidRPr="00B97122">
        <w:rPr>
          <w:rFonts w:asciiTheme="majorHAnsi" w:eastAsia="Calibri" w:hAnsiTheme="majorHAnsi" w:cs="Times New Roman"/>
          <w:sz w:val="22"/>
          <w:szCs w:val="22"/>
          <w:lang w:val="es-ES_tradnl"/>
        </w:rPr>
        <w:t>y sobre planes de acción para especies concretas (p. ej., para el zarapito de Siberia).</w:t>
      </w:r>
    </w:p>
    <w:p w14:paraId="0AD993B2" w14:textId="1ABEFD5E" w:rsidR="00C64326" w:rsidRPr="007769A9" w:rsidRDefault="007769A9" w:rsidP="004C3670">
      <w:pPr>
        <w:numPr>
          <w:ilvl w:val="1"/>
          <w:numId w:val="19"/>
        </w:numPr>
        <w:spacing w:after="200"/>
        <w:contextualSpacing/>
        <w:rPr>
          <w:rFonts w:asciiTheme="majorHAnsi" w:eastAsia="Calibri" w:hAnsiTheme="majorHAnsi" w:cs="Times New Roman"/>
          <w:sz w:val="22"/>
          <w:szCs w:val="22"/>
          <w:lang w:val="es-ES_tradnl"/>
        </w:rPr>
      </w:pPr>
      <w:r w:rsidRPr="007769A9">
        <w:rPr>
          <w:rFonts w:asciiTheme="majorHAnsi" w:eastAsia="Calibri" w:hAnsiTheme="majorHAnsi" w:cs="Times New Roman"/>
          <w:sz w:val="22"/>
          <w:szCs w:val="22"/>
          <w:lang w:val="es-ES_tradnl"/>
        </w:rPr>
        <w:t xml:space="preserve">La Iniciativa para los humedales nórdico-bálticos </w:t>
      </w:r>
      <w:r w:rsidR="008E6EC9" w:rsidRPr="007769A9">
        <w:rPr>
          <w:rFonts w:asciiTheme="majorHAnsi" w:eastAsia="Calibri" w:hAnsiTheme="majorHAnsi" w:cs="Times New Roman"/>
          <w:sz w:val="22"/>
          <w:szCs w:val="22"/>
          <w:lang w:val="es-ES_tradnl"/>
        </w:rPr>
        <w:t>celebró un taller sobre los servicios de los ecosistemas y divulgó los resultados del proyecto sobre las turberas en 16 idiomas</w:t>
      </w:r>
      <w:r w:rsidR="00C64326" w:rsidRPr="007769A9">
        <w:rPr>
          <w:rFonts w:asciiTheme="majorHAnsi" w:eastAsia="Calibri" w:hAnsiTheme="majorHAnsi" w:cs="Times New Roman"/>
          <w:sz w:val="22"/>
          <w:szCs w:val="22"/>
          <w:lang w:val="es-ES_tradnl"/>
        </w:rPr>
        <w:t>.</w:t>
      </w:r>
    </w:p>
    <w:p w14:paraId="7858CA73" w14:textId="77777777" w:rsidR="00A14A02" w:rsidRPr="00B97122" w:rsidRDefault="00A14A02" w:rsidP="00A14A02">
      <w:pPr>
        <w:spacing w:after="200"/>
        <w:contextualSpacing/>
        <w:rPr>
          <w:rFonts w:asciiTheme="majorHAnsi" w:eastAsia="Calibri" w:hAnsiTheme="majorHAnsi" w:cs="Times New Roman"/>
          <w:sz w:val="22"/>
          <w:szCs w:val="22"/>
          <w:lang w:val="es-ES_tradnl"/>
        </w:rPr>
      </w:pPr>
    </w:p>
    <w:p w14:paraId="5803C305" w14:textId="0E295B4E" w:rsidR="00C64326" w:rsidRPr="00B97122"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t xml:space="preserve">Objetivo </w:t>
      </w:r>
      <w:r w:rsidR="00C64326" w:rsidRPr="00B97122">
        <w:rPr>
          <w:rFonts w:asciiTheme="majorHAnsi" w:eastAsia="Calibri" w:hAnsiTheme="majorHAnsi" w:cs="Times New Roman"/>
          <w:i/>
          <w:sz w:val="22"/>
          <w:szCs w:val="22"/>
          <w:lang w:val="es-ES_tradnl"/>
        </w:rPr>
        <w:t xml:space="preserve">5 – </w:t>
      </w:r>
      <w:r w:rsidR="008E6EC9" w:rsidRPr="00B97122">
        <w:rPr>
          <w:rFonts w:asciiTheme="majorHAnsi" w:eastAsia="Calibri" w:hAnsiTheme="majorHAnsi" w:cs="Times New Roman"/>
          <w:i/>
          <w:sz w:val="22"/>
          <w:szCs w:val="22"/>
          <w:lang w:val="es-ES_tradnl"/>
        </w:rPr>
        <w:t>Participación de múltiples interesados</w:t>
      </w:r>
    </w:p>
    <w:p w14:paraId="235D68DD" w14:textId="142A775A" w:rsidR="00C64326" w:rsidRPr="00B97122" w:rsidRDefault="000B3ED0"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Se </w:t>
      </w:r>
      <w:r w:rsidR="0010064E">
        <w:rPr>
          <w:rFonts w:asciiTheme="majorHAnsi" w:eastAsia="Calibri" w:hAnsiTheme="majorHAnsi" w:cs="Times New Roman"/>
          <w:sz w:val="22"/>
          <w:szCs w:val="22"/>
          <w:lang w:val="es-ES_tradnl"/>
        </w:rPr>
        <w:t>llevaron a cabo</w:t>
      </w:r>
      <w:r w:rsidRPr="00B97122">
        <w:rPr>
          <w:rFonts w:asciiTheme="majorHAnsi" w:eastAsia="Calibri" w:hAnsiTheme="majorHAnsi" w:cs="Times New Roman"/>
          <w:sz w:val="22"/>
          <w:szCs w:val="22"/>
          <w:lang w:val="es-ES_tradnl"/>
        </w:rPr>
        <w:t xml:space="preserve"> varias iniciativas, </w:t>
      </w:r>
      <w:r w:rsidR="00103F0B" w:rsidRPr="00B97122">
        <w:rPr>
          <w:rFonts w:asciiTheme="majorHAnsi" w:eastAsia="Calibri" w:hAnsiTheme="majorHAnsi" w:cs="Times New Roman"/>
          <w:sz w:val="22"/>
          <w:szCs w:val="22"/>
          <w:lang w:val="es-ES_tradnl"/>
        </w:rPr>
        <w:t xml:space="preserve">muchas </w:t>
      </w:r>
      <w:r w:rsidRPr="00B97122">
        <w:rPr>
          <w:rFonts w:asciiTheme="majorHAnsi" w:eastAsia="Calibri" w:hAnsiTheme="majorHAnsi" w:cs="Times New Roman"/>
          <w:sz w:val="22"/>
          <w:szCs w:val="22"/>
          <w:lang w:val="es-ES_tradnl"/>
        </w:rPr>
        <w:t xml:space="preserve">de las cuales reflejaron los temas del Día Mundial de los Humedales, a fin de </w:t>
      </w:r>
      <w:r w:rsidR="00103F0B">
        <w:rPr>
          <w:rFonts w:asciiTheme="majorHAnsi" w:eastAsia="Calibri" w:hAnsiTheme="majorHAnsi" w:cs="Times New Roman"/>
          <w:sz w:val="22"/>
          <w:szCs w:val="22"/>
          <w:lang w:val="es-ES_tradnl"/>
        </w:rPr>
        <w:t>implicar</w:t>
      </w:r>
      <w:r w:rsidRPr="00B97122">
        <w:rPr>
          <w:rFonts w:asciiTheme="majorHAnsi" w:eastAsia="Calibri" w:hAnsiTheme="majorHAnsi" w:cs="Times New Roman"/>
          <w:sz w:val="22"/>
          <w:szCs w:val="22"/>
          <w:lang w:val="es-ES_tradnl"/>
        </w:rPr>
        <w:t xml:space="preserve"> a </w:t>
      </w:r>
      <w:r w:rsidR="00942DD5">
        <w:rPr>
          <w:rFonts w:asciiTheme="majorHAnsi" w:eastAsia="Calibri" w:hAnsiTheme="majorHAnsi" w:cs="Times New Roman"/>
          <w:sz w:val="22"/>
          <w:szCs w:val="22"/>
          <w:lang w:val="es-ES_tradnl"/>
        </w:rPr>
        <w:t xml:space="preserve">más </w:t>
      </w:r>
      <w:r w:rsidRPr="00B97122">
        <w:rPr>
          <w:rFonts w:asciiTheme="majorHAnsi" w:eastAsia="Calibri" w:hAnsiTheme="majorHAnsi" w:cs="Times New Roman"/>
          <w:sz w:val="22"/>
          <w:szCs w:val="22"/>
          <w:lang w:val="es-ES_tradnl"/>
        </w:rPr>
        <w:t>sectores en la conservación y el uso sostenible de los humedales.</w:t>
      </w:r>
    </w:p>
    <w:p w14:paraId="518CBC27" w14:textId="4DFD8321" w:rsidR="00C64326" w:rsidRPr="00B97122" w:rsidRDefault="000B3ED0"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Las ONG siguieron desempeñando un papel importante a escala internacional y </w:t>
      </w:r>
      <w:r w:rsidR="0010064E">
        <w:rPr>
          <w:rFonts w:asciiTheme="majorHAnsi" w:eastAsia="Calibri" w:hAnsiTheme="majorHAnsi" w:cs="Times New Roman"/>
          <w:sz w:val="22"/>
          <w:szCs w:val="22"/>
          <w:lang w:val="es-ES_tradnl"/>
        </w:rPr>
        <w:t>en</w:t>
      </w:r>
      <w:r w:rsidRPr="00B97122">
        <w:rPr>
          <w:rFonts w:asciiTheme="majorHAnsi" w:eastAsia="Calibri" w:hAnsiTheme="majorHAnsi" w:cs="Times New Roman"/>
          <w:sz w:val="22"/>
          <w:szCs w:val="22"/>
          <w:lang w:val="es-ES_tradnl"/>
        </w:rPr>
        <w:t xml:space="preserve"> las P</w:t>
      </w:r>
      <w:r w:rsidR="00B229E7" w:rsidRPr="00B97122">
        <w:rPr>
          <w:rFonts w:asciiTheme="majorHAnsi" w:eastAsia="Calibri" w:hAnsiTheme="majorHAnsi" w:cs="Times New Roman"/>
          <w:sz w:val="22"/>
          <w:szCs w:val="22"/>
          <w:lang w:val="es-ES_tradnl"/>
        </w:rPr>
        <w:t>artes Contratantes</w:t>
      </w:r>
      <w:r w:rsidR="0010064E">
        <w:rPr>
          <w:rFonts w:asciiTheme="majorHAnsi" w:eastAsia="Calibri" w:hAnsiTheme="majorHAnsi" w:cs="Times New Roman"/>
          <w:sz w:val="22"/>
          <w:szCs w:val="22"/>
          <w:lang w:val="es-ES_tradnl"/>
        </w:rPr>
        <w:t xml:space="preserve"> en la promoción de la sensibilización</w:t>
      </w:r>
      <w:r w:rsidRPr="00B97122">
        <w:rPr>
          <w:rFonts w:asciiTheme="majorHAnsi" w:eastAsia="Calibri" w:hAnsiTheme="majorHAnsi" w:cs="Times New Roman"/>
          <w:sz w:val="22"/>
          <w:szCs w:val="22"/>
          <w:lang w:val="es-ES_tradnl"/>
        </w:rPr>
        <w:t xml:space="preserve"> y la participación de las personas en la conservación y el uso sostenible de los humedales.</w:t>
      </w:r>
    </w:p>
    <w:p w14:paraId="1F1B0427" w14:textId="3C3179EF" w:rsidR="00C64326" w:rsidRPr="00B97122" w:rsidRDefault="000B3ED0" w:rsidP="004C3670">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En</w:t>
      </w:r>
      <w:r w:rsidR="00C64326" w:rsidRPr="00B97122">
        <w:rPr>
          <w:rFonts w:asciiTheme="majorHAnsi" w:eastAsia="Calibri" w:hAnsiTheme="majorHAnsi" w:cs="Times New Roman"/>
          <w:sz w:val="22"/>
          <w:szCs w:val="22"/>
          <w:lang w:val="es-ES_tradnl"/>
        </w:rPr>
        <w:t xml:space="preserve"> 2016, </w:t>
      </w:r>
      <w:r w:rsidRPr="00B97122">
        <w:rPr>
          <w:rFonts w:asciiTheme="majorHAnsi" w:eastAsia="Calibri" w:hAnsiTheme="majorHAnsi" w:cs="Times New Roman"/>
          <w:sz w:val="22"/>
          <w:szCs w:val="22"/>
          <w:lang w:val="es-ES_tradnl"/>
        </w:rPr>
        <w:t xml:space="preserve">la </w:t>
      </w:r>
      <w:r w:rsidR="00C64326" w:rsidRPr="0010064E">
        <w:rPr>
          <w:rFonts w:asciiTheme="majorHAnsi" w:eastAsia="Calibri" w:hAnsiTheme="majorHAnsi" w:cs="Times New Roman"/>
          <w:sz w:val="22"/>
          <w:szCs w:val="22"/>
          <w:lang w:val="es-ES_tradnl"/>
        </w:rPr>
        <w:t>Nagao Natural Environment Foundation</w:t>
      </w:r>
      <w:r w:rsidR="00C64326" w:rsidRPr="00B97122">
        <w:rPr>
          <w:rFonts w:asciiTheme="majorHAnsi" w:eastAsia="Calibri" w:hAnsiTheme="majorHAnsi" w:cs="Times New Roman"/>
          <w:sz w:val="22"/>
          <w:szCs w:val="22"/>
          <w:lang w:val="es-ES_tradnl"/>
        </w:rPr>
        <w:t xml:space="preserve"> (NEF) </w:t>
      </w:r>
      <w:r w:rsidRPr="00B97122">
        <w:rPr>
          <w:rFonts w:asciiTheme="majorHAnsi" w:eastAsia="Calibri" w:hAnsiTheme="majorHAnsi" w:cs="Times New Roman"/>
          <w:sz w:val="22"/>
          <w:szCs w:val="22"/>
          <w:lang w:val="es-ES_tradnl"/>
        </w:rPr>
        <w:t>de</w:t>
      </w:r>
      <w:r w:rsidR="00942DD5">
        <w:rPr>
          <w:rFonts w:asciiTheme="majorHAnsi" w:eastAsia="Calibri" w:hAnsiTheme="majorHAnsi" w:cs="Times New Roman"/>
          <w:sz w:val="22"/>
          <w:szCs w:val="22"/>
          <w:lang w:val="es-ES_tradnl"/>
        </w:rPr>
        <w:t>l</w:t>
      </w:r>
      <w:r w:rsidRPr="00B97122">
        <w:rPr>
          <w:rFonts w:asciiTheme="majorHAnsi" w:eastAsia="Calibri" w:hAnsiTheme="majorHAnsi" w:cs="Times New Roman"/>
          <w:sz w:val="22"/>
          <w:szCs w:val="22"/>
          <w:lang w:val="es-ES_tradnl"/>
        </w:rPr>
        <w:t xml:space="preserve"> Japón estableció el </w:t>
      </w:r>
      <w:r w:rsidR="0010064E">
        <w:rPr>
          <w:rFonts w:asciiTheme="majorHAnsi" w:eastAsia="Calibri" w:hAnsiTheme="majorHAnsi" w:cs="Times New Roman"/>
          <w:sz w:val="22"/>
          <w:szCs w:val="22"/>
          <w:lang w:val="es-ES_tradnl"/>
        </w:rPr>
        <w:t xml:space="preserve">Fondo Nagao para los Humedales </w:t>
      </w:r>
      <w:r w:rsidRPr="00B97122">
        <w:rPr>
          <w:rFonts w:asciiTheme="majorHAnsi" w:eastAsia="Calibri" w:hAnsiTheme="majorHAnsi" w:cs="Times New Roman"/>
          <w:sz w:val="22"/>
          <w:szCs w:val="22"/>
          <w:lang w:val="es-ES_tradnl"/>
        </w:rPr>
        <w:t xml:space="preserve">para prestar apoyo a países en desarrollo en la región de Asia y </w:t>
      </w:r>
      <w:r w:rsidR="0010064E" w:rsidRPr="00B97122">
        <w:rPr>
          <w:rFonts w:asciiTheme="majorHAnsi" w:eastAsia="Calibri" w:hAnsiTheme="majorHAnsi" w:cs="Times New Roman"/>
          <w:sz w:val="22"/>
          <w:szCs w:val="22"/>
          <w:lang w:val="es-ES_tradnl"/>
        </w:rPr>
        <w:t>Oceanía</w:t>
      </w:r>
      <w:r w:rsidRPr="00B97122">
        <w:rPr>
          <w:rFonts w:asciiTheme="majorHAnsi" w:eastAsia="Calibri" w:hAnsiTheme="majorHAnsi" w:cs="Times New Roman"/>
          <w:sz w:val="22"/>
          <w:szCs w:val="22"/>
          <w:lang w:val="es-ES_tradnl"/>
        </w:rPr>
        <w:t xml:space="preserve"> </w:t>
      </w:r>
      <w:r w:rsidR="0010064E">
        <w:rPr>
          <w:rFonts w:asciiTheme="majorHAnsi" w:eastAsia="Calibri" w:hAnsiTheme="majorHAnsi" w:cs="Times New Roman"/>
          <w:sz w:val="22"/>
          <w:szCs w:val="22"/>
          <w:lang w:val="es-ES_tradnl"/>
        </w:rPr>
        <w:t>en la aplicación de</w:t>
      </w:r>
      <w:r w:rsidRPr="00B97122">
        <w:rPr>
          <w:rFonts w:asciiTheme="majorHAnsi" w:eastAsia="Calibri" w:hAnsiTheme="majorHAnsi" w:cs="Times New Roman"/>
          <w:sz w:val="22"/>
          <w:szCs w:val="22"/>
          <w:lang w:val="es-ES_tradnl"/>
        </w:rPr>
        <w:t xml:space="preserve"> la Convención, entre otras cosas en materia de comunicación, educación, </w:t>
      </w:r>
      <w:r w:rsidR="0010064E" w:rsidRPr="00B97122">
        <w:rPr>
          <w:rFonts w:asciiTheme="majorHAnsi" w:eastAsia="Calibri" w:hAnsiTheme="majorHAnsi" w:cs="Times New Roman"/>
          <w:sz w:val="22"/>
          <w:szCs w:val="22"/>
          <w:lang w:val="es-ES_tradnl"/>
        </w:rPr>
        <w:t>concienciación</w:t>
      </w:r>
      <w:r w:rsidRPr="00B97122">
        <w:rPr>
          <w:rFonts w:asciiTheme="majorHAnsi" w:eastAsia="Calibri" w:hAnsiTheme="majorHAnsi" w:cs="Times New Roman"/>
          <w:sz w:val="22"/>
          <w:szCs w:val="22"/>
          <w:lang w:val="es-ES_tradnl"/>
        </w:rPr>
        <w:t xml:space="preserve"> y formación.</w:t>
      </w:r>
    </w:p>
    <w:p w14:paraId="6A7B19CB" w14:textId="32273548" w:rsidR="00C64326" w:rsidRPr="00B97122" w:rsidRDefault="000B3ED0" w:rsidP="004C3670">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Trabajando en colaboración con la </w:t>
      </w:r>
      <w:r w:rsidR="0010064E">
        <w:rPr>
          <w:rFonts w:asciiTheme="majorHAnsi" w:eastAsia="Calibri" w:hAnsiTheme="majorHAnsi" w:cs="Times New Roman"/>
          <w:sz w:val="22"/>
          <w:szCs w:val="22"/>
          <w:lang w:val="es-ES_tradnl"/>
        </w:rPr>
        <w:t>Society of Wetland</w:t>
      </w:r>
      <w:r w:rsidR="00C64326" w:rsidRPr="00B97122">
        <w:rPr>
          <w:rFonts w:asciiTheme="majorHAnsi" w:eastAsia="Calibri" w:hAnsiTheme="majorHAnsi" w:cs="Times New Roman"/>
          <w:sz w:val="22"/>
          <w:szCs w:val="22"/>
          <w:lang w:val="es-ES_tradnl"/>
        </w:rPr>
        <w:t xml:space="preserve"> Scientists </w:t>
      </w:r>
      <w:r w:rsidRPr="00B97122">
        <w:rPr>
          <w:rFonts w:asciiTheme="majorHAnsi" w:eastAsia="Calibri" w:hAnsiTheme="majorHAnsi" w:cs="Times New Roman"/>
          <w:sz w:val="22"/>
          <w:szCs w:val="22"/>
          <w:lang w:val="es-ES_tradnl"/>
        </w:rPr>
        <w:t xml:space="preserve">y </w:t>
      </w:r>
      <w:r w:rsidR="00C64326" w:rsidRPr="00B97122">
        <w:rPr>
          <w:rFonts w:asciiTheme="majorHAnsi" w:eastAsia="Calibri" w:hAnsiTheme="majorHAnsi" w:cs="Times New Roman"/>
          <w:sz w:val="22"/>
          <w:szCs w:val="22"/>
          <w:lang w:val="es-ES_tradnl"/>
        </w:rPr>
        <w:t xml:space="preserve">Wildfowl and Wetland Trust, </w:t>
      </w:r>
      <w:r w:rsidR="00C64326" w:rsidRPr="0010064E">
        <w:rPr>
          <w:rFonts w:asciiTheme="majorHAnsi" w:eastAsia="Calibri" w:hAnsiTheme="majorHAnsi" w:cs="Times New Roman"/>
          <w:sz w:val="22"/>
          <w:szCs w:val="22"/>
          <w:lang w:val="es-ES_tradnl"/>
        </w:rPr>
        <w:t>World Wetland</w:t>
      </w:r>
      <w:r w:rsidR="00C64326" w:rsidRPr="00B97122">
        <w:rPr>
          <w:rFonts w:asciiTheme="majorHAnsi" w:eastAsia="Calibri" w:hAnsiTheme="majorHAnsi" w:cs="Times New Roman"/>
          <w:sz w:val="22"/>
          <w:szCs w:val="22"/>
          <w:lang w:val="es-ES_tradnl"/>
        </w:rPr>
        <w:t xml:space="preserve"> Network </w:t>
      </w:r>
      <w:r w:rsidR="0010064E">
        <w:rPr>
          <w:rFonts w:asciiTheme="majorHAnsi" w:eastAsia="Calibri" w:hAnsiTheme="majorHAnsi" w:cs="Times New Roman"/>
          <w:sz w:val="22"/>
          <w:szCs w:val="22"/>
          <w:lang w:val="es-ES_tradnl"/>
        </w:rPr>
        <w:t>presentó</w:t>
      </w:r>
      <w:r w:rsidRPr="00B97122">
        <w:rPr>
          <w:rFonts w:asciiTheme="majorHAnsi" w:eastAsia="Calibri" w:hAnsiTheme="majorHAnsi" w:cs="Times New Roman"/>
          <w:sz w:val="22"/>
          <w:szCs w:val="22"/>
          <w:lang w:val="es-ES_tradnl"/>
        </w:rPr>
        <w:t xml:space="preserve"> </w:t>
      </w:r>
      <w:r w:rsidR="0010064E">
        <w:rPr>
          <w:rFonts w:asciiTheme="majorHAnsi" w:eastAsia="Calibri" w:hAnsiTheme="majorHAnsi" w:cs="Times New Roman"/>
          <w:sz w:val="22"/>
          <w:szCs w:val="22"/>
          <w:lang w:val="es-ES_tradnl"/>
        </w:rPr>
        <w:t xml:space="preserve">los resultados de </w:t>
      </w:r>
      <w:r w:rsidRPr="00B97122">
        <w:rPr>
          <w:rFonts w:asciiTheme="majorHAnsi" w:eastAsia="Calibri" w:hAnsiTheme="majorHAnsi" w:cs="Times New Roman"/>
          <w:sz w:val="22"/>
          <w:szCs w:val="22"/>
          <w:lang w:val="es-ES_tradnl"/>
        </w:rPr>
        <w:t xml:space="preserve">la primera parte del cuestionario </w:t>
      </w:r>
      <w:hyperlink r:id="rId12" w:history="1">
        <w:r w:rsidR="00C64326" w:rsidRPr="00B97122">
          <w:rPr>
            <w:rFonts w:asciiTheme="majorHAnsi" w:eastAsia="Calibri" w:hAnsiTheme="majorHAnsi" w:cs="Times New Roman"/>
            <w:color w:val="0000FF"/>
            <w:sz w:val="22"/>
            <w:szCs w:val="22"/>
            <w:u w:val="single"/>
            <w:lang w:val="es-ES_tradnl"/>
          </w:rPr>
          <w:t>Global Wetland Survey</w:t>
        </w:r>
      </w:hyperlink>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en</w:t>
      </w:r>
      <w:r w:rsidR="00C64326" w:rsidRPr="00B97122">
        <w:rPr>
          <w:rFonts w:asciiTheme="majorHAnsi" w:eastAsia="Calibri" w:hAnsiTheme="majorHAnsi" w:cs="Times New Roman"/>
          <w:sz w:val="22"/>
          <w:szCs w:val="22"/>
          <w:lang w:val="es-ES_tradnl"/>
        </w:rPr>
        <w:t xml:space="preserve"> 2017, </w:t>
      </w:r>
      <w:r w:rsidRPr="00B97122">
        <w:rPr>
          <w:rFonts w:asciiTheme="majorHAnsi" w:eastAsia="Calibri" w:hAnsiTheme="majorHAnsi" w:cs="Times New Roman"/>
          <w:sz w:val="22"/>
          <w:szCs w:val="22"/>
          <w:lang w:val="es-ES_tradnl"/>
        </w:rPr>
        <w:t xml:space="preserve">con más de 600 respuestas </w:t>
      </w:r>
      <w:r w:rsidR="00DF2674">
        <w:rPr>
          <w:rFonts w:asciiTheme="majorHAnsi" w:eastAsia="Calibri" w:hAnsiTheme="majorHAnsi" w:cs="Times New Roman"/>
          <w:sz w:val="22"/>
          <w:szCs w:val="22"/>
          <w:lang w:val="es-ES_tradnl"/>
        </w:rPr>
        <w:t>facilitadas desde</w:t>
      </w:r>
      <w:r w:rsidRPr="00B97122">
        <w:rPr>
          <w:rFonts w:asciiTheme="majorHAnsi" w:eastAsia="Calibri" w:hAnsiTheme="majorHAnsi" w:cs="Times New Roman"/>
          <w:sz w:val="22"/>
          <w:szCs w:val="22"/>
          <w:lang w:val="es-ES_tradnl"/>
        </w:rPr>
        <w:t xml:space="preserve"> distintas partes del mundo, identificando </w:t>
      </w:r>
      <w:r w:rsidR="00DF2674">
        <w:rPr>
          <w:rFonts w:asciiTheme="majorHAnsi" w:eastAsia="Calibri" w:hAnsiTheme="majorHAnsi" w:cs="Times New Roman"/>
          <w:sz w:val="22"/>
          <w:szCs w:val="22"/>
          <w:lang w:val="es-ES_tradnl"/>
        </w:rPr>
        <w:t>los</w:t>
      </w:r>
      <w:r w:rsidRPr="00B97122">
        <w:rPr>
          <w:rFonts w:asciiTheme="majorHAnsi" w:eastAsia="Calibri" w:hAnsiTheme="majorHAnsi" w:cs="Times New Roman"/>
          <w:sz w:val="22"/>
          <w:szCs w:val="22"/>
          <w:lang w:val="es-ES_tradnl"/>
        </w:rPr>
        <w:t xml:space="preserve"> principales </w:t>
      </w:r>
      <w:r w:rsidR="00DF2674">
        <w:rPr>
          <w:rFonts w:asciiTheme="majorHAnsi" w:eastAsia="Calibri" w:hAnsiTheme="majorHAnsi" w:cs="Times New Roman"/>
          <w:sz w:val="22"/>
          <w:szCs w:val="22"/>
          <w:lang w:val="es-ES_tradnl"/>
        </w:rPr>
        <w:t>problemas</w:t>
      </w:r>
      <w:r w:rsidRPr="00B97122">
        <w:rPr>
          <w:rFonts w:asciiTheme="majorHAnsi" w:eastAsia="Calibri" w:hAnsiTheme="majorHAnsi" w:cs="Times New Roman"/>
          <w:sz w:val="22"/>
          <w:szCs w:val="22"/>
          <w:lang w:val="es-ES_tradnl"/>
        </w:rPr>
        <w:t xml:space="preserve"> para los humedales. Algunos de estos fueron la contaminación urbana o industrial, las especies invasoras, la e</w:t>
      </w:r>
      <w:r w:rsidR="00DF2674">
        <w:rPr>
          <w:rFonts w:asciiTheme="majorHAnsi" w:eastAsia="Calibri" w:hAnsiTheme="majorHAnsi" w:cs="Times New Roman"/>
          <w:sz w:val="22"/>
          <w:szCs w:val="22"/>
          <w:lang w:val="es-ES_tradnl"/>
        </w:rPr>
        <w:t>scorrentía agrícola, la erosión</w:t>
      </w:r>
      <w:r w:rsidRPr="00B97122">
        <w:rPr>
          <w:rFonts w:asciiTheme="majorHAnsi" w:eastAsia="Calibri" w:hAnsiTheme="majorHAnsi" w:cs="Times New Roman"/>
          <w:sz w:val="22"/>
          <w:szCs w:val="22"/>
          <w:lang w:val="es-ES_tradnl"/>
        </w:rPr>
        <w:t xml:space="preserve"> y el </w:t>
      </w:r>
      <w:r w:rsidR="00DF2674" w:rsidRPr="00B97122">
        <w:rPr>
          <w:rFonts w:asciiTheme="majorHAnsi" w:eastAsia="Calibri" w:hAnsiTheme="majorHAnsi" w:cs="Times New Roman"/>
          <w:sz w:val="22"/>
          <w:szCs w:val="22"/>
          <w:lang w:val="es-ES_tradnl"/>
        </w:rPr>
        <w:t>desarrollo</w:t>
      </w:r>
      <w:r w:rsidR="00DF2674">
        <w:rPr>
          <w:rFonts w:asciiTheme="majorHAnsi" w:eastAsia="Calibri" w:hAnsiTheme="majorHAnsi" w:cs="Times New Roman"/>
          <w:sz w:val="22"/>
          <w:szCs w:val="22"/>
          <w:lang w:val="es-ES_tradnl"/>
        </w:rPr>
        <w:t xml:space="preserve"> urbano e industrial</w:t>
      </w:r>
      <w:r w:rsidRPr="00B97122">
        <w:rPr>
          <w:rFonts w:asciiTheme="majorHAnsi" w:eastAsia="Calibri" w:hAnsiTheme="majorHAnsi" w:cs="Times New Roman"/>
          <w:sz w:val="22"/>
          <w:szCs w:val="22"/>
          <w:lang w:val="es-ES_tradnl"/>
        </w:rPr>
        <w:t xml:space="preserve">. Entre las influencias positivas mencionadas </w:t>
      </w:r>
      <w:r w:rsidR="00DF2674">
        <w:rPr>
          <w:rFonts w:asciiTheme="majorHAnsi" w:eastAsia="Calibri" w:hAnsiTheme="majorHAnsi" w:cs="Times New Roman"/>
          <w:sz w:val="22"/>
          <w:szCs w:val="22"/>
          <w:lang w:val="es-ES_tradnl"/>
        </w:rPr>
        <w:t>figuran</w:t>
      </w:r>
      <w:r w:rsidRPr="00B97122">
        <w:rPr>
          <w:rFonts w:asciiTheme="majorHAnsi" w:eastAsia="Calibri" w:hAnsiTheme="majorHAnsi" w:cs="Times New Roman"/>
          <w:sz w:val="22"/>
          <w:szCs w:val="22"/>
          <w:lang w:val="es-ES_tradnl"/>
        </w:rPr>
        <w:t xml:space="preserve"> la </w:t>
      </w:r>
      <w:r w:rsidR="00DF2674" w:rsidRPr="00B97122">
        <w:rPr>
          <w:rFonts w:asciiTheme="majorHAnsi" w:eastAsia="Calibri" w:hAnsiTheme="majorHAnsi" w:cs="Times New Roman"/>
          <w:sz w:val="22"/>
          <w:szCs w:val="22"/>
          <w:lang w:val="es-ES_tradnl"/>
        </w:rPr>
        <w:t>sensibilización</w:t>
      </w:r>
      <w:r w:rsidRPr="00B97122">
        <w:rPr>
          <w:rFonts w:asciiTheme="majorHAnsi" w:eastAsia="Calibri" w:hAnsiTheme="majorHAnsi" w:cs="Times New Roman"/>
          <w:sz w:val="22"/>
          <w:szCs w:val="22"/>
          <w:lang w:val="es-ES_tradnl"/>
        </w:rPr>
        <w:t xml:space="preserve"> de las comunidades locales, la aplicación de medidas de conservación y el turismo</w:t>
      </w:r>
      <w:r w:rsidR="00C64326" w:rsidRPr="00B97122">
        <w:rPr>
          <w:rFonts w:asciiTheme="majorHAnsi" w:eastAsia="Calibri" w:hAnsiTheme="majorHAnsi" w:cs="Times New Roman"/>
          <w:sz w:val="22"/>
          <w:szCs w:val="22"/>
          <w:lang w:val="es-ES_tradnl"/>
        </w:rPr>
        <w:t>.</w:t>
      </w:r>
    </w:p>
    <w:p w14:paraId="0F99617B" w14:textId="78480577" w:rsidR="00C64326" w:rsidRPr="00B97122" w:rsidRDefault="00C64326"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Star Alliance Partnership </w:t>
      </w:r>
      <w:r w:rsidR="00DF2674">
        <w:rPr>
          <w:rFonts w:asciiTheme="majorHAnsi" w:eastAsia="Calibri" w:hAnsiTheme="majorHAnsi" w:cs="Times New Roman"/>
          <w:sz w:val="22"/>
          <w:szCs w:val="22"/>
          <w:lang w:val="es-ES_tradnl"/>
        </w:rPr>
        <w:t>apoyó el c</w:t>
      </w:r>
      <w:r w:rsidR="000B3ED0" w:rsidRPr="00B97122">
        <w:rPr>
          <w:rFonts w:asciiTheme="majorHAnsi" w:eastAsia="Calibri" w:hAnsiTheme="majorHAnsi" w:cs="Times New Roman"/>
          <w:sz w:val="22"/>
          <w:szCs w:val="22"/>
          <w:lang w:val="es-ES_tradnl"/>
        </w:rPr>
        <w:t xml:space="preserve">oncurso de fotografía para jóvenes del Día Mundial de </w:t>
      </w:r>
      <w:r w:rsidR="007D52B4" w:rsidRPr="00B97122">
        <w:rPr>
          <w:rFonts w:asciiTheme="majorHAnsi" w:eastAsia="Calibri" w:hAnsiTheme="majorHAnsi" w:cs="Times New Roman"/>
          <w:sz w:val="22"/>
          <w:szCs w:val="22"/>
          <w:lang w:val="es-ES_tradnl"/>
        </w:rPr>
        <w:t>los</w:t>
      </w:r>
      <w:r w:rsidR="000B3ED0" w:rsidRPr="00B97122">
        <w:rPr>
          <w:rFonts w:asciiTheme="majorHAnsi" w:eastAsia="Calibri" w:hAnsiTheme="majorHAnsi" w:cs="Times New Roman"/>
          <w:sz w:val="22"/>
          <w:szCs w:val="22"/>
          <w:lang w:val="es-ES_tradnl"/>
        </w:rPr>
        <w:t xml:space="preserve"> Humedales, celebrado en </w:t>
      </w:r>
      <w:r w:rsidRPr="00B97122">
        <w:rPr>
          <w:rFonts w:asciiTheme="majorHAnsi" w:eastAsia="Calibri" w:hAnsiTheme="majorHAnsi" w:cs="Times New Roman"/>
          <w:sz w:val="22"/>
          <w:szCs w:val="22"/>
          <w:lang w:val="es-ES_tradnl"/>
        </w:rPr>
        <w:t xml:space="preserve">2016 </w:t>
      </w:r>
      <w:r w:rsidR="000B3ED0" w:rsidRPr="00B97122">
        <w:rPr>
          <w:rFonts w:asciiTheme="majorHAnsi" w:eastAsia="Calibri" w:hAnsiTheme="majorHAnsi" w:cs="Times New Roman"/>
          <w:sz w:val="22"/>
          <w:szCs w:val="22"/>
          <w:lang w:val="es-ES_tradnl"/>
        </w:rPr>
        <w:t xml:space="preserve">y 2017 y diseñado para </w:t>
      </w:r>
      <w:r w:rsidR="007D52B4">
        <w:rPr>
          <w:rFonts w:asciiTheme="majorHAnsi" w:eastAsia="Calibri" w:hAnsiTheme="majorHAnsi" w:cs="Times New Roman"/>
          <w:sz w:val="22"/>
          <w:szCs w:val="22"/>
          <w:lang w:val="es-ES_tradnl"/>
        </w:rPr>
        <w:t xml:space="preserve">fomentar la </w:t>
      </w:r>
      <w:r w:rsidR="007D52B4" w:rsidRPr="00B97122">
        <w:rPr>
          <w:rFonts w:asciiTheme="majorHAnsi" w:eastAsia="Calibri" w:hAnsiTheme="majorHAnsi" w:cs="Times New Roman"/>
          <w:sz w:val="22"/>
          <w:szCs w:val="22"/>
          <w:lang w:val="es-ES_tradnl"/>
        </w:rPr>
        <w:t>comprensión</w:t>
      </w:r>
      <w:r w:rsidR="000B3ED0" w:rsidRPr="00B97122">
        <w:rPr>
          <w:rFonts w:asciiTheme="majorHAnsi" w:eastAsia="Calibri" w:hAnsiTheme="majorHAnsi" w:cs="Times New Roman"/>
          <w:sz w:val="22"/>
          <w:szCs w:val="22"/>
          <w:lang w:val="es-ES_tradnl"/>
        </w:rPr>
        <w:t xml:space="preserve"> y promoción de los valores de los humedales </w:t>
      </w:r>
      <w:r w:rsidR="007D52B4">
        <w:rPr>
          <w:rFonts w:asciiTheme="majorHAnsi" w:eastAsia="Calibri" w:hAnsiTheme="majorHAnsi" w:cs="Times New Roman"/>
          <w:sz w:val="22"/>
          <w:szCs w:val="22"/>
          <w:lang w:val="es-ES_tradnl"/>
        </w:rPr>
        <w:t>entre los jóvenes.</w:t>
      </w:r>
    </w:p>
    <w:p w14:paraId="0A3D7245" w14:textId="6F209DDD" w:rsidR="00C64326" w:rsidRPr="00B97122" w:rsidRDefault="007D52B4" w:rsidP="004C3670">
      <w:pPr>
        <w:numPr>
          <w:ilvl w:val="0"/>
          <w:numId w:val="19"/>
        </w:numPr>
        <w:spacing w:after="200"/>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 xml:space="preserve">En consonancia con </w:t>
      </w:r>
      <w:r w:rsidR="000B3ED0" w:rsidRPr="00B97122">
        <w:rPr>
          <w:rFonts w:asciiTheme="majorHAnsi" w:eastAsia="Calibri" w:hAnsiTheme="majorHAnsi" w:cs="Times New Roman"/>
          <w:sz w:val="22"/>
          <w:szCs w:val="22"/>
          <w:lang w:val="es-ES_tradnl"/>
        </w:rPr>
        <w:t xml:space="preserve">el tema de la </w:t>
      </w:r>
      <w:r w:rsidR="00C64326" w:rsidRPr="00B97122">
        <w:rPr>
          <w:rFonts w:asciiTheme="majorHAnsi" w:eastAsia="Calibri" w:hAnsiTheme="majorHAnsi" w:cs="Times New Roman"/>
          <w:sz w:val="22"/>
          <w:szCs w:val="22"/>
          <w:lang w:val="es-ES_tradnl"/>
        </w:rPr>
        <w:t xml:space="preserve">COP13, </w:t>
      </w:r>
      <w:r w:rsidR="000B3ED0" w:rsidRPr="00B97122">
        <w:rPr>
          <w:rFonts w:asciiTheme="majorHAnsi" w:eastAsia="Calibri" w:hAnsiTheme="majorHAnsi" w:cs="Times New Roman"/>
          <w:sz w:val="22"/>
          <w:szCs w:val="22"/>
          <w:lang w:val="es-ES_tradnl"/>
        </w:rPr>
        <w:t xml:space="preserve">“Humedales para un futuro urbano sostenible”, </w:t>
      </w:r>
      <w:r w:rsidRPr="00B97122">
        <w:rPr>
          <w:rFonts w:asciiTheme="majorHAnsi" w:eastAsia="Calibri" w:hAnsiTheme="majorHAnsi" w:cs="Times New Roman"/>
          <w:sz w:val="22"/>
          <w:szCs w:val="22"/>
          <w:lang w:val="es-ES_tradnl"/>
        </w:rPr>
        <w:t xml:space="preserve">en 2017 </w:t>
      </w:r>
      <w:r w:rsidR="000B3ED0" w:rsidRPr="00B97122">
        <w:rPr>
          <w:rFonts w:asciiTheme="majorHAnsi" w:eastAsia="Calibri" w:hAnsiTheme="majorHAnsi" w:cs="Times New Roman"/>
          <w:sz w:val="22"/>
          <w:szCs w:val="22"/>
          <w:lang w:val="es-ES_tradnl"/>
        </w:rPr>
        <w:t xml:space="preserve">se solicitaron </w:t>
      </w:r>
      <w:r>
        <w:rPr>
          <w:rFonts w:asciiTheme="majorHAnsi" w:eastAsia="Calibri" w:hAnsiTheme="majorHAnsi" w:cs="Times New Roman"/>
          <w:sz w:val="22"/>
          <w:szCs w:val="22"/>
          <w:lang w:val="es-ES_tradnl"/>
        </w:rPr>
        <w:t>candidaturas</w:t>
      </w:r>
      <w:r w:rsidR="000B3ED0" w:rsidRPr="00B97122">
        <w:rPr>
          <w:rFonts w:asciiTheme="majorHAnsi" w:eastAsia="Calibri" w:hAnsiTheme="majorHAnsi" w:cs="Times New Roman"/>
          <w:sz w:val="22"/>
          <w:szCs w:val="22"/>
          <w:lang w:val="es-ES_tradnl"/>
        </w:rPr>
        <w:t xml:space="preserve"> </w:t>
      </w:r>
      <w:r>
        <w:rPr>
          <w:rFonts w:asciiTheme="majorHAnsi" w:eastAsia="Calibri" w:hAnsiTheme="majorHAnsi" w:cs="Times New Roman"/>
          <w:sz w:val="22"/>
          <w:szCs w:val="22"/>
          <w:lang w:val="es-ES_tradnl"/>
        </w:rPr>
        <w:t>para</w:t>
      </w:r>
      <w:r w:rsidR="000B3ED0" w:rsidRPr="00B97122">
        <w:rPr>
          <w:rFonts w:asciiTheme="majorHAnsi" w:eastAsia="Calibri" w:hAnsiTheme="majorHAnsi" w:cs="Times New Roman"/>
          <w:sz w:val="22"/>
          <w:szCs w:val="22"/>
          <w:lang w:val="es-ES_tradnl"/>
        </w:rPr>
        <w:t xml:space="preserve"> la acreditación de Ciudad de Humedal </w:t>
      </w:r>
      <w:r>
        <w:rPr>
          <w:rFonts w:asciiTheme="majorHAnsi" w:eastAsia="Calibri" w:hAnsiTheme="majorHAnsi" w:cs="Times New Roman"/>
          <w:sz w:val="22"/>
          <w:szCs w:val="22"/>
          <w:lang w:val="es-ES_tradnl"/>
        </w:rPr>
        <w:t>a fin de</w:t>
      </w:r>
      <w:r w:rsidR="000B3ED0" w:rsidRPr="00B97122">
        <w:rPr>
          <w:rFonts w:asciiTheme="majorHAnsi" w:eastAsia="Calibri" w:hAnsiTheme="majorHAnsi" w:cs="Times New Roman"/>
          <w:sz w:val="22"/>
          <w:szCs w:val="22"/>
          <w:lang w:val="es-ES_tradnl"/>
        </w:rPr>
        <w:t xml:space="preserve"> reconocer a las ciudades que demuestran tener una </w:t>
      </w:r>
      <w:r w:rsidRPr="00B97122">
        <w:rPr>
          <w:rFonts w:asciiTheme="majorHAnsi" w:eastAsia="Calibri" w:hAnsiTheme="majorHAnsi" w:cs="Times New Roman"/>
          <w:sz w:val="22"/>
          <w:szCs w:val="22"/>
          <w:lang w:val="es-ES_tradnl"/>
        </w:rPr>
        <w:t>relación</w:t>
      </w:r>
      <w:r w:rsidR="000B3ED0" w:rsidRPr="00B97122">
        <w:rPr>
          <w:rFonts w:asciiTheme="majorHAnsi" w:eastAsia="Calibri" w:hAnsiTheme="majorHAnsi" w:cs="Times New Roman"/>
          <w:sz w:val="22"/>
          <w:szCs w:val="22"/>
          <w:lang w:val="es-ES_tradnl"/>
        </w:rPr>
        <w:t xml:space="preserve"> </w:t>
      </w:r>
      <w:r w:rsidR="006D6AC8">
        <w:rPr>
          <w:rFonts w:asciiTheme="majorHAnsi" w:eastAsia="Calibri" w:hAnsiTheme="majorHAnsi" w:cs="Times New Roman"/>
          <w:sz w:val="22"/>
          <w:szCs w:val="22"/>
          <w:lang w:val="es-ES_tradnl"/>
        </w:rPr>
        <w:t>sólida</w:t>
      </w:r>
      <w:r w:rsidR="000B3ED0" w:rsidRPr="00B97122">
        <w:rPr>
          <w:rFonts w:asciiTheme="majorHAnsi" w:eastAsia="Calibri" w:hAnsiTheme="majorHAnsi" w:cs="Times New Roman"/>
          <w:sz w:val="22"/>
          <w:szCs w:val="22"/>
          <w:lang w:val="es-ES_tradnl"/>
        </w:rPr>
        <w:t xml:space="preserve"> y positiva </w:t>
      </w:r>
      <w:r w:rsidR="006D6AC8">
        <w:rPr>
          <w:rFonts w:asciiTheme="majorHAnsi" w:eastAsia="Calibri" w:hAnsiTheme="majorHAnsi" w:cs="Times New Roman"/>
          <w:sz w:val="22"/>
          <w:szCs w:val="22"/>
          <w:lang w:val="es-ES_tradnl"/>
        </w:rPr>
        <w:t xml:space="preserve">con los humedales. Este procedimiento </w:t>
      </w:r>
      <w:r w:rsidR="000B3ED0" w:rsidRPr="00B97122">
        <w:rPr>
          <w:rFonts w:asciiTheme="majorHAnsi" w:eastAsia="Calibri" w:hAnsiTheme="majorHAnsi" w:cs="Times New Roman"/>
          <w:sz w:val="22"/>
          <w:szCs w:val="22"/>
          <w:lang w:val="es-ES_tradnl"/>
        </w:rPr>
        <w:t xml:space="preserve">ha </w:t>
      </w:r>
      <w:r w:rsidR="006D6AC8">
        <w:rPr>
          <w:rFonts w:asciiTheme="majorHAnsi" w:eastAsia="Calibri" w:hAnsiTheme="majorHAnsi" w:cs="Times New Roman"/>
          <w:sz w:val="22"/>
          <w:szCs w:val="22"/>
          <w:lang w:val="es-ES_tradnl"/>
        </w:rPr>
        <w:t>tenido éxito, logrando</w:t>
      </w:r>
      <w:r w:rsidR="000B3ED0" w:rsidRPr="00B97122">
        <w:rPr>
          <w:rFonts w:asciiTheme="majorHAnsi" w:eastAsia="Calibri" w:hAnsiTheme="majorHAnsi" w:cs="Times New Roman"/>
          <w:sz w:val="22"/>
          <w:szCs w:val="22"/>
          <w:lang w:val="es-ES_tradnl"/>
        </w:rPr>
        <w:t xml:space="preserve"> una</w:t>
      </w:r>
      <w:r w:rsidR="00DC5C10">
        <w:rPr>
          <w:rFonts w:asciiTheme="majorHAnsi" w:eastAsia="Calibri" w:hAnsiTheme="majorHAnsi" w:cs="Times New Roman"/>
          <w:sz w:val="22"/>
          <w:szCs w:val="22"/>
          <w:lang w:val="es-ES_tradnl"/>
        </w:rPr>
        <w:t xml:space="preserve"> amplia respuesta internacional y</w:t>
      </w:r>
      <w:r w:rsidR="000B3ED0" w:rsidRPr="00B97122">
        <w:rPr>
          <w:rFonts w:asciiTheme="majorHAnsi" w:eastAsia="Calibri" w:hAnsiTheme="majorHAnsi" w:cs="Times New Roman"/>
          <w:sz w:val="22"/>
          <w:szCs w:val="22"/>
          <w:lang w:val="es-ES_tradnl"/>
        </w:rPr>
        <w:t xml:space="preserve"> la participación de </w:t>
      </w:r>
      <w:r w:rsidR="006D6AC8">
        <w:rPr>
          <w:rFonts w:asciiTheme="majorHAnsi" w:eastAsia="Calibri" w:hAnsiTheme="majorHAnsi" w:cs="Times New Roman"/>
          <w:sz w:val="22"/>
          <w:szCs w:val="22"/>
          <w:lang w:val="es-ES_tradnl"/>
        </w:rPr>
        <w:t xml:space="preserve">muchas Partes e incrementando la visibilidad de la </w:t>
      </w:r>
      <w:r w:rsidR="006D6AC8" w:rsidRPr="00B97122">
        <w:rPr>
          <w:rFonts w:asciiTheme="majorHAnsi" w:eastAsia="Calibri" w:hAnsiTheme="majorHAnsi" w:cs="Times New Roman"/>
          <w:sz w:val="22"/>
          <w:szCs w:val="22"/>
          <w:lang w:val="es-ES_tradnl"/>
        </w:rPr>
        <w:t>Convención</w:t>
      </w:r>
      <w:r w:rsidR="00C64326" w:rsidRPr="00B97122">
        <w:rPr>
          <w:rFonts w:asciiTheme="majorHAnsi" w:eastAsia="Calibri" w:hAnsiTheme="majorHAnsi" w:cs="Times New Roman"/>
          <w:sz w:val="22"/>
          <w:szCs w:val="22"/>
          <w:lang w:val="es-ES_tradnl"/>
        </w:rPr>
        <w:t xml:space="preserve"> </w:t>
      </w:r>
      <w:r w:rsidR="000B3ED0" w:rsidRPr="00B97122">
        <w:rPr>
          <w:rFonts w:asciiTheme="majorHAnsi" w:eastAsia="Calibri" w:hAnsiTheme="majorHAnsi" w:cs="Times New Roman"/>
          <w:sz w:val="22"/>
          <w:szCs w:val="22"/>
          <w:lang w:val="es-ES_tradnl"/>
        </w:rPr>
        <w:t xml:space="preserve">en las numerosas ciudades que presentaron </w:t>
      </w:r>
      <w:r w:rsidR="006D6AC8">
        <w:rPr>
          <w:rFonts w:asciiTheme="majorHAnsi" w:eastAsia="Calibri" w:hAnsiTheme="majorHAnsi" w:cs="Times New Roman"/>
          <w:sz w:val="22"/>
          <w:szCs w:val="22"/>
          <w:lang w:val="es-ES_tradnl"/>
        </w:rPr>
        <w:t>candidaturas</w:t>
      </w:r>
      <w:r w:rsidR="000B3ED0" w:rsidRPr="00B97122">
        <w:rPr>
          <w:rFonts w:asciiTheme="majorHAnsi" w:eastAsia="Calibri" w:hAnsiTheme="majorHAnsi" w:cs="Times New Roman"/>
          <w:sz w:val="22"/>
          <w:szCs w:val="22"/>
          <w:lang w:val="es-ES_tradnl"/>
        </w:rPr>
        <w:t xml:space="preserve">. Las ciudades </w:t>
      </w:r>
      <w:r w:rsidR="006D6AC8">
        <w:rPr>
          <w:rFonts w:asciiTheme="majorHAnsi" w:eastAsia="Calibri" w:hAnsiTheme="majorHAnsi" w:cs="Times New Roman"/>
          <w:sz w:val="22"/>
          <w:szCs w:val="22"/>
          <w:lang w:val="es-ES_tradnl"/>
        </w:rPr>
        <w:t xml:space="preserve">seleccionadas </w:t>
      </w:r>
      <w:r w:rsidR="000B3ED0" w:rsidRPr="00B97122">
        <w:rPr>
          <w:rFonts w:asciiTheme="majorHAnsi" w:eastAsia="Calibri" w:hAnsiTheme="majorHAnsi" w:cs="Times New Roman"/>
          <w:sz w:val="22"/>
          <w:szCs w:val="22"/>
          <w:lang w:val="es-ES_tradnl"/>
        </w:rPr>
        <w:t xml:space="preserve">serán anunciadas en la </w:t>
      </w:r>
      <w:r w:rsidR="00C64326" w:rsidRPr="00B97122">
        <w:rPr>
          <w:rFonts w:asciiTheme="majorHAnsi" w:eastAsia="Calibri" w:hAnsiTheme="majorHAnsi" w:cs="Times New Roman"/>
          <w:sz w:val="22"/>
          <w:szCs w:val="22"/>
          <w:lang w:val="es-ES_tradnl"/>
        </w:rPr>
        <w:t>COP13.</w:t>
      </w:r>
    </w:p>
    <w:p w14:paraId="72557896" w14:textId="7D4B6C04" w:rsidR="00C64326" w:rsidRPr="00B97122" w:rsidRDefault="000B3ED0"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Se creó una página web sobre “Cultura y humedales” para poner de relieve el trabajo </w:t>
      </w:r>
      <w:r w:rsidR="00517CCB" w:rsidRPr="00B97122">
        <w:rPr>
          <w:rFonts w:asciiTheme="majorHAnsi" w:eastAsia="Calibri" w:hAnsiTheme="majorHAnsi" w:cs="Times New Roman"/>
          <w:sz w:val="22"/>
          <w:szCs w:val="22"/>
          <w:lang w:val="es-ES_tradnl"/>
        </w:rPr>
        <w:t xml:space="preserve">relacionado con los valores culturales de los humedales, los medios de vida que estos proporcionan y los derechos de los pueblos indígenas y las comunidades locales </w:t>
      </w:r>
      <w:r w:rsidR="006D6AC8">
        <w:rPr>
          <w:rFonts w:asciiTheme="majorHAnsi" w:eastAsia="Calibri" w:hAnsiTheme="majorHAnsi" w:cs="Times New Roman"/>
          <w:sz w:val="22"/>
          <w:szCs w:val="22"/>
          <w:lang w:val="es-ES_tradnl"/>
        </w:rPr>
        <w:t>a</w:t>
      </w:r>
      <w:r w:rsidR="00517CCB" w:rsidRPr="00B97122">
        <w:rPr>
          <w:rFonts w:asciiTheme="majorHAnsi" w:eastAsia="Calibri" w:hAnsiTheme="majorHAnsi" w:cs="Times New Roman"/>
          <w:sz w:val="22"/>
          <w:szCs w:val="22"/>
          <w:lang w:val="es-ES_tradnl"/>
        </w:rPr>
        <w:t xml:space="preserve"> </w:t>
      </w:r>
      <w:r w:rsidR="006D6AC8" w:rsidRPr="00B97122">
        <w:rPr>
          <w:rFonts w:asciiTheme="majorHAnsi" w:eastAsia="Calibri" w:hAnsiTheme="majorHAnsi" w:cs="Times New Roman"/>
          <w:sz w:val="22"/>
          <w:szCs w:val="22"/>
          <w:lang w:val="es-ES_tradnl"/>
        </w:rPr>
        <w:t>participar</w:t>
      </w:r>
      <w:r w:rsidR="00517CCB" w:rsidRPr="00B97122">
        <w:rPr>
          <w:rFonts w:asciiTheme="majorHAnsi" w:eastAsia="Calibri" w:hAnsiTheme="majorHAnsi" w:cs="Times New Roman"/>
          <w:sz w:val="22"/>
          <w:szCs w:val="22"/>
          <w:lang w:val="es-ES_tradnl"/>
        </w:rPr>
        <w:t xml:space="preserve"> en su gestión</w:t>
      </w:r>
      <w:r w:rsidR="00C64326" w:rsidRPr="00B97122">
        <w:rPr>
          <w:rFonts w:asciiTheme="majorHAnsi" w:eastAsia="Calibri" w:hAnsiTheme="majorHAnsi" w:cs="Times New Roman"/>
          <w:sz w:val="22"/>
          <w:szCs w:val="22"/>
          <w:lang w:val="es-ES_tradnl"/>
        </w:rPr>
        <w:t>.</w:t>
      </w:r>
    </w:p>
    <w:p w14:paraId="3F2F73D7" w14:textId="77777777" w:rsidR="00CE4463" w:rsidRPr="00B97122" w:rsidRDefault="00CE4463" w:rsidP="00CE4463">
      <w:pPr>
        <w:spacing w:after="200"/>
        <w:contextualSpacing/>
        <w:rPr>
          <w:rFonts w:asciiTheme="majorHAnsi" w:eastAsia="Calibri" w:hAnsiTheme="majorHAnsi" w:cs="Times New Roman"/>
          <w:sz w:val="22"/>
          <w:szCs w:val="22"/>
          <w:lang w:val="es-ES_tradnl"/>
        </w:rPr>
      </w:pPr>
    </w:p>
    <w:p w14:paraId="5400032F" w14:textId="20D99F46" w:rsidR="00C64326" w:rsidRPr="00B97122"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lastRenderedPageBreak/>
        <w:t xml:space="preserve">Objetivo </w:t>
      </w:r>
      <w:r w:rsidR="00C64326" w:rsidRPr="00B97122">
        <w:rPr>
          <w:rFonts w:asciiTheme="majorHAnsi" w:eastAsia="Calibri" w:hAnsiTheme="majorHAnsi" w:cs="Times New Roman"/>
          <w:i/>
          <w:sz w:val="22"/>
          <w:szCs w:val="22"/>
          <w:lang w:val="es-ES_tradnl"/>
        </w:rPr>
        <w:t>6 – Program</w:t>
      </w:r>
      <w:r w:rsidR="00517CCB" w:rsidRPr="00B97122">
        <w:rPr>
          <w:rFonts w:asciiTheme="majorHAnsi" w:eastAsia="Calibri" w:hAnsiTheme="majorHAnsi" w:cs="Times New Roman"/>
          <w:i/>
          <w:sz w:val="22"/>
          <w:szCs w:val="22"/>
          <w:lang w:val="es-ES_tradnl"/>
        </w:rPr>
        <w:t>as y campañas para promover los humedales</w:t>
      </w:r>
    </w:p>
    <w:p w14:paraId="1F87031C" w14:textId="5869B14E" w:rsidR="00C64326" w:rsidRPr="00B97122" w:rsidRDefault="00517CCB"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Las </w:t>
      </w:r>
      <w:r w:rsidR="0085423E" w:rsidRPr="00B97122">
        <w:rPr>
          <w:rFonts w:asciiTheme="majorHAnsi" w:eastAsia="Calibri" w:hAnsiTheme="majorHAnsi" w:cs="Times New Roman"/>
          <w:sz w:val="22"/>
          <w:szCs w:val="22"/>
          <w:lang w:val="es-ES_tradnl"/>
        </w:rPr>
        <w:t>celebraciones</w:t>
      </w:r>
      <w:r w:rsidRPr="00B97122">
        <w:rPr>
          <w:rFonts w:asciiTheme="majorHAnsi" w:eastAsia="Calibri" w:hAnsiTheme="majorHAnsi" w:cs="Times New Roman"/>
          <w:sz w:val="22"/>
          <w:szCs w:val="22"/>
          <w:lang w:val="es-ES_tradnl"/>
        </w:rPr>
        <w:t xml:space="preserve"> del Día Mundial de los Humedales (DMH) centraron la atenc</w:t>
      </w:r>
      <w:r w:rsidR="0085423E">
        <w:rPr>
          <w:rFonts w:asciiTheme="majorHAnsi" w:eastAsia="Calibri" w:hAnsiTheme="majorHAnsi" w:cs="Times New Roman"/>
          <w:sz w:val="22"/>
          <w:szCs w:val="22"/>
          <w:lang w:val="es-ES_tradnl"/>
        </w:rPr>
        <w:t>ión en importantes cuestiones relativas a</w:t>
      </w:r>
      <w:r w:rsidRPr="00B97122">
        <w:rPr>
          <w:rFonts w:asciiTheme="majorHAnsi" w:eastAsia="Calibri" w:hAnsiTheme="majorHAnsi" w:cs="Times New Roman"/>
          <w:sz w:val="22"/>
          <w:szCs w:val="22"/>
          <w:lang w:val="es-ES_tradnl"/>
        </w:rPr>
        <w:t xml:space="preserve"> los humedales </w:t>
      </w:r>
      <w:r w:rsidR="0085423E">
        <w:rPr>
          <w:rFonts w:asciiTheme="majorHAnsi" w:eastAsia="Calibri" w:hAnsiTheme="majorHAnsi" w:cs="Times New Roman"/>
          <w:sz w:val="22"/>
          <w:szCs w:val="22"/>
          <w:lang w:val="es-ES_tradnl"/>
        </w:rPr>
        <w:t>durante este trienio</w:t>
      </w:r>
      <w:r w:rsidRPr="00B97122">
        <w:rPr>
          <w:rFonts w:asciiTheme="majorHAnsi" w:eastAsia="Calibri" w:hAnsiTheme="majorHAnsi" w:cs="Times New Roman"/>
          <w:sz w:val="22"/>
          <w:szCs w:val="22"/>
          <w:lang w:val="es-ES_tradnl"/>
        </w:rPr>
        <w:t>, tales como el papel de los humedales en los medios d</w:t>
      </w:r>
      <w:r w:rsidR="0085423E">
        <w:rPr>
          <w:rFonts w:asciiTheme="majorHAnsi" w:eastAsia="Calibri" w:hAnsiTheme="majorHAnsi" w:cs="Times New Roman"/>
          <w:sz w:val="22"/>
          <w:szCs w:val="22"/>
          <w:lang w:val="es-ES_tradnl"/>
        </w:rPr>
        <w:t>e</w:t>
      </w:r>
      <w:r w:rsidRPr="00B97122">
        <w:rPr>
          <w:rFonts w:asciiTheme="majorHAnsi" w:eastAsia="Calibri" w:hAnsiTheme="majorHAnsi" w:cs="Times New Roman"/>
          <w:sz w:val="22"/>
          <w:szCs w:val="22"/>
          <w:lang w:val="es-ES_tradnl"/>
        </w:rPr>
        <w:t xml:space="preserve"> vida sostenibles</w:t>
      </w:r>
      <w:r w:rsidR="00C64326" w:rsidRPr="00B97122">
        <w:rPr>
          <w:rFonts w:asciiTheme="majorHAnsi" w:eastAsia="Calibri" w:hAnsiTheme="majorHAnsi" w:cs="Times New Roman"/>
          <w:sz w:val="22"/>
          <w:szCs w:val="22"/>
          <w:lang w:val="es-ES_tradnl"/>
        </w:rPr>
        <w:t xml:space="preserve"> (2016), </w:t>
      </w:r>
      <w:r w:rsidRPr="00B97122">
        <w:rPr>
          <w:rFonts w:asciiTheme="majorHAnsi" w:eastAsia="Calibri" w:hAnsiTheme="majorHAnsi" w:cs="Times New Roman"/>
          <w:sz w:val="22"/>
          <w:szCs w:val="22"/>
          <w:lang w:val="es-ES_tradnl"/>
        </w:rPr>
        <w:t xml:space="preserve">la reducción del riesgo de desastres (2017) y las ciudades habitables </w:t>
      </w:r>
      <w:r w:rsidR="00C64326" w:rsidRPr="00B97122">
        <w:rPr>
          <w:rFonts w:asciiTheme="majorHAnsi" w:eastAsia="Calibri" w:hAnsiTheme="majorHAnsi" w:cs="Times New Roman"/>
          <w:sz w:val="22"/>
          <w:szCs w:val="22"/>
          <w:lang w:val="es-ES_tradnl"/>
        </w:rPr>
        <w:t xml:space="preserve">(2018). </w:t>
      </w:r>
    </w:p>
    <w:p w14:paraId="198F0544" w14:textId="4443AFBC" w:rsidR="00C64326" w:rsidRPr="00B97122" w:rsidRDefault="00B43EA5"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En</w:t>
      </w:r>
      <w:r w:rsidR="00C64326" w:rsidRPr="00B97122">
        <w:rPr>
          <w:rFonts w:asciiTheme="majorHAnsi" w:eastAsia="Calibri" w:hAnsiTheme="majorHAnsi" w:cs="Times New Roman"/>
          <w:sz w:val="22"/>
          <w:szCs w:val="22"/>
          <w:lang w:val="es-ES_tradnl"/>
        </w:rPr>
        <w:t xml:space="preserve"> 2018, </w:t>
      </w:r>
      <w:r w:rsidRPr="00B97122">
        <w:rPr>
          <w:rFonts w:asciiTheme="majorHAnsi" w:eastAsia="Calibri" w:hAnsiTheme="majorHAnsi" w:cs="Times New Roman"/>
          <w:sz w:val="22"/>
          <w:szCs w:val="22"/>
          <w:lang w:val="es-ES_tradnl"/>
        </w:rPr>
        <w:t>hubo 1.</w:t>
      </w:r>
      <w:r w:rsidR="00C64326" w:rsidRPr="00B97122">
        <w:rPr>
          <w:rFonts w:asciiTheme="majorHAnsi" w:eastAsia="Calibri" w:hAnsiTheme="majorHAnsi" w:cs="Times New Roman"/>
          <w:sz w:val="22"/>
          <w:szCs w:val="22"/>
          <w:lang w:val="es-ES_tradnl"/>
        </w:rPr>
        <w:t xml:space="preserve">500 </w:t>
      </w:r>
      <w:r w:rsidR="00FD4A64">
        <w:rPr>
          <w:rFonts w:asciiTheme="majorHAnsi" w:eastAsia="Calibri" w:hAnsiTheme="majorHAnsi" w:cs="Times New Roman"/>
          <w:sz w:val="22"/>
          <w:szCs w:val="22"/>
          <w:lang w:val="es-ES_tradnl"/>
        </w:rPr>
        <w:t>actividades registrada</w:t>
      </w:r>
      <w:r w:rsidRPr="00B97122">
        <w:rPr>
          <w:rFonts w:asciiTheme="majorHAnsi" w:eastAsia="Calibri" w:hAnsiTheme="majorHAnsi" w:cs="Times New Roman"/>
          <w:sz w:val="22"/>
          <w:szCs w:val="22"/>
          <w:lang w:val="es-ES_tradnl"/>
        </w:rPr>
        <w:t xml:space="preserve">s en </w:t>
      </w:r>
      <w:r w:rsidR="00C64326" w:rsidRPr="00B97122">
        <w:rPr>
          <w:rFonts w:asciiTheme="majorHAnsi" w:eastAsia="Calibri" w:hAnsiTheme="majorHAnsi" w:cs="Times New Roman"/>
          <w:sz w:val="22"/>
          <w:szCs w:val="22"/>
          <w:lang w:val="es-ES_tradnl"/>
        </w:rPr>
        <w:t xml:space="preserve">118 </w:t>
      </w:r>
      <w:r w:rsidRPr="00B97122">
        <w:rPr>
          <w:rFonts w:asciiTheme="majorHAnsi" w:eastAsia="Calibri" w:hAnsiTheme="majorHAnsi" w:cs="Times New Roman"/>
          <w:sz w:val="22"/>
          <w:szCs w:val="22"/>
          <w:lang w:val="es-ES_tradnl"/>
        </w:rPr>
        <w:t xml:space="preserve">países, más de 1.800 artículos en línea que </w:t>
      </w:r>
      <w:r w:rsidR="0085423E" w:rsidRPr="00B97122">
        <w:rPr>
          <w:rFonts w:asciiTheme="majorHAnsi" w:eastAsia="Calibri" w:hAnsiTheme="majorHAnsi" w:cs="Times New Roman"/>
          <w:sz w:val="22"/>
          <w:szCs w:val="22"/>
          <w:lang w:val="es-ES_tradnl"/>
        </w:rPr>
        <w:t>mencionaron</w:t>
      </w:r>
      <w:r w:rsidRPr="00B97122">
        <w:rPr>
          <w:rFonts w:asciiTheme="majorHAnsi" w:eastAsia="Calibri" w:hAnsiTheme="majorHAnsi" w:cs="Times New Roman"/>
          <w:sz w:val="22"/>
          <w:szCs w:val="22"/>
          <w:lang w:val="es-ES_tradnl"/>
        </w:rPr>
        <w:t xml:space="preserve"> el DMH y </w:t>
      </w:r>
      <w:r w:rsidR="0085423E">
        <w:rPr>
          <w:rFonts w:asciiTheme="majorHAnsi" w:eastAsia="Calibri" w:hAnsiTheme="majorHAnsi" w:cs="Times New Roman"/>
          <w:sz w:val="22"/>
          <w:szCs w:val="22"/>
          <w:lang w:val="es-ES_tradnl"/>
        </w:rPr>
        <w:t xml:space="preserve">una presencia en las </w:t>
      </w:r>
      <w:r w:rsidRPr="00B97122">
        <w:rPr>
          <w:rFonts w:asciiTheme="majorHAnsi" w:eastAsia="Calibri" w:hAnsiTheme="majorHAnsi" w:cs="Times New Roman"/>
          <w:sz w:val="22"/>
          <w:szCs w:val="22"/>
          <w:lang w:val="es-ES_tradnl"/>
        </w:rPr>
        <w:t xml:space="preserve">redes sociales </w:t>
      </w:r>
      <w:r w:rsidR="0085423E">
        <w:rPr>
          <w:rFonts w:asciiTheme="majorHAnsi" w:eastAsia="Calibri" w:hAnsiTheme="majorHAnsi" w:cs="Times New Roman"/>
          <w:sz w:val="22"/>
          <w:szCs w:val="22"/>
          <w:lang w:val="es-ES_tradnl"/>
        </w:rPr>
        <w:t>alcanzando a casi 9 millones de personas. El número de visitas del</w:t>
      </w:r>
      <w:r w:rsidRPr="00B97122">
        <w:rPr>
          <w:rFonts w:asciiTheme="majorHAnsi" w:eastAsia="Calibri" w:hAnsiTheme="majorHAnsi" w:cs="Times New Roman"/>
          <w:sz w:val="22"/>
          <w:szCs w:val="22"/>
          <w:lang w:val="es-ES_tradnl"/>
        </w:rPr>
        <w:t xml:space="preserve"> sitio web del DMH de Ramsar fue de unas 50.000 en </w:t>
      </w:r>
      <w:r w:rsidR="00C64326" w:rsidRPr="00B97122">
        <w:rPr>
          <w:rFonts w:asciiTheme="majorHAnsi" w:eastAsia="Calibri" w:hAnsiTheme="majorHAnsi" w:cs="Times New Roman"/>
          <w:sz w:val="22"/>
          <w:szCs w:val="22"/>
          <w:lang w:val="es-ES_tradnl"/>
        </w:rPr>
        <w:t>2016</w:t>
      </w:r>
      <w:r w:rsidR="00361AE0">
        <w:rPr>
          <w:rFonts w:asciiTheme="majorHAnsi" w:eastAsia="Calibri" w:hAnsiTheme="majorHAnsi" w:cs="Times New Roman"/>
          <w:sz w:val="22"/>
          <w:szCs w:val="22"/>
          <w:lang w:val="es-ES_tradnl"/>
        </w:rPr>
        <w:t xml:space="preserve"> y </w:t>
      </w:r>
      <w:r w:rsidR="00C64326" w:rsidRPr="00B97122">
        <w:rPr>
          <w:rFonts w:asciiTheme="majorHAnsi" w:eastAsia="Calibri" w:hAnsiTheme="majorHAnsi" w:cs="Times New Roman"/>
          <w:sz w:val="22"/>
          <w:szCs w:val="22"/>
          <w:lang w:val="es-ES_tradnl"/>
        </w:rPr>
        <w:t>2017,</w:t>
      </w:r>
      <w:r w:rsidRPr="00B97122">
        <w:rPr>
          <w:rFonts w:asciiTheme="majorHAnsi" w:eastAsia="Calibri" w:hAnsiTheme="majorHAnsi" w:cs="Times New Roman"/>
          <w:sz w:val="22"/>
          <w:szCs w:val="22"/>
          <w:lang w:val="es-ES_tradnl"/>
        </w:rPr>
        <w:t xml:space="preserve"> pero aumentó considerablemente hasta alcanzar las </w:t>
      </w:r>
      <w:r w:rsidR="003F3312" w:rsidRPr="00B97122">
        <w:rPr>
          <w:rFonts w:asciiTheme="majorHAnsi" w:eastAsia="Calibri" w:hAnsiTheme="majorHAnsi" w:cs="Times New Roman"/>
          <w:sz w:val="22"/>
          <w:szCs w:val="22"/>
          <w:lang w:val="es-ES_tradnl"/>
        </w:rPr>
        <w:t>20</w:t>
      </w:r>
      <w:r w:rsidR="00C64326" w:rsidRPr="00B97122">
        <w:rPr>
          <w:rFonts w:asciiTheme="majorHAnsi" w:eastAsia="Calibri" w:hAnsiTheme="majorHAnsi" w:cs="Times New Roman"/>
          <w:sz w:val="22"/>
          <w:szCs w:val="22"/>
          <w:lang w:val="es-ES_tradnl"/>
        </w:rPr>
        <w:t>0</w:t>
      </w:r>
      <w:r w:rsidR="003F3312" w:rsidRPr="00B97122">
        <w:rPr>
          <w:rFonts w:asciiTheme="majorHAnsi" w:eastAsia="Calibri" w:hAnsiTheme="majorHAnsi" w:cs="Times New Roman"/>
          <w:sz w:val="22"/>
          <w:szCs w:val="22"/>
          <w:lang w:val="es-ES_tradnl"/>
        </w:rPr>
        <w:t>.</w:t>
      </w:r>
      <w:r w:rsidR="00C64326" w:rsidRPr="00B97122">
        <w:rPr>
          <w:rFonts w:asciiTheme="majorHAnsi" w:eastAsia="Calibri" w:hAnsiTheme="majorHAnsi" w:cs="Times New Roman"/>
          <w:sz w:val="22"/>
          <w:szCs w:val="22"/>
          <w:lang w:val="es-ES_tradnl"/>
        </w:rPr>
        <w:t xml:space="preserve">000 </w:t>
      </w:r>
      <w:r w:rsidR="003F3312" w:rsidRPr="00B97122">
        <w:rPr>
          <w:rFonts w:asciiTheme="majorHAnsi" w:eastAsia="Calibri" w:hAnsiTheme="majorHAnsi" w:cs="Times New Roman"/>
          <w:sz w:val="22"/>
          <w:szCs w:val="22"/>
          <w:lang w:val="es-ES_tradnl"/>
        </w:rPr>
        <w:t xml:space="preserve">en </w:t>
      </w:r>
      <w:r w:rsidR="00C64326" w:rsidRPr="00B97122">
        <w:rPr>
          <w:rFonts w:asciiTheme="majorHAnsi" w:eastAsia="Calibri" w:hAnsiTheme="majorHAnsi" w:cs="Times New Roman"/>
          <w:sz w:val="22"/>
          <w:szCs w:val="22"/>
          <w:lang w:val="es-ES_tradnl"/>
        </w:rPr>
        <w:t xml:space="preserve">2018.  </w:t>
      </w:r>
      <w:r w:rsidR="003F3312" w:rsidRPr="00B97122">
        <w:rPr>
          <w:rFonts w:asciiTheme="majorHAnsi" w:eastAsia="Calibri" w:hAnsiTheme="majorHAnsi" w:cs="Times New Roman"/>
          <w:sz w:val="22"/>
          <w:szCs w:val="22"/>
          <w:lang w:val="es-ES_tradnl"/>
        </w:rPr>
        <w:t xml:space="preserve">Hay que felicitar a las Partes por sus esfuerzos para </w:t>
      </w:r>
      <w:r w:rsidR="0085423E">
        <w:rPr>
          <w:rFonts w:asciiTheme="majorHAnsi" w:eastAsia="Calibri" w:hAnsiTheme="majorHAnsi" w:cs="Times New Roman"/>
          <w:sz w:val="22"/>
          <w:szCs w:val="22"/>
          <w:lang w:val="es-ES_tradnl"/>
        </w:rPr>
        <w:t xml:space="preserve">aumentar la visibilidad </w:t>
      </w:r>
      <w:r w:rsidR="005910B4">
        <w:rPr>
          <w:rFonts w:asciiTheme="majorHAnsi" w:eastAsia="Calibri" w:hAnsiTheme="majorHAnsi" w:cs="Times New Roman"/>
          <w:sz w:val="22"/>
          <w:szCs w:val="22"/>
          <w:lang w:val="es-ES_tradnl"/>
        </w:rPr>
        <w:t>de la Convención mediante esta</w:t>
      </w:r>
      <w:r w:rsidR="003F3312" w:rsidRPr="00B97122">
        <w:rPr>
          <w:rFonts w:asciiTheme="majorHAnsi" w:eastAsia="Calibri" w:hAnsiTheme="majorHAnsi" w:cs="Times New Roman"/>
          <w:sz w:val="22"/>
          <w:szCs w:val="22"/>
          <w:lang w:val="es-ES_tradnl"/>
        </w:rPr>
        <w:t xml:space="preserve">s </w:t>
      </w:r>
      <w:r w:rsidR="005910B4">
        <w:rPr>
          <w:rFonts w:asciiTheme="majorHAnsi" w:eastAsia="Calibri" w:hAnsiTheme="majorHAnsi" w:cs="Times New Roman"/>
          <w:sz w:val="22"/>
          <w:szCs w:val="22"/>
          <w:lang w:val="es-ES_tradnl"/>
        </w:rPr>
        <w:t>exitosa</w:t>
      </w:r>
      <w:r w:rsidR="0085423E" w:rsidRPr="00B97122">
        <w:rPr>
          <w:rFonts w:asciiTheme="majorHAnsi" w:eastAsia="Calibri" w:hAnsiTheme="majorHAnsi" w:cs="Times New Roman"/>
          <w:sz w:val="22"/>
          <w:szCs w:val="22"/>
          <w:lang w:val="es-ES_tradnl"/>
        </w:rPr>
        <w:t xml:space="preserve">s </w:t>
      </w:r>
      <w:r w:rsidR="005910B4">
        <w:rPr>
          <w:rFonts w:asciiTheme="majorHAnsi" w:eastAsia="Calibri" w:hAnsiTheme="majorHAnsi" w:cs="Times New Roman"/>
          <w:sz w:val="22"/>
          <w:szCs w:val="22"/>
          <w:lang w:val="es-ES_tradnl"/>
        </w:rPr>
        <w:t>actividades</w:t>
      </w:r>
      <w:r w:rsidR="003F3312" w:rsidRPr="00B97122">
        <w:rPr>
          <w:rFonts w:asciiTheme="majorHAnsi" w:eastAsia="Calibri" w:hAnsiTheme="majorHAnsi" w:cs="Times New Roman"/>
          <w:sz w:val="22"/>
          <w:szCs w:val="22"/>
          <w:lang w:val="es-ES_tradnl"/>
        </w:rPr>
        <w:t xml:space="preserve">. Hubo más de </w:t>
      </w:r>
      <w:r w:rsidR="00C64326" w:rsidRPr="00B97122">
        <w:rPr>
          <w:rFonts w:asciiTheme="majorHAnsi" w:eastAsia="Calibri" w:hAnsiTheme="majorHAnsi" w:cs="Times New Roman"/>
          <w:sz w:val="22"/>
          <w:szCs w:val="22"/>
          <w:lang w:val="es-ES_tradnl"/>
        </w:rPr>
        <w:t>151</w:t>
      </w:r>
      <w:r w:rsidR="003F3312" w:rsidRPr="00B97122">
        <w:rPr>
          <w:rFonts w:asciiTheme="majorHAnsi" w:eastAsia="Calibri" w:hAnsiTheme="majorHAnsi" w:cs="Times New Roman"/>
          <w:sz w:val="22"/>
          <w:szCs w:val="22"/>
          <w:lang w:val="es-ES_tradnl"/>
        </w:rPr>
        <w:t>.</w:t>
      </w:r>
      <w:r w:rsidR="00C64326" w:rsidRPr="00B97122">
        <w:rPr>
          <w:rFonts w:asciiTheme="majorHAnsi" w:eastAsia="Calibri" w:hAnsiTheme="majorHAnsi" w:cs="Times New Roman"/>
          <w:sz w:val="22"/>
          <w:szCs w:val="22"/>
          <w:lang w:val="es-ES_tradnl"/>
        </w:rPr>
        <w:t xml:space="preserve">000 </w:t>
      </w:r>
      <w:r w:rsidR="003F3312" w:rsidRPr="00B97122">
        <w:rPr>
          <w:rFonts w:asciiTheme="majorHAnsi" w:eastAsia="Calibri" w:hAnsiTheme="majorHAnsi" w:cs="Times New Roman"/>
          <w:sz w:val="22"/>
          <w:szCs w:val="22"/>
          <w:lang w:val="es-ES_tradnl"/>
        </w:rPr>
        <w:t xml:space="preserve">descargas de materiales </w:t>
      </w:r>
      <w:r w:rsidR="005910B4">
        <w:rPr>
          <w:rFonts w:asciiTheme="majorHAnsi" w:eastAsia="Calibri" w:hAnsiTheme="majorHAnsi" w:cs="Times New Roman"/>
          <w:sz w:val="22"/>
          <w:szCs w:val="22"/>
          <w:lang w:val="es-ES_tradnl"/>
        </w:rPr>
        <w:t>sobre</w:t>
      </w:r>
      <w:r w:rsidR="003F3312" w:rsidRPr="00B97122">
        <w:rPr>
          <w:rFonts w:asciiTheme="majorHAnsi" w:eastAsia="Calibri" w:hAnsiTheme="majorHAnsi" w:cs="Times New Roman"/>
          <w:sz w:val="22"/>
          <w:szCs w:val="22"/>
          <w:lang w:val="es-ES_tradnl"/>
        </w:rPr>
        <w:t xml:space="preserve"> el DMH.</w:t>
      </w:r>
    </w:p>
    <w:p w14:paraId="1EC9CF1B" w14:textId="21031308" w:rsidR="00C64326" w:rsidRPr="00B97122" w:rsidRDefault="0085423E" w:rsidP="004C3670">
      <w:pPr>
        <w:numPr>
          <w:ilvl w:val="0"/>
          <w:numId w:val="17"/>
        </w:numPr>
        <w:spacing w:after="200"/>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En</w:t>
      </w:r>
      <w:r w:rsidR="003F3312" w:rsidRPr="00B97122">
        <w:rPr>
          <w:rFonts w:asciiTheme="majorHAnsi" w:eastAsia="Calibri" w:hAnsiTheme="majorHAnsi" w:cs="Times New Roman"/>
          <w:sz w:val="22"/>
          <w:szCs w:val="22"/>
          <w:lang w:val="es-ES_tradnl"/>
        </w:rPr>
        <w:t xml:space="preserve"> total,</w:t>
      </w:r>
      <w:r>
        <w:rPr>
          <w:rFonts w:asciiTheme="majorHAnsi" w:eastAsia="Calibri" w:hAnsiTheme="majorHAnsi" w:cs="Times New Roman"/>
          <w:sz w:val="22"/>
          <w:szCs w:val="22"/>
          <w:lang w:val="es-ES_tradnl"/>
        </w:rPr>
        <w:t xml:space="preserve"> el</w:t>
      </w:r>
      <w:r w:rsidR="003F3312"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87</w:t>
      </w:r>
      <w:r w:rsidR="003F3312"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003F3312" w:rsidRPr="00B97122">
        <w:rPr>
          <w:rFonts w:asciiTheme="majorHAnsi" w:eastAsia="Calibri" w:hAnsiTheme="majorHAnsi" w:cs="Times New Roman"/>
          <w:sz w:val="22"/>
          <w:szCs w:val="22"/>
          <w:lang w:val="es-ES_tradnl"/>
        </w:rPr>
        <w:t>de los países informaron</w:t>
      </w:r>
      <w:r>
        <w:rPr>
          <w:rFonts w:asciiTheme="majorHAnsi" w:eastAsia="Calibri" w:hAnsiTheme="majorHAnsi" w:cs="Times New Roman"/>
          <w:sz w:val="22"/>
          <w:szCs w:val="22"/>
          <w:lang w:val="es-ES_tradnl"/>
        </w:rPr>
        <w:t xml:space="preserve"> </w:t>
      </w:r>
      <w:r w:rsidR="003F3312" w:rsidRPr="00B97122">
        <w:rPr>
          <w:rFonts w:asciiTheme="majorHAnsi" w:eastAsia="Calibri" w:hAnsiTheme="majorHAnsi" w:cs="Times New Roman"/>
          <w:sz w:val="22"/>
          <w:szCs w:val="22"/>
          <w:lang w:val="es-ES_tradnl"/>
        </w:rPr>
        <w:t xml:space="preserve">sobre la celebración de actividades </w:t>
      </w:r>
      <w:r>
        <w:rPr>
          <w:rFonts w:asciiTheme="majorHAnsi" w:eastAsia="Calibri" w:hAnsiTheme="majorHAnsi" w:cs="Times New Roman"/>
          <w:sz w:val="22"/>
          <w:szCs w:val="22"/>
          <w:lang w:val="es-ES_tradnl"/>
        </w:rPr>
        <w:t>“</w:t>
      </w:r>
      <w:r w:rsidR="00C64326" w:rsidRPr="00B97122">
        <w:rPr>
          <w:rFonts w:asciiTheme="majorHAnsi" w:eastAsia="Calibri" w:hAnsiTheme="majorHAnsi" w:cs="Times New Roman"/>
          <w:sz w:val="22"/>
          <w:szCs w:val="22"/>
          <w:lang w:val="es-ES_tradnl"/>
        </w:rPr>
        <w:t>Ramsar</w:t>
      </w:r>
      <w:r>
        <w:rPr>
          <w:rFonts w:asciiTheme="majorHAnsi" w:eastAsia="Calibri" w:hAnsiTheme="majorHAnsi" w:cs="Times New Roman"/>
          <w:sz w:val="22"/>
          <w:szCs w:val="22"/>
          <w:lang w:val="es-ES_tradnl"/>
        </w:rPr>
        <w:t>” en el</w:t>
      </w:r>
      <w:r w:rsidR="003F3312" w:rsidRPr="00B97122">
        <w:rPr>
          <w:rFonts w:asciiTheme="majorHAnsi" w:eastAsia="Calibri" w:hAnsiTheme="majorHAnsi" w:cs="Times New Roman"/>
          <w:sz w:val="22"/>
          <w:szCs w:val="22"/>
          <w:lang w:val="es-ES_tradnl"/>
        </w:rPr>
        <w:t xml:space="preserve"> Día Mundial de los Humedales durante el trienio (cifras similares a las del informe a la CO</w:t>
      </w:r>
      <w:r w:rsidR="00C64326" w:rsidRPr="00B97122">
        <w:rPr>
          <w:rFonts w:asciiTheme="majorHAnsi" w:eastAsia="Calibri" w:hAnsiTheme="majorHAnsi" w:cs="Times New Roman"/>
          <w:sz w:val="22"/>
          <w:szCs w:val="22"/>
          <w:lang w:val="es-ES_tradnl"/>
        </w:rPr>
        <w:t xml:space="preserve">P12). </w:t>
      </w:r>
      <w:r w:rsidR="003F3312" w:rsidRPr="00B97122">
        <w:rPr>
          <w:rFonts w:asciiTheme="majorHAnsi" w:eastAsia="Calibri" w:hAnsiTheme="majorHAnsi" w:cs="Times New Roman"/>
          <w:sz w:val="22"/>
          <w:szCs w:val="22"/>
          <w:lang w:val="es-ES_tradnl"/>
        </w:rPr>
        <w:t xml:space="preserve">Esto también se reflejó en el elevado número de </w:t>
      </w:r>
      <w:r>
        <w:rPr>
          <w:rFonts w:asciiTheme="majorHAnsi" w:eastAsia="Calibri" w:hAnsiTheme="majorHAnsi" w:cs="Times New Roman"/>
          <w:sz w:val="22"/>
          <w:szCs w:val="22"/>
          <w:lang w:val="es-ES_tradnl"/>
        </w:rPr>
        <w:t>eventos señalado</w:t>
      </w:r>
      <w:r w:rsidR="003F3312" w:rsidRPr="00B97122">
        <w:rPr>
          <w:rFonts w:asciiTheme="majorHAnsi" w:eastAsia="Calibri" w:hAnsiTheme="majorHAnsi" w:cs="Times New Roman"/>
          <w:sz w:val="22"/>
          <w:szCs w:val="22"/>
          <w:lang w:val="es-ES_tradnl"/>
        </w:rPr>
        <w:t xml:space="preserve">s en el mapa de </w:t>
      </w:r>
      <w:r>
        <w:rPr>
          <w:rFonts w:asciiTheme="majorHAnsi" w:eastAsia="Calibri" w:hAnsiTheme="majorHAnsi" w:cs="Times New Roman"/>
          <w:sz w:val="22"/>
          <w:szCs w:val="22"/>
          <w:lang w:val="es-ES_tradnl"/>
        </w:rPr>
        <w:t>actividades</w:t>
      </w:r>
      <w:r w:rsidR="003F3312" w:rsidRPr="00B97122">
        <w:rPr>
          <w:rFonts w:asciiTheme="majorHAnsi" w:eastAsia="Calibri" w:hAnsiTheme="majorHAnsi" w:cs="Times New Roman"/>
          <w:sz w:val="22"/>
          <w:szCs w:val="22"/>
          <w:lang w:val="es-ES_tradnl"/>
        </w:rPr>
        <w:t xml:space="preserve"> que figura en el sitio web de la Secretaría</w:t>
      </w:r>
      <w:r w:rsidR="00C64326" w:rsidRPr="00B97122">
        <w:rPr>
          <w:rFonts w:asciiTheme="majorHAnsi" w:eastAsia="Calibri" w:hAnsiTheme="majorHAnsi" w:cs="Times New Roman"/>
          <w:sz w:val="22"/>
          <w:szCs w:val="22"/>
          <w:lang w:val="es-ES_tradnl"/>
        </w:rPr>
        <w:t xml:space="preserve"> (</w:t>
      </w:r>
      <w:r w:rsidR="003F3312" w:rsidRPr="00B97122">
        <w:rPr>
          <w:rFonts w:asciiTheme="majorHAnsi" w:eastAsia="Calibri" w:hAnsiTheme="majorHAnsi" w:cs="Times New Roman"/>
          <w:sz w:val="22"/>
          <w:szCs w:val="22"/>
          <w:lang w:val="es-ES_tradnl"/>
        </w:rPr>
        <w:t xml:space="preserve">p. ej., más de </w:t>
      </w:r>
      <w:r w:rsidR="00C64326" w:rsidRPr="00B97122">
        <w:rPr>
          <w:rFonts w:asciiTheme="majorHAnsi" w:eastAsia="Calibri" w:hAnsiTheme="majorHAnsi" w:cs="Times New Roman"/>
          <w:sz w:val="22"/>
          <w:szCs w:val="22"/>
          <w:lang w:val="es-ES_tradnl"/>
        </w:rPr>
        <w:t>1</w:t>
      </w:r>
      <w:r w:rsidR="003F3312" w:rsidRPr="00B97122">
        <w:rPr>
          <w:rFonts w:asciiTheme="majorHAnsi" w:eastAsia="Calibri" w:hAnsiTheme="majorHAnsi" w:cs="Times New Roman"/>
          <w:sz w:val="22"/>
          <w:szCs w:val="22"/>
          <w:lang w:val="es-ES_tradnl"/>
        </w:rPr>
        <w:t>.</w:t>
      </w:r>
      <w:r w:rsidR="00C64326" w:rsidRPr="00B97122">
        <w:rPr>
          <w:rFonts w:asciiTheme="majorHAnsi" w:eastAsia="Calibri" w:hAnsiTheme="majorHAnsi" w:cs="Times New Roman"/>
          <w:sz w:val="22"/>
          <w:szCs w:val="22"/>
          <w:lang w:val="es-ES_tradnl"/>
        </w:rPr>
        <w:t xml:space="preserve">500 </w:t>
      </w:r>
      <w:r>
        <w:rPr>
          <w:rFonts w:asciiTheme="majorHAnsi" w:eastAsia="Calibri" w:hAnsiTheme="majorHAnsi" w:cs="Times New Roman"/>
          <w:sz w:val="22"/>
          <w:szCs w:val="22"/>
          <w:lang w:val="es-ES_tradnl"/>
        </w:rPr>
        <w:t>actividades</w:t>
      </w:r>
      <w:r w:rsidR="003F3312" w:rsidRPr="00B97122">
        <w:rPr>
          <w:rFonts w:asciiTheme="majorHAnsi" w:eastAsia="Calibri" w:hAnsiTheme="majorHAnsi" w:cs="Times New Roman"/>
          <w:sz w:val="22"/>
          <w:szCs w:val="22"/>
          <w:lang w:val="es-ES_tradnl"/>
        </w:rPr>
        <w:t xml:space="preserve"> en </w:t>
      </w:r>
      <w:r w:rsidR="00C64326" w:rsidRPr="00B97122">
        <w:rPr>
          <w:rFonts w:asciiTheme="majorHAnsi" w:eastAsia="Calibri" w:hAnsiTheme="majorHAnsi" w:cs="Times New Roman"/>
          <w:sz w:val="22"/>
          <w:szCs w:val="22"/>
          <w:lang w:val="es-ES_tradnl"/>
        </w:rPr>
        <w:t>2018).</w:t>
      </w:r>
    </w:p>
    <w:p w14:paraId="3F1B0AA3" w14:textId="7DF5FEE2" w:rsidR="00C64326" w:rsidRPr="00B97122" w:rsidRDefault="003F3312"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En colaboración con </w:t>
      </w:r>
      <w:r w:rsidR="00C64326" w:rsidRPr="00B97122">
        <w:rPr>
          <w:rFonts w:asciiTheme="majorHAnsi" w:eastAsia="Calibri" w:hAnsiTheme="majorHAnsi" w:cs="Times New Roman"/>
          <w:sz w:val="22"/>
          <w:szCs w:val="22"/>
          <w:lang w:val="es-ES_tradnl"/>
        </w:rPr>
        <w:t xml:space="preserve">Danone, </w:t>
      </w:r>
      <w:r w:rsidR="00C016F6" w:rsidRPr="00B97122">
        <w:rPr>
          <w:rFonts w:asciiTheme="majorHAnsi" w:eastAsia="Calibri" w:hAnsiTheme="majorHAnsi" w:cs="Times New Roman"/>
          <w:sz w:val="22"/>
          <w:szCs w:val="22"/>
          <w:lang w:val="es-ES_tradnl"/>
        </w:rPr>
        <w:t xml:space="preserve">la Secretaría proporcionó recursos para </w:t>
      </w:r>
      <w:r w:rsidR="0085423E" w:rsidRPr="00B97122">
        <w:rPr>
          <w:rFonts w:asciiTheme="majorHAnsi" w:eastAsia="Calibri" w:hAnsiTheme="majorHAnsi" w:cs="Times New Roman"/>
          <w:sz w:val="22"/>
          <w:szCs w:val="22"/>
          <w:lang w:val="es-ES_tradnl"/>
        </w:rPr>
        <w:t>el Día</w:t>
      </w:r>
      <w:r w:rsidR="00C016F6" w:rsidRPr="00B97122">
        <w:rPr>
          <w:rFonts w:asciiTheme="majorHAnsi" w:eastAsia="Calibri" w:hAnsiTheme="majorHAnsi" w:cs="Times New Roman"/>
          <w:sz w:val="22"/>
          <w:szCs w:val="22"/>
          <w:lang w:val="es-ES_tradnl"/>
        </w:rPr>
        <w:t xml:space="preserve"> Mundial de los Humedales</w:t>
      </w:r>
      <w:r w:rsidR="00C64326" w:rsidRPr="00B97122">
        <w:rPr>
          <w:rFonts w:asciiTheme="majorHAnsi" w:eastAsia="Calibri" w:hAnsiTheme="majorHAnsi" w:cs="Times New Roman"/>
          <w:sz w:val="22"/>
          <w:szCs w:val="22"/>
          <w:lang w:val="es-ES_tradnl"/>
        </w:rPr>
        <w:t xml:space="preserve"> </w:t>
      </w:r>
      <w:r w:rsidR="00C016F6" w:rsidRPr="00B97122">
        <w:rPr>
          <w:rFonts w:asciiTheme="majorHAnsi" w:eastAsia="Calibri" w:hAnsiTheme="majorHAnsi" w:cs="Times New Roman"/>
          <w:sz w:val="22"/>
          <w:szCs w:val="22"/>
          <w:lang w:val="es-ES_tradnl"/>
        </w:rPr>
        <w:t>y los Premios Ramsar</w:t>
      </w:r>
      <w:r w:rsidR="00C64326" w:rsidRPr="00B97122">
        <w:rPr>
          <w:rFonts w:asciiTheme="majorHAnsi" w:eastAsia="Calibri" w:hAnsiTheme="majorHAnsi" w:cs="Times New Roman"/>
          <w:sz w:val="22"/>
          <w:szCs w:val="22"/>
          <w:lang w:val="es-ES_tradnl"/>
        </w:rPr>
        <w:t>.</w:t>
      </w:r>
    </w:p>
    <w:p w14:paraId="0B73E22A" w14:textId="6044CF91" w:rsidR="00C64326" w:rsidRPr="00B97122" w:rsidRDefault="00A41DC3"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Ha </w:t>
      </w:r>
      <w:r w:rsidR="0085423E" w:rsidRPr="00B97122">
        <w:rPr>
          <w:rFonts w:asciiTheme="majorHAnsi" w:eastAsia="Calibri" w:hAnsiTheme="majorHAnsi" w:cs="Times New Roman"/>
          <w:sz w:val="22"/>
          <w:szCs w:val="22"/>
          <w:lang w:val="es-ES_tradnl"/>
        </w:rPr>
        <w:t>habido</w:t>
      </w:r>
      <w:r w:rsidR="00CB26CA">
        <w:rPr>
          <w:rFonts w:asciiTheme="majorHAnsi" w:eastAsia="Calibri" w:hAnsiTheme="majorHAnsi" w:cs="Times New Roman"/>
          <w:sz w:val="22"/>
          <w:szCs w:val="22"/>
          <w:lang w:val="es-ES_tradnl"/>
        </w:rPr>
        <w:t xml:space="preserve"> mucha actividad relativa a</w:t>
      </w:r>
      <w:r w:rsidR="00886FA6">
        <w:rPr>
          <w:rFonts w:asciiTheme="majorHAnsi" w:eastAsia="Calibri" w:hAnsiTheme="majorHAnsi" w:cs="Times New Roman"/>
          <w:sz w:val="22"/>
          <w:szCs w:val="22"/>
          <w:lang w:val="es-ES_tradnl"/>
        </w:rPr>
        <w:t xml:space="preserve"> otros</w:t>
      </w:r>
      <w:r w:rsidRPr="00B97122">
        <w:rPr>
          <w:rFonts w:asciiTheme="majorHAnsi" w:eastAsia="Calibri" w:hAnsiTheme="majorHAnsi" w:cs="Times New Roman"/>
          <w:sz w:val="22"/>
          <w:szCs w:val="22"/>
          <w:lang w:val="es-ES_tradnl"/>
        </w:rPr>
        <w:t xml:space="preserve"> programas</w:t>
      </w:r>
      <w:r w:rsidR="00886FA6">
        <w:rPr>
          <w:rFonts w:asciiTheme="majorHAnsi" w:eastAsia="Calibri" w:hAnsiTheme="majorHAnsi" w:cs="Times New Roman"/>
          <w:sz w:val="22"/>
          <w:szCs w:val="22"/>
          <w:lang w:val="es-ES_tradnl"/>
        </w:rPr>
        <w:t>,</w:t>
      </w:r>
      <w:r w:rsidRPr="00B97122">
        <w:rPr>
          <w:rFonts w:asciiTheme="majorHAnsi" w:eastAsia="Calibri" w:hAnsiTheme="majorHAnsi" w:cs="Times New Roman"/>
          <w:sz w:val="22"/>
          <w:szCs w:val="22"/>
          <w:lang w:val="es-ES_tradnl"/>
        </w:rPr>
        <w:t xml:space="preserve"> proyectos </w:t>
      </w:r>
      <w:r w:rsidR="00886FA6">
        <w:rPr>
          <w:rFonts w:asciiTheme="majorHAnsi" w:eastAsia="Calibri" w:hAnsiTheme="majorHAnsi" w:cs="Times New Roman"/>
          <w:sz w:val="22"/>
          <w:szCs w:val="22"/>
          <w:lang w:val="es-ES_tradnl"/>
        </w:rPr>
        <w:t xml:space="preserve">y </w:t>
      </w:r>
      <w:r w:rsidR="00886FA6" w:rsidRPr="00B97122">
        <w:rPr>
          <w:rFonts w:asciiTheme="majorHAnsi" w:eastAsia="Calibri" w:hAnsiTheme="majorHAnsi" w:cs="Times New Roman"/>
          <w:sz w:val="22"/>
          <w:szCs w:val="22"/>
          <w:lang w:val="es-ES_tradnl"/>
        </w:rPr>
        <w:t xml:space="preserve">campañas </w:t>
      </w:r>
      <w:r w:rsidR="00871A59">
        <w:rPr>
          <w:rFonts w:asciiTheme="majorHAnsi" w:eastAsia="Calibri" w:hAnsiTheme="majorHAnsi" w:cs="Times New Roman"/>
          <w:sz w:val="22"/>
          <w:szCs w:val="22"/>
          <w:lang w:val="es-ES_tradnl"/>
        </w:rPr>
        <w:t>sobre</w:t>
      </w:r>
      <w:r w:rsidRPr="00B97122">
        <w:rPr>
          <w:rFonts w:asciiTheme="majorHAnsi" w:eastAsia="Calibri" w:hAnsiTheme="majorHAnsi" w:cs="Times New Roman"/>
          <w:sz w:val="22"/>
          <w:szCs w:val="22"/>
          <w:lang w:val="es-ES_tradnl"/>
        </w:rPr>
        <w:t xml:space="preserve"> la </w:t>
      </w:r>
      <w:r w:rsidR="001670A8" w:rsidRPr="00B97122">
        <w:rPr>
          <w:rFonts w:asciiTheme="majorHAnsi" w:eastAsia="Calibri" w:hAnsiTheme="majorHAnsi" w:cs="Times New Roman"/>
          <w:sz w:val="22"/>
          <w:szCs w:val="22"/>
          <w:lang w:val="es-ES_tradnl"/>
        </w:rPr>
        <w:t>CECoP</w:t>
      </w:r>
      <w:r w:rsidRPr="00B97122">
        <w:rPr>
          <w:rFonts w:asciiTheme="majorHAnsi" w:eastAsia="Calibri" w:hAnsiTheme="majorHAnsi" w:cs="Times New Roman"/>
          <w:sz w:val="22"/>
          <w:szCs w:val="22"/>
          <w:lang w:val="es-ES_tradnl"/>
        </w:rPr>
        <w:t xml:space="preserve"> en materia de humedales, y el </w:t>
      </w:r>
      <w:r w:rsidR="00C64326" w:rsidRPr="00B97122">
        <w:rPr>
          <w:rFonts w:asciiTheme="majorHAnsi" w:eastAsia="Calibri" w:hAnsiTheme="majorHAnsi" w:cs="Times New Roman"/>
          <w:sz w:val="22"/>
          <w:szCs w:val="22"/>
          <w:lang w:val="es-ES_tradnl"/>
        </w:rPr>
        <w:t>83</w:t>
      </w:r>
      <w:r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de los países </w:t>
      </w:r>
      <w:r w:rsidR="00303313">
        <w:rPr>
          <w:rFonts w:asciiTheme="majorHAnsi" w:eastAsia="Calibri" w:hAnsiTheme="majorHAnsi" w:cs="Times New Roman"/>
          <w:sz w:val="22"/>
          <w:szCs w:val="22"/>
          <w:lang w:val="es-ES_tradnl"/>
        </w:rPr>
        <w:t xml:space="preserve">informaron </w:t>
      </w:r>
      <w:r w:rsidRPr="00B97122">
        <w:rPr>
          <w:rFonts w:asciiTheme="majorHAnsi" w:eastAsia="Calibri" w:hAnsiTheme="majorHAnsi" w:cs="Times New Roman"/>
          <w:sz w:val="22"/>
          <w:szCs w:val="22"/>
          <w:lang w:val="es-ES_tradnl"/>
        </w:rPr>
        <w:t xml:space="preserve">sobre dichas iniciativas durante el trienio. </w:t>
      </w:r>
      <w:r w:rsidR="00886FA6">
        <w:rPr>
          <w:rFonts w:asciiTheme="majorHAnsi" w:eastAsia="Calibri" w:hAnsiTheme="majorHAnsi" w:cs="Times New Roman"/>
          <w:sz w:val="22"/>
          <w:szCs w:val="22"/>
          <w:lang w:val="es-ES_tradnl"/>
        </w:rPr>
        <w:t>En al</w:t>
      </w:r>
      <w:r w:rsidRPr="00B97122">
        <w:rPr>
          <w:rFonts w:asciiTheme="majorHAnsi" w:eastAsia="Calibri" w:hAnsiTheme="majorHAnsi" w:cs="Times New Roman"/>
          <w:sz w:val="22"/>
          <w:szCs w:val="22"/>
          <w:lang w:val="es-ES_tradnl"/>
        </w:rPr>
        <w:t xml:space="preserve">gunas de estas </w:t>
      </w:r>
      <w:r w:rsidR="00886FA6">
        <w:rPr>
          <w:rFonts w:asciiTheme="majorHAnsi" w:eastAsia="Calibri" w:hAnsiTheme="majorHAnsi" w:cs="Times New Roman"/>
          <w:sz w:val="22"/>
          <w:szCs w:val="22"/>
          <w:lang w:val="es-ES_tradnl"/>
        </w:rPr>
        <w:t xml:space="preserve">se </w:t>
      </w:r>
      <w:r w:rsidR="00303313">
        <w:rPr>
          <w:rFonts w:asciiTheme="majorHAnsi" w:eastAsia="Calibri" w:hAnsiTheme="majorHAnsi" w:cs="Times New Roman"/>
          <w:sz w:val="22"/>
          <w:szCs w:val="22"/>
          <w:lang w:val="es-ES_tradnl"/>
        </w:rPr>
        <w:t>aprovecharon</w:t>
      </w:r>
      <w:r w:rsidR="00886FA6">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otros días internacionales, tales como el Día </w:t>
      </w:r>
      <w:r w:rsidR="00886FA6" w:rsidRPr="00B97122">
        <w:rPr>
          <w:rFonts w:asciiTheme="majorHAnsi" w:eastAsia="Calibri" w:hAnsiTheme="majorHAnsi" w:cs="Times New Roman"/>
          <w:sz w:val="22"/>
          <w:szCs w:val="22"/>
          <w:lang w:val="es-ES_tradnl"/>
        </w:rPr>
        <w:t>Mundial</w:t>
      </w:r>
      <w:r w:rsidRPr="00B97122">
        <w:rPr>
          <w:rFonts w:asciiTheme="majorHAnsi" w:eastAsia="Calibri" w:hAnsiTheme="majorHAnsi" w:cs="Times New Roman"/>
          <w:sz w:val="22"/>
          <w:szCs w:val="22"/>
          <w:lang w:val="es-ES_tradnl"/>
        </w:rPr>
        <w:t xml:space="preserve"> del Medio Ambiente, el Día Mundial del Agua, el Día Mundial de las Aves Migratorias y el Día </w:t>
      </w:r>
      <w:r w:rsidR="00886FA6" w:rsidRPr="00B97122">
        <w:rPr>
          <w:rFonts w:asciiTheme="majorHAnsi" w:eastAsia="Calibri" w:hAnsiTheme="majorHAnsi" w:cs="Times New Roman"/>
          <w:sz w:val="22"/>
          <w:szCs w:val="22"/>
          <w:lang w:val="es-ES_tradnl"/>
        </w:rPr>
        <w:t>Mundial</w:t>
      </w:r>
      <w:r w:rsidRPr="00B97122">
        <w:rPr>
          <w:rFonts w:asciiTheme="majorHAnsi" w:eastAsia="Calibri" w:hAnsiTheme="majorHAnsi" w:cs="Times New Roman"/>
          <w:sz w:val="22"/>
          <w:szCs w:val="22"/>
          <w:lang w:val="es-ES_tradnl"/>
        </w:rPr>
        <w:t xml:space="preserve"> de las Tortugas, para apoyar las campañas mundiales y </w:t>
      </w:r>
      <w:r w:rsidR="00886FA6">
        <w:rPr>
          <w:rFonts w:asciiTheme="majorHAnsi" w:eastAsia="Calibri" w:hAnsiTheme="majorHAnsi" w:cs="Times New Roman"/>
          <w:sz w:val="22"/>
          <w:szCs w:val="22"/>
          <w:lang w:val="es-ES_tradnl"/>
        </w:rPr>
        <w:t xml:space="preserve">poner de relieve </w:t>
      </w:r>
      <w:r w:rsidRPr="00B97122">
        <w:rPr>
          <w:rFonts w:asciiTheme="majorHAnsi" w:eastAsia="Calibri" w:hAnsiTheme="majorHAnsi" w:cs="Times New Roman"/>
          <w:sz w:val="22"/>
          <w:szCs w:val="22"/>
          <w:lang w:val="es-ES_tradnl"/>
        </w:rPr>
        <w:t xml:space="preserve">las </w:t>
      </w:r>
      <w:r w:rsidR="00886FA6" w:rsidRPr="00B97122">
        <w:rPr>
          <w:rFonts w:asciiTheme="majorHAnsi" w:eastAsia="Calibri" w:hAnsiTheme="majorHAnsi" w:cs="Times New Roman"/>
          <w:sz w:val="22"/>
          <w:szCs w:val="22"/>
          <w:lang w:val="es-ES_tradnl"/>
        </w:rPr>
        <w:t>situaciones</w:t>
      </w:r>
      <w:r w:rsidRPr="00B97122">
        <w:rPr>
          <w:rFonts w:asciiTheme="majorHAnsi" w:eastAsia="Calibri" w:hAnsiTheme="majorHAnsi" w:cs="Times New Roman"/>
          <w:sz w:val="22"/>
          <w:szCs w:val="22"/>
          <w:lang w:val="es-ES_tradnl"/>
        </w:rPr>
        <w:t xml:space="preserve"> nacionale</w:t>
      </w:r>
      <w:r w:rsidR="00886FA6">
        <w:rPr>
          <w:rFonts w:asciiTheme="majorHAnsi" w:eastAsia="Calibri" w:hAnsiTheme="majorHAnsi" w:cs="Times New Roman"/>
          <w:sz w:val="22"/>
          <w:szCs w:val="22"/>
          <w:lang w:val="es-ES_tradnl"/>
        </w:rPr>
        <w:t>s y locales.</w:t>
      </w:r>
    </w:p>
    <w:p w14:paraId="77B81BA7" w14:textId="4605742D" w:rsidR="00C64326" w:rsidRPr="00B97122" w:rsidRDefault="00A41DC3"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Las </w:t>
      </w:r>
      <w:r w:rsidR="00B229E7" w:rsidRPr="00B97122">
        <w:rPr>
          <w:rFonts w:asciiTheme="majorHAnsi" w:eastAsia="Calibri" w:hAnsiTheme="majorHAnsi" w:cs="Times New Roman"/>
          <w:sz w:val="22"/>
          <w:szCs w:val="22"/>
          <w:lang w:val="es-ES_tradnl"/>
        </w:rPr>
        <w:t>Partes Contratantes</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 xml:space="preserve">están llevando a cabo distintas actividades, que demuestran enfoques eficaces para </w:t>
      </w:r>
      <w:r w:rsidR="00886FA6">
        <w:rPr>
          <w:rFonts w:asciiTheme="majorHAnsi" w:eastAsia="Calibri" w:hAnsiTheme="majorHAnsi" w:cs="Times New Roman"/>
          <w:sz w:val="22"/>
          <w:szCs w:val="22"/>
          <w:lang w:val="es-ES_tradnl"/>
        </w:rPr>
        <w:t xml:space="preserve">hacer participar a </w:t>
      </w:r>
      <w:r w:rsidR="00886FA6" w:rsidRPr="00B97122">
        <w:rPr>
          <w:rFonts w:asciiTheme="majorHAnsi" w:eastAsia="Calibri" w:hAnsiTheme="majorHAnsi" w:cs="Times New Roman"/>
          <w:sz w:val="22"/>
          <w:szCs w:val="22"/>
          <w:lang w:val="es-ES_tradnl"/>
        </w:rPr>
        <w:t xml:space="preserve">interesados y sectores </w:t>
      </w:r>
      <w:r w:rsidR="00886FA6">
        <w:rPr>
          <w:rFonts w:asciiTheme="majorHAnsi" w:eastAsia="Calibri" w:hAnsiTheme="majorHAnsi" w:cs="Times New Roman"/>
          <w:sz w:val="22"/>
          <w:szCs w:val="22"/>
          <w:lang w:val="es-ES_tradnl"/>
        </w:rPr>
        <w:t xml:space="preserve">muy diversos </w:t>
      </w:r>
      <w:r w:rsidRPr="00B97122">
        <w:rPr>
          <w:rFonts w:asciiTheme="majorHAnsi" w:eastAsia="Calibri" w:hAnsiTheme="majorHAnsi" w:cs="Times New Roman"/>
          <w:sz w:val="22"/>
          <w:szCs w:val="22"/>
          <w:lang w:val="es-ES_tradnl"/>
        </w:rPr>
        <w:t xml:space="preserve">y </w:t>
      </w:r>
      <w:r w:rsidR="00886FA6">
        <w:rPr>
          <w:rFonts w:asciiTheme="majorHAnsi" w:eastAsia="Calibri" w:hAnsiTheme="majorHAnsi" w:cs="Times New Roman"/>
          <w:sz w:val="22"/>
          <w:szCs w:val="22"/>
          <w:lang w:val="es-ES_tradnl"/>
        </w:rPr>
        <w:t>fomentar su capacidad</w:t>
      </w:r>
      <w:r w:rsidRPr="00B97122">
        <w:rPr>
          <w:rFonts w:asciiTheme="majorHAnsi" w:eastAsia="Calibri" w:hAnsiTheme="majorHAnsi" w:cs="Times New Roman"/>
          <w:sz w:val="22"/>
          <w:szCs w:val="22"/>
          <w:lang w:val="es-ES_tradnl"/>
        </w:rPr>
        <w:t xml:space="preserve">. </w:t>
      </w:r>
      <w:r w:rsidR="00886FA6">
        <w:rPr>
          <w:rFonts w:asciiTheme="majorHAnsi" w:eastAsia="Calibri" w:hAnsiTheme="majorHAnsi" w:cs="Times New Roman"/>
          <w:sz w:val="22"/>
          <w:szCs w:val="22"/>
          <w:lang w:val="es-ES_tradnl"/>
        </w:rPr>
        <w:t>Para consultar ejemplos, v</w:t>
      </w:r>
      <w:r w:rsidRPr="00B97122">
        <w:rPr>
          <w:rFonts w:asciiTheme="majorHAnsi" w:eastAsia="Calibri" w:hAnsiTheme="majorHAnsi" w:cs="Times New Roman"/>
          <w:sz w:val="22"/>
          <w:szCs w:val="22"/>
          <w:lang w:val="es-ES_tradnl"/>
        </w:rPr>
        <w:t xml:space="preserve">éase el </w:t>
      </w:r>
      <w:r w:rsidR="00C64326" w:rsidRPr="00B97122">
        <w:rPr>
          <w:rFonts w:asciiTheme="majorHAnsi" w:eastAsia="Calibri" w:hAnsiTheme="majorHAnsi" w:cs="Times New Roman"/>
          <w:sz w:val="22"/>
          <w:szCs w:val="22"/>
          <w:u w:val="single"/>
          <w:lang w:val="es-ES_tradnl"/>
        </w:rPr>
        <w:t>An</w:t>
      </w:r>
      <w:r w:rsidRPr="00B97122">
        <w:rPr>
          <w:rFonts w:asciiTheme="majorHAnsi" w:eastAsia="Calibri" w:hAnsiTheme="majorHAnsi" w:cs="Times New Roman"/>
          <w:sz w:val="22"/>
          <w:szCs w:val="22"/>
          <w:u w:val="single"/>
          <w:lang w:val="es-ES_tradnl"/>
        </w:rPr>
        <w:t xml:space="preserve">exo </w:t>
      </w:r>
      <w:r w:rsidR="00C64326" w:rsidRPr="00B97122">
        <w:rPr>
          <w:rFonts w:asciiTheme="majorHAnsi" w:eastAsia="Calibri" w:hAnsiTheme="majorHAnsi" w:cs="Times New Roman"/>
          <w:sz w:val="22"/>
          <w:szCs w:val="22"/>
          <w:u w:val="single"/>
          <w:lang w:val="es-ES_tradnl"/>
        </w:rPr>
        <w:t>A</w:t>
      </w:r>
      <w:r w:rsidR="00886FA6">
        <w:rPr>
          <w:rFonts w:asciiTheme="majorHAnsi" w:eastAsia="Calibri" w:hAnsiTheme="majorHAnsi" w:cs="Times New Roman"/>
          <w:sz w:val="22"/>
          <w:szCs w:val="22"/>
          <w:lang w:val="es-ES_tradnl"/>
        </w:rPr>
        <w:t>.</w:t>
      </w:r>
    </w:p>
    <w:p w14:paraId="6D09D0EC" w14:textId="78406613" w:rsidR="00C64326" w:rsidRPr="00B97122" w:rsidRDefault="00A41DC3" w:rsidP="004C3670">
      <w:pPr>
        <w:keepNext/>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Secretaría prosiguió </w:t>
      </w:r>
      <w:r w:rsidR="00886FA6">
        <w:rPr>
          <w:rFonts w:asciiTheme="majorHAnsi" w:eastAsia="Calibri" w:hAnsiTheme="majorHAnsi" w:cs="Times New Roman"/>
          <w:sz w:val="22"/>
          <w:szCs w:val="22"/>
          <w:lang w:val="es-ES_tradnl"/>
        </w:rPr>
        <w:t xml:space="preserve">su labor de promoción </w:t>
      </w:r>
      <w:r w:rsidR="00911B44">
        <w:rPr>
          <w:rFonts w:asciiTheme="majorHAnsi" w:eastAsia="Calibri" w:hAnsiTheme="majorHAnsi" w:cs="Times New Roman"/>
          <w:sz w:val="22"/>
          <w:szCs w:val="22"/>
          <w:lang w:val="es-ES_tradnl"/>
        </w:rPr>
        <w:t>de la</w:t>
      </w:r>
      <w:r w:rsidRPr="00B97122">
        <w:rPr>
          <w:rFonts w:asciiTheme="majorHAnsi" w:eastAsia="Calibri" w:hAnsiTheme="majorHAnsi" w:cs="Times New Roman"/>
          <w:sz w:val="22"/>
          <w:szCs w:val="22"/>
          <w:lang w:val="es-ES_tradnl"/>
        </w:rPr>
        <w:t xml:space="preserve"> comunicación a </w:t>
      </w:r>
      <w:r w:rsidR="00911B44" w:rsidRPr="00B97122">
        <w:rPr>
          <w:rFonts w:asciiTheme="majorHAnsi" w:eastAsia="Calibri" w:hAnsiTheme="majorHAnsi" w:cs="Times New Roman"/>
          <w:sz w:val="22"/>
          <w:szCs w:val="22"/>
          <w:lang w:val="es-ES_tradnl"/>
        </w:rPr>
        <w:t>través</w:t>
      </w:r>
      <w:r w:rsidRPr="00B97122">
        <w:rPr>
          <w:rFonts w:asciiTheme="majorHAnsi" w:eastAsia="Calibri" w:hAnsiTheme="majorHAnsi" w:cs="Times New Roman"/>
          <w:sz w:val="22"/>
          <w:szCs w:val="22"/>
          <w:lang w:val="es-ES_tradnl"/>
        </w:rPr>
        <w:t xml:space="preserve"> de las redes sociales</w:t>
      </w:r>
      <w:r w:rsidR="00C64326" w:rsidRPr="00B97122">
        <w:rPr>
          <w:rFonts w:asciiTheme="majorHAnsi" w:eastAsia="Calibri" w:hAnsiTheme="majorHAnsi" w:cs="Times New Roman"/>
          <w:sz w:val="22"/>
          <w:szCs w:val="22"/>
          <w:lang w:val="es-ES_tradnl"/>
        </w:rPr>
        <w:t xml:space="preserve"> (T</w:t>
      </w:r>
      <w:r w:rsidRPr="00B97122">
        <w:rPr>
          <w:rFonts w:asciiTheme="majorHAnsi" w:eastAsia="Calibri" w:hAnsiTheme="majorHAnsi" w:cs="Times New Roman"/>
          <w:sz w:val="22"/>
          <w:szCs w:val="22"/>
          <w:lang w:val="es-ES_tradnl"/>
        </w:rPr>
        <w:t xml:space="preserve">witter, Facebook </w:t>
      </w:r>
      <w:r w:rsidR="00911B44">
        <w:rPr>
          <w:rFonts w:asciiTheme="majorHAnsi" w:eastAsia="Calibri" w:hAnsiTheme="majorHAnsi" w:cs="Times New Roman"/>
          <w:sz w:val="22"/>
          <w:szCs w:val="22"/>
          <w:lang w:val="es-ES_tradnl"/>
        </w:rPr>
        <w:t>e</w:t>
      </w:r>
      <w:r w:rsidRPr="00B97122">
        <w:rPr>
          <w:rFonts w:asciiTheme="majorHAnsi" w:eastAsia="Calibri" w:hAnsiTheme="majorHAnsi" w:cs="Times New Roman"/>
          <w:sz w:val="22"/>
          <w:szCs w:val="22"/>
          <w:lang w:val="es-ES_tradnl"/>
        </w:rPr>
        <w:t xml:space="preserve"> Instagram), con un </w:t>
      </w:r>
      <w:r w:rsidR="00C64326" w:rsidRPr="00B97122">
        <w:rPr>
          <w:rFonts w:asciiTheme="majorHAnsi" w:eastAsia="Calibri" w:hAnsiTheme="majorHAnsi" w:cs="Times New Roman"/>
          <w:sz w:val="22"/>
          <w:szCs w:val="22"/>
          <w:lang w:val="es-ES_tradnl"/>
        </w:rPr>
        <w:t>30</w:t>
      </w:r>
      <w:r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más de participación en el</w:t>
      </w:r>
      <w:r w:rsidR="00911B44">
        <w:rPr>
          <w:rFonts w:asciiTheme="majorHAnsi" w:eastAsia="Calibri" w:hAnsiTheme="majorHAnsi" w:cs="Times New Roman"/>
          <w:sz w:val="22"/>
          <w:szCs w:val="22"/>
          <w:lang w:val="es-ES_tradnl"/>
        </w:rPr>
        <w:t xml:space="preserve"> presente</w:t>
      </w:r>
      <w:r w:rsidRPr="00B97122">
        <w:rPr>
          <w:rFonts w:asciiTheme="majorHAnsi" w:eastAsia="Calibri" w:hAnsiTheme="majorHAnsi" w:cs="Times New Roman"/>
          <w:sz w:val="22"/>
          <w:szCs w:val="22"/>
          <w:lang w:val="es-ES_tradnl"/>
        </w:rPr>
        <w:t xml:space="preserve"> año hasta abril de </w:t>
      </w:r>
      <w:r w:rsidR="00C64326" w:rsidRPr="00B97122">
        <w:rPr>
          <w:rFonts w:asciiTheme="majorHAnsi" w:eastAsia="Calibri" w:hAnsiTheme="majorHAnsi" w:cs="Times New Roman"/>
          <w:sz w:val="22"/>
          <w:szCs w:val="22"/>
          <w:lang w:val="es-ES_tradnl"/>
        </w:rPr>
        <w:t>2018.</w:t>
      </w:r>
    </w:p>
    <w:p w14:paraId="61580644" w14:textId="77777777" w:rsidR="00EC7A4B" w:rsidRPr="00B97122" w:rsidRDefault="00EC7A4B" w:rsidP="00EC7A4B">
      <w:pPr>
        <w:spacing w:after="200"/>
        <w:contextualSpacing/>
        <w:rPr>
          <w:rFonts w:asciiTheme="majorHAnsi" w:eastAsia="Calibri" w:hAnsiTheme="majorHAnsi" w:cs="Times New Roman"/>
          <w:sz w:val="22"/>
          <w:szCs w:val="22"/>
          <w:lang w:val="es-ES_tradnl"/>
        </w:rPr>
      </w:pPr>
    </w:p>
    <w:p w14:paraId="2CA0E64C" w14:textId="54E56747" w:rsidR="00C64326" w:rsidRPr="00B97122"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t xml:space="preserve">Objetivo </w:t>
      </w:r>
      <w:r w:rsidR="00C64326" w:rsidRPr="00B97122">
        <w:rPr>
          <w:rFonts w:asciiTheme="majorHAnsi" w:eastAsia="Calibri" w:hAnsiTheme="majorHAnsi" w:cs="Times New Roman"/>
          <w:i/>
          <w:sz w:val="22"/>
          <w:szCs w:val="22"/>
          <w:lang w:val="es-ES_tradnl"/>
        </w:rPr>
        <w:t xml:space="preserve">7 – </w:t>
      </w:r>
      <w:r w:rsidR="00A41DC3" w:rsidRPr="00B97122">
        <w:rPr>
          <w:rFonts w:asciiTheme="majorHAnsi" w:eastAsia="Calibri" w:hAnsiTheme="majorHAnsi" w:cs="Times New Roman"/>
          <w:i/>
          <w:sz w:val="22"/>
          <w:szCs w:val="22"/>
          <w:lang w:val="es-ES_tradnl"/>
        </w:rPr>
        <w:t xml:space="preserve">Centros de </w:t>
      </w:r>
      <w:r w:rsidR="00911B44" w:rsidRPr="00B97122">
        <w:rPr>
          <w:rFonts w:asciiTheme="majorHAnsi" w:eastAsia="Calibri" w:hAnsiTheme="majorHAnsi" w:cs="Times New Roman"/>
          <w:i/>
          <w:sz w:val="22"/>
          <w:szCs w:val="22"/>
          <w:lang w:val="es-ES_tradnl"/>
        </w:rPr>
        <w:t>educación</w:t>
      </w:r>
      <w:r w:rsidR="00A41DC3" w:rsidRPr="00B97122">
        <w:rPr>
          <w:rFonts w:asciiTheme="majorHAnsi" w:eastAsia="Calibri" w:hAnsiTheme="majorHAnsi" w:cs="Times New Roman"/>
          <w:i/>
          <w:sz w:val="22"/>
          <w:szCs w:val="22"/>
          <w:lang w:val="es-ES_tradnl"/>
        </w:rPr>
        <w:t xml:space="preserve"> sobre humedales</w:t>
      </w:r>
    </w:p>
    <w:p w14:paraId="33AFAF20" w14:textId="3E74811D" w:rsidR="00C64326" w:rsidRPr="00B97122" w:rsidRDefault="00A41DC3"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En </w:t>
      </w:r>
      <w:r w:rsidR="00C64326" w:rsidRPr="00B97122">
        <w:rPr>
          <w:rFonts w:asciiTheme="majorHAnsi" w:eastAsia="Calibri" w:hAnsiTheme="majorHAnsi" w:cs="Times New Roman"/>
          <w:sz w:val="22"/>
          <w:szCs w:val="22"/>
          <w:lang w:val="es-ES_tradnl"/>
        </w:rPr>
        <w:t xml:space="preserve">2016, </w:t>
      </w:r>
      <w:r w:rsidRPr="00B97122">
        <w:rPr>
          <w:rFonts w:asciiTheme="majorHAnsi" w:eastAsia="Calibri" w:hAnsiTheme="majorHAnsi" w:cs="Times New Roman"/>
          <w:sz w:val="22"/>
          <w:szCs w:val="22"/>
          <w:lang w:val="es-ES_tradnl"/>
        </w:rPr>
        <w:t xml:space="preserve">Wetland Link International (WLI) realizó una encuesta </w:t>
      </w:r>
      <w:r w:rsidR="000A0AE2" w:rsidRPr="00B97122">
        <w:rPr>
          <w:rFonts w:asciiTheme="majorHAnsi" w:eastAsia="Calibri" w:hAnsiTheme="majorHAnsi" w:cs="Times New Roman"/>
          <w:sz w:val="22"/>
          <w:szCs w:val="22"/>
          <w:lang w:val="es-ES_tradnl"/>
        </w:rPr>
        <w:t xml:space="preserve">sobre los centros de </w:t>
      </w:r>
      <w:r w:rsidR="00911B44" w:rsidRPr="00B97122">
        <w:rPr>
          <w:rFonts w:asciiTheme="majorHAnsi" w:eastAsia="Calibri" w:hAnsiTheme="majorHAnsi" w:cs="Times New Roman"/>
          <w:sz w:val="22"/>
          <w:szCs w:val="22"/>
          <w:lang w:val="es-ES_tradnl"/>
        </w:rPr>
        <w:t>educación</w:t>
      </w:r>
      <w:r w:rsidR="000A0AE2" w:rsidRPr="00B97122">
        <w:rPr>
          <w:rFonts w:asciiTheme="majorHAnsi" w:eastAsia="Calibri" w:hAnsiTheme="majorHAnsi" w:cs="Times New Roman"/>
          <w:sz w:val="22"/>
          <w:szCs w:val="22"/>
          <w:lang w:val="es-ES_tradnl"/>
        </w:rPr>
        <w:t xml:space="preserve"> sobre humedales y se publicó una base de datos </w:t>
      </w:r>
      <w:r w:rsidR="00911B44" w:rsidRPr="00B97122">
        <w:rPr>
          <w:rFonts w:asciiTheme="majorHAnsi" w:eastAsia="Calibri" w:hAnsiTheme="majorHAnsi" w:cs="Times New Roman"/>
          <w:sz w:val="22"/>
          <w:szCs w:val="22"/>
          <w:lang w:val="es-ES_tradnl"/>
        </w:rPr>
        <w:t xml:space="preserve">en línea </w:t>
      </w:r>
      <w:r w:rsidR="000A0AE2" w:rsidRPr="00B97122">
        <w:rPr>
          <w:rFonts w:asciiTheme="majorHAnsi" w:eastAsia="Calibri" w:hAnsiTheme="majorHAnsi" w:cs="Times New Roman"/>
          <w:sz w:val="22"/>
          <w:szCs w:val="22"/>
          <w:lang w:val="es-ES_tradnl"/>
        </w:rPr>
        <w:t>de los centros.</w:t>
      </w:r>
    </w:p>
    <w:p w14:paraId="75DE3D55" w14:textId="460315E5" w:rsidR="00C64326" w:rsidRPr="00B97122" w:rsidRDefault="000A0AE2"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La red de centros de</w:t>
      </w:r>
      <w:r w:rsidR="00C64326" w:rsidRPr="00B97122">
        <w:rPr>
          <w:rFonts w:asciiTheme="majorHAnsi" w:eastAsia="Calibri" w:hAnsiTheme="majorHAnsi" w:cs="Times New Roman"/>
          <w:sz w:val="22"/>
          <w:szCs w:val="22"/>
          <w:lang w:val="es-ES_tradnl"/>
        </w:rPr>
        <w:t xml:space="preserve"> WLI</w:t>
      </w:r>
      <w:r w:rsidRPr="00B97122">
        <w:rPr>
          <w:rFonts w:asciiTheme="majorHAnsi" w:eastAsia="Calibri" w:hAnsiTheme="majorHAnsi" w:cs="Times New Roman"/>
          <w:sz w:val="22"/>
          <w:szCs w:val="22"/>
          <w:lang w:val="es-ES_tradnl"/>
        </w:rPr>
        <w:t xml:space="preserve"> ha </w:t>
      </w:r>
      <w:r w:rsidR="00911B44">
        <w:rPr>
          <w:rFonts w:asciiTheme="majorHAnsi" w:eastAsia="Calibri" w:hAnsiTheme="majorHAnsi" w:cs="Times New Roman"/>
          <w:sz w:val="22"/>
          <w:szCs w:val="22"/>
          <w:lang w:val="es-ES_tradnl"/>
        </w:rPr>
        <w:t xml:space="preserve">demostrado ser </w:t>
      </w:r>
      <w:r w:rsidRPr="00B97122">
        <w:rPr>
          <w:rFonts w:asciiTheme="majorHAnsi" w:eastAsia="Calibri" w:hAnsiTheme="majorHAnsi" w:cs="Times New Roman"/>
          <w:sz w:val="22"/>
          <w:szCs w:val="22"/>
          <w:lang w:val="es-ES_tradnl"/>
        </w:rPr>
        <w:t xml:space="preserve">un mecanismo eficaz para establecer vínculos entre los centros y proporcionar una oportunidad de compartir </w:t>
      </w:r>
      <w:r w:rsidR="00911B44">
        <w:rPr>
          <w:rFonts w:asciiTheme="majorHAnsi" w:eastAsia="Calibri" w:hAnsiTheme="majorHAnsi" w:cs="Times New Roman"/>
          <w:sz w:val="22"/>
          <w:szCs w:val="22"/>
          <w:lang w:val="es-ES_tradnl"/>
        </w:rPr>
        <w:t>experiencias</w:t>
      </w:r>
      <w:r w:rsidR="007053DB" w:rsidRPr="00B97122">
        <w:rPr>
          <w:rFonts w:asciiTheme="majorHAnsi" w:eastAsia="Calibri" w:hAnsiTheme="majorHAnsi" w:cs="Times New Roman"/>
          <w:sz w:val="22"/>
          <w:szCs w:val="22"/>
          <w:lang w:val="es-ES_tradnl"/>
        </w:rPr>
        <w:t xml:space="preserve">, materiales e ideas innovadoras en materia de </w:t>
      </w:r>
      <w:r w:rsidR="00911B44" w:rsidRPr="00B97122">
        <w:rPr>
          <w:rFonts w:asciiTheme="majorHAnsi" w:eastAsia="Calibri" w:hAnsiTheme="majorHAnsi" w:cs="Times New Roman"/>
          <w:sz w:val="22"/>
          <w:szCs w:val="22"/>
          <w:lang w:val="es-ES_tradnl"/>
        </w:rPr>
        <w:t>educación</w:t>
      </w:r>
      <w:r w:rsidR="007053DB" w:rsidRPr="00B97122">
        <w:rPr>
          <w:rFonts w:asciiTheme="majorHAnsi" w:eastAsia="Calibri" w:hAnsiTheme="majorHAnsi" w:cs="Times New Roman"/>
          <w:sz w:val="22"/>
          <w:szCs w:val="22"/>
          <w:lang w:val="es-ES_tradnl"/>
        </w:rPr>
        <w:t xml:space="preserve"> y </w:t>
      </w:r>
      <w:r w:rsidR="00911B44">
        <w:rPr>
          <w:rFonts w:asciiTheme="majorHAnsi" w:eastAsia="Calibri" w:hAnsiTheme="majorHAnsi" w:cs="Times New Roman"/>
          <w:sz w:val="22"/>
          <w:szCs w:val="22"/>
          <w:lang w:val="es-ES_tradnl"/>
        </w:rPr>
        <w:t>participación</w:t>
      </w:r>
      <w:r w:rsidR="007053DB"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WLI</w:t>
      </w:r>
      <w:r w:rsidR="007053DB" w:rsidRPr="00B97122">
        <w:rPr>
          <w:rFonts w:asciiTheme="majorHAnsi" w:eastAsia="Calibri" w:hAnsiTheme="majorHAnsi" w:cs="Times New Roman"/>
          <w:sz w:val="22"/>
          <w:szCs w:val="22"/>
          <w:lang w:val="es-ES_tradnl"/>
        </w:rPr>
        <w:t xml:space="preserve"> cuenta con más de </w:t>
      </w:r>
      <w:r w:rsidR="00C64326" w:rsidRPr="00B97122">
        <w:rPr>
          <w:rFonts w:asciiTheme="majorHAnsi" w:eastAsia="Calibri" w:hAnsiTheme="majorHAnsi" w:cs="Times New Roman"/>
          <w:sz w:val="22"/>
          <w:szCs w:val="22"/>
          <w:lang w:val="es-ES_tradnl"/>
        </w:rPr>
        <w:t xml:space="preserve">300 </w:t>
      </w:r>
      <w:r w:rsidR="007053DB" w:rsidRPr="00B97122">
        <w:rPr>
          <w:rFonts w:asciiTheme="majorHAnsi" w:eastAsia="Calibri" w:hAnsiTheme="majorHAnsi" w:cs="Times New Roman"/>
          <w:sz w:val="22"/>
          <w:szCs w:val="22"/>
          <w:lang w:val="es-ES_tradnl"/>
        </w:rPr>
        <w:t>centros miembros y ha establecido varias redes regionales</w:t>
      </w:r>
      <w:r w:rsidR="00C64326" w:rsidRPr="00B97122">
        <w:rPr>
          <w:rFonts w:asciiTheme="majorHAnsi" w:eastAsia="Calibri" w:hAnsiTheme="majorHAnsi" w:cs="Times New Roman"/>
          <w:sz w:val="22"/>
          <w:szCs w:val="22"/>
          <w:lang w:val="es-ES_tradnl"/>
        </w:rPr>
        <w:t>.</w:t>
      </w:r>
    </w:p>
    <w:p w14:paraId="69E3D67E" w14:textId="25B9F393" w:rsidR="00C64326" w:rsidRPr="00B97122" w:rsidRDefault="007053DB" w:rsidP="004C3670">
      <w:pPr>
        <w:numPr>
          <w:ilvl w:val="0"/>
          <w:numId w:val="17"/>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Los centros de </w:t>
      </w:r>
      <w:r w:rsidR="00911B44" w:rsidRPr="00B97122">
        <w:rPr>
          <w:rFonts w:asciiTheme="majorHAnsi" w:eastAsia="Calibri" w:hAnsiTheme="majorHAnsi" w:cs="Times New Roman"/>
          <w:sz w:val="22"/>
          <w:szCs w:val="22"/>
          <w:lang w:val="es-ES_tradnl"/>
        </w:rPr>
        <w:t>educación</w:t>
      </w:r>
      <w:r w:rsidRPr="00B97122">
        <w:rPr>
          <w:rFonts w:asciiTheme="majorHAnsi" w:eastAsia="Calibri" w:hAnsiTheme="majorHAnsi" w:cs="Times New Roman"/>
          <w:sz w:val="22"/>
          <w:szCs w:val="22"/>
          <w:lang w:val="es-ES_tradnl"/>
        </w:rPr>
        <w:t xml:space="preserve"> sobre </w:t>
      </w:r>
      <w:r w:rsidR="000460CF" w:rsidRPr="00B97122">
        <w:rPr>
          <w:rFonts w:asciiTheme="majorHAnsi" w:eastAsia="Calibri" w:hAnsiTheme="majorHAnsi" w:cs="Times New Roman"/>
          <w:sz w:val="22"/>
          <w:szCs w:val="22"/>
          <w:lang w:val="es-ES_tradnl"/>
        </w:rPr>
        <w:t xml:space="preserve">humedales realizaron </w:t>
      </w:r>
      <w:r w:rsidR="00911B44" w:rsidRPr="00B97122">
        <w:rPr>
          <w:rFonts w:asciiTheme="majorHAnsi" w:eastAsia="Calibri" w:hAnsiTheme="majorHAnsi" w:cs="Times New Roman"/>
          <w:sz w:val="22"/>
          <w:szCs w:val="22"/>
          <w:lang w:val="es-ES_tradnl"/>
        </w:rPr>
        <w:t>distintas</w:t>
      </w:r>
      <w:r w:rsidR="00911B44">
        <w:rPr>
          <w:rFonts w:asciiTheme="majorHAnsi" w:eastAsia="Calibri" w:hAnsiTheme="majorHAnsi" w:cs="Times New Roman"/>
          <w:sz w:val="22"/>
          <w:szCs w:val="22"/>
          <w:lang w:val="es-ES_tradnl"/>
        </w:rPr>
        <w:t xml:space="preserve"> actividades, algunas relacionada</w:t>
      </w:r>
      <w:r w:rsidR="000460CF" w:rsidRPr="00B97122">
        <w:rPr>
          <w:rFonts w:asciiTheme="majorHAnsi" w:eastAsia="Calibri" w:hAnsiTheme="majorHAnsi" w:cs="Times New Roman"/>
          <w:sz w:val="22"/>
          <w:szCs w:val="22"/>
          <w:lang w:val="es-ES_tradnl"/>
        </w:rPr>
        <w:t xml:space="preserve">s con el Día Mundial de los Humedales y </w:t>
      </w:r>
      <w:r w:rsidR="00911B44">
        <w:rPr>
          <w:rFonts w:asciiTheme="majorHAnsi" w:eastAsia="Calibri" w:hAnsiTheme="majorHAnsi" w:cs="Times New Roman"/>
          <w:sz w:val="22"/>
          <w:szCs w:val="22"/>
          <w:lang w:val="es-ES_tradnl"/>
        </w:rPr>
        <w:t xml:space="preserve">otras no, para implicar </w:t>
      </w:r>
      <w:r w:rsidR="000460CF" w:rsidRPr="00B97122">
        <w:rPr>
          <w:rFonts w:asciiTheme="majorHAnsi" w:eastAsia="Calibri" w:hAnsiTheme="majorHAnsi" w:cs="Times New Roman"/>
          <w:sz w:val="22"/>
          <w:szCs w:val="22"/>
          <w:lang w:val="es-ES_tradnl"/>
        </w:rPr>
        <w:t xml:space="preserve">a sus </w:t>
      </w:r>
      <w:r w:rsidR="00911B44" w:rsidRPr="00B97122">
        <w:rPr>
          <w:rFonts w:asciiTheme="majorHAnsi" w:eastAsia="Calibri" w:hAnsiTheme="majorHAnsi" w:cs="Times New Roman"/>
          <w:sz w:val="22"/>
          <w:szCs w:val="22"/>
          <w:lang w:val="es-ES_tradnl"/>
        </w:rPr>
        <w:t>comunidades</w:t>
      </w:r>
      <w:r w:rsidR="000460CF" w:rsidRPr="00B97122">
        <w:rPr>
          <w:rFonts w:asciiTheme="majorHAnsi" w:eastAsia="Calibri" w:hAnsiTheme="majorHAnsi" w:cs="Times New Roman"/>
          <w:sz w:val="22"/>
          <w:szCs w:val="22"/>
          <w:lang w:val="es-ES_tradnl"/>
        </w:rPr>
        <w:t xml:space="preserve"> locales. </w:t>
      </w:r>
      <w:r w:rsidR="00911B44">
        <w:rPr>
          <w:rFonts w:asciiTheme="majorHAnsi" w:eastAsia="Calibri" w:hAnsiTheme="majorHAnsi" w:cs="Times New Roman"/>
          <w:sz w:val="22"/>
          <w:szCs w:val="22"/>
          <w:lang w:val="es-ES_tradnl"/>
        </w:rPr>
        <w:t>Se incluyó información detallada sobre mucha</w:t>
      </w:r>
      <w:r w:rsidR="000460CF" w:rsidRPr="00B97122">
        <w:rPr>
          <w:rFonts w:asciiTheme="majorHAnsi" w:eastAsia="Calibri" w:hAnsiTheme="majorHAnsi" w:cs="Times New Roman"/>
          <w:sz w:val="22"/>
          <w:szCs w:val="22"/>
          <w:lang w:val="es-ES_tradnl"/>
        </w:rPr>
        <w:t xml:space="preserve">s de estas </w:t>
      </w:r>
      <w:r w:rsidR="00911B44">
        <w:rPr>
          <w:rFonts w:asciiTheme="majorHAnsi" w:eastAsia="Calibri" w:hAnsiTheme="majorHAnsi" w:cs="Times New Roman"/>
          <w:sz w:val="22"/>
          <w:szCs w:val="22"/>
          <w:lang w:val="es-ES_tradnl"/>
        </w:rPr>
        <w:t xml:space="preserve">actividades en </w:t>
      </w:r>
      <w:r w:rsidR="000460CF" w:rsidRPr="00B97122">
        <w:rPr>
          <w:rFonts w:asciiTheme="majorHAnsi" w:eastAsia="Calibri" w:hAnsiTheme="majorHAnsi" w:cs="Times New Roman"/>
          <w:sz w:val="22"/>
          <w:szCs w:val="22"/>
          <w:lang w:val="es-ES_tradnl"/>
        </w:rPr>
        <w:t xml:space="preserve">el mapa </w:t>
      </w:r>
      <w:r w:rsidR="00911B44">
        <w:rPr>
          <w:rFonts w:asciiTheme="majorHAnsi" w:eastAsia="Calibri" w:hAnsiTheme="majorHAnsi" w:cs="Times New Roman"/>
          <w:sz w:val="22"/>
          <w:szCs w:val="22"/>
          <w:lang w:val="es-ES_tradnl"/>
        </w:rPr>
        <w:t xml:space="preserve">y registro de actividades </w:t>
      </w:r>
      <w:r w:rsidR="000460CF" w:rsidRPr="00B97122">
        <w:rPr>
          <w:rFonts w:asciiTheme="majorHAnsi" w:eastAsia="Calibri" w:hAnsiTheme="majorHAnsi" w:cs="Times New Roman"/>
          <w:sz w:val="22"/>
          <w:szCs w:val="22"/>
          <w:lang w:val="es-ES_tradnl"/>
        </w:rPr>
        <w:t>de la Secretaría</w:t>
      </w:r>
      <w:r w:rsidR="00911B44">
        <w:rPr>
          <w:rFonts w:asciiTheme="majorHAnsi" w:eastAsia="Calibri" w:hAnsiTheme="majorHAnsi" w:cs="Times New Roman"/>
          <w:sz w:val="22"/>
          <w:szCs w:val="22"/>
          <w:lang w:val="es-ES_tradnl"/>
        </w:rPr>
        <w:t>, disponibles en línea</w:t>
      </w:r>
      <w:r w:rsidR="000460CF" w:rsidRPr="00B97122">
        <w:rPr>
          <w:rFonts w:asciiTheme="majorHAnsi" w:eastAsia="Calibri" w:hAnsiTheme="majorHAnsi" w:cs="Times New Roman"/>
          <w:sz w:val="22"/>
          <w:szCs w:val="22"/>
          <w:lang w:val="es-ES_tradnl"/>
        </w:rPr>
        <w:t>.</w:t>
      </w:r>
    </w:p>
    <w:p w14:paraId="6A7CD9FA" w14:textId="77777777" w:rsidR="00723164" w:rsidRPr="00B97122" w:rsidRDefault="00723164" w:rsidP="00723164">
      <w:pPr>
        <w:spacing w:after="200"/>
        <w:contextualSpacing/>
        <w:rPr>
          <w:rFonts w:asciiTheme="majorHAnsi" w:eastAsia="Calibri" w:hAnsiTheme="majorHAnsi" w:cs="Times New Roman"/>
          <w:sz w:val="22"/>
          <w:szCs w:val="22"/>
          <w:lang w:val="es-ES_tradnl"/>
        </w:rPr>
      </w:pPr>
    </w:p>
    <w:p w14:paraId="64A8A046" w14:textId="61E1ACC3" w:rsidR="00C64326" w:rsidRPr="00B97122"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t xml:space="preserve">Objetivo </w:t>
      </w:r>
      <w:r w:rsidR="00C64326" w:rsidRPr="00B97122">
        <w:rPr>
          <w:rFonts w:asciiTheme="majorHAnsi" w:eastAsia="Calibri" w:hAnsiTheme="majorHAnsi" w:cs="Times New Roman"/>
          <w:i/>
          <w:sz w:val="22"/>
          <w:szCs w:val="22"/>
          <w:lang w:val="es-ES_tradnl"/>
        </w:rPr>
        <w:t xml:space="preserve">8 – </w:t>
      </w:r>
      <w:r w:rsidR="008C62E9" w:rsidRPr="00B97122">
        <w:rPr>
          <w:rFonts w:asciiTheme="majorHAnsi" w:eastAsia="Calibri" w:hAnsiTheme="majorHAnsi" w:cs="Times New Roman"/>
          <w:i/>
          <w:sz w:val="22"/>
          <w:szCs w:val="22"/>
          <w:lang w:val="es-ES_tradnl"/>
        </w:rPr>
        <w:t xml:space="preserve">Materiales </w:t>
      </w:r>
      <w:r w:rsidR="00911B44" w:rsidRPr="00B97122">
        <w:rPr>
          <w:rFonts w:asciiTheme="majorHAnsi" w:eastAsia="Calibri" w:hAnsiTheme="majorHAnsi" w:cs="Times New Roman"/>
          <w:i/>
          <w:sz w:val="22"/>
          <w:szCs w:val="22"/>
          <w:lang w:val="es-ES_tradnl"/>
        </w:rPr>
        <w:t>educativos</w:t>
      </w:r>
    </w:p>
    <w:p w14:paraId="34198AFA" w14:textId="7BC7F640" w:rsidR="00C64326" w:rsidRPr="00B97122" w:rsidRDefault="008C62E9" w:rsidP="004C3670">
      <w:pPr>
        <w:numPr>
          <w:ilvl w:val="0"/>
          <w:numId w:val="19"/>
        </w:numPr>
        <w:spacing w:after="200"/>
        <w:ind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Algunas de las publicaciones de Ramsar durante el trienio fueron las siguientes:</w:t>
      </w:r>
    </w:p>
    <w:p w14:paraId="52F561BA" w14:textId="7A06CD6E" w:rsidR="00C64326" w:rsidRPr="00B97122" w:rsidRDefault="008C62E9" w:rsidP="004C3670">
      <w:pPr>
        <w:numPr>
          <w:ilvl w:val="1"/>
          <w:numId w:val="19"/>
        </w:numPr>
        <w:spacing w:after="200"/>
        <w:ind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Un cartel sobre el Plan Estratégico de Ram</w:t>
      </w:r>
      <w:r w:rsidR="00C64326" w:rsidRPr="00B97122">
        <w:rPr>
          <w:rFonts w:asciiTheme="majorHAnsi" w:eastAsia="Calibri" w:hAnsiTheme="majorHAnsi" w:cs="Times New Roman"/>
          <w:sz w:val="22"/>
          <w:szCs w:val="22"/>
          <w:lang w:val="es-ES_tradnl"/>
        </w:rPr>
        <w:t>sar 2016-2024 (2016);</w:t>
      </w:r>
    </w:p>
    <w:p w14:paraId="2AB2EC4C" w14:textId="6B3C6E11" w:rsidR="00C64326" w:rsidRPr="00B97122" w:rsidRDefault="008C62E9" w:rsidP="004C3670">
      <w:pPr>
        <w:numPr>
          <w:ilvl w:val="1"/>
          <w:numId w:val="19"/>
        </w:numPr>
        <w:spacing w:after="200"/>
        <w:ind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lastRenderedPageBreak/>
        <w:t xml:space="preserve">La 5ª edición de los Manuales de Ramsar </w:t>
      </w:r>
      <w:r w:rsidR="00C64326" w:rsidRPr="00B97122">
        <w:rPr>
          <w:rFonts w:asciiTheme="majorHAnsi" w:eastAsia="Calibri" w:hAnsiTheme="majorHAnsi" w:cs="Times New Roman"/>
          <w:sz w:val="22"/>
          <w:szCs w:val="22"/>
          <w:lang w:val="es-ES_tradnl"/>
        </w:rPr>
        <w:t>(2016)</w:t>
      </w:r>
      <w:r w:rsidR="00911B44">
        <w:rPr>
          <w:rFonts w:asciiTheme="majorHAnsi" w:eastAsia="Calibri" w:hAnsiTheme="majorHAnsi" w:cs="Times New Roman"/>
          <w:sz w:val="22"/>
          <w:szCs w:val="22"/>
          <w:lang w:val="es-ES_tradnl"/>
        </w:rPr>
        <w:t xml:space="preserve">, </w:t>
      </w:r>
      <w:r w:rsidR="00911B44" w:rsidRPr="00451163">
        <w:rPr>
          <w:rFonts w:asciiTheme="majorHAnsi" w:eastAsia="Calibri" w:hAnsiTheme="majorHAnsi" w:cs="Times New Roman"/>
          <w:i/>
          <w:sz w:val="22"/>
          <w:szCs w:val="22"/>
          <w:lang w:val="es-ES_tradnl"/>
        </w:rPr>
        <w:t xml:space="preserve">Introducción a la Convención sobre los Humedales </w:t>
      </w:r>
      <w:r w:rsidR="00911B44" w:rsidRPr="00451163">
        <w:rPr>
          <w:rFonts w:asciiTheme="majorHAnsi" w:eastAsia="Calibri" w:hAnsiTheme="majorHAnsi" w:cs="Times New Roman"/>
          <w:sz w:val="22"/>
          <w:szCs w:val="22"/>
          <w:lang w:val="es-ES_tradnl"/>
        </w:rPr>
        <w:t>y</w:t>
      </w:r>
      <w:r w:rsidR="00C64326" w:rsidRPr="00451163">
        <w:rPr>
          <w:rFonts w:asciiTheme="majorHAnsi" w:eastAsia="Calibri" w:hAnsiTheme="majorHAnsi" w:cs="Times New Roman"/>
          <w:sz w:val="22"/>
          <w:szCs w:val="22"/>
          <w:lang w:val="es-ES_tradnl"/>
        </w:rPr>
        <w:t xml:space="preserve"> </w:t>
      </w:r>
      <w:r w:rsidR="00C64326" w:rsidRPr="00451163">
        <w:rPr>
          <w:rFonts w:asciiTheme="majorHAnsi" w:eastAsia="Calibri" w:hAnsiTheme="majorHAnsi" w:cs="Times New Roman"/>
          <w:i/>
          <w:sz w:val="22"/>
          <w:szCs w:val="22"/>
          <w:lang w:val="es-ES_tradnl"/>
        </w:rPr>
        <w:t>The Fourth Ramsar Strategic Plan 2016-2024</w:t>
      </w:r>
      <w:r w:rsidR="00451163" w:rsidRPr="00451163">
        <w:rPr>
          <w:rFonts w:asciiTheme="majorHAnsi" w:eastAsia="Calibri" w:hAnsiTheme="majorHAnsi" w:cs="Times New Roman"/>
          <w:sz w:val="22"/>
          <w:szCs w:val="22"/>
          <w:lang w:val="es-ES_tradnl"/>
        </w:rPr>
        <w:t xml:space="preserve"> [El Cuarto Plan Estratégico de Ramsar, para 2016-2024]</w:t>
      </w:r>
      <w:r w:rsidR="00C64326" w:rsidRPr="00B97122">
        <w:rPr>
          <w:rFonts w:asciiTheme="majorHAnsi" w:eastAsia="Calibri" w:hAnsiTheme="majorHAnsi" w:cs="Times New Roman"/>
          <w:sz w:val="22"/>
          <w:szCs w:val="22"/>
          <w:lang w:val="es-ES_tradnl"/>
        </w:rPr>
        <w:t>;</w:t>
      </w:r>
    </w:p>
    <w:p w14:paraId="2D1FDD47" w14:textId="4EEDA35E" w:rsidR="00C64326" w:rsidRPr="00B97122" w:rsidRDefault="008C62E9" w:rsidP="004C3670">
      <w:pPr>
        <w:numPr>
          <w:ilvl w:val="1"/>
          <w:numId w:val="19"/>
        </w:numPr>
        <w:spacing w:after="200"/>
        <w:ind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Ficha </w:t>
      </w:r>
      <w:r w:rsidRPr="0042413E">
        <w:rPr>
          <w:rFonts w:asciiTheme="majorHAnsi" w:eastAsia="Calibri" w:hAnsiTheme="majorHAnsi" w:cs="Times New Roman"/>
          <w:sz w:val="22"/>
          <w:szCs w:val="22"/>
          <w:lang w:val="es-ES_tradnl"/>
        </w:rPr>
        <w:t xml:space="preserve">Informativa </w:t>
      </w:r>
      <w:r w:rsidR="0042413E" w:rsidRPr="0042413E">
        <w:rPr>
          <w:rFonts w:asciiTheme="majorHAnsi" w:eastAsia="Calibri" w:hAnsiTheme="majorHAnsi" w:cs="Times New Roman"/>
          <w:i/>
          <w:sz w:val="22"/>
          <w:szCs w:val="22"/>
          <w:lang w:val="es-ES_tradnl"/>
        </w:rPr>
        <w:t>Humedales: una protección natural frente a los desastres</w:t>
      </w:r>
      <w:r w:rsidR="00C64326" w:rsidRPr="00B97122">
        <w:rPr>
          <w:rFonts w:asciiTheme="majorHAnsi" w:eastAsia="Calibri" w:hAnsiTheme="majorHAnsi" w:cs="Times New Roman"/>
          <w:sz w:val="22"/>
          <w:szCs w:val="22"/>
          <w:lang w:val="es-ES_tradnl"/>
        </w:rPr>
        <w:t xml:space="preserve"> (2016);</w:t>
      </w:r>
    </w:p>
    <w:p w14:paraId="3A78B314" w14:textId="15AEC0F9" w:rsidR="00C64326" w:rsidRPr="00B97122" w:rsidRDefault="0066447B" w:rsidP="004C3670">
      <w:pPr>
        <w:numPr>
          <w:ilvl w:val="1"/>
          <w:numId w:val="19"/>
        </w:numPr>
        <w:spacing w:after="200"/>
        <w:ind w:hanging="357"/>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E</w:t>
      </w:r>
      <w:r w:rsidRPr="00B97122">
        <w:rPr>
          <w:rFonts w:asciiTheme="majorHAnsi" w:eastAsia="Calibri" w:hAnsiTheme="majorHAnsi" w:cs="Times New Roman"/>
          <w:sz w:val="22"/>
          <w:szCs w:val="22"/>
          <w:lang w:val="es-ES_tradnl"/>
        </w:rPr>
        <w:t>n 2017</w:t>
      </w:r>
      <w:r>
        <w:rPr>
          <w:rFonts w:asciiTheme="majorHAnsi" w:eastAsia="Calibri" w:hAnsiTheme="majorHAnsi" w:cs="Times New Roman"/>
          <w:sz w:val="22"/>
          <w:szCs w:val="22"/>
          <w:lang w:val="es-ES_tradnl"/>
        </w:rPr>
        <w:t xml:space="preserve"> s</w:t>
      </w:r>
      <w:r w:rsidR="00E8502B" w:rsidRPr="00B97122">
        <w:rPr>
          <w:rFonts w:asciiTheme="majorHAnsi" w:eastAsia="Calibri" w:hAnsiTheme="majorHAnsi" w:cs="Times New Roman"/>
          <w:sz w:val="22"/>
          <w:szCs w:val="22"/>
          <w:lang w:val="es-ES_tradnl"/>
        </w:rPr>
        <w:t xml:space="preserve">e elaboraron las </w:t>
      </w:r>
      <w:r w:rsidR="005249D6">
        <w:rPr>
          <w:rFonts w:asciiTheme="majorHAnsi" w:eastAsia="Calibri" w:hAnsiTheme="majorHAnsi" w:cs="Times New Roman"/>
          <w:sz w:val="22"/>
          <w:szCs w:val="22"/>
          <w:lang w:val="es-ES_tradnl"/>
        </w:rPr>
        <w:t>Notas sobre P</w:t>
      </w:r>
      <w:r w:rsidR="00E8502B" w:rsidRPr="005249D6">
        <w:rPr>
          <w:rFonts w:asciiTheme="majorHAnsi" w:eastAsia="Calibri" w:hAnsiTheme="majorHAnsi" w:cs="Times New Roman"/>
          <w:sz w:val="22"/>
          <w:szCs w:val="22"/>
          <w:lang w:val="es-ES_tradnl"/>
        </w:rPr>
        <w:t>olíticas</w:t>
      </w:r>
      <w:r w:rsidR="00E8502B" w:rsidRPr="00B97122">
        <w:rPr>
          <w:rFonts w:asciiTheme="majorHAnsi" w:eastAsia="Calibri" w:hAnsiTheme="majorHAnsi" w:cs="Times New Roman"/>
          <w:sz w:val="22"/>
          <w:szCs w:val="22"/>
          <w:lang w:val="es-ES_tradnl"/>
        </w:rPr>
        <w:t xml:space="preserve"> </w:t>
      </w:r>
      <w:r w:rsidR="00A17DB9">
        <w:rPr>
          <w:rFonts w:asciiTheme="majorHAnsi" w:eastAsia="Calibri" w:hAnsiTheme="majorHAnsi" w:cs="Times New Roman"/>
          <w:i/>
          <w:sz w:val="22"/>
          <w:szCs w:val="22"/>
          <w:lang w:val="es-ES_tradnl"/>
        </w:rPr>
        <w:t xml:space="preserve">Humedales para la reducción del riesgo de desastres </w:t>
      </w:r>
      <w:r>
        <w:rPr>
          <w:rFonts w:asciiTheme="majorHAnsi" w:eastAsia="Calibri" w:hAnsiTheme="majorHAnsi" w:cs="Times New Roman"/>
          <w:sz w:val="22"/>
          <w:szCs w:val="22"/>
          <w:lang w:val="es-ES_tradnl"/>
        </w:rPr>
        <w:t>e</w:t>
      </w:r>
      <w:r w:rsidR="00C64326" w:rsidRPr="00B97122">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i/>
          <w:sz w:val="22"/>
          <w:szCs w:val="22"/>
          <w:lang w:val="es-ES_tradnl"/>
        </w:rPr>
        <w:t>Integra</w:t>
      </w:r>
      <w:r>
        <w:rPr>
          <w:rFonts w:asciiTheme="majorHAnsi" w:eastAsia="Calibri" w:hAnsiTheme="majorHAnsi" w:cs="Times New Roman"/>
          <w:i/>
          <w:sz w:val="22"/>
          <w:szCs w:val="22"/>
          <w:lang w:val="es-ES_tradnl"/>
        </w:rPr>
        <w:t>ción de los múltiples valores de los humedales en la toma de decisiones</w:t>
      </w:r>
      <w:r w:rsidR="00C64326" w:rsidRPr="00B97122">
        <w:rPr>
          <w:rFonts w:asciiTheme="majorHAnsi" w:eastAsia="Calibri" w:hAnsiTheme="majorHAnsi" w:cs="Times New Roman"/>
          <w:sz w:val="22"/>
          <w:szCs w:val="22"/>
          <w:lang w:val="es-ES_tradnl"/>
        </w:rPr>
        <w:t>;</w:t>
      </w:r>
    </w:p>
    <w:p w14:paraId="437AC847" w14:textId="70DF779A" w:rsidR="00C64326" w:rsidRPr="0066447B" w:rsidRDefault="0066447B" w:rsidP="004C3670">
      <w:pPr>
        <w:numPr>
          <w:ilvl w:val="1"/>
          <w:numId w:val="19"/>
        </w:numPr>
        <w:spacing w:after="200"/>
        <w:ind w:hanging="357"/>
        <w:contextualSpacing/>
        <w:rPr>
          <w:rFonts w:asciiTheme="majorHAnsi" w:eastAsia="Calibri" w:hAnsiTheme="majorHAnsi" w:cs="Times New Roman"/>
          <w:sz w:val="22"/>
          <w:szCs w:val="22"/>
          <w:lang w:val="es-ES_tradnl"/>
        </w:rPr>
      </w:pPr>
      <w:r w:rsidRPr="002D36B5">
        <w:rPr>
          <w:rFonts w:asciiTheme="majorHAnsi" w:eastAsia="Calibri" w:hAnsiTheme="majorHAnsi" w:cs="Times New Roman"/>
          <w:i/>
          <w:sz w:val="22"/>
          <w:szCs w:val="22"/>
          <w:lang w:val="es-ES_tradnl"/>
        </w:rPr>
        <w:t>Las Convenciones de Ramsar y del Patrimonio Mundial, convergiendo hacia el éxito</w:t>
      </w:r>
      <w:r w:rsidRPr="0066447B">
        <w:rPr>
          <w:rFonts w:asciiTheme="majorHAnsi" w:eastAsia="Calibri" w:hAnsiTheme="majorHAnsi" w:cs="Times New Roman"/>
          <w:sz w:val="22"/>
          <w:szCs w:val="22"/>
          <w:lang w:val="es-ES_tradnl"/>
        </w:rPr>
        <w:t xml:space="preserve"> </w:t>
      </w:r>
      <w:r w:rsidR="00C64326" w:rsidRPr="0066447B">
        <w:rPr>
          <w:rFonts w:asciiTheme="majorHAnsi" w:eastAsia="Calibri" w:hAnsiTheme="majorHAnsi" w:cs="Times New Roman"/>
          <w:sz w:val="22"/>
          <w:szCs w:val="22"/>
          <w:lang w:val="es-ES_tradnl"/>
        </w:rPr>
        <w:t xml:space="preserve">(2017); </w:t>
      </w:r>
    </w:p>
    <w:p w14:paraId="5862269B" w14:textId="3364625A" w:rsidR="00C64326" w:rsidRPr="00B97122" w:rsidRDefault="0066447B" w:rsidP="004C3670">
      <w:pPr>
        <w:numPr>
          <w:ilvl w:val="1"/>
          <w:numId w:val="19"/>
        </w:numPr>
        <w:spacing w:after="200"/>
        <w:ind w:hanging="357"/>
        <w:contextualSpacing/>
        <w:rPr>
          <w:rFonts w:asciiTheme="majorHAnsi" w:eastAsia="Calibri" w:hAnsiTheme="majorHAnsi" w:cs="Times New Roman"/>
          <w:sz w:val="22"/>
          <w:szCs w:val="22"/>
          <w:lang w:val="es-ES_tradnl"/>
        </w:rPr>
      </w:pPr>
      <w:r w:rsidRPr="002D36B5">
        <w:rPr>
          <w:rFonts w:asciiTheme="majorHAnsi" w:eastAsia="Calibri" w:hAnsiTheme="majorHAnsi" w:cs="Times New Roman"/>
          <w:i/>
          <w:sz w:val="22"/>
          <w:szCs w:val="22"/>
          <w:lang w:val="es-ES_tradnl"/>
        </w:rPr>
        <w:t>Fondo de Humedales para el Futuro: Celebrando 20 años de la Conservación y Uso Racional de los Humedales en América Latina, el Caribe y México</w:t>
      </w:r>
      <w:r w:rsidRPr="0066447B">
        <w:rPr>
          <w:rFonts w:asciiTheme="majorHAnsi" w:eastAsia="Calibri" w:hAnsiTheme="majorHAnsi" w:cs="Times New Roman"/>
          <w:sz w:val="22"/>
          <w:szCs w:val="22"/>
          <w:lang w:val="es-ES_tradnl"/>
        </w:rPr>
        <w:t xml:space="preserve"> </w:t>
      </w:r>
      <w:r w:rsidR="00C64326" w:rsidRPr="0066447B">
        <w:rPr>
          <w:rFonts w:asciiTheme="majorHAnsi" w:eastAsia="Calibri" w:hAnsiTheme="majorHAnsi" w:cs="Times New Roman"/>
          <w:sz w:val="22"/>
          <w:szCs w:val="22"/>
          <w:lang w:val="es-ES_tradnl"/>
        </w:rPr>
        <w:t>(2017</w:t>
      </w:r>
      <w:r w:rsidR="00C64326" w:rsidRPr="00B97122">
        <w:rPr>
          <w:rFonts w:asciiTheme="majorHAnsi" w:eastAsia="Calibri" w:hAnsiTheme="majorHAnsi" w:cs="Times New Roman"/>
          <w:sz w:val="22"/>
          <w:szCs w:val="22"/>
          <w:lang w:val="es-ES_tradnl"/>
        </w:rPr>
        <w:t>);</w:t>
      </w:r>
    </w:p>
    <w:p w14:paraId="486FE7D8" w14:textId="6F15CE61" w:rsidR="00C64326" w:rsidRPr="00B97122" w:rsidRDefault="002D36B5" w:rsidP="004C3670">
      <w:pPr>
        <w:numPr>
          <w:ilvl w:val="1"/>
          <w:numId w:val="19"/>
        </w:numPr>
        <w:spacing w:after="200"/>
        <w:ind w:hanging="357"/>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Nota sobre P</w:t>
      </w:r>
      <w:r w:rsidR="008F5207" w:rsidRPr="00B97122">
        <w:rPr>
          <w:rFonts w:asciiTheme="majorHAnsi" w:eastAsia="Calibri" w:hAnsiTheme="majorHAnsi" w:cs="Times New Roman"/>
          <w:sz w:val="22"/>
          <w:szCs w:val="22"/>
          <w:lang w:val="es-ES_tradnl"/>
        </w:rPr>
        <w:t xml:space="preserve">olíticas y Nota </w:t>
      </w:r>
      <w:r w:rsidR="0066447B" w:rsidRPr="00B97122">
        <w:rPr>
          <w:rFonts w:asciiTheme="majorHAnsi" w:eastAsia="Calibri" w:hAnsiTheme="majorHAnsi" w:cs="Times New Roman"/>
          <w:sz w:val="22"/>
          <w:szCs w:val="22"/>
          <w:lang w:val="es-ES_tradnl"/>
        </w:rPr>
        <w:t>informativa</w:t>
      </w:r>
      <w:r w:rsidR="008F5207" w:rsidRPr="00B97122">
        <w:rPr>
          <w:rFonts w:asciiTheme="majorHAnsi" w:eastAsia="Calibri" w:hAnsiTheme="majorHAnsi" w:cs="Times New Roman"/>
          <w:sz w:val="22"/>
          <w:szCs w:val="22"/>
          <w:lang w:val="es-ES_tradnl"/>
        </w:rPr>
        <w:t xml:space="preserve"> </w:t>
      </w:r>
      <w:r w:rsidR="0066447B" w:rsidRPr="0066447B">
        <w:rPr>
          <w:rFonts w:asciiTheme="majorHAnsi" w:eastAsia="Calibri" w:hAnsiTheme="majorHAnsi" w:cs="Times New Roman"/>
          <w:sz w:val="22"/>
          <w:szCs w:val="22"/>
          <w:lang w:val="es-ES_tradnl"/>
        </w:rPr>
        <w:t>sobre las</w:t>
      </w:r>
      <w:r w:rsidR="0066447B">
        <w:rPr>
          <w:rFonts w:asciiTheme="majorHAnsi" w:eastAsia="Calibri" w:hAnsiTheme="majorHAnsi" w:cs="Times New Roman"/>
          <w:color w:val="FF0000"/>
          <w:sz w:val="22"/>
          <w:szCs w:val="22"/>
          <w:lang w:val="es-ES_tradnl"/>
        </w:rPr>
        <w:t xml:space="preserve"> </w:t>
      </w:r>
      <w:r w:rsidR="0066447B">
        <w:rPr>
          <w:rFonts w:asciiTheme="majorHAnsi" w:eastAsia="Calibri" w:hAnsiTheme="majorHAnsi" w:cs="Times New Roman"/>
          <w:i/>
          <w:sz w:val="22"/>
          <w:szCs w:val="22"/>
          <w:lang w:val="es-ES_tradnl"/>
        </w:rPr>
        <w:t>Misiones Ramsar de Asesoramiento</w:t>
      </w:r>
      <w:r w:rsidR="00C64326" w:rsidRPr="00B97122">
        <w:rPr>
          <w:rFonts w:asciiTheme="majorHAnsi" w:eastAsia="Calibri" w:hAnsiTheme="majorHAnsi" w:cs="Times New Roman"/>
          <w:sz w:val="22"/>
          <w:szCs w:val="22"/>
          <w:lang w:val="es-ES_tradnl"/>
        </w:rPr>
        <w:t xml:space="preserve"> (2018), </w:t>
      </w:r>
      <w:r w:rsidR="008F5207" w:rsidRPr="00B97122">
        <w:rPr>
          <w:rFonts w:asciiTheme="majorHAnsi" w:eastAsia="Calibri" w:hAnsiTheme="majorHAnsi" w:cs="Times New Roman"/>
          <w:sz w:val="22"/>
          <w:szCs w:val="22"/>
          <w:lang w:val="es-ES_tradnl"/>
        </w:rPr>
        <w:t xml:space="preserve">que </w:t>
      </w:r>
      <w:r w:rsidR="0066447B">
        <w:rPr>
          <w:rFonts w:asciiTheme="majorHAnsi" w:eastAsia="Calibri" w:hAnsiTheme="majorHAnsi" w:cs="Times New Roman"/>
          <w:sz w:val="22"/>
          <w:szCs w:val="22"/>
          <w:lang w:val="es-ES_tradnl"/>
        </w:rPr>
        <w:t>destacaron</w:t>
      </w:r>
      <w:r w:rsidR="008F5207" w:rsidRPr="00B97122">
        <w:rPr>
          <w:rFonts w:asciiTheme="majorHAnsi" w:eastAsia="Calibri" w:hAnsiTheme="majorHAnsi" w:cs="Times New Roman"/>
          <w:sz w:val="22"/>
          <w:szCs w:val="22"/>
          <w:lang w:val="es-ES_tradnl"/>
        </w:rPr>
        <w:t xml:space="preserve"> las Misiones Ramsar de Asesoramiento como h</w:t>
      </w:r>
      <w:r w:rsidR="0066447B">
        <w:rPr>
          <w:rFonts w:asciiTheme="majorHAnsi" w:eastAsia="Calibri" w:hAnsiTheme="majorHAnsi" w:cs="Times New Roman"/>
          <w:sz w:val="22"/>
          <w:szCs w:val="22"/>
          <w:lang w:val="es-ES_tradnl"/>
        </w:rPr>
        <w:t>erramientas valiosas para hacer frente a</w:t>
      </w:r>
      <w:r w:rsidR="008F5207" w:rsidRPr="00B97122">
        <w:rPr>
          <w:rFonts w:asciiTheme="majorHAnsi" w:eastAsia="Calibri" w:hAnsiTheme="majorHAnsi" w:cs="Times New Roman"/>
          <w:sz w:val="22"/>
          <w:szCs w:val="22"/>
          <w:lang w:val="es-ES_tradnl"/>
        </w:rPr>
        <w:t xml:space="preserve"> lo</w:t>
      </w:r>
      <w:r w:rsidR="0066447B">
        <w:rPr>
          <w:rFonts w:asciiTheme="majorHAnsi" w:eastAsia="Calibri" w:hAnsiTheme="majorHAnsi" w:cs="Times New Roman"/>
          <w:sz w:val="22"/>
          <w:szCs w:val="22"/>
          <w:lang w:val="es-ES_tradnl"/>
        </w:rPr>
        <w:t>s cambios actuales y posibles</w:t>
      </w:r>
      <w:r w:rsidR="008F5207" w:rsidRPr="00B97122">
        <w:rPr>
          <w:rFonts w:asciiTheme="majorHAnsi" w:eastAsia="Calibri" w:hAnsiTheme="majorHAnsi" w:cs="Times New Roman"/>
          <w:sz w:val="22"/>
          <w:szCs w:val="22"/>
          <w:lang w:val="es-ES_tradnl"/>
        </w:rPr>
        <w:t xml:space="preserve"> en las </w:t>
      </w:r>
      <w:r w:rsidR="0066447B" w:rsidRPr="00B97122">
        <w:rPr>
          <w:rFonts w:asciiTheme="majorHAnsi" w:eastAsia="Calibri" w:hAnsiTheme="majorHAnsi" w:cs="Times New Roman"/>
          <w:sz w:val="22"/>
          <w:szCs w:val="22"/>
          <w:lang w:val="es-ES_tradnl"/>
        </w:rPr>
        <w:t>características</w:t>
      </w:r>
      <w:r w:rsidR="008F5207" w:rsidRPr="00B97122">
        <w:rPr>
          <w:rFonts w:asciiTheme="majorHAnsi" w:eastAsia="Calibri" w:hAnsiTheme="majorHAnsi" w:cs="Times New Roman"/>
          <w:sz w:val="22"/>
          <w:szCs w:val="22"/>
          <w:lang w:val="es-ES_tradnl"/>
        </w:rPr>
        <w:t xml:space="preserve"> ecológicas de los sitios Ramsar;</w:t>
      </w:r>
    </w:p>
    <w:p w14:paraId="081E13A7" w14:textId="13A1D21F" w:rsidR="00C64326" w:rsidRPr="00B97122" w:rsidRDefault="0066447B" w:rsidP="004C3670">
      <w:pPr>
        <w:numPr>
          <w:ilvl w:val="1"/>
          <w:numId w:val="19"/>
        </w:numPr>
        <w:spacing w:after="200"/>
        <w:ind w:hanging="357"/>
        <w:contextualSpacing/>
        <w:rPr>
          <w:rFonts w:asciiTheme="majorHAnsi" w:eastAsia="Calibri" w:hAnsiTheme="majorHAnsi" w:cs="Times New Roman"/>
          <w:sz w:val="22"/>
          <w:szCs w:val="22"/>
          <w:lang w:val="es-ES_tradnl"/>
        </w:rPr>
      </w:pPr>
      <w:r w:rsidRPr="00C44990">
        <w:rPr>
          <w:rFonts w:asciiTheme="majorHAnsi" w:eastAsia="Calibri" w:hAnsiTheme="majorHAnsi" w:cs="Times New Roman"/>
          <w:i/>
          <w:sz w:val="22"/>
          <w:szCs w:val="22"/>
          <w:lang w:val="es-ES_tradnl"/>
        </w:rPr>
        <w:t>Scaling up wetland conservation, wise use and restoration to achieve SDGs</w:t>
      </w:r>
      <w:r w:rsidRPr="00C44990">
        <w:rPr>
          <w:rFonts w:asciiTheme="majorHAnsi" w:eastAsia="Calibri" w:hAnsiTheme="majorHAnsi" w:cs="Times New Roman"/>
          <w:sz w:val="22"/>
          <w:szCs w:val="22"/>
          <w:lang w:val="es-ES_tradnl"/>
        </w:rPr>
        <w:t xml:space="preserve"> </w:t>
      </w:r>
      <w:r>
        <w:rPr>
          <w:rFonts w:asciiTheme="majorHAnsi" w:eastAsia="Calibri" w:hAnsiTheme="majorHAnsi" w:cs="Times New Roman"/>
          <w:sz w:val="22"/>
          <w:szCs w:val="22"/>
          <w:lang w:val="es-ES_tradnl"/>
        </w:rPr>
        <w:t xml:space="preserve">[Incrementar la conservación de los humedales, el uso racional y la restauración de los humedales para lograr los ODS </w:t>
      </w:r>
      <w:r w:rsidR="008F5207" w:rsidRPr="00B97122">
        <w:rPr>
          <w:rFonts w:asciiTheme="majorHAnsi" w:eastAsia="Calibri" w:hAnsiTheme="majorHAnsi" w:cs="Times New Roman"/>
          <w:sz w:val="22"/>
          <w:szCs w:val="22"/>
          <w:lang w:val="es-ES_tradnl"/>
        </w:rPr>
        <w:t>(2018);</w:t>
      </w:r>
    </w:p>
    <w:p w14:paraId="04E49A67" w14:textId="0FF45B61" w:rsidR="00C64326" w:rsidRPr="00B97122" w:rsidRDefault="00C64326" w:rsidP="004C3670">
      <w:pPr>
        <w:numPr>
          <w:ilvl w:val="1"/>
          <w:numId w:val="19"/>
        </w:numPr>
        <w:spacing w:after="200"/>
        <w:rPr>
          <w:rFonts w:asciiTheme="majorHAnsi" w:eastAsia="Calibri" w:hAnsiTheme="majorHAnsi" w:cs="Times New Roman"/>
          <w:sz w:val="22"/>
          <w:szCs w:val="22"/>
          <w:lang w:val="es-ES_tradnl"/>
        </w:rPr>
      </w:pPr>
      <w:r w:rsidRPr="002D36B5">
        <w:rPr>
          <w:rFonts w:asciiTheme="majorHAnsi" w:eastAsia="Calibri" w:hAnsiTheme="majorHAnsi" w:cs="Times New Roman"/>
          <w:i/>
          <w:sz w:val="22"/>
          <w:szCs w:val="22"/>
          <w:lang w:val="es-ES_tradnl"/>
        </w:rPr>
        <w:t>Global Wetland Outlook</w:t>
      </w:r>
      <w:r w:rsidRPr="00B97122">
        <w:rPr>
          <w:rFonts w:asciiTheme="majorHAnsi" w:eastAsia="Calibri" w:hAnsiTheme="majorHAnsi" w:cs="Times New Roman"/>
          <w:sz w:val="22"/>
          <w:szCs w:val="22"/>
          <w:lang w:val="es-ES_tradnl"/>
        </w:rPr>
        <w:t xml:space="preserve"> </w:t>
      </w:r>
      <w:r w:rsidR="0066447B">
        <w:rPr>
          <w:rFonts w:asciiTheme="majorHAnsi" w:eastAsia="Calibri" w:hAnsiTheme="majorHAnsi" w:cs="Times New Roman"/>
          <w:sz w:val="22"/>
          <w:szCs w:val="22"/>
          <w:lang w:val="es-ES_tradnl"/>
        </w:rPr>
        <w:t xml:space="preserve">[Perspectiva mundial sobre los humedales] </w:t>
      </w:r>
      <w:r w:rsidRPr="00B97122">
        <w:rPr>
          <w:rFonts w:asciiTheme="majorHAnsi" w:eastAsia="Calibri" w:hAnsiTheme="majorHAnsi" w:cs="Times New Roman"/>
          <w:sz w:val="22"/>
          <w:szCs w:val="22"/>
          <w:lang w:val="es-ES_tradnl"/>
        </w:rPr>
        <w:t>(2018).</w:t>
      </w:r>
    </w:p>
    <w:p w14:paraId="510425C0" w14:textId="3D6361B7" w:rsidR="00C64326" w:rsidRPr="00B97122" w:rsidRDefault="002147D2" w:rsidP="004C3670">
      <w:pPr>
        <w:numPr>
          <w:ilvl w:val="0"/>
          <w:numId w:val="19"/>
        </w:numPr>
        <w:spacing w:after="200"/>
        <w:ind w:hanging="357"/>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Secretaría, los </w:t>
      </w:r>
      <w:r w:rsidR="0066447B" w:rsidRPr="00B97122">
        <w:rPr>
          <w:rFonts w:asciiTheme="majorHAnsi" w:eastAsia="Calibri" w:hAnsiTheme="majorHAnsi" w:cs="Times New Roman"/>
          <w:sz w:val="22"/>
          <w:szCs w:val="22"/>
          <w:lang w:val="es-ES_tradnl"/>
        </w:rPr>
        <w:t>Centros</w:t>
      </w:r>
      <w:r w:rsidRPr="00B97122">
        <w:rPr>
          <w:rFonts w:asciiTheme="majorHAnsi" w:eastAsia="Calibri" w:hAnsiTheme="majorHAnsi" w:cs="Times New Roman"/>
          <w:sz w:val="22"/>
          <w:szCs w:val="22"/>
          <w:lang w:val="es-ES_tradnl"/>
        </w:rPr>
        <w:t xml:space="preserve"> </w:t>
      </w:r>
      <w:r w:rsidR="0066447B" w:rsidRPr="00B97122">
        <w:rPr>
          <w:rFonts w:asciiTheme="majorHAnsi" w:eastAsia="Calibri" w:hAnsiTheme="majorHAnsi" w:cs="Times New Roman"/>
          <w:sz w:val="22"/>
          <w:szCs w:val="22"/>
          <w:lang w:val="es-ES_tradnl"/>
        </w:rPr>
        <w:t>Regionales</w:t>
      </w:r>
      <w:r w:rsidRPr="00B97122">
        <w:rPr>
          <w:rFonts w:asciiTheme="majorHAnsi" w:eastAsia="Calibri" w:hAnsiTheme="majorHAnsi" w:cs="Times New Roman"/>
          <w:sz w:val="22"/>
          <w:szCs w:val="22"/>
          <w:lang w:val="es-ES_tradnl"/>
        </w:rPr>
        <w:t xml:space="preserve"> y las Partes Contratantes elaboraron distintos materiales de formación, </w:t>
      </w:r>
      <w:r w:rsidR="0010020B">
        <w:rPr>
          <w:rFonts w:asciiTheme="majorHAnsi" w:eastAsia="Calibri" w:hAnsiTheme="majorHAnsi" w:cs="Times New Roman"/>
          <w:sz w:val="22"/>
          <w:szCs w:val="22"/>
          <w:lang w:val="es-ES_tradnl"/>
        </w:rPr>
        <w:t xml:space="preserve">herramientas y </w:t>
      </w:r>
      <w:r w:rsidRPr="00B97122">
        <w:rPr>
          <w:rFonts w:asciiTheme="majorHAnsi" w:eastAsia="Calibri" w:hAnsiTheme="majorHAnsi" w:cs="Times New Roman"/>
          <w:sz w:val="22"/>
          <w:szCs w:val="22"/>
          <w:lang w:val="es-ES_tradnl"/>
        </w:rPr>
        <w:t xml:space="preserve">seminarios web sobre cuestiones relativas a los </w:t>
      </w:r>
      <w:r w:rsidR="0066447B" w:rsidRPr="00B97122">
        <w:rPr>
          <w:rFonts w:asciiTheme="majorHAnsi" w:eastAsia="Calibri" w:hAnsiTheme="majorHAnsi" w:cs="Times New Roman"/>
          <w:sz w:val="22"/>
          <w:szCs w:val="22"/>
          <w:lang w:val="es-ES_tradnl"/>
        </w:rPr>
        <w:t>humedales</w:t>
      </w:r>
      <w:r w:rsidR="0010020B">
        <w:rPr>
          <w:rFonts w:asciiTheme="majorHAnsi" w:eastAsia="Calibri" w:hAnsiTheme="majorHAnsi" w:cs="Times New Roman"/>
          <w:sz w:val="22"/>
          <w:szCs w:val="22"/>
          <w:lang w:val="es-ES_tradnl"/>
        </w:rPr>
        <w:t xml:space="preserve"> y su gestión</w:t>
      </w:r>
      <w:r w:rsidR="00C64326" w:rsidRPr="00B97122">
        <w:rPr>
          <w:rFonts w:asciiTheme="majorHAnsi" w:eastAsia="Calibri" w:hAnsiTheme="majorHAnsi" w:cs="Times New Roman"/>
          <w:sz w:val="22"/>
          <w:szCs w:val="22"/>
          <w:lang w:val="es-ES_tradnl"/>
        </w:rPr>
        <w:t>.</w:t>
      </w:r>
    </w:p>
    <w:p w14:paraId="25ECDA86" w14:textId="77777777" w:rsidR="00723164" w:rsidRPr="00B97122" w:rsidRDefault="00723164" w:rsidP="00723164">
      <w:pPr>
        <w:spacing w:after="200"/>
        <w:contextualSpacing/>
        <w:rPr>
          <w:rFonts w:asciiTheme="majorHAnsi" w:eastAsia="Calibri" w:hAnsiTheme="majorHAnsi" w:cs="Times New Roman"/>
          <w:sz w:val="22"/>
          <w:szCs w:val="22"/>
          <w:lang w:val="es-ES_tradnl"/>
        </w:rPr>
      </w:pPr>
    </w:p>
    <w:p w14:paraId="71341712" w14:textId="2F878FE6" w:rsidR="00C64326" w:rsidRPr="00B97122" w:rsidRDefault="00A07BFB" w:rsidP="004C3670">
      <w:pPr>
        <w:keepNext/>
        <w:spacing w:after="200"/>
        <w:rPr>
          <w:rFonts w:asciiTheme="majorHAnsi" w:eastAsia="Calibri" w:hAnsiTheme="majorHAnsi" w:cs="Times New Roman"/>
          <w:i/>
          <w:sz w:val="22"/>
          <w:szCs w:val="22"/>
          <w:lang w:val="es-ES_tradnl"/>
        </w:rPr>
      </w:pPr>
      <w:r>
        <w:rPr>
          <w:rFonts w:asciiTheme="majorHAnsi" w:eastAsia="Calibri" w:hAnsiTheme="majorHAnsi" w:cs="Times New Roman"/>
          <w:i/>
          <w:sz w:val="22"/>
          <w:szCs w:val="22"/>
          <w:lang w:val="es-ES_tradnl"/>
        </w:rPr>
        <w:t xml:space="preserve">Objetivo </w:t>
      </w:r>
      <w:r w:rsidR="00C64326" w:rsidRPr="00B97122">
        <w:rPr>
          <w:rFonts w:asciiTheme="majorHAnsi" w:eastAsia="Calibri" w:hAnsiTheme="majorHAnsi" w:cs="Times New Roman"/>
          <w:i/>
          <w:sz w:val="22"/>
          <w:szCs w:val="22"/>
          <w:lang w:val="es-ES_tradnl"/>
        </w:rPr>
        <w:t xml:space="preserve">9 – </w:t>
      </w:r>
      <w:r w:rsidR="0010020B">
        <w:rPr>
          <w:rFonts w:asciiTheme="majorHAnsi" w:eastAsia="Calibri" w:hAnsiTheme="majorHAnsi" w:cs="Times New Roman"/>
          <w:i/>
          <w:sz w:val="22"/>
          <w:szCs w:val="22"/>
          <w:lang w:val="es-ES_tradnl"/>
        </w:rPr>
        <w:t>Elaboración</w:t>
      </w:r>
      <w:r w:rsidR="002147D2" w:rsidRPr="00B97122">
        <w:rPr>
          <w:rFonts w:asciiTheme="majorHAnsi" w:eastAsia="Calibri" w:hAnsiTheme="majorHAnsi" w:cs="Times New Roman"/>
          <w:i/>
          <w:sz w:val="22"/>
          <w:szCs w:val="22"/>
          <w:lang w:val="es-ES_tradnl"/>
        </w:rPr>
        <w:t xml:space="preserve"> y </w:t>
      </w:r>
      <w:r w:rsidR="0010020B" w:rsidRPr="00B97122">
        <w:rPr>
          <w:rFonts w:asciiTheme="majorHAnsi" w:eastAsia="Calibri" w:hAnsiTheme="majorHAnsi" w:cs="Times New Roman"/>
          <w:i/>
          <w:sz w:val="22"/>
          <w:szCs w:val="22"/>
          <w:lang w:val="es-ES_tradnl"/>
        </w:rPr>
        <w:t>comunicación</w:t>
      </w:r>
      <w:r w:rsidR="002147D2" w:rsidRPr="00B97122">
        <w:rPr>
          <w:rFonts w:asciiTheme="majorHAnsi" w:eastAsia="Calibri" w:hAnsiTheme="majorHAnsi" w:cs="Times New Roman"/>
          <w:i/>
          <w:sz w:val="22"/>
          <w:szCs w:val="22"/>
          <w:lang w:val="es-ES_tradnl"/>
        </w:rPr>
        <w:t xml:space="preserve"> de los materiales del GECT</w:t>
      </w:r>
    </w:p>
    <w:p w14:paraId="766609B1" w14:textId="69DF463D" w:rsidR="00C64326" w:rsidRPr="00B97122" w:rsidRDefault="002147D2" w:rsidP="004C3670">
      <w:pPr>
        <w:numPr>
          <w:ilvl w:val="0"/>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Durante el trienio </w:t>
      </w:r>
      <w:r w:rsidR="00C64326" w:rsidRPr="00B97122">
        <w:rPr>
          <w:rFonts w:asciiTheme="majorHAnsi" w:eastAsia="Calibri" w:hAnsiTheme="majorHAnsi" w:cs="Times New Roman"/>
          <w:sz w:val="22"/>
          <w:szCs w:val="22"/>
          <w:lang w:val="es-ES_tradnl"/>
        </w:rPr>
        <w:t>2016-2018</w:t>
      </w:r>
      <w:r w:rsidRPr="00B97122">
        <w:rPr>
          <w:rFonts w:asciiTheme="majorHAnsi" w:eastAsia="Calibri" w:hAnsiTheme="majorHAnsi" w:cs="Times New Roman"/>
          <w:sz w:val="22"/>
          <w:szCs w:val="22"/>
          <w:lang w:val="es-ES_tradnl"/>
        </w:rPr>
        <w:t xml:space="preserve">, el Grupo de Examen Científico </w:t>
      </w:r>
      <w:r w:rsidR="00B52741" w:rsidRPr="00B97122">
        <w:rPr>
          <w:rFonts w:asciiTheme="majorHAnsi" w:eastAsia="Calibri" w:hAnsiTheme="majorHAnsi" w:cs="Times New Roman"/>
          <w:sz w:val="22"/>
          <w:szCs w:val="22"/>
          <w:lang w:val="es-ES_tradnl"/>
        </w:rPr>
        <w:t xml:space="preserve">y técnico </w:t>
      </w:r>
      <w:r w:rsidR="00C64326" w:rsidRPr="00B97122">
        <w:rPr>
          <w:rFonts w:asciiTheme="majorHAnsi" w:eastAsia="Calibri" w:hAnsiTheme="majorHAnsi" w:cs="Times New Roman"/>
          <w:sz w:val="22"/>
          <w:szCs w:val="22"/>
          <w:lang w:val="es-ES_tradnl"/>
        </w:rPr>
        <w:t>(</w:t>
      </w:r>
      <w:r w:rsidRPr="00B97122">
        <w:rPr>
          <w:rFonts w:asciiTheme="majorHAnsi" w:eastAsia="Calibri" w:hAnsiTheme="majorHAnsi" w:cs="Times New Roman"/>
          <w:sz w:val="22"/>
          <w:szCs w:val="22"/>
          <w:lang w:val="es-ES_tradnl"/>
        </w:rPr>
        <w:t>GECT</w:t>
      </w:r>
      <w:r w:rsidR="00C64326" w:rsidRPr="00B97122">
        <w:rPr>
          <w:rFonts w:asciiTheme="majorHAnsi" w:eastAsia="Calibri" w:hAnsiTheme="majorHAnsi" w:cs="Times New Roman"/>
          <w:sz w:val="22"/>
          <w:szCs w:val="22"/>
          <w:lang w:val="es-ES_tradnl"/>
        </w:rPr>
        <w:t xml:space="preserve">) </w:t>
      </w:r>
      <w:r w:rsidR="00B52741" w:rsidRPr="00B97122">
        <w:rPr>
          <w:rFonts w:asciiTheme="majorHAnsi" w:eastAsia="Calibri" w:hAnsiTheme="majorHAnsi" w:cs="Times New Roman"/>
          <w:sz w:val="22"/>
          <w:szCs w:val="22"/>
          <w:lang w:val="es-ES_tradnl"/>
        </w:rPr>
        <w:t>pu</w:t>
      </w:r>
      <w:r w:rsidR="0010020B">
        <w:rPr>
          <w:rFonts w:asciiTheme="majorHAnsi" w:eastAsia="Calibri" w:hAnsiTheme="majorHAnsi" w:cs="Times New Roman"/>
          <w:sz w:val="22"/>
          <w:szCs w:val="22"/>
          <w:lang w:val="es-ES_tradnl"/>
        </w:rPr>
        <w:t>blicó los siguiente</w:t>
      </w:r>
      <w:r w:rsidR="00C44990">
        <w:rPr>
          <w:rFonts w:asciiTheme="majorHAnsi" w:eastAsia="Calibri" w:hAnsiTheme="majorHAnsi" w:cs="Times New Roman"/>
          <w:sz w:val="22"/>
          <w:szCs w:val="22"/>
          <w:lang w:val="es-ES_tradnl"/>
        </w:rPr>
        <w:t>s</w:t>
      </w:r>
      <w:r w:rsidR="0010020B">
        <w:rPr>
          <w:rFonts w:asciiTheme="majorHAnsi" w:eastAsia="Calibri" w:hAnsiTheme="majorHAnsi" w:cs="Times New Roman"/>
          <w:sz w:val="22"/>
          <w:szCs w:val="22"/>
          <w:lang w:val="es-ES_tradnl"/>
        </w:rPr>
        <w:t xml:space="preserve"> productos atendiendo </w:t>
      </w:r>
      <w:r w:rsidR="00B52741" w:rsidRPr="00B97122">
        <w:rPr>
          <w:rFonts w:asciiTheme="majorHAnsi" w:eastAsia="Calibri" w:hAnsiTheme="majorHAnsi" w:cs="Times New Roman"/>
          <w:sz w:val="22"/>
          <w:szCs w:val="22"/>
          <w:lang w:val="es-ES_tradnl"/>
        </w:rPr>
        <w:t>a las solicitudes de las Partes</w:t>
      </w:r>
      <w:r w:rsidR="00B229E7" w:rsidRPr="00B97122">
        <w:rPr>
          <w:rFonts w:asciiTheme="majorHAnsi" w:eastAsia="Calibri" w:hAnsiTheme="majorHAnsi" w:cs="Times New Roman"/>
          <w:sz w:val="22"/>
          <w:szCs w:val="22"/>
          <w:lang w:val="es-ES_tradnl"/>
        </w:rPr>
        <w:t xml:space="preserve"> Contratantes</w:t>
      </w:r>
      <w:r w:rsidR="00C64326" w:rsidRPr="00B97122">
        <w:rPr>
          <w:rFonts w:asciiTheme="majorHAnsi" w:eastAsia="Calibri" w:hAnsiTheme="majorHAnsi" w:cs="Times New Roman"/>
          <w:sz w:val="22"/>
          <w:szCs w:val="22"/>
          <w:lang w:val="es-ES_tradnl"/>
        </w:rPr>
        <w:t xml:space="preserve">, </w:t>
      </w:r>
      <w:r w:rsidR="00B52741" w:rsidRPr="00B97122">
        <w:rPr>
          <w:rFonts w:asciiTheme="majorHAnsi" w:eastAsia="Calibri" w:hAnsiTheme="majorHAnsi" w:cs="Times New Roman"/>
          <w:sz w:val="22"/>
          <w:szCs w:val="22"/>
          <w:lang w:val="es-ES_tradnl"/>
        </w:rPr>
        <w:t xml:space="preserve">según se </w:t>
      </w:r>
      <w:r w:rsidR="0010020B" w:rsidRPr="00B97122">
        <w:rPr>
          <w:rFonts w:asciiTheme="majorHAnsi" w:eastAsia="Calibri" w:hAnsiTheme="majorHAnsi" w:cs="Times New Roman"/>
          <w:sz w:val="22"/>
          <w:szCs w:val="22"/>
          <w:lang w:val="es-ES_tradnl"/>
        </w:rPr>
        <w:t>refleja</w:t>
      </w:r>
      <w:r w:rsidR="00B52741" w:rsidRPr="00B97122">
        <w:rPr>
          <w:rFonts w:asciiTheme="majorHAnsi" w:eastAsia="Calibri" w:hAnsiTheme="majorHAnsi" w:cs="Times New Roman"/>
          <w:sz w:val="22"/>
          <w:szCs w:val="22"/>
          <w:lang w:val="es-ES_tradnl"/>
        </w:rPr>
        <w:t xml:space="preserve"> en su </w:t>
      </w:r>
      <w:r w:rsidR="0010020B" w:rsidRPr="00B97122">
        <w:rPr>
          <w:rFonts w:asciiTheme="majorHAnsi" w:eastAsia="Calibri" w:hAnsiTheme="majorHAnsi" w:cs="Times New Roman"/>
          <w:sz w:val="22"/>
          <w:szCs w:val="22"/>
          <w:lang w:val="es-ES_tradnl"/>
        </w:rPr>
        <w:t>plan</w:t>
      </w:r>
      <w:r w:rsidR="00B52741" w:rsidRPr="00B97122">
        <w:rPr>
          <w:rFonts w:asciiTheme="majorHAnsi" w:eastAsia="Calibri" w:hAnsiTheme="majorHAnsi" w:cs="Times New Roman"/>
          <w:sz w:val="22"/>
          <w:szCs w:val="22"/>
          <w:lang w:val="es-ES_tradnl"/>
        </w:rPr>
        <w:t xml:space="preserve"> de trabajo:</w:t>
      </w:r>
    </w:p>
    <w:p w14:paraId="438ECAC1" w14:textId="31D6BFCD" w:rsidR="00C64326" w:rsidRPr="00B97122" w:rsidRDefault="00B52741" w:rsidP="004C3670">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primera edición de </w:t>
      </w:r>
      <w:r w:rsidR="00C64326" w:rsidRPr="00744C48">
        <w:rPr>
          <w:rFonts w:asciiTheme="majorHAnsi" w:eastAsia="Calibri" w:hAnsiTheme="majorHAnsi" w:cs="Times New Roman"/>
          <w:i/>
          <w:sz w:val="22"/>
          <w:szCs w:val="22"/>
          <w:lang w:val="es-ES_tradnl"/>
        </w:rPr>
        <w:t>Global Wetland Outlook: State of the World’s Wetlands and their Services to People</w:t>
      </w:r>
      <w:r w:rsidR="0010020B">
        <w:rPr>
          <w:rFonts w:asciiTheme="majorHAnsi" w:eastAsia="Calibri" w:hAnsiTheme="majorHAnsi" w:cs="Times New Roman"/>
          <w:sz w:val="22"/>
          <w:szCs w:val="22"/>
          <w:lang w:val="es-ES_tradnl"/>
        </w:rPr>
        <w:t xml:space="preserve"> </w:t>
      </w:r>
      <w:r w:rsidR="0010020B">
        <w:rPr>
          <w:rFonts w:asciiTheme="majorHAnsi" w:hAnsiTheme="majorHAnsi" w:cs="Calibri"/>
          <w:sz w:val="22"/>
          <w:szCs w:val="22"/>
          <w:lang w:val="es-ES_tradnl"/>
        </w:rPr>
        <w:t>[Perspectiva mundial sobre los humedales: Estado de los humedales del mundo y de los servicios que prestan a las personas]</w:t>
      </w:r>
    </w:p>
    <w:p w14:paraId="580526E7" w14:textId="2D6AF87E" w:rsidR="00C64326" w:rsidRPr="00B97122" w:rsidRDefault="00B52741" w:rsidP="004C3670">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El Informe Técnico </w:t>
      </w:r>
      <w:r w:rsidRPr="0010020B">
        <w:rPr>
          <w:rFonts w:asciiTheme="majorHAnsi" w:eastAsia="Calibri" w:hAnsiTheme="majorHAnsi" w:cs="Times New Roman"/>
          <w:sz w:val="22"/>
          <w:szCs w:val="22"/>
          <w:lang w:val="es-ES_tradnl"/>
        </w:rPr>
        <w:t xml:space="preserve">de </w:t>
      </w:r>
      <w:r w:rsidR="0010020B" w:rsidRPr="0010020B">
        <w:rPr>
          <w:rFonts w:asciiTheme="majorHAnsi" w:eastAsia="Calibri" w:hAnsiTheme="majorHAnsi" w:cs="Times New Roman"/>
          <w:sz w:val="22"/>
          <w:szCs w:val="22"/>
          <w:lang w:val="es-ES_tradnl"/>
        </w:rPr>
        <w:t xml:space="preserve">Ramsar </w:t>
      </w:r>
      <w:r w:rsidR="00744C48">
        <w:rPr>
          <w:rFonts w:asciiTheme="majorHAnsi" w:eastAsia="Calibri" w:hAnsiTheme="majorHAnsi" w:cs="Times New Roman"/>
          <w:sz w:val="22"/>
          <w:szCs w:val="22"/>
          <w:lang w:val="es-ES_tradnl"/>
        </w:rPr>
        <w:t xml:space="preserve">nº </w:t>
      </w:r>
      <w:r w:rsidR="00C64326" w:rsidRPr="0010020B">
        <w:rPr>
          <w:rFonts w:asciiTheme="majorHAnsi" w:eastAsia="Calibri" w:hAnsiTheme="majorHAnsi" w:cs="Times New Roman"/>
          <w:sz w:val="22"/>
          <w:szCs w:val="22"/>
          <w:lang w:val="es-ES_tradnl"/>
        </w:rPr>
        <w:t xml:space="preserve">10: </w:t>
      </w:r>
      <w:r w:rsidR="00C64326" w:rsidRPr="00744C48">
        <w:rPr>
          <w:rFonts w:asciiTheme="majorHAnsi" w:eastAsia="Calibri" w:hAnsiTheme="majorHAnsi" w:cs="Times New Roman"/>
          <w:i/>
          <w:sz w:val="22"/>
          <w:szCs w:val="22"/>
          <w:lang w:val="es-ES_tradnl"/>
        </w:rPr>
        <w:t>The use of Earth Observation for wetland inventory, assessment and monitoring: An information source for the</w:t>
      </w:r>
      <w:r w:rsidR="0010020B" w:rsidRPr="00744C48">
        <w:rPr>
          <w:rFonts w:asciiTheme="majorHAnsi" w:eastAsia="Calibri" w:hAnsiTheme="majorHAnsi" w:cs="Times New Roman"/>
          <w:i/>
          <w:sz w:val="22"/>
          <w:szCs w:val="22"/>
          <w:lang w:val="es-ES_tradnl"/>
        </w:rPr>
        <w:t xml:space="preserve"> Ramsar Convention on Wetlands</w:t>
      </w:r>
      <w:r w:rsidR="0010020B" w:rsidRPr="0010020B">
        <w:rPr>
          <w:rFonts w:asciiTheme="majorHAnsi" w:eastAsia="Calibri" w:hAnsiTheme="majorHAnsi" w:cs="Times New Roman"/>
          <w:sz w:val="22"/>
          <w:szCs w:val="22"/>
          <w:lang w:val="es-ES_tradnl"/>
        </w:rPr>
        <w:t xml:space="preserve"> [La utilización</w:t>
      </w:r>
      <w:r w:rsidR="0010020B">
        <w:rPr>
          <w:rFonts w:asciiTheme="majorHAnsi" w:eastAsia="Calibri" w:hAnsiTheme="majorHAnsi" w:cs="Times New Roman"/>
          <w:sz w:val="22"/>
          <w:szCs w:val="22"/>
          <w:lang w:val="es-ES_tradnl"/>
        </w:rPr>
        <w:t xml:space="preserve"> de la observación de la Tierra para realizar inventarios, mapas y vigilancia de los humedales] (</w:t>
      </w:r>
      <w:r w:rsidRPr="00B97122">
        <w:rPr>
          <w:rFonts w:asciiTheme="majorHAnsi" w:eastAsia="Calibri" w:hAnsiTheme="majorHAnsi" w:cs="Times New Roman"/>
          <w:sz w:val="22"/>
          <w:szCs w:val="22"/>
          <w:lang w:val="es-ES_tradnl"/>
        </w:rPr>
        <w:t>en fase de finalización</w:t>
      </w:r>
      <w:r w:rsidR="0010020B">
        <w:rPr>
          <w:rFonts w:asciiTheme="majorHAnsi" w:eastAsia="Calibri" w:hAnsiTheme="majorHAnsi" w:cs="Times New Roman"/>
          <w:sz w:val="22"/>
          <w:szCs w:val="22"/>
          <w:lang w:val="es-ES_tradnl"/>
        </w:rPr>
        <w:t>).</w:t>
      </w:r>
    </w:p>
    <w:p w14:paraId="06F7C7A8" w14:textId="69EB5FD8" w:rsidR="00A97EE9" w:rsidRDefault="00B52741" w:rsidP="00A97EE9">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Notas </w:t>
      </w:r>
      <w:r w:rsidR="00744C48">
        <w:rPr>
          <w:rFonts w:asciiTheme="majorHAnsi" w:eastAsia="Calibri" w:hAnsiTheme="majorHAnsi" w:cs="Times New Roman"/>
          <w:sz w:val="22"/>
          <w:szCs w:val="22"/>
          <w:lang w:val="es-ES_tradnl"/>
        </w:rPr>
        <w:t>I</w:t>
      </w:r>
      <w:r w:rsidR="0010020B" w:rsidRPr="00B97122">
        <w:rPr>
          <w:rFonts w:asciiTheme="majorHAnsi" w:eastAsia="Calibri" w:hAnsiTheme="majorHAnsi" w:cs="Times New Roman"/>
          <w:sz w:val="22"/>
          <w:szCs w:val="22"/>
          <w:lang w:val="es-ES_tradnl"/>
        </w:rPr>
        <w:t>nformativas</w:t>
      </w:r>
      <w:r w:rsidRPr="00B97122">
        <w:rPr>
          <w:rFonts w:asciiTheme="majorHAnsi" w:eastAsia="Calibri" w:hAnsiTheme="majorHAnsi" w:cs="Times New Roman"/>
          <w:sz w:val="22"/>
          <w:szCs w:val="22"/>
          <w:lang w:val="es-ES_tradnl"/>
        </w:rPr>
        <w:t xml:space="preserve"> de </w:t>
      </w:r>
      <w:r w:rsidR="00C64326" w:rsidRPr="00B97122">
        <w:rPr>
          <w:rFonts w:asciiTheme="majorHAnsi" w:eastAsia="Calibri" w:hAnsiTheme="majorHAnsi" w:cs="Times New Roman"/>
          <w:sz w:val="22"/>
          <w:szCs w:val="22"/>
          <w:lang w:val="es-ES_tradnl"/>
        </w:rPr>
        <w:t>Ramsar</w:t>
      </w:r>
      <w:r w:rsidRPr="00B97122">
        <w:rPr>
          <w:rFonts w:asciiTheme="majorHAnsi" w:eastAsia="Calibri" w:hAnsiTheme="majorHAnsi" w:cs="Times New Roman"/>
          <w:sz w:val="22"/>
          <w:szCs w:val="22"/>
          <w:lang w:val="es-ES_tradnl"/>
        </w:rPr>
        <w:t xml:space="preserve">: </w:t>
      </w:r>
      <w:r w:rsidRPr="00744C48">
        <w:rPr>
          <w:rFonts w:asciiTheme="majorHAnsi" w:eastAsia="Calibri" w:hAnsiTheme="majorHAnsi" w:cs="Times New Roman"/>
          <w:i/>
          <w:sz w:val="22"/>
          <w:szCs w:val="22"/>
          <w:lang w:val="es-ES_tradnl"/>
        </w:rPr>
        <w:t xml:space="preserve">Misiones Ramsar de Asesoramiento: Asesoramiento técnico </w:t>
      </w:r>
      <w:r w:rsidR="0010020B" w:rsidRPr="00744C48">
        <w:rPr>
          <w:rFonts w:asciiTheme="majorHAnsi" w:eastAsia="Calibri" w:hAnsiTheme="majorHAnsi" w:cs="Times New Roman"/>
          <w:i/>
          <w:sz w:val="22"/>
          <w:szCs w:val="22"/>
          <w:lang w:val="es-ES_tradnl"/>
        </w:rPr>
        <w:t>obre</w:t>
      </w:r>
      <w:r w:rsidRPr="00744C48">
        <w:rPr>
          <w:rFonts w:asciiTheme="majorHAnsi" w:eastAsia="Calibri" w:hAnsiTheme="majorHAnsi" w:cs="Times New Roman"/>
          <w:i/>
          <w:sz w:val="22"/>
          <w:szCs w:val="22"/>
          <w:lang w:val="es-ES_tradnl"/>
        </w:rPr>
        <w:t xml:space="preserve"> los sitios </w:t>
      </w:r>
      <w:r w:rsidR="00C64326" w:rsidRPr="00744C48">
        <w:rPr>
          <w:rFonts w:asciiTheme="majorHAnsi" w:eastAsia="Calibri" w:hAnsiTheme="majorHAnsi" w:cs="Times New Roman"/>
          <w:i/>
          <w:sz w:val="22"/>
          <w:szCs w:val="22"/>
          <w:lang w:val="es-ES_tradnl"/>
        </w:rPr>
        <w:t>Ramsar</w:t>
      </w:r>
      <w:r w:rsidR="00C64326" w:rsidRPr="00B97122">
        <w:rPr>
          <w:rFonts w:asciiTheme="majorHAnsi" w:eastAsia="Calibri" w:hAnsiTheme="majorHAnsi" w:cs="Times New Roman"/>
          <w:sz w:val="22"/>
          <w:szCs w:val="22"/>
          <w:lang w:val="es-ES_tradnl"/>
        </w:rPr>
        <w:t xml:space="preserve"> (</w:t>
      </w:r>
      <w:r w:rsidR="00744C48">
        <w:rPr>
          <w:rFonts w:asciiTheme="majorHAnsi" w:eastAsia="Calibri" w:hAnsiTheme="majorHAnsi" w:cs="Times New Roman"/>
          <w:sz w:val="22"/>
          <w:szCs w:val="22"/>
          <w:lang w:val="es-ES_tradnl"/>
        </w:rPr>
        <w:t>nº</w:t>
      </w:r>
      <w:r w:rsidR="00C64326" w:rsidRPr="00B97122">
        <w:rPr>
          <w:rFonts w:asciiTheme="majorHAnsi" w:eastAsia="Calibri" w:hAnsiTheme="majorHAnsi" w:cs="Times New Roman"/>
          <w:sz w:val="22"/>
          <w:szCs w:val="22"/>
          <w:lang w:val="es-ES_tradnl"/>
        </w:rPr>
        <w:t xml:space="preserve"> 8), </w:t>
      </w:r>
      <w:r w:rsidR="00C64326" w:rsidRPr="00744C48">
        <w:rPr>
          <w:rFonts w:asciiTheme="majorHAnsi" w:eastAsia="Calibri" w:hAnsiTheme="majorHAnsi" w:cs="Times New Roman"/>
          <w:i/>
          <w:sz w:val="22"/>
          <w:szCs w:val="22"/>
          <w:lang w:val="es-ES_tradnl"/>
        </w:rPr>
        <w:t>Best practice guidelines for conducting tropical peatland inventories to facilitate their designation as Ramsar Sites</w:t>
      </w:r>
      <w:r w:rsidR="00C64326" w:rsidRPr="00B97122">
        <w:rPr>
          <w:rFonts w:asciiTheme="majorHAnsi" w:eastAsia="Calibri" w:hAnsiTheme="majorHAnsi" w:cs="Times New Roman"/>
          <w:sz w:val="22"/>
          <w:szCs w:val="22"/>
          <w:lang w:val="es-ES_tradnl"/>
        </w:rPr>
        <w:t xml:space="preserve"> </w:t>
      </w:r>
      <w:r w:rsidR="0010020B">
        <w:rPr>
          <w:rFonts w:asciiTheme="majorHAnsi" w:eastAsia="Calibri" w:hAnsiTheme="majorHAnsi" w:cs="Times New Roman"/>
          <w:sz w:val="22"/>
          <w:szCs w:val="22"/>
          <w:lang w:val="es-ES_tradnl"/>
        </w:rPr>
        <w:t>[Lineamientos sobre buenas prácticas para los inventarios de turberas tropicales para su designación como Humedales de Importancia Internacional] (</w:t>
      </w:r>
      <w:r w:rsidR="00744C48">
        <w:rPr>
          <w:rFonts w:asciiTheme="majorHAnsi" w:eastAsia="Calibri" w:hAnsiTheme="majorHAnsi" w:cs="Times New Roman"/>
          <w:sz w:val="22"/>
          <w:szCs w:val="22"/>
          <w:lang w:val="es-ES_tradnl"/>
        </w:rPr>
        <w:t xml:space="preserve">nº </w:t>
      </w:r>
      <w:r w:rsidR="0010020B">
        <w:rPr>
          <w:rFonts w:asciiTheme="majorHAnsi" w:eastAsia="Calibri" w:hAnsiTheme="majorHAnsi" w:cs="Times New Roman"/>
          <w:sz w:val="22"/>
          <w:szCs w:val="22"/>
          <w:lang w:val="es-ES_tradnl"/>
        </w:rPr>
        <w:t xml:space="preserve"> </w:t>
      </w:r>
      <w:r w:rsidR="00C64326" w:rsidRPr="00B97122">
        <w:rPr>
          <w:rFonts w:asciiTheme="majorHAnsi" w:eastAsia="Calibri" w:hAnsiTheme="majorHAnsi" w:cs="Times New Roman"/>
          <w:sz w:val="22"/>
          <w:szCs w:val="22"/>
          <w:lang w:val="es-ES_tradnl"/>
        </w:rPr>
        <w:t>9)</w:t>
      </w:r>
      <w:r w:rsidR="00361AE0">
        <w:rPr>
          <w:rFonts w:asciiTheme="majorHAnsi" w:eastAsia="Calibri" w:hAnsiTheme="majorHAnsi" w:cs="Times New Roman"/>
          <w:sz w:val="22"/>
          <w:szCs w:val="22"/>
          <w:lang w:val="es-ES_tradnl"/>
        </w:rPr>
        <w:t xml:space="preserve"> y </w:t>
      </w:r>
      <w:r w:rsidR="00C64326" w:rsidRPr="00744C48">
        <w:rPr>
          <w:rFonts w:asciiTheme="majorHAnsi" w:eastAsia="Calibri" w:hAnsiTheme="majorHAnsi" w:cs="Times New Roman"/>
          <w:i/>
          <w:sz w:val="22"/>
          <w:szCs w:val="22"/>
          <w:lang w:val="es-ES_tradnl"/>
        </w:rPr>
        <w:t>Wetland Restoration for Climate Change Resilience</w:t>
      </w:r>
      <w:r w:rsidR="0010020B">
        <w:rPr>
          <w:rFonts w:asciiTheme="majorHAnsi" w:eastAsia="Calibri" w:hAnsiTheme="majorHAnsi" w:cs="Times New Roman"/>
          <w:sz w:val="22"/>
          <w:szCs w:val="22"/>
          <w:lang w:val="es-ES_tradnl"/>
        </w:rPr>
        <w:t xml:space="preserve"> [Restauración de los humedales para lograr una resiliencia frente al cambio climático]</w:t>
      </w:r>
      <w:r w:rsidR="00C64326" w:rsidRPr="00B97122">
        <w:rPr>
          <w:rFonts w:asciiTheme="majorHAnsi" w:eastAsia="Calibri" w:hAnsiTheme="majorHAnsi" w:cs="Times New Roman"/>
          <w:sz w:val="22"/>
          <w:szCs w:val="22"/>
          <w:lang w:val="es-ES_tradnl"/>
        </w:rPr>
        <w:t xml:space="preserve"> (</w:t>
      </w:r>
      <w:r w:rsidR="00744C48">
        <w:rPr>
          <w:rFonts w:asciiTheme="majorHAnsi" w:eastAsia="Calibri" w:hAnsiTheme="majorHAnsi" w:cs="Times New Roman"/>
          <w:sz w:val="22"/>
          <w:szCs w:val="22"/>
          <w:lang w:val="es-ES_tradnl"/>
        </w:rPr>
        <w:t>nº  10).</w:t>
      </w:r>
      <w:r w:rsidR="00C64326" w:rsidRPr="00B97122">
        <w:rPr>
          <w:rFonts w:asciiTheme="majorHAnsi" w:eastAsia="Calibri" w:hAnsiTheme="majorHAnsi" w:cs="Times New Roman"/>
          <w:sz w:val="22"/>
          <w:szCs w:val="22"/>
          <w:lang w:val="es-ES_tradnl"/>
        </w:rPr>
        <w:t xml:space="preserve"> [</w:t>
      </w:r>
      <w:r w:rsidRPr="00B97122">
        <w:rPr>
          <w:rFonts w:asciiTheme="majorHAnsi" w:eastAsia="Calibri" w:hAnsiTheme="majorHAnsi" w:cs="Times New Roman"/>
          <w:sz w:val="22"/>
          <w:szCs w:val="22"/>
          <w:lang w:val="es-ES_tradnl"/>
        </w:rPr>
        <w:t>en fase de finalización</w:t>
      </w:r>
      <w:r w:rsidR="00C64326" w:rsidRPr="00B97122">
        <w:rPr>
          <w:rFonts w:asciiTheme="majorHAnsi" w:eastAsia="Calibri" w:hAnsiTheme="majorHAnsi" w:cs="Times New Roman"/>
          <w:sz w:val="22"/>
          <w:szCs w:val="22"/>
          <w:lang w:val="es-ES_tradnl"/>
        </w:rPr>
        <w:t>]</w:t>
      </w:r>
    </w:p>
    <w:p w14:paraId="4B9244FB" w14:textId="7F8F0976" w:rsidR="00C64326" w:rsidRPr="00A97EE9" w:rsidRDefault="00744C48" w:rsidP="00A97EE9">
      <w:pPr>
        <w:numPr>
          <w:ilvl w:val="1"/>
          <w:numId w:val="19"/>
        </w:numPr>
        <w:spacing w:after="200"/>
        <w:contextualSpacing/>
        <w:rPr>
          <w:rFonts w:asciiTheme="majorHAnsi" w:eastAsia="Calibri" w:hAnsiTheme="majorHAnsi" w:cs="Times New Roman"/>
          <w:sz w:val="22"/>
          <w:szCs w:val="22"/>
          <w:lang w:val="es-ES_tradnl"/>
        </w:rPr>
      </w:pPr>
      <w:r>
        <w:rPr>
          <w:rFonts w:asciiTheme="majorHAnsi" w:eastAsia="Calibri" w:hAnsiTheme="majorHAnsi" w:cs="Times New Roman"/>
          <w:sz w:val="22"/>
          <w:szCs w:val="22"/>
          <w:lang w:val="es-ES_tradnl"/>
        </w:rPr>
        <w:t>Notas sobre P</w:t>
      </w:r>
      <w:r w:rsidR="00B52741" w:rsidRPr="00A97EE9">
        <w:rPr>
          <w:rFonts w:asciiTheme="majorHAnsi" w:eastAsia="Calibri" w:hAnsiTheme="majorHAnsi" w:cs="Times New Roman"/>
          <w:sz w:val="22"/>
          <w:szCs w:val="22"/>
          <w:lang w:val="es-ES_tradnl"/>
        </w:rPr>
        <w:t>olíticas</w:t>
      </w:r>
      <w:r w:rsidR="00C64326" w:rsidRPr="00A97EE9">
        <w:rPr>
          <w:rFonts w:asciiTheme="majorHAnsi" w:eastAsia="Calibri" w:hAnsiTheme="majorHAnsi" w:cs="Times New Roman"/>
          <w:sz w:val="22"/>
          <w:szCs w:val="22"/>
          <w:lang w:val="es-ES_tradnl"/>
        </w:rPr>
        <w:t xml:space="preserve">: </w:t>
      </w:r>
      <w:r w:rsidR="0010020B" w:rsidRPr="00744C48">
        <w:rPr>
          <w:rFonts w:asciiTheme="majorHAnsi" w:eastAsia="Calibri" w:hAnsiTheme="majorHAnsi" w:cs="Times New Roman"/>
          <w:i/>
          <w:sz w:val="22"/>
          <w:szCs w:val="22"/>
          <w:lang w:val="es-ES_tradnl"/>
        </w:rPr>
        <w:t>Humedales para la reducción del riesgo de desastres: Opciones eficaces para comunidades resilientes</w:t>
      </w:r>
      <w:r w:rsidR="0010020B" w:rsidRPr="00A97EE9">
        <w:rPr>
          <w:rFonts w:asciiTheme="majorHAnsi" w:eastAsia="Calibri" w:hAnsiTheme="majorHAnsi" w:cs="Times New Roman"/>
          <w:sz w:val="22"/>
          <w:szCs w:val="22"/>
          <w:lang w:val="es-ES_tradnl"/>
        </w:rPr>
        <w:t xml:space="preserve"> </w:t>
      </w:r>
      <w:r w:rsidR="00C64326" w:rsidRPr="00A97EE9">
        <w:rPr>
          <w:rFonts w:asciiTheme="majorHAnsi" w:eastAsia="Calibri" w:hAnsiTheme="majorHAnsi" w:cs="Times New Roman"/>
          <w:sz w:val="22"/>
          <w:szCs w:val="22"/>
          <w:lang w:val="es-ES_tradnl"/>
        </w:rPr>
        <w:t>(</w:t>
      </w:r>
      <w:r>
        <w:rPr>
          <w:rFonts w:asciiTheme="majorHAnsi" w:eastAsia="Calibri" w:hAnsiTheme="majorHAnsi" w:cs="Times New Roman"/>
          <w:sz w:val="22"/>
          <w:szCs w:val="22"/>
          <w:lang w:val="es-ES_tradnl"/>
        </w:rPr>
        <w:t xml:space="preserve">nº  </w:t>
      </w:r>
      <w:r w:rsidR="00C64326" w:rsidRPr="00A97EE9">
        <w:rPr>
          <w:rFonts w:asciiTheme="majorHAnsi" w:eastAsia="Calibri" w:hAnsiTheme="majorHAnsi" w:cs="Times New Roman"/>
          <w:sz w:val="22"/>
          <w:szCs w:val="22"/>
          <w:lang w:val="es-ES_tradnl"/>
        </w:rPr>
        <w:t xml:space="preserve">1), </w:t>
      </w:r>
      <w:r w:rsidR="0010020B" w:rsidRPr="00744C48">
        <w:rPr>
          <w:rFonts w:asciiTheme="majorHAnsi" w:eastAsia="Calibri" w:hAnsiTheme="majorHAnsi" w:cs="Times New Roman"/>
          <w:i/>
          <w:sz w:val="22"/>
          <w:szCs w:val="22"/>
          <w:lang w:val="es-ES_tradnl"/>
        </w:rPr>
        <w:t>Integración de los múltiples valores de los humedales en la toma de decisiones</w:t>
      </w:r>
      <w:r w:rsidR="0010020B" w:rsidRPr="00A97EE9">
        <w:rPr>
          <w:rFonts w:asciiTheme="majorHAnsi" w:eastAsia="Calibri" w:hAnsiTheme="majorHAnsi" w:cs="Times New Roman"/>
          <w:sz w:val="22"/>
          <w:szCs w:val="22"/>
          <w:lang w:val="es-ES_tradnl"/>
        </w:rPr>
        <w:t xml:space="preserve"> </w:t>
      </w:r>
      <w:r w:rsidR="00C64326" w:rsidRPr="00A97EE9">
        <w:rPr>
          <w:rFonts w:asciiTheme="majorHAnsi" w:eastAsia="Calibri" w:hAnsiTheme="majorHAnsi" w:cs="Times New Roman"/>
          <w:sz w:val="22"/>
          <w:szCs w:val="22"/>
          <w:lang w:val="es-ES_tradnl"/>
        </w:rPr>
        <w:t>(</w:t>
      </w:r>
      <w:r>
        <w:rPr>
          <w:rFonts w:asciiTheme="majorHAnsi" w:eastAsia="Calibri" w:hAnsiTheme="majorHAnsi" w:cs="Times New Roman"/>
          <w:sz w:val="22"/>
          <w:szCs w:val="22"/>
          <w:lang w:val="es-ES_tradnl"/>
        </w:rPr>
        <w:t xml:space="preserve">nº  </w:t>
      </w:r>
      <w:r w:rsidR="00C64326" w:rsidRPr="00A97EE9">
        <w:rPr>
          <w:rFonts w:asciiTheme="majorHAnsi" w:eastAsia="Calibri" w:hAnsiTheme="majorHAnsi" w:cs="Times New Roman"/>
          <w:sz w:val="22"/>
          <w:szCs w:val="22"/>
          <w:lang w:val="es-ES_tradnl"/>
        </w:rPr>
        <w:t xml:space="preserve">2), </w:t>
      </w:r>
      <w:r w:rsidR="00A97EE9" w:rsidRPr="00744C48">
        <w:rPr>
          <w:rFonts w:asciiTheme="majorHAnsi" w:eastAsia="Calibri" w:hAnsiTheme="majorHAnsi" w:cs="Times New Roman"/>
          <w:i/>
          <w:sz w:val="22"/>
          <w:szCs w:val="22"/>
          <w:lang w:val="es-ES_tradnl"/>
        </w:rPr>
        <w:t>Misiones Ramsar de Asesoramiento – Un mecanismo para responder a los cambios en las características ecológicas de los sitios Ramsar</w:t>
      </w:r>
      <w:r w:rsidR="00A97EE9" w:rsidRPr="00A97EE9">
        <w:rPr>
          <w:rFonts w:asciiTheme="majorHAnsi" w:eastAsia="Calibri" w:hAnsiTheme="majorHAnsi" w:cs="Times New Roman"/>
          <w:sz w:val="22"/>
          <w:szCs w:val="22"/>
          <w:lang w:val="es-ES_tradnl"/>
        </w:rPr>
        <w:t xml:space="preserve"> </w:t>
      </w:r>
      <w:r w:rsidR="00C64326" w:rsidRPr="00A97EE9">
        <w:rPr>
          <w:rFonts w:asciiTheme="majorHAnsi" w:eastAsia="Calibri" w:hAnsiTheme="majorHAnsi" w:cs="Times New Roman"/>
          <w:sz w:val="22"/>
          <w:szCs w:val="22"/>
          <w:lang w:val="es-ES_tradnl"/>
        </w:rPr>
        <w:t>(</w:t>
      </w:r>
      <w:r>
        <w:rPr>
          <w:rFonts w:asciiTheme="majorHAnsi" w:eastAsia="Calibri" w:hAnsiTheme="majorHAnsi" w:cs="Times New Roman"/>
          <w:sz w:val="22"/>
          <w:szCs w:val="22"/>
          <w:lang w:val="es-ES_tradnl"/>
        </w:rPr>
        <w:t xml:space="preserve">nº </w:t>
      </w:r>
      <w:r w:rsidR="00C64326" w:rsidRPr="00A97EE9">
        <w:rPr>
          <w:rFonts w:asciiTheme="majorHAnsi" w:eastAsia="Calibri" w:hAnsiTheme="majorHAnsi" w:cs="Times New Roman"/>
          <w:sz w:val="22"/>
          <w:szCs w:val="22"/>
          <w:lang w:val="es-ES_tradnl"/>
        </w:rPr>
        <w:t xml:space="preserve"> 3) </w:t>
      </w:r>
      <w:r w:rsidR="00A97EE9" w:rsidRPr="00A97EE9">
        <w:rPr>
          <w:rFonts w:asciiTheme="majorHAnsi" w:eastAsia="Calibri" w:hAnsiTheme="majorHAnsi"/>
          <w:sz w:val="22"/>
          <w:szCs w:val="22"/>
          <w:lang w:val="es-ES_tradnl"/>
        </w:rPr>
        <w:t xml:space="preserve">e </w:t>
      </w:r>
      <w:r w:rsidR="00C64326" w:rsidRPr="00744C48">
        <w:rPr>
          <w:rFonts w:asciiTheme="majorHAnsi" w:eastAsia="Calibri" w:hAnsiTheme="majorHAnsi" w:cs="Times New Roman"/>
          <w:i/>
          <w:sz w:val="22"/>
          <w:szCs w:val="22"/>
          <w:lang w:val="es-ES_tradnl"/>
        </w:rPr>
        <w:t>Implementing environmental flows with benefits for society and different wetland ecosystems in river systems</w:t>
      </w:r>
      <w:r>
        <w:rPr>
          <w:rFonts w:asciiTheme="majorHAnsi" w:eastAsia="Calibri" w:hAnsiTheme="majorHAnsi" w:cs="Times New Roman"/>
          <w:sz w:val="22"/>
          <w:szCs w:val="22"/>
          <w:lang w:val="es-ES_tradnl"/>
        </w:rPr>
        <w:t xml:space="preserve"> (nº  </w:t>
      </w:r>
      <w:r w:rsidR="00C64326" w:rsidRPr="00A97EE9">
        <w:rPr>
          <w:rFonts w:asciiTheme="majorHAnsi" w:eastAsia="Calibri" w:hAnsiTheme="majorHAnsi" w:cs="Times New Roman"/>
          <w:sz w:val="22"/>
          <w:szCs w:val="22"/>
          <w:lang w:val="es-ES_tradnl"/>
        </w:rPr>
        <w:t>4)</w:t>
      </w:r>
      <w:r w:rsidR="00A97EE9" w:rsidRPr="00C44990">
        <w:rPr>
          <w:rFonts w:ascii="Calibri" w:hAnsi="Calibri"/>
          <w:sz w:val="22"/>
          <w:szCs w:val="22"/>
          <w:lang w:val="es-ES_tradnl"/>
        </w:rPr>
        <w:t xml:space="preserve"> </w:t>
      </w:r>
      <w:r w:rsidR="00A97EE9" w:rsidRPr="00A97EE9">
        <w:rPr>
          <w:rFonts w:ascii="Calibri" w:hAnsi="Calibri"/>
          <w:sz w:val="22"/>
          <w:szCs w:val="22"/>
          <w:lang w:val="es-ES" w:eastAsia="es-ES"/>
        </w:rPr>
        <w:t>[Aplicación de los caudales ambientales con beneficios para la sociedad y distintos ecosistemas de humedales en el sistema fluvial].</w:t>
      </w:r>
    </w:p>
    <w:p w14:paraId="456D4087" w14:textId="7CDA573A" w:rsidR="00C64326" w:rsidRPr="00B97122" w:rsidRDefault="00B52741" w:rsidP="004C3670">
      <w:pPr>
        <w:numPr>
          <w:ilvl w:val="1"/>
          <w:numId w:val="19"/>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lastRenderedPageBreak/>
        <w:t xml:space="preserve">Se elaboró un </w:t>
      </w:r>
      <w:r w:rsidR="00A97EE9" w:rsidRPr="00B97122">
        <w:rPr>
          <w:rFonts w:asciiTheme="majorHAnsi" w:eastAsia="Calibri" w:hAnsiTheme="majorHAnsi" w:cs="Times New Roman"/>
          <w:sz w:val="22"/>
          <w:szCs w:val="22"/>
          <w:lang w:val="es-ES_tradnl"/>
        </w:rPr>
        <w:t xml:space="preserve">juego de herramientas para </w:t>
      </w:r>
      <w:r w:rsidR="00A97EE9">
        <w:rPr>
          <w:rFonts w:asciiTheme="majorHAnsi" w:eastAsia="Calibri" w:hAnsiTheme="majorHAnsi" w:cs="Times New Roman"/>
          <w:sz w:val="22"/>
          <w:szCs w:val="22"/>
          <w:lang w:val="es-ES_tradnl"/>
        </w:rPr>
        <w:t xml:space="preserve">el manejo de </w:t>
      </w:r>
      <w:r w:rsidR="00A97EE9" w:rsidRPr="00B97122">
        <w:rPr>
          <w:rFonts w:asciiTheme="majorHAnsi" w:eastAsia="Calibri" w:hAnsiTheme="majorHAnsi" w:cs="Times New Roman"/>
          <w:sz w:val="22"/>
          <w:szCs w:val="22"/>
          <w:lang w:val="es-ES_tradnl"/>
        </w:rPr>
        <w:t>los sitios R</w:t>
      </w:r>
      <w:r w:rsidR="00A97EE9">
        <w:rPr>
          <w:rFonts w:asciiTheme="majorHAnsi" w:eastAsia="Calibri" w:hAnsiTheme="majorHAnsi" w:cs="Times New Roman"/>
          <w:sz w:val="22"/>
          <w:szCs w:val="22"/>
          <w:lang w:val="es-ES_tradnl"/>
        </w:rPr>
        <w:t xml:space="preserve">amsar </w:t>
      </w:r>
      <w:r w:rsidRPr="00B97122">
        <w:rPr>
          <w:rFonts w:asciiTheme="majorHAnsi" w:eastAsia="Calibri" w:hAnsiTheme="majorHAnsi" w:cs="Times New Roman"/>
          <w:sz w:val="22"/>
          <w:szCs w:val="22"/>
          <w:lang w:val="es-ES_tradnl"/>
        </w:rPr>
        <w:t>(véase más arriba</w:t>
      </w:r>
      <w:r w:rsidR="00C64326" w:rsidRPr="00B97122">
        <w:rPr>
          <w:rFonts w:asciiTheme="majorHAnsi" w:eastAsia="Calibri" w:hAnsiTheme="majorHAnsi" w:cs="Times New Roman"/>
          <w:sz w:val="22"/>
          <w:szCs w:val="22"/>
          <w:lang w:val="es-ES_tradnl"/>
        </w:rPr>
        <w:t>).</w:t>
      </w:r>
    </w:p>
    <w:p w14:paraId="18576EF7" w14:textId="77777777" w:rsidR="0092589F" w:rsidRPr="00B97122" w:rsidRDefault="0092589F" w:rsidP="0092589F">
      <w:pPr>
        <w:spacing w:after="200"/>
        <w:contextualSpacing/>
        <w:rPr>
          <w:rFonts w:asciiTheme="majorHAnsi" w:eastAsia="Calibri" w:hAnsiTheme="majorHAnsi" w:cs="Times New Roman"/>
          <w:sz w:val="22"/>
          <w:szCs w:val="22"/>
          <w:lang w:val="es-ES_tradnl"/>
        </w:rPr>
      </w:pPr>
    </w:p>
    <w:p w14:paraId="0B5151BD" w14:textId="227021C8" w:rsidR="00C64326" w:rsidRPr="00A97EE9" w:rsidRDefault="00A97EE9" w:rsidP="004C5BF4">
      <w:pPr>
        <w:keepNext/>
        <w:autoSpaceDE w:val="0"/>
        <w:autoSpaceDN w:val="0"/>
        <w:adjustRightInd w:val="0"/>
        <w:rPr>
          <w:rFonts w:asciiTheme="majorHAnsi" w:hAnsiTheme="majorHAnsi" w:cs="Calibri"/>
          <w:bCs/>
          <w:sz w:val="22"/>
          <w:szCs w:val="22"/>
          <w:u w:val="single"/>
          <w:lang w:val="es-ES_tradnl"/>
        </w:rPr>
      </w:pPr>
      <w:r w:rsidRPr="00A97EE9">
        <w:rPr>
          <w:rFonts w:asciiTheme="majorHAnsi" w:hAnsiTheme="majorHAnsi" w:cs="Calibri"/>
          <w:bCs/>
          <w:sz w:val="22"/>
          <w:szCs w:val="22"/>
          <w:u w:val="single"/>
          <w:lang w:val="es-ES_tradnl"/>
        </w:rPr>
        <w:t>Dotación de recursos</w:t>
      </w:r>
    </w:p>
    <w:p w14:paraId="58333446" w14:textId="77777777" w:rsidR="004C5BF4" w:rsidRPr="00B97122" w:rsidRDefault="004C5BF4" w:rsidP="004C5BF4">
      <w:pPr>
        <w:pStyle w:val="BodyText"/>
        <w:keepNext/>
        <w:widowControl/>
        <w:tabs>
          <w:tab w:val="left" w:pos="544"/>
        </w:tabs>
        <w:ind w:left="425" w:hanging="425"/>
        <w:rPr>
          <w:rFonts w:asciiTheme="majorHAnsi" w:hAnsiTheme="majorHAnsi" w:cs="Times New Roman"/>
          <w:lang w:val="es-ES_tradnl"/>
        </w:rPr>
      </w:pPr>
    </w:p>
    <w:p w14:paraId="49B97934" w14:textId="4F2AE7E4"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15.</w:t>
      </w:r>
      <w:r w:rsidRPr="00B97122">
        <w:rPr>
          <w:rFonts w:asciiTheme="majorHAnsi" w:hAnsiTheme="majorHAnsi" w:cs="Times New Roman"/>
          <w:lang w:val="es-ES_tradnl"/>
        </w:rPr>
        <w:tab/>
      </w:r>
      <w:r w:rsidR="00B52741" w:rsidRPr="00B97122">
        <w:rPr>
          <w:rFonts w:asciiTheme="majorHAnsi" w:hAnsiTheme="majorHAnsi" w:cs="Times New Roman"/>
          <w:lang w:val="es-ES_tradnl"/>
        </w:rPr>
        <w:t xml:space="preserve">En septiembre de 2017 </w:t>
      </w:r>
      <w:r w:rsidR="00A97EE9">
        <w:rPr>
          <w:rFonts w:asciiTheme="majorHAnsi" w:hAnsiTheme="majorHAnsi" w:cs="Times New Roman"/>
          <w:lang w:val="es-ES_tradnl"/>
        </w:rPr>
        <w:t>se nombró un nuevo Director de m</w:t>
      </w:r>
      <w:r w:rsidR="00A97EE9" w:rsidRPr="00B97122">
        <w:rPr>
          <w:rFonts w:asciiTheme="majorHAnsi" w:hAnsiTheme="majorHAnsi" w:cs="Times New Roman"/>
          <w:lang w:val="es-ES_tradnl"/>
        </w:rPr>
        <w:t>ovilización</w:t>
      </w:r>
      <w:r w:rsidR="00A97EE9">
        <w:rPr>
          <w:rFonts w:asciiTheme="majorHAnsi" w:hAnsiTheme="majorHAnsi" w:cs="Times New Roman"/>
          <w:lang w:val="es-ES_tradnl"/>
        </w:rPr>
        <w:t xml:space="preserve"> de recursos y divulgación </w:t>
      </w:r>
      <w:r w:rsidR="00A97EE9" w:rsidRPr="00B97122">
        <w:rPr>
          <w:rFonts w:asciiTheme="majorHAnsi" w:hAnsiTheme="majorHAnsi" w:cs="Times New Roman"/>
          <w:lang w:val="es-ES_tradnl"/>
        </w:rPr>
        <w:t>para</w:t>
      </w:r>
      <w:r w:rsidR="00B52741" w:rsidRPr="00B97122">
        <w:rPr>
          <w:rFonts w:asciiTheme="majorHAnsi" w:hAnsiTheme="majorHAnsi" w:cs="Times New Roman"/>
          <w:lang w:val="es-ES_tradnl"/>
        </w:rPr>
        <w:t xml:space="preserve"> supervisar las </w:t>
      </w:r>
      <w:r w:rsidR="00A97EE9" w:rsidRPr="00B97122">
        <w:rPr>
          <w:rFonts w:asciiTheme="majorHAnsi" w:hAnsiTheme="majorHAnsi" w:cs="Times New Roman"/>
          <w:lang w:val="es-ES_tradnl"/>
        </w:rPr>
        <w:t>comunicaciones</w:t>
      </w:r>
      <w:r w:rsidR="00A97EE9">
        <w:rPr>
          <w:rFonts w:asciiTheme="majorHAnsi" w:hAnsiTheme="majorHAnsi" w:cs="Times New Roman"/>
          <w:lang w:val="es-ES_tradnl"/>
        </w:rPr>
        <w:t xml:space="preserve"> y</w:t>
      </w:r>
      <w:r w:rsidR="00B52741" w:rsidRPr="00B97122">
        <w:rPr>
          <w:rFonts w:asciiTheme="majorHAnsi" w:hAnsiTheme="majorHAnsi" w:cs="Times New Roman"/>
          <w:lang w:val="es-ES_tradnl"/>
        </w:rPr>
        <w:t xml:space="preserve"> l</w:t>
      </w:r>
      <w:r w:rsidR="000D73FB" w:rsidRPr="00B97122">
        <w:rPr>
          <w:rFonts w:asciiTheme="majorHAnsi" w:hAnsiTheme="majorHAnsi" w:cs="Times New Roman"/>
          <w:lang w:val="es-ES_tradnl"/>
        </w:rPr>
        <w:t xml:space="preserve">as </w:t>
      </w:r>
      <w:r w:rsidR="00A97EE9" w:rsidRPr="00B97122">
        <w:rPr>
          <w:rFonts w:asciiTheme="majorHAnsi" w:hAnsiTheme="majorHAnsi" w:cs="Times New Roman"/>
          <w:lang w:val="es-ES_tradnl"/>
        </w:rPr>
        <w:t>asociaciones</w:t>
      </w:r>
      <w:r w:rsidR="00A97EE9">
        <w:rPr>
          <w:rFonts w:asciiTheme="majorHAnsi" w:hAnsiTheme="majorHAnsi" w:cs="Times New Roman"/>
          <w:lang w:val="es-ES_tradnl"/>
        </w:rPr>
        <w:t xml:space="preserve"> de colaboración</w:t>
      </w:r>
      <w:r w:rsidR="000D73FB" w:rsidRPr="00B97122">
        <w:rPr>
          <w:rFonts w:asciiTheme="majorHAnsi" w:hAnsiTheme="majorHAnsi" w:cs="Times New Roman"/>
          <w:lang w:val="es-ES_tradnl"/>
        </w:rPr>
        <w:t xml:space="preserve"> y movilizar recursos para la apl</w:t>
      </w:r>
      <w:r w:rsidR="00A97EE9">
        <w:rPr>
          <w:rFonts w:asciiTheme="majorHAnsi" w:hAnsiTheme="majorHAnsi" w:cs="Times New Roman"/>
          <w:lang w:val="es-ES_tradnl"/>
        </w:rPr>
        <w:t xml:space="preserve">icación de la Convención. Este papel </w:t>
      </w:r>
      <w:r w:rsidR="000D73FB" w:rsidRPr="00B97122">
        <w:rPr>
          <w:rFonts w:asciiTheme="majorHAnsi" w:hAnsiTheme="majorHAnsi" w:cs="Times New Roman"/>
          <w:lang w:val="es-ES_tradnl"/>
        </w:rPr>
        <w:t xml:space="preserve">será particularmente </w:t>
      </w:r>
      <w:r w:rsidR="00A97EE9" w:rsidRPr="00B97122">
        <w:rPr>
          <w:rFonts w:asciiTheme="majorHAnsi" w:hAnsiTheme="majorHAnsi" w:cs="Times New Roman"/>
          <w:lang w:val="es-ES_tradnl"/>
        </w:rPr>
        <w:t>importante</w:t>
      </w:r>
      <w:r w:rsidR="000D73FB" w:rsidRPr="00B97122">
        <w:rPr>
          <w:rFonts w:asciiTheme="majorHAnsi" w:hAnsiTheme="majorHAnsi" w:cs="Times New Roman"/>
          <w:lang w:val="es-ES_tradnl"/>
        </w:rPr>
        <w:t xml:space="preserve"> dado que varias </w:t>
      </w:r>
      <w:r w:rsidR="00A97EE9" w:rsidRPr="00B97122">
        <w:rPr>
          <w:rFonts w:asciiTheme="majorHAnsi" w:hAnsiTheme="majorHAnsi" w:cs="Times New Roman"/>
          <w:lang w:val="es-ES_tradnl"/>
        </w:rPr>
        <w:t xml:space="preserve">asociaciones </w:t>
      </w:r>
      <w:r w:rsidR="00A97EE9">
        <w:rPr>
          <w:rFonts w:asciiTheme="majorHAnsi" w:hAnsiTheme="majorHAnsi" w:cs="Times New Roman"/>
          <w:lang w:val="es-ES_tradnl"/>
        </w:rPr>
        <w:t xml:space="preserve">de colaboración </w:t>
      </w:r>
      <w:r w:rsidR="000D73FB" w:rsidRPr="00B97122">
        <w:rPr>
          <w:rFonts w:asciiTheme="majorHAnsi" w:hAnsiTheme="majorHAnsi" w:cs="Times New Roman"/>
          <w:lang w:val="es-ES_tradnl"/>
        </w:rPr>
        <w:t>de Ramsar están llegando a su fin:</w:t>
      </w:r>
    </w:p>
    <w:p w14:paraId="6B6BACE9" w14:textId="110B52F9" w:rsidR="00C64326" w:rsidRPr="00B97122" w:rsidRDefault="000D73FB" w:rsidP="004C3670">
      <w:pPr>
        <w:numPr>
          <w:ilvl w:val="0"/>
          <w:numId w:val="15"/>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Debido a un cambio en las prioridades de </w:t>
      </w:r>
      <w:r w:rsidR="00C64326" w:rsidRPr="00B97122">
        <w:rPr>
          <w:rFonts w:asciiTheme="majorHAnsi" w:eastAsia="Calibri" w:hAnsiTheme="majorHAnsi" w:cs="Times New Roman"/>
          <w:sz w:val="22"/>
          <w:szCs w:val="22"/>
          <w:lang w:val="es-ES_tradnl"/>
        </w:rPr>
        <w:t>Danone</w:t>
      </w:r>
      <w:r w:rsidRPr="00B97122">
        <w:rPr>
          <w:rFonts w:asciiTheme="majorHAnsi" w:eastAsia="Calibri" w:hAnsiTheme="majorHAnsi" w:cs="Times New Roman"/>
          <w:sz w:val="22"/>
          <w:szCs w:val="22"/>
          <w:lang w:val="es-ES_tradnl"/>
        </w:rPr>
        <w:t xml:space="preserve">, a partir de 2019 la Secretaría tendrá que </w:t>
      </w:r>
      <w:r w:rsidR="00A97EE9">
        <w:rPr>
          <w:rFonts w:asciiTheme="majorHAnsi" w:eastAsia="Calibri" w:hAnsiTheme="majorHAnsi" w:cs="Times New Roman"/>
          <w:sz w:val="22"/>
          <w:szCs w:val="22"/>
          <w:lang w:val="es-ES_tradnl"/>
        </w:rPr>
        <w:t xml:space="preserve">recaudar fondos adicionales </w:t>
      </w:r>
      <w:r w:rsidRPr="00B97122">
        <w:rPr>
          <w:rFonts w:asciiTheme="majorHAnsi" w:eastAsia="Calibri" w:hAnsiTheme="majorHAnsi" w:cs="Times New Roman"/>
          <w:sz w:val="22"/>
          <w:szCs w:val="22"/>
          <w:lang w:val="es-ES_tradnl"/>
        </w:rPr>
        <w:t xml:space="preserve">para el </w:t>
      </w:r>
      <w:r w:rsidR="00C016F6" w:rsidRPr="00B97122">
        <w:rPr>
          <w:rFonts w:asciiTheme="majorHAnsi" w:eastAsia="Calibri" w:hAnsiTheme="majorHAnsi" w:cs="Times New Roman"/>
          <w:sz w:val="22"/>
          <w:szCs w:val="22"/>
          <w:lang w:val="es-ES_tradnl"/>
        </w:rPr>
        <w:t>Día Mundial de los Humedales</w:t>
      </w:r>
      <w:r w:rsidRPr="00B97122">
        <w:rPr>
          <w:rFonts w:asciiTheme="majorHAnsi" w:eastAsia="Calibri" w:hAnsiTheme="majorHAnsi" w:cs="Times New Roman"/>
          <w:sz w:val="22"/>
          <w:szCs w:val="22"/>
          <w:lang w:val="es-ES_tradnl"/>
        </w:rPr>
        <w:t xml:space="preserve"> y los Premios Ramsar</w:t>
      </w:r>
      <w:r w:rsidR="00C64326" w:rsidRPr="00B97122">
        <w:rPr>
          <w:rFonts w:asciiTheme="majorHAnsi" w:eastAsia="Calibri" w:hAnsiTheme="majorHAnsi" w:cs="Times New Roman"/>
          <w:sz w:val="22"/>
          <w:szCs w:val="22"/>
          <w:lang w:val="es-ES_tradnl"/>
        </w:rPr>
        <w:t xml:space="preserve">.  </w:t>
      </w:r>
    </w:p>
    <w:p w14:paraId="1CD54B80" w14:textId="0E50062E" w:rsidR="00C64326" w:rsidRPr="00B97122" w:rsidRDefault="000D73FB" w:rsidP="004C3670">
      <w:pPr>
        <w:numPr>
          <w:ilvl w:val="0"/>
          <w:numId w:val="15"/>
        </w:numPr>
        <w:spacing w:after="200"/>
        <w:contextualSpacing/>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La </w:t>
      </w:r>
      <w:r w:rsidR="00A97EE9" w:rsidRPr="00B97122">
        <w:rPr>
          <w:rFonts w:asciiTheme="majorHAnsi" w:eastAsia="Calibri" w:hAnsiTheme="majorHAnsi" w:cs="Times New Roman"/>
          <w:sz w:val="22"/>
          <w:szCs w:val="22"/>
          <w:lang w:val="es-ES_tradnl"/>
        </w:rPr>
        <w:t>asociación</w:t>
      </w:r>
      <w:r w:rsidRPr="00B97122">
        <w:rPr>
          <w:rFonts w:asciiTheme="majorHAnsi" w:eastAsia="Calibri" w:hAnsiTheme="majorHAnsi" w:cs="Times New Roman"/>
          <w:sz w:val="22"/>
          <w:szCs w:val="22"/>
          <w:lang w:val="es-ES_tradnl"/>
        </w:rPr>
        <w:t xml:space="preserve"> de </w:t>
      </w:r>
      <w:r w:rsidR="00A97EE9" w:rsidRPr="00B97122">
        <w:rPr>
          <w:rFonts w:asciiTheme="majorHAnsi" w:eastAsia="Calibri" w:hAnsiTheme="majorHAnsi" w:cs="Times New Roman"/>
          <w:sz w:val="22"/>
          <w:szCs w:val="22"/>
          <w:lang w:val="es-ES_tradnl"/>
        </w:rPr>
        <w:t>colaboración</w:t>
      </w:r>
      <w:r w:rsidRPr="00B97122">
        <w:rPr>
          <w:rFonts w:asciiTheme="majorHAnsi" w:eastAsia="Calibri" w:hAnsiTheme="majorHAnsi" w:cs="Times New Roman"/>
          <w:sz w:val="22"/>
          <w:szCs w:val="22"/>
          <w:lang w:val="es-ES_tradnl"/>
        </w:rPr>
        <w:t xml:space="preserve"> </w:t>
      </w:r>
      <w:r w:rsidR="00A97EE9">
        <w:rPr>
          <w:rFonts w:asciiTheme="majorHAnsi" w:eastAsia="Calibri" w:hAnsiTheme="majorHAnsi" w:cs="Times New Roman"/>
          <w:sz w:val="22"/>
          <w:szCs w:val="22"/>
          <w:lang w:val="es-ES_tradnl"/>
        </w:rPr>
        <w:t xml:space="preserve">de Star Alliance con </w:t>
      </w:r>
      <w:r w:rsidRPr="00B97122">
        <w:rPr>
          <w:rFonts w:asciiTheme="majorHAnsi" w:eastAsia="Calibri" w:hAnsiTheme="majorHAnsi" w:cs="Times New Roman"/>
          <w:sz w:val="22"/>
          <w:szCs w:val="22"/>
          <w:lang w:val="es-ES_tradnl"/>
        </w:rPr>
        <w:t xml:space="preserve">la Convención y la UICN </w:t>
      </w:r>
      <w:r w:rsidR="00A97EE9" w:rsidRPr="00B97122">
        <w:rPr>
          <w:rFonts w:asciiTheme="majorHAnsi" w:eastAsia="Calibri" w:hAnsiTheme="majorHAnsi" w:cs="Times New Roman"/>
          <w:sz w:val="22"/>
          <w:szCs w:val="22"/>
          <w:lang w:val="es-ES_tradnl"/>
        </w:rPr>
        <w:t>finalizó</w:t>
      </w:r>
      <w:r w:rsidRPr="00B97122">
        <w:rPr>
          <w:rFonts w:asciiTheme="majorHAnsi" w:eastAsia="Calibri" w:hAnsiTheme="majorHAnsi" w:cs="Times New Roman"/>
          <w:sz w:val="22"/>
          <w:szCs w:val="22"/>
          <w:lang w:val="es-ES_tradnl"/>
        </w:rPr>
        <w:t xml:space="preserve"> en 2017</w:t>
      </w:r>
      <w:r w:rsidR="00C64326" w:rsidRPr="00B97122">
        <w:rPr>
          <w:rFonts w:asciiTheme="majorHAnsi" w:eastAsia="Calibri" w:hAnsiTheme="majorHAnsi" w:cs="Times New Roman"/>
          <w:sz w:val="22"/>
          <w:szCs w:val="22"/>
          <w:lang w:val="es-ES_tradnl"/>
        </w:rPr>
        <w:t xml:space="preserve">.  </w:t>
      </w:r>
    </w:p>
    <w:p w14:paraId="3DBE33DC" w14:textId="3A14172E" w:rsidR="00C64326" w:rsidRPr="00B97122" w:rsidRDefault="000D73FB" w:rsidP="004C3670">
      <w:pPr>
        <w:numPr>
          <w:ilvl w:val="0"/>
          <w:numId w:val="15"/>
        </w:numPr>
        <w:spacing w:after="200"/>
        <w:rPr>
          <w:rFonts w:asciiTheme="majorHAnsi" w:eastAsia="Calibri" w:hAnsiTheme="majorHAnsi" w:cs="Times New Roman"/>
          <w:sz w:val="22"/>
          <w:szCs w:val="22"/>
          <w:lang w:val="es-ES_tradnl"/>
        </w:rPr>
      </w:pPr>
      <w:r w:rsidRPr="00B97122">
        <w:rPr>
          <w:rFonts w:asciiTheme="majorHAnsi" w:eastAsia="Calibri" w:hAnsiTheme="majorHAnsi" w:cs="Times New Roman"/>
          <w:sz w:val="22"/>
          <w:szCs w:val="22"/>
          <w:lang w:val="es-ES_tradnl"/>
        </w:rPr>
        <w:t xml:space="preserve">El proyecto sobre cultura </w:t>
      </w:r>
      <w:r w:rsidR="00A97EE9" w:rsidRPr="00B97122">
        <w:rPr>
          <w:rFonts w:asciiTheme="majorHAnsi" w:eastAsia="Calibri" w:hAnsiTheme="majorHAnsi" w:cs="Times New Roman"/>
          <w:sz w:val="22"/>
          <w:szCs w:val="22"/>
          <w:lang w:val="es-ES_tradnl"/>
        </w:rPr>
        <w:t>financiado</w:t>
      </w:r>
      <w:r w:rsidRPr="00B97122">
        <w:rPr>
          <w:rFonts w:asciiTheme="majorHAnsi" w:eastAsia="Calibri" w:hAnsiTheme="majorHAnsi" w:cs="Times New Roman"/>
          <w:sz w:val="22"/>
          <w:szCs w:val="22"/>
          <w:lang w:val="es-ES_tradnl"/>
        </w:rPr>
        <w:t xml:space="preserve"> </w:t>
      </w:r>
      <w:r w:rsidR="00A97EE9" w:rsidRPr="00B97122">
        <w:rPr>
          <w:rFonts w:asciiTheme="majorHAnsi" w:eastAsia="Calibri" w:hAnsiTheme="majorHAnsi" w:cs="Times New Roman"/>
          <w:sz w:val="22"/>
          <w:szCs w:val="22"/>
          <w:lang w:val="es-ES_tradnl"/>
        </w:rPr>
        <w:t>mediante</w:t>
      </w:r>
      <w:r w:rsidRPr="00B97122">
        <w:rPr>
          <w:rFonts w:asciiTheme="majorHAnsi" w:eastAsia="Calibri" w:hAnsiTheme="majorHAnsi" w:cs="Times New Roman"/>
          <w:sz w:val="22"/>
          <w:szCs w:val="22"/>
          <w:lang w:val="es-ES_tradnl"/>
        </w:rPr>
        <w:t xml:space="preserve"> un acuerdo c</w:t>
      </w:r>
      <w:r w:rsidR="00A97EE9">
        <w:rPr>
          <w:rFonts w:asciiTheme="majorHAnsi" w:eastAsia="Calibri" w:hAnsiTheme="majorHAnsi" w:cs="Times New Roman"/>
          <w:sz w:val="22"/>
          <w:szCs w:val="22"/>
          <w:lang w:val="es-ES_tradnl"/>
        </w:rPr>
        <w:t xml:space="preserve">on la Fundación MAVA finalizó </w:t>
      </w:r>
      <w:r w:rsidRPr="00B97122">
        <w:rPr>
          <w:rFonts w:asciiTheme="majorHAnsi" w:eastAsia="Calibri" w:hAnsiTheme="majorHAnsi" w:cs="Times New Roman"/>
          <w:sz w:val="22"/>
          <w:szCs w:val="22"/>
          <w:lang w:val="es-ES_tradnl"/>
        </w:rPr>
        <w:t xml:space="preserve">en marzo de </w:t>
      </w:r>
      <w:r w:rsidR="00C64326" w:rsidRPr="00B97122">
        <w:rPr>
          <w:rFonts w:asciiTheme="majorHAnsi" w:eastAsia="Calibri" w:hAnsiTheme="majorHAnsi" w:cs="Times New Roman"/>
          <w:sz w:val="22"/>
          <w:szCs w:val="22"/>
          <w:lang w:val="es-ES_tradnl"/>
        </w:rPr>
        <w:t>2018</w:t>
      </w:r>
      <w:r w:rsidRPr="00B97122">
        <w:rPr>
          <w:rFonts w:asciiTheme="majorHAnsi" w:eastAsia="Calibri" w:hAnsiTheme="majorHAnsi" w:cs="Times New Roman"/>
          <w:sz w:val="22"/>
          <w:szCs w:val="22"/>
          <w:lang w:val="es-ES_tradnl"/>
        </w:rPr>
        <w:t>.</w:t>
      </w:r>
    </w:p>
    <w:p w14:paraId="44D847E7" w14:textId="1281CB50"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16.</w:t>
      </w:r>
      <w:r w:rsidRPr="00B97122">
        <w:rPr>
          <w:rFonts w:asciiTheme="majorHAnsi" w:hAnsiTheme="majorHAnsi"/>
          <w:lang w:val="es-ES_tradnl"/>
        </w:rPr>
        <w:tab/>
      </w:r>
      <w:r w:rsidR="00A97EE9">
        <w:rPr>
          <w:rFonts w:asciiTheme="majorHAnsi" w:hAnsiTheme="majorHAnsi"/>
          <w:lang w:val="es-ES_tradnl"/>
        </w:rPr>
        <w:t>En la</w:t>
      </w:r>
      <w:r w:rsidR="000D73FB" w:rsidRPr="00B97122">
        <w:rPr>
          <w:rFonts w:asciiTheme="majorHAnsi" w:hAnsiTheme="majorHAnsi"/>
          <w:lang w:val="es-ES_tradnl"/>
        </w:rPr>
        <w:t xml:space="preserve"> 54 reunión del Comité Permanente </w:t>
      </w:r>
      <w:r w:rsidR="00A97EE9">
        <w:rPr>
          <w:rFonts w:asciiTheme="majorHAnsi" w:hAnsiTheme="majorHAnsi"/>
          <w:lang w:val="es-ES_tradnl"/>
        </w:rPr>
        <w:t>se aprobó un plan de trabajo de la Convención s</w:t>
      </w:r>
      <w:r w:rsidR="000D73FB" w:rsidRPr="00B97122">
        <w:rPr>
          <w:rFonts w:asciiTheme="majorHAnsi" w:hAnsiTheme="majorHAnsi"/>
          <w:lang w:val="es-ES_tradnl"/>
        </w:rPr>
        <w:t xml:space="preserve">obre </w:t>
      </w:r>
      <w:r w:rsidR="00C26F5D">
        <w:rPr>
          <w:rFonts w:asciiTheme="majorHAnsi" w:hAnsiTheme="majorHAnsi"/>
          <w:lang w:val="es-ES_tradnl"/>
        </w:rPr>
        <w:t xml:space="preserve">la </w:t>
      </w:r>
      <w:r w:rsidR="00C26F5D" w:rsidRPr="00B97122">
        <w:rPr>
          <w:rFonts w:asciiTheme="majorHAnsi" w:hAnsiTheme="majorHAnsi"/>
          <w:lang w:val="es-ES_tradnl"/>
        </w:rPr>
        <w:t>movilización</w:t>
      </w:r>
      <w:r w:rsidR="000D73FB" w:rsidRPr="00B97122">
        <w:rPr>
          <w:rFonts w:asciiTheme="majorHAnsi" w:hAnsiTheme="majorHAnsi"/>
          <w:lang w:val="es-ES_tradnl"/>
        </w:rPr>
        <w:t xml:space="preserve"> d</w:t>
      </w:r>
      <w:r w:rsidR="00C26F5D">
        <w:rPr>
          <w:rFonts w:asciiTheme="majorHAnsi" w:hAnsiTheme="majorHAnsi"/>
          <w:lang w:val="es-ES_tradnl"/>
        </w:rPr>
        <w:t>e</w:t>
      </w:r>
      <w:r w:rsidR="000D73FB" w:rsidRPr="00B97122">
        <w:rPr>
          <w:rFonts w:asciiTheme="majorHAnsi" w:hAnsiTheme="majorHAnsi"/>
          <w:lang w:val="es-ES_tradnl"/>
        </w:rPr>
        <w:t xml:space="preserve"> recursos para guiar a la Secretaría en su </w:t>
      </w:r>
      <w:r w:rsidR="00C26F5D">
        <w:rPr>
          <w:rFonts w:asciiTheme="majorHAnsi" w:hAnsiTheme="majorHAnsi"/>
          <w:lang w:val="es-ES_tradnl"/>
        </w:rPr>
        <w:t xml:space="preserve">labor de </w:t>
      </w:r>
      <w:r w:rsidR="000D73FB" w:rsidRPr="00B97122">
        <w:rPr>
          <w:rFonts w:asciiTheme="majorHAnsi" w:hAnsiTheme="majorHAnsi"/>
          <w:lang w:val="es-ES_tradnl"/>
        </w:rPr>
        <w:t xml:space="preserve">recaudación de </w:t>
      </w:r>
      <w:r w:rsidR="00C26F5D" w:rsidRPr="00B97122">
        <w:rPr>
          <w:rFonts w:asciiTheme="majorHAnsi" w:hAnsiTheme="majorHAnsi"/>
          <w:lang w:val="es-ES_tradnl"/>
        </w:rPr>
        <w:t>fondos</w:t>
      </w:r>
      <w:r w:rsidR="000D73FB" w:rsidRPr="00B97122">
        <w:rPr>
          <w:rFonts w:asciiTheme="majorHAnsi" w:hAnsiTheme="majorHAnsi"/>
          <w:lang w:val="es-ES_tradnl"/>
        </w:rPr>
        <w:t xml:space="preserve"> y </w:t>
      </w:r>
      <w:r w:rsidR="00C26F5D">
        <w:rPr>
          <w:rFonts w:asciiTheme="majorHAnsi" w:hAnsiTheme="majorHAnsi"/>
          <w:lang w:val="es-ES_tradnl"/>
        </w:rPr>
        <w:t>promoción</w:t>
      </w:r>
      <w:r w:rsidR="000D73FB" w:rsidRPr="00B97122">
        <w:rPr>
          <w:rFonts w:asciiTheme="majorHAnsi" w:hAnsiTheme="majorHAnsi"/>
          <w:lang w:val="es-ES_tradnl"/>
        </w:rPr>
        <w:t xml:space="preserve">. La Secretaría espera que la </w:t>
      </w:r>
      <w:r w:rsidR="00C64326" w:rsidRPr="00B97122">
        <w:rPr>
          <w:rFonts w:asciiTheme="majorHAnsi" w:hAnsiTheme="majorHAnsi" w:cs="Times New Roman"/>
          <w:lang w:val="es-ES_tradnl"/>
        </w:rPr>
        <w:t xml:space="preserve">COP13 </w:t>
      </w:r>
      <w:r w:rsidR="000D73FB" w:rsidRPr="00B97122">
        <w:rPr>
          <w:rFonts w:asciiTheme="majorHAnsi" w:hAnsiTheme="majorHAnsi" w:cs="Times New Roman"/>
          <w:lang w:val="es-ES_tradnl"/>
        </w:rPr>
        <w:t xml:space="preserve">proporcione orientaciones sobre necesidades de </w:t>
      </w:r>
      <w:r w:rsidR="00C26F5D" w:rsidRPr="00B97122">
        <w:rPr>
          <w:rFonts w:asciiTheme="majorHAnsi" w:hAnsiTheme="majorHAnsi" w:cs="Times New Roman"/>
          <w:lang w:val="es-ES_tradnl"/>
        </w:rPr>
        <w:t>financiación</w:t>
      </w:r>
      <w:r w:rsidR="000D73FB" w:rsidRPr="00B97122">
        <w:rPr>
          <w:rFonts w:asciiTheme="majorHAnsi" w:hAnsiTheme="majorHAnsi" w:cs="Times New Roman"/>
          <w:lang w:val="es-ES_tradnl"/>
        </w:rPr>
        <w:t xml:space="preserve"> prioritarias</w:t>
      </w:r>
      <w:r w:rsidR="00C26F5D">
        <w:rPr>
          <w:rFonts w:asciiTheme="majorHAnsi" w:hAnsiTheme="majorHAnsi" w:cs="Times New Roman"/>
          <w:lang w:val="es-ES_tradnl"/>
        </w:rPr>
        <w:t xml:space="preserve"> con cargo a fondos no básicos en apoyo de la CECoP</w:t>
      </w:r>
      <w:r w:rsidR="000D73FB" w:rsidRPr="00B97122">
        <w:rPr>
          <w:rFonts w:asciiTheme="majorHAnsi" w:hAnsiTheme="majorHAnsi" w:cs="Times New Roman"/>
          <w:lang w:val="es-ES_tradnl"/>
        </w:rPr>
        <w:t>.</w:t>
      </w:r>
    </w:p>
    <w:p w14:paraId="65A9DC37" w14:textId="77777777" w:rsidR="004C5BF4" w:rsidRPr="00B97122" w:rsidRDefault="004C5BF4" w:rsidP="004C3670">
      <w:pPr>
        <w:pStyle w:val="BodyText"/>
        <w:widowControl/>
        <w:tabs>
          <w:tab w:val="left" w:pos="544"/>
        </w:tabs>
        <w:ind w:left="425" w:hanging="425"/>
        <w:rPr>
          <w:rFonts w:asciiTheme="majorHAnsi" w:hAnsiTheme="majorHAnsi"/>
          <w:lang w:val="es-ES_tradnl"/>
        </w:rPr>
      </w:pPr>
    </w:p>
    <w:p w14:paraId="384B3F9C" w14:textId="53139D6B"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17.</w:t>
      </w:r>
      <w:r w:rsidRPr="00B97122">
        <w:rPr>
          <w:rFonts w:asciiTheme="majorHAnsi" w:hAnsiTheme="majorHAnsi"/>
          <w:lang w:val="es-ES_tradnl"/>
        </w:rPr>
        <w:tab/>
      </w:r>
      <w:r w:rsidR="00FB431F" w:rsidRPr="00B97122">
        <w:rPr>
          <w:rFonts w:asciiTheme="majorHAnsi" w:hAnsiTheme="majorHAnsi"/>
          <w:lang w:val="es-ES_tradnl"/>
        </w:rPr>
        <w:t xml:space="preserve">El </w:t>
      </w:r>
      <w:r w:rsidR="00C26F5D" w:rsidRPr="00B97122">
        <w:rPr>
          <w:rFonts w:asciiTheme="majorHAnsi" w:hAnsiTheme="majorHAnsi"/>
          <w:lang w:val="es-ES_tradnl"/>
        </w:rPr>
        <w:t>proyecto</w:t>
      </w:r>
      <w:r w:rsidR="00C26F5D">
        <w:rPr>
          <w:rFonts w:asciiTheme="majorHAnsi" w:hAnsiTheme="majorHAnsi"/>
          <w:lang w:val="es-ES_tradnl"/>
        </w:rPr>
        <w:t xml:space="preserve"> de resolución </w:t>
      </w:r>
      <w:r w:rsidR="00C64326" w:rsidRPr="00B97122">
        <w:rPr>
          <w:rFonts w:asciiTheme="majorHAnsi" w:hAnsiTheme="majorHAnsi" w:cs="Times New Roman"/>
          <w:lang w:val="es-ES_tradnl"/>
        </w:rPr>
        <w:t xml:space="preserve">18.6 </w:t>
      </w:r>
      <w:r w:rsidR="00FB431F" w:rsidRPr="00B97122">
        <w:rPr>
          <w:rFonts w:asciiTheme="majorHAnsi" w:hAnsiTheme="majorHAnsi" w:cs="Times New Roman"/>
          <w:lang w:val="es-ES_tradnl"/>
        </w:rPr>
        <w:t xml:space="preserve">para la </w:t>
      </w:r>
      <w:r w:rsidR="00C64326" w:rsidRPr="00B97122">
        <w:rPr>
          <w:rFonts w:asciiTheme="majorHAnsi" w:hAnsiTheme="majorHAnsi" w:cs="Times New Roman"/>
          <w:lang w:val="es-ES_tradnl"/>
        </w:rPr>
        <w:t xml:space="preserve">COP13 </w:t>
      </w:r>
      <w:r w:rsidR="00C26F5D">
        <w:rPr>
          <w:rFonts w:asciiTheme="majorHAnsi" w:hAnsiTheme="majorHAnsi" w:cs="Times New Roman"/>
          <w:lang w:val="es-ES_tradnl"/>
        </w:rPr>
        <w:t xml:space="preserve">sobre el examen del Cuarto Plan Estratégico de la Convención de Ramsar </w:t>
      </w:r>
      <w:r w:rsidR="001A500F">
        <w:rPr>
          <w:rFonts w:asciiTheme="majorHAnsi" w:hAnsiTheme="majorHAnsi" w:cs="Times New Roman"/>
          <w:lang w:val="es-ES_tradnl"/>
        </w:rPr>
        <w:t>señala</w:t>
      </w:r>
      <w:r w:rsidR="00FB431F" w:rsidRPr="00B97122">
        <w:rPr>
          <w:rFonts w:asciiTheme="majorHAnsi" w:hAnsiTheme="majorHAnsi" w:cs="Times New Roman"/>
          <w:lang w:val="es-ES_tradnl"/>
        </w:rPr>
        <w:t xml:space="preserve"> la importancia de asignar los recursos </w:t>
      </w:r>
      <w:r w:rsidR="00417178" w:rsidRPr="00B97122">
        <w:rPr>
          <w:rFonts w:asciiTheme="majorHAnsi" w:hAnsiTheme="majorHAnsi" w:cs="Times New Roman"/>
          <w:lang w:val="es-ES_tradnl"/>
        </w:rPr>
        <w:t>adecuados</w:t>
      </w:r>
      <w:r w:rsidR="00FB431F" w:rsidRPr="00B97122">
        <w:rPr>
          <w:rFonts w:asciiTheme="majorHAnsi" w:hAnsiTheme="majorHAnsi" w:cs="Times New Roman"/>
          <w:lang w:val="es-ES_tradnl"/>
        </w:rPr>
        <w:t xml:space="preserve"> a la </w:t>
      </w:r>
      <w:r w:rsidR="001670A8" w:rsidRPr="00B97122">
        <w:rPr>
          <w:rFonts w:asciiTheme="majorHAnsi" w:hAnsiTheme="majorHAnsi" w:cs="Times New Roman"/>
          <w:lang w:val="es-ES_tradnl"/>
        </w:rPr>
        <w:t>CECoP</w:t>
      </w:r>
      <w:r w:rsidR="00C64326" w:rsidRPr="00B97122">
        <w:rPr>
          <w:rFonts w:asciiTheme="majorHAnsi" w:hAnsiTheme="majorHAnsi" w:cs="Times New Roman"/>
          <w:lang w:val="es-ES_tradnl"/>
        </w:rPr>
        <w:t xml:space="preserve"> </w:t>
      </w:r>
      <w:r w:rsidR="00417178">
        <w:rPr>
          <w:rFonts w:asciiTheme="majorHAnsi" w:hAnsiTheme="majorHAnsi" w:cs="Times New Roman"/>
          <w:lang w:val="es-ES_tradnl"/>
        </w:rPr>
        <w:t xml:space="preserve">y pide </w:t>
      </w:r>
      <w:r w:rsidR="00FB431F" w:rsidRPr="00B97122">
        <w:rPr>
          <w:rFonts w:asciiTheme="majorHAnsi" w:hAnsiTheme="majorHAnsi" w:cs="Times New Roman"/>
          <w:lang w:val="es-ES_tradnl"/>
        </w:rPr>
        <w:t xml:space="preserve">a la </w:t>
      </w:r>
      <w:r w:rsidR="00417178">
        <w:rPr>
          <w:rFonts w:asciiTheme="majorHAnsi" w:hAnsiTheme="majorHAnsi" w:cs="Times New Roman"/>
          <w:lang w:val="es-ES_tradnl"/>
        </w:rPr>
        <w:t xml:space="preserve">Secretaría que refuerce </w:t>
      </w:r>
      <w:r w:rsidR="00FB431F" w:rsidRPr="00B97122">
        <w:rPr>
          <w:rFonts w:asciiTheme="majorHAnsi" w:hAnsiTheme="majorHAnsi" w:cs="Times New Roman"/>
          <w:lang w:val="es-ES_tradnl"/>
        </w:rPr>
        <w:t xml:space="preserve">su apoyo </w:t>
      </w:r>
      <w:r w:rsidR="00417178">
        <w:rPr>
          <w:rFonts w:asciiTheme="majorHAnsi" w:hAnsiTheme="majorHAnsi" w:cs="Times New Roman"/>
          <w:lang w:val="es-ES_tradnl"/>
        </w:rPr>
        <w:t>para</w:t>
      </w:r>
      <w:r w:rsidR="00FB431F" w:rsidRPr="00B97122">
        <w:rPr>
          <w:rFonts w:asciiTheme="majorHAnsi" w:hAnsiTheme="majorHAnsi" w:cs="Times New Roman"/>
          <w:lang w:val="es-ES_tradnl"/>
        </w:rPr>
        <w:t xml:space="preserve"> la aplicación del </w:t>
      </w:r>
      <w:r w:rsidR="00003376" w:rsidRPr="00B97122">
        <w:rPr>
          <w:rFonts w:asciiTheme="majorHAnsi" w:hAnsiTheme="majorHAnsi" w:cs="Times New Roman"/>
          <w:lang w:val="es-ES_tradnl"/>
        </w:rPr>
        <w:t>Programa de CECoP</w:t>
      </w:r>
      <w:r w:rsidR="00C64326" w:rsidRPr="00B97122">
        <w:rPr>
          <w:rFonts w:asciiTheme="majorHAnsi" w:hAnsiTheme="majorHAnsi" w:cs="Times New Roman"/>
          <w:lang w:val="es-ES_tradnl"/>
        </w:rPr>
        <w:t xml:space="preserve"> </w:t>
      </w:r>
      <w:r w:rsidR="00FB431F" w:rsidRPr="00B97122">
        <w:rPr>
          <w:rFonts w:asciiTheme="majorHAnsi" w:hAnsiTheme="majorHAnsi" w:cs="Times New Roman"/>
          <w:lang w:val="es-ES_tradnl"/>
        </w:rPr>
        <w:t xml:space="preserve">mediante </w:t>
      </w:r>
      <w:r w:rsidR="00417178">
        <w:rPr>
          <w:rFonts w:asciiTheme="majorHAnsi" w:hAnsiTheme="majorHAnsi" w:cs="Times New Roman"/>
          <w:lang w:val="es-ES_tradnl"/>
        </w:rPr>
        <w:t>la asignación de personal suficiente</w:t>
      </w:r>
      <w:r w:rsidR="00FB431F" w:rsidRPr="00B97122">
        <w:rPr>
          <w:rFonts w:asciiTheme="majorHAnsi" w:hAnsiTheme="majorHAnsi" w:cs="Times New Roman"/>
          <w:lang w:val="es-ES_tradnl"/>
        </w:rPr>
        <w:t xml:space="preserve"> para este fin, con sujeción a la disponibilidad de </w:t>
      </w:r>
      <w:r w:rsidR="00417178" w:rsidRPr="00B97122">
        <w:rPr>
          <w:rFonts w:asciiTheme="majorHAnsi" w:hAnsiTheme="majorHAnsi" w:cs="Times New Roman"/>
          <w:lang w:val="es-ES_tradnl"/>
        </w:rPr>
        <w:t>recursos</w:t>
      </w:r>
      <w:r w:rsidR="00FB431F" w:rsidRPr="00B97122">
        <w:rPr>
          <w:rFonts w:asciiTheme="majorHAnsi" w:hAnsiTheme="majorHAnsi" w:cs="Times New Roman"/>
          <w:lang w:val="es-ES_tradnl"/>
        </w:rPr>
        <w:t xml:space="preserve">. </w:t>
      </w:r>
      <w:r w:rsidR="00417178" w:rsidRPr="00B97122">
        <w:rPr>
          <w:rFonts w:asciiTheme="majorHAnsi" w:hAnsiTheme="majorHAnsi" w:cs="Times New Roman"/>
          <w:lang w:val="es-ES_tradnl"/>
        </w:rPr>
        <w:t>También</w:t>
      </w:r>
      <w:r w:rsidR="00FB431F" w:rsidRPr="00B97122">
        <w:rPr>
          <w:rFonts w:asciiTheme="majorHAnsi" w:hAnsiTheme="majorHAnsi" w:cs="Times New Roman"/>
          <w:lang w:val="es-ES_tradnl"/>
        </w:rPr>
        <w:t xml:space="preserve"> invita </w:t>
      </w:r>
      <w:r w:rsidR="00417178">
        <w:rPr>
          <w:rFonts w:asciiTheme="majorHAnsi" w:hAnsiTheme="majorHAnsi" w:cs="Times New Roman"/>
          <w:lang w:val="es-ES_tradnl"/>
        </w:rPr>
        <w:t>a las Partes, otros gobiernos, instituciones financieras y otros asociados en la ejecución que estén en condiciones de hacerlo a que pongan recursos a disposición para la aplicación del Programa de CECoP.</w:t>
      </w:r>
    </w:p>
    <w:p w14:paraId="737924E5"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39D42395" w14:textId="39110423" w:rsidR="00C64326" w:rsidRPr="00B97122" w:rsidRDefault="00FB431F" w:rsidP="004C3670">
      <w:pPr>
        <w:autoSpaceDE w:val="0"/>
        <w:autoSpaceDN w:val="0"/>
        <w:adjustRightInd w:val="0"/>
        <w:rPr>
          <w:rFonts w:asciiTheme="majorHAnsi" w:hAnsiTheme="majorHAnsi" w:cs="Calibri"/>
          <w:bCs/>
          <w:sz w:val="22"/>
          <w:szCs w:val="22"/>
          <w:u w:val="single"/>
          <w:lang w:val="es-ES_tradnl"/>
        </w:rPr>
      </w:pPr>
      <w:r w:rsidRPr="00B97122">
        <w:rPr>
          <w:rFonts w:asciiTheme="majorHAnsi" w:hAnsiTheme="majorHAnsi" w:cs="Calibri"/>
          <w:bCs/>
          <w:sz w:val="22"/>
          <w:szCs w:val="22"/>
          <w:u w:val="single"/>
          <w:lang w:val="es-ES_tradnl"/>
        </w:rPr>
        <w:t>Un nuevo enfoque sobre el asesoramiento y apoyo en materia de CECoP en la Convención</w:t>
      </w:r>
    </w:p>
    <w:p w14:paraId="09895909" w14:textId="77777777" w:rsidR="004C5BF4" w:rsidRPr="00B97122" w:rsidRDefault="004C5BF4" w:rsidP="004C3670">
      <w:pPr>
        <w:pStyle w:val="BodyText"/>
        <w:widowControl/>
        <w:tabs>
          <w:tab w:val="left" w:pos="544"/>
        </w:tabs>
        <w:ind w:left="425" w:hanging="425"/>
        <w:rPr>
          <w:rFonts w:asciiTheme="majorHAnsi" w:hAnsiTheme="majorHAnsi"/>
          <w:lang w:val="es-ES_tradnl"/>
        </w:rPr>
      </w:pPr>
    </w:p>
    <w:p w14:paraId="1A65D1CA" w14:textId="305AB295"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18.</w:t>
      </w:r>
      <w:r w:rsidRPr="00B97122">
        <w:rPr>
          <w:rFonts w:asciiTheme="majorHAnsi" w:hAnsiTheme="majorHAnsi"/>
          <w:lang w:val="es-ES_tradnl"/>
        </w:rPr>
        <w:tab/>
      </w:r>
      <w:r w:rsidR="00CE0E69" w:rsidRPr="00CE0E69">
        <w:rPr>
          <w:rFonts w:asciiTheme="majorHAnsi" w:hAnsiTheme="majorHAnsi"/>
          <w:lang w:val="es-ES_tradnl"/>
        </w:rPr>
        <w:t>La</w:t>
      </w:r>
      <w:r w:rsidR="00FB431F" w:rsidRPr="00CE0E69">
        <w:rPr>
          <w:rFonts w:asciiTheme="majorHAnsi" w:hAnsiTheme="majorHAnsi"/>
          <w:lang w:val="es-ES_tradnl"/>
        </w:rPr>
        <w:t xml:space="preserve"> </w:t>
      </w:r>
      <w:r w:rsidR="00CE0E69" w:rsidRPr="00CE0E69">
        <w:rPr>
          <w:rFonts w:asciiTheme="majorHAnsi" w:hAnsiTheme="majorHAnsi"/>
          <w:lang w:val="es-ES_tradnl"/>
        </w:rPr>
        <w:t>Resolución</w:t>
      </w:r>
      <w:r w:rsidR="00FB431F" w:rsidRPr="00CE0E69">
        <w:rPr>
          <w:rFonts w:asciiTheme="majorHAnsi" w:hAnsiTheme="majorHAnsi"/>
          <w:lang w:val="es-ES_tradnl"/>
        </w:rPr>
        <w:t xml:space="preserve"> </w:t>
      </w:r>
      <w:r w:rsidR="00C64326" w:rsidRPr="00CE0E69">
        <w:rPr>
          <w:rFonts w:asciiTheme="majorHAnsi" w:hAnsiTheme="majorHAnsi" w:cs="Times New Roman"/>
          <w:lang w:val="es-ES_tradnl"/>
        </w:rPr>
        <w:t xml:space="preserve">XII.9 </w:t>
      </w:r>
      <w:r w:rsidR="00FB431F" w:rsidRPr="00CE0E69">
        <w:rPr>
          <w:rFonts w:asciiTheme="majorHAnsi" w:hAnsiTheme="majorHAnsi" w:cs="Times New Roman"/>
          <w:lang w:val="es-ES_tradnl"/>
        </w:rPr>
        <w:t xml:space="preserve">en </w:t>
      </w:r>
      <w:r w:rsidR="00C64326" w:rsidRPr="00CE0E69">
        <w:rPr>
          <w:rFonts w:asciiTheme="majorHAnsi" w:hAnsiTheme="majorHAnsi" w:cs="Times New Roman"/>
          <w:lang w:val="es-ES_tradnl"/>
        </w:rPr>
        <w:t xml:space="preserve">2015 </w:t>
      </w:r>
      <w:r w:rsidR="00CE0E69">
        <w:rPr>
          <w:rFonts w:asciiTheme="majorHAnsi" w:hAnsiTheme="majorHAnsi" w:cs="Times New Roman"/>
          <w:lang w:val="es-ES_tradnl"/>
        </w:rPr>
        <w:t>pedía que el Comité Permanente creara un mecanismo para guiar las actividades de la Secretaría, en particular fijando prioridades y orientando el diseño del Plan de Acción de CECoP de la Secretaría, hacer un seguimiento de la eficacia del Plan y establecer, con el asesoramiento del Grupo de Examen Científico y Técnico (GECT), un nuevo enfoque para asesorar y apoyar las actividades de CECoP en la Convención.</w:t>
      </w:r>
      <w:r w:rsidR="00FB431F" w:rsidRPr="00B97122">
        <w:rPr>
          <w:rFonts w:asciiTheme="majorHAnsi" w:hAnsiTheme="majorHAnsi" w:cs="Times New Roman"/>
          <w:lang w:val="es-ES_tradnl"/>
        </w:rPr>
        <w:t xml:space="preserve"> En la 50ª reunión </w:t>
      </w:r>
      <w:r w:rsidR="0051013D" w:rsidRPr="00B97122">
        <w:rPr>
          <w:rFonts w:asciiTheme="majorHAnsi" w:hAnsiTheme="majorHAnsi" w:cs="Times New Roman"/>
          <w:lang w:val="es-ES_tradnl"/>
        </w:rPr>
        <w:t xml:space="preserve">del </w:t>
      </w:r>
      <w:r w:rsidR="00CE0E69" w:rsidRPr="00B97122">
        <w:rPr>
          <w:rFonts w:asciiTheme="majorHAnsi" w:hAnsiTheme="majorHAnsi" w:cs="Times New Roman"/>
          <w:lang w:val="es-ES_tradnl"/>
        </w:rPr>
        <w:t>Comité Permanente</w:t>
      </w:r>
      <w:r w:rsidR="0051013D" w:rsidRPr="00B97122">
        <w:rPr>
          <w:rFonts w:asciiTheme="majorHAnsi" w:hAnsiTheme="majorHAnsi" w:cs="Times New Roman"/>
          <w:lang w:val="es-ES_tradnl"/>
        </w:rPr>
        <w:t xml:space="preserve"> se estableció un Grupo de </w:t>
      </w:r>
      <w:r w:rsidR="00CE0E69" w:rsidRPr="00B97122">
        <w:rPr>
          <w:rFonts w:asciiTheme="majorHAnsi" w:hAnsiTheme="majorHAnsi" w:cs="Times New Roman"/>
          <w:lang w:val="es-ES_tradnl"/>
        </w:rPr>
        <w:t>trabajo</w:t>
      </w:r>
      <w:r w:rsidR="0051013D" w:rsidRPr="00B97122">
        <w:rPr>
          <w:rFonts w:asciiTheme="majorHAnsi" w:hAnsiTheme="majorHAnsi" w:cs="Times New Roman"/>
          <w:lang w:val="es-ES_tradnl"/>
        </w:rPr>
        <w:t xml:space="preserve"> sobre la aplicación de CECoP para realizar estas funciones y </w:t>
      </w:r>
      <w:r w:rsidR="00CE0E69" w:rsidRPr="00B97122">
        <w:rPr>
          <w:rFonts w:asciiTheme="majorHAnsi" w:hAnsiTheme="majorHAnsi" w:cs="Times New Roman"/>
          <w:lang w:val="es-ES_tradnl"/>
        </w:rPr>
        <w:t>trabajar</w:t>
      </w:r>
      <w:r w:rsidR="0051013D" w:rsidRPr="00B97122">
        <w:rPr>
          <w:rFonts w:asciiTheme="majorHAnsi" w:hAnsiTheme="majorHAnsi" w:cs="Times New Roman"/>
          <w:lang w:val="es-ES_tradnl"/>
        </w:rPr>
        <w:t xml:space="preserve"> en paralelo con el </w:t>
      </w:r>
      <w:r w:rsidR="00D66EFC" w:rsidRPr="00B97122">
        <w:rPr>
          <w:rFonts w:asciiTheme="majorHAnsi" w:hAnsiTheme="majorHAnsi" w:cs="Times New Roman"/>
          <w:lang w:val="es-ES_tradnl"/>
        </w:rPr>
        <w:t>Grupo de supervisión de las actividades de CECoP</w:t>
      </w:r>
      <w:r w:rsidR="00C64326" w:rsidRPr="00B97122">
        <w:rPr>
          <w:rFonts w:asciiTheme="majorHAnsi" w:hAnsiTheme="majorHAnsi" w:cs="Times New Roman"/>
          <w:lang w:val="es-ES_tradnl"/>
        </w:rPr>
        <w:t>.</w:t>
      </w:r>
    </w:p>
    <w:p w14:paraId="4E8F39F5"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4F2DF0DF" w14:textId="5D33708D"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19.</w:t>
      </w:r>
      <w:r w:rsidRPr="00B97122">
        <w:rPr>
          <w:rFonts w:asciiTheme="majorHAnsi" w:hAnsiTheme="majorHAnsi" w:cs="Times New Roman"/>
          <w:lang w:val="es-ES_tradnl"/>
        </w:rPr>
        <w:tab/>
      </w:r>
      <w:r w:rsidR="0051013D" w:rsidRPr="00B97122">
        <w:rPr>
          <w:rFonts w:asciiTheme="majorHAnsi" w:hAnsiTheme="majorHAnsi" w:cs="Times New Roman"/>
          <w:lang w:val="es-ES_tradnl"/>
        </w:rPr>
        <w:t>En la reunión SC5</w:t>
      </w:r>
      <w:r w:rsidR="00C64326" w:rsidRPr="00B97122">
        <w:rPr>
          <w:rFonts w:asciiTheme="majorHAnsi" w:hAnsiTheme="majorHAnsi" w:cs="Times New Roman"/>
          <w:lang w:val="es-ES_tradnl"/>
        </w:rPr>
        <w:t xml:space="preserve">4, </w:t>
      </w:r>
      <w:r w:rsidR="0051013D" w:rsidRPr="00B97122">
        <w:rPr>
          <w:rFonts w:asciiTheme="majorHAnsi" w:hAnsiTheme="majorHAnsi" w:cs="Times New Roman"/>
          <w:lang w:val="es-ES_tradnl"/>
        </w:rPr>
        <w:t>el</w:t>
      </w:r>
      <w:r w:rsidR="00C64326" w:rsidRPr="00B97122">
        <w:rPr>
          <w:rFonts w:asciiTheme="majorHAnsi" w:hAnsiTheme="majorHAnsi" w:cs="Times New Roman"/>
          <w:lang w:val="es-ES_tradnl"/>
        </w:rPr>
        <w:t xml:space="preserve"> </w:t>
      </w:r>
      <w:r w:rsidR="00D66EFC" w:rsidRPr="00B97122">
        <w:rPr>
          <w:rFonts w:asciiTheme="majorHAnsi" w:hAnsiTheme="majorHAnsi" w:cs="Times New Roman"/>
          <w:lang w:val="es-ES_tradnl"/>
        </w:rPr>
        <w:t>Grupo de supervisión de las actividades de CECoP</w:t>
      </w:r>
      <w:r w:rsidR="00C64326" w:rsidRPr="00B97122">
        <w:rPr>
          <w:rFonts w:asciiTheme="majorHAnsi" w:hAnsiTheme="majorHAnsi" w:cs="Times New Roman"/>
          <w:lang w:val="es-ES_tradnl"/>
        </w:rPr>
        <w:t xml:space="preserve"> </w:t>
      </w:r>
      <w:r w:rsidR="00CE0E69" w:rsidRPr="00B97122">
        <w:rPr>
          <w:rFonts w:asciiTheme="majorHAnsi" w:hAnsiTheme="majorHAnsi" w:cs="Times New Roman"/>
          <w:lang w:val="es-ES_tradnl"/>
        </w:rPr>
        <w:t>presentó</w:t>
      </w:r>
      <w:r w:rsidR="00ED2F37" w:rsidRPr="00B97122">
        <w:rPr>
          <w:rFonts w:asciiTheme="majorHAnsi" w:hAnsiTheme="majorHAnsi" w:cs="Times New Roman"/>
          <w:lang w:val="es-ES_tradnl"/>
        </w:rPr>
        <w:t xml:space="preserve"> </w:t>
      </w:r>
      <w:r w:rsidR="00CE0E69" w:rsidRPr="00B97122">
        <w:rPr>
          <w:rFonts w:asciiTheme="majorHAnsi" w:hAnsiTheme="majorHAnsi" w:cs="Times New Roman"/>
          <w:lang w:val="es-ES_tradnl"/>
        </w:rPr>
        <w:t xml:space="preserve">al Grupo de trabajo sobre CECoP </w:t>
      </w:r>
      <w:r w:rsidR="00ED2F37" w:rsidRPr="00B97122">
        <w:rPr>
          <w:rFonts w:asciiTheme="majorHAnsi" w:hAnsiTheme="majorHAnsi" w:cs="Times New Roman"/>
          <w:lang w:val="es-ES_tradnl"/>
        </w:rPr>
        <w:t xml:space="preserve">un informe </w:t>
      </w:r>
      <w:r w:rsidR="00CE0E69">
        <w:rPr>
          <w:rFonts w:asciiTheme="majorHAnsi" w:hAnsiTheme="majorHAnsi" w:cs="Times New Roman"/>
          <w:lang w:val="es-ES_tradnl"/>
        </w:rPr>
        <w:t>que contenía a</w:t>
      </w:r>
      <w:r w:rsidR="00ED2F37" w:rsidRPr="00B97122">
        <w:rPr>
          <w:rFonts w:asciiTheme="majorHAnsi" w:hAnsiTheme="majorHAnsi" w:cs="Times New Roman"/>
          <w:lang w:val="es-ES_tradnl"/>
        </w:rPr>
        <w:t>s</w:t>
      </w:r>
      <w:r w:rsidR="00CE0E69">
        <w:rPr>
          <w:rFonts w:asciiTheme="majorHAnsi" w:hAnsiTheme="majorHAnsi" w:cs="Times New Roman"/>
          <w:lang w:val="es-ES_tradnl"/>
        </w:rPr>
        <w:t>es</w:t>
      </w:r>
      <w:r w:rsidR="00ED2F37" w:rsidRPr="00B97122">
        <w:rPr>
          <w:rFonts w:asciiTheme="majorHAnsi" w:hAnsiTheme="majorHAnsi" w:cs="Times New Roman"/>
          <w:lang w:val="es-ES_tradnl"/>
        </w:rPr>
        <w:t xml:space="preserve">oramiento para orientar sus consideraciones. En esa reunión, se </w:t>
      </w:r>
      <w:r w:rsidR="00CE0E69" w:rsidRPr="00B97122">
        <w:rPr>
          <w:rFonts w:asciiTheme="majorHAnsi" w:hAnsiTheme="majorHAnsi" w:cs="Times New Roman"/>
          <w:lang w:val="es-ES_tradnl"/>
        </w:rPr>
        <w:t>decidió</w:t>
      </w:r>
      <w:r w:rsidR="00ED2F37" w:rsidRPr="00B97122">
        <w:rPr>
          <w:rFonts w:asciiTheme="majorHAnsi" w:hAnsiTheme="majorHAnsi" w:cs="Times New Roman"/>
          <w:lang w:val="es-ES_tradnl"/>
        </w:rPr>
        <w:t xml:space="preserve"> formular </w:t>
      </w:r>
      <w:r w:rsidR="00CE0E69" w:rsidRPr="00B97122">
        <w:rPr>
          <w:rFonts w:asciiTheme="majorHAnsi" w:hAnsiTheme="majorHAnsi" w:cs="Times New Roman"/>
          <w:lang w:val="es-ES_tradnl"/>
        </w:rPr>
        <w:t>recomendaciones</w:t>
      </w:r>
      <w:r w:rsidR="00CE0E69">
        <w:rPr>
          <w:rFonts w:asciiTheme="majorHAnsi" w:hAnsiTheme="majorHAnsi" w:cs="Times New Roman"/>
          <w:lang w:val="es-ES_tradnl"/>
        </w:rPr>
        <w:t xml:space="preserve"> para optimizar los arreglos </w:t>
      </w:r>
      <w:r w:rsidR="00AC7787">
        <w:rPr>
          <w:rFonts w:asciiTheme="majorHAnsi" w:hAnsiTheme="majorHAnsi" w:cs="Times New Roman"/>
          <w:lang w:val="es-ES_tradnl"/>
        </w:rPr>
        <w:t>sobre el</w:t>
      </w:r>
      <w:r w:rsidR="00ED2F37" w:rsidRPr="00B97122">
        <w:rPr>
          <w:rFonts w:asciiTheme="majorHAnsi" w:hAnsiTheme="majorHAnsi" w:cs="Times New Roman"/>
          <w:lang w:val="es-ES_tradnl"/>
        </w:rPr>
        <w:t xml:space="preserve"> asesoramiento en </w:t>
      </w:r>
      <w:r w:rsidR="00CE0E69" w:rsidRPr="00B97122">
        <w:rPr>
          <w:rFonts w:asciiTheme="majorHAnsi" w:hAnsiTheme="majorHAnsi" w:cs="Times New Roman"/>
          <w:lang w:val="es-ES_tradnl"/>
        </w:rPr>
        <w:t>materia</w:t>
      </w:r>
      <w:r w:rsidR="00ED2F37" w:rsidRPr="00B97122">
        <w:rPr>
          <w:rFonts w:asciiTheme="majorHAnsi" w:hAnsiTheme="majorHAnsi" w:cs="Times New Roman"/>
          <w:lang w:val="es-ES_tradnl"/>
        </w:rPr>
        <w:t xml:space="preserve"> de CECoP y </w:t>
      </w:r>
      <w:r w:rsidR="00CE0E69">
        <w:rPr>
          <w:rFonts w:asciiTheme="majorHAnsi" w:hAnsiTheme="majorHAnsi" w:cs="Times New Roman"/>
          <w:lang w:val="es-ES_tradnl"/>
        </w:rPr>
        <w:t>eliminar el Grupo de trabajo sobre CECoP</w:t>
      </w:r>
      <w:r w:rsidR="00C64326" w:rsidRPr="00B97122">
        <w:rPr>
          <w:rFonts w:asciiTheme="majorHAnsi" w:hAnsiTheme="majorHAnsi" w:cs="Times New Roman"/>
          <w:lang w:val="es-ES_tradnl"/>
        </w:rPr>
        <w:t xml:space="preserve">.  </w:t>
      </w:r>
    </w:p>
    <w:p w14:paraId="495F496B"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307E8796" w14:textId="48BB0811"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20.</w:t>
      </w:r>
      <w:r w:rsidRPr="00B97122">
        <w:rPr>
          <w:rFonts w:asciiTheme="majorHAnsi" w:hAnsiTheme="majorHAnsi" w:cs="Times New Roman"/>
          <w:lang w:val="es-ES_tradnl"/>
        </w:rPr>
        <w:tab/>
      </w:r>
      <w:r w:rsidR="00E925C1" w:rsidRPr="00B97122">
        <w:rPr>
          <w:rFonts w:asciiTheme="majorHAnsi" w:hAnsiTheme="majorHAnsi" w:cs="Times New Roman"/>
          <w:lang w:val="es-ES_tradnl"/>
        </w:rPr>
        <w:t>Se encargó al</w:t>
      </w:r>
      <w:r w:rsidR="00C64326" w:rsidRPr="00B97122">
        <w:rPr>
          <w:rFonts w:asciiTheme="majorHAnsi" w:hAnsiTheme="majorHAnsi" w:cs="Times New Roman"/>
          <w:lang w:val="es-ES_tradnl"/>
        </w:rPr>
        <w:t xml:space="preserve"> </w:t>
      </w:r>
      <w:r w:rsidR="00D66EFC" w:rsidRPr="00B97122">
        <w:rPr>
          <w:rFonts w:asciiTheme="majorHAnsi" w:hAnsiTheme="majorHAnsi" w:cs="Times New Roman"/>
          <w:lang w:val="es-ES_tradnl"/>
        </w:rPr>
        <w:t>Grupo de supervisión de las actividades de CECoP</w:t>
      </w:r>
      <w:r w:rsidR="00C64326" w:rsidRPr="00B97122">
        <w:rPr>
          <w:rFonts w:asciiTheme="majorHAnsi" w:hAnsiTheme="majorHAnsi" w:cs="Times New Roman"/>
          <w:lang w:val="es-ES_tradnl"/>
        </w:rPr>
        <w:t xml:space="preserve"> </w:t>
      </w:r>
      <w:r w:rsidR="00E925C1" w:rsidRPr="00B97122">
        <w:rPr>
          <w:rFonts w:asciiTheme="majorHAnsi" w:hAnsiTheme="majorHAnsi" w:cs="Times New Roman"/>
          <w:lang w:val="es-ES_tradnl"/>
        </w:rPr>
        <w:t xml:space="preserve">la tarea de seguir </w:t>
      </w:r>
      <w:r w:rsidR="00CE0E69" w:rsidRPr="00B97122">
        <w:rPr>
          <w:rFonts w:asciiTheme="majorHAnsi" w:hAnsiTheme="majorHAnsi" w:cs="Times New Roman"/>
          <w:lang w:val="es-ES_tradnl"/>
        </w:rPr>
        <w:t>inf</w:t>
      </w:r>
      <w:r w:rsidR="00CE0E69">
        <w:rPr>
          <w:rFonts w:asciiTheme="majorHAnsi" w:hAnsiTheme="majorHAnsi" w:cs="Times New Roman"/>
          <w:lang w:val="es-ES_tradnl"/>
        </w:rPr>
        <w:t>or</w:t>
      </w:r>
      <w:r w:rsidR="00CE0E69" w:rsidRPr="00B97122">
        <w:rPr>
          <w:rFonts w:asciiTheme="majorHAnsi" w:hAnsiTheme="majorHAnsi" w:cs="Times New Roman"/>
          <w:lang w:val="es-ES_tradnl"/>
        </w:rPr>
        <w:t>mando</w:t>
      </w:r>
      <w:r w:rsidR="00E925C1" w:rsidRPr="00B97122">
        <w:rPr>
          <w:rFonts w:asciiTheme="majorHAnsi" w:hAnsiTheme="majorHAnsi" w:cs="Times New Roman"/>
          <w:lang w:val="es-ES_tradnl"/>
        </w:rPr>
        <w:t xml:space="preserve"> sobre las cuestiones de </w:t>
      </w:r>
      <w:r w:rsidR="001670A8" w:rsidRPr="00B97122">
        <w:rPr>
          <w:rFonts w:asciiTheme="majorHAnsi" w:hAnsiTheme="majorHAnsi" w:cs="Times New Roman"/>
          <w:lang w:val="es-ES_tradnl"/>
        </w:rPr>
        <w:t>CECoP</w:t>
      </w:r>
      <w:r w:rsidR="00C64326" w:rsidRPr="00B97122">
        <w:rPr>
          <w:rFonts w:asciiTheme="majorHAnsi" w:hAnsiTheme="majorHAnsi" w:cs="Times New Roman"/>
          <w:lang w:val="es-ES_tradnl"/>
        </w:rPr>
        <w:t xml:space="preserve"> </w:t>
      </w:r>
      <w:r w:rsidR="00E925C1" w:rsidRPr="00B97122">
        <w:rPr>
          <w:rFonts w:asciiTheme="majorHAnsi" w:hAnsiTheme="majorHAnsi" w:cs="Times New Roman"/>
          <w:lang w:val="es-ES_tradnl"/>
        </w:rPr>
        <w:t xml:space="preserve">y la aplicación de la CECoP, asesorar a la Secretaría y al Comité Permanente sobre las </w:t>
      </w:r>
      <w:r w:rsidR="00CE0E69" w:rsidRPr="00B97122">
        <w:rPr>
          <w:rFonts w:asciiTheme="majorHAnsi" w:hAnsiTheme="majorHAnsi" w:cs="Times New Roman"/>
          <w:lang w:val="es-ES_tradnl"/>
        </w:rPr>
        <w:t>prioridades</w:t>
      </w:r>
      <w:r w:rsidR="00E925C1" w:rsidRPr="00B97122">
        <w:rPr>
          <w:rFonts w:asciiTheme="majorHAnsi" w:hAnsiTheme="majorHAnsi" w:cs="Times New Roman"/>
          <w:lang w:val="es-ES_tradnl"/>
        </w:rPr>
        <w:t xml:space="preserve"> de trabajo a escala nacional, regional e internacional, y a </w:t>
      </w:r>
      <w:r w:rsidR="00A022A8">
        <w:rPr>
          <w:rFonts w:asciiTheme="majorHAnsi" w:hAnsiTheme="majorHAnsi" w:cs="Times New Roman"/>
          <w:lang w:val="es-ES_tradnl"/>
        </w:rPr>
        <w:t>recomendar “al Comité Permanente en su 57ª reunión un nuevo enfoque para apoyar la aplicación de las actividades de CECoP, teniendo en cuenta el trabajo ya realizado por el Grupo de supervisión de las actividades de CECoP y por el Grupo de trabajo sobre la aplicación de la CECoP antes de la COP1</w:t>
      </w:r>
      <w:r w:rsidR="00497A85">
        <w:rPr>
          <w:rFonts w:asciiTheme="majorHAnsi" w:hAnsiTheme="majorHAnsi" w:cs="Times New Roman"/>
          <w:lang w:val="es-ES_tradnl"/>
        </w:rPr>
        <w:t>3”.</w:t>
      </w:r>
    </w:p>
    <w:p w14:paraId="291E4BD8"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0124408A" w14:textId="5B5AC1BB"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lastRenderedPageBreak/>
        <w:t>21.</w:t>
      </w:r>
      <w:r w:rsidRPr="00B97122">
        <w:rPr>
          <w:rFonts w:asciiTheme="majorHAnsi" w:hAnsiTheme="majorHAnsi" w:cs="Times New Roman"/>
          <w:lang w:val="es-ES_tradnl"/>
        </w:rPr>
        <w:tab/>
      </w:r>
      <w:r w:rsidR="00E925C1" w:rsidRPr="00B97122">
        <w:rPr>
          <w:rFonts w:asciiTheme="majorHAnsi" w:hAnsiTheme="majorHAnsi" w:cs="Times New Roman"/>
          <w:lang w:val="es-ES_tradnl"/>
        </w:rPr>
        <w:t xml:space="preserve">Además, </w:t>
      </w:r>
      <w:r w:rsidR="00A71666">
        <w:rPr>
          <w:rFonts w:asciiTheme="majorHAnsi" w:hAnsiTheme="majorHAnsi" w:cs="Times New Roman"/>
          <w:lang w:val="es-ES_tradnl"/>
        </w:rPr>
        <w:t>el p</w:t>
      </w:r>
      <w:r w:rsidR="003D380D" w:rsidRPr="00B97122">
        <w:rPr>
          <w:rFonts w:asciiTheme="majorHAnsi" w:hAnsiTheme="majorHAnsi" w:cs="Times New Roman"/>
          <w:lang w:val="es-ES_tradnl"/>
        </w:rPr>
        <w:t xml:space="preserve">royecto de resolución </w:t>
      </w:r>
      <w:r w:rsidR="00C64326" w:rsidRPr="00B97122">
        <w:rPr>
          <w:rFonts w:asciiTheme="majorHAnsi" w:hAnsiTheme="majorHAnsi" w:cs="Times New Roman"/>
          <w:lang w:val="es-ES_tradnl"/>
        </w:rPr>
        <w:t>18.6</w:t>
      </w:r>
      <w:r w:rsidR="003D380D" w:rsidRPr="00B97122">
        <w:rPr>
          <w:rFonts w:asciiTheme="majorHAnsi" w:hAnsiTheme="majorHAnsi" w:cs="Times New Roman"/>
          <w:lang w:val="es-ES_tradnl"/>
        </w:rPr>
        <w:t xml:space="preserve"> de la COP13 sobre</w:t>
      </w:r>
      <w:r w:rsidR="00C64326" w:rsidRPr="00B97122">
        <w:rPr>
          <w:rFonts w:asciiTheme="majorHAnsi" w:hAnsiTheme="majorHAnsi" w:cs="Times New Roman"/>
          <w:lang w:val="es-ES_tradnl"/>
        </w:rPr>
        <w:t xml:space="preserve"> </w:t>
      </w:r>
      <w:r w:rsidR="00497A85">
        <w:rPr>
          <w:rFonts w:asciiTheme="majorHAnsi" w:hAnsiTheme="majorHAnsi" w:cs="Times New Roman"/>
          <w:lang w:val="es-ES_tradnl"/>
        </w:rPr>
        <w:t>el examen del Cuarto Plan Estratégico de la Convención de Ramsar encarga al Grupo de s</w:t>
      </w:r>
      <w:r w:rsidR="00D66EFC" w:rsidRPr="00B97122">
        <w:rPr>
          <w:rFonts w:asciiTheme="majorHAnsi" w:hAnsiTheme="majorHAnsi" w:cs="Times New Roman"/>
          <w:lang w:val="es-ES_tradnl"/>
        </w:rPr>
        <w:t>upervisión de las actividades de CECoP</w:t>
      </w:r>
      <w:r w:rsidR="00C64326" w:rsidRPr="00B97122">
        <w:rPr>
          <w:rFonts w:asciiTheme="majorHAnsi" w:hAnsiTheme="majorHAnsi" w:cs="Times New Roman"/>
          <w:lang w:val="es-ES_tradnl"/>
        </w:rPr>
        <w:t xml:space="preserve"> </w:t>
      </w:r>
      <w:r w:rsidR="00497A85">
        <w:rPr>
          <w:rFonts w:asciiTheme="majorHAnsi" w:hAnsiTheme="majorHAnsi" w:cs="Times New Roman"/>
          <w:lang w:val="es-ES_tradnl"/>
        </w:rPr>
        <w:t xml:space="preserve">que examine la aplicación del Programa </w:t>
      </w:r>
      <w:r w:rsidR="00003376" w:rsidRPr="00B97122">
        <w:rPr>
          <w:rFonts w:asciiTheme="majorHAnsi" w:hAnsiTheme="majorHAnsi" w:cs="Times New Roman"/>
          <w:lang w:val="es-ES_tradnl"/>
        </w:rPr>
        <w:t>de CECoP</w:t>
      </w:r>
      <w:r w:rsidR="00C64326" w:rsidRPr="00B97122">
        <w:rPr>
          <w:rFonts w:asciiTheme="majorHAnsi" w:hAnsiTheme="majorHAnsi" w:cs="Times New Roman"/>
          <w:lang w:val="es-ES_tradnl"/>
        </w:rPr>
        <w:t xml:space="preserve">, </w:t>
      </w:r>
      <w:r w:rsidR="00497A85">
        <w:rPr>
          <w:rFonts w:asciiTheme="majorHAnsi" w:hAnsiTheme="majorHAnsi" w:cs="Times New Roman"/>
          <w:lang w:val="es-ES_tradnl"/>
        </w:rPr>
        <w:t xml:space="preserve">coordine sus esfuerzos con el Grupo de trabajo sobre el Plan Estratégico e informe a la 58ª reunión del Comité Permanente sobre sus resultados, que se examinarán en la </w:t>
      </w:r>
      <w:r w:rsidR="00C64326" w:rsidRPr="00B97122">
        <w:rPr>
          <w:rFonts w:asciiTheme="majorHAnsi" w:hAnsiTheme="majorHAnsi" w:cs="Times New Roman"/>
          <w:lang w:val="es-ES_tradnl"/>
        </w:rPr>
        <w:t>COP14.</w:t>
      </w:r>
    </w:p>
    <w:p w14:paraId="492983F6"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66CCA6B4" w14:textId="3A9EF741"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22.</w:t>
      </w:r>
      <w:r w:rsidRPr="00B97122">
        <w:rPr>
          <w:rFonts w:asciiTheme="majorHAnsi" w:hAnsiTheme="majorHAnsi" w:cs="Times New Roman"/>
          <w:lang w:val="es-ES_tradnl"/>
        </w:rPr>
        <w:tab/>
      </w:r>
      <w:r w:rsidR="00AE5401" w:rsidRPr="00B97122">
        <w:rPr>
          <w:rFonts w:asciiTheme="majorHAnsi" w:hAnsiTheme="majorHAnsi" w:cs="Times New Roman"/>
          <w:lang w:val="es-ES_tradnl"/>
        </w:rPr>
        <w:t xml:space="preserve">El examen del Plan Estratégico </w:t>
      </w:r>
      <w:r w:rsidR="000E2B8C" w:rsidRPr="00B97122">
        <w:rPr>
          <w:rFonts w:asciiTheme="majorHAnsi" w:hAnsiTheme="majorHAnsi" w:cs="Times New Roman"/>
          <w:lang w:val="es-ES_tradnl"/>
        </w:rPr>
        <w:t xml:space="preserve">constituye </w:t>
      </w:r>
      <w:r w:rsidR="00AE5401" w:rsidRPr="00B97122">
        <w:rPr>
          <w:rFonts w:asciiTheme="majorHAnsi" w:hAnsiTheme="majorHAnsi" w:cs="Times New Roman"/>
          <w:lang w:val="es-ES_tradnl"/>
        </w:rPr>
        <w:t xml:space="preserve">una </w:t>
      </w:r>
      <w:r w:rsidR="000E2B8C" w:rsidRPr="00B97122">
        <w:rPr>
          <w:rFonts w:asciiTheme="majorHAnsi" w:hAnsiTheme="majorHAnsi" w:cs="Times New Roman"/>
          <w:lang w:val="es-ES_tradnl"/>
        </w:rPr>
        <w:t>oportunidad</w:t>
      </w:r>
      <w:r w:rsidR="000E2B8C">
        <w:rPr>
          <w:rFonts w:asciiTheme="majorHAnsi" w:hAnsiTheme="majorHAnsi" w:cs="Times New Roman"/>
          <w:lang w:val="es-ES_tradnl"/>
        </w:rPr>
        <w:t xml:space="preserve"> </w:t>
      </w:r>
      <w:r w:rsidR="00AE5401" w:rsidRPr="00B97122">
        <w:rPr>
          <w:rFonts w:asciiTheme="majorHAnsi" w:hAnsiTheme="majorHAnsi" w:cs="Times New Roman"/>
          <w:lang w:val="es-ES_tradnl"/>
        </w:rPr>
        <w:t>para a</w:t>
      </w:r>
      <w:r w:rsidR="000E2B8C">
        <w:rPr>
          <w:rFonts w:asciiTheme="majorHAnsi" w:hAnsiTheme="majorHAnsi" w:cs="Times New Roman"/>
          <w:lang w:val="es-ES_tradnl"/>
        </w:rPr>
        <w:t xml:space="preserve">umentar la eficacia </w:t>
      </w:r>
      <w:r w:rsidR="00AE5401" w:rsidRPr="00B97122">
        <w:rPr>
          <w:rFonts w:asciiTheme="majorHAnsi" w:hAnsiTheme="majorHAnsi" w:cs="Times New Roman"/>
          <w:lang w:val="es-ES_tradnl"/>
        </w:rPr>
        <w:t>del Programa de CE</w:t>
      </w:r>
      <w:r w:rsidR="001670A8" w:rsidRPr="00B97122">
        <w:rPr>
          <w:rFonts w:asciiTheme="majorHAnsi" w:hAnsiTheme="majorHAnsi" w:cs="Times New Roman"/>
          <w:lang w:val="es-ES_tradnl"/>
        </w:rPr>
        <w:t>CoP</w:t>
      </w:r>
      <w:r w:rsidR="00C64326" w:rsidRPr="00B97122">
        <w:rPr>
          <w:rFonts w:asciiTheme="majorHAnsi" w:hAnsiTheme="majorHAnsi" w:cs="Times New Roman"/>
          <w:lang w:val="es-ES_tradnl"/>
        </w:rPr>
        <w:t xml:space="preserve"> </w:t>
      </w:r>
      <w:r w:rsidR="00AE5401" w:rsidRPr="00B97122">
        <w:rPr>
          <w:rFonts w:asciiTheme="majorHAnsi" w:hAnsiTheme="majorHAnsi" w:cs="Times New Roman"/>
          <w:lang w:val="es-ES_tradnl"/>
        </w:rPr>
        <w:t xml:space="preserve">y de la labor de la Secretaría centrando </w:t>
      </w:r>
      <w:r w:rsidR="000E2B8C" w:rsidRPr="00B97122">
        <w:rPr>
          <w:rFonts w:asciiTheme="majorHAnsi" w:hAnsiTheme="majorHAnsi" w:cs="Times New Roman"/>
          <w:lang w:val="es-ES_tradnl"/>
        </w:rPr>
        <w:t>los</w:t>
      </w:r>
      <w:r w:rsidR="000E2B8C">
        <w:rPr>
          <w:rFonts w:asciiTheme="majorHAnsi" w:hAnsiTheme="majorHAnsi" w:cs="Times New Roman"/>
          <w:lang w:val="es-ES_tradnl"/>
        </w:rPr>
        <w:t xml:space="preserve"> esfuerzos en </w:t>
      </w:r>
      <w:r w:rsidR="00AE5401" w:rsidRPr="00B97122">
        <w:rPr>
          <w:rFonts w:asciiTheme="majorHAnsi" w:hAnsiTheme="majorHAnsi" w:cs="Times New Roman"/>
          <w:lang w:val="es-ES_tradnl"/>
        </w:rPr>
        <w:t>una serie m</w:t>
      </w:r>
      <w:r w:rsidR="000E2B8C">
        <w:rPr>
          <w:rFonts w:asciiTheme="majorHAnsi" w:hAnsiTheme="majorHAnsi" w:cs="Times New Roman"/>
          <w:lang w:val="es-ES_tradnl"/>
        </w:rPr>
        <w:t xml:space="preserve">ás reducida de objetivos más dirigidos </w:t>
      </w:r>
      <w:r w:rsidR="00AE5401" w:rsidRPr="00B97122">
        <w:rPr>
          <w:rFonts w:asciiTheme="majorHAnsi" w:hAnsiTheme="majorHAnsi" w:cs="Times New Roman"/>
          <w:lang w:val="es-ES_tradnl"/>
        </w:rPr>
        <w:t xml:space="preserve">e incorporando una estrategia de </w:t>
      </w:r>
      <w:r w:rsidR="004543CF">
        <w:rPr>
          <w:rFonts w:asciiTheme="majorHAnsi" w:hAnsiTheme="majorHAnsi" w:cs="Times New Roman"/>
          <w:lang w:val="es-ES_tradnl"/>
        </w:rPr>
        <w:t>evaluación</w:t>
      </w:r>
      <w:r w:rsidR="000E2B8C">
        <w:rPr>
          <w:rFonts w:asciiTheme="majorHAnsi" w:hAnsiTheme="majorHAnsi" w:cs="Times New Roman"/>
          <w:lang w:val="es-ES_tradnl"/>
        </w:rPr>
        <w:t xml:space="preserve"> efectiva </w:t>
      </w:r>
      <w:r w:rsidR="004543CF">
        <w:rPr>
          <w:rFonts w:asciiTheme="majorHAnsi" w:hAnsiTheme="majorHAnsi" w:cs="Times New Roman"/>
          <w:lang w:val="es-ES_tradnl"/>
        </w:rPr>
        <w:t>en</w:t>
      </w:r>
      <w:r w:rsidR="00AE5401" w:rsidRPr="00B97122">
        <w:rPr>
          <w:rFonts w:asciiTheme="majorHAnsi" w:hAnsiTheme="majorHAnsi" w:cs="Times New Roman"/>
          <w:lang w:val="es-ES_tradnl"/>
        </w:rPr>
        <w:t xml:space="preserve"> la que </w:t>
      </w:r>
      <w:r w:rsidR="000E2B8C">
        <w:rPr>
          <w:rFonts w:asciiTheme="majorHAnsi" w:hAnsiTheme="majorHAnsi" w:cs="Times New Roman"/>
          <w:lang w:val="es-ES_tradnl"/>
        </w:rPr>
        <w:t xml:space="preserve">se puedan basar </w:t>
      </w:r>
      <w:r w:rsidR="00AE5401" w:rsidRPr="00B97122">
        <w:rPr>
          <w:rFonts w:asciiTheme="majorHAnsi" w:hAnsiTheme="majorHAnsi" w:cs="Times New Roman"/>
          <w:lang w:val="es-ES_tradnl"/>
        </w:rPr>
        <w:t>futuras mejoras del programa</w:t>
      </w:r>
      <w:r w:rsidR="00C64326" w:rsidRPr="00B97122">
        <w:rPr>
          <w:rFonts w:asciiTheme="majorHAnsi" w:hAnsiTheme="majorHAnsi" w:cs="Times New Roman"/>
          <w:lang w:val="es-ES_tradnl"/>
        </w:rPr>
        <w:t>.</w:t>
      </w:r>
    </w:p>
    <w:p w14:paraId="31F3550C"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5424268D" w14:textId="4D951630" w:rsidR="00C64326" w:rsidRPr="004543CF"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cs="Times New Roman"/>
          <w:lang w:val="es-ES_tradnl"/>
        </w:rPr>
        <w:t>23.</w:t>
      </w:r>
      <w:r w:rsidRPr="00B97122">
        <w:rPr>
          <w:rFonts w:asciiTheme="majorHAnsi" w:hAnsiTheme="majorHAnsi" w:cs="Times New Roman"/>
          <w:lang w:val="es-ES_tradnl"/>
        </w:rPr>
        <w:tab/>
      </w:r>
      <w:r w:rsidR="004543CF">
        <w:rPr>
          <w:rFonts w:asciiTheme="majorHAnsi" w:hAnsiTheme="majorHAnsi" w:cs="Times New Roman"/>
          <w:lang w:val="es-ES_tradnl"/>
        </w:rPr>
        <w:t>El</w:t>
      </w:r>
      <w:r w:rsidR="00C64326" w:rsidRPr="00B97122">
        <w:rPr>
          <w:rFonts w:asciiTheme="majorHAnsi" w:hAnsiTheme="majorHAnsi" w:cs="Times New Roman"/>
          <w:lang w:val="es-ES_tradnl"/>
        </w:rPr>
        <w:t xml:space="preserve"> </w:t>
      </w:r>
      <w:r w:rsidR="00D66EFC" w:rsidRPr="00B97122">
        <w:rPr>
          <w:rFonts w:asciiTheme="majorHAnsi" w:hAnsiTheme="majorHAnsi" w:cs="Times New Roman"/>
          <w:lang w:val="es-ES_tradnl"/>
        </w:rPr>
        <w:t>Grupo de supervisión de las actividades de CECoP</w:t>
      </w:r>
      <w:r w:rsidR="00C64326" w:rsidRPr="00B97122">
        <w:rPr>
          <w:rFonts w:asciiTheme="majorHAnsi" w:hAnsiTheme="majorHAnsi" w:cs="Times New Roman"/>
          <w:lang w:val="es-ES_tradnl"/>
        </w:rPr>
        <w:t xml:space="preserve"> h</w:t>
      </w:r>
      <w:r w:rsidR="00235C6D" w:rsidRPr="00B97122">
        <w:rPr>
          <w:rFonts w:asciiTheme="majorHAnsi" w:hAnsiTheme="majorHAnsi" w:cs="Times New Roman"/>
          <w:lang w:val="es-ES_tradnl"/>
        </w:rPr>
        <w:t>a preparado, en el</w:t>
      </w:r>
      <w:r w:rsidR="00C64326" w:rsidRPr="00B97122">
        <w:rPr>
          <w:rFonts w:asciiTheme="majorHAnsi" w:hAnsiTheme="majorHAnsi" w:cs="Times New Roman"/>
          <w:lang w:val="es-ES_tradnl"/>
        </w:rPr>
        <w:t xml:space="preserve"> </w:t>
      </w:r>
      <w:r w:rsidR="00235C6D" w:rsidRPr="00B97122">
        <w:rPr>
          <w:rFonts w:asciiTheme="majorHAnsi" w:hAnsiTheme="majorHAnsi" w:cs="Times New Roman"/>
          <w:u w:val="single"/>
          <w:lang w:val="es-ES_tradnl"/>
        </w:rPr>
        <w:t>Anexo</w:t>
      </w:r>
      <w:r w:rsidR="00C64326" w:rsidRPr="00B97122">
        <w:rPr>
          <w:rFonts w:asciiTheme="majorHAnsi" w:hAnsiTheme="majorHAnsi" w:cs="Times New Roman"/>
          <w:u w:val="single"/>
          <w:lang w:val="es-ES_tradnl"/>
        </w:rPr>
        <w:t xml:space="preserve"> B</w:t>
      </w:r>
      <w:r w:rsidR="00C64326" w:rsidRPr="00B97122">
        <w:rPr>
          <w:rFonts w:asciiTheme="majorHAnsi" w:hAnsiTheme="majorHAnsi" w:cs="Times New Roman"/>
          <w:lang w:val="es-ES_tradnl"/>
        </w:rPr>
        <w:t xml:space="preserve">, </w:t>
      </w:r>
      <w:r w:rsidR="004543CF" w:rsidRPr="00B97122">
        <w:rPr>
          <w:rFonts w:asciiTheme="majorHAnsi" w:hAnsiTheme="majorHAnsi" w:cs="Times New Roman"/>
          <w:lang w:val="es-ES_tradnl"/>
        </w:rPr>
        <w:t>orientaciones</w:t>
      </w:r>
      <w:r w:rsidR="00235C6D" w:rsidRPr="00B97122">
        <w:rPr>
          <w:rFonts w:asciiTheme="majorHAnsi" w:hAnsiTheme="majorHAnsi" w:cs="Times New Roman"/>
          <w:lang w:val="es-ES_tradnl"/>
        </w:rPr>
        <w:t xml:space="preserve"> y recomendaciones iniciales sobre los principios y prioridades que habría que examinar en </w:t>
      </w:r>
      <w:r w:rsidR="004543CF" w:rsidRPr="004543CF">
        <w:rPr>
          <w:rFonts w:asciiTheme="majorHAnsi" w:hAnsiTheme="majorHAnsi" w:cs="Times New Roman"/>
          <w:lang w:val="es-ES_tradnl"/>
        </w:rPr>
        <w:t>enfoques futuros de la</w:t>
      </w:r>
      <w:r w:rsidR="00C64326" w:rsidRPr="004543CF">
        <w:rPr>
          <w:rFonts w:asciiTheme="majorHAnsi" w:hAnsiTheme="majorHAnsi" w:cs="Times New Roman"/>
          <w:lang w:val="es-ES_tradnl"/>
        </w:rPr>
        <w:t xml:space="preserve"> </w:t>
      </w:r>
      <w:r w:rsidR="001670A8" w:rsidRPr="004543CF">
        <w:rPr>
          <w:rFonts w:asciiTheme="majorHAnsi" w:hAnsiTheme="majorHAnsi" w:cs="Times New Roman"/>
          <w:lang w:val="es-ES_tradnl"/>
        </w:rPr>
        <w:t>CECoP</w:t>
      </w:r>
      <w:r w:rsidR="00C64326" w:rsidRPr="004543CF">
        <w:rPr>
          <w:rFonts w:asciiTheme="majorHAnsi" w:hAnsiTheme="majorHAnsi" w:cs="Times New Roman"/>
          <w:lang w:val="es-ES_tradnl"/>
        </w:rPr>
        <w:t xml:space="preserve"> </w:t>
      </w:r>
      <w:r w:rsidR="00235C6D" w:rsidRPr="004543CF">
        <w:rPr>
          <w:rFonts w:asciiTheme="majorHAnsi" w:hAnsiTheme="majorHAnsi" w:cs="Times New Roman"/>
          <w:lang w:val="es-ES_tradnl"/>
        </w:rPr>
        <w:t xml:space="preserve">y el examen del Plan Estratégico de </w:t>
      </w:r>
      <w:r w:rsidR="00C64326" w:rsidRPr="004543CF">
        <w:rPr>
          <w:rFonts w:asciiTheme="majorHAnsi" w:hAnsiTheme="majorHAnsi" w:cs="Times New Roman"/>
          <w:lang w:val="es-ES_tradnl"/>
        </w:rPr>
        <w:t xml:space="preserve">Ramsar.  </w:t>
      </w:r>
    </w:p>
    <w:p w14:paraId="726D1F43" w14:textId="77777777" w:rsidR="004C5BF4" w:rsidRPr="004543CF" w:rsidRDefault="004C5BF4" w:rsidP="004C3670">
      <w:pPr>
        <w:pStyle w:val="BodyText"/>
        <w:widowControl/>
        <w:tabs>
          <w:tab w:val="left" w:pos="544"/>
        </w:tabs>
        <w:ind w:left="425" w:hanging="425"/>
        <w:rPr>
          <w:rFonts w:asciiTheme="majorHAnsi" w:hAnsiTheme="majorHAnsi"/>
          <w:lang w:val="es-ES_tradnl"/>
        </w:rPr>
      </w:pPr>
    </w:p>
    <w:p w14:paraId="09E7C864" w14:textId="1E8FF37F" w:rsidR="00C64326" w:rsidRPr="00B97122" w:rsidRDefault="004C5BF4" w:rsidP="004C3670">
      <w:pPr>
        <w:pStyle w:val="BodyText"/>
        <w:widowControl/>
        <w:tabs>
          <w:tab w:val="left" w:pos="544"/>
        </w:tabs>
        <w:ind w:left="425" w:hanging="425"/>
        <w:rPr>
          <w:rFonts w:asciiTheme="majorHAnsi" w:hAnsiTheme="majorHAnsi" w:cs="Times New Roman"/>
          <w:lang w:val="es-ES_tradnl"/>
        </w:rPr>
      </w:pPr>
      <w:r w:rsidRPr="00B97122">
        <w:rPr>
          <w:rFonts w:asciiTheme="majorHAnsi" w:hAnsiTheme="majorHAnsi"/>
          <w:lang w:val="es-ES_tradnl"/>
        </w:rPr>
        <w:t>24.</w:t>
      </w:r>
      <w:r w:rsidRPr="00B97122">
        <w:rPr>
          <w:rFonts w:asciiTheme="majorHAnsi" w:hAnsiTheme="majorHAnsi"/>
          <w:lang w:val="es-ES_tradnl"/>
        </w:rPr>
        <w:tab/>
      </w:r>
      <w:r w:rsidR="00ED5726" w:rsidRPr="00B97122">
        <w:rPr>
          <w:rFonts w:asciiTheme="majorHAnsi" w:hAnsiTheme="majorHAnsi"/>
          <w:lang w:val="es-ES_tradnl"/>
        </w:rPr>
        <w:t xml:space="preserve">Estas cuestiones se </w:t>
      </w:r>
      <w:r w:rsidR="004543CF">
        <w:rPr>
          <w:rFonts w:asciiTheme="majorHAnsi" w:hAnsiTheme="majorHAnsi"/>
          <w:lang w:val="es-ES_tradnl"/>
        </w:rPr>
        <w:t>analizarán</w:t>
      </w:r>
      <w:r w:rsidR="00ED5726" w:rsidRPr="00B97122">
        <w:rPr>
          <w:rFonts w:asciiTheme="majorHAnsi" w:hAnsiTheme="majorHAnsi"/>
          <w:lang w:val="es-ES_tradnl"/>
        </w:rPr>
        <w:t xml:space="preserve"> en más detalle y se </w:t>
      </w:r>
      <w:r w:rsidR="004543CF" w:rsidRPr="00B97122">
        <w:rPr>
          <w:rFonts w:asciiTheme="majorHAnsi" w:hAnsiTheme="majorHAnsi"/>
          <w:lang w:val="es-ES_tradnl"/>
        </w:rPr>
        <w:t>preparará</w:t>
      </w:r>
      <w:r w:rsidR="00ED5726" w:rsidRPr="00B97122">
        <w:rPr>
          <w:rFonts w:asciiTheme="majorHAnsi" w:hAnsiTheme="majorHAnsi"/>
          <w:lang w:val="es-ES_tradnl"/>
        </w:rPr>
        <w:t xml:space="preserve"> un </w:t>
      </w:r>
      <w:r w:rsidR="004543CF" w:rsidRPr="00B97122">
        <w:rPr>
          <w:rFonts w:asciiTheme="majorHAnsi" w:hAnsiTheme="majorHAnsi"/>
          <w:lang w:val="es-ES_tradnl"/>
        </w:rPr>
        <w:t>informe</w:t>
      </w:r>
      <w:r w:rsidR="00ED5726" w:rsidRPr="00B97122">
        <w:rPr>
          <w:rFonts w:asciiTheme="majorHAnsi" w:hAnsiTheme="majorHAnsi"/>
          <w:lang w:val="es-ES_tradnl"/>
        </w:rPr>
        <w:t xml:space="preserve"> para la 57ª reunión del </w:t>
      </w:r>
      <w:r w:rsidR="004543CF">
        <w:rPr>
          <w:rFonts w:asciiTheme="majorHAnsi" w:hAnsiTheme="majorHAnsi"/>
          <w:lang w:val="es-ES_tradnl"/>
        </w:rPr>
        <w:t>Comité Permanente</w:t>
      </w:r>
      <w:r w:rsidR="00ED5726" w:rsidRPr="00B97122">
        <w:rPr>
          <w:rFonts w:asciiTheme="majorHAnsi" w:hAnsiTheme="majorHAnsi"/>
          <w:lang w:val="es-ES_tradnl"/>
        </w:rPr>
        <w:t xml:space="preserve"> sobre un nuevo enfoque para apoyar la aplicación de la </w:t>
      </w:r>
      <w:r w:rsidR="001670A8" w:rsidRPr="00B97122">
        <w:rPr>
          <w:rFonts w:asciiTheme="majorHAnsi" w:hAnsiTheme="majorHAnsi" w:cs="Times New Roman"/>
          <w:lang w:val="es-ES_tradnl"/>
        </w:rPr>
        <w:t>CECoP</w:t>
      </w:r>
      <w:r w:rsidR="00A71666">
        <w:rPr>
          <w:rFonts w:asciiTheme="majorHAnsi" w:hAnsiTheme="majorHAnsi" w:cs="Times New Roman"/>
          <w:lang w:val="es-ES_tradnl"/>
        </w:rPr>
        <w:t>. Este</w:t>
      </w:r>
      <w:r w:rsidR="00ED5726" w:rsidRPr="00B97122">
        <w:rPr>
          <w:rFonts w:asciiTheme="majorHAnsi" w:hAnsiTheme="majorHAnsi" w:cs="Times New Roman"/>
          <w:lang w:val="es-ES_tradnl"/>
        </w:rPr>
        <w:t xml:space="preserve"> </w:t>
      </w:r>
      <w:r w:rsidR="004543CF" w:rsidRPr="00B97122">
        <w:rPr>
          <w:rFonts w:asciiTheme="majorHAnsi" w:hAnsiTheme="majorHAnsi" w:cs="Times New Roman"/>
          <w:lang w:val="es-ES_tradnl"/>
        </w:rPr>
        <w:t>documento</w:t>
      </w:r>
      <w:r w:rsidR="00ED5726" w:rsidRPr="00B97122">
        <w:rPr>
          <w:rFonts w:asciiTheme="majorHAnsi" w:hAnsiTheme="majorHAnsi" w:cs="Times New Roman"/>
          <w:lang w:val="es-ES_tradnl"/>
        </w:rPr>
        <w:t xml:space="preserve"> también </w:t>
      </w:r>
      <w:r w:rsidR="004543CF" w:rsidRPr="00B97122">
        <w:rPr>
          <w:rFonts w:asciiTheme="majorHAnsi" w:hAnsiTheme="majorHAnsi" w:cs="Times New Roman"/>
          <w:lang w:val="es-ES_tradnl"/>
        </w:rPr>
        <w:t>servirá</w:t>
      </w:r>
      <w:r w:rsidR="00ED5726" w:rsidRPr="00B97122">
        <w:rPr>
          <w:rFonts w:asciiTheme="majorHAnsi" w:hAnsiTheme="majorHAnsi" w:cs="Times New Roman"/>
          <w:lang w:val="es-ES_tradnl"/>
        </w:rPr>
        <w:t xml:space="preserve"> </w:t>
      </w:r>
      <w:r w:rsidR="004543CF">
        <w:rPr>
          <w:rFonts w:asciiTheme="majorHAnsi" w:hAnsiTheme="majorHAnsi" w:cs="Times New Roman"/>
          <w:lang w:val="es-ES_tradnl"/>
        </w:rPr>
        <w:t xml:space="preserve">de base para </w:t>
      </w:r>
      <w:r w:rsidR="00ED5726" w:rsidRPr="00B97122">
        <w:rPr>
          <w:rFonts w:asciiTheme="majorHAnsi" w:hAnsiTheme="majorHAnsi" w:cs="Times New Roman"/>
          <w:lang w:val="es-ES_tradnl"/>
        </w:rPr>
        <w:t xml:space="preserve">un examen del </w:t>
      </w:r>
      <w:r w:rsidR="00003376" w:rsidRPr="00B97122">
        <w:rPr>
          <w:rFonts w:asciiTheme="majorHAnsi" w:hAnsiTheme="majorHAnsi" w:cs="Times New Roman"/>
          <w:lang w:val="es-ES_tradnl"/>
        </w:rPr>
        <w:t>Programa de CECoP</w:t>
      </w:r>
      <w:r w:rsidR="00C64326" w:rsidRPr="00B97122">
        <w:rPr>
          <w:rFonts w:asciiTheme="majorHAnsi" w:hAnsiTheme="majorHAnsi" w:cs="Times New Roman"/>
          <w:lang w:val="es-ES_tradnl"/>
        </w:rPr>
        <w:t xml:space="preserve"> </w:t>
      </w:r>
      <w:r w:rsidR="00ED5726" w:rsidRPr="00B97122">
        <w:rPr>
          <w:rFonts w:asciiTheme="majorHAnsi" w:hAnsiTheme="majorHAnsi" w:cs="Times New Roman"/>
          <w:lang w:val="es-ES_tradnl"/>
        </w:rPr>
        <w:t xml:space="preserve">y el </w:t>
      </w:r>
      <w:r w:rsidR="004543CF" w:rsidRPr="00B97122">
        <w:rPr>
          <w:rFonts w:asciiTheme="majorHAnsi" w:hAnsiTheme="majorHAnsi" w:cs="Times New Roman"/>
          <w:lang w:val="es-ES_tradnl"/>
        </w:rPr>
        <w:t>trabajo</w:t>
      </w:r>
      <w:r w:rsidR="00ED5726" w:rsidRPr="00B97122">
        <w:rPr>
          <w:rFonts w:asciiTheme="majorHAnsi" w:hAnsiTheme="majorHAnsi" w:cs="Times New Roman"/>
          <w:lang w:val="es-ES_tradnl"/>
        </w:rPr>
        <w:t xml:space="preserve"> en colaboración con el Grupo de </w:t>
      </w:r>
      <w:r w:rsidR="00B655E7">
        <w:rPr>
          <w:rFonts w:asciiTheme="majorHAnsi" w:hAnsiTheme="majorHAnsi" w:cs="Times New Roman"/>
          <w:lang w:val="es-ES_tradnl"/>
        </w:rPr>
        <w:t>T</w:t>
      </w:r>
      <w:r w:rsidR="004543CF" w:rsidRPr="00B97122">
        <w:rPr>
          <w:rFonts w:asciiTheme="majorHAnsi" w:hAnsiTheme="majorHAnsi" w:cs="Times New Roman"/>
          <w:lang w:val="es-ES_tradnl"/>
        </w:rPr>
        <w:t>rabajo</w:t>
      </w:r>
      <w:r w:rsidR="00C64326" w:rsidRPr="00B97122">
        <w:rPr>
          <w:rFonts w:asciiTheme="majorHAnsi" w:hAnsiTheme="majorHAnsi" w:cs="Times New Roman"/>
          <w:lang w:val="es-ES_tradnl"/>
        </w:rPr>
        <w:t xml:space="preserve"> </w:t>
      </w:r>
      <w:r w:rsidR="00B655E7">
        <w:rPr>
          <w:rFonts w:asciiTheme="majorHAnsi" w:hAnsiTheme="majorHAnsi" w:cs="Times New Roman"/>
          <w:lang w:val="es-ES_tradnl"/>
        </w:rPr>
        <w:t>sobre el Plan Estratégico acerca de sus recom</w:t>
      </w:r>
      <w:r w:rsidR="00B655E7" w:rsidRPr="00B97122">
        <w:rPr>
          <w:rFonts w:asciiTheme="majorHAnsi" w:hAnsiTheme="majorHAnsi" w:cs="Times New Roman"/>
          <w:lang w:val="es-ES_tradnl"/>
        </w:rPr>
        <w:t>endaciones</w:t>
      </w:r>
      <w:r w:rsidR="00ED5726" w:rsidRPr="00B97122">
        <w:rPr>
          <w:rFonts w:asciiTheme="majorHAnsi" w:hAnsiTheme="majorHAnsi" w:cs="Times New Roman"/>
          <w:lang w:val="es-ES_tradnl"/>
        </w:rPr>
        <w:t xml:space="preserve"> a la 58ª reunión del Comité </w:t>
      </w:r>
      <w:r w:rsidR="00B655E7" w:rsidRPr="00B97122">
        <w:rPr>
          <w:rFonts w:asciiTheme="majorHAnsi" w:hAnsiTheme="majorHAnsi" w:cs="Times New Roman"/>
          <w:lang w:val="es-ES_tradnl"/>
        </w:rPr>
        <w:t>Permanente</w:t>
      </w:r>
      <w:r w:rsidR="00ED5726" w:rsidRPr="00B97122">
        <w:rPr>
          <w:rFonts w:asciiTheme="majorHAnsi" w:hAnsiTheme="majorHAnsi" w:cs="Times New Roman"/>
          <w:lang w:val="es-ES_tradnl"/>
        </w:rPr>
        <w:t xml:space="preserve"> y la COP14.</w:t>
      </w:r>
    </w:p>
    <w:p w14:paraId="5F55400E" w14:textId="77777777" w:rsidR="004C5BF4" w:rsidRPr="00B97122" w:rsidRDefault="004C5BF4" w:rsidP="004C3670">
      <w:pPr>
        <w:pStyle w:val="BodyText"/>
        <w:widowControl/>
        <w:tabs>
          <w:tab w:val="left" w:pos="544"/>
        </w:tabs>
        <w:ind w:left="425" w:hanging="425"/>
        <w:rPr>
          <w:rFonts w:asciiTheme="majorHAnsi" w:hAnsiTheme="majorHAnsi" w:cs="Times New Roman"/>
          <w:lang w:val="es-ES_tradnl"/>
        </w:rPr>
      </w:pPr>
    </w:p>
    <w:p w14:paraId="095660C6" w14:textId="78A60E90" w:rsidR="00C64326" w:rsidRPr="00B97122" w:rsidRDefault="00C64326" w:rsidP="004C3670">
      <w:pPr>
        <w:rPr>
          <w:rFonts w:asciiTheme="majorHAnsi" w:eastAsia="Calibri" w:hAnsiTheme="majorHAnsi"/>
          <w:sz w:val="22"/>
          <w:szCs w:val="22"/>
          <w:lang w:val="es-ES_tradnl"/>
        </w:rPr>
      </w:pPr>
      <w:r w:rsidRPr="00B97122">
        <w:rPr>
          <w:rFonts w:asciiTheme="majorHAnsi" w:hAnsiTheme="majorHAnsi"/>
          <w:sz w:val="22"/>
          <w:szCs w:val="22"/>
          <w:lang w:val="es-ES_tradnl"/>
        </w:rPr>
        <w:br w:type="page"/>
      </w:r>
    </w:p>
    <w:p w14:paraId="1874589C" w14:textId="605EE7B4" w:rsidR="00C64326" w:rsidRPr="006044CD" w:rsidRDefault="00C44990" w:rsidP="00C44990">
      <w:pPr>
        <w:rPr>
          <w:rFonts w:asciiTheme="majorHAnsi" w:hAnsiTheme="majorHAnsi"/>
          <w:b/>
          <w:lang w:val="es-ES_tradnl"/>
        </w:rPr>
      </w:pPr>
      <w:r w:rsidRPr="006044CD">
        <w:rPr>
          <w:rFonts w:asciiTheme="majorHAnsi" w:hAnsiTheme="majorHAnsi"/>
          <w:b/>
          <w:lang w:val="es-ES_tradnl"/>
        </w:rPr>
        <w:lastRenderedPageBreak/>
        <w:t xml:space="preserve">Anexo </w:t>
      </w:r>
      <w:r w:rsidR="00C64326" w:rsidRPr="006044CD">
        <w:rPr>
          <w:rFonts w:asciiTheme="majorHAnsi" w:hAnsiTheme="majorHAnsi"/>
          <w:b/>
          <w:lang w:val="es-ES_tradnl"/>
        </w:rPr>
        <w:t>A</w:t>
      </w:r>
    </w:p>
    <w:p w14:paraId="726CBED8" w14:textId="77777777" w:rsidR="007D0D4B" w:rsidRPr="006044CD" w:rsidRDefault="007D0D4B" w:rsidP="004C3670">
      <w:pPr>
        <w:jc w:val="right"/>
        <w:rPr>
          <w:rFonts w:asciiTheme="majorHAnsi" w:hAnsiTheme="majorHAnsi"/>
          <w:b/>
          <w:lang w:val="es-ES_tradnl"/>
        </w:rPr>
      </w:pPr>
    </w:p>
    <w:p w14:paraId="42781178" w14:textId="522900BC" w:rsidR="00C64326" w:rsidRPr="006044CD" w:rsidRDefault="00C64326" w:rsidP="00C44990">
      <w:pPr>
        <w:spacing w:after="120"/>
        <w:rPr>
          <w:rFonts w:asciiTheme="majorHAnsi" w:hAnsiTheme="majorHAnsi"/>
          <w:b/>
          <w:lang w:val="es-ES_tradnl"/>
        </w:rPr>
      </w:pPr>
      <w:r w:rsidRPr="006044CD">
        <w:rPr>
          <w:rFonts w:asciiTheme="majorHAnsi" w:hAnsiTheme="majorHAnsi"/>
          <w:b/>
          <w:lang w:val="es-ES_tradnl"/>
        </w:rPr>
        <w:t>Campa</w:t>
      </w:r>
      <w:r w:rsidR="00ED5726" w:rsidRPr="006044CD">
        <w:rPr>
          <w:rFonts w:asciiTheme="majorHAnsi" w:hAnsiTheme="majorHAnsi"/>
          <w:b/>
          <w:lang w:val="es-ES_tradnl"/>
        </w:rPr>
        <w:t xml:space="preserve">ñas, </w:t>
      </w:r>
      <w:r w:rsidR="00B655E7" w:rsidRPr="006044CD">
        <w:rPr>
          <w:rFonts w:asciiTheme="majorHAnsi" w:hAnsiTheme="majorHAnsi"/>
          <w:b/>
          <w:lang w:val="es-ES_tradnl"/>
        </w:rPr>
        <w:t>programas</w:t>
      </w:r>
      <w:r w:rsidR="00ED5726" w:rsidRPr="006044CD">
        <w:rPr>
          <w:rFonts w:asciiTheme="majorHAnsi" w:hAnsiTheme="majorHAnsi"/>
          <w:b/>
          <w:lang w:val="es-ES_tradnl"/>
        </w:rPr>
        <w:t xml:space="preserve"> y proy</w:t>
      </w:r>
      <w:r w:rsidR="00C44990" w:rsidRPr="006044CD">
        <w:rPr>
          <w:rFonts w:asciiTheme="majorHAnsi" w:hAnsiTheme="majorHAnsi"/>
          <w:b/>
          <w:lang w:val="es-ES_tradnl"/>
        </w:rPr>
        <w:t>ectos de las Partes Contratante</w:t>
      </w:r>
      <w:r w:rsidR="00ED5726" w:rsidRPr="006044CD">
        <w:rPr>
          <w:rFonts w:asciiTheme="majorHAnsi" w:hAnsiTheme="majorHAnsi"/>
          <w:b/>
          <w:lang w:val="es-ES_tradnl"/>
        </w:rPr>
        <w:t xml:space="preserve">sobre la </w:t>
      </w:r>
      <w:r w:rsidR="001670A8" w:rsidRPr="006044CD">
        <w:rPr>
          <w:rFonts w:asciiTheme="majorHAnsi" w:hAnsiTheme="majorHAnsi"/>
          <w:b/>
          <w:lang w:val="es-ES_tradnl"/>
        </w:rPr>
        <w:t>CECoP</w:t>
      </w:r>
      <w:r w:rsidR="00C44990" w:rsidRPr="006044CD">
        <w:rPr>
          <w:rFonts w:asciiTheme="majorHAnsi" w:hAnsiTheme="majorHAnsi"/>
          <w:b/>
          <w:lang w:val="es-ES_tradnl"/>
        </w:rPr>
        <w:t xml:space="preserve"> en materia de </w:t>
      </w:r>
      <w:r w:rsidR="00ED5726" w:rsidRPr="006044CD">
        <w:rPr>
          <w:rFonts w:asciiTheme="majorHAnsi" w:hAnsiTheme="majorHAnsi"/>
          <w:b/>
          <w:lang w:val="es-ES_tradnl"/>
        </w:rPr>
        <w:t>humedales</w:t>
      </w:r>
      <w:r w:rsidR="00C44990" w:rsidRPr="006044CD">
        <w:rPr>
          <w:rFonts w:asciiTheme="majorHAnsi" w:hAnsiTheme="majorHAnsi"/>
          <w:b/>
          <w:lang w:val="es-ES_tradnl"/>
        </w:rPr>
        <w:t xml:space="preserve"> </w:t>
      </w:r>
      <w:r w:rsidRPr="006044CD">
        <w:rPr>
          <w:rFonts w:asciiTheme="majorHAnsi" w:hAnsiTheme="majorHAnsi"/>
          <w:b/>
          <w:lang w:val="es-ES_tradnl"/>
        </w:rPr>
        <w:t>dur</w:t>
      </w:r>
      <w:r w:rsidR="00ED5726" w:rsidRPr="006044CD">
        <w:rPr>
          <w:rFonts w:asciiTheme="majorHAnsi" w:hAnsiTheme="majorHAnsi"/>
          <w:b/>
          <w:lang w:val="es-ES_tradnl"/>
        </w:rPr>
        <w:t xml:space="preserve">ante el trienio </w:t>
      </w:r>
      <w:r w:rsidRPr="006044CD">
        <w:rPr>
          <w:rFonts w:asciiTheme="majorHAnsi" w:hAnsiTheme="majorHAnsi"/>
          <w:b/>
          <w:lang w:val="es-ES_tradnl"/>
        </w:rPr>
        <w:t>2016-</w:t>
      </w:r>
      <w:r w:rsidR="00ED5726" w:rsidRPr="006044CD">
        <w:rPr>
          <w:rFonts w:asciiTheme="majorHAnsi" w:hAnsiTheme="majorHAnsi"/>
          <w:b/>
          <w:lang w:val="es-ES_tradnl"/>
        </w:rPr>
        <w:t>2018</w:t>
      </w:r>
    </w:p>
    <w:p w14:paraId="14A5159E" w14:textId="77777777" w:rsidR="007D0D4B" w:rsidRPr="00B97122" w:rsidRDefault="007D0D4B" w:rsidP="004C3670">
      <w:pPr>
        <w:spacing w:after="120"/>
        <w:jc w:val="center"/>
        <w:rPr>
          <w:rFonts w:asciiTheme="majorHAnsi" w:hAnsiTheme="majorHAnsi"/>
          <w:b/>
          <w:sz w:val="22"/>
          <w:szCs w:val="22"/>
          <w:lang w:val="es-ES_tradnl"/>
        </w:rPr>
      </w:pPr>
    </w:p>
    <w:p w14:paraId="1342F64C" w14:textId="04C23602" w:rsidR="00C64326" w:rsidRPr="00B97122" w:rsidRDefault="00ED1DD7"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En Mé</w:t>
      </w:r>
      <w:r w:rsidR="00C64326" w:rsidRPr="00B97122">
        <w:rPr>
          <w:rFonts w:asciiTheme="majorHAnsi" w:hAnsiTheme="majorHAnsi"/>
          <w:sz w:val="22"/>
          <w:szCs w:val="22"/>
          <w:lang w:val="es-ES_tradnl"/>
        </w:rPr>
        <w:t xml:space="preserve">xico, </w:t>
      </w:r>
      <w:r w:rsidR="00FA64B1">
        <w:rPr>
          <w:rFonts w:asciiTheme="majorHAnsi" w:hAnsiTheme="majorHAnsi"/>
          <w:sz w:val="22"/>
          <w:szCs w:val="22"/>
          <w:lang w:val="es-ES_tradnl"/>
        </w:rPr>
        <w:t xml:space="preserve">la Comisión Nacional de Áreas Naturales Protegidas </w:t>
      </w:r>
      <w:r w:rsidRPr="00B97122">
        <w:rPr>
          <w:rFonts w:asciiTheme="majorHAnsi" w:hAnsiTheme="majorHAnsi"/>
          <w:sz w:val="22"/>
          <w:szCs w:val="22"/>
          <w:lang w:val="es-ES_tradnl"/>
        </w:rPr>
        <w:t xml:space="preserve">preparó y distribuyó a través del sitio web y las redes sociales un </w:t>
      </w:r>
      <w:r w:rsidR="00FA64B1" w:rsidRPr="00B97122">
        <w:rPr>
          <w:rFonts w:asciiTheme="majorHAnsi" w:hAnsiTheme="majorHAnsi"/>
          <w:sz w:val="22"/>
          <w:szCs w:val="22"/>
          <w:lang w:val="es-ES_tradnl"/>
        </w:rPr>
        <w:t>folleto</w:t>
      </w:r>
      <w:r w:rsidRPr="00B97122">
        <w:rPr>
          <w:rFonts w:asciiTheme="majorHAnsi" w:hAnsiTheme="majorHAnsi"/>
          <w:sz w:val="22"/>
          <w:szCs w:val="22"/>
          <w:lang w:val="es-ES_tradnl"/>
        </w:rPr>
        <w:t xml:space="preserve"> digital sobre la </w:t>
      </w:r>
      <w:r w:rsidR="00FA64B1" w:rsidRPr="00B97122">
        <w:rPr>
          <w:rFonts w:asciiTheme="majorHAnsi" w:hAnsiTheme="majorHAnsi"/>
          <w:sz w:val="22"/>
          <w:szCs w:val="22"/>
          <w:lang w:val="es-ES_tradnl"/>
        </w:rPr>
        <w:t>aplicación</w:t>
      </w:r>
      <w:r w:rsidRPr="00B97122">
        <w:rPr>
          <w:rFonts w:asciiTheme="majorHAnsi" w:hAnsiTheme="majorHAnsi"/>
          <w:sz w:val="22"/>
          <w:szCs w:val="22"/>
          <w:lang w:val="es-ES_tradnl"/>
        </w:rPr>
        <w:t xml:space="preserve"> de la </w:t>
      </w:r>
      <w:r w:rsidR="00FA64B1" w:rsidRPr="00B97122">
        <w:rPr>
          <w:rFonts w:asciiTheme="majorHAnsi" w:hAnsiTheme="majorHAnsi"/>
          <w:sz w:val="22"/>
          <w:szCs w:val="22"/>
          <w:lang w:val="es-ES_tradnl"/>
        </w:rPr>
        <w:t>Convención</w:t>
      </w:r>
      <w:r w:rsidRPr="00B97122">
        <w:rPr>
          <w:rFonts w:asciiTheme="majorHAnsi" w:hAnsiTheme="majorHAnsi"/>
          <w:sz w:val="22"/>
          <w:szCs w:val="22"/>
          <w:lang w:val="es-ES_tradnl"/>
        </w:rPr>
        <w:t xml:space="preserve"> de Ramsar en México y la importancia de l</w:t>
      </w:r>
      <w:r w:rsidR="00FA64B1">
        <w:rPr>
          <w:rFonts w:asciiTheme="majorHAnsi" w:hAnsiTheme="majorHAnsi"/>
          <w:sz w:val="22"/>
          <w:szCs w:val="22"/>
          <w:lang w:val="es-ES_tradnl"/>
        </w:rPr>
        <w:t>os humedales para las personas</w:t>
      </w:r>
      <w:r w:rsidRPr="00B97122">
        <w:rPr>
          <w:rFonts w:asciiTheme="majorHAnsi" w:hAnsiTheme="majorHAnsi"/>
          <w:sz w:val="22"/>
          <w:szCs w:val="22"/>
          <w:lang w:val="es-ES_tradnl"/>
        </w:rPr>
        <w:t>.</w:t>
      </w:r>
    </w:p>
    <w:p w14:paraId="0AEF82F3" w14:textId="47BC23B1" w:rsidR="00C64326" w:rsidRPr="002B129B" w:rsidRDefault="00ED1DD7"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w:t>
      </w:r>
      <w:r w:rsidR="00FA64B1">
        <w:rPr>
          <w:rFonts w:asciiTheme="majorHAnsi" w:hAnsiTheme="majorHAnsi"/>
          <w:sz w:val="22"/>
          <w:szCs w:val="22"/>
          <w:lang w:val="es-ES_tradnl"/>
        </w:rPr>
        <w:t>Hungría</w:t>
      </w:r>
      <w:r w:rsidR="00C64326" w:rsidRPr="00B97122">
        <w:rPr>
          <w:rFonts w:asciiTheme="majorHAnsi" w:hAnsiTheme="majorHAnsi"/>
          <w:sz w:val="22"/>
          <w:szCs w:val="22"/>
          <w:lang w:val="es-ES_tradnl"/>
        </w:rPr>
        <w:t xml:space="preserve">, </w:t>
      </w:r>
      <w:r w:rsidRPr="00B97122">
        <w:rPr>
          <w:rFonts w:asciiTheme="majorHAnsi" w:hAnsiTheme="majorHAnsi"/>
          <w:sz w:val="22"/>
          <w:szCs w:val="22"/>
          <w:lang w:val="es-ES_tradnl"/>
        </w:rPr>
        <w:t xml:space="preserve">el festival </w:t>
      </w:r>
      <w:r w:rsidRPr="00081778">
        <w:rPr>
          <w:rFonts w:asciiTheme="majorHAnsi" w:hAnsiTheme="majorHAnsi"/>
          <w:i/>
          <w:sz w:val="22"/>
          <w:szCs w:val="22"/>
          <w:lang w:val="es-ES_tradnl"/>
        </w:rPr>
        <w:t>Wild Goose</w:t>
      </w:r>
      <w:r w:rsidR="00FA64B1">
        <w:rPr>
          <w:rFonts w:asciiTheme="majorHAnsi" w:hAnsiTheme="majorHAnsi"/>
          <w:sz w:val="22"/>
          <w:szCs w:val="22"/>
          <w:lang w:val="es-ES_tradnl"/>
        </w:rPr>
        <w:t>, sobre los gansos silvestres</w:t>
      </w:r>
      <w:r w:rsidRPr="00B97122">
        <w:rPr>
          <w:rFonts w:asciiTheme="majorHAnsi" w:hAnsiTheme="majorHAnsi"/>
          <w:sz w:val="22"/>
          <w:szCs w:val="22"/>
          <w:lang w:val="es-ES_tradnl"/>
        </w:rPr>
        <w:t>, que se celebra anualmente en el sitio Ramsar de Lake Tata, re</w:t>
      </w:r>
      <w:r w:rsidR="00FA64B1">
        <w:rPr>
          <w:rFonts w:asciiTheme="majorHAnsi" w:hAnsiTheme="majorHAnsi"/>
          <w:sz w:val="22"/>
          <w:szCs w:val="22"/>
          <w:lang w:val="es-ES_tradnl"/>
        </w:rPr>
        <w:t xml:space="preserve">cibe un número creciente de </w:t>
      </w:r>
      <w:r w:rsidR="00FA64B1" w:rsidRPr="00B97122">
        <w:rPr>
          <w:rFonts w:asciiTheme="majorHAnsi" w:hAnsiTheme="majorHAnsi"/>
          <w:sz w:val="22"/>
          <w:szCs w:val="22"/>
          <w:lang w:val="es-ES_tradnl"/>
        </w:rPr>
        <w:t>participantes</w:t>
      </w:r>
      <w:r w:rsidRPr="00B97122">
        <w:rPr>
          <w:rFonts w:asciiTheme="majorHAnsi" w:hAnsiTheme="majorHAnsi"/>
          <w:sz w:val="22"/>
          <w:szCs w:val="22"/>
          <w:lang w:val="es-ES_tradnl"/>
        </w:rPr>
        <w:t xml:space="preserve"> cada año, atrayendo a más de 14.000 personas en los días de máxima afl</w:t>
      </w:r>
      <w:r w:rsidR="00FA64B1">
        <w:rPr>
          <w:rFonts w:asciiTheme="majorHAnsi" w:hAnsiTheme="majorHAnsi"/>
          <w:sz w:val="22"/>
          <w:szCs w:val="22"/>
          <w:lang w:val="es-ES_tradnl"/>
        </w:rPr>
        <w:t>uencia. En el festival hay pr</w:t>
      </w:r>
      <w:r w:rsidR="00FA64B1" w:rsidRPr="00B97122">
        <w:rPr>
          <w:rFonts w:asciiTheme="majorHAnsi" w:hAnsiTheme="majorHAnsi"/>
          <w:sz w:val="22"/>
          <w:szCs w:val="22"/>
          <w:lang w:val="es-ES_tradnl"/>
        </w:rPr>
        <w:t>esentaciones</w:t>
      </w:r>
      <w:r w:rsidRPr="00B97122">
        <w:rPr>
          <w:rFonts w:asciiTheme="majorHAnsi" w:hAnsiTheme="majorHAnsi"/>
          <w:sz w:val="22"/>
          <w:szCs w:val="22"/>
          <w:lang w:val="es-ES_tradnl"/>
        </w:rPr>
        <w:t xml:space="preserve"> sobre los valores de los humedales y </w:t>
      </w:r>
      <w:r w:rsidR="00FA64B1" w:rsidRPr="002B129B">
        <w:rPr>
          <w:rFonts w:asciiTheme="majorHAnsi" w:hAnsiTheme="majorHAnsi"/>
          <w:sz w:val="22"/>
          <w:szCs w:val="22"/>
          <w:lang w:val="es-ES_tradnl"/>
        </w:rPr>
        <w:t>también</w:t>
      </w:r>
      <w:r w:rsidRPr="002B129B">
        <w:rPr>
          <w:rFonts w:asciiTheme="majorHAnsi" w:hAnsiTheme="majorHAnsi"/>
          <w:sz w:val="22"/>
          <w:szCs w:val="22"/>
          <w:lang w:val="es-ES_tradnl"/>
        </w:rPr>
        <w:t xml:space="preserve"> </w:t>
      </w:r>
      <w:r w:rsidR="002B129B" w:rsidRPr="002B129B">
        <w:rPr>
          <w:rFonts w:asciiTheme="majorHAnsi" w:hAnsiTheme="majorHAnsi"/>
          <w:sz w:val="22"/>
          <w:szCs w:val="22"/>
          <w:lang w:val="es-ES_tradnl"/>
        </w:rPr>
        <w:t>una actividad de</w:t>
      </w:r>
      <w:r w:rsidRPr="002B129B">
        <w:rPr>
          <w:rFonts w:asciiTheme="majorHAnsi" w:hAnsiTheme="majorHAnsi"/>
          <w:sz w:val="22"/>
          <w:szCs w:val="22"/>
          <w:lang w:val="es-ES_tradnl"/>
        </w:rPr>
        <w:t xml:space="preserve"> observación del vuelo de </w:t>
      </w:r>
      <w:r w:rsidR="00FA64B1" w:rsidRPr="002B129B">
        <w:rPr>
          <w:rFonts w:asciiTheme="majorHAnsi" w:hAnsiTheme="majorHAnsi"/>
          <w:sz w:val="22"/>
          <w:szCs w:val="22"/>
          <w:lang w:val="es-ES_tradnl"/>
        </w:rPr>
        <w:t>miles de gansos hacia el lago</w:t>
      </w:r>
      <w:r w:rsidR="00C64326" w:rsidRPr="002B129B">
        <w:rPr>
          <w:rFonts w:asciiTheme="majorHAnsi" w:hAnsiTheme="majorHAnsi"/>
          <w:sz w:val="22"/>
          <w:szCs w:val="22"/>
          <w:lang w:val="es-ES_tradnl"/>
        </w:rPr>
        <w:t>.</w:t>
      </w:r>
    </w:p>
    <w:p w14:paraId="217F66BE" w14:textId="557A116E" w:rsidR="00C64326" w:rsidRPr="00B97122" w:rsidRDefault="00ED1DD7"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los Países Bajos, se llevaron a cabo distintos </w:t>
      </w:r>
      <w:r w:rsidR="00FA64B1" w:rsidRPr="00B97122">
        <w:rPr>
          <w:rFonts w:asciiTheme="majorHAnsi" w:hAnsiTheme="majorHAnsi"/>
          <w:sz w:val="22"/>
          <w:szCs w:val="22"/>
          <w:lang w:val="es-ES_tradnl"/>
        </w:rPr>
        <w:t>programas</w:t>
      </w:r>
      <w:r w:rsidRPr="00B97122">
        <w:rPr>
          <w:rFonts w:asciiTheme="majorHAnsi" w:hAnsiTheme="majorHAnsi"/>
          <w:sz w:val="22"/>
          <w:szCs w:val="22"/>
          <w:lang w:val="es-ES_tradnl"/>
        </w:rPr>
        <w:t xml:space="preserve"> </w:t>
      </w:r>
      <w:r w:rsidR="00FA64B1" w:rsidRPr="00B97122">
        <w:rPr>
          <w:rFonts w:asciiTheme="majorHAnsi" w:hAnsiTheme="majorHAnsi"/>
          <w:sz w:val="22"/>
          <w:szCs w:val="22"/>
          <w:lang w:val="es-ES_tradnl"/>
        </w:rPr>
        <w:t>para</w:t>
      </w:r>
      <w:r w:rsidRPr="00B97122">
        <w:rPr>
          <w:rFonts w:asciiTheme="majorHAnsi" w:hAnsiTheme="majorHAnsi"/>
          <w:sz w:val="22"/>
          <w:szCs w:val="22"/>
          <w:lang w:val="es-ES_tradnl"/>
        </w:rPr>
        <w:t xml:space="preserve"> ilustrar la </w:t>
      </w:r>
      <w:r w:rsidR="00FA64B1" w:rsidRPr="00B97122">
        <w:rPr>
          <w:rFonts w:asciiTheme="majorHAnsi" w:hAnsiTheme="majorHAnsi"/>
          <w:sz w:val="22"/>
          <w:szCs w:val="22"/>
          <w:lang w:val="es-ES_tradnl"/>
        </w:rPr>
        <w:t>importancia</w:t>
      </w:r>
      <w:r w:rsidRPr="00B97122">
        <w:rPr>
          <w:rFonts w:asciiTheme="majorHAnsi" w:hAnsiTheme="majorHAnsi"/>
          <w:sz w:val="22"/>
          <w:szCs w:val="22"/>
          <w:lang w:val="es-ES_tradnl"/>
        </w:rPr>
        <w:t xml:space="preserve"> de los </w:t>
      </w:r>
      <w:r w:rsidR="00FA64B1" w:rsidRPr="00B97122">
        <w:rPr>
          <w:rFonts w:asciiTheme="majorHAnsi" w:hAnsiTheme="majorHAnsi"/>
          <w:sz w:val="22"/>
          <w:szCs w:val="22"/>
          <w:lang w:val="es-ES_tradnl"/>
        </w:rPr>
        <w:t>humedales</w:t>
      </w:r>
      <w:r w:rsidRPr="00B97122">
        <w:rPr>
          <w:rFonts w:asciiTheme="majorHAnsi" w:hAnsiTheme="majorHAnsi"/>
          <w:sz w:val="22"/>
          <w:szCs w:val="22"/>
          <w:lang w:val="es-ES_tradnl"/>
        </w:rPr>
        <w:t xml:space="preserve"> y la naturaleza como por ejemplo </w:t>
      </w:r>
      <w:r w:rsidR="006072BC" w:rsidRPr="006072BC">
        <w:rPr>
          <w:rFonts w:asciiTheme="majorHAnsi" w:hAnsiTheme="majorHAnsi"/>
          <w:i/>
          <w:sz w:val="22"/>
          <w:szCs w:val="22"/>
          <w:lang w:val="es-ES_tradnl"/>
        </w:rPr>
        <w:t>Room for the River</w:t>
      </w:r>
      <w:r w:rsidR="00C64326" w:rsidRPr="00B97122">
        <w:rPr>
          <w:rFonts w:asciiTheme="majorHAnsi" w:hAnsiTheme="majorHAnsi"/>
          <w:sz w:val="22"/>
          <w:szCs w:val="22"/>
          <w:lang w:val="es-ES_tradnl"/>
        </w:rPr>
        <w:t xml:space="preserve"> </w:t>
      </w:r>
      <w:r w:rsidR="006072BC">
        <w:rPr>
          <w:rFonts w:asciiTheme="majorHAnsi" w:hAnsiTheme="majorHAnsi"/>
          <w:sz w:val="22"/>
          <w:szCs w:val="22"/>
          <w:lang w:val="es-ES_tradnl"/>
        </w:rPr>
        <w:t>[E</w:t>
      </w:r>
      <w:r w:rsidRPr="00B97122">
        <w:rPr>
          <w:rFonts w:asciiTheme="majorHAnsi" w:hAnsiTheme="majorHAnsi"/>
          <w:sz w:val="22"/>
          <w:szCs w:val="22"/>
          <w:lang w:val="es-ES_tradnl"/>
        </w:rPr>
        <w:t xml:space="preserve">spacio para el río] </w:t>
      </w:r>
      <w:r w:rsidR="00C64326" w:rsidRPr="00B97122">
        <w:rPr>
          <w:rFonts w:asciiTheme="majorHAnsi" w:hAnsiTheme="majorHAnsi"/>
          <w:sz w:val="22"/>
          <w:szCs w:val="22"/>
          <w:lang w:val="es-ES_tradnl"/>
        </w:rPr>
        <w:t>(</w:t>
      </w:r>
      <w:r w:rsidRPr="00B97122">
        <w:rPr>
          <w:rFonts w:asciiTheme="majorHAnsi" w:hAnsiTheme="majorHAnsi"/>
          <w:sz w:val="22"/>
          <w:szCs w:val="22"/>
          <w:lang w:val="es-ES_tradnl"/>
        </w:rPr>
        <w:t xml:space="preserve">en más de 30 lugares, se toman medidas para dar al río el espacio para que </w:t>
      </w:r>
      <w:r w:rsidR="00FA64B1">
        <w:rPr>
          <w:rFonts w:asciiTheme="majorHAnsi" w:hAnsiTheme="majorHAnsi"/>
          <w:sz w:val="22"/>
          <w:szCs w:val="22"/>
          <w:lang w:val="es-ES_tradnl"/>
        </w:rPr>
        <w:t>sus crecidas sean seguras</w:t>
      </w:r>
      <w:r w:rsidR="006072BC">
        <w:rPr>
          <w:rFonts w:asciiTheme="majorHAnsi" w:hAnsiTheme="majorHAnsi"/>
          <w:sz w:val="22"/>
          <w:szCs w:val="22"/>
          <w:lang w:val="es-ES_tradnl"/>
        </w:rPr>
        <w:t>)</w:t>
      </w:r>
      <w:r w:rsidRPr="00B97122">
        <w:rPr>
          <w:rFonts w:asciiTheme="majorHAnsi" w:hAnsiTheme="majorHAnsi"/>
          <w:sz w:val="22"/>
          <w:szCs w:val="22"/>
          <w:lang w:val="es-ES_tradnl"/>
        </w:rPr>
        <w:t xml:space="preserve"> y </w:t>
      </w:r>
      <w:r w:rsidR="00C64326" w:rsidRPr="006072BC">
        <w:rPr>
          <w:rFonts w:asciiTheme="majorHAnsi" w:hAnsiTheme="majorHAnsi"/>
          <w:i/>
          <w:sz w:val="22"/>
          <w:szCs w:val="22"/>
          <w:lang w:val="es-ES_tradnl"/>
        </w:rPr>
        <w:t>Natuur Monumenten</w:t>
      </w:r>
      <w:r w:rsidR="00C64326" w:rsidRPr="00B97122">
        <w:rPr>
          <w:rFonts w:asciiTheme="majorHAnsi" w:hAnsiTheme="majorHAnsi"/>
          <w:sz w:val="22"/>
          <w:szCs w:val="22"/>
          <w:lang w:val="es-ES_tradnl"/>
        </w:rPr>
        <w:t xml:space="preserve">, </w:t>
      </w:r>
      <w:r w:rsidRPr="00B97122">
        <w:rPr>
          <w:rFonts w:asciiTheme="majorHAnsi" w:hAnsiTheme="majorHAnsi"/>
          <w:sz w:val="22"/>
          <w:szCs w:val="22"/>
          <w:lang w:val="es-ES_tradnl"/>
        </w:rPr>
        <w:t>una campaña para proteger la costa neerlandesa de la urbanización.</w:t>
      </w:r>
    </w:p>
    <w:p w14:paraId="2F953EEC" w14:textId="7E479EDC" w:rsidR="00C64326" w:rsidRPr="00B97122" w:rsidRDefault="00ED1DD7"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w:t>
      </w:r>
      <w:r w:rsidR="00C64326" w:rsidRPr="00B97122">
        <w:rPr>
          <w:rFonts w:asciiTheme="majorHAnsi" w:hAnsiTheme="majorHAnsi"/>
          <w:sz w:val="22"/>
          <w:szCs w:val="22"/>
          <w:lang w:val="es-ES_tradnl"/>
        </w:rPr>
        <w:t>Jamaica</w:t>
      </w:r>
      <w:r w:rsidRPr="00B97122">
        <w:rPr>
          <w:rFonts w:asciiTheme="majorHAnsi" w:hAnsiTheme="majorHAnsi"/>
          <w:sz w:val="22"/>
          <w:szCs w:val="22"/>
          <w:lang w:val="es-ES_tradnl"/>
        </w:rPr>
        <w:t>, la</w:t>
      </w:r>
      <w:r w:rsidR="00C64326" w:rsidRPr="00B97122">
        <w:rPr>
          <w:rFonts w:asciiTheme="majorHAnsi" w:hAnsiTheme="majorHAnsi"/>
          <w:sz w:val="22"/>
          <w:szCs w:val="22"/>
          <w:lang w:val="es-ES_tradnl"/>
        </w:rPr>
        <w:t xml:space="preserve"> </w:t>
      </w:r>
      <w:r w:rsidR="0063483A">
        <w:rPr>
          <w:rFonts w:asciiTheme="majorHAnsi" w:hAnsiTheme="majorHAnsi"/>
          <w:sz w:val="22"/>
          <w:szCs w:val="22"/>
          <w:lang w:val="es-ES_tradnl"/>
        </w:rPr>
        <w:t>o</w:t>
      </w:r>
      <w:r w:rsidR="00FA64B1">
        <w:rPr>
          <w:rFonts w:asciiTheme="majorHAnsi" w:hAnsiTheme="majorHAnsi"/>
          <w:sz w:val="22"/>
          <w:szCs w:val="22"/>
          <w:lang w:val="es-ES_tradnl"/>
        </w:rPr>
        <w:t>ficina de preparación para los desastr</w:t>
      </w:r>
      <w:r w:rsidR="0063483A">
        <w:rPr>
          <w:rFonts w:asciiTheme="majorHAnsi" w:hAnsiTheme="majorHAnsi"/>
          <w:sz w:val="22"/>
          <w:szCs w:val="22"/>
          <w:lang w:val="es-ES_tradnl"/>
        </w:rPr>
        <w:t>es y gestión de las emergencias</w:t>
      </w:r>
      <w:r w:rsidR="00FA64B1">
        <w:rPr>
          <w:rFonts w:asciiTheme="majorHAnsi" w:hAnsiTheme="majorHAnsi"/>
          <w:sz w:val="22"/>
          <w:szCs w:val="22"/>
          <w:lang w:val="es-ES_tradnl"/>
        </w:rPr>
        <w:t xml:space="preserve"> y el patr</w:t>
      </w:r>
      <w:r w:rsidR="0063483A">
        <w:rPr>
          <w:rFonts w:asciiTheme="majorHAnsi" w:hAnsiTheme="majorHAnsi"/>
          <w:sz w:val="22"/>
          <w:szCs w:val="22"/>
          <w:lang w:val="es-ES_tradnl"/>
        </w:rPr>
        <w:t>onato nacional de Jamaica</w:t>
      </w:r>
      <w:r w:rsidR="00FA64B1">
        <w:rPr>
          <w:rFonts w:asciiTheme="majorHAnsi" w:hAnsiTheme="majorHAnsi"/>
          <w:sz w:val="22"/>
          <w:szCs w:val="22"/>
          <w:lang w:val="es-ES_tradnl"/>
        </w:rPr>
        <w:t xml:space="preserve"> </w:t>
      </w:r>
      <w:r w:rsidR="00C64326" w:rsidRPr="00B97122">
        <w:rPr>
          <w:rFonts w:asciiTheme="majorHAnsi" w:hAnsiTheme="majorHAnsi"/>
          <w:sz w:val="22"/>
          <w:szCs w:val="22"/>
          <w:lang w:val="es-ES_tradnl"/>
        </w:rPr>
        <w:t>organiz</w:t>
      </w:r>
      <w:r w:rsidR="004C43EB" w:rsidRPr="00B97122">
        <w:rPr>
          <w:rFonts w:asciiTheme="majorHAnsi" w:hAnsiTheme="majorHAnsi"/>
          <w:sz w:val="22"/>
          <w:szCs w:val="22"/>
          <w:lang w:val="es-ES_tradnl"/>
        </w:rPr>
        <w:t xml:space="preserve">aron exposiciones escolares sobre </w:t>
      </w:r>
      <w:r w:rsidR="00FA64B1">
        <w:rPr>
          <w:rFonts w:asciiTheme="majorHAnsi" w:hAnsiTheme="majorHAnsi"/>
          <w:sz w:val="22"/>
          <w:szCs w:val="22"/>
          <w:lang w:val="es-ES_tradnl"/>
        </w:rPr>
        <w:t xml:space="preserve">los </w:t>
      </w:r>
      <w:r w:rsidR="004C43EB" w:rsidRPr="00B97122">
        <w:rPr>
          <w:rFonts w:asciiTheme="majorHAnsi" w:hAnsiTheme="majorHAnsi"/>
          <w:sz w:val="22"/>
          <w:szCs w:val="22"/>
          <w:lang w:val="es-ES_tradnl"/>
        </w:rPr>
        <w:t>humedales y la reducción del riesgo de desastres. La educación sobre los humedales está integrada en los p</w:t>
      </w:r>
      <w:r w:rsidR="0063483A">
        <w:rPr>
          <w:rFonts w:asciiTheme="majorHAnsi" w:hAnsiTheme="majorHAnsi"/>
          <w:sz w:val="22"/>
          <w:szCs w:val="22"/>
          <w:lang w:val="es-ES_tradnl"/>
        </w:rPr>
        <w:t>rogramas educativos públicos d</w:t>
      </w:r>
      <w:r w:rsidR="00FA64B1">
        <w:rPr>
          <w:rFonts w:asciiTheme="majorHAnsi" w:hAnsiTheme="majorHAnsi"/>
          <w:sz w:val="22"/>
          <w:szCs w:val="22"/>
          <w:lang w:val="es-ES_tradnl"/>
        </w:rPr>
        <w:t xml:space="preserve">el organismo nacional de medio ambiente y planificación o </w:t>
      </w:r>
      <w:r w:rsidR="0063483A">
        <w:rPr>
          <w:rFonts w:asciiTheme="majorHAnsi" w:hAnsiTheme="majorHAnsi"/>
          <w:sz w:val="22"/>
          <w:szCs w:val="22"/>
          <w:lang w:val="es-ES_tradnl"/>
        </w:rPr>
        <w:t>NEPA</w:t>
      </w:r>
      <w:r w:rsidR="00C64326" w:rsidRPr="00B97122">
        <w:rPr>
          <w:rFonts w:asciiTheme="majorHAnsi" w:hAnsiTheme="majorHAnsi"/>
          <w:sz w:val="22"/>
          <w:szCs w:val="22"/>
          <w:lang w:val="es-ES_tradnl"/>
        </w:rPr>
        <w:t xml:space="preserve">, </w:t>
      </w:r>
      <w:r w:rsidR="004C43EB" w:rsidRPr="00B97122">
        <w:rPr>
          <w:rFonts w:asciiTheme="majorHAnsi" w:hAnsiTheme="majorHAnsi"/>
          <w:sz w:val="22"/>
          <w:szCs w:val="22"/>
          <w:lang w:val="es-ES_tradnl"/>
        </w:rPr>
        <w:t xml:space="preserve">otros organismos gubernamentales como </w:t>
      </w:r>
      <w:r w:rsidR="00FA64B1">
        <w:rPr>
          <w:rFonts w:asciiTheme="majorHAnsi" w:hAnsiTheme="majorHAnsi"/>
          <w:sz w:val="22"/>
          <w:szCs w:val="22"/>
          <w:lang w:val="es-ES_tradnl"/>
        </w:rPr>
        <w:t xml:space="preserve">la corporación de desarrollo urbanístico o </w:t>
      </w:r>
      <w:r w:rsidR="0063483A">
        <w:rPr>
          <w:rFonts w:asciiTheme="majorHAnsi" w:hAnsiTheme="majorHAnsi"/>
          <w:sz w:val="22"/>
          <w:szCs w:val="22"/>
          <w:lang w:val="es-ES_tradnl"/>
        </w:rPr>
        <w:t>UDC</w:t>
      </w:r>
      <w:r w:rsidR="004C43EB" w:rsidRPr="00B97122">
        <w:rPr>
          <w:rFonts w:asciiTheme="majorHAnsi" w:hAnsiTheme="majorHAnsi"/>
          <w:sz w:val="22"/>
          <w:szCs w:val="22"/>
          <w:lang w:val="es-ES_tradnl"/>
        </w:rPr>
        <w:t xml:space="preserve"> y el </w:t>
      </w:r>
      <w:r w:rsidR="00C64326" w:rsidRPr="00B97122">
        <w:rPr>
          <w:rFonts w:asciiTheme="majorHAnsi" w:hAnsiTheme="majorHAnsi"/>
          <w:sz w:val="22"/>
          <w:szCs w:val="22"/>
          <w:lang w:val="es-ES_tradnl"/>
        </w:rPr>
        <w:t xml:space="preserve">Institute of Jamaica. </w:t>
      </w:r>
      <w:r w:rsidR="004C43EB" w:rsidRPr="00B97122">
        <w:rPr>
          <w:rFonts w:asciiTheme="majorHAnsi" w:hAnsiTheme="majorHAnsi"/>
          <w:sz w:val="22"/>
          <w:szCs w:val="22"/>
          <w:lang w:val="es-ES_tradnl"/>
        </w:rPr>
        <w:t xml:space="preserve">Mediante su programa </w:t>
      </w:r>
      <w:r w:rsidR="00C64326" w:rsidRPr="0063483A">
        <w:rPr>
          <w:rFonts w:asciiTheme="majorHAnsi" w:hAnsiTheme="majorHAnsi"/>
          <w:i/>
          <w:sz w:val="22"/>
          <w:szCs w:val="22"/>
          <w:lang w:val="es-ES_tradnl"/>
        </w:rPr>
        <w:t>Adopt-a-Beach</w:t>
      </w:r>
      <w:r w:rsidR="00C64326" w:rsidRPr="00B97122">
        <w:rPr>
          <w:rFonts w:asciiTheme="majorHAnsi" w:hAnsiTheme="majorHAnsi"/>
          <w:sz w:val="22"/>
          <w:szCs w:val="22"/>
          <w:lang w:val="es-ES_tradnl"/>
        </w:rPr>
        <w:t xml:space="preserve"> </w:t>
      </w:r>
      <w:r w:rsidR="004C43EB" w:rsidRPr="00B97122">
        <w:rPr>
          <w:rFonts w:asciiTheme="majorHAnsi" w:hAnsiTheme="majorHAnsi"/>
          <w:sz w:val="22"/>
          <w:szCs w:val="22"/>
          <w:lang w:val="es-ES_tradnl"/>
        </w:rPr>
        <w:t xml:space="preserve">[Adopta una playa] se alienta a los centros educativos, los grupos comunitarios y las iglesias a realizar una limpieza de playas </w:t>
      </w:r>
      <w:r w:rsidR="00FA64B1">
        <w:rPr>
          <w:rFonts w:asciiTheme="majorHAnsi" w:hAnsiTheme="majorHAnsi"/>
          <w:sz w:val="22"/>
          <w:szCs w:val="22"/>
          <w:lang w:val="es-ES_tradnl"/>
        </w:rPr>
        <w:t>de la</w:t>
      </w:r>
      <w:r w:rsidR="004C43EB" w:rsidRPr="00B97122">
        <w:rPr>
          <w:rFonts w:asciiTheme="majorHAnsi" w:hAnsiTheme="majorHAnsi"/>
          <w:sz w:val="22"/>
          <w:szCs w:val="22"/>
          <w:lang w:val="es-ES_tradnl"/>
        </w:rPr>
        <w:t xml:space="preserve"> isla, entre las que figuran sitios Ramsar.</w:t>
      </w:r>
    </w:p>
    <w:p w14:paraId="0B9BAA8C" w14:textId="5BD27E70" w:rsidR="00C64326" w:rsidRPr="00B97122" w:rsidRDefault="004C43EB"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el Reino Unido, la expedición </w:t>
      </w:r>
      <w:r w:rsidRPr="0063483A">
        <w:rPr>
          <w:rFonts w:asciiTheme="majorHAnsi" w:hAnsiTheme="majorHAnsi"/>
          <w:i/>
          <w:sz w:val="22"/>
          <w:szCs w:val="22"/>
          <w:lang w:val="es-ES_tradnl"/>
        </w:rPr>
        <w:t>F</w:t>
      </w:r>
      <w:r w:rsidR="00C64326" w:rsidRPr="0063483A">
        <w:rPr>
          <w:rFonts w:asciiTheme="majorHAnsi" w:hAnsiTheme="majorHAnsi"/>
          <w:i/>
          <w:sz w:val="22"/>
          <w:szCs w:val="22"/>
          <w:lang w:val="es-ES_tradnl"/>
        </w:rPr>
        <w:t>light of the Swans</w:t>
      </w:r>
      <w:r w:rsidR="00C64326" w:rsidRPr="00B97122">
        <w:rPr>
          <w:rFonts w:asciiTheme="majorHAnsi" w:hAnsiTheme="majorHAnsi"/>
          <w:sz w:val="22"/>
          <w:szCs w:val="22"/>
          <w:lang w:val="es-ES_tradnl"/>
        </w:rPr>
        <w:t xml:space="preserve"> </w:t>
      </w:r>
      <w:r w:rsidR="00FA64B1">
        <w:rPr>
          <w:rFonts w:asciiTheme="majorHAnsi" w:hAnsiTheme="majorHAnsi"/>
          <w:sz w:val="22"/>
          <w:szCs w:val="22"/>
          <w:lang w:val="es-ES_tradnl"/>
        </w:rPr>
        <w:t>[V</w:t>
      </w:r>
      <w:r w:rsidRPr="00B97122">
        <w:rPr>
          <w:rFonts w:asciiTheme="majorHAnsi" w:hAnsiTheme="majorHAnsi"/>
          <w:sz w:val="22"/>
          <w:szCs w:val="22"/>
          <w:lang w:val="es-ES_tradnl"/>
        </w:rPr>
        <w:t xml:space="preserve">uelo de los cisnes] recopiló información y promocionó la conservación de los </w:t>
      </w:r>
      <w:r w:rsidR="00FA64B1" w:rsidRPr="00B97122">
        <w:rPr>
          <w:rFonts w:asciiTheme="majorHAnsi" w:hAnsiTheme="majorHAnsi"/>
          <w:sz w:val="22"/>
          <w:szCs w:val="22"/>
          <w:lang w:val="es-ES_tradnl"/>
        </w:rPr>
        <w:t>humedales</w:t>
      </w:r>
      <w:r w:rsidRPr="00B97122">
        <w:rPr>
          <w:rFonts w:asciiTheme="majorHAnsi" w:hAnsiTheme="majorHAnsi"/>
          <w:sz w:val="22"/>
          <w:szCs w:val="22"/>
          <w:lang w:val="es-ES_tradnl"/>
        </w:rPr>
        <w:t xml:space="preserve"> y las aves acuáticas a lo largo de la vía migratoria del </w:t>
      </w:r>
      <w:r w:rsidR="00FA64B1">
        <w:rPr>
          <w:rFonts w:asciiTheme="majorHAnsi" w:hAnsiTheme="majorHAnsi"/>
          <w:sz w:val="22"/>
          <w:szCs w:val="22"/>
          <w:lang w:val="es-ES_tradnl"/>
        </w:rPr>
        <w:t xml:space="preserve">cisne de </w:t>
      </w:r>
      <w:r w:rsidR="00C64326" w:rsidRPr="00B97122">
        <w:rPr>
          <w:rFonts w:asciiTheme="majorHAnsi" w:hAnsiTheme="majorHAnsi"/>
          <w:sz w:val="22"/>
          <w:szCs w:val="22"/>
          <w:lang w:val="es-ES_tradnl"/>
        </w:rPr>
        <w:t xml:space="preserve">Bewick, </w:t>
      </w:r>
      <w:r w:rsidRPr="00B97122">
        <w:rPr>
          <w:rFonts w:asciiTheme="majorHAnsi" w:hAnsiTheme="majorHAnsi"/>
          <w:sz w:val="22"/>
          <w:szCs w:val="22"/>
          <w:lang w:val="es-ES_tradnl"/>
        </w:rPr>
        <w:t xml:space="preserve">que se extiende </w:t>
      </w:r>
      <w:r w:rsidR="00FA64B1">
        <w:rPr>
          <w:rFonts w:asciiTheme="majorHAnsi" w:hAnsiTheme="majorHAnsi"/>
          <w:sz w:val="22"/>
          <w:szCs w:val="22"/>
          <w:lang w:val="es-ES_tradnl"/>
        </w:rPr>
        <w:t>a lo largo de</w:t>
      </w:r>
      <w:r w:rsidRPr="00B97122">
        <w:rPr>
          <w:rFonts w:asciiTheme="majorHAnsi" w:hAnsiTheme="majorHAnsi"/>
          <w:sz w:val="22"/>
          <w:szCs w:val="22"/>
          <w:lang w:val="es-ES_tradnl"/>
        </w:rPr>
        <w:t xml:space="preserve"> </w:t>
      </w:r>
      <w:r w:rsidR="00C64326" w:rsidRPr="00B97122">
        <w:rPr>
          <w:rFonts w:asciiTheme="majorHAnsi" w:hAnsiTheme="majorHAnsi"/>
          <w:sz w:val="22"/>
          <w:szCs w:val="22"/>
          <w:lang w:val="es-ES_tradnl"/>
        </w:rPr>
        <w:t>7</w:t>
      </w:r>
      <w:r w:rsidRPr="00B97122">
        <w:rPr>
          <w:rFonts w:asciiTheme="majorHAnsi" w:hAnsiTheme="majorHAnsi"/>
          <w:sz w:val="22"/>
          <w:szCs w:val="22"/>
          <w:lang w:val="es-ES_tradnl"/>
        </w:rPr>
        <w:t>.</w:t>
      </w:r>
      <w:r w:rsidR="00C64326" w:rsidRPr="00B97122">
        <w:rPr>
          <w:rFonts w:asciiTheme="majorHAnsi" w:hAnsiTheme="majorHAnsi"/>
          <w:sz w:val="22"/>
          <w:szCs w:val="22"/>
          <w:lang w:val="es-ES_tradnl"/>
        </w:rPr>
        <w:t xml:space="preserve">000 </w:t>
      </w:r>
      <w:r w:rsidRPr="00B97122">
        <w:rPr>
          <w:rFonts w:asciiTheme="majorHAnsi" w:hAnsiTheme="majorHAnsi"/>
          <w:sz w:val="22"/>
          <w:szCs w:val="22"/>
          <w:lang w:val="es-ES_tradnl"/>
        </w:rPr>
        <w:t>kilómetros desde Rusia hasta Inglaterra, pasando por el norte de Europa</w:t>
      </w:r>
      <w:r w:rsidR="00C64326" w:rsidRPr="00B97122">
        <w:rPr>
          <w:rFonts w:asciiTheme="majorHAnsi" w:hAnsiTheme="majorHAnsi"/>
          <w:sz w:val="22"/>
          <w:szCs w:val="22"/>
          <w:lang w:val="es-ES_tradnl"/>
        </w:rPr>
        <w:t xml:space="preserve">. </w:t>
      </w:r>
    </w:p>
    <w:p w14:paraId="6DEA62EC" w14:textId="1CA653A3" w:rsidR="00C64326" w:rsidRPr="00B97122" w:rsidRDefault="004C43EB"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los Estados Unidos, </w:t>
      </w:r>
      <w:r w:rsidR="00FA64B1">
        <w:rPr>
          <w:rFonts w:asciiTheme="majorHAnsi" w:hAnsiTheme="majorHAnsi"/>
          <w:sz w:val="22"/>
          <w:szCs w:val="22"/>
          <w:lang w:val="es-ES_tradnl"/>
        </w:rPr>
        <w:t>el</w:t>
      </w:r>
      <w:r w:rsidRPr="00B97122">
        <w:rPr>
          <w:rFonts w:asciiTheme="majorHAnsi" w:hAnsiTheme="majorHAnsi"/>
          <w:sz w:val="22"/>
          <w:szCs w:val="22"/>
          <w:lang w:val="es-ES_tradnl"/>
        </w:rPr>
        <w:t xml:space="preserve"> gobiernos federal y </w:t>
      </w:r>
      <w:r w:rsidR="00FA64B1">
        <w:rPr>
          <w:rFonts w:asciiTheme="majorHAnsi" w:hAnsiTheme="majorHAnsi"/>
          <w:sz w:val="22"/>
          <w:szCs w:val="22"/>
          <w:lang w:val="es-ES_tradnl"/>
        </w:rPr>
        <w:t xml:space="preserve">gobiernos </w:t>
      </w:r>
      <w:r w:rsidRPr="00B97122">
        <w:rPr>
          <w:rFonts w:asciiTheme="majorHAnsi" w:hAnsiTheme="majorHAnsi"/>
          <w:sz w:val="22"/>
          <w:szCs w:val="22"/>
          <w:lang w:val="es-ES_tradnl"/>
        </w:rPr>
        <w:t>estatales</w:t>
      </w:r>
      <w:r w:rsidR="00FA64B1">
        <w:rPr>
          <w:rFonts w:asciiTheme="majorHAnsi" w:hAnsiTheme="majorHAnsi"/>
          <w:sz w:val="22"/>
          <w:szCs w:val="22"/>
          <w:lang w:val="es-ES_tradnl"/>
        </w:rPr>
        <w:t xml:space="preserve"> </w:t>
      </w:r>
      <w:r w:rsidRPr="00B97122">
        <w:rPr>
          <w:rFonts w:asciiTheme="majorHAnsi" w:hAnsiTheme="majorHAnsi"/>
          <w:sz w:val="22"/>
          <w:szCs w:val="22"/>
          <w:lang w:val="es-ES_tradnl"/>
        </w:rPr>
        <w:t>así como ONG han llevado a cabo distintas campañas, tales como el 25ª aniversario del</w:t>
      </w:r>
      <w:r w:rsidR="00C64326" w:rsidRPr="00B97122">
        <w:rPr>
          <w:rFonts w:asciiTheme="majorHAnsi" w:hAnsiTheme="majorHAnsi"/>
          <w:sz w:val="22"/>
          <w:szCs w:val="22"/>
          <w:lang w:val="es-ES_tradnl"/>
        </w:rPr>
        <w:t xml:space="preserve"> </w:t>
      </w:r>
      <w:r w:rsidR="00C64326" w:rsidRPr="0063483A">
        <w:rPr>
          <w:rFonts w:asciiTheme="majorHAnsi" w:hAnsiTheme="majorHAnsi"/>
          <w:i/>
          <w:sz w:val="22"/>
          <w:szCs w:val="22"/>
          <w:lang w:val="es-ES_tradnl"/>
        </w:rPr>
        <w:t>American Wetlands Month</w:t>
      </w:r>
      <w:r w:rsidR="00FA64B1">
        <w:rPr>
          <w:rFonts w:asciiTheme="majorHAnsi" w:hAnsiTheme="majorHAnsi"/>
          <w:sz w:val="22"/>
          <w:szCs w:val="22"/>
          <w:lang w:val="es-ES_tradnl"/>
        </w:rPr>
        <w:t xml:space="preserve"> [Mes de los humedales estadounidenses]</w:t>
      </w:r>
      <w:r w:rsidR="00C64326" w:rsidRPr="00B97122">
        <w:rPr>
          <w:rFonts w:asciiTheme="majorHAnsi" w:hAnsiTheme="majorHAnsi"/>
          <w:sz w:val="22"/>
          <w:szCs w:val="22"/>
          <w:lang w:val="es-ES_tradnl"/>
        </w:rPr>
        <w:t xml:space="preserve"> </w:t>
      </w:r>
      <w:r w:rsidR="00FA64B1">
        <w:rPr>
          <w:rFonts w:asciiTheme="majorHAnsi" w:hAnsiTheme="majorHAnsi"/>
          <w:sz w:val="22"/>
          <w:szCs w:val="22"/>
          <w:lang w:val="es-ES_tradnl"/>
        </w:rPr>
        <w:t xml:space="preserve">y el </w:t>
      </w:r>
      <w:r w:rsidR="00C64326" w:rsidRPr="0063483A">
        <w:rPr>
          <w:rFonts w:asciiTheme="majorHAnsi" w:hAnsiTheme="majorHAnsi"/>
          <w:i/>
          <w:sz w:val="22"/>
          <w:szCs w:val="22"/>
          <w:lang w:val="es-ES_tradnl"/>
        </w:rPr>
        <w:t>Wetlands Project</w:t>
      </w:r>
      <w:r w:rsidR="00FA64B1">
        <w:rPr>
          <w:rFonts w:asciiTheme="majorHAnsi" w:hAnsiTheme="majorHAnsi"/>
          <w:sz w:val="22"/>
          <w:szCs w:val="22"/>
          <w:lang w:val="es-ES_tradnl"/>
        </w:rPr>
        <w:t xml:space="preserve"> [Proyecto sobre humedales]</w:t>
      </w:r>
      <w:r w:rsidR="0063483A">
        <w:rPr>
          <w:rFonts w:asciiTheme="majorHAnsi" w:hAnsiTheme="majorHAnsi"/>
          <w:sz w:val="22"/>
          <w:szCs w:val="22"/>
          <w:lang w:val="es-ES_tradnl"/>
        </w:rPr>
        <w:t>,</w:t>
      </w:r>
      <w:r w:rsidR="00C64326" w:rsidRPr="00B97122">
        <w:rPr>
          <w:rFonts w:asciiTheme="majorHAnsi" w:hAnsiTheme="majorHAnsi"/>
          <w:sz w:val="22"/>
          <w:szCs w:val="22"/>
          <w:lang w:val="es-ES_tradnl"/>
        </w:rPr>
        <w:t xml:space="preserve"> </w:t>
      </w:r>
      <w:r w:rsidRPr="00B97122">
        <w:rPr>
          <w:rFonts w:asciiTheme="majorHAnsi" w:hAnsiTheme="majorHAnsi"/>
          <w:sz w:val="22"/>
          <w:szCs w:val="22"/>
          <w:lang w:val="es-ES_tradnl"/>
        </w:rPr>
        <w:t xml:space="preserve">que promueve </w:t>
      </w:r>
      <w:r w:rsidR="00FA64B1" w:rsidRPr="00B97122">
        <w:rPr>
          <w:rFonts w:asciiTheme="majorHAnsi" w:hAnsiTheme="majorHAnsi"/>
          <w:sz w:val="22"/>
          <w:szCs w:val="22"/>
          <w:lang w:val="es-ES_tradnl"/>
        </w:rPr>
        <w:t>proyectos</w:t>
      </w:r>
      <w:r w:rsidRPr="00B97122">
        <w:rPr>
          <w:rFonts w:asciiTheme="majorHAnsi" w:hAnsiTheme="majorHAnsi"/>
          <w:sz w:val="22"/>
          <w:szCs w:val="22"/>
          <w:lang w:val="es-ES_tradnl"/>
        </w:rPr>
        <w:t xml:space="preserve"> de </w:t>
      </w:r>
      <w:r w:rsidR="00FA64B1" w:rsidRPr="00B97122">
        <w:rPr>
          <w:rFonts w:asciiTheme="majorHAnsi" w:hAnsiTheme="majorHAnsi"/>
          <w:sz w:val="22"/>
          <w:szCs w:val="22"/>
          <w:lang w:val="es-ES_tradnl"/>
        </w:rPr>
        <w:t>conservación</w:t>
      </w:r>
      <w:r w:rsidRPr="00B97122">
        <w:rPr>
          <w:rFonts w:asciiTheme="majorHAnsi" w:hAnsiTheme="majorHAnsi"/>
          <w:sz w:val="22"/>
          <w:szCs w:val="22"/>
          <w:lang w:val="es-ES_tradnl"/>
        </w:rPr>
        <w:t xml:space="preserve"> de los </w:t>
      </w:r>
      <w:r w:rsidR="00FA64B1" w:rsidRPr="00B97122">
        <w:rPr>
          <w:rFonts w:asciiTheme="majorHAnsi" w:hAnsiTheme="majorHAnsi"/>
          <w:sz w:val="22"/>
          <w:szCs w:val="22"/>
          <w:lang w:val="es-ES_tradnl"/>
        </w:rPr>
        <w:t>humedales</w:t>
      </w:r>
      <w:r w:rsidRPr="00B97122">
        <w:rPr>
          <w:rFonts w:asciiTheme="majorHAnsi" w:hAnsiTheme="majorHAnsi"/>
          <w:sz w:val="22"/>
          <w:szCs w:val="22"/>
          <w:lang w:val="es-ES_tradnl"/>
        </w:rPr>
        <w:t xml:space="preserve"> en todo el país</w:t>
      </w:r>
      <w:r w:rsidR="00C64326" w:rsidRPr="00B97122">
        <w:rPr>
          <w:rFonts w:asciiTheme="majorHAnsi" w:hAnsiTheme="majorHAnsi"/>
          <w:sz w:val="22"/>
          <w:szCs w:val="22"/>
          <w:lang w:val="es-ES_tradnl"/>
        </w:rPr>
        <w:t xml:space="preserve">. </w:t>
      </w:r>
    </w:p>
    <w:p w14:paraId="53E1DC10" w14:textId="32C65D8B" w:rsidR="00C64326" w:rsidRPr="00B97122" w:rsidRDefault="004C43EB" w:rsidP="004C3670">
      <w:pPr>
        <w:numPr>
          <w:ilvl w:val="0"/>
          <w:numId w:val="17"/>
        </w:numPr>
        <w:spacing w:after="120"/>
        <w:rPr>
          <w:rFonts w:asciiTheme="majorHAnsi" w:hAnsiTheme="majorHAnsi"/>
          <w:sz w:val="22"/>
          <w:szCs w:val="22"/>
          <w:lang w:val="es-ES_tradnl"/>
        </w:rPr>
      </w:pPr>
      <w:r w:rsidRPr="00B97122">
        <w:rPr>
          <w:rFonts w:asciiTheme="majorHAnsi" w:hAnsiTheme="majorHAnsi"/>
          <w:sz w:val="22"/>
          <w:szCs w:val="22"/>
          <w:lang w:val="es-ES_tradnl"/>
        </w:rPr>
        <w:t xml:space="preserve">En </w:t>
      </w:r>
      <w:r w:rsidR="00C64326" w:rsidRPr="00B97122">
        <w:rPr>
          <w:rFonts w:asciiTheme="majorHAnsi" w:hAnsiTheme="majorHAnsi"/>
          <w:sz w:val="22"/>
          <w:szCs w:val="22"/>
          <w:lang w:val="es-ES_tradnl"/>
        </w:rPr>
        <w:t>Canad</w:t>
      </w:r>
      <w:r w:rsidRPr="00B97122">
        <w:rPr>
          <w:rFonts w:asciiTheme="majorHAnsi" w:hAnsiTheme="majorHAnsi"/>
          <w:sz w:val="22"/>
          <w:szCs w:val="22"/>
          <w:lang w:val="es-ES_tradnl"/>
        </w:rPr>
        <w:t>á, cada año (2015, 2016 y 2</w:t>
      </w:r>
      <w:r w:rsidR="00C64326" w:rsidRPr="00B97122">
        <w:rPr>
          <w:rFonts w:asciiTheme="majorHAnsi" w:hAnsiTheme="majorHAnsi"/>
          <w:sz w:val="22"/>
          <w:szCs w:val="22"/>
          <w:lang w:val="es-ES_tradnl"/>
        </w:rPr>
        <w:t xml:space="preserve">017) </w:t>
      </w:r>
      <w:r w:rsidR="00566E71" w:rsidRPr="00566E71">
        <w:rPr>
          <w:rFonts w:asciiTheme="majorHAnsi" w:hAnsiTheme="majorHAnsi"/>
          <w:sz w:val="22"/>
          <w:szCs w:val="22"/>
          <w:lang w:val="es-ES_tradnl"/>
        </w:rPr>
        <w:t>los asociados del</w:t>
      </w:r>
      <w:r w:rsidR="00566E71">
        <w:rPr>
          <w:rFonts w:asciiTheme="majorHAnsi" w:hAnsiTheme="majorHAnsi"/>
          <w:color w:val="FF0000"/>
          <w:sz w:val="22"/>
          <w:szCs w:val="22"/>
          <w:lang w:val="es-ES_tradnl"/>
        </w:rPr>
        <w:t xml:space="preserve"> </w:t>
      </w:r>
      <w:r w:rsidR="00566E71">
        <w:rPr>
          <w:rFonts w:asciiTheme="majorHAnsi" w:hAnsiTheme="majorHAnsi"/>
          <w:sz w:val="22"/>
          <w:szCs w:val="22"/>
          <w:lang w:val="es-ES_tradnl"/>
        </w:rPr>
        <w:t>Plan de gestión de las</w:t>
      </w:r>
      <w:r w:rsidR="0063483A">
        <w:rPr>
          <w:rFonts w:asciiTheme="majorHAnsi" w:hAnsiTheme="majorHAnsi"/>
          <w:sz w:val="22"/>
          <w:szCs w:val="22"/>
          <w:lang w:val="es-ES_tradnl"/>
        </w:rPr>
        <w:t xml:space="preserve"> aves acuáticas de Norteamérica</w:t>
      </w:r>
      <w:r w:rsidR="00566E71">
        <w:rPr>
          <w:rFonts w:asciiTheme="majorHAnsi" w:hAnsiTheme="majorHAnsi"/>
          <w:sz w:val="22"/>
          <w:szCs w:val="22"/>
          <w:lang w:val="es-ES_tradnl"/>
        </w:rPr>
        <w:t xml:space="preserve"> publican el informe </w:t>
      </w:r>
      <w:r w:rsidR="00C64326" w:rsidRPr="0063483A">
        <w:rPr>
          <w:rFonts w:asciiTheme="majorHAnsi" w:hAnsiTheme="majorHAnsi"/>
          <w:i/>
          <w:sz w:val="22"/>
          <w:szCs w:val="22"/>
          <w:lang w:val="es-ES_tradnl"/>
        </w:rPr>
        <w:t>Habitat Matters</w:t>
      </w:r>
      <w:r w:rsidR="00C64326" w:rsidRPr="00B97122">
        <w:rPr>
          <w:rFonts w:asciiTheme="majorHAnsi" w:hAnsiTheme="majorHAnsi"/>
          <w:sz w:val="22"/>
          <w:szCs w:val="22"/>
          <w:lang w:val="es-ES_tradnl"/>
        </w:rPr>
        <w:t xml:space="preserve">. </w:t>
      </w:r>
      <w:r w:rsidR="00566E71">
        <w:rPr>
          <w:rFonts w:asciiTheme="majorHAnsi" w:hAnsiTheme="majorHAnsi"/>
          <w:sz w:val="22"/>
          <w:szCs w:val="22"/>
          <w:lang w:val="es-ES_tradnl"/>
        </w:rPr>
        <w:t>Este</w:t>
      </w:r>
      <w:r w:rsidRPr="00B97122">
        <w:rPr>
          <w:rFonts w:asciiTheme="majorHAnsi" w:hAnsiTheme="majorHAnsi"/>
          <w:sz w:val="22"/>
          <w:szCs w:val="22"/>
          <w:lang w:val="es-ES_tradnl"/>
        </w:rPr>
        <w:t xml:space="preserve"> pone de relieve </w:t>
      </w:r>
      <w:r w:rsidR="00566E71">
        <w:rPr>
          <w:rFonts w:asciiTheme="majorHAnsi" w:hAnsiTheme="majorHAnsi"/>
          <w:sz w:val="22"/>
          <w:szCs w:val="22"/>
          <w:lang w:val="es-ES_tradnl"/>
        </w:rPr>
        <w:t xml:space="preserve">experiencias exitosas </w:t>
      </w:r>
      <w:r w:rsidRPr="00B97122">
        <w:rPr>
          <w:rFonts w:asciiTheme="majorHAnsi" w:hAnsiTheme="majorHAnsi"/>
          <w:sz w:val="22"/>
          <w:szCs w:val="22"/>
          <w:lang w:val="es-ES_tradnl"/>
        </w:rPr>
        <w:t xml:space="preserve">en todo el país </w:t>
      </w:r>
      <w:r w:rsidR="00566E71" w:rsidRPr="00B97122">
        <w:rPr>
          <w:rFonts w:asciiTheme="majorHAnsi" w:hAnsiTheme="majorHAnsi"/>
          <w:sz w:val="22"/>
          <w:szCs w:val="22"/>
          <w:lang w:val="es-ES_tradnl"/>
        </w:rPr>
        <w:t>que</w:t>
      </w:r>
      <w:r w:rsidRPr="00B97122">
        <w:rPr>
          <w:rFonts w:asciiTheme="majorHAnsi" w:hAnsiTheme="majorHAnsi"/>
          <w:sz w:val="22"/>
          <w:szCs w:val="22"/>
          <w:lang w:val="es-ES_tradnl"/>
        </w:rPr>
        <w:t xml:space="preserve"> ilustran proyectos de</w:t>
      </w:r>
      <w:r w:rsidR="00566E71">
        <w:rPr>
          <w:rFonts w:asciiTheme="majorHAnsi" w:hAnsiTheme="majorHAnsi"/>
          <w:sz w:val="22"/>
          <w:szCs w:val="22"/>
          <w:lang w:val="es-ES_tradnl"/>
        </w:rPr>
        <w:t xml:space="preserve"> empresas conjuntas </w:t>
      </w:r>
      <w:r w:rsidRPr="00B97122">
        <w:rPr>
          <w:rFonts w:asciiTheme="majorHAnsi" w:hAnsiTheme="majorHAnsi"/>
          <w:sz w:val="22"/>
          <w:szCs w:val="22"/>
          <w:lang w:val="es-ES_tradnl"/>
        </w:rPr>
        <w:t xml:space="preserve">para cada región. En 2017, </w:t>
      </w:r>
      <w:r w:rsidR="00566E71" w:rsidRPr="0063483A">
        <w:rPr>
          <w:rFonts w:asciiTheme="majorHAnsi" w:hAnsiTheme="majorHAnsi"/>
          <w:i/>
          <w:sz w:val="22"/>
          <w:szCs w:val="22"/>
          <w:lang w:val="es-ES_tradnl"/>
        </w:rPr>
        <w:t>Habitat Matters</w:t>
      </w:r>
      <w:r w:rsidR="00566E71">
        <w:rPr>
          <w:rFonts w:asciiTheme="majorHAnsi" w:hAnsiTheme="majorHAnsi"/>
          <w:sz w:val="22"/>
          <w:szCs w:val="22"/>
          <w:lang w:val="es-ES_tradnl"/>
        </w:rPr>
        <w:t xml:space="preserve"> presentó la historia de </w:t>
      </w:r>
      <w:r w:rsidRPr="00B97122">
        <w:rPr>
          <w:rFonts w:asciiTheme="majorHAnsi" w:hAnsiTheme="majorHAnsi"/>
          <w:sz w:val="22"/>
          <w:szCs w:val="22"/>
          <w:lang w:val="es-ES_tradnl"/>
        </w:rPr>
        <w:t xml:space="preserve">la familia Hogan y sus esfuerzos de conservación </w:t>
      </w:r>
      <w:r w:rsidR="00566E71">
        <w:rPr>
          <w:rFonts w:asciiTheme="majorHAnsi" w:hAnsiTheme="majorHAnsi"/>
          <w:sz w:val="22"/>
          <w:szCs w:val="22"/>
          <w:lang w:val="es-ES_tradnl"/>
        </w:rPr>
        <w:t xml:space="preserve">de explotaciones agrícolas </w:t>
      </w:r>
      <w:r w:rsidRPr="00B97122">
        <w:rPr>
          <w:rFonts w:asciiTheme="majorHAnsi" w:hAnsiTheme="majorHAnsi"/>
          <w:sz w:val="22"/>
          <w:szCs w:val="22"/>
          <w:lang w:val="es-ES_tradnl"/>
        </w:rPr>
        <w:t xml:space="preserve">en la </w:t>
      </w:r>
      <w:r w:rsidR="0063483A">
        <w:rPr>
          <w:rFonts w:asciiTheme="majorHAnsi" w:hAnsiTheme="majorHAnsi"/>
          <w:sz w:val="22"/>
          <w:szCs w:val="22"/>
          <w:lang w:val="es-ES_tradnl"/>
        </w:rPr>
        <w:t xml:space="preserve">iniciativa conocida como </w:t>
      </w:r>
      <w:r w:rsidR="00C64326" w:rsidRPr="0063483A">
        <w:rPr>
          <w:rFonts w:asciiTheme="majorHAnsi" w:hAnsiTheme="majorHAnsi"/>
          <w:i/>
          <w:sz w:val="22"/>
          <w:szCs w:val="22"/>
          <w:lang w:val="es-ES_tradnl"/>
        </w:rPr>
        <w:t>Prairie Habitat Joint Venture</w:t>
      </w:r>
      <w:r w:rsidR="00566E71">
        <w:rPr>
          <w:rFonts w:asciiTheme="majorHAnsi" w:hAnsiTheme="majorHAnsi"/>
          <w:sz w:val="22"/>
          <w:szCs w:val="22"/>
          <w:lang w:val="es-ES_tradnl"/>
        </w:rPr>
        <w:t>, sobre el hábitat de las praderas</w:t>
      </w:r>
      <w:r w:rsidR="00C64326" w:rsidRPr="00B97122">
        <w:rPr>
          <w:rFonts w:asciiTheme="majorHAnsi" w:hAnsiTheme="majorHAnsi"/>
          <w:sz w:val="22"/>
          <w:szCs w:val="22"/>
          <w:lang w:val="es-ES_tradnl"/>
        </w:rPr>
        <w:t xml:space="preserve">. </w:t>
      </w:r>
      <w:r w:rsidRPr="00B97122">
        <w:rPr>
          <w:rFonts w:asciiTheme="majorHAnsi" w:hAnsiTheme="majorHAnsi"/>
          <w:sz w:val="22"/>
          <w:szCs w:val="22"/>
          <w:lang w:val="es-ES_tradnl"/>
        </w:rPr>
        <w:t>Entre</w:t>
      </w:r>
      <w:r w:rsidR="00C64326" w:rsidRPr="00B97122">
        <w:rPr>
          <w:rFonts w:asciiTheme="majorHAnsi" w:hAnsiTheme="majorHAnsi"/>
          <w:sz w:val="22"/>
          <w:szCs w:val="22"/>
          <w:lang w:val="es-ES_tradnl"/>
        </w:rPr>
        <w:t xml:space="preserve"> 2003</w:t>
      </w:r>
      <w:r w:rsidR="00361AE0">
        <w:rPr>
          <w:rFonts w:asciiTheme="majorHAnsi" w:hAnsiTheme="majorHAnsi"/>
          <w:sz w:val="22"/>
          <w:szCs w:val="22"/>
          <w:lang w:val="es-ES_tradnl"/>
        </w:rPr>
        <w:t xml:space="preserve"> y </w:t>
      </w:r>
      <w:r w:rsidR="00C64326" w:rsidRPr="00B97122">
        <w:rPr>
          <w:rFonts w:asciiTheme="majorHAnsi" w:hAnsiTheme="majorHAnsi"/>
          <w:sz w:val="22"/>
          <w:szCs w:val="22"/>
          <w:lang w:val="es-ES_tradnl"/>
        </w:rPr>
        <w:t xml:space="preserve">2017, </w:t>
      </w:r>
      <w:r w:rsidRPr="00B97122">
        <w:rPr>
          <w:rFonts w:asciiTheme="majorHAnsi" w:hAnsiTheme="majorHAnsi"/>
          <w:sz w:val="22"/>
          <w:szCs w:val="22"/>
          <w:lang w:val="es-ES_tradnl"/>
        </w:rPr>
        <w:t xml:space="preserve">las </w:t>
      </w:r>
      <w:r w:rsidR="00566E71" w:rsidRPr="00B97122">
        <w:rPr>
          <w:rFonts w:asciiTheme="majorHAnsi" w:hAnsiTheme="majorHAnsi"/>
          <w:sz w:val="22"/>
          <w:szCs w:val="22"/>
          <w:lang w:val="es-ES_tradnl"/>
        </w:rPr>
        <w:t>actividades</w:t>
      </w:r>
      <w:r w:rsidR="00566E71">
        <w:rPr>
          <w:rFonts w:asciiTheme="majorHAnsi" w:hAnsiTheme="majorHAnsi"/>
          <w:sz w:val="22"/>
          <w:szCs w:val="22"/>
          <w:lang w:val="es-ES_tradnl"/>
        </w:rPr>
        <w:t xml:space="preserve"> agropecuarias</w:t>
      </w:r>
      <w:r w:rsidRPr="00B97122">
        <w:rPr>
          <w:rFonts w:asciiTheme="majorHAnsi" w:hAnsiTheme="majorHAnsi"/>
          <w:sz w:val="22"/>
          <w:szCs w:val="22"/>
          <w:lang w:val="es-ES_tradnl"/>
        </w:rPr>
        <w:t xml:space="preserve"> se ampliaron y la familia firmó </w:t>
      </w:r>
      <w:r w:rsidR="00C64326" w:rsidRPr="00B97122">
        <w:rPr>
          <w:rFonts w:asciiTheme="majorHAnsi" w:hAnsiTheme="majorHAnsi"/>
          <w:sz w:val="22"/>
          <w:szCs w:val="22"/>
          <w:lang w:val="es-ES_tradnl"/>
        </w:rPr>
        <w:t xml:space="preserve">18 </w:t>
      </w:r>
      <w:r w:rsidR="00566E71">
        <w:rPr>
          <w:rFonts w:asciiTheme="majorHAnsi" w:hAnsiTheme="majorHAnsi"/>
          <w:sz w:val="22"/>
          <w:szCs w:val="22"/>
          <w:lang w:val="es-ES_tradnl"/>
        </w:rPr>
        <w:t xml:space="preserve">servidumbres de </w:t>
      </w:r>
      <w:r w:rsidR="00566E71" w:rsidRPr="00B97122">
        <w:rPr>
          <w:rFonts w:asciiTheme="majorHAnsi" w:hAnsiTheme="majorHAnsi"/>
          <w:sz w:val="22"/>
          <w:szCs w:val="22"/>
          <w:lang w:val="es-ES_tradnl"/>
        </w:rPr>
        <w:t>conservación</w:t>
      </w:r>
      <w:r w:rsidR="00C64326" w:rsidRPr="00B97122">
        <w:rPr>
          <w:rFonts w:asciiTheme="majorHAnsi" w:hAnsiTheme="majorHAnsi"/>
          <w:sz w:val="22"/>
          <w:szCs w:val="22"/>
          <w:lang w:val="es-ES_tradnl"/>
        </w:rPr>
        <w:t xml:space="preserve">, </w:t>
      </w:r>
      <w:r w:rsidRPr="00B97122">
        <w:rPr>
          <w:rFonts w:asciiTheme="majorHAnsi" w:hAnsiTheme="majorHAnsi"/>
          <w:sz w:val="22"/>
          <w:szCs w:val="22"/>
          <w:lang w:val="es-ES_tradnl"/>
        </w:rPr>
        <w:t xml:space="preserve">otorgando protección permanente a </w:t>
      </w:r>
      <w:r w:rsidR="00C64326" w:rsidRPr="00B97122">
        <w:rPr>
          <w:rFonts w:asciiTheme="majorHAnsi" w:hAnsiTheme="majorHAnsi"/>
          <w:sz w:val="22"/>
          <w:szCs w:val="22"/>
          <w:lang w:val="es-ES_tradnl"/>
        </w:rPr>
        <w:t>1</w:t>
      </w:r>
      <w:r w:rsidRPr="00B97122">
        <w:rPr>
          <w:rFonts w:asciiTheme="majorHAnsi" w:hAnsiTheme="majorHAnsi"/>
          <w:sz w:val="22"/>
          <w:szCs w:val="22"/>
          <w:lang w:val="es-ES_tradnl"/>
        </w:rPr>
        <w:t>.</w:t>
      </w:r>
      <w:r w:rsidR="00C64326" w:rsidRPr="00B97122">
        <w:rPr>
          <w:rFonts w:asciiTheme="majorHAnsi" w:hAnsiTheme="majorHAnsi"/>
          <w:sz w:val="22"/>
          <w:szCs w:val="22"/>
          <w:lang w:val="es-ES_tradnl"/>
        </w:rPr>
        <w:t xml:space="preserve">977 </w:t>
      </w:r>
      <w:r w:rsidR="00566E71">
        <w:rPr>
          <w:rFonts w:asciiTheme="majorHAnsi" w:hAnsiTheme="majorHAnsi"/>
          <w:sz w:val="22"/>
          <w:szCs w:val="22"/>
          <w:lang w:val="es-ES_tradnl"/>
        </w:rPr>
        <w:t>hectáreas de tierras naturales</w:t>
      </w:r>
      <w:r w:rsidRPr="00B97122">
        <w:rPr>
          <w:rFonts w:asciiTheme="majorHAnsi" w:hAnsiTheme="majorHAnsi"/>
          <w:sz w:val="22"/>
          <w:szCs w:val="22"/>
          <w:lang w:val="es-ES_tradnl"/>
        </w:rPr>
        <w:t xml:space="preserve">, </w:t>
      </w:r>
      <w:r w:rsidR="00566E71" w:rsidRPr="00B97122">
        <w:rPr>
          <w:rFonts w:asciiTheme="majorHAnsi" w:hAnsiTheme="majorHAnsi"/>
          <w:sz w:val="22"/>
          <w:szCs w:val="22"/>
          <w:lang w:val="es-ES_tradnl"/>
        </w:rPr>
        <w:t>incluidas</w:t>
      </w:r>
      <w:r w:rsidRPr="00B97122">
        <w:rPr>
          <w:rFonts w:asciiTheme="majorHAnsi" w:hAnsiTheme="majorHAnsi"/>
          <w:sz w:val="22"/>
          <w:szCs w:val="22"/>
          <w:lang w:val="es-ES_tradnl"/>
        </w:rPr>
        <w:t xml:space="preserve"> </w:t>
      </w:r>
      <w:r w:rsidR="00C64326" w:rsidRPr="00B97122">
        <w:rPr>
          <w:rFonts w:asciiTheme="majorHAnsi" w:hAnsiTheme="majorHAnsi"/>
          <w:sz w:val="22"/>
          <w:szCs w:val="22"/>
          <w:lang w:val="es-ES_tradnl"/>
        </w:rPr>
        <w:t xml:space="preserve">817 </w:t>
      </w:r>
      <w:r w:rsidR="00566E71" w:rsidRPr="00B97122">
        <w:rPr>
          <w:rFonts w:asciiTheme="majorHAnsi" w:hAnsiTheme="majorHAnsi"/>
          <w:sz w:val="22"/>
          <w:szCs w:val="22"/>
          <w:lang w:val="es-ES_tradnl"/>
        </w:rPr>
        <w:t>hectáreas</w:t>
      </w:r>
      <w:r w:rsidRPr="00B97122">
        <w:rPr>
          <w:rFonts w:asciiTheme="majorHAnsi" w:hAnsiTheme="majorHAnsi"/>
          <w:sz w:val="22"/>
          <w:szCs w:val="22"/>
          <w:lang w:val="es-ES_tradnl"/>
        </w:rPr>
        <w:t xml:space="preserve"> de </w:t>
      </w:r>
      <w:r w:rsidR="00566E71" w:rsidRPr="00B97122">
        <w:rPr>
          <w:rFonts w:asciiTheme="majorHAnsi" w:hAnsiTheme="majorHAnsi"/>
          <w:sz w:val="22"/>
          <w:szCs w:val="22"/>
          <w:lang w:val="es-ES_tradnl"/>
        </w:rPr>
        <w:t>humedales</w:t>
      </w:r>
      <w:r w:rsidR="00C64326" w:rsidRPr="00B97122">
        <w:rPr>
          <w:rFonts w:asciiTheme="majorHAnsi" w:hAnsiTheme="majorHAnsi"/>
          <w:sz w:val="22"/>
          <w:szCs w:val="22"/>
          <w:lang w:val="es-ES_tradnl"/>
        </w:rPr>
        <w:t xml:space="preserve">.   </w:t>
      </w:r>
    </w:p>
    <w:p w14:paraId="1AC4340C" w14:textId="3FD48268" w:rsidR="00C64326" w:rsidRPr="00827133" w:rsidRDefault="00827133" w:rsidP="004C3670">
      <w:pPr>
        <w:numPr>
          <w:ilvl w:val="0"/>
          <w:numId w:val="17"/>
        </w:numPr>
        <w:spacing w:after="120"/>
        <w:rPr>
          <w:rFonts w:asciiTheme="majorHAnsi" w:hAnsiTheme="majorHAnsi"/>
          <w:sz w:val="22"/>
          <w:szCs w:val="22"/>
          <w:lang w:val="es-ES_tradnl"/>
        </w:rPr>
      </w:pPr>
      <w:r w:rsidRPr="00827133">
        <w:rPr>
          <w:rFonts w:asciiTheme="majorHAnsi" w:hAnsiTheme="majorHAnsi"/>
          <w:sz w:val="22"/>
          <w:szCs w:val="22"/>
          <w:lang w:val="es-ES_tradnl"/>
        </w:rPr>
        <w:t xml:space="preserve">Los organismos gubernamentales </w:t>
      </w:r>
      <w:r w:rsidR="00C64326" w:rsidRPr="00827133">
        <w:rPr>
          <w:rFonts w:asciiTheme="majorHAnsi" w:hAnsiTheme="majorHAnsi"/>
          <w:sz w:val="22"/>
          <w:szCs w:val="22"/>
          <w:lang w:val="es-ES_tradnl"/>
        </w:rPr>
        <w:t>Environment</w:t>
      </w:r>
      <w:r w:rsidRPr="00827133">
        <w:rPr>
          <w:rFonts w:asciiTheme="majorHAnsi" w:hAnsiTheme="majorHAnsi"/>
          <w:sz w:val="22"/>
          <w:szCs w:val="22"/>
          <w:lang w:val="es-ES_tradnl"/>
        </w:rPr>
        <w:t xml:space="preserve"> Canada y</w:t>
      </w:r>
      <w:r>
        <w:rPr>
          <w:rFonts w:asciiTheme="majorHAnsi" w:hAnsiTheme="majorHAnsi"/>
          <w:color w:val="FF0000"/>
          <w:sz w:val="22"/>
          <w:szCs w:val="22"/>
          <w:lang w:val="es-ES_tradnl"/>
        </w:rPr>
        <w:t xml:space="preserve"> </w:t>
      </w:r>
      <w:r w:rsidR="00C64326" w:rsidRPr="00827133">
        <w:rPr>
          <w:rFonts w:asciiTheme="majorHAnsi" w:hAnsiTheme="majorHAnsi"/>
          <w:sz w:val="22"/>
          <w:szCs w:val="22"/>
          <w:lang w:val="es-ES_tradnl"/>
        </w:rPr>
        <w:t xml:space="preserve">Climate Change Canada </w:t>
      </w:r>
      <w:r w:rsidR="005B2FFB" w:rsidRPr="00827133">
        <w:rPr>
          <w:rFonts w:asciiTheme="majorHAnsi" w:hAnsiTheme="majorHAnsi"/>
          <w:sz w:val="22"/>
          <w:szCs w:val="22"/>
          <w:lang w:val="es-ES_tradnl"/>
        </w:rPr>
        <w:t>utilizan la</w:t>
      </w:r>
      <w:r>
        <w:rPr>
          <w:rFonts w:asciiTheme="majorHAnsi" w:hAnsiTheme="majorHAnsi"/>
          <w:sz w:val="22"/>
          <w:szCs w:val="22"/>
          <w:lang w:val="es-ES_tradnl"/>
        </w:rPr>
        <w:t xml:space="preserve">s redes sociales para promocionar las oportunidades de </w:t>
      </w:r>
      <w:r w:rsidR="0063483A">
        <w:rPr>
          <w:rFonts w:asciiTheme="majorHAnsi" w:hAnsiTheme="majorHAnsi"/>
          <w:sz w:val="22"/>
          <w:szCs w:val="22"/>
          <w:lang w:val="es-ES_tradnl"/>
        </w:rPr>
        <w:t>fi</w:t>
      </w:r>
      <w:r w:rsidR="0063483A" w:rsidRPr="00827133">
        <w:rPr>
          <w:rFonts w:asciiTheme="majorHAnsi" w:hAnsiTheme="majorHAnsi"/>
          <w:sz w:val="22"/>
          <w:szCs w:val="22"/>
          <w:lang w:val="es-ES_tradnl"/>
        </w:rPr>
        <w:t>nanciación</w:t>
      </w:r>
      <w:r w:rsidR="005B2FFB" w:rsidRPr="00827133">
        <w:rPr>
          <w:rFonts w:asciiTheme="majorHAnsi" w:hAnsiTheme="majorHAnsi"/>
          <w:sz w:val="22"/>
          <w:szCs w:val="22"/>
          <w:lang w:val="es-ES_tradnl"/>
        </w:rPr>
        <w:t xml:space="preserve"> y los beneficios de conservar los humedales en </w:t>
      </w:r>
      <w:r>
        <w:rPr>
          <w:rFonts w:asciiTheme="majorHAnsi" w:hAnsiTheme="majorHAnsi"/>
          <w:sz w:val="22"/>
          <w:szCs w:val="22"/>
          <w:lang w:val="es-ES_tradnl"/>
        </w:rPr>
        <w:t xml:space="preserve">el marco de </w:t>
      </w:r>
      <w:r w:rsidR="005B2FFB" w:rsidRPr="00827133">
        <w:rPr>
          <w:rFonts w:asciiTheme="majorHAnsi" w:hAnsiTheme="majorHAnsi"/>
          <w:sz w:val="22"/>
          <w:szCs w:val="22"/>
          <w:lang w:val="es-ES_tradnl"/>
        </w:rPr>
        <w:t xml:space="preserve">varios </w:t>
      </w:r>
      <w:r w:rsidR="0063483A" w:rsidRPr="00827133">
        <w:rPr>
          <w:rFonts w:asciiTheme="majorHAnsi" w:hAnsiTheme="majorHAnsi"/>
          <w:sz w:val="22"/>
          <w:szCs w:val="22"/>
          <w:lang w:val="es-ES_tradnl"/>
        </w:rPr>
        <w:t>programas</w:t>
      </w:r>
      <w:r w:rsidR="005B2FFB" w:rsidRPr="00827133">
        <w:rPr>
          <w:rFonts w:asciiTheme="majorHAnsi" w:hAnsiTheme="majorHAnsi"/>
          <w:sz w:val="22"/>
          <w:szCs w:val="22"/>
          <w:lang w:val="es-ES_tradnl"/>
        </w:rPr>
        <w:t xml:space="preserve"> (</w:t>
      </w:r>
      <w:r>
        <w:rPr>
          <w:rFonts w:asciiTheme="majorHAnsi" w:hAnsiTheme="majorHAnsi"/>
          <w:sz w:val="22"/>
          <w:szCs w:val="22"/>
          <w:lang w:val="es-ES_tradnl"/>
        </w:rPr>
        <w:t xml:space="preserve">p. ej., </w:t>
      </w:r>
      <w:r w:rsidR="00C64326" w:rsidRPr="00827133">
        <w:rPr>
          <w:rFonts w:asciiTheme="majorHAnsi" w:hAnsiTheme="majorHAnsi"/>
          <w:sz w:val="22"/>
          <w:szCs w:val="22"/>
          <w:lang w:val="es-ES_tradnl"/>
        </w:rPr>
        <w:t>Nat</w:t>
      </w:r>
      <w:r>
        <w:rPr>
          <w:rFonts w:asciiTheme="majorHAnsi" w:hAnsiTheme="majorHAnsi"/>
          <w:sz w:val="22"/>
          <w:szCs w:val="22"/>
          <w:lang w:val="es-ES_tradnl"/>
        </w:rPr>
        <w:t>ional Wetland Conservation Fund y</w:t>
      </w:r>
      <w:r w:rsidR="00C64326" w:rsidRPr="00827133">
        <w:rPr>
          <w:rFonts w:asciiTheme="majorHAnsi" w:hAnsiTheme="majorHAnsi"/>
          <w:sz w:val="22"/>
          <w:szCs w:val="22"/>
          <w:lang w:val="es-ES_tradnl"/>
        </w:rPr>
        <w:t xml:space="preserve"> Eco Action). </w:t>
      </w:r>
    </w:p>
    <w:p w14:paraId="740D68DA" w14:textId="30CCDEA5" w:rsidR="00C64326" w:rsidRPr="008D5432" w:rsidRDefault="005B2FFB" w:rsidP="008D5432">
      <w:pPr>
        <w:numPr>
          <w:ilvl w:val="0"/>
          <w:numId w:val="17"/>
        </w:numPr>
        <w:spacing w:after="120"/>
        <w:rPr>
          <w:rFonts w:asciiTheme="majorHAnsi" w:hAnsiTheme="majorHAnsi"/>
          <w:sz w:val="22"/>
          <w:szCs w:val="22"/>
          <w:lang w:val="es-ES_tradnl"/>
        </w:rPr>
      </w:pPr>
      <w:r w:rsidRPr="00827133">
        <w:rPr>
          <w:rFonts w:asciiTheme="majorHAnsi" w:hAnsiTheme="majorHAnsi"/>
          <w:sz w:val="22"/>
          <w:szCs w:val="22"/>
          <w:lang w:val="es-ES_tradnl"/>
        </w:rPr>
        <w:lastRenderedPageBreak/>
        <w:t>En</w:t>
      </w:r>
      <w:r w:rsidR="00C64326" w:rsidRPr="00827133">
        <w:rPr>
          <w:rFonts w:asciiTheme="majorHAnsi" w:hAnsiTheme="majorHAnsi"/>
          <w:sz w:val="22"/>
          <w:szCs w:val="22"/>
          <w:lang w:val="es-ES_tradnl"/>
        </w:rPr>
        <w:t xml:space="preserve"> Australia, </w:t>
      </w:r>
      <w:r w:rsidR="008D5432">
        <w:rPr>
          <w:rFonts w:asciiTheme="majorHAnsi" w:hAnsiTheme="majorHAnsi"/>
          <w:sz w:val="22"/>
          <w:szCs w:val="22"/>
          <w:lang w:val="es-ES_tradnl"/>
        </w:rPr>
        <w:t xml:space="preserve">la autoridad responsable de la gestión del Parque Marino de la Gran Barrera de Coral </w:t>
      </w:r>
      <w:r w:rsidRPr="00827133">
        <w:rPr>
          <w:rFonts w:asciiTheme="majorHAnsi" w:hAnsiTheme="majorHAnsi"/>
          <w:sz w:val="22"/>
          <w:szCs w:val="22"/>
          <w:lang w:val="es-ES_tradnl"/>
        </w:rPr>
        <w:t xml:space="preserve">ha trabajado para aumentar </w:t>
      </w:r>
      <w:r w:rsidR="008D5432">
        <w:rPr>
          <w:rFonts w:asciiTheme="majorHAnsi" w:hAnsiTheme="majorHAnsi"/>
          <w:sz w:val="22"/>
          <w:szCs w:val="22"/>
          <w:lang w:val="es-ES_tradnl"/>
        </w:rPr>
        <w:t xml:space="preserve">la concienciación en la cuenca de dicha barrera </w:t>
      </w:r>
      <w:r w:rsidRPr="00827133">
        <w:rPr>
          <w:rFonts w:asciiTheme="majorHAnsi" w:hAnsiTheme="majorHAnsi"/>
          <w:sz w:val="22"/>
          <w:szCs w:val="22"/>
          <w:lang w:val="es-ES_tradnl"/>
        </w:rPr>
        <w:t xml:space="preserve">acerca de los beneficios de los ecosistemas que </w:t>
      </w:r>
      <w:r w:rsidR="0063483A" w:rsidRPr="00827133">
        <w:rPr>
          <w:rFonts w:asciiTheme="majorHAnsi" w:hAnsiTheme="majorHAnsi"/>
          <w:sz w:val="22"/>
          <w:szCs w:val="22"/>
          <w:lang w:val="es-ES_tradnl"/>
        </w:rPr>
        <w:t>proporcionan</w:t>
      </w:r>
      <w:r w:rsidRPr="00827133">
        <w:rPr>
          <w:rFonts w:asciiTheme="majorHAnsi" w:hAnsiTheme="majorHAnsi"/>
          <w:sz w:val="22"/>
          <w:szCs w:val="22"/>
          <w:lang w:val="es-ES_tradnl"/>
        </w:rPr>
        <w:t xml:space="preserve"> los </w:t>
      </w:r>
      <w:r w:rsidR="0063483A" w:rsidRPr="00827133">
        <w:rPr>
          <w:rFonts w:asciiTheme="majorHAnsi" w:hAnsiTheme="majorHAnsi"/>
          <w:sz w:val="22"/>
          <w:szCs w:val="22"/>
          <w:lang w:val="es-ES_tradnl"/>
        </w:rPr>
        <w:t>humedales</w:t>
      </w:r>
      <w:r w:rsidRPr="00827133">
        <w:rPr>
          <w:rFonts w:asciiTheme="majorHAnsi" w:hAnsiTheme="majorHAnsi"/>
          <w:sz w:val="22"/>
          <w:szCs w:val="22"/>
          <w:lang w:val="es-ES_tradnl"/>
        </w:rPr>
        <w:t xml:space="preserve">. </w:t>
      </w:r>
      <w:r w:rsidR="008D5432">
        <w:rPr>
          <w:rFonts w:asciiTheme="majorHAnsi" w:hAnsiTheme="majorHAnsi"/>
          <w:sz w:val="22"/>
          <w:szCs w:val="22"/>
          <w:lang w:val="es-ES_tradnl"/>
        </w:rPr>
        <w:t>En particular, e</w:t>
      </w:r>
      <w:r w:rsidRPr="00827133">
        <w:rPr>
          <w:rFonts w:asciiTheme="majorHAnsi" w:hAnsiTheme="majorHAnsi"/>
          <w:sz w:val="22"/>
          <w:szCs w:val="22"/>
          <w:lang w:val="es-ES_tradnl"/>
        </w:rPr>
        <w:t>l programa</w:t>
      </w:r>
      <w:r w:rsidR="00C64326" w:rsidRPr="00827133">
        <w:rPr>
          <w:rFonts w:asciiTheme="majorHAnsi" w:hAnsiTheme="majorHAnsi"/>
          <w:sz w:val="22"/>
          <w:szCs w:val="22"/>
          <w:lang w:val="es-ES_tradnl"/>
        </w:rPr>
        <w:t xml:space="preserve"> </w:t>
      </w:r>
      <w:r w:rsidR="008D5432">
        <w:rPr>
          <w:rFonts w:asciiTheme="majorHAnsi" w:hAnsiTheme="majorHAnsi"/>
          <w:sz w:val="22"/>
          <w:szCs w:val="22"/>
          <w:lang w:val="es-ES_tradnl"/>
        </w:rPr>
        <w:t>que lleva a cabo la autoridad con los centros educativos, titulado</w:t>
      </w:r>
      <w:r w:rsidR="00C64326" w:rsidRPr="00827133">
        <w:rPr>
          <w:rFonts w:asciiTheme="majorHAnsi" w:hAnsiTheme="majorHAnsi"/>
          <w:sz w:val="22"/>
          <w:szCs w:val="22"/>
          <w:lang w:val="es-ES_tradnl"/>
        </w:rPr>
        <w:t xml:space="preserve"> </w:t>
      </w:r>
      <w:r w:rsidR="00C64326" w:rsidRPr="0063483A">
        <w:rPr>
          <w:rFonts w:asciiTheme="majorHAnsi" w:hAnsiTheme="majorHAnsi"/>
          <w:i/>
          <w:sz w:val="22"/>
          <w:szCs w:val="22"/>
          <w:lang w:val="es-ES_tradnl"/>
        </w:rPr>
        <w:t>Reef Guardian</w:t>
      </w:r>
      <w:r w:rsidR="008D5432">
        <w:rPr>
          <w:rFonts w:asciiTheme="majorHAnsi" w:hAnsiTheme="majorHAnsi"/>
          <w:sz w:val="22"/>
          <w:szCs w:val="22"/>
          <w:lang w:val="es-ES_tradnl"/>
        </w:rPr>
        <w:t>, apoya y alienta a los estudiantes a que aprendan acerca de los humedales para que puedan restaurar</w:t>
      </w:r>
      <w:r w:rsidR="00D219DB">
        <w:rPr>
          <w:rFonts w:asciiTheme="majorHAnsi" w:hAnsiTheme="majorHAnsi"/>
          <w:sz w:val="22"/>
          <w:szCs w:val="22"/>
          <w:lang w:val="es-ES_tradnl"/>
        </w:rPr>
        <w:t>los</w:t>
      </w:r>
      <w:r w:rsidR="008D5432">
        <w:rPr>
          <w:rFonts w:asciiTheme="majorHAnsi" w:hAnsiTheme="majorHAnsi"/>
          <w:sz w:val="22"/>
          <w:szCs w:val="22"/>
          <w:lang w:val="es-ES_tradnl"/>
        </w:rPr>
        <w:t>, proteger</w:t>
      </w:r>
      <w:r w:rsidR="00D219DB">
        <w:rPr>
          <w:rFonts w:asciiTheme="majorHAnsi" w:hAnsiTheme="majorHAnsi"/>
          <w:sz w:val="22"/>
          <w:szCs w:val="22"/>
          <w:lang w:val="es-ES_tradnl"/>
        </w:rPr>
        <w:t>los</w:t>
      </w:r>
      <w:r w:rsidR="008D5432">
        <w:rPr>
          <w:rFonts w:asciiTheme="majorHAnsi" w:hAnsiTheme="majorHAnsi"/>
          <w:sz w:val="22"/>
          <w:szCs w:val="22"/>
          <w:lang w:val="es-ES_tradnl"/>
        </w:rPr>
        <w:t xml:space="preserve"> y mantenerlos en la cuenca de la Gran Barrera de Coral.</w:t>
      </w:r>
      <w:r w:rsidR="004F77EC">
        <w:rPr>
          <w:rFonts w:asciiTheme="majorHAnsi" w:hAnsiTheme="majorHAnsi"/>
          <w:sz w:val="22"/>
          <w:szCs w:val="22"/>
          <w:lang w:val="es-ES_tradnl"/>
        </w:rPr>
        <w:t xml:space="preserve"> </w:t>
      </w:r>
      <w:r w:rsidR="008D5432">
        <w:rPr>
          <w:rFonts w:asciiTheme="majorHAnsi" w:hAnsiTheme="majorHAnsi"/>
          <w:sz w:val="22"/>
          <w:szCs w:val="22"/>
          <w:lang w:val="es-ES_tradnl"/>
        </w:rPr>
        <w:t>En</w:t>
      </w:r>
      <w:r w:rsidR="004F77EC">
        <w:rPr>
          <w:rFonts w:asciiTheme="majorHAnsi" w:hAnsiTheme="majorHAnsi"/>
          <w:sz w:val="22"/>
          <w:szCs w:val="22"/>
          <w:lang w:val="es-ES_tradnl"/>
        </w:rPr>
        <w:t xml:space="preserve"> 2017 participaron en el programa</w:t>
      </w:r>
      <w:r w:rsidR="00C64326" w:rsidRPr="00827133">
        <w:rPr>
          <w:rFonts w:asciiTheme="majorHAnsi" w:hAnsiTheme="majorHAnsi"/>
          <w:sz w:val="22"/>
          <w:szCs w:val="22"/>
          <w:lang w:val="es-ES_tradnl"/>
        </w:rPr>
        <w:t xml:space="preserve"> 300 </w:t>
      </w:r>
      <w:r w:rsidR="008D5432">
        <w:rPr>
          <w:rFonts w:asciiTheme="majorHAnsi" w:hAnsiTheme="majorHAnsi"/>
          <w:sz w:val="22"/>
          <w:szCs w:val="22"/>
          <w:lang w:val="es-ES_tradnl"/>
        </w:rPr>
        <w:t xml:space="preserve">centros de enseñanza, más de </w:t>
      </w:r>
      <w:r w:rsidR="00C64326" w:rsidRPr="00827133">
        <w:rPr>
          <w:rFonts w:asciiTheme="majorHAnsi" w:hAnsiTheme="majorHAnsi"/>
          <w:sz w:val="22"/>
          <w:szCs w:val="22"/>
          <w:lang w:val="es-ES_tradnl"/>
        </w:rPr>
        <w:t>127</w:t>
      </w:r>
      <w:r w:rsidR="008D5432">
        <w:rPr>
          <w:rFonts w:asciiTheme="majorHAnsi" w:hAnsiTheme="majorHAnsi"/>
          <w:sz w:val="22"/>
          <w:szCs w:val="22"/>
          <w:lang w:val="es-ES_tradnl"/>
        </w:rPr>
        <w:t>.</w:t>
      </w:r>
      <w:r w:rsidR="00C64326" w:rsidRPr="00827133">
        <w:rPr>
          <w:rFonts w:asciiTheme="majorHAnsi" w:hAnsiTheme="majorHAnsi"/>
          <w:sz w:val="22"/>
          <w:szCs w:val="22"/>
          <w:lang w:val="es-ES_tradnl"/>
        </w:rPr>
        <w:t xml:space="preserve">000 </w:t>
      </w:r>
      <w:r w:rsidR="008D5432">
        <w:rPr>
          <w:rFonts w:asciiTheme="majorHAnsi" w:hAnsiTheme="majorHAnsi"/>
          <w:sz w:val="22"/>
          <w:szCs w:val="22"/>
          <w:lang w:val="es-ES_tradnl"/>
        </w:rPr>
        <w:t>estudiantes y 7.</w:t>
      </w:r>
      <w:r w:rsidR="00C64326" w:rsidRPr="008D5432">
        <w:rPr>
          <w:rFonts w:asciiTheme="majorHAnsi" w:hAnsiTheme="majorHAnsi"/>
          <w:sz w:val="22"/>
          <w:szCs w:val="22"/>
          <w:lang w:val="es-ES_tradnl"/>
        </w:rPr>
        <w:t xml:space="preserve">900 </w:t>
      </w:r>
      <w:r w:rsidR="004F77EC">
        <w:rPr>
          <w:rFonts w:asciiTheme="majorHAnsi" w:hAnsiTheme="majorHAnsi"/>
          <w:sz w:val="22"/>
          <w:szCs w:val="22"/>
          <w:lang w:val="es-ES_tradnl"/>
        </w:rPr>
        <w:t xml:space="preserve">docentes. </w:t>
      </w:r>
      <w:r w:rsidR="008D5432">
        <w:rPr>
          <w:rFonts w:asciiTheme="majorHAnsi" w:hAnsiTheme="majorHAnsi"/>
          <w:sz w:val="22"/>
          <w:szCs w:val="22"/>
          <w:lang w:val="es-ES_tradnl"/>
        </w:rPr>
        <w:t xml:space="preserve">El </w:t>
      </w:r>
      <w:r w:rsidR="004F77EC">
        <w:rPr>
          <w:rFonts w:asciiTheme="majorHAnsi" w:hAnsiTheme="majorHAnsi"/>
          <w:sz w:val="22"/>
          <w:szCs w:val="22"/>
          <w:lang w:val="es-ES_tradnl"/>
        </w:rPr>
        <w:t>programa divulgó actividades realizadas por gobiernos locales que reconocen la importancia de gestionar y apoyar a los humedales para todos los beneficiarios</w:t>
      </w:r>
      <w:r w:rsidR="00C64326" w:rsidRPr="008D5432">
        <w:rPr>
          <w:rFonts w:asciiTheme="majorHAnsi" w:hAnsiTheme="majorHAnsi"/>
          <w:sz w:val="22"/>
          <w:szCs w:val="22"/>
          <w:lang w:val="es-ES_tradnl"/>
        </w:rPr>
        <w:t>.</w:t>
      </w:r>
    </w:p>
    <w:p w14:paraId="417C71C0" w14:textId="6C984D17" w:rsidR="00C64326" w:rsidRPr="00B97122" w:rsidRDefault="004F77EC"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 xml:space="preserve">En Nueva Zelandia, el programa </w:t>
      </w:r>
      <w:r w:rsidRPr="00D219DB">
        <w:rPr>
          <w:rFonts w:asciiTheme="majorHAnsi" w:hAnsiTheme="majorHAnsi"/>
          <w:i/>
          <w:sz w:val="22"/>
          <w:szCs w:val="22"/>
          <w:lang w:val="es-ES_tradnl"/>
        </w:rPr>
        <w:t>Kiwi Guardians</w:t>
      </w:r>
      <w:r>
        <w:rPr>
          <w:rFonts w:asciiTheme="majorHAnsi" w:hAnsiTheme="majorHAnsi"/>
          <w:sz w:val="22"/>
          <w:szCs w:val="22"/>
          <w:lang w:val="es-ES_tradnl"/>
        </w:rPr>
        <w:t xml:space="preserve">, iniciado en 2015 con </w:t>
      </w:r>
      <w:r w:rsidR="00334CCD">
        <w:rPr>
          <w:rFonts w:asciiTheme="majorHAnsi" w:hAnsiTheme="majorHAnsi"/>
          <w:sz w:val="22"/>
          <w:szCs w:val="22"/>
          <w:lang w:val="es-ES_tradnl"/>
        </w:rPr>
        <w:t>el patrocinio de Toyota Nueva Zelandia, es un programa de actividades destinadas a los niños para que estos aprendan más acerca de la naturaleza y ganen una medalla en este proceso. Varios sitios Ramsar participan en el programa y se organizan actividades para que los niños visiten l</w:t>
      </w:r>
      <w:r w:rsidR="00D219DB">
        <w:rPr>
          <w:rFonts w:asciiTheme="majorHAnsi" w:hAnsiTheme="majorHAnsi"/>
          <w:sz w:val="22"/>
          <w:szCs w:val="22"/>
          <w:lang w:val="es-ES_tradnl"/>
        </w:rPr>
        <w:t>agos, ríos, pantanos y turberas a fin de</w:t>
      </w:r>
      <w:r w:rsidR="00334CCD">
        <w:rPr>
          <w:rFonts w:asciiTheme="majorHAnsi" w:hAnsiTheme="majorHAnsi"/>
          <w:sz w:val="22"/>
          <w:szCs w:val="22"/>
          <w:lang w:val="es-ES_tradnl"/>
        </w:rPr>
        <w:t xml:space="preserve"> obtener información.</w:t>
      </w:r>
    </w:p>
    <w:p w14:paraId="5E24A4A5" w14:textId="3BF2B814" w:rsidR="00C64326" w:rsidRPr="00B97122" w:rsidRDefault="00334CCD"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 xml:space="preserve">La </w:t>
      </w:r>
      <w:r w:rsidRPr="002676C1">
        <w:rPr>
          <w:rFonts w:asciiTheme="majorHAnsi" w:hAnsiTheme="majorHAnsi"/>
          <w:sz w:val="22"/>
          <w:szCs w:val="22"/>
          <w:lang w:val="es-ES_tradnl"/>
        </w:rPr>
        <w:t>Agencia Federal Alemana para la Conservación de la Naturalez</w:t>
      </w:r>
      <w:r w:rsidR="002676C1">
        <w:rPr>
          <w:rFonts w:asciiTheme="majorHAnsi" w:hAnsiTheme="majorHAnsi"/>
          <w:sz w:val="22"/>
          <w:szCs w:val="22"/>
          <w:lang w:val="es-ES_tradnl"/>
        </w:rPr>
        <w:t xml:space="preserve">a organizó un evento paralelo sobre las turberas y el cambio climático en el marco del a COP23 de la </w:t>
      </w:r>
      <w:r w:rsidR="000A304A">
        <w:rPr>
          <w:rFonts w:asciiTheme="majorHAnsi" w:hAnsiTheme="majorHAnsi"/>
          <w:sz w:val="22"/>
          <w:szCs w:val="22"/>
          <w:lang w:val="es-ES_tradnl"/>
        </w:rPr>
        <w:t>CMNUCC</w:t>
      </w:r>
      <w:r w:rsidR="00C64326" w:rsidRPr="00B97122">
        <w:rPr>
          <w:rFonts w:asciiTheme="majorHAnsi" w:hAnsiTheme="majorHAnsi"/>
          <w:sz w:val="22"/>
          <w:szCs w:val="22"/>
          <w:lang w:val="es-ES_tradnl"/>
        </w:rPr>
        <w:t xml:space="preserve">. </w:t>
      </w:r>
    </w:p>
    <w:p w14:paraId="3ECD3C3C" w14:textId="2CFA2813" w:rsidR="00C64326" w:rsidRPr="00B97122" w:rsidRDefault="00693C82"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 xml:space="preserve">En Granada, </w:t>
      </w:r>
      <w:r w:rsidR="00D219DB">
        <w:rPr>
          <w:rFonts w:asciiTheme="majorHAnsi" w:hAnsiTheme="majorHAnsi"/>
          <w:sz w:val="22"/>
          <w:szCs w:val="22"/>
          <w:lang w:val="es-ES_tradnl"/>
        </w:rPr>
        <w:t xml:space="preserve">la ONG </w:t>
      </w:r>
      <w:r w:rsidR="00CD7185" w:rsidRPr="00B97122">
        <w:rPr>
          <w:rFonts w:asciiTheme="majorHAnsi" w:hAnsiTheme="majorHAnsi"/>
          <w:sz w:val="22"/>
          <w:szCs w:val="22"/>
          <w:lang w:val="es-ES_tradnl"/>
        </w:rPr>
        <w:t xml:space="preserve">Ocean Spirit International </w:t>
      </w:r>
      <w:r w:rsidR="00CD7185">
        <w:rPr>
          <w:rFonts w:asciiTheme="majorHAnsi" w:hAnsiTheme="majorHAnsi"/>
          <w:sz w:val="22"/>
          <w:szCs w:val="22"/>
          <w:lang w:val="es-ES_tradnl"/>
        </w:rPr>
        <w:t>ha llevado a cabo</w:t>
      </w:r>
      <w:r w:rsidR="00CD7185"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un proyecto titulado </w:t>
      </w:r>
      <w:r w:rsidR="00C64326" w:rsidRPr="00D219DB">
        <w:rPr>
          <w:rFonts w:asciiTheme="majorHAnsi" w:hAnsiTheme="majorHAnsi"/>
          <w:i/>
          <w:sz w:val="22"/>
          <w:szCs w:val="22"/>
          <w:lang w:val="es-ES_tradnl"/>
        </w:rPr>
        <w:t>Climate change adaptation/mitigation in the Levera Ramsar Site</w:t>
      </w:r>
      <w:r w:rsidR="00C64326" w:rsidRPr="00B97122">
        <w:rPr>
          <w:rFonts w:asciiTheme="majorHAnsi" w:hAnsiTheme="majorHAnsi"/>
          <w:sz w:val="22"/>
          <w:szCs w:val="22"/>
          <w:lang w:val="es-ES_tradnl"/>
        </w:rPr>
        <w:t xml:space="preserve"> </w:t>
      </w:r>
      <w:r w:rsidR="00CD7185">
        <w:rPr>
          <w:rFonts w:asciiTheme="majorHAnsi" w:hAnsiTheme="majorHAnsi"/>
          <w:sz w:val="22"/>
          <w:szCs w:val="22"/>
          <w:lang w:val="es-ES_tradnl"/>
        </w:rPr>
        <w:t>[Adaptación o mitigación del cambio climáti</w:t>
      </w:r>
      <w:r w:rsidR="00D219DB">
        <w:rPr>
          <w:rFonts w:asciiTheme="majorHAnsi" w:hAnsiTheme="majorHAnsi"/>
          <w:sz w:val="22"/>
          <w:szCs w:val="22"/>
          <w:lang w:val="es-ES_tradnl"/>
        </w:rPr>
        <w:t>co en el sitio Ramsar de Levera]</w:t>
      </w:r>
      <w:r w:rsidR="00CD7185">
        <w:rPr>
          <w:rFonts w:asciiTheme="majorHAnsi" w:hAnsiTheme="majorHAnsi"/>
          <w:sz w:val="22"/>
          <w:szCs w:val="22"/>
          <w:lang w:val="es-ES_tradnl"/>
        </w:rPr>
        <w:t xml:space="preserve"> en colaboración con la Autoridad Administrativa de la Convención, </w:t>
      </w:r>
      <w:r w:rsidR="00F62900">
        <w:rPr>
          <w:rFonts w:asciiTheme="majorHAnsi" w:hAnsiTheme="majorHAnsi"/>
          <w:sz w:val="22"/>
          <w:szCs w:val="22"/>
          <w:lang w:val="es-ES_tradnl"/>
        </w:rPr>
        <w:t>para hacer frente a las cuestiones relacionadas con la adaptación o mitigación en el sitio.</w:t>
      </w:r>
    </w:p>
    <w:p w14:paraId="628CB205" w14:textId="1B008DA2" w:rsidR="00C64326" w:rsidRPr="00B97122" w:rsidRDefault="002F6CF8"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 xml:space="preserve">En los Emiratos Árabes Unidos, el número de visitantes del sitio Ramsar </w:t>
      </w:r>
      <w:r w:rsidR="00C64326" w:rsidRPr="00B97122">
        <w:rPr>
          <w:rFonts w:asciiTheme="majorHAnsi" w:hAnsiTheme="majorHAnsi"/>
          <w:sz w:val="22"/>
          <w:szCs w:val="22"/>
          <w:lang w:val="es-ES_tradnl"/>
        </w:rPr>
        <w:t xml:space="preserve">Ras Al Khor Wildife Sanctuary </w:t>
      </w:r>
      <w:r>
        <w:rPr>
          <w:rFonts w:asciiTheme="majorHAnsi" w:hAnsiTheme="majorHAnsi"/>
          <w:sz w:val="22"/>
          <w:szCs w:val="22"/>
          <w:lang w:val="es-ES_tradnl"/>
        </w:rPr>
        <w:t xml:space="preserve">ha aumentado, pasando de </w:t>
      </w:r>
      <w:r w:rsidR="00C64326" w:rsidRPr="00B97122">
        <w:rPr>
          <w:rFonts w:asciiTheme="majorHAnsi" w:hAnsiTheme="majorHAnsi"/>
          <w:sz w:val="22"/>
          <w:szCs w:val="22"/>
          <w:lang w:val="es-ES_tradnl"/>
        </w:rPr>
        <w:t>48</w:t>
      </w:r>
      <w:r>
        <w:rPr>
          <w:rFonts w:asciiTheme="majorHAnsi" w:hAnsiTheme="majorHAnsi"/>
          <w:sz w:val="22"/>
          <w:szCs w:val="22"/>
          <w:lang w:val="es-ES_tradnl"/>
        </w:rPr>
        <w:t>.</w:t>
      </w:r>
      <w:r w:rsidR="00C64326" w:rsidRPr="00B97122">
        <w:rPr>
          <w:rFonts w:asciiTheme="majorHAnsi" w:hAnsiTheme="majorHAnsi"/>
          <w:sz w:val="22"/>
          <w:szCs w:val="22"/>
          <w:lang w:val="es-ES_tradnl"/>
        </w:rPr>
        <w:t>659</w:t>
      </w:r>
      <w:r>
        <w:rPr>
          <w:rFonts w:asciiTheme="majorHAnsi" w:hAnsiTheme="majorHAnsi"/>
          <w:sz w:val="22"/>
          <w:szCs w:val="22"/>
          <w:lang w:val="es-ES_tradnl"/>
        </w:rPr>
        <w:t xml:space="preserve"> visitantes en </w:t>
      </w:r>
      <w:r w:rsidR="00C64326" w:rsidRPr="00B97122">
        <w:rPr>
          <w:rFonts w:asciiTheme="majorHAnsi" w:hAnsiTheme="majorHAnsi"/>
          <w:sz w:val="22"/>
          <w:szCs w:val="22"/>
          <w:lang w:val="es-ES_tradnl"/>
        </w:rPr>
        <w:t>2015</w:t>
      </w:r>
      <w:r>
        <w:rPr>
          <w:rFonts w:asciiTheme="majorHAnsi" w:hAnsiTheme="majorHAnsi"/>
          <w:sz w:val="22"/>
          <w:szCs w:val="22"/>
          <w:lang w:val="es-ES_tradnl"/>
        </w:rPr>
        <w:t xml:space="preserve"> a </w:t>
      </w:r>
      <w:r w:rsidR="00C64326" w:rsidRPr="00B97122">
        <w:rPr>
          <w:rFonts w:asciiTheme="majorHAnsi" w:hAnsiTheme="majorHAnsi"/>
          <w:sz w:val="22"/>
          <w:szCs w:val="22"/>
          <w:lang w:val="es-ES_tradnl"/>
        </w:rPr>
        <w:t>92</w:t>
      </w:r>
      <w:r>
        <w:rPr>
          <w:rFonts w:asciiTheme="majorHAnsi" w:hAnsiTheme="majorHAnsi"/>
          <w:sz w:val="22"/>
          <w:szCs w:val="22"/>
          <w:lang w:val="es-ES_tradnl"/>
        </w:rPr>
        <w:t>.</w:t>
      </w:r>
      <w:r w:rsidR="00C64326" w:rsidRPr="00B97122">
        <w:rPr>
          <w:rFonts w:asciiTheme="majorHAnsi" w:hAnsiTheme="majorHAnsi"/>
          <w:sz w:val="22"/>
          <w:szCs w:val="22"/>
          <w:lang w:val="es-ES_tradnl"/>
        </w:rPr>
        <w:t xml:space="preserve">309 </w:t>
      </w:r>
      <w:r>
        <w:rPr>
          <w:rFonts w:asciiTheme="majorHAnsi" w:hAnsiTheme="majorHAnsi"/>
          <w:sz w:val="22"/>
          <w:szCs w:val="22"/>
          <w:lang w:val="es-ES_tradnl"/>
        </w:rPr>
        <w:t>en</w:t>
      </w:r>
      <w:r w:rsidR="00C64326" w:rsidRPr="00B97122">
        <w:rPr>
          <w:rFonts w:asciiTheme="majorHAnsi" w:hAnsiTheme="majorHAnsi"/>
          <w:sz w:val="22"/>
          <w:szCs w:val="22"/>
          <w:lang w:val="es-ES_tradnl"/>
        </w:rPr>
        <w:t xml:space="preserve"> 2016</w:t>
      </w:r>
      <w:r>
        <w:rPr>
          <w:rFonts w:asciiTheme="majorHAnsi" w:hAnsiTheme="majorHAnsi"/>
          <w:sz w:val="22"/>
          <w:szCs w:val="22"/>
          <w:lang w:val="es-ES_tradnl"/>
        </w:rPr>
        <w:t xml:space="preserve"> y 136.</w:t>
      </w:r>
      <w:r w:rsidR="00C64326" w:rsidRPr="00B97122">
        <w:rPr>
          <w:rFonts w:asciiTheme="majorHAnsi" w:hAnsiTheme="majorHAnsi"/>
          <w:sz w:val="22"/>
          <w:szCs w:val="22"/>
          <w:lang w:val="es-ES_tradnl"/>
        </w:rPr>
        <w:t xml:space="preserve">751 </w:t>
      </w:r>
      <w:r>
        <w:rPr>
          <w:rFonts w:asciiTheme="majorHAnsi" w:hAnsiTheme="majorHAnsi"/>
          <w:sz w:val="22"/>
          <w:szCs w:val="22"/>
          <w:lang w:val="es-ES_tradnl"/>
        </w:rPr>
        <w:t xml:space="preserve">en </w:t>
      </w:r>
      <w:r w:rsidR="00C64326" w:rsidRPr="00B97122">
        <w:rPr>
          <w:rFonts w:asciiTheme="majorHAnsi" w:hAnsiTheme="majorHAnsi"/>
          <w:sz w:val="22"/>
          <w:szCs w:val="22"/>
          <w:lang w:val="es-ES_tradnl"/>
        </w:rPr>
        <w:t xml:space="preserve">2017. </w:t>
      </w:r>
      <w:r>
        <w:rPr>
          <w:rFonts w:asciiTheme="majorHAnsi" w:hAnsiTheme="majorHAnsi"/>
          <w:sz w:val="22"/>
          <w:szCs w:val="22"/>
          <w:lang w:val="es-ES_tradnl"/>
        </w:rPr>
        <w:t xml:space="preserve">En total, </w:t>
      </w:r>
      <w:r w:rsidR="00C64326" w:rsidRPr="00B97122">
        <w:rPr>
          <w:rFonts w:asciiTheme="majorHAnsi" w:hAnsiTheme="majorHAnsi"/>
          <w:sz w:val="22"/>
          <w:szCs w:val="22"/>
          <w:lang w:val="es-ES_tradnl"/>
        </w:rPr>
        <w:t xml:space="preserve">600 </w:t>
      </w:r>
      <w:r>
        <w:rPr>
          <w:rFonts w:asciiTheme="majorHAnsi" w:hAnsiTheme="majorHAnsi"/>
          <w:sz w:val="22"/>
          <w:szCs w:val="22"/>
          <w:lang w:val="es-ES_tradnl"/>
        </w:rPr>
        <w:t>estudiantes han visitado esta área protegida en los últimos dos años. También ex</w:t>
      </w:r>
      <w:r w:rsidR="00155E53">
        <w:rPr>
          <w:rFonts w:asciiTheme="majorHAnsi" w:hAnsiTheme="majorHAnsi"/>
          <w:sz w:val="22"/>
          <w:szCs w:val="22"/>
          <w:lang w:val="es-ES_tradnl"/>
        </w:rPr>
        <w:t xml:space="preserve">iste un programa de voluntarios, que son estudiantes universitarios que participan en actividades de gestión de los manglares. Otro programa que </w:t>
      </w:r>
      <w:r w:rsidR="00CF76F6">
        <w:rPr>
          <w:rFonts w:asciiTheme="majorHAnsi" w:hAnsiTheme="majorHAnsi"/>
          <w:sz w:val="22"/>
          <w:szCs w:val="22"/>
          <w:lang w:val="es-ES_tradnl"/>
        </w:rPr>
        <w:t xml:space="preserve">fomenta la participación del público es el de limpieza del litoral o </w:t>
      </w:r>
      <w:r w:rsidR="00CF76F6" w:rsidRPr="00D219DB">
        <w:rPr>
          <w:rFonts w:asciiTheme="majorHAnsi" w:hAnsiTheme="majorHAnsi"/>
          <w:i/>
          <w:sz w:val="22"/>
          <w:szCs w:val="22"/>
          <w:lang w:val="es-ES_tradnl"/>
        </w:rPr>
        <w:t>Internation</w:t>
      </w:r>
      <w:r w:rsidR="00C64326" w:rsidRPr="00D219DB">
        <w:rPr>
          <w:rFonts w:asciiTheme="majorHAnsi" w:hAnsiTheme="majorHAnsi"/>
          <w:i/>
          <w:sz w:val="22"/>
          <w:szCs w:val="22"/>
          <w:lang w:val="es-ES_tradnl"/>
        </w:rPr>
        <w:t>al Coastal Clean-up</w:t>
      </w:r>
      <w:r w:rsidR="00CF76F6">
        <w:rPr>
          <w:rFonts w:asciiTheme="majorHAnsi" w:hAnsiTheme="majorHAnsi"/>
          <w:sz w:val="22"/>
          <w:szCs w:val="22"/>
          <w:lang w:val="es-ES_tradnl"/>
        </w:rPr>
        <w:t xml:space="preserve">, que se lleva a cabo en el área protegida Jabal Ali Marine Sanctuary. En la actividad participaron estudiantes, organizaciones empresariales, buceadores y el gran público. En </w:t>
      </w:r>
      <w:r w:rsidR="00C64326" w:rsidRPr="00B97122">
        <w:rPr>
          <w:rFonts w:asciiTheme="majorHAnsi" w:hAnsiTheme="majorHAnsi"/>
          <w:sz w:val="22"/>
          <w:szCs w:val="22"/>
          <w:lang w:val="es-ES_tradnl"/>
        </w:rPr>
        <w:t xml:space="preserve">2016, </w:t>
      </w:r>
      <w:r w:rsidR="00CF76F6">
        <w:rPr>
          <w:rFonts w:asciiTheme="majorHAnsi" w:hAnsiTheme="majorHAnsi"/>
          <w:sz w:val="22"/>
          <w:szCs w:val="22"/>
          <w:lang w:val="es-ES_tradnl"/>
        </w:rPr>
        <w:t xml:space="preserve">se eliminaron más de dos toneladas de basura </w:t>
      </w:r>
      <w:r w:rsidR="00553688">
        <w:rPr>
          <w:rFonts w:asciiTheme="majorHAnsi" w:hAnsiTheme="majorHAnsi"/>
          <w:sz w:val="22"/>
          <w:szCs w:val="22"/>
          <w:lang w:val="es-ES_tradnl"/>
        </w:rPr>
        <w:t>de</w:t>
      </w:r>
      <w:r w:rsidR="00CF76F6">
        <w:rPr>
          <w:rFonts w:asciiTheme="majorHAnsi" w:hAnsiTheme="majorHAnsi"/>
          <w:sz w:val="22"/>
          <w:szCs w:val="22"/>
          <w:lang w:val="es-ES_tradnl"/>
        </w:rPr>
        <w:t xml:space="preserve"> un tramo de playa de 2 kilómetros</w:t>
      </w:r>
      <w:r w:rsidR="00C64326" w:rsidRPr="00B97122">
        <w:rPr>
          <w:rFonts w:asciiTheme="majorHAnsi" w:hAnsiTheme="majorHAnsi"/>
          <w:sz w:val="22"/>
          <w:szCs w:val="22"/>
          <w:lang w:val="es-ES_tradnl"/>
        </w:rPr>
        <w:t xml:space="preserve">. </w:t>
      </w:r>
    </w:p>
    <w:p w14:paraId="4A965D0E" w14:textId="7F464E86" w:rsidR="00C64326" w:rsidRPr="00B97122" w:rsidRDefault="00CF76F6"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En</w:t>
      </w:r>
      <w:r w:rsidR="00C64326" w:rsidRPr="00B97122">
        <w:rPr>
          <w:rFonts w:asciiTheme="majorHAnsi" w:hAnsiTheme="majorHAnsi"/>
          <w:sz w:val="22"/>
          <w:szCs w:val="22"/>
          <w:lang w:val="es-ES_tradnl"/>
        </w:rPr>
        <w:t xml:space="preserve"> Ecuador, </w:t>
      </w:r>
      <w:r>
        <w:rPr>
          <w:rFonts w:asciiTheme="majorHAnsi" w:hAnsiTheme="majorHAnsi"/>
          <w:sz w:val="22"/>
          <w:szCs w:val="22"/>
          <w:lang w:val="es-ES_tradnl"/>
        </w:rPr>
        <w:t xml:space="preserve">el Ministerio de Medio Ambiente dirige una iniciativa anual para limpiar playas en el marco de la celebración del Día Internacional </w:t>
      </w:r>
      <w:r w:rsidR="0035753B">
        <w:rPr>
          <w:rFonts w:asciiTheme="majorHAnsi" w:hAnsiTheme="majorHAnsi"/>
          <w:sz w:val="22"/>
          <w:szCs w:val="22"/>
          <w:lang w:val="es-ES_tradnl"/>
        </w:rPr>
        <w:t>de Limpieza de Playas, que también incluye ríos, lagunas, arroyos y lagos</w:t>
      </w:r>
      <w:r w:rsidR="00C64326" w:rsidRPr="00B97122">
        <w:rPr>
          <w:rFonts w:asciiTheme="majorHAnsi" w:hAnsiTheme="majorHAnsi"/>
          <w:sz w:val="22"/>
          <w:szCs w:val="22"/>
          <w:lang w:val="es-ES_tradnl"/>
        </w:rPr>
        <w:t xml:space="preserve">. </w:t>
      </w:r>
      <w:r w:rsidR="0035753B">
        <w:rPr>
          <w:rFonts w:asciiTheme="majorHAnsi" w:hAnsiTheme="majorHAnsi"/>
          <w:sz w:val="22"/>
          <w:szCs w:val="22"/>
          <w:lang w:val="es-ES_tradnl"/>
        </w:rPr>
        <w:t xml:space="preserve">Esta actividad también aumenta la concienciación y divulga información sobre el tratamiento de los residuos y </w:t>
      </w:r>
      <w:r w:rsidR="00553688">
        <w:rPr>
          <w:rFonts w:asciiTheme="majorHAnsi" w:hAnsiTheme="majorHAnsi"/>
          <w:sz w:val="22"/>
          <w:szCs w:val="22"/>
          <w:lang w:val="es-ES_tradnl"/>
        </w:rPr>
        <w:t xml:space="preserve">sobre </w:t>
      </w:r>
      <w:r w:rsidR="0035753B">
        <w:rPr>
          <w:rFonts w:asciiTheme="majorHAnsi" w:hAnsiTheme="majorHAnsi"/>
          <w:sz w:val="22"/>
          <w:szCs w:val="22"/>
          <w:lang w:val="es-ES_tradnl"/>
        </w:rPr>
        <w:t xml:space="preserve">cómo la gestión inadecuada de estos afecta a los ecosistemas acuáticos. En 2017 participaron </w:t>
      </w:r>
      <w:r w:rsidR="00C64326" w:rsidRPr="00B97122">
        <w:rPr>
          <w:rFonts w:asciiTheme="majorHAnsi" w:hAnsiTheme="majorHAnsi"/>
          <w:sz w:val="22"/>
          <w:szCs w:val="22"/>
          <w:lang w:val="es-ES_tradnl"/>
        </w:rPr>
        <w:t>39</w:t>
      </w:r>
      <w:r w:rsidR="0035753B">
        <w:rPr>
          <w:rFonts w:asciiTheme="majorHAnsi" w:hAnsiTheme="majorHAnsi"/>
          <w:sz w:val="22"/>
          <w:szCs w:val="22"/>
          <w:lang w:val="es-ES_tradnl"/>
        </w:rPr>
        <w:t>.</w:t>
      </w:r>
      <w:r w:rsidR="00C64326" w:rsidRPr="00B97122">
        <w:rPr>
          <w:rFonts w:asciiTheme="majorHAnsi" w:hAnsiTheme="majorHAnsi"/>
          <w:sz w:val="22"/>
          <w:szCs w:val="22"/>
          <w:lang w:val="es-ES_tradnl"/>
        </w:rPr>
        <w:t>000</w:t>
      </w:r>
      <w:r w:rsidR="0035753B">
        <w:rPr>
          <w:rFonts w:asciiTheme="majorHAnsi" w:hAnsiTheme="majorHAnsi"/>
          <w:sz w:val="22"/>
          <w:szCs w:val="22"/>
          <w:lang w:val="es-ES_tradnl"/>
        </w:rPr>
        <w:t xml:space="preserve"> voluntarios</w:t>
      </w:r>
      <w:r w:rsidR="00C64326" w:rsidRPr="00B97122">
        <w:rPr>
          <w:rFonts w:asciiTheme="majorHAnsi" w:hAnsiTheme="majorHAnsi"/>
          <w:sz w:val="22"/>
          <w:szCs w:val="22"/>
          <w:lang w:val="es-ES_tradnl"/>
        </w:rPr>
        <w:t xml:space="preserve">.  </w:t>
      </w:r>
    </w:p>
    <w:p w14:paraId="057CC9DE" w14:textId="3938B9DA" w:rsidR="00C64326" w:rsidRPr="00B97122" w:rsidRDefault="006D7A7D" w:rsidP="004C3670">
      <w:pPr>
        <w:numPr>
          <w:ilvl w:val="0"/>
          <w:numId w:val="17"/>
        </w:numPr>
        <w:spacing w:after="120"/>
        <w:rPr>
          <w:rFonts w:asciiTheme="majorHAnsi" w:hAnsiTheme="majorHAnsi"/>
          <w:sz w:val="22"/>
          <w:szCs w:val="22"/>
          <w:lang w:val="es-ES_tradnl"/>
        </w:rPr>
      </w:pPr>
      <w:r>
        <w:rPr>
          <w:rFonts w:asciiTheme="majorHAnsi" w:hAnsiTheme="majorHAnsi"/>
          <w:sz w:val="22"/>
          <w:szCs w:val="22"/>
          <w:lang w:val="es-ES_tradnl"/>
        </w:rPr>
        <w:t xml:space="preserve">En </w:t>
      </w:r>
      <w:r w:rsidR="00C64326" w:rsidRPr="00B97122">
        <w:rPr>
          <w:rFonts w:asciiTheme="majorHAnsi" w:hAnsiTheme="majorHAnsi"/>
          <w:sz w:val="22"/>
          <w:szCs w:val="22"/>
          <w:lang w:val="es-ES_tradnl"/>
        </w:rPr>
        <w:t>China</w:t>
      </w:r>
      <w:r>
        <w:rPr>
          <w:rFonts w:asciiTheme="majorHAnsi" w:hAnsiTheme="majorHAnsi"/>
          <w:sz w:val="22"/>
          <w:szCs w:val="22"/>
          <w:lang w:val="es-ES_tradnl"/>
        </w:rPr>
        <w:t xml:space="preserve">, la administración forestal </w:t>
      </w:r>
      <w:r w:rsidRPr="00553688">
        <w:rPr>
          <w:rFonts w:asciiTheme="majorHAnsi" w:hAnsiTheme="majorHAnsi"/>
          <w:sz w:val="22"/>
          <w:szCs w:val="22"/>
          <w:lang w:val="es-ES_tradnl"/>
        </w:rPr>
        <w:t>estatal</w:t>
      </w:r>
      <w:r>
        <w:rPr>
          <w:rFonts w:asciiTheme="majorHAnsi" w:hAnsiTheme="majorHAnsi"/>
          <w:sz w:val="22"/>
          <w:szCs w:val="22"/>
          <w:lang w:val="es-ES_tradnl"/>
        </w:rPr>
        <w:t xml:space="preserve"> y la Universidad de Nanjing </w:t>
      </w:r>
      <w:r w:rsidR="00573FBC">
        <w:rPr>
          <w:rFonts w:asciiTheme="majorHAnsi" w:hAnsiTheme="majorHAnsi"/>
          <w:sz w:val="22"/>
          <w:szCs w:val="22"/>
          <w:lang w:val="es-ES_tradnl"/>
        </w:rPr>
        <w:t>organizaron conjuntamente la Décima Conferencia Internacional sobre los Humedales para compartir las mejores prácticas en conservación y gestión de los humedales. Fue la primera vez en la que se celebró esta conferencia en Asia en los últimos cuarenta años. Asistieron 7.</w:t>
      </w:r>
      <w:r w:rsidR="00C64326" w:rsidRPr="00B97122">
        <w:rPr>
          <w:rFonts w:asciiTheme="majorHAnsi" w:hAnsiTheme="majorHAnsi"/>
          <w:sz w:val="22"/>
          <w:szCs w:val="22"/>
          <w:lang w:val="es-ES_tradnl"/>
        </w:rPr>
        <w:t xml:space="preserve">200 </w:t>
      </w:r>
      <w:r w:rsidR="00573FBC">
        <w:rPr>
          <w:rFonts w:asciiTheme="majorHAnsi" w:hAnsiTheme="majorHAnsi"/>
          <w:sz w:val="22"/>
          <w:szCs w:val="22"/>
          <w:lang w:val="es-ES_tradnl"/>
        </w:rPr>
        <w:t>participantes de 72 países</w:t>
      </w:r>
      <w:r w:rsidR="00C64326" w:rsidRPr="00B97122">
        <w:rPr>
          <w:rFonts w:asciiTheme="majorHAnsi" w:hAnsiTheme="majorHAnsi"/>
          <w:sz w:val="22"/>
          <w:szCs w:val="22"/>
          <w:lang w:val="es-ES_tradnl"/>
        </w:rPr>
        <w:t>.</w:t>
      </w:r>
    </w:p>
    <w:p w14:paraId="1F58ECB8" w14:textId="77777777" w:rsidR="00C64326" w:rsidRPr="00B97122" w:rsidRDefault="00C64326" w:rsidP="004C3670">
      <w:pPr>
        <w:spacing w:after="120"/>
        <w:rPr>
          <w:rFonts w:asciiTheme="majorHAnsi" w:hAnsiTheme="majorHAnsi"/>
          <w:sz w:val="22"/>
          <w:szCs w:val="22"/>
          <w:lang w:val="es-ES_tradnl"/>
        </w:rPr>
      </w:pPr>
    </w:p>
    <w:p w14:paraId="317E029F" w14:textId="77777777" w:rsidR="00C64326" w:rsidRPr="00B97122" w:rsidRDefault="00C64326" w:rsidP="004C3670">
      <w:pPr>
        <w:spacing w:after="120"/>
        <w:rPr>
          <w:rFonts w:asciiTheme="majorHAnsi" w:hAnsiTheme="majorHAnsi"/>
          <w:sz w:val="22"/>
          <w:szCs w:val="22"/>
          <w:lang w:val="es-ES_tradnl"/>
        </w:rPr>
      </w:pPr>
      <w:r w:rsidRPr="00B97122">
        <w:rPr>
          <w:rFonts w:asciiTheme="majorHAnsi" w:hAnsiTheme="majorHAnsi"/>
          <w:sz w:val="22"/>
          <w:szCs w:val="22"/>
          <w:lang w:val="es-ES_tradnl"/>
        </w:rPr>
        <w:br w:type="page"/>
      </w:r>
    </w:p>
    <w:p w14:paraId="4A3754F1" w14:textId="071126BA" w:rsidR="00C64326" w:rsidRPr="006044CD" w:rsidRDefault="006044CD" w:rsidP="006044CD">
      <w:pPr>
        <w:rPr>
          <w:rFonts w:asciiTheme="majorHAnsi" w:hAnsiTheme="majorHAnsi"/>
          <w:b/>
        </w:rPr>
      </w:pPr>
      <w:r w:rsidRPr="006044CD">
        <w:rPr>
          <w:rFonts w:asciiTheme="majorHAnsi" w:hAnsiTheme="majorHAnsi"/>
          <w:b/>
        </w:rPr>
        <w:lastRenderedPageBreak/>
        <w:t xml:space="preserve">Anexo </w:t>
      </w:r>
      <w:r w:rsidR="00C64326" w:rsidRPr="006044CD">
        <w:rPr>
          <w:rFonts w:asciiTheme="majorHAnsi" w:hAnsiTheme="majorHAnsi"/>
          <w:b/>
        </w:rPr>
        <w:t>B</w:t>
      </w:r>
    </w:p>
    <w:p w14:paraId="7800D53F" w14:textId="77777777" w:rsidR="006044CD" w:rsidRPr="006044CD" w:rsidRDefault="006044CD" w:rsidP="006044CD">
      <w:pPr>
        <w:rPr>
          <w:rFonts w:asciiTheme="majorHAnsi" w:hAnsiTheme="majorHAnsi"/>
          <w:b/>
        </w:rPr>
      </w:pPr>
    </w:p>
    <w:p w14:paraId="47C290D2" w14:textId="5DA7FBD7" w:rsidR="00C64326" w:rsidRPr="006044CD" w:rsidRDefault="00495370" w:rsidP="006044CD">
      <w:pPr>
        <w:rPr>
          <w:rFonts w:asciiTheme="majorHAnsi" w:hAnsiTheme="majorHAnsi"/>
          <w:b/>
          <w:lang w:val="fr-FR"/>
        </w:rPr>
      </w:pPr>
      <w:r w:rsidRPr="006044CD">
        <w:rPr>
          <w:rFonts w:asciiTheme="majorHAnsi" w:hAnsiTheme="majorHAnsi"/>
          <w:b/>
          <w:lang w:val="fr-FR"/>
        </w:rPr>
        <w:t xml:space="preserve">Un nuevo enfoque para prestar asesoramiento y apoyo en materia de </w:t>
      </w:r>
      <w:r w:rsidR="001670A8" w:rsidRPr="006044CD">
        <w:rPr>
          <w:rFonts w:asciiTheme="majorHAnsi" w:hAnsiTheme="majorHAnsi"/>
          <w:b/>
          <w:lang w:val="fr-FR"/>
        </w:rPr>
        <w:t>CECoP</w:t>
      </w:r>
      <w:r w:rsidR="00C64326" w:rsidRPr="006044CD">
        <w:rPr>
          <w:rFonts w:asciiTheme="majorHAnsi" w:hAnsiTheme="majorHAnsi"/>
          <w:b/>
          <w:lang w:val="fr-FR"/>
        </w:rPr>
        <w:t xml:space="preserve"> </w:t>
      </w:r>
      <w:r w:rsidRPr="006044CD">
        <w:rPr>
          <w:rFonts w:asciiTheme="majorHAnsi" w:hAnsiTheme="majorHAnsi"/>
          <w:b/>
          <w:lang w:val="fr-FR"/>
        </w:rPr>
        <w:t xml:space="preserve">en la Convención </w:t>
      </w:r>
      <w:r w:rsidR="00C64326" w:rsidRPr="006044CD">
        <w:rPr>
          <w:rFonts w:asciiTheme="majorHAnsi" w:hAnsiTheme="majorHAnsi"/>
          <w:b/>
          <w:lang w:val="fr-FR"/>
        </w:rPr>
        <w:t>-</w:t>
      </w:r>
      <w:r w:rsidR="006044CD" w:rsidRPr="006044CD">
        <w:rPr>
          <w:rFonts w:asciiTheme="majorHAnsi" w:hAnsiTheme="majorHAnsi"/>
          <w:b/>
          <w:lang w:val="fr-FR"/>
        </w:rPr>
        <w:t xml:space="preserve"> </w:t>
      </w:r>
      <w:r w:rsidRPr="006044CD">
        <w:rPr>
          <w:rFonts w:asciiTheme="majorHAnsi" w:hAnsiTheme="majorHAnsi"/>
          <w:b/>
          <w:lang w:val="fr-FR"/>
        </w:rPr>
        <w:t>Orientaciones y recomendaciones iniciales del G</w:t>
      </w:r>
      <w:r w:rsidR="00D66EFC" w:rsidRPr="006044CD">
        <w:rPr>
          <w:rFonts w:asciiTheme="majorHAnsi" w:hAnsiTheme="majorHAnsi"/>
          <w:b/>
          <w:lang w:val="fr-FR"/>
        </w:rPr>
        <w:t>rupo de supervisión de las actividades de CECoP</w:t>
      </w:r>
    </w:p>
    <w:p w14:paraId="0E3A9804" w14:textId="77777777" w:rsidR="00C64326" w:rsidRPr="00B97122" w:rsidRDefault="00C64326" w:rsidP="004C3670">
      <w:pPr>
        <w:spacing w:after="120"/>
        <w:rPr>
          <w:rFonts w:asciiTheme="majorHAnsi" w:hAnsiTheme="majorHAnsi"/>
          <w:sz w:val="22"/>
          <w:szCs w:val="22"/>
          <w:lang w:val="es-ES_tradnl"/>
        </w:rPr>
      </w:pPr>
    </w:p>
    <w:p w14:paraId="78E68F1E" w14:textId="1022CF1E" w:rsidR="00C64326" w:rsidRPr="00B97122" w:rsidRDefault="00495370"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w:t>
      </w:r>
      <w:r w:rsidR="00553688" w:rsidRPr="00553688">
        <w:rPr>
          <w:rFonts w:asciiTheme="majorHAnsi" w:hAnsiTheme="majorHAnsi"/>
          <w:sz w:val="22"/>
          <w:szCs w:val="22"/>
          <w:lang w:val="es-ES_tradnl"/>
        </w:rPr>
        <w:t>p</w:t>
      </w:r>
      <w:r w:rsidRPr="00553688">
        <w:rPr>
          <w:rFonts w:asciiTheme="majorHAnsi" w:hAnsiTheme="majorHAnsi"/>
          <w:sz w:val="22"/>
          <w:szCs w:val="22"/>
          <w:lang w:val="es-ES_tradnl"/>
        </w:rPr>
        <w:t>royecto</w:t>
      </w:r>
      <w:r>
        <w:rPr>
          <w:rFonts w:asciiTheme="majorHAnsi" w:hAnsiTheme="majorHAnsi"/>
          <w:sz w:val="22"/>
          <w:szCs w:val="22"/>
          <w:lang w:val="es-ES_tradnl"/>
        </w:rPr>
        <w:t xml:space="preserve"> de resolución </w:t>
      </w:r>
      <w:r w:rsidR="00C64326" w:rsidRPr="00B97122">
        <w:rPr>
          <w:rFonts w:asciiTheme="majorHAnsi" w:hAnsiTheme="majorHAnsi"/>
          <w:sz w:val="22"/>
          <w:szCs w:val="22"/>
          <w:lang w:val="es-ES_tradnl"/>
        </w:rPr>
        <w:t xml:space="preserve">18.6 </w:t>
      </w:r>
      <w:r w:rsidR="00553688">
        <w:rPr>
          <w:rFonts w:asciiTheme="majorHAnsi" w:hAnsiTheme="majorHAnsi"/>
          <w:sz w:val="22"/>
          <w:szCs w:val="22"/>
          <w:lang w:val="es-ES_tradnl"/>
        </w:rPr>
        <w:t>para</w:t>
      </w:r>
      <w:r>
        <w:rPr>
          <w:rFonts w:asciiTheme="majorHAnsi" w:hAnsiTheme="majorHAnsi"/>
          <w:sz w:val="22"/>
          <w:szCs w:val="22"/>
          <w:lang w:val="es-ES_tradnl"/>
        </w:rPr>
        <w:t xml:space="preserve"> la </w:t>
      </w:r>
      <w:r w:rsidR="00C64326" w:rsidRPr="00B97122">
        <w:rPr>
          <w:rFonts w:asciiTheme="majorHAnsi" w:hAnsiTheme="majorHAnsi"/>
          <w:sz w:val="22"/>
          <w:szCs w:val="22"/>
          <w:lang w:val="es-ES_tradnl"/>
        </w:rPr>
        <w:t xml:space="preserve">COP13 </w:t>
      </w:r>
      <w:r>
        <w:rPr>
          <w:rFonts w:asciiTheme="majorHAnsi" w:hAnsiTheme="majorHAnsi"/>
          <w:sz w:val="22"/>
          <w:szCs w:val="22"/>
          <w:lang w:val="es-ES_tradnl"/>
        </w:rPr>
        <w:t xml:space="preserve">propone que el </w:t>
      </w:r>
      <w:r w:rsidR="00D66EFC" w:rsidRPr="00B97122">
        <w:rPr>
          <w:rFonts w:asciiTheme="majorHAnsi" w:hAnsiTheme="majorHAnsi"/>
          <w:sz w:val="22"/>
          <w:szCs w:val="22"/>
          <w:lang w:val="es-ES_tradnl"/>
        </w:rPr>
        <w:t>Grupo de supervisión de las actividades de CECoP</w:t>
      </w:r>
      <w:r>
        <w:rPr>
          <w:rFonts w:asciiTheme="majorHAnsi" w:hAnsiTheme="majorHAnsi"/>
          <w:sz w:val="22"/>
          <w:szCs w:val="22"/>
          <w:lang w:val="es-ES_tradnl"/>
        </w:rPr>
        <w:t xml:space="preserve"> presente un informe a</w:t>
      </w:r>
      <w:r w:rsidR="00A31782">
        <w:rPr>
          <w:rFonts w:asciiTheme="majorHAnsi" w:hAnsiTheme="majorHAnsi"/>
          <w:sz w:val="22"/>
          <w:szCs w:val="22"/>
          <w:lang w:val="es-ES_tradnl"/>
        </w:rPr>
        <w:t xml:space="preserve">l Comité Permanente en su 57ª reunión sobre un nuevo enfoque para apoyar la aplicación de las actividades de CECoP y posteriormente examine el Programa de CECoP, coordinando sus esfuerzos con el Grupo de trabajo sobre el Plan Estratégico, para presentar un informe al Comité Permanente en su 58ª reunión. Se propone que los resultados sean remitidos a la </w:t>
      </w:r>
      <w:r w:rsidR="00C64326" w:rsidRPr="00B97122">
        <w:rPr>
          <w:rFonts w:asciiTheme="majorHAnsi" w:hAnsiTheme="majorHAnsi"/>
          <w:sz w:val="22"/>
          <w:szCs w:val="22"/>
          <w:lang w:val="es-ES_tradnl"/>
        </w:rPr>
        <w:t>COP14.</w:t>
      </w:r>
    </w:p>
    <w:p w14:paraId="400D5E8B" w14:textId="7891518D" w:rsidR="00C64326" w:rsidRPr="00B97122" w:rsidRDefault="00A31782" w:rsidP="004C3670">
      <w:pPr>
        <w:spacing w:after="120"/>
        <w:rPr>
          <w:rFonts w:asciiTheme="majorHAnsi" w:hAnsiTheme="majorHAnsi"/>
          <w:sz w:val="22"/>
          <w:szCs w:val="22"/>
          <w:lang w:val="es-ES_tradnl"/>
        </w:rPr>
      </w:pPr>
      <w:r>
        <w:rPr>
          <w:rFonts w:asciiTheme="majorHAnsi" w:hAnsiTheme="majorHAnsi"/>
          <w:sz w:val="22"/>
          <w:szCs w:val="22"/>
          <w:lang w:val="es-ES_tradnl"/>
        </w:rPr>
        <w:t>El</w:t>
      </w:r>
      <w:r w:rsidR="00C64326" w:rsidRPr="00B97122">
        <w:rPr>
          <w:rFonts w:asciiTheme="majorHAnsi" w:hAnsiTheme="majorHAnsi"/>
          <w:sz w:val="22"/>
          <w:szCs w:val="22"/>
          <w:lang w:val="es-ES_tradnl"/>
        </w:rPr>
        <w:t xml:space="preserve"> </w:t>
      </w:r>
      <w:r w:rsidR="00D66EFC" w:rsidRPr="00B97122">
        <w:rPr>
          <w:rFonts w:asciiTheme="majorHAnsi" w:hAnsiTheme="majorHAnsi"/>
          <w:sz w:val="22"/>
          <w:szCs w:val="22"/>
          <w:lang w:val="es-ES_tradnl"/>
        </w:rPr>
        <w:t>Grupo de supervisión de las actividades de 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ha empezado a reflexionar sobre un nuevo enfoque para </w:t>
      </w:r>
      <w:r w:rsidR="00553688" w:rsidRPr="00553688">
        <w:rPr>
          <w:rFonts w:asciiTheme="majorHAnsi" w:hAnsiTheme="majorHAnsi"/>
          <w:sz w:val="22"/>
          <w:szCs w:val="22"/>
          <w:lang w:val="es-ES_tradnl"/>
        </w:rPr>
        <w:t>prestar asesoramiento y apoyo en materia de CECoP en la Convención</w:t>
      </w:r>
      <w:r w:rsidR="00553688">
        <w:rPr>
          <w:rFonts w:asciiTheme="majorHAnsi" w:hAnsiTheme="majorHAnsi"/>
          <w:sz w:val="22"/>
          <w:szCs w:val="22"/>
          <w:lang w:val="es-ES_tradnl"/>
        </w:rPr>
        <w:t xml:space="preserve"> con miras a </w:t>
      </w:r>
      <w:r>
        <w:rPr>
          <w:rFonts w:asciiTheme="majorHAnsi" w:hAnsiTheme="majorHAnsi"/>
          <w:sz w:val="22"/>
          <w:szCs w:val="22"/>
          <w:lang w:val="es-ES_tradnl"/>
        </w:rPr>
        <w:t>asegurarse de que se haga hincapié en que la CECoP esté más integrada y sea más estratégica a la hora de lograr la protección y el uso racional de los humedales</w:t>
      </w:r>
      <w:r w:rsidR="00C64326" w:rsidRPr="00B97122">
        <w:rPr>
          <w:rFonts w:asciiTheme="majorHAnsi" w:hAnsiTheme="majorHAnsi"/>
          <w:sz w:val="22"/>
          <w:szCs w:val="22"/>
          <w:lang w:val="es-ES_tradnl"/>
        </w:rPr>
        <w:t>.</w:t>
      </w:r>
    </w:p>
    <w:p w14:paraId="5BF0E305" w14:textId="7341ADD8" w:rsidR="00C64326" w:rsidRPr="00B97122" w:rsidRDefault="00A31782"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Ha identificado las siguientes cuestiones, que se deberían considerar como parte del examen del </w:t>
      </w:r>
      <w:r w:rsidRPr="00553688">
        <w:rPr>
          <w:rFonts w:asciiTheme="majorHAnsi" w:hAnsiTheme="majorHAnsi"/>
          <w:sz w:val="22"/>
          <w:szCs w:val="22"/>
          <w:lang w:val="es-ES_tradnl"/>
        </w:rPr>
        <w:t>Programa</w:t>
      </w:r>
      <w:r>
        <w:rPr>
          <w:rFonts w:asciiTheme="majorHAnsi" w:hAnsiTheme="majorHAnsi"/>
          <w:sz w:val="22"/>
          <w:szCs w:val="22"/>
          <w:lang w:val="es-ES_tradnl"/>
        </w:rPr>
        <w:t xml:space="preserve"> de</w:t>
      </w:r>
      <w:r w:rsidR="00C64326" w:rsidRPr="00B97122">
        <w:rPr>
          <w:rFonts w:asciiTheme="majorHAnsi" w:hAnsiTheme="majorHAnsi"/>
          <w:sz w:val="22"/>
          <w:szCs w:val="22"/>
          <w:lang w:val="es-ES_tradnl"/>
        </w:rPr>
        <w:t xml:space="preserve">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y el Plan Estratégico de Ramsar</w:t>
      </w:r>
      <w:r w:rsidR="00C64326" w:rsidRPr="00B97122">
        <w:rPr>
          <w:rFonts w:asciiTheme="majorHAnsi" w:hAnsiTheme="majorHAnsi"/>
          <w:sz w:val="22"/>
          <w:szCs w:val="22"/>
          <w:lang w:val="es-ES_tradnl"/>
        </w:rPr>
        <w:t>.</w:t>
      </w:r>
    </w:p>
    <w:p w14:paraId="43421F91" w14:textId="7F33E191" w:rsidR="00C64326" w:rsidRPr="00B97122" w:rsidRDefault="00A31782" w:rsidP="004C3670">
      <w:pPr>
        <w:spacing w:after="120"/>
        <w:rPr>
          <w:rFonts w:asciiTheme="majorHAnsi" w:hAnsiTheme="majorHAnsi"/>
          <w:b/>
          <w:sz w:val="22"/>
          <w:szCs w:val="22"/>
          <w:lang w:val="es-ES_tradnl"/>
        </w:rPr>
      </w:pPr>
      <w:r>
        <w:rPr>
          <w:rFonts w:asciiTheme="majorHAnsi" w:hAnsiTheme="majorHAnsi"/>
          <w:b/>
          <w:sz w:val="22"/>
          <w:szCs w:val="22"/>
          <w:lang w:val="es-ES_tradnl"/>
        </w:rPr>
        <w:t>Objetivos en materia de comunicaciones</w:t>
      </w:r>
    </w:p>
    <w:p w14:paraId="5AC1D4F7" w14:textId="646DA71A" w:rsidR="00C64326" w:rsidRPr="00B97122" w:rsidRDefault="00A31782"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w:t>
      </w:r>
      <w:r w:rsidR="00D66EFC" w:rsidRPr="00B97122">
        <w:rPr>
          <w:rFonts w:asciiTheme="majorHAnsi" w:hAnsiTheme="majorHAnsi"/>
          <w:sz w:val="22"/>
          <w:szCs w:val="22"/>
          <w:lang w:val="es-ES_tradnl"/>
        </w:rPr>
        <w:t>Grupo de supervisión de las actividades de 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insiste en la importancia fundamental de la participación de las personas para llevar a cabo la visión y los objetivos de la Convención de Ramsar, así como la necesidad de seguir </w:t>
      </w:r>
      <w:r w:rsidR="0074629F">
        <w:rPr>
          <w:rFonts w:asciiTheme="majorHAnsi" w:hAnsiTheme="majorHAnsi"/>
          <w:sz w:val="22"/>
          <w:szCs w:val="22"/>
          <w:lang w:val="es-ES_tradnl"/>
        </w:rPr>
        <w:t>realizando iniciativas de CECoP concretas, además de incorporar la CECoP como un elemento importante en todas las iniciativas de la Convención (a escala local, nacional, regional e internacional).</w:t>
      </w:r>
    </w:p>
    <w:p w14:paraId="5913F905" w14:textId="63DA6C46" w:rsidR="00C64326" w:rsidRPr="00B97122" w:rsidRDefault="0074629F"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w:t>
      </w:r>
      <w:r w:rsidR="001D37DE">
        <w:rPr>
          <w:rFonts w:asciiTheme="majorHAnsi" w:hAnsiTheme="majorHAnsi"/>
          <w:sz w:val="22"/>
          <w:szCs w:val="22"/>
          <w:lang w:val="es-ES_tradnl"/>
        </w:rPr>
        <w:t xml:space="preserve">objetivo actual del </w:t>
      </w:r>
      <w:r w:rsidR="00003376" w:rsidRPr="00B97122">
        <w:rPr>
          <w:rFonts w:asciiTheme="majorHAnsi" w:hAnsiTheme="majorHAnsi"/>
          <w:sz w:val="22"/>
          <w:szCs w:val="22"/>
          <w:lang w:val="es-ES_tradnl"/>
        </w:rPr>
        <w:t>Programa de CECoP</w:t>
      </w:r>
      <w:r w:rsidR="00C64326" w:rsidRPr="00B97122">
        <w:rPr>
          <w:rFonts w:asciiTheme="majorHAnsi" w:hAnsiTheme="majorHAnsi"/>
          <w:sz w:val="22"/>
          <w:szCs w:val="22"/>
          <w:lang w:val="es-ES_tradnl"/>
        </w:rPr>
        <w:t xml:space="preserve"> </w:t>
      </w:r>
      <w:r w:rsidR="00553688">
        <w:rPr>
          <w:rFonts w:asciiTheme="majorHAnsi" w:hAnsiTheme="majorHAnsi"/>
          <w:sz w:val="22"/>
          <w:szCs w:val="22"/>
          <w:lang w:val="es-ES_tradnl"/>
        </w:rPr>
        <w:t>es</w:t>
      </w:r>
      <w:r w:rsidR="00C64326" w:rsidRPr="00B97122">
        <w:rPr>
          <w:rFonts w:asciiTheme="majorHAnsi" w:hAnsiTheme="majorHAnsi"/>
          <w:sz w:val="22"/>
          <w:szCs w:val="22"/>
          <w:lang w:val="es-ES_tradnl"/>
        </w:rPr>
        <w:t xml:space="preserve"> “</w:t>
      </w:r>
      <w:r w:rsidR="001D37DE">
        <w:rPr>
          <w:rFonts w:asciiTheme="majorHAnsi" w:hAnsiTheme="majorHAnsi"/>
          <w:sz w:val="22"/>
          <w:szCs w:val="22"/>
          <w:lang w:val="es-ES_tradnl"/>
        </w:rPr>
        <w:t>Que la gente pase a la acción en pro del uso racional de los humedales”</w:t>
      </w:r>
      <w:r w:rsidR="00A7152B">
        <w:rPr>
          <w:rFonts w:asciiTheme="majorHAnsi" w:hAnsiTheme="majorHAnsi"/>
          <w:sz w:val="22"/>
          <w:szCs w:val="22"/>
          <w:lang w:val="es-ES_tradnl"/>
        </w:rPr>
        <w:t xml:space="preserve"> y el </w:t>
      </w:r>
      <w:r w:rsidR="006433A0">
        <w:rPr>
          <w:rFonts w:asciiTheme="majorHAnsi" w:hAnsiTheme="majorHAnsi"/>
          <w:sz w:val="22"/>
          <w:szCs w:val="22"/>
          <w:lang w:val="es-ES_tradnl"/>
        </w:rPr>
        <w:t xml:space="preserve">Grupo de supervisión sigue apoyando la necesidad de que todos los interesados relacionados con los humedales realicen actividades apropiadas para obtener el compromiso y la cooperación de las personas y </w:t>
      </w:r>
      <w:r w:rsidR="001A705A">
        <w:rPr>
          <w:rFonts w:asciiTheme="majorHAnsi" w:hAnsiTheme="majorHAnsi"/>
          <w:sz w:val="22"/>
          <w:szCs w:val="22"/>
          <w:lang w:val="es-ES_tradnl"/>
        </w:rPr>
        <w:t>capacitarlas para</w:t>
      </w:r>
      <w:r w:rsidR="006433A0">
        <w:rPr>
          <w:rFonts w:asciiTheme="majorHAnsi" w:hAnsiTheme="majorHAnsi"/>
          <w:sz w:val="22"/>
          <w:szCs w:val="22"/>
          <w:lang w:val="es-ES_tradnl"/>
        </w:rPr>
        <w:t xml:space="preserve"> actuar en pro de la conservación y el uso racional de los humedales </w:t>
      </w:r>
      <w:r w:rsidR="00C64326" w:rsidRPr="00B97122">
        <w:rPr>
          <w:rFonts w:asciiTheme="majorHAnsi" w:hAnsiTheme="majorHAnsi"/>
          <w:sz w:val="22"/>
          <w:szCs w:val="22"/>
          <w:lang w:val="es-ES_tradnl"/>
        </w:rPr>
        <w:t>(Resolu</w:t>
      </w:r>
      <w:r w:rsidR="006433A0">
        <w:rPr>
          <w:rFonts w:asciiTheme="majorHAnsi" w:hAnsiTheme="majorHAnsi"/>
          <w:sz w:val="22"/>
          <w:szCs w:val="22"/>
          <w:lang w:val="es-ES_tradnl"/>
        </w:rPr>
        <w:t>ción</w:t>
      </w:r>
      <w:r w:rsidR="00C64326" w:rsidRPr="00B97122">
        <w:rPr>
          <w:rFonts w:asciiTheme="majorHAnsi" w:hAnsiTheme="majorHAnsi"/>
          <w:sz w:val="22"/>
          <w:szCs w:val="22"/>
          <w:lang w:val="es-ES_tradnl"/>
        </w:rPr>
        <w:t xml:space="preserve"> XII.9).  </w:t>
      </w:r>
    </w:p>
    <w:p w14:paraId="6E45273B" w14:textId="58EFB069" w:rsidR="00C64326" w:rsidRPr="00B97122" w:rsidRDefault="006433A0" w:rsidP="004C3670">
      <w:pPr>
        <w:spacing w:after="120"/>
        <w:rPr>
          <w:rFonts w:asciiTheme="majorHAnsi" w:hAnsiTheme="majorHAnsi"/>
          <w:b/>
          <w:sz w:val="22"/>
          <w:szCs w:val="22"/>
          <w:lang w:val="es-ES_tradnl"/>
        </w:rPr>
      </w:pPr>
      <w:r>
        <w:rPr>
          <w:rFonts w:asciiTheme="majorHAnsi" w:hAnsiTheme="majorHAnsi"/>
          <w:b/>
          <w:sz w:val="22"/>
          <w:szCs w:val="22"/>
          <w:lang w:val="es-ES_tradnl"/>
        </w:rPr>
        <w:t>Públicos destinatarios</w:t>
      </w:r>
    </w:p>
    <w:p w14:paraId="6DFEEA48" w14:textId="190FC60D" w:rsidR="00C64326" w:rsidRPr="00B97122" w:rsidRDefault="00813618" w:rsidP="004C3670">
      <w:pPr>
        <w:spacing w:after="120"/>
        <w:rPr>
          <w:rFonts w:asciiTheme="majorHAnsi" w:hAnsiTheme="majorHAnsi"/>
          <w:sz w:val="22"/>
          <w:szCs w:val="22"/>
          <w:lang w:val="es-ES_tradnl"/>
        </w:rPr>
      </w:pPr>
      <w:r>
        <w:rPr>
          <w:rFonts w:asciiTheme="majorHAnsi" w:hAnsiTheme="majorHAnsi"/>
          <w:sz w:val="22"/>
          <w:szCs w:val="22"/>
          <w:lang w:val="es-ES_tradnl"/>
        </w:rPr>
        <w:t>Aunque hay una gran variedad de públicos para las iniciativas de C</w:t>
      </w:r>
      <w:r w:rsidR="001670A8" w:rsidRPr="00B97122">
        <w:rPr>
          <w:rFonts w:asciiTheme="majorHAnsi" w:hAnsiTheme="majorHAnsi"/>
          <w:sz w:val="22"/>
          <w:szCs w:val="22"/>
          <w:lang w:val="es-ES_tradnl"/>
        </w:rPr>
        <w:t>ECoP</w:t>
      </w:r>
      <w:r>
        <w:rPr>
          <w:rFonts w:asciiTheme="majorHAnsi" w:hAnsiTheme="majorHAnsi"/>
          <w:sz w:val="22"/>
          <w:szCs w:val="22"/>
          <w:lang w:val="es-ES_tradnl"/>
        </w:rPr>
        <w:t xml:space="preserve"> de la Convención, sería recomendable identificar públicos y asociados concretos como prioritarios para cada año del trienio a fin de lograr un esfuerzo coordinado y eficaz. Se podrían armonizar dichos públicos y asociados con los temas del </w:t>
      </w:r>
      <w:r w:rsidR="00C016F6" w:rsidRPr="00B97122">
        <w:rPr>
          <w:rFonts w:asciiTheme="majorHAnsi" w:hAnsiTheme="majorHAnsi"/>
          <w:sz w:val="22"/>
          <w:szCs w:val="22"/>
          <w:lang w:val="es-ES_tradnl"/>
        </w:rPr>
        <w:t>Día Mundial de los Humedales</w:t>
      </w:r>
      <w:r w:rsidR="00C64326" w:rsidRPr="00B97122">
        <w:rPr>
          <w:rFonts w:asciiTheme="majorHAnsi" w:hAnsiTheme="majorHAnsi"/>
          <w:sz w:val="22"/>
          <w:szCs w:val="22"/>
          <w:lang w:val="es-ES_tradnl"/>
        </w:rPr>
        <w:t>.</w:t>
      </w:r>
    </w:p>
    <w:p w14:paraId="676EC311" w14:textId="3E401B8E" w:rsidR="00C64326" w:rsidRPr="00B97122" w:rsidRDefault="00813618"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Grupo de supervisión reconoce que las </w:t>
      </w:r>
      <w:r w:rsidR="00B229E7" w:rsidRPr="00B97122">
        <w:rPr>
          <w:rFonts w:asciiTheme="majorHAnsi" w:hAnsiTheme="majorHAnsi"/>
          <w:sz w:val="22"/>
          <w:szCs w:val="22"/>
          <w:lang w:val="es-ES_tradnl"/>
        </w:rPr>
        <w:t>Partes Contratantes</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deberán tener en cuenta su propia situación cuando identifiquen sus grupos destinatarios más prioritarios (el Apéndice 3 de la Resolución XII.9 contiene orientaciones al respecto).</w:t>
      </w:r>
    </w:p>
    <w:p w14:paraId="1F3E4735" w14:textId="194DCC8C" w:rsidR="00C64326" w:rsidRPr="00B97122" w:rsidRDefault="00C64326" w:rsidP="004C3670">
      <w:pPr>
        <w:spacing w:after="120"/>
        <w:rPr>
          <w:rFonts w:asciiTheme="majorHAnsi" w:hAnsiTheme="majorHAnsi"/>
          <w:b/>
          <w:sz w:val="22"/>
          <w:szCs w:val="22"/>
          <w:lang w:val="es-ES_tradnl"/>
        </w:rPr>
      </w:pPr>
      <w:r w:rsidRPr="00B97122">
        <w:rPr>
          <w:rFonts w:asciiTheme="majorHAnsi" w:hAnsiTheme="majorHAnsi"/>
          <w:b/>
          <w:sz w:val="22"/>
          <w:szCs w:val="22"/>
          <w:lang w:val="es-ES_tradnl"/>
        </w:rPr>
        <w:t>Ef</w:t>
      </w:r>
      <w:r w:rsidR="00813618">
        <w:rPr>
          <w:rFonts w:asciiTheme="majorHAnsi" w:hAnsiTheme="majorHAnsi"/>
          <w:b/>
          <w:sz w:val="22"/>
          <w:szCs w:val="22"/>
          <w:lang w:val="es-ES_tradnl"/>
        </w:rPr>
        <w:t>ectividad de las intervenciones en materia de CECoP</w:t>
      </w:r>
    </w:p>
    <w:p w14:paraId="333E828A" w14:textId="6DCFAA8F" w:rsidR="00C64326" w:rsidRPr="00B97122" w:rsidRDefault="00813618"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Al examinar el </w:t>
      </w:r>
      <w:r w:rsidR="00003376" w:rsidRPr="00B97122">
        <w:rPr>
          <w:rFonts w:asciiTheme="majorHAnsi" w:hAnsiTheme="majorHAnsi"/>
          <w:sz w:val="22"/>
          <w:szCs w:val="22"/>
          <w:lang w:val="es-ES_tradnl"/>
        </w:rPr>
        <w:t>Programa de CECoP</w:t>
      </w:r>
      <w:r>
        <w:rPr>
          <w:rFonts w:asciiTheme="majorHAnsi" w:hAnsiTheme="majorHAnsi"/>
          <w:sz w:val="22"/>
          <w:szCs w:val="22"/>
          <w:lang w:val="es-ES_tradnl"/>
        </w:rPr>
        <w:t xml:space="preserve"> y el Plan Estratégico de </w:t>
      </w:r>
      <w:r w:rsidR="00C64326" w:rsidRPr="00B97122">
        <w:rPr>
          <w:rFonts w:asciiTheme="majorHAnsi" w:hAnsiTheme="majorHAnsi"/>
          <w:sz w:val="22"/>
          <w:szCs w:val="22"/>
          <w:lang w:val="es-ES_tradnl"/>
        </w:rPr>
        <w:t xml:space="preserve">Ramsar </w:t>
      </w:r>
      <w:r>
        <w:rPr>
          <w:rFonts w:asciiTheme="majorHAnsi" w:hAnsiTheme="majorHAnsi"/>
          <w:sz w:val="22"/>
          <w:szCs w:val="22"/>
          <w:lang w:val="es-ES_tradnl"/>
        </w:rPr>
        <w:t>se debería tener en cuenta la información de las Partes Contratantes (entre otras cosas, la información aportada por los coordinadores nacionales y la información conten</w:t>
      </w:r>
      <w:r w:rsidR="00A86FE0">
        <w:rPr>
          <w:rFonts w:asciiTheme="majorHAnsi" w:hAnsiTheme="majorHAnsi"/>
          <w:sz w:val="22"/>
          <w:szCs w:val="22"/>
          <w:lang w:val="es-ES_tradnl"/>
        </w:rPr>
        <w:t>ida en los informes nacionales), de la Secretaría, de las iniciativas regionales de Ramsar y de otros interesados sobre la aplicación y efectividad de las intervenciones de CECoP realizadas hasta la fecha. En el examen se deberían analizar su relevancia, efectividad e impacto y hasta qué punto han satisfecho las necesidades de las Pa</w:t>
      </w:r>
      <w:r w:rsidR="00B229E7" w:rsidRPr="00B97122">
        <w:rPr>
          <w:rFonts w:asciiTheme="majorHAnsi" w:hAnsiTheme="majorHAnsi"/>
          <w:sz w:val="22"/>
          <w:szCs w:val="22"/>
          <w:lang w:val="es-ES_tradnl"/>
        </w:rPr>
        <w:t>rtes Contratantes</w:t>
      </w:r>
      <w:r w:rsidR="00A86FE0">
        <w:rPr>
          <w:rFonts w:asciiTheme="majorHAnsi" w:hAnsiTheme="majorHAnsi"/>
          <w:sz w:val="22"/>
          <w:szCs w:val="22"/>
          <w:lang w:val="es-ES_tradnl"/>
        </w:rPr>
        <w:t xml:space="preserve"> de Ramsar.</w:t>
      </w:r>
    </w:p>
    <w:p w14:paraId="0022AA26" w14:textId="2F62C5CB" w:rsidR="00C64326" w:rsidRPr="00B97122" w:rsidRDefault="00B044B0" w:rsidP="004C3670">
      <w:pPr>
        <w:spacing w:after="120"/>
        <w:rPr>
          <w:rFonts w:asciiTheme="majorHAnsi" w:hAnsiTheme="majorHAnsi"/>
          <w:sz w:val="22"/>
          <w:szCs w:val="22"/>
          <w:lang w:val="es-ES_tradnl"/>
        </w:rPr>
      </w:pPr>
      <w:r>
        <w:rPr>
          <w:rFonts w:asciiTheme="majorHAnsi" w:hAnsiTheme="majorHAnsi"/>
          <w:sz w:val="22"/>
          <w:szCs w:val="22"/>
          <w:lang w:val="es-ES_tradnl"/>
        </w:rPr>
        <w:lastRenderedPageBreak/>
        <w:t>Concretamente, el examen debería tener en cuenta los mecanismos y herramientas utilizados y su efectividad a la hora de llegar a su público, implicarlo y propiciar un cambio de comportamiento</w:t>
      </w:r>
      <w:r w:rsidR="00C64326" w:rsidRPr="00B97122">
        <w:rPr>
          <w:rFonts w:asciiTheme="majorHAnsi" w:hAnsiTheme="majorHAnsi"/>
          <w:sz w:val="22"/>
          <w:szCs w:val="22"/>
          <w:lang w:val="es-ES_tradnl"/>
        </w:rPr>
        <w:t>.</w:t>
      </w:r>
    </w:p>
    <w:p w14:paraId="4CE62841" w14:textId="2FE1D524" w:rsidR="00C64326" w:rsidRPr="00B97122" w:rsidRDefault="00B76DEE" w:rsidP="004C3670">
      <w:pPr>
        <w:spacing w:after="120"/>
        <w:rPr>
          <w:rFonts w:asciiTheme="majorHAnsi" w:hAnsiTheme="majorHAnsi"/>
          <w:b/>
          <w:sz w:val="22"/>
          <w:szCs w:val="22"/>
          <w:lang w:val="es-ES_tradnl"/>
        </w:rPr>
      </w:pPr>
      <w:r>
        <w:rPr>
          <w:rFonts w:asciiTheme="majorHAnsi" w:hAnsiTheme="majorHAnsi"/>
          <w:b/>
          <w:sz w:val="22"/>
          <w:szCs w:val="22"/>
          <w:lang w:val="es-ES_tradnl"/>
        </w:rPr>
        <w:t>Enfoque estratégico</w:t>
      </w:r>
    </w:p>
    <w:p w14:paraId="34A32526" w14:textId="3E8F3E1C" w:rsidR="00C64326" w:rsidRPr="00B97122" w:rsidRDefault="00B76DEE"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Grupo de supervisión ha </w:t>
      </w:r>
      <w:r w:rsidR="00B8732B">
        <w:rPr>
          <w:rFonts w:asciiTheme="majorHAnsi" w:hAnsiTheme="majorHAnsi"/>
          <w:sz w:val="22"/>
          <w:szCs w:val="22"/>
          <w:lang w:val="es-ES_tradnl"/>
        </w:rPr>
        <w:t>señalado la necesidad de un enfoque más estratégico hacia la aplicación de la CECoP a fin de dirigir los recursos a las actividades de C</w:t>
      </w:r>
      <w:r w:rsidR="001670A8" w:rsidRPr="00B97122">
        <w:rPr>
          <w:rFonts w:asciiTheme="majorHAnsi" w:hAnsiTheme="majorHAnsi"/>
          <w:sz w:val="22"/>
          <w:szCs w:val="22"/>
          <w:lang w:val="es-ES_tradnl"/>
        </w:rPr>
        <w:t>ECoP</w:t>
      </w:r>
      <w:r w:rsidR="00C64326" w:rsidRPr="00B97122">
        <w:rPr>
          <w:rFonts w:asciiTheme="majorHAnsi" w:hAnsiTheme="majorHAnsi"/>
          <w:sz w:val="22"/>
          <w:szCs w:val="22"/>
          <w:lang w:val="es-ES_tradnl"/>
        </w:rPr>
        <w:t xml:space="preserve"> </w:t>
      </w:r>
      <w:r w:rsidR="00923DEE">
        <w:rPr>
          <w:rFonts w:asciiTheme="majorHAnsi" w:hAnsiTheme="majorHAnsi"/>
          <w:sz w:val="22"/>
          <w:szCs w:val="22"/>
          <w:lang w:val="es-ES_tradnl"/>
        </w:rPr>
        <w:t xml:space="preserve">que vayan a contribuir mejor al logro de los objetivos del Plan Estratégico de Ramsar. Este enfoque estratégico deberá ser reflejado en la aplicación de las </w:t>
      </w:r>
      <w:r w:rsidR="00313B93">
        <w:rPr>
          <w:rFonts w:asciiTheme="majorHAnsi" w:hAnsiTheme="majorHAnsi"/>
          <w:sz w:val="22"/>
          <w:szCs w:val="22"/>
          <w:lang w:val="es-ES_tradnl"/>
        </w:rPr>
        <w:t>actividades</w:t>
      </w:r>
      <w:r w:rsidR="00923DEE">
        <w:rPr>
          <w:rFonts w:asciiTheme="majorHAnsi" w:hAnsiTheme="majorHAnsi"/>
          <w:sz w:val="22"/>
          <w:szCs w:val="22"/>
          <w:lang w:val="es-ES_tradnl"/>
        </w:rPr>
        <w:t xml:space="preserve"> y los procedimientos de CECoP tanto en los casos en los que se trate de un programa independiente como cuando se integre la CECoP en el Plan Estratégico de Ramsar</w:t>
      </w:r>
      <w:r w:rsidR="00C64326" w:rsidRPr="00B97122">
        <w:rPr>
          <w:rFonts w:asciiTheme="majorHAnsi" w:hAnsiTheme="majorHAnsi"/>
          <w:sz w:val="22"/>
          <w:szCs w:val="22"/>
          <w:lang w:val="es-ES_tradnl"/>
        </w:rPr>
        <w:t xml:space="preserve">.  </w:t>
      </w:r>
    </w:p>
    <w:p w14:paraId="71D4FB5E" w14:textId="6DE838D8" w:rsidR="00C64326" w:rsidRPr="00B97122" w:rsidRDefault="00923DEE" w:rsidP="004C3670">
      <w:pPr>
        <w:spacing w:after="120"/>
        <w:rPr>
          <w:rFonts w:asciiTheme="majorHAnsi" w:hAnsiTheme="majorHAnsi"/>
          <w:sz w:val="22"/>
          <w:szCs w:val="22"/>
          <w:lang w:val="es-ES_tradnl"/>
        </w:rPr>
      </w:pPr>
      <w:r>
        <w:rPr>
          <w:rFonts w:asciiTheme="majorHAnsi" w:hAnsiTheme="majorHAnsi"/>
          <w:sz w:val="22"/>
          <w:szCs w:val="22"/>
          <w:lang w:val="es-ES_tradnl"/>
        </w:rPr>
        <w:t>Dada la importancia fundamental de las actividades de promoción para la aplicación de la Convención de Ramsar, así como los beneficios de aclarar y simplificar la planificación y presentación de informes, el</w:t>
      </w:r>
      <w:r w:rsidR="00C64326" w:rsidRPr="00B97122">
        <w:rPr>
          <w:rFonts w:asciiTheme="majorHAnsi" w:hAnsiTheme="majorHAnsi"/>
          <w:sz w:val="22"/>
          <w:szCs w:val="22"/>
          <w:lang w:val="es-ES_tradnl"/>
        </w:rPr>
        <w:t xml:space="preserve"> </w:t>
      </w:r>
      <w:r w:rsidR="00D66EFC" w:rsidRPr="00B97122">
        <w:rPr>
          <w:rFonts w:asciiTheme="majorHAnsi" w:hAnsiTheme="majorHAnsi"/>
          <w:sz w:val="22"/>
          <w:szCs w:val="22"/>
          <w:lang w:val="es-ES_tradnl"/>
        </w:rPr>
        <w:t>Grupo de supervisión de las actividades de CECoP</w:t>
      </w:r>
      <w:r>
        <w:rPr>
          <w:rFonts w:asciiTheme="majorHAnsi" w:hAnsiTheme="majorHAnsi"/>
          <w:sz w:val="22"/>
          <w:szCs w:val="22"/>
          <w:lang w:val="es-ES_tradnl"/>
        </w:rPr>
        <w:t xml:space="preserve"> recomienda lo siguiente</w:t>
      </w:r>
      <w:r w:rsidR="00C64326" w:rsidRPr="00B97122">
        <w:rPr>
          <w:rFonts w:asciiTheme="majorHAnsi" w:hAnsiTheme="majorHAnsi"/>
          <w:sz w:val="22"/>
          <w:szCs w:val="22"/>
          <w:lang w:val="es-ES_tradnl"/>
        </w:rPr>
        <w:t xml:space="preserve">: </w:t>
      </w:r>
    </w:p>
    <w:p w14:paraId="12BC39D1" w14:textId="5F452174" w:rsidR="00C64326" w:rsidRPr="00B97122" w:rsidRDefault="00923DEE" w:rsidP="004C3670">
      <w:pPr>
        <w:pStyle w:val="ListParagraph"/>
        <w:numPr>
          <w:ilvl w:val="0"/>
          <w:numId w:val="16"/>
        </w:numPr>
        <w:spacing w:after="120"/>
        <w:rPr>
          <w:rFonts w:asciiTheme="majorHAnsi" w:hAnsiTheme="majorHAnsi"/>
          <w:sz w:val="22"/>
          <w:szCs w:val="22"/>
          <w:lang w:val="es-ES_tradnl"/>
        </w:rPr>
      </w:pPr>
      <w:r>
        <w:rPr>
          <w:rFonts w:asciiTheme="majorHAnsi" w:hAnsiTheme="majorHAnsi"/>
          <w:sz w:val="22"/>
          <w:szCs w:val="22"/>
          <w:lang w:val="es-ES_tradnl"/>
        </w:rPr>
        <w:t>Limitar el número de objetivos y metas de CECoP e integrarlos en el Plan Estratégico de Ramsar en vez de tener un Programa</w:t>
      </w:r>
      <w:r w:rsidR="00003376" w:rsidRPr="00B97122">
        <w:rPr>
          <w:rFonts w:asciiTheme="majorHAnsi" w:hAnsiTheme="majorHAnsi"/>
          <w:sz w:val="22"/>
          <w:szCs w:val="22"/>
          <w:lang w:val="es-ES_tradnl"/>
        </w:rPr>
        <w:t xml:space="preserve"> de CECoP</w:t>
      </w:r>
      <w:r>
        <w:rPr>
          <w:rFonts w:asciiTheme="majorHAnsi" w:hAnsiTheme="majorHAnsi"/>
          <w:sz w:val="22"/>
          <w:szCs w:val="22"/>
          <w:lang w:val="es-ES_tradnl"/>
        </w:rPr>
        <w:t xml:space="preserve"> independiente. El Plan incluiría tanto </w:t>
      </w:r>
      <w:r w:rsidR="004E16D1">
        <w:rPr>
          <w:rFonts w:asciiTheme="majorHAnsi" w:hAnsiTheme="majorHAnsi"/>
          <w:sz w:val="22"/>
          <w:szCs w:val="22"/>
          <w:lang w:val="es-ES_tradnl"/>
        </w:rPr>
        <w:t>iniciativas</w:t>
      </w:r>
      <w:r>
        <w:rPr>
          <w:rFonts w:asciiTheme="majorHAnsi" w:hAnsiTheme="majorHAnsi"/>
          <w:sz w:val="22"/>
          <w:szCs w:val="22"/>
          <w:lang w:val="es-ES_tradnl"/>
        </w:rPr>
        <w:t xml:space="preserve"> de CECoP independientes como elementos de CECoP integrados en otras iniciativas.</w:t>
      </w:r>
    </w:p>
    <w:p w14:paraId="5A02B35B" w14:textId="61D08BEE" w:rsidR="00C64326" w:rsidRPr="00B97122" w:rsidRDefault="00923DEE" w:rsidP="004C3670">
      <w:pPr>
        <w:pStyle w:val="ListParagraph"/>
        <w:numPr>
          <w:ilvl w:val="0"/>
          <w:numId w:val="16"/>
        </w:numPr>
        <w:spacing w:after="120"/>
        <w:rPr>
          <w:rFonts w:asciiTheme="majorHAnsi" w:hAnsiTheme="majorHAnsi"/>
          <w:sz w:val="22"/>
          <w:szCs w:val="22"/>
          <w:lang w:val="es-ES_tradnl"/>
        </w:rPr>
      </w:pPr>
      <w:r>
        <w:rPr>
          <w:rFonts w:asciiTheme="majorHAnsi" w:hAnsiTheme="majorHAnsi"/>
          <w:sz w:val="22"/>
          <w:szCs w:val="22"/>
          <w:lang w:val="es-ES_tradnl"/>
        </w:rPr>
        <w:t xml:space="preserve">Armonizar mejor la presentación de informes sobre CECoP con las </w:t>
      </w:r>
      <w:r w:rsidR="004E16D1">
        <w:rPr>
          <w:rFonts w:asciiTheme="majorHAnsi" w:hAnsiTheme="majorHAnsi"/>
          <w:sz w:val="22"/>
          <w:szCs w:val="22"/>
          <w:lang w:val="es-ES_tradnl"/>
        </w:rPr>
        <w:t>necesidades</w:t>
      </w:r>
      <w:r>
        <w:rPr>
          <w:rFonts w:asciiTheme="majorHAnsi" w:hAnsiTheme="majorHAnsi"/>
          <w:sz w:val="22"/>
          <w:szCs w:val="22"/>
          <w:lang w:val="es-ES_tradnl"/>
        </w:rPr>
        <w:t xml:space="preserve"> de las </w:t>
      </w:r>
      <w:r w:rsidR="00B229E7" w:rsidRPr="00B97122">
        <w:rPr>
          <w:rFonts w:asciiTheme="majorHAnsi" w:hAnsiTheme="majorHAnsi"/>
          <w:sz w:val="22"/>
          <w:szCs w:val="22"/>
          <w:lang w:val="es-ES_tradnl"/>
        </w:rPr>
        <w:t>Partes Contratantes</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y con los requisitos en materia de presentación de </w:t>
      </w:r>
      <w:r w:rsidR="004E16D1">
        <w:rPr>
          <w:rFonts w:asciiTheme="majorHAnsi" w:hAnsiTheme="majorHAnsi"/>
          <w:sz w:val="22"/>
          <w:szCs w:val="22"/>
          <w:lang w:val="es-ES_tradnl"/>
        </w:rPr>
        <w:t>informes</w:t>
      </w:r>
      <w:r>
        <w:rPr>
          <w:rFonts w:asciiTheme="majorHAnsi" w:hAnsiTheme="majorHAnsi"/>
          <w:sz w:val="22"/>
          <w:szCs w:val="22"/>
          <w:lang w:val="es-ES_tradnl"/>
        </w:rPr>
        <w:t xml:space="preserve"> de otras convenciones e iniciativas i</w:t>
      </w:r>
      <w:r w:rsidR="00FD1238">
        <w:rPr>
          <w:rFonts w:asciiTheme="majorHAnsi" w:hAnsiTheme="majorHAnsi"/>
          <w:sz w:val="22"/>
          <w:szCs w:val="22"/>
          <w:lang w:val="es-ES_tradnl"/>
        </w:rPr>
        <w:t xml:space="preserve">nternacionales, por ejemplo las Metas de Aichi (particularmente las metas </w:t>
      </w:r>
      <w:r w:rsidR="00C64326" w:rsidRPr="00B97122">
        <w:rPr>
          <w:rFonts w:asciiTheme="majorHAnsi" w:hAnsiTheme="majorHAnsi"/>
          <w:sz w:val="22"/>
          <w:szCs w:val="22"/>
          <w:lang w:val="es-ES_tradnl"/>
        </w:rPr>
        <w:t xml:space="preserve">1 </w:t>
      </w:r>
      <w:r w:rsidR="00FD1238">
        <w:rPr>
          <w:rFonts w:asciiTheme="majorHAnsi" w:hAnsiTheme="majorHAnsi"/>
          <w:sz w:val="22"/>
          <w:szCs w:val="22"/>
          <w:lang w:val="es-ES_tradnl"/>
        </w:rPr>
        <w:t xml:space="preserve">y 18) y los Objetivos de Desarrollo Sostenible (incluidos los indicadores </w:t>
      </w:r>
      <w:r w:rsidR="00C64326" w:rsidRPr="00B97122">
        <w:rPr>
          <w:rFonts w:asciiTheme="majorHAnsi" w:hAnsiTheme="majorHAnsi"/>
          <w:sz w:val="22"/>
          <w:szCs w:val="22"/>
          <w:lang w:val="es-ES_tradnl"/>
        </w:rPr>
        <w:t xml:space="preserve">6.B1, 11.16.1 </w:t>
      </w:r>
      <w:r w:rsidR="00FD1238">
        <w:rPr>
          <w:rFonts w:asciiTheme="majorHAnsi" w:hAnsiTheme="majorHAnsi"/>
          <w:sz w:val="22"/>
          <w:szCs w:val="22"/>
          <w:lang w:val="es-ES_tradnl"/>
        </w:rPr>
        <w:t>y</w:t>
      </w:r>
      <w:r w:rsidR="00C64326" w:rsidRPr="00B97122">
        <w:rPr>
          <w:rFonts w:asciiTheme="majorHAnsi" w:hAnsiTheme="majorHAnsi"/>
          <w:sz w:val="22"/>
          <w:szCs w:val="22"/>
          <w:lang w:val="es-ES_tradnl"/>
        </w:rPr>
        <w:t xml:space="preserve"> 12.8.1). </w:t>
      </w:r>
    </w:p>
    <w:p w14:paraId="34A79F3F" w14:textId="776354B1" w:rsidR="00C64326" w:rsidRPr="00B97122" w:rsidRDefault="009E12A2" w:rsidP="004C3670">
      <w:pPr>
        <w:spacing w:after="120"/>
        <w:rPr>
          <w:rFonts w:asciiTheme="majorHAnsi" w:hAnsiTheme="majorHAnsi"/>
          <w:sz w:val="22"/>
          <w:szCs w:val="22"/>
          <w:lang w:val="es-ES_tradnl"/>
        </w:rPr>
      </w:pPr>
      <w:r>
        <w:rPr>
          <w:rFonts w:asciiTheme="majorHAnsi" w:hAnsiTheme="majorHAnsi"/>
          <w:sz w:val="22"/>
          <w:szCs w:val="22"/>
          <w:lang w:val="es-ES_tradnl"/>
        </w:rPr>
        <w:t>En</w:t>
      </w:r>
      <w:r w:rsidR="00FD1238">
        <w:rPr>
          <w:rFonts w:asciiTheme="majorHAnsi" w:hAnsiTheme="majorHAnsi"/>
          <w:sz w:val="22"/>
          <w:szCs w:val="22"/>
          <w:lang w:val="es-ES_tradnl"/>
        </w:rPr>
        <w:t xml:space="preserve"> las Partes Contratantes es necesario un enfoque más estratégico en el que las actividades de CECoP sean priorizadas y integradas en la planificación nacional y los procedimientos para la gestión y el uso racional de los humedales.</w:t>
      </w:r>
    </w:p>
    <w:p w14:paraId="1D951106" w14:textId="1341558C" w:rsidR="00C64326" w:rsidRPr="00B97122" w:rsidRDefault="00FD1238"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Habrá que responder a varias preguntas para transmitir los mensajes de manera eficaz y conseguir que el público se comprometa y pase a la acción, </w:t>
      </w:r>
      <w:r w:rsidR="009E12A2">
        <w:rPr>
          <w:rFonts w:asciiTheme="majorHAnsi" w:hAnsiTheme="majorHAnsi"/>
          <w:sz w:val="22"/>
          <w:szCs w:val="22"/>
          <w:lang w:val="es-ES_tradnl"/>
        </w:rPr>
        <w:t>reconociendo</w:t>
      </w:r>
      <w:r>
        <w:rPr>
          <w:rFonts w:asciiTheme="majorHAnsi" w:hAnsiTheme="majorHAnsi"/>
          <w:sz w:val="22"/>
          <w:szCs w:val="22"/>
          <w:lang w:val="es-ES_tradnl"/>
        </w:rPr>
        <w:t xml:space="preserve"> que serán necesario enfoques distintos en distintos países. Algunas de estas preguntas son:</w:t>
      </w:r>
    </w:p>
    <w:p w14:paraId="7ABAE48C" w14:textId="3AB54DBC" w:rsidR="00C64326" w:rsidRPr="00B97122" w:rsidRDefault="00FD1238"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 xml:space="preserve">¿Qué </w:t>
      </w:r>
      <w:r w:rsidR="009E12A2">
        <w:rPr>
          <w:rFonts w:asciiTheme="majorHAnsi" w:hAnsiTheme="majorHAnsi"/>
          <w:sz w:val="22"/>
          <w:szCs w:val="22"/>
          <w:lang w:val="es-ES_tradnl"/>
        </w:rPr>
        <w:t>tipos</w:t>
      </w:r>
      <w:r>
        <w:rPr>
          <w:rFonts w:asciiTheme="majorHAnsi" w:hAnsiTheme="majorHAnsi"/>
          <w:sz w:val="22"/>
          <w:szCs w:val="22"/>
          <w:lang w:val="es-ES_tradnl"/>
        </w:rPr>
        <w:t xml:space="preserve"> de mensajes funcionarán para motivar y comprometer a la comunidad en pro de la conservación de los humedales</w:t>
      </w:r>
      <w:r w:rsidR="00C64326" w:rsidRPr="00B97122">
        <w:rPr>
          <w:rFonts w:asciiTheme="majorHAnsi" w:hAnsiTheme="majorHAnsi"/>
          <w:sz w:val="22"/>
          <w:szCs w:val="22"/>
          <w:lang w:val="es-ES_tradnl"/>
        </w:rPr>
        <w:t xml:space="preserve">?  </w:t>
      </w:r>
    </w:p>
    <w:p w14:paraId="6EDED919" w14:textId="2E7F5B1D" w:rsidR="00C64326" w:rsidRPr="00B97122" w:rsidRDefault="00FD1238"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¿Qué plataformas son eficaces para transmitir el mensaje?</w:t>
      </w:r>
    </w:p>
    <w:p w14:paraId="763B993A" w14:textId="060E1F2D" w:rsidR="00C64326" w:rsidRPr="00B97122" w:rsidRDefault="00FD1238"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¿Cómo podemos lograr un cambio duradero?</w:t>
      </w:r>
    </w:p>
    <w:p w14:paraId="67723DBB" w14:textId="73572B43" w:rsidR="00C64326" w:rsidRPr="00B97122" w:rsidRDefault="00FD1238"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 xml:space="preserve">¿El mensaje sobre los humedales está siendo </w:t>
      </w:r>
      <w:r w:rsidR="0043527C">
        <w:rPr>
          <w:rFonts w:asciiTheme="majorHAnsi" w:hAnsiTheme="majorHAnsi"/>
          <w:sz w:val="22"/>
          <w:szCs w:val="22"/>
          <w:lang w:val="es-ES_tradnl"/>
        </w:rPr>
        <w:t>desplazado por otros mensajes?</w:t>
      </w:r>
    </w:p>
    <w:p w14:paraId="24B70BEC" w14:textId="57AE88D7" w:rsidR="00C64326" w:rsidRPr="00B97122" w:rsidRDefault="0043527C"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¿La conservación de los humedales se considera como una prioridad baja en comparación con otros objetivos de la sociedad?</w:t>
      </w:r>
    </w:p>
    <w:p w14:paraId="1D51202C" w14:textId="6E3825C2" w:rsidR="00C64326" w:rsidRPr="00B97122" w:rsidRDefault="0043527C" w:rsidP="004C3670">
      <w:pPr>
        <w:pStyle w:val="ListParagraph"/>
        <w:numPr>
          <w:ilvl w:val="0"/>
          <w:numId w:val="21"/>
        </w:numPr>
        <w:spacing w:after="120"/>
        <w:rPr>
          <w:rFonts w:asciiTheme="majorHAnsi" w:hAnsiTheme="majorHAnsi"/>
          <w:sz w:val="22"/>
          <w:szCs w:val="22"/>
          <w:lang w:val="es-ES_tradnl"/>
        </w:rPr>
      </w:pPr>
      <w:r>
        <w:rPr>
          <w:rFonts w:asciiTheme="majorHAnsi" w:hAnsiTheme="majorHAnsi"/>
          <w:sz w:val="22"/>
          <w:szCs w:val="22"/>
          <w:lang w:val="es-ES_tradnl"/>
        </w:rPr>
        <w:t>¿Estamos abarcando demasiado (demasiadas metas y poco enfoque y dirección)?</w:t>
      </w:r>
    </w:p>
    <w:p w14:paraId="4C4BFDBE" w14:textId="6887E161" w:rsidR="00C64326" w:rsidRPr="00B97122" w:rsidRDefault="0043527C" w:rsidP="004C3670">
      <w:pPr>
        <w:spacing w:after="120"/>
        <w:rPr>
          <w:rFonts w:asciiTheme="majorHAnsi" w:hAnsiTheme="majorHAnsi"/>
          <w:b/>
          <w:sz w:val="22"/>
          <w:szCs w:val="22"/>
          <w:lang w:val="es-ES_tradnl"/>
        </w:rPr>
      </w:pPr>
      <w:r>
        <w:rPr>
          <w:rFonts w:asciiTheme="majorHAnsi" w:hAnsiTheme="majorHAnsi"/>
          <w:b/>
          <w:sz w:val="22"/>
          <w:szCs w:val="22"/>
          <w:lang w:val="es-ES_tradnl"/>
        </w:rPr>
        <w:t>Disposiciones en materia de gobernanza</w:t>
      </w:r>
    </w:p>
    <w:p w14:paraId="1A523FFC" w14:textId="717D0CFB" w:rsidR="00C64326" w:rsidRPr="00B97122" w:rsidRDefault="00E24E80"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El examen del Plan Estratégico debería analizar cómo se puede brindar asesoramiento y apoyo sobre la CECoP de Ramsar de la manera más eficaz. Si se debe mantener un grupo de expertos sobre </w:t>
      </w:r>
      <w:r w:rsidR="001670A8" w:rsidRPr="00B97122">
        <w:rPr>
          <w:rFonts w:asciiTheme="majorHAnsi" w:hAnsiTheme="majorHAnsi"/>
          <w:sz w:val="22"/>
          <w:szCs w:val="22"/>
          <w:lang w:val="es-ES_tradnl"/>
        </w:rPr>
        <w:t>CECoP</w:t>
      </w:r>
      <w:r>
        <w:rPr>
          <w:rFonts w:asciiTheme="majorHAnsi" w:hAnsiTheme="majorHAnsi"/>
          <w:sz w:val="22"/>
          <w:szCs w:val="22"/>
          <w:lang w:val="es-ES_tradnl"/>
        </w:rPr>
        <w:t xml:space="preserve">, </w:t>
      </w:r>
      <w:r w:rsidR="009E12A2">
        <w:rPr>
          <w:rFonts w:asciiTheme="majorHAnsi" w:hAnsiTheme="majorHAnsi"/>
          <w:sz w:val="22"/>
          <w:szCs w:val="22"/>
          <w:lang w:val="es-ES_tradnl"/>
        </w:rPr>
        <w:t xml:space="preserve">este </w:t>
      </w:r>
      <w:r>
        <w:rPr>
          <w:rFonts w:asciiTheme="majorHAnsi" w:hAnsiTheme="majorHAnsi"/>
          <w:sz w:val="22"/>
          <w:szCs w:val="22"/>
          <w:lang w:val="es-ES_tradnl"/>
        </w:rPr>
        <w:t xml:space="preserve">deberá colmar la brecha existente y desempeñar un papel útil mejorando la aplicación de la Convención. Habría que plantearse su función, composición y disposiciones </w:t>
      </w:r>
      <w:r w:rsidR="009E12A2">
        <w:rPr>
          <w:rFonts w:asciiTheme="majorHAnsi" w:hAnsiTheme="majorHAnsi"/>
          <w:sz w:val="22"/>
          <w:szCs w:val="22"/>
          <w:lang w:val="es-ES_tradnl"/>
        </w:rPr>
        <w:t>sobre presentación</w:t>
      </w:r>
      <w:r>
        <w:rPr>
          <w:rFonts w:asciiTheme="majorHAnsi" w:hAnsiTheme="majorHAnsi"/>
          <w:sz w:val="22"/>
          <w:szCs w:val="22"/>
          <w:lang w:val="es-ES_tradnl"/>
        </w:rPr>
        <w:t xml:space="preserve"> de informes a largo plazo. Se brindará más asesoramiento sobre medidas de apoyo a la reunión </w:t>
      </w:r>
      <w:r w:rsidR="00C64326" w:rsidRPr="00B97122">
        <w:rPr>
          <w:rFonts w:asciiTheme="majorHAnsi" w:hAnsiTheme="majorHAnsi"/>
          <w:sz w:val="22"/>
          <w:szCs w:val="22"/>
          <w:lang w:val="es-ES_tradnl"/>
        </w:rPr>
        <w:t>SC58.</w:t>
      </w:r>
    </w:p>
    <w:p w14:paraId="606D77D8" w14:textId="45E074C1" w:rsidR="00C64326" w:rsidRPr="00B97122" w:rsidRDefault="00E24E80" w:rsidP="004C3670">
      <w:pPr>
        <w:spacing w:after="120"/>
        <w:rPr>
          <w:rFonts w:asciiTheme="majorHAnsi" w:hAnsiTheme="majorHAnsi"/>
          <w:sz w:val="22"/>
          <w:szCs w:val="22"/>
          <w:lang w:val="es-ES_tradnl"/>
        </w:rPr>
      </w:pPr>
      <w:r>
        <w:rPr>
          <w:rFonts w:asciiTheme="majorHAnsi" w:hAnsiTheme="majorHAnsi"/>
          <w:sz w:val="22"/>
          <w:szCs w:val="22"/>
          <w:lang w:val="es-ES_tradnl"/>
        </w:rPr>
        <w:t xml:space="preserve">Se considera que la existencia de los coordinadores nacionales y los coordinadores de CECoP en las </w:t>
      </w:r>
      <w:r w:rsidR="00B229E7" w:rsidRPr="00B97122">
        <w:rPr>
          <w:rFonts w:asciiTheme="majorHAnsi" w:hAnsiTheme="majorHAnsi"/>
          <w:sz w:val="22"/>
          <w:szCs w:val="22"/>
          <w:lang w:val="es-ES_tradnl"/>
        </w:rPr>
        <w:t>Partes Contratantes</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es importante para garantizar un enfoque coordinado y estratégico sobre la aplicación de Ramsar. Se deberían utilizar estas redes como una herramienta clave para divulgar información a las Partes </w:t>
      </w:r>
      <w:r w:rsidR="009E12A2">
        <w:rPr>
          <w:rFonts w:asciiTheme="majorHAnsi" w:hAnsiTheme="majorHAnsi"/>
          <w:sz w:val="22"/>
          <w:szCs w:val="22"/>
          <w:lang w:val="es-ES_tradnl"/>
        </w:rPr>
        <w:t>Contratantes</w:t>
      </w:r>
      <w:r>
        <w:rPr>
          <w:rFonts w:asciiTheme="majorHAnsi" w:hAnsiTheme="majorHAnsi"/>
          <w:sz w:val="22"/>
          <w:szCs w:val="22"/>
          <w:lang w:val="es-ES_tradnl"/>
        </w:rPr>
        <w:t xml:space="preserve"> y obtener sus observaciones</w:t>
      </w:r>
      <w:r w:rsidR="00C64326" w:rsidRPr="00B97122">
        <w:rPr>
          <w:rFonts w:asciiTheme="majorHAnsi" w:hAnsiTheme="majorHAnsi"/>
          <w:sz w:val="22"/>
          <w:szCs w:val="22"/>
          <w:lang w:val="es-ES_tradnl"/>
        </w:rPr>
        <w:t>.</w:t>
      </w:r>
    </w:p>
    <w:p w14:paraId="629B7661" w14:textId="21091DD4" w:rsidR="00C64326" w:rsidRPr="00B97122" w:rsidRDefault="00E24E80" w:rsidP="004C3670">
      <w:pPr>
        <w:keepNext/>
        <w:spacing w:after="120"/>
        <w:rPr>
          <w:rFonts w:asciiTheme="majorHAnsi" w:hAnsiTheme="majorHAnsi"/>
          <w:b/>
          <w:sz w:val="22"/>
          <w:szCs w:val="22"/>
          <w:lang w:val="es-ES_tradnl"/>
        </w:rPr>
      </w:pPr>
      <w:r>
        <w:rPr>
          <w:rFonts w:asciiTheme="majorHAnsi" w:hAnsiTheme="majorHAnsi"/>
          <w:b/>
          <w:sz w:val="22"/>
          <w:szCs w:val="22"/>
          <w:lang w:val="es-ES_tradnl"/>
        </w:rPr>
        <w:lastRenderedPageBreak/>
        <w:t xml:space="preserve">Dotación de recursos para las actividades de </w:t>
      </w:r>
      <w:r w:rsidR="001670A8" w:rsidRPr="00B97122">
        <w:rPr>
          <w:rFonts w:asciiTheme="majorHAnsi" w:hAnsiTheme="majorHAnsi"/>
          <w:b/>
          <w:sz w:val="22"/>
          <w:szCs w:val="22"/>
          <w:lang w:val="es-ES_tradnl"/>
        </w:rPr>
        <w:t>CECoP</w:t>
      </w:r>
    </w:p>
    <w:p w14:paraId="01194A13" w14:textId="4CCE380D" w:rsidR="00C64326" w:rsidRPr="00B97122" w:rsidRDefault="00E24E80" w:rsidP="004C3670">
      <w:pPr>
        <w:keepNext/>
        <w:spacing w:after="120"/>
        <w:rPr>
          <w:rFonts w:asciiTheme="majorHAnsi" w:hAnsiTheme="majorHAnsi"/>
          <w:sz w:val="22"/>
          <w:szCs w:val="22"/>
          <w:lang w:val="es-ES_tradnl"/>
        </w:rPr>
      </w:pPr>
      <w:r>
        <w:rPr>
          <w:rFonts w:asciiTheme="majorHAnsi" w:hAnsiTheme="majorHAnsi"/>
          <w:sz w:val="22"/>
          <w:szCs w:val="22"/>
          <w:lang w:val="es-ES_tradnl"/>
        </w:rPr>
        <w:t xml:space="preserve">La financiación para las actividades de CECoP se debería </w:t>
      </w:r>
      <w:r w:rsidR="009E12A2">
        <w:rPr>
          <w:rFonts w:asciiTheme="majorHAnsi" w:hAnsiTheme="majorHAnsi"/>
          <w:sz w:val="22"/>
          <w:szCs w:val="22"/>
          <w:lang w:val="es-ES_tradnl"/>
        </w:rPr>
        <w:t>incorporar</w:t>
      </w:r>
      <w:r>
        <w:rPr>
          <w:rFonts w:asciiTheme="majorHAnsi" w:hAnsiTheme="majorHAnsi"/>
          <w:sz w:val="22"/>
          <w:szCs w:val="22"/>
          <w:lang w:val="es-ES_tradnl"/>
        </w:rPr>
        <w:t xml:space="preserve"> en los presupuestos de la Convención para el próximo trienio. Debería incluir más movilización de recursos y asociaciones de colaboración, financiación para iniciativas de C</w:t>
      </w:r>
      <w:r w:rsidR="001670A8" w:rsidRPr="00B97122">
        <w:rPr>
          <w:rFonts w:asciiTheme="majorHAnsi" w:hAnsiTheme="majorHAnsi"/>
          <w:sz w:val="22"/>
          <w:szCs w:val="22"/>
          <w:lang w:val="es-ES_tradnl"/>
        </w:rPr>
        <w:t>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concretas y </w:t>
      </w:r>
      <w:r w:rsidR="00BC18D0">
        <w:rPr>
          <w:rFonts w:asciiTheme="majorHAnsi" w:hAnsiTheme="majorHAnsi"/>
          <w:sz w:val="22"/>
          <w:szCs w:val="22"/>
          <w:lang w:val="es-ES_tradnl"/>
        </w:rPr>
        <w:t>el requisito de que la</w:t>
      </w:r>
      <w:r w:rsidR="00C64326" w:rsidRPr="00B97122">
        <w:rPr>
          <w:rFonts w:asciiTheme="majorHAnsi" w:hAnsiTheme="majorHAnsi"/>
          <w:sz w:val="22"/>
          <w:szCs w:val="22"/>
          <w:lang w:val="es-ES_tradnl"/>
        </w:rPr>
        <w:t xml:space="preserve">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sidR="00BC18D0">
        <w:rPr>
          <w:rFonts w:asciiTheme="majorHAnsi" w:hAnsiTheme="majorHAnsi"/>
          <w:sz w:val="22"/>
          <w:szCs w:val="22"/>
          <w:lang w:val="es-ES_tradnl"/>
        </w:rPr>
        <w:t>se integre en todas las iniciativas y actividades que se financien.</w:t>
      </w:r>
    </w:p>
    <w:p w14:paraId="423B5E6B" w14:textId="35FCC93D" w:rsidR="00C64326" w:rsidRPr="00B97122" w:rsidRDefault="00BC18D0" w:rsidP="003A3EF9">
      <w:pPr>
        <w:spacing w:after="120"/>
        <w:rPr>
          <w:rFonts w:asciiTheme="majorHAnsi" w:hAnsiTheme="majorHAnsi"/>
          <w:sz w:val="22"/>
          <w:szCs w:val="22"/>
          <w:lang w:val="es-ES_tradnl"/>
        </w:rPr>
      </w:pPr>
      <w:r>
        <w:rPr>
          <w:rFonts w:asciiTheme="majorHAnsi" w:hAnsiTheme="majorHAnsi"/>
          <w:sz w:val="22"/>
          <w:szCs w:val="22"/>
          <w:lang w:val="es-ES_tradnl"/>
        </w:rPr>
        <w:t xml:space="preserve">Se deberían estudiar </w:t>
      </w:r>
      <w:r w:rsidR="00B63751">
        <w:rPr>
          <w:rFonts w:asciiTheme="majorHAnsi" w:hAnsiTheme="majorHAnsi"/>
          <w:sz w:val="22"/>
          <w:szCs w:val="22"/>
          <w:lang w:val="es-ES_tradnl"/>
        </w:rPr>
        <w:t xml:space="preserve">nuevas asociaciones de colaboración posibles, entre otras cosas con ONG conservacionistas, organizaciones internacionales, organizaciones del sector empresarial y otros acuerdos multilaterales sobre le medio ambiente (AMMA), que podrían ser </w:t>
      </w:r>
      <w:r w:rsidR="009E12A2">
        <w:rPr>
          <w:rFonts w:asciiTheme="majorHAnsi" w:hAnsiTheme="majorHAnsi"/>
          <w:sz w:val="22"/>
          <w:szCs w:val="22"/>
          <w:lang w:val="es-ES_tradnl"/>
        </w:rPr>
        <w:t>identificadas</w:t>
      </w:r>
      <w:r w:rsidR="00B63751">
        <w:rPr>
          <w:rFonts w:asciiTheme="majorHAnsi" w:hAnsiTheme="majorHAnsi"/>
          <w:sz w:val="22"/>
          <w:szCs w:val="22"/>
          <w:lang w:val="es-ES_tradnl"/>
        </w:rPr>
        <w:t xml:space="preserve"> por la Secretaría o por las Partes Contratantes y las OIA y aplicadas a </w:t>
      </w:r>
      <w:r w:rsidR="009E12A2">
        <w:rPr>
          <w:rFonts w:asciiTheme="majorHAnsi" w:hAnsiTheme="majorHAnsi"/>
          <w:sz w:val="22"/>
          <w:szCs w:val="22"/>
          <w:lang w:val="es-ES_tradnl"/>
        </w:rPr>
        <w:t>escala</w:t>
      </w:r>
      <w:r w:rsidR="00B63751">
        <w:rPr>
          <w:rFonts w:asciiTheme="majorHAnsi" w:hAnsiTheme="majorHAnsi"/>
          <w:sz w:val="22"/>
          <w:szCs w:val="22"/>
          <w:lang w:val="es-ES_tradnl"/>
        </w:rPr>
        <w:t xml:space="preserve"> mundial, regional y por las Par</w:t>
      </w:r>
      <w:r w:rsidR="00B229E7" w:rsidRPr="00B97122">
        <w:rPr>
          <w:rFonts w:asciiTheme="majorHAnsi" w:hAnsiTheme="majorHAnsi"/>
          <w:sz w:val="22"/>
          <w:szCs w:val="22"/>
          <w:lang w:val="es-ES_tradnl"/>
        </w:rPr>
        <w:t>tes Contratantes</w:t>
      </w:r>
      <w:r w:rsidR="00C64326" w:rsidRPr="00B97122">
        <w:rPr>
          <w:rFonts w:asciiTheme="majorHAnsi" w:hAnsiTheme="majorHAnsi"/>
          <w:sz w:val="22"/>
          <w:szCs w:val="22"/>
          <w:lang w:val="es-ES_tradnl"/>
        </w:rPr>
        <w:t>.</w:t>
      </w:r>
    </w:p>
    <w:p w14:paraId="7AA20C74" w14:textId="1790D19B" w:rsidR="00C64326" w:rsidRPr="00B97122" w:rsidRDefault="00B63751" w:rsidP="004C3670">
      <w:pPr>
        <w:keepNext/>
        <w:spacing w:after="120"/>
        <w:rPr>
          <w:rFonts w:asciiTheme="majorHAnsi" w:hAnsiTheme="majorHAnsi"/>
          <w:b/>
          <w:sz w:val="22"/>
          <w:szCs w:val="22"/>
          <w:lang w:val="es-ES_tradnl"/>
        </w:rPr>
      </w:pPr>
      <w:r>
        <w:rPr>
          <w:rFonts w:asciiTheme="majorHAnsi" w:hAnsiTheme="majorHAnsi"/>
          <w:b/>
          <w:sz w:val="22"/>
          <w:szCs w:val="22"/>
          <w:lang w:val="es-ES_tradnl"/>
        </w:rPr>
        <w:t>Orientaciones para una aplicación futura</w:t>
      </w:r>
    </w:p>
    <w:p w14:paraId="35C4C4CA" w14:textId="596A258B" w:rsidR="00C64326" w:rsidRPr="00B97122" w:rsidRDefault="00B63751" w:rsidP="004C3670">
      <w:pPr>
        <w:keepNext/>
        <w:spacing w:after="120"/>
        <w:rPr>
          <w:rFonts w:asciiTheme="majorHAnsi" w:hAnsiTheme="majorHAnsi"/>
          <w:sz w:val="22"/>
          <w:szCs w:val="22"/>
          <w:lang w:val="es-ES_tradnl"/>
        </w:rPr>
      </w:pPr>
      <w:r>
        <w:rPr>
          <w:rFonts w:asciiTheme="majorHAnsi" w:hAnsiTheme="majorHAnsi"/>
          <w:sz w:val="22"/>
          <w:szCs w:val="22"/>
          <w:lang w:val="es-ES_tradnl"/>
        </w:rPr>
        <w:t xml:space="preserve">El </w:t>
      </w:r>
      <w:r w:rsidR="00D66EFC" w:rsidRPr="00B97122">
        <w:rPr>
          <w:rFonts w:asciiTheme="majorHAnsi" w:hAnsiTheme="majorHAnsi"/>
          <w:sz w:val="22"/>
          <w:szCs w:val="22"/>
          <w:lang w:val="es-ES_tradnl"/>
        </w:rPr>
        <w:t>Grupo de supervisión de las actividades de CECoP</w:t>
      </w:r>
      <w:r w:rsidR="00C64326" w:rsidRPr="00B97122">
        <w:rPr>
          <w:rFonts w:asciiTheme="majorHAnsi" w:hAnsiTheme="majorHAnsi"/>
          <w:sz w:val="22"/>
          <w:szCs w:val="22"/>
          <w:lang w:val="es-ES_tradnl"/>
        </w:rPr>
        <w:t xml:space="preserve"> r</w:t>
      </w:r>
      <w:r>
        <w:rPr>
          <w:rFonts w:asciiTheme="majorHAnsi" w:hAnsiTheme="majorHAnsi"/>
          <w:sz w:val="22"/>
          <w:szCs w:val="22"/>
          <w:lang w:val="es-ES_tradnl"/>
        </w:rPr>
        <w:t xml:space="preserve">ecomienda que se examinen las </w:t>
      </w:r>
      <w:r w:rsidR="009E12A2">
        <w:rPr>
          <w:rFonts w:asciiTheme="majorHAnsi" w:hAnsiTheme="majorHAnsi"/>
          <w:sz w:val="22"/>
          <w:szCs w:val="22"/>
          <w:lang w:val="es-ES_tradnl"/>
        </w:rPr>
        <w:t>siguientes</w:t>
      </w:r>
      <w:r>
        <w:rPr>
          <w:rFonts w:asciiTheme="majorHAnsi" w:hAnsiTheme="majorHAnsi"/>
          <w:sz w:val="22"/>
          <w:szCs w:val="22"/>
          <w:lang w:val="es-ES_tradnl"/>
        </w:rPr>
        <w:t xml:space="preserve"> prioridades y cuestiones para optimizar la contribución de la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a la aplicación de los objetivos del Plan Estratégico de Ramsar.</w:t>
      </w:r>
    </w:p>
    <w:p w14:paraId="58BE3C98" w14:textId="2A7284BA" w:rsidR="00C64326" w:rsidRPr="00B97122" w:rsidRDefault="00A07BFB" w:rsidP="004C3670">
      <w:pPr>
        <w:keepNext/>
        <w:spacing w:after="120"/>
        <w:rPr>
          <w:rFonts w:asciiTheme="majorHAnsi" w:hAnsiTheme="majorHAnsi"/>
          <w:i/>
          <w:sz w:val="22"/>
          <w:szCs w:val="22"/>
          <w:lang w:val="es-ES_tradnl"/>
        </w:rPr>
      </w:pPr>
      <w:r>
        <w:rPr>
          <w:rFonts w:asciiTheme="majorHAnsi" w:hAnsiTheme="majorHAnsi"/>
          <w:i/>
          <w:sz w:val="22"/>
          <w:szCs w:val="22"/>
          <w:lang w:val="es-ES_tradnl"/>
        </w:rPr>
        <w:t xml:space="preserve">Objetivo </w:t>
      </w:r>
      <w:r w:rsidR="00C64326" w:rsidRPr="00B97122">
        <w:rPr>
          <w:rFonts w:asciiTheme="majorHAnsi" w:hAnsiTheme="majorHAnsi"/>
          <w:i/>
          <w:sz w:val="22"/>
          <w:szCs w:val="22"/>
          <w:lang w:val="es-ES_tradnl"/>
        </w:rPr>
        <w:t xml:space="preserve">1 – </w:t>
      </w:r>
      <w:r w:rsidR="009E12A2">
        <w:rPr>
          <w:rFonts w:asciiTheme="majorHAnsi" w:hAnsiTheme="majorHAnsi"/>
          <w:i/>
          <w:sz w:val="22"/>
          <w:szCs w:val="22"/>
          <w:lang w:val="es-ES_tradnl"/>
        </w:rPr>
        <w:t>Hacer</w:t>
      </w:r>
      <w:r w:rsidR="00B63751">
        <w:rPr>
          <w:rFonts w:asciiTheme="majorHAnsi" w:hAnsiTheme="majorHAnsi"/>
          <w:i/>
          <w:sz w:val="22"/>
          <w:szCs w:val="22"/>
          <w:lang w:val="es-ES_tradnl"/>
        </w:rPr>
        <w:t xml:space="preserve"> frente a los factores que impulsan la pérdida y degradación de los humedales</w:t>
      </w:r>
    </w:p>
    <w:p w14:paraId="15276A70" w14:textId="244090EF" w:rsidR="00C64326" w:rsidRPr="00B97122" w:rsidRDefault="00C64326" w:rsidP="004C3670">
      <w:pPr>
        <w:numPr>
          <w:ilvl w:val="0"/>
          <w:numId w:val="13"/>
        </w:numPr>
        <w:spacing w:after="120"/>
        <w:rPr>
          <w:rFonts w:asciiTheme="majorHAnsi" w:hAnsiTheme="majorHAnsi"/>
          <w:sz w:val="22"/>
          <w:szCs w:val="22"/>
          <w:lang w:val="es-ES_tradnl"/>
        </w:rPr>
      </w:pPr>
      <w:r w:rsidRPr="00B97122">
        <w:rPr>
          <w:rFonts w:asciiTheme="majorHAnsi" w:hAnsiTheme="majorHAnsi"/>
          <w:sz w:val="22"/>
          <w:szCs w:val="22"/>
          <w:lang w:val="es-ES_tradnl"/>
        </w:rPr>
        <w:t>Prior</w:t>
      </w:r>
      <w:r w:rsidR="00B63751">
        <w:rPr>
          <w:rFonts w:asciiTheme="majorHAnsi" w:hAnsiTheme="majorHAnsi"/>
          <w:sz w:val="22"/>
          <w:szCs w:val="22"/>
          <w:lang w:val="es-ES_tradnl"/>
        </w:rPr>
        <w:t xml:space="preserve">izar las actividades mundiales de </w:t>
      </w:r>
      <w:r w:rsidR="001670A8" w:rsidRPr="00B97122">
        <w:rPr>
          <w:rFonts w:asciiTheme="majorHAnsi" w:hAnsiTheme="majorHAnsi"/>
          <w:sz w:val="22"/>
          <w:szCs w:val="22"/>
          <w:lang w:val="es-ES_tradnl"/>
        </w:rPr>
        <w:t>CECoP</w:t>
      </w:r>
      <w:r w:rsidR="00B63751">
        <w:rPr>
          <w:rFonts w:asciiTheme="majorHAnsi" w:hAnsiTheme="majorHAnsi"/>
          <w:sz w:val="22"/>
          <w:szCs w:val="22"/>
          <w:lang w:val="es-ES_tradnl"/>
        </w:rPr>
        <w:t xml:space="preserve"> que promueven la Convención y sus objetivos, entre otras cosas la </w:t>
      </w:r>
      <w:r w:rsidR="009E12A2">
        <w:rPr>
          <w:rFonts w:asciiTheme="majorHAnsi" w:hAnsiTheme="majorHAnsi"/>
          <w:sz w:val="22"/>
          <w:szCs w:val="22"/>
          <w:lang w:val="es-ES_tradnl"/>
        </w:rPr>
        <w:t>promoción</w:t>
      </w:r>
      <w:r w:rsidR="00B63751">
        <w:rPr>
          <w:rFonts w:asciiTheme="majorHAnsi" w:hAnsiTheme="majorHAnsi"/>
          <w:sz w:val="22"/>
          <w:szCs w:val="22"/>
          <w:lang w:val="es-ES_tradnl"/>
        </w:rPr>
        <w:t xml:space="preserve"> a gran escala de la </w:t>
      </w:r>
      <w:r w:rsidRPr="00B97122">
        <w:rPr>
          <w:rFonts w:asciiTheme="majorHAnsi" w:hAnsiTheme="majorHAnsi"/>
          <w:sz w:val="22"/>
          <w:szCs w:val="22"/>
          <w:lang w:val="es-ES_tradnl"/>
        </w:rPr>
        <w:t xml:space="preserve">COP13 </w:t>
      </w:r>
      <w:r w:rsidR="00B63751">
        <w:rPr>
          <w:rFonts w:asciiTheme="majorHAnsi" w:hAnsiTheme="majorHAnsi"/>
          <w:sz w:val="22"/>
          <w:szCs w:val="22"/>
          <w:lang w:val="es-ES_tradnl"/>
        </w:rPr>
        <w:t xml:space="preserve">y sus resultados y la continua aportación de información sobre los </w:t>
      </w:r>
      <w:r w:rsidR="009E12A2">
        <w:rPr>
          <w:rFonts w:asciiTheme="majorHAnsi" w:hAnsiTheme="majorHAnsi"/>
          <w:sz w:val="22"/>
          <w:szCs w:val="22"/>
          <w:lang w:val="es-ES_tradnl"/>
        </w:rPr>
        <w:t>humedales</w:t>
      </w:r>
      <w:r w:rsidR="00B63751">
        <w:rPr>
          <w:rFonts w:asciiTheme="majorHAnsi" w:hAnsiTheme="majorHAnsi"/>
          <w:sz w:val="22"/>
          <w:szCs w:val="22"/>
          <w:lang w:val="es-ES_tradnl"/>
        </w:rPr>
        <w:t xml:space="preserve"> por el Secretario o la Secretaria General de Ramsar y las </w:t>
      </w:r>
      <w:r w:rsidR="00B229E7" w:rsidRPr="00B97122">
        <w:rPr>
          <w:rFonts w:asciiTheme="majorHAnsi" w:hAnsiTheme="majorHAnsi"/>
          <w:sz w:val="22"/>
          <w:szCs w:val="22"/>
          <w:lang w:val="es-ES_tradnl"/>
        </w:rPr>
        <w:t>Partes Contratantes</w:t>
      </w:r>
      <w:r w:rsidR="00B63751">
        <w:rPr>
          <w:rFonts w:asciiTheme="majorHAnsi" w:hAnsiTheme="majorHAnsi"/>
          <w:sz w:val="22"/>
          <w:szCs w:val="22"/>
          <w:lang w:val="es-ES_tradnl"/>
        </w:rPr>
        <w:t xml:space="preserve"> al debate sobre cuestiones de políticas mundiales, por ejemplo los Objetivos de Desarrollo Sostenible</w:t>
      </w:r>
      <w:r w:rsidRPr="00B97122">
        <w:rPr>
          <w:rFonts w:asciiTheme="majorHAnsi" w:hAnsiTheme="majorHAnsi"/>
          <w:sz w:val="22"/>
          <w:szCs w:val="22"/>
          <w:lang w:val="es-ES_tradnl"/>
        </w:rPr>
        <w:t xml:space="preserve">. </w:t>
      </w:r>
    </w:p>
    <w:p w14:paraId="242B0EA6" w14:textId="40993C69" w:rsidR="00C64326" w:rsidRPr="00B97122" w:rsidRDefault="00B63751"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Otorgar prioridad a las actividades de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que apoyarán realmente a las </w:t>
      </w:r>
      <w:r w:rsidR="00B229E7" w:rsidRPr="00B97122">
        <w:rPr>
          <w:rFonts w:asciiTheme="majorHAnsi" w:hAnsiTheme="majorHAnsi"/>
          <w:sz w:val="22"/>
          <w:szCs w:val="22"/>
          <w:lang w:val="es-ES_tradnl"/>
        </w:rPr>
        <w:t>Partes Contratantes</w:t>
      </w:r>
      <w:r>
        <w:rPr>
          <w:rFonts w:asciiTheme="majorHAnsi" w:hAnsiTheme="majorHAnsi"/>
          <w:sz w:val="22"/>
          <w:szCs w:val="22"/>
          <w:lang w:val="es-ES_tradnl"/>
        </w:rPr>
        <w:t xml:space="preserve"> y a sus coordinadores nacionales y ayudar a los administradores de sitios Ramsar y otros humedales a </w:t>
      </w:r>
      <w:r w:rsidR="009E12A2">
        <w:rPr>
          <w:rFonts w:asciiTheme="majorHAnsi" w:hAnsiTheme="majorHAnsi"/>
          <w:sz w:val="22"/>
          <w:szCs w:val="22"/>
          <w:lang w:val="es-ES_tradnl"/>
        </w:rPr>
        <w:t>implicar</w:t>
      </w:r>
      <w:r>
        <w:rPr>
          <w:rFonts w:asciiTheme="majorHAnsi" w:hAnsiTheme="majorHAnsi"/>
          <w:sz w:val="22"/>
          <w:szCs w:val="22"/>
          <w:lang w:val="es-ES_tradnl"/>
        </w:rPr>
        <w:t xml:space="preserve"> a los interesados, hacer frente a las amenazas y mejorar la gestión de sus humedales.</w:t>
      </w:r>
    </w:p>
    <w:p w14:paraId="22DDC67B" w14:textId="51AF6D99" w:rsidR="00C64326" w:rsidRPr="00B97122" w:rsidRDefault="00C64326" w:rsidP="004C3670">
      <w:pPr>
        <w:numPr>
          <w:ilvl w:val="0"/>
          <w:numId w:val="13"/>
        </w:numPr>
        <w:spacing w:after="120"/>
        <w:rPr>
          <w:rFonts w:asciiTheme="majorHAnsi" w:hAnsiTheme="majorHAnsi"/>
          <w:sz w:val="22"/>
          <w:szCs w:val="22"/>
          <w:lang w:val="es-ES_tradnl"/>
        </w:rPr>
      </w:pPr>
      <w:r w:rsidRPr="00B97122">
        <w:rPr>
          <w:rFonts w:asciiTheme="majorHAnsi" w:hAnsiTheme="majorHAnsi"/>
          <w:sz w:val="22"/>
          <w:szCs w:val="22"/>
          <w:lang w:val="es-ES_tradnl"/>
        </w:rPr>
        <w:t>Identi</w:t>
      </w:r>
      <w:r w:rsidR="00B63751">
        <w:rPr>
          <w:rFonts w:asciiTheme="majorHAnsi" w:hAnsiTheme="majorHAnsi"/>
          <w:sz w:val="22"/>
          <w:szCs w:val="22"/>
          <w:lang w:val="es-ES_tradnl"/>
        </w:rPr>
        <w:t xml:space="preserve">ficar las amenazas actuales y emergentes, incluida la amenaza </w:t>
      </w:r>
      <w:r w:rsidR="008919B5">
        <w:rPr>
          <w:rFonts w:asciiTheme="majorHAnsi" w:hAnsiTheme="majorHAnsi"/>
          <w:sz w:val="22"/>
          <w:szCs w:val="22"/>
          <w:lang w:val="es-ES_tradnl"/>
        </w:rPr>
        <w:t>global del cambio climático</w:t>
      </w:r>
      <w:r w:rsidR="009E12A2">
        <w:rPr>
          <w:rFonts w:asciiTheme="majorHAnsi" w:hAnsiTheme="majorHAnsi"/>
          <w:sz w:val="22"/>
          <w:szCs w:val="22"/>
          <w:lang w:val="es-ES_tradnl"/>
        </w:rPr>
        <w:t>,</w:t>
      </w:r>
      <w:r w:rsidR="008919B5">
        <w:rPr>
          <w:rFonts w:asciiTheme="majorHAnsi" w:hAnsiTheme="majorHAnsi"/>
          <w:sz w:val="22"/>
          <w:szCs w:val="22"/>
          <w:lang w:val="es-ES_tradnl"/>
        </w:rPr>
        <w:t xml:space="preserve"> y elaborar y compartir entre las Partes herramientas prácticas y orientaciones para la gestión de los sitios Ramsar y otros humedales a largo plazo</w:t>
      </w:r>
      <w:r w:rsidRPr="00B97122">
        <w:rPr>
          <w:rFonts w:asciiTheme="majorHAnsi" w:hAnsiTheme="majorHAnsi"/>
          <w:sz w:val="22"/>
          <w:szCs w:val="22"/>
          <w:lang w:val="es-ES_tradnl"/>
        </w:rPr>
        <w:t>.</w:t>
      </w:r>
    </w:p>
    <w:p w14:paraId="31141DCC" w14:textId="790DAE28" w:rsidR="00C64326" w:rsidRPr="00B97122" w:rsidRDefault="00C64326" w:rsidP="004C3670">
      <w:pPr>
        <w:numPr>
          <w:ilvl w:val="0"/>
          <w:numId w:val="13"/>
        </w:numPr>
        <w:spacing w:after="120"/>
        <w:rPr>
          <w:rFonts w:asciiTheme="majorHAnsi" w:hAnsiTheme="majorHAnsi"/>
          <w:sz w:val="22"/>
          <w:szCs w:val="22"/>
          <w:lang w:val="es-ES_tradnl"/>
        </w:rPr>
      </w:pPr>
      <w:r w:rsidRPr="00B97122">
        <w:rPr>
          <w:rFonts w:asciiTheme="majorHAnsi" w:hAnsiTheme="majorHAnsi"/>
          <w:sz w:val="22"/>
          <w:szCs w:val="22"/>
          <w:lang w:val="es-ES_tradnl"/>
        </w:rPr>
        <w:t>Identif</w:t>
      </w:r>
      <w:r w:rsidR="008919B5">
        <w:rPr>
          <w:rFonts w:asciiTheme="majorHAnsi" w:hAnsiTheme="majorHAnsi"/>
          <w:sz w:val="22"/>
          <w:szCs w:val="22"/>
          <w:lang w:val="es-ES_tradnl"/>
        </w:rPr>
        <w:t xml:space="preserve">icar mecanismos para una mejor aportación sectorial a la </w:t>
      </w:r>
      <w:r w:rsidR="009E12A2">
        <w:rPr>
          <w:rFonts w:asciiTheme="majorHAnsi" w:hAnsiTheme="majorHAnsi"/>
          <w:sz w:val="22"/>
          <w:szCs w:val="22"/>
          <w:lang w:val="es-ES_tradnl"/>
        </w:rPr>
        <w:t>planificación</w:t>
      </w:r>
      <w:r w:rsidR="008919B5">
        <w:rPr>
          <w:rFonts w:asciiTheme="majorHAnsi" w:hAnsiTheme="majorHAnsi"/>
          <w:sz w:val="22"/>
          <w:szCs w:val="22"/>
          <w:lang w:val="es-ES_tradnl"/>
        </w:rPr>
        <w:t xml:space="preserve"> en materia de Ramsar y de CECoP, entre otras cosas reconociendo el valor, la experiencia y los </w:t>
      </w:r>
      <w:r w:rsidR="009E12A2">
        <w:rPr>
          <w:rFonts w:asciiTheme="majorHAnsi" w:hAnsiTheme="majorHAnsi"/>
          <w:sz w:val="22"/>
          <w:szCs w:val="22"/>
          <w:lang w:val="es-ES_tradnl"/>
        </w:rPr>
        <w:t>recursos</w:t>
      </w:r>
      <w:r w:rsidR="008919B5">
        <w:rPr>
          <w:rFonts w:asciiTheme="majorHAnsi" w:hAnsiTheme="majorHAnsi"/>
          <w:sz w:val="22"/>
          <w:szCs w:val="22"/>
          <w:lang w:val="es-ES_tradnl"/>
        </w:rPr>
        <w:t xml:space="preserve"> de las OIA, las ONG, las </w:t>
      </w:r>
      <w:r w:rsidR="00B229E7" w:rsidRPr="00B97122">
        <w:rPr>
          <w:rFonts w:asciiTheme="majorHAnsi" w:hAnsiTheme="majorHAnsi"/>
          <w:sz w:val="22"/>
          <w:szCs w:val="22"/>
          <w:lang w:val="es-ES_tradnl"/>
        </w:rPr>
        <w:t>Partes Contratantes</w:t>
      </w:r>
      <w:r w:rsidRPr="00B97122">
        <w:rPr>
          <w:rFonts w:asciiTheme="majorHAnsi" w:hAnsiTheme="majorHAnsi"/>
          <w:sz w:val="22"/>
          <w:szCs w:val="22"/>
          <w:lang w:val="es-ES_tradnl"/>
        </w:rPr>
        <w:t xml:space="preserve"> </w:t>
      </w:r>
      <w:r w:rsidR="008919B5">
        <w:rPr>
          <w:rFonts w:asciiTheme="majorHAnsi" w:hAnsiTheme="majorHAnsi"/>
          <w:sz w:val="22"/>
          <w:szCs w:val="22"/>
          <w:lang w:val="es-ES_tradnl"/>
        </w:rPr>
        <w:t xml:space="preserve">y los asociados del sector privado en la planificación, dotación de </w:t>
      </w:r>
      <w:r w:rsidR="009E12A2">
        <w:rPr>
          <w:rFonts w:asciiTheme="majorHAnsi" w:hAnsiTheme="majorHAnsi"/>
          <w:sz w:val="22"/>
          <w:szCs w:val="22"/>
          <w:lang w:val="es-ES_tradnl"/>
        </w:rPr>
        <w:t>recursos</w:t>
      </w:r>
      <w:r w:rsidR="008919B5">
        <w:rPr>
          <w:rFonts w:asciiTheme="majorHAnsi" w:hAnsiTheme="majorHAnsi"/>
          <w:sz w:val="22"/>
          <w:szCs w:val="22"/>
          <w:lang w:val="es-ES_tradnl"/>
        </w:rPr>
        <w:t>, elaboración y ejecución de los mensajes y productos de CECoP.</w:t>
      </w:r>
    </w:p>
    <w:p w14:paraId="6BC7EF07" w14:textId="43881EEC" w:rsidR="00C64326" w:rsidRPr="00B97122" w:rsidRDefault="00A07BFB" w:rsidP="004C3670">
      <w:pPr>
        <w:spacing w:after="120"/>
        <w:rPr>
          <w:rFonts w:asciiTheme="majorHAnsi" w:hAnsiTheme="majorHAnsi"/>
          <w:i/>
          <w:sz w:val="22"/>
          <w:szCs w:val="22"/>
          <w:lang w:val="es-ES_tradnl"/>
        </w:rPr>
      </w:pPr>
      <w:r>
        <w:rPr>
          <w:rFonts w:asciiTheme="majorHAnsi" w:hAnsiTheme="majorHAnsi"/>
          <w:i/>
          <w:sz w:val="22"/>
          <w:szCs w:val="22"/>
          <w:lang w:val="es-ES_tradnl"/>
        </w:rPr>
        <w:t xml:space="preserve">Objetivo </w:t>
      </w:r>
      <w:r w:rsidR="008919B5">
        <w:rPr>
          <w:rFonts w:asciiTheme="majorHAnsi" w:hAnsiTheme="majorHAnsi"/>
          <w:i/>
          <w:sz w:val="22"/>
          <w:szCs w:val="22"/>
          <w:lang w:val="es-ES_tradnl"/>
        </w:rPr>
        <w:t>2 – Llevar a cabo una conservación y un manejo eficaces de la red de sitios Ramsar</w:t>
      </w:r>
    </w:p>
    <w:p w14:paraId="7029CA2A" w14:textId="50069CFE" w:rsidR="00C64326" w:rsidRPr="00B97122" w:rsidRDefault="009E12A2"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Mantener</w:t>
      </w:r>
      <w:r w:rsidR="00C570F5">
        <w:rPr>
          <w:rFonts w:asciiTheme="majorHAnsi" w:hAnsiTheme="majorHAnsi"/>
          <w:sz w:val="22"/>
          <w:szCs w:val="22"/>
          <w:lang w:val="es-ES_tradnl"/>
        </w:rPr>
        <w:t xml:space="preserve"> la comunicación </w:t>
      </w:r>
      <w:r>
        <w:rPr>
          <w:rFonts w:asciiTheme="majorHAnsi" w:hAnsiTheme="majorHAnsi"/>
          <w:sz w:val="22"/>
          <w:szCs w:val="22"/>
          <w:lang w:val="es-ES_tradnl"/>
        </w:rPr>
        <w:t xml:space="preserve">y el apoyo </w:t>
      </w:r>
      <w:r w:rsidR="00C570F5">
        <w:rPr>
          <w:rFonts w:asciiTheme="majorHAnsi" w:hAnsiTheme="majorHAnsi"/>
          <w:sz w:val="22"/>
          <w:szCs w:val="22"/>
          <w:lang w:val="es-ES_tradnl"/>
        </w:rPr>
        <w:t xml:space="preserve">de la Secretaría </w:t>
      </w:r>
      <w:r>
        <w:rPr>
          <w:rFonts w:asciiTheme="majorHAnsi" w:hAnsiTheme="majorHAnsi"/>
          <w:sz w:val="22"/>
          <w:szCs w:val="22"/>
          <w:lang w:val="es-ES_tradnl"/>
        </w:rPr>
        <w:t>en lo que respecta a</w:t>
      </w:r>
      <w:r w:rsidR="00C570F5">
        <w:rPr>
          <w:rFonts w:asciiTheme="majorHAnsi" w:hAnsiTheme="majorHAnsi"/>
          <w:sz w:val="22"/>
          <w:szCs w:val="22"/>
          <w:lang w:val="es-ES_tradnl"/>
        </w:rPr>
        <w:t xml:space="preserve"> los coordinadores nacionales y los coordinadores de CECoP (tanto gubernamentales como no </w:t>
      </w:r>
      <w:r>
        <w:rPr>
          <w:rFonts w:asciiTheme="majorHAnsi" w:hAnsiTheme="majorHAnsi"/>
          <w:sz w:val="22"/>
          <w:szCs w:val="22"/>
          <w:lang w:val="es-ES_tradnl"/>
        </w:rPr>
        <w:t>gubernamentales</w:t>
      </w:r>
      <w:r w:rsidR="00C570F5">
        <w:rPr>
          <w:rFonts w:asciiTheme="majorHAnsi" w:hAnsiTheme="majorHAnsi"/>
          <w:sz w:val="22"/>
          <w:szCs w:val="22"/>
          <w:lang w:val="es-ES_tradnl"/>
        </w:rPr>
        <w:t xml:space="preserve">) de las </w:t>
      </w:r>
      <w:r w:rsidR="00B229E7" w:rsidRPr="00B97122">
        <w:rPr>
          <w:rFonts w:asciiTheme="majorHAnsi" w:hAnsiTheme="majorHAnsi"/>
          <w:sz w:val="22"/>
          <w:szCs w:val="22"/>
          <w:lang w:val="es-ES_tradnl"/>
        </w:rPr>
        <w:t>Partes Contratantes</w:t>
      </w:r>
      <w:r w:rsidR="00C570F5">
        <w:rPr>
          <w:rFonts w:asciiTheme="majorHAnsi" w:hAnsiTheme="majorHAnsi"/>
          <w:sz w:val="22"/>
          <w:szCs w:val="22"/>
          <w:lang w:val="es-ES_tradnl"/>
        </w:rPr>
        <w:t xml:space="preserve"> </w:t>
      </w:r>
      <w:r>
        <w:rPr>
          <w:rFonts w:asciiTheme="majorHAnsi" w:hAnsiTheme="majorHAnsi"/>
          <w:sz w:val="22"/>
          <w:szCs w:val="22"/>
          <w:lang w:val="es-ES_tradnl"/>
        </w:rPr>
        <w:t>sobre</w:t>
      </w:r>
      <w:r w:rsidR="00C570F5">
        <w:rPr>
          <w:rFonts w:asciiTheme="majorHAnsi" w:hAnsiTheme="majorHAnsi"/>
          <w:sz w:val="22"/>
          <w:szCs w:val="22"/>
          <w:lang w:val="es-ES_tradnl"/>
        </w:rPr>
        <w:t xml:space="preserve"> la promoción de la conservación de los sitios Ramsar y el uso racional de los </w:t>
      </w:r>
      <w:r>
        <w:rPr>
          <w:rFonts w:asciiTheme="majorHAnsi" w:hAnsiTheme="majorHAnsi"/>
          <w:sz w:val="22"/>
          <w:szCs w:val="22"/>
          <w:lang w:val="es-ES_tradnl"/>
        </w:rPr>
        <w:t>humedales</w:t>
      </w:r>
      <w:r w:rsidR="00C570F5">
        <w:rPr>
          <w:rFonts w:asciiTheme="majorHAnsi" w:hAnsiTheme="majorHAnsi"/>
          <w:sz w:val="22"/>
          <w:szCs w:val="22"/>
          <w:lang w:val="es-ES_tradnl"/>
        </w:rPr>
        <w:t xml:space="preserve">, así como el uso eficaz de otras redes y estructuras (la red </w:t>
      </w:r>
      <w:r w:rsidR="00C64326" w:rsidRPr="00B97122">
        <w:rPr>
          <w:rFonts w:asciiTheme="majorHAnsi" w:hAnsiTheme="majorHAnsi"/>
          <w:sz w:val="22"/>
          <w:szCs w:val="22"/>
          <w:lang w:val="es-ES_tradnl"/>
        </w:rPr>
        <w:t xml:space="preserve">Wetland Link International </w:t>
      </w:r>
      <w:r w:rsidR="00C570F5">
        <w:rPr>
          <w:rFonts w:asciiTheme="majorHAnsi" w:hAnsiTheme="majorHAnsi"/>
          <w:sz w:val="22"/>
          <w:szCs w:val="22"/>
          <w:lang w:val="es-ES_tradnl"/>
        </w:rPr>
        <w:t xml:space="preserve">y las iniciativas regionales de </w:t>
      </w:r>
      <w:r w:rsidR="00C64326" w:rsidRPr="00B97122">
        <w:rPr>
          <w:rFonts w:asciiTheme="majorHAnsi" w:hAnsiTheme="majorHAnsi"/>
          <w:sz w:val="22"/>
          <w:szCs w:val="22"/>
          <w:lang w:val="es-ES_tradnl"/>
        </w:rPr>
        <w:t>Ramsar)</w:t>
      </w:r>
      <w:r w:rsidR="00C570F5">
        <w:rPr>
          <w:rFonts w:asciiTheme="majorHAnsi" w:hAnsiTheme="majorHAnsi"/>
          <w:sz w:val="22"/>
          <w:szCs w:val="22"/>
          <w:lang w:val="es-ES_tradnl"/>
        </w:rPr>
        <w:t xml:space="preserve"> para mejorar la </w:t>
      </w:r>
      <w:r>
        <w:rPr>
          <w:rFonts w:asciiTheme="majorHAnsi" w:hAnsiTheme="majorHAnsi"/>
          <w:sz w:val="22"/>
          <w:szCs w:val="22"/>
          <w:lang w:val="es-ES_tradnl"/>
        </w:rPr>
        <w:t>sensibilización</w:t>
      </w:r>
      <w:r w:rsidR="00C570F5">
        <w:rPr>
          <w:rFonts w:asciiTheme="majorHAnsi" w:hAnsiTheme="majorHAnsi"/>
          <w:sz w:val="22"/>
          <w:szCs w:val="22"/>
          <w:lang w:val="es-ES_tradnl"/>
        </w:rPr>
        <w:t>, participación y creación de capacidad. Prestar atención a la creación de capacidad a escala nacional permitirá una planificación y aplicación más efectiva por las P</w:t>
      </w:r>
      <w:r w:rsidR="00B229E7" w:rsidRPr="00B97122">
        <w:rPr>
          <w:rFonts w:asciiTheme="majorHAnsi" w:hAnsiTheme="majorHAnsi"/>
          <w:sz w:val="22"/>
          <w:szCs w:val="22"/>
          <w:lang w:val="es-ES_tradnl"/>
        </w:rPr>
        <w:t>artes Contratantes</w:t>
      </w:r>
      <w:r w:rsidR="00C64326" w:rsidRPr="00B97122">
        <w:rPr>
          <w:rFonts w:asciiTheme="majorHAnsi" w:hAnsiTheme="majorHAnsi"/>
          <w:sz w:val="22"/>
          <w:szCs w:val="22"/>
          <w:lang w:val="es-ES_tradnl"/>
        </w:rPr>
        <w:t>.</w:t>
      </w:r>
    </w:p>
    <w:p w14:paraId="0E3D9962" w14:textId="12E2F204" w:rsidR="00C64326" w:rsidRPr="00B97122" w:rsidRDefault="00C570F5"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Realizar un </w:t>
      </w:r>
      <w:r w:rsidR="009E12A2">
        <w:rPr>
          <w:rFonts w:asciiTheme="majorHAnsi" w:hAnsiTheme="majorHAnsi"/>
          <w:sz w:val="22"/>
          <w:szCs w:val="22"/>
          <w:lang w:val="es-ES_tradnl"/>
        </w:rPr>
        <w:t>cuestionario</w:t>
      </w:r>
      <w:r>
        <w:rPr>
          <w:rFonts w:asciiTheme="majorHAnsi" w:hAnsiTheme="majorHAnsi"/>
          <w:sz w:val="22"/>
          <w:szCs w:val="22"/>
          <w:lang w:val="es-ES_tradnl"/>
        </w:rPr>
        <w:t xml:space="preserve"> a los coordinadores nacionales para identificar las herramientas y los procedimientos útiles que ayudarían a dichos coordinadores de manera pragmática a </w:t>
      </w:r>
      <w:r w:rsidR="009E12A2">
        <w:rPr>
          <w:rFonts w:asciiTheme="majorHAnsi" w:hAnsiTheme="majorHAnsi"/>
          <w:sz w:val="22"/>
          <w:szCs w:val="22"/>
          <w:lang w:val="es-ES_tradnl"/>
        </w:rPr>
        <w:t>obtener</w:t>
      </w:r>
      <w:r w:rsidRPr="009E12A2">
        <w:rPr>
          <w:rFonts w:asciiTheme="majorHAnsi" w:hAnsiTheme="majorHAnsi"/>
          <w:sz w:val="22"/>
          <w:szCs w:val="22"/>
          <w:lang w:val="es-ES_tradnl"/>
        </w:rPr>
        <w:t xml:space="preserve"> resultados para la Convención</w:t>
      </w:r>
      <w:r>
        <w:rPr>
          <w:rFonts w:asciiTheme="majorHAnsi" w:hAnsiTheme="majorHAnsi"/>
          <w:sz w:val="22"/>
          <w:szCs w:val="22"/>
          <w:lang w:val="es-ES_tradnl"/>
        </w:rPr>
        <w:t xml:space="preserve"> mediante una mayor </w:t>
      </w:r>
      <w:r w:rsidR="009E12A2">
        <w:rPr>
          <w:rFonts w:asciiTheme="majorHAnsi" w:hAnsiTheme="majorHAnsi"/>
          <w:sz w:val="22"/>
          <w:szCs w:val="22"/>
          <w:lang w:val="es-ES_tradnl"/>
        </w:rPr>
        <w:t>participación</w:t>
      </w:r>
      <w:r>
        <w:rPr>
          <w:rFonts w:asciiTheme="majorHAnsi" w:hAnsiTheme="majorHAnsi"/>
          <w:sz w:val="22"/>
          <w:szCs w:val="22"/>
          <w:lang w:val="es-ES_tradnl"/>
        </w:rPr>
        <w:t xml:space="preserve"> de las personas</w:t>
      </w:r>
      <w:r w:rsidR="00C64326" w:rsidRPr="00B97122">
        <w:rPr>
          <w:rFonts w:asciiTheme="majorHAnsi" w:hAnsiTheme="majorHAnsi"/>
          <w:sz w:val="22"/>
          <w:szCs w:val="22"/>
          <w:lang w:val="es-ES_tradnl"/>
        </w:rPr>
        <w:t>.</w:t>
      </w:r>
    </w:p>
    <w:p w14:paraId="6C31FC45" w14:textId="233A54E0" w:rsidR="00C64326" w:rsidRPr="00B97122" w:rsidRDefault="00A07BFB" w:rsidP="004C3670">
      <w:pPr>
        <w:spacing w:after="120"/>
        <w:rPr>
          <w:rFonts w:asciiTheme="majorHAnsi" w:hAnsiTheme="majorHAnsi"/>
          <w:i/>
          <w:sz w:val="22"/>
          <w:szCs w:val="22"/>
          <w:lang w:val="es-ES_tradnl"/>
        </w:rPr>
      </w:pPr>
      <w:r>
        <w:rPr>
          <w:rFonts w:asciiTheme="majorHAnsi" w:hAnsiTheme="majorHAnsi"/>
          <w:i/>
          <w:sz w:val="22"/>
          <w:szCs w:val="22"/>
          <w:lang w:val="es-ES_tradnl"/>
        </w:rPr>
        <w:t xml:space="preserve">Objetivo </w:t>
      </w:r>
      <w:r w:rsidR="00C570F5">
        <w:rPr>
          <w:rFonts w:asciiTheme="majorHAnsi" w:hAnsiTheme="majorHAnsi"/>
          <w:i/>
          <w:sz w:val="22"/>
          <w:szCs w:val="22"/>
          <w:lang w:val="es-ES_tradnl"/>
        </w:rPr>
        <w:t>3 – Realizar un uso racional de todos los humedales</w:t>
      </w:r>
    </w:p>
    <w:p w14:paraId="54A7E1B2" w14:textId="6AF8D12B" w:rsidR="00C64326" w:rsidRPr="00B97122" w:rsidRDefault="00C570F5"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lastRenderedPageBreak/>
        <w:t xml:space="preserve">Priorizar la </w:t>
      </w:r>
      <w:r w:rsidR="009E12A2">
        <w:rPr>
          <w:rFonts w:asciiTheme="majorHAnsi" w:hAnsiTheme="majorHAnsi"/>
          <w:sz w:val="22"/>
          <w:szCs w:val="22"/>
          <w:lang w:val="es-ES_tradnl"/>
        </w:rPr>
        <w:t>participación</w:t>
      </w:r>
      <w:r>
        <w:rPr>
          <w:rFonts w:asciiTheme="majorHAnsi" w:hAnsiTheme="majorHAnsi"/>
          <w:sz w:val="22"/>
          <w:szCs w:val="22"/>
          <w:lang w:val="es-ES_tradnl"/>
        </w:rPr>
        <w:t xml:space="preserve"> de los responsables de la toma de </w:t>
      </w:r>
      <w:r w:rsidR="009E12A2">
        <w:rPr>
          <w:rFonts w:asciiTheme="majorHAnsi" w:hAnsiTheme="majorHAnsi"/>
          <w:sz w:val="22"/>
          <w:szCs w:val="22"/>
          <w:lang w:val="es-ES_tradnl"/>
        </w:rPr>
        <w:t>decisiones</w:t>
      </w:r>
      <w:r>
        <w:rPr>
          <w:rFonts w:asciiTheme="majorHAnsi" w:hAnsiTheme="majorHAnsi"/>
          <w:sz w:val="22"/>
          <w:szCs w:val="22"/>
          <w:lang w:val="es-ES_tradnl"/>
        </w:rPr>
        <w:t xml:space="preserve"> de los distintos sectores en la integración de los valores de los </w:t>
      </w:r>
      <w:r w:rsidR="009E12A2">
        <w:rPr>
          <w:rFonts w:asciiTheme="majorHAnsi" w:hAnsiTheme="majorHAnsi"/>
          <w:sz w:val="22"/>
          <w:szCs w:val="22"/>
          <w:lang w:val="es-ES_tradnl"/>
        </w:rPr>
        <w:t>humedades</w:t>
      </w:r>
      <w:r>
        <w:rPr>
          <w:rFonts w:asciiTheme="majorHAnsi" w:hAnsiTheme="majorHAnsi"/>
          <w:sz w:val="22"/>
          <w:szCs w:val="22"/>
          <w:lang w:val="es-ES_tradnl"/>
        </w:rPr>
        <w:t xml:space="preserve"> en la </w:t>
      </w:r>
      <w:r w:rsidR="009E12A2">
        <w:rPr>
          <w:rFonts w:asciiTheme="majorHAnsi" w:hAnsiTheme="majorHAnsi"/>
          <w:sz w:val="22"/>
          <w:szCs w:val="22"/>
          <w:lang w:val="es-ES_tradnl"/>
        </w:rPr>
        <w:t>planificación</w:t>
      </w:r>
      <w:r>
        <w:rPr>
          <w:rFonts w:asciiTheme="majorHAnsi" w:hAnsiTheme="majorHAnsi"/>
          <w:sz w:val="22"/>
          <w:szCs w:val="22"/>
          <w:lang w:val="es-ES_tradnl"/>
        </w:rPr>
        <w:t xml:space="preserve"> y toma de decisiones. Esto incluiría lo siguiente:</w:t>
      </w:r>
    </w:p>
    <w:p w14:paraId="478A429B" w14:textId="41C20153" w:rsidR="00C64326" w:rsidRPr="00B97122" w:rsidRDefault="00C570F5" w:rsidP="004C3670">
      <w:pPr>
        <w:numPr>
          <w:ilvl w:val="1"/>
          <w:numId w:val="13"/>
        </w:numPr>
        <w:spacing w:after="120"/>
        <w:ind w:left="1434" w:hanging="357"/>
        <w:contextualSpacing/>
        <w:rPr>
          <w:rFonts w:asciiTheme="majorHAnsi" w:hAnsiTheme="majorHAnsi"/>
          <w:sz w:val="22"/>
          <w:szCs w:val="22"/>
          <w:lang w:val="es-ES_tradnl"/>
        </w:rPr>
      </w:pPr>
      <w:r>
        <w:rPr>
          <w:rFonts w:asciiTheme="majorHAnsi" w:hAnsiTheme="majorHAnsi"/>
          <w:sz w:val="22"/>
          <w:szCs w:val="22"/>
          <w:lang w:val="es-ES_tradnl"/>
        </w:rPr>
        <w:t>Centrarse en mensajes y herramientas para las Pa</w:t>
      </w:r>
      <w:r w:rsidR="00B229E7" w:rsidRPr="00B97122">
        <w:rPr>
          <w:rFonts w:asciiTheme="majorHAnsi" w:hAnsiTheme="majorHAnsi"/>
          <w:sz w:val="22"/>
          <w:szCs w:val="22"/>
          <w:lang w:val="es-ES_tradnl"/>
        </w:rPr>
        <w:t>rtes Contratantes</w:t>
      </w:r>
      <w:r>
        <w:rPr>
          <w:rFonts w:asciiTheme="majorHAnsi" w:hAnsiTheme="majorHAnsi"/>
          <w:sz w:val="22"/>
          <w:szCs w:val="22"/>
          <w:lang w:val="es-ES_tradnl"/>
        </w:rPr>
        <w:t xml:space="preserve"> que apoyen el concepto de uso racional</w:t>
      </w:r>
      <w:r w:rsidR="002D1279">
        <w:rPr>
          <w:rFonts w:asciiTheme="majorHAnsi" w:hAnsiTheme="majorHAnsi"/>
          <w:sz w:val="22"/>
          <w:szCs w:val="22"/>
          <w:lang w:val="es-ES_tradnl"/>
        </w:rPr>
        <w:t xml:space="preserve">, contribuir a la toma de decisiones para implicar a las comunidades y negociar </w:t>
      </w:r>
      <w:r w:rsidR="009E12A2" w:rsidRPr="009E12A2">
        <w:rPr>
          <w:rFonts w:asciiTheme="majorHAnsi" w:hAnsiTheme="majorHAnsi"/>
          <w:sz w:val="22"/>
          <w:szCs w:val="22"/>
          <w:lang w:val="es-ES_tradnl"/>
        </w:rPr>
        <w:t>compromisos</w:t>
      </w:r>
      <w:r w:rsidR="002D1279">
        <w:rPr>
          <w:rFonts w:asciiTheme="majorHAnsi" w:hAnsiTheme="majorHAnsi"/>
          <w:sz w:val="22"/>
          <w:szCs w:val="22"/>
          <w:lang w:val="es-ES_tradnl"/>
        </w:rPr>
        <w:t xml:space="preserve"> entre los usuarios de los humedales.</w:t>
      </w:r>
    </w:p>
    <w:p w14:paraId="1E29FF17" w14:textId="0D2C4C86" w:rsidR="00C64326" w:rsidRPr="00B97122" w:rsidRDefault="002D1279" w:rsidP="004C3670">
      <w:pPr>
        <w:numPr>
          <w:ilvl w:val="1"/>
          <w:numId w:val="13"/>
        </w:numPr>
        <w:spacing w:after="120"/>
        <w:ind w:left="1434" w:hanging="357"/>
        <w:contextualSpacing/>
        <w:rPr>
          <w:rFonts w:asciiTheme="majorHAnsi" w:hAnsiTheme="majorHAnsi"/>
          <w:sz w:val="22"/>
          <w:szCs w:val="22"/>
          <w:lang w:val="es-ES_tradnl"/>
        </w:rPr>
      </w:pPr>
      <w:r>
        <w:rPr>
          <w:rFonts w:asciiTheme="majorHAnsi" w:hAnsiTheme="majorHAnsi"/>
          <w:sz w:val="22"/>
          <w:szCs w:val="22"/>
          <w:lang w:val="es-ES_tradnl"/>
        </w:rPr>
        <w:t xml:space="preserve">Destacar específicamente el papel de los humedales como infraestructuras verdes y los beneficios de los humedales para el suministro de agua, la calidad del agua, el </w:t>
      </w:r>
      <w:r w:rsidR="009E12A2">
        <w:rPr>
          <w:rFonts w:asciiTheme="majorHAnsi" w:hAnsiTheme="majorHAnsi"/>
          <w:sz w:val="22"/>
          <w:szCs w:val="22"/>
          <w:lang w:val="es-ES_tradnl"/>
        </w:rPr>
        <w:t>transponte</w:t>
      </w:r>
      <w:r>
        <w:rPr>
          <w:rFonts w:asciiTheme="majorHAnsi" w:hAnsiTheme="majorHAnsi"/>
          <w:sz w:val="22"/>
          <w:szCs w:val="22"/>
          <w:lang w:val="es-ES_tradnl"/>
        </w:rPr>
        <w:t xml:space="preserve">, la producción de alimentos, los medios de vida, la regulación de las </w:t>
      </w:r>
      <w:r w:rsidR="009E12A2">
        <w:rPr>
          <w:rFonts w:asciiTheme="majorHAnsi" w:hAnsiTheme="majorHAnsi"/>
          <w:sz w:val="22"/>
          <w:szCs w:val="22"/>
          <w:lang w:val="es-ES_tradnl"/>
        </w:rPr>
        <w:t>inundaciones</w:t>
      </w:r>
      <w:r>
        <w:rPr>
          <w:rFonts w:asciiTheme="majorHAnsi" w:hAnsiTheme="majorHAnsi"/>
          <w:sz w:val="22"/>
          <w:szCs w:val="22"/>
          <w:lang w:val="es-ES_tradnl"/>
        </w:rPr>
        <w:t xml:space="preserve">, la protección del </w:t>
      </w:r>
      <w:r w:rsidR="009E12A2">
        <w:rPr>
          <w:rFonts w:asciiTheme="majorHAnsi" w:hAnsiTheme="majorHAnsi"/>
          <w:sz w:val="22"/>
          <w:szCs w:val="22"/>
          <w:lang w:val="es-ES_tradnl"/>
        </w:rPr>
        <w:t>litoral</w:t>
      </w:r>
      <w:r>
        <w:rPr>
          <w:rFonts w:asciiTheme="majorHAnsi" w:hAnsiTheme="majorHAnsi"/>
          <w:sz w:val="22"/>
          <w:szCs w:val="22"/>
          <w:lang w:val="es-ES_tradnl"/>
        </w:rPr>
        <w:t xml:space="preserve">, la regulación del clima, el control de la polución, la pesca y la caza, el </w:t>
      </w:r>
      <w:r w:rsidR="009E12A2">
        <w:rPr>
          <w:rFonts w:asciiTheme="majorHAnsi" w:hAnsiTheme="majorHAnsi"/>
          <w:sz w:val="22"/>
          <w:szCs w:val="22"/>
          <w:lang w:val="es-ES_tradnl"/>
        </w:rPr>
        <w:t>recreo</w:t>
      </w:r>
      <w:r>
        <w:rPr>
          <w:rFonts w:asciiTheme="majorHAnsi" w:hAnsiTheme="majorHAnsi"/>
          <w:sz w:val="22"/>
          <w:szCs w:val="22"/>
          <w:lang w:val="es-ES_tradnl"/>
        </w:rPr>
        <w:t xml:space="preserve"> y el turismo</w:t>
      </w:r>
      <w:r w:rsidR="00C64326" w:rsidRPr="00B97122">
        <w:rPr>
          <w:rFonts w:asciiTheme="majorHAnsi" w:hAnsiTheme="majorHAnsi"/>
          <w:sz w:val="22"/>
          <w:szCs w:val="22"/>
          <w:lang w:val="es-ES_tradnl"/>
        </w:rPr>
        <w:t xml:space="preserve">. </w:t>
      </w:r>
    </w:p>
    <w:p w14:paraId="4C2BD378" w14:textId="31D56188" w:rsidR="00C64326" w:rsidRPr="00B97122" w:rsidRDefault="00C64326" w:rsidP="004C3670">
      <w:pPr>
        <w:spacing w:after="120"/>
        <w:rPr>
          <w:rFonts w:asciiTheme="majorHAnsi" w:hAnsiTheme="majorHAnsi"/>
          <w:i/>
          <w:sz w:val="22"/>
          <w:szCs w:val="22"/>
          <w:lang w:val="es-ES_tradnl"/>
        </w:rPr>
      </w:pPr>
      <w:r w:rsidRPr="00B97122">
        <w:rPr>
          <w:rFonts w:asciiTheme="majorHAnsi" w:hAnsiTheme="majorHAnsi"/>
          <w:sz w:val="22"/>
          <w:szCs w:val="22"/>
          <w:lang w:val="es-ES_tradnl"/>
        </w:rPr>
        <w:br/>
      </w:r>
      <w:r w:rsidR="00A07BFB">
        <w:rPr>
          <w:rFonts w:asciiTheme="majorHAnsi" w:hAnsiTheme="majorHAnsi"/>
          <w:i/>
          <w:sz w:val="22"/>
          <w:szCs w:val="22"/>
          <w:lang w:val="es-ES_tradnl"/>
        </w:rPr>
        <w:t xml:space="preserve">Objetivo </w:t>
      </w:r>
      <w:r w:rsidRPr="00B97122">
        <w:rPr>
          <w:rFonts w:asciiTheme="majorHAnsi" w:hAnsiTheme="majorHAnsi"/>
          <w:i/>
          <w:sz w:val="22"/>
          <w:szCs w:val="22"/>
          <w:lang w:val="es-ES_tradnl"/>
        </w:rPr>
        <w:t xml:space="preserve">4 – </w:t>
      </w:r>
      <w:r w:rsidR="009D3979">
        <w:rPr>
          <w:rFonts w:asciiTheme="majorHAnsi" w:hAnsiTheme="majorHAnsi"/>
          <w:i/>
          <w:sz w:val="22"/>
          <w:szCs w:val="22"/>
          <w:lang w:val="es-ES_tradnl"/>
        </w:rPr>
        <w:t xml:space="preserve">Mejorar la aplicación (entre otras cosas, el </w:t>
      </w:r>
      <w:r w:rsidR="009E12A2">
        <w:rPr>
          <w:rFonts w:asciiTheme="majorHAnsi" w:hAnsiTheme="majorHAnsi"/>
          <w:i/>
          <w:sz w:val="22"/>
          <w:szCs w:val="22"/>
          <w:lang w:val="es-ES_tradnl"/>
        </w:rPr>
        <w:t>asesoramiento</w:t>
      </w:r>
      <w:r w:rsidR="009D3979">
        <w:rPr>
          <w:rFonts w:asciiTheme="majorHAnsi" w:hAnsiTheme="majorHAnsi"/>
          <w:i/>
          <w:sz w:val="22"/>
          <w:szCs w:val="22"/>
          <w:lang w:val="es-ES_tradnl"/>
        </w:rPr>
        <w:t xml:space="preserve"> científico, la movilización de </w:t>
      </w:r>
      <w:r w:rsidR="00910E1A">
        <w:rPr>
          <w:rFonts w:asciiTheme="majorHAnsi" w:hAnsiTheme="majorHAnsi"/>
          <w:i/>
          <w:sz w:val="22"/>
          <w:szCs w:val="22"/>
          <w:lang w:val="es-ES_tradnl"/>
        </w:rPr>
        <w:t>recursos</w:t>
      </w:r>
      <w:r w:rsidR="009D3979">
        <w:rPr>
          <w:rFonts w:asciiTheme="majorHAnsi" w:hAnsiTheme="majorHAnsi"/>
          <w:i/>
          <w:sz w:val="22"/>
          <w:szCs w:val="22"/>
          <w:lang w:val="es-ES_tradnl"/>
        </w:rPr>
        <w:t xml:space="preserve">, la sensibilización pública, la </w:t>
      </w:r>
      <w:r w:rsidR="00910E1A">
        <w:rPr>
          <w:rFonts w:asciiTheme="majorHAnsi" w:hAnsiTheme="majorHAnsi"/>
          <w:i/>
          <w:sz w:val="22"/>
          <w:szCs w:val="22"/>
          <w:lang w:val="es-ES_tradnl"/>
        </w:rPr>
        <w:t>visibilidad</w:t>
      </w:r>
      <w:r w:rsidR="009D3979">
        <w:rPr>
          <w:rFonts w:asciiTheme="majorHAnsi" w:hAnsiTheme="majorHAnsi"/>
          <w:i/>
          <w:sz w:val="22"/>
          <w:szCs w:val="22"/>
          <w:lang w:val="es-ES_tradnl"/>
        </w:rPr>
        <w:t xml:space="preserve"> y la creación de capacidad)</w:t>
      </w:r>
    </w:p>
    <w:p w14:paraId="485C92B0" w14:textId="16A862A7" w:rsidR="00C64326" w:rsidRPr="00B97122" w:rsidRDefault="00EC7AFB"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Una mejor </w:t>
      </w:r>
      <w:r w:rsidR="00910E1A">
        <w:rPr>
          <w:rFonts w:asciiTheme="majorHAnsi" w:hAnsiTheme="majorHAnsi"/>
          <w:sz w:val="22"/>
          <w:szCs w:val="22"/>
          <w:lang w:val="es-ES_tradnl"/>
        </w:rPr>
        <w:t>armonización</w:t>
      </w:r>
      <w:r>
        <w:rPr>
          <w:rFonts w:asciiTheme="majorHAnsi" w:hAnsiTheme="majorHAnsi"/>
          <w:sz w:val="22"/>
          <w:szCs w:val="22"/>
          <w:lang w:val="es-ES_tradnl"/>
        </w:rPr>
        <w:t xml:space="preserve"> de los productos del GECT para apoyar los objetivos de CECoP y para una utilización relacionada con la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por las P</w:t>
      </w:r>
      <w:r w:rsidR="00B229E7" w:rsidRPr="00B97122">
        <w:rPr>
          <w:rFonts w:asciiTheme="majorHAnsi" w:hAnsiTheme="majorHAnsi"/>
          <w:sz w:val="22"/>
          <w:szCs w:val="22"/>
          <w:lang w:val="es-ES_tradnl"/>
        </w:rPr>
        <w:t>artes Contratantes</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a fin de permitir que los resultados de la labor del GECT sean comunicados de forma eficaz con las Partes Contratantes, otros </w:t>
      </w:r>
      <w:r w:rsidR="00081778">
        <w:rPr>
          <w:rFonts w:asciiTheme="majorHAnsi" w:hAnsiTheme="majorHAnsi"/>
          <w:sz w:val="22"/>
          <w:szCs w:val="22"/>
          <w:lang w:val="es-ES_tradnl"/>
        </w:rPr>
        <w:t>interesados</w:t>
      </w:r>
      <w:r>
        <w:rPr>
          <w:rFonts w:asciiTheme="majorHAnsi" w:hAnsiTheme="majorHAnsi"/>
          <w:sz w:val="22"/>
          <w:szCs w:val="22"/>
          <w:lang w:val="es-ES_tradnl"/>
        </w:rPr>
        <w:t xml:space="preserve"> en materia de humedales y la </w:t>
      </w:r>
      <w:r w:rsidR="00081778">
        <w:rPr>
          <w:rFonts w:asciiTheme="majorHAnsi" w:hAnsiTheme="majorHAnsi"/>
          <w:sz w:val="22"/>
          <w:szCs w:val="22"/>
          <w:lang w:val="es-ES_tradnl"/>
        </w:rPr>
        <w:t>comunidad</w:t>
      </w:r>
      <w:r>
        <w:rPr>
          <w:rFonts w:asciiTheme="majorHAnsi" w:hAnsiTheme="majorHAnsi"/>
          <w:sz w:val="22"/>
          <w:szCs w:val="22"/>
          <w:lang w:val="es-ES_tradnl"/>
        </w:rPr>
        <w:t xml:space="preserve"> en general.</w:t>
      </w:r>
    </w:p>
    <w:p w14:paraId="22743997" w14:textId="0C9C16CD" w:rsidR="00C64326" w:rsidRPr="00B97122" w:rsidRDefault="00EC7AFB"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Garantizar que se disponga de </w:t>
      </w:r>
      <w:r w:rsidR="00081778">
        <w:rPr>
          <w:rFonts w:asciiTheme="majorHAnsi" w:hAnsiTheme="majorHAnsi"/>
          <w:sz w:val="22"/>
          <w:szCs w:val="22"/>
          <w:lang w:val="es-ES_tradnl"/>
        </w:rPr>
        <w:t>conocimientos</w:t>
      </w:r>
      <w:r>
        <w:rPr>
          <w:rFonts w:asciiTheme="majorHAnsi" w:hAnsiTheme="majorHAnsi"/>
          <w:sz w:val="22"/>
          <w:szCs w:val="22"/>
          <w:lang w:val="es-ES_tradnl"/>
        </w:rPr>
        <w:t xml:space="preserve"> adecuados en </w:t>
      </w:r>
      <w:r w:rsidR="00081778">
        <w:rPr>
          <w:rFonts w:asciiTheme="majorHAnsi" w:hAnsiTheme="majorHAnsi"/>
          <w:sz w:val="22"/>
          <w:szCs w:val="22"/>
          <w:lang w:val="es-ES_tradnl"/>
        </w:rPr>
        <w:t>materia</w:t>
      </w:r>
      <w:r>
        <w:rPr>
          <w:rFonts w:asciiTheme="majorHAnsi" w:hAnsiTheme="majorHAnsi"/>
          <w:sz w:val="22"/>
          <w:szCs w:val="22"/>
          <w:lang w:val="es-ES_tradnl"/>
        </w:rPr>
        <w:t xml:space="preserve"> de </w:t>
      </w:r>
      <w:r w:rsidR="00081778">
        <w:rPr>
          <w:rFonts w:asciiTheme="majorHAnsi" w:hAnsiTheme="majorHAnsi"/>
          <w:sz w:val="22"/>
          <w:szCs w:val="22"/>
          <w:lang w:val="es-ES_tradnl"/>
        </w:rPr>
        <w:t>comunicaciones</w:t>
      </w:r>
      <w:r>
        <w:rPr>
          <w:rFonts w:asciiTheme="majorHAnsi" w:hAnsiTheme="majorHAnsi"/>
          <w:sz w:val="22"/>
          <w:szCs w:val="22"/>
          <w:lang w:val="es-ES_tradnl"/>
        </w:rPr>
        <w:t xml:space="preserve"> entre los miembros del GECT y que exista una relación estrecha con el personal de comunicaciones de las Secretaría. El Anexo 1 de la Resolución </w:t>
      </w:r>
      <w:r w:rsidR="00C64326" w:rsidRPr="00B97122">
        <w:rPr>
          <w:rFonts w:asciiTheme="majorHAnsi" w:hAnsiTheme="majorHAnsi"/>
          <w:sz w:val="22"/>
          <w:szCs w:val="22"/>
          <w:lang w:val="es-ES_tradnl"/>
        </w:rPr>
        <w:t xml:space="preserve">XII.5 </w:t>
      </w:r>
      <w:r w:rsidR="00E77EA1">
        <w:rPr>
          <w:rFonts w:asciiTheme="majorHAnsi" w:hAnsiTheme="majorHAnsi"/>
          <w:sz w:val="22"/>
          <w:szCs w:val="22"/>
          <w:lang w:val="es-ES_tradnl"/>
        </w:rPr>
        <w:t>pide una mayor armonización del trabajo del</w:t>
      </w:r>
      <w:r w:rsidR="00C64326" w:rsidRPr="00B97122">
        <w:rPr>
          <w:rFonts w:asciiTheme="majorHAnsi" w:hAnsiTheme="majorHAnsi"/>
          <w:sz w:val="22"/>
          <w:szCs w:val="22"/>
          <w:lang w:val="es-ES_tradnl"/>
        </w:rPr>
        <w:t xml:space="preserve"> </w:t>
      </w:r>
      <w:r w:rsidR="00E77EA1">
        <w:rPr>
          <w:rFonts w:asciiTheme="majorHAnsi" w:hAnsiTheme="majorHAnsi"/>
          <w:sz w:val="22"/>
          <w:szCs w:val="22"/>
          <w:lang w:val="es-ES_tradnl"/>
        </w:rPr>
        <w:t xml:space="preserve">GECT con la </w:t>
      </w:r>
      <w:r w:rsidR="001670A8" w:rsidRPr="00B97122">
        <w:rPr>
          <w:rFonts w:asciiTheme="majorHAnsi" w:hAnsiTheme="majorHAnsi"/>
          <w:sz w:val="22"/>
          <w:szCs w:val="22"/>
          <w:lang w:val="es-ES_tradnl"/>
        </w:rPr>
        <w:t>CECoP</w:t>
      </w:r>
      <w:r w:rsidR="00EC5C70">
        <w:rPr>
          <w:rFonts w:asciiTheme="majorHAnsi" w:hAnsiTheme="majorHAnsi"/>
          <w:sz w:val="22"/>
          <w:szCs w:val="22"/>
          <w:lang w:val="es-ES_tradnl"/>
        </w:rPr>
        <w:t xml:space="preserve"> y que el </w:t>
      </w:r>
      <w:r w:rsidR="00081778">
        <w:rPr>
          <w:rFonts w:asciiTheme="majorHAnsi" w:hAnsiTheme="majorHAnsi"/>
          <w:sz w:val="22"/>
          <w:szCs w:val="22"/>
          <w:lang w:val="es-ES_tradnl"/>
        </w:rPr>
        <w:t>Responsable</w:t>
      </w:r>
      <w:r w:rsidR="00EC5C70">
        <w:rPr>
          <w:rFonts w:asciiTheme="majorHAnsi" w:hAnsiTheme="majorHAnsi"/>
          <w:sz w:val="22"/>
          <w:szCs w:val="22"/>
          <w:lang w:val="es-ES_tradnl"/>
        </w:rPr>
        <w:t xml:space="preserve"> de </w:t>
      </w:r>
      <w:r w:rsidR="00081778">
        <w:rPr>
          <w:rFonts w:asciiTheme="majorHAnsi" w:hAnsiTheme="majorHAnsi"/>
          <w:sz w:val="22"/>
          <w:szCs w:val="22"/>
          <w:lang w:val="es-ES_tradnl"/>
        </w:rPr>
        <w:t>Comunicaciones</w:t>
      </w:r>
      <w:r w:rsidR="00EC5C70">
        <w:rPr>
          <w:rFonts w:asciiTheme="majorHAnsi" w:hAnsiTheme="majorHAnsi"/>
          <w:sz w:val="22"/>
          <w:szCs w:val="22"/>
          <w:lang w:val="es-ES_tradnl"/>
        </w:rPr>
        <w:t xml:space="preserve"> de las </w:t>
      </w:r>
      <w:r w:rsidR="00081778">
        <w:rPr>
          <w:rFonts w:asciiTheme="majorHAnsi" w:hAnsiTheme="majorHAnsi"/>
          <w:sz w:val="22"/>
          <w:szCs w:val="22"/>
          <w:lang w:val="es-ES_tradnl"/>
        </w:rPr>
        <w:t>Secretaría</w:t>
      </w:r>
      <w:r w:rsidR="00EC5C70">
        <w:rPr>
          <w:rFonts w:asciiTheme="majorHAnsi" w:hAnsiTheme="majorHAnsi"/>
          <w:sz w:val="22"/>
          <w:szCs w:val="22"/>
          <w:lang w:val="es-ES_tradnl"/>
        </w:rPr>
        <w:t xml:space="preserve"> desempeñe la función del experto en </w:t>
      </w:r>
      <w:r w:rsidR="001670A8" w:rsidRPr="00B97122">
        <w:rPr>
          <w:rFonts w:asciiTheme="majorHAnsi" w:hAnsiTheme="majorHAnsi"/>
          <w:sz w:val="22"/>
          <w:szCs w:val="22"/>
          <w:lang w:val="es-ES_tradnl"/>
        </w:rPr>
        <w:t>CECoP</w:t>
      </w:r>
      <w:r w:rsidR="00C64326" w:rsidRPr="00B97122">
        <w:rPr>
          <w:rFonts w:asciiTheme="majorHAnsi" w:hAnsiTheme="majorHAnsi"/>
          <w:sz w:val="22"/>
          <w:szCs w:val="22"/>
          <w:lang w:val="es-ES_tradnl"/>
        </w:rPr>
        <w:t xml:space="preserve"> </w:t>
      </w:r>
      <w:r w:rsidR="00EC5C70">
        <w:rPr>
          <w:rFonts w:asciiTheme="majorHAnsi" w:hAnsiTheme="majorHAnsi"/>
          <w:sz w:val="22"/>
          <w:szCs w:val="22"/>
          <w:lang w:val="es-ES_tradnl"/>
        </w:rPr>
        <w:t>en el GECT</w:t>
      </w:r>
      <w:r w:rsidR="00C64326" w:rsidRPr="00B97122">
        <w:rPr>
          <w:rFonts w:asciiTheme="majorHAnsi" w:hAnsiTheme="majorHAnsi"/>
          <w:sz w:val="22"/>
          <w:szCs w:val="22"/>
          <w:lang w:val="es-ES_tradnl"/>
        </w:rPr>
        <w:t xml:space="preserve"> (</w:t>
      </w:r>
      <w:r w:rsidR="00EC5C70">
        <w:rPr>
          <w:rFonts w:asciiTheme="majorHAnsi" w:hAnsiTheme="majorHAnsi"/>
          <w:sz w:val="22"/>
          <w:szCs w:val="22"/>
          <w:lang w:val="es-ES_tradnl"/>
        </w:rPr>
        <w:t>párrafo</w:t>
      </w:r>
      <w:r w:rsidR="00C64326" w:rsidRPr="00B97122">
        <w:rPr>
          <w:rFonts w:asciiTheme="majorHAnsi" w:hAnsiTheme="majorHAnsi"/>
          <w:sz w:val="22"/>
          <w:szCs w:val="22"/>
          <w:lang w:val="es-ES_tradnl"/>
        </w:rPr>
        <w:t xml:space="preserve"> 6), </w:t>
      </w:r>
      <w:r w:rsidR="00EC5C70">
        <w:rPr>
          <w:rFonts w:asciiTheme="majorHAnsi" w:hAnsiTheme="majorHAnsi"/>
          <w:sz w:val="22"/>
          <w:szCs w:val="22"/>
          <w:lang w:val="es-ES_tradnl"/>
        </w:rPr>
        <w:t xml:space="preserve">y </w:t>
      </w:r>
      <w:r w:rsidR="00081778">
        <w:rPr>
          <w:rFonts w:asciiTheme="majorHAnsi" w:hAnsiTheme="majorHAnsi"/>
          <w:sz w:val="22"/>
          <w:szCs w:val="22"/>
          <w:lang w:val="es-ES_tradnl"/>
        </w:rPr>
        <w:t>también</w:t>
      </w:r>
      <w:r w:rsidR="00EC5C70">
        <w:rPr>
          <w:rFonts w:asciiTheme="majorHAnsi" w:hAnsiTheme="majorHAnsi"/>
          <w:sz w:val="22"/>
          <w:szCs w:val="22"/>
          <w:lang w:val="es-ES_tradnl"/>
        </w:rPr>
        <w:t xml:space="preserve"> que los coordinadores nacionales participen en la elaboración del </w:t>
      </w:r>
      <w:r w:rsidR="00081778" w:rsidRPr="00081778">
        <w:rPr>
          <w:rFonts w:asciiTheme="majorHAnsi" w:hAnsiTheme="majorHAnsi"/>
          <w:sz w:val="22"/>
          <w:szCs w:val="22"/>
          <w:lang w:val="es-ES_tradnl"/>
        </w:rPr>
        <w:t>plan de t</w:t>
      </w:r>
      <w:r w:rsidR="00EC5C70" w:rsidRPr="00081778">
        <w:rPr>
          <w:rFonts w:asciiTheme="majorHAnsi" w:hAnsiTheme="majorHAnsi"/>
          <w:sz w:val="22"/>
          <w:szCs w:val="22"/>
          <w:lang w:val="es-ES_tradnl"/>
        </w:rPr>
        <w:t>rabajo</w:t>
      </w:r>
      <w:r w:rsidR="00EC5C70">
        <w:rPr>
          <w:rFonts w:asciiTheme="majorHAnsi" w:hAnsiTheme="majorHAnsi"/>
          <w:sz w:val="22"/>
          <w:szCs w:val="22"/>
          <w:lang w:val="es-ES_tradnl"/>
        </w:rPr>
        <w:t xml:space="preserve"> del GECT (párrafo 50).</w:t>
      </w:r>
      <w:r w:rsidR="00C64326" w:rsidRPr="00B97122">
        <w:rPr>
          <w:rFonts w:asciiTheme="majorHAnsi" w:hAnsiTheme="majorHAnsi"/>
          <w:sz w:val="22"/>
          <w:szCs w:val="22"/>
          <w:lang w:val="es-ES_tradnl"/>
        </w:rPr>
        <w:t xml:space="preserve"> </w:t>
      </w:r>
    </w:p>
    <w:p w14:paraId="5FD20C8D" w14:textId="36229E62" w:rsidR="00C64326" w:rsidRPr="00B97122" w:rsidRDefault="00EC5C70"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Mejorar el entendimiento de las lagunas en la aplicación y </w:t>
      </w:r>
      <w:r w:rsidR="00081778">
        <w:rPr>
          <w:rFonts w:asciiTheme="majorHAnsi" w:hAnsiTheme="majorHAnsi"/>
          <w:sz w:val="22"/>
          <w:szCs w:val="22"/>
          <w:lang w:val="es-ES_tradnl"/>
        </w:rPr>
        <w:t>las</w:t>
      </w:r>
      <w:r>
        <w:rPr>
          <w:rFonts w:asciiTheme="majorHAnsi" w:hAnsiTheme="majorHAnsi"/>
          <w:sz w:val="22"/>
          <w:szCs w:val="22"/>
          <w:lang w:val="es-ES_tradnl"/>
        </w:rPr>
        <w:t xml:space="preserve"> necesidades prioritarias de las </w:t>
      </w:r>
      <w:r w:rsidR="00C64326" w:rsidRPr="00B97122">
        <w:rPr>
          <w:rFonts w:asciiTheme="majorHAnsi" w:hAnsiTheme="majorHAnsi"/>
          <w:sz w:val="22"/>
          <w:szCs w:val="22"/>
          <w:lang w:val="es-ES_tradnl"/>
        </w:rPr>
        <w:t xml:space="preserve"> </w:t>
      </w:r>
      <w:r w:rsidR="00B229E7" w:rsidRPr="00B97122">
        <w:rPr>
          <w:rFonts w:asciiTheme="majorHAnsi" w:hAnsiTheme="majorHAnsi"/>
          <w:sz w:val="22"/>
          <w:szCs w:val="22"/>
          <w:lang w:val="es-ES_tradnl"/>
        </w:rPr>
        <w:t>Partes Contratantes</w:t>
      </w:r>
      <w:r>
        <w:rPr>
          <w:rFonts w:asciiTheme="majorHAnsi" w:hAnsiTheme="majorHAnsi"/>
          <w:sz w:val="22"/>
          <w:szCs w:val="22"/>
          <w:lang w:val="es-ES_tradnl"/>
        </w:rPr>
        <w:t xml:space="preserve"> en materia de participación práctica, </w:t>
      </w:r>
      <w:r w:rsidR="00081778">
        <w:rPr>
          <w:rFonts w:asciiTheme="majorHAnsi" w:hAnsiTheme="majorHAnsi"/>
          <w:sz w:val="22"/>
          <w:szCs w:val="22"/>
          <w:lang w:val="es-ES_tradnl"/>
        </w:rPr>
        <w:t>comunicaciones</w:t>
      </w:r>
      <w:r>
        <w:rPr>
          <w:rFonts w:asciiTheme="majorHAnsi" w:hAnsiTheme="majorHAnsi"/>
          <w:sz w:val="22"/>
          <w:szCs w:val="22"/>
          <w:lang w:val="es-ES_tradnl"/>
        </w:rPr>
        <w:t xml:space="preserve"> y formación o creación de capacidad, a fin de dirigir las actividades de la </w:t>
      </w:r>
      <w:r w:rsidR="00081778">
        <w:rPr>
          <w:rFonts w:asciiTheme="majorHAnsi" w:hAnsiTheme="majorHAnsi"/>
          <w:sz w:val="22"/>
          <w:szCs w:val="22"/>
          <w:lang w:val="es-ES_tradnl"/>
        </w:rPr>
        <w:t>Secretaría</w:t>
      </w:r>
      <w:r>
        <w:rPr>
          <w:rFonts w:asciiTheme="majorHAnsi" w:hAnsiTheme="majorHAnsi"/>
          <w:sz w:val="22"/>
          <w:szCs w:val="22"/>
          <w:lang w:val="es-ES_tradnl"/>
        </w:rPr>
        <w:t xml:space="preserve">. Se reconoce que las </w:t>
      </w:r>
      <w:r w:rsidR="00081778">
        <w:rPr>
          <w:rFonts w:asciiTheme="majorHAnsi" w:hAnsiTheme="majorHAnsi"/>
          <w:sz w:val="22"/>
          <w:szCs w:val="22"/>
          <w:lang w:val="es-ES_tradnl"/>
        </w:rPr>
        <w:t>necesidades</w:t>
      </w:r>
      <w:r>
        <w:rPr>
          <w:rFonts w:asciiTheme="majorHAnsi" w:hAnsiTheme="majorHAnsi"/>
          <w:sz w:val="22"/>
          <w:szCs w:val="22"/>
          <w:lang w:val="es-ES_tradnl"/>
        </w:rPr>
        <w:t xml:space="preserve"> pueden variar entre regiones o Partes Contratantes</w:t>
      </w:r>
      <w:r w:rsidR="00C64326" w:rsidRPr="00B97122">
        <w:rPr>
          <w:rFonts w:asciiTheme="majorHAnsi" w:hAnsiTheme="majorHAnsi"/>
          <w:sz w:val="22"/>
          <w:szCs w:val="22"/>
          <w:lang w:val="es-ES_tradnl"/>
        </w:rPr>
        <w:t xml:space="preserve">. </w:t>
      </w:r>
    </w:p>
    <w:p w14:paraId="18386DFE" w14:textId="1C0FA3CC" w:rsidR="00C64326" w:rsidRPr="00B97122" w:rsidRDefault="009B17BD"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Aprovechar las </w:t>
      </w:r>
      <w:r w:rsidR="00081778">
        <w:rPr>
          <w:rFonts w:asciiTheme="majorHAnsi" w:hAnsiTheme="majorHAnsi"/>
          <w:sz w:val="22"/>
          <w:szCs w:val="22"/>
          <w:lang w:val="es-ES_tradnl"/>
        </w:rPr>
        <w:t>actividades</w:t>
      </w:r>
      <w:r>
        <w:rPr>
          <w:rFonts w:asciiTheme="majorHAnsi" w:hAnsiTheme="majorHAnsi"/>
          <w:sz w:val="22"/>
          <w:szCs w:val="22"/>
          <w:lang w:val="es-ES_tradnl"/>
        </w:rPr>
        <w:t xml:space="preserve"> y la </w:t>
      </w:r>
      <w:r w:rsidR="00081778">
        <w:rPr>
          <w:rFonts w:asciiTheme="majorHAnsi" w:hAnsiTheme="majorHAnsi"/>
          <w:sz w:val="22"/>
          <w:szCs w:val="22"/>
          <w:lang w:val="es-ES_tradnl"/>
        </w:rPr>
        <w:t>participación</w:t>
      </w:r>
      <w:r>
        <w:rPr>
          <w:rFonts w:asciiTheme="majorHAnsi" w:hAnsiTheme="majorHAnsi"/>
          <w:sz w:val="22"/>
          <w:szCs w:val="22"/>
          <w:lang w:val="es-ES_tradnl"/>
        </w:rPr>
        <w:t xml:space="preserve"> </w:t>
      </w:r>
      <w:r w:rsidR="00081778">
        <w:rPr>
          <w:rFonts w:asciiTheme="majorHAnsi" w:hAnsiTheme="majorHAnsi"/>
          <w:sz w:val="22"/>
          <w:szCs w:val="22"/>
          <w:lang w:val="es-ES_tradnl"/>
        </w:rPr>
        <w:t>efectivas</w:t>
      </w:r>
      <w:r>
        <w:rPr>
          <w:rFonts w:asciiTheme="majorHAnsi" w:hAnsiTheme="majorHAnsi"/>
          <w:sz w:val="22"/>
          <w:szCs w:val="22"/>
          <w:lang w:val="es-ES_tradnl"/>
        </w:rPr>
        <w:t xml:space="preserve"> que se logran mediante el </w:t>
      </w:r>
      <w:r w:rsidR="00C016F6" w:rsidRPr="00B97122">
        <w:rPr>
          <w:rFonts w:asciiTheme="majorHAnsi" w:hAnsiTheme="majorHAnsi"/>
          <w:sz w:val="22"/>
          <w:szCs w:val="22"/>
          <w:lang w:val="es-ES_tradnl"/>
        </w:rPr>
        <w:t>Día Mundial de los Humedales</w:t>
      </w:r>
      <w:r>
        <w:rPr>
          <w:rFonts w:asciiTheme="majorHAnsi" w:hAnsiTheme="majorHAnsi"/>
          <w:sz w:val="22"/>
          <w:szCs w:val="22"/>
          <w:lang w:val="es-ES_tradnl"/>
        </w:rPr>
        <w:t xml:space="preserve"> y las </w:t>
      </w:r>
      <w:r w:rsidR="00081778">
        <w:rPr>
          <w:rFonts w:asciiTheme="majorHAnsi" w:hAnsiTheme="majorHAnsi"/>
          <w:sz w:val="22"/>
          <w:szCs w:val="22"/>
          <w:lang w:val="es-ES_tradnl"/>
        </w:rPr>
        <w:t>iniciativas</w:t>
      </w:r>
      <w:r>
        <w:rPr>
          <w:rFonts w:asciiTheme="majorHAnsi" w:hAnsiTheme="majorHAnsi"/>
          <w:sz w:val="22"/>
          <w:szCs w:val="22"/>
          <w:lang w:val="es-ES_tradnl"/>
        </w:rPr>
        <w:t xml:space="preserve"> regionales de Ramsar.</w:t>
      </w:r>
    </w:p>
    <w:p w14:paraId="47E06AE9" w14:textId="748C2190" w:rsidR="00C64326" w:rsidRPr="00B97122" w:rsidRDefault="009B17BD"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Utilizar distintos canales mediáticos que sean adecuados para la finalidad en cuestión, tales como las redes sociales para incrementar la </w:t>
      </w:r>
      <w:r w:rsidR="00081778">
        <w:rPr>
          <w:rFonts w:asciiTheme="majorHAnsi" w:hAnsiTheme="majorHAnsi"/>
          <w:sz w:val="22"/>
          <w:szCs w:val="22"/>
          <w:lang w:val="es-ES_tradnl"/>
        </w:rPr>
        <w:t>sensibilización</w:t>
      </w:r>
      <w:r>
        <w:rPr>
          <w:rFonts w:asciiTheme="majorHAnsi" w:hAnsiTheme="majorHAnsi"/>
          <w:sz w:val="22"/>
          <w:szCs w:val="22"/>
          <w:lang w:val="es-ES_tradnl"/>
        </w:rPr>
        <w:t xml:space="preserve"> pública (y posiblemente lograr una preocupación pública y presionar</w:t>
      </w:r>
      <w:r w:rsidR="00081778">
        <w:rPr>
          <w:rFonts w:asciiTheme="majorHAnsi" w:hAnsiTheme="majorHAnsi"/>
          <w:sz w:val="22"/>
          <w:szCs w:val="22"/>
          <w:lang w:val="es-ES_tradnl"/>
        </w:rPr>
        <w:t xml:space="preserve"> </w:t>
      </w:r>
      <w:r>
        <w:rPr>
          <w:rFonts w:asciiTheme="majorHAnsi" w:hAnsiTheme="majorHAnsi"/>
          <w:sz w:val="22"/>
          <w:szCs w:val="22"/>
          <w:lang w:val="es-ES_tradnl"/>
        </w:rPr>
        <w:t xml:space="preserve">a a los responsables de la toma de </w:t>
      </w:r>
      <w:r w:rsidR="00081778">
        <w:rPr>
          <w:rFonts w:asciiTheme="majorHAnsi" w:hAnsiTheme="majorHAnsi"/>
          <w:sz w:val="22"/>
          <w:szCs w:val="22"/>
          <w:lang w:val="es-ES_tradnl"/>
        </w:rPr>
        <w:t>decisiones</w:t>
      </w:r>
      <w:r>
        <w:rPr>
          <w:rFonts w:asciiTheme="majorHAnsi" w:hAnsiTheme="majorHAnsi"/>
          <w:sz w:val="22"/>
          <w:szCs w:val="22"/>
          <w:lang w:val="es-ES_tradnl"/>
        </w:rPr>
        <w:t xml:space="preserve">) y </w:t>
      </w:r>
      <w:r w:rsidR="00081778">
        <w:rPr>
          <w:rFonts w:asciiTheme="majorHAnsi" w:hAnsiTheme="majorHAnsi"/>
          <w:sz w:val="22"/>
          <w:szCs w:val="22"/>
          <w:lang w:val="es-ES_tradnl"/>
        </w:rPr>
        <w:t>también</w:t>
      </w:r>
      <w:r>
        <w:rPr>
          <w:rFonts w:asciiTheme="majorHAnsi" w:hAnsiTheme="majorHAnsi"/>
          <w:sz w:val="22"/>
          <w:szCs w:val="22"/>
          <w:lang w:val="es-ES_tradnl"/>
        </w:rPr>
        <w:t xml:space="preserve"> otros enfoques para implicar a los responsables de la toma de </w:t>
      </w:r>
      <w:r w:rsidR="00081778">
        <w:rPr>
          <w:rFonts w:asciiTheme="majorHAnsi" w:hAnsiTheme="majorHAnsi"/>
          <w:sz w:val="22"/>
          <w:szCs w:val="22"/>
          <w:lang w:val="es-ES_tradnl"/>
        </w:rPr>
        <w:t>decisiones</w:t>
      </w:r>
      <w:r>
        <w:rPr>
          <w:rFonts w:asciiTheme="majorHAnsi" w:hAnsiTheme="majorHAnsi"/>
          <w:sz w:val="22"/>
          <w:szCs w:val="22"/>
          <w:lang w:val="es-ES_tradnl"/>
        </w:rPr>
        <w:t xml:space="preserve"> de los distintos sectores. Identificar </w:t>
      </w:r>
      <w:r w:rsidR="00081778">
        <w:rPr>
          <w:rFonts w:asciiTheme="majorHAnsi" w:hAnsiTheme="majorHAnsi"/>
          <w:sz w:val="22"/>
          <w:szCs w:val="22"/>
          <w:lang w:val="es-ES_tradnl"/>
        </w:rPr>
        <w:t>nuevas</w:t>
      </w:r>
      <w:r>
        <w:rPr>
          <w:rFonts w:asciiTheme="majorHAnsi" w:hAnsiTheme="majorHAnsi"/>
          <w:sz w:val="22"/>
          <w:szCs w:val="22"/>
          <w:lang w:val="es-ES_tradnl"/>
        </w:rPr>
        <w:t xml:space="preserve"> posibilidades y oportunidades de comunicación para promover los objetivos de Ramsar.</w:t>
      </w:r>
    </w:p>
    <w:p w14:paraId="07724AFC" w14:textId="4D0AE333" w:rsidR="00C64326" w:rsidRPr="00B97122" w:rsidRDefault="008D373C"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Mejorar la utilidad de los </w:t>
      </w:r>
      <w:r w:rsidR="00081778">
        <w:rPr>
          <w:rFonts w:asciiTheme="majorHAnsi" w:hAnsiTheme="majorHAnsi"/>
          <w:sz w:val="22"/>
          <w:szCs w:val="22"/>
          <w:lang w:val="es-ES_tradnl"/>
        </w:rPr>
        <w:t>informes</w:t>
      </w:r>
      <w:r>
        <w:rPr>
          <w:rFonts w:asciiTheme="majorHAnsi" w:hAnsiTheme="majorHAnsi"/>
          <w:sz w:val="22"/>
          <w:szCs w:val="22"/>
          <w:lang w:val="es-ES_tradnl"/>
        </w:rPr>
        <w:t xml:space="preserve"> nacionales de las Part</w:t>
      </w:r>
      <w:r w:rsidR="00B229E7" w:rsidRPr="00B97122">
        <w:rPr>
          <w:rFonts w:asciiTheme="majorHAnsi" w:hAnsiTheme="majorHAnsi"/>
          <w:sz w:val="22"/>
          <w:szCs w:val="22"/>
          <w:lang w:val="es-ES_tradnl"/>
        </w:rPr>
        <w:t>es Contratantes</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 xml:space="preserve">como herramienta para que la </w:t>
      </w:r>
      <w:r w:rsidR="00081778">
        <w:rPr>
          <w:rFonts w:asciiTheme="majorHAnsi" w:hAnsiTheme="majorHAnsi"/>
          <w:sz w:val="22"/>
          <w:szCs w:val="22"/>
          <w:lang w:val="es-ES_tradnl"/>
        </w:rPr>
        <w:t>Convención</w:t>
      </w:r>
      <w:r>
        <w:rPr>
          <w:rFonts w:asciiTheme="majorHAnsi" w:hAnsiTheme="majorHAnsi"/>
          <w:sz w:val="22"/>
          <w:szCs w:val="22"/>
          <w:lang w:val="es-ES_tradnl"/>
        </w:rPr>
        <w:t xml:space="preserve"> obtenga </w:t>
      </w:r>
      <w:r w:rsidR="00081778">
        <w:rPr>
          <w:rFonts w:asciiTheme="majorHAnsi" w:hAnsiTheme="majorHAnsi"/>
          <w:sz w:val="22"/>
          <w:szCs w:val="22"/>
          <w:lang w:val="es-ES_tradnl"/>
        </w:rPr>
        <w:t>información</w:t>
      </w:r>
      <w:r>
        <w:rPr>
          <w:rFonts w:asciiTheme="majorHAnsi" w:hAnsiTheme="majorHAnsi"/>
          <w:sz w:val="22"/>
          <w:szCs w:val="22"/>
          <w:lang w:val="es-ES_tradnl"/>
        </w:rPr>
        <w:t xml:space="preserve"> sobre la eficacia de su aplicación e identifique lagunas, el apoyo necesario y las cuestiones emergentes. Es importante que el modelo de informe nacional no sea demasiado largo para que no </w:t>
      </w:r>
      <w:r w:rsidR="00081778">
        <w:rPr>
          <w:rFonts w:asciiTheme="majorHAnsi" w:hAnsiTheme="majorHAnsi"/>
          <w:sz w:val="22"/>
          <w:szCs w:val="22"/>
          <w:lang w:val="es-ES_tradnl"/>
        </w:rPr>
        <w:t>constituya</w:t>
      </w:r>
      <w:r>
        <w:rPr>
          <w:rFonts w:asciiTheme="majorHAnsi" w:hAnsiTheme="majorHAnsi"/>
          <w:sz w:val="22"/>
          <w:szCs w:val="22"/>
          <w:lang w:val="es-ES_tradnl"/>
        </w:rPr>
        <w:t xml:space="preserve"> una carga para las Partes Contratantes,</w:t>
      </w:r>
      <w:r w:rsidR="00144AAD">
        <w:rPr>
          <w:rFonts w:asciiTheme="majorHAnsi" w:hAnsiTheme="majorHAnsi"/>
          <w:sz w:val="22"/>
          <w:szCs w:val="22"/>
          <w:lang w:val="es-ES_tradnl"/>
        </w:rPr>
        <w:t xml:space="preserve"> pero que se centre en reunir la información esencial </w:t>
      </w:r>
      <w:r w:rsidR="00081778">
        <w:rPr>
          <w:rFonts w:asciiTheme="majorHAnsi" w:hAnsiTheme="majorHAnsi"/>
          <w:sz w:val="22"/>
          <w:szCs w:val="22"/>
          <w:lang w:val="es-ES_tradnl"/>
        </w:rPr>
        <w:t>necesaria</w:t>
      </w:r>
      <w:r w:rsidR="00144AAD">
        <w:rPr>
          <w:rFonts w:asciiTheme="majorHAnsi" w:hAnsiTheme="majorHAnsi"/>
          <w:sz w:val="22"/>
          <w:szCs w:val="22"/>
          <w:lang w:val="es-ES_tradnl"/>
        </w:rPr>
        <w:t xml:space="preserve"> para ayudar a las Secretaría y a las P</w:t>
      </w:r>
      <w:r w:rsidR="00B229E7" w:rsidRPr="00B97122">
        <w:rPr>
          <w:rFonts w:asciiTheme="majorHAnsi" w:hAnsiTheme="majorHAnsi"/>
          <w:sz w:val="22"/>
          <w:szCs w:val="22"/>
          <w:lang w:val="es-ES_tradnl"/>
        </w:rPr>
        <w:t>artes Contratantes</w:t>
      </w:r>
      <w:r w:rsidR="00144AAD">
        <w:rPr>
          <w:rFonts w:asciiTheme="majorHAnsi" w:hAnsiTheme="majorHAnsi"/>
          <w:sz w:val="22"/>
          <w:szCs w:val="22"/>
          <w:lang w:val="es-ES_tradnl"/>
        </w:rPr>
        <w:t xml:space="preserve"> a </w:t>
      </w:r>
      <w:r w:rsidR="00081778">
        <w:rPr>
          <w:rFonts w:asciiTheme="majorHAnsi" w:hAnsiTheme="majorHAnsi"/>
          <w:sz w:val="22"/>
          <w:szCs w:val="22"/>
          <w:lang w:val="es-ES_tradnl"/>
        </w:rPr>
        <w:t>identificar</w:t>
      </w:r>
      <w:r w:rsidR="00144AAD">
        <w:rPr>
          <w:rFonts w:asciiTheme="majorHAnsi" w:hAnsiTheme="majorHAnsi"/>
          <w:sz w:val="22"/>
          <w:szCs w:val="22"/>
          <w:lang w:val="es-ES_tradnl"/>
        </w:rPr>
        <w:t xml:space="preserve"> las prioridades de acción futuras</w:t>
      </w:r>
      <w:r w:rsidR="00C64326" w:rsidRPr="00B97122">
        <w:rPr>
          <w:rFonts w:asciiTheme="majorHAnsi" w:hAnsiTheme="majorHAnsi"/>
          <w:sz w:val="22"/>
          <w:szCs w:val="22"/>
          <w:lang w:val="es-ES_tradnl"/>
        </w:rPr>
        <w:t>.</w:t>
      </w:r>
    </w:p>
    <w:p w14:paraId="46B34CF6" w14:textId="7200B59D" w:rsidR="00C64326" w:rsidRPr="00B97122" w:rsidRDefault="00081778" w:rsidP="004C3670">
      <w:pPr>
        <w:numPr>
          <w:ilvl w:val="0"/>
          <w:numId w:val="13"/>
        </w:numPr>
        <w:spacing w:after="120"/>
        <w:ind w:left="714" w:hanging="357"/>
        <w:rPr>
          <w:rFonts w:asciiTheme="majorHAnsi" w:hAnsiTheme="majorHAnsi"/>
          <w:sz w:val="22"/>
          <w:szCs w:val="22"/>
          <w:lang w:val="es-ES_tradnl"/>
        </w:rPr>
      </w:pPr>
      <w:r>
        <w:rPr>
          <w:rFonts w:asciiTheme="majorHAnsi" w:hAnsiTheme="majorHAnsi"/>
          <w:sz w:val="22"/>
          <w:szCs w:val="22"/>
          <w:lang w:val="es-ES_tradnl"/>
        </w:rPr>
        <w:t>Proporcionar</w:t>
      </w:r>
      <w:r w:rsidR="00144AAD">
        <w:rPr>
          <w:rFonts w:asciiTheme="majorHAnsi" w:hAnsiTheme="majorHAnsi"/>
          <w:sz w:val="22"/>
          <w:szCs w:val="22"/>
          <w:lang w:val="es-ES_tradnl"/>
        </w:rPr>
        <w:t xml:space="preserve"> acceso eficaz a los materiales de la Secretaría, entre otras cosas:</w:t>
      </w:r>
    </w:p>
    <w:p w14:paraId="679C41AC" w14:textId="1ADF28DD" w:rsidR="00C64326" w:rsidRPr="00B97122" w:rsidRDefault="00E325B1" w:rsidP="004C3670">
      <w:pPr>
        <w:numPr>
          <w:ilvl w:val="1"/>
          <w:numId w:val="13"/>
        </w:numPr>
        <w:spacing w:after="120"/>
        <w:ind w:left="1434" w:hanging="357"/>
        <w:contextualSpacing/>
        <w:rPr>
          <w:rFonts w:asciiTheme="majorHAnsi" w:hAnsiTheme="majorHAnsi"/>
          <w:sz w:val="22"/>
          <w:szCs w:val="22"/>
          <w:lang w:val="es-ES_tradnl"/>
        </w:rPr>
      </w:pPr>
      <w:r>
        <w:rPr>
          <w:rFonts w:asciiTheme="majorHAnsi" w:hAnsiTheme="majorHAnsi"/>
          <w:sz w:val="22"/>
          <w:szCs w:val="22"/>
          <w:lang w:val="es-ES_tradnl"/>
        </w:rPr>
        <w:t xml:space="preserve">Acceso </w:t>
      </w:r>
      <w:r w:rsidR="00081778">
        <w:rPr>
          <w:rFonts w:asciiTheme="majorHAnsi" w:hAnsiTheme="majorHAnsi"/>
          <w:sz w:val="22"/>
          <w:szCs w:val="22"/>
          <w:lang w:val="es-ES_tradnl"/>
        </w:rPr>
        <w:t xml:space="preserve">mediante búsquedas </w:t>
      </w:r>
      <w:r>
        <w:rPr>
          <w:rFonts w:asciiTheme="majorHAnsi" w:hAnsiTheme="majorHAnsi"/>
          <w:sz w:val="22"/>
          <w:szCs w:val="22"/>
          <w:lang w:val="es-ES_tradnl"/>
        </w:rPr>
        <w:t xml:space="preserve">o portales con información sobre cuestiones de humedales, </w:t>
      </w:r>
      <w:r w:rsidR="00081778">
        <w:rPr>
          <w:rFonts w:asciiTheme="majorHAnsi" w:hAnsiTheme="majorHAnsi"/>
          <w:sz w:val="22"/>
          <w:szCs w:val="22"/>
          <w:lang w:val="es-ES_tradnl"/>
        </w:rPr>
        <w:t>investigación</w:t>
      </w:r>
      <w:r>
        <w:rPr>
          <w:rFonts w:asciiTheme="majorHAnsi" w:hAnsiTheme="majorHAnsi"/>
          <w:sz w:val="22"/>
          <w:szCs w:val="22"/>
          <w:lang w:val="es-ES_tradnl"/>
        </w:rPr>
        <w:t xml:space="preserve"> y técnicas de gestión (</w:t>
      </w:r>
      <w:r w:rsidR="00081778">
        <w:rPr>
          <w:rFonts w:asciiTheme="majorHAnsi" w:hAnsiTheme="majorHAnsi"/>
          <w:sz w:val="22"/>
          <w:szCs w:val="22"/>
          <w:lang w:val="es-ES_tradnl"/>
        </w:rPr>
        <w:t>materiales</w:t>
      </w:r>
      <w:r>
        <w:rPr>
          <w:rFonts w:asciiTheme="majorHAnsi" w:hAnsiTheme="majorHAnsi"/>
          <w:sz w:val="22"/>
          <w:szCs w:val="22"/>
          <w:lang w:val="es-ES_tradnl"/>
        </w:rPr>
        <w:t xml:space="preserve"> de la Secretaría y de las Partes </w:t>
      </w:r>
      <w:r w:rsidR="00081778">
        <w:rPr>
          <w:rFonts w:asciiTheme="majorHAnsi" w:hAnsiTheme="majorHAnsi"/>
          <w:sz w:val="22"/>
          <w:szCs w:val="22"/>
          <w:lang w:val="es-ES_tradnl"/>
        </w:rPr>
        <w:t>Contratantes</w:t>
      </w:r>
      <w:r>
        <w:rPr>
          <w:rFonts w:asciiTheme="majorHAnsi" w:hAnsiTheme="majorHAnsi"/>
          <w:sz w:val="22"/>
          <w:szCs w:val="22"/>
          <w:lang w:val="es-ES_tradnl"/>
        </w:rPr>
        <w:t>)</w:t>
      </w:r>
      <w:r w:rsidR="00C64326" w:rsidRPr="00B97122">
        <w:rPr>
          <w:rFonts w:asciiTheme="majorHAnsi" w:hAnsiTheme="majorHAnsi"/>
          <w:sz w:val="22"/>
          <w:szCs w:val="22"/>
          <w:lang w:val="es-ES_tradnl"/>
        </w:rPr>
        <w:t>.</w:t>
      </w:r>
    </w:p>
    <w:p w14:paraId="7090482F" w14:textId="2F7037EA" w:rsidR="00C64326" w:rsidRPr="00B97122" w:rsidRDefault="00E325B1" w:rsidP="004C3670">
      <w:pPr>
        <w:numPr>
          <w:ilvl w:val="1"/>
          <w:numId w:val="13"/>
        </w:numPr>
        <w:spacing w:after="120"/>
        <w:ind w:left="1434" w:hanging="357"/>
        <w:rPr>
          <w:rFonts w:asciiTheme="majorHAnsi" w:hAnsiTheme="majorHAnsi"/>
          <w:sz w:val="22"/>
          <w:szCs w:val="22"/>
          <w:lang w:val="es-ES_tradnl"/>
        </w:rPr>
      </w:pPr>
      <w:r w:rsidRPr="00B97122">
        <w:rPr>
          <w:rFonts w:asciiTheme="majorHAnsi" w:hAnsiTheme="majorHAnsi"/>
          <w:sz w:val="22"/>
          <w:szCs w:val="22"/>
          <w:lang w:val="es-ES_tradnl"/>
        </w:rPr>
        <w:lastRenderedPageBreak/>
        <w:t>A</w:t>
      </w:r>
      <w:r w:rsidR="00C64326" w:rsidRPr="00B97122">
        <w:rPr>
          <w:rFonts w:asciiTheme="majorHAnsi" w:hAnsiTheme="majorHAnsi"/>
          <w:sz w:val="22"/>
          <w:szCs w:val="22"/>
          <w:lang w:val="es-ES_tradnl"/>
        </w:rPr>
        <w:t>cces</w:t>
      </w:r>
      <w:r>
        <w:rPr>
          <w:rFonts w:asciiTheme="majorHAnsi" w:hAnsiTheme="majorHAnsi"/>
          <w:sz w:val="22"/>
          <w:szCs w:val="22"/>
          <w:lang w:val="es-ES_tradnl"/>
        </w:rPr>
        <w:t xml:space="preserve">o a un SISR intuitivo para que los administradores de sitios Ramsar actualicen, suban o descarguen </w:t>
      </w:r>
      <w:r w:rsidR="00081778">
        <w:rPr>
          <w:rFonts w:asciiTheme="majorHAnsi" w:hAnsiTheme="majorHAnsi"/>
          <w:sz w:val="22"/>
          <w:szCs w:val="22"/>
          <w:lang w:val="es-ES_tradnl"/>
        </w:rPr>
        <w:t>información</w:t>
      </w:r>
      <w:r>
        <w:rPr>
          <w:rFonts w:asciiTheme="majorHAnsi" w:hAnsiTheme="majorHAnsi"/>
          <w:sz w:val="22"/>
          <w:szCs w:val="22"/>
          <w:lang w:val="es-ES_tradnl"/>
        </w:rPr>
        <w:t xml:space="preserve"> sobre los sitios y la utilicen para la </w:t>
      </w:r>
      <w:r w:rsidR="00081778">
        <w:rPr>
          <w:rFonts w:asciiTheme="majorHAnsi" w:hAnsiTheme="majorHAnsi"/>
          <w:sz w:val="22"/>
          <w:szCs w:val="22"/>
          <w:lang w:val="es-ES_tradnl"/>
        </w:rPr>
        <w:t>gestión</w:t>
      </w:r>
      <w:r w:rsidR="00C64326" w:rsidRPr="00B97122">
        <w:rPr>
          <w:rFonts w:asciiTheme="majorHAnsi" w:hAnsiTheme="majorHAnsi"/>
          <w:sz w:val="22"/>
          <w:szCs w:val="22"/>
          <w:lang w:val="es-ES_tradnl"/>
        </w:rPr>
        <w:t xml:space="preserve">. </w:t>
      </w:r>
    </w:p>
    <w:p w14:paraId="6A2E3812" w14:textId="38784D4F" w:rsidR="00C64326" w:rsidRPr="00B97122" w:rsidRDefault="00E325B1" w:rsidP="004C3670">
      <w:pPr>
        <w:numPr>
          <w:ilvl w:val="0"/>
          <w:numId w:val="13"/>
        </w:numPr>
        <w:spacing w:after="120"/>
        <w:rPr>
          <w:rFonts w:asciiTheme="majorHAnsi" w:hAnsiTheme="majorHAnsi"/>
          <w:sz w:val="22"/>
          <w:szCs w:val="22"/>
          <w:lang w:val="es-ES_tradnl"/>
        </w:rPr>
      </w:pPr>
      <w:r>
        <w:rPr>
          <w:rFonts w:asciiTheme="majorHAnsi" w:hAnsiTheme="majorHAnsi"/>
          <w:sz w:val="22"/>
          <w:szCs w:val="22"/>
          <w:lang w:val="es-ES_tradnl"/>
        </w:rPr>
        <w:t xml:space="preserve">Hacer </w:t>
      </w:r>
      <w:r w:rsidR="00081778">
        <w:rPr>
          <w:rFonts w:asciiTheme="majorHAnsi" w:hAnsiTheme="majorHAnsi"/>
          <w:sz w:val="22"/>
          <w:szCs w:val="22"/>
          <w:lang w:val="es-ES_tradnl"/>
        </w:rPr>
        <w:t>hincapié</w:t>
      </w:r>
      <w:r>
        <w:rPr>
          <w:rFonts w:asciiTheme="majorHAnsi" w:hAnsiTheme="majorHAnsi"/>
          <w:sz w:val="22"/>
          <w:szCs w:val="22"/>
          <w:lang w:val="es-ES_tradnl"/>
        </w:rPr>
        <w:t xml:space="preserve"> en la creación de capacidad para apoyar a personas con distintas funciones en la conservación y el uso racional de los </w:t>
      </w:r>
      <w:r w:rsidR="00081778">
        <w:rPr>
          <w:rFonts w:asciiTheme="majorHAnsi" w:hAnsiTheme="majorHAnsi"/>
          <w:sz w:val="22"/>
          <w:szCs w:val="22"/>
          <w:lang w:val="es-ES_tradnl"/>
        </w:rPr>
        <w:t>humedales</w:t>
      </w:r>
      <w:r>
        <w:rPr>
          <w:rFonts w:asciiTheme="majorHAnsi" w:hAnsiTheme="majorHAnsi"/>
          <w:sz w:val="22"/>
          <w:szCs w:val="22"/>
          <w:lang w:val="es-ES_tradnl"/>
        </w:rPr>
        <w:t xml:space="preserve">. Esto conllevaría la </w:t>
      </w:r>
      <w:r w:rsidR="00081778">
        <w:rPr>
          <w:rFonts w:asciiTheme="majorHAnsi" w:hAnsiTheme="majorHAnsi"/>
          <w:sz w:val="22"/>
          <w:szCs w:val="22"/>
          <w:lang w:val="es-ES_tradnl"/>
        </w:rPr>
        <w:t>utilización</w:t>
      </w:r>
      <w:r>
        <w:rPr>
          <w:rFonts w:asciiTheme="majorHAnsi" w:hAnsiTheme="majorHAnsi"/>
          <w:sz w:val="22"/>
          <w:szCs w:val="22"/>
          <w:lang w:val="es-ES_tradnl"/>
        </w:rPr>
        <w:t xml:space="preserve"> de los conocimientos del Grupo de Examen Científico y Técnico</w:t>
      </w:r>
      <w:r w:rsidR="00C64326" w:rsidRPr="00B97122">
        <w:rPr>
          <w:rFonts w:asciiTheme="majorHAnsi" w:hAnsiTheme="majorHAnsi"/>
          <w:sz w:val="22"/>
          <w:szCs w:val="22"/>
          <w:lang w:val="es-ES_tradnl"/>
        </w:rPr>
        <w:t xml:space="preserve"> (</w:t>
      </w:r>
      <w:r w:rsidR="002147D2" w:rsidRPr="00B97122">
        <w:rPr>
          <w:rFonts w:asciiTheme="majorHAnsi" w:hAnsiTheme="majorHAnsi"/>
          <w:sz w:val="22"/>
          <w:szCs w:val="22"/>
          <w:lang w:val="es-ES_tradnl"/>
        </w:rPr>
        <w:t>GECT</w:t>
      </w:r>
      <w:r w:rsidR="00C64326" w:rsidRPr="00B97122">
        <w:rPr>
          <w:rFonts w:asciiTheme="majorHAnsi" w:hAnsiTheme="majorHAnsi"/>
          <w:sz w:val="22"/>
          <w:szCs w:val="22"/>
          <w:lang w:val="es-ES_tradnl"/>
        </w:rPr>
        <w:t xml:space="preserve">), </w:t>
      </w:r>
      <w:r>
        <w:rPr>
          <w:rFonts w:asciiTheme="majorHAnsi" w:hAnsiTheme="majorHAnsi"/>
          <w:sz w:val="22"/>
          <w:szCs w:val="22"/>
          <w:lang w:val="es-ES_tradnl"/>
        </w:rPr>
        <w:t>comunicaciones y trabajo en red por la Secretaría y el intercambio de experiencias entre las Partes Contratantes</w:t>
      </w:r>
      <w:r w:rsidR="00C64326" w:rsidRPr="00B97122">
        <w:rPr>
          <w:rFonts w:asciiTheme="majorHAnsi" w:hAnsiTheme="majorHAnsi"/>
          <w:sz w:val="22"/>
          <w:szCs w:val="22"/>
          <w:lang w:val="es-ES_tradnl"/>
        </w:rPr>
        <w:t>.</w:t>
      </w:r>
    </w:p>
    <w:p w14:paraId="6796E779" w14:textId="77777777" w:rsidR="003D28E4" w:rsidRPr="00B97122" w:rsidRDefault="003D28E4" w:rsidP="004C3670">
      <w:pPr>
        <w:autoSpaceDE w:val="0"/>
        <w:autoSpaceDN w:val="0"/>
        <w:adjustRightInd w:val="0"/>
        <w:spacing w:after="120"/>
        <w:ind w:right="288"/>
        <w:rPr>
          <w:rFonts w:asciiTheme="majorHAnsi" w:hAnsiTheme="majorHAnsi" w:cs="Calibri"/>
          <w:b/>
          <w:bCs/>
          <w:sz w:val="22"/>
          <w:szCs w:val="22"/>
          <w:lang w:val="es-ES_tradnl"/>
        </w:rPr>
      </w:pPr>
    </w:p>
    <w:sectPr w:rsidR="003D28E4" w:rsidRPr="00B97122" w:rsidSect="003D28E4">
      <w:footerReference w:type="default" r:id="rId13"/>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C64D" w14:textId="77777777" w:rsidR="00910E1A" w:rsidRDefault="00910E1A" w:rsidP="00002B9E">
      <w:r>
        <w:separator/>
      </w:r>
    </w:p>
  </w:endnote>
  <w:endnote w:type="continuationSeparator" w:id="0">
    <w:p w14:paraId="483B26EE" w14:textId="77777777" w:rsidR="00910E1A" w:rsidRDefault="00910E1A" w:rsidP="000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D3CA" w14:textId="43395A1C" w:rsidR="00910E1A" w:rsidRPr="00C50F56" w:rsidRDefault="006044CD" w:rsidP="006044CD">
    <w:pPr>
      <w:pStyle w:val="Footer"/>
      <w:tabs>
        <w:tab w:val="clear" w:pos="9026"/>
        <w:tab w:val="left" w:pos="8820"/>
        <w:tab w:val="right" w:pos="14220"/>
      </w:tabs>
      <w:rPr>
        <w:rFonts w:ascii="Calibri" w:hAnsi="Calibri"/>
        <w:sz w:val="20"/>
        <w:szCs w:val="20"/>
        <w:lang w:val="en-GB"/>
      </w:rPr>
    </w:pPr>
    <w:r>
      <w:rPr>
        <w:rFonts w:ascii="Calibri" w:hAnsi="Calibri"/>
        <w:sz w:val="20"/>
        <w:szCs w:val="20"/>
        <w:lang w:val="en-GB"/>
      </w:rPr>
      <w:t>Ramsar COP13 Doc.10</w:t>
    </w:r>
    <w:r>
      <w:rPr>
        <w:rFonts w:ascii="Calibri" w:hAnsi="Calibri"/>
        <w:sz w:val="20"/>
        <w:szCs w:val="20"/>
        <w:lang w:val="en-GB"/>
      </w:rPr>
      <w:tab/>
    </w:r>
    <w:r>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Pr>
        <w:rFonts w:ascii="Calibri" w:hAnsi="Calibri"/>
        <w:noProof/>
        <w:sz w:val="20"/>
        <w:szCs w:val="20"/>
        <w:lang w:val="en-GB"/>
      </w:rPr>
      <w:t>16</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A785" w14:textId="77777777" w:rsidR="00910E1A" w:rsidRDefault="00910E1A" w:rsidP="00002B9E">
      <w:r>
        <w:separator/>
      </w:r>
    </w:p>
  </w:footnote>
  <w:footnote w:type="continuationSeparator" w:id="0">
    <w:p w14:paraId="07512233" w14:textId="77777777" w:rsidR="00910E1A" w:rsidRDefault="00910E1A" w:rsidP="00002B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86EFD"/>
    <w:multiLevelType w:val="hybridMultilevel"/>
    <w:tmpl w:val="15A8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411D"/>
    <w:multiLevelType w:val="multilevel"/>
    <w:tmpl w:val="40B2581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08766F"/>
    <w:multiLevelType w:val="hybridMultilevel"/>
    <w:tmpl w:val="125A8268"/>
    <w:lvl w:ilvl="0" w:tplc="45A06F0E">
      <w:start w:val="1"/>
      <w:numFmt w:val="decimal"/>
      <w:lvlText w:val="%1."/>
      <w:lvlJc w:val="left"/>
      <w:pPr>
        <w:ind w:left="-708" w:hanging="360"/>
      </w:pPr>
    </w:lvl>
    <w:lvl w:ilvl="1" w:tplc="0C090019">
      <w:start w:val="1"/>
      <w:numFmt w:val="lowerLetter"/>
      <w:lvlText w:val="%2."/>
      <w:lvlJc w:val="left"/>
      <w:pPr>
        <w:ind w:left="12" w:hanging="360"/>
      </w:pPr>
    </w:lvl>
    <w:lvl w:ilvl="2" w:tplc="0C09001B">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4" w15:restartNumberingAfterBreak="0">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447FF"/>
    <w:multiLevelType w:val="hybridMultilevel"/>
    <w:tmpl w:val="645EF8DE"/>
    <w:lvl w:ilvl="0" w:tplc="926261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22686"/>
    <w:multiLevelType w:val="hybridMultilevel"/>
    <w:tmpl w:val="579E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9" w15:restartNumberingAfterBreak="0">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9643E"/>
    <w:multiLevelType w:val="hybridMultilevel"/>
    <w:tmpl w:val="90D0DE90"/>
    <w:lvl w:ilvl="0" w:tplc="358248BA">
      <w:start w:val="1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E7292F"/>
    <w:multiLevelType w:val="hybridMultilevel"/>
    <w:tmpl w:val="6EF2C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41FA4"/>
    <w:multiLevelType w:val="hybridMultilevel"/>
    <w:tmpl w:val="18F49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FC23A0"/>
    <w:multiLevelType w:val="hybridMultilevel"/>
    <w:tmpl w:val="F6A82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D80F25"/>
    <w:multiLevelType w:val="hybridMultilevel"/>
    <w:tmpl w:val="40B2581E"/>
    <w:lvl w:ilvl="0" w:tplc="0C090001">
      <w:start w:val="1"/>
      <w:numFmt w:val="bullet"/>
      <w:lvlText w:val=""/>
      <w:lvlJc w:val="left"/>
      <w:pPr>
        <w:ind w:left="720" w:hanging="360"/>
      </w:pPr>
      <w:rPr>
        <w:rFonts w:ascii="Symbol" w:hAnsi="Symbol" w:hint="default"/>
      </w:rPr>
    </w:lvl>
    <w:lvl w:ilvl="1" w:tplc="41DAAAC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443668"/>
    <w:multiLevelType w:val="hybridMultilevel"/>
    <w:tmpl w:val="DC7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1D1BEA"/>
    <w:multiLevelType w:val="hybridMultilevel"/>
    <w:tmpl w:val="0B204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9"/>
  </w:num>
  <w:num w:numId="4">
    <w:abstractNumId w:val="9"/>
  </w:num>
  <w:num w:numId="5">
    <w:abstractNumId w:val="4"/>
  </w:num>
  <w:num w:numId="6">
    <w:abstractNumId w:val="10"/>
  </w:num>
  <w:num w:numId="7">
    <w:abstractNumId w:val="21"/>
  </w:num>
  <w:num w:numId="8">
    <w:abstractNumId w:val="8"/>
  </w:num>
  <w:num w:numId="9">
    <w:abstractNumId w:val="16"/>
  </w:num>
  <w:num w:numId="10">
    <w:abstractNumId w:val="6"/>
  </w:num>
  <w:num w:numId="11">
    <w:abstractNumId w:val="15"/>
  </w:num>
  <w:num w:numId="12">
    <w:abstractNumId w:val="12"/>
  </w:num>
  <w:num w:numId="13">
    <w:abstractNumId w:val="11"/>
  </w:num>
  <w:num w:numId="14">
    <w:abstractNumId w:val="3"/>
  </w:num>
  <w:num w:numId="15">
    <w:abstractNumId w:val="14"/>
  </w:num>
  <w:num w:numId="16">
    <w:abstractNumId w:val="13"/>
  </w:num>
  <w:num w:numId="17">
    <w:abstractNumId w:val="20"/>
  </w:num>
  <w:num w:numId="18">
    <w:abstractNumId w:val="1"/>
  </w:num>
  <w:num w:numId="19">
    <w:abstractNumId w:val="18"/>
  </w:num>
  <w:num w:numId="20">
    <w:abstractNumId w:val="17"/>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FD"/>
    <w:rsid w:val="00002B9E"/>
    <w:rsid w:val="00003376"/>
    <w:rsid w:val="0001131D"/>
    <w:rsid w:val="00013A20"/>
    <w:rsid w:val="00022368"/>
    <w:rsid w:val="000437E3"/>
    <w:rsid w:val="000460CF"/>
    <w:rsid w:val="000626C8"/>
    <w:rsid w:val="0006765B"/>
    <w:rsid w:val="00081778"/>
    <w:rsid w:val="000819A5"/>
    <w:rsid w:val="00093C64"/>
    <w:rsid w:val="000A0AE2"/>
    <w:rsid w:val="000A2151"/>
    <w:rsid w:val="000A304A"/>
    <w:rsid w:val="000A4C25"/>
    <w:rsid w:val="000B3ED0"/>
    <w:rsid w:val="000D487E"/>
    <w:rsid w:val="000D73FB"/>
    <w:rsid w:val="000E005C"/>
    <w:rsid w:val="000E1710"/>
    <w:rsid w:val="000E2B8C"/>
    <w:rsid w:val="000F2A07"/>
    <w:rsid w:val="000F692A"/>
    <w:rsid w:val="0010020B"/>
    <w:rsid w:val="0010064E"/>
    <w:rsid w:val="00103F0B"/>
    <w:rsid w:val="0010519D"/>
    <w:rsid w:val="00107AAB"/>
    <w:rsid w:val="00114121"/>
    <w:rsid w:val="001149FA"/>
    <w:rsid w:val="001335C2"/>
    <w:rsid w:val="00143BA7"/>
    <w:rsid w:val="00144AAD"/>
    <w:rsid w:val="0015046D"/>
    <w:rsid w:val="00155E53"/>
    <w:rsid w:val="00162CCA"/>
    <w:rsid w:val="00166199"/>
    <w:rsid w:val="001670A8"/>
    <w:rsid w:val="0017000D"/>
    <w:rsid w:val="001A4349"/>
    <w:rsid w:val="001A500F"/>
    <w:rsid w:val="001A705A"/>
    <w:rsid w:val="001C7795"/>
    <w:rsid w:val="001D173E"/>
    <w:rsid w:val="001D37DE"/>
    <w:rsid w:val="00202401"/>
    <w:rsid w:val="00207F77"/>
    <w:rsid w:val="002125BB"/>
    <w:rsid w:val="002147D2"/>
    <w:rsid w:val="00235C6D"/>
    <w:rsid w:val="002432F8"/>
    <w:rsid w:val="00245A4E"/>
    <w:rsid w:val="00251D62"/>
    <w:rsid w:val="002676C1"/>
    <w:rsid w:val="00275FA3"/>
    <w:rsid w:val="00285A55"/>
    <w:rsid w:val="00287923"/>
    <w:rsid w:val="002920BB"/>
    <w:rsid w:val="002A3A1E"/>
    <w:rsid w:val="002A56F5"/>
    <w:rsid w:val="002B129B"/>
    <w:rsid w:val="002B3464"/>
    <w:rsid w:val="002B729F"/>
    <w:rsid w:val="002C00B9"/>
    <w:rsid w:val="002D1279"/>
    <w:rsid w:val="002D36B5"/>
    <w:rsid w:val="002F53E8"/>
    <w:rsid w:val="002F6C88"/>
    <w:rsid w:val="002F6CF8"/>
    <w:rsid w:val="00303313"/>
    <w:rsid w:val="00303921"/>
    <w:rsid w:val="00306A1E"/>
    <w:rsid w:val="00313B93"/>
    <w:rsid w:val="00314F93"/>
    <w:rsid w:val="00334CCD"/>
    <w:rsid w:val="00335470"/>
    <w:rsid w:val="003533EB"/>
    <w:rsid w:val="0035753B"/>
    <w:rsid w:val="00361AE0"/>
    <w:rsid w:val="003727D7"/>
    <w:rsid w:val="0037435F"/>
    <w:rsid w:val="00392FD9"/>
    <w:rsid w:val="00394520"/>
    <w:rsid w:val="003A3EF9"/>
    <w:rsid w:val="003B0DD2"/>
    <w:rsid w:val="003C2744"/>
    <w:rsid w:val="003D28E4"/>
    <w:rsid w:val="003D380D"/>
    <w:rsid w:val="003E4452"/>
    <w:rsid w:val="003F3312"/>
    <w:rsid w:val="003F4DAC"/>
    <w:rsid w:val="00417178"/>
    <w:rsid w:val="0042045C"/>
    <w:rsid w:val="0042413E"/>
    <w:rsid w:val="0043527C"/>
    <w:rsid w:val="00451163"/>
    <w:rsid w:val="004543CF"/>
    <w:rsid w:val="00457CD7"/>
    <w:rsid w:val="004649F9"/>
    <w:rsid w:val="00473429"/>
    <w:rsid w:val="00477A92"/>
    <w:rsid w:val="00495370"/>
    <w:rsid w:val="00497A85"/>
    <w:rsid w:val="004C219C"/>
    <w:rsid w:val="004C3670"/>
    <w:rsid w:val="004C43EB"/>
    <w:rsid w:val="004C562B"/>
    <w:rsid w:val="004C5BF4"/>
    <w:rsid w:val="004D353C"/>
    <w:rsid w:val="004E16D1"/>
    <w:rsid w:val="004F7655"/>
    <w:rsid w:val="004F77EC"/>
    <w:rsid w:val="0051013D"/>
    <w:rsid w:val="00517CCB"/>
    <w:rsid w:val="005249D6"/>
    <w:rsid w:val="0052503B"/>
    <w:rsid w:val="00542A0B"/>
    <w:rsid w:val="00551906"/>
    <w:rsid w:val="00551C14"/>
    <w:rsid w:val="00553688"/>
    <w:rsid w:val="005618AB"/>
    <w:rsid w:val="0056259B"/>
    <w:rsid w:val="00566E71"/>
    <w:rsid w:val="00573FBC"/>
    <w:rsid w:val="005825FD"/>
    <w:rsid w:val="005910B4"/>
    <w:rsid w:val="005919ED"/>
    <w:rsid w:val="005951D7"/>
    <w:rsid w:val="005A7BFC"/>
    <w:rsid w:val="005B2FFB"/>
    <w:rsid w:val="005B7A3C"/>
    <w:rsid w:val="005C517A"/>
    <w:rsid w:val="005C5C94"/>
    <w:rsid w:val="0060184B"/>
    <w:rsid w:val="006044CD"/>
    <w:rsid w:val="006072BC"/>
    <w:rsid w:val="006347EB"/>
    <w:rsid w:val="0063483A"/>
    <w:rsid w:val="0064077F"/>
    <w:rsid w:val="006433A0"/>
    <w:rsid w:val="00656918"/>
    <w:rsid w:val="0066447B"/>
    <w:rsid w:val="006761EF"/>
    <w:rsid w:val="00693C82"/>
    <w:rsid w:val="006B1378"/>
    <w:rsid w:val="006D6AC8"/>
    <w:rsid w:val="006D7A7D"/>
    <w:rsid w:val="0070043A"/>
    <w:rsid w:val="007053DB"/>
    <w:rsid w:val="00722C1B"/>
    <w:rsid w:val="00723164"/>
    <w:rsid w:val="00730ABC"/>
    <w:rsid w:val="007407DE"/>
    <w:rsid w:val="0074148C"/>
    <w:rsid w:val="00744C48"/>
    <w:rsid w:val="0074629F"/>
    <w:rsid w:val="007466DB"/>
    <w:rsid w:val="007535B2"/>
    <w:rsid w:val="00756D73"/>
    <w:rsid w:val="007750A9"/>
    <w:rsid w:val="007769A9"/>
    <w:rsid w:val="007811F7"/>
    <w:rsid w:val="00786232"/>
    <w:rsid w:val="00793C33"/>
    <w:rsid w:val="007A4DFA"/>
    <w:rsid w:val="007B3A9C"/>
    <w:rsid w:val="007C0025"/>
    <w:rsid w:val="007C353A"/>
    <w:rsid w:val="007D0D4B"/>
    <w:rsid w:val="007D52B4"/>
    <w:rsid w:val="007E42D2"/>
    <w:rsid w:val="007F480A"/>
    <w:rsid w:val="00805542"/>
    <w:rsid w:val="00813618"/>
    <w:rsid w:val="00823811"/>
    <w:rsid w:val="00827133"/>
    <w:rsid w:val="0085423E"/>
    <w:rsid w:val="00862EF9"/>
    <w:rsid w:val="00871A59"/>
    <w:rsid w:val="00876FD9"/>
    <w:rsid w:val="008802AF"/>
    <w:rsid w:val="00886FA6"/>
    <w:rsid w:val="00890B71"/>
    <w:rsid w:val="008919B5"/>
    <w:rsid w:val="008959D8"/>
    <w:rsid w:val="008A3FE1"/>
    <w:rsid w:val="008A471E"/>
    <w:rsid w:val="008A5DB2"/>
    <w:rsid w:val="008A5E23"/>
    <w:rsid w:val="008B2A23"/>
    <w:rsid w:val="008C38E8"/>
    <w:rsid w:val="008C39DD"/>
    <w:rsid w:val="008C5CC4"/>
    <w:rsid w:val="008C62E9"/>
    <w:rsid w:val="008D373C"/>
    <w:rsid w:val="008D5432"/>
    <w:rsid w:val="008E6EC9"/>
    <w:rsid w:val="008F5207"/>
    <w:rsid w:val="008F7F98"/>
    <w:rsid w:val="00910E1A"/>
    <w:rsid w:val="00911B44"/>
    <w:rsid w:val="00915948"/>
    <w:rsid w:val="0091611C"/>
    <w:rsid w:val="00917030"/>
    <w:rsid w:val="00920F61"/>
    <w:rsid w:val="00922328"/>
    <w:rsid w:val="00923DEE"/>
    <w:rsid w:val="0092589F"/>
    <w:rsid w:val="00936F5E"/>
    <w:rsid w:val="0094074F"/>
    <w:rsid w:val="009425AD"/>
    <w:rsid w:val="00942DD5"/>
    <w:rsid w:val="00944327"/>
    <w:rsid w:val="009526F7"/>
    <w:rsid w:val="009653A3"/>
    <w:rsid w:val="00987120"/>
    <w:rsid w:val="009A0E15"/>
    <w:rsid w:val="009B17BD"/>
    <w:rsid w:val="009B3AA6"/>
    <w:rsid w:val="009D3979"/>
    <w:rsid w:val="009E12A2"/>
    <w:rsid w:val="009E34F6"/>
    <w:rsid w:val="009F4CD3"/>
    <w:rsid w:val="00A022A8"/>
    <w:rsid w:val="00A07BFB"/>
    <w:rsid w:val="00A121C9"/>
    <w:rsid w:val="00A14A02"/>
    <w:rsid w:val="00A15AC3"/>
    <w:rsid w:val="00A17DB9"/>
    <w:rsid w:val="00A26582"/>
    <w:rsid w:val="00A31782"/>
    <w:rsid w:val="00A342C3"/>
    <w:rsid w:val="00A35B9F"/>
    <w:rsid w:val="00A41DC3"/>
    <w:rsid w:val="00A4368D"/>
    <w:rsid w:val="00A43F19"/>
    <w:rsid w:val="00A5526C"/>
    <w:rsid w:val="00A70F89"/>
    <w:rsid w:val="00A7152B"/>
    <w:rsid w:val="00A71666"/>
    <w:rsid w:val="00A75810"/>
    <w:rsid w:val="00A839AD"/>
    <w:rsid w:val="00A86FE0"/>
    <w:rsid w:val="00A97EE9"/>
    <w:rsid w:val="00AA624D"/>
    <w:rsid w:val="00AC7787"/>
    <w:rsid w:val="00AE4C4C"/>
    <w:rsid w:val="00AE5401"/>
    <w:rsid w:val="00AE72C9"/>
    <w:rsid w:val="00AF7D72"/>
    <w:rsid w:val="00B00BD0"/>
    <w:rsid w:val="00B044B0"/>
    <w:rsid w:val="00B156BD"/>
    <w:rsid w:val="00B20189"/>
    <w:rsid w:val="00B20380"/>
    <w:rsid w:val="00B229E7"/>
    <w:rsid w:val="00B26DBC"/>
    <w:rsid w:val="00B4290D"/>
    <w:rsid w:val="00B43EA5"/>
    <w:rsid w:val="00B52741"/>
    <w:rsid w:val="00B625E9"/>
    <w:rsid w:val="00B63751"/>
    <w:rsid w:val="00B655E7"/>
    <w:rsid w:val="00B7466B"/>
    <w:rsid w:val="00B76DEE"/>
    <w:rsid w:val="00B86BD7"/>
    <w:rsid w:val="00B86E7B"/>
    <w:rsid w:val="00B8732B"/>
    <w:rsid w:val="00B97122"/>
    <w:rsid w:val="00BC18D0"/>
    <w:rsid w:val="00BD0BE4"/>
    <w:rsid w:val="00C016F6"/>
    <w:rsid w:val="00C26F5D"/>
    <w:rsid w:val="00C27634"/>
    <w:rsid w:val="00C44990"/>
    <w:rsid w:val="00C50F56"/>
    <w:rsid w:val="00C570F5"/>
    <w:rsid w:val="00C607CB"/>
    <w:rsid w:val="00C64326"/>
    <w:rsid w:val="00C92ACB"/>
    <w:rsid w:val="00C9646D"/>
    <w:rsid w:val="00CB26CA"/>
    <w:rsid w:val="00CB6CF9"/>
    <w:rsid w:val="00CC16B7"/>
    <w:rsid w:val="00CD1A19"/>
    <w:rsid w:val="00CD7185"/>
    <w:rsid w:val="00CE0B54"/>
    <w:rsid w:val="00CE0E69"/>
    <w:rsid w:val="00CE4463"/>
    <w:rsid w:val="00CF16A6"/>
    <w:rsid w:val="00CF544E"/>
    <w:rsid w:val="00CF76F6"/>
    <w:rsid w:val="00D0200A"/>
    <w:rsid w:val="00D07BD5"/>
    <w:rsid w:val="00D14C34"/>
    <w:rsid w:val="00D154DA"/>
    <w:rsid w:val="00D20248"/>
    <w:rsid w:val="00D219DB"/>
    <w:rsid w:val="00D366C2"/>
    <w:rsid w:val="00D55CA3"/>
    <w:rsid w:val="00D66EFC"/>
    <w:rsid w:val="00D801AE"/>
    <w:rsid w:val="00D861EC"/>
    <w:rsid w:val="00DB0CA1"/>
    <w:rsid w:val="00DC24CE"/>
    <w:rsid w:val="00DC5C10"/>
    <w:rsid w:val="00DD2F97"/>
    <w:rsid w:val="00DE2869"/>
    <w:rsid w:val="00DF2674"/>
    <w:rsid w:val="00DF4DC5"/>
    <w:rsid w:val="00E137BA"/>
    <w:rsid w:val="00E1755C"/>
    <w:rsid w:val="00E24E80"/>
    <w:rsid w:val="00E325B1"/>
    <w:rsid w:val="00E356C8"/>
    <w:rsid w:val="00E441E2"/>
    <w:rsid w:val="00E446BA"/>
    <w:rsid w:val="00E46F6F"/>
    <w:rsid w:val="00E50747"/>
    <w:rsid w:val="00E65C3F"/>
    <w:rsid w:val="00E733E6"/>
    <w:rsid w:val="00E747B8"/>
    <w:rsid w:val="00E77EA1"/>
    <w:rsid w:val="00E8502B"/>
    <w:rsid w:val="00E925C1"/>
    <w:rsid w:val="00E92D9E"/>
    <w:rsid w:val="00EA1FAC"/>
    <w:rsid w:val="00EA422F"/>
    <w:rsid w:val="00EA77EA"/>
    <w:rsid w:val="00EB0248"/>
    <w:rsid w:val="00EB0F67"/>
    <w:rsid w:val="00EC570F"/>
    <w:rsid w:val="00EC5C70"/>
    <w:rsid w:val="00EC7A4B"/>
    <w:rsid w:val="00EC7AFB"/>
    <w:rsid w:val="00ED1DD7"/>
    <w:rsid w:val="00ED2F37"/>
    <w:rsid w:val="00ED5726"/>
    <w:rsid w:val="00EE1BA1"/>
    <w:rsid w:val="00EF5198"/>
    <w:rsid w:val="00F0383B"/>
    <w:rsid w:val="00F13534"/>
    <w:rsid w:val="00F2191D"/>
    <w:rsid w:val="00F479B2"/>
    <w:rsid w:val="00F62900"/>
    <w:rsid w:val="00F645A1"/>
    <w:rsid w:val="00F8141B"/>
    <w:rsid w:val="00FA64B1"/>
    <w:rsid w:val="00FA7381"/>
    <w:rsid w:val="00FB1612"/>
    <w:rsid w:val="00FB169A"/>
    <w:rsid w:val="00FB431F"/>
    <w:rsid w:val="00FC6B45"/>
    <w:rsid w:val="00FD1238"/>
    <w:rsid w:val="00FD1CE4"/>
    <w:rsid w:val="00FD4A64"/>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A039B4"/>
  <w14:defaultImageDpi w14:val="300"/>
  <w15:docId w15:val="{9C7D34EB-C0D1-45C1-8FA9-8A30E503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lang w:val="en-GB"/>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 w:type="paragraph" w:styleId="BodyText">
    <w:name w:val="Body Text"/>
    <w:basedOn w:val="Normal"/>
    <w:link w:val="BodyTextChar"/>
    <w:uiPriority w:val="1"/>
    <w:qFormat/>
    <w:rsid w:val="002C00B9"/>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2C00B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14">
      <w:bodyDiv w:val="1"/>
      <w:marLeft w:val="0"/>
      <w:marRight w:val="0"/>
      <w:marTop w:val="0"/>
      <w:marBottom w:val="0"/>
      <w:divBdr>
        <w:top w:val="none" w:sz="0" w:space="0" w:color="auto"/>
        <w:left w:val="none" w:sz="0" w:space="0" w:color="auto"/>
        <w:bottom w:val="none" w:sz="0" w:space="0" w:color="auto"/>
        <w:right w:val="none" w:sz="0" w:space="0" w:color="auto"/>
      </w:divBdr>
    </w:div>
    <w:div w:id="165479380">
      <w:bodyDiv w:val="1"/>
      <w:marLeft w:val="0"/>
      <w:marRight w:val="0"/>
      <w:marTop w:val="0"/>
      <w:marBottom w:val="0"/>
      <w:divBdr>
        <w:top w:val="none" w:sz="0" w:space="0" w:color="auto"/>
        <w:left w:val="none" w:sz="0" w:space="0" w:color="auto"/>
        <w:bottom w:val="none" w:sz="0" w:space="0" w:color="auto"/>
        <w:right w:val="none" w:sz="0" w:space="0" w:color="auto"/>
      </w:divBdr>
      <w:divsChild>
        <w:div w:id="1577668450">
          <w:marLeft w:val="0"/>
          <w:marRight w:val="0"/>
          <w:marTop w:val="0"/>
          <w:marBottom w:val="0"/>
          <w:divBdr>
            <w:top w:val="none" w:sz="0" w:space="0" w:color="auto"/>
            <w:left w:val="none" w:sz="0" w:space="0" w:color="auto"/>
            <w:bottom w:val="none" w:sz="0" w:space="0" w:color="auto"/>
            <w:right w:val="none" w:sz="0" w:space="0" w:color="auto"/>
          </w:divBdr>
          <w:divsChild>
            <w:div w:id="465315578">
              <w:marLeft w:val="0"/>
              <w:marRight w:val="0"/>
              <w:marTop w:val="0"/>
              <w:marBottom w:val="0"/>
              <w:divBdr>
                <w:top w:val="none" w:sz="0" w:space="0" w:color="auto"/>
                <w:left w:val="none" w:sz="0" w:space="0" w:color="auto"/>
                <w:bottom w:val="none" w:sz="0" w:space="0" w:color="auto"/>
                <w:right w:val="none" w:sz="0" w:space="0" w:color="auto"/>
              </w:divBdr>
              <w:divsChild>
                <w:div w:id="1641690677">
                  <w:marLeft w:val="0"/>
                  <w:marRight w:val="0"/>
                  <w:marTop w:val="0"/>
                  <w:marBottom w:val="0"/>
                  <w:divBdr>
                    <w:top w:val="none" w:sz="0" w:space="0" w:color="auto"/>
                    <w:left w:val="none" w:sz="0" w:space="0" w:color="auto"/>
                    <w:bottom w:val="none" w:sz="0" w:space="0" w:color="auto"/>
                    <w:right w:val="none" w:sz="0" w:space="0" w:color="auto"/>
                  </w:divBdr>
                  <w:divsChild>
                    <w:div w:id="1587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919">
      <w:bodyDiv w:val="1"/>
      <w:marLeft w:val="0"/>
      <w:marRight w:val="0"/>
      <w:marTop w:val="0"/>
      <w:marBottom w:val="0"/>
      <w:divBdr>
        <w:top w:val="none" w:sz="0" w:space="0" w:color="auto"/>
        <w:left w:val="none" w:sz="0" w:space="0" w:color="auto"/>
        <w:bottom w:val="none" w:sz="0" w:space="0" w:color="auto"/>
        <w:right w:val="none" w:sz="0" w:space="0" w:color="auto"/>
      </w:divBdr>
      <w:divsChild>
        <w:div w:id="1916041038">
          <w:marLeft w:val="0"/>
          <w:marRight w:val="0"/>
          <w:marTop w:val="0"/>
          <w:marBottom w:val="0"/>
          <w:divBdr>
            <w:top w:val="none" w:sz="0" w:space="0" w:color="auto"/>
            <w:left w:val="none" w:sz="0" w:space="0" w:color="auto"/>
            <w:bottom w:val="none" w:sz="0" w:space="0" w:color="auto"/>
            <w:right w:val="none" w:sz="0" w:space="0" w:color="auto"/>
          </w:divBdr>
          <w:divsChild>
            <w:div w:id="1167982998">
              <w:marLeft w:val="0"/>
              <w:marRight w:val="0"/>
              <w:marTop w:val="0"/>
              <w:marBottom w:val="0"/>
              <w:divBdr>
                <w:top w:val="none" w:sz="0" w:space="0" w:color="auto"/>
                <w:left w:val="none" w:sz="0" w:space="0" w:color="auto"/>
                <w:bottom w:val="none" w:sz="0" w:space="0" w:color="auto"/>
                <w:right w:val="none" w:sz="0" w:space="0" w:color="auto"/>
              </w:divBdr>
              <w:divsChild>
                <w:div w:id="432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8292">
      <w:bodyDiv w:val="1"/>
      <w:marLeft w:val="0"/>
      <w:marRight w:val="0"/>
      <w:marTop w:val="0"/>
      <w:marBottom w:val="0"/>
      <w:divBdr>
        <w:top w:val="none" w:sz="0" w:space="0" w:color="auto"/>
        <w:left w:val="none" w:sz="0" w:space="0" w:color="auto"/>
        <w:bottom w:val="none" w:sz="0" w:space="0" w:color="auto"/>
        <w:right w:val="none" w:sz="0" w:space="0" w:color="auto"/>
      </w:divBdr>
      <w:divsChild>
        <w:div w:id="159346226">
          <w:marLeft w:val="0"/>
          <w:marRight w:val="0"/>
          <w:marTop w:val="0"/>
          <w:marBottom w:val="0"/>
          <w:divBdr>
            <w:top w:val="none" w:sz="0" w:space="0" w:color="auto"/>
            <w:left w:val="none" w:sz="0" w:space="0" w:color="auto"/>
            <w:bottom w:val="none" w:sz="0" w:space="0" w:color="auto"/>
            <w:right w:val="none" w:sz="0" w:space="0" w:color="auto"/>
          </w:divBdr>
          <w:divsChild>
            <w:div w:id="1144658866">
              <w:marLeft w:val="0"/>
              <w:marRight w:val="0"/>
              <w:marTop w:val="0"/>
              <w:marBottom w:val="0"/>
              <w:divBdr>
                <w:top w:val="none" w:sz="0" w:space="0" w:color="auto"/>
                <w:left w:val="none" w:sz="0" w:space="0" w:color="auto"/>
                <w:bottom w:val="none" w:sz="0" w:space="0" w:color="auto"/>
                <w:right w:val="none" w:sz="0" w:space="0" w:color="auto"/>
              </w:divBdr>
              <w:divsChild>
                <w:div w:id="5278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6634">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2">
          <w:marLeft w:val="0"/>
          <w:marRight w:val="0"/>
          <w:marTop w:val="0"/>
          <w:marBottom w:val="0"/>
          <w:divBdr>
            <w:top w:val="none" w:sz="0" w:space="0" w:color="auto"/>
            <w:left w:val="none" w:sz="0" w:space="0" w:color="auto"/>
            <w:bottom w:val="none" w:sz="0" w:space="0" w:color="auto"/>
            <w:right w:val="none" w:sz="0" w:space="0" w:color="auto"/>
          </w:divBdr>
          <w:divsChild>
            <w:div w:id="963393132">
              <w:marLeft w:val="0"/>
              <w:marRight w:val="0"/>
              <w:marTop w:val="0"/>
              <w:marBottom w:val="0"/>
              <w:divBdr>
                <w:top w:val="none" w:sz="0" w:space="0" w:color="auto"/>
                <w:left w:val="none" w:sz="0" w:space="0" w:color="auto"/>
                <w:bottom w:val="none" w:sz="0" w:space="0" w:color="auto"/>
                <w:right w:val="none" w:sz="0" w:space="0" w:color="auto"/>
              </w:divBdr>
              <w:divsChild>
                <w:div w:id="1819178938">
                  <w:marLeft w:val="0"/>
                  <w:marRight w:val="0"/>
                  <w:marTop w:val="0"/>
                  <w:marBottom w:val="0"/>
                  <w:divBdr>
                    <w:top w:val="none" w:sz="0" w:space="0" w:color="auto"/>
                    <w:left w:val="none" w:sz="0" w:space="0" w:color="auto"/>
                    <w:bottom w:val="none" w:sz="0" w:space="0" w:color="auto"/>
                    <w:right w:val="none" w:sz="0" w:space="0" w:color="auto"/>
                  </w:divBdr>
                  <w:divsChild>
                    <w:div w:id="1261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1598">
      <w:bodyDiv w:val="1"/>
      <w:marLeft w:val="0"/>
      <w:marRight w:val="0"/>
      <w:marTop w:val="0"/>
      <w:marBottom w:val="0"/>
      <w:divBdr>
        <w:top w:val="none" w:sz="0" w:space="0" w:color="auto"/>
        <w:left w:val="none" w:sz="0" w:space="0" w:color="auto"/>
        <w:bottom w:val="none" w:sz="0" w:space="0" w:color="auto"/>
        <w:right w:val="none" w:sz="0" w:space="0" w:color="auto"/>
      </w:divBdr>
    </w:div>
    <w:div w:id="1271009584">
      <w:bodyDiv w:val="1"/>
      <w:marLeft w:val="0"/>
      <w:marRight w:val="0"/>
      <w:marTop w:val="0"/>
      <w:marBottom w:val="0"/>
      <w:divBdr>
        <w:top w:val="none" w:sz="0" w:space="0" w:color="auto"/>
        <w:left w:val="none" w:sz="0" w:space="0" w:color="auto"/>
        <w:bottom w:val="none" w:sz="0" w:space="0" w:color="auto"/>
        <w:right w:val="none" w:sz="0" w:space="0" w:color="auto"/>
      </w:divBdr>
      <w:divsChild>
        <w:div w:id="513149521">
          <w:marLeft w:val="0"/>
          <w:marRight w:val="0"/>
          <w:marTop w:val="0"/>
          <w:marBottom w:val="0"/>
          <w:divBdr>
            <w:top w:val="none" w:sz="0" w:space="0" w:color="auto"/>
            <w:left w:val="none" w:sz="0" w:space="0" w:color="auto"/>
            <w:bottom w:val="none" w:sz="0" w:space="0" w:color="auto"/>
            <w:right w:val="none" w:sz="0" w:space="0" w:color="auto"/>
          </w:divBdr>
          <w:divsChild>
            <w:div w:id="2002464972">
              <w:marLeft w:val="0"/>
              <w:marRight w:val="0"/>
              <w:marTop w:val="0"/>
              <w:marBottom w:val="0"/>
              <w:divBdr>
                <w:top w:val="none" w:sz="0" w:space="0" w:color="auto"/>
                <w:left w:val="none" w:sz="0" w:space="0" w:color="auto"/>
                <w:bottom w:val="none" w:sz="0" w:space="0" w:color="auto"/>
                <w:right w:val="none" w:sz="0" w:space="0" w:color="auto"/>
              </w:divBdr>
              <w:divsChild>
                <w:div w:id="7200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4438">
      <w:bodyDiv w:val="1"/>
      <w:marLeft w:val="0"/>
      <w:marRight w:val="0"/>
      <w:marTop w:val="0"/>
      <w:marBottom w:val="0"/>
      <w:divBdr>
        <w:top w:val="none" w:sz="0" w:space="0" w:color="auto"/>
        <w:left w:val="none" w:sz="0" w:space="0" w:color="auto"/>
        <w:bottom w:val="none" w:sz="0" w:space="0" w:color="auto"/>
        <w:right w:val="none" w:sz="0" w:space="0" w:color="auto"/>
      </w:divBdr>
      <w:divsChild>
        <w:div w:id="1914967624">
          <w:marLeft w:val="0"/>
          <w:marRight w:val="0"/>
          <w:marTop w:val="0"/>
          <w:marBottom w:val="0"/>
          <w:divBdr>
            <w:top w:val="none" w:sz="0" w:space="0" w:color="auto"/>
            <w:left w:val="none" w:sz="0" w:space="0" w:color="auto"/>
            <w:bottom w:val="none" w:sz="0" w:space="0" w:color="auto"/>
            <w:right w:val="none" w:sz="0" w:space="0" w:color="auto"/>
          </w:divBdr>
          <w:divsChild>
            <w:div w:id="1749305215">
              <w:marLeft w:val="0"/>
              <w:marRight w:val="0"/>
              <w:marTop w:val="0"/>
              <w:marBottom w:val="0"/>
              <w:divBdr>
                <w:top w:val="none" w:sz="0" w:space="0" w:color="auto"/>
                <w:left w:val="none" w:sz="0" w:space="0" w:color="auto"/>
                <w:bottom w:val="none" w:sz="0" w:space="0" w:color="auto"/>
                <w:right w:val="none" w:sz="0" w:space="0" w:color="auto"/>
              </w:divBdr>
              <w:divsChild>
                <w:div w:id="2688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5274">
      <w:bodyDiv w:val="1"/>
      <w:marLeft w:val="0"/>
      <w:marRight w:val="0"/>
      <w:marTop w:val="0"/>
      <w:marBottom w:val="0"/>
      <w:divBdr>
        <w:top w:val="none" w:sz="0" w:space="0" w:color="auto"/>
        <w:left w:val="none" w:sz="0" w:space="0" w:color="auto"/>
        <w:bottom w:val="none" w:sz="0" w:space="0" w:color="auto"/>
        <w:right w:val="none" w:sz="0" w:space="0" w:color="auto"/>
      </w:divBdr>
      <w:divsChild>
        <w:div w:id="1201354675">
          <w:marLeft w:val="0"/>
          <w:marRight w:val="0"/>
          <w:marTop w:val="0"/>
          <w:marBottom w:val="0"/>
          <w:divBdr>
            <w:top w:val="none" w:sz="0" w:space="0" w:color="auto"/>
            <w:left w:val="none" w:sz="0" w:space="0" w:color="auto"/>
            <w:bottom w:val="none" w:sz="0" w:space="0" w:color="auto"/>
            <w:right w:val="none" w:sz="0" w:space="0" w:color="auto"/>
          </w:divBdr>
          <w:divsChild>
            <w:div w:id="1199273150">
              <w:marLeft w:val="0"/>
              <w:marRight w:val="0"/>
              <w:marTop w:val="0"/>
              <w:marBottom w:val="0"/>
              <w:divBdr>
                <w:top w:val="none" w:sz="0" w:space="0" w:color="auto"/>
                <w:left w:val="none" w:sz="0" w:space="0" w:color="auto"/>
                <w:bottom w:val="none" w:sz="0" w:space="0" w:color="auto"/>
                <w:right w:val="none" w:sz="0" w:space="0" w:color="auto"/>
              </w:divBdr>
              <w:divsChild>
                <w:div w:id="1298294833">
                  <w:marLeft w:val="0"/>
                  <w:marRight w:val="0"/>
                  <w:marTop w:val="0"/>
                  <w:marBottom w:val="0"/>
                  <w:divBdr>
                    <w:top w:val="none" w:sz="0" w:space="0" w:color="auto"/>
                    <w:left w:val="none" w:sz="0" w:space="0" w:color="auto"/>
                    <w:bottom w:val="none" w:sz="0" w:space="0" w:color="auto"/>
                    <w:right w:val="none" w:sz="0" w:space="0" w:color="auto"/>
                  </w:divBdr>
                  <w:divsChild>
                    <w:div w:id="46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wetnet.org/news/2018/5/global-wetland-survey---results-ma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es/recursos/juego-de-herramientas-para-el-manejo-de-sitios-rams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es/documento/sc53-03-avances-en-la-aplicacion-del-plan-de-accion-de-cecop-para-el-trienio-2016-2018" TargetMode="External"/><Relationship Id="rId4" Type="http://schemas.openxmlformats.org/officeDocument/2006/relationships/settings" Target="settings.xml"/><Relationship Id="rId9" Type="http://schemas.openxmlformats.org/officeDocument/2006/relationships/hyperlink" Target="https://www.ramsar.org/document/resolution-xii9-the-ramsar-conventions-programme-on-communication-capacity-buil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C522-9C98-42B1-92F4-51C3BDD5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7555</Words>
  <Characters>43068</Characters>
  <Application>Microsoft Office Word</Application>
  <DocSecurity>4</DocSecurity>
  <Lines>358</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Gardner</dc:creator>
  <cp:lastModifiedBy>JENNINGS Edmund</cp:lastModifiedBy>
  <cp:revision>2</cp:revision>
  <cp:lastPrinted>2018-08-12T17:56:00Z</cp:lastPrinted>
  <dcterms:created xsi:type="dcterms:W3CDTF">2018-09-05T18:01:00Z</dcterms:created>
  <dcterms:modified xsi:type="dcterms:W3CDTF">2018-09-05T18:01:00Z</dcterms:modified>
</cp:coreProperties>
</file>