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A9142" w14:textId="14FD6766" w:rsidR="00C50F56" w:rsidRPr="00BA22DE" w:rsidRDefault="00805C19" w:rsidP="004C3670">
      <w:pPr>
        <w:ind w:right="17"/>
        <w:jc w:val="center"/>
        <w:outlineLvl w:val="0"/>
        <w:rPr>
          <w:rFonts w:asciiTheme="majorHAnsi" w:eastAsia="Times New Roman" w:hAnsiTheme="majorHAnsi" w:cstheme="majorHAnsi"/>
          <w:b/>
          <w:bCs/>
          <w:sz w:val="22"/>
          <w:szCs w:val="22"/>
          <w:lang w:val="fr-CH"/>
        </w:rPr>
      </w:pPr>
      <w:r w:rsidRPr="00BA22DE">
        <w:rPr>
          <w:rFonts w:asciiTheme="majorHAnsi" w:eastAsia="Times New Roman" w:hAnsiTheme="majorHAnsi" w:cstheme="majorHAnsi"/>
          <w:b/>
          <w:bCs/>
          <w:noProof/>
          <w:sz w:val="22"/>
          <w:szCs w:val="22"/>
          <w:lang w:val="en-GB" w:eastAsia="en-GB"/>
        </w:rPr>
        <w:drawing>
          <wp:anchor distT="0" distB="0" distL="114300" distR="114300" simplePos="0" relativeHeight="251659264" behindDoc="0" locked="0" layoutInCell="1" allowOverlap="1" wp14:anchorId="05B76111" wp14:editId="71A9C383">
            <wp:simplePos x="0" y="0"/>
            <wp:positionH relativeFrom="column">
              <wp:posOffset>-180975</wp:posOffset>
            </wp:positionH>
            <wp:positionV relativeFrom="page">
              <wp:posOffset>476250</wp:posOffset>
            </wp:positionV>
            <wp:extent cx="1646555" cy="1714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00233ED9" w:rsidRPr="00BA22DE">
        <w:rPr>
          <w:rFonts w:asciiTheme="majorHAnsi" w:eastAsia="Times New Roman" w:hAnsiTheme="majorHAnsi" w:cstheme="majorHAnsi"/>
          <w:b/>
          <w:bCs/>
          <w:noProof/>
          <w:sz w:val="22"/>
          <w:szCs w:val="22"/>
          <w:lang w:val="fr-CH" w:eastAsia="en-CA"/>
        </w:rPr>
        <w:t>13e Session de la Conférence des Parties contractantes</w:t>
      </w:r>
    </w:p>
    <w:p w14:paraId="3733584F" w14:textId="1920A4ED" w:rsidR="00C50F56" w:rsidRPr="00BA22DE" w:rsidRDefault="00233ED9" w:rsidP="004C3670">
      <w:pPr>
        <w:ind w:right="17"/>
        <w:jc w:val="center"/>
        <w:outlineLvl w:val="0"/>
        <w:rPr>
          <w:rFonts w:asciiTheme="majorHAnsi" w:eastAsia="Times New Roman" w:hAnsiTheme="majorHAnsi" w:cstheme="majorHAnsi"/>
          <w:b/>
          <w:bCs/>
          <w:sz w:val="22"/>
          <w:szCs w:val="22"/>
          <w:lang w:val="fr-CH"/>
        </w:rPr>
      </w:pPr>
      <w:r w:rsidRPr="00BA22DE">
        <w:rPr>
          <w:rFonts w:asciiTheme="majorHAnsi" w:eastAsia="Times New Roman" w:hAnsiTheme="majorHAnsi" w:cstheme="majorHAnsi"/>
          <w:b/>
          <w:bCs/>
          <w:sz w:val="22"/>
          <w:szCs w:val="22"/>
          <w:lang w:val="fr-CH"/>
        </w:rPr>
        <w:t>à la Convention de Ramsar sur les zones humides</w:t>
      </w:r>
    </w:p>
    <w:p w14:paraId="47CFA58A" w14:textId="77777777" w:rsidR="00C50F56" w:rsidRPr="00BA22DE" w:rsidRDefault="00C50F56" w:rsidP="004C3670">
      <w:pPr>
        <w:ind w:right="17"/>
        <w:jc w:val="center"/>
        <w:outlineLvl w:val="0"/>
        <w:rPr>
          <w:rFonts w:asciiTheme="majorHAnsi" w:eastAsia="Times New Roman" w:hAnsiTheme="majorHAnsi" w:cstheme="majorHAnsi"/>
          <w:b/>
          <w:bCs/>
          <w:sz w:val="22"/>
          <w:szCs w:val="22"/>
          <w:lang w:val="fr-CH"/>
        </w:rPr>
      </w:pPr>
    </w:p>
    <w:p w14:paraId="019F5E78" w14:textId="77777777" w:rsidR="004043BF" w:rsidRPr="00BA22DE" w:rsidRDefault="00233ED9" w:rsidP="004C3670">
      <w:pPr>
        <w:ind w:right="17"/>
        <w:jc w:val="center"/>
        <w:outlineLvl w:val="0"/>
        <w:rPr>
          <w:rFonts w:asciiTheme="majorHAnsi" w:eastAsia="Times New Roman" w:hAnsiTheme="majorHAnsi" w:cstheme="majorHAnsi"/>
          <w:b/>
          <w:bCs/>
          <w:sz w:val="22"/>
          <w:szCs w:val="22"/>
          <w:lang w:val="fr-CH"/>
        </w:rPr>
      </w:pPr>
      <w:r w:rsidRPr="00BA22DE">
        <w:rPr>
          <w:rFonts w:asciiTheme="majorHAnsi" w:eastAsia="Times New Roman" w:hAnsiTheme="majorHAnsi" w:cstheme="majorHAnsi"/>
          <w:b/>
          <w:bCs/>
          <w:sz w:val="22"/>
          <w:szCs w:val="22"/>
          <w:lang w:val="fr-CH"/>
        </w:rPr>
        <w:t xml:space="preserve">« Les zones humides pour un avenir urbain durable » </w:t>
      </w:r>
    </w:p>
    <w:p w14:paraId="3D433799" w14:textId="2DF09560" w:rsidR="00C50F56" w:rsidRPr="00BA22DE" w:rsidRDefault="00233ED9" w:rsidP="004C3670">
      <w:pPr>
        <w:ind w:right="17"/>
        <w:jc w:val="center"/>
        <w:outlineLvl w:val="0"/>
        <w:rPr>
          <w:rFonts w:asciiTheme="majorHAnsi" w:eastAsia="Times New Roman" w:hAnsiTheme="majorHAnsi" w:cstheme="majorHAnsi"/>
          <w:b/>
          <w:bCs/>
          <w:sz w:val="22"/>
          <w:szCs w:val="22"/>
          <w:lang w:val="fr-CH"/>
        </w:rPr>
      </w:pPr>
      <w:r w:rsidRPr="00BA22DE">
        <w:rPr>
          <w:rFonts w:asciiTheme="majorHAnsi" w:eastAsia="Times New Roman" w:hAnsiTheme="majorHAnsi" w:cstheme="majorHAnsi"/>
          <w:b/>
          <w:bCs/>
          <w:sz w:val="22"/>
          <w:szCs w:val="22"/>
          <w:lang w:val="fr-CH"/>
        </w:rPr>
        <w:t>Dubaï, Émirats arabes unis, 21 au 29 octobre 2018</w:t>
      </w:r>
    </w:p>
    <w:p w14:paraId="56B8CE2F" w14:textId="77777777" w:rsidR="00C50F56" w:rsidRPr="00BA22DE" w:rsidRDefault="00C50F56" w:rsidP="004C3670">
      <w:pPr>
        <w:ind w:right="17"/>
        <w:jc w:val="center"/>
        <w:outlineLvl w:val="0"/>
        <w:rPr>
          <w:rFonts w:asciiTheme="majorHAnsi" w:eastAsia="Times New Roman" w:hAnsiTheme="majorHAnsi" w:cstheme="majorHAnsi"/>
          <w:b/>
          <w:bCs/>
          <w:sz w:val="22"/>
          <w:szCs w:val="22"/>
          <w:lang w:val="fr-CH"/>
        </w:rPr>
      </w:pPr>
    </w:p>
    <w:p w14:paraId="0ACAC69B" w14:textId="77777777" w:rsidR="00C50F56" w:rsidRPr="00BA22DE" w:rsidRDefault="00C50F56" w:rsidP="004C3670">
      <w:pPr>
        <w:ind w:right="17"/>
        <w:jc w:val="center"/>
        <w:outlineLvl w:val="0"/>
        <w:rPr>
          <w:rFonts w:asciiTheme="majorHAnsi" w:eastAsia="Times New Roman" w:hAnsiTheme="majorHAnsi" w:cstheme="majorHAnsi"/>
          <w:b/>
          <w:bCs/>
          <w:sz w:val="22"/>
          <w:szCs w:val="22"/>
          <w:lang w:val="fr-CH"/>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C50F56" w:rsidRPr="00BA22DE" w14:paraId="778891CD" w14:textId="77777777" w:rsidTr="00AD2E6A">
        <w:tc>
          <w:tcPr>
            <w:tcW w:w="4708" w:type="dxa"/>
          </w:tcPr>
          <w:p w14:paraId="2031E082" w14:textId="5AE4C243" w:rsidR="00C50F56" w:rsidRPr="00BA22DE" w:rsidRDefault="00C50F56" w:rsidP="004C3670">
            <w:pPr>
              <w:ind w:right="17"/>
              <w:jc w:val="center"/>
              <w:outlineLvl w:val="0"/>
              <w:rPr>
                <w:rFonts w:asciiTheme="majorHAnsi" w:eastAsia="Times New Roman" w:hAnsiTheme="majorHAnsi" w:cstheme="majorHAnsi"/>
                <w:b/>
                <w:bCs/>
                <w:sz w:val="22"/>
                <w:szCs w:val="22"/>
                <w:lang w:val="fr-CH"/>
              </w:rPr>
            </w:pPr>
          </w:p>
        </w:tc>
        <w:tc>
          <w:tcPr>
            <w:tcW w:w="4652" w:type="dxa"/>
          </w:tcPr>
          <w:p w14:paraId="347E978B" w14:textId="716A9337" w:rsidR="00C50F56" w:rsidRPr="00BA22DE" w:rsidRDefault="00C50F56" w:rsidP="004C3670">
            <w:pPr>
              <w:ind w:right="67"/>
              <w:jc w:val="right"/>
              <w:outlineLvl w:val="0"/>
              <w:rPr>
                <w:rFonts w:asciiTheme="majorHAnsi" w:eastAsia="Times New Roman" w:hAnsiTheme="majorHAnsi" w:cstheme="majorHAnsi"/>
                <w:b/>
                <w:bCs/>
                <w:sz w:val="22"/>
                <w:szCs w:val="22"/>
                <w:lang w:val="fr-CH"/>
              </w:rPr>
            </w:pPr>
            <w:r w:rsidRPr="00BA22DE">
              <w:rPr>
                <w:rFonts w:asciiTheme="majorHAnsi" w:eastAsia="Times New Roman" w:hAnsiTheme="majorHAnsi" w:cstheme="majorHAnsi"/>
                <w:b/>
                <w:bCs/>
                <w:sz w:val="22"/>
                <w:szCs w:val="22"/>
                <w:lang w:val="fr-CH"/>
              </w:rPr>
              <w:t>Ramsar COP13 Doc.</w:t>
            </w:r>
            <w:r w:rsidR="003D28E4" w:rsidRPr="00BA22DE">
              <w:rPr>
                <w:rFonts w:asciiTheme="majorHAnsi" w:eastAsia="Times New Roman" w:hAnsiTheme="majorHAnsi" w:cstheme="majorHAnsi"/>
                <w:b/>
                <w:bCs/>
                <w:sz w:val="22"/>
                <w:szCs w:val="22"/>
                <w:lang w:val="fr-CH"/>
              </w:rPr>
              <w:t>10</w:t>
            </w:r>
          </w:p>
        </w:tc>
      </w:tr>
    </w:tbl>
    <w:p w14:paraId="4D4E4B4D" w14:textId="77777777" w:rsidR="00C50F56" w:rsidRPr="00805C19" w:rsidRDefault="00C50F56" w:rsidP="004C3670">
      <w:pPr>
        <w:rPr>
          <w:rFonts w:asciiTheme="majorHAnsi" w:hAnsiTheme="majorHAnsi"/>
          <w:b/>
          <w:bCs/>
          <w:color w:val="000000"/>
          <w:sz w:val="28"/>
          <w:szCs w:val="28"/>
        </w:rPr>
      </w:pPr>
    </w:p>
    <w:p w14:paraId="6C79032B" w14:textId="30473A92" w:rsidR="005825FD" w:rsidRPr="00805C19" w:rsidRDefault="004043BF" w:rsidP="004C3670">
      <w:pPr>
        <w:autoSpaceDE w:val="0"/>
        <w:autoSpaceDN w:val="0"/>
        <w:adjustRightInd w:val="0"/>
        <w:ind w:right="288"/>
        <w:jc w:val="center"/>
        <w:rPr>
          <w:rFonts w:asciiTheme="majorHAnsi" w:hAnsiTheme="majorHAnsi"/>
          <w:b/>
          <w:bCs/>
          <w:color w:val="000000"/>
          <w:sz w:val="28"/>
          <w:szCs w:val="28"/>
        </w:rPr>
      </w:pPr>
      <w:r w:rsidRPr="00805C19">
        <w:rPr>
          <w:rFonts w:asciiTheme="majorHAnsi" w:hAnsiTheme="majorHAnsi"/>
          <w:b/>
          <w:bCs/>
          <w:color w:val="000000"/>
          <w:sz w:val="28"/>
          <w:szCs w:val="28"/>
        </w:rPr>
        <w:t>Rapport sur l’application du Programme de CESP 2016-2018</w:t>
      </w:r>
      <w:r w:rsidRPr="00805C19">
        <w:rPr>
          <w:rFonts w:asciiTheme="majorHAnsi" w:hAnsiTheme="majorHAnsi"/>
          <w:b/>
          <w:bCs/>
          <w:color w:val="000000"/>
          <w:sz w:val="28"/>
          <w:szCs w:val="28"/>
        </w:rPr>
        <w:br/>
        <w:t>et recomma</w:t>
      </w:r>
      <w:r w:rsidR="003D28E4" w:rsidRPr="00805C19">
        <w:rPr>
          <w:rFonts w:asciiTheme="majorHAnsi" w:hAnsiTheme="majorHAnsi"/>
          <w:b/>
          <w:bCs/>
          <w:color w:val="000000"/>
          <w:sz w:val="28"/>
          <w:szCs w:val="28"/>
        </w:rPr>
        <w:t xml:space="preserve">ndations </w:t>
      </w:r>
      <w:r w:rsidR="00FE1C5D" w:rsidRPr="00805C19">
        <w:rPr>
          <w:rFonts w:asciiTheme="majorHAnsi" w:hAnsiTheme="majorHAnsi"/>
          <w:b/>
          <w:bCs/>
          <w:color w:val="000000"/>
          <w:sz w:val="28"/>
          <w:szCs w:val="28"/>
        </w:rPr>
        <w:t>sur les orientations futures</w:t>
      </w:r>
    </w:p>
    <w:p w14:paraId="797B7770" w14:textId="77777777" w:rsidR="005825FD" w:rsidRPr="00BA22DE" w:rsidRDefault="005825FD" w:rsidP="004C3670">
      <w:pPr>
        <w:autoSpaceDE w:val="0"/>
        <w:autoSpaceDN w:val="0"/>
        <w:adjustRightInd w:val="0"/>
        <w:ind w:right="288"/>
        <w:rPr>
          <w:rFonts w:asciiTheme="majorHAnsi" w:hAnsiTheme="majorHAnsi" w:cs="Calibri"/>
          <w:b/>
          <w:bCs/>
          <w:sz w:val="22"/>
          <w:szCs w:val="22"/>
          <w:lang w:val="fr-CH"/>
        </w:rPr>
      </w:pPr>
    </w:p>
    <w:p w14:paraId="78C0075B" w14:textId="77777777" w:rsidR="00C50F56" w:rsidRPr="00BA22DE" w:rsidRDefault="00C50F56" w:rsidP="004C3670">
      <w:pPr>
        <w:autoSpaceDE w:val="0"/>
        <w:autoSpaceDN w:val="0"/>
        <w:adjustRightInd w:val="0"/>
        <w:ind w:right="288"/>
        <w:rPr>
          <w:rFonts w:asciiTheme="majorHAnsi" w:hAnsiTheme="majorHAnsi" w:cs="Calibri"/>
          <w:b/>
          <w:bCs/>
          <w:sz w:val="22"/>
          <w:szCs w:val="22"/>
          <w:lang w:val="fr-CH"/>
        </w:rPr>
      </w:pPr>
    </w:p>
    <w:p w14:paraId="15FE2855" w14:textId="2749E60C" w:rsidR="00C64326" w:rsidRPr="00BA22DE" w:rsidRDefault="00BA22DE" w:rsidP="004C3670">
      <w:pPr>
        <w:autoSpaceDE w:val="0"/>
        <w:autoSpaceDN w:val="0"/>
        <w:adjustRightInd w:val="0"/>
        <w:rPr>
          <w:rFonts w:asciiTheme="majorHAnsi" w:hAnsiTheme="majorHAnsi" w:cs="Calibri"/>
          <w:bCs/>
          <w:sz w:val="22"/>
          <w:szCs w:val="22"/>
          <w:u w:val="single"/>
          <w:lang w:val="fr-CH"/>
        </w:rPr>
      </w:pPr>
      <w:r>
        <w:rPr>
          <w:rFonts w:asciiTheme="majorHAnsi" w:hAnsiTheme="majorHAnsi" w:cs="Calibri"/>
          <w:bCs/>
          <w:sz w:val="22"/>
          <w:szCs w:val="22"/>
          <w:u w:val="single"/>
          <w:lang w:val="fr-CH"/>
        </w:rPr>
        <w:t>Résumé</w:t>
      </w:r>
    </w:p>
    <w:p w14:paraId="16704F2D" w14:textId="77777777" w:rsidR="00013A20" w:rsidRPr="00BA22DE" w:rsidRDefault="00013A20" w:rsidP="004C3670">
      <w:pPr>
        <w:pStyle w:val="BodyText"/>
        <w:widowControl/>
        <w:tabs>
          <w:tab w:val="left" w:pos="544"/>
        </w:tabs>
        <w:ind w:left="425" w:hanging="425"/>
        <w:rPr>
          <w:rFonts w:asciiTheme="majorHAnsi" w:hAnsiTheme="majorHAnsi"/>
          <w:lang w:val="fr-CH"/>
        </w:rPr>
      </w:pPr>
    </w:p>
    <w:p w14:paraId="525DFBCD" w14:textId="1CD4A72B" w:rsidR="00C64326" w:rsidRPr="00BA22DE" w:rsidRDefault="00013A20"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lang w:val="fr-CH"/>
        </w:rPr>
        <w:t>1.</w:t>
      </w:r>
      <w:r w:rsidRPr="00BA22DE">
        <w:rPr>
          <w:rFonts w:asciiTheme="majorHAnsi" w:hAnsiTheme="majorHAnsi"/>
          <w:lang w:val="fr-CH"/>
        </w:rPr>
        <w:tab/>
      </w:r>
      <w:r w:rsidR="00BA22DE" w:rsidRPr="00BA22DE">
        <w:rPr>
          <w:rFonts w:asciiTheme="majorHAnsi" w:hAnsiTheme="majorHAnsi"/>
          <w:lang w:val="fr-CH"/>
        </w:rPr>
        <w:t>Ce document présente un examen des progrès réa</w:t>
      </w:r>
      <w:r w:rsidR="00BA22DE">
        <w:rPr>
          <w:rFonts w:asciiTheme="majorHAnsi" w:hAnsiTheme="majorHAnsi"/>
          <w:lang w:val="fr-CH"/>
        </w:rPr>
        <w:t>lisés dans la mise en œuvre du P</w:t>
      </w:r>
      <w:r w:rsidR="00BA22DE" w:rsidRPr="00BA22DE">
        <w:rPr>
          <w:rFonts w:asciiTheme="majorHAnsi" w:hAnsiTheme="majorHAnsi"/>
          <w:lang w:val="fr-CH"/>
        </w:rPr>
        <w:t>rogramme de CESP au cours de la période triennale 2016-2018 et les recommandations du Groupe de surveillance de</w:t>
      </w:r>
      <w:r w:rsidR="00BA22DE">
        <w:rPr>
          <w:rFonts w:asciiTheme="majorHAnsi" w:hAnsiTheme="majorHAnsi"/>
          <w:lang w:val="fr-CH"/>
        </w:rPr>
        <w:t xml:space="preserve">s activités de </w:t>
      </w:r>
      <w:r w:rsidR="00BA22DE" w:rsidRPr="00BA22DE">
        <w:rPr>
          <w:rFonts w:asciiTheme="majorHAnsi" w:hAnsiTheme="majorHAnsi"/>
          <w:lang w:val="fr-CH"/>
        </w:rPr>
        <w:t xml:space="preserve">CESP </w:t>
      </w:r>
      <w:r w:rsidR="00FD5609">
        <w:rPr>
          <w:rFonts w:asciiTheme="majorHAnsi" w:hAnsiTheme="majorHAnsi"/>
          <w:lang w:val="fr-CH"/>
        </w:rPr>
        <w:t xml:space="preserve">concernant </w:t>
      </w:r>
      <w:r w:rsidR="00BA22DE" w:rsidRPr="00BA22DE">
        <w:rPr>
          <w:rFonts w:asciiTheme="majorHAnsi" w:hAnsiTheme="majorHAnsi"/>
          <w:lang w:val="fr-CH"/>
        </w:rPr>
        <w:t xml:space="preserve">une nouvelle </w:t>
      </w:r>
      <w:r w:rsidR="00FD5609">
        <w:rPr>
          <w:rFonts w:asciiTheme="majorHAnsi" w:hAnsiTheme="majorHAnsi"/>
          <w:lang w:val="fr-CH"/>
        </w:rPr>
        <w:t xml:space="preserve">manière d’aborder </w:t>
      </w:r>
      <w:r w:rsidR="00BA22DE">
        <w:rPr>
          <w:rFonts w:asciiTheme="majorHAnsi" w:hAnsiTheme="majorHAnsi"/>
          <w:lang w:val="fr-CH"/>
        </w:rPr>
        <w:t>la mise en œuvre du</w:t>
      </w:r>
      <w:r w:rsidR="00BA22DE" w:rsidRPr="00BA22DE">
        <w:rPr>
          <w:rFonts w:asciiTheme="majorHAnsi" w:hAnsiTheme="majorHAnsi"/>
          <w:lang w:val="fr-CH"/>
        </w:rPr>
        <w:t xml:space="preserve"> </w:t>
      </w:r>
      <w:r w:rsidR="00BA22DE">
        <w:rPr>
          <w:rFonts w:asciiTheme="majorHAnsi" w:hAnsiTheme="majorHAnsi"/>
          <w:lang w:val="fr-CH"/>
        </w:rPr>
        <w:t xml:space="preserve">Programme de </w:t>
      </w:r>
      <w:r w:rsidR="00BA22DE" w:rsidRPr="00BA22DE">
        <w:rPr>
          <w:rFonts w:asciiTheme="majorHAnsi" w:hAnsiTheme="majorHAnsi"/>
          <w:lang w:val="fr-CH"/>
        </w:rPr>
        <w:t>CESP</w:t>
      </w:r>
      <w:r w:rsidR="00BA22DE">
        <w:rPr>
          <w:rFonts w:asciiTheme="majorHAnsi" w:hAnsiTheme="majorHAnsi"/>
          <w:lang w:val="fr-CH"/>
        </w:rPr>
        <w:t>.</w:t>
      </w:r>
    </w:p>
    <w:p w14:paraId="50778250" w14:textId="77777777" w:rsidR="00013A20" w:rsidRPr="00BA22DE" w:rsidRDefault="00013A20" w:rsidP="004C3670">
      <w:pPr>
        <w:pStyle w:val="BodyText"/>
        <w:widowControl/>
        <w:tabs>
          <w:tab w:val="left" w:pos="544"/>
        </w:tabs>
        <w:ind w:left="425" w:hanging="425"/>
        <w:rPr>
          <w:rFonts w:asciiTheme="majorHAnsi" w:hAnsiTheme="majorHAnsi" w:cs="Times New Roman"/>
          <w:lang w:val="fr-CH"/>
        </w:rPr>
      </w:pPr>
    </w:p>
    <w:p w14:paraId="7A91C6C7" w14:textId="749B2768" w:rsidR="00C64326" w:rsidRPr="00BA22DE" w:rsidRDefault="00013A20" w:rsidP="00BA22DE">
      <w:pPr>
        <w:pStyle w:val="BodyText"/>
        <w:tabs>
          <w:tab w:val="left" w:pos="544"/>
        </w:tabs>
        <w:ind w:left="425" w:hanging="425"/>
        <w:rPr>
          <w:rFonts w:asciiTheme="majorHAnsi" w:hAnsiTheme="majorHAnsi" w:cs="Times New Roman"/>
          <w:lang w:val="fr-CH"/>
        </w:rPr>
      </w:pPr>
      <w:r w:rsidRPr="00BA22DE">
        <w:rPr>
          <w:rFonts w:asciiTheme="majorHAnsi" w:hAnsiTheme="majorHAnsi" w:cs="Times New Roman"/>
          <w:lang w:val="fr-CH"/>
        </w:rPr>
        <w:t>2.</w:t>
      </w:r>
      <w:r w:rsidRPr="00BA22DE">
        <w:rPr>
          <w:rFonts w:asciiTheme="majorHAnsi" w:hAnsiTheme="majorHAnsi" w:cs="Times New Roman"/>
          <w:lang w:val="fr-CH"/>
        </w:rPr>
        <w:tab/>
      </w:r>
      <w:r w:rsidR="00FD5609">
        <w:rPr>
          <w:rFonts w:asciiTheme="majorHAnsi" w:hAnsiTheme="majorHAnsi" w:cs="Times New Roman"/>
          <w:lang w:val="fr-CH"/>
        </w:rPr>
        <w:t>A</w:t>
      </w:r>
      <w:r w:rsidR="00BA22DE" w:rsidRPr="00BA22DE">
        <w:rPr>
          <w:rFonts w:asciiTheme="majorHAnsi" w:hAnsiTheme="majorHAnsi" w:cs="Times New Roman"/>
          <w:lang w:val="fr-CH"/>
        </w:rPr>
        <w:t xml:space="preserve">u cours de la dernière période triennale, des </w:t>
      </w:r>
      <w:r w:rsidR="00FD5609">
        <w:rPr>
          <w:rFonts w:asciiTheme="majorHAnsi" w:hAnsiTheme="majorHAnsi" w:cs="Times New Roman"/>
          <w:lang w:val="fr-CH"/>
        </w:rPr>
        <w:t xml:space="preserve">progrès ont été accomplis grâce à des </w:t>
      </w:r>
      <w:r w:rsidR="00BA22DE" w:rsidRPr="00BA22DE">
        <w:rPr>
          <w:rFonts w:asciiTheme="majorHAnsi" w:hAnsiTheme="majorHAnsi" w:cs="Times New Roman"/>
          <w:lang w:val="fr-CH"/>
        </w:rPr>
        <w:t xml:space="preserve">activités importantes entreprises pour atteindre les neuf </w:t>
      </w:r>
      <w:r w:rsidR="006C42EE">
        <w:rPr>
          <w:rFonts w:asciiTheme="majorHAnsi" w:hAnsiTheme="majorHAnsi" w:cs="Times New Roman"/>
          <w:lang w:val="fr-CH"/>
        </w:rPr>
        <w:t>objectifs</w:t>
      </w:r>
      <w:r w:rsidR="00BA22DE" w:rsidRPr="00BA22DE">
        <w:rPr>
          <w:rFonts w:asciiTheme="majorHAnsi" w:hAnsiTheme="majorHAnsi" w:cs="Times New Roman"/>
          <w:lang w:val="fr-CH"/>
        </w:rPr>
        <w:t xml:space="preserve"> du Programme de CESP, avec des réalisations en termes de leadership, soutien et r</w:t>
      </w:r>
      <w:r w:rsidR="00252764">
        <w:rPr>
          <w:rFonts w:asciiTheme="majorHAnsi" w:hAnsiTheme="majorHAnsi" w:cs="Times New Roman"/>
          <w:lang w:val="fr-CH"/>
        </w:rPr>
        <w:t>enforcement des capacités d</w:t>
      </w:r>
      <w:r w:rsidR="00BA22DE" w:rsidRPr="00BA22DE">
        <w:rPr>
          <w:rFonts w:asciiTheme="majorHAnsi" w:hAnsiTheme="majorHAnsi" w:cs="Times New Roman"/>
          <w:lang w:val="fr-CH"/>
        </w:rPr>
        <w:t xml:space="preserve">es </w:t>
      </w:r>
      <w:r w:rsidR="00252764">
        <w:rPr>
          <w:rFonts w:asciiTheme="majorHAnsi" w:hAnsiTheme="majorHAnsi" w:cs="Times New Roman"/>
          <w:lang w:val="fr-CH"/>
        </w:rPr>
        <w:t xml:space="preserve">administrateurs </w:t>
      </w:r>
      <w:r w:rsidR="00BA22DE" w:rsidRPr="00BA22DE">
        <w:rPr>
          <w:rFonts w:asciiTheme="majorHAnsi" w:hAnsiTheme="majorHAnsi" w:cs="Times New Roman"/>
          <w:lang w:val="fr-CH"/>
        </w:rPr>
        <w:t>de sites, mobilisation de nouve</w:t>
      </w:r>
      <w:r w:rsidR="00FD5609">
        <w:rPr>
          <w:rFonts w:asciiTheme="majorHAnsi" w:hAnsiTheme="majorHAnsi" w:cs="Times New Roman"/>
          <w:lang w:val="fr-CH"/>
        </w:rPr>
        <w:t>aux acteurs</w:t>
      </w:r>
      <w:r w:rsidR="00BA22DE" w:rsidRPr="00BA22DE">
        <w:rPr>
          <w:rFonts w:asciiTheme="majorHAnsi" w:hAnsiTheme="majorHAnsi" w:cs="Times New Roman"/>
          <w:lang w:val="fr-CH"/>
        </w:rPr>
        <w:t>, Journée</w:t>
      </w:r>
      <w:r w:rsidR="00FD5609">
        <w:rPr>
          <w:rFonts w:asciiTheme="majorHAnsi" w:hAnsiTheme="majorHAnsi" w:cs="Times New Roman"/>
          <w:lang w:val="fr-CH"/>
        </w:rPr>
        <w:t>s</w:t>
      </w:r>
      <w:r w:rsidR="00BA22DE" w:rsidRPr="00BA22DE">
        <w:rPr>
          <w:rFonts w:asciiTheme="majorHAnsi" w:hAnsiTheme="majorHAnsi" w:cs="Times New Roman"/>
          <w:lang w:val="fr-CH"/>
        </w:rPr>
        <w:t xml:space="preserve"> mondiale des zones humides et autres campagnes</w:t>
      </w:r>
      <w:r w:rsidR="00252764">
        <w:rPr>
          <w:rFonts w:asciiTheme="majorHAnsi" w:hAnsiTheme="majorHAnsi" w:cs="Times New Roman"/>
          <w:lang w:val="fr-CH"/>
        </w:rPr>
        <w:t>,</w:t>
      </w:r>
      <w:r w:rsidR="00BA22DE" w:rsidRPr="00BA22DE">
        <w:rPr>
          <w:rFonts w:asciiTheme="majorHAnsi" w:hAnsiTheme="majorHAnsi" w:cs="Times New Roman"/>
          <w:lang w:val="fr-CH"/>
        </w:rPr>
        <w:t xml:space="preserve"> et </w:t>
      </w:r>
      <w:r w:rsidR="00252764">
        <w:rPr>
          <w:rFonts w:asciiTheme="majorHAnsi" w:hAnsiTheme="majorHAnsi" w:cs="Times New Roman"/>
          <w:lang w:val="fr-CH"/>
        </w:rPr>
        <w:t>tout un</w:t>
      </w:r>
      <w:r w:rsidR="00BA22DE" w:rsidRPr="00BA22DE">
        <w:rPr>
          <w:rFonts w:asciiTheme="majorHAnsi" w:hAnsiTheme="majorHAnsi" w:cs="Times New Roman"/>
          <w:lang w:val="fr-CH"/>
        </w:rPr>
        <w:t xml:space="preserve"> </w:t>
      </w:r>
      <w:r w:rsidR="00252764">
        <w:rPr>
          <w:rFonts w:asciiTheme="majorHAnsi" w:hAnsiTheme="majorHAnsi" w:cs="Times New Roman"/>
          <w:lang w:val="fr-CH"/>
        </w:rPr>
        <w:t xml:space="preserve">éventail </w:t>
      </w:r>
      <w:r w:rsidR="00BA22DE" w:rsidRPr="00BA22DE">
        <w:rPr>
          <w:rFonts w:asciiTheme="majorHAnsi" w:hAnsiTheme="majorHAnsi" w:cs="Times New Roman"/>
          <w:lang w:val="fr-CH"/>
        </w:rPr>
        <w:t xml:space="preserve">de </w:t>
      </w:r>
      <w:r w:rsidR="00FD5609">
        <w:rPr>
          <w:rFonts w:asciiTheme="majorHAnsi" w:hAnsiTheme="majorHAnsi" w:cs="Times New Roman"/>
          <w:lang w:val="fr-CH"/>
        </w:rPr>
        <w:t>documents</w:t>
      </w:r>
      <w:r w:rsidR="00BA22DE" w:rsidRPr="00BA22DE">
        <w:rPr>
          <w:rFonts w:asciiTheme="majorHAnsi" w:hAnsiTheme="majorHAnsi" w:cs="Times New Roman"/>
          <w:lang w:val="fr-CH"/>
        </w:rPr>
        <w:t xml:space="preserve"> promotion</w:t>
      </w:r>
      <w:r w:rsidR="00252764">
        <w:rPr>
          <w:rFonts w:asciiTheme="majorHAnsi" w:hAnsiTheme="majorHAnsi" w:cs="Times New Roman"/>
          <w:lang w:val="fr-CH"/>
        </w:rPr>
        <w:t>nel</w:t>
      </w:r>
      <w:r w:rsidR="00BA22DE" w:rsidRPr="00BA22DE">
        <w:rPr>
          <w:rFonts w:asciiTheme="majorHAnsi" w:hAnsiTheme="majorHAnsi" w:cs="Times New Roman"/>
          <w:lang w:val="fr-CH"/>
        </w:rPr>
        <w:t xml:space="preserve"> et </w:t>
      </w:r>
      <w:r w:rsidR="00252764">
        <w:rPr>
          <w:rFonts w:asciiTheme="majorHAnsi" w:hAnsiTheme="majorHAnsi" w:cs="Times New Roman"/>
          <w:lang w:val="fr-CH"/>
        </w:rPr>
        <w:t>pédagogique</w:t>
      </w:r>
      <w:r w:rsidR="00BA22DE" w:rsidRPr="00BA22DE">
        <w:rPr>
          <w:rFonts w:asciiTheme="majorHAnsi" w:hAnsiTheme="majorHAnsi" w:cs="Times New Roman"/>
          <w:lang w:val="fr-CH"/>
        </w:rPr>
        <w:t>.  Pourtant, l'impact de ces activités est difficile à évaluer, et il est nécessaire d'</w:t>
      </w:r>
      <w:r w:rsidR="00FD5609">
        <w:rPr>
          <w:rFonts w:asciiTheme="majorHAnsi" w:hAnsiTheme="majorHAnsi" w:cs="Times New Roman"/>
          <w:lang w:val="fr-CH"/>
        </w:rPr>
        <w:t>adopter</w:t>
      </w:r>
      <w:r w:rsidR="00BA22DE" w:rsidRPr="00BA22DE">
        <w:rPr>
          <w:rFonts w:asciiTheme="majorHAnsi" w:hAnsiTheme="majorHAnsi" w:cs="Times New Roman"/>
          <w:lang w:val="fr-CH"/>
        </w:rPr>
        <w:t xml:space="preserve"> des méthodologies d'évaluation pour affiner les activités futures </w:t>
      </w:r>
      <w:r w:rsidR="00FD5609">
        <w:rPr>
          <w:rFonts w:asciiTheme="majorHAnsi" w:hAnsiTheme="majorHAnsi" w:cs="Times New Roman"/>
          <w:lang w:val="fr-CH"/>
        </w:rPr>
        <w:t xml:space="preserve">en matière </w:t>
      </w:r>
      <w:r w:rsidR="00BA22DE" w:rsidRPr="00BA22DE">
        <w:rPr>
          <w:rFonts w:asciiTheme="majorHAnsi" w:hAnsiTheme="majorHAnsi" w:cs="Times New Roman"/>
          <w:lang w:val="fr-CH"/>
        </w:rPr>
        <w:t xml:space="preserve">de </w:t>
      </w:r>
      <w:r w:rsidR="00252764">
        <w:rPr>
          <w:rFonts w:asciiTheme="majorHAnsi" w:hAnsiTheme="majorHAnsi" w:cs="Times New Roman"/>
          <w:lang w:val="fr-CH"/>
        </w:rPr>
        <w:t>CESP</w:t>
      </w:r>
      <w:r w:rsidR="00BA22DE" w:rsidRPr="00BA22DE">
        <w:rPr>
          <w:rFonts w:asciiTheme="majorHAnsi" w:hAnsiTheme="majorHAnsi" w:cs="Times New Roman"/>
          <w:lang w:val="fr-CH"/>
        </w:rPr>
        <w:t>.  Les rapports sur les résultats à l'échelle nationale et mondiale, les évaluations d'activités spécifiques et l'examen du Plan stratégique Ramsar sont des mécanismes potentiels p</w:t>
      </w:r>
      <w:r w:rsidR="00FD5609">
        <w:rPr>
          <w:rFonts w:asciiTheme="majorHAnsi" w:hAnsiTheme="majorHAnsi" w:cs="Times New Roman"/>
          <w:lang w:val="fr-CH"/>
        </w:rPr>
        <w:t>ermettant de</w:t>
      </w:r>
      <w:r w:rsidR="00BA22DE" w:rsidRPr="00BA22DE">
        <w:rPr>
          <w:rFonts w:asciiTheme="majorHAnsi" w:hAnsiTheme="majorHAnsi" w:cs="Times New Roman"/>
          <w:lang w:val="fr-CH"/>
        </w:rPr>
        <w:t xml:space="preserve"> mesurer l'impact</w:t>
      </w:r>
      <w:r w:rsidR="00C64326" w:rsidRPr="00BA22DE">
        <w:rPr>
          <w:rFonts w:asciiTheme="majorHAnsi" w:hAnsiTheme="majorHAnsi" w:cs="Times New Roman"/>
          <w:lang w:val="fr-CH"/>
        </w:rPr>
        <w:t>.</w:t>
      </w:r>
    </w:p>
    <w:p w14:paraId="084710EC" w14:textId="77777777" w:rsidR="00013A20" w:rsidRPr="00BA22DE" w:rsidRDefault="00013A20" w:rsidP="004C3670">
      <w:pPr>
        <w:pStyle w:val="BodyText"/>
        <w:widowControl/>
        <w:tabs>
          <w:tab w:val="left" w:pos="544"/>
        </w:tabs>
        <w:ind w:left="425" w:hanging="425"/>
        <w:rPr>
          <w:rFonts w:asciiTheme="majorHAnsi" w:hAnsiTheme="majorHAnsi"/>
          <w:lang w:val="fr-CH"/>
        </w:rPr>
      </w:pPr>
    </w:p>
    <w:p w14:paraId="4583C24B" w14:textId="505BE9FB" w:rsidR="00C64326" w:rsidRPr="00BA22DE" w:rsidRDefault="00013A20"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lang w:val="fr-CH"/>
        </w:rPr>
        <w:t>3.</w:t>
      </w:r>
      <w:r w:rsidRPr="00BA22DE">
        <w:rPr>
          <w:rFonts w:asciiTheme="majorHAnsi" w:hAnsiTheme="majorHAnsi"/>
          <w:lang w:val="fr-CH"/>
        </w:rPr>
        <w:tab/>
      </w:r>
      <w:r w:rsidR="00252764" w:rsidRPr="00252764">
        <w:rPr>
          <w:rFonts w:asciiTheme="majorHAnsi" w:hAnsiTheme="majorHAnsi"/>
          <w:lang w:val="fr-CH"/>
        </w:rPr>
        <w:t xml:space="preserve">Des recommandations sur une nouvelle approche de la CESP ont été élaborées afin d'éclairer un projet de résolution </w:t>
      </w:r>
      <w:r w:rsidR="00FD5609">
        <w:rPr>
          <w:rFonts w:asciiTheme="majorHAnsi" w:hAnsiTheme="majorHAnsi"/>
          <w:lang w:val="fr-CH"/>
        </w:rPr>
        <w:t>à soumettre à</w:t>
      </w:r>
      <w:r w:rsidR="00252764" w:rsidRPr="00252764">
        <w:rPr>
          <w:rFonts w:asciiTheme="majorHAnsi" w:hAnsiTheme="majorHAnsi"/>
          <w:lang w:val="fr-CH"/>
        </w:rPr>
        <w:t xml:space="preserve"> la COP14 sur l'avenir de la CESP et de contribuer à l'examen du Plan stratégique Ramsar et du Programme de CESP, ainsi qu'à </w:t>
      </w:r>
      <w:r w:rsidR="00252764">
        <w:rPr>
          <w:rFonts w:asciiTheme="majorHAnsi" w:hAnsiTheme="majorHAnsi"/>
          <w:lang w:val="fr-CH"/>
        </w:rPr>
        <w:t xml:space="preserve">une manière plus globale d’aborder </w:t>
      </w:r>
      <w:r w:rsidR="00252764" w:rsidRPr="00252764">
        <w:rPr>
          <w:rFonts w:asciiTheme="majorHAnsi" w:hAnsiTheme="majorHAnsi"/>
          <w:lang w:val="fr-CH"/>
        </w:rPr>
        <w:t>l'application de Ramsar après 2024</w:t>
      </w:r>
      <w:r w:rsidR="00C64326" w:rsidRPr="00BA22DE">
        <w:rPr>
          <w:rFonts w:asciiTheme="majorHAnsi" w:hAnsiTheme="majorHAnsi" w:cs="Times New Roman"/>
          <w:lang w:val="fr-CH"/>
        </w:rPr>
        <w:t>.</w:t>
      </w:r>
    </w:p>
    <w:p w14:paraId="06E00CF2" w14:textId="77777777" w:rsidR="00013A20" w:rsidRPr="00BA22DE" w:rsidRDefault="00013A20" w:rsidP="004C3670">
      <w:pPr>
        <w:pStyle w:val="BodyText"/>
        <w:widowControl/>
        <w:tabs>
          <w:tab w:val="left" w:pos="544"/>
        </w:tabs>
        <w:ind w:left="425" w:hanging="425"/>
        <w:rPr>
          <w:rFonts w:asciiTheme="majorHAnsi" w:hAnsiTheme="majorHAnsi"/>
          <w:lang w:val="fr-CH"/>
        </w:rPr>
      </w:pPr>
    </w:p>
    <w:p w14:paraId="6AC196C7" w14:textId="7B337165" w:rsidR="00C64326" w:rsidRPr="00BA22DE" w:rsidRDefault="00013A20"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lang w:val="fr-CH"/>
        </w:rPr>
        <w:t>4.</w:t>
      </w:r>
      <w:r w:rsidRPr="00BA22DE">
        <w:rPr>
          <w:rFonts w:asciiTheme="majorHAnsi" w:hAnsiTheme="majorHAnsi"/>
          <w:lang w:val="fr-CH"/>
        </w:rPr>
        <w:tab/>
      </w:r>
      <w:r w:rsidR="00252764" w:rsidRPr="00252764">
        <w:rPr>
          <w:rFonts w:asciiTheme="majorHAnsi" w:hAnsiTheme="majorHAnsi"/>
          <w:lang w:val="fr-CH"/>
        </w:rPr>
        <w:t>Les principales questions à prendre en considération sont les suivantes</w:t>
      </w:r>
      <w:r w:rsidR="00252764">
        <w:rPr>
          <w:rFonts w:asciiTheme="majorHAnsi" w:hAnsiTheme="majorHAnsi"/>
          <w:lang w:val="fr-CH"/>
        </w:rPr>
        <w:t> :</w:t>
      </w:r>
    </w:p>
    <w:p w14:paraId="1FC240D6" w14:textId="54B6A668" w:rsidR="00C64326" w:rsidRPr="00BA22DE" w:rsidRDefault="00252764" w:rsidP="00805C19">
      <w:pPr>
        <w:numPr>
          <w:ilvl w:val="0"/>
          <w:numId w:val="18"/>
        </w:numPr>
        <w:ind w:left="850" w:hanging="425"/>
        <w:contextualSpacing/>
        <w:rPr>
          <w:rFonts w:asciiTheme="majorHAnsi" w:eastAsia="Calibri" w:hAnsiTheme="majorHAnsi" w:cs="Times New Roman"/>
          <w:sz w:val="22"/>
          <w:szCs w:val="22"/>
          <w:lang w:val="fr-CH"/>
        </w:rPr>
      </w:pPr>
      <w:r w:rsidRPr="00252764">
        <w:rPr>
          <w:rFonts w:asciiTheme="majorHAnsi" w:eastAsia="Calibri" w:hAnsiTheme="majorHAnsi" w:cs="Times New Roman"/>
          <w:sz w:val="22"/>
          <w:szCs w:val="22"/>
          <w:lang w:val="fr-CH"/>
        </w:rPr>
        <w:t xml:space="preserve">Continuer à rechercher et à </w:t>
      </w:r>
      <w:r w:rsidR="00D03D94">
        <w:rPr>
          <w:rFonts w:asciiTheme="majorHAnsi" w:eastAsia="Calibri" w:hAnsiTheme="majorHAnsi" w:cs="Times New Roman"/>
          <w:sz w:val="22"/>
          <w:szCs w:val="22"/>
          <w:lang w:val="fr-CH"/>
        </w:rPr>
        <w:t xml:space="preserve">peaufiner une </w:t>
      </w:r>
      <w:r w:rsidRPr="00252764">
        <w:rPr>
          <w:rFonts w:asciiTheme="majorHAnsi" w:eastAsia="Calibri" w:hAnsiTheme="majorHAnsi" w:cs="Times New Roman"/>
          <w:sz w:val="22"/>
          <w:szCs w:val="22"/>
          <w:lang w:val="fr-CH"/>
        </w:rPr>
        <w:t xml:space="preserve">efficacité opérationnelle </w:t>
      </w:r>
      <w:r w:rsidR="00D03D94">
        <w:rPr>
          <w:rFonts w:asciiTheme="majorHAnsi" w:eastAsia="Calibri" w:hAnsiTheme="majorHAnsi" w:cs="Times New Roman"/>
          <w:sz w:val="22"/>
          <w:szCs w:val="22"/>
          <w:lang w:val="fr-CH"/>
        </w:rPr>
        <w:t>en matière de</w:t>
      </w:r>
      <w:r w:rsidRPr="00252764">
        <w:rPr>
          <w:rFonts w:asciiTheme="majorHAnsi" w:eastAsia="Calibri" w:hAnsiTheme="majorHAnsi" w:cs="Times New Roman"/>
          <w:sz w:val="22"/>
          <w:szCs w:val="22"/>
          <w:lang w:val="fr-CH"/>
        </w:rPr>
        <w:t xml:space="preserve"> mise en œuvre de la CESP en intégrant la CESP dans tous les aspects de l</w:t>
      </w:r>
      <w:r w:rsidR="00D03D94">
        <w:rPr>
          <w:rFonts w:asciiTheme="majorHAnsi" w:eastAsia="Calibri" w:hAnsiTheme="majorHAnsi" w:cs="Times New Roman"/>
          <w:sz w:val="22"/>
          <w:szCs w:val="22"/>
          <w:lang w:val="fr-CH"/>
        </w:rPr>
        <w:t xml:space="preserve">’application </w:t>
      </w:r>
      <w:r w:rsidRPr="00252764">
        <w:rPr>
          <w:rFonts w:asciiTheme="majorHAnsi" w:eastAsia="Calibri" w:hAnsiTheme="majorHAnsi" w:cs="Times New Roman"/>
          <w:sz w:val="22"/>
          <w:szCs w:val="22"/>
          <w:lang w:val="fr-CH"/>
        </w:rPr>
        <w:t>de la Convention de Rams</w:t>
      </w:r>
      <w:r w:rsidR="00D03D94">
        <w:rPr>
          <w:rFonts w:asciiTheme="majorHAnsi" w:eastAsia="Calibri" w:hAnsiTheme="majorHAnsi" w:cs="Times New Roman"/>
          <w:sz w:val="22"/>
          <w:szCs w:val="22"/>
          <w:lang w:val="fr-CH"/>
        </w:rPr>
        <w:t>ar</w:t>
      </w:r>
      <w:r w:rsidR="00C64326" w:rsidRPr="00BA22DE">
        <w:rPr>
          <w:rFonts w:asciiTheme="majorHAnsi" w:eastAsia="Calibri" w:hAnsiTheme="majorHAnsi" w:cs="Times New Roman"/>
          <w:sz w:val="22"/>
          <w:szCs w:val="22"/>
          <w:lang w:val="fr-CH"/>
        </w:rPr>
        <w:t>.</w:t>
      </w:r>
    </w:p>
    <w:p w14:paraId="7A3E24D6" w14:textId="3E4E62AF" w:rsidR="00C64326" w:rsidRPr="00BA22DE" w:rsidRDefault="00D03D94" w:rsidP="00805C19">
      <w:pPr>
        <w:numPr>
          <w:ilvl w:val="0"/>
          <w:numId w:val="18"/>
        </w:numPr>
        <w:ind w:left="850" w:hanging="425"/>
        <w:contextualSpacing/>
        <w:rPr>
          <w:rFonts w:asciiTheme="majorHAnsi" w:eastAsia="Calibri" w:hAnsiTheme="majorHAnsi" w:cs="Times New Roman"/>
          <w:sz w:val="22"/>
          <w:szCs w:val="22"/>
          <w:lang w:val="fr-CH"/>
        </w:rPr>
      </w:pPr>
      <w:r w:rsidRPr="00D03D94">
        <w:rPr>
          <w:rFonts w:asciiTheme="majorHAnsi" w:eastAsia="Calibri" w:hAnsiTheme="majorHAnsi" w:cs="Times New Roman"/>
          <w:sz w:val="22"/>
          <w:szCs w:val="22"/>
          <w:lang w:val="fr-CH"/>
        </w:rPr>
        <w:t>Rationaliser la gouvernance et harmoniser les rapports des Parties contractantes et du Secrétariat concernant la</w:t>
      </w:r>
      <w:r>
        <w:rPr>
          <w:rFonts w:asciiTheme="majorHAnsi" w:eastAsia="Calibri" w:hAnsiTheme="majorHAnsi" w:cs="Times New Roman"/>
          <w:sz w:val="22"/>
          <w:szCs w:val="22"/>
          <w:lang w:val="fr-CH"/>
        </w:rPr>
        <w:t xml:space="preserve"> CESP</w:t>
      </w:r>
      <w:r w:rsidR="00C64326" w:rsidRPr="00BA22DE">
        <w:rPr>
          <w:rFonts w:asciiTheme="majorHAnsi" w:eastAsia="Calibri" w:hAnsiTheme="majorHAnsi" w:cs="Times New Roman"/>
          <w:sz w:val="22"/>
          <w:szCs w:val="22"/>
          <w:lang w:val="fr-CH"/>
        </w:rPr>
        <w:t>.</w:t>
      </w:r>
    </w:p>
    <w:p w14:paraId="5F3B8BB3" w14:textId="712C1906" w:rsidR="00C64326" w:rsidRPr="00BA22DE" w:rsidRDefault="00D03D94" w:rsidP="00805C19">
      <w:pPr>
        <w:numPr>
          <w:ilvl w:val="0"/>
          <w:numId w:val="18"/>
        </w:numPr>
        <w:ind w:left="850" w:hanging="425"/>
        <w:contextualSpacing/>
        <w:rPr>
          <w:rFonts w:asciiTheme="majorHAnsi" w:eastAsia="Calibri" w:hAnsiTheme="majorHAnsi" w:cs="Times New Roman"/>
          <w:sz w:val="22"/>
          <w:szCs w:val="22"/>
          <w:lang w:val="fr-CH"/>
        </w:rPr>
      </w:pPr>
      <w:r w:rsidRPr="00D03D94">
        <w:rPr>
          <w:rFonts w:asciiTheme="majorHAnsi" w:eastAsia="Calibri" w:hAnsiTheme="majorHAnsi" w:cs="Times New Roman"/>
          <w:sz w:val="22"/>
          <w:szCs w:val="22"/>
          <w:lang w:val="fr-CH"/>
        </w:rPr>
        <w:t xml:space="preserve">Évaluer l'efficacité des activités de </w:t>
      </w:r>
      <w:r>
        <w:rPr>
          <w:rFonts w:asciiTheme="majorHAnsi" w:eastAsia="Calibri" w:hAnsiTheme="majorHAnsi" w:cs="Times New Roman"/>
          <w:sz w:val="22"/>
          <w:szCs w:val="22"/>
          <w:lang w:val="fr-CH"/>
        </w:rPr>
        <w:t>CESP</w:t>
      </w:r>
      <w:r w:rsidRPr="00D03D94">
        <w:rPr>
          <w:rFonts w:asciiTheme="majorHAnsi" w:eastAsia="Calibri" w:hAnsiTheme="majorHAnsi" w:cs="Times New Roman"/>
          <w:sz w:val="22"/>
          <w:szCs w:val="22"/>
          <w:lang w:val="fr-CH"/>
        </w:rPr>
        <w:t xml:space="preserve"> à tous le</w:t>
      </w:r>
      <w:r>
        <w:rPr>
          <w:rFonts w:asciiTheme="majorHAnsi" w:eastAsia="Calibri" w:hAnsiTheme="majorHAnsi" w:cs="Times New Roman"/>
          <w:sz w:val="22"/>
          <w:szCs w:val="22"/>
          <w:lang w:val="fr-CH"/>
        </w:rPr>
        <w:t>s</w:t>
      </w:r>
      <w:r w:rsidRPr="00805C19">
        <w:rPr>
          <w:lang w:val="fr-FR"/>
        </w:rPr>
        <w:t xml:space="preserve"> </w:t>
      </w:r>
      <w:r w:rsidRPr="00D03D94">
        <w:rPr>
          <w:rFonts w:asciiTheme="majorHAnsi" w:eastAsia="Calibri" w:hAnsiTheme="majorHAnsi" w:cs="Times New Roman"/>
          <w:sz w:val="22"/>
          <w:szCs w:val="22"/>
          <w:lang w:val="fr-CH"/>
        </w:rPr>
        <w:t>niveaux, afin d</w:t>
      </w:r>
      <w:r>
        <w:rPr>
          <w:rFonts w:asciiTheme="majorHAnsi" w:eastAsia="Calibri" w:hAnsiTheme="majorHAnsi" w:cs="Times New Roman"/>
          <w:sz w:val="22"/>
          <w:szCs w:val="22"/>
          <w:lang w:val="fr-CH"/>
        </w:rPr>
        <w:t>’identifier</w:t>
      </w:r>
      <w:r w:rsidRPr="00D03D94">
        <w:rPr>
          <w:rFonts w:asciiTheme="majorHAnsi" w:eastAsia="Calibri" w:hAnsiTheme="majorHAnsi" w:cs="Times New Roman"/>
          <w:sz w:val="22"/>
          <w:szCs w:val="22"/>
          <w:lang w:val="fr-CH"/>
        </w:rPr>
        <w:t xml:space="preserve"> les priorités et de mieux cibler l</w:t>
      </w:r>
      <w:r>
        <w:rPr>
          <w:rFonts w:asciiTheme="majorHAnsi" w:eastAsia="Calibri" w:hAnsiTheme="majorHAnsi" w:cs="Times New Roman"/>
          <w:sz w:val="22"/>
          <w:szCs w:val="22"/>
          <w:lang w:val="fr-CH"/>
        </w:rPr>
        <w:t>’utilisation de</w:t>
      </w:r>
      <w:r w:rsidRPr="00D03D94">
        <w:rPr>
          <w:rFonts w:asciiTheme="majorHAnsi" w:eastAsia="Calibri" w:hAnsiTheme="majorHAnsi" w:cs="Times New Roman"/>
          <w:sz w:val="22"/>
          <w:szCs w:val="22"/>
          <w:lang w:val="fr-CH"/>
        </w:rPr>
        <w:t xml:space="preserve"> ressources limitées</w:t>
      </w:r>
      <w:r w:rsidR="00C64326" w:rsidRPr="00BA22DE">
        <w:rPr>
          <w:rFonts w:asciiTheme="majorHAnsi" w:eastAsia="Calibri" w:hAnsiTheme="majorHAnsi" w:cs="Times New Roman"/>
          <w:sz w:val="22"/>
          <w:szCs w:val="22"/>
          <w:lang w:val="fr-CH"/>
        </w:rPr>
        <w:t xml:space="preserve">. </w:t>
      </w:r>
    </w:p>
    <w:p w14:paraId="0A6B4B44" w14:textId="038BA4E6" w:rsidR="00C64326" w:rsidRPr="00BA22DE" w:rsidRDefault="00D03D94" w:rsidP="00805C19">
      <w:pPr>
        <w:numPr>
          <w:ilvl w:val="0"/>
          <w:numId w:val="18"/>
        </w:numPr>
        <w:ind w:left="850" w:hanging="425"/>
        <w:contextualSpacing/>
        <w:rPr>
          <w:rFonts w:asciiTheme="majorHAnsi" w:eastAsia="Calibri" w:hAnsiTheme="majorHAnsi" w:cs="Times New Roman"/>
          <w:sz w:val="22"/>
          <w:szCs w:val="22"/>
          <w:lang w:val="fr-CH"/>
        </w:rPr>
      </w:pPr>
      <w:r>
        <w:rPr>
          <w:rFonts w:asciiTheme="majorHAnsi" w:eastAsia="Calibri" w:hAnsiTheme="majorHAnsi" w:cs="Times New Roman"/>
          <w:sz w:val="22"/>
          <w:szCs w:val="22"/>
          <w:lang w:val="fr-CH"/>
        </w:rPr>
        <w:t>Renforcer les</w:t>
      </w:r>
      <w:r w:rsidRPr="00D03D94">
        <w:rPr>
          <w:rFonts w:asciiTheme="majorHAnsi" w:eastAsia="Calibri" w:hAnsiTheme="majorHAnsi" w:cs="Times New Roman"/>
          <w:sz w:val="22"/>
          <w:szCs w:val="22"/>
          <w:lang w:val="fr-CH"/>
        </w:rPr>
        <w:t xml:space="preserve"> capacité</w:t>
      </w:r>
      <w:r>
        <w:rPr>
          <w:rFonts w:asciiTheme="majorHAnsi" w:eastAsia="Calibri" w:hAnsiTheme="majorHAnsi" w:cs="Times New Roman"/>
          <w:sz w:val="22"/>
          <w:szCs w:val="22"/>
          <w:lang w:val="fr-CH"/>
        </w:rPr>
        <w:t>s du GEST de</w:t>
      </w:r>
      <w:r w:rsidRPr="00D03D94">
        <w:rPr>
          <w:rFonts w:asciiTheme="majorHAnsi" w:eastAsia="Calibri" w:hAnsiTheme="majorHAnsi" w:cs="Times New Roman"/>
          <w:sz w:val="22"/>
          <w:szCs w:val="22"/>
          <w:lang w:val="fr-CH"/>
        </w:rPr>
        <w:t xml:space="preserve"> communiquer ses conclusions</w:t>
      </w:r>
      <w:r w:rsidR="00C64326" w:rsidRPr="00BA22DE">
        <w:rPr>
          <w:rFonts w:asciiTheme="majorHAnsi" w:eastAsia="Calibri" w:hAnsiTheme="majorHAnsi" w:cs="Times New Roman"/>
          <w:sz w:val="22"/>
          <w:szCs w:val="22"/>
          <w:lang w:val="fr-CH"/>
        </w:rPr>
        <w:t>.</w:t>
      </w:r>
    </w:p>
    <w:p w14:paraId="51331F22" w14:textId="4A985871" w:rsidR="00C64326" w:rsidRPr="00BA22DE" w:rsidRDefault="00D03D94" w:rsidP="00805C19">
      <w:pPr>
        <w:numPr>
          <w:ilvl w:val="0"/>
          <w:numId w:val="18"/>
        </w:numPr>
        <w:ind w:left="850" w:hanging="425"/>
        <w:contextualSpacing/>
        <w:rPr>
          <w:rFonts w:asciiTheme="majorHAnsi" w:eastAsia="Calibri" w:hAnsiTheme="majorHAnsi" w:cs="Times New Roman"/>
          <w:sz w:val="22"/>
          <w:szCs w:val="22"/>
          <w:lang w:val="fr-CH"/>
        </w:rPr>
      </w:pPr>
      <w:r w:rsidRPr="00D03D94">
        <w:rPr>
          <w:rFonts w:asciiTheme="majorHAnsi" w:eastAsia="Calibri" w:hAnsiTheme="majorHAnsi" w:cs="Times New Roman"/>
          <w:sz w:val="22"/>
          <w:szCs w:val="22"/>
          <w:lang w:val="fr-CH"/>
        </w:rPr>
        <w:t xml:space="preserve">Encourager les Parties contractantes à </w:t>
      </w:r>
      <w:r>
        <w:rPr>
          <w:rFonts w:asciiTheme="majorHAnsi" w:eastAsia="Calibri" w:hAnsiTheme="majorHAnsi" w:cs="Times New Roman"/>
          <w:sz w:val="22"/>
          <w:szCs w:val="22"/>
          <w:lang w:val="fr-CH"/>
        </w:rPr>
        <w:t xml:space="preserve">renforcer </w:t>
      </w:r>
      <w:r w:rsidRPr="00D03D94">
        <w:rPr>
          <w:rFonts w:asciiTheme="majorHAnsi" w:eastAsia="Calibri" w:hAnsiTheme="majorHAnsi" w:cs="Times New Roman"/>
          <w:sz w:val="22"/>
          <w:szCs w:val="22"/>
          <w:lang w:val="fr-CH"/>
        </w:rPr>
        <w:t>leur engagement en</w:t>
      </w:r>
      <w:r>
        <w:rPr>
          <w:rFonts w:asciiTheme="majorHAnsi" w:eastAsia="Calibri" w:hAnsiTheme="majorHAnsi" w:cs="Times New Roman"/>
          <w:sz w:val="22"/>
          <w:szCs w:val="22"/>
          <w:lang w:val="fr-CH"/>
        </w:rPr>
        <w:t xml:space="preserve"> faveur de</w:t>
      </w:r>
      <w:r w:rsidRPr="00D03D94">
        <w:rPr>
          <w:rFonts w:asciiTheme="majorHAnsi" w:eastAsia="Calibri" w:hAnsiTheme="majorHAnsi" w:cs="Times New Roman"/>
          <w:sz w:val="22"/>
          <w:szCs w:val="22"/>
          <w:lang w:val="fr-CH"/>
        </w:rPr>
        <w:t xml:space="preserve"> la CESP, </w:t>
      </w:r>
      <w:r>
        <w:rPr>
          <w:rFonts w:asciiTheme="majorHAnsi" w:eastAsia="Calibri" w:hAnsiTheme="majorHAnsi" w:cs="Times New Roman"/>
          <w:sz w:val="22"/>
          <w:szCs w:val="22"/>
          <w:lang w:val="fr-CH"/>
        </w:rPr>
        <w:t xml:space="preserve">en reconnaissant son importance </w:t>
      </w:r>
      <w:r w:rsidRPr="00D03D94">
        <w:rPr>
          <w:rFonts w:asciiTheme="majorHAnsi" w:eastAsia="Calibri" w:hAnsiTheme="majorHAnsi" w:cs="Times New Roman"/>
          <w:sz w:val="22"/>
          <w:szCs w:val="22"/>
          <w:lang w:val="fr-CH"/>
        </w:rPr>
        <w:t>pour la sensibilisation et le plaidoyer</w:t>
      </w:r>
      <w:r w:rsidR="00C64326" w:rsidRPr="00BA22DE">
        <w:rPr>
          <w:rFonts w:asciiTheme="majorHAnsi" w:eastAsia="Calibri" w:hAnsiTheme="majorHAnsi" w:cs="Times New Roman"/>
          <w:sz w:val="22"/>
          <w:szCs w:val="22"/>
          <w:lang w:val="fr-CH"/>
        </w:rPr>
        <w:t>.</w:t>
      </w:r>
    </w:p>
    <w:p w14:paraId="02F33967" w14:textId="77777777" w:rsidR="00013A20" w:rsidRPr="00BA22DE" w:rsidRDefault="00013A20" w:rsidP="004C3670">
      <w:pPr>
        <w:spacing w:after="200"/>
        <w:ind w:left="720"/>
        <w:contextualSpacing/>
        <w:rPr>
          <w:rFonts w:asciiTheme="majorHAnsi" w:eastAsia="Calibri" w:hAnsiTheme="majorHAnsi" w:cs="Times New Roman"/>
          <w:sz w:val="22"/>
          <w:szCs w:val="22"/>
          <w:lang w:val="fr-CH"/>
        </w:rPr>
      </w:pPr>
    </w:p>
    <w:p w14:paraId="313E345E" w14:textId="77777777" w:rsidR="00C64326" w:rsidRPr="00BA22DE" w:rsidRDefault="00C64326" w:rsidP="004C3670">
      <w:pPr>
        <w:keepNext/>
        <w:autoSpaceDE w:val="0"/>
        <w:autoSpaceDN w:val="0"/>
        <w:adjustRightInd w:val="0"/>
        <w:rPr>
          <w:rFonts w:asciiTheme="majorHAnsi" w:hAnsiTheme="majorHAnsi" w:cs="Calibri"/>
          <w:bCs/>
          <w:sz w:val="22"/>
          <w:szCs w:val="22"/>
          <w:u w:val="single"/>
          <w:lang w:val="fr-CH"/>
        </w:rPr>
      </w:pPr>
      <w:r w:rsidRPr="00BA22DE">
        <w:rPr>
          <w:rFonts w:asciiTheme="majorHAnsi" w:hAnsiTheme="majorHAnsi" w:cs="Calibri"/>
          <w:bCs/>
          <w:sz w:val="22"/>
          <w:szCs w:val="22"/>
          <w:u w:val="single"/>
          <w:lang w:val="fr-CH"/>
        </w:rPr>
        <w:lastRenderedPageBreak/>
        <w:t>Introduction</w:t>
      </w:r>
    </w:p>
    <w:p w14:paraId="47EDCA1B" w14:textId="77777777" w:rsidR="00013A20" w:rsidRPr="00BA22DE" w:rsidRDefault="00013A20" w:rsidP="004C3670">
      <w:pPr>
        <w:pStyle w:val="BodyText"/>
        <w:keepNext/>
        <w:widowControl/>
        <w:tabs>
          <w:tab w:val="left" w:pos="544"/>
        </w:tabs>
        <w:ind w:left="425" w:hanging="425"/>
        <w:rPr>
          <w:rFonts w:asciiTheme="majorHAnsi" w:hAnsiTheme="majorHAnsi"/>
          <w:lang w:val="fr-CH"/>
        </w:rPr>
      </w:pPr>
    </w:p>
    <w:p w14:paraId="3A6BCBE5" w14:textId="578B772F" w:rsidR="00C64326" w:rsidRPr="00BA22DE" w:rsidRDefault="00207F77"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lang w:val="fr-CH"/>
        </w:rPr>
        <w:t>5.</w:t>
      </w:r>
      <w:r w:rsidRPr="00BA22DE">
        <w:rPr>
          <w:rFonts w:asciiTheme="majorHAnsi" w:hAnsiTheme="majorHAnsi"/>
          <w:lang w:val="fr-CH"/>
        </w:rPr>
        <w:tab/>
      </w:r>
      <w:r w:rsidR="00D27214" w:rsidRPr="00D27214">
        <w:rPr>
          <w:rFonts w:asciiTheme="majorHAnsi" w:hAnsiTheme="majorHAnsi"/>
          <w:lang w:val="fr-CH"/>
        </w:rPr>
        <w:t>Les activités de communication, de renforcement des capacités, d'éducation, de participation et de sensibilisation</w:t>
      </w:r>
      <w:r w:rsidR="00694C68">
        <w:rPr>
          <w:rFonts w:asciiTheme="majorHAnsi" w:hAnsiTheme="majorHAnsi"/>
          <w:lang w:val="fr-CH"/>
        </w:rPr>
        <w:t xml:space="preserve"> du </w:t>
      </w:r>
      <w:r w:rsidR="006D0232">
        <w:rPr>
          <w:rFonts w:asciiTheme="majorHAnsi" w:hAnsiTheme="majorHAnsi"/>
          <w:lang w:val="fr-CH"/>
        </w:rPr>
        <w:t>public</w:t>
      </w:r>
      <w:r w:rsidR="00D27214" w:rsidRPr="00D27214">
        <w:rPr>
          <w:rFonts w:asciiTheme="majorHAnsi" w:hAnsiTheme="majorHAnsi"/>
          <w:lang w:val="fr-CH"/>
        </w:rPr>
        <w:t xml:space="preserve"> (CESP) ont une longue histoire au sein de la Convention, allant du programme de sensibilisation en 1999 aux programmes de CESP </w:t>
      </w:r>
      <w:r w:rsidR="00694C68">
        <w:rPr>
          <w:rFonts w:asciiTheme="majorHAnsi" w:hAnsiTheme="majorHAnsi"/>
          <w:lang w:val="fr-CH"/>
        </w:rPr>
        <w:t xml:space="preserve">appliqués de 2009 à </w:t>
      </w:r>
      <w:r w:rsidR="00D27214" w:rsidRPr="00D27214">
        <w:rPr>
          <w:rFonts w:asciiTheme="majorHAnsi" w:hAnsiTheme="majorHAnsi"/>
          <w:lang w:val="fr-CH"/>
        </w:rPr>
        <w:t>2015 et au programme actuel 2016-2024</w:t>
      </w:r>
      <w:r w:rsidR="00C64326" w:rsidRPr="00BA22DE">
        <w:rPr>
          <w:rFonts w:asciiTheme="majorHAnsi" w:hAnsiTheme="majorHAnsi" w:cs="Times New Roman"/>
          <w:lang w:val="fr-CH"/>
        </w:rPr>
        <w:t>.</w:t>
      </w:r>
    </w:p>
    <w:p w14:paraId="55A30727" w14:textId="77777777" w:rsidR="00207F77" w:rsidRPr="00BA22DE" w:rsidRDefault="00207F77" w:rsidP="004C3670">
      <w:pPr>
        <w:pStyle w:val="BodyText"/>
        <w:widowControl/>
        <w:tabs>
          <w:tab w:val="left" w:pos="544"/>
        </w:tabs>
        <w:ind w:left="425" w:hanging="425"/>
        <w:rPr>
          <w:rFonts w:asciiTheme="majorHAnsi" w:hAnsiTheme="majorHAnsi"/>
          <w:lang w:val="fr-CH"/>
        </w:rPr>
      </w:pPr>
    </w:p>
    <w:p w14:paraId="5479F08C" w14:textId="0059E280" w:rsidR="00C64326" w:rsidRPr="00BA22DE" w:rsidRDefault="00207F77" w:rsidP="006C42EE">
      <w:pPr>
        <w:pStyle w:val="BodyText"/>
        <w:tabs>
          <w:tab w:val="left" w:pos="544"/>
        </w:tabs>
        <w:ind w:left="425" w:hanging="425"/>
        <w:rPr>
          <w:rFonts w:asciiTheme="majorHAnsi" w:hAnsiTheme="majorHAnsi" w:cs="Times New Roman"/>
          <w:lang w:val="fr-CH"/>
        </w:rPr>
      </w:pPr>
      <w:r w:rsidRPr="00BA22DE">
        <w:rPr>
          <w:rFonts w:asciiTheme="majorHAnsi" w:hAnsiTheme="majorHAnsi"/>
          <w:lang w:val="fr-CH"/>
        </w:rPr>
        <w:t>6.</w:t>
      </w:r>
      <w:r w:rsidRPr="00BA22DE">
        <w:rPr>
          <w:rFonts w:asciiTheme="majorHAnsi" w:hAnsiTheme="majorHAnsi"/>
          <w:lang w:val="fr-CH"/>
        </w:rPr>
        <w:tab/>
      </w:r>
      <w:r w:rsidR="006C42EE" w:rsidRPr="006C42EE">
        <w:rPr>
          <w:rFonts w:asciiTheme="majorHAnsi" w:hAnsiTheme="majorHAnsi"/>
          <w:lang w:val="fr-CH"/>
        </w:rPr>
        <w:t>Les résolutions de la Convention de Ramsar (</w:t>
      </w:r>
      <w:r w:rsidR="00FD5609">
        <w:rPr>
          <w:rFonts w:asciiTheme="majorHAnsi" w:hAnsiTheme="majorHAnsi"/>
          <w:lang w:val="fr-CH"/>
        </w:rPr>
        <w:t>notamment</w:t>
      </w:r>
      <w:r w:rsidR="006C42EE" w:rsidRPr="006C42EE">
        <w:rPr>
          <w:rFonts w:asciiTheme="majorHAnsi" w:hAnsiTheme="majorHAnsi"/>
          <w:lang w:val="fr-CH"/>
        </w:rPr>
        <w:t xml:space="preserve"> les Résolutions VII.9, X.8 et XII.9) </w:t>
      </w:r>
      <w:r w:rsidR="006C42EE">
        <w:rPr>
          <w:rFonts w:asciiTheme="majorHAnsi" w:hAnsiTheme="majorHAnsi"/>
          <w:lang w:val="fr-CH"/>
        </w:rPr>
        <w:t xml:space="preserve">révèlent </w:t>
      </w:r>
      <w:r w:rsidR="006C42EE" w:rsidRPr="006C42EE">
        <w:rPr>
          <w:rFonts w:asciiTheme="majorHAnsi" w:hAnsiTheme="majorHAnsi"/>
          <w:lang w:val="fr-CH"/>
        </w:rPr>
        <w:t xml:space="preserve">que les Parties contractantes reconnaissent clairement le rôle important </w:t>
      </w:r>
      <w:r w:rsidR="00FD5609">
        <w:rPr>
          <w:rFonts w:asciiTheme="majorHAnsi" w:hAnsiTheme="majorHAnsi"/>
          <w:lang w:val="fr-CH"/>
        </w:rPr>
        <w:t>que joue</w:t>
      </w:r>
      <w:r w:rsidR="006C42EE" w:rsidRPr="006C42EE">
        <w:rPr>
          <w:rFonts w:asciiTheme="majorHAnsi" w:hAnsiTheme="majorHAnsi"/>
          <w:lang w:val="fr-CH"/>
        </w:rPr>
        <w:t xml:space="preserve"> la CESP dans l</w:t>
      </w:r>
      <w:r w:rsidR="006C42EE">
        <w:rPr>
          <w:rFonts w:asciiTheme="majorHAnsi" w:hAnsiTheme="majorHAnsi"/>
          <w:lang w:val="fr-CH"/>
        </w:rPr>
        <w:t xml:space="preserve">’application </w:t>
      </w:r>
      <w:r w:rsidR="006C42EE" w:rsidRPr="006C42EE">
        <w:rPr>
          <w:rFonts w:asciiTheme="majorHAnsi" w:hAnsiTheme="majorHAnsi"/>
          <w:lang w:val="fr-CH"/>
        </w:rPr>
        <w:t xml:space="preserve">de la Convention et de son Plan stratégique, </w:t>
      </w:r>
      <w:r w:rsidR="006C42EE">
        <w:rPr>
          <w:rFonts w:asciiTheme="majorHAnsi" w:hAnsiTheme="majorHAnsi"/>
          <w:lang w:val="fr-CH"/>
        </w:rPr>
        <w:t>car elle incite</w:t>
      </w:r>
      <w:r w:rsidR="006C42EE" w:rsidRPr="006C42EE">
        <w:rPr>
          <w:rFonts w:asciiTheme="majorHAnsi" w:hAnsiTheme="majorHAnsi"/>
          <w:lang w:val="fr-CH"/>
        </w:rPr>
        <w:t xml:space="preserve"> les populations à agir </w:t>
      </w:r>
      <w:r w:rsidR="006C42EE">
        <w:rPr>
          <w:rFonts w:asciiTheme="majorHAnsi" w:hAnsiTheme="majorHAnsi"/>
          <w:lang w:val="fr-CH"/>
        </w:rPr>
        <w:t xml:space="preserve">en faveur de </w:t>
      </w:r>
      <w:r w:rsidR="006C42EE" w:rsidRPr="006C42EE">
        <w:rPr>
          <w:rFonts w:asciiTheme="majorHAnsi" w:hAnsiTheme="majorHAnsi"/>
          <w:lang w:val="fr-CH"/>
        </w:rPr>
        <w:t xml:space="preserve">la conservation et </w:t>
      </w:r>
      <w:r w:rsidR="006C42EE">
        <w:rPr>
          <w:rFonts w:asciiTheme="majorHAnsi" w:hAnsiTheme="majorHAnsi"/>
          <w:lang w:val="fr-CH"/>
        </w:rPr>
        <w:t xml:space="preserve">de </w:t>
      </w:r>
      <w:r w:rsidR="006C42EE" w:rsidRPr="006C42EE">
        <w:rPr>
          <w:rFonts w:asciiTheme="majorHAnsi" w:hAnsiTheme="majorHAnsi"/>
          <w:lang w:val="fr-CH"/>
        </w:rPr>
        <w:t xml:space="preserve">l'utilisation rationnelle des zones humides, en les </w:t>
      </w:r>
      <w:r w:rsidR="006C42EE">
        <w:rPr>
          <w:rFonts w:asciiTheme="majorHAnsi" w:hAnsiTheme="majorHAnsi"/>
          <w:lang w:val="fr-CH"/>
        </w:rPr>
        <w:t xml:space="preserve">engageant, en les </w:t>
      </w:r>
      <w:r w:rsidR="00FD5609">
        <w:rPr>
          <w:rFonts w:asciiTheme="majorHAnsi" w:hAnsiTheme="majorHAnsi"/>
          <w:lang w:val="fr-CH"/>
        </w:rPr>
        <w:t>intégrant</w:t>
      </w:r>
      <w:r w:rsidR="006C42EE" w:rsidRPr="006C42EE">
        <w:rPr>
          <w:rFonts w:asciiTheme="majorHAnsi" w:hAnsiTheme="majorHAnsi"/>
          <w:lang w:val="fr-CH"/>
        </w:rPr>
        <w:t xml:space="preserve"> et en les aidant à agir en ce sens</w:t>
      </w:r>
      <w:r w:rsidR="006C42EE">
        <w:rPr>
          <w:rFonts w:asciiTheme="majorHAnsi" w:hAnsiTheme="majorHAnsi"/>
          <w:lang w:val="fr-CH"/>
        </w:rPr>
        <w:t>.</w:t>
      </w:r>
    </w:p>
    <w:p w14:paraId="0A9D19D3" w14:textId="77777777" w:rsidR="00207F77" w:rsidRPr="00BA22DE" w:rsidRDefault="00207F77" w:rsidP="004C3670">
      <w:pPr>
        <w:pStyle w:val="BodyText"/>
        <w:widowControl/>
        <w:tabs>
          <w:tab w:val="left" w:pos="544"/>
        </w:tabs>
        <w:ind w:left="425" w:hanging="425"/>
        <w:rPr>
          <w:rFonts w:asciiTheme="majorHAnsi" w:hAnsiTheme="majorHAnsi"/>
          <w:lang w:val="fr-CH"/>
        </w:rPr>
      </w:pPr>
    </w:p>
    <w:p w14:paraId="650E1B53" w14:textId="0F68C58C" w:rsidR="00C64326" w:rsidRPr="00BA22DE" w:rsidRDefault="00207F77"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lang w:val="fr-CH"/>
        </w:rPr>
        <w:t>7.</w:t>
      </w:r>
      <w:r w:rsidRPr="00BA22DE">
        <w:rPr>
          <w:rFonts w:asciiTheme="majorHAnsi" w:hAnsiTheme="majorHAnsi"/>
          <w:lang w:val="fr-CH"/>
        </w:rPr>
        <w:tab/>
      </w:r>
      <w:r w:rsidR="00FD5609">
        <w:rPr>
          <w:rFonts w:asciiTheme="majorHAnsi" w:hAnsiTheme="majorHAnsi"/>
          <w:lang w:val="fr-CH"/>
        </w:rPr>
        <w:t>Lors de la 12</w:t>
      </w:r>
      <w:r w:rsidR="00FD5609" w:rsidRPr="00FD5609">
        <w:rPr>
          <w:rFonts w:asciiTheme="majorHAnsi" w:hAnsiTheme="majorHAnsi"/>
          <w:vertAlign w:val="superscript"/>
          <w:lang w:val="fr-CH"/>
        </w:rPr>
        <w:t>e</w:t>
      </w:r>
      <w:r w:rsidR="00FD5609">
        <w:rPr>
          <w:rFonts w:asciiTheme="majorHAnsi" w:hAnsiTheme="majorHAnsi"/>
          <w:lang w:val="fr-CH"/>
        </w:rPr>
        <w:t xml:space="preserve"> Session de la</w:t>
      </w:r>
      <w:r w:rsidR="006C42EE" w:rsidRPr="006C42EE">
        <w:rPr>
          <w:rFonts w:asciiTheme="majorHAnsi" w:hAnsiTheme="majorHAnsi"/>
          <w:lang w:val="fr-CH"/>
        </w:rPr>
        <w:t xml:space="preserve"> Conférence des Parties en 2015, les Parties contrac</w:t>
      </w:r>
      <w:r w:rsidR="006C42EE">
        <w:rPr>
          <w:rFonts w:asciiTheme="majorHAnsi" w:hAnsiTheme="majorHAnsi"/>
          <w:lang w:val="fr-CH"/>
        </w:rPr>
        <w:t>tantes ont approuvé un nouveau P</w:t>
      </w:r>
      <w:r w:rsidR="00FD5609">
        <w:rPr>
          <w:rFonts w:asciiTheme="majorHAnsi" w:hAnsiTheme="majorHAnsi"/>
          <w:lang w:val="fr-CH"/>
        </w:rPr>
        <w:t xml:space="preserve">rogramme de CESP pour 2016-2024 en adoptant </w:t>
      </w:r>
      <w:r w:rsidR="006C42EE" w:rsidRPr="006C42EE">
        <w:rPr>
          <w:rFonts w:asciiTheme="majorHAnsi" w:hAnsiTheme="majorHAnsi"/>
          <w:lang w:val="fr-CH"/>
        </w:rPr>
        <w:t xml:space="preserve">la Résolution XII.9.  Le programme comprend neuf </w:t>
      </w:r>
      <w:r w:rsidR="00D7075A">
        <w:rPr>
          <w:rFonts w:asciiTheme="majorHAnsi" w:hAnsiTheme="majorHAnsi"/>
          <w:lang w:val="fr-CH"/>
        </w:rPr>
        <w:t>but</w:t>
      </w:r>
      <w:r w:rsidR="006C42EE" w:rsidRPr="006C42EE">
        <w:rPr>
          <w:rFonts w:asciiTheme="majorHAnsi" w:hAnsiTheme="majorHAnsi"/>
          <w:lang w:val="fr-CH"/>
        </w:rPr>
        <w:t xml:space="preserve">s et 43 </w:t>
      </w:r>
      <w:r w:rsidR="00D7075A">
        <w:rPr>
          <w:rFonts w:asciiTheme="majorHAnsi" w:hAnsiTheme="majorHAnsi"/>
          <w:lang w:val="fr-CH"/>
        </w:rPr>
        <w:t>objectifs</w:t>
      </w:r>
      <w:r w:rsidR="006C42EE">
        <w:rPr>
          <w:rFonts w:asciiTheme="majorHAnsi" w:hAnsiTheme="majorHAnsi"/>
          <w:lang w:val="fr-CH"/>
        </w:rPr>
        <w:t xml:space="preserve"> </w:t>
      </w:r>
      <w:r w:rsidR="006C42EE" w:rsidRPr="006C42EE">
        <w:rPr>
          <w:rFonts w:asciiTheme="majorHAnsi" w:hAnsiTheme="majorHAnsi"/>
          <w:lang w:val="fr-CH"/>
        </w:rPr>
        <w:t>de CESP</w:t>
      </w:r>
      <w:r w:rsidR="00C64326" w:rsidRPr="00BA22DE">
        <w:rPr>
          <w:rFonts w:asciiTheme="majorHAnsi" w:hAnsiTheme="majorHAnsi" w:cs="Times New Roman"/>
          <w:lang w:val="fr-CH"/>
        </w:rPr>
        <w:t>.</w:t>
      </w:r>
    </w:p>
    <w:p w14:paraId="0478E1EF" w14:textId="77777777" w:rsidR="00207F77" w:rsidRPr="00BA22DE" w:rsidRDefault="00207F77" w:rsidP="004C3670">
      <w:pPr>
        <w:pStyle w:val="BodyText"/>
        <w:widowControl/>
        <w:tabs>
          <w:tab w:val="left" w:pos="544"/>
        </w:tabs>
        <w:ind w:left="425" w:hanging="425"/>
        <w:rPr>
          <w:rFonts w:asciiTheme="majorHAnsi" w:hAnsiTheme="majorHAnsi"/>
          <w:lang w:val="fr-CH"/>
        </w:rPr>
      </w:pPr>
    </w:p>
    <w:p w14:paraId="693B31A4" w14:textId="7E24B089" w:rsidR="00C64326" w:rsidRPr="00BA22DE" w:rsidRDefault="00207F77" w:rsidP="0079661F">
      <w:pPr>
        <w:pStyle w:val="BodyText"/>
        <w:tabs>
          <w:tab w:val="left" w:pos="544"/>
        </w:tabs>
        <w:ind w:left="425" w:hanging="425"/>
        <w:rPr>
          <w:rFonts w:asciiTheme="majorHAnsi" w:hAnsiTheme="majorHAnsi" w:cs="Times New Roman"/>
          <w:lang w:val="fr-CH"/>
        </w:rPr>
      </w:pPr>
      <w:r w:rsidRPr="00BA22DE">
        <w:rPr>
          <w:rFonts w:asciiTheme="majorHAnsi" w:hAnsiTheme="majorHAnsi"/>
          <w:lang w:val="fr-CH"/>
        </w:rPr>
        <w:t>8.</w:t>
      </w:r>
      <w:r w:rsidRPr="00BA22DE">
        <w:rPr>
          <w:rFonts w:asciiTheme="majorHAnsi" w:hAnsiTheme="majorHAnsi"/>
          <w:lang w:val="fr-CH"/>
        </w:rPr>
        <w:tab/>
      </w:r>
      <w:r w:rsidR="006C42EE" w:rsidRPr="006C42EE">
        <w:rPr>
          <w:rFonts w:asciiTheme="majorHAnsi" w:hAnsiTheme="majorHAnsi"/>
          <w:lang w:val="fr-CH"/>
        </w:rPr>
        <w:t>Les Parties contractantes, le Secrétariat Ramsar, les Organisations internationales partenaires (OIP) de la Convention, les ONG, les org</w:t>
      </w:r>
      <w:r w:rsidR="0079661F">
        <w:rPr>
          <w:rFonts w:asciiTheme="majorHAnsi" w:hAnsiTheme="majorHAnsi"/>
          <w:lang w:val="fr-CH"/>
        </w:rPr>
        <w:t>anisations communautaires et d’</w:t>
      </w:r>
      <w:r w:rsidR="006C42EE" w:rsidRPr="006C42EE">
        <w:rPr>
          <w:rFonts w:asciiTheme="majorHAnsi" w:hAnsiTheme="majorHAnsi"/>
          <w:lang w:val="fr-CH"/>
        </w:rPr>
        <w:t xml:space="preserve">autres </w:t>
      </w:r>
      <w:r w:rsidR="00FD5609">
        <w:rPr>
          <w:rFonts w:asciiTheme="majorHAnsi" w:hAnsiTheme="majorHAnsi"/>
          <w:lang w:val="fr-CH"/>
        </w:rPr>
        <w:t>acteurs</w:t>
      </w:r>
      <w:r w:rsidR="006C42EE" w:rsidRPr="006C42EE">
        <w:rPr>
          <w:rFonts w:asciiTheme="majorHAnsi" w:hAnsiTheme="majorHAnsi"/>
          <w:lang w:val="fr-CH"/>
        </w:rPr>
        <w:t xml:space="preserve"> se partagent la responsabilité de l'application</w:t>
      </w:r>
      <w:r w:rsidR="0079661F">
        <w:rPr>
          <w:rFonts w:asciiTheme="majorHAnsi" w:hAnsiTheme="majorHAnsi"/>
          <w:lang w:val="fr-CH"/>
        </w:rPr>
        <w:t xml:space="preserve"> du Programme</w:t>
      </w:r>
      <w:r w:rsidR="006C42EE" w:rsidRPr="006C42EE">
        <w:rPr>
          <w:rFonts w:asciiTheme="majorHAnsi" w:hAnsiTheme="majorHAnsi"/>
          <w:lang w:val="fr-CH"/>
        </w:rPr>
        <w:t xml:space="preserve">. Les Parties contractantes sont les </w:t>
      </w:r>
      <w:r w:rsidR="00FD5609">
        <w:rPr>
          <w:rFonts w:asciiTheme="majorHAnsi" w:hAnsiTheme="majorHAnsi"/>
          <w:lang w:val="fr-CH"/>
        </w:rPr>
        <w:t>chefs de file de l’appli</w:t>
      </w:r>
      <w:r w:rsidR="0079661F">
        <w:rPr>
          <w:rFonts w:asciiTheme="majorHAnsi" w:hAnsiTheme="majorHAnsi"/>
          <w:lang w:val="fr-CH"/>
        </w:rPr>
        <w:t xml:space="preserve">cation </w:t>
      </w:r>
      <w:r w:rsidR="006C42EE" w:rsidRPr="006C42EE">
        <w:rPr>
          <w:rFonts w:asciiTheme="majorHAnsi" w:hAnsiTheme="majorHAnsi"/>
          <w:lang w:val="fr-CH"/>
        </w:rPr>
        <w:t xml:space="preserve">du Programme de CESP, </w:t>
      </w:r>
      <w:r w:rsidR="0079661F">
        <w:rPr>
          <w:rFonts w:asciiTheme="majorHAnsi" w:hAnsiTheme="majorHAnsi"/>
          <w:lang w:val="fr-CH"/>
        </w:rPr>
        <w:t xml:space="preserve">en s’appuyant sur </w:t>
      </w:r>
      <w:r w:rsidR="006C42EE" w:rsidRPr="006C42EE">
        <w:rPr>
          <w:rFonts w:asciiTheme="majorHAnsi" w:hAnsiTheme="majorHAnsi"/>
          <w:lang w:val="fr-CH"/>
        </w:rPr>
        <w:t>l</w:t>
      </w:r>
      <w:r w:rsidR="00F350C0">
        <w:rPr>
          <w:rFonts w:asciiTheme="majorHAnsi" w:hAnsiTheme="majorHAnsi"/>
          <w:lang w:val="fr-CH"/>
        </w:rPr>
        <w:t>eurs C</w:t>
      </w:r>
      <w:r w:rsidR="0079661F">
        <w:rPr>
          <w:rFonts w:asciiTheme="majorHAnsi" w:hAnsiTheme="majorHAnsi"/>
          <w:lang w:val="fr-CH"/>
        </w:rPr>
        <w:t>orrespondants nationaux, l</w:t>
      </w:r>
      <w:r w:rsidR="00F350C0">
        <w:rPr>
          <w:rFonts w:asciiTheme="majorHAnsi" w:hAnsiTheme="majorHAnsi"/>
          <w:lang w:val="fr-CH"/>
        </w:rPr>
        <w:t>es C</w:t>
      </w:r>
      <w:r w:rsidR="006C42EE" w:rsidRPr="006C42EE">
        <w:rPr>
          <w:rFonts w:asciiTheme="majorHAnsi" w:hAnsiTheme="majorHAnsi"/>
          <w:lang w:val="fr-CH"/>
        </w:rPr>
        <w:t xml:space="preserve">orrespondants </w:t>
      </w:r>
      <w:r w:rsidR="0079661F">
        <w:rPr>
          <w:rFonts w:asciiTheme="majorHAnsi" w:hAnsiTheme="majorHAnsi"/>
          <w:lang w:val="fr-CH"/>
        </w:rPr>
        <w:t>du Programme CESP, l</w:t>
      </w:r>
      <w:r w:rsidR="006C42EE" w:rsidRPr="006C42EE">
        <w:rPr>
          <w:rFonts w:asciiTheme="majorHAnsi" w:hAnsiTheme="majorHAnsi"/>
          <w:lang w:val="fr-CH"/>
        </w:rPr>
        <w:t>es</w:t>
      </w:r>
      <w:r w:rsidR="0079661F">
        <w:rPr>
          <w:rFonts w:asciiTheme="majorHAnsi" w:hAnsiTheme="majorHAnsi"/>
          <w:lang w:val="fr-CH"/>
        </w:rPr>
        <w:t xml:space="preserve"> organisations communautaires, l</w:t>
      </w:r>
      <w:r w:rsidR="006C42EE" w:rsidRPr="006C42EE">
        <w:rPr>
          <w:rFonts w:asciiTheme="majorHAnsi" w:hAnsiTheme="majorHAnsi"/>
          <w:lang w:val="fr-CH"/>
        </w:rPr>
        <w:t>es In</w:t>
      </w:r>
      <w:r w:rsidR="0079661F">
        <w:rPr>
          <w:rFonts w:asciiTheme="majorHAnsi" w:hAnsiTheme="majorHAnsi"/>
          <w:lang w:val="fr-CH"/>
        </w:rPr>
        <w:t>itiatives régionales Ramsar et l</w:t>
      </w:r>
      <w:r w:rsidR="006C42EE" w:rsidRPr="006C42EE">
        <w:rPr>
          <w:rFonts w:asciiTheme="majorHAnsi" w:hAnsiTheme="majorHAnsi"/>
          <w:lang w:val="fr-CH"/>
        </w:rPr>
        <w:t xml:space="preserve">es centres d'éducation aux zones humides. Les Parties contractantes sont invitées à formuler des plans d'action nationaux de CESP pour identifier les activités prioritaires </w:t>
      </w:r>
      <w:r w:rsidR="0079661F">
        <w:rPr>
          <w:rFonts w:asciiTheme="majorHAnsi" w:hAnsiTheme="majorHAnsi"/>
          <w:lang w:val="fr-CH"/>
        </w:rPr>
        <w:t xml:space="preserve">en matière </w:t>
      </w:r>
      <w:r w:rsidR="006C42EE" w:rsidRPr="006C42EE">
        <w:rPr>
          <w:rFonts w:asciiTheme="majorHAnsi" w:hAnsiTheme="majorHAnsi"/>
          <w:lang w:val="fr-CH"/>
        </w:rPr>
        <w:t>de CESP</w:t>
      </w:r>
      <w:r w:rsidR="0079661F">
        <w:rPr>
          <w:rFonts w:asciiTheme="majorHAnsi" w:hAnsiTheme="majorHAnsi"/>
          <w:lang w:val="fr-CH"/>
        </w:rPr>
        <w:t>,</w:t>
      </w:r>
      <w:r w:rsidR="006C42EE" w:rsidRPr="006C42EE">
        <w:rPr>
          <w:rFonts w:asciiTheme="majorHAnsi" w:hAnsiTheme="majorHAnsi"/>
          <w:lang w:val="fr-CH"/>
        </w:rPr>
        <w:t xml:space="preserve"> et à rendre compte de leurs progrès dans des rapports nationaux triennaux </w:t>
      </w:r>
      <w:r w:rsidR="0079661F">
        <w:rPr>
          <w:rFonts w:asciiTheme="majorHAnsi" w:hAnsiTheme="majorHAnsi"/>
          <w:lang w:val="fr-CH"/>
        </w:rPr>
        <w:t xml:space="preserve">qu’elles soumettent </w:t>
      </w:r>
      <w:r w:rsidR="006C42EE" w:rsidRPr="006C42EE">
        <w:rPr>
          <w:rFonts w:asciiTheme="majorHAnsi" w:hAnsiTheme="majorHAnsi"/>
          <w:lang w:val="fr-CH"/>
        </w:rPr>
        <w:t>aux COP</w:t>
      </w:r>
      <w:r w:rsidR="0079661F">
        <w:rPr>
          <w:rFonts w:asciiTheme="majorHAnsi" w:hAnsiTheme="majorHAnsi"/>
          <w:lang w:val="fr-CH"/>
        </w:rPr>
        <w:t>.</w:t>
      </w:r>
    </w:p>
    <w:p w14:paraId="4F4D5908" w14:textId="77777777" w:rsidR="00207F77" w:rsidRPr="00BA22DE" w:rsidRDefault="00207F77" w:rsidP="004C3670">
      <w:pPr>
        <w:pStyle w:val="BodyText"/>
        <w:widowControl/>
        <w:tabs>
          <w:tab w:val="left" w:pos="544"/>
        </w:tabs>
        <w:ind w:left="425" w:hanging="425"/>
        <w:rPr>
          <w:rFonts w:asciiTheme="majorHAnsi" w:hAnsiTheme="majorHAnsi" w:cs="Times New Roman"/>
          <w:lang w:val="fr-CH"/>
        </w:rPr>
      </w:pPr>
    </w:p>
    <w:p w14:paraId="1EEC4F66" w14:textId="328819F0" w:rsidR="00C64326" w:rsidRPr="00BA22DE" w:rsidRDefault="004C3670"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cs="Times New Roman"/>
          <w:lang w:val="fr-CH"/>
        </w:rPr>
        <w:t>9.</w:t>
      </w:r>
      <w:r w:rsidRPr="00BA22DE">
        <w:rPr>
          <w:rFonts w:asciiTheme="majorHAnsi" w:hAnsiTheme="majorHAnsi" w:cs="Times New Roman"/>
          <w:lang w:val="fr-CH"/>
        </w:rPr>
        <w:tab/>
      </w:r>
      <w:r w:rsidR="00AD6BC3" w:rsidRPr="00AD6BC3">
        <w:rPr>
          <w:rFonts w:asciiTheme="majorHAnsi" w:hAnsiTheme="majorHAnsi" w:cs="Times New Roman"/>
          <w:lang w:val="fr-CH"/>
        </w:rPr>
        <w:t>Le Secrétariat appuie</w:t>
      </w:r>
      <w:r w:rsidR="006765B1">
        <w:rPr>
          <w:rFonts w:asciiTheme="majorHAnsi" w:hAnsiTheme="majorHAnsi" w:cs="Times New Roman"/>
          <w:lang w:val="fr-CH"/>
        </w:rPr>
        <w:t xml:space="preserve"> la mise en œuvre de la C</w:t>
      </w:r>
      <w:r w:rsidR="00AD6BC3" w:rsidRPr="00AD6BC3">
        <w:rPr>
          <w:rFonts w:asciiTheme="majorHAnsi" w:hAnsiTheme="majorHAnsi" w:cs="Times New Roman"/>
          <w:lang w:val="fr-CH"/>
        </w:rPr>
        <w:t>E</w:t>
      </w:r>
      <w:r w:rsidR="006765B1">
        <w:rPr>
          <w:rFonts w:asciiTheme="majorHAnsi" w:hAnsiTheme="majorHAnsi" w:cs="Times New Roman"/>
          <w:lang w:val="fr-CH"/>
        </w:rPr>
        <w:t>SP</w:t>
      </w:r>
      <w:r w:rsidR="00AD6BC3" w:rsidRPr="00AD6BC3">
        <w:rPr>
          <w:rFonts w:asciiTheme="majorHAnsi" w:hAnsiTheme="majorHAnsi" w:cs="Times New Roman"/>
          <w:lang w:val="fr-CH"/>
        </w:rPr>
        <w:t xml:space="preserve"> et </w:t>
      </w:r>
      <w:r w:rsidR="006765B1">
        <w:rPr>
          <w:rFonts w:asciiTheme="majorHAnsi" w:hAnsiTheme="majorHAnsi" w:cs="Times New Roman"/>
          <w:lang w:val="fr-CH"/>
        </w:rPr>
        <w:t>il a élaboré un P</w:t>
      </w:r>
      <w:r w:rsidR="00AD6BC3" w:rsidRPr="00AD6BC3">
        <w:rPr>
          <w:rFonts w:asciiTheme="majorHAnsi" w:hAnsiTheme="majorHAnsi" w:cs="Times New Roman"/>
          <w:lang w:val="fr-CH"/>
        </w:rPr>
        <w:t xml:space="preserve">lan d'action </w:t>
      </w:r>
      <w:r w:rsidR="006765B1">
        <w:rPr>
          <w:rFonts w:asciiTheme="majorHAnsi" w:hAnsiTheme="majorHAnsi" w:cs="Times New Roman"/>
          <w:lang w:val="fr-CH"/>
        </w:rPr>
        <w:t>2016-</w:t>
      </w:r>
      <w:r w:rsidR="00AD6BC3" w:rsidRPr="00AD6BC3">
        <w:rPr>
          <w:rFonts w:asciiTheme="majorHAnsi" w:hAnsiTheme="majorHAnsi" w:cs="Times New Roman"/>
          <w:lang w:val="fr-CH"/>
        </w:rPr>
        <w:t>2018 pour guider ses actions.  Le Plan a été revu afin d'en améliorer l</w:t>
      </w:r>
      <w:r w:rsidR="006765B1">
        <w:rPr>
          <w:rFonts w:asciiTheme="majorHAnsi" w:hAnsiTheme="majorHAnsi" w:cs="Times New Roman"/>
          <w:lang w:val="fr-CH"/>
        </w:rPr>
        <w:t xml:space="preserve">e centrage </w:t>
      </w:r>
      <w:r w:rsidR="00AD6BC3" w:rsidRPr="00AD6BC3">
        <w:rPr>
          <w:rFonts w:asciiTheme="majorHAnsi" w:hAnsiTheme="majorHAnsi" w:cs="Times New Roman"/>
          <w:lang w:val="fr-CH"/>
        </w:rPr>
        <w:t xml:space="preserve">et, </w:t>
      </w:r>
      <w:r w:rsidR="006765B1">
        <w:rPr>
          <w:rFonts w:asciiTheme="majorHAnsi" w:hAnsiTheme="majorHAnsi" w:cs="Times New Roman"/>
          <w:lang w:val="fr-CH"/>
        </w:rPr>
        <w:t>lors de la 53</w:t>
      </w:r>
      <w:r w:rsidR="006765B1" w:rsidRPr="006765B1">
        <w:rPr>
          <w:rFonts w:asciiTheme="majorHAnsi" w:hAnsiTheme="majorHAnsi" w:cs="Times New Roman"/>
          <w:vertAlign w:val="superscript"/>
          <w:lang w:val="fr-CH"/>
        </w:rPr>
        <w:t>e</w:t>
      </w:r>
      <w:r w:rsidR="006765B1">
        <w:rPr>
          <w:rFonts w:asciiTheme="majorHAnsi" w:hAnsiTheme="majorHAnsi" w:cs="Times New Roman"/>
          <w:lang w:val="fr-CH"/>
        </w:rPr>
        <w:t xml:space="preserve"> Réunion du</w:t>
      </w:r>
      <w:r w:rsidR="00AD6BC3" w:rsidRPr="00AD6BC3">
        <w:rPr>
          <w:rFonts w:asciiTheme="majorHAnsi" w:hAnsiTheme="majorHAnsi" w:cs="Times New Roman"/>
          <w:lang w:val="fr-CH"/>
        </w:rPr>
        <w:t xml:space="preserve"> Comité permanent, </w:t>
      </w:r>
      <w:r w:rsidR="006765B1">
        <w:rPr>
          <w:rFonts w:asciiTheme="majorHAnsi" w:hAnsiTheme="majorHAnsi" w:cs="Times New Roman"/>
          <w:lang w:val="fr-CH"/>
        </w:rPr>
        <w:t xml:space="preserve">un </w:t>
      </w:r>
      <w:hyperlink r:id="rId9" w:history="1">
        <w:r w:rsidR="006765B1" w:rsidRPr="00805C19">
          <w:rPr>
            <w:rStyle w:val="Hyperlink"/>
            <w:rFonts w:asciiTheme="majorHAnsi" w:hAnsiTheme="majorHAnsi" w:cs="Times New Roman"/>
            <w:lang w:val="fr-CH"/>
          </w:rPr>
          <w:t>rapport sur les progrès réalisés dans l’application du Plan d'action</w:t>
        </w:r>
      </w:hyperlink>
      <w:r w:rsidR="0017435A">
        <w:rPr>
          <w:rFonts w:asciiTheme="majorHAnsi" w:hAnsiTheme="majorHAnsi" w:cs="Times New Roman"/>
          <w:lang w:val="fr-CH"/>
        </w:rPr>
        <w:t xml:space="preserve"> a </w:t>
      </w:r>
      <w:r w:rsidR="00AD6BC3" w:rsidRPr="00AD6BC3">
        <w:rPr>
          <w:rFonts w:asciiTheme="majorHAnsi" w:hAnsiTheme="majorHAnsi" w:cs="Times New Roman"/>
          <w:lang w:val="fr-CH"/>
        </w:rPr>
        <w:t xml:space="preserve">été publié.  </w:t>
      </w:r>
      <w:r w:rsidR="0017435A">
        <w:rPr>
          <w:rFonts w:asciiTheme="majorHAnsi" w:hAnsiTheme="majorHAnsi" w:cs="Times New Roman"/>
          <w:lang w:val="fr-CH"/>
        </w:rPr>
        <w:t>À des fins de cohésion</w:t>
      </w:r>
      <w:r w:rsidR="00AD6BC3" w:rsidRPr="00AD6BC3">
        <w:rPr>
          <w:rFonts w:asciiTheme="majorHAnsi" w:hAnsiTheme="majorHAnsi" w:cs="Times New Roman"/>
          <w:lang w:val="fr-CH"/>
        </w:rPr>
        <w:t>, le Plan d'action de la CESP a été intégré dans les plans de travail annuels et triennaux du Secrétariat</w:t>
      </w:r>
      <w:r w:rsidR="00C64326" w:rsidRPr="00BA22DE">
        <w:rPr>
          <w:rFonts w:asciiTheme="majorHAnsi" w:hAnsiTheme="majorHAnsi" w:cs="Times New Roman"/>
          <w:lang w:val="fr-CH"/>
        </w:rPr>
        <w:t xml:space="preserve">.  </w:t>
      </w:r>
    </w:p>
    <w:p w14:paraId="519C50B1" w14:textId="77777777" w:rsidR="004C3670" w:rsidRPr="00BA22DE" w:rsidRDefault="004C3670" w:rsidP="004C3670">
      <w:pPr>
        <w:pStyle w:val="BodyText"/>
        <w:widowControl/>
        <w:tabs>
          <w:tab w:val="left" w:pos="544"/>
        </w:tabs>
        <w:ind w:left="425" w:hanging="425"/>
        <w:rPr>
          <w:rFonts w:asciiTheme="majorHAnsi" w:hAnsiTheme="majorHAnsi"/>
          <w:lang w:val="fr-CH"/>
        </w:rPr>
      </w:pPr>
    </w:p>
    <w:p w14:paraId="6AAEC854" w14:textId="219DD2E7" w:rsidR="00C64326" w:rsidRPr="00BA22DE" w:rsidRDefault="004C3670"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lang w:val="fr-CH"/>
        </w:rPr>
        <w:t>10.</w:t>
      </w:r>
      <w:r w:rsidRPr="00BA22DE">
        <w:rPr>
          <w:rFonts w:asciiTheme="majorHAnsi" w:hAnsiTheme="majorHAnsi"/>
          <w:lang w:val="fr-CH"/>
        </w:rPr>
        <w:tab/>
      </w:r>
      <w:r w:rsidR="0017435A">
        <w:rPr>
          <w:rFonts w:asciiTheme="majorHAnsi" w:hAnsiTheme="majorHAnsi"/>
          <w:lang w:val="fr-CH"/>
        </w:rPr>
        <w:t>Des O</w:t>
      </w:r>
      <w:r w:rsidR="0017435A" w:rsidRPr="0017435A">
        <w:rPr>
          <w:rFonts w:asciiTheme="majorHAnsi" w:hAnsiTheme="majorHAnsi"/>
          <w:lang w:val="fr-CH"/>
        </w:rPr>
        <w:t>rganisations internationales partena</w:t>
      </w:r>
      <w:r w:rsidR="0017435A">
        <w:rPr>
          <w:rFonts w:asciiTheme="majorHAnsi" w:hAnsiTheme="majorHAnsi"/>
          <w:lang w:val="fr-CH"/>
        </w:rPr>
        <w:t xml:space="preserve">ires (Birdlife International, </w:t>
      </w:r>
      <w:r w:rsidR="00C21D00" w:rsidRPr="00C21D00">
        <w:rPr>
          <w:rFonts w:asciiTheme="majorHAnsi" w:hAnsiTheme="majorHAnsi"/>
          <w:lang w:val="fr-CH"/>
        </w:rPr>
        <w:t>Institut international de gestion de l'eau</w:t>
      </w:r>
      <w:r w:rsidR="00C21D00">
        <w:rPr>
          <w:rFonts w:asciiTheme="majorHAnsi" w:hAnsiTheme="majorHAnsi"/>
          <w:lang w:val="fr-CH"/>
        </w:rPr>
        <w:t xml:space="preserve">, </w:t>
      </w:r>
      <w:r w:rsidR="0017435A">
        <w:rPr>
          <w:rFonts w:asciiTheme="majorHAnsi" w:hAnsiTheme="majorHAnsi"/>
          <w:lang w:val="fr-CH"/>
        </w:rPr>
        <w:t>UICN, Wetlands International,</w:t>
      </w:r>
      <w:r w:rsidR="0017435A" w:rsidRPr="0017435A">
        <w:rPr>
          <w:rFonts w:asciiTheme="majorHAnsi" w:hAnsiTheme="majorHAnsi"/>
          <w:lang w:val="fr-CH"/>
        </w:rPr>
        <w:t xml:space="preserve"> W</w:t>
      </w:r>
      <w:r w:rsidR="00C21D00">
        <w:rPr>
          <w:rFonts w:asciiTheme="majorHAnsi" w:hAnsiTheme="majorHAnsi"/>
          <w:lang w:val="fr-CH"/>
        </w:rPr>
        <w:t>ildfowl and Wetlands Trust et</w:t>
      </w:r>
      <w:r w:rsidR="0017435A" w:rsidRPr="0017435A">
        <w:rPr>
          <w:rFonts w:asciiTheme="majorHAnsi" w:hAnsiTheme="majorHAnsi"/>
          <w:lang w:val="fr-CH"/>
        </w:rPr>
        <w:t xml:space="preserve"> </w:t>
      </w:r>
      <w:r w:rsidR="000A5212">
        <w:rPr>
          <w:rFonts w:asciiTheme="majorHAnsi" w:hAnsiTheme="majorHAnsi"/>
          <w:lang w:val="fr-CH"/>
        </w:rPr>
        <w:t>WWF</w:t>
      </w:r>
      <w:r w:rsidR="0017435A" w:rsidRPr="0017435A">
        <w:rPr>
          <w:rFonts w:asciiTheme="majorHAnsi" w:hAnsiTheme="majorHAnsi"/>
          <w:lang w:val="fr-CH"/>
        </w:rPr>
        <w:t>) ont activement contribué à promouvoir la Convention et à mettre en œ</w:t>
      </w:r>
      <w:r w:rsidR="00C21D00">
        <w:rPr>
          <w:rFonts w:asciiTheme="majorHAnsi" w:hAnsiTheme="majorHAnsi"/>
          <w:lang w:val="fr-CH"/>
        </w:rPr>
        <w:t>uvre le Plan stratégique Ramsar</w:t>
      </w:r>
      <w:r w:rsidR="00C64326" w:rsidRPr="00BA22DE">
        <w:rPr>
          <w:rFonts w:asciiTheme="majorHAnsi" w:hAnsiTheme="majorHAnsi" w:cs="Times New Roman"/>
          <w:lang w:val="fr-CH"/>
        </w:rPr>
        <w:t>.</w:t>
      </w:r>
    </w:p>
    <w:p w14:paraId="7BD26217" w14:textId="77777777" w:rsidR="004C3670" w:rsidRPr="00BA22DE" w:rsidRDefault="004C3670" w:rsidP="004C3670">
      <w:pPr>
        <w:pStyle w:val="BodyText"/>
        <w:widowControl/>
        <w:tabs>
          <w:tab w:val="left" w:pos="544"/>
        </w:tabs>
        <w:ind w:left="425" w:hanging="425"/>
        <w:rPr>
          <w:rFonts w:asciiTheme="majorHAnsi" w:hAnsiTheme="majorHAnsi" w:cs="Times New Roman"/>
          <w:lang w:val="fr-CH"/>
        </w:rPr>
      </w:pPr>
    </w:p>
    <w:p w14:paraId="4E483B45" w14:textId="45F9667D" w:rsidR="00C64326" w:rsidRPr="00BA22DE" w:rsidRDefault="004C3670"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cs="Times New Roman"/>
          <w:lang w:val="fr-CH"/>
        </w:rPr>
        <w:t>11.</w:t>
      </w:r>
      <w:r w:rsidRPr="00BA22DE">
        <w:rPr>
          <w:rFonts w:asciiTheme="majorHAnsi" w:hAnsiTheme="majorHAnsi" w:cs="Times New Roman"/>
          <w:lang w:val="fr-CH"/>
        </w:rPr>
        <w:tab/>
      </w:r>
      <w:r w:rsidR="00C21D00" w:rsidRPr="00C21D00">
        <w:rPr>
          <w:rFonts w:asciiTheme="majorHAnsi" w:hAnsiTheme="majorHAnsi" w:cs="Times New Roman"/>
          <w:lang w:val="fr-CH"/>
        </w:rPr>
        <w:t xml:space="preserve">Le Groupe de surveillance </w:t>
      </w:r>
      <w:r w:rsidR="00C21D00">
        <w:rPr>
          <w:rFonts w:asciiTheme="majorHAnsi" w:hAnsiTheme="majorHAnsi" w:cs="Times New Roman"/>
          <w:lang w:val="fr-CH"/>
        </w:rPr>
        <w:t xml:space="preserve">des activités </w:t>
      </w:r>
      <w:r w:rsidR="00C21D00" w:rsidRPr="00C21D00">
        <w:rPr>
          <w:rFonts w:asciiTheme="majorHAnsi" w:hAnsiTheme="majorHAnsi" w:cs="Times New Roman"/>
          <w:lang w:val="fr-CH"/>
        </w:rPr>
        <w:t>de CESP a été créé en 2006 (</w:t>
      </w:r>
      <w:r w:rsidR="00C21D00">
        <w:rPr>
          <w:rFonts w:asciiTheme="majorHAnsi" w:hAnsiTheme="majorHAnsi" w:cs="Times New Roman"/>
          <w:lang w:val="fr-CH"/>
        </w:rPr>
        <w:t>lors de la 34</w:t>
      </w:r>
      <w:r w:rsidR="00C21D00" w:rsidRPr="00C21D00">
        <w:rPr>
          <w:rFonts w:asciiTheme="majorHAnsi" w:hAnsiTheme="majorHAnsi" w:cs="Times New Roman"/>
          <w:vertAlign w:val="superscript"/>
          <w:lang w:val="fr-CH"/>
        </w:rPr>
        <w:t>e</w:t>
      </w:r>
      <w:r w:rsidR="00C21D00">
        <w:rPr>
          <w:rFonts w:asciiTheme="majorHAnsi" w:hAnsiTheme="majorHAnsi" w:cs="Times New Roman"/>
          <w:lang w:val="fr-CH"/>
        </w:rPr>
        <w:t xml:space="preserve"> Réunion du</w:t>
      </w:r>
      <w:r w:rsidR="00C21D00" w:rsidRPr="00C21D00">
        <w:rPr>
          <w:rFonts w:asciiTheme="majorHAnsi" w:hAnsiTheme="majorHAnsi" w:cs="Times New Roman"/>
          <w:lang w:val="fr-CH"/>
        </w:rPr>
        <w:t xml:space="preserve"> Comité permanent, suite à la Résolution IX.18) pour suivre et rendre compte des questions </w:t>
      </w:r>
      <w:r w:rsidR="004C491F">
        <w:rPr>
          <w:rFonts w:asciiTheme="majorHAnsi" w:hAnsiTheme="majorHAnsi" w:cs="Times New Roman"/>
          <w:lang w:val="fr-CH"/>
        </w:rPr>
        <w:t>liées à la</w:t>
      </w:r>
      <w:r w:rsidR="00C21D00" w:rsidRPr="00C21D00">
        <w:rPr>
          <w:rFonts w:asciiTheme="majorHAnsi" w:hAnsiTheme="majorHAnsi" w:cs="Times New Roman"/>
          <w:lang w:val="fr-CH"/>
        </w:rPr>
        <w:t xml:space="preserve"> CESP au niveau national au sein de la Convention et des progrès d</w:t>
      </w:r>
      <w:r w:rsidR="004C491F">
        <w:rPr>
          <w:rFonts w:asciiTheme="majorHAnsi" w:hAnsiTheme="majorHAnsi" w:cs="Times New Roman"/>
          <w:lang w:val="fr-CH"/>
        </w:rPr>
        <w:t>’application du P</w:t>
      </w:r>
      <w:r w:rsidR="00C21D00" w:rsidRPr="00C21D00">
        <w:rPr>
          <w:rFonts w:asciiTheme="majorHAnsi" w:hAnsiTheme="majorHAnsi" w:cs="Times New Roman"/>
          <w:lang w:val="fr-CH"/>
        </w:rPr>
        <w:t xml:space="preserve">rogramme </w:t>
      </w:r>
      <w:r w:rsidR="004C491F">
        <w:rPr>
          <w:rFonts w:asciiTheme="majorHAnsi" w:hAnsiTheme="majorHAnsi" w:cs="Times New Roman"/>
          <w:lang w:val="fr-CH"/>
        </w:rPr>
        <w:t xml:space="preserve">de </w:t>
      </w:r>
      <w:r w:rsidR="00C21D00" w:rsidRPr="00C21D00">
        <w:rPr>
          <w:rFonts w:asciiTheme="majorHAnsi" w:hAnsiTheme="majorHAnsi" w:cs="Times New Roman"/>
          <w:lang w:val="fr-CH"/>
        </w:rPr>
        <w:t>CESP</w:t>
      </w:r>
      <w:r w:rsidR="00C64326" w:rsidRPr="00BA22DE">
        <w:rPr>
          <w:rFonts w:asciiTheme="majorHAnsi" w:hAnsiTheme="majorHAnsi" w:cs="Times New Roman"/>
          <w:lang w:val="fr-CH"/>
        </w:rPr>
        <w:t xml:space="preserve">.  </w:t>
      </w:r>
    </w:p>
    <w:p w14:paraId="0A48936C" w14:textId="77777777" w:rsidR="004C3670" w:rsidRPr="00BA22DE" w:rsidRDefault="004C3670" w:rsidP="004C3670">
      <w:pPr>
        <w:pStyle w:val="BodyText"/>
        <w:widowControl/>
        <w:tabs>
          <w:tab w:val="left" w:pos="544"/>
        </w:tabs>
        <w:ind w:left="425" w:hanging="425"/>
        <w:rPr>
          <w:rFonts w:asciiTheme="majorHAnsi" w:hAnsiTheme="majorHAnsi" w:cs="Times New Roman"/>
          <w:lang w:val="fr-CH"/>
        </w:rPr>
      </w:pPr>
    </w:p>
    <w:p w14:paraId="4416B077" w14:textId="5F982A34" w:rsidR="00C64326" w:rsidRPr="00BA22DE" w:rsidRDefault="004C3670"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cs="Times New Roman"/>
          <w:lang w:val="fr-CH"/>
        </w:rPr>
        <w:t>12.</w:t>
      </w:r>
      <w:r w:rsidRPr="00BA22DE">
        <w:rPr>
          <w:rFonts w:asciiTheme="majorHAnsi" w:hAnsiTheme="majorHAnsi" w:cs="Times New Roman"/>
          <w:lang w:val="fr-CH"/>
        </w:rPr>
        <w:tab/>
      </w:r>
      <w:r w:rsidR="004C491F" w:rsidRPr="004C491F">
        <w:rPr>
          <w:rFonts w:asciiTheme="majorHAnsi" w:hAnsiTheme="majorHAnsi" w:cs="Times New Roman"/>
          <w:lang w:val="fr-CH"/>
        </w:rPr>
        <w:t>Le Secrétariat et le Groupe de surveillance de</w:t>
      </w:r>
      <w:r w:rsidR="004C491F">
        <w:rPr>
          <w:rFonts w:asciiTheme="majorHAnsi" w:hAnsiTheme="majorHAnsi" w:cs="Times New Roman"/>
          <w:lang w:val="fr-CH"/>
        </w:rPr>
        <w:t>s activités de CESP</w:t>
      </w:r>
      <w:r w:rsidR="004C491F" w:rsidRPr="004C491F">
        <w:rPr>
          <w:rFonts w:asciiTheme="majorHAnsi" w:hAnsiTheme="majorHAnsi" w:cs="Times New Roman"/>
          <w:lang w:val="fr-CH"/>
        </w:rPr>
        <w:t xml:space="preserve"> ont contribué au présent rapport</w:t>
      </w:r>
      <w:r w:rsidR="00C64326" w:rsidRPr="00BA22DE">
        <w:rPr>
          <w:rFonts w:asciiTheme="majorHAnsi" w:hAnsiTheme="majorHAnsi" w:cs="Times New Roman"/>
          <w:lang w:val="fr-CH"/>
        </w:rPr>
        <w:t>.</w:t>
      </w:r>
    </w:p>
    <w:p w14:paraId="1D4C5507" w14:textId="77777777" w:rsidR="004C3670" w:rsidRPr="00BA22DE" w:rsidRDefault="004C3670" w:rsidP="004C3670">
      <w:pPr>
        <w:pStyle w:val="BodyText"/>
        <w:widowControl/>
        <w:tabs>
          <w:tab w:val="left" w:pos="544"/>
        </w:tabs>
        <w:ind w:left="425" w:hanging="425"/>
        <w:rPr>
          <w:rFonts w:asciiTheme="majorHAnsi" w:hAnsiTheme="majorHAnsi" w:cs="Times New Roman"/>
          <w:lang w:val="fr-CH"/>
        </w:rPr>
      </w:pPr>
    </w:p>
    <w:p w14:paraId="357C9C5F" w14:textId="7E1A8B22" w:rsidR="00C64326" w:rsidRPr="00BA22DE" w:rsidRDefault="00E200AF" w:rsidP="004C3670">
      <w:pPr>
        <w:autoSpaceDE w:val="0"/>
        <w:autoSpaceDN w:val="0"/>
        <w:adjustRightInd w:val="0"/>
        <w:rPr>
          <w:rFonts w:asciiTheme="majorHAnsi" w:hAnsiTheme="majorHAnsi" w:cs="Calibri"/>
          <w:bCs/>
          <w:sz w:val="22"/>
          <w:szCs w:val="22"/>
          <w:u w:val="single"/>
          <w:lang w:val="fr-CH"/>
        </w:rPr>
      </w:pPr>
      <w:r>
        <w:rPr>
          <w:rFonts w:asciiTheme="majorHAnsi" w:hAnsiTheme="majorHAnsi" w:cs="Calibri"/>
          <w:bCs/>
          <w:sz w:val="22"/>
          <w:szCs w:val="22"/>
          <w:u w:val="single"/>
          <w:lang w:val="fr-CH"/>
        </w:rPr>
        <w:t xml:space="preserve">Progrès réalisés en termes de CESP </w:t>
      </w:r>
      <w:r w:rsidR="00A93FDE">
        <w:rPr>
          <w:rFonts w:asciiTheme="majorHAnsi" w:hAnsiTheme="majorHAnsi" w:cs="Calibri"/>
          <w:bCs/>
          <w:sz w:val="22"/>
          <w:szCs w:val="22"/>
          <w:u w:val="single"/>
          <w:lang w:val="fr-CH"/>
        </w:rPr>
        <w:t xml:space="preserve">pendant la période </w:t>
      </w:r>
      <w:r w:rsidR="00C64326" w:rsidRPr="00BA22DE">
        <w:rPr>
          <w:rFonts w:asciiTheme="majorHAnsi" w:hAnsiTheme="majorHAnsi" w:cs="Calibri"/>
          <w:bCs/>
          <w:sz w:val="22"/>
          <w:szCs w:val="22"/>
          <w:u w:val="single"/>
          <w:lang w:val="fr-CH"/>
        </w:rPr>
        <w:t>2016-2018</w:t>
      </w:r>
    </w:p>
    <w:p w14:paraId="41784043" w14:textId="77777777" w:rsidR="004C3670" w:rsidRPr="00BA22DE" w:rsidRDefault="004C3670" w:rsidP="004C3670">
      <w:pPr>
        <w:pStyle w:val="BodyText"/>
        <w:widowControl/>
        <w:tabs>
          <w:tab w:val="left" w:pos="544"/>
        </w:tabs>
        <w:ind w:left="425" w:hanging="425"/>
        <w:rPr>
          <w:rFonts w:asciiTheme="majorHAnsi" w:hAnsiTheme="majorHAnsi"/>
          <w:lang w:val="fr-CH"/>
        </w:rPr>
      </w:pPr>
    </w:p>
    <w:p w14:paraId="0887CBDF" w14:textId="2361B0FF" w:rsidR="00C64326" w:rsidRPr="00BA22DE" w:rsidRDefault="004C3670"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lang w:val="fr-CH"/>
        </w:rPr>
        <w:t>13.</w:t>
      </w:r>
      <w:r w:rsidRPr="00BA22DE">
        <w:rPr>
          <w:rFonts w:asciiTheme="majorHAnsi" w:hAnsiTheme="majorHAnsi"/>
          <w:lang w:val="fr-CH"/>
        </w:rPr>
        <w:tab/>
      </w:r>
      <w:r w:rsidR="00A93FDE" w:rsidRPr="00A93FDE">
        <w:rPr>
          <w:rFonts w:asciiTheme="majorHAnsi" w:hAnsiTheme="majorHAnsi"/>
          <w:lang w:val="fr-CH"/>
        </w:rPr>
        <w:t xml:space="preserve">L'évaluation </w:t>
      </w:r>
      <w:r w:rsidR="00A93FDE">
        <w:rPr>
          <w:rFonts w:asciiTheme="majorHAnsi" w:hAnsiTheme="majorHAnsi"/>
          <w:lang w:val="fr-CH"/>
        </w:rPr>
        <w:t xml:space="preserve">ci-dessous </w:t>
      </w:r>
      <w:r w:rsidR="00A93FDE" w:rsidRPr="00A93FDE">
        <w:rPr>
          <w:rFonts w:asciiTheme="majorHAnsi" w:hAnsiTheme="majorHAnsi"/>
          <w:lang w:val="fr-CH"/>
        </w:rPr>
        <w:t xml:space="preserve">des progrès réalisés </w:t>
      </w:r>
      <w:r w:rsidR="008F045C">
        <w:rPr>
          <w:rFonts w:asciiTheme="majorHAnsi" w:hAnsiTheme="majorHAnsi"/>
          <w:lang w:val="fr-CH"/>
        </w:rPr>
        <w:t>en matière de mise en œuvre du P</w:t>
      </w:r>
      <w:r w:rsidR="00A93FDE" w:rsidRPr="00A93FDE">
        <w:rPr>
          <w:rFonts w:asciiTheme="majorHAnsi" w:hAnsiTheme="majorHAnsi"/>
          <w:lang w:val="fr-CH"/>
        </w:rPr>
        <w:t xml:space="preserve">rogramme de CESP s'appuie sur une analyse des rapports nationaux des Parties contractantes </w:t>
      </w:r>
      <w:r w:rsidR="008F045C">
        <w:rPr>
          <w:rFonts w:asciiTheme="majorHAnsi" w:hAnsiTheme="majorHAnsi"/>
          <w:lang w:val="fr-CH"/>
        </w:rPr>
        <w:t xml:space="preserve">soumis </w:t>
      </w:r>
      <w:r w:rsidR="00A93FDE" w:rsidRPr="00A93FDE">
        <w:rPr>
          <w:rFonts w:asciiTheme="majorHAnsi" w:hAnsiTheme="majorHAnsi"/>
          <w:lang w:val="fr-CH"/>
        </w:rPr>
        <w:t>à la</w:t>
      </w:r>
      <w:r w:rsidR="008F045C">
        <w:rPr>
          <w:rFonts w:asciiTheme="majorHAnsi" w:hAnsiTheme="majorHAnsi"/>
          <w:lang w:val="fr-CH"/>
        </w:rPr>
        <w:t xml:space="preserve"> CO</w:t>
      </w:r>
      <w:r w:rsidR="00A93FDE" w:rsidRPr="00A93FDE">
        <w:rPr>
          <w:rFonts w:asciiTheme="majorHAnsi" w:hAnsiTheme="majorHAnsi"/>
          <w:lang w:val="fr-CH"/>
        </w:rPr>
        <w:t>P13 et sur les rapports du Secrétariat sur sa mise</w:t>
      </w:r>
      <w:r w:rsidR="00A93FDE">
        <w:rPr>
          <w:rFonts w:asciiTheme="majorHAnsi" w:hAnsiTheme="majorHAnsi"/>
          <w:lang w:val="fr-CH"/>
        </w:rPr>
        <w:t xml:space="preserve"> en œuvre du Plan d'action </w:t>
      </w:r>
      <w:r w:rsidR="008F045C">
        <w:rPr>
          <w:rFonts w:asciiTheme="majorHAnsi" w:hAnsiTheme="majorHAnsi"/>
          <w:lang w:val="fr-CH"/>
        </w:rPr>
        <w:t xml:space="preserve">de </w:t>
      </w:r>
      <w:r w:rsidR="00A93FDE">
        <w:rPr>
          <w:rFonts w:asciiTheme="majorHAnsi" w:hAnsiTheme="majorHAnsi"/>
          <w:lang w:val="fr-CH"/>
        </w:rPr>
        <w:t>CESP</w:t>
      </w:r>
      <w:r w:rsidR="00C64326" w:rsidRPr="00BA22DE">
        <w:rPr>
          <w:rFonts w:asciiTheme="majorHAnsi" w:hAnsiTheme="majorHAnsi" w:cs="Times New Roman"/>
          <w:lang w:val="fr-CH"/>
        </w:rPr>
        <w:t>.</w:t>
      </w:r>
    </w:p>
    <w:p w14:paraId="3685324E" w14:textId="77777777" w:rsidR="004C3670" w:rsidRPr="00BA22DE" w:rsidRDefault="004C3670" w:rsidP="004C3670">
      <w:pPr>
        <w:pStyle w:val="BodyText"/>
        <w:widowControl/>
        <w:tabs>
          <w:tab w:val="left" w:pos="544"/>
        </w:tabs>
        <w:ind w:left="425" w:hanging="425"/>
        <w:rPr>
          <w:rFonts w:asciiTheme="majorHAnsi" w:hAnsiTheme="majorHAnsi" w:cs="Times New Roman"/>
          <w:lang w:val="fr-CH"/>
        </w:rPr>
      </w:pPr>
    </w:p>
    <w:p w14:paraId="5CA4D7F1" w14:textId="213E5469" w:rsidR="00C64326" w:rsidRPr="00BA22DE" w:rsidRDefault="004C3670"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cs="Times New Roman"/>
          <w:lang w:val="fr-CH"/>
        </w:rPr>
        <w:t>14.</w:t>
      </w:r>
      <w:r w:rsidRPr="00BA22DE">
        <w:rPr>
          <w:rFonts w:asciiTheme="majorHAnsi" w:hAnsiTheme="majorHAnsi" w:cs="Times New Roman"/>
          <w:lang w:val="fr-CH"/>
        </w:rPr>
        <w:tab/>
      </w:r>
      <w:r w:rsidR="008F045C" w:rsidRPr="008F045C">
        <w:rPr>
          <w:rFonts w:asciiTheme="majorHAnsi" w:hAnsiTheme="majorHAnsi" w:cs="Times New Roman"/>
          <w:lang w:val="fr-CH"/>
        </w:rPr>
        <w:t xml:space="preserve">En ce qui </w:t>
      </w:r>
      <w:r w:rsidR="008F045C">
        <w:rPr>
          <w:rFonts w:asciiTheme="majorHAnsi" w:hAnsiTheme="majorHAnsi" w:cs="Times New Roman"/>
          <w:lang w:val="fr-CH"/>
        </w:rPr>
        <w:t>concerne les neuf buts du P</w:t>
      </w:r>
      <w:r w:rsidR="008F045C" w:rsidRPr="008F045C">
        <w:rPr>
          <w:rFonts w:asciiTheme="majorHAnsi" w:hAnsiTheme="majorHAnsi" w:cs="Times New Roman"/>
          <w:lang w:val="fr-CH"/>
        </w:rPr>
        <w:t>rogramme de CESP 2016-2024, les progrès suivants ont été réalisés au cours de la période triennale</w:t>
      </w:r>
      <w:r w:rsidR="008F045C">
        <w:rPr>
          <w:rFonts w:asciiTheme="majorHAnsi" w:hAnsiTheme="majorHAnsi" w:cs="Times New Roman"/>
          <w:lang w:val="fr-CH"/>
        </w:rPr>
        <w:t> :</w:t>
      </w:r>
    </w:p>
    <w:p w14:paraId="07827058" w14:textId="77777777" w:rsidR="004C3670" w:rsidRPr="00BA22DE" w:rsidRDefault="004C3670" w:rsidP="004C3670">
      <w:pPr>
        <w:pStyle w:val="BodyText"/>
        <w:widowControl/>
        <w:tabs>
          <w:tab w:val="left" w:pos="544"/>
        </w:tabs>
        <w:ind w:left="425" w:hanging="425"/>
        <w:rPr>
          <w:rFonts w:asciiTheme="majorHAnsi" w:hAnsiTheme="majorHAnsi" w:cs="Times New Roman"/>
          <w:lang w:val="fr-CH"/>
        </w:rPr>
      </w:pPr>
    </w:p>
    <w:p w14:paraId="3AFD1FA7" w14:textId="3F9A0E7B" w:rsidR="00C64326" w:rsidRPr="00BA22DE" w:rsidRDefault="00D7075A" w:rsidP="004C3670">
      <w:pPr>
        <w:keepNext/>
        <w:spacing w:after="200"/>
        <w:rPr>
          <w:rFonts w:asciiTheme="majorHAnsi" w:eastAsia="Calibri" w:hAnsiTheme="majorHAnsi" w:cs="Times New Roman"/>
          <w:i/>
          <w:sz w:val="22"/>
          <w:szCs w:val="22"/>
          <w:lang w:val="fr-CH"/>
        </w:rPr>
      </w:pPr>
      <w:r>
        <w:rPr>
          <w:rFonts w:asciiTheme="majorHAnsi" w:eastAsia="Calibri" w:hAnsiTheme="majorHAnsi" w:cs="Times New Roman"/>
          <w:i/>
          <w:sz w:val="22"/>
          <w:szCs w:val="22"/>
          <w:lang w:val="fr-CH"/>
        </w:rPr>
        <w:t>But</w:t>
      </w:r>
      <w:r w:rsidR="00C64326" w:rsidRPr="00BA22DE">
        <w:rPr>
          <w:rFonts w:asciiTheme="majorHAnsi" w:eastAsia="Calibri" w:hAnsiTheme="majorHAnsi" w:cs="Times New Roman"/>
          <w:i/>
          <w:sz w:val="22"/>
          <w:szCs w:val="22"/>
          <w:lang w:val="fr-CH"/>
        </w:rPr>
        <w:t xml:space="preserve"> 1 – Leadership, </w:t>
      </w:r>
      <w:r>
        <w:rPr>
          <w:rFonts w:asciiTheme="majorHAnsi" w:eastAsia="Calibri" w:hAnsiTheme="majorHAnsi" w:cs="Times New Roman"/>
          <w:i/>
          <w:sz w:val="22"/>
          <w:szCs w:val="22"/>
          <w:lang w:val="fr-CH"/>
        </w:rPr>
        <w:t>soutien institutionnel et réseaux</w:t>
      </w:r>
    </w:p>
    <w:p w14:paraId="1BB4211D" w14:textId="2DFBD87D" w:rsidR="00C64326" w:rsidRPr="00BA22DE" w:rsidRDefault="00D7075A" w:rsidP="00D7075A">
      <w:pPr>
        <w:numPr>
          <w:ilvl w:val="0"/>
          <w:numId w:val="17"/>
        </w:numPr>
        <w:spacing w:after="200"/>
        <w:contextualSpacing/>
        <w:rPr>
          <w:rFonts w:asciiTheme="majorHAnsi" w:eastAsia="Calibri" w:hAnsiTheme="majorHAnsi" w:cs="Times New Roman"/>
          <w:sz w:val="22"/>
          <w:szCs w:val="22"/>
          <w:lang w:val="fr-CH"/>
        </w:rPr>
      </w:pPr>
      <w:r w:rsidRPr="00D7075A">
        <w:rPr>
          <w:rFonts w:asciiTheme="majorHAnsi" w:eastAsia="Calibri" w:hAnsiTheme="majorHAnsi" w:cs="Times New Roman"/>
          <w:sz w:val="22"/>
          <w:szCs w:val="22"/>
          <w:lang w:val="fr-CH"/>
        </w:rPr>
        <w:t xml:space="preserve">Le Secrétaire général et les Parties contractantes ont accru la visibilité de Ramsar et amélioré l'engagement dans les processus de politiques stratégiques, par le biais de contributions aux indicateurs des objectifs de développement durable, au Congrès mondial de la nature de l'UICN (septembre 2016), à la Conférence des Nations Unies sur les océans (juin 2017), au Partenariat international pour le carbone bleu (septembre 2017), au Groupe de liaison des conventions </w:t>
      </w:r>
      <w:r w:rsidR="00CE747D">
        <w:rPr>
          <w:rFonts w:asciiTheme="majorHAnsi" w:eastAsia="Calibri" w:hAnsiTheme="majorHAnsi" w:cs="Times New Roman"/>
          <w:sz w:val="22"/>
          <w:szCs w:val="22"/>
          <w:lang w:val="fr-CH"/>
        </w:rPr>
        <w:t>relatives à</w:t>
      </w:r>
      <w:r w:rsidRPr="00D7075A">
        <w:rPr>
          <w:rFonts w:asciiTheme="majorHAnsi" w:eastAsia="Calibri" w:hAnsiTheme="majorHAnsi" w:cs="Times New Roman"/>
          <w:sz w:val="22"/>
          <w:szCs w:val="22"/>
          <w:lang w:val="fr-CH"/>
        </w:rPr>
        <w:t xml:space="preserve"> la diversité biologique (septembre 2017), </w:t>
      </w:r>
      <w:r w:rsidR="00D25946">
        <w:rPr>
          <w:rFonts w:asciiTheme="majorHAnsi" w:eastAsia="Calibri" w:hAnsiTheme="majorHAnsi" w:cs="Times New Roman"/>
          <w:sz w:val="22"/>
          <w:szCs w:val="22"/>
          <w:lang w:val="fr-CH"/>
        </w:rPr>
        <w:t xml:space="preserve">à la </w:t>
      </w:r>
      <w:r w:rsidRPr="00D7075A">
        <w:rPr>
          <w:rFonts w:asciiTheme="majorHAnsi" w:eastAsia="Calibri" w:hAnsiTheme="majorHAnsi" w:cs="Times New Roman"/>
          <w:sz w:val="22"/>
          <w:szCs w:val="22"/>
          <w:lang w:val="fr-CH"/>
        </w:rPr>
        <w:t>CMS (oct. 2017), à la CCNUCC (novembre 2016 et novembre 2017), à l'Assemblée générale de l'ONU (décembre 2017), au Forum politique à haut niveau pour le développement durable (juillet 2018)</w:t>
      </w:r>
      <w:r w:rsidR="00C64326" w:rsidRPr="00BA22DE">
        <w:rPr>
          <w:rFonts w:asciiTheme="majorHAnsi" w:eastAsia="Calibri" w:hAnsiTheme="majorHAnsi" w:cs="Times New Roman"/>
          <w:sz w:val="22"/>
          <w:szCs w:val="22"/>
          <w:lang w:val="fr-CH"/>
        </w:rPr>
        <w:t>.</w:t>
      </w:r>
    </w:p>
    <w:p w14:paraId="68670809" w14:textId="448B6312" w:rsidR="00C64326" w:rsidRPr="00BA22DE" w:rsidRDefault="00D25946" w:rsidP="00D25946">
      <w:pPr>
        <w:numPr>
          <w:ilvl w:val="0"/>
          <w:numId w:val="17"/>
        </w:numPr>
        <w:spacing w:after="200"/>
        <w:contextualSpacing/>
        <w:rPr>
          <w:rFonts w:asciiTheme="majorHAnsi" w:eastAsia="Calibri" w:hAnsiTheme="majorHAnsi" w:cs="Times New Roman"/>
          <w:sz w:val="22"/>
          <w:szCs w:val="22"/>
          <w:lang w:val="fr-CH"/>
        </w:rPr>
      </w:pPr>
      <w:r w:rsidRPr="00D25946">
        <w:rPr>
          <w:rFonts w:asciiTheme="majorHAnsi" w:eastAsia="Calibri" w:hAnsiTheme="majorHAnsi" w:cs="Times New Roman"/>
          <w:sz w:val="22"/>
          <w:szCs w:val="22"/>
          <w:lang w:val="fr-CH"/>
        </w:rPr>
        <w:t>La visibilité de la Convention de Ramsar est accrue grâce à InforMEA, le Portail d'information des Nations Unies sur les accords multilatéraux</w:t>
      </w:r>
      <w:r w:rsidR="007F4B56">
        <w:rPr>
          <w:rFonts w:asciiTheme="majorHAnsi" w:eastAsia="Calibri" w:hAnsiTheme="majorHAnsi" w:cs="Times New Roman"/>
          <w:sz w:val="22"/>
          <w:szCs w:val="22"/>
          <w:lang w:val="fr-CH"/>
        </w:rPr>
        <w:t xml:space="preserve"> sur l’environnement</w:t>
      </w:r>
      <w:r w:rsidRPr="00D25946">
        <w:rPr>
          <w:rFonts w:asciiTheme="majorHAnsi" w:eastAsia="Calibri" w:hAnsiTheme="majorHAnsi" w:cs="Times New Roman"/>
          <w:sz w:val="22"/>
          <w:szCs w:val="22"/>
          <w:lang w:val="fr-CH"/>
        </w:rPr>
        <w:t xml:space="preserve">. Le portail comprend actuellement 17 AME provenant de 12 secrétariats. Il est ouvert aux observateurs participant à la gestion de l'information et des données des AME. Le portail InforMEA </w:t>
      </w:r>
      <w:r w:rsidR="007F4B56">
        <w:rPr>
          <w:rFonts w:asciiTheme="majorHAnsi" w:eastAsia="Calibri" w:hAnsiTheme="majorHAnsi" w:cs="Times New Roman"/>
          <w:sz w:val="22"/>
          <w:szCs w:val="22"/>
          <w:lang w:val="fr-CH"/>
        </w:rPr>
        <w:t xml:space="preserve">regroupe </w:t>
      </w:r>
      <w:r w:rsidRPr="00D25946">
        <w:rPr>
          <w:rFonts w:asciiTheme="majorHAnsi" w:eastAsia="Calibri" w:hAnsiTheme="majorHAnsi" w:cs="Times New Roman"/>
          <w:sz w:val="22"/>
          <w:szCs w:val="22"/>
          <w:lang w:val="fr-CH"/>
        </w:rPr>
        <w:t xml:space="preserve">les décisions et résolutions de la COP de la Convention de Ramsar, </w:t>
      </w:r>
      <w:r w:rsidR="00911188">
        <w:rPr>
          <w:rFonts w:asciiTheme="majorHAnsi" w:eastAsia="Calibri" w:hAnsiTheme="majorHAnsi" w:cs="Times New Roman"/>
          <w:sz w:val="22"/>
          <w:szCs w:val="22"/>
          <w:lang w:val="fr-CH"/>
        </w:rPr>
        <w:t>donne la liste des pays membres, d</w:t>
      </w:r>
      <w:r w:rsidRPr="00D25946">
        <w:rPr>
          <w:rFonts w:asciiTheme="majorHAnsi" w:eastAsia="Calibri" w:hAnsiTheme="majorHAnsi" w:cs="Times New Roman"/>
          <w:sz w:val="22"/>
          <w:szCs w:val="22"/>
          <w:lang w:val="fr-CH"/>
        </w:rPr>
        <w:t xml:space="preserve">es </w:t>
      </w:r>
      <w:r w:rsidR="00F350C0">
        <w:rPr>
          <w:rFonts w:asciiTheme="majorHAnsi" w:eastAsia="Calibri" w:hAnsiTheme="majorHAnsi" w:cs="Times New Roman"/>
          <w:sz w:val="22"/>
          <w:szCs w:val="22"/>
          <w:lang w:val="fr-CH"/>
        </w:rPr>
        <w:t>C</w:t>
      </w:r>
      <w:r w:rsidR="007F4B56">
        <w:rPr>
          <w:rFonts w:asciiTheme="majorHAnsi" w:eastAsia="Calibri" w:hAnsiTheme="majorHAnsi" w:cs="Times New Roman"/>
          <w:sz w:val="22"/>
          <w:szCs w:val="22"/>
          <w:lang w:val="fr-CH"/>
        </w:rPr>
        <w:t xml:space="preserve">orrespondants </w:t>
      </w:r>
      <w:r w:rsidRPr="00D25946">
        <w:rPr>
          <w:rFonts w:asciiTheme="majorHAnsi" w:eastAsia="Calibri" w:hAnsiTheme="majorHAnsi" w:cs="Times New Roman"/>
          <w:sz w:val="22"/>
          <w:szCs w:val="22"/>
          <w:lang w:val="fr-CH"/>
        </w:rPr>
        <w:t>nationaux,</w:t>
      </w:r>
      <w:r w:rsidR="007F4B56">
        <w:rPr>
          <w:rFonts w:asciiTheme="majorHAnsi" w:eastAsia="Calibri" w:hAnsiTheme="majorHAnsi" w:cs="Times New Roman"/>
          <w:sz w:val="22"/>
          <w:szCs w:val="22"/>
          <w:lang w:val="fr-CH"/>
        </w:rPr>
        <w:t xml:space="preserve"> les rapports nationaux et les S</w:t>
      </w:r>
      <w:r w:rsidRPr="00D25946">
        <w:rPr>
          <w:rFonts w:asciiTheme="majorHAnsi" w:eastAsia="Calibri" w:hAnsiTheme="majorHAnsi" w:cs="Times New Roman"/>
          <w:sz w:val="22"/>
          <w:szCs w:val="22"/>
          <w:lang w:val="fr-CH"/>
        </w:rPr>
        <w:t xml:space="preserve">ites Ramsar (voir www.informea.org/en/treaties/ramsar). La plate-forme d'apprentissage InforMEA </w:t>
      </w:r>
      <w:r w:rsidR="00911188">
        <w:rPr>
          <w:rFonts w:asciiTheme="majorHAnsi" w:eastAsia="Calibri" w:hAnsiTheme="majorHAnsi" w:cs="Times New Roman"/>
          <w:sz w:val="22"/>
          <w:szCs w:val="22"/>
          <w:lang w:val="fr-CH"/>
        </w:rPr>
        <w:t>présente</w:t>
      </w:r>
      <w:r w:rsidRPr="00D25946">
        <w:rPr>
          <w:rFonts w:asciiTheme="majorHAnsi" w:eastAsia="Calibri" w:hAnsiTheme="majorHAnsi" w:cs="Times New Roman"/>
          <w:sz w:val="22"/>
          <w:szCs w:val="22"/>
          <w:lang w:val="fr-CH"/>
        </w:rPr>
        <w:t xml:space="preserve"> un cours d'introduction sur Ramsar</w:t>
      </w:r>
      <w:r w:rsidR="007F4B56">
        <w:rPr>
          <w:rFonts w:asciiTheme="majorHAnsi" w:eastAsia="Calibri" w:hAnsiTheme="majorHAnsi" w:cs="Times New Roman"/>
          <w:sz w:val="22"/>
          <w:szCs w:val="22"/>
          <w:lang w:val="fr-CH"/>
        </w:rPr>
        <w:t xml:space="preserve"> qui est très populaire</w:t>
      </w:r>
      <w:r w:rsidRPr="00D25946">
        <w:rPr>
          <w:rFonts w:asciiTheme="majorHAnsi" w:eastAsia="Calibri" w:hAnsiTheme="majorHAnsi" w:cs="Times New Roman"/>
          <w:sz w:val="22"/>
          <w:szCs w:val="22"/>
          <w:lang w:val="fr-CH"/>
        </w:rPr>
        <w:t xml:space="preserve"> et d'autres cours pertinents, comme une introduction à la gouvernance environnementale. Le Secrétariat Ramsar s'efforcera d'</w:t>
      </w:r>
      <w:r w:rsidR="00911188">
        <w:rPr>
          <w:rFonts w:asciiTheme="majorHAnsi" w:eastAsia="Calibri" w:hAnsiTheme="majorHAnsi" w:cs="Times New Roman"/>
          <w:sz w:val="22"/>
          <w:szCs w:val="22"/>
          <w:lang w:val="fr-CH"/>
        </w:rPr>
        <w:t xml:space="preserve">accroître l’éventail </w:t>
      </w:r>
      <w:r w:rsidRPr="00D25946">
        <w:rPr>
          <w:rFonts w:asciiTheme="majorHAnsi" w:eastAsia="Calibri" w:hAnsiTheme="majorHAnsi" w:cs="Times New Roman"/>
          <w:sz w:val="22"/>
          <w:szCs w:val="22"/>
          <w:lang w:val="fr-CH"/>
        </w:rPr>
        <w:t>de</w:t>
      </w:r>
      <w:r w:rsidR="00911188">
        <w:rPr>
          <w:rFonts w:asciiTheme="majorHAnsi" w:eastAsia="Calibri" w:hAnsiTheme="majorHAnsi" w:cs="Times New Roman"/>
          <w:sz w:val="22"/>
          <w:szCs w:val="22"/>
          <w:lang w:val="fr-CH"/>
        </w:rPr>
        <w:t>s</w:t>
      </w:r>
      <w:r w:rsidRPr="00D25946">
        <w:rPr>
          <w:rFonts w:asciiTheme="majorHAnsi" w:eastAsia="Calibri" w:hAnsiTheme="majorHAnsi" w:cs="Times New Roman"/>
          <w:sz w:val="22"/>
          <w:szCs w:val="22"/>
          <w:lang w:val="fr-CH"/>
        </w:rPr>
        <w:t xml:space="preserve"> contenus disponibles sur ce portail.</w:t>
      </w:r>
      <w:r w:rsidR="00C64326" w:rsidRPr="00BA22DE">
        <w:rPr>
          <w:rFonts w:asciiTheme="majorHAnsi" w:eastAsia="Calibri" w:hAnsiTheme="majorHAnsi" w:cs="Times New Roman"/>
          <w:sz w:val="22"/>
          <w:szCs w:val="22"/>
          <w:lang w:val="fr-CH"/>
        </w:rPr>
        <w:t xml:space="preserve"> </w:t>
      </w:r>
    </w:p>
    <w:p w14:paraId="53AC2B71" w14:textId="0376CD0D" w:rsidR="00C64326" w:rsidRPr="00BA22DE" w:rsidRDefault="00F65F35" w:rsidP="00F65F35">
      <w:pPr>
        <w:numPr>
          <w:ilvl w:val="0"/>
          <w:numId w:val="17"/>
        </w:numPr>
        <w:spacing w:after="200"/>
        <w:contextualSpacing/>
        <w:rPr>
          <w:rFonts w:asciiTheme="majorHAnsi" w:eastAsia="Calibri" w:hAnsiTheme="majorHAnsi" w:cs="Times New Roman"/>
          <w:sz w:val="22"/>
          <w:szCs w:val="22"/>
          <w:lang w:val="fr-CH"/>
        </w:rPr>
      </w:pPr>
      <w:r w:rsidRPr="00F65F35">
        <w:rPr>
          <w:rFonts w:asciiTheme="majorHAnsi" w:eastAsia="Calibri" w:hAnsiTheme="majorHAnsi" w:cs="Times New Roman"/>
          <w:sz w:val="22"/>
          <w:szCs w:val="22"/>
          <w:lang w:val="fr-CH"/>
        </w:rPr>
        <w:t xml:space="preserve">Des plans d'action </w:t>
      </w:r>
      <w:r>
        <w:rPr>
          <w:rFonts w:asciiTheme="majorHAnsi" w:eastAsia="Calibri" w:hAnsiTheme="majorHAnsi" w:cs="Times New Roman"/>
          <w:sz w:val="22"/>
          <w:szCs w:val="22"/>
          <w:lang w:val="fr-CH"/>
        </w:rPr>
        <w:t>de</w:t>
      </w:r>
      <w:r w:rsidRPr="00F65F35">
        <w:rPr>
          <w:rFonts w:asciiTheme="majorHAnsi" w:eastAsia="Calibri" w:hAnsiTheme="majorHAnsi" w:cs="Times New Roman"/>
          <w:sz w:val="22"/>
          <w:szCs w:val="22"/>
          <w:lang w:val="fr-CH"/>
        </w:rPr>
        <w:t xml:space="preserve"> CESP </w:t>
      </w:r>
      <w:r>
        <w:rPr>
          <w:rFonts w:asciiTheme="majorHAnsi" w:eastAsia="Calibri" w:hAnsiTheme="majorHAnsi" w:cs="Times New Roman"/>
          <w:sz w:val="22"/>
          <w:szCs w:val="22"/>
          <w:lang w:val="fr-CH"/>
        </w:rPr>
        <w:t>en faveur des</w:t>
      </w:r>
      <w:r w:rsidRPr="00F65F35">
        <w:rPr>
          <w:rFonts w:asciiTheme="majorHAnsi" w:eastAsia="Calibri" w:hAnsiTheme="majorHAnsi" w:cs="Times New Roman"/>
          <w:sz w:val="22"/>
          <w:szCs w:val="22"/>
          <w:lang w:val="fr-CH"/>
        </w:rPr>
        <w:t xml:space="preserve"> zones humides sont en place dans 24 % des Parties contractantes (une légère baisse par rapport aux 27 % signalés à la COP12).  Des plans locaux au niveau des sites sont en place dans 36 % des Parties.  Cette faible participation doit faire l'objet d'un examen plus approfondi pour comprendre les facteurs qui </w:t>
      </w:r>
      <w:r w:rsidR="0033529E">
        <w:rPr>
          <w:rFonts w:asciiTheme="majorHAnsi" w:eastAsia="Calibri" w:hAnsiTheme="majorHAnsi" w:cs="Times New Roman"/>
          <w:sz w:val="22"/>
          <w:szCs w:val="22"/>
          <w:lang w:val="fr-CH"/>
        </w:rPr>
        <w:t xml:space="preserve">sous-tendent </w:t>
      </w:r>
      <w:r w:rsidRPr="00F65F35">
        <w:rPr>
          <w:rFonts w:asciiTheme="majorHAnsi" w:eastAsia="Calibri" w:hAnsiTheme="majorHAnsi" w:cs="Times New Roman"/>
          <w:sz w:val="22"/>
          <w:szCs w:val="22"/>
          <w:lang w:val="fr-CH"/>
        </w:rPr>
        <w:t>cette tendance (faible priorité, absence de valeur ajoutée, manque de ressources, obstacles institutionnels, etc</w:t>
      </w:r>
      <w:r w:rsidR="006E7956">
        <w:rPr>
          <w:rFonts w:asciiTheme="majorHAnsi" w:eastAsia="Calibri" w:hAnsiTheme="majorHAnsi" w:cs="Times New Roman"/>
          <w:sz w:val="22"/>
          <w:szCs w:val="22"/>
          <w:lang w:val="fr-CH"/>
        </w:rPr>
        <w:t>.</w:t>
      </w:r>
      <w:r w:rsidRPr="00F65F35">
        <w:rPr>
          <w:rFonts w:asciiTheme="majorHAnsi" w:eastAsia="Calibri" w:hAnsiTheme="majorHAnsi" w:cs="Times New Roman"/>
          <w:sz w:val="22"/>
          <w:szCs w:val="22"/>
          <w:lang w:val="fr-CH"/>
        </w:rPr>
        <w:t xml:space="preserve">).  L'amélioration de la planification de la </w:t>
      </w:r>
      <w:r w:rsidR="006E7956">
        <w:rPr>
          <w:rFonts w:asciiTheme="majorHAnsi" w:eastAsia="Calibri" w:hAnsiTheme="majorHAnsi" w:cs="Times New Roman"/>
          <w:sz w:val="22"/>
          <w:szCs w:val="22"/>
          <w:lang w:val="fr-CH"/>
        </w:rPr>
        <w:t>CESP</w:t>
      </w:r>
      <w:r w:rsidRPr="00F65F35">
        <w:rPr>
          <w:rFonts w:asciiTheme="majorHAnsi" w:eastAsia="Calibri" w:hAnsiTheme="majorHAnsi" w:cs="Times New Roman"/>
          <w:sz w:val="22"/>
          <w:szCs w:val="22"/>
          <w:lang w:val="fr-CH"/>
        </w:rPr>
        <w:t xml:space="preserve"> à l'échelle nationale est susceptible de contribuer à une meilleure conce</w:t>
      </w:r>
      <w:r w:rsidR="006E7956">
        <w:rPr>
          <w:rFonts w:asciiTheme="majorHAnsi" w:eastAsia="Calibri" w:hAnsiTheme="majorHAnsi" w:cs="Times New Roman"/>
          <w:sz w:val="22"/>
          <w:szCs w:val="22"/>
          <w:lang w:val="fr-CH"/>
        </w:rPr>
        <w:t>ntration sur les priorités clés</w:t>
      </w:r>
      <w:r w:rsidR="00C64326" w:rsidRPr="00BA22DE">
        <w:rPr>
          <w:rFonts w:asciiTheme="majorHAnsi" w:eastAsia="Calibri" w:hAnsiTheme="majorHAnsi" w:cs="Times New Roman"/>
          <w:sz w:val="22"/>
          <w:szCs w:val="22"/>
          <w:lang w:val="fr-CH"/>
        </w:rPr>
        <w:t xml:space="preserve">.  </w:t>
      </w:r>
    </w:p>
    <w:p w14:paraId="759CC7E6" w14:textId="62EE2B27" w:rsidR="0070717B" w:rsidRDefault="006E7956" w:rsidP="006E7956">
      <w:pPr>
        <w:numPr>
          <w:ilvl w:val="0"/>
          <w:numId w:val="17"/>
        </w:numPr>
        <w:contextualSpacing/>
        <w:rPr>
          <w:rFonts w:asciiTheme="majorHAnsi" w:eastAsia="Calibri" w:hAnsiTheme="majorHAnsi" w:cs="Times New Roman"/>
          <w:sz w:val="22"/>
          <w:szCs w:val="22"/>
          <w:lang w:val="fr-CH"/>
        </w:rPr>
      </w:pPr>
      <w:r w:rsidRPr="006E7956">
        <w:rPr>
          <w:rFonts w:asciiTheme="majorHAnsi" w:eastAsia="Calibri" w:hAnsiTheme="majorHAnsi" w:cs="Times New Roman"/>
          <w:sz w:val="22"/>
          <w:szCs w:val="22"/>
          <w:lang w:val="fr-CH"/>
        </w:rPr>
        <w:t xml:space="preserve">Environ 50 % seulement des Parties ont indiqué que des mécanismes de communication </w:t>
      </w:r>
      <w:r w:rsidR="0070717B">
        <w:rPr>
          <w:rFonts w:asciiTheme="majorHAnsi" w:eastAsia="Calibri" w:hAnsiTheme="majorHAnsi" w:cs="Times New Roman"/>
          <w:sz w:val="22"/>
          <w:szCs w:val="22"/>
          <w:lang w:val="fr-CH"/>
        </w:rPr>
        <w:t xml:space="preserve">étaient </w:t>
      </w:r>
      <w:r w:rsidRPr="006E7956">
        <w:rPr>
          <w:rFonts w:asciiTheme="majorHAnsi" w:eastAsia="Calibri" w:hAnsiTheme="majorHAnsi" w:cs="Times New Roman"/>
          <w:sz w:val="22"/>
          <w:szCs w:val="22"/>
          <w:lang w:val="fr-CH"/>
        </w:rPr>
        <w:t>en place pour partager les orientations et les informations Rams</w:t>
      </w:r>
      <w:r w:rsidR="0070717B">
        <w:rPr>
          <w:rFonts w:asciiTheme="majorHAnsi" w:eastAsia="Calibri" w:hAnsiTheme="majorHAnsi" w:cs="Times New Roman"/>
          <w:sz w:val="22"/>
          <w:szCs w:val="22"/>
          <w:lang w:val="fr-CH"/>
        </w:rPr>
        <w:t xml:space="preserve">ar avec les </w:t>
      </w:r>
      <w:r w:rsidR="00F350C0">
        <w:rPr>
          <w:rFonts w:asciiTheme="majorHAnsi" w:eastAsia="Calibri" w:hAnsiTheme="majorHAnsi" w:cs="Times New Roman"/>
          <w:sz w:val="22"/>
          <w:szCs w:val="22"/>
          <w:lang w:val="fr-CH"/>
        </w:rPr>
        <w:t xml:space="preserve">administrateurs </w:t>
      </w:r>
      <w:r w:rsidR="0070717B">
        <w:rPr>
          <w:rFonts w:asciiTheme="majorHAnsi" w:eastAsia="Calibri" w:hAnsiTheme="majorHAnsi" w:cs="Times New Roman"/>
          <w:sz w:val="22"/>
          <w:szCs w:val="22"/>
          <w:lang w:val="fr-CH"/>
        </w:rPr>
        <w:t>de S</w:t>
      </w:r>
      <w:r w:rsidRPr="006E7956">
        <w:rPr>
          <w:rFonts w:asciiTheme="majorHAnsi" w:eastAsia="Calibri" w:hAnsiTheme="majorHAnsi" w:cs="Times New Roman"/>
          <w:sz w:val="22"/>
          <w:szCs w:val="22"/>
          <w:lang w:val="fr-CH"/>
        </w:rPr>
        <w:t>ites Ra</w:t>
      </w:r>
      <w:r w:rsidR="0033529E">
        <w:rPr>
          <w:rFonts w:asciiTheme="majorHAnsi" w:eastAsia="Calibri" w:hAnsiTheme="majorHAnsi" w:cs="Times New Roman"/>
          <w:sz w:val="22"/>
          <w:szCs w:val="22"/>
          <w:lang w:val="fr-CH"/>
        </w:rPr>
        <w:t>msar, l</w:t>
      </w:r>
      <w:r w:rsidR="0070717B">
        <w:rPr>
          <w:rFonts w:asciiTheme="majorHAnsi" w:eastAsia="Calibri" w:hAnsiTheme="majorHAnsi" w:cs="Times New Roman"/>
          <w:sz w:val="22"/>
          <w:szCs w:val="22"/>
          <w:lang w:val="fr-CH"/>
        </w:rPr>
        <w:t>es correspondants des</w:t>
      </w:r>
      <w:r w:rsidRPr="006E7956">
        <w:rPr>
          <w:rFonts w:asciiTheme="majorHAnsi" w:eastAsia="Calibri" w:hAnsiTheme="majorHAnsi" w:cs="Times New Roman"/>
          <w:sz w:val="22"/>
          <w:szCs w:val="22"/>
          <w:lang w:val="fr-CH"/>
        </w:rPr>
        <w:t xml:space="preserve"> </w:t>
      </w:r>
      <w:r w:rsidR="0070717B">
        <w:rPr>
          <w:rFonts w:asciiTheme="majorHAnsi" w:eastAsia="Calibri" w:hAnsiTheme="majorHAnsi" w:cs="Times New Roman"/>
          <w:sz w:val="22"/>
          <w:szCs w:val="22"/>
          <w:lang w:val="fr-CH"/>
        </w:rPr>
        <w:t>AME</w:t>
      </w:r>
      <w:r w:rsidRPr="006E7956">
        <w:rPr>
          <w:rFonts w:asciiTheme="majorHAnsi" w:eastAsia="Calibri" w:hAnsiTheme="majorHAnsi" w:cs="Times New Roman"/>
          <w:sz w:val="22"/>
          <w:szCs w:val="22"/>
          <w:lang w:val="fr-CH"/>
        </w:rPr>
        <w:t xml:space="preserve"> et d'autres ministères, départements et organismes.  Ce faible </w:t>
      </w:r>
      <w:r w:rsidR="0033529E">
        <w:rPr>
          <w:rFonts w:asciiTheme="majorHAnsi" w:eastAsia="Calibri" w:hAnsiTheme="majorHAnsi" w:cs="Times New Roman"/>
          <w:sz w:val="22"/>
          <w:szCs w:val="22"/>
          <w:lang w:val="fr-CH"/>
        </w:rPr>
        <w:t>taux</w:t>
      </w:r>
      <w:r w:rsidRPr="006E7956">
        <w:rPr>
          <w:rFonts w:asciiTheme="majorHAnsi" w:eastAsia="Calibri" w:hAnsiTheme="majorHAnsi" w:cs="Times New Roman"/>
          <w:sz w:val="22"/>
          <w:szCs w:val="22"/>
          <w:lang w:val="fr-CH"/>
        </w:rPr>
        <w:t xml:space="preserve"> est préoccupant, car ces mécanismes sont essentiels pour aider les </w:t>
      </w:r>
      <w:r w:rsidR="0070717B">
        <w:rPr>
          <w:rFonts w:asciiTheme="majorHAnsi" w:eastAsia="Calibri" w:hAnsiTheme="majorHAnsi" w:cs="Times New Roman"/>
          <w:sz w:val="22"/>
          <w:szCs w:val="22"/>
          <w:lang w:val="fr-CH"/>
        </w:rPr>
        <w:t xml:space="preserve">administrateurs </w:t>
      </w:r>
      <w:r w:rsidRPr="006E7956">
        <w:rPr>
          <w:rFonts w:asciiTheme="majorHAnsi" w:eastAsia="Calibri" w:hAnsiTheme="majorHAnsi" w:cs="Times New Roman"/>
          <w:sz w:val="22"/>
          <w:szCs w:val="22"/>
          <w:lang w:val="fr-CH"/>
        </w:rPr>
        <w:t>de sites à gérer les zones humides Ramsar et pour inciter les organismes compétents à comprendre et à appliquer la Convention de Ramsar.</w:t>
      </w:r>
    </w:p>
    <w:p w14:paraId="45D3AE06" w14:textId="07AEFE76" w:rsidR="00C64326" w:rsidRPr="00BA22DE" w:rsidRDefault="00415448" w:rsidP="00415448">
      <w:pPr>
        <w:numPr>
          <w:ilvl w:val="0"/>
          <w:numId w:val="17"/>
        </w:numPr>
        <w:contextualSpacing/>
        <w:rPr>
          <w:rFonts w:asciiTheme="majorHAnsi" w:eastAsia="Calibri" w:hAnsiTheme="majorHAnsi" w:cs="Times New Roman"/>
          <w:sz w:val="22"/>
          <w:szCs w:val="22"/>
          <w:lang w:val="fr-CH"/>
        </w:rPr>
      </w:pPr>
      <w:r w:rsidRPr="00415448">
        <w:rPr>
          <w:rFonts w:asciiTheme="majorHAnsi" w:eastAsia="Calibri" w:hAnsiTheme="majorHAnsi" w:cs="Times New Roman"/>
          <w:sz w:val="22"/>
          <w:szCs w:val="22"/>
          <w:lang w:val="fr-CH"/>
        </w:rPr>
        <w:t>En ce qui concerne les comités nationaux intersectoriels opérationnels Ramsar/Zones humides, une baisse significative a été signalée, passant de 63 % à la COP12 à 49 % au cours de la période considérée.  Ce</w:t>
      </w:r>
      <w:r>
        <w:rPr>
          <w:rFonts w:asciiTheme="majorHAnsi" w:eastAsia="Calibri" w:hAnsiTheme="majorHAnsi" w:cs="Times New Roman"/>
          <w:sz w:val="22"/>
          <w:szCs w:val="22"/>
          <w:lang w:val="fr-CH"/>
        </w:rPr>
        <w:t xml:space="preserve">s chiffres sont </w:t>
      </w:r>
      <w:r w:rsidRPr="00415448">
        <w:rPr>
          <w:rFonts w:asciiTheme="majorHAnsi" w:eastAsia="Calibri" w:hAnsiTheme="majorHAnsi" w:cs="Times New Roman"/>
          <w:sz w:val="22"/>
          <w:szCs w:val="22"/>
          <w:lang w:val="fr-CH"/>
        </w:rPr>
        <w:t>également préoccupant</w:t>
      </w:r>
      <w:r>
        <w:rPr>
          <w:rFonts w:asciiTheme="majorHAnsi" w:eastAsia="Calibri" w:hAnsiTheme="majorHAnsi" w:cs="Times New Roman"/>
          <w:sz w:val="22"/>
          <w:szCs w:val="22"/>
          <w:lang w:val="fr-CH"/>
        </w:rPr>
        <w:t>s</w:t>
      </w:r>
      <w:r w:rsidRPr="00415448">
        <w:rPr>
          <w:rFonts w:asciiTheme="majorHAnsi" w:eastAsia="Calibri" w:hAnsiTheme="majorHAnsi" w:cs="Times New Roman"/>
          <w:sz w:val="22"/>
          <w:szCs w:val="22"/>
          <w:lang w:val="fr-CH"/>
        </w:rPr>
        <w:t>, car ces comités sont un outil important pour intégrer la conservation et l'utilisation rationnelle des zones humides dans les considérations politique</w:t>
      </w:r>
      <w:r w:rsidR="0033529E">
        <w:rPr>
          <w:rFonts w:asciiTheme="majorHAnsi" w:eastAsia="Calibri" w:hAnsiTheme="majorHAnsi" w:cs="Times New Roman"/>
          <w:sz w:val="22"/>
          <w:szCs w:val="22"/>
          <w:lang w:val="fr-CH"/>
        </w:rPr>
        <w:t>s</w:t>
      </w:r>
      <w:r w:rsidRPr="00415448">
        <w:rPr>
          <w:rFonts w:asciiTheme="majorHAnsi" w:eastAsia="Calibri" w:hAnsiTheme="majorHAnsi" w:cs="Times New Roman"/>
          <w:sz w:val="22"/>
          <w:szCs w:val="22"/>
          <w:lang w:val="fr-CH"/>
        </w:rPr>
        <w:t xml:space="preserve"> nationale</w:t>
      </w:r>
      <w:r w:rsidR="0033529E">
        <w:rPr>
          <w:rFonts w:asciiTheme="majorHAnsi" w:eastAsia="Calibri" w:hAnsiTheme="majorHAnsi" w:cs="Times New Roman"/>
          <w:sz w:val="22"/>
          <w:szCs w:val="22"/>
          <w:lang w:val="fr-CH"/>
        </w:rPr>
        <w:t>s</w:t>
      </w:r>
      <w:r w:rsidRPr="00415448">
        <w:rPr>
          <w:rFonts w:asciiTheme="majorHAnsi" w:eastAsia="Calibri" w:hAnsiTheme="majorHAnsi" w:cs="Times New Roman"/>
          <w:sz w:val="22"/>
          <w:szCs w:val="22"/>
          <w:lang w:val="fr-CH"/>
        </w:rPr>
        <w:t xml:space="preserve"> et pour veiller à ce que les décisions tiennent compte des services écologiques fournis par les zones humides.  En particulier, les </w:t>
      </w:r>
      <w:r w:rsidR="008E1457">
        <w:rPr>
          <w:rFonts w:asciiTheme="majorHAnsi" w:eastAsia="Calibri" w:hAnsiTheme="majorHAnsi" w:cs="Times New Roman"/>
          <w:sz w:val="22"/>
          <w:szCs w:val="22"/>
          <w:lang w:val="fr-CH"/>
        </w:rPr>
        <w:t xml:space="preserve">objectifs </w:t>
      </w:r>
      <w:r w:rsidRPr="00415448">
        <w:rPr>
          <w:rFonts w:asciiTheme="majorHAnsi" w:eastAsia="Calibri" w:hAnsiTheme="majorHAnsi" w:cs="Times New Roman"/>
          <w:sz w:val="22"/>
          <w:szCs w:val="22"/>
          <w:lang w:val="fr-CH"/>
        </w:rPr>
        <w:t>1 et 13 du Plan stratégique encouragent les Parties contractantes à faire figurer les avantages des zones humides dans les politiques et plans nationaux/locaux relatifs aux secteurs clés, et à renforcer la durabilité des secteurs clés lorsqu'ils affectent les zones humides</w:t>
      </w:r>
      <w:r>
        <w:rPr>
          <w:rFonts w:asciiTheme="majorHAnsi" w:eastAsia="Calibri" w:hAnsiTheme="majorHAnsi" w:cs="Times New Roman"/>
          <w:sz w:val="22"/>
          <w:szCs w:val="22"/>
          <w:lang w:val="fr-CH"/>
        </w:rPr>
        <w:t xml:space="preserve">. </w:t>
      </w:r>
    </w:p>
    <w:p w14:paraId="1BD34DAB" w14:textId="77777777" w:rsidR="00EB0248" w:rsidRPr="00BA22DE" w:rsidRDefault="00EB0248" w:rsidP="00EB0248">
      <w:pPr>
        <w:contextualSpacing/>
        <w:rPr>
          <w:rFonts w:asciiTheme="majorHAnsi" w:eastAsia="Calibri" w:hAnsiTheme="majorHAnsi" w:cs="Times New Roman"/>
          <w:sz w:val="22"/>
          <w:szCs w:val="22"/>
          <w:lang w:val="fr-CH"/>
        </w:rPr>
      </w:pPr>
    </w:p>
    <w:p w14:paraId="64C7EF59" w14:textId="7BE389C8" w:rsidR="00C64326" w:rsidRPr="00BA22DE" w:rsidRDefault="008E1457" w:rsidP="004C3670">
      <w:pPr>
        <w:keepNext/>
        <w:spacing w:after="200"/>
        <w:rPr>
          <w:rFonts w:asciiTheme="majorHAnsi" w:eastAsia="Calibri" w:hAnsiTheme="majorHAnsi" w:cs="Times New Roman"/>
          <w:i/>
          <w:sz w:val="22"/>
          <w:szCs w:val="22"/>
          <w:lang w:val="fr-CH"/>
        </w:rPr>
      </w:pPr>
      <w:r>
        <w:rPr>
          <w:rFonts w:asciiTheme="majorHAnsi" w:eastAsia="Calibri" w:hAnsiTheme="majorHAnsi" w:cs="Times New Roman"/>
          <w:i/>
          <w:sz w:val="22"/>
          <w:szCs w:val="22"/>
          <w:lang w:val="fr-CH"/>
        </w:rPr>
        <w:t>But 2 – Inté</w:t>
      </w:r>
      <w:r w:rsidR="00C64326" w:rsidRPr="00BA22DE">
        <w:rPr>
          <w:rFonts w:asciiTheme="majorHAnsi" w:eastAsia="Calibri" w:hAnsiTheme="majorHAnsi" w:cs="Times New Roman"/>
          <w:i/>
          <w:sz w:val="22"/>
          <w:szCs w:val="22"/>
          <w:lang w:val="fr-CH"/>
        </w:rPr>
        <w:t xml:space="preserve">gration </w:t>
      </w:r>
      <w:r>
        <w:rPr>
          <w:rFonts w:asciiTheme="majorHAnsi" w:eastAsia="Calibri" w:hAnsiTheme="majorHAnsi" w:cs="Times New Roman"/>
          <w:i/>
          <w:sz w:val="22"/>
          <w:szCs w:val="22"/>
          <w:lang w:val="fr-CH"/>
        </w:rPr>
        <w:t>de la CESP</w:t>
      </w:r>
      <w:r w:rsidR="00C64326" w:rsidRPr="00BA22DE">
        <w:rPr>
          <w:rFonts w:asciiTheme="majorHAnsi" w:eastAsia="Calibri" w:hAnsiTheme="majorHAnsi" w:cs="Times New Roman"/>
          <w:i/>
          <w:sz w:val="22"/>
          <w:szCs w:val="22"/>
          <w:lang w:val="fr-CH"/>
        </w:rPr>
        <w:t xml:space="preserve"> </w:t>
      </w:r>
      <w:r>
        <w:rPr>
          <w:rFonts w:asciiTheme="majorHAnsi" w:eastAsia="Calibri" w:hAnsiTheme="majorHAnsi" w:cs="Times New Roman"/>
          <w:i/>
          <w:sz w:val="22"/>
          <w:szCs w:val="22"/>
          <w:lang w:val="fr-CH"/>
        </w:rPr>
        <w:t xml:space="preserve">dans les activités de la </w:t>
      </w:r>
      <w:r w:rsidR="00C64326" w:rsidRPr="00BA22DE">
        <w:rPr>
          <w:rFonts w:asciiTheme="majorHAnsi" w:eastAsia="Calibri" w:hAnsiTheme="majorHAnsi" w:cs="Times New Roman"/>
          <w:i/>
          <w:sz w:val="22"/>
          <w:szCs w:val="22"/>
          <w:lang w:val="fr-CH"/>
        </w:rPr>
        <w:t>Convention</w:t>
      </w:r>
    </w:p>
    <w:p w14:paraId="65361AFF" w14:textId="5E7AEA3A" w:rsidR="00C64326" w:rsidRPr="00BA22DE" w:rsidRDefault="008E1457" w:rsidP="008E1457">
      <w:pPr>
        <w:numPr>
          <w:ilvl w:val="0"/>
          <w:numId w:val="20"/>
        </w:numPr>
        <w:spacing w:after="200"/>
        <w:contextualSpacing/>
        <w:rPr>
          <w:rFonts w:asciiTheme="majorHAnsi" w:eastAsia="Calibri" w:hAnsiTheme="majorHAnsi" w:cs="Times New Roman"/>
          <w:sz w:val="22"/>
          <w:szCs w:val="22"/>
          <w:lang w:val="fr-CH"/>
        </w:rPr>
      </w:pPr>
      <w:r w:rsidRPr="008E1457">
        <w:rPr>
          <w:rFonts w:asciiTheme="majorHAnsi" w:eastAsia="Calibri" w:hAnsiTheme="majorHAnsi" w:cs="Times New Roman"/>
          <w:sz w:val="22"/>
          <w:szCs w:val="22"/>
          <w:lang w:val="fr-CH"/>
        </w:rPr>
        <w:t>La CESP fait partie intégrante de l</w:t>
      </w:r>
      <w:r>
        <w:rPr>
          <w:rFonts w:asciiTheme="majorHAnsi" w:eastAsia="Calibri" w:hAnsiTheme="majorHAnsi" w:cs="Times New Roman"/>
          <w:sz w:val="22"/>
          <w:szCs w:val="22"/>
          <w:lang w:val="fr-CH"/>
        </w:rPr>
        <w:t>’</w:t>
      </w:r>
      <w:r w:rsidRPr="008E1457">
        <w:rPr>
          <w:rFonts w:asciiTheme="majorHAnsi" w:eastAsia="Calibri" w:hAnsiTheme="majorHAnsi" w:cs="Times New Roman"/>
          <w:sz w:val="22"/>
          <w:szCs w:val="22"/>
          <w:lang w:val="fr-CH"/>
        </w:rPr>
        <w:t>a</w:t>
      </w:r>
      <w:r>
        <w:rPr>
          <w:rFonts w:asciiTheme="majorHAnsi" w:eastAsia="Calibri" w:hAnsiTheme="majorHAnsi" w:cs="Times New Roman"/>
          <w:sz w:val="22"/>
          <w:szCs w:val="22"/>
          <w:lang w:val="fr-CH"/>
        </w:rPr>
        <w:t xml:space="preserve">pplication </w:t>
      </w:r>
      <w:r w:rsidRPr="008E1457">
        <w:rPr>
          <w:rFonts w:asciiTheme="majorHAnsi" w:eastAsia="Calibri" w:hAnsiTheme="majorHAnsi" w:cs="Times New Roman"/>
          <w:sz w:val="22"/>
          <w:szCs w:val="22"/>
          <w:lang w:val="fr-CH"/>
        </w:rPr>
        <w:t>de Ramsar et joue un rôle clé dans la promotion d</w:t>
      </w:r>
      <w:r w:rsidR="00E6664C">
        <w:rPr>
          <w:rFonts w:asciiTheme="majorHAnsi" w:eastAsia="Calibri" w:hAnsiTheme="majorHAnsi" w:cs="Times New Roman"/>
          <w:sz w:val="22"/>
          <w:szCs w:val="22"/>
          <w:lang w:val="fr-CH"/>
        </w:rPr>
        <w:t>es valeurs des zones humides, en intégrant l</w:t>
      </w:r>
      <w:r w:rsidRPr="008E1457">
        <w:rPr>
          <w:rFonts w:asciiTheme="majorHAnsi" w:eastAsia="Calibri" w:hAnsiTheme="majorHAnsi" w:cs="Times New Roman"/>
          <w:sz w:val="22"/>
          <w:szCs w:val="22"/>
          <w:lang w:val="fr-CH"/>
        </w:rPr>
        <w:t xml:space="preserve">es </w:t>
      </w:r>
      <w:r w:rsidR="00E6664C">
        <w:rPr>
          <w:rFonts w:asciiTheme="majorHAnsi" w:eastAsia="Calibri" w:hAnsiTheme="majorHAnsi" w:cs="Times New Roman"/>
          <w:sz w:val="22"/>
          <w:szCs w:val="22"/>
          <w:lang w:val="fr-CH"/>
        </w:rPr>
        <w:t>administrateurs de</w:t>
      </w:r>
      <w:r w:rsidRPr="008E1457">
        <w:rPr>
          <w:rFonts w:asciiTheme="majorHAnsi" w:eastAsia="Calibri" w:hAnsiTheme="majorHAnsi" w:cs="Times New Roman"/>
          <w:sz w:val="22"/>
          <w:szCs w:val="22"/>
          <w:lang w:val="fr-CH"/>
        </w:rPr>
        <w:t xml:space="preserve"> zones </w:t>
      </w:r>
      <w:r w:rsidR="00E6664C">
        <w:rPr>
          <w:rFonts w:asciiTheme="majorHAnsi" w:eastAsia="Calibri" w:hAnsiTheme="majorHAnsi" w:cs="Times New Roman"/>
          <w:sz w:val="22"/>
          <w:szCs w:val="22"/>
          <w:lang w:val="fr-CH"/>
        </w:rPr>
        <w:lastRenderedPageBreak/>
        <w:t xml:space="preserve">humides et </w:t>
      </w:r>
      <w:r w:rsidRPr="008E1457">
        <w:rPr>
          <w:rFonts w:asciiTheme="majorHAnsi" w:eastAsia="Calibri" w:hAnsiTheme="majorHAnsi" w:cs="Times New Roman"/>
          <w:sz w:val="22"/>
          <w:szCs w:val="22"/>
          <w:lang w:val="fr-CH"/>
        </w:rPr>
        <w:t xml:space="preserve">la communauté en général dans la conservation et l'utilisation rationnelle des zones humides, le renforcement des capacités </w:t>
      </w:r>
      <w:r w:rsidR="00E6664C">
        <w:rPr>
          <w:rFonts w:asciiTheme="majorHAnsi" w:eastAsia="Calibri" w:hAnsiTheme="majorHAnsi" w:cs="Times New Roman"/>
          <w:sz w:val="22"/>
          <w:szCs w:val="22"/>
          <w:lang w:val="fr-CH"/>
        </w:rPr>
        <w:t>permettant de</w:t>
      </w:r>
      <w:r w:rsidRPr="008E1457">
        <w:rPr>
          <w:rFonts w:asciiTheme="majorHAnsi" w:eastAsia="Calibri" w:hAnsiTheme="majorHAnsi" w:cs="Times New Roman"/>
          <w:sz w:val="22"/>
          <w:szCs w:val="22"/>
          <w:lang w:val="fr-CH"/>
        </w:rPr>
        <w:t xml:space="preserve"> comprendre et gérer les zones humides</w:t>
      </w:r>
      <w:r w:rsidR="00E6664C">
        <w:rPr>
          <w:rFonts w:asciiTheme="majorHAnsi" w:eastAsia="Calibri" w:hAnsiTheme="majorHAnsi" w:cs="Times New Roman"/>
          <w:sz w:val="22"/>
          <w:szCs w:val="22"/>
          <w:lang w:val="fr-CH"/>
        </w:rPr>
        <w:t>,</w:t>
      </w:r>
      <w:r w:rsidRPr="008E1457">
        <w:rPr>
          <w:rFonts w:asciiTheme="majorHAnsi" w:eastAsia="Calibri" w:hAnsiTheme="majorHAnsi" w:cs="Times New Roman"/>
          <w:sz w:val="22"/>
          <w:szCs w:val="22"/>
          <w:lang w:val="fr-CH"/>
        </w:rPr>
        <w:t xml:space="preserve"> </w:t>
      </w:r>
      <w:r w:rsidR="00E6664C">
        <w:rPr>
          <w:rFonts w:asciiTheme="majorHAnsi" w:eastAsia="Calibri" w:hAnsiTheme="majorHAnsi" w:cs="Times New Roman"/>
          <w:sz w:val="22"/>
          <w:szCs w:val="22"/>
          <w:lang w:val="fr-CH"/>
        </w:rPr>
        <w:t>de</w:t>
      </w:r>
      <w:r w:rsidRPr="008E1457">
        <w:rPr>
          <w:rFonts w:asciiTheme="majorHAnsi" w:eastAsia="Calibri" w:hAnsiTheme="majorHAnsi" w:cs="Times New Roman"/>
          <w:sz w:val="22"/>
          <w:szCs w:val="22"/>
          <w:lang w:val="fr-CH"/>
        </w:rPr>
        <w:t xml:space="preserve"> faire face aux problèmes émergents, et pour rendre compte localement et </w:t>
      </w:r>
      <w:r w:rsidR="00E6664C">
        <w:rPr>
          <w:rFonts w:asciiTheme="majorHAnsi" w:eastAsia="Calibri" w:hAnsiTheme="majorHAnsi" w:cs="Times New Roman"/>
          <w:sz w:val="22"/>
          <w:szCs w:val="22"/>
          <w:lang w:val="fr-CH"/>
        </w:rPr>
        <w:t>globalement des</w:t>
      </w:r>
      <w:r>
        <w:rPr>
          <w:rFonts w:asciiTheme="majorHAnsi" w:eastAsia="Calibri" w:hAnsiTheme="majorHAnsi" w:cs="Times New Roman"/>
          <w:sz w:val="22"/>
          <w:szCs w:val="22"/>
          <w:lang w:val="fr-CH"/>
        </w:rPr>
        <w:t xml:space="preserve"> progrès accompli</w:t>
      </w:r>
      <w:r w:rsidR="00E6664C">
        <w:rPr>
          <w:rFonts w:asciiTheme="majorHAnsi" w:eastAsia="Calibri" w:hAnsiTheme="majorHAnsi" w:cs="Times New Roman"/>
          <w:sz w:val="22"/>
          <w:szCs w:val="22"/>
          <w:lang w:val="fr-CH"/>
        </w:rPr>
        <w:t>s</w:t>
      </w:r>
      <w:r w:rsidR="00C64326" w:rsidRPr="00BA22DE">
        <w:rPr>
          <w:rFonts w:asciiTheme="majorHAnsi" w:eastAsia="Calibri" w:hAnsiTheme="majorHAnsi" w:cs="Times New Roman"/>
          <w:sz w:val="22"/>
          <w:szCs w:val="22"/>
          <w:lang w:val="fr-CH"/>
        </w:rPr>
        <w:t>.</w:t>
      </w:r>
    </w:p>
    <w:p w14:paraId="67B69787" w14:textId="44AC6741" w:rsidR="00C64326" w:rsidRPr="00BA22DE" w:rsidRDefault="00E6664C" w:rsidP="00E6664C">
      <w:pPr>
        <w:numPr>
          <w:ilvl w:val="0"/>
          <w:numId w:val="20"/>
        </w:numPr>
        <w:spacing w:after="200"/>
        <w:contextualSpacing/>
        <w:rPr>
          <w:rFonts w:asciiTheme="majorHAnsi" w:eastAsia="Calibri" w:hAnsiTheme="majorHAnsi" w:cs="Times New Roman"/>
          <w:sz w:val="22"/>
          <w:szCs w:val="22"/>
          <w:lang w:val="fr-CH"/>
        </w:rPr>
      </w:pPr>
      <w:r w:rsidRPr="00E6664C">
        <w:rPr>
          <w:rFonts w:asciiTheme="majorHAnsi" w:eastAsia="Calibri" w:hAnsiTheme="majorHAnsi" w:cs="Times New Roman"/>
          <w:sz w:val="22"/>
          <w:szCs w:val="22"/>
          <w:lang w:val="fr-CH"/>
        </w:rPr>
        <w:t>Le site Web Ramsar est un élément important de l</w:t>
      </w:r>
      <w:r>
        <w:rPr>
          <w:rFonts w:asciiTheme="majorHAnsi" w:eastAsia="Calibri" w:hAnsiTheme="majorHAnsi" w:cs="Times New Roman"/>
          <w:sz w:val="22"/>
          <w:szCs w:val="22"/>
          <w:lang w:val="fr-CH"/>
        </w:rPr>
        <w:t xml:space="preserve">’application </w:t>
      </w:r>
      <w:r w:rsidRPr="00E6664C">
        <w:rPr>
          <w:rFonts w:asciiTheme="majorHAnsi" w:eastAsia="Calibri" w:hAnsiTheme="majorHAnsi" w:cs="Times New Roman"/>
          <w:sz w:val="22"/>
          <w:szCs w:val="22"/>
          <w:lang w:val="fr-CH"/>
        </w:rPr>
        <w:t xml:space="preserve">de Ramsar, notamment </w:t>
      </w:r>
      <w:r w:rsidR="002E59E4">
        <w:rPr>
          <w:rFonts w:asciiTheme="majorHAnsi" w:eastAsia="Calibri" w:hAnsiTheme="majorHAnsi" w:cs="Times New Roman"/>
          <w:sz w:val="22"/>
          <w:szCs w:val="22"/>
          <w:lang w:val="fr-CH"/>
        </w:rPr>
        <w:t>grâce à</w:t>
      </w:r>
      <w:r w:rsidRPr="00E6664C">
        <w:rPr>
          <w:rFonts w:asciiTheme="majorHAnsi" w:eastAsia="Calibri" w:hAnsiTheme="majorHAnsi" w:cs="Times New Roman"/>
          <w:sz w:val="22"/>
          <w:szCs w:val="22"/>
          <w:lang w:val="fr-CH"/>
        </w:rPr>
        <w:t xml:space="preserve"> la compilation des décisions et des informations issues des réunions de la Convention, la </w:t>
      </w:r>
      <w:r w:rsidR="002E59E4">
        <w:rPr>
          <w:rFonts w:asciiTheme="majorHAnsi" w:eastAsia="Calibri" w:hAnsiTheme="majorHAnsi" w:cs="Times New Roman"/>
          <w:sz w:val="22"/>
          <w:szCs w:val="22"/>
          <w:lang w:val="fr-CH"/>
        </w:rPr>
        <w:t xml:space="preserve">mise à jour </w:t>
      </w:r>
      <w:r w:rsidRPr="00E6664C">
        <w:rPr>
          <w:rFonts w:asciiTheme="majorHAnsi" w:eastAsia="Calibri" w:hAnsiTheme="majorHAnsi" w:cs="Times New Roman"/>
          <w:sz w:val="22"/>
          <w:szCs w:val="22"/>
          <w:lang w:val="fr-CH"/>
        </w:rPr>
        <w:t>de</w:t>
      </w:r>
      <w:r w:rsidR="002E59E4">
        <w:rPr>
          <w:rFonts w:asciiTheme="majorHAnsi" w:eastAsia="Calibri" w:hAnsiTheme="majorHAnsi" w:cs="Times New Roman"/>
          <w:sz w:val="22"/>
          <w:szCs w:val="22"/>
          <w:lang w:val="fr-CH"/>
        </w:rPr>
        <w:t>s</w:t>
      </w:r>
      <w:r w:rsidR="000A0F97">
        <w:rPr>
          <w:rFonts w:asciiTheme="majorHAnsi" w:eastAsia="Calibri" w:hAnsiTheme="majorHAnsi" w:cs="Times New Roman"/>
          <w:sz w:val="22"/>
          <w:szCs w:val="22"/>
          <w:lang w:val="fr-CH"/>
        </w:rPr>
        <w:t xml:space="preserve"> données sur les S</w:t>
      </w:r>
      <w:r w:rsidRPr="00E6664C">
        <w:rPr>
          <w:rFonts w:asciiTheme="majorHAnsi" w:eastAsia="Calibri" w:hAnsiTheme="majorHAnsi" w:cs="Times New Roman"/>
          <w:sz w:val="22"/>
          <w:szCs w:val="22"/>
          <w:lang w:val="fr-CH"/>
        </w:rPr>
        <w:t>ites Ramsar (dans le</w:t>
      </w:r>
      <w:r w:rsidR="000A0F97">
        <w:rPr>
          <w:rFonts w:asciiTheme="majorHAnsi" w:eastAsia="Calibri" w:hAnsiTheme="majorHAnsi" w:cs="Times New Roman"/>
          <w:sz w:val="22"/>
          <w:szCs w:val="22"/>
          <w:lang w:val="fr-CH"/>
        </w:rPr>
        <w:t xml:space="preserve"> Service d'information sur les S</w:t>
      </w:r>
      <w:r w:rsidRPr="00E6664C">
        <w:rPr>
          <w:rFonts w:asciiTheme="majorHAnsi" w:eastAsia="Calibri" w:hAnsiTheme="majorHAnsi" w:cs="Times New Roman"/>
          <w:sz w:val="22"/>
          <w:szCs w:val="22"/>
          <w:lang w:val="fr-CH"/>
        </w:rPr>
        <w:t xml:space="preserve">ites Ramsar), la diffusion de documents scientifiques et </w:t>
      </w:r>
      <w:r w:rsidR="002E59E4">
        <w:rPr>
          <w:rFonts w:asciiTheme="majorHAnsi" w:eastAsia="Calibri" w:hAnsiTheme="majorHAnsi" w:cs="Times New Roman"/>
          <w:sz w:val="22"/>
          <w:szCs w:val="22"/>
          <w:lang w:val="fr-CH"/>
        </w:rPr>
        <w:t>techniques et la promotion des S</w:t>
      </w:r>
      <w:r w:rsidRPr="00E6664C">
        <w:rPr>
          <w:rFonts w:asciiTheme="majorHAnsi" w:eastAsia="Calibri" w:hAnsiTheme="majorHAnsi" w:cs="Times New Roman"/>
          <w:sz w:val="22"/>
          <w:szCs w:val="22"/>
          <w:lang w:val="fr-CH"/>
        </w:rPr>
        <w:t xml:space="preserve">ites Ramsar et des informations sur les zones humides. </w:t>
      </w:r>
      <w:r w:rsidR="0033529E">
        <w:rPr>
          <w:rFonts w:asciiTheme="majorHAnsi" w:eastAsia="Calibri" w:hAnsiTheme="majorHAnsi" w:cs="Times New Roman"/>
          <w:sz w:val="22"/>
          <w:szCs w:val="22"/>
          <w:lang w:val="fr-CH"/>
        </w:rPr>
        <w:t>D</w:t>
      </w:r>
      <w:r w:rsidRPr="00E6664C">
        <w:rPr>
          <w:rFonts w:asciiTheme="majorHAnsi" w:eastAsia="Calibri" w:hAnsiTheme="majorHAnsi" w:cs="Times New Roman"/>
          <w:sz w:val="22"/>
          <w:szCs w:val="22"/>
          <w:lang w:val="fr-CH"/>
        </w:rPr>
        <w:t xml:space="preserve">'importants ajouts </w:t>
      </w:r>
      <w:r w:rsidR="0033529E">
        <w:rPr>
          <w:rFonts w:asciiTheme="majorHAnsi" w:eastAsia="Calibri" w:hAnsiTheme="majorHAnsi" w:cs="Times New Roman"/>
          <w:sz w:val="22"/>
          <w:szCs w:val="22"/>
          <w:lang w:val="fr-CH"/>
        </w:rPr>
        <w:t>ont enrichi le</w:t>
      </w:r>
      <w:r w:rsidRPr="00E6664C">
        <w:rPr>
          <w:rFonts w:asciiTheme="majorHAnsi" w:eastAsia="Calibri" w:hAnsiTheme="majorHAnsi" w:cs="Times New Roman"/>
          <w:sz w:val="22"/>
          <w:szCs w:val="22"/>
          <w:lang w:val="fr-CH"/>
        </w:rPr>
        <w:t xml:space="preserve"> site Web au cours de la période triennale (</w:t>
      </w:r>
      <w:r w:rsidR="0033529E">
        <w:rPr>
          <w:rFonts w:asciiTheme="majorHAnsi" w:eastAsia="Calibri" w:hAnsiTheme="majorHAnsi" w:cs="Times New Roman"/>
          <w:sz w:val="22"/>
          <w:szCs w:val="22"/>
          <w:lang w:val="fr-CH"/>
        </w:rPr>
        <w:t xml:space="preserve">notamment </w:t>
      </w:r>
      <w:r w:rsidRPr="00E6664C">
        <w:rPr>
          <w:rFonts w:asciiTheme="majorHAnsi" w:eastAsia="Calibri" w:hAnsiTheme="majorHAnsi" w:cs="Times New Roman"/>
          <w:sz w:val="22"/>
          <w:szCs w:val="22"/>
          <w:lang w:val="fr-CH"/>
        </w:rPr>
        <w:t>des documents de réunion</w:t>
      </w:r>
      <w:r w:rsidR="0033529E">
        <w:rPr>
          <w:rFonts w:asciiTheme="majorHAnsi" w:eastAsia="Calibri" w:hAnsiTheme="majorHAnsi" w:cs="Times New Roman"/>
          <w:sz w:val="22"/>
          <w:szCs w:val="22"/>
          <w:lang w:val="fr-CH"/>
        </w:rPr>
        <w:t>s</w:t>
      </w:r>
      <w:r w:rsidRPr="00E6664C">
        <w:rPr>
          <w:rFonts w:asciiTheme="majorHAnsi" w:eastAsia="Calibri" w:hAnsiTheme="majorHAnsi" w:cs="Times New Roman"/>
          <w:sz w:val="22"/>
          <w:szCs w:val="22"/>
          <w:lang w:val="fr-CH"/>
        </w:rPr>
        <w:t xml:space="preserve">, publications, </w:t>
      </w:r>
      <w:r w:rsidR="002E59E4">
        <w:rPr>
          <w:rFonts w:asciiTheme="majorHAnsi" w:eastAsia="Calibri" w:hAnsiTheme="majorHAnsi" w:cs="Times New Roman"/>
          <w:sz w:val="22"/>
          <w:szCs w:val="22"/>
          <w:lang w:val="fr-CH"/>
        </w:rPr>
        <w:t xml:space="preserve">vidéos et </w:t>
      </w:r>
      <w:r w:rsidRPr="00E6664C">
        <w:rPr>
          <w:rFonts w:asciiTheme="majorHAnsi" w:eastAsia="Calibri" w:hAnsiTheme="majorHAnsi" w:cs="Times New Roman"/>
          <w:sz w:val="22"/>
          <w:szCs w:val="22"/>
          <w:lang w:val="fr-CH"/>
        </w:rPr>
        <w:t xml:space="preserve">autres ressources) </w:t>
      </w:r>
      <w:r w:rsidR="0033529E">
        <w:rPr>
          <w:rFonts w:asciiTheme="majorHAnsi" w:eastAsia="Calibri" w:hAnsiTheme="majorHAnsi" w:cs="Times New Roman"/>
          <w:sz w:val="22"/>
          <w:szCs w:val="22"/>
          <w:lang w:val="fr-CH"/>
        </w:rPr>
        <w:t xml:space="preserve">qui a affiché </w:t>
      </w:r>
      <w:r w:rsidRPr="00E6664C">
        <w:rPr>
          <w:rFonts w:asciiTheme="majorHAnsi" w:eastAsia="Calibri" w:hAnsiTheme="majorHAnsi" w:cs="Times New Roman"/>
          <w:sz w:val="22"/>
          <w:szCs w:val="22"/>
          <w:lang w:val="fr-CH"/>
        </w:rPr>
        <w:t>près d'un demi-million de visiteurs au cours de la dernière année.</w:t>
      </w:r>
    </w:p>
    <w:p w14:paraId="62E00FA6" w14:textId="72489F21" w:rsidR="00C64326" w:rsidRPr="00BA22DE" w:rsidRDefault="005D0D94" w:rsidP="005D0D94">
      <w:pPr>
        <w:numPr>
          <w:ilvl w:val="0"/>
          <w:numId w:val="20"/>
        </w:numPr>
        <w:contextualSpacing/>
        <w:rPr>
          <w:rFonts w:asciiTheme="majorHAnsi" w:eastAsia="Calibri" w:hAnsiTheme="majorHAnsi" w:cs="Times New Roman"/>
          <w:sz w:val="22"/>
          <w:szCs w:val="22"/>
          <w:lang w:val="fr-CH"/>
        </w:rPr>
      </w:pPr>
      <w:r>
        <w:rPr>
          <w:rFonts w:asciiTheme="majorHAnsi" w:eastAsia="Calibri" w:hAnsiTheme="majorHAnsi" w:cs="Times New Roman"/>
          <w:sz w:val="22"/>
          <w:szCs w:val="22"/>
          <w:lang w:val="fr-CH"/>
        </w:rPr>
        <w:t>La l</w:t>
      </w:r>
      <w:r w:rsidRPr="005D0D94">
        <w:rPr>
          <w:rFonts w:asciiTheme="majorHAnsi" w:eastAsia="Calibri" w:hAnsiTheme="majorHAnsi" w:cs="Times New Roman"/>
          <w:sz w:val="22"/>
          <w:szCs w:val="22"/>
          <w:lang w:val="fr-CH"/>
        </w:rPr>
        <w:t xml:space="preserve">ettre d'information Ramsar, </w:t>
      </w:r>
      <w:r w:rsidR="006529DC">
        <w:rPr>
          <w:rFonts w:asciiTheme="majorHAnsi" w:eastAsia="Calibri" w:hAnsiTheme="majorHAnsi" w:cs="Times New Roman"/>
          <w:sz w:val="22"/>
          <w:szCs w:val="22"/>
          <w:lang w:val="fr-CH"/>
        </w:rPr>
        <w:t xml:space="preserve">qui paraît </w:t>
      </w:r>
      <w:r w:rsidRPr="005D0D94">
        <w:rPr>
          <w:rFonts w:asciiTheme="majorHAnsi" w:eastAsia="Calibri" w:hAnsiTheme="majorHAnsi" w:cs="Times New Roman"/>
          <w:sz w:val="22"/>
          <w:szCs w:val="22"/>
          <w:lang w:val="fr-CH"/>
        </w:rPr>
        <w:t xml:space="preserve">tous les 3-4 mois, </w:t>
      </w:r>
      <w:r w:rsidR="00D00672">
        <w:rPr>
          <w:rFonts w:asciiTheme="majorHAnsi" w:eastAsia="Calibri" w:hAnsiTheme="majorHAnsi" w:cs="Times New Roman"/>
          <w:sz w:val="22"/>
          <w:szCs w:val="22"/>
          <w:lang w:val="fr-CH"/>
        </w:rPr>
        <w:t xml:space="preserve">est </w:t>
      </w:r>
      <w:r w:rsidRPr="005D0D94">
        <w:rPr>
          <w:rFonts w:asciiTheme="majorHAnsi" w:eastAsia="Calibri" w:hAnsiTheme="majorHAnsi" w:cs="Times New Roman"/>
          <w:sz w:val="22"/>
          <w:szCs w:val="22"/>
          <w:lang w:val="fr-CH"/>
        </w:rPr>
        <w:t>un moyen de communication régulier entre le Secrétariat et les Parties contractantes, en plus des forums électroniques Ramsar et CE</w:t>
      </w:r>
      <w:r>
        <w:rPr>
          <w:rFonts w:asciiTheme="majorHAnsi" w:eastAsia="Calibri" w:hAnsiTheme="majorHAnsi" w:cs="Times New Roman"/>
          <w:sz w:val="22"/>
          <w:szCs w:val="22"/>
          <w:lang w:val="fr-CH"/>
        </w:rPr>
        <w:t>SP</w:t>
      </w:r>
      <w:r w:rsidR="00C64326" w:rsidRPr="00BA22DE">
        <w:rPr>
          <w:rFonts w:asciiTheme="majorHAnsi" w:eastAsia="Calibri" w:hAnsiTheme="majorHAnsi" w:cs="Times New Roman"/>
          <w:sz w:val="22"/>
          <w:szCs w:val="22"/>
          <w:lang w:val="fr-CH"/>
        </w:rPr>
        <w:t>.</w:t>
      </w:r>
    </w:p>
    <w:p w14:paraId="6E0EE232" w14:textId="77777777" w:rsidR="006347EB" w:rsidRPr="00BA22DE" w:rsidRDefault="006347EB" w:rsidP="006347EB">
      <w:pPr>
        <w:contextualSpacing/>
        <w:rPr>
          <w:rFonts w:asciiTheme="majorHAnsi" w:eastAsia="Calibri" w:hAnsiTheme="majorHAnsi" w:cs="Times New Roman"/>
          <w:sz w:val="22"/>
          <w:szCs w:val="22"/>
          <w:lang w:val="fr-CH"/>
        </w:rPr>
      </w:pPr>
    </w:p>
    <w:p w14:paraId="48C54BF0" w14:textId="684D2D89" w:rsidR="00C64326" w:rsidRPr="00BA22DE" w:rsidRDefault="005D0D94" w:rsidP="004C3670">
      <w:pPr>
        <w:keepNext/>
        <w:spacing w:after="200"/>
        <w:rPr>
          <w:rFonts w:asciiTheme="majorHAnsi" w:eastAsia="Calibri" w:hAnsiTheme="majorHAnsi" w:cs="Times New Roman"/>
          <w:i/>
          <w:sz w:val="22"/>
          <w:szCs w:val="22"/>
          <w:lang w:val="fr-CH"/>
        </w:rPr>
      </w:pPr>
      <w:r>
        <w:rPr>
          <w:rFonts w:asciiTheme="majorHAnsi" w:eastAsia="Calibri" w:hAnsiTheme="majorHAnsi" w:cs="Times New Roman"/>
          <w:i/>
          <w:sz w:val="22"/>
          <w:szCs w:val="22"/>
          <w:lang w:val="fr-CH"/>
        </w:rPr>
        <w:t xml:space="preserve">But 3 – Soutien </w:t>
      </w:r>
      <w:r w:rsidRPr="005D0D94">
        <w:rPr>
          <w:rFonts w:asciiTheme="majorHAnsi" w:eastAsia="Calibri" w:hAnsiTheme="majorHAnsi" w:cs="Times New Roman"/>
          <w:i/>
          <w:sz w:val="22"/>
          <w:szCs w:val="22"/>
          <w:lang w:val="fr-CH"/>
        </w:rPr>
        <w:t xml:space="preserve">à l'utilisation rationnelle pour les </w:t>
      </w:r>
      <w:r>
        <w:rPr>
          <w:rFonts w:asciiTheme="majorHAnsi" w:eastAsia="Calibri" w:hAnsiTheme="majorHAnsi" w:cs="Times New Roman"/>
          <w:i/>
          <w:sz w:val="22"/>
          <w:szCs w:val="22"/>
          <w:lang w:val="fr-CH"/>
        </w:rPr>
        <w:t xml:space="preserve">administrateurs </w:t>
      </w:r>
      <w:r w:rsidR="000A0F97">
        <w:rPr>
          <w:rFonts w:asciiTheme="majorHAnsi" w:eastAsia="Calibri" w:hAnsiTheme="majorHAnsi" w:cs="Times New Roman"/>
          <w:i/>
          <w:sz w:val="22"/>
          <w:szCs w:val="22"/>
          <w:lang w:val="fr-CH"/>
        </w:rPr>
        <w:t>de S</w:t>
      </w:r>
      <w:r w:rsidRPr="005D0D94">
        <w:rPr>
          <w:rFonts w:asciiTheme="majorHAnsi" w:eastAsia="Calibri" w:hAnsiTheme="majorHAnsi" w:cs="Times New Roman"/>
          <w:i/>
          <w:sz w:val="22"/>
          <w:szCs w:val="22"/>
          <w:lang w:val="fr-CH"/>
        </w:rPr>
        <w:t xml:space="preserve">ites Ramsar et d'autres zones humides ; et </w:t>
      </w:r>
      <w:r w:rsidR="00C64326" w:rsidRPr="00BA22DE">
        <w:rPr>
          <w:rFonts w:asciiTheme="majorHAnsi" w:eastAsia="Calibri" w:hAnsiTheme="majorHAnsi" w:cs="Times New Roman"/>
          <w:i/>
          <w:sz w:val="22"/>
          <w:szCs w:val="22"/>
          <w:lang w:val="fr-CH"/>
        </w:rPr>
        <w:br/>
      </w:r>
      <w:r>
        <w:rPr>
          <w:rFonts w:asciiTheme="majorHAnsi" w:eastAsia="Calibri" w:hAnsiTheme="majorHAnsi" w:cs="Times New Roman"/>
          <w:i/>
          <w:sz w:val="22"/>
          <w:szCs w:val="22"/>
          <w:lang w:val="fr-CH"/>
        </w:rPr>
        <w:t>But</w:t>
      </w:r>
      <w:r w:rsidR="00C64326" w:rsidRPr="00BA22DE">
        <w:rPr>
          <w:rFonts w:asciiTheme="majorHAnsi" w:eastAsia="Calibri" w:hAnsiTheme="majorHAnsi" w:cs="Times New Roman"/>
          <w:i/>
          <w:sz w:val="22"/>
          <w:szCs w:val="22"/>
          <w:lang w:val="fr-CH"/>
        </w:rPr>
        <w:t xml:space="preserve"> 4 – </w:t>
      </w:r>
      <w:r>
        <w:rPr>
          <w:rFonts w:asciiTheme="majorHAnsi" w:eastAsia="Calibri" w:hAnsiTheme="majorHAnsi" w:cs="Times New Roman"/>
          <w:i/>
          <w:sz w:val="22"/>
          <w:szCs w:val="22"/>
          <w:lang w:val="fr-CH"/>
        </w:rPr>
        <w:t>Renforcement des capacités</w:t>
      </w:r>
    </w:p>
    <w:p w14:paraId="53FF20F6" w14:textId="2B6CF6BC" w:rsidR="00C64326" w:rsidRPr="00BA22DE" w:rsidRDefault="00EE491E" w:rsidP="00EE491E">
      <w:pPr>
        <w:numPr>
          <w:ilvl w:val="0"/>
          <w:numId w:val="19"/>
        </w:numPr>
        <w:spacing w:after="200"/>
        <w:contextualSpacing/>
        <w:rPr>
          <w:rFonts w:asciiTheme="majorHAnsi" w:eastAsia="Calibri" w:hAnsiTheme="majorHAnsi" w:cs="Times New Roman"/>
          <w:sz w:val="22"/>
          <w:szCs w:val="22"/>
          <w:lang w:val="fr-CH"/>
        </w:rPr>
      </w:pPr>
      <w:r w:rsidRPr="00EE491E">
        <w:rPr>
          <w:rFonts w:asciiTheme="majorHAnsi" w:eastAsia="Calibri" w:hAnsiTheme="majorHAnsi" w:cs="Times New Roman"/>
          <w:sz w:val="22"/>
          <w:szCs w:val="22"/>
          <w:lang w:val="fr-CH"/>
        </w:rPr>
        <w:t xml:space="preserve">Le Secrétariat a renforcé son rôle </w:t>
      </w:r>
      <w:r w:rsidR="004F7D4E">
        <w:rPr>
          <w:rFonts w:asciiTheme="majorHAnsi" w:eastAsia="Calibri" w:hAnsiTheme="majorHAnsi" w:cs="Times New Roman"/>
          <w:sz w:val="22"/>
          <w:szCs w:val="22"/>
          <w:lang w:val="fr-CH"/>
        </w:rPr>
        <w:t>en termes de soutien</w:t>
      </w:r>
      <w:r w:rsidRPr="00EE491E">
        <w:rPr>
          <w:rFonts w:asciiTheme="majorHAnsi" w:eastAsia="Calibri" w:hAnsiTheme="majorHAnsi" w:cs="Times New Roman"/>
          <w:sz w:val="22"/>
          <w:szCs w:val="22"/>
          <w:lang w:val="fr-CH"/>
        </w:rPr>
        <w:t xml:space="preserve"> direct au</w:t>
      </w:r>
      <w:r w:rsidR="004F7D4E">
        <w:rPr>
          <w:rFonts w:asciiTheme="majorHAnsi" w:eastAsia="Calibri" w:hAnsiTheme="majorHAnsi" w:cs="Times New Roman"/>
          <w:sz w:val="22"/>
          <w:szCs w:val="22"/>
          <w:lang w:val="fr-CH"/>
        </w:rPr>
        <w:t xml:space="preserve"> renforcement des</w:t>
      </w:r>
      <w:r w:rsidRPr="00EE491E">
        <w:rPr>
          <w:rFonts w:asciiTheme="majorHAnsi" w:eastAsia="Calibri" w:hAnsiTheme="majorHAnsi" w:cs="Times New Roman"/>
          <w:sz w:val="22"/>
          <w:szCs w:val="22"/>
          <w:lang w:val="fr-CH"/>
        </w:rPr>
        <w:t xml:space="preserve"> capacités de chaque Partie contractante </w:t>
      </w:r>
      <w:r w:rsidR="004F7D4E">
        <w:rPr>
          <w:rFonts w:asciiTheme="majorHAnsi" w:eastAsia="Calibri" w:hAnsiTheme="majorHAnsi" w:cs="Times New Roman"/>
          <w:sz w:val="22"/>
          <w:szCs w:val="22"/>
          <w:lang w:val="fr-CH"/>
        </w:rPr>
        <w:t>grâce à</w:t>
      </w:r>
      <w:r w:rsidRPr="00EE491E">
        <w:rPr>
          <w:rFonts w:asciiTheme="majorHAnsi" w:eastAsia="Calibri" w:hAnsiTheme="majorHAnsi" w:cs="Times New Roman"/>
          <w:sz w:val="22"/>
          <w:szCs w:val="22"/>
          <w:lang w:val="fr-CH"/>
        </w:rPr>
        <w:t xml:space="preserve"> divers </w:t>
      </w:r>
      <w:r w:rsidR="004F7D4E">
        <w:rPr>
          <w:rFonts w:asciiTheme="majorHAnsi" w:eastAsia="Calibri" w:hAnsiTheme="majorHAnsi" w:cs="Times New Roman"/>
          <w:sz w:val="22"/>
          <w:szCs w:val="22"/>
          <w:lang w:val="fr-CH"/>
        </w:rPr>
        <w:t xml:space="preserve">documents </w:t>
      </w:r>
      <w:r w:rsidRPr="00EE491E">
        <w:rPr>
          <w:rFonts w:asciiTheme="majorHAnsi" w:eastAsia="Calibri" w:hAnsiTheme="majorHAnsi" w:cs="Times New Roman"/>
          <w:sz w:val="22"/>
          <w:szCs w:val="22"/>
          <w:lang w:val="fr-CH"/>
        </w:rPr>
        <w:t xml:space="preserve">et outils, </w:t>
      </w:r>
      <w:r w:rsidR="004F7D4E">
        <w:rPr>
          <w:rFonts w:asciiTheme="majorHAnsi" w:eastAsia="Calibri" w:hAnsiTheme="majorHAnsi" w:cs="Times New Roman"/>
          <w:sz w:val="22"/>
          <w:szCs w:val="22"/>
          <w:lang w:val="fr-CH"/>
        </w:rPr>
        <w:t xml:space="preserve">notamment </w:t>
      </w:r>
      <w:r w:rsidRPr="00EE491E">
        <w:rPr>
          <w:rFonts w:asciiTheme="majorHAnsi" w:eastAsia="Calibri" w:hAnsiTheme="majorHAnsi" w:cs="Times New Roman"/>
          <w:sz w:val="22"/>
          <w:szCs w:val="22"/>
          <w:lang w:val="fr-CH"/>
        </w:rPr>
        <w:t xml:space="preserve">des webinaires, des didacticiels et des outils d'aide à </w:t>
      </w:r>
      <w:r w:rsidR="004F7D4E">
        <w:rPr>
          <w:rFonts w:asciiTheme="majorHAnsi" w:eastAsia="Calibri" w:hAnsiTheme="majorHAnsi" w:cs="Times New Roman"/>
          <w:sz w:val="22"/>
          <w:szCs w:val="22"/>
          <w:lang w:val="fr-CH"/>
        </w:rPr>
        <w:t xml:space="preserve">la préparation </w:t>
      </w:r>
      <w:r w:rsidRPr="00EE491E">
        <w:rPr>
          <w:rFonts w:asciiTheme="majorHAnsi" w:eastAsia="Calibri" w:hAnsiTheme="majorHAnsi" w:cs="Times New Roman"/>
          <w:sz w:val="22"/>
          <w:szCs w:val="22"/>
          <w:lang w:val="fr-CH"/>
        </w:rPr>
        <w:t>de rapports en ligne, en particulier su</w:t>
      </w:r>
      <w:r w:rsidR="004F7D4E">
        <w:rPr>
          <w:rFonts w:asciiTheme="majorHAnsi" w:eastAsia="Calibri" w:hAnsiTheme="majorHAnsi" w:cs="Times New Roman"/>
          <w:sz w:val="22"/>
          <w:szCs w:val="22"/>
          <w:lang w:val="fr-CH"/>
        </w:rPr>
        <w:t>r l' « étendue des zones humides »</w:t>
      </w:r>
      <w:r w:rsidR="00C64326" w:rsidRPr="00BA22DE">
        <w:rPr>
          <w:rFonts w:asciiTheme="majorHAnsi" w:eastAsia="Calibri" w:hAnsiTheme="majorHAnsi" w:cs="Times New Roman"/>
          <w:sz w:val="22"/>
          <w:szCs w:val="22"/>
          <w:lang w:val="fr-CH"/>
        </w:rPr>
        <w:t xml:space="preserve">.  </w:t>
      </w:r>
    </w:p>
    <w:p w14:paraId="7DA050FC" w14:textId="34877973" w:rsidR="00C64326" w:rsidRPr="00BA22DE" w:rsidRDefault="004F7D4E" w:rsidP="004F7D4E">
      <w:pPr>
        <w:numPr>
          <w:ilvl w:val="0"/>
          <w:numId w:val="19"/>
        </w:numPr>
        <w:spacing w:after="200"/>
        <w:contextualSpacing/>
        <w:rPr>
          <w:rFonts w:asciiTheme="majorHAnsi" w:eastAsia="Calibri" w:hAnsiTheme="majorHAnsi" w:cs="Times New Roman"/>
          <w:sz w:val="22"/>
          <w:szCs w:val="22"/>
          <w:lang w:val="fr-CH"/>
        </w:rPr>
      </w:pPr>
      <w:r w:rsidRPr="004F7D4E">
        <w:rPr>
          <w:rFonts w:asciiTheme="majorHAnsi" w:eastAsia="Calibri" w:hAnsiTheme="majorHAnsi" w:cs="Times New Roman"/>
          <w:sz w:val="22"/>
          <w:szCs w:val="22"/>
          <w:lang w:val="fr-CH"/>
        </w:rPr>
        <w:t xml:space="preserve">Les informations sur les sites </w:t>
      </w:r>
      <w:r>
        <w:rPr>
          <w:rFonts w:asciiTheme="majorHAnsi" w:eastAsia="Calibri" w:hAnsiTheme="majorHAnsi" w:cs="Times New Roman"/>
          <w:sz w:val="22"/>
          <w:szCs w:val="22"/>
          <w:lang w:val="fr-CH"/>
        </w:rPr>
        <w:t>s</w:t>
      </w:r>
      <w:r w:rsidRPr="004F7D4E">
        <w:rPr>
          <w:rFonts w:asciiTheme="majorHAnsi" w:eastAsia="Calibri" w:hAnsiTheme="majorHAnsi" w:cs="Times New Roman"/>
          <w:sz w:val="22"/>
          <w:szCs w:val="22"/>
          <w:lang w:val="fr-CH"/>
        </w:rPr>
        <w:t xml:space="preserve">ont téléchargées </w:t>
      </w:r>
      <w:r>
        <w:rPr>
          <w:rFonts w:asciiTheme="majorHAnsi" w:eastAsia="Calibri" w:hAnsiTheme="majorHAnsi" w:cs="Times New Roman"/>
          <w:sz w:val="22"/>
          <w:szCs w:val="22"/>
          <w:lang w:val="fr-CH"/>
        </w:rPr>
        <w:t xml:space="preserve">sur </w:t>
      </w:r>
      <w:r w:rsidRPr="004F7D4E">
        <w:rPr>
          <w:rFonts w:asciiTheme="majorHAnsi" w:eastAsia="Calibri" w:hAnsiTheme="majorHAnsi" w:cs="Times New Roman"/>
          <w:sz w:val="22"/>
          <w:szCs w:val="22"/>
          <w:lang w:val="fr-CH"/>
        </w:rPr>
        <w:t>le</w:t>
      </w:r>
      <w:r>
        <w:rPr>
          <w:rFonts w:asciiTheme="majorHAnsi" w:eastAsia="Calibri" w:hAnsiTheme="majorHAnsi" w:cs="Times New Roman"/>
          <w:sz w:val="22"/>
          <w:szCs w:val="22"/>
          <w:lang w:val="fr-CH"/>
        </w:rPr>
        <w:t xml:space="preserve"> Service d'information sur les S</w:t>
      </w:r>
      <w:r w:rsidRPr="004F7D4E">
        <w:rPr>
          <w:rFonts w:asciiTheme="majorHAnsi" w:eastAsia="Calibri" w:hAnsiTheme="majorHAnsi" w:cs="Times New Roman"/>
          <w:sz w:val="22"/>
          <w:szCs w:val="22"/>
          <w:lang w:val="fr-CH"/>
        </w:rPr>
        <w:t>ites Ramsar.  Un manuel de formation et des vidéos ont été produits</w:t>
      </w:r>
      <w:r w:rsidR="00C64326" w:rsidRPr="00BA22DE">
        <w:rPr>
          <w:rFonts w:asciiTheme="majorHAnsi" w:eastAsia="Calibri" w:hAnsiTheme="majorHAnsi" w:cs="Times New Roman"/>
          <w:sz w:val="22"/>
          <w:szCs w:val="22"/>
          <w:lang w:val="fr-CH"/>
        </w:rPr>
        <w:t>.</w:t>
      </w:r>
    </w:p>
    <w:p w14:paraId="6A21923F" w14:textId="6C01DE4E" w:rsidR="000A5212" w:rsidRPr="000A5212" w:rsidRDefault="00EE47BB" w:rsidP="000A5212">
      <w:pPr>
        <w:numPr>
          <w:ilvl w:val="0"/>
          <w:numId w:val="19"/>
        </w:numPr>
        <w:spacing w:after="200"/>
        <w:contextualSpacing/>
        <w:rPr>
          <w:rFonts w:asciiTheme="majorHAnsi" w:eastAsia="Calibri" w:hAnsiTheme="majorHAnsi" w:cs="Times New Roman"/>
          <w:sz w:val="22"/>
          <w:szCs w:val="22"/>
          <w:lang w:val="fr-CH"/>
        </w:rPr>
      </w:pPr>
      <w:r w:rsidRPr="000A5212">
        <w:rPr>
          <w:rFonts w:asciiTheme="majorHAnsi" w:eastAsia="Calibri" w:hAnsiTheme="majorHAnsi" w:cs="Times New Roman"/>
          <w:sz w:val="22"/>
          <w:szCs w:val="22"/>
          <w:lang w:val="fr-CH"/>
        </w:rPr>
        <w:t>Des outils de gestion d</w:t>
      </w:r>
      <w:r w:rsidR="000A0F97" w:rsidRPr="000A5212">
        <w:rPr>
          <w:rFonts w:asciiTheme="majorHAnsi" w:eastAsia="Calibri" w:hAnsiTheme="majorHAnsi" w:cs="Times New Roman"/>
          <w:sz w:val="22"/>
          <w:szCs w:val="22"/>
          <w:lang w:val="fr-CH"/>
        </w:rPr>
        <w:t>es S</w:t>
      </w:r>
      <w:r w:rsidRPr="000A5212">
        <w:rPr>
          <w:rFonts w:asciiTheme="majorHAnsi" w:eastAsia="Calibri" w:hAnsiTheme="majorHAnsi" w:cs="Times New Roman"/>
          <w:sz w:val="22"/>
          <w:szCs w:val="22"/>
          <w:lang w:val="fr-CH"/>
        </w:rPr>
        <w:t>ites Ramsar visant à fournir des orientations simples aux administrateurs de sites sur les mesures clés et les éléments de la gestion d’un Site Ramsa</w:t>
      </w:r>
      <w:r w:rsidR="000A0F97" w:rsidRPr="000A5212">
        <w:rPr>
          <w:rFonts w:asciiTheme="majorHAnsi" w:eastAsia="Calibri" w:hAnsiTheme="majorHAnsi" w:cs="Times New Roman"/>
          <w:sz w:val="22"/>
          <w:szCs w:val="22"/>
          <w:lang w:val="fr-CH"/>
        </w:rPr>
        <w:t>r</w:t>
      </w:r>
      <w:r w:rsidRPr="000A5212">
        <w:rPr>
          <w:rFonts w:asciiTheme="majorHAnsi" w:eastAsia="Calibri" w:hAnsiTheme="majorHAnsi" w:cs="Times New Roman"/>
          <w:sz w:val="22"/>
          <w:szCs w:val="22"/>
          <w:lang w:val="fr-CH"/>
        </w:rPr>
        <w:t>, ont été élaborés avec le Secrétariat et peuvent être consultée en ligne, à l'adresse :</w:t>
      </w:r>
      <w:r w:rsidR="00C64326" w:rsidRPr="000A5212">
        <w:rPr>
          <w:rFonts w:asciiTheme="majorHAnsi" w:eastAsia="Calibri" w:hAnsiTheme="majorHAnsi" w:cs="Times New Roman"/>
          <w:sz w:val="22"/>
          <w:szCs w:val="22"/>
          <w:lang w:val="fr-CH"/>
        </w:rPr>
        <w:t xml:space="preserve"> </w:t>
      </w:r>
      <w:hyperlink r:id="rId10" w:history="1">
        <w:r w:rsidR="000A5212" w:rsidRPr="00241C6A">
          <w:rPr>
            <w:rStyle w:val="Hyperlink"/>
            <w:rFonts w:asciiTheme="majorHAnsi" w:eastAsia="Calibri" w:hAnsiTheme="majorHAnsi" w:cs="Times New Roman"/>
            <w:sz w:val="22"/>
            <w:szCs w:val="22"/>
            <w:lang w:val="fr-CH"/>
          </w:rPr>
          <w:t>https://www.ramsar.org/fr/ressources/outils-de-gestion-des-sites-ramsar</w:t>
        </w:r>
      </w:hyperlink>
      <w:r w:rsidR="000A5212">
        <w:rPr>
          <w:rFonts w:asciiTheme="majorHAnsi" w:eastAsia="Calibri" w:hAnsiTheme="majorHAnsi" w:cs="Times New Roman"/>
          <w:color w:val="0000FF"/>
          <w:sz w:val="22"/>
          <w:szCs w:val="22"/>
          <w:u w:val="single"/>
          <w:lang w:val="fr-CH"/>
        </w:rPr>
        <w:t xml:space="preserve">. </w:t>
      </w:r>
      <w:r w:rsidR="000A5212" w:rsidRPr="000A5212">
        <w:rPr>
          <w:rFonts w:asciiTheme="majorHAnsi" w:eastAsia="Calibri" w:hAnsiTheme="majorHAnsi" w:cs="Times New Roman"/>
          <w:color w:val="0000FF"/>
          <w:sz w:val="22"/>
          <w:szCs w:val="22"/>
          <w:u w:val="single"/>
          <w:lang w:val="fr-CH"/>
        </w:rPr>
        <w:t xml:space="preserve"> </w:t>
      </w:r>
    </w:p>
    <w:p w14:paraId="31D1D1A3" w14:textId="4C12039E" w:rsidR="00C64326" w:rsidRPr="000A5212" w:rsidRDefault="00EE47BB" w:rsidP="000A5212">
      <w:pPr>
        <w:numPr>
          <w:ilvl w:val="0"/>
          <w:numId w:val="19"/>
        </w:numPr>
        <w:spacing w:after="200"/>
        <w:contextualSpacing/>
        <w:rPr>
          <w:rFonts w:asciiTheme="majorHAnsi" w:eastAsia="Calibri" w:hAnsiTheme="majorHAnsi" w:cs="Times New Roman"/>
          <w:sz w:val="22"/>
          <w:szCs w:val="22"/>
          <w:lang w:val="fr-CH"/>
        </w:rPr>
      </w:pPr>
      <w:r w:rsidRPr="000A5212">
        <w:rPr>
          <w:rFonts w:asciiTheme="majorHAnsi" w:eastAsia="Calibri" w:hAnsiTheme="majorHAnsi" w:cs="Times New Roman"/>
          <w:sz w:val="22"/>
          <w:szCs w:val="22"/>
          <w:lang w:val="fr-CH"/>
        </w:rPr>
        <w:t>Le Secrétariat a produit un certain nombre de publications sur les zones humides qui ont été partagées avec les réseaux de CESP, ainsi que sept petites vidéos sur les avantages des zones humides</w:t>
      </w:r>
      <w:r w:rsidR="00C64326" w:rsidRPr="000A5212">
        <w:rPr>
          <w:rFonts w:asciiTheme="majorHAnsi" w:eastAsia="Calibri" w:hAnsiTheme="majorHAnsi" w:cs="Times New Roman"/>
          <w:sz w:val="22"/>
          <w:szCs w:val="22"/>
          <w:lang w:val="fr-CH"/>
        </w:rPr>
        <w:t>.</w:t>
      </w:r>
    </w:p>
    <w:p w14:paraId="6470F385" w14:textId="1FE596F1" w:rsidR="00EE47BB" w:rsidRPr="00EE47BB" w:rsidRDefault="00EE47BB" w:rsidP="00EE47BB">
      <w:pPr>
        <w:numPr>
          <w:ilvl w:val="0"/>
          <w:numId w:val="19"/>
        </w:numPr>
        <w:spacing w:after="200"/>
        <w:contextualSpacing/>
        <w:rPr>
          <w:rFonts w:asciiTheme="majorHAnsi" w:eastAsia="Calibri" w:hAnsiTheme="majorHAnsi" w:cs="Times New Roman"/>
          <w:sz w:val="22"/>
          <w:szCs w:val="22"/>
          <w:lang w:val="fr-CH"/>
        </w:rPr>
      </w:pPr>
      <w:r w:rsidRPr="00EE47BB">
        <w:rPr>
          <w:rFonts w:asciiTheme="majorHAnsi" w:eastAsia="Calibri" w:hAnsiTheme="majorHAnsi" w:cs="Times New Roman"/>
          <w:sz w:val="22"/>
          <w:szCs w:val="22"/>
          <w:lang w:val="fr-CH"/>
        </w:rPr>
        <w:t>Des candidatures ont été sollicitées pour les Prix Ramsar pour la conservation des zones humides q</w:t>
      </w:r>
      <w:r w:rsidR="00590257">
        <w:rPr>
          <w:rFonts w:asciiTheme="majorHAnsi" w:eastAsia="Calibri" w:hAnsiTheme="majorHAnsi" w:cs="Times New Roman"/>
          <w:sz w:val="22"/>
          <w:szCs w:val="22"/>
          <w:lang w:val="fr-CH"/>
        </w:rPr>
        <w:t xml:space="preserve">ui seront présentés à la COP13 et qui visent à récompenser </w:t>
      </w:r>
      <w:r w:rsidRPr="00EE47BB">
        <w:rPr>
          <w:rFonts w:asciiTheme="majorHAnsi" w:eastAsia="Calibri" w:hAnsiTheme="majorHAnsi" w:cs="Times New Roman"/>
          <w:sz w:val="22"/>
          <w:szCs w:val="22"/>
          <w:lang w:val="fr-CH"/>
        </w:rPr>
        <w:t xml:space="preserve">et honorer les réalisations des individus, organisations et gouvernements du monde entier </w:t>
      </w:r>
      <w:r w:rsidR="00590257">
        <w:rPr>
          <w:rFonts w:asciiTheme="majorHAnsi" w:eastAsia="Calibri" w:hAnsiTheme="majorHAnsi" w:cs="Times New Roman"/>
          <w:sz w:val="22"/>
          <w:szCs w:val="22"/>
          <w:lang w:val="fr-CH"/>
        </w:rPr>
        <w:t xml:space="preserve">pour leur action </w:t>
      </w:r>
      <w:r w:rsidRPr="00EE47BB">
        <w:rPr>
          <w:rFonts w:asciiTheme="majorHAnsi" w:eastAsia="Calibri" w:hAnsiTheme="majorHAnsi" w:cs="Times New Roman"/>
          <w:sz w:val="22"/>
          <w:szCs w:val="22"/>
          <w:lang w:val="fr-CH"/>
        </w:rPr>
        <w:t>en matière de conservation et d'utilisation rationnelle des zones humides.  Le Groupe D</w:t>
      </w:r>
      <w:r w:rsidR="00590257">
        <w:rPr>
          <w:rFonts w:asciiTheme="majorHAnsi" w:eastAsia="Calibri" w:hAnsiTheme="majorHAnsi" w:cs="Times New Roman"/>
          <w:sz w:val="22"/>
          <w:szCs w:val="22"/>
          <w:lang w:val="fr-CH"/>
        </w:rPr>
        <w:t>anone a offert un prix spécial É</w:t>
      </w:r>
      <w:r w:rsidRPr="00EE47BB">
        <w:rPr>
          <w:rFonts w:asciiTheme="majorHAnsi" w:eastAsia="Calibri" w:hAnsiTheme="majorHAnsi" w:cs="Times New Roman"/>
          <w:sz w:val="22"/>
          <w:szCs w:val="22"/>
          <w:lang w:val="fr-CH"/>
        </w:rPr>
        <w:t>vian d</w:t>
      </w:r>
      <w:r w:rsidR="00590257">
        <w:rPr>
          <w:rFonts w:asciiTheme="majorHAnsi" w:eastAsia="Calibri" w:hAnsiTheme="majorHAnsi" w:cs="Times New Roman"/>
          <w:sz w:val="22"/>
          <w:szCs w:val="22"/>
          <w:lang w:val="fr-CH"/>
        </w:rPr>
        <w:t>’un montant de USD</w:t>
      </w:r>
      <w:r w:rsidRPr="00EE47BB">
        <w:rPr>
          <w:rFonts w:asciiTheme="majorHAnsi" w:eastAsia="Calibri" w:hAnsiTheme="majorHAnsi" w:cs="Times New Roman"/>
          <w:sz w:val="22"/>
          <w:szCs w:val="22"/>
          <w:lang w:val="fr-CH"/>
        </w:rPr>
        <w:t xml:space="preserve"> 10 000 </w:t>
      </w:r>
      <w:r w:rsidR="00590257">
        <w:rPr>
          <w:rFonts w:asciiTheme="majorHAnsi" w:eastAsia="Calibri" w:hAnsiTheme="majorHAnsi" w:cs="Times New Roman"/>
          <w:sz w:val="22"/>
          <w:szCs w:val="22"/>
          <w:lang w:val="fr-CH"/>
        </w:rPr>
        <w:t xml:space="preserve">pour </w:t>
      </w:r>
      <w:r w:rsidRPr="00EE47BB">
        <w:rPr>
          <w:rFonts w:asciiTheme="majorHAnsi" w:eastAsia="Calibri" w:hAnsiTheme="majorHAnsi" w:cs="Times New Roman"/>
          <w:sz w:val="22"/>
          <w:szCs w:val="22"/>
          <w:lang w:val="fr-CH"/>
        </w:rPr>
        <w:t>chaque catégorie</w:t>
      </w:r>
      <w:r>
        <w:rPr>
          <w:rFonts w:asciiTheme="majorHAnsi" w:eastAsia="Calibri" w:hAnsiTheme="majorHAnsi" w:cs="Times New Roman"/>
          <w:sz w:val="22"/>
          <w:szCs w:val="22"/>
          <w:lang w:val="fr-CH"/>
        </w:rPr>
        <w:t>.</w:t>
      </w:r>
    </w:p>
    <w:p w14:paraId="74926A3A" w14:textId="04AEB816" w:rsidR="00C64326" w:rsidRPr="00590257" w:rsidRDefault="0033529E" w:rsidP="00590257">
      <w:pPr>
        <w:numPr>
          <w:ilvl w:val="0"/>
          <w:numId w:val="19"/>
        </w:numPr>
        <w:spacing w:after="200"/>
        <w:contextualSpacing/>
        <w:rPr>
          <w:rFonts w:asciiTheme="majorHAnsi" w:eastAsia="Calibri" w:hAnsiTheme="majorHAnsi" w:cs="Times New Roman"/>
          <w:sz w:val="22"/>
          <w:szCs w:val="22"/>
          <w:lang w:val="fr-CH"/>
        </w:rPr>
      </w:pPr>
      <w:r>
        <w:rPr>
          <w:rFonts w:asciiTheme="majorHAnsi" w:eastAsia="Calibri" w:hAnsiTheme="majorHAnsi" w:cs="Times New Roman"/>
          <w:sz w:val="22"/>
          <w:szCs w:val="22"/>
          <w:lang w:val="fr-CH"/>
        </w:rPr>
        <w:t>Les I</w:t>
      </w:r>
      <w:r w:rsidR="00590257" w:rsidRPr="00590257">
        <w:rPr>
          <w:rFonts w:asciiTheme="majorHAnsi" w:eastAsia="Calibri" w:hAnsiTheme="majorHAnsi" w:cs="Times New Roman"/>
          <w:sz w:val="22"/>
          <w:szCs w:val="22"/>
          <w:lang w:val="fr-CH"/>
        </w:rPr>
        <w:t>nitiatives régionales Ram</w:t>
      </w:r>
      <w:r w:rsidR="00590257">
        <w:rPr>
          <w:rFonts w:asciiTheme="majorHAnsi" w:eastAsia="Calibri" w:hAnsiTheme="majorHAnsi" w:cs="Times New Roman"/>
          <w:sz w:val="22"/>
          <w:szCs w:val="22"/>
          <w:lang w:val="fr-CH"/>
        </w:rPr>
        <w:t xml:space="preserve">sar ont continué à soutenir la Convention.  On peut notamment citer les </w:t>
      </w:r>
      <w:r w:rsidR="00590257" w:rsidRPr="00590257">
        <w:rPr>
          <w:rFonts w:asciiTheme="majorHAnsi" w:eastAsia="Calibri" w:hAnsiTheme="majorHAnsi" w:cs="Times New Roman"/>
          <w:sz w:val="22"/>
          <w:szCs w:val="22"/>
          <w:lang w:val="fr-CH"/>
        </w:rPr>
        <w:t xml:space="preserve">quatre centres régionaux Ramsar qui </w:t>
      </w:r>
      <w:r w:rsidR="0041481E">
        <w:rPr>
          <w:rFonts w:asciiTheme="majorHAnsi" w:eastAsia="Calibri" w:hAnsiTheme="majorHAnsi" w:cs="Times New Roman"/>
          <w:sz w:val="22"/>
          <w:szCs w:val="22"/>
          <w:lang w:val="fr-CH"/>
        </w:rPr>
        <w:t xml:space="preserve">encouragent </w:t>
      </w:r>
      <w:r w:rsidR="00590257" w:rsidRPr="00590257">
        <w:rPr>
          <w:rFonts w:asciiTheme="majorHAnsi" w:eastAsia="Calibri" w:hAnsiTheme="majorHAnsi" w:cs="Times New Roman"/>
          <w:sz w:val="22"/>
          <w:szCs w:val="22"/>
          <w:lang w:val="fr-CH"/>
        </w:rPr>
        <w:t>la coopération scientifique et technique, la formation et le renforcement des capacités, et des quinze réseaux régionaux qui soutiennent la collaboration entre gouvernements, experts, ONG internationales, communautés locales et entreprises.  Les détails sont disponibles dans les rapports annuels de</w:t>
      </w:r>
      <w:r w:rsidR="0041481E">
        <w:rPr>
          <w:rFonts w:asciiTheme="majorHAnsi" w:eastAsia="Calibri" w:hAnsiTheme="majorHAnsi" w:cs="Times New Roman"/>
          <w:sz w:val="22"/>
          <w:szCs w:val="22"/>
          <w:lang w:val="fr-CH"/>
        </w:rPr>
        <w:t>s</w:t>
      </w:r>
      <w:r w:rsidR="00590257" w:rsidRPr="00590257">
        <w:rPr>
          <w:rFonts w:asciiTheme="majorHAnsi" w:eastAsia="Calibri" w:hAnsiTheme="majorHAnsi" w:cs="Times New Roman"/>
          <w:sz w:val="22"/>
          <w:szCs w:val="22"/>
          <w:lang w:val="fr-CH"/>
        </w:rPr>
        <w:t xml:space="preserve"> </w:t>
      </w:r>
      <w:r w:rsidR="0041481E">
        <w:rPr>
          <w:rFonts w:asciiTheme="majorHAnsi" w:eastAsia="Calibri" w:hAnsiTheme="majorHAnsi" w:cs="Times New Roman"/>
          <w:sz w:val="22"/>
          <w:szCs w:val="22"/>
          <w:lang w:val="fr-CH"/>
        </w:rPr>
        <w:t>IRR</w:t>
      </w:r>
      <w:r w:rsidR="00590257" w:rsidRPr="00590257">
        <w:rPr>
          <w:rFonts w:asciiTheme="majorHAnsi" w:eastAsia="Calibri" w:hAnsiTheme="majorHAnsi" w:cs="Times New Roman"/>
          <w:sz w:val="22"/>
          <w:szCs w:val="22"/>
          <w:lang w:val="fr-CH"/>
        </w:rPr>
        <w:t>, les réalisations pour 2017</w:t>
      </w:r>
      <w:r w:rsidR="0041481E">
        <w:rPr>
          <w:rFonts w:asciiTheme="majorHAnsi" w:eastAsia="Calibri" w:hAnsiTheme="majorHAnsi" w:cs="Times New Roman"/>
          <w:sz w:val="22"/>
          <w:szCs w:val="22"/>
          <w:lang w:val="fr-CH"/>
        </w:rPr>
        <w:t xml:space="preserve"> étant</w:t>
      </w:r>
      <w:r w:rsidR="00590257" w:rsidRPr="00590257">
        <w:rPr>
          <w:rFonts w:asciiTheme="majorHAnsi" w:eastAsia="Calibri" w:hAnsiTheme="majorHAnsi" w:cs="Times New Roman"/>
          <w:sz w:val="22"/>
          <w:szCs w:val="22"/>
          <w:lang w:val="fr-CH"/>
        </w:rPr>
        <w:t>, notamment</w:t>
      </w:r>
      <w:r w:rsidR="0041481E">
        <w:rPr>
          <w:rFonts w:asciiTheme="majorHAnsi" w:eastAsia="Calibri" w:hAnsiTheme="majorHAnsi" w:cs="Times New Roman"/>
          <w:sz w:val="22"/>
          <w:szCs w:val="22"/>
          <w:lang w:val="fr-CH"/>
        </w:rPr>
        <w:t>, les suivantes</w:t>
      </w:r>
      <w:r w:rsidR="00590257">
        <w:rPr>
          <w:rFonts w:asciiTheme="majorHAnsi" w:eastAsia="Calibri" w:hAnsiTheme="majorHAnsi" w:cs="Times New Roman"/>
          <w:sz w:val="22"/>
          <w:szCs w:val="22"/>
          <w:lang w:val="fr-CH"/>
        </w:rPr>
        <w:t xml:space="preserve"> </w:t>
      </w:r>
      <w:r w:rsidR="00C64326" w:rsidRPr="00590257">
        <w:rPr>
          <w:rFonts w:asciiTheme="majorHAnsi" w:eastAsia="Calibri" w:hAnsiTheme="majorHAnsi" w:cs="Times New Roman"/>
          <w:sz w:val="22"/>
          <w:szCs w:val="22"/>
          <w:lang w:val="fr-CH"/>
        </w:rPr>
        <w:t>:</w:t>
      </w:r>
    </w:p>
    <w:p w14:paraId="30023C0A" w14:textId="318F2E6D" w:rsidR="00C64326" w:rsidRPr="00BA22DE" w:rsidRDefault="0041481E" w:rsidP="0041481E">
      <w:pPr>
        <w:numPr>
          <w:ilvl w:val="1"/>
          <w:numId w:val="19"/>
        </w:numPr>
        <w:spacing w:after="200"/>
        <w:contextualSpacing/>
        <w:rPr>
          <w:rFonts w:asciiTheme="majorHAnsi" w:eastAsia="Calibri" w:hAnsiTheme="majorHAnsi" w:cs="Times New Roman"/>
          <w:sz w:val="22"/>
          <w:szCs w:val="22"/>
          <w:lang w:val="fr-CH"/>
        </w:rPr>
      </w:pPr>
      <w:r w:rsidRPr="0041481E">
        <w:rPr>
          <w:rFonts w:asciiTheme="majorHAnsi" w:eastAsia="Calibri" w:hAnsiTheme="majorHAnsi" w:cs="Times New Roman"/>
          <w:sz w:val="22"/>
          <w:szCs w:val="22"/>
          <w:lang w:val="fr-CH"/>
        </w:rPr>
        <w:t>Le Centre régional Ramsar - Asie de l'Est - a organisé un a</w:t>
      </w:r>
      <w:r>
        <w:rPr>
          <w:rFonts w:asciiTheme="majorHAnsi" w:eastAsia="Calibri" w:hAnsiTheme="majorHAnsi" w:cs="Times New Roman"/>
          <w:sz w:val="22"/>
          <w:szCs w:val="22"/>
          <w:lang w:val="fr-CH"/>
        </w:rPr>
        <w:t>telier international pour la Journée mondiale des zones humides 2017, intitulé « </w:t>
      </w:r>
      <w:r w:rsidRPr="0041481E">
        <w:rPr>
          <w:rFonts w:asciiTheme="majorHAnsi" w:eastAsia="Calibri" w:hAnsiTheme="majorHAnsi" w:cs="Times New Roman"/>
          <w:sz w:val="22"/>
          <w:szCs w:val="22"/>
          <w:lang w:val="fr-CH"/>
        </w:rPr>
        <w:t>Les zones humides, notre protection nat</w:t>
      </w:r>
      <w:r>
        <w:rPr>
          <w:rFonts w:asciiTheme="majorHAnsi" w:eastAsia="Calibri" w:hAnsiTheme="majorHAnsi" w:cs="Times New Roman"/>
          <w:sz w:val="22"/>
          <w:szCs w:val="22"/>
          <w:lang w:val="fr-CH"/>
        </w:rPr>
        <w:t>urelle contre les catastrophes »</w:t>
      </w:r>
      <w:r w:rsidRPr="0041481E">
        <w:rPr>
          <w:rFonts w:asciiTheme="majorHAnsi" w:eastAsia="Calibri" w:hAnsiTheme="majorHAnsi" w:cs="Times New Roman"/>
          <w:sz w:val="22"/>
          <w:szCs w:val="22"/>
          <w:lang w:val="fr-CH"/>
        </w:rPr>
        <w:t xml:space="preserve">, avec le Centre national pour les zones humides et la Société coréenne des zones humides, et </w:t>
      </w:r>
      <w:r w:rsidR="00415ECA">
        <w:rPr>
          <w:rFonts w:asciiTheme="majorHAnsi" w:eastAsia="Calibri" w:hAnsiTheme="majorHAnsi" w:cs="Times New Roman"/>
          <w:sz w:val="22"/>
          <w:szCs w:val="22"/>
          <w:lang w:val="fr-CH"/>
        </w:rPr>
        <w:t xml:space="preserve">il </w:t>
      </w:r>
      <w:r w:rsidRPr="0041481E">
        <w:rPr>
          <w:rFonts w:asciiTheme="majorHAnsi" w:eastAsia="Calibri" w:hAnsiTheme="majorHAnsi" w:cs="Times New Roman"/>
          <w:sz w:val="22"/>
          <w:szCs w:val="22"/>
          <w:lang w:val="fr-CH"/>
        </w:rPr>
        <w:t>a préparé</w:t>
      </w:r>
      <w:r w:rsidR="00415ECA">
        <w:rPr>
          <w:rFonts w:asciiTheme="majorHAnsi" w:eastAsia="Calibri" w:hAnsiTheme="majorHAnsi" w:cs="Times New Roman"/>
          <w:sz w:val="22"/>
          <w:szCs w:val="22"/>
          <w:lang w:val="fr-CH"/>
        </w:rPr>
        <w:t xml:space="preserve"> un guide sur l'inscription de S</w:t>
      </w:r>
      <w:r w:rsidRPr="0041481E">
        <w:rPr>
          <w:rFonts w:asciiTheme="majorHAnsi" w:eastAsia="Calibri" w:hAnsiTheme="majorHAnsi" w:cs="Times New Roman"/>
          <w:sz w:val="22"/>
          <w:szCs w:val="22"/>
          <w:lang w:val="fr-CH"/>
        </w:rPr>
        <w:t>ites Ramsar et leur gestion</w:t>
      </w:r>
      <w:r w:rsidR="00C64326" w:rsidRPr="00BA22DE">
        <w:rPr>
          <w:rFonts w:asciiTheme="majorHAnsi" w:eastAsia="Calibri" w:hAnsiTheme="majorHAnsi" w:cs="Times New Roman"/>
          <w:sz w:val="22"/>
          <w:szCs w:val="22"/>
          <w:lang w:val="fr-CH"/>
        </w:rPr>
        <w:t>.</w:t>
      </w:r>
    </w:p>
    <w:p w14:paraId="44326EE2" w14:textId="19AD5F46" w:rsidR="00581125" w:rsidRDefault="00415ECA" w:rsidP="00415ECA">
      <w:pPr>
        <w:numPr>
          <w:ilvl w:val="1"/>
          <w:numId w:val="19"/>
        </w:numPr>
        <w:spacing w:after="200"/>
        <w:contextualSpacing/>
        <w:rPr>
          <w:rFonts w:asciiTheme="majorHAnsi" w:eastAsia="Calibri" w:hAnsiTheme="majorHAnsi" w:cs="Times New Roman"/>
          <w:sz w:val="22"/>
          <w:szCs w:val="22"/>
          <w:lang w:val="fr-CH"/>
        </w:rPr>
      </w:pPr>
      <w:r w:rsidRPr="00415ECA">
        <w:rPr>
          <w:rFonts w:asciiTheme="majorHAnsi" w:eastAsia="Calibri" w:hAnsiTheme="majorHAnsi" w:cs="Times New Roman"/>
          <w:sz w:val="22"/>
          <w:szCs w:val="22"/>
          <w:lang w:val="fr-CH"/>
        </w:rPr>
        <w:t xml:space="preserve">Le Centre pour l'Afrique de l'Est - a publié un outil d'évaluation des zones humides, mis à jour 11 </w:t>
      </w:r>
      <w:r w:rsidR="000D76DA">
        <w:rPr>
          <w:rFonts w:asciiTheme="majorHAnsi" w:eastAsia="Calibri" w:hAnsiTheme="majorHAnsi" w:cs="Times New Roman"/>
          <w:sz w:val="22"/>
          <w:szCs w:val="22"/>
          <w:lang w:val="fr-CH"/>
        </w:rPr>
        <w:t xml:space="preserve">fiches </w:t>
      </w:r>
      <w:r w:rsidRPr="00415ECA">
        <w:rPr>
          <w:rFonts w:asciiTheme="majorHAnsi" w:eastAsia="Calibri" w:hAnsiTheme="majorHAnsi" w:cs="Times New Roman"/>
          <w:sz w:val="22"/>
          <w:szCs w:val="22"/>
          <w:lang w:val="fr-CH"/>
        </w:rPr>
        <w:t>d'info</w:t>
      </w:r>
      <w:r w:rsidR="000A0F97">
        <w:rPr>
          <w:rFonts w:asciiTheme="majorHAnsi" w:eastAsia="Calibri" w:hAnsiTheme="majorHAnsi" w:cs="Times New Roman"/>
          <w:sz w:val="22"/>
          <w:szCs w:val="22"/>
          <w:lang w:val="fr-CH"/>
        </w:rPr>
        <w:t>rmation sur les S</w:t>
      </w:r>
      <w:r w:rsidR="000D76DA">
        <w:rPr>
          <w:rFonts w:asciiTheme="majorHAnsi" w:eastAsia="Calibri" w:hAnsiTheme="majorHAnsi" w:cs="Times New Roman"/>
          <w:sz w:val="22"/>
          <w:szCs w:val="22"/>
          <w:lang w:val="fr-CH"/>
        </w:rPr>
        <w:t xml:space="preserve">ites Ramsar et </w:t>
      </w:r>
      <w:r w:rsidRPr="00415ECA">
        <w:rPr>
          <w:rFonts w:asciiTheme="majorHAnsi" w:eastAsia="Calibri" w:hAnsiTheme="majorHAnsi" w:cs="Times New Roman"/>
          <w:sz w:val="22"/>
          <w:szCs w:val="22"/>
          <w:lang w:val="fr-CH"/>
        </w:rPr>
        <w:t xml:space="preserve">des cartes pour l'Ouganda, </w:t>
      </w:r>
      <w:r w:rsidRPr="00415ECA">
        <w:rPr>
          <w:rFonts w:asciiTheme="majorHAnsi" w:eastAsia="Calibri" w:hAnsiTheme="majorHAnsi" w:cs="Times New Roman"/>
          <w:sz w:val="22"/>
          <w:szCs w:val="22"/>
          <w:lang w:val="fr-CH"/>
        </w:rPr>
        <w:lastRenderedPageBreak/>
        <w:t xml:space="preserve">et </w:t>
      </w:r>
      <w:r w:rsidR="000D76DA">
        <w:rPr>
          <w:rFonts w:asciiTheme="majorHAnsi" w:eastAsia="Calibri" w:hAnsiTheme="majorHAnsi" w:cs="Times New Roman"/>
          <w:sz w:val="22"/>
          <w:szCs w:val="22"/>
          <w:lang w:val="fr-CH"/>
        </w:rPr>
        <w:t xml:space="preserve">il a </w:t>
      </w:r>
      <w:r w:rsidRPr="00415ECA">
        <w:rPr>
          <w:rFonts w:asciiTheme="majorHAnsi" w:eastAsia="Calibri" w:hAnsiTheme="majorHAnsi" w:cs="Times New Roman"/>
          <w:sz w:val="22"/>
          <w:szCs w:val="22"/>
          <w:lang w:val="fr-CH"/>
        </w:rPr>
        <w:t xml:space="preserve">préparé </w:t>
      </w:r>
      <w:r w:rsidR="0091738A">
        <w:rPr>
          <w:rFonts w:asciiTheme="majorHAnsi" w:eastAsia="Calibri" w:hAnsiTheme="majorHAnsi" w:cs="Times New Roman"/>
          <w:sz w:val="22"/>
          <w:szCs w:val="22"/>
          <w:lang w:val="fr-CH"/>
        </w:rPr>
        <w:t xml:space="preserve">un document sur </w:t>
      </w:r>
      <w:r w:rsidRPr="00415ECA">
        <w:rPr>
          <w:rFonts w:asciiTheme="majorHAnsi" w:eastAsia="Calibri" w:hAnsiTheme="majorHAnsi" w:cs="Times New Roman"/>
          <w:sz w:val="22"/>
          <w:szCs w:val="22"/>
          <w:lang w:val="fr-CH"/>
        </w:rPr>
        <w:t xml:space="preserve">les meilleures pratiques </w:t>
      </w:r>
      <w:r w:rsidR="000D76DA">
        <w:rPr>
          <w:rFonts w:asciiTheme="majorHAnsi" w:eastAsia="Calibri" w:hAnsiTheme="majorHAnsi" w:cs="Times New Roman"/>
          <w:sz w:val="22"/>
          <w:szCs w:val="22"/>
          <w:lang w:val="fr-CH"/>
        </w:rPr>
        <w:t xml:space="preserve">à appliquer sur </w:t>
      </w:r>
      <w:r w:rsidR="000A0F97">
        <w:rPr>
          <w:rFonts w:asciiTheme="majorHAnsi" w:eastAsia="Calibri" w:hAnsiTheme="majorHAnsi" w:cs="Times New Roman"/>
          <w:sz w:val="22"/>
          <w:szCs w:val="22"/>
          <w:lang w:val="fr-CH"/>
        </w:rPr>
        <w:t>trois S</w:t>
      </w:r>
      <w:r w:rsidRPr="00415ECA">
        <w:rPr>
          <w:rFonts w:asciiTheme="majorHAnsi" w:eastAsia="Calibri" w:hAnsiTheme="majorHAnsi" w:cs="Times New Roman"/>
          <w:sz w:val="22"/>
          <w:szCs w:val="22"/>
          <w:lang w:val="fr-CH"/>
        </w:rPr>
        <w:t>ites Ramsar</w:t>
      </w:r>
      <w:r w:rsidR="00581125">
        <w:rPr>
          <w:rFonts w:asciiTheme="majorHAnsi" w:eastAsia="Calibri" w:hAnsiTheme="majorHAnsi" w:cs="Times New Roman"/>
          <w:sz w:val="22"/>
          <w:szCs w:val="22"/>
          <w:lang w:val="fr-CH"/>
        </w:rPr>
        <w:t>.</w:t>
      </w:r>
    </w:p>
    <w:p w14:paraId="2CD1E20B" w14:textId="7D11AA9C" w:rsidR="00C64326" w:rsidRPr="00BA22DE" w:rsidRDefault="00374BA1" w:rsidP="006D6D61">
      <w:pPr>
        <w:numPr>
          <w:ilvl w:val="1"/>
          <w:numId w:val="19"/>
        </w:numPr>
        <w:spacing w:after="200"/>
        <w:contextualSpacing/>
        <w:rPr>
          <w:rFonts w:asciiTheme="majorHAnsi" w:eastAsia="Calibri" w:hAnsiTheme="majorHAnsi" w:cs="Times New Roman"/>
          <w:sz w:val="22"/>
          <w:szCs w:val="22"/>
          <w:lang w:val="fr-CH"/>
        </w:rPr>
      </w:pPr>
      <w:r w:rsidRPr="00374BA1">
        <w:rPr>
          <w:rFonts w:asciiTheme="majorHAnsi" w:eastAsia="Calibri" w:hAnsiTheme="majorHAnsi" w:cs="Times New Roman"/>
          <w:sz w:val="22"/>
          <w:szCs w:val="22"/>
          <w:lang w:val="fr-CH"/>
        </w:rPr>
        <w:t xml:space="preserve">Le </w:t>
      </w:r>
      <w:r w:rsidR="006D6D61" w:rsidRPr="006D6D61">
        <w:rPr>
          <w:rFonts w:asciiTheme="majorHAnsi" w:eastAsia="Calibri" w:hAnsiTheme="majorHAnsi" w:cs="Times New Roman"/>
          <w:sz w:val="22"/>
          <w:szCs w:val="22"/>
          <w:lang w:val="fr-CH"/>
        </w:rPr>
        <w:t>Partenariat pour la voie de migration Asie de l'Est - Australasie</w:t>
      </w:r>
      <w:r w:rsidRPr="00374BA1">
        <w:rPr>
          <w:rFonts w:asciiTheme="majorHAnsi" w:eastAsia="Calibri" w:hAnsiTheme="majorHAnsi" w:cs="Times New Roman"/>
          <w:sz w:val="22"/>
          <w:szCs w:val="22"/>
          <w:lang w:val="fr-CH"/>
        </w:rPr>
        <w:t xml:space="preserve"> a adopté un plan d'action et une stratégie de CESP, organisé un cours de formation des </w:t>
      </w:r>
      <w:r w:rsidR="004E2B40">
        <w:rPr>
          <w:rFonts w:asciiTheme="majorHAnsi" w:eastAsia="Calibri" w:hAnsiTheme="majorHAnsi" w:cs="Times New Roman"/>
          <w:sz w:val="22"/>
          <w:szCs w:val="22"/>
          <w:lang w:val="fr-CH"/>
        </w:rPr>
        <w:t xml:space="preserve">administrateurs </w:t>
      </w:r>
      <w:r w:rsidRPr="00374BA1">
        <w:rPr>
          <w:rFonts w:asciiTheme="majorHAnsi" w:eastAsia="Calibri" w:hAnsiTheme="majorHAnsi" w:cs="Times New Roman"/>
          <w:sz w:val="22"/>
          <w:szCs w:val="22"/>
          <w:lang w:val="fr-CH"/>
        </w:rPr>
        <w:t xml:space="preserve">de sites en Chine, travaillé sur une nouvelle base de données </w:t>
      </w:r>
      <w:r w:rsidR="004E2B40">
        <w:rPr>
          <w:rFonts w:asciiTheme="majorHAnsi" w:eastAsia="Calibri" w:hAnsiTheme="majorHAnsi" w:cs="Times New Roman"/>
          <w:sz w:val="22"/>
          <w:szCs w:val="22"/>
          <w:lang w:val="fr-CH"/>
        </w:rPr>
        <w:t xml:space="preserve">relative aux </w:t>
      </w:r>
      <w:r w:rsidRPr="00374BA1">
        <w:rPr>
          <w:rFonts w:asciiTheme="majorHAnsi" w:eastAsia="Calibri" w:hAnsiTheme="majorHAnsi" w:cs="Times New Roman"/>
          <w:sz w:val="22"/>
          <w:szCs w:val="22"/>
          <w:lang w:val="fr-CH"/>
        </w:rPr>
        <w:t xml:space="preserve">sites du réseau </w:t>
      </w:r>
      <w:r w:rsidR="004E2B40">
        <w:rPr>
          <w:rFonts w:asciiTheme="majorHAnsi" w:eastAsia="Calibri" w:hAnsiTheme="majorHAnsi" w:cs="Times New Roman"/>
          <w:sz w:val="22"/>
          <w:szCs w:val="22"/>
          <w:lang w:val="fr-CH"/>
        </w:rPr>
        <w:t>de la voie de migration</w:t>
      </w:r>
      <w:r w:rsidRPr="00374BA1">
        <w:rPr>
          <w:rFonts w:asciiTheme="majorHAnsi" w:eastAsia="Calibri" w:hAnsiTheme="majorHAnsi" w:cs="Times New Roman"/>
          <w:sz w:val="22"/>
          <w:szCs w:val="22"/>
          <w:lang w:val="fr-CH"/>
        </w:rPr>
        <w:t xml:space="preserve"> et </w:t>
      </w:r>
      <w:r w:rsidR="004E2B40">
        <w:rPr>
          <w:rFonts w:asciiTheme="majorHAnsi" w:eastAsia="Calibri" w:hAnsiTheme="majorHAnsi" w:cs="Times New Roman"/>
          <w:sz w:val="22"/>
          <w:szCs w:val="22"/>
          <w:lang w:val="fr-CH"/>
        </w:rPr>
        <w:t xml:space="preserve">élaboré </w:t>
      </w:r>
      <w:r w:rsidRPr="00374BA1">
        <w:rPr>
          <w:rFonts w:asciiTheme="majorHAnsi" w:eastAsia="Calibri" w:hAnsiTheme="majorHAnsi" w:cs="Times New Roman"/>
          <w:sz w:val="22"/>
          <w:szCs w:val="22"/>
          <w:lang w:val="fr-CH"/>
        </w:rPr>
        <w:t>des plans d'action p</w:t>
      </w:r>
      <w:r w:rsidR="004E2B40">
        <w:rPr>
          <w:rFonts w:asciiTheme="majorHAnsi" w:eastAsia="Calibri" w:hAnsiTheme="majorHAnsi" w:cs="Times New Roman"/>
          <w:sz w:val="22"/>
          <w:szCs w:val="22"/>
          <w:lang w:val="fr-CH"/>
        </w:rPr>
        <w:t>our des</w:t>
      </w:r>
      <w:r w:rsidRPr="00374BA1">
        <w:rPr>
          <w:rFonts w:asciiTheme="majorHAnsi" w:eastAsia="Calibri" w:hAnsiTheme="majorHAnsi" w:cs="Times New Roman"/>
          <w:sz w:val="22"/>
          <w:szCs w:val="22"/>
          <w:lang w:val="fr-CH"/>
        </w:rPr>
        <w:t xml:space="preserve"> espèce</w:t>
      </w:r>
      <w:r w:rsidR="004E2B40">
        <w:rPr>
          <w:rFonts w:asciiTheme="majorHAnsi" w:eastAsia="Calibri" w:hAnsiTheme="majorHAnsi" w:cs="Times New Roman"/>
          <w:sz w:val="22"/>
          <w:szCs w:val="22"/>
          <w:lang w:val="fr-CH"/>
        </w:rPr>
        <w:t>s particulières</w:t>
      </w:r>
      <w:r w:rsidRPr="00374BA1">
        <w:rPr>
          <w:rFonts w:asciiTheme="majorHAnsi" w:eastAsia="Calibri" w:hAnsiTheme="majorHAnsi" w:cs="Times New Roman"/>
          <w:sz w:val="22"/>
          <w:szCs w:val="22"/>
          <w:lang w:val="fr-CH"/>
        </w:rPr>
        <w:t xml:space="preserve"> (notamment pour le courlis d</w:t>
      </w:r>
      <w:r w:rsidR="004E2B40">
        <w:rPr>
          <w:rFonts w:asciiTheme="majorHAnsi" w:eastAsia="Calibri" w:hAnsiTheme="majorHAnsi" w:cs="Times New Roman"/>
          <w:sz w:val="22"/>
          <w:szCs w:val="22"/>
          <w:lang w:val="fr-CH"/>
        </w:rPr>
        <w:t>e Sibérie</w:t>
      </w:r>
      <w:r w:rsidR="00C64326" w:rsidRPr="00BA22DE">
        <w:rPr>
          <w:rFonts w:asciiTheme="majorHAnsi" w:eastAsia="Calibri" w:hAnsiTheme="majorHAnsi" w:cs="Times New Roman"/>
          <w:sz w:val="22"/>
          <w:szCs w:val="22"/>
          <w:lang w:val="fr-CH"/>
        </w:rPr>
        <w:t>).</w:t>
      </w:r>
    </w:p>
    <w:p w14:paraId="0AD993B2" w14:textId="3070424E" w:rsidR="00C64326" w:rsidRPr="00BA22DE" w:rsidRDefault="00616DCD" w:rsidP="004E2B40">
      <w:pPr>
        <w:numPr>
          <w:ilvl w:val="1"/>
          <w:numId w:val="19"/>
        </w:numPr>
        <w:spacing w:after="200"/>
        <w:contextualSpacing/>
        <w:rPr>
          <w:rFonts w:asciiTheme="majorHAnsi" w:eastAsia="Calibri" w:hAnsiTheme="majorHAnsi" w:cs="Times New Roman"/>
          <w:sz w:val="22"/>
          <w:szCs w:val="22"/>
          <w:lang w:val="fr-CH"/>
        </w:rPr>
      </w:pPr>
      <w:r>
        <w:rPr>
          <w:rFonts w:asciiTheme="majorHAnsi" w:eastAsia="Calibri" w:hAnsiTheme="majorHAnsi" w:cs="Times New Roman"/>
          <w:sz w:val="22"/>
          <w:szCs w:val="22"/>
          <w:lang w:val="fr-CH"/>
        </w:rPr>
        <w:t>L'i</w:t>
      </w:r>
      <w:r w:rsidR="004E2B40" w:rsidRPr="004E2B40">
        <w:rPr>
          <w:rFonts w:asciiTheme="majorHAnsi" w:eastAsia="Calibri" w:hAnsiTheme="majorHAnsi" w:cs="Times New Roman"/>
          <w:sz w:val="22"/>
          <w:szCs w:val="22"/>
          <w:lang w:val="fr-CH"/>
        </w:rPr>
        <w:t xml:space="preserve">nitiative </w:t>
      </w:r>
      <w:r>
        <w:rPr>
          <w:rFonts w:asciiTheme="majorHAnsi" w:eastAsia="Calibri" w:hAnsiTheme="majorHAnsi" w:cs="Times New Roman"/>
          <w:sz w:val="22"/>
          <w:szCs w:val="22"/>
          <w:lang w:val="fr-CH"/>
        </w:rPr>
        <w:t xml:space="preserve">« Nordic-Baltic Wetlands Initiative » </w:t>
      </w:r>
      <w:r w:rsidR="004E2B40" w:rsidRPr="004E2B40">
        <w:rPr>
          <w:rFonts w:asciiTheme="majorHAnsi" w:eastAsia="Calibri" w:hAnsiTheme="majorHAnsi" w:cs="Times New Roman"/>
          <w:sz w:val="22"/>
          <w:szCs w:val="22"/>
          <w:lang w:val="fr-CH"/>
        </w:rPr>
        <w:t xml:space="preserve">a organisé un atelier sur les services écosystémiques et </w:t>
      </w:r>
      <w:r w:rsidR="0091738A">
        <w:rPr>
          <w:rFonts w:asciiTheme="majorHAnsi" w:eastAsia="Calibri" w:hAnsiTheme="majorHAnsi" w:cs="Times New Roman"/>
          <w:sz w:val="22"/>
          <w:szCs w:val="22"/>
          <w:lang w:val="fr-CH"/>
        </w:rPr>
        <w:t xml:space="preserve">publié </w:t>
      </w:r>
      <w:r w:rsidR="0091738A" w:rsidRPr="004E2B40">
        <w:rPr>
          <w:rFonts w:asciiTheme="majorHAnsi" w:eastAsia="Calibri" w:hAnsiTheme="majorHAnsi" w:cs="Times New Roman"/>
          <w:sz w:val="22"/>
          <w:szCs w:val="22"/>
          <w:lang w:val="fr-CH"/>
        </w:rPr>
        <w:t xml:space="preserve">en 16 langues </w:t>
      </w:r>
      <w:r w:rsidR="004E2B40" w:rsidRPr="004E2B40">
        <w:rPr>
          <w:rFonts w:asciiTheme="majorHAnsi" w:eastAsia="Calibri" w:hAnsiTheme="majorHAnsi" w:cs="Times New Roman"/>
          <w:sz w:val="22"/>
          <w:szCs w:val="22"/>
          <w:lang w:val="fr-CH"/>
        </w:rPr>
        <w:t>les résultats du projet sur les tourbières</w:t>
      </w:r>
      <w:r w:rsidR="00C64326" w:rsidRPr="00BA22DE">
        <w:rPr>
          <w:rFonts w:asciiTheme="majorHAnsi" w:eastAsia="Calibri" w:hAnsiTheme="majorHAnsi" w:cs="Times New Roman"/>
          <w:sz w:val="22"/>
          <w:szCs w:val="22"/>
          <w:lang w:val="fr-CH"/>
        </w:rPr>
        <w:t>.</w:t>
      </w:r>
    </w:p>
    <w:p w14:paraId="7858CA73" w14:textId="77777777" w:rsidR="00A14A02" w:rsidRPr="00BA22DE" w:rsidRDefault="00A14A02" w:rsidP="00A14A02">
      <w:pPr>
        <w:spacing w:after="200"/>
        <w:contextualSpacing/>
        <w:rPr>
          <w:rFonts w:asciiTheme="majorHAnsi" w:eastAsia="Calibri" w:hAnsiTheme="majorHAnsi" w:cs="Times New Roman"/>
          <w:sz w:val="22"/>
          <w:szCs w:val="22"/>
          <w:lang w:val="fr-CH"/>
        </w:rPr>
      </w:pPr>
    </w:p>
    <w:p w14:paraId="5803C305" w14:textId="5CD7AF4B" w:rsidR="00C64326" w:rsidRPr="00BA22DE" w:rsidRDefault="00C462B2" w:rsidP="004C3670">
      <w:pPr>
        <w:keepNext/>
        <w:spacing w:after="200"/>
        <w:rPr>
          <w:rFonts w:asciiTheme="majorHAnsi" w:eastAsia="Calibri" w:hAnsiTheme="majorHAnsi" w:cs="Times New Roman"/>
          <w:i/>
          <w:sz w:val="22"/>
          <w:szCs w:val="22"/>
          <w:lang w:val="fr-CH"/>
        </w:rPr>
      </w:pPr>
      <w:r>
        <w:rPr>
          <w:rFonts w:asciiTheme="majorHAnsi" w:eastAsia="Calibri" w:hAnsiTheme="majorHAnsi" w:cs="Times New Roman"/>
          <w:i/>
          <w:sz w:val="22"/>
          <w:szCs w:val="22"/>
          <w:lang w:val="fr-CH"/>
        </w:rPr>
        <w:t xml:space="preserve">But </w:t>
      </w:r>
      <w:r w:rsidR="00C64326" w:rsidRPr="00BA22DE">
        <w:rPr>
          <w:rFonts w:asciiTheme="majorHAnsi" w:eastAsia="Calibri" w:hAnsiTheme="majorHAnsi" w:cs="Times New Roman"/>
          <w:i/>
          <w:sz w:val="22"/>
          <w:szCs w:val="22"/>
          <w:lang w:val="fr-CH"/>
        </w:rPr>
        <w:t xml:space="preserve">5 – </w:t>
      </w:r>
      <w:r w:rsidR="00B64257">
        <w:rPr>
          <w:rFonts w:asciiTheme="majorHAnsi" w:eastAsia="Calibri" w:hAnsiTheme="majorHAnsi" w:cs="Times New Roman"/>
          <w:i/>
          <w:sz w:val="22"/>
          <w:szCs w:val="22"/>
          <w:lang w:val="fr-CH"/>
        </w:rPr>
        <w:t>P</w:t>
      </w:r>
      <w:r w:rsidR="00B64257" w:rsidRPr="00B64257">
        <w:rPr>
          <w:rFonts w:asciiTheme="majorHAnsi" w:eastAsia="Calibri" w:hAnsiTheme="majorHAnsi" w:cs="Times New Roman"/>
          <w:i/>
          <w:sz w:val="22"/>
          <w:szCs w:val="22"/>
          <w:lang w:val="fr-CH"/>
        </w:rPr>
        <w:t xml:space="preserve">articipation pluriacteurs </w:t>
      </w:r>
    </w:p>
    <w:p w14:paraId="235D68DD" w14:textId="64F6DDE5" w:rsidR="00C64326" w:rsidRPr="00BA22DE" w:rsidRDefault="002D42F6" w:rsidP="002D42F6">
      <w:pPr>
        <w:numPr>
          <w:ilvl w:val="0"/>
          <w:numId w:val="19"/>
        </w:numPr>
        <w:spacing w:after="200"/>
        <w:contextualSpacing/>
        <w:rPr>
          <w:rFonts w:asciiTheme="majorHAnsi" w:eastAsia="Calibri" w:hAnsiTheme="majorHAnsi" w:cs="Times New Roman"/>
          <w:sz w:val="22"/>
          <w:szCs w:val="22"/>
          <w:lang w:val="fr-CH"/>
        </w:rPr>
      </w:pPr>
      <w:r w:rsidRPr="002D42F6">
        <w:rPr>
          <w:rFonts w:asciiTheme="majorHAnsi" w:eastAsia="Calibri" w:hAnsiTheme="majorHAnsi" w:cs="Times New Roman"/>
          <w:sz w:val="22"/>
          <w:szCs w:val="22"/>
          <w:lang w:val="fr-CH"/>
        </w:rPr>
        <w:t xml:space="preserve">Un certain nombre d'initiatives, dont beaucoup reflétaient les thèmes de la Journée mondiale des zones humides, ont été entreprises pour </w:t>
      </w:r>
      <w:r w:rsidR="0091738A">
        <w:rPr>
          <w:rFonts w:asciiTheme="majorHAnsi" w:eastAsia="Calibri" w:hAnsiTheme="majorHAnsi" w:cs="Times New Roman"/>
          <w:sz w:val="22"/>
          <w:szCs w:val="22"/>
          <w:lang w:val="fr-CH"/>
        </w:rPr>
        <w:t xml:space="preserve">intégrer </w:t>
      </w:r>
      <w:r w:rsidRPr="002D42F6">
        <w:rPr>
          <w:rFonts w:asciiTheme="majorHAnsi" w:eastAsia="Calibri" w:hAnsiTheme="majorHAnsi" w:cs="Times New Roman"/>
          <w:sz w:val="22"/>
          <w:szCs w:val="22"/>
          <w:lang w:val="fr-CH"/>
        </w:rPr>
        <w:t>d'autres secteurs à la conservation et à l'utilisation rationnelle des zones humides</w:t>
      </w:r>
      <w:r w:rsidR="00C64326" w:rsidRPr="00BA22DE">
        <w:rPr>
          <w:rFonts w:asciiTheme="majorHAnsi" w:eastAsia="Calibri" w:hAnsiTheme="majorHAnsi" w:cs="Times New Roman"/>
          <w:sz w:val="22"/>
          <w:szCs w:val="22"/>
          <w:lang w:val="fr-CH"/>
        </w:rPr>
        <w:t>.</w:t>
      </w:r>
    </w:p>
    <w:p w14:paraId="518CBC27" w14:textId="2FDC56E5" w:rsidR="00C64326" w:rsidRPr="00BA22DE" w:rsidRDefault="002D42F6" w:rsidP="002D42F6">
      <w:pPr>
        <w:numPr>
          <w:ilvl w:val="0"/>
          <w:numId w:val="19"/>
        </w:numPr>
        <w:spacing w:after="200"/>
        <w:contextualSpacing/>
        <w:rPr>
          <w:rFonts w:asciiTheme="majorHAnsi" w:eastAsia="Calibri" w:hAnsiTheme="majorHAnsi" w:cs="Times New Roman"/>
          <w:sz w:val="22"/>
          <w:szCs w:val="22"/>
          <w:lang w:val="fr-CH"/>
        </w:rPr>
      </w:pPr>
      <w:r w:rsidRPr="002D42F6">
        <w:rPr>
          <w:rFonts w:asciiTheme="majorHAnsi" w:eastAsia="Calibri" w:hAnsiTheme="majorHAnsi" w:cs="Times New Roman"/>
          <w:sz w:val="22"/>
          <w:szCs w:val="22"/>
          <w:lang w:val="fr-CH"/>
        </w:rPr>
        <w:t xml:space="preserve">Les ONG ont continué de jouer un rôle important, à l'échelle internationale et au sein des Parties contractantes, </w:t>
      </w:r>
      <w:r>
        <w:rPr>
          <w:rFonts w:asciiTheme="majorHAnsi" w:eastAsia="Calibri" w:hAnsiTheme="majorHAnsi" w:cs="Times New Roman"/>
          <w:sz w:val="22"/>
          <w:szCs w:val="22"/>
          <w:lang w:val="fr-CH"/>
        </w:rPr>
        <w:t>en faveur de</w:t>
      </w:r>
      <w:r w:rsidRPr="002D42F6">
        <w:rPr>
          <w:rFonts w:asciiTheme="majorHAnsi" w:eastAsia="Calibri" w:hAnsiTheme="majorHAnsi" w:cs="Times New Roman"/>
          <w:sz w:val="22"/>
          <w:szCs w:val="22"/>
          <w:lang w:val="fr-CH"/>
        </w:rPr>
        <w:t xml:space="preserve"> la promotion de la sensibilisation et de la participation des populations à la conservation et à l'utilisation rationnelle des zones humides</w:t>
      </w:r>
      <w:r w:rsidR="00C64326" w:rsidRPr="00BA22DE">
        <w:rPr>
          <w:rFonts w:asciiTheme="majorHAnsi" w:eastAsia="Calibri" w:hAnsiTheme="majorHAnsi" w:cs="Times New Roman"/>
          <w:sz w:val="22"/>
          <w:szCs w:val="22"/>
          <w:lang w:val="fr-CH"/>
        </w:rPr>
        <w:t>.</w:t>
      </w:r>
    </w:p>
    <w:p w14:paraId="1F1B0427" w14:textId="3BD17758" w:rsidR="00C64326" w:rsidRPr="00BA22DE" w:rsidRDefault="002D42F6" w:rsidP="002D42F6">
      <w:pPr>
        <w:numPr>
          <w:ilvl w:val="1"/>
          <w:numId w:val="19"/>
        </w:numPr>
        <w:spacing w:after="200"/>
        <w:contextualSpacing/>
        <w:rPr>
          <w:rFonts w:asciiTheme="majorHAnsi" w:eastAsia="Calibri" w:hAnsiTheme="majorHAnsi" w:cs="Times New Roman"/>
          <w:sz w:val="22"/>
          <w:szCs w:val="22"/>
          <w:lang w:val="fr-CH"/>
        </w:rPr>
      </w:pPr>
      <w:r w:rsidRPr="002D42F6">
        <w:rPr>
          <w:rFonts w:asciiTheme="majorHAnsi" w:eastAsia="Calibri" w:hAnsiTheme="majorHAnsi" w:cs="Times New Roman"/>
          <w:sz w:val="22"/>
          <w:szCs w:val="22"/>
          <w:lang w:val="fr-CH"/>
        </w:rPr>
        <w:t xml:space="preserve">En 2016, la </w:t>
      </w:r>
      <w:r>
        <w:rPr>
          <w:rFonts w:asciiTheme="majorHAnsi" w:eastAsia="Calibri" w:hAnsiTheme="majorHAnsi" w:cs="Times New Roman"/>
          <w:sz w:val="22"/>
          <w:szCs w:val="22"/>
          <w:lang w:val="fr-CH"/>
        </w:rPr>
        <w:t xml:space="preserve">Nagao Natural Environment </w:t>
      </w:r>
      <w:r w:rsidRPr="002D42F6">
        <w:rPr>
          <w:rFonts w:asciiTheme="majorHAnsi" w:eastAsia="Calibri" w:hAnsiTheme="majorHAnsi" w:cs="Times New Roman"/>
          <w:sz w:val="22"/>
          <w:szCs w:val="22"/>
          <w:lang w:val="fr-CH"/>
        </w:rPr>
        <w:t>Fo</w:t>
      </w:r>
      <w:r>
        <w:rPr>
          <w:rFonts w:asciiTheme="majorHAnsi" w:eastAsia="Calibri" w:hAnsiTheme="majorHAnsi" w:cs="Times New Roman"/>
          <w:sz w:val="22"/>
          <w:szCs w:val="22"/>
          <w:lang w:val="fr-CH"/>
        </w:rPr>
        <w:t>u</w:t>
      </w:r>
      <w:r w:rsidRPr="002D42F6">
        <w:rPr>
          <w:rFonts w:asciiTheme="majorHAnsi" w:eastAsia="Calibri" w:hAnsiTheme="majorHAnsi" w:cs="Times New Roman"/>
          <w:sz w:val="22"/>
          <w:szCs w:val="22"/>
          <w:lang w:val="fr-CH"/>
        </w:rPr>
        <w:t xml:space="preserve">ndation (NEF) au Japon a créé le Fonds </w:t>
      </w:r>
      <w:r w:rsidR="00472071">
        <w:rPr>
          <w:rFonts w:asciiTheme="majorHAnsi" w:eastAsia="Calibri" w:hAnsiTheme="majorHAnsi" w:cs="Times New Roman"/>
          <w:sz w:val="22"/>
          <w:szCs w:val="22"/>
          <w:lang w:val="fr-CH"/>
        </w:rPr>
        <w:t xml:space="preserve">Nagao </w:t>
      </w:r>
      <w:r w:rsidRPr="002D42F6">
        <w:rPr>
          <w:rFonts w:asciiTheme="majorHAnsi" w:eastAsia="Calibri" w:hAnsiTheme="majorHAnsi" w:cs="Times New Roman"/>
          <w:sz w:val="22"/>
          <w:szCs w:val="22"/>
          <w:lang w:val="fr-CH"/>
        </w:rPr>
        <w:t xml:space="preserve">pour les zones humides afin d'aider les pays en développement de la région Asie et Océanie à </w:t>
      </w:r>
      <w:r w:rsidR="00472071">
        <w:rPr>
          <w:rFonts w:asciiTheme="majorHAnsi" w:eastAsia="Calibri" w:hAnsiTheme="majorHAnsi" w:cs="Times New Roman"/>
          <w:sz w:val="22"/>
          <w:szCs w:val="22"/>
          <w:lang w:val="fr-CH"/>
        </w:rPr>
        <w:t>appliquer</w:t>
      </w:r>
      <w:r w:rsidRPr="002D42F6">
        <w:rPr>
          <w:rFonts w:asciiTheme="majorHAnsi" w:eastAsia="Calibri" w:hAnsiTheme="majorHAnsi" w:cs="Times New Roman"/>
          <w:sz w:val="22"/>
          <w:szCs w:val="22"/>
          <w:lang w:val="fr-CH"/>
        </w:rPr>
        <w:t xml:space="preserve"> la Convention, notamment </w:t>
      </w:r>
      <w:r w:rsidR="00472071">
        <w:rPr>
          <w:rFonts w:asciiTheme="majorHAnsi" w:eastAsia="Calibri" w:hAnsiTheme="majorHAnsi" w:cs="Times New Roman"/>
          <w:sz w:val="22"/>
          <w:szCs w:val="22"/>
          <w:lang w:val="fr-CH"/>
        </w:rPr>
        <w:t>grâce à</w:t>
      </w:r>
      <w:r w:rsidRPr="002D42F6">
        <w:rPr>
          <w:rFonts w:asciiTheme="majorHAnsi" w:eastAsia="Calibri" w:hAnsiTheme="majorHAnsi" w:cs="Times New Roman"/>
          <w:sz w:val="22"/>
          <w:szCs w:val="22"/>
          <w:lang w:val="fr-CH"/>
        </w:rPr>
        <w:t xml:space="preserve"> la communication, l'éducation, la sensibilisation et la formation</w:t>
      </w:r>
      <w:r w:rsidR="00C64326" w:rsidRPr="00BA22DE">
        <w:rPr>
          <w:rFonts w:asciiTheme="majorHAnsi" w:eastAsia="Calibri" w:hAnsiTheme="majorHAnsi" w:cs="Times New Roman"/>
          <w:sz w:val="22"/>
          <w:szCs w:val="22"/>
          <w:lang w:val="fr-CH"/>
        </w:rPr>
        <w:t>.</w:t>
      </w:r>
    </w:p>
    <w:p w14:paraId="5C3A7D1C" w14:textId="1D357D79" w:rsidR="0024172D" w:rsidRPr="0024172D" w:rsidRDefault="0024172D" w:rsidP="0024172D">
      <w:pPr>
        <w:numPr>
          <w:ilvl w:val="1"/>
          <w:numId w:val="19"/>
        </w:numPr>
        <w:spacing w:after="200"/>
        <w:contextualSpacing/>
        <w:rPr>
          <w:rFonts w:asciiTheme="majorHAnsi" w:eastAsia="Calibri" w:hAnsiTheme="majorHAnsi" w:cs="Times New Roman"/>
          <w:sz w:val="22"/>
          <w:szCs w:val="22"/>
          <w:lang w:val="fr-CH"/>
        </w:rPr>
      </w:pPr>
      <w:r w:rsidRPr="0024172D">
        <w:rPr>
          <w:rFonts w:asciiTheme="majorHAnsi" w:eastAsia="Calibri" w:hAnsiTheme="majorHAnsi" w:cs="Times New Roman"/>
          <w:sz w:val="22"/>
          <w:szCs w:val="22"/>
          <w:lang w:val="fr-CH"/>
        </w:rPr>
        <w:t xml:space="preserve">En collaboration avec la Society of Wetlands Scientists et le Wildfowl and Wetland Trust, le Réseau mondial </w:t>
      </w:r>
      <w:r w:rsidRPr="009A6E0F">
        <w:rPr>
          <w:rFonts w:asciiTheme="majorHAnsi" w:eastAsia="Calibri" w:hAnsiTheme="majorHAnsi" w:cs="Times New Roman"/>
          <w:sz w:val="22"/>
          <w:szCs w:val="22"/>
          <w:lang w:val="fr-CH"/>
        </w:rPr>
        <w:t xml:space="preserve">des zones humides a réalisé la première étape de l'enquête mondiale sur les zones humides </w:t>
      </w:r>
      <w:r>
        <w:rPr>
          <w:rFonts w:asciiTheme="majorHAnsi" w:eastAsia="Calibri" w:hAnsiTheme="majorHAnsi" w:cs="Times New Roman"/>
          <w:sz w:val="22"/>
          <w:szCs w:val="22"/>
          <w:lang w:val="fr-CH"/>
        </w:rPr>
        <w:t>(</w:t>
      </w:r>
      <w:hyperlink r:id="rId11" w:history="1">
        <w:r w:rsidRPr="00805C19">
          <w:rPr>
            <w:rFonts w:asciiTheme="majorHAnsi" w:eastAsia="Calibri" w:hAnsiTheme="majorHAnsi" w:cs="Times New Roman"/>
            <w:color w:val="0000FF"/>
            <w:sz w:val="22"/>
            <w:szCs w:val="22"/>
            <w:u w:val="single"/>
            <w:lang w:val="fr-FR"/>
          </w:rPr>
          <w:t>Glob</w:t>
        </w:r>
        <w:r w:rsidRPr="00805C19">
          <w:rPr>
            <w:rFonts w:asciiTheme="majorHAnsi" w:eastAsia="Calibri" w:hAnsiTheme="majorHAnsi" w:cs="Times New Roman"/>
            <w:color w:val="0000FF"/>
            <w:sz w:val="22"/>
            <w:szCs w:val="22"/>
            <w:u w:val="single"/>
            <w:lang w:val="fr-FR"/>
          </w:rPr>
          <w:t>a</w:t>
        </w:r>
        <w:r w:rsidRPr="00805C19">
          <w:rPr>
            <w:rFonts w:asciiTheme="majorHAnsi" w:eastAsia="Calibri" w:hAnsiTheme="majorHAnsi" w:cs="Times New Roman"/>
            <w:color w:val="0000FF"/>
            <w:sz w:val="22"/>
            <w:szCs w:val="22"/>
            <w:u w:val="single"/>
            <w:lang w:val="fr-FR"/>
          </w:rPr>
          <w:t>l Wetland Survey</w:t>
        </w:r>
      </w:hyperlink>
      <w:r w:rsidRPr="00805C19">
        <w:rPr>
          <w:rFonts w:asciiTheme="majorHAnsi" w:eastAsia="Calibri" w:hAnsiTheme="majorHAnsi" w:cs="Times New Roman"/>
          <w:color w:val="0000FF"/>
          <w:sz w:val="22"/>
          <w:szCs w:val="22"/>
          <w:u w:val="single"/>
          <w:lang w:val="fr-FR"/>
        </w:rPr>
        <w:t xml:space="preserve">) </w:t>
      </w:r>
      <w:r>
        <w:rPr>
          <w:rFonts w:asciiTheme="majorHAnsi" w:eastAsia="Calibri" w:hAnsiTheme="majorHAnsi" w:cs="Times New Roman"/>
          <w:sz w:val="22"/>
          <w:szCs w:val="22"/>
          <w:lang w:val="fr-CH"/>
        </w:rPr>
        <w:t xml:space="preserve">en </w:t>
      </w:r>
      <w:r w:rsidRPr="0024172D">
        <w:rPr>
          <w:rFonts w:asciiTheme="majorHAnsi" w:eastAsia="Calibri" w:hAnsiTheme="majorHAnsi" w:cs="Times New Roman"/>
          <w:sz w:val="22"/>
          <w:szCs w:val="22"/>
          <w:lang w:val="fr-CH"/>
        </w:rPr>
        <w:t xml:space="preserve">2017, avec plus de 600 réponses </w:t>
      </w:r>
      <w:r>
        <w:rPr>
          <w:rFonts w:asciiTheme="majorHAnsi" w:eastAsia="Calibri" w:hAnsiTheme="majorHAnsi" w:cs="Times New Roman"/>
          <w:sz w:val="22"/>
          <w:szCs w:val="22"/>
          <w:lang w:val="fr-CH"/>
        </w:rPr>
        <w:t xml:space="preserve">provenant </w:t>
      </w:r>
      <w:r w:rsidRPr="0024172D">
        <w:rPr>
          <w:rFonts w:asciiTheme="majorHAnsi" w:eastAsia="Calibri" w:hAnsiTheme="majorHAnsi" w:cs="Times New Roman"/>
          <w:sz w:val="22"/>
          <w:szCs w:val="22"/>
          <w:lang w:val="fr-CH"/>
        </w:rPr>
        <w:t xml:space="preserve">du monde entier, identifiant les </w:t>
      </w:r>
      <w:r>
        <w:rPr>
          <w:rFonts w:asciiTheme="majorHAnsi" w:eastAsia="Calibri" w:hAnsiTheme="majorHAnsi" w:cs="Times New Roman"/>
          <w:sz w:val="22"/>
          <w:szCs w:val="22"/>
          <w:lang w:val="fr-CH"/>
        </w:rPr>
        <w:t xml:space="preserve">problèmes </w:t>
      </w:r>
      <w:r w:rsidRPr="0024172D">
        <w:rPr>
          <w:rFonts w:asciiTheme="majorHAnsi" w:eastAsia="Calibri" w:hAnsiTheme="majorHAnsi" w:cs="Times New Roman"/>
          <w:sz w:val="22"/>
          <w:szCs w:val="22"/>
          <w:lang w:val="fr-CH"/>
        </w:rPr>
        <w:t xml:space="preserve">clés </w:t>
      </w:r>
      <w:r w:rsidR="0091738A">
        <w:rPr>
          <w:rFonts w:asciiTheme="majorHAnsi" w:eastAsia="Calibri" w:hAnsiTheme="majorHAnsi" w:cs="Times New Roman"/>
          <w:sz w:val="22"/>
          <w:szCs w:val="22"/>
          <w:lang w:val="fr-CH"/>
        </w:rPr>
        <w:t xml:space="preserve">qui frappent </w:t>
      </w:r>
      <w:r w:rsidRPr="0024172D">
        <w:rPr>
          <w:rFonts w:asciiTheme="majorHAnsi" w:eastAsia="Calibri" w:hAnsiTheme="majorHAnsi" w:cs="Times New Roman"/>
          <w:sz w:val="22"/>
          <w:szCs w:val="22"/>
          <w:lang w:val="fr-CH"/>
        </w:rPr>
        <w:t xml:space="preserve">les zones humides.  </w:t>
      </w:r>
      <w:r w:rsidR="00051B97">
        <w:rPr>
          <w:rFonts w:asciiTheme="majorHAnsi" w:eastAsia="Calibri" w:hAnsiTheme="majorHAnsi" w:cs="Times New Roman"/>
          <w:sz w:val="22"/>
          <w:szCs w:val="22"/>
          <w:lang w:val="fr-CH"/>
        </w:rPr>
        <w:t xml:space="preserve">On peut </w:t>
      </w:r>
      <w:r w:rsidRPr="0024172D">
        <w:rPr>
          <w:rFonts w:asciiTheme="majorHAnsi" w:eastAsia="Calibri" w:hAnsiTheme="majorHAnsi" w:cs="Times New Roman"/>
          <w:sz w:val="22"/>
          <w:szCs w:val="22"/>
          <w:lang w:val="fr-CH"/>
        </w:rPr>
        <w:t xml:space="preserve">notamment </w:t>
      </w:r>
      <w:r w:rsidR="00051B97">
        <w:rPr>
          <w:rFonts w:asciiTheme="majorHAnsi" w:eastAsia="Calibri" w:hAnsiTheme="majorHAnsi" w:cs="Times New Roman"/>
          <w:sz w:val="22"/>
          <w:szCs w:val="22"/>
          <w:lang w:val="fr-CH"/>
        </w:rPr>
        <w:t xml:space="preserve">citer </w:t>
      </w:r>
      <w:r w:rsidRPr="0024172D">
        <w:rPr>
          <w:rFonts w:asciiTheme="majorHAnsi" w:eastAsia="Calibri" w:hAnsiTheme="majorHAnsi" w:cs="Times New Roman"/>
          <w:sz w:val="22"/>
          <w:szCs w:val="22"/>
          <w:lang w:val="fr-CH"/>
        </w:rPr>
        <w:t>la p</w:t>
      </w:r>
      <w:r w:rsidR="00051B97">
        <w:rPr>
          <w:rFonts w:asciiTheme="majorHAnsi" w:eastAsia="Calibri" w:hAnsiTheme="majorHAnsi" w:cs="Times New Roman"/>
          <w:sz w:val="22"/>
          <w:szCs w:val="22"/>
          <w:lang w:val="fr-CH"/>
        </w:rPr>
        <w:t>ollution urbaine/industrielle, l</w:t>
      </w:r>
      <w:r w:rsidRPr="0024172D">
        <w:rPr>
          <w:rFonts w:asciiTheme="majorHAnsi" w:eastAsia="Calibri" w:hAnsiTheme="majorHAnsi" w:cs="Times New Roman"/>
          <w:sz w:val="22"/>
          <w:szCs w:val="22"/>
          <w:lang w:val="fr-CH"/>
        </w:rPr>
        <w:t>es espèces envahissa</w:t>
      </w:r>
      <w:r w:rsidR="00051B97">
        <w:rPr>
          <w:rFonts w:asciiTheme="majorHAnsi" w:eastAsia="Calibri" w:hAnsiTheme="majorHAnsi" w:cs="Times New Roman"/>
          <w:sz w:val="22"/>
          <w:szCs w:val="22"/>
          <w:lang w:val="fr-CH"/>
        </w:rPr>
        <w:t>ntes, le ruissellement agricole, l'érosion et le</w:t>
      </w:r>
      <w:r w:rsidRPr="0024172D">
        <w:rPr>
          <w:rFonts w:asciiTheme="majorHAnsi" w:eastAsia="Calibri" w:hAnsiTheme="majorHAnsi" w:cs="Times New Roman"/>
          <w:sz w:val="22"/>
          <w:szCs w:val="22"/>
          <w:lang w:val="fr-CH"/>
        </w:rPr>
        <w:t xml:space="preserve"> développement urbain et industriel.  Parmi les influences positives, on peut </w:t>
      </w:r>
      <w:r w:rsidR="0091738A">
        <w:rPr>
          <w:rFonts w:asciiTheme="majorHAnsi" w:eastAsia="Calibri" w:hAnsiTheme="majorHAnsi" w:cs="Times New Roman"/>
          <w:sz w:val="22"/>
          <w:szCs w:val="22"/>
          <w:lang w:val="fr-CH"/>
        </w:rPr>
        <w:t xml:space="preserve">mentionner </w:t>
      </w:r>
      <w:r w:rsidRPr="0024172D">
        <w:rPr>
          <w:rFonts w:asciiTheme="majorHAnsi" w:eastAsia="Calibri" w:hAnsiTheme="majorHAnsi" w:cs="Times New Roman"/>
          <w:sz w:val="22"/>
          <w:szCs w:val="22"/>
          <w:lang w:val="fr-CH"/>
        </w:rPr>
        <w:t>la sensibilisation des communautés locales, la mise en œuvre de mesures de conservation et le tourisme.</w:t>
      </w:r>
    </w:p>
    <w:p w14:paraId="0F99617B" w14:textId="25EA03F2" w:rsidR="00C64326" w:rsidRPr="00BA22DE" w:rsidRDefault="00051B97" w:rsidP="00051B97">
      <w:pPr>
        <w:numPr>
          <w:ilvl w:val="0"/>
          <w:numId w:val="19"/>
        </w:numPr>
        <w:spacing w:after="200"/>
        <w:contextualSpacing/>
        <w:rPr>
          <w:rFonts w:asciiTheme="majorHAnsi" w:eastAsia="Calibri" w:hAnsiTheme="majorHAnsi" w:cs="Times New Roman"/>
          <w:sz w:val="22"/>
          <w:szCs w:val="22"/>
          <w:lang w:val="fr-CH"/>
        </w:rPr>
      </w:pPr>
      <w:r w:rsidRPr="00051B97">
        <w:rPr>
          <w:rFonts w:asciiTheme="majorHAnsi" w:eastAsia="Calibri" w:hAnsiTheme="majorHAnsi" w:cs="Times New Roman"/>
          <w:sz w:val="22"/>
          <w:szCs w:val="22"/>
          <w:lang w:val="fr-CH"/>
        </w:rPr>
        <w:t xml:space="preserve">Le Partenariat Star Alliance a appuyé le concours de photos </w:t>
      </w:r>
      <w:r>
        <w:rPr>
          <w:rFonts w:asciiTheme="majorHAnsi" w:eastAsia="Calibri" w:hAnsiTheme="majorHAnsi" w:cs="Times New Roman"/>
          <w:sz w:val="22"/>
          <w:szCs w:val="22"/>
          <w:lang w:val="fr-CH"/>
        </w:rPr>
        <w:t xml:space="preserve">organisé </w:t>
      </w:r>
      <w:r w:rsidRPr="00051B97">
        <w:rPr>
          <w:rFonts w:asciiTheme="majorHAnsi" w:eastAsia="Calibri" w:hAnsiTheme="majorHAnsi" w:cs="Times New Roman"/>
          <w:sz w:val="22"/>
          <w:szCs w:val="22"/>
          <w:lang w:val="fr-CH"/>
        </w:rPr>
        <w:t xml:space="preserve">en 2016 et 2017 </w:t>
      </w:r>
      <w:r>
        <w:rPr>
          <w:rFonts w:asciiTheme="majorHAnsi" w:eastAsia="Calibri" w:hAnsiTheme="majorHAnsi" w:cs="Times New Roman"/>
          <w:sz w:val="22"/>
          <w:szCs w:val="22"/>
          <w:lang w:val="fr-CH"/>
        </w:rPr>
        <w:t xml:space="preserve">pour les jeunes à l’occasion de </w:t>
      </w:r>
      <w:r w:rsidRPr="00051B97">
        <w:rPr>
          <w:rFonts w:asciiTheme="majorHAnsi" w:eastAsia="Calibri" w:hAnsiTheme="majorHAnsi" w:cs="Times New Roman"/>
          <w:sz w:val="22"/>
          <w:szCs w:val="22"/>
          <w:lang w:val="fr-CH"/>
        </w:rPr>
        <w:t xml:space="preserve">la Journée mondiale des </w:t>
      </w:r>
      <w:r>
        <w:rPr>
          <w:rFonts w:asciiTheme="majorHAnsi" w:eastAsia="Calibri" w:hAnsiTheme="majorHAnsi" w:cs="Times New Roman"/>
          <w:sz w:val="22"/>
          <w:szCs w:val="22"/>
          <w:lang w:val="fr-CH"/>
        </w:rPr>
        <w:t>zones</w:t>
      </w:r>
      <w:r w:rsidRPr="00051B97">
        <w:rPr>
          <w:rFonts w:asciiTheme="majorHAnsi" w:eastAsia="Calibri" w:hAnsiTheme="majorHAnsi" w:cs="Times New Roman"/>
          <w:sz w:val="22"/>
          <w:szCs w:val="22"/>
          <w:lang w:val="fr-CH"/>
        </w:rPr>
        <w:t xml:space="preserve"> humides, qui visait à inciter les jeunes à comprendre et à promouvoir les valeurs </w:t>
      </w:r>
      <w:r w:rsidR="00FF19DA">
        <w:rPr>
          <w:rFonts w:asciiTheme="majorHAnsi" w:eastAsia="Calibri" w:hAnsiTheme="majorHAnsi" w:cs="Times New Roman"/>
          <w:sz w:val="22"/>
          <w:szCs w:val="22"/>
          <w:lang w:val="fr-CH"/>
        </w:rPr>
        <w:t>liées aux zones</w:t>
      </w:r>
      <w:r w:rsidRPr="00051B97">
        <w:rPr>
          <w:rFonts w:asciiTheme="majorHAnsi" w:eastAsia="Calibri" w:hAnsiTheme="majorHAnsi" w:cs="Times New Roman"/>
          <w:sz w:val="22"/>
          <w:szCs w:val="22"/>
          <w:lang w:val="fr-CH"/>
        </w:rPr>
        <w:t xml:space="preserve"> humides</w:t>
      </w:r>
      <w:r w:rsidR="00C64326" w:rsidRPr="00BA22DE">
        <w:rPr>
          <w:rFonts w:asciiTheme="majorHAnsi" w:eastAsia="Calibri" w:hAnsiTheme="majorHAnsi" w:cs="Times New Roman"/>
          <w:sz w:val="22"/>
          <w:szCs w:val="22"/>
          <w:lang w:val="fr-CH"/>
        </w:rPr>
        <w:t>.</w:t>
      </w:r>
    </w:p>
    <w:p w14:paraId="0A3D7245" w14:textId="164E659C" w:rsidR="00C64326" w:rsidRPr="00BA22DE" w:rsidRDefault="00FF19DA" w:rsidP="00AD2E6A">
      <w:pPr>
        <w:numPr>
          <w:ilvl w:val="0"/>
          <w:numId w:val="19"/>
        </w:numPr>
        <w:spacing w:after="200"/>
        <w:contextualSpacing/>
        <w:rPr>
          <w:rFonts w:asciiTheme="majorHAnsi" w:eastAsia="Calibri" w:hAnsiTheme="majorHAnsi" w:cs="Times New Roman"/>
          <w:sz w:val="22"/>
          <w:szCs w:val="22"/>
          <w:lang w:val="fr-CH"/>
        </w:rPr>
      </w:pPr>
      <w:r w:rsidRPr="00FF19DA">
        <w:rPr>
          <w:rFonts w:asciiTheme="majorHAnsi" w:eastAsia="Calibri" w:hAnsiTheme="majorHAnsi" w:cs="Times New Roman"/>
          <w:sz w:val="22"/>
          <w:szCs w:val="22"/>
          <w:lang w:val="fr-CH"/>
        </w:rPr>
        <w:t>Pour s'aligner s</w:t>
      </w:r>
      <w:r>
        <w:rPr>
          <w:rFonts w:asciiTheme="majorHAnsi" w:eastAsia="Calibri" w:hAnsiTheme="majorHAnsi" w:cs="Times New Roman"/>
          <w:sz w:val="22"/>
          <w:szCs w:val="22"/>
          <w:lang w:val="fr-CH"/>
        </w:rPr>
        <w:t>ur le thème de la COP13, « </w:t>
      </w:r>
      <w:r w:rsidRPr="00FF19DA">
        <w:rPr>
          <w:rFonts w:asciiTheme="majorHAnsi" w:eastAsia="Calibri" w:hAnsiTheme="majorHAnsi" w:cs="Times New Roman"/>
          <w:sz w:val="22"/>
          <w:szCs w:val="22"/>
          <w:lang w:val="fr-CH"/>
        </w:rPr>
        <w:t>Les zones humides pour un avenir urbain durable</w:t>
      </w:r>
      <w:r>
        <w:rPr>
          <w:rFonts w:asciiTheme="majorHAnsi" w:eastAsia="Calibri" w:hAnsiTheme="majorHAnsi" w:cs="Times New Roman"/>
          <w:sz w:val="22"/>
          <w:szCs w:val="22"/>
          <w:lang w:val="fr-CH"/>
        </w:rPr>
        <w:t xml:space="preserve"> » </w:t>
      </w:r>
      <w:r w:rsidRPr="00FF19DA">
        <w:rPr>
          <w:rFonts w:asciiTheme="majorHAnsi" w:eastAsia="Calibri" w:hAnsiTheme="majorHAnsi" w:cs="Times New Roman"/>
          <w:sz w:val="22"/>
          <w:szCs w:val="22"/>
          <w:lang w:val="fr-CH"/>
        </w:rPr>
        <w:t xml:space="preserve">, des </w:t>
      </w:r>
      <w:r>
        <w:rPr>
          <w:rFonts w:asciiTheme="majorHAnsi" w:eastAsia="Calibri" w:hAnsiTheme="majorHAnsi" w:cs="Times New Roman"/>
          <w:sz w:val="22"/>
          <w:szCs w:val="22"/>
          <w:lang w:val="fr-CH"/>
        </w:rPr>
        <w:t xml:space="preserve">appels à </w:t>
      </w:r>
      <w:r w:rsidRPr="00FF19DA">
        <w:rPr>
          <w:rFonts w:asciiTheme="majorHAnsi" w:eastAsia="Calibri" w:hAnsiTheme="majorHAnsi" w:cs="Times New Roman"/>
          <w:sz w:val="22"/>
          <w:szCs w:val="22"/>
          <w:lang w:val="fr-CH"/>
        </w:rPr>
        <w:t xml:space="preserve">candidatures ont été </w:t>
      </w:r>
      <w:r>
        <w:rPr>
          <w:rFonts w:asciiTheme="majorHAnsi" w:eastAsia="Calibri" w:hAnsiTheme="majorHAnsi" w:cs="Times New Roman"/>
          <w:sz w:val="22"/>
          <w:szCs w:val="22"/>
          <w:lang w:val="fr-CH"/>
        </w:rPr>
        <w:t>lancés</w:t>
      </w:r>
      <w:r w:rsidRPr="00FF19DA">
        <w:rPr>
          <w:rFonts w:asciiTheme="majorHAnsi" w:eastAsia="Calibri" w:hAnsiTheme="majorHAnsi" w:cs="Times New Roman"/>
          <w:sz w:val="22"/>
          <w:szCs w:val="22"/>
          <w:lang w:val="fr-CH"/>
        </w:rPr>
        <w:t xml:space="preserve"> en 2017 pour l</w:t>
      </w:r>
      <w:r w:rsidR="00AD2E6A">
        <w:rPr>
          <w:rFonts w:asciiTheme="majorHAnsi" w:eastAsia="Calibri" w:hAnsiTheme="majorHAnsi" w:cs="Times New Roman"/>
          <w:sz w:val="22"/>
          <w:szCs w:val="22"/>
          <w:lang w:val="fr-CH"/>
        </w:rPr>
        <w:t>e</w:t>
      </w:r>
      <w:r w:rsidR="00AD2E6A" w:rsidRPr="00805C19">
        <w:rPr>
          <w:lang w:val="fr-FR"/>
        </w:rPr>
        <w:t xml:space="preserve"> </w:t>
      </w:r>
      <w:r w:rsidR="0091738A">
        <w:rPr>
          <w:rFonts w:asciiTheme="majorHAnsi" w:eastAsia="Calibri" w:hAnsiTheme="majorHAnsi" w:cs="Times New Roman"/>
          <w:sz w:val="22"/>
          <w:szCs w:val="22"/>
          <w:lang w:val="fr-CH"/>
        </w:rPr>
        <w:t>label V</w:t>
      </w:r>
      <w:r w:rsidR="00AD2E6A" w:rsidRPr="00AD2E6A">
        <w:rPr>
          <w:rFonts w:asciiTheme="majorHAnsi" w:eastAsia="Calibri" w:hAnsiTheme="majorHAnsi" w:cs="Times New Roman"/>
          <w:sz w:val="22"/>
          <w:szCs w:val="22"/>
          <w:lang w:val="fr-CH"/>
        </w:rPr>
        <w:t>ille des zones humides accréditée</w:t>
      </w:r>
      <w:r w:rsidR="00AD2E6A">
        <w:rPr>
          <w:rFonts w:asciiTheme="majorHAnsi" w:eastAsia="Calibri" w:hAnsiTheme="majorHAnsi" w:cs="Times New Roman"/>
          <w:sz w:val="22"/>
          <w:szCs w:val="22"/>
          <w:lang w:val="fr-CH"/>
        </w:rPr>
        <w:t xml:space="preserve"> qui récompense </w:t>
      </w:r>
      <w:r w:rsidRPr="00FF19DA">
        <w:rPr>
          <w:rFonts w:asciiTheme="majorHAnsi" w:eastAsia="Calibri" w:hAnsiTheme="majorHAnsi" w:cs="Times New Roman"/>
          <w:sz w:val="22"/>
          <w:szCs w:val="22"/>
          <w:lang w:val="fr-CH"/>
        </w:rPr>
        <w:t xml:space="preserve">les villes qui </w:t>
      </w:r>
      <w:r w:rsidR="00AD2E6A">
        <w:rPr>
          <w:rFonts w:asciiTheme="majorHAnsi" w:eastAsia="Calibri" w:hAnsiTheme="majorHAnsi" w:cs="Times New Roman"/>
          <w:sz w:val="22"/>
          <w:szCs w:val="22"/>
          <w:lang w:val="fr-CH"/>
        </w:rPr>
        <w:t xml:space="preserve">ont établi </w:t>
      </w:r>
      <w:r w:rsidRPr="00FF19DA">
        <w:rPr>
          <w:rFonts w:asciiTheme="majorHAnsi" w:eastAsia="Calibri" w:hAnsiTheme="majorHAnsi" w:cs="Times New Roman"/>
          <w:sz w:val="22"/>
          <w:szCs w:val="22"/>
          <w:lang w:val="fr-CH"/>
        </w:rPr>
        <w:t xml:space="preserve">des relations </w:t>
      </w:r>
      <w:r w:rsidR="0091738A">
        <w:rPr>
          <w:rFonts w:asciiTheme="majorHAnsi" w:eastAsia="Calibri" w:hAnsiTheme="majorHAnsi" w:cs="Times New Roman"/>
          <w:sz w:val="22"/>
          <w:szCs w:val="22"/>
          <w:lang w:val="fr-CH"/>
        </w:rPr>
        <w:t>étroites</w:t>
      </w:r>
      <w:r w:rsidRPr="00FF19DA">
        <w:rPr>
          <w:rFonts w:asciiTheme="majorHAnsi" w:eastAsia="Calibri" w:hAnsiTheme="majorHAnsi" w:cs="Times New Roman"/>
          <w:sz w:val="22"/>
          <w:szCs w:val="22"/>
          <w:lang w:val="fr-CH"/>
        </w:rPr>
        <w:t xml:space="preserve"> et positives avec les zones humides.  Ce processus </w:t>
      </w:r>
      <w:r w:rsidR="00AD2E6A">
        <w:rPr>
          <w:rFonts w:asciiTheme="majorHAnsi" w:eastAsia="Calibri" w:hAnsiTheme="majorHAnsi" w:cs="Times New Roman"/>
          <w:sz w:val="22"/>
          <w:szCs w:val="22"/>
          <w:lang w:val="fr-CH"/>
        </w:rPr>
        <w:t xml:space="preserve">a été couronné de </w:t>
      </w:r>
      <w:r w:rsidRPr="00FF19DA">
        <w:rPr>
          <w:rFonts w:asciiTheme="majorHAnsi" w:eastAsia="Calibri" w:hAnsiTheme="majorHAnsi" w:cs="Times New Roman"/>
          <w:sz w:val="22"/>
          <w:szCs w:val="22"/>
          <w:lang w:val="fr-CH"/>
        </w:rPr>
        <w:t xml:space="preserve">succès avec une </w:t>
      </w:r>
      <w:r w:rsidR="00AD2E6A">
        <w:rPr>
          <w:rFonts w:asciiTheme="majorHAnsi" w:eastAsia="Calibri" w:hAnsiTheme="majorHAnsi" w:cs="Times New Roman"/>
          <w:sz w:val="22"/>
          <w:szCs w:val="22"/>
          <w:lang w:val="fr-CH"/>
        </w:rPr>
        <w:t xml:space="preserve">forte participation </w:t>
      </w:r>
      <w:r w:rsidRPr="00FF19DA">
        <w:rPr>
          <w:rFonts w:asciiTheme="majorHAnsi" w:eastAsia="Calibri" w:hAnsiTheme="majorHAnsi" w:cs="Times New Roman"/>
          <w:sz w:val="22"/>
          <w:szCs w:val="22"/>
          <w:lang w:val="fr-CH"/>
        </w:rPr>
        <w:t xml:space="preserve">internationale, l'engagement de nombreuses parties, et le profil de la Convention </w:t>
      </w:r>
      <w:r w:rsidR="0091738A">
        <w:rPr>
          <w:rFonts w:asciiTheme="majorHAnsi" w:eastAsia="Calibri" w:hAnsiTheme="majorHAnsi" w:cs="Times New Roman"/>
          <w:sz w:val="22"/>
          <w:szCs w:val="22"/>
          <w:lang w:val="fr-CH"/>
        </w:rPr>
        <w:t xml:space="preserve">a été </w:t>
      </w:r>
      <w:r w:rsidR="00AD2E6A">
        <w:rPr>
          <w:rFonts w:asciiTheme="majorHAnsi" w:eastAsia="Calibri" w:hAnsiTheme="majorHAnsi" w:cs="Times New Roman"/>
          <w:sz w:val="22"/>
          <w:szCs w:val="22"/>
          <w:lang w:val="fr-CH"/>
        </w:rPr>
        <w:t xml:space="preserve">mis en valeur </w:t>
      </w:r>
      <w:r w:rsidRPr="00FF19DA">
        <w:rPr>
          <w:rFonts w:asciiTheme="majorHAnsi" w:eastAsia="Calibri" w:hAnsiTheme="majorHAnsi" w:cs="Times New Roman"/>
          <w:sz w:val="22"/>
          <w:szCs w:val="22"/>
          <w:lang w:val="fr-CH"/>
        </w:rPr>
        <w:t>dans les nombreuses villes candidates.  Les villes retenues seront annoncées lor</w:t>
      </w:r>
      <w:r w:rsidR="00AD2E6A">
        <w:rPr>
          <w:rFonts w:asciiTheme="majorHAnsi" w:eastAsia="Calibri" w:hAnsiTheme="majorHAnsi" w:cs="Times New Roman"/>
          <w:sz w:val="22"/>
          <w:szCs w:val="22"/>
          <w:lang w:val="fr-CH"/>
        </w:rPr>
        <w:t>s de la CO</w:t>
      </w:r>
      <w:r w:rsidRPr="00FF19DA">
        <w:rPr>
          <w:rFonts w:asciiTheme="majorHAnsi" w:eastAsia="Calibri" w:hAnsiTheme="majorHAnsi" w:cs="Times New Roman"/>
          <w:sz w:val="22"/>
          <w:szCs w:val="22"/>
          <w:lang w:val="fr-CH"/>
        </w:rPr>
        <w:t>P13</w:t>
      </w:r>
      <w:r w:rsidR="00AD2E6A">
        <w:rPr>
          <w:rFonts w:asciiTheme="majorHAnsi" w:eastAsia="Calibri" w:hAnsiTheme="majorHAnsi" w:cs="Times New Roman"/>
          <w:sz w:val="22"/>
          <w:szCs w:val="22"/>
          <w:lang w:val="fr-CH"/>
        </w:rPr>
        <w:t>.</w:t>
      </w:r>
    </w:p>
    <w:p w14:paraId="72557896" w14:textId="7A56A502" w:rsidR="00C64326" w:rsidRPr="00BA22DE" w:rsidRDefault="00AD2E6A" w:rsidP="00AD2E6A">
      <w:pPr>
        <w:numPr>
          <w:ilvl w:val="0"/>
          <w:numId w:val="19"/>
        </w:numPr>
        <w:spacing w:after="200"/>
        <w:contextualSpacing/>
        <w:rPr>
          <w:rFonts w:asciiTheme="majorHAnsi" w:eastAsia="Calibri" w:hAnsiTheme="majorHAnsi" w:cs="Times New Roman"/>
          <w:sz w:val="22"/>
          <w:szCs w:val="22"/>
          <w:lang w:val="fr-CH"/>
        </w:rPr>
      </w:pPr>
      <w:r>
        <w:rPr>
          <w:rFonts w:asciiTheme="majorHAnsi" w:eastAsia="Calibri" w:hAnsiTheme="majorHAnsi" w:cs="Times New Roman"/>
          <w:sz w:val="22"/>
          <w:szCs w:val="22"/>
          <w:lang w:val="fr-CH"/>
        </w:rPr>
        <w:t>Une page Web « Culture et zones humides »</w:t>
      </w:r>
      <w:r w:rsidRPr="00AD2E6A">
        <w:rPr>
          <w:rFonts w:asciiTheme="majorHAnsi" w:eastAsia="Calibri" w:hAnsiTheme="majorHAnsi" w:cs="Times New Roman"/>
          <w:sz w:val="22"/>
          <w:szCs w:val="22"/>
          <w:lang w:val="fr-CH"/>
        </w:rPr>
        <w:t xml:space="preserve"> a été créée pour mettre en lumière les travaux relatifs aux valeurs culturelles des zones humides, aux moyens d</w:t>
      </w:r>
      <w:r w:rsidR="006E2A23">
        <w:rPr>
          <w:rFonts w:asciiTheme="majorHAnsi" w:eastAsia="Calibri" w:hAnsiTheme="majorHAnsi" w:cs="Times New Roman"/>
          <w:sz w:val="22"/>
          <w:szCs w:val="22"/>
          <w:lang w:val="fr-CH"/>
        </w:rPr>
        <w:t xml:space="preserve">’existence </w:t>
      </w:r>
      <w:r w:rsidRPr="00AD2E6A">
        <w:rPr>
          <w:rFonts w:asciiTheme="majorHAnsi" w:eastAsia="Calibri" w:hAnsiTheme="majorHAnsi" w:cs="Times New Roman"/>
          <w:sz w:val="22"/>
          <w:szCs w:val="22"/>
          <w:lang w:val="fr-CH"/>
        </w:rPr>
        <w:t>qu'elles offrent et aux droits des peuples autochto</w:t>
      </w:r>
      <w:r w:rsidR="006E2A23">
        <w:rPr>
          <w:rFonts w:asciiTheme="majorHAnsi" w:eastAsia="Calibri" w:hAnsiTheme="majorHAnsi" w:cs="Times New Roman"/>
          <w:sz w:val="22"/>
          <w:szCs w:val="22"/>
          <w:lang w:val="fr-CH"/>
        </w:rPr>
        <w:t>nes et des communautés locales de</w:t>
      </w:r>
      <w:r w:rsidRPr="00AD2E6A">
        <w:rPr>
          <w:rFonts w:asciiTheme="majorHAnsi" w:eastAsia="Calibri" w:hAnsiTheme="majorHAnsi" w:cs="Times New Roman"/>
          <w:sz w:val="22"/>
          <w:szCs w:val="22"/>
          <w:lang w:val="fr-CH"/>
        </w:rPr>
        <w:t xml:space="preserve"> participer à leur gestion.</w:t>
      </w:r>
    </w:p>
    <w:p w14:paraId="3F2F73D7" w14:textId="77777777" w:rsidR="00CE4463" w:rsidRPr="00BA22DE" w:rsidRDefault="00CE4463" w:rsidP="00CE4463">
      <w:pPr>
        <w:spacing w:after="200"/>
        <w:contextualSpacing/>
        <w:rPr>
          <w:rFonts w:asciiTheme="majorHAnsi" w:eastAsia="Calibri" w:hAnsiTheme="majorHAnsi" w:cs="Times New Roman"/>
          <w:sz w:val="22"/>
          <w:szCs w:val="22"/>
          <w:lang w:val="fr-CH"/>
        </w:rPr>
      </w:pPr>
    </w:p>
    <w:p w14:paraId="5400032F" w14:textId="541963B0" w:rsidR="00C64326" w:rsidRPr="00BA22DE" w:rsidRDefault="006E2A23" w:rsidP="004C3670">
      <w:pPr>
        <w:keepNext/>
        <w:spacing w:after="200"/>
        <w:rPr>
          <w:rFonts w:asciiTheme="majorHAnsi" w:eastAsia="Calibri" w:hAnsiTheme="majorHAnsi" w:cs="Times New Roman"/>
          <w:i/>
          <w:sz w:val="22"/>
          <w:szCs w:val="22"/>
          <w:lang w:val="fr-CH"/>
        </w:rPr>
      </w:pPr>
      <w:r>
        <w:rPr>
          <w:rFonts w:asciiTheme="majorHAnsi" w:eastAsia="Calibri" w:hAnsiTheme="majorHAnsi" w:cs="Times New Roman"/>
          <w:i/>
          <w:sz w:val="22"/>
          <w:szCs w:val="22"/>
          <w:lang w:val="fr-CH"/>
        </w:rPr>
        <w:t>But</w:t>
      </w:r>
      <w:r w:rsidR="00C64326" w:rsidRPr="00BA22DE">
        <w:rPr>
          <w:rFonts w:asciiTheme="majorHAnsi" w:eastAsia="Calibri" w:hAnsiTheme="majorHAnsi" w:cs="Times New Roman"/>
          <w:i/>
          <w:sz w:val="22"/>
          <w:szCs w:val="22"/>
          <w:lang w:val="fr-CH"/>
        </w:rPr>
        <w:t xml:space="preserve"> 6 – Programmes </w:t>
      </w:r>
      <w:r w:rsidR="00DD2C21">
        <w:rPr>
          <w:rFonts w:asciiTheme="majorHAnsi" w:eastAsia="Calibri" w:hAnsiTheme="majorHAnsi" w:cs="Times New Roman"/>
          <w:i/>
          <w:sz w:val="22"/>
          <w:szCs w:val="22"/>
          <w:lang w:val="fr-CH"/>
        </w:rPr>
        <w:t xml:space="preserve">et </w:t>
      </w:r>
      <w:r w:rsidR="00C64326" w:rsidRPr="00BA22DE">
        <w:rPr>
          <w:rFonts w:asciiTheme="majorHAnsi" w:eastAsia="Calibri" w:hAnsiTheme="majorHAnsi" w:cs="Times New Roman"/>
          <w:i/>
          <w:sz w:val="22"/>
          <w:szCs w:val="22"/>
          <w:lang w:val="fr-CH"/>
        </w:rPr>
        <w:t>campa</w:t>
      </w:r>
      <w:r w:rsidR="00DD2C21">
        <w:rPr>
          <w:rFonts w:asciiTheme="majorHAnsi" w:eastAsia="Calibri" w:hAnsiTheme="majorHAnsi" w:cs="Times New Roman"/>
          <w:i/>
          <w:sz w:val="22"/>
          <w:szCs w:val="22"/>
          <w:lang w:val="fr-CH"/>
        </w:rPr>
        <w:t>gnes pour promouvoir les zones humides</w:t>
      </w:r>
    </w:p>
    <w:p w14:paraId="1F87031C" w14:textId="6C835768" w:rsidR="00C64326" w:rsidRPr="00BA22DE" w:rsidRDefault="00DA2220" w:rsidP="00DA2220">
      <w:pPr>
        <w:numPr>
          <w:ilvl w:val="0"/>
          <w:numId w:val="17"/>
        </w:numPr>
        <w:spacing w:after="200"/>
        <w:contextualSpacing/>
        <w:rPr>
          <w:rFonts w:asciiTheme="majorHAnsi" w:eastAsia="Calibri" w:hAnsiTheme="majorHAnsi" w:cs="Times New Roman"/>
          <w:sz w:val="22"/>
          <w:szCs w:val="22"/>
          <w:lang w:val="fr-CH"/>
        </w:rPr>
      </w:pPr>
      <w:r w:rsidRPr="00DA2220">
        <w:rPr>
          <w:rFonts w:asciiTheme="majorHAnsi" w:eastAsia="Calibri" w:hAnsiTheme="majorHAnsi" w:cs="Times New Roman"/>
          <w:sz w:val="22"/>
          <w:szCs w:val="22"/>
          <w:lang w:val="fr-CH"/>
        </w:rPr>
        <w:t>Les célébrations de la Jou</w:t>
      </w:r>
      <w:r w:rsidR="000347DF">
        <w:rPr>
          <w:rFonts w:asciiTheme="majorHAnsi" w:eastAsia="Calibri" w:hAnsiTheme="majorHAnsi" w:cs="Times New Roman"/>
          <w:sz w:val="22"/>
          <w:szCs w:val="22"/>
          <w:lang w:val="fr-CH"/>
        </w:rPr>
        <w:t>rnée mondiale des zones humides</w:t>
      </w:r>
      <w:r w:rsidRPr="00DA2220">
        <w:rPr>
          <w:rFonts w:asciiTheme="majorHAnsi" w:eastAsia="Calibri" w:hAnsiTheme="majorHAnsi" w:cs="Times New Roman"/>
          <w:sz w:val="22"/>
          <w:szCs w:val="22"/>
          <w:lang w:val="fr-CH"/>
        </w:rPr>
        <w:t xml:space="preserve"> ont attiré l'attention sur d'importantes questions relatives aux zones humides au cours de la période triennale, notamment le rôle des zones humides dans les moyens d</w:t>
      </w:r>
      <w:r w:rsidR="000347DF">
        <w:rPr>
          <w:rFonts w:asciiTheme="majorHAnsi" w:eastAsia="Calibri" w:hAnsiTheme="majorHAnsi" w:cs="Times New Roman"/>
          <w:sz w:val="22"/>
          <w:szCs w:val="22"/>
          <w:lang w:val="fr-CH"/>
        </w:rPr>
        <w:t>’existence</w:t>
      </w:r>
      <w:r w:rsidRPr="00DA2220">
        <w:rPr>
          <w:rFonts w:asciiTheme="majorHAnsi" w:eastAsia="Calibri" w:hAnsiTheme="majorHAnsi" w:cs="Times New Roman"/>
          <w:sz w:val="22"/>
          <w:szCs w:val="22"/>
          <w:lang w:val="fr-CH"/>
        </w:rPr>
        <w:t xml:space="preserve"> durables (2016), la réduction des risques de catastrophe (2017) et les villes </w:t>
      </w:r>
      <w:r w:rsidR="000347DF">
        <w:rPr>
          <w:rFonts w:asciiTheme="majorHAnsi" w:eastAsia="Calibri" w:hAnsiTheme="majorHAnsi" w:cs="Times New Roman"/>
          <w:sz w:val="22"/>
          <w:szCs w:val="22"/>
          <w:lang w:val="fr-CH"/>
        </w:rPr>
        <w:t>agréables à vivre</w:t>
      </w:r>
      <w:r w:rsidR="00C64326" w:rsidRPr="00BA22DE">
        <w:rPr>
          <w:rFonts w:asciiTheme="majorHAnsi" w:eastAsia="Calibri" w:hAnsiTheme="majorHAnsi" w:cs="Times New Roman"/>
          <w:sz w:val="22"/>
          <w:szCs w:val="22"/>
          <w:lang w:val="fr-CH"/>
        </w:rPr>
        <w:t xml:space="preserve"> (2018). </w:t>
      </w:r>
    </w:p>
    <w:p w14:paraId="198F0544" w14:textId="4830EE28" w:rsidR="00C64326" w:rsidRPr="000347DF" w:rsidRDefault="000347DF" w:rsidP="000347DF">
      <w:pPr>
        <w:numPr>
          <w:ilvl w:val="0"/>
          <w:numId w:val="17"/>
        </w:numPr>
        <w:spacing w:after="200"/>
        <w:contextualSpacing/>
        <w:rPr>
          <w:rFonts w:asciiTheme="majorHAnsi" w:eastAsia="Calibri" w:hAnsiTheme="majorHAnsi" w:cs="Times New Roman"/>
          <w:sz w:val="22"/>
          <w:szCs w:val="22"/>
          <w:lang w:val="fr-CH"/>
        </w:rPr>
      </w:pPr>
      <w:r w:rsidRPr="000347DF">
        <w:rPr>
          <w:rFonts w:asciiTheme="majorHAnsi" w:eastAsia="Calibri" w:hAnsiTheme="majorHAnsi" w:cs="Times New Roman"/>
          <w:sz w:val="22"/>
          <w:szCs w:val="22"/>
          <w:lang w:val="fr-CH"/>
        </w:rPr>
        <w:lastRenderedPageBreak/>
        <w:t xml:space="preserve">En 2018, 1 500 événements ont été enregistrés dans 118 pays, plus de 1 800 articles en ligne </w:t>
      </w:r>
      <w:r w:rsidR="00B807E0">
        <w:rPr>
          <w:rFonts w:asciiTheme="majorHAnsi" w:eastAsia="Calibri" w:hAnsiTheme="majorHAnsi" w:cs="Times New Roman"/>
          <w:sz w:val="22"/>
          <w:szCs w:val="22"/>
          <w:lang w:val="fr-CH"/>
        </w:rPr>
        <w:t xml:space="preserve">ont </w:t>
      </w:r>
      <w:r w:rsidRPr="000347DF">
        <w:rPr>
          <w:rFonts w:asciiTheme="majorHAnsi" w:eastAsia="Calibri" w:hAnsiTheme="majorHAnsi" w:cs="Times New Roman"/>
          <w:sz w:val="22"/>
          <w:szCs w:val="22"/>
          <w:lang w:val="fr-CH"/>
        </w:rPr>
        <w:t>mentionn</w:t>
      </w:r>
      <w:r w:rsidR="00B807E0">
        <w:rPr>
          <w:rFonts w:asciiTheme="majorHAnsi" w:eastAsia="Calibri" w:hAnsiTheme="majorHAnsi" w:cs="Times New Roman"/>
          <w:sz w:val="22"/>
          <w:szCs w:val="22"/>
          <w:lang w:val="fr-CH"/>
        </w:rPr>
        <w:t>é</w:t>
      </w:r>
      <w:r w:rsidRPr="000347DF">
        <w:rPr>
          <w:rFonts w:asciiTheme="majorHAnsi" w:eastAsia="Calibri" w:hAnsiTheme="majorHAnsi" w:cs="Times New Roman"/>
          <w:sz w:val="22"/>
          <w:szCs w:val="22"/>
          <w:lang w:val="fr-CH"/>
        </w:rPr>
        <w:t xml:space="preserve"> la J</w:t>
      </w:r>
      <w:r>
        <w:rPr>
          <w:rFonts w:asciiTheme="majorHAnsi" w:eastAsia="Calibri" w:hAnsiTheme="majorHAnsi" w:cs="Times New Roman"/>
          <w:sz w:val="22"/>
          <w:szCs w:val="22"/>
          <w:lang w:val="fr-CH"/>
        </w:rPr>
        <w:t xml:space="preserve">ournée mondiale des zones humides, </w:t>
      </w:r>
      <w:r w:rsidRPr="000347DF">
        <w:rPr>
          <w:rFonts w:asciiTheme="majorHAnsi" w:eastAsia="Calibri" w:hAnsiTheme="majorHAnsi" w:cs="Times New Roman"/>
          <w:sz w:val="22"/>
          <w:szCs w:val="22"/>
          <w:lang w:val="fr-CH"/>
        </w:rPr>
        <w:t xml:space="preserve">et les </w:t>
      </w:r>
      <w:r w:rsidR="00B807E0">
        <w:rPr>
          <w:rFonts w:asciiTheme="majorHAnsi" w:eastAsia="Calibri" w:hAnsiTheme="majorHAnsi" w:cs="Times New Roman"/>
          <w:sz w:val="22"/>
          <w:szCs w:val="22"/>
          <w:lang w:val="fr-CH"/>
        </w:rPr>
        <w:t>réseaux</w:t>
      </w:r>
      <w:r w:rsidRPr="000347DF">
        <w:rPr>
          <w:rFonts w:asciiTheme="majorHAnsi" w:eastAsia="Calibri" w:hAnsiTheme="majorHAnsi" w:cs="Times New Roman"/>
          <w:sz w:val="22"/>
          <w:szCs w:val="22"/>
          <w:lang w:val="fr-CH"/>
        </w:rPr>
        <w:t xml:space="preserve"> sociaux ont touché près de 9 millions de personn</w:t>
      </w:r>
      <w:r w:rsidR="00B807E0">
        <w:rPr>
          <w:rFonts w:asciiTheme="majorHAnsi" w:eastAsia="Calibri" w:hAnsiTheme="majorHAnsi" w:cs="Times New Roman"/>
          <w:sz w:val="22"/>
          <w:szCs w:val="22"/>
          <w:lang w:val="fr-CH"/>
        </w:rPr>
        <w:t xml:space="preserve">es.  En 2016 et 2017, environ 50 000 personnes ont visité la page </w:t>
      </w:r>
      <w:r w:rsidRPr="000347DF">
        <w:rPr>
          <w:rFonts w:asciiTheme="majorHAnsi" w:eastAsia="Calibri" w:hAnsiTheme="majorHAnsi" w:cs="Times New Roman"/>
          <w:sz w:val="22"/>
          <w:szCs w:val="22"/>
          <w:lang w:val="fr-CH"/>
        </w:rPr>
        <w:t>Web Ramsar de la J</w:t>
      </w:r>
      <w:r w:rsidR="00B807E0">
        <w:rPr>
          <w:rFonts w:asciiTheme="majorHAnsi" w:eastAsia="Calibri" w:hAnsiTheme="majorHAnsi" w:cs="Times New Roman"/>
          <w:sz w:val="22"/>
          <w:szCs w:val="22"/>
          <w:lang w:val="fr-CH"/>
        </w:rPr>
        <w:t>ournée mondiale des zones humides</w:t>
      </w:r>
      <w:r w:rsidR="0091738A">
        <w:rPr>
          <w:rFonts w:asciiTheme="majorHAnsi" w:eastAsia="Calibri" w:hAnsiTheme="majorHAnsi" w:cs="Times New Roman"/>
          <w:sz w:val="22"/>
          <w:szCs w:val="22"/>
          <w:lang w:val="fr-CH"/>
        </w:rPr>
        <w:t>, et</w:t>
      </w:r>
      <w:r w:rsidRPr="000347DF">
        <w:rPr>
          <w:rFonts w:asciiTheme="majorHAnsi" w:eastAsia="Calibri" w:hAnsiTheme="majorHAnsi" w:cs="Times New Roman"/>
          <w:sz w:val="22"/>
          <w:szCs w:val="22"/>
          <w:lang w:val="fr-CH"/>
        </w:rPr>
        <w:t xml:space="preserve"> </w:t>
      </w:r>
      <w:r w:rsidR="00B807E0">
        <w:rPr>
          <w:rFonts w:asciiTheme="majorHAnsi" w:eastAsia="Calibri" w:hAnsiTheme="majorHAnsi" w:cs="Times New Roman"/>
          <w:sz w:val="22"/>
          <w:szCs w:val="22"/>
          <w:lang w:val="fr-CH"/>
        </w:rPr>
        <w:t xml:space="preserve">ce nombre </w:t>
      </w:r>
      <w:r w:rsidRPr="000347DF">
        <w:rPr>
          <w:rFonts w:asciiTheme="majorHAnsi" w:eastAsia="Calibri" w:hAnsiTheme="majorHAnsi" w:cs="Times New Roman"/>
          <w:sz w:val="22"/>
          <w:szCs w:val="22"/>
          <w:lang w:val="fr-CH"/>
        </w:rPr>
        <w:t>a considérablement augmenté pour atteindre 200 000 en 2018.  Il convient de féliciter les Parties pour les efforts qu'elles ont déployés afin de mieux faire connaître la Convention grâce à ces nombreuses manifes</w:t>
      </w:r>
      <w:r w:rsidR="00B807E0">
        <w:rPr>
          <w:rFonts w:asciiTheme="majorHAnsi" w:eastAsia="Calibri" w:hAnsiTheme="majorHAnsi" w:cs="Times New Roman"/>
          <w:sz w:val="22"/>
          <w:szCs w:val="22"/>
          <w:lang w:val="fr-CH"/>
        </w:rPr>
        <w:t xml:space="preserve">tations couronnées de succès.  Plus </w:t>
      </w:r>
      <w:r w:rsidRPr="000347DF">
        <w:rPr>
          <w:rFonts w:asciiTheme="majorHAnsi" w:eastAsia="Calibri" w:hAnsiTheme="majorHAnsi" w:cs="Times New Roman"/>
          <w:sz w:val="22"/>
          <w:szCs w:val="22"/>
          <w:lang w:val="fr-CH"/>
        </w:rPr>
        <w:t xml:space="preserve">de 151 000 </w:t>
      </w:r>
      <w:r w:rsidR="00B807E0">
        <w:rPr>
          <w:rFonts w:asciiTheme="majorHAnsi" w:eastAsia="Calibri" w:hAnsiTheme="majorHAnsi" w:cs="Times New Roman"/>
          <w:sz w:val="22"/>
          <w:szCs w:val="22"/>
          <w:lang w:val="fr-CH"/>
        </w:rPr>
        <w:t>téléchargements ont été e</w:t>
      </w:r>
      <w:r w:rsidR="00D05B35">
        <w:rPr>
          <w:rFonts w:asciiTheme="majorHAnsi" w:eastAsia="Calibri" w:hAnsiTheme="majorHAnsi" w:cs="Times New Roman"/>
          <w:sz w:val="22"/>
          <w:szCs w:val="22"/>
          <w:lang w:val="fr-CH"/>
        </w:rPr>
        <w:t>ffectués</w:t>
      </w:r>
      <w:r w:rsidR="00B807E0">
        <w:rPr>
          <w:rFonts w:asciiTheme="majorHAnsi" w:eastAsia="Calibri" w:hAnsiTheme="majorHAnsi" w:cs="Times New Roman"/>
          <w:sz w:val="22"/>
          <w:szCs w:val="22"/>
          <w:lang w:val="fr-CH"/>
        </w:rPr>
        <w:t xml:space="preserve"> </w:t>
      </w:r>
      <w:r w:rsidR="00D05B35">
        <w:rPr>
          <w:rFonts w:asciiTheme="majorHAnsi" w:eastAsia="Calibri" w:hAnsiTheme="majorHAnsi" w:cs="Times New Roman"/>
          <w:sz w:val="22"/>
          <w:szCs w:val="22"/>
          <w:lang w:val="fr-CH"/>
        </w:rPr>
        <w:t xml:space="preserve">à partir </w:t>
      </w:r>
      <w:r w:rsidR="00B807E0">
        <w:rPr>
          <w:rFonts w:asciiTheme="majorHAnsi" w:eastAsia="Calibri" w:hAnsiTheme="majorHAnsi" w:cs="Times New Roman"/>
          <w:sz w:val="22"/>
          <w:szCs w:val="22"/>
          <w:lang w:val="fr-CH"/>
        </w:rPr>
        <w:t>de la</w:t>
      </w:r>
      <w:r w:rsidR="00D05B35">
        <w:rPr>
          <w:rFonts w:asciiTheme="majorHAnsi" w:eastAsia="Calibri" w:hAnsiTheme="majorHAnsi" w:cs="Times New Roman"/>
          <w:sz w:val="22"/>
          <w:szCs w:val="22"/>
          <w:lang w:val="fr-CH"/>
        </w:rPr>
        <w:t xml:space="preserve"> page Web de la</w:t>
      </w:r>
      <w:r w:rsidR="00B807E0">
        <w:rPr>
          <w:rFonts w:asciiTheme="majorHAnsi" w:eastAsia="Calibri" w:hAnsiTheme="majorHAnsi" w:cs="Times New Roman"/>
          <w:sz w:val="22"/>
          <w:szCs w:val="22"/>
          <w:lang w:val="fr-CH"/>
        </w:rPr>
        <w:t xml:space="preserve"> Journée mondiale des zones humides</w:t>
      </w:r>
      <w:r w:rsidRPr="000347DF">
        <w:rPr>
          <w:rFonts w:asciiTheme="majorHAnsi" w:eastAsia="Calibri" w:hAnsiTheme="majorHAnsi" w:cs="Times New Roman"/>
          <w:sz w:val="22"/>
          <w:szCs w:val="22"/>
          <w:lang w:val="fr-CH"/>
        </w:rPr>
        <w:t>.</w:t>
      </w:r>
    </w:p>
    <w:p w14:paraId="1EC9CF1B" w14:textId="61CB27B6" w:rsidR="00C64326" w:rsidRPr="00BA22DE" w:rsidRDefault="00D05B35" w:rsidP="00D05B35">
      <w:pPr>
        <w:numPr>
          <w:ilvl w:val="0"/>
          <w:numId w:val="17"/>
        </w:numPr>
        <w:spacing w:after="200"/>
        <w:contextualSpacing/>
        <w:rPr>
          <w:rFonts w:asciiTheme="majorHAnsi" w:eastAsia="Calibri" w:hAnsiTheme="majorHAnsi" w:cs="Times New Roman"/>
          <w:sz w:val="22"/>
          <w:szCs w:val="22"/>
          <w:lang w:val="fr-CH"/>
        </w:rPr>
      </w:pPr>
      <w:r w:rsidRPr="00D05B35">
        <w:rPr>
          <w:rFonts w:asciiTheme="majorHAnsi" w:eastAsia="Calibri" w:hAnsiTheme="majorHAnsi" w:cs="Times New Roman"/>
          <w:sz w:val="22"/>
          <w:szCs w:val="22"/>
          <w:lang w:val="fr-CH"/>
        </w:rPr>
        <w:t xml:space="preserve">Au total, 87 % des pays ont déclaré avoir organisé des activités </w:t>
      </w:r>
      <w:r w:rsidR="0091738A">
        <w:rPr>
          <w:rFonts w:asciiTheme="majorHAnsi" w:eastAsia="Calibri" w:hAnsiTheme="majorHAnsi" w:cs="Times New Roman"/>
          <w:sz w:val="22"/>
          <w:szCs w:val="22"/>
          <w:lang w:val="fr-CH"/>
        </w:rPr>
        <w:t>à l’occasion</w:t>
      </w:r>
      <w:r>
        <w:rPr>
          <w:rFonts w:asciiTheme="majorHAnsi" w:eastAsia="Calibri" w:hAnsiTheme="majorHAnsi" w:cs="Times New Roman"/>
          <w:sz w:val="22"/>
          <w:szCs w:val="22"/>
          <w:lang w:val="fr-CH"/>
        </w:rPr>
        <w:t xml:space="preserve"> </w:t>
      </w:r>
      <w:r w:rsidRPr="00D05B35">
        <w:rPr>
          <w:rFonts w:asciiTheme="majorHAnsi" w:eastAsia="Calibri" w:hAnsiTheme="majorHAnsi" w:cs="Times New Roman"/>
          <w:sz w:val="22"/>
          <w:szCs w:val="22"/>
          <w:lang w:val="fr-CH"/>
        </w:rPr>
        <w:t xml:space="preserve">de la Journée mondiale </w:t>
      </w:r>
      <w:r>
        <w:rPr>
          <w:rFonts w:asciiTheme="majorHAnsi" w:eastAsia="Calibri" w:hAnsiTheme="majorHAnsi" w:cs="Times New Roman"/>
          <w:sz w:val="22"/>
          <w:szCs w:val="22"/>
          <w:lang w:val="fr-CH"/>
        </w:rPr>
        <w:t xml:space="preserve">Ramsar </w:t>
      </w:r>
      <w:r w:rsidRPr="00D05B35">
        <w:rPr>
          <w:rFonts w:asciiTheme="majorHAnsi" w:eastAsia="Calibri" w:hAnsiTheme="majorHAnsi" w:cs="Times New Roman"/>
          <w:sz w:val="22"/>
          <w:szCs w:val="22"/>
          <w:lang w:val="fr-CH"/>
        </w:rPr>
        <w:t xml:space="preserve">des zones humides au cours de la </w:t>
      </w:r>
      <w:r>
        <w:rPr>
          <w:rFonts w:asciiTheme="majorHAnsi" w:eastAsia="Calibri" w:hAnsiTheme="majorHAnsi" w:cs="Times New Roman"/>
          <w:sz w:val="22"/>
          <w:szCs w:val="22"/>
          <w:lang w:val="fr-CH"/>
        </w:rPr>
        <w:t xml:space="preserve">dernière </w:t>
      </w:r>
      <w:r w:rsidRPr="00D05B35">
        <w:rPr>
          <w:rFonts w:asciiTheme="majorHAnsi" w:eastAsia="Calibri" w:hAnsiTheme="majorHAnsi" w:cs="Times New Roman"/>
          <w:sz w:val="22"/>
          <w:szCs w:val="22"/>
          <w:lang w:val="fr-CH"/>
        </w:rPr>
        <w:t>période triennale (comme dans le rapport à la COP12).  Ce</w:t>
      </w:r>
      <w:r w:rsidR="00A53E83">
        <w:rPr>
          <w:rFonts w:asciiTheme="majorHAnsi" w:eastAsia="Calibri" w:hAnsiTheme="majorHAnsi" w:cs="Times New Roman"/>
          <w:sz w:val="22"/>
          <w:szCs w:val="22"/>
          <w:lang w:val="fr-CH"/>
        </w:rPr>
        <w:t xml:space="preserve">t engagement se traduit également par </w:t>
      </w:r>
      <w:r w:rsidRPr="00D05B35">
        <w:rPr>
          <w:rFonts w:asciiTheme="majorHAnsi" w:eastAsia="Calibri" w:hAnsiTheme="majorHAnsi" w:cs="Times New Roman"/>
          <w:sz w:val="22"/>
          <w:szCs w:val="22"/>
          <w:lang w:val="fr-CH"/>
        </w:rPr>
        <w:t>le grand nombre d</w:t>
      </w:r>
      <w:r w:rsidR="00A53E83">
        <w:rPr>
          <w:rFonts w:asciiTheme="majorHAnsi" w:eastAsia="Calibri" w:hAnsiTheme="majorHAnsi" w:cs="Times New Roman"/>
          <w:sz w:val="22"/>
          <w:szCs w:val="22"/>
          <w:lang w:val="fr-CH"/>
        </w:rPr>
        <w:t>e manifestations</w:t>
      </w:r>
      <w:r w:rsidRPr="00D05B35">
        <w:rPr>
          <w:rFonts w:asciiTheme="majorHAnsi" w:eastAsia="Calibri" w:hAnsiTheme="majorHAnsi" w:cs="Times New Roman"/>
          <w:sz w:val="22"/>
          <w:szCs w:val="22"/>
          <w:lang w:val="fr-CH"/>
        </w:rPr>
        <w:t xml:space="preserve"> signalé</w:t>
      </w:r>
      <w:r w:rsidR="00A53E83">
        <w:rPr>
          <w:rFonts w:asciiTheme="majorHAnsi" w:eastAsia="Calibri" w:hAnsiTheme="majorHAnsi" w:cs="Times New Roman"/>
          <w:sz w:val="22"/>
          <w:szCs w:val="22"/>
          <w:lang w:val="fr-CH"/>
        </w:rPr>
        <w:t>e</w:t>
      </w:r>
      <w:r w:rsidRPr="00D05B35">
        <w:rPr>
          <w:rFonts w:asciiTheme="majorHAnsi" w:eastAsia="Calibri" w:hAnsiTheme="majorHAnsi" w:cs="Times New Roman"/>
          <w:sz w:val="22"/>
          <w:szCs w:val="22"/>
          <w:lang w:val="fr-CH"/>
        </w:rPr>
        <w:t>s sur la carte des événements figurant sur le site Web du Secrétariat (par exemple, plus de 1 500 événements en 2018)</w:t>
      </w:r>
      <w:r>
        <w:rPr>
          <w:rFonts w:asciiTheme="majorHAnsi" w:eastAsia="Calibri" w:hAnsiTheme="majorHAnsi" w:cs="Times New Roman"/>
          <w:sz w:val="22"/>
          <w:szCs w:val="22"/>
          <w:lang w:val="fr-CH"/>
        </w:rPr>
        <w:t>.</w:t>
      </w:r>
    </w:p>
    <w:p w14:paraId="3F1B0AA3" w14:textId="4B49BF3D" w:rsidR="00C64326" w:rsidRPr="00BA22DE" w:rsidRDefault="00A53E83" w:rsidP="00A53E83">
      <w:pPr>
        <w:numPr>
          <w:ilvl w:val="0"/>
          <w:numId w:val="17"/>
        </w:numPr>
        <w:spacing w:after="200"/>
        <w:contextualSpacing/>
        <w:rPr>
          <w:rFonts w:asciiTheme="majorHAnsi" w:eastAsia="Calibri" w:hAnsiTheme="majorHAnsi" w:cs="Times New Roman"/>
          <w:sz w:val="22"/>
          <w:szCs w:val="22"/>
          <w:lang w:val="fr-CH"/>
        </w:rPr>
      </w:pPr>
      <w:r w:rsidRPr="00A53E83">
        <w:rPr>
          <w:rFonts w:asciiTheme="majorHAnsi" w:eastAsia="Calibri" w:hAnsiTheme="majorHAnsi" w:cs="Times New Roman"/>
          <w:sz w:val="22"/>
          <w:szCs w:val="22"/>
          <w:lang w:val="fr-CH"/>
        </w:rPr>
        <w:t>En partenariat avec Danone, le Secrétariat a fourni des ressources pour la Journée mondiale des zones humides et les Prix Ramsa</w:t>
      </w:r>
      <w:r>
        <w:rPr>
          <w:rFonts w:asciiTheme="majorHAnsi" w:eastAsia="Calibri" w:hAnsiTheme="majorHAnsi" w:cs="Times New Roman"/>
          <w:sz w:val="22"/>
          <w:szCs w:val="22"/>
          <w:lang w:val="fr-CH"/>
        </w:rPr>
        <w:t>r</w:t>
      </w:r>
      <w:r w:rsidR="00C64326" w:rsidRPr="00BA22DE">
        <w:rPr>
          <w:rFonts w:asciiTheme="majorHAnsi" w:eastAsia="Calibri" w:hAnsiTheme="majorHAnsi" w:cs="Times New Roman"/>
          <w:sz w:val="22"/>
          <w:szCs w:val="22"/>
          <w:lang w:val="fr-CH"/>
        </w:rPr>
        <w:t>.</w:t>
      </w:r>
    </w:p>
    <w:p w14:paraId="0B73E22A" w14:textId="2882F642" w:rsidR="00C64326" w:rsidRPr="00BA22DE" w:rsidRDefault="002B4657" w:rsidP="002B4657">
      <w:pPr>
        <w:numPr>
          <w:ilvl w:val="0"/>
          <w:numId w:val="17"/>
        </w:numPr>
        <w:spacing w:after="200"/>
        <w:contextualSpacing/>
        <w:rPr>
          <w:rFonts w:asciiTheme="majorHAnsi" w:eastAsia="Calibri" w:hAnsiTheme="majorHAnsi" w:cs="Times New Roman"/>
          <w:sz w:val="22"/>
          <w:szCs w:val="22"/>
          <w:lang w:val="fr-CH"/>
        </w:rPr>
      </w:pPr>
      <w:r w:rsidRPr="002B4657">
        <w:rPr>
          <w:rFonts w:asciiTheme="majorHAnsi" w:eastAsia="Calibri" w:hAnsiTheme="majorHAnsi" w:cs="Times New Roman"/>
          <w:sz w:val="22"/>
          <w:szCs w:val="22"/>
          <w:lang w:val="fr-CH"/>
        </w:rPr>
        <w:t xml:space="preserve">D'autres campagnes, programmes et projets relatifs à la CESP pour les zones humides ont </w:t>
      </w:r>
      <w:r w:rsidR="004418A4">
        <w:rPr>
          <w:rFonts w:asciiTheme="majorHAnsi" w:eastAsia="Calibri" w:hAnsiTheme="majorHAnsi" w:cs="Times New Roman"/>
          <w:sz w:val="22"/>
          <w:szCs w:val="22"/>
          <w:lang w:val="fr-CH"/>
        </w:rPr>
        <w:t xml:space="preserve">permis de déployer </w:t>
      </w:r>
      <w:r w:rsidRPr="002B4657">
        <w:rPr>
          <w:rFonts w:asciiTheme="majorHAnsi" w:eastAsia="Calibri" w:hAnsiTheme="majorHAnsi" w:cs="Times New Roman"/>
          <w:sz w:val="22"/>
          <w:szCs w:val="22"/>
          <w:lang w:val="fr-CH"/>
        </w:rPr>
        <w:t xml:space="preserve">de nombreuses activités, </w:t>
      </w:r>
      <w:r w:rsidR="004418A4">
        <w:rPr>
          <w:rFonts w:asciiTheme="majorHAnsi" w:eastAsia="Calibri" w:hAnsiTheme="majorHAnsi" w:cs="Times New Roman"/>
          <w:sz w:val="22"/>
          <w:szCs w:val="22"/>
          <w:lang w:val="fr-CH"/>
        </w:rPr>
        <w:t xml:space="preserve">avec </w:t>
      </w:r>
      <w:r w:rsidRPr="002B4657">
        <w:rPr>
          <w:rFonts w:asciiTheme="majorHAnsi" w:eastAsia="Calibri" w:hAnsiTheme="majorHAnsi" w:cs="Times New Roman"/>
          <w:sz w:val="22"/>
          <w:szCs w:val="22"/>
          <w:lang w:val="fr-CH"/>
        </w:rPr>
        <w:t xml:space="preserve">83 % des pays ayant signalé de telles initiatives au cours de la période triennale.  </w:t>
      </w:r>
      <w:r w:rsidR="004418A4">
        <w:rPr>
          <w:rFonts w:asciiTheme="majorHAnsi" w:eastAsia="Calibri" w:hAnsiTheme="majorHAnsi" w:cs="Times New Roman"/>
          <w:sz w:val="22"/>
          <w:szCs w:val="22"/>
          <w:lang w:val="fr-CH"/>
        </w:rPr>
        <w:t>Ces activités ont é</w:t>
      </w:r>
      <w:r w:rsidR="0091738A">
        <w:rPr>
          <w:rFonts w:asciiTheme="majorHAnsi" w:eastAsia="Calibri" w:hAnsiTheme="majorHAnsi" w:cs="Times New Roman"/>
          <w:sz w:val="22"/>
          <w:szCs w:val="22"/>
          <w:lang w:val="fr-CH"/>
        </w:rPr>
        <w:t xml:space="preserve">galement pris place </w:t>
      </w:r>
      <w:r w:rsidR="004418A4">
        <w:rPr>
          <w:rFonts w:asciiTheme="majorHAnsi" w:eastAsia="Calibri" w:hAnsiTheme="majorHAnsi" w:cs="Times New Roman"/>
          <w:sz w:val="22"/>
          <w:szCs w:val="22"/>
          <w:lang w:val="fr-CH"/>
        </w:rPr>
        <w:t xml:space="preserve">dans le cadre </w:t>
      </w:r>
      <w:r w:rsidRPr="002B4657">
        <w:rPr>
          <w:rFonts w:asciiTheme="majorHAnsi" w:eastAsia="Calibri" w:hAnsiTheme="majorHAnsi" w:cs="Times New Roman"/>
          <w:sz w:val="22"/>
          <w:szCs w:val="22"/>
          <w:lang w:val="fr-CH"/>
        </w:rPr>
        <w:t xml:space="preserve">d'autres journées internationales, </w:t>
      </w:r>
      <w:r w:rsidR="004418A4">
        <w:rPr>
          <w:rFonts w:asciiTheme="majorHAnsi" w:eastAsia="Calibri" w:hAnsiTheme="majorHAnsi" w:cs="Times New Roman"/>
          <w:sz w:val="22"/>
          <w:szCs w:val="22"/>
          <w:lang w:val="fr-CH"/>
        </w:rPr>
        <w:t>comme</w:t>
      </w:r>
      <w:r w:rsidRPr="002B4657">
        <w:rPr>
          <w:rFonts w:asciiTheme="majorHAnsi" w:eastAsia="Calibri" w:hAnsiTheme="majorHAnsi" w:cs="Times New Roman"/>
          <w:sz w:val="22"/>
          <w:szCs w:val="22"/>
          <w:lang w:val="fr-CH"/>
        </w:rPr>
        <w:t xml:space="preserve"> la Journée mondiale de l'environnement, la Journée mondiale de l'eau, la Journée mondiale des oiseaux migrateurs et la Journée mondi</w:t>
      </w:r>
      <w:r w:rsidR="004418A4">
        <w:rPr>
          <w:rFonts w:asciiTheme="majorHAnsi" w:eastAsia="Calibri" w:hAnsiTheme="majorHAnsi" w:cs="Times New Roman"/>
          <w:sz w:val="22"/>
          <w:szCs w:val="22"/>
          <w:lang w:val="fr-CH"/>
        </w:rPr>
        <w:t>ale des tortues</w:t>
      </w:r>
      <w:r w:rsidR="00C82F49">
        <w:rPr>
          <w:rFonts w:asciiTheme="majorHAnsi" w:eastAsia="Calibri" w:hAnsiTheme="majorHAnsi" w:cs="Times New Roman"/>
          <w:sz w:val="22"/>
          <w:szCs w:val="22"/>
          <w:lang w:val="fr-CH"/>
        </w:rPr>
        <w:t>,</w:t>
      </w:r>
      <w:r w:rsidR="004418A4">
        <w:rPr>
          <w:rFonts w:asciiTheme="majorHAnsi" w:eastAsia="Calibri" w:hAnsiTheme="majorHAnsi" w:cs="Times New Roman"/>
          <w:sz w:val="22"/>
          <w:szCs w:val="22"/>
          <w:lang w:val="fr-CH"/>
        </w:rPr>
        <w:t xml:space="preserve"> et </w:t>
      </w:r>
      <w:r w:rsidR="00C82F49">
        <w:rPr>
          <w:rFonts w:asciiTheme="majorHAnsi" w:eastAsia="Calibri" w:hAnsiTheme="majorHAnsi" w:cs="Times New Roman"/>
          <w:sz w:val="22"/>
          <w:szCs w:val="22"/>
          <w:lang w:val="fr-CH"/>
        </w:rPr>
        <w:t xml:space="preserve">elles </w:t>
      </w:r>
      <w:r w:rsidR="004418A4">
        <w:rPr>
          <w:rFonts w:asciiTheme="majorHAnsi" w:eastAsia="Calibri" w:hAnsiTheme="majorHAnsi" w:cs="Times New Roman"/>
          <w:sz w:val="22"/>
          <w:szCs w:val="22"/>
          <w:lang w:val="fr-CH"/>
        </w:rPr>
        <w:t xml:space="preserve">ont </w:t>
      </w:r>
      <w:r w:rsidR="00C82F49">
        <w:rPr>
          <w:rFonts w:asciiTheme="majorHAnsi" w:eastAsia="Calibri" w:hAnsiTheme="majorHAnsi" w:cs="Times New Roman"/>
          <w:sz w:val="22"/>
          <w:szCs w:val="22"/>
          <w:lang w:val="fr-CH"/>
        </w:rPr>
        <w:t xml:space="preserve">apporté un soutien à </w:t>
      </w:r>
      <w:r w:rsidRPr="002B4657">
        <w:rPr>
          <w:rFonts w:asciiTheme="majorHAnsi" w:eastAsia="Calibri" w:hAnsiTheme="majorHAnsi" w:cs="Times New Roman"/>
          <w:sz w:val="22"/>
          <w:szCs w:val="22"/>
          <w:lang w:val="fr-CH"/>
        </w:rPr>
        <w:t xml:space="preserve">des campagnes mondiales et </w:t>
      </w:r>
      <w:r w:rsidR="00C82F49">
        <w:rPr>
          <w:rFonts w:asciiTheme="majorHAnsi" w:eastAsia="Calibri" w:hAnsiTheme="majorHAnsi" w:cs="Times New Roman"/>
          <w:sz w:val="22"/>
          <w:szCs w:val="22"/>
          <w:lang w:val="fr-CH"/>
        </w:rPr>
        <w:t>attiré</w:t>
      </w:r>
      <w:r w:rsidRPr="002B4657">
        <w:rPr>
          <w:rFonts w:asciiTheme="majorHAnsi" w:eastAsia="Calibri" w:hAnsiTheme="majorHAnsi" w:cs="Times New Roman"/>
          <w:sz w:val="22"/>
          <w:szCs w:val="22"/>
          <w:lang w:val="fr-CH"/>
        </w:rPr>
        <w:t xml:space="preserve"> l'attention sur des situations nationales et locales</w:t>
      </w:r>
      <w:r w:rsidR="00C64326" w:rsidRPr="00BA22DE">
        <w:rPr>
          <w:rFonts w:asciiTheme="majorHAnsi" w:eastAsia="Calibri" w:hAnsiTheme="majorHAnsi" w:cs="Times New Roman"/>
          <w:sz w:val="22"/>
          <w:szCs w:val="22"/>
          <w:lang w:val="fr-CH"/>
        </w:rPr>
        <w:t xml:space="preserve">.  </w:t>
      </w:r>
    </w:p>
    <w:p w14:paraId="3F5EFB1B" w14:textId="6E29DC20" w:rsidR="00FE2EFB" w:rsidRDefault="004418A4" w:rsidP="004418A4">
      <w:pPr>
        <w:keepNext/>
        <w:numPr>
          <w:ilvl w:val="0"/>
          <w:numId w:val="17"/>
        </w:numPr>
        <w:spacing w:after="200"/>
        <w:contextualSpacing/>
        <w:rPr>
          <w:rFonts w:asciiTheme="majorHAnsi" w:eastAsia="Calibri" w:hAnsiTheme="majorHAnsi" w:cs="Times New Roman"/>
          <w:sz w:val="22"/>
          <w:szCs w:val="22"/>
          <w:lang w:val="fr-CH"/>
        </w:rPr>
      </w:pPr>
      <w:r w:rsidRPr="004418A4">
        <w:rPr>
          <w:rFonts w:asciiTheme="majorHAnsi" w:eastAsia="Calibri" w:hAnsiTheme="majorHAnsi" w:cs="Times New Roman"/>
          <w:sz w:val="22"/>
          <w:szCs w:val="22"/>
          <w:lang w:val="fr-CH"/>
        </w:rPr>
        <w:t xml:space="preserve">Les Parties contractantes entreprennent </w:t>
      </w:r>
      <w:r w:rsidR="00C82F49">
        <w:rPr>
          <w:rFonts w:asciiTheme="majorHAnsi" w:eastAsia="Calibri" w:hAnsiTheme="majorHAnsi" w:cs="Times New Roman"/>
          <w:sz w:val="22"/>
          <w:szCs w:val="22"/>
          <w:lang w:val="fr-CH"/>
        </w:rPr>
        <w:t xml:space="preserve">diverses </w:t>
      </w:r>
      <w:r w:rsidRPr="004418A4">
        <w:rPr>
          <w:rFonts w:asciiTheme="majorHAnsi" w:eastAsia="Calibri" w:hAnsiTheme="majorHAnsi" w:cs="Times New Roman"/>
          <w:sz w:val="22"/>
          <w:szCs w:val="22"/>
          <w:lang w:val="fr-CH"/>
        </w:rPr>
        <w:t xml:space="preserve">activités </w:t>
      </w:r>
      <w:r w:rsidR="00C82F49">
        <w:rPr>
          <w:rFonts w:asciiTheme="majorHAnsi" w:eastAsia="Calibri" w:hAnsiTheme="majorHAnsi" w:cs="Times New Roman"/>
          <w:sz w:val="22"/>
          <w:szCs w:val="22"/>
          <w:lang w:val="fr-CH"/>
        </w:rPr>
        <w:t>qui permettent d’</w:t>
      </w:r>
      <w:r w:rsidRPr="004418A4">
        <w:rPr>
          <w:rFonts w:asciiTheme="majorHAnsi" w:eastAsia="Calibri" w:hAnsiTheme="majorHAnsi" w:cs="Times New Roman"/>
          <w:sz w:val="22"/>
          <w:szCs w:val="22"/>
          <w:lang w:val="fr-CH"/>
        </w:rPr>
        <w:t>engager et</w:t>
      </w:r>
      <w:r w:rsidR="00C82F49">
        <w:rPr>
          <w:rFonts w:asciiTheme="majorHAnsi" w:eastAsia="Calibri" w:hAnsiTheme="majorHAnsi" w:cs="Times New Roman"/>
          <w:sz w:val="22"/>
          <w:szCs w:val="22"/>
          <w:lang w:val="fr-CH"/>
        </w:rPr>
        <w:t xml:space="preserve"> de</w:t>
      </w:r>
      <w:r w:rsidRPr="004418A4">
        <w:rPr>
          <w:rFonts w:asciiTheme="majorHAnsi" w:eastAsia="Calibri" w:hAnsiTheme="majorHAnsi" w:cs="Times New Roman"/>
          <w:sz w:val="22"/>
          <w:szCs w:val="22"/>
          <w:lang w:val="fr-CH"/>
        </w:rPr>
        <w:t xml:space="preserve"> renforcer </w:t>
      </w:r>
      <w:r w:rsidR="00C82F49">
        <w:rPr>
          <w:rFonts w:asciiTheme="majorHAnsi" w:eastAsia="Calibri" w:hAnsiTheme="majorHAnsi" w:cs="Times New Roman"/>
          <w:sz w:val="22"/>
          <w:szCs w:val="22"/>
          <w:lang w:val="fr-CH"/>
        </w:rPr>
        <w:t xml:space="preserve">efficacement </w:t>
      </w:r>
      <w:r w:rsidRPr="004418A4">
        <w:rPr>
          <w:rFonts w:asciiTheme="majorHAnsi" w:eastAsia="Calibri" w:hAnsiTheme="majorHAnsi" w:cs="Times New Roman"/>
          <w:sz w:val="22"/>
          <w:szCs w:val="22"/>
          <w:lang w:val="fr-CH"/>
        </w:rPr>
        <w:t>les capacités d'un large éventail d'acteurs et de secteu</w:t>
      </w:r>
      <w:r w:rsidR="00E95FA1">
        <w:rPr>
          <w:rFonts w:asciiTheme="majorHAnsi" w:eastAsia="Calibri" w:hAnsiTheme="majorHAnsi" w:cs="Times New Roman"/>
          <w:sz w:val="22"/>
          <w:szCs w:val="22"/>
          <w:lang w:val="fr-CH"/>
        </w:rPr>
        <w:t>rs.  Des exemples figurent à l'A</w:t>
      </w:r>
      <w:r w:rsidRPr="004418A4">
        <w:rPr>
          <w:rFonts w:asciiTheme="majorHAnsi" w:eastAsia="Calibri" w:hAnsiTheme="majorHAnsi" w:cs="Times New Roman"/>
          <w:sz w:val="22"/>
          <w:szCs w:val="22"/>
          <w:lang w:val="fr-CH"/>
        </w:rPr>
        <w:t>nnexe A.</w:t>
      </w:r>
    </w:p>
    <w:p w14:paraId="6D09D0EC" w14:textId="514314AD" w:rsidR="00C64326" w:rsidRPr="00BA22DE" w:rsidRDefault="00FE2EFB" w:rsidP="00FE2EFB">
      <w:pPr>
        <w:keepNext/>
        <w:numPr>
          <w:ilvl w:val="0"/>
          <w:numId w:val="17"/>
        </w:numPr>
        <w:spacing w:after="200"/>
        <w:contextualSpacing/>
        <w:rPr>
          <w:rFonts w:asciiTheme="majorHAnsi" w:eastAsia="Calibri" w:hAnsiTheme="majorHAnsi" w:cs="Times New Roman"/>
          <w:sz w:val="22"/>
          <w:szCs w:val="22"/>
          <w:lang w:val="fr-CH"/>
        </w:rPr>
      </w:pPr>
      <w:r w:rsidRPr="00FE2EFB">
        <w:rPr>
          <w:rFonts w:asciiTheme="majorHAnsi" w:eastAsia="Calibri" w:hAnsiTheme="majorHAnsi" w:cs="Times New Roman"/>
          <w:sz w:val="22"/>
          <w:szCs w:val="22"/>
          <w:lang w:val="fr-CH"/>
        </w:rPr>
        <w:t xml:space="preserve">Le Secrétariat a poursuivi ses activités de communication par le biais des </w:t>
      </w:r>
      <w:r>
        <w:rPr>
          <w:rFonts w:asciiTheme="majorHAnsi" w:eastAsia="Calibri" w:hAnsiTheme="majorHAnsi" w:cs="Times New Roman"/>
          <w:sz w:val="22"/>
          <w:szCs w:val="22"/>
          <w:lang w:val="fr-CH"/>
        </w:rPr>
        <w:t xml:space="preserve">réseaux </w:t>
      </w:r>
      <w:r w:rsidRPr="00FE2EFB">
        <w:rPr>
          <w:rFonts w:asciiTheme="majorHAnsi" w:eastAsia="Calibri" w:hAnsiTheme="majorHAnsi" w:cs="Times New Roman"/>
          <w:sz w:val="22"/>
          <w:szCs w:val="22"/>
          <w:lang w:val="fr-CH"/>
        </w:rPr>
        <w:t xml:space="preserve">sociaux (Twitter, Facebook et Instagram) avec une augmentation de 30 % de son engagement au cours de l'année </w:t>
      </w:r>
      <w:r w:rsidR="00C82F49">
        <w:rPr>
          <w:rFonts w:asciiTheme="majorHAnsi" w:eastAsia="Calibri" w:hAnsiTheme="majorHAnsi" w:cs="Times New Roman"/>
          <w:sz w:val="22"/>
          <w:szCs w:val="22"/>
          <w:lang w:val="fr-CH"/>
        </w:rPr>
        <w:t xml:space="preserve">qui </w:t>
      </w:r>
      <w:r w:rsidRPr="00FE2EFB">
        <w:rPr>
          <w:rFonts w:asciiTheme="majorHAnsi" w:eastAsia="Calibri" w:hAnsiTheme="majorHAnsi" w:cs="Times New Roman"/>
          <w:sz w:val="22"/>
          <w:szCs w:val="22"/>
          <w:lang w:val="fr-CH"/>
        </w:rPr>
        <w:t>s</w:t>
      </w:r>
      <w:r>
        <w:rPr>
          <w:rFonts w:asciiTheme="majorHAnsi" w:eastAsia="Calibri" w:hAnsiTheme="majorHAnsi" w:cs="Times New Roman"/>
          <w:sz w:val="22"/>
          <w:szCs w:val="22"/>
          <w:lang w:val="fr-CH"/>
        </w:rPr>
        <w:t>’</w:t>
      </w:r>
      <w:r w:rsidR="00C82F49">
        <w:rPr>
          <w:rFonts w:asciiTheme="majorHAnsi" w:eastAsia="Calibri" w:hAnsiTheme="majorHAnsi" w:cs="Times New Roman"/>
          <w:sz w:val="22"/>
          <w:szCs w:val="22"/>
          <w:lang w:val="fr-CH"/>
        </w:rPr>
        <w:t xml:space="preserve">est </w:t>
      </w:r>
      <w:r>
        <w:rPr>
          <w:rFonts w:asciiTheme="majorHAnsi" w:eastAsia="Calibri" w:hAnsiTheme="majorHAnsi" w:cs="Times New Roman"/>
          <w:sz w:val="22"/>
          <w:szCs w:val="22"/>
          <w:lang w:val="fr-CH"/>
        </w:rPr>
        <w:t>achev</w:t>
      </w:r>
      <w:r w:rsidR="00C82F49">
        <w:rPr>
          <w:rFonts w:asciiTheme="majorHAnsi" w:eastAsia="Calibri" w:hAnsiTheme="majorHAnsi" w:cs="Times New Roman"/>
          <w:sz w:val="22"/>
          <w:szCs w:val="22"/>
          <w:lang w:val="fr-CH"/>
        </w:rPr>
        <w:t>ée</w:t>
      </w:r>
      <w:r>
        <w:rPr>
          <w:rFonts w:asciiTheme="majorHAnsi" w:eastAsia="Calibri" w:hAnsiTheme="majorHAnsi" w:cs="Times New Roman"/>
          <w:sz w:val="22"/>
          <w:szCs w:val="22"/>
          <w:lang w:val="fr-CH"/>
        </w:rPr>
        <w:t xml:space="preserve"> </w:t>
      </w:r>
      <w:r w:rsidRPr="00FE2EFB">
        <w:rPr>
          <w:rFonts w:asciiTheme="majorHAnsi" w:eastAsia="Calibri" w:hAnsiTheme="majorHAnsi" w:cs="Times New Roman"/>
          <w:sz w:val="22"/>
          <w:szCs w:val="22"/>
          <w:lang w:val="fr-CH"/>
        </w:rPr>
        <w:t xml:space="preserve">en avril </w:t>
      </w:r>
      <w:r w:rsidR="00C64326" w:rsidRPr="00BA22DE">
        <w:rPr>
          <w:rFonts w:asciiTheme="majorHAnsi" w:eastAsia="Calibri" w:hAnsiTheme="majorHAnsi" w:cs="Times New Roman"/>
          <w:sz w:val="22"/>
          <w:szCs w:val="22"/>
          <w:lang w:val="fr-CH"/>
        </w:rPr>
        <w:t>2018.</w:t>
      </w:r>
    </w:p>
    <w:p w14:paraId="61580644" w14:textId="77777777" w:rsidR="00EC7A4B" w:rsidRPr="00BA22DE" w:rsidRDefault="00EC7A4B" w:rsidP="00EC7A4B">
      <w:pPr>
        <w:spacing w:after="200"/>
        <w:contextualSpacing/>
        <w:rPr>
          <w:rFonts w:asciiTheme="majorHAnsi" w:eastAsia="Calibri" w:hAnsiTheme="majorHAnsi" w:cs="Times New Roman"/>
          <w:sz w:val="22"/>
          <w:szCs w:val="22"/>
          <w:lang w:val="fr-CH"/>
        </w:rPr>
      </w:pPr>
    </w:p>
    <w:p w14:paraId="2CA0E64C" w14:textId="2C53BF32" w:rsidR="00C64326" w:rsidRPr="00805C19" w:rsidRDefault="00FE2EFB" w:rsidP="00FE2EFB">
      <w:pPr>
        <w:keepNext/>
        <w:spacing w:after="200"/>
        <w:rPr>
          <w:rFonts w:asciiTheme="majorHAnsi" w:eastAsia="Calibri" w:hAnsiTheme="majorHAnsi"/>
          <w:i/>
          <w:sz w:val="22"/>
          <w:szCs w:val="22"/>
          <w:lang w:val="fr-FR"/>
        </w:rPr>
      </w:pPr>
      <w:r>
        <w:rPr>
          <w:rFonts w:asciiTheme="majorHAnsi" w:eastAsia="Calibri" w:hAnsiTheme="majorHAnsi" w:cs="Times New Roman"/>
          <w:i/>
          <w:sz w:val="22"/>
          <w:szCs w:val="22"/>
          <w:lang w:val="fr-CH"/>
        </w:rPr>
        <w:t>But</w:t>
      </w:r>
      <w:r w:rsidR="00C64326" w:rsidRPr="00BA22DE">
        <w:rPr>
          <w:rFonts w:asciiTheme="majorHAnsi" w:eastAsia="Calibri" w:hAnsiTheme="majorHAnsi" w:cs="Times New Roman"/>
          <w:i/>
          <w:sz w:val="22"/>
          <w:szCs w:val="22"/>
          <w:lang w:val="fr-CH"/>
        </w:rPr>
        <w:t xml:space="preserve"> 7 – </w:t>
      </w:r>
      <w:r w:rsidRPr="00FE2EFB">
        <w:rPr>
          <w:rFonts w:asciiTheme="majorHAnsi" w:eastAsia="Calibri" w:hAnsiTheme="majorHAnsi"/>
          <w:i/>
          <w:sz w:val="22"/>
          <w:szCs w:val="22"/>
          <w:lang w:val="fr-CH"/>
        </w:rPr>
        <w:t xml:space="preserve">Centres d’éducation sur les zones humides </w:t>
      </w:r>
    </w:p>
    <w:p w14:paraId="33AFAF20" w14:textId="3F605FBC" w:rsidR="00C64326" w:rsidRPr="00BA22DE" w:rsidRDefault="00FE2EFB" w:rsidP="00FE2EFB">
      <w:pPr>
        <w:numPr>
          <w:ilvl w:val="0"/>
          <w:numId w:val="17"/>
        </w:numPr>
        <w:spacing w:after="200"/>
        <w:contextualSpacing/>
        <w:rPr>
          <w:rFonts w:asciiTheme="majorHAnsi" w:eastAsia="Calibri" w:hAnsiTheme="majorHAnsi" w:cs="Times New Roman"/>
          <w:sz w:val="22"/>
          <w:szCs w:val="22"/>
          <w:lang w:val="fr-CH"/>
        </w:rPr>
      </w:pPr>
      <w:r w:rsidRPr="00FE2EFB">
        <w:rPr>
          <w:rFonts w:asciiTheme="majorHAnsi" w:eastAsia="Calibri" w:hAnsiTheme="majorHAnsi" w:cs="Times New Roman"/>
          <w:sz w:val="22"/>
          <w:szCs w:val="22"/>
          <w:lang w:val="fr-CH"/>
        </w:rPr>
        <w:t>En 2016, Wetland Link International (WLI) a entrepris une enquête auprès des centres d'éducation aux zones humides, et une base de donnée</w:t>
      </w:r>
      <w:r w:rsidR="00B8224A">
        <w:rPr>
          <w:rFonts w:asciiTheme="majorHAnsi" w:eastAsia="Calibri" w:hAnsiTheme="majorHAnsi" w:cs="Times New Roman"/>
          <w:sz w:val="22"/>
          <w:szCs w:val="22"/>
          <w:lang w:val="fr-CH"/>
        </w:rPr>
        <w:t>s sur l</w:t>
      </w:r>
      <w:r w:rsidRPr="00FE2EFB">
        <w:rPr>
          <w:rFonts w:asciiTheme="majorHAnsi" w:eastAsia="Calibri" w:hAnsiTheme="majorHAnsi" w:cs="Times New Roman"/>
          <w:sz w:val="22"/>
          <w:szCs w:val="22"/>
          <w:lang w:val="fr-CH"/>
        </w:rPr>
        <w:t>es centres a été publiée en ligne</w:t>
      </w:r>
      <w:r w:rsidR="00C64326" w:rsidRPr="00BA22DE">
        <w:rPr>
          <w:rFonts w:asciiTheme="majorHAnsi" w:eastAsia="Calibri" w:hAnsiTheme="majorHAnsi" w:cs="Times New Roman"/>
          <w:sz w:val="22"/>
          <w:szCs w:val="22"/>
          <w:lang w:val="fr-CH"/>
        </w:rPr>
        <w:t>.</w:t>
      </w:r>
    </w:p>
    <w:p w14:paraId="75DE3D55" w14:textId="2DC318E4" w:rsidR="00C64326" w:rsidRPr="00BA22DE" w:rsidRDefault="00680240" w:rsidP="00680240">
      <w:pPr>
        <w:numPr>
          <w:ilvl w:val="0"/>
          <w:numId w:val="17"/>
        </w:numPr>
        <w:spacing w:after="200"/>
        <w:contextualSpacing/>
        <w:rPr>
          <w:rFonts w:asciiTheme="majorHAnsi" w:eastAsia="Calibri" w:hAnsiTheme="majorHAnsi" w:cs="Times New Roman"/>
          <w:sz w:val="22"/>
          <w:szCs w:val="22"/>
          <w:lang w:val="fr-CH"/>
        </w:rPr>
      </w:pPr>
      <w:r w:rsidRPr="00680240">
        <w:rPr>
          <w:rFonts w:asciiTheme="majorHAnsi" w:eastAsia="Calibri" w:hAnsiTheme="majorHAnsi" w:cs="Times New Roman"/>
          <w:sz w:val="22"/>
          <w:szCs w:val="22"/>
          <w:lang w:val="fr-CH"/>
        </w:rPr>
        <w:t xml:space="preserve">Le réseau de centres de WLI a </w:t>
      </w:r>
      <w:r>
        <w:rPr>
          <w:rFonts w:asciiTheme="majorHAnsi" w:eastAsia="Calibri" w:hAnsiTheme="majorHAnsi" w:cs="Times New Roman"/>
          <w:sz w:val="22"/>
          <w:szCs w:val="22"/>
          <w:lang w:val="fr-CH"/>
        </w:rPr>
        <w:t>permis de</w:t>
      </w:r>
      <w:r w:rsidRPr="00680240">
        <w:rPr>
          <w:rFonts w:asciiTheme="majorHAnsi" w:eastAsia="Calibri" w:hAnsiTheme="majorHAnsi" w:cs="Times New Roman"/>
          <w:sz w:val="22"/>
          <w:szCs w:val="22"/>
          <w:lang w:val="fr-CH"/>
        </w:rPr>
        <w:t xml:space="preserve"> relier </w:t>
      </w:r>
      <w:r>
        <w:rPr>
          <w:rFonts w:asciiTheme="majorHAnsi" w:eastAsia="Calibri" w:hAnsiTheme="majorHAnsi" w:cs="Times New Roman"/>
          <w:sz w:val="22"/>
          <w:szCs w:val="22"/>
          <w:lang w:val="fr-CH"/>
        </w:rPr>
        <w:t xml:space="preserve">efficacement </w:t>
      </w:r>
      <w:r w:rsidRPr="00680240">
        <w:rPr>
          <w:rFonts w:asciiTheme="majorHAnsi" w:eastAsia="Calibri" w:hAnsiTheme="majorHAnsi" w:cs="Times New Roman"/>
          <w:sz w:val="22"/>
          <w:szCs w:val="22"/>
          <w:lang w:val="fr-CH"/>
        </w:rPr>
        <w:t xml:space="preserve">les centres et </w:t>
      </w:r>
      <w:r w:rsidR="00C82F49">
        <w:rPr>
          <w:rFonts w:asciiTheme="majorHAnsi" w:eastAsia="Calibri" w:hAnsiTheme="majorHAnsi" w:cs="Times New Roman"/>
          <w:sz w:val="22"/>
          <w:szCs w:val="22"/>
          <w:lang w:val="fr-CH"/>
        </w:rPr>
        <w:t>donne l’</w:t>
      </w:r>
      <w:r w:rsidRPr="00680240">
        <w:rPr>
          <w:rFonts w:asciiTheme="majorHAnsi" w:eastAsia="Calibri" w:hAnsiTheme="majorHAnsi" w:cs="Times New Roman"/>
          <w:sz w:val="22"/>
          <w:szCs w:val="22"/>
          <w:lang w:val="fr-CH"/>
        </w:rPr>
        <w:t>occasion de partager des expériences, d</w:t>
      </w:r>
      <w:r>
        <w:rPr>
          <w:rFonts w:asciiTheme="majorHAnsi" w:eastAsia="Calibri" w:hAnsiTheme="majorHAnsi" w:cs="Times New Roman"/>
          <w:sz w:val="22"/>
          <w:szCs w:val="22"/>
          <w:lang w:val="fr-CH"/>
        </w:rPr>
        <w:t xml:space="preserve">e la documentation </w:t>
      </w:r>
      <w:r w:rsidRPr="00680240">
        <w:rPr>
          <w:rFonts w:asciiTheme="majorHAnsi" w:eastAsia="Calibri" w:hAnsiTheme="majorHAnsi" w:cs="Times New Roman"/>
          <w:sz w:val="22"/>
          <w:szCs w:val="22"/>
          <w:lang w:val="fr-CH"/>
        </w:rPr>
        <w:t>et des idées novatrices en matière d'éducation et d'engagement.  WLI compte plus de 300 centres membres et a établi plusieurs réseaux régionaux</w:t>
      </w:r>
      <w:r w:rsidR="00C64326" w:rsidRPr="00BA22DE">
        <w:rPr>
          <w:rFonts w:asciiTheme="majorHAnsi" w:eastAsia="Calibri" w:hAnsiTheme="majorHAnsi" w:cs="Times New Roman"/>
          <w:sz w:val="22"/>
          <w:szCs w:val="22"/>
          <w:lang w:val="fr-CH"/>
        </w:rPr>
        <w:t>.</w:t>
      </w:r>
    </w:p>
    <w:p w14:paraId="69E3D67E" w14:textId="767CD023" w:rsidR="00C64326" w:rsidRPr="00BA22DE" w:rsidRDefault="00680240" w:rsidP="00680240">
      <w:pPr>
        <w:numPr>
          <w:ilvl w:val="0"/>
          <w:numId w:val="17"/>
        </w:numPr>
        <w:spacing w:after="200"/>
        <w:contextualSpacing/>
        <w:rPr>
          <w:rFonts w:asciiTheme="majorHAnsi" w:eastAsia="Calibri" w:hAnsiTheme="majorHAnsi" w:cs="Times New Roman"/>
          <w:sz w:val="22"/>
          <w:szCs w:val="22"/>
          <w:lang w:val="fr-CH"/>
        </w:rPr>
      </w:pPr>
      <w:r w:rsidRPr="00680240">
        <w:rPr>
          <w:rFonts w:asciiTheme="majorHAnsi" w:eastAsia="Calibri" w:hAnsiTheme="majorHAnsi" w:cs="Times New Roman"/>
          <w:sz w:val="22"/>
          <w:szCs w:val="22"/>
          <w:lang w:val="fr-CH"/>
        </w:rPr>
        <w:t>Les centres d'éducation aux zones humides ont entrepris diverses activités dans le cadre de la Journée mondiale des zones humides et d</w:t>
      </w:r>
      <w:r w:rsidR="00C82F49">
        <w:rPr>
          <w:rFonts w:asciiTheme="majorHAnsi" w:eastAsia="Calibri" w:hAnsiTheme="majorHAnsi" w:cs="Times New Roman"/>
          <w:sz w:val="22"/>
          <w:szCs w:val="22"/>
          <w:lang w:val="fr-CH"/>
        </w:rPr>
        <w:t>es</w:t>
      </w:r>
      <w:r w:rsidRPr="00680240">
        <w:rPr>
          <w:rFonts w:asciiTheme="majorHAnsi" w:eastAsia="Calibri" w:hAnsiTheme="majorHAnsi" w:cs="Times New Roman"/>
          <w:sz w:val="22"/>
          <w:szCs w:val="22"/>
          <w:lang w:val="fr-CH"/>
        </w:rPr>
        <w:t xml:space="preserve"> </w:t>
      </w:r>
      <w:r w:rsidR="00C82F49">
        <w:rPr>
          <w:rFonts w:asciiTheme="majorHAnsi" w:eastAsia="Calibri" w:hAnsiTheme="majorHAnsi" w:cs="Times New Roman"/>
          <w:sz w:val="22"/>
          <w:szCs w:val="22"/>
          <w:lang w:val="fr-CH"/>
        </w:rPr>
        <w:t>manifestations</w:t>
      </w:r>
      <w:r w:rsidRPr="00680240">
        <w:rPr>
          <w:rFonts w:asciiTheme="majorHAnsi" w:eastAsia="Calibri" w:hAnsiTheme="majorHAnsi" w:cs="Times New Roman"/>
          <w:sz w:val="22"/>
          <w:szCs w:val="22"/>
          <w:lang w:val="fr-CH"/>
        </w:rPr>
        <w:t xml:space="preserve"> </w:t>
      </w:r>
      <w:r w:rsidR="00C82F49">
        <w:rPr>
          <w:rFonts w:asciiTheme="majorHAnsi" w:eastAsia="Calibri" w:hAnsiTheme="majorHAnsi" w:cs="Times New Roman"/>
          <w:sz w:val="22"/>
          <w:szCs w:val="22"/>
          <w:lang w:val="fr-CH"/>
        </w:rPr>
        <w:t>ayant pour but de</w:t>
      </w:r>
      <w:r w:rsidRPr="00680240">
        <w:rPr>
          <w:rFonts w:asciiTheme="majorHAnsi" w:eastAsia="Calibri" w:hAnsiTheme="majorHAnsi" w:cs="Times New Roman"/>
          <w:sz w:val="22"/>
          <w:szCs w:val="22"/>
          <w:lang w:val="fr-CH"/>
        </w:rPr>
        <w:t xml:space="preserve"> </w:t>
      </w:r>
      <w:r w:rsidR="00262249">
        <w:rPr>
          <w:rFonts w:asciiTheme="majorHAnsi" w:eastAsia="Calibri" w:hAnsiTheme="majorHAnsi" w:cs="Times New Roman"/>
          <w:sz w:val="22"/>
          <w:szCs w:val="22"/>
          <w:lang w:val="fr-CH"/>
        </w:rPr>
        <w:t>faire participer le</w:t>
      </w:r>
      <w:r w:rsidRPr="00680240">
        <w:rPr>
          <w:rFonts w:asciiTheme="majorHAnsi" w:eastAsia="Calibri" w:hAnsiTheme="majorHAnsi" w:cs="Times New Roman"/>
          <w:sz w:val="22"/>
          <w:szCs w:val="22"/>
          <w:lang w:val="fr-CH"/>
        </w:rPr>
        <w:t>s communautés loca</w:t>
      </w:r>
      <w:r w:rsidR="00262249">
        <w:rPr>
          <w:rFonts w:asciiTheme="majorHAnsi" w:eastAsia="Calibri" w:hAnsiTheme="majorHAnsi" w:cs="Times New Roman"/>
          <w:sz w:val="22"/>
          <w:szCs w:val="22"/>
          <w:lang w:val="fr-CH"/>
        </w:rPr>
        <w:t xml:space="preserve">les. </w:t>
      </w:r>
      <w:r w:rsidRPr="00680240">
        <w:rPr>
          <w:rFonts w:asciiTheme="majorHAnsi" w:eastAsia="Calibri" w:hAnsiTheme="majorHAnsi" w:cs="Times New Roman"/>
          <w:sz w:val="22"/>
          <w:szCs w:val="22"/>
          <w:lang w:val="fr-CH"/>
        </w:rPr>
        <w:t xml:space="preserve">Les détails de </w:t>
      </w:r>
      <w:r w:rsidR="00C82F49">
        <w:rPr>
          <w:rFonts w:asciiTheme="majorHAnsi" w:eastAsia="Calibri" w:hAnsiTheme="majorHAnsi" w:cs="Times New Roman"/>
          <w:sz w:val="22"/>
          <w:szCs w:val="22"/>
          <w:lang w:val="fr-CH"/>
        </w:rPr>
        <w:t xml:space="preserve">plusieurs </w:t>
      </w:r>
      <w:r w:rsidRPr="00680240">
        <w:rPr>
          <w:rFonts w:asciiTheme="majorHAnsi" w:eastAsia="Calibri" w:hAnsiTheme="majorHAnsi" w:cs="Times New Roman"/>
          <w:sz w:val="22"/>
          <w:szCs w:val="22"/>
          <w:lang w:val="fr-CH"/>
        </w:rPr>
        <w:t>de ces manifestations ont été téléchargés sur la carte en ligne du Secrétariat et da</w:t>
      </w:r>
      <w:r w:rsidR="00262249">
        <w:rPr>
          <w:rFonts w:asciiTheme="majorHAnsi" w:eastAsia="Calibri" w:hAnsiTheme="majorHAnsi" w:cs="Times New Roman"/>
          <w:sz w:val="22"/>
          <w:szCs w:val="22"/>
          <w:lang w:val="fr-CH"/>
        </w:rPr>
        <w:t>ns le registre des manifestations</w:t>
      </w:r>
      <w:r w:rsidR="00C64326" w:rsidRPr="00BA22DE">
        <w:rPr>
          <w:rFonts w:asciiTheme="majorHAnsi" w:eastAsia="Calibri" w:hAnsiTheme="majorHAnsi" w:cs="Times New Roman"/>
          <w:sz w:val="22"/>
          <w:szCs w:val="22"/>
          <w:lang w:val="fr-CH"/>
        </w:rPr>
        <w:t>.</w:t>
      </w:r>
    </w:p>
    <w:p w14:paraId="6A7CD9FA" w14:textId="77777777" w:rsidR="00723164" w:rsidRPr="00BA22DE" w:rsidRDefault="00723164" w:rsidP="00723164">
      <w:pPr>
        <w:spacing w:after="200"/>
        <w:contextualSpacing/>
        <w:rPr>
          <w:rFonts w:asciiTheme="majorHAnsi" w:eastAsia="Calibri" w:hAnsiTheme="majorHAnsi" w:cs="Times New Roman"/>
          <w:sz w:val="22"/>
          <w:szCs w:val="22"/>
          <w:lang w:val="fr-CH"/>
        </w:rPr>
      </w:pPr>
    </w:p>
    <w:p w14:paraId="64A8A046" w14:textId="44E64647" w:rsidR="00C64326" w:rsidRPr="00BA22DE" w:rsidRDefault="00262249" w:rsidP="004C3670">
      <w:pPr>
        <w:keepNext/>
        <w:spacing w:after="200"/>
        <w:rPr>
          <w:rFonts w:asciiTheme="majorHAnsi" w:eastAsia="Calibri" w:hAnsiTheme="majorHAnsi" w:cs="Times New Roman"/>
          <w:i/>
          <w:sz w:val="22"/>
          <w:szCs w:val="22"/>
          <w:lang w:val="fr-CH"/>
        </w:rPr>
      </w:pPr>
      <w:r>
        <w:rPr>
          <w:rFonts w:asciiTheme="majorHAnsi" w:eastAsia="Calibri" w:hAnsiTheme="majorHAnsi" w:cs="Times New Roman"/>
          <w:i/>
          <w:sz w:val="22"/>
          <w:szCs w:val="22"/>
          <w:lang w:val="fr-CH"/>
        </w:rPr>
        <w:t>But</w:t>
      </w:r>
      <w:r w:rsidR="00C64326" w:rsidRPr="00BA22DE">
        <w:rPr>
          <w:rFonts w:asciiTheme="majorHAnsi" w:eastAsia="Calibri" w:hAnsiTheme="majorHAnsi" w:cs="Times New Roman"/>
          <w:i/>
          <w:sz w:val="22"/>
          <w:szCs w:val="22"/>
          <w:lang w:val="fr-CH"/>
        </w:rPr>
        <w:t xml:space="preserve"> 8 – </w:t>
      </w:r>
      <w:r>
        <w:rPr>
          <w:rFonts w:asciiTheme="majorHAnsi" w:eastAsia="Calibri" w:hAnsiTheme="majorHAnsi" w:cs="Times New Roman"/>
          <w:i/>
          <w:sz w:val="22"/>
          <w:szCs w:val="22"/>
          <w:lang w:val="fr-CH"/>
        </w:rPr>
        <w:t>Matériel pédagogique</w:t>
      </w:r>
    </w:p>
    <w:p w14:paraId="34198AFA" w14:textId="28C59AE0" w:rsidR="00C64326" w:rsidRPr="00BA22DE" w:rsidRDefault="00262249" w:rsidP="00262249">
      <w:pPr>
        <w:numPr>
          <w:ilvl w:val="0"/>
          <w:numId w:val="19"/>
        </w:numPr>
        <w:spacing w:after="200"/>
        <w:contextualSpacing/>
        <w:rPr>
          <w:rFonts w:asciiTheme="majorHAnsi" w:eastAsia="Calibri" w:hAnsiTheme="majorHAnsi" w:cs="Times New Roman"/>
          <w:sz w:val="22"/>
          <w:szCs w:val="22"/>
          <w:lang w:val="fr-CH"/>
        </w:rPr>
      </w:pPr>
      <w:r w:rsidRPr="00262249">
        <w:rPr>
          <w:rFonts w:asciiTheme="majorHAnsi" w:eastAsia="Calibri" w:hAnsiTheme="majorHAnsi" w:cs="Times New Roman"/>
          <w:sz w:val="22"/>
          <w:szCs w:val="22"/>
          <w:lang w:val="fr-CH"/>
        </w:rPr>
        <w:t xml:space="preserve">Au cours de la période triennale, </w:t>
      </w:r>
      <w:r>
        <w:rPr>
          <w:rFonts w:asciiTheme="majorHAnsi" w:eastAsia="Calibri" w:hAnsiTheme="majorHAnsi" w:cs="Times New Roman"/>
          <w:sz w:val="22"/>
          <w:szCs w:val="22"/>
          <w:lang w:val="fr-CH"/>
        </w:rPr>
        <w:t xml:space="preserve">au nombre </w:t>
      </w:r>
      <w:r w:rsidR="006D0232" w:rsidRPr="00262249">
        <w:rPr>
          <w:rFonts w:asciiTheme="majorHAnsi" w:eastAsia="Calibri" w:hAnsiTheme="majorHAnsi" w:cs="Times New Roman"/>
          <w:sz w:val="22"/>
          <w:szCs w:val="22"/>
          <w:lang w:val="fr-CH"/>
        </w:rPr>
        <w:t>des</w:t>
      </w:r>
      <w:r w:rsidRPr="00262249">
        <w:rPr>
          <w:rFonts w:asciiTheme="majorHAnsi" w:eastAsia="Calibri" w:hAnsiTheme="majorHAnsi" w:cs="Times New Roman"/>
          <w:sz w:val="22"/>
          <w:szCs w:val="22"/>
          <w:lang w:val="fr-CH"/>
        </w:rPr>
        <w:t xml:space="preserve"> publications Ramsar </w:t>
      </w:r>
      <w:r>
        <w:rPr>
          <w:rFonts w:asciiTheme="majorHAnsi" w:eastAsia="Calibri" w:hAnsiTheme="majorHAnsi" w:cs="Times New Roman"/>
          <w:sz w:val="22"/>
          <w:szCs w:val="22"/>
          <w:lang w:val="fr-CH"/>
        </w:rPr>
        <w:t>on peut citer :</w:t>
      </w:r>
    </w:p>
    <w:p w14:paraId="221A782D" w14:textId="3181A5DD" w:rsidR="00E57057" w:rsidRDefault="00262249" w:rsidP="00262249">
      <w:pPr>
        <w:numPr>
          <w:ilvl w:val="1"/>
          <w:numId w:val="19"/>
        </w:numPr>
        <w:spacing w:after="200"/>
        <w:contextualSpacing/>
        <w:rPr>
          <w:rFonts w:asciiTheme="majorHAnsi" w:eastAsia="Calibri" w:hAnsiTheme="majorHAnsi" w:cs="Times New Roman"/>
          <w:sz w:val="22"/>
          <w:szCs w:val="22"/>
          <w:lang w:val="fr-CH"/>
        </w:rPr>
      </w:pPr>
      <w:r w:rsidRPr="00262249">
        <w:rPr>
          <w:rFonts w:asciiTheme="majorHAnsi" w:eastAsia="Calibri" w:hAnsiTheme="majorHAnsi" w:cs="Times New Roman"/>
          <w:sz w:val="22"/>
          <w:szCs w:val="22"/>
          <w:lang w:val="fr-CH"/>
        </w:rPr>
        <w:t>Une affiche sur le Plan stratégique Ramsar 2016-2024 (2016)</w:t>
      </w:r>
      <w:r w:rsidR="00E57057">
        <w:rPr>
          <w:rFonts w:asciiTheme="majorHAnsi" w:eastAsia="Calibri" w:hAnsiTheme="majorHAnsi" w:cs="Times New Roman"/>
          <w:sz w:val="22"/>
          <w:szCs w:val="22"/>
          <w:lang w:val="fr-CH"/>
        </w:rPr>
        <w:t> ;</w:t>
      </w:r>
    </w:p>
    <w:p w14:paraId="2AB2EC4C" w14:textId="1C683A9C" w:rsidR="00C64326" w:rsidRPr="00E57057" w:rsidRDefault="00E57057" w:rsidP="00CF2EE6">
      <w:pPr>
        <w:numPr>
          <w:ilvl w:val="1"/>
          <w:numId w:val="19"/>
        </w:numPr>
        <w:spacing w:after="200"/>
        <w:contextualSpacing/>
        <w:rPr>
          <w:rFonts w:asciiTheme="majorHAnsi" w:eastAsia="Calibri" w:hAnsiTheme="majorHAnsi" w:cs="Times New Roman"/>
          <w:sz w:val="22"/>
          <w:szCs w:val="22"/>
          <w:lang w:val="fr-CH"/>
        </w:rPr>
      </w:pPr>
      <w:r>
        <w:rPr>
          <w:rFonts w:asciiTheme="majorHAnsi" w:eastAsia="Calibri" w:hAnsiTheme="majorHAnsi" w:cs="Times New Roman"/>
          <w:sz w:val="22"/>
          <w:szCs w:val="22"/>
          <w:lang w:val="fr-CH"/>
        </w:rPr>
        <w:t xml:space="preserve">La </w:t>
      </w:r>
      <w:r w:rsidRPr="00E57057">
        <w:rPr>
          <w:rFonts w:asciiTheme="majorHAnsi" w:eastAsia="Calibri" w:hAnsiTheme="majorHAnsi" w:cs="Times New Roman"/>
          <w:sz w:val="22"/>
          <w:szCs w:val="22"/>
          <w:lang w:val="fr-CH"/>
        </w:rPr>
        <w:t>5</w:t>
      </w:r>
      <w:r w:rsidRPr="00E57057">
        <w:rPr>
          <w:rFonts w:asciiTheme="majorHAnsi" w:eastAsia="Calibri" w:hAnsiTheme="majorHAnsi" w:cs="Times New Roman"/>
          <w:sz w:val="22"/>
          <w:szCs w:val="22"/>
          <w:vertAlign w:val="superscript"/>
          <w:lang w:val="fr-CH"/>
        </w:rPr>
        <w:t>e</w:t>
      </w:r>
      <w:r w:rsidRPr="00E57057">
        <w:rPr>
          <w:rFonts w:asciiTheme="majorHAnsi" w:eastAsia="Calibri" w:hAnsiTheme="majorHAnsi" w:cs="Times New Roman"/>
          <w:sz w:val="22"/>
          <w:szCs w:val="22"/>
          <w:lang w:val="fr-CH"/>
        </w:rPr>
        <w:t xml:space="preserve"> éditi</w:t>
      </w:r>
      <w:r w:rsidR="00C82F49">
        <w:rPr>
          <w:rFonts w:asciiTheme="majorHAnsi" w:eastAsia="Calibri" w:hAnsiTheme="majorHAnsi" w:cs="Times New Roman"/>
          <w:sz w:val="22"/>
          <w:szCs w:val="22"/>
          <w:lang w:val="fr-CH"/>
        </w:rPr>
        <w:t>on des Manuels Ramsar (2016)</w:t>
      </w:r>
      <w:r w:rsidRPr="00E57057">
        <w:rPr>
          <w:rFonts w:asciiTheme="majorHAnsi" w:eastAsia="Calibri" w:hAnsiTheme="majorHAnsi" w:cs="Times New Roman"/>
          <w:sz w:val="22"/>
          <w:szCs w:val="22"/>
          <w:lang w:val="fr-CH"/>
        </w:rPr>
        <w:t xml:space="preserve"> </w:t>
      </w:r>
      <w:r w:rsidR="00CF2EE6" w:rsidRPr="00CF2EE6">
        <w:rPr>
          <w:rFonts w:asciiTheme="majorHAnsi" w:eastAsia="Calibri" w:hAnsiTheme="majorHAnsi" w:cs="Times New Roman"/>
          <w:i/>
          <w:sz w:val="22"/>
          <w:szCs w:val="22"/>
          <w:lang w:val="fr-CH"/>
        </w:rPr>
        <w:t>Introduction à la Convention sur les zones humides</w:t>
      </w:r>
      <w:r w:rsidRPr="00E57057">
        <w:rPr>
          <w:rFonts w:asciiTheme="majorHAnsi" w:eastAsia="Calibri" w:hAnsiTheme="majorHAnsi" w:cs="Times New Roman"/>
          <w:i/>
          <w:sz w:val="22"/>
          <w:szCs w:val="22"/>
          <w:lang w:val="fr-CH"/>
        </w:rPr>
        <w:t xml:space="preserve"> </w:t>
      </w:r>
      <w:r w:rsidRPr="00CF2EE6">
        <w:rPr>
          <w:rFonts w:asciiTheme="majorHAnsi" w:eastAsia="Calibri" w:hAnsiTheme="majorHAnsi" w:cs="Times New Roman"/>
          <w:sz w:val="22"/>
          <w:szCs w:val="22"/>
          <w:lang w:val="fr-CH"/>
        </w:rPr>
        <w:t>et</w:t>
      </w:r>
      <w:r w:rsidRPr="00E57057">
        <w:rPr>
          <w:rFonts w:asciiTheme="majorHAnsi" w:eastAsia="Calibri" w:hAnsiTheme="majorHAnsi" w:cs="Times New Roman"/>
          <w:i/>
          <w:sz w:val="22"/>
          <w:szCs w:val="22"/>
          <w:lang w:val="fr-CH"/>
        </w:rPr>
        <w:t xml:space="preserve"> Quatrième Plan stratégique Ramsar 2016-2024</w:t>
      </w:r>
      <w:r w:rsidR="00C64326" w:rsidRPr="00E57057">
        <w:rPr>
          <w:rFonts w:asciiTheme="majorHAnsi" w:eastAsia="Calibri" w:hAnsiTheme="majorHAnsi" w:cs="Times New Roman"/>
          <w:sz w:val="22"/>
          <w:szCs w:val="22"/>
          <w:lang w:val="fr-CH"/>
        </w:rPr>
        <w:t xml:space="preserve"> ;</w:t>
      </w:r>
    </w:p>
    <w:p w14:paraId="2D1FDD47" w14:textId="725EFEE1" w:rsidR="00C64326" w:rsidRPr="00BA22DE" w:rsidRDefault="00C82F49" w:rsidP="00475197">
      <w:pPr>
        <w:numPr>
          <w:ilvl w:val="1"/>
          <w:numId w:val="19"/>
        </w:numPr>
        <w:spacing w:after="200"/>
        <w:contextualSpacing/>
        <w:rPr>
          <w:rFonts w:asciiTheme="majorHAnsi" w:eastAsia="Calibri" w:hAnsiTheme="majorHAnsi" w:cs="Times New Roman"/>
          <w:sz w:val="22"/>
          <w:szCs w:val="22"/>
          <w:lang w:val="fr-CH"/>
        </w:rPr>
      </w:pPr>
      <w:r>
        <w:rPr>
          <w:rFonts w:asciiTheme="majorHAnsi" w:eastAsia="Calibri" w:hAnsiTheme="majorHAnsi" w:cs="Times New Roman"/>
          <w:sz w:val="22"/>
          <w:szCs w:val="22"/>
          <w:lang w:val="fr-CH"/>
        </w:rPr>
        <w:t xml:space="preserve">Une </w:t>
      </w:r>
      <w:r w:rsidR="00CF2EE6" w:rsidRPr="00CF2EE6">
        <w:rPr>
          <w:rFonts w:asciiTheme="majorHAnsi" w:eastAsia="Calibri" w:hAnsiTheme="majorHAnsi" w:cs="Times New Roman"/>
          <w:sz w:val="22"/>
          <w:szCs w:val="22"/>
          <w:lang w:val="fr-CH"/>
        </w:rPr>
        <w:t xml:space="preserve">Fiche </w:t>
      </w:r>
      <w:r w:rsidR="00475197">
        <w:rPr>
          <w:rFonts w:asciiTheme="majorHAnsi" w:eastAsia="Calibri" w:hAnsiTheme="majorHAnsi" w:cs="Times New Roman"/>
          <w:sz w:val="22"/>
          <w:szCs w:val="22"/>
          <w:lang w:val="fr-CH"/>
        </w:rPr>
        <w:t xml:space="preserve">technique Ramsar : </w:t>
      </w:r>
      <w:r w:rsidR="00475197" w:rsidRPr="00475197">
        <w:rPr>
          <w:rFonts w:asciiTheme="majorHAnsi" w:eastAsia="Calibri" w:hAnsiTheme="majorHAnsi" w:cs="Times New Roman"/>
          <w:i/>
          <w:sz w:val="22"/>
          <w:szCs w:val="22"/>
          <w:lang w:val="fr-CH"/>
        </w:rPr>
        <w:t xml:space="preserve">Les zones humides : une protection naturelle contre les catastrophes </w:t>
      </w:r>
      <w:r w:rsidR="00C64326" w:rsidRPr="00BA22DE">
        <w:rPr>
          <w:rFonts w:asciiTheme="majorHAnsi" w:eastAsia="Calibri" w:hAnsiTheme="majorHAnsi" w:cs="Times New Roman"/>
          <w:sz w:val="22"/>
          <w:szCs w:val="22"/>
          <w:lang w:val="fr-CH"/>
        </w:rPr>
        <w:t>(2016);</w:t>
      </w:r>
    </w:p>
    <w:p w14:paraId="3A78B314" w14:textId="112E814A" w:rsidR="00C64326" w:rsidRPr="00BA22DE" w:rsidRDefault="00475197" w:rsidP="00D52519">
      <w:pPr>
        <w:numPr>
          <w:ilvl w:val="1"/>
          <w:numId w:val="19"/>
        </w:numPr>
        <w:spacing w:after="200"/>
        <w:contextualSpacing/>
        <w:rPr>
          <w:rFonts w:asciiTheme="majorHAnsi" w:eastAsia="Calibri" w:hAnsiTheme="majorHAnsi" w:cs="Times New Roman"/>
          <w:sz w:val="22"/>
          <w:szCs w:val="22"/>
          <w:lang w:val="fr-CH"/>
        </w:rPr>
      </w:pPr>
      <w:r w:rsidRPr="00475197">
        <w:rPr>
          <w:rFonts w:asciiTheme="majorHAnsi" w:eastAsia="Calibri" w:hAnsiTheme="majorHAnsi" w:cs="Times New Roman"/>
          <w:sz w:val="22"/>
          <w:szCs w:val="22"/>
          <w:lang w:val="fr-CH"/>
        </w:rPr>
        <w:lastRenderedPageBreak/>
        <w:t>Des notes d'orientation</w:t>
      </w:r>
      <w:r>
        <w:rPr>
          <w:rFonts w:asciiTheme="majorHAnsi" w:eastAsia="Calibri" w:hAnsiTheme="majorHAnsi" w:cs="Times New Roman"/>
          <w:sz w:val="22"/>
          <w:szCs w:val="22"/>
          <w:lang w:val="fr-CH"/>
        </w:rPr>
        <w:t> :</w:t>
      </w:r>
      <w:r w:rsidR="00D52519">
        <w:rPr>
          <w:rFonts w:asciiTheme="majorHAnsi" w:eastAsia="Calibri" w:hAnsiTheme="majorHAnsi" w:cs="Times New Roman"/>
          <w:sz w:val="22"/>
          <w:szCs w:val="22"/>
          <w:lang w:val="fr-CH"/>
        </w:rPr>
        <w:t xml:space="preserve"> </w:t>
      </w:r>
      <w:r w:rsidR="00D52519">
        <w:rPr>
          <w:rFonts w:asciiTheme="majorHAnsi" w:eastAsia="Calibri" w:hAnsiTheme="majorHAnsi" w:cs="Times New Roman"/>
          <w:i/>
          <w:sz w:val="22"/>
          <w:szCs w:val="22"/>
          <w:lang w:val="fr-CH"/>
        </w:rPr>
        <w:t>L</w:t>
      </w:r>
      <w:r w:rsidRPr="00D52519">
        <w:rPr>
          <w:rFonts w:asciiTheme="majorHAnsi" w:eastAsia="Calibri" w:hAnsiTheme="majorHAnsi" w:cs="Times New Roman"/>
          <w:i/>
          <w:sz w:val="22"/>
          <w:szCs w:val="22"/>
          <w:lang w:val="fr-CH"/>
        </w:rPr>
        <w:t>es zones humides pour la réduction des risques de catastrophe</w:t>
      </w:r>
      <w:r w:rsidRPr="00475197">
        <w:rPr>
          <w:rFonts w:asciiTheme="majorHAnsi" w:eastAsia="Calibri" w:hAnsiTheme="majorHAnsi" w:cs="Times New Roman"/>
          <w:sz w:val="22"/>
          <w:szCs w:val="22"/>
          <w:lang w:val="fr-CH"/>
        </w:rPr>
        <w:t xml:space="preserve"> et </w:t>
      </w:r>
      <w:r w:rsidR="00D52519" w:rsidRPr="00D52519">
        <w:rPr>
          <w:rFonts w:asciiTheme="majorHAnsi" w:eastAsia="Calibri" w:hAnsiTheme="majorHAnsi" w:cs="Times New Roman"/>
          <w:i/>
          <w:sz w:val="22"/>
          <w:szCs w:val="22"/>
          <w:lang w:val="fr-CH"/>
        </w:rPr>
        <w:t>Intégrer les valeurs multiples des zones humides dans le processus décisionnel</w:t>
      </w:r>
      <w:r w:rsidRPr="00475197">
        <w:rPr>
          <w:rFonts w:asciiTheme="majorHAnsi" w:eastAsia="Calibri" w:hAnsiTheme="majorHAnsi" w:cs="Times New Roman"/>
          <w:sz w:val="22"/>
          <w:szCs w:val="22"/>
          <w:lang w:val="fr-CH"/>
        </w:rPr>
        <w:t xml:space="preserve"> ont été produites en 2017</w:t>
      </w:r>
      <w:r w:rsidR="00D52519">
        <w:rPr>
          <w:rFonts w:asciiTheme="majorHAnsi" w:eastAsia="Calibri" w:hAnsiTheme="majorHAnsi" w:cs="Times New Roman"/>
          <w:sz w:val="22"/>
          <w:szCs w:val="22"/>
          <w:lang w:val="fr-CH"/>
        </w:rPr>
        <w:t xml:space="preserve"> </w:t>
      </w:r>
      <w:r w:rsidR="00C64326" w:rsidRPr="00BA22DE">
        <w:rPr>
          <w:rFonts w:asciiTheme="majorHAnsi" w:eastAsia="Calibri" w:hAnsiTheme="majorHAnsi" w:cs="Times New Roman"/>
          <w:sz w:val="22"/>
          <w:szCs w:val="22"/>
          <w:lang w:val="fr-CH"/>
        </w:rPr>
        <w:t>;</w:t>
      </w:r>
    </w:p>
    <w:p w14:paraId="437AC847" w14:textId="21E2235D" w:rsidR="00C64326" w:rsidRPr="00BA22DE" w:rsidRDefault="00D52519" w:rsidP="00D52519">
      <w:pPr>
        <w:numPr>
          <w:ilvl w:val="1"/>
          <w:numId w:val="19"/>
        </w:numPr>
        <w:spacing w:after="200"/>
        <w:contextualSpacing/>
        <w:rPr>
          <w:rFonts w:asciiTheme="majorHAnsi" w:eastAsia="Calibri" w:hAnsiTheme="majorHAnsi" w:cs="Times New Roman"/>
          <w:sz w:val="22"/>
          <w:szCs w:val="22"/>
          <w:lang w:val="fr-CH"/>
        </w:rPr>
      </w:pPr>
      <w:r w:rsidRPr="00D52519">
        <w:rPr>
          <w:rFonts w:asciiTheme="majorHAnsi" w:eastAsia="Calibri" w:hAnsiTheme="majorHAnsi" w:cs="Times New Roman"/>
          <w:sz w:val="22"/>
          <w:szCs w:val="22"/>
          <w:lang w:val="fr-CH"/>
        </w:rPr>
        <w:t>R</w:t>
      </w:r>
      <w:r>
        <w:rPr>
          <w:rFonts w:asciiTheme="majorHAnsi" w:eastAsia="Calibri" w:hAnsiTheme="majorHAnsi" w:cs="Times New Roman"/>
          <w:sz w:val="22"/>
          <w:szCs w:val="22"/>
          <w:lang w:val="fr-CH"/>
        </w:rPr>
        <w:t>amsar et la C</w:t>
      </w:r>
      <w:r w:rsidRPr="00D52519">
        <w:rPr>
          <w:rFonts w:asciiTheme="majorHAnsi" w:eastAsia="Calibri" w:hAnsiTheme="majorHAnsi" w:cs="Times New Roman"/>
          <w:sz w:val="22"/>
          <w:szCs w:val="22"/>
          <w:lang w:val="fr-CH"/>
        </w:rPr>
        <w:t xml:space="preserve">onvention du patrimoine mondial : au confluent du succès </w:t>
      </w:r>
      <w:r w:rsidR="00C64326" w:rsidRPr="00BA22DE">
        <w:rPr>
          <w:rFonts w:asciiTheme="majorHAnsi" w:eastAsia="Calibri" w:hAnsiTheme="majorHAnsi" w:cs="Times New Roman"/>
          <w:sz w:val="22"/>
          <w:szCs w:val="22"/>
          <w:lang w:val="fr-CH"/>
        </w:rPr>
        <w:t xml:space="preserve">(2017); </w:t>
      </w:r>
    </w:p>
    <w:p w14:paraId="5862269B" w14:textId="58AE5F5B" w:rsidR="00C64326" w:rsidRPr="00805C19" w:rsidRDefault="00C64326" w:rsidP="004C3670">
      <w:pPr>
        <w:numPr>
          <w:ilvl w:val="1"/>
          <w:numId w:val="19"/>
        </w:numPr>
        <w:spacing w:after="200"/>
        <w:ind w:hanging="357"/>
        <w:contextualSpacing/>
        <w:rPr>
          <w:rFonts w:asciiTheme="majorHAnsi" w:eastAsia="Calibri" w:hAnsiTheme="majorHAnsi" w:cs="Times New Roman"/>
          <w:sz w:val="22"/>
          <w:szCs w:val="22"/>
          <w:lang w:val="en-GB"/>
        </w:rPr>
      </w:pPr>
      <w:r w:rsidRPr="00805C19">
        <w:rPr>
          <w:rFonts w:asciiTheme="majorHAnsi" w:eastAsia="Calibri" w:hAnsiTheme="majorHAnsi" w:cs="Times New Roman"/>
          <w:sz w:val="22"/>
          <w:szCs w:val="22"/>
          <w:lang w:val="en-GB"/>
        </w:rPr>
        <w:t xml:space="preserve">Wetlands for the Future Fund: Celebrating 20 years of the Conservation and Wise Use of Wetlands in Latin America, </w:t>
      </w:r>
      <w:r w:rsidR="00C82F49" w:rsidRPr="00805C19">
        <w:rPr>
          <w:rFonts w:asciiTheme="majorHAnsi" w:eastAsia="Calibri" w:hAnsiTheme="majorHAnsi" w:cs="Times New Roman"/>
          <w:sz w:val="22"/>
          <w:szCs w:val="22"/>
          <w:lang w:val="en-GB"/>
        </w:rPr>
        <w:t>the Caribbean and Mexico (2017) ;</w:t>
      </w:r>
    </w:p>
    <w:p w14:paraId="486FE7D8" w14:textId="7BDFD553" w:rsidR="00C64326" w:rsidRPr="00BA22DE" w:rsidRDefault="0034470E" w:rsidP="0034470E">
      <w:pPr>
        <w:numPr>
          <w:ilvl w:val="1"/>
          <w:numId w:val="19"/>
        </w:numPr>
        <w:spacing w:after="200"/>
        <w:contextualSpacing/>
        <w:rPr>
          <w:rFonts w:asciiTheme="majorHAnsi" w:eastAsia="Calibri" w:hAnsiTheme="majorHAnsi" w:cs="Times New Roman"/>
          <w:sz w:val="22"/>
          <w:szCs w:val="22"/>
          <w:lang w:val="fr-CH"/>
        </w:rPr>
      </w:pPr>
      <w:r w:rsidRPr="0034470E">
        <w:rPr>
          <w:rFonts w:asciiTheme="majorHAnsi" w:eastAsia="Calibri" w:hAnsiTheme="majorHAnsi" w:cs="Times New Roman"/>
          <w:sz w:val="22"/>
          <w:szCs w:val="22"/>
          <w:lang w:val="fr-CH"/>
        </w:rPr>
        <w:t>Note d'or</w:t>
      </w:r>
      <w:r>
        <w:rPr>
          <w:rFonts w:asciiTheme="majorHAnsi" w:eastAsia="Calibri" w:hAnsiTheme="majorHAnsi" w:cs="Times New Roman"/>
          <w:sz w:val="22"/>
          <w:szCs w:val="22"/>
          <w:lang w:val="fr-CH"/>
        </w:rPr>
        <w:t xml:space="preserve">ientation et note d'information : </w:t>
      </w:r>
      <w:r w:rsidRPr="0034470E">
        <w:rPr>
          <w:rFonts w:asciiTheme="majorHAnsi" w:eastAsia="Calibri" w:hAnsiTheme="majorHAnsi" w:cs="Times New Roman"/>
          <w:i/>
          <w:sz w:val="22"/>
          <w:szCs w:val="22"/>
          <w:lang w:val="fr-CH"/>
        </w:rPr>
        <w:t>Missions consultatives Ramsar</w:t>
      </w:r>
      <w:r w:rsidRPr="0034470E">
        <w:rPr>
          <w:rFonts w:asciiTheme="majorHAnsi" w:eastAsia="Calibri" w:hAnsiTheme="majorHAnsi" w:cs="Times New Roman"/>
          <w:sz w:val="22"/>
          <w:szCs w:val="22"/>
          <w:lang w:val="fr-CH"/>
        </w:rPr>
        <w:t xml:space="preserve"> (2018), qui soulignent que les missions consultatives Ramsar sont des outils précieux pour faire face aux changements réels et potentiels dans les ca</w:t>
      </w:r>
      <w:r>
        <w:rPr>
          <w:rFonts w:asciiTheme="majorHAnsi" w:eastAsia="Calibri" w:hAnsiTheme="majorHAnsi" w:cs="Times New Roman"/>
          <w:sz w:val="22"/>
          <w:szCs w:val="22"/>
          <w:lang w:val="fr-CH"/>
        </w:rPr>
        <w:t>ractéristiques écologiques des S</w:t>
      </w:r>
      <w:r w:rsidR="00C82F49">
        <w:rPr>
          <w:rFonts w:asciiTheme="majorHAnsi" w:eastAsia="Calibri" w:hAnsiTheme="majorHAnsi" w:cs="Times New Roman"/>
          <w:sz w:val="22"/>
          <w:szCs w:val="22"/>
          <w:lang w:val="fr-CH"/>
        </w:rPr>
        <w:t>ites Ramsar ;</w:t>
      </w:r>
    </w:p>
    <w:p w14:paraId="081E13A7" w14:textId="13D924AC" w:rsidR="00C64326" w:rsidRPr="00BA22DE" w:rsidRDefault="0034470E" w:rsidP="0034470E">
      <w:pPr>
        <w:numPr>
          <w:ilvl w:val="1"/>
          <w:numId w:val="19"/>
        </w:numPr>
        <w:spacing w:after="200"/>
        <w:contextualSpacing/>
        <w:rPr>
          <w:rFonts w:asciiTheme="majorHAnsi" w:eastAsia="Calibri" w:hAnsiTheme="majorHAnsi" w:cs="Times New Roman"/>
          <w:sz w:val="22"/>
          <w:szCs w:val="22"/>
          <w:lang w:val="fr-CH"/>
        </w:rPr>
      </w:pPr>
      <w:r w:rsidRPr="0034470E">
        <w:rPr>
          <w:rFonts w:asciiTheme="majorHAnsi" w:eastAsia="Calibri" w:hAnsiTheme="majorHAnsi" w:cs="Times New Roman"/>
          <w:sz w:val="22"/>
          <w:szCs w:val="22"/>
          <w:lang w:val="fr-CH"/>
        </w:rPr>
        <w:t>Renforcer la conservation, l’utilisation rationnelle et la restauration des zo</w:t>
      </w:r>
      <w:r w:rsidR="00C82F49">
        <w:rPr>
          <w:rFonts w:asciiTheme="majorHAnsi" w:eastAsia="Calibri" w:hAnsiTheme="majorHAnsi" w:cs="Times New Roman"/>
          <w:sz w:val="22"/>
          <w:szCs w:val="22"/>
          <w:lang w:val="fr-CH"/>
        </w:rPr>
        <w:t>nes humides pour atteindre les o</w:t>
      </w:r>
      <w:r w:rsidRPr="0034470E">
        <w:rPr>
          <w:rFonts w:asciiTheme="majorHAnsi" w:eastAsia="Calibri" w:hAnsiTheme="majorHAnsi" w:cs="Times New Roman"/>
          <w:sz w:val="22"/>
          <w:szCs w:val="22"/>
          <w:lang w:val="fr-CH"/>
        </w:rPr>
        <w:t xml:space="preserve">bjectifs de développement durable </w:t>
      </w:r>
      <w:r w:rsidR="00C64326" w:rsidRPr="00BA22DE">
        <w:rPr>
          <w:rFonts w:asciiTheme="majorHAnsi" w:eastAsia="Calibri" w:hAnsiTheme="majorHAnsi" w:cs="Times New Roman"/>
          <w:sz w:val="22"/>
          <w:szCs w:val="22"/>
          <w:lang w:val="fr-CH"/>
        </w:rPr>
        <w:t>(2018)</w:t>
      </w:r>
      <w:r w:rsidR="00E27D8F">
        <w:rPr>
          <w:rFonts w:asciiTheme="majorHAnsi" w:eastAsia="Calibri" w:hAnsiTheme="majorHAnsi" w:cs="Times New Roman"/>
          <w:sz w:val="22"/>
          <w:szCs w:val="22"/>
          <w:lang w:val="fr-CH"/>
        </w:rPr>
        <w:t> ;</w:t>
      </w:r>
    </w:p>
    <w:p w14:paraId="04E49A67" w14:textId="77777777" w:rsidR="00C64326" w:rsidRPr="00BA22DE" w:rsidRDefault="00C64326" w:rsidP="004C3670">
      <w:pPr>
        <w:numPr>
          <w:ilvl w:val="1"/>
          <w:numId w:val="19"/>
        </w:numPr>
        <w:spacing w:after="200"/>
        <w:rPr>
          <w:rFonts w:asciiTheme="majorHAnsi" w:eastAsia="Calibri" w:hAnsiTheme="majorHAnsi" w:cs="Times New Roman"/>
          <w:sz w:val="22"/>
          <w:szCs w:val="22"/>
          <w:lang w:val="fr-CH"/>
        </w:rPr>
      </w:pPr>
      <w:r w:rsidRPr="00BA22DE">
        <w:rPr>
          <w:rFonts w:asciiTheme="majorHAnsi" w:eastAsia="Calibri" w:hAnsiTheme="majorHAnsi" w:cs="Times New Roman"/>
          <w:sz w:val="22"/>
          <w:szCs w:val="22"/>
          <w:lang w:val="fr-CH"/>
        </w:rPr>
        <w:t>Global Wetland Outlook (2018).</w:t>
      </w:r>
    </w:p>
    <w:p w14:paraId="510425C0" w14:textId="3498187C" w:rsidR="00C64326" w:rsidRPr="00BA22DE" w:rsidRDefault="00E27D8F" w:rsidP="00E27D8F">
      <w:pPr>
        <w:numPr>
          <w:ilvl w:val="0"/>
          <w:numId w:val="19"/>
        </w:numPr>
        <w:spacing w:after="200"/>
        <w:contextualSpacing/>
        <w:rPr>
          <w:rFonts w:asciiTheme="majorHAnsi" w:eastAsia="Calibri" w:hAnsiTheme="majorHAnsi" w:cs="Times New Roman"/>
          <w:sz w:val="22"/>
          <w:szCs w:val="22"/>
          <w:lang w:val="fr-CH"/>
        </w:rPr>
      </w:pPr>
      <w:r w:rsidRPr="00E27D8F">
        <w:rPr>
          <w:rFonts w:asciiTheme="majorHAnsi" w:eastAsia="Calibri" w:hAnsiTheme="majorHAnsi" w:cs="Times New Roman"/>
          <w:sz w:val="22"/>
          <w:szCs w:val="22"/>
          <w:lang w:val="fr-CH"/>
        </w:rPr>
        <w:t xml:space="preserve">Le Secrétariat, les centres régionaux et les Parties contractantes ont mis au point divers </w:t>
      </w:r>
      <w:r>
        <w:rPr>
          <w:rFonts w:asciiTheme="majorHAnsi" w:eastAsia="Calibri" w:hAnsiTheme="majorHAnsi" w:cs="Times New Roman"/>
          <w:sz w:val="22"/>
          <w:szCs w:val="22"/>
          <w:lang w:val="fr-CH"/>
        </w:rPr>
        <w:t xml:space="preserve">documents </w:t>
      </w:r>
      <w:r w:rsidRPr="00E27D8F">
        <w:rPr>
          <w:rFonts w:asciiTheme="majorHAnsi" w:eastAsia="Calibri" w:hAnsiTheme="majorHAnsi" w:cs="Times New Roman"/>
          <w:sz w:val="22"/>
          <w:szCs w:val="22"/>
          <w:lang w:val="fr-CH"/>
        </w:rPr>
        <w:t>de formation, web</w:t>
      </w:r>
      <w:r>
        <w:rPr>
          <w:rFonts w:asciiTheme="majorHAnsi" w:eastAsia="Calibri" w:hAnsiTheme="majorHAnsi" w:cs="Times New Roman"/>
          <w:sz w:val="22"/>
          <w:szCs w:val="22"/>
          <w:lang w:val="fr-CH"/>
        </w:rPr>
        <w:t>inaires et outils en ligne sur d</w:t>
      </w:r>
      <w:r w:rsidRPr="00E27D8F">
        <w:rPr>
          <w:rFonts w:asciiTheme="majorHAnsi" w:eastAsia="Calibri" w:hAnsiTheme="majorHAnsi" w:cs="Times New Roman"/>
          <w:sz w:val="22"/>
          <w:szCs w:val="22"/>
          <w:lang w:val="fr-CH"/>
        </w:rPr>
        <w:t xml:space="preserve">es questions </w:t>
      </w:r>
      <w:r>
        <w:rPr>
          <w:rFonts w:asciiTheme="majorHAnsi" w:eastAsia="Calibri" w:hAnsiTheme="majorHAnsi" w:cs="Times New Roman"/>
          <w:sz w:val="22"/>
          <w:szCs w:val="22"/>
          <w:lang w:val="fr-CH"/>
        </w:rPr>
        <w:t xml:space="preserve">relatives aux </w:t>
      </w:r>
      <w:r w:rsidRPr="00E27D8F">
        <w:rPr>
          <w:rFonts w:asciiTheme="majorHAnsi" w:eastAsia="Calibri" w:hAnsiTheme="majorHAnsi" w:cs="Times New Roman"/>
          <w:sz w:val="22"/>
          <w:szCs w:val="22"/>
          <w:lang w:val="fr-CH"/>
        </w:rPr>
        <w:t>zones humides</w:t>
      </w:r>
      <w:r>
        <w:rPr>
          <w:rFonts w:asciiTheme="majorHAnsi" w:eastAsia="Calibri" w:hAnsiTheme="majorHAnsi" w:cs="Times New Roman"/>
          <w:sz w:val="22"/>
          <w:szCs w:val="22"/>
          <w:lang w:val="fr-CH"/>
        </w:rPr>
        <w:t xml:space="preserve"> et leur gestion</w:t>
      </w:r>
      <w:r w:rsidR="00C64326" w:rsidRPr="00BA22DE">
        <w:rPr>
          <w:rFonts w:asciiTheme="majorHAnsi" w:eastAsia="Calibri" w:hAnsiTheme="majorHAnsi" w:cs="Times New Roman"/>
          <w:sz w:val="22"/>
          <w:szCs w:val="22"/>
          <w:lang w:val="fr-CH"/>
        </w:rPr>
        <w:t>.</w:t>
      </w:r>
    </w:p>
    <w:p w14:paraId="71341712" w14:textId="64A0E0CE" w:rsidR="00C64326" w:rsidRPr="00BA22DE" w:rsidRDefault="00E27D8F" w:rsidP="0050435B">
      <w:pPr>
        <w:pStyle w:val="NormalWeb"/>
        <w:rPr>
          <w:rFonts w:asciiTheme="majorHAnsi" w:eastAsia="Calibri" w:hAnsiTheme="majorHAnsi"/>
          <w:i/>
          <w:sz w:val="22"/>
          <w:szCs w:val="22"/>
          <w:lang w:val="fr-CH"/>
        </w:rPr>
      </w:pPr>
      <w:r>
        <w:rPr>
          <w:rFonts w:asciiTheme="majorHAnsi" w:eastAsia="Calibri" w:hAnsiTheme="majorHAnsi"/>
          <w:i/>
          <w:sz w:val="22"/>
          <w:szCs w:val="22"/>
          <w:lang w:val="fr-CH"/>
        </w:rPr>
        <w:t xml:space="preserve">But </w:t>
      </w:r>
      <w:r w:rsidR="00C64326" w:rsidRPr="00BA22DE">
        <w:rPr>
          <w:rFonts w:asciiTheme="majorHAnsi" w:eastAsia="Calibri" w:hAnsiTheme="majorHAnsi"/>
          <w:i/>
          <w:sz w:val="22"/>
          <w:szCs w:val="22"/>
          <w:lang w:val="fr-CH"/>
        </w:rPr>
        <w:t xml:space="preserve">9 – </w:t>
      </w:r>
      <w:r>
        <w:rPr>
          <w:rFonts w:asciiTheme="majorHAnsi" w:eastAsia="Calibri" w:hAnsiTheme="majorHAnsi"/>
          <w:i/>
          <w:sz w:val="22"/>
          <w:szCs w:val="22"/>
          <w:lang w:val="fr-CH"/>
        </w:rPr>
        <w:t>Élaboration et diffusion de</w:t>
      </w:r>
      <w:r w:rsidR="0050435B">
        <w:rPr>
          <w:rFonts w:asciiTheme="majorHAnsi" w:eastAsia="Calibri" w:hAnsiTheme="majorHAnsi"/>
          <w:i/>
          <w:sz w:val="22"/>
          <w:szCs w:val="22"/>
          <w:lang w:val="fr-CH"/>
        </w:rPr>
        <w:t>s</w:t>
      </w:r>
      <w:r w:rsidRPr="0050435B">
        <w:rPr>
          <w:rFonts w:ascii="Calibri" w:hAnsi="Calibri" w:cs="Calibri"/>
          <w:i/>
          <w:sz w:val="22"/>
          <w:szCs w:val="22"/>
          <w:lang w:val="fr-CH"/>
        </w:rPr>
        <w:t xml:space="preserve"> informations fournies par le GEST</w:t>
      </w:r>
    </w:p>
    <w:p w14:paraId="766609B1" w14:textId="200862F4" w:rsidR="00C64326" w:rsidRPr="00BA22DE" w:rsidRDefault="008B49AE" w:rsidP="008B49AE">
      <w:pPr>
        <w:numPr>
          <w:ilvl w:val="0"/>
          <w:numId w:val="19"/>
        </w:numPr>
        <w:spacing w:after="200"/>
        <w:contextualSpacing/>
        <w:rPr>
          <w:rFonts w:asciiTheme="majorHAnsi" w:eastAsia="Calibri" w:hAnsiTheme="majorHAnsi" w:cs="Times New Roman"/>
          <w:sz w:val="22"/>
          <w:szCs w:val="22"/>
          <w:lang w:val="fr-CH"/>
        </w:rPr>
      </w:pPr>
      <w:r>
        <w:rPr>
          <w:rFonts w:asciiTheme="majorHAnsi" w:eastAsia="Calibri" w:hAnsiTheme="majorHAnsi" w:cs="Times New Roman"/>
          <w:sz w:val="22"/>
          <w:szCs w:val="22"/>
          <w:lang w:val="fr-CH"/>
        </w:rPr>
        <w:t>Au cours de l</w:t>
      </w:r>
      <w:r w:rsidRPr="008B49AE">
        <w:rPr>
          <w:rFonts w:asciiTheme="majorHAnsi" w:eastAsia="Calibri" w:hAnsiTheme="majorHAnsi" w:cs="Times New Roman"/>
          <w:sz w:val="22"/>
          <w:szCs w:val="22"/>
          <w:lang w:val="fr-CH"/>
        </w:rPr>
        <w:t>a période triennale 2016-2018, le Groupe d'évaluation scientifique et technique (GEST) a publié les résultats suivants, conformément aux demandes des Parties contractantes, comme indiqué dans son plan de travail</w:t>
      </w:r>
      <w:r>
        <w:rPr>
          <w:rFonts w:asciiTheme="majorHAnsi" w:eastAsia="Calibri" w:hAnsiTheme="majorHAnsi" w:cs="Times New Roman"/>
          <w:sz w:val="22"/>
          <w:szCs w:val="22"/>
          <w:lang w:val="fr-CH"/>
        </w:rPr>
        <w:t xml:space="preserve"> </w:t>
      </w:r>
      <w:r w:rsidR="00C64326" w:rsidRPr="00BA22DE">
        <w:rPr>
          <w:rFonts w:asciiTheme="majorHAnsi" w:eastAsia="Calibri" w:hAnsiTheme="majorHAnsi" w:cs="Times New Roman"/>
          <w:sz w:val="22"/>
          <w:szCs w:val="22"/>
          <w:lang w:val="fr-CH"/>
        </w:rPr>
        <w:t xml:space="preserve">: </w:t>
      </w:r>
    </w:p>
    <w:p w14:paraId="438ECAC1" w14:textId="0C6BF80C" w:rsidR="00C64326" w:rsidRPr="00805C19" w:rsidRDefault="008B49AE" w:rsidP="004C3670">
      <w:pPr>
        <w:numPr>
          <w:ilvl w:val="1"/>
          <w:numId w:val="19"/>
        </w:numPr>
        <w:spacing w:after="200"/>
        <w:contextualSpacing/>
        <w:rPr>
          <w:rFonts w:asciiTheme="majorHAnsi" w:eastAsia="Calibri" w:hAnsiTheme="majorHAnsi" w:cs="Times New Roman"/>
          <w:sz w:val="22"/>
          <w:szCs w:val="22"/>
          <w:lang w:val="en-GB"/>
        </w:rPr>
      </w:pPr>
      <w:r w:rsidRPr="00805C19">
        <w:rPr>
          <w:rFonts w:asciiTheme="majorHAnsi" w:eastAsia="Calibri" w:hAnsiTheme="majorHAnsi" w:cs="Times New Roman"/>
          <w:sz w:val="22"/>
          <w:szCs w:val="22"/>
          <w:lang w:val="en-GB"/>
        </w:rPr>
        <w:t>La première é</w:t>
      </w:r>
      <w:r w:rsidR="00C64326" w:rsidRPr="00805C19">
        <w:rPr>
          <w:rFonts w:asciiTheme="majorHAnsi" w:eastAsia="Calibri" w:hAnsiTheme="majorHAnsi" w:cs="Times New Roman"/>
          <w:sz w:val="22"/>
          <w:szCs w:val="22"/>
          <w:lang w:val="en-GB"/>
        </w:rPr>
        <w:t xml:space="preserve">dition </w:t>
      </w:r>
      <w:r w:rsidRPr="00805C19">
        <w:rPr>
          <w:rFonts w:asciiTheme="majorHAnsi" w:eastAsia="Calibri" w:hAnsiTheme="majorHAnsi" w:cs="Times New Roman"/>
          <w:sz w:val="22"/>
          <w:szCs w:val="22"/>
          <w:lang w:val="en-GB"/>
        </w:rPr>
        <w:t>de</w:t>
      </w:r>
      <w:r w:rsidR="00C64326" w:rsidRPr="00805C19">
        <w:rPr>
          <w:rFonts w:asciiTheme="majorHAnsi" w:eastAsia="Calibri" w:hAnsiTheme="majorHAnsi" w:cs="Times New Roman"/>
          <w:sz w:val="22"/>
          <w:szCs w:val="22"/>
          <w:lang w:val="en-GB"/>
        </w:rPr>
        <w:t xml:space="preserve"> Global Wetland Outlook</w:t>
      </w:r>
      <w:r w:rsidRPr="00805C19">
        <w:rPr>
          <w:rFonts w:asciiTheme="majorHAnsi" w:eastAsia="Calibri" w:hAnsiTheme="majorHAnsi" w:cs="Times New Roman"/>
          <w:sz w:val="22"/>
          <w:szCs w:val="22"/>
          <w:lang w:val="en-GB"/>
        </w:rPr>
        <w:t xml:space="preserve"> </w:t>
      </w:r>
      <w:r w:rsidR="00C64326" w:rsidRPr="00805C19">
        <w:rPr>
          <w:rFonts w:asciiTheme="majorHAnsi" w:eastAsia="Calibri" w:hAnsiTheme="majorHAnsi" w:cs="Times New Roman"/>
          <w:sz w:val="22"/>
          <w:szCs w:val="22"/>
          <w:lang w:val="en-GB"/>
        </w:rPr>
        <w:t>: State of the World’s Wetlands and their Services to People</w:t>
      </w:r>
    </w:p>
    <w:p w14:paraId="580526E7" w14:textId="7F926908" w:rsidR="00C64326" w:rsidRPr="00BA22DE" w:rsidRDefault="008B49AE" w:rsidP="004C3670">
      <w:pPr>
        <w:numPr>
          <w:ilvl w:val="1"/>
          <w:numId w:val="19"/>
        </w:numPr>
        <w:spacing w:after="200"/>
        <w:contextualSpacing/>
        <w:rPr>
          <w:rFonts w:asciiTheme="majorHAnsi" w:eastAsia="Calibri" w:hAnsiTheme="majorHAnsi" w:cs="Times New Roman"/>
          <w:sz w:val="22"/>
          <w:szCs w:val="22"/>
          <w:lang w:val="fr-CH"/>
        </w:rPr>
      </w:pPr>
      <w:r w:rsidRPr="00805C19">
        <w:rPr>
          <w:rFonts w:asciiTheme="majorHAnsi" w:eastAsia="Calibri" w:hAnsiTheme="majorHAnsi" w:cs="Times New Roman"/>
          <w:sz w:val="22"/>
          <w:szCs w:val="22"/>
          <w:lang w:val="en-GB"/>
        </w:rPr>
        <w:t xml:space="preserve">Rapport technique </w:t>
      </w:r>
      <w:r w:rsidR="00C64326" w:rsidRPr="00805C19">
        <w:rPr>
          <w:rFonts w:asciiTheme="majorHAnsi" w:eastAsia="Calibri" w:hAnsiTheme="majorHAnsi" w:cs="Times New Roman"/>
          <w:sz w:val="22"/>
          <w:szCs w:val="22"/>
          <w:lang w:val="en-GB"/>
        </w:rPr>
        <w:t>Ramsar 10</w:t>
      </w:r>
      <w:r w:rsidRPr="00805C19">
        <w:rPr>
          <w:rFonts w:asciiTheme="majorHAnsi" w:eastAsia="Calibri" w:hAnsiTheme="majorHAnsi" w:cs="Times New Roman"/>
          <w:sz w:val="22"/>
          <w:szCs w:val="22"/>
          <w:lang w:val="en-GB"/>
        </w:rPr>
        <w:t xml:space="preserve"> </w:t>
      </w:r>
      <w:r w:rsidR="00C64326" w:rsidRPr="00805C19">
        <w:rPr>
          <w:rFonts w:asciiTheme="majorHAnsi" w:eastAsia="Calibri" w:hAnsiTheme="majorHAnsi" w:cs="Times New Roman"/>
          <w:sz w:val="22"/>
          <w:szCs w:val="22"/>
          <w:lang w:val="en-GB"/>
        </w:rPr>
        <w:t>: The use of Earth Observation for wetland inventory, assessment and monitoring: An information source for the Ramsar Conve</w:t>
      </w:r>
      <w:r w:rsidRPr="00805C19">
        <w:rPr>
          <w:rFonts w:asciiTheme="majorHAnsi" w:eastAsia="Calibri" w:hAnsiTheme="majorHAnsi" w:cs="Times New Roman"/>
          <w:sz w:val="22"/>
          <w:szCs w:val="22"/>
          <w:lang w:val="en-GB"/>
        </w:rPr>
        <w:t xml:space="preserve">ntion on Wetlands. </w:t>
      </w:r>
      <w:r>
        <w:rPr>
          <w:rFonts w:asciiTheme="majorHAnsi" w:eastAsia="Calibri" w:hAnsiTheme="majorHAnsi" w:cs="Times New Roman"/>
          <w:sz w:val="22"/>
          <w:szCs w:val="22"/>
          <w:lang w:val="fr-CH"/>
        </w:rPr>
        <w:t>[production à finaliser</w:t>
      </w:r>
      <w:r w:rsidR="00C64326" w:rsidRPr="00BA22DE">
        <w:rPr>
          <w:rFonts w:asciiTheme="majorHAnsi" w:eastAsia="Calibri" w:hAnsiTheme="majorHAnsi" w:cs="Times New Roman"/>
          <w:sz w:val="22"/>
          <w:szCs w:val="22"/>
          <w:lang w:val="fr-CH"/>
        </w:rPr>
        <w:t>]</w:t>
      </w:r>
    </w:p>
    <w:p w14:paraId="58B24F1F" w14:textId="30C46106" w:rsidR="00C64326" w:rsidRPr="00BA22DE" w:rsidRDefault="008B49AE" w:rsidP="004C3670">
      <w:pPr>
        <w:numPr>
          <w:ilvl w:val="1"/>
          <w:numId w:val="19"/>
        </w:numPr>
        <w:spacing w:after="200"/>
        <w:contextualSpacing/>
        <w:rPr>
          <w:rFonts w:asciiTheme="majorHAnsi" w:eastAsia="Calibri" w:hAnsiTheme="majorHAnsi" w:cs="Times New Roman"/>
          <w:sz w:val="22"/>
          <w:szCs w:val="22"/>
          <w:lang w:val="fr-CH"/>
        </w:rPr>
      </w:pPr>
      <w:r w:rsidRPr="00805C19">
        <w:rPr>
          <w:rFonts w:asciiTheme="majorHAnsi" w:eastAsia="Calibri" w:hAnsiTheme="majorHAnsi" w:cs="Times New Roman"/>
          <w:sz w:val="22"/>
          <w:szCs w:val="22"/>
          <w:lang w:val="en-GB"/>
        </w:rPr>
        <w:t xml:space="preserve">Notes d’information </w:t>
      </w:r>
      <w:r w:rsidR="00C64326" w:rsidRPr="00805C19">
        <w:rPr>
          <w:rFonts w:asciiTheme="majorHAnsi" w:eastAsia="Calibri" w:hAnsiTheme="majorHAnsi" w:cs="Times New Roman"/>
          <w:sz w:val="22"/>
          <w:szCs w:val="22"/>
          <w:lang w:val="en-GB"/>
        </w:rPr>
        <w:t>Ramsar</w:t>
      </w:r>
      <w:r w:rsidRPr="00805C19">
        <w:rPr>
          <w:rFonts w:asciiTheme="majorHAnsi" w:eastAsia="Calibri" w:hAnsiTheme="majorHAnsi" w:cs="Times New Roman"/>
          <w:sz w:val="22"/>
          <w:szCs w:val="22"/>
          <w:lang w:val="en-GB"/>
        </w:rPr>
        <w:t xml:space="preserve"> </w:t>
      </w:r>
      <w:r w:rsidR="00C64326" w:rsidRPr="00805C19">
        <w:rPr>
          <w:rFonts w:asciiTheme="majorHAnsi" w:eastAsia="Calibri" w:hAnsiTheme="majorHAnsi" w:cs="Times New Roman"/>
          <w:sz w:val="22"/>
          <w:szCs w:val="22"/>
          <w:lang w:val="en-GB"/>
        </w:rPr>
        <w:t xml:space="preserve">: </w:t>
      </w:r>
      <w:r w:rsidRPr="00805C19">
        <w:rPr>
          <w:rFonts w:asciiTheme="majorHAnsi" w:eastAsia="Calibri" w:hAnsiTheme="majorHAnsi" w:cs="Times New Roman"/>
          <w:sz w:val="22"/>
          <w:szCs w:val="22"/>
          <w:lang w:val="en-GB"/>
        </w:rPr>
        <w:t xml:space="preserve">Missions consultatives </w:t>
      </w:r>
      <w:r w:rsidR="00C64326" w:rsidRPr="00805C19">
        <w:rPr>
          <w:rFonts w:asciiTheme="majorHAnsi" w:eastAsia="Calibri" w:hAnsiTheme="majorHAnsi" w:cs="Times New Roman"/>
          <w:sz w:val="22"/>
          <w:szCs w:val="22"/>
          <w:lang w:val="en-GB"/>
        </w:rPr>
        <w:t>Ramsar</w:t>
      </w:r>
      <w:r w:rsidRPr="00805C19">
        <w:rPr>
          <w:rFonts w:asciiTheme="majorHAnsi" w:eastAsia="Calibri" w:hAnsiTheme="majorHAnsi" w:cs="Times New Roman"/>
          <w:sz w:val="22"/>
          <w:szCs w:val="22"/>
          <w:lang w:val="en-GB"/>
        </w:rPr>
        <w:t xml:space="preserve"> </w:t>
      </w:r>
      <w:r w:rsidR="00C64326" w:rsidRPr="00805C19">
        <w:rPr>
          <w:rFonts w:asciiTheme="majorHAnsi" w:eastAsia="Calibri" w:hAnsiTheme="majorHAnsi" w:cs="Times New Roman"/>
          <w:sz w:val="22"/>
          <w:szCs w:val="22"/>
          <w:lang w:val="en-GB"/>
        </w:rPr>
        <w:t xml:space="preserve">: </w:t>
      </w:r>
      <w:r w:rsidR="00430D89" w:rsidRPr="00805C19">
        <w:rPr>
          <w:rFonts w:asciiTheme="majorHAnsi" w:eastAsia="Calibri" w:hAnsiTheme="majorHAnsi" w:cs="Times New Roman"/>
          <w:sz w:val="22"/>
          <w:szCs w:val="22"/>
          <w:lang w:val="en-GB"/>
        </w:rPr>
        <w:t>Conseils techniques sur les Sites</w:t>
      </w:r>
      <w:r w:rsidR="00C64326" w:rsidRPr="00805C19">
        <w:rPr>
          <w:rFonts w:asciiTheme="majorHAnsi" w:eastAsia="Calibri" w:hAnsiTheme="majorHAnsi" w:cs="Times New Roman"/>
          <w:sz w:val="22"/>
          <w:szCs w:val="22"/>
          <w:lang w:val="en-GB"/>
        </w:rPr>
        <w:t xml:space="preserve"> Ramsar (No. 8), Best practice guidelines for conducting tropical peatland inventories to facilitate their designation as Ramsar Sites (No.9) and Wetland Restoration for Climate Change Resilience (No. 10). </w:t>
      </w:r>
      <w:r w:rsidR="00C64326" w:rsidRPr="00BA22DE">
        <w:rPr>
          <w:rFonts w:asciiTheme="majorHAnsi" w:eastAsia="Calibri" w:hAnsiTheme="majorHAnsi" w:cs="Times New Roman"/>
          <w:sz w:val="22"/>
          <w:szCs w:val="22"/>
          <w:lang w:val="fr-CH"/>
        </w:rPr>
        <w:t xml:space="preserve">[production </w:t>
      </w:r>
      <w:r w:rsidR="00430D89">
        <w:rPr>
          <w:rFonts w:asciiTheme="majorHAnsi" w:eastAsia="Calibri" w:hAnsiTheme="majorHAnsi" w:cs="Times New Roman"/>
          <w:sz w:val="22"/>
          <w:szCs w:val="22"/>
          <w:lang w:val="fr-CH"/>
        </w:rPr>
        <w:t>à finaliser</w:t>
      </w:r>
      <w:r w:rsidR="00C64326" w:rsidRPr="00BA22DE">
        <w:rPr>
          <w:rFonts w:asciiTheme="majorHAnsi" w:eastAsia="Calibri" w:hAnsiTheme="majorHAnsi" w:cs="Times New Roman"/>
          <w:sz w:val="22"/>
          <w:szCs w:val="22"/>
          <w:lang w:val="fr-CH"/>
        </w:rPr>
        <w:t>]</w:t>
      </w:r>
    </w:p>
    <w:p w14:paraId="4B9244FB" w14:textId="3BCFABB9" w:rsidR="00C64326" w:rsidRPr="00BA22DE" w:rsidRDefault="00430D89" w:rsidP="00430D89">
      <w:pPr>
        <w:numPr>
          <w:ilvl w:val="1"/>
          <w:numId w:val="19"/>
        </w:numPr>
        <w:spacing w:after="200"/>
        <w:contextualSpacing/>
        <w:rPr>
          <w:rFonts w:asciiTheme="majorHAnsi" w:eastAsia="Calibri" w:hAnsiTheme="majorHAnsi" w:cs="Times New Roman"/>
          <w:sz w:val="22"/>
          <w:szCs w:val="22"/>
          <w:lang w:val="fr-CH"/>
        </w:rPr>
      </w:pPr>
      <w:r>
        <w:rPr>
          <w:rFonts w:asciiTheme="majorHAnsi" w:eastAsia="Calibri" w:hAnsiTheme="majorHAnsi" w:cs="Times New Roman"/>
          <w:sz w:val="22"/>
          <w:szCs w:val="22"/>
          <w:lang w:val="fr-CH"/>
        </w:rPr>
        <w:t>N</w:t>
      </w:r>
      <w:r w:rsidRPr="00475197">
        <w:rPr>
          <w:rFonts w:asciiTheme="majorHAnsi" w:eastAsia="Calibri" w:hAnsiTheme="majorHAnsi" w:cs="Times New Roman"/>
          <w:sz w:val="22"/>
          <w:szCs w:val="22"/>
          <w:lang w:val="fr-CH"/>
        </w:rPr>
        <w:t>otes d'orientation</w:t>
      </w:r>
      <w:r>
        <w:rPr>
          <w:rFonts w:asciiTheme="majorHAnsi" w:eastAsia="Calibri" w:hAnsiTheme="majorHAnsi" w:cs="Times New Roman"/>
          <w:sz w:val="22"/>
          <w:szCs w:val="22"/>
          <w:lang w:val="fr-CH"/>
        </w:rPr>
        <w:t xml:space="preserve"> : </w:t>
      </w:r>
      <w:r w:rsidRPr="00430D89">
        <w:rPr>
          <w:rFonts w:asciiTheme="majorHAnsi" w:eastAsia="Calibri" w:hAnsiTheme="majorHAnsi" w:cs="Times New Roman"/>
          <w:sz w:val="22"/>
          <w:szCs w:val="22"/>
          <w:lang w:val="fr-CH"/>
        </w:rPr>
        <w:t>Les zones humides pour la réduction des risques de catastrophe</w:t>
      </w:r>
      <w:r>
        <w:rPr>
          <w:rFonts w:asciiTheme="majorHAnsi" w:eastAsia="Calibri" w:hAnsiTheme="majorHAnsi" w:cs="Times New Roman"/>
          <w:sz w:val="22"/>
          <w:szCs w:val="22"/>
          <w:lang w:val="fr-CH"/>
        </w:rPr>
        <w:t xml:space="preserve"> – Des choix judicieux pour des communautés résilientes (No.1)</w:t>
      </w:r>
      <w:r w:rsidR="00442979">
        <w:rPr>
          <w:rFonts w:asciiTheme="majorHAnsi" w:eastAsia="Calibri" w:hAnsiTheme="majorHAnsi" w:cs="Times New Roman"/>
          <w:sz w:val="22"/>
          <w:szCs w:val="22"/>
          <w:lang w:val="fr-CH"/>
        </w:rPr>
        <w:t>,</w:t>
      </w:r>
      <w:r w:rsidRPr="00475197">
        <w:rPr>
          <w:rFonts w:asciiTheme="majorHAnsi" w:eastAsia="Calibri" w:hAnsiTheme="majorHAnsi" w:cs="Times New Roman"/>
          <w:sz w:val="22"/>
          <w:szCs w:val="22"/>
          <w:lang w:val="fr-CH"/>
        </w:rPr>
        <w:t xml:space="preserve"> </w:t>
      </w:r>
      <w:r w:rsidRPr="00430D89">
        <w:rPr>
          <w:rFonts w:asciiTheme="majorHAnsi" w:eastAsia="Calibri" w:hAnsiTheme="majorHAnsi" w:cs="Times New Roman"/>
          <w:sz w:val="22"/>
          <w:szCs w:val="22"/>
          <w:lang w:val="fr-CH"/>
        </w:rPr>
        <w:t>Intégrer les valeurs multiples des zones humides dans le processus décisionnel</w:t>
      </w:r>
      <w:r w:rsidRPr="00475197">
        <w:rPr>
          <w:rFonts w:asciiTheme="majorHAnsi" w:eastAsia="Calibri" w:hAnsiTheme="majorHAnsi" w:cs="Times New Roman"/>
          <w:sz w:val="22"/>
          <w:szCs w:val="22"/>
          <w:lang w:val="fr-CH"/>
        </w:rPr>
        <w:t xml:space="preserve"> </w:t>
      </w:r>
      <w:r>
        <w:rPr>
          <w:rFonts w:asciiTheme="majorHAnsi" w:eastAsia="Calibri" w:hAnsiTheme="majorHAnsi" w:cs="Times New Roman"/>
          <w:sz w:val="22"/>
          <w:szCs w:val="22"/>
          <w:lang w:val="fr-CH"/>
        </w:rPr>
        <w:t>(</w:t>
      </w:r>
      <w:r w:rsidRPr="00BA22DE">
        <w:rPr>
          <w:rFonts w:asciiTheme="majorHAnsi" w:eastAsia="Calibri" w:hAnsiTheme="majorHAnsi" w:cs="Times New Roman"/>
          <w:sz w:val="22"/>
          <w:szCs w:val="22"/>
          <w:lang w:val="fr-CH"/>
        </w:rPr>
        <w:t>No.2</w:t>
      </w:r>
      <w:r>
        <w:rPr>
          <w:rFonts w:asciiTheme="majorHAnsi" w:eastAsia="Calibri" w:hAnsiTheme="majorHAnsi" w:cs="Times New Roman"/>
          <w:sz w:val="22"/>
          <w:szCs w:val="22"/>
          <w:lang w:val="fr-CH"/>
        </w:rPr>
        <w:t xml:space="preserve">), Missions consultatives </w:t>
      </w:r>
      <w:r w:rsidRPr="00BA22DE">
        <w:rPr>
          <w:rFonts w:asciiTheme="majorHAnsi" w:eastAsia="Calibri" w:hAnsiTheme="majorHAnsi" w:cs="Times New Roman"/>
          <w:sz w:val="22"/>
          <w:szCs w:val="22"/>
          <w:lang w:val="fr-CH"/>
        </w:rPr>
        <w:t>Ramsar</w:t>
      </w:r>
      <w:r>
        <w:rPr>
          <w:rFonts w:asciiTheme="majorHAnsi" w:eastAsia="Calibri" w:hAnsiTheme="majorHAnsi" w:cs="Times New Roman"/>
          <w:sz w:val="22"/>
          <w:szCs w:val="22"/>
          <w:lang w:val="fr-CH"/>
        </w:rPr>
        <w:t> :</w:t>
      </w:r>
      <w:r w:rsidR="00C64326" w:rsidRPr="00BA22DE">
        <w:rPr>
          <w:rFonts w:asciiTheme="majorHAnsi" w:eastAsia="Calibri" w:hAnsiTheme="majorHAnsi" w:cs="Times New Roman"/>
          <w:sz w:val="22"/>
          <w:szCs w:val="22"/>
          <w:lang w:val="fr-CH"/>
        </w:rPr>
        <w:t xml:space="preserve"> </w:t>
      </w:r>
      <w:r w:rsidRPr="00430D89">
        <w:rPr>
          <w:rFonts w:asciiTheme="majorHAnsi" w:eastAsia="Calibri" w:hAnsiTheme="majorHAnsi" w:cs="Times New Roman"/>
          <w:sz w:val="22"/>
          <w:szCs w:val="22"/>
          <w:lang w:val="fr-CH"/>
        </w:rPr>
        <w:t xml:space="preserve">Un mécanisme permettant de réagir aux changements dans les caractéristiques écologiques des Sites Ramsar </w:t>
      </w:r>
      <w:r w:rsidR="00C64326" w:rsidRPr="00BA22DE">
        <w:rPr>
          <w:rFonts w:asciiTheme="majorHAnsi" w:eastAsia="Calibri" w:hAnsiTheme="majorHAnsi" w:cs="Times New Roman"/>
          <w:sz w:val="22"/>
          <w:szCs w:val="22"/>
          <w:lang w:val="fr-CH"/>
        </w:rPr>
        <w:t xml:space="preserve">(No. 3) </w:t>
      </w:r>
      <w:r>
        <w:rPr>
          <w:rFonts w:asciiTheme="majorHAnsi" w:eastAsia="Calibri" w:hAnsiTheme="majorHAnsi" w:cs="Times New Roman"/>
          <w:sz w:val="22"/>
          <w:szCs w:val="22"/>
          <w:lang w:val="fr-CH"/>
        </w:rPr>
        <w:t>et</w:t>
      </w:r>
      <w:r w:rsidR="00C64326" w:rsidRPr="00BA22DE">
        <w:rPr>
          <w:rFonts w:asciiTheme="majorHAnsi" w:eastAsia="Calibri" w:hAnsiTheme="majorHAnsi" w:cs="Times New Roman"/>
          <w:sz w:val="22"/>
          <w:szCs w:val="22"/>
          <w:lang w:val="fr-CH"/>
        </w:rPr>
        <w:t xml:space="preserve"> Implementing environmental flows with benefits for society and different wetland ecosystems in river systems (No.4).</w:t>
      </w:r>
    </w:p>
    <w:p w14:paraId="456D4087" w14:textId="1F269183" w:rsidR="00C64326" w:rsidRPr="00BA22DE" w:rsidRDefault="000A0F97" w:rsidP="000A0F97">
      <w:pPr>
        <w:numPr>
          <w:ilvl w:val="1"/>
          <w:numId w:val="19"/>
        </w:numPr>
        <w:spacing w:after="200"/>
        <w:contextualSpacing/>
        <w:rPr>
          <w:rFonts w:asciiTheme="majorHAnsi" w:eastAsia="Calibri" w:hAnsiTheme="majorHAnsi" w:cs="Times New Roman"/>
          <w:sz w:val="22"/>
          <w:szCs w:val="22"/>
          <w:lang w:val="fr-CH"/>
        </w:rPr>
      </w:pPr>
      <w:r>
        <w:rPr>
          <w:rFonts w:asciiTheme="majorHAnsi" w:eastAsia="Calibri" w:hAnsiTheme="majorHAnsi" w:cs="Times New Roman"/>
          <w:sz w:val="22"/>
          <w:szCs w:val="22"/>
          <w:lang w:val="fr-CH"/>
        </w:rPr>
        <w:t>Un outil de gestion en ligne des Si</w:t>
      </w:r>
      <w:r w:rsidRPr="000A0F97">
        <w:rPr>
          <w:rFonts w:asciiTheme="majorHAnsi" w:eastAsia="Calibri" w:hAnsiTheme="majorHAnsi" w:cs="Times New Roman"/>
          <w:sz w:val="22"/>
          <w:szCs w:val="22"/>
          <w:lang w:val="fr-CH"/>
        </w:rPr>
        <w:t xml:space="preserve">tes Ramsar </w:t>
      </w:r>
      <w:r>
        <w:rPr>
          <w:rFonts w:asciiTheme="majorHAnsi" w:eastAsia="Calibri" w:hAnsiTheme="majorHAnsi" w:cs="Times New Roman"/>
          <w:sz w:val="22"/>
          <w:szCs w:val="22"/>
          <w:lang w:val="fr-CH"/>
        </w:rPr>
        <w:t>a été élaboré</w:t>
      </w:r>
      <w:r w:rsidR="00C64326" w:rsidRPr="00BA22DE">
        <w:rPr>
          <w:rFonts w:asciiTheme="majorHAnsi" w:eastAsia="Calibri" w:hAnsiTheme="majorHAnsi" w:cs="Times New Roman"/>
          <w:sz w:val="22"/>
          <w:szCs w:val="22"/>
          <w:lang w:val="fr-CH"/>
        </w:rPr>
        <w:t xml:space="preserve"> (</w:t>
      </w:r>
      <w:r>
        <w:rPr>
          <w:rFonts w:asciiTheme="majorHAnsi" w:eastAsia="Calibri" w:hAnsiTheme="majorHAnsi" w:cs="Times New Roman"/>
          <w:sz w:val="22"/>
          <w:szCs w:val="22"/>
          <w:lang w:val="fr-CH"/>
        </w:rPr>
        <w:t>voir plus haut</w:t>
      </w:r>
      <w:r w:rsidR="00C64326" w:rsidRPr="00BA22DE">
        <w:rPr>
          <w:rFonts w:asciiTheme="majorHAnsi" w:eastAsia="Calibri" w:hAnsiTheme="majorHAnsi" w:cs="Times New Roman"/>
          <w:sz w:val="22"/>
          <w:szCs w:val="22"/>
          <w:lang w:val="fr-CH"/>
        </w:rPr>
        <w:t>).</w:t>
      </w:r>
    </w:p>
    <w:p w14:paraId="18576EF7" w14:textId="77777777" w:rsidR="0092589F" w:rsidRPr="00BA22DE" w:rsidRDefault="0092589F" w:rsidP="0092589F">
      <w:pPr>
        <w:spacing w:after="200"/>
        <w:contextualSpacing/>
        <w:rPr>
          <w:rFonts w:asciiTheme="majorHAnsi" w:eastAsia="Calibri" w:hAnsiTheme="majorHAnsi" w:cs="Times New Roman"/>
          <w:sz w:val="22"/>
          <w:szCs w:val="22"/>
          <w:lang w:val="fr-CH"/>
        </w:rPr>
      </w:pPr>
    </w:p>
    <w:p w14:paraId="0B5151BD" w14:textId="3D9CBCCC" w:rsidR="00C64326" w:rsidRPr="00BA22DE" w:rsidRDefault="00C64326" w:rsidP="004C5BF4">
      <w:pPr>
        <w:keepNext/>
        <w:autoSpaceDE w:val="0"/>
        <w:autoSpaceDN w:val="0"/>
        <w:adjustRightInd w:val="0"/>
        <w:rPr>
          <w:rFonts w:asciiTheme="majorHAnsi" w:hAnsiTheme="majorHAnsi" w:cs="Calibri"/>
          <w:bCs/>
          <w:sz w:val="22"/>
          <w:szCs w:val="22"/>
          <w:u w:val="single"/>
          <w:lang w:val="fr-CH"/>
        </w:rPr>
      </w:pPr>
      <w:r w:rsidRPr="00BA22DE">
        <w:rPr>
          <w:rFonts w:asciiTheme="majorHAnsi" w:hAnsiTheme="majorHAnsi" w:cs="Calibri"/>
          <w:bCs/>
          <w:sz w:val="22"/>
          <w:szCs w:val="22"/>
          <w:u w:val="single"/>
          <w:lang w:val="fr-CH"/>
        </w:rPr>
        <w:t>Res</w:t>
      </w:r>
      <w:r w:rsidR="0071074F">
        <w:rPr>
          <w:rFonts w:asciiTheme="majorHAnsi" w:hAnsiTheme="majorHAnsi" w:cs="Calibri"/>
          <w:bCs/>
          <w:sz w:val="22"/>
          <w:szCs w:val="22"/>
          <w:u w:val="single"/>
          <w:lang w:val="fr-CH"/>
        </w:rPr>
        <w:t>sources</w:t>
      </w:r>
    </w:p>
    <w:p w14:paraId="58333446" w14:textId="77777777" w:rsidR="004C5BF4" w:rsidRPr="00BA22DE" w:rsidRDefault="004C5BF4" w:rsidP="004C5BF4">
      <w:pPr>
        <w:pStyle w:val="BodyText"/>
        <w:keepNext/>
        <w:widowControl/>
        <w:tabs>
          <w:tab w:val="left" w:pos="544"/>
        </w:tabs>
        <w:ind w:left="425" w:hanging="425"/>
        <w:rPr>
          <w:rFonts w:asciiTheme="majorHAnsi" w:hAnsiTheme="majorHAnsi" w:cs="Times New Roman"/>
          <w:lang w:val="fr-CH"/>
        </w:rPr>
      </w:pPr>
    </w:p>
    <w:p w14:paraId="49B97934" w14:textId="3862F9C9" w:rsidR="00C64326" w:rsidRPr="00BA22DE" w:rsidRDefault="004C5BF4"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cs="Times New Roman"/>
          <w:lang w:val="fr-CH"/>
        </w:rPr>
        <w:t>15.</w:t>
      </w:r>
      <w:r w:rsidRPr="00BA22DE">
        <w:rPr>
          <w:rFonts w:asciiTheme="majorHAnsi" w:hAnsiTheme="majorHAnsi" w:cs="Times New Roman"/>
          <w:lang w:val="fr-CH"/>
        </w:rPr>
        <w:tab/>
      </w:r>
      <w:r w:rsidR="000A0F97" w:rsidRPr="000A0F97">
        <w:rPr>
          <w:rFonts w:asciiTheme="majorHAnsi" w:hAnsiTheme="majorHAnsi" w:cs="Times New Roman"/>
          <w:lang w:val="fr-CH"/>
        </w:rPr>
        <w:t>Un nouveau directeur de la mobilisation des ressources et de la sensibilisation a été nommé en septembre 2017 pou</w:t>
      </w:r>
      <w:r w:rsidR="000A0F97">
        <w:rPr>
          <w:rFonts w:asciiTheme="majorHAnsi" w:hAnsiTheme="majorHAnsi" w:cs="Times New Roman"/>
          <w:lang w:val="fr-CH"/>
        </w:rPr>
        <w:t>r superviser les communications et</w:t>
      </w:r>
      <w:r w:rsidR="000A0F97" w:rsidRPr="000A0F97">
        <w:rPr>
          <w:rFonts w:asciiTheme="majorHAnsi" w:hAnsiTheme="majorHAnsi" w:cs="Times New Roman"/>
          <w:lang w:val="fr-CH"/>
        </w:rPr>
        <w:t xml:space="preserve"> les partenariats</w:t>
      </w:r>
      <w:r w:rsidR="000A0F97">
        <w:rPr>
          <w:rFonts w:asciiTheme="majorHAnsi" w:hAnsiTheme="majorHAnsi" w:cs="Times New Roman"/>
          <w:lang w:val="fr-CH"/>
        </w:rPr>
        <w:t>,</w:t>
      </w:r>
      <w:r w:rsidR="000A0F97" w:rsidRPr="000A0F97">
        <w:rPr>
          <w:rFonts w:asciiTheme="majorHAnsi" w:hAnsiTheme="majorHAnsi" w:cs="Times New Roman"/>
          <w:lang w:val="fr-CH"/>
        </w:rPr>
        <w:t xml:space="preserve"> et </w:t>
      </w:r>
      <w:r w:rsidR="000A0F97">
        <w:rPr>
          <w:rFonts w:asciiTheme="majorHAnsi" w:hAnsiTheme="majorHAnsi" w:cs="Times New Roman"/>
          <w:lang w:val="fr-CH"/>
        </w:rPr>
        <w:t xml:space="preserve">pour </w:t>
      </w:r>
      <w:r w:rsidR="000A0F97" w:rsidRPr="000A0F97">
        <w:rPr>
          <w:rFonts w:asciiTheme="majorHAnsi" w:hAnsiTheme="majorHAnsi" w:cs="Times New Roman"/>
          <w:lang w:val="fr-CH"/>
        </w:rPr>
        <w:t xml:space="preserve">mobiliser des ressources </w:t>
      </w:r>
      <w:r w:rsidR="000A0F97">
        <w:rPr>
          <w:rFonts w:asciiTheme="majorHAnsi" w:hAnsiTheme="majorHAnsi" w:cs="Times New Roman"/>
          <w:lang w:val="fr-CH"/>
        </w:rPr>
        <w:t xml:space="preserve">en faveur de l’application </w:t>
      </w:r>
      <w:r w:rsidR="000A0F97" w:rsidRPr="000A0F97">
        <w:rPr>
          <w:rFonts w:asciiTheme="majorHAnsi" w:hAnsiTheme="majorHAnsi" w:cs="Times New Roman"/>
          <w:lang w:val="fr-CH"/>
        </w:rPr>
        <w:t xml:space="preserve">de la Convention.  </w:t>
      </w:r>
      <w:r w:rsidR="000A0F97">
        <w:rPr>
          <w:rFonts w:asciiTheme="majorHAnsi" w:hAnsiTheme="majorHAnsi" w:cs="Times New Roman"/>
          <w:lang w:val="fr-CH"/>
        </w:rPr>
        <w:t>Son</w:t>
      </w:r>
      <w:r w:rsidR="000A0F97" w:rsidRPr="000A0F97">
        <w:rPr>
          <w:rFonts w:asciiTheme="majorHAnsi" w:hAnsiTheme="majorHAnsi" w:cs="Times New Roman"/>
          <w:lang w:val="fr-CH"/>
        </w:rPr>
        <w:t xml:space="preserve"> rôle sera d'autant plus important qu'un certain nombre de partenariats Ramsar arrivent à leur terme</w:t>
      </w:r>
      <w:r w:rsidR="000A0F97">
        <w:rPr>
          <w:rFonts w:asciiTheme="majorHAnsi" w:hAnsiTheme="majorHAnsi" w:cs="Times New Roman"/>
          <w:lang w:val="fr-CH"/>
        </w:rPr>
        <w:t> :</w:t>
      </w:r>
    </w:p>
    <w:p w14:paraId="6B6BACE9" w14:textId="6F190A8A" w:rsidR="00C64326" w:rsidRPr="00BA22DE" w:rsidRDefault="00365011" w:rsidP="009A6E0F">
      <w:pPr>
        <w:numPr>
          <w:ilvl w:val="0"/>
          <w:numId w:val="15"/>
        </w:numPr>
        <w:spacing w:after="200"/>
        <w:ind w:left="850" w:hanging="425"/>
        <w:contextualSpacing/>
        <w:rPr>
          <w:rFonts w:asciiTheme="majorHAnsi" w:eastAsia="Calibri" w:hAnsiTheme="majorHAnsi" w:cs="Times New Roman"/>
          <w:sz w:val="22"/>
          <w:szCs w:val="22"/>
          <w:lang w:val="fr-CH"/>
        </w:rPr>
      </w:pPr>
      <w:r>
        <w:rPr>
          <w:rFonts w:asciiTheme="majorHAnsi" w:eastAsia="Calibri" w:hAnsiTheme="majorHAnsi" w:cs="Times New Roman"/>
          <w:sz w:val="22"/>
          <w:szCs w:val="22"/>
          <w:lang w:val="fr-CH"/>
        </w:rPr>
        <w:t>En raison d’</w:t>
      </w:r>
      <w:r w:rsidRPr="00365011">
        <w:rPr>
          <w:rFonts w:asciiTheme="majorHAnsi" w:eastAsia="Calibri" w:hAnsiTheme="majorHAnsi" w:cs="Times New Roman"/>
          <w:sz w:val="22"/>
          <w:szCs w:val="22"/>
          <w:lang w:val="fr-CH"/>
        </w:rPr>
        <w:t>un changement d</w:t>
      </w:r>
      <w:r>
        <w:rPr>
          <w:rFonts w:asciiTheme="majorHAnsi" w:eastAsia="Calibri" w:hAnsiTheme="majorHAnsi" w:cs="Times New Roman"/>
          <w:sz w:val="22"/>
          <w:szCs w:val="22"/>
          <w:lang w:val="fr-CH"/>
        </w:rPr>
        <w:t>e</w:t>
      </w:r>
      <w:r w:rsidRPr="00365011">
        <w:rPr>
          <w:rFonts w:asciiTheme="majorHAnsi" w:eastAsia="Calibri" w:hAnsiTheme="majorHAnsi" w:cs="Times New Roman"/>
          <w:sz w:val="22"/>
          <w:szCs w:val="22"/>
          <w:lang w:val="fr-CH"/>
        </w:rPr>
        <w:t xml:space="preserve"> priorités </w:t>
      </w:r>
      <w:r>
        <w:rPr>
          <w:rFonts w:asciiTheme="majorHAnsi" w:eastAsia="Calibri" w:hAnsiTheme="majorHAnsi" w:cs="Times New Roman"/>
          <w:sz w:val="22"/>
          <w:szCs w:val="22"/>
          <w:lang w:val="fr-CH"/>
        </w:rPr>
        <w:t>chez</w:t>
      </w:r>
      <w:r w:rsidRPr="00365011">
        <w:rPr>
          <w:rFonts w:asciiTheme="majorHAnsi" w:eastAsia="Calibri" w:hAnsiTheme="majorHAnsi" w:cs="Times New Roman"/>
          <w:sz w:val="22"/>
          <w:szCs w:val="22"/>
          <w:lang w:val="fr-CH"/>
        </w:rPr>
        <w:t xml:space="preserve"> Danone, à partir de 2019, le Secrétariat devra </w:t>
      </w:r>
      <w:r>
        <w:rPr>
          <w:rFonts w:asciiTheme="majorHAnsi" w:eastAsia="Calibri" w:hAnsiTheme="majorHAnsi" w:cs="Times New Roman"/>
          <w:sz w:val="22"/>
          <w:szCs w:val="22"/>
          <w:lang w:val="fr-CH"/>
        </w:rPr>
        <w:t xml:space="preserve">réunir </w:t>
      </w:r>
      <w:r w:rsidRPr="00365011">
        <w:rPr>
          <w:rFonts w:asciiTheme="majorHAnsi" w:eastAsia="Calibri" w:hAnsiTheme="majorHAnsi" w:cs="Times New Roman"/>
          <w:sz w:val="22"/>
          <w:szCs w:val="22"/>
          <w:lang w:val="fr-CH"/>
        </w:rPr>
        <w:t>des fonds supplémentaires pour la Journée mondiale des zones humides et le</w:t>
      </w:r>
      <w:r>
        <w:rPr>
          <w:rFonts w:asciiTheme="majorHAnsi" w:eastAsia="Calibri" w:hAnsiTheme="majorHAnsi" w:cs="Times New Roman"/>
          <w:sz w:val="22"/>
          <w:szCs w:val="22"/>
          <w:lang w:val="fr-CH"/>
        </w:rPr>
        <w:t>s</w:t>
      </w:r>
      <w:r w:rsidRPr="00365011">
        <w:rPr>
          <w:rFonts w:asciiTheme="majorHAnsi" w:eastAsia="Calibri" w:hAnsiTheme="majorHAnsi" w:cs="Times New Roman"/>
          <w:sz w:val="22"/>
          <w:szCs w:val="22"/>
          <w:lang w:val="fr-CH"/>
        </w:rPr>
        <w:t xml:space="preserve"> Pr</w:t>
      </w:r>
      <w:r>
        <w:rPr>
          <w:rFonts w:asciiTheme="majorHAnsi" w:eastAsia="Calibri" w:hAnsiTheme="majorHAnsi" w:cs="Times New Roman"/>
          <w:sz w:val="22"/>
          <w:szCs w:val="22"/>
          <w:lang w:val="fr-CH"/>
        </w:rPr>
        <w:t xml:space="preserve">ix </w:t>
      </w:r>
      <w:r w:rsidRPr="00365011">
        <w:rPr>
          <w:rFonts w:asciiTheme="majorHAnsi" w:eastAsia="Calibri" w:hAnsiTheme="majorHAnsi" w:cs="Times New Roman"/>
          <w:sz w:val="22"/>
          <w:szCs w:val="22"/>
          <w:lang w:val="fr-CH"/>
        </w:rPr>
        <w:t>Ramsar</w:t>
      </w:r>
      <w:r w:rsidR="00C64326" w:rsidRPr="00BA22DE">
        <w:rPr>
          <w:rFonts w:asciiTheme="majorHAnsi" w:eastAsia="Calibri" w:hAnsiTheme="majorHAnsi" w:cs="Times New Roman"/>
          <w:sz w:val="22"/>
          <w:szCs w:val="22"/>
          <w:lang w:val="fr-CH"/>
        </w:rPr>
        <w:t xml:space="preserve">.  </w:t>
      </w:r>
    </w:p>
    <w:p w14:paraId="1CD54B80" w14:textId="59505C1E" w:rsidR="00C64326" w:rsidRPr="00BA22DE" w:rsidRDefault="00365011" w:rsidP="009A6E0F">
      <w:pPr>
        <w:numPr>
          <w:ilvl w:val="0"/>
          <w:numId w:val="15"/>
        </w:numPr>
        <w:spacing w:after="200"/>
        <w:ind w:left="850" w:hanging="425"/>
        <w:contextualSpacing/>
        <w:rPr>
          <w:rFonts w:asciiTheme="majorHAnsi" w:eastAsia="Calibri" w:hAnsiTheme="majorHAnsi" w:cs="Times New Roman"/>
          <w:sz w:val="22"/>
          <w:szCs w:val="22"/>
          <w:lang w:val="fr-CH"/>
        </w:rPr>
      </w:pPr>
      <w:r>
        <w:rPr>
          <w:rFonts w:asciiTheme="majorHAnsi" w:eastAsia="Calibri" w:hAnsiTheme="majorHAnsi" w:cs="Times New Roman"/>
          <w:sz w:val="22"/>
          <w:szCs w:val="22"/>
          <w:lang w:val="fr-CH"/>
        </w:rPr>
        <w:t xml:space="preserve">Le partenariat </w:t>
      </w:r>
      <w:r w:rsidR="00C64326" w:rsidRPr="00BA22DE">
        <w:rPr>
          <w:rFonts w:asciiTheme="majorHAnsi" w:eastAsia="Calibri" w:hAnsiTheme="majorHAnsi" w:cs="Times New Roman"/>
          <w:sz w:val="22"/>
          <w:szCs w:val="22"/>
          <w:lang w:val="fr-CH"/>
        </w:rPr>
        <w:t xml:space="preserve">Star Alliance </w:t>
      </w:r>
      <w:r>
        <w:rPr>
          <w:rFonts w:asciiTheme="majorHAnsi" w:eastAsia="Calibri" w:hAnsiTheme="majorHAnsi" w:cs="Times New Roman"/>
          <w:sz w:val="22"/>
          <w:szCs w:val="22"/>
          <w:lang w:val="fr-CH"/>
        </w:rPr>
        <w:t xml:space="preserve">tant avec la </w:t>
      </w:r>
      <w:r w:rsidR="00C64326" w:rsidRPr="00BA22DE">
        <w:rPr>
          <w:rFonts w:asciiTheme="majorHAnsi" w:eastAsia="Calibri" w:hAnsiTheme="majorHAnsi" w:cs="Times New Roman"/>
          <w:sz w:val="22"/>
          <w:szCs w:val="22"/>
          <w:lang w:val="fr-CH"/>
        </w:rPr>
        <w:t xml:space="preserve">Convention </w:t>
      </w:r>
      <w:r>
        <w:rPr>
          <w:rFonts w:asciiTheme="majorHAnsi" w:eastAsia="Calibri" w:hAnsiTheme="majorHAnsi" w:cs="Times New Roman"/>
          <w:sz w:val="22"/>
          <w:szCs w:val="22"/>
          <w:lang w:val="fr-CH"/>
        </w:rPr>
        <w:t xml:space="preserve">qu’avec l’UICN </w:t>
      </w:r>
      <w:r w:rsidR="00C64326" w:rsidRPr="00BA22DE">
        <w:rPr>
          <w:rFonts w:asciiTheme="majorHAnsi" w:eastAsia="Calibri" w:hAnsiTheme="majorHAnsi" w:cs="Times New Roman"/>
          <w:sz w:val="22"/>
          <w:szCs w:val="22"/>
          <w:lang w:val="fr-CH"/>
        </w:rPr>
        <w:t>a</w:t>
      </w:r>
      <w:r>
        <w:rPr>
          <w:rFonts w:asciiTheme="majorHAnsi" w:eastAsia="Calibri" w:hAnsiTheme="majorHAnsi" w:cs="Times New Roman"/>
          <w:sz w:val="22"/>
          <w:szCs w:val="22"/>
          <w:lang w:val="fr-CH"/>
        </w:rPr>
        <w:t xml:space="preserve"> pris fin en </w:t>
      </w:r>
      <w:r w:rsidR="00C64326" w:rsidRPr="00BA22DE">
        <w:rPr>
          <w:rFonts w:asciiTheme="majorHAnsi" w:eastAsia="Calibri" w:hAnsiTheme="majorHAnsi" w:cs="Times New Roman"/>
          <w:sz w:val="22"/>
          <w:szCs w:val="22"/>
          <w:lang w:val="fr-CH"/>
        </w:rPr>
        <w:t xml:space="preserve">2017.  </w:t>
      </w:r>
    </w:p>
    <w:p w14:paraId="3DBE33DC" w14:textId="7F9AC287" w:rsidR="00C64326" w:rsidRPr="00BA22DE" w:rsidRDefault="00365011" w:rsidP="009A6E0F">
      <w:pPr>
        <w:numPr>
          <w:ilvl w:val="0"/>
          <w:numId w:val="15"/>
        </w:numPr>
        <w:spacing w:after="200"/>
        <w:ind w:left="850" w:hanging="425"/>
        <w:rPr>
          <w:rFonts w:asciiTheme="majorHAnsi" w:eastAsia="Calibri" w:hAnsiTheme="majorHAnsi" w:cs="Times New Roman"/>
          <w:sz w:val="22"/>
          <w:szCs w:val="22"/>
          <w:lang w:val="fr-CH"/>
        </w:rPr>
      </w:pPr>
      <w:r>
        <w:rPr>
          <w:rFonts w:asciiTheme="majorHAnsi" w:eastAsia="Calibri" w:hAnsiTheme="majorHAnsi" w:cs="Times New Roman"/>
          <w:sz w:val="22"/>
          <w:szCs w:val="22"/>
          <w:lang w:val="fr-CH"/>
        </w:rPr>
        <w:lastRenderedPageBreak/>
        <w:t xml:space="preserve">Le projet </w:t>
      </w:r>
      <w:r w:rsidR="00C64326" w:rsidRPr="00BA22DE">
        <w:rPr>
          <w:rFonts w:asciiTheme="majorHAnsi" w:eastAsia="Calibri" w:hAnsiTheme="majorHAnsi" w:cs="Times New Roman"/>
          <w:sz w:val="22"/>
          <w:szCs w:val="22"/>
          <w:lang w:val="fr-CH"/>
        </w:rPr>
        <w:t>culture</w:t>
      </w:r>
      <w:r>
        <w:rPr>
          <w:rFonts w:asciiTheme="majorHAnsi" w:eastAsia="Calibri" w:hAnsiTheme="majorHAnsi" w:cs="Times New Roman"/>
          <w:sz w:val="22"/>
          <w:szCs w:val="22"/>
          <w:lang w:val="fr-CH"/>
        </w:rPr>
        <w:t>l</w:t>
      </w:r>
      <w:r w:rsidRPr="00805C19">
        <w:rPr>
          <w:lang w:val="fr-FR"/>
        </w:rPr>
        <w:t xml:space="preserve"> </w:t>
      </w:r>
      <w:r w:rsidRPr="00365011">
        <w:rPr>
          <w:rFonts w:asciiTheme="majorHAnsi" w:eastAsia="Calibri" w:hAnsiTheme="majorHAnsi" w:cs="Times New Roman"/>
          <w:sz w:val="22"/>
          <w:szCs w:val="22"/>
          <w:lang w:val="fr-CH"/>
        </w:rPr>
        <w:t xml:space="preserve">financé dans le cadre d'un accord avec la Fondation MAVA s'est achevé en mars </w:t>
      </w:r>
      <w:r w:rsidR="00C64326" w:rsidRPr="00BA22DE">
        <w:rPr>
          <w:rFonts w:asciiTheme="majorHAnsi" w:eastAsia="Calibri" w:hAnsiTheme="majorHAnsi" w:cs="Times New Roman"/>
          <w:sz w:val="22"/>
          <w:szCs w:val="22"/>
          <w:lang w:val="fr-CH"/>
        </w:rPr>
        <w:t>2018</w:t>
      </w:r>
      <w:r>
        <w:rPr>
          <w:rFonts w:asciiTheme="majorHAnsi" w:eastAsia="Calibri" w:hAnsiTheme="majorHAnsi" w:cs="Times New Roman"/>
          <w:sz w:val="22"/>
          <w:szCs w:val="22"/>
          <w:lang w:val="fr-CH"/>
        </w:rPr>
        <w:t>.</w:t>
      </w:r>
    </w:p>
    <w:p w14:paraId="44D847E7" w14:textId="397607F1" w:rsidR="00C64326" w:rsidRPr="00BA22DE" w:rsidRDefault="004C5BF4"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lang w:val="fr-CH"/>
        </w:rPr>
        <w:t>16.</w:t>
      </w:r>
      <w:r w:rsidRPr="00BA22DE">
        <w:rPr>
          <w:rFonts w:asciiTheme="majorHAnsi" w:hAnsiTheme="majorHAnsi"/>
          <w:lang w:val="fr-CH"/>
        </w:rPr>
        <w:tab/>
      </w:r>
      <w:r w:rsidR="00365011" w:rsidRPr="00365011">
        <w:rPr>
          <w:rFonts w:asciiTheme="majorHAnsi" w:hAnsiTheme="majorHAnsi"/>
          <w:lang w:val="fr-CH"/>
        </w:rPr>
        <w:t>Le Comité permanent</w:t>
      </w:r>
      <w:r w:rsidR="00365011">
        <w:rPr>
          <w:rFonts w:asciiTheme="majorHAnsi" w:hAnsiTheme="majorHAnsi"/>
          <w:lang w:val="fr-CH"/>
        </w:rPr>
        <w:t>, lors de sa</w:t>
      </w:r>
      <w:r w:rsidR="00365011" w:rsidRPr="00365011">
        <w:rPr>
          <w:rFonts w:asciiTheme="majorHAnsi" w:hAnsiTheme="majorHAnsi"/>
          <w:lang w:val="fr-CH"/>
        </w:rPr>
        <w:t xml:space="preserve"> 54</w:t>
      </w:r>
      <w:r w:rsidR="00365011" w:rsidRPr="00365011">
        <w:rPr>
          <w:rFonts w:asciiTheme="majorHAnsi" w:hAnsiTheme="majorHAnsi"/>
          <w:vertAlign w:val="superscript"/>
          <w:lang w:val="fr-CH"/>
        </w:rPr>
        <w:t>e</w:t>
      </w:r>
      <w:r w:rsidR="00365011">
        <w:rPr>
          <w:rFonts w:asciiTheme="majorHAnsi" w:hAnsiTheme="majorHAnsi"/>
          <w:lang w:val="fr-CH"/>
        </w:rPr>
        <w:t xml:space="preserve"> Réunion,</w:t>
      </w:r>
      <w:r w:rsidR="00365011" w:rsidRPr="00365011">
        <w:rPr>
          <w:rFonts w:asciiTheme="majorHAnsi" w:hAnsiTheme="majorHAnsi"/>
          <w:lang w:val="fr-CH"/>
        </w:rPr>
        <w:t xml:space="preserve"> a approuvé un plan de travail </w:t>
      </w:r>
      <w:r w:rsidR="00365011">
        <w:rPr>
          <w:rFonts w:asciiTheme="majorHAnsi" w:hAnsiTheme="majorHAnsi"/>
          <w:lang w:val="fr-CH"/>
        </w:rPr>
        <w:t>relatif à la mobilisation de</w:t>
      </w:r>
      <w:r w:rsidR="00365011" w:rsidRPr="00365011">
        <w:rPr>
          <w:rFonts w:asciiTheme="majorHAnsi" w:hAnsiTheme="majorHAnsi"/>
          <w:lang w:val="fr-CH"/>
        </w:rPr>
        <w:t xml:space="preserve"> ressources </w:t>
      </w:r>
      <w:r w:rsidR="00365011">
        <w:rPr>
          <w:rFonts w:asciiTheme="majorHAnsi" w:hAnsiTheme="majorHAnsi"/>
          <w:lang w:val="fr-CH"/>
        </w:rPr>
        <w:t xml:space="preserve">en faveur </w:t>
      </w:r>
      <w:r w:rsidR="00365011" w:rsidRPr="00365011">
        <w:rPr>
          <w:rFonts w:asciiTheme="majorHAnsi" w:hAnsiTheme="majorHAnsi"/>
          <w:lang w:val="fr-CH"/>
        </w:rPr>
        <w:t>de la Convention de Ramsar pour guider le Secrétariat dans ses activités de collecte de fonds et de sensibilisation.</w:t>
      </w:r>
      <w:r w:rsidR="00365011">
        <w:rPr>
          <w:rFonts w:asciiTheme="majorHAnsi" w:hAnsiTheme="majorHAnsi"/>
          <w:lang w:val="fr-CH"/>
        </w:rPr>
        <w:t xml:space="preserve">  Le Secrétariat attend de la CO</w:t>
      </w:r>
      <w:r w:rsidR="00365011" w:rsidRPr="00365011">
        <w:rPr>
          <w:rFonts w:asciiTheme="majorHAnsi" w:hAnsiTheme="majorHAnsi"/>
          <w:lang w:val="fr-CH"/>
        </w:rPr>
        <w:t xml:space="preserve">P13 qu'elle donne des orientations sur les besoins </w:t>
      </w:r>
      <w:r w:rsidR="00E54D84">
        <w:rPr>
          <w:rFonts w:asciiTheme="majorHAnsi" w:hAnsiTheme="majorHAnsi"/>
          <w:lang w:val="fr-CH"/>
        </w:rPr>
        <w:t xml:space="preserve">prioritaires en termes </w:t>
      </w:r>
      <w:r w:rsidR="00365011" w:rsidRPr="00365011">
        <w:rPr>
          <w:rFonts w:asciiTheme="majorHAnsi" w:hAnsiTheme="majorHAnsi"/>
          <w:lang w:val="fr-CH"/>
        </w:rPr>
        <w:t xml:space="preserve">de financement non </w:t>
      </w:r>
      <w:r w:rsidR="00E54D84">
        <w:rPr>
          <w:rFonts w:asciiTheme="majorHAnsi" w:hAnsiTheme="majorHAnsi"/>
          <w:lang w:val="fr-CH"/>
        </w:rPr>
        <w:t xml:space="preserve">administratif </w:t>
      </w:r>
      <w:r w:rsidR="00365011" w:rsidRPr="00365011">
        <w:rPr>
          <w:rFonts w:asciiTheme="majorHAnsi" w:hAnsiTheme="majorHAnsi"/>
          <w:lang w:val="fr-CH"/>
        </w:rPr>
        <w:t>à l'appui de la CESP.</w:t>
      </w:r>
      <w:r w:rsidR="00C64326" w:rsidRPr="00BA22DE">
        <w:rPr>
          <w:rFonts w:asciiTheme="majorHAnsi" w:hAnsiTheme="majorHAnsi" w:cs="Times New Roman"/>
          <w:lang w:val="fr-CH"/>
        </w:rPr>
        <w:t xml:space="preserve"> </w:t>
      </w:r>
    </w:p>
    <w:p w14:paraId="65A9DC37" w14:textId="77777777" w:rsidR="004C5BF4" w:rsidRPr="00BA22DE" w:rsidRDefault="004C5BF4" w:rsidP="004C3670">
      <w:pPr>
        <w:pStyle w:val="BodyText"/>
        <w:widowControl/>
        <w:tabs>
          <w:tab w:val="left" w:pos="544"/>
        </w:tabs>
        <w:ind w:left="425" w:hanging="425"/>
        <w:rPr>
          <w:rFonts w:asciiTheme="majorHAnsi" w:hAnsiTheme="majorHAnsi"/>
          <w:lang w:val="fr-CH"/>
        </w:rPr>
      </w:pPr>
    </w:p>
    <w:p w14:paraId="384B3F9C" w14:textId="703B3B18" w:rsidR="00C64326" w:rsidRPr="00BA22DE" w:rsidRDefault="004C5BF4"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lang w:val="fr-CH"/>
        </w:rPr>
        <w:t>17.</w:t>
      </w:r>
      <w:r w:rsidRPr="00BA22DE">
        <w:rPr>
          <w:rFonts w:asciiTheme="majorHAnsi" w:hAnsiTheme="majorHAnsi"/>
          <w:lang w:val="fr-CH"/>
        </w:rPr>
        <w:tab/>
      </w:r>
      <w:r w:rsidR="00E54D84">
        <w:rPr>
          <w:rFonts w:asciiTheme="majorHAnsi" w:hAnsiTheme="majorHAnsi"/>
          <w:lang w:val="fr-CH"/>
        </w:rPr>
        <w:t>Le projet de résolution 18.6 soumis à</w:t>
      </w:r>
      <w:r w:rsidR="00E54D84" w:rsidRPr="00E54D84">
        <w:rPr>
          <w:rFonts w:asciiTheme="majorHAnsi" w:hAnsiTheme="majorHAnsi"/>
          <w:lang w:val="fr-CH"/>
        </w:rPr>
        <w:t xml:space="preserve"> la COP13 </w:t>
      </w:r>
      <w:r w:rsidR="00E54D84">
        <w:rPr>
          <w:rFonts w:asciiTheme="majorHAnsi" w:hAnsiTheme="majorHAnsi"/>
          <w:lang w:val="fr-CH"/>
        </w:rPr>
        <w:t>« E</w:t>
      </w:r>
      <w:r w:rsidR="00E54D84" w:rsidRPr="00E54D84">
        <w:rPr>
          <w:rFonts w:asciiTheme="majorHAnsi" w:hAnsiTheme="majorHAnsi"/>
          <w:lang w:val="fr-CH"/>
        </w:rPr>
        <w:t>xamen du quatrième Plan stratégi</w:t>
      </w:r>
      <w:r w:rsidR="00E54D84">
        <w:rPr>
          <w:rFonts w:asciiTheme="majorHAnsi" w:hAnsiTheme="majorHAnsi"/>
          <w:lang w:val="fr-CH"/>
        </w:rPr>
        <w:t>que de la Convention de Ramsar »</w:t>
      </w:r>
      <w:r w:rsidR="00E54D84" w:rsidRPr="00E54D84">
        <w:rPr>
          <w:rFonts w:asciiTheme="majorHAnsi" w:hAnsiTheme="majorHAnsi"/>
          <w:lang w:val="fr-CH"/>
        </w:rPr>
        <w:t xml:space="preserve"> </w:t>
      </w:r>
      <w:r w:rsidR="00B26BF0">
        <w:rPr>
          <w:rFonts w:asciiTheme="majorHAnsi" w:hAnsiTheme="majorHAnsi"/>
          <w:lang w:val="fr-CH"/>
        </w:rPr>
        <w:t>souligne</w:t>
      </w:r>
      <w:r w:rsidR="00E54D84" w:rsidRPr="00E54D84">
        <w:rPr>
          <w:rFonts w:asciiTheme="majorHAnsi" w:hAnsiTheme="majorHAnsi"/>
          <w:lang w:val="fr-CH"/>
        </w:rPr>
        <w:t xml:space="preserve"> l'importance d'allouer des ressources adéquates à la CESP et demande au Secrétariat de renforcer son soutien à la mise en œuvre du Programme de CESP </w:t>
      </w:r>
      <w:r w:rsidR="00B26BF0">
        <w:rPr>
          <w:rFonts w:asciiTheme="majorHAnsi" w:hAnsiTheme="majorHAnsi"/>
          <w:lang w:val="fr-CH"/>
        </w:rPr>
        <w:t xml:space="preserve">en affectant </w:t>
      </w:r>
      <w:r w:rsidR="00E54D84" w:rsidRPr="00E54D84">
        <w:rPr>
          <w:rFonts w:asciiTheme="majorHAnsi" w:hAnsiTheme="majorHAnsi"/>
          <w:lang w:val="fr-CH"/>
        </w:rPr>
        <w:t xml:space="preserve">des ressources </w:t>
      </w:r>
      <w:r w:rsidR="00941127">
        <w:rPr>
          <w:rFonts w:asciiTheme="majorHAnsi" w:hAnsiTheme="majorHAnsi"/>
          <w:lang w:val="fr-CH"/>
        </w:rPr>
        <w:t xml:space="preserve">suffisantes </w:t>
      </w:r>
      <w:r w:rsidR="00E54D84" w:rsidRPr="00E54D84">
        <w:rPr>
          <w:rFonts w:asciiTheme="majorHAnsi" w:hAnsiTheme="majorHAnsi"/>
          <w:lang w:val="fr-CH"/>
        </w:rPr>
        <w:t xml:space="preserve">en personnel, sous réserve des </w:t>
      </w:r>
      <w:r w:rsidR="00B26BF0">
        <w:rPr>
          <w:rFonts w:asciiTheme="majorHAnsi" w:hAnsiTheme="majorHAnsi"/>
          <w:lang w:val="fr-CH"/>
        </w:rPr>
        <w:t>fonds</w:t>
      </w:r>
      <w:r w:rsidR="00E54D84" w:rsidRPr="00E54D84">
        <w:rPr>
          <w:rFonts w:asciiTheme="majorHAnsi" w:hAnsiTheme="majorHAnsi"/>
          <w:lang w:val="fr-CH"/>
        </w:rPr>
        <w:t xml:space="preserve"> disponibles.  Il invite également les Parties, les autres gouvernements, les institutions financières et les autres </w:t>
      </w:r>
      <w:r w:rsidR="00B26BF0">
        <w:rPr>
          <w:rFonts w:asciiTheme="majorHAnsi" w:hAnsiTheme="majorHAnsi"/>
          <w:lang w:val="fr-CH"/>
        </w:rPr>
        <w:t xml:space="preserve">agents d’exécution </w:t>
      </w:r>
      <w:r w:rsidR="00E54D84" w:rsidRPr="00E54D84">
        <w:rPr>
          <w:rFonts w:asciiTheme="majorHAnsi" w:hAnsiTheme="majorHAnsi"/>
          <w:lang w:val="fr-CH"/>
        </w:rPr>
        <w:t>qui sont en mesure de le faire à dégager des resso</w:t>
      </w:r>
      <w:r w:rsidR="00B26BF0">
        <w:rPr>
          <w:rFonts w:asciiTheme="majorHAnsi" w:hAnsiTheme="majorHAnsi"/>
          <w:lang w:val="fr-CH"/>
        </w:rPr>
        <w:t>urces pour la mise en œuvre du P</w:t>
      </w:r>
      <w:r w:rsidR="00E54D84" w:rsidRPr="00E54D84">
        <w:rPr>
          <w:rFonts w:asciiTheme="majorHAnsi" w:hAnsiTheme="majorHAnsi"/>
          <w:lang w:val="fr-CH"/>
        </w:rPr>
        <w:t>rogramme de CESP</w:t>
      </w:r>
      <w:r w:rsidR="00C64326" w:rsidRPr="00BA22DE">
        <w:rPr>
          <w:rFonts w:asciiTheme="majorHAnsi" w:hAnsiTheme="majorHAnsi" w:cs="Times New Roman"/>
          <w:lang w:val="fr-CH"/>
        </w:rPr>
        <w:t xml:space="preserve">.  </w:t>
      </w:r>
    </w:p>
    <w:p w14:paraId="737924E5" w14:textId="77777777" w:rsidR="004C5BF4" w:rsidRPr="00BA22DE" w:rsidRDefault="004C5BF4" w:rsidP="004C3670">
      <w:pPr>
        <w:pStyle w:val="BodyText"/>
        <w:widowControl/>
        <w:tabs>
          <w:tab w:val="left" w:pos="544"/>
        </w:tabs>
        <w:ind w:left="425" w:hanging="425"/>
        <w:rPr>
          <w:rFonts w:asciiTheme="majorHAnsi" w:hAnsiTheme="majorHAnsi" w:cs="Times New Roman"/>
          <w:lang w:val="fr-CH"/>
        </w:rPr>
      </w:pPr>
    </w:p>
    <w:p w14:paraId="39D42395" w14:textId="4D18D7B0" w:rsidR="00C64326" w:rsidRPr="00BA22DE" w:rsidRDefault="00B26BF0" w:rsidP="004C3670">
      <w:pPr>
        <w:autoSpaceDE w:val="0"/>
        <w:autoSpaceDN w:val="0"/>
        <w:adjustRightInd w:val="0"/>
        <w:rPr>
          <w:rFonts w:asciiTheme="majorHAnsi" w:hAnsiTheme="majorHAnsi" w:cs="Calibri"/>
          <w:bCs/>
          <w:sz w:val="22"/>
          <w:szCs w:val="22"/>
          <w:u w:val="single"/>
          <w:lang w:val="fr-CH"/>
        </w:rPr>
      </w:pPr>
      <w:r w:rsidRPr="00B26BF0">
        <w:rPr>
          <w:rFonts w:asciiTheme="majorHAnsi" w:hAnsiTheme="majorHAnsi" w:cs="Calibri"/>
          <w:bCs/>
          <w:sz w:val="22"/>
          <w:szCs w:val="22"/>
          <w:u w:val="single"/>
          <w:lang w:val="fr-CH"/>
        </w:rPr>
        <w:t xml:space="preserve">Une nouvelle approche </w:t>
      </w:r>
      <w:r w:rsidR="002A5FB1">
        <w:rPr>
          <w:rFonts w:asciiTheme="majorHAnsi" w:hAnsiTheme="majorHAnsi" w:cs="Calibri"/>
          <w:bCs/>
          <w:sz w:val="22"/>
          <w:szCs w:val="22"/>
          <w:u w:val="single"/>
          <w:lang w:val="fr-CH"/>
        </w:rPr>
        <w:t>en matière de conseils et de</w:t>
      </w:r>
      <w:r w:rsidR="00934FCA">
        <w:rPr>
          <w:rFonts w:asciiTheme="majorHAnsi" w:hAnsiTheme="majorHAnsi" w:cs="Calibri"/>
          <w:bCs/>
          <w:sz w:val="22"/>
          <w:szCs w:val="22"/>
          <w:u w:val="single"/>
          <w:lang w:val="fr-CH"/>
        </w:rPr>
        <w:t xml:space="preserve"> soutien à la </w:t>
      </w:r>
      <w:r w:rsidRPr="00B26BF0">
        <w:rPr>
          <w:rFonts w:asciiTheme="majorHAnsi" w:hAnsiTheme="majorHAnsi" w:cs="Calibri"/>
          <w:bCs/>
          <w:sz w:val="22"/>
          <w:szCs w:val="22"/>
          <w:u w:val="single"/>
          <w:lang w:val="fr-CH"/>
        </w:rPr>
        <w:t>CESP dans la Convention</w:t>
      </w:r>
    </w:p>
    <w:p w14:paraId="09895909" w14:textId="77777777" w:rsidR="004C5BF4" w:rsidRPr="00BA22DE" w:rsidRDefault="004C5BF4" w:rsidP="004C3670">
      <w:pPr>
        <w:pStyle w:val="BodyText"/>
        <w:widowControl/>
        <w:tabs>
          <w:tab w:val="left" w:pos="544"/>
        </w:tabs>
        <w:ind w:left="425" w:hanging="425"/>
        <w:rPr>
          <w:rFonts w:asciiTheme="majorHAnsi" w:hAnsiTheme="majorHAnsi"/>
          <w:lang w:val="fr-CH"/>
        </w:rPr>
      </w:pPr>
    </w:p>
    <w:p w14:paraId="1A65D1CA" w14:textId="4583BDC5" w:rsidR="00C64326" w:rsidRPr="00225362" w:rsidRDefault="004C5BF4" w:rsidP="00225362">
      <w:pPr>
        <w:pStyle w:val="BodyText"/>
        <w:widowControl/>
        <w:tabs>
          <w:tab w:val="left" w:pos="544"/>
        </w:tabs>
        <w:ind w:left="425" w:hanging="425"/>
        <w:rPr>
          <w:rFonts w:asciiTheme="majorHAnsi" w:hAnsiTheme="majorHAnsi"/>
          <w:lang w:val="fr-CH"/>
        </w:rPr>
      </w:pPr>
      <w:r w:rsidRPr="00BA22DE">
        <w:rPr>
          <w:rFonts w:asciiTheme="majorHAnsi" w:hAnsiTheme="majorHAnsi"/>
          <w:lang w:val="fr-CH"/>
        </w:rPr>
        <w:t>18.</w:t>
      </w:r>
      <w:r w:rsidRPr="00BA22DE">
        <w:rPr>
          <w:rFonts w:asciiTheme="majorHAnsi" w:hAnsiTheme="majorHAnsi"/>
          <w:lang w:val="fr-CH"/>
        </w:rPr>
        <w:tab/>
      </w:r>
      <w:r w:rsidR="00934FCA">
        <w:rPr>
          <w:rFonts w:asciiTheme="majorHAnsi" w:hAnsiTheme="majorHAnsi"/>
          <w:lang w:val="fr-CH"/>
        </w:rPr>
        <w:t>La Résolution XII.9 de</w:t>
      </w:r>
      <w:r w:rsidR="00934FCA" w:rsidRPr="00934FCA">
        <w:rPr>
          <w:rFonts w:asciiTheme="majorHAnsi" w:hAnsiTheme="majorHAnsi"/>
          <w:lang w:val="fr-CH"/>
        </w:rPr>
        <w:t xml:space="preserve"> 2015 </w:t>
      </w:r>
      <w:r w:rsidR="002A5FB1">
        <w:rPr>
          <w:rFonts w:asciiTheme="majorHAnsi" w:hAnsiTheme="majorHAnsi"/>
          <w:lang w:val="fr-CH"/>
        </w:rPr>
        <w:t xml:space="preserve">priait le </w:t>
      </w:r>
      <w:r w:rsidR="00934FCA" w:rsidRPr="00934FCA">
        <w:rPr>
          <w:rFonts w:asciiTheme="majorHAnsi" w:hAnsiTheme="majorHAnsi"/>
          <w:lang w:val="fr-CH"/>
        </w:rPr>
        <w:t>Comité permanent d'établir un mécanisme pour guider les activités de</w:t>
      </w:r>
      <w:r w:rsidR="002A5FB1">
        <w:rPr>
          <w:rFonts w:asciiTheme="majorHAnsi" w:hAnsiTheme="majorHAnsi"/>
          <w:lang w:val="fr-CH"/>
        </w:rPr>
        <w:t xml:space="preserve"> communication du Secrétariat, notamment en ce qui concerne </w:t>
      </w:r>
      <w:r w:rsidR="00934FCA" w:rsidRPr="00934FCA">
        <w:rPr>
          <w:rFonts w:asciiTheme="majorHAnsi" w:hAnsiTheme="majorHAnsi"/>
          <w:lang w:val="fr-CH"/>
        </w:rPr>
        <w:t xml:space="preserve">l'établissement des priorités et la conception du Plan d'action du Secrétariat pour la CESP, le suivi de l'efficacité du Plan et l'élaboration, avec les conseils du Groupe d'évaluation scientifique et technique (GEST), d'une nouvelle approche </w:t>
      </w:r>
      <w:r w:rsidR="002A5FB1">
        <w:rPr>
          <w:rFonts w:asciiTheme="majorHAnsi" w:hAnsiTheme="majorHAnsi"/>
          <w:lang w:val="fr-CH"/>
        </w:rPr>
        <w:t>en matière de conseil et de soutien à</w:t>
      </w:r>
      <w:r w:rsidR="00934FCA" w:rsidRPr="00934FCA">
        <w:rPr>
          <w:rFonts w:asciiTheme="majorHAnsi" w:hAnsiTheme="majorHAnsi"/>
          <w:lang w:val="fr-CH"/>
        </w:rPr>
        <w:t xml:space="preserve"> la CESP dans la C</w:t>
      </w:r>
      <w:r w:rsidR="002A5FB1">
        <w:rPr>
          <w:rFonts w:asciiTheme="majorHAnsi" w:hAnsiTheme="majorHAnsi"/>
          <w:lang w:val="fr-CH"/>
        </w:rPr>
        <w:t xml:space="preserve">onvention.  Le Comité permanent, lors de sa </w:t>
      </w:r>
      <w:r w:rsidR="00934FCA" w:rsidRPr="00934FCA">
        <w:rPr>
          <w:rFonts w:asciiTheme="majorHAnsi" w:hAnsiTheme="majorHAnsi"/>
          <w:lang w:val="fr-CH"/>
        </w:rPr>
        <w:t>50</w:t>
      </w:r>
      <w:r w:rsidR="002A5FB1" w:rsidRPr="00225362">
        <w:rPr>
          <w:rFonts w:asciiTheme="majorHAnsi" w:hAnsiTheme="majorHAnsi"/>
          <w:vertAlign w:val="superscript"/>
          <w:lang w:val="fr-CH"/>
        </w:rPr>
        <w:t>e</w:t>
      </w:r>
      <w:r w:rsidR="00934FCA" w:rsidRPr="00934FCA">
        <w:rPr>
          <w:rFonts w:asciiTheme="majorHAnsi" w:hAnsiTheme="majorHAnsi"/>
          <w:lang w:val="fr-CH"/>
        </w:rPr>
        <w:t xml:space="preserve"> </w:t>
      </w:r>
      <w:r w:rsidR="002A5FB1">
        <w:rPr>
          <w:rFonts w:asciiTheme="majorHAnsi" w:hAnsiTheme="majorHAnsi"/>
          <w:lang w:val="fr-CH"/>
        </w:rPr>
        <w:t xml:space="preserve">Réunion, </w:t>
      </w:r>
      <w:r w:rsidR="008728FE">
        <w:rPr>
          <w:rFonts w:asciiTheme="majorHAnsi" w:hAnsiTheme="majorHAnsi"/>
          <w:lang w:val="fr-CH"/>
        </w:rPr>
        <w:t>a établi un G</w:t>
      </w:r>
      <w:r w:rsidR="00934FCA" w:rsidRPr="00934FCA">
        <w:rPr>
          <w:rFonts w:asciiTheme="majorHAnsi" w:hAnsiTheme="majorHAnsi"/>
          <w:lang w:val="fr-CH"/>
        </w:rPr>
        <w:t xml:space="preserve">roupe de travail </w:t>
      </w:r>
      <w:r w:rsidR="00717253" w:rsidRPr="00717253">
        <w:rPr>
          <w:rFonts w:asciiTheme="majorHAnsi" w:hAnsiTheme="majorHAnsi"/>
          <w:lang w:val="fr-CH"/>
        </w:rPr>
        <w:t xml:space="preserve">chargé de superviser la mise en œuvre de la </w:t>
      </w:r>
      <w:r w:rsidR="0071074F">
        <w:rPr>
          <w:rFonts w:asciiTheme="majorHAnsi" w:hAnsiTheme="majorHAnsi"/>
          <w:lang w:val="fr-CH"/>
        </w:rPr>
        <w:t xml:space="preserve">CESP </w:t>
      </w:r>
      <w:r w:rsidR="00934FCA" w:rsidRPr="00934FCA">
        <w:rPr>
          <w:rFonts w:asciiTheme="majorHAnsi" w:hAnsiTheme="majorHAnsi"/>
          <w:lang w:val="fr-CH"/>
        </w:rPr>
        <w:t>pour remplir ces fonctions et travailler en parallèle avec le Groupe de surveillance de</w:t>
      </w:r>
      <w:r w:rsidR="0071074F">
        <w:rPr>
          <w:rFonts w:asciiTheme="majorHAnsi" w:hAnsiTheme="majorHAnsi"/>
          <w:lang w:val="fr-CH"/>
        </w:rPr>
        <w:t>s activités de</w:t>
      </w:r>
      <w:r w:rsidR="00934FCA" w:rsidRPr="00934FCA">
        <w:rPr>
          <w:rFonts w:asciiTheme="majorHAnsi" w:hAnsiTheme="majorHAnsi"/>
          <w:lang w:val="fr-CH"/>
        </w:rPr>
        <w:t xml:space="preserve"> </w:t>
      </w:r>
      <w:r w:rsidR="0071074F">
        <w:rPr>
          <w:rFonts w:asciiTheme="majorHAnsi" w:hAnsiTheme="majorHAnsi"/>
          <w:lang w:val="fr-CH"/>
        </w:rPr>
        <w:t>CESP</w:t>
      </w:r>
      <w:r w:rsidR="00C64326" w:rsidRPr="00BA22DE">
        <w:rPr>
          <w:rFonts w:asciiTheme="majorHAnsi" w:hAnsiTheme="majorHAnsi" w:cs="Times New Roman"/>
          <w:lang w:val="fr-CH"/>
        </w:rPr>
        <w:t>.</w:t>
      </w:r>
    </w:p>
    <w:p w14:paraId="4E8F39F5" w14:textId="77777777" w:rsidR="004C5BF4" w:rsidRPr="00BA22DE" w:rsidRDefault="004C5BF4" w:rsidP="004C3670">
      <w:pPr>
        <w:pStyle w:val="BodyText"/>
        <w:widowControl/>
        <w:tabs>
          <w:tab w:val="left" w:pos="544"/>
        </w:tabs>
        <w:ind w:left="425" w:hanging="425"/>
        <w:rPr>
          <w:rFonts w:asciiTheme="majorHAnsi" w:hAnsiTheme="majorHAnsi" w:cs="Times New Roman"/>
          <w:lang w:val="fr-CH"/>
        </w:rPr>
      </w:pPr>
    </w:p>
    <w:p w14:paraId="4F2DF0DF" w14:textId="55E58D6E" w:rsidR="00C64326" w:rsidRPr="00BA22DE" w:rsidRDefault="004C5BF4"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cs="Times New Roman"/>
          <w:lang w:val="fr-CH"/>
        </w:rPr>
        <w:t>19.</w:t>
      </w:r>
      <w:r w:rsidRPr="00BA22DE">
        <w:rPr>
          <w:rFonts w:asciiTheme="majorHAnsi" w:hAnsiTheme="majorHAnsi" w:cs="Times New Roman"/>
          <w:lang w:val="fr-CH"/>
        </w:rPr>
        <w:tab/>
      </w:r>
      <w:r w:rsidR="007574CC">
        <w:rPr>
          <w:rFonts w:asciiTheme="majorHAnsi" w:hAnsiTheme="majorHAnsi" w:cs="Times New Roman"/>
          <w:lang w:val="fr-CH"/>
        </w:rPr>
        <w:t xml:space="preserve">Lors de la </w:t>
      </w:r>
      <w:r w:rsidR="00C64326" w:rsidRPr="00BA22DE">
        <w:rPr>
          <w:rFonts w:asciiTheme="majorHAnsi" w:hAnsiTheme="majorHAnsi" w:cs="Times New Roman"/>
          <w:lang w:val="fr-CH"/>
        </w:rPr>
        <w:t>54</w:t>
      </w:r>
      <w:r w:rsidR="007574CC" w:rsidRPr="007574CC">
        <w:rPr>
          <w:rFonts w:asciiTheme="majorHAnsi" w:hAnsiTheme="majorHAnsi" w:cs="Times New Roman"/>
          <w:vertAlign w:val="superscript"/>
          <w:lang w:val="fr-CH"/>
        </w:rPr>
        <w:t>e</w:t>
      </w:r>
      <w:r w:rsidR="007574CC">
        <w:rPr>
          <w:rFonts w:asciiTheme="majorHAnsi" w:hAnsiTheme="majorHAnsi" w:cs="Times New Roman"/>
          <w:lang w:val="fr-CH"/>
        </w:rPr>
        <w:t xml:space="preserve"> Réunion du Comité permanent</w:t>
      </w:r>
      <w:r w:rsidR="00C64326" w:rsidRPr="00BA22DE">
        <w:rPr>
          <w:rFonts w:asciiTheme="majorHAnsi" w:hAnsiTheme="majorHAnsi" w:cs="Times New Roman"/>
          <w:lang w:val="fr-CH"/>
        </w:rPr>
        <w:t xml:space="preserve">, </w:t>
      </w:r>
      <w:r w:rsidR="0071074F" w:rsidRPr="0071074F">
        <w:rPr>
          <w:rFonts w:asciiTheme="majorHAnsi" w:hAnsiTheme="majorHAnsi" w:cs="Times New Roman"/>
          <w:lang w:val="fr-CH"/>
        </w:rPr>
        <w:t>le Groupe de sur</w:t>
      </w:r>
      <w:r w:rsidR="0071074F">
        <w:rPr>
          <w:rFonts w:asciiTheme="majorHAnsi" w:hAnsiTheme="majorHAnsi" w:cs="Times New Roman"/>
          <w:lang w:val="fr-CH"/>
        </w:rPr>
        <w:t xml:space="preserve">veillance des activités de CESP </w:t>
      </w:r>
      <w:r w:rsidR="008728FE" w:rsidRPr="008728FE">
        <w:rPr>
          <w:rFonts w:asciiTheme="majorHAnsi" w:hAnsiTheme="majorHAnsi" w:cs="Times New Roman"/>
          <w:lang w:val="fr-CH"/>
        </w:rPr>
        <w:t>a présenté un rapport co</w:t>
      </w:r>
      <w:r w:rsidR="008728FE">
        <w:rPr>
          <w:rFonts w:asciiTheme="majorHAnsi" w:hAnsiTheme="majorHAnsi" w:cs="Times New Roman"/>
          <w:lang w:val="fr-CH"/>
        </w:rPr>
        <w:t>mportant</w:t>
      </w:r>
      <w:r w:rsidR="008728FE" w:rsidRPr="008728FE">
        <w:rPr>
          <w:rFonts w:asciiTheme="majorHAnsi" w:hAnsiTheme="majorHAnsi" w:cs="Times New Roman"/>
          <w:lang w:val="fr-CH"/>
        </w:rPr>
        <w:t xml:space="preserve"> des conseils au Groupe de travail</w:t>
      </w:r>
      <w:r w:rsidR="00A5666E" w:rsidRPr="00805C19">
        <w:rPr>
          <w:lang w:val="fr-FR"/>
        </w:rPr>
        <w:t xml:space="preserve"> </w:t>
      </w:r>
      <w:r w:rsidR="00A5666E" w:rsidRPr="00A5666E">
        <w:rPr>
          <w:rFonts w:asciiTheme="majorHAnsi" w:hAnsiTheme="majorHAnsi" w:cs="Times New Roman"/>
          <w:lang w:val="fr-CH"/>
        </w:rPr>
        <w:t>sur l’application de la CESP</w:t>
      </w:r>
      <w:r w:rsidR="008728FE" w:rsidRPr="008728FE">
        <w:rPr>
          <w:rFonts w:asciiTheme="majorHAnsi" w:hAnsiTheme="majorHAnsi" w:cs="Times New Roman"/>
          <w:lang w:val="fr-CH"/>
        </w:rPr>
        <w:t xml:space="preserve"> afin d'orienter ses réflexions.  Lors de cette réunion, il a été décidé de faire des recommandations pour rationaliser les dispositions relatives aux avis </w:t>
      </w:r>
      <w:r w:rsidR="00270DD4">
        <w:rPr>
          <w:rFonts w:asciiTheme="majorHAnsi" w:hAnsiTheme="majorHAnsi" w:cs="Times New Roman"/>
          <w:lang w:val="fr-CH"/>
        </w:rPr>
        <w:t>en matière de</w:t>
      </w:r>
      <w:r w:rsidR="008728FE" w:rsidRPr="008728FE">
        <w:rPr>
          <w:rFonts w:asciiTheme="majorHAnsi" w:hAnsiTheme="majorHAnsi" w:cs="Times New Roman"/>
          <w:lang w:val="fr-CH"/>
        </w:rPr>
        <w:t xml:space="preserve"> </w:t>
      </w:r>
      <w:r w:rsidR="008728FE">
        <w:rPr>
          <w:rFonts w:asciiTheme="majorHAnsi" w:hAnsiTheme="majorHAnsi" w:cs="Times New Roman"/>
          <w:lang w:val="fr-CH"/>
        </w:rPr>
        <w:t>CESP</w:t>
      </w:r>
      <w:r w:rsidR="00270DD4">
        <w:rPr>
          <w:rFonts w:asciiTheme="majorHAnsi" w:hAnsiTheme="majorHAnsi" w:cs="Times New Roman"/>
          <w:lang w:val="fr-CH"/>
        </w:rPr>
        <w:t xml:space="preserve"> </w:t>
      </w:r>
      <w:r w:rsidR="008728FE" w:rsidRPr="008728FE">
        <w:rPr>
          <w:rFonts w:asciiTheme="majorHAnsi" w:hAnsiTheme="majorHAnsi" w:cs="Times New Roman"/>
          <w:lang w:val="fr-CH"/>
        </w:rPr>
        <w:t xml:space="preserve">et de retirer le Groupe de travail </w:t>
      </w:r>
      <w:r w:rsidR="00270DD4" w:rsidRPr="00FD7B0A">
        <w:rPr>
          <w:bCs/>
          <w:lang w:val="fr-FR"/>
        </w:rPr>
        <w:t>sur l’application de la CESP</w:t>
      </w:r>
      <w:r w:rsidR="00C64326" w:rsidRPr="00BA22DE">
        <w:rPr>
          <w:rFonts w:asciiTheme="majorHAnsi" w:hAnsiTheme="majorHAnsi" w:cs="Times New Roman"/>
          <w:lang w:val="fr-CH"/>
        </w:rPr>
        <w:t xml:space="preserve">.  </w:t>
      </w:r>
    </w:p>
    <w:p w14:paraId="495F496B" w14:textId="77777777" w:rsidR="004C5BF4" w:rsidRPr="00BA22DE" w:rsidRDefault="004C5BF4" w:rsidP="004C3670">
      <w:pPr>
        <w:pStyle w:val="BodyText"/>
        <w:widowControl/>
        <w:tabs>
          <w:tab w:val="left" w:pos="544"/>
        </w:tabs>
        <w:ind w:left="425" w:hanging="425"/>
        <w:rPr>
          <w:rFonts w:asciiTheme="majorHAnsi" w:hAnsiTheme="majorHAnsi" w:cs="Times New Roman"/>
          <w:lang w:val="fr-CH"/>
        </w:rPr>
      </w:pPr>
    </w:p>
    <w:p w14:paraId="307E8796" w14:textId="2B8D2B41" w:rsidR="00C64326" w:rsidRPr="00BA22DE" w:rsidRDefault="004C5BF4" w:rsidP="00225362">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cs="Times New Roman"/>
          <w:lang w:val="fr-CH"/>
        </w:rPr>
        <w:t>20.</w:t>
      </w:r>
      <w:r w:rsidRPr="00BA22DE">
        <w:rPr>
          <w:rFonts w:asciiTheme="majorHAnsi" w:hAnsiTheme="majorHAnsi" w:cs="Times New Roman"/>
          <w:lang w:val="fr-CH"/>
        </w:rPr>
        <w:tab/>
      </w:r>
      <w:r w:rsidR="0071074F">
        <w:rPr>
          <w:rFonts w:asciiTheme="majorHAnsi" w:hAnsiTheme="majorHAnsi" w:cs="Times New Roman"/>
          <w:lang w:val="fr-CH"/>
        </w:rPr>
        <w:t>L</w:t>
      </w:r>
      <w:r w:rsidR="0071074F" w:rsidRPr="0071074F">
        <w:rPr>
          <w:rFonts w:asciiTheme="majorHAnsi" w:hAnsiTheme="majorHAnsi" w:cs="Times New Roman"/>
          <w:lang w:val="fr-CH"/>
        </w:rPr>
        <w:t>e Groupe de sur</w:t>
      </w:r>
      <w:r w:rsidR="0071074F">
        <w:rPr>
          <w:rFonts w:asciiTheme="majorHAnsi" w:hAnsiTheme="majorHAnsi" w:cs="Times New Roman"/>
          <w:lang w:val="fr-CH"/>
        </w:rPr>
        <w:t>veillance des activités de CESP</w:t>
      </w:r>
      <w:r w:rsidR="00C64326" w:rsidRPr="00BA22DE">
        <w:rPr>
          <w:rFonts w:asciiTheme="majorHAnsi" w:hAnsiTheme="majorHAnsi" w:cs="Times New Roman"/>
          <w:lang w:val="fr-CH"/>
        </w:rPr>
        <w:t xml:space="preserve"> </w:t>
      </w:r>
      <w:r w:rsidR="00270DD4" w:rsidRPr="00270DD4">
        <w:rPr>
          <w:rFonts w:asciiTheme="majorHAnsi" w:hAnsiTheme="majorHAnsi" w:cs="Times New Roman"/>
          <w:lang w:val="fr-CH"/>
        </w:rPr>
        <w:t xml:space="preserve">a été chargé de continuer à faire rapport sur les </w:t>
      </w:r>
      <w:r w:rsidR="00270DD4">
        <w:rPr>
          <w:rFonts w:asciiTheme="majorHAnsi" w:hAnsiTheme="majorHAnsi" w:cs="Times New Roman"/>
          <w:lang w:val="fr-CH"/>
        </w:rPr>
        <w:t>problème</w:t>
      </w:r>
      <w:r w:rsidR="00270DD4" w:rsidRPr="00270DD4">
        <w:rPr>
          <w:rFonts w:asciiTheme="majorHAnsi" w:hAnsiTheme="majorHAnsi" w:cs="Times New Roman"/>
          <w:lang w:val="fr-CH"/>
        </w:rPr>
        <w:t xml:space="preserve"> de CESP et </w:t>
      </w:r>
      <w:r w:rsidR="00270DD4">
        <w:rPr>
          <w:rFonts w:asciiTheme="majorHAnsi" w:hAnsiTheme="majorHAnsi" w:cs="Times New Roman"/>
          <w:lang w:val="fr-CH"/>
        </w:rPr>
        <w:t xml:space="preserve">sur </w:t>
      </w:r>
      <w:r w:rsidR="00270DD4" w:rsidRPr="00270DD4">
        <w:rPr>
          <w:rFonts w:asciiTheme="majorHAnsi" w:hAnsiTheme="majorHAnsi" w:cs="Times New Roman"/>
          <w:lang w:val="fr-CH"/>
        </w:rPr>
        <w:t>la mise en œuvre de la CESP, de conseiller le Secrétariat et le Comité permanent sur les priorités de travail aux niveaux national, ré</w:t>
      </w:r>
      <w:r w:rsidR="00270DD4">
        <w:rPr>
          <w:rFonts w:asciiTheme="majorHAnsi" w:hAnsiTheme="majorHAnsi" w:cs="Times New Roman"/>
          <w:lang w:val="fr-CH"/>
        </w:rPr>
        <w:t xml:space="preserve">gional et international, et de </w:t>
      </w:r>
      <w:r w:rsidR="00270DD4" w:rsidRPr="00270DD4">
        <w:rPr>
          <w:rFonts w:asciiTheme="majorHAnsi" w:hAnsiTheme="majorHAnsi" w:cs="Times New Roman"/>
          <w:lang w:val="fr-CH"/>
        </w:rPr>
        <w:t xml:space="preserve"> </w:t>
      </w:r>
      <w:r w:rsidR="00270DD4">
        <w:rPr>
          <w:rFonts w:asciiTheme="majorHAnsi" w:hAnsiTheme="majorHAnsi" w:cs="Times New Roman"/>
          <w:lang w:val="fr-CH"/>
        </w:rPr>
        <w:t>« </w:t>
      </w:r>
      <w:r w:rsidR="00270DD4" w:rsidRPr="00270DD4">
        <w:rPr>
          <w:rFonts w:asciiTheme="majorHAnsi" w:hAnsiTheme="majorHAnsi" w:cs="Times New Roman"/>
          <w:lang w:val="fr-CH"/>
        </w:rPr>
        <w:t>recommande</w:t>
      </w:r>
      <w:r w:rsidR="00270DD4">
        <w:rPr>
          <w:rFonts w:asciiTheme="majorHAnsi" w:hAnsiTheme="majorHAnsi" w:cs="Times New Roman"/>
          <w:lang w:val="fr-CH"/>
        </w:rPr>
        <w:t>r au Comité permanent</w:t>
      </w:r>
      <w:r w:rsidR="00200F2E">
        <w:rPr>
          <w:rFonts w:asciiTheme="majorHAnsi" w:hAnsiTheme="majorHAnsi" w:cs="Times New Roman"/>
          <w:lang w:val="fr-CH"/>
        </w:rPr>
        <w:t>,</w:t>
      </w:r>
      <w:r w:rsidR="00270DD4">
        <w:rPr>
          <w:rFonts w:asciiTheme="majorHAnsi" w:hAnsiTheme="majorHAnsi" w:cs="Times New Roman"/>
          <w:lang w:val="fr-CH"/>
        </w:rPr>
        <w:t xml:space="preserve"> à sa 57</w:t>
      </w:r>
      <w:r w:rsidR="00270DD4" w:rsidRPr="00225362">
        <w:rPr>
          <w:rFonts w:asciiTheme="majorHAnsi" w:hAnsiTheme="majorHAnsi" w:cs="Times New Roman"/>
          <w:vertAlign w:val="superscript"/>
          <w:lang w:val="fr-CH"/>
        </w:rPr>
        <w:t>e</w:t>
      </w:r>
      <w:r w:rsidR="00270DD4">
        <w:rPr>
          <w:rFonts w:asciiTheme="majorHAnsi" w:hAnsiTheme="majorHAnsi" w:cs="Times New Roman"/>
          <w:lang w:val="fr-CH"/>
        </w:rPr>
        <w:t xml:space="preserve"> R</w:t>
      </w:r>
      <w:r w:rsidR="00270DD4" w:rsidRPr="00270DD4">
        <w:rPr>
          <w:rFonts w:asciiTheme="majorHAnsi" w:hAnsiTheme="majorHAnsi" w:cs="Times New Roman"/>
          <w:lang w:val="fr-CH"/>
        </w:rPr>
        <w:t xml:space="preserve">éunion une nouvelle approche pour soutenir la mise en œuvre de la CESP, compte tenu des travaux déjà réalisés par le Groupe </w:t>
      </w:r>
      <w:r w:rsidR="005855FC" w:rsidRPr="0071074F">
        <w:rPr>
          <w:rFonts w:asciiTheme="majorHAnsi" w:hAnsiTheme="majorHAnsi" w:cs="Times New Roman"/>
          <w:lang w:val="fr-CH"/>
        </w:rPr>
        <w:t>de sur</w:t>
      </w:r>
      <w:r w:rsidR="005855FC">
        <w:rPr>
          <w:rFonts w:asciiTheme="majorHAnsi" w:hAnsiTheme="majorHAnsi" w:cs="Times New Roman"/>
          <w:lang w:val="fr-CH"/>
        </w:rPr>
        <w:t>veillance des activités de CESP</w:t>
      </w:r>
      <w:r w:rsidR="005855FC" w:rsidRPr="00BA22DE">
        <w:rPr>
          <w:rFonts w:asciiTheme="majorHAnsi" w:hAnsiTheme="majorHAnsi" w:cs="Times New Roman"/>
          <w:lang w:val="fr-CH"/>
        </w:rPr>
        <w:t xml:space="preserve"> </w:t>
      </w:r>
      <w:r w:rsidR="00270DD4" w:rsidRPr="00270DD4">
        <w:rPr>
          <w:rFonts w:asciiTheme="majorHAnsi" w:hAnsiTheme="majorHAnsi" w:cs="Times New Roman"/>
          <w:lang w:val="fr-CH"/>
        </w:rPr>
        <w:t xml:space="preserve">et le Groupe de travail sur </w:t>
      </w:r>
      <w:r w:rsidR="005855FC">
        <w:rPr>
          <w:rFonts w:asciiTheme="majorHAnsi" w:hAnsiTheme="majorHAnsi" w:cs="Times New Roman"/>
          <w:lang w:val="fr-CH"/>
        </w:rPr>
        <w:t xml:space="preserve">l’application de </w:t>
      </w:r>
      <w:r w:rsidR="00270DD4" w:rsidRPr="00270DD4">
        <w:rPr>
          <w:rFonts w:asciiTheme="majorHAnsi" w:hAnsiTheme="majorHAnsi" w:cs="Times New Roman"/>
          <w:lang w:val="fr-CH"/>
        </w:rPr>
        <w:t>la CESP avant</w:t>
      </w:r>
      <w:r w:rsidR="005855FC">
        <w:rPr>
          <w:rFonts w:asciiTheme="majorHAnsi" w:hAnsiTheme="majorHAnsi" w:cs="Times New Roman"/>
          <w:lang w:val="fr-CH"/>
        </w:rPr>
        <w:t xml:space="preserve"> la COP13 »</w:t>
      </w:r>
      <w:r w:rsidR="00270DD4" w:rsidRPr="00270DD4">
        <w:rPr>
          <w:rFonts w:asciiTheme="majorHAnsi" w:hAnsiTheme="majorHAnsi" w:cs="Times New Roman"/>
          <w:lang w:val="fr-CH"/>
        </w:rPr>
        <w:t>.</w:t>
      </w:r>
    </w:p>
    <w:p w14:paraId="291E4BD8" w14:textId="77777777" w:rsidR="004C5BF4" w:rsidRPr="00BA22DE" w:rsidRDefault="004C5BF4" w:rsidP="004C3670">
      <w:pPr>
        <w:pStyle w:val="BodyText"/>
        <w:widowControl/>
        <w:tabs>
          <w:tab w:val="left" w:pos="544"/>
        </w:tabs>
        <w:ind w:left="425" w:hanging="425"/>
        <w:rPr>
          <w:rFonts w:asciiTheme="majorHAnsi" w:hAnsiTheme="majorHAnsi" w:cs="Times New Roman"/>
          <w:lang w:val="fr-CH"/>
        </w:rPr>
      </w:pPr>
    </w:p>
    <w:p w14:paraId="0124408A" w14:textId="15F66D9E" w:rsidR="00C64326" w:rsidRPr="00BA22DE" w:rsidRDefault="004C5BF4"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cs="Times New Roman"/>
          <w:lang w:val="fr-CH"/>
        </w:rPr>
        <w:t>21.</w:t>
      </w:r>
      <w:r w:rsidRPr="00BA22DE">
        <w:rPr>
          <w:rFonts w:asciiTheme="majorHAnsi" w:hAnsiTheme="majorHAnsi" w:cs="Times New Roman"/>
          <w:lang w:val="fr-CH"/>
        </w:rPr>
        <w:tab/>
      </w:r>
      <w:r w:rsidR="005855FC" w:rsidRPr="005855FC">
        <w:rPr>
          <w:rFonts w:asciiTheme="majorHAnsi" w:hAnsiTheme="majorHAnsi" w:cs="Times New Roman"/>
          <w:lang w:val="fr-CH"/>
        </w:rPr>
        <w:t>En outre, le projet de ré</w:t>
      </w:r>
      <w:r w:rsidR="005855FC">
        <w:rPr>
          <w:rFonts w:asciiTheme="majorHAnsi" w:hAnsiTheme="majorHAnsi" w:cs="Times New Roman"/>
          <w:lang w:val="fr-CH"/>
        </w:rPr>
        <w:t xml:space="preserve">solution 18.6 de la COP13 </w:t>
      </w:r>
      <w:r w:rsidR="005855FC" w:rsidRPr="005855FC">
        <w:rPr>
          <w:rFonts w:asciiTheme="majorHAnsi" w:hAnsiTheme="majorHAnsi" w:cs="Times New Roman"/>
          <w:lang w:val="fr-CH"/>
        </w:rPr>
        <w:t>'</w:t>
      </w:r>
      <w:r w:rsidR="005855FC">
        <w:rPr>
          <w:rFonts w:asciiTheme="majorHAnsi" w:hAnsiTheme="majorHAnsi" w:cs="Times New Roman"/>
          <w:lang w:val="fr-CH"/>
        </w:rPr>
        <w:t>« </w:t>
      </w:r>
      <w:r w:rsidR="00225362">
        <w:rPr>
          <w:rFonts w:asciiTheme="majorHAnsi" w:hAnsiTheme="majorHAnsi" w:cs="Times New Roman"/>
          <w:lang w:val="fr-CH"/>
        </w:rPr>
        <w:t>E</w:t>
      </w:r>
      <w:r w:rsidR="005855FC" w:rsidRPr="005855FC">
        <w:rPr>
          <w:rFonts w:asciiTheme="majorHAnsi" w:hAnsiTheme="majorHAnsi" w:cs="Times New Roman"/>
          <w:lang w:val="fr-CH"/>
        </w:rPr>
        <w:t xml:space="preserve">xamen </w:t>
      </w:r>
      <w:r w:rsidR="005855FC" w:rsidRPr="00E54D84">
        <w:rPr>
          <w:rFonts w:asciiTheme="majorHAnsi" w:hAnsiTheme="majorHAnsi"/>
          <w:lang w:val="fr-CH"/>
        </w:rPr>
        <w:t>du quatrième Plan stratégi</w:t>
      </w:r>
      <w:r w:rsidR="005855FC">
        <w:rPr>
          <w:rFonts w:asciiTheme="majorHAnsi" w:hAnsiTheme="majorHAnsi"/>
          <w:lang w:val="fr-CH"/>
        </w:rPr>
        <w:t>que de la Convention de Ramsar »</w:t>
      </w:r>
      <w:r w:rsidR="005855FC" w:rsidRPr="005855FC">
        <w:rPr>
          <w:rFonts w:asciiTheme="majorHAnsi" w:hAnsiTheme="majorHAnsi" w:cs="Times New Roman"/>
          <w:lang w:val="fr-CH"/>
        </w:rPr>
        <w:t xml:space="preserve"> charge le Groupe de surveillance des activités de CESP d'examiner la mise en œuvre du Programme </w:t>
      </w:r>
      <w:r w:rsidR="00225362">
        <w:rPr>
          <w:rFonts w:asciiTheme="majorHAnsi" w:hAnsiTheme="majorHAnsi" w:cs="Times New Roman"/>
          <w:lang w:val="fr-CH"/>
        </w:rPr>
        <w:t xml:space="preserve">de </w:t>
      </w:r>
      <w:r w:rsidR="005855FC" w:rsidRPr="005855FC">
        <w:rPr>
          <w:rFonts w:asciiTheme="majorHAnsi" w:hAnsiTheme="majorHAnsi" w:cs="Times New Roman"/>
          <w:lang w:val="fr-CH"/>
        </w:rPr>
        <w:t xml:space="preserve">CESP, de coordonner ses efforts avec le Groupe de travail du Plan stratégique et de faire rapport </w:t>
      </w:r>
      <w:r w:rsidR="00225362" w:rsidRPr="005855FC">
        <w:rPr>
          <w:rFonts w:asciiTheme="majorHAnsi" w:hAnsiTheme="majorHAnsi" w:cs="Times New Roman"/>
          <w:lang w:val="fr-CH"/>
        </w:rPr>
        <w:t xml:space="preserve">sur les résultats </w:t>
      </w:r>
      <w:r w:rsidR="005855FC" w:rsidRPr="005855FC">
        <w:rPr>
          <w:rFonts w:asciiTheme="majorHAnsi" w:hAnsiTheme="majorHAnsi" w:cs="Times New Roman"/>
          <w:lang w:val="fr-CH"/>
        </w:rPr>
        <w:t xml:space="preserve">au Comité permanent </w:t>
      </w:r>
      <w:r w:rsidR="005855FC">
        <w:rPr>
          <w:rFonts w:asciiTheme="majorHAnsi" w:hAnsiTheme="majorHAnsi" w:cs="Times New Roman"/>
          <w:lang w:val="fr-CH"/>
        </w:rPr>
        <w:t xml:space="preserve">lors de sa </w:t>
      </w:r>
      <w:r w:rsidR="005855FC" w:rsidRPr="005855FC">
        <w:rPr>
          <w:rFonts w:asciiTheme="majorHAnsi" w:hAnsiTheme="majorHAnsi" w:cs="Times New Roman"/>
          <w:lang w:val="fr-CH"/>
        </w:rPr>
        <w:t>58</w:t>
      </w:r>
      <w:r w:rsidR="005855FC" w:rsidRPr="005855FC">
        <w:rPr>
          <w:rFonts w:asciiTheme="majorHAnsi" w:hAnsiTheme="majorHAnsi" w:cs="Times New Roman"/>
          <w:vertAlign w:val="superscript"/>
          <w:lang w:val="fr-CH"/>
        </w:rPr>
        <w:t>e</w:t>
      </w:r>
      <w:r w:rsidR="005855FC">
        <w:rPr>
          <w:rFonts w:asciiTheme="majorHAnsi" w:hAnsiTheme="majorHAnsi" w:cs="Times New Roman"/>
          <w:lang w:val="fr-CH"/>
        </w:rPr>
        <w:t xml:space="preserve"> Réunion</w:t>
      </w:r>
      <w:r w:rsidR="005855FC" w:rsidRPr="005855FC">
        <w:rPr>
          <w:rFonts w:asciiTheme="majorHAnsi" w:hAnsiTheme="majorHAnsi" w:cs="Times New Roman"/>
          <w:lang w:val="fr-CH"/>
        </w:rPr>
        <w:t xml:space="preserve">, </w:t>
      </w:r>
      <w:r w:rsidR="00225362">
        <w:rPr>
          <w:rFonts w:asciiTheme="majorHAnsi" w:hAnsiTheme="majorHAnsi" w:cs="Times New Roman"/>
          <w:lang w:val="fr-CH"/>
        </w:rPr>
        <w:t>lesquels</w:t>
      </w:r>
      <w:r w:rsidR="005855FC" w:rsidRPr="005855FC">
        <w:rPr>
          <w:rFonts w:asciiTheme="majorHAnsi" w:hAnsiTheme="majorHAnsi" w:cs="Times New Roman"/>
          <w:lang w:val="fr-CH"/>
        </w:rPr>
        <w:t xml:space="preserve"> seront ensuite examinés à COP14</w:t>
      </w:r>
      <w:r w:rsidR="00C64326" w:rsidRPr="00BA22DE">
        <w:rPr>
          <w:rFonts w:asciiTheme="majorHAnsi" w:hAnsiTheme="majorHAnsi" w:cs="Times New Roman"/>
          <w:lang w:val="fr-CH"/>
        </w:rPr>
        <w:t>.</w:t>
      </w:r>
    </w:p>
    <w:p w14:paraId="492983F6" w14:textId="77777777" w:rsidR="004C5BF4" w:rsidRPr="00BA22DE" w:rsidRDefault="004C5BF4" w:rsidP="004C3670">
      <w:pPr>
        <w:pStyle w:val="BodyText"/>
        <w:widowControl/>
        <w:tabs>
          <w:tab w:val="left" w:pos="544"/>
        </w:tabs>
        <w:ind w:left="425" w:hanging="425"/>
        <w:rPr>
          <w:rFonts w:asciiTheme="majorHAnsi" w:hAnsiTheme="majorHAnsi" w:cs="Times New Roman"/>
          <w:lang w:val="fr-CH"/>
        </w:rPr>
      </w:pPr>
    </w:p>
    <w:p w14:paraId="66CCA6B4" w14:textId="3A52E5D3" w:rsidR="00C64326" w:rsidRPr="00BA22DE" w:rsidRDefault="004C5BF4"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cs="Times New Roman"/>
          <w:lang w:val="fr-CH"/>
        </w:rPr>
        <w:t>22.</w:t>
      </w:r>
      <w:r w:rsidRPr="00BA22DE">
        <w:rPr>
          <w:rFonts w:asciiTheme="majorHAnsi" w:hAnsiTheme="majorHAnsi" w:cs="Times New Roman"/>
          <w:lang w:val="fr-CH"/>
        </w:rPr>
        <w:tab/>
      </w:r>
      <w:r w:rsidR="005855FC" w:rsidRPr="005855FC">
        <w:rPr>
          <w:rFonts w:asciiTheme="majorHAnsi" w:hAnsiTheme="majorHAnsi" w:cs="Times New Roman"/>
          <w:lang w:val="fr-CH"/>
        </w:rPr>
        <w:t>L'examen du Plan stratégique est l'occasi</w:t>
      </w:r>
      <w:r w:rsidR="00225362">
        <w:rPr>
          <w:rFonts w:asciiTheme="majorHAnsi" w:hAnsiTheme="majorHAnsi" w:cs="Times New Roman"/>
          <w:lang w:val="fr-CH"/>
        </w:rPr>
        <w:t>on d'améliorer l'efficacité du P</w:t>
      </w:r>
      <w:r w:rsidR="005855FC" w:rsidRPr="005855FC">
        <w:rPr>
          <w:rFonts w:asciiTheme="majorHAnsi" w:hAnsiTheme="majorHAnsi" w:cs="Times New Roman"/>
          <w:lang w:val="fr-CH"/>
        </w:rPr>
        <w:t>rogramme de CESP et des travaux du Secrétariat en cibla</w:t>
      </w:r>
      <w:r w:rsidR="00384525">
        <w:rPr>
          <w:rFonts w:asciiTheme="majorHAnsi" w:hAnsiTheme="majorHAnsi" w:cs="Times New Roman"/>
          <w:lang w:val="fr-CH"/>
        </w:rPr>
        <w:t>nt les efforts sur un ensemble limité</w:t>
      </w:r>
      <w:r w:rsidR="005855FC" w:rsidRPr="005855FC">
        <w:rPr>
          <w:rFonts w:asciiTheme="majorHAnsi" w:hAnsiTheme="majorHAnsi" w:cs="Times New Roman"/>
          <w:lang w:val="fr-CH"/>
        </w:rPr>
        <w:t xml:space="preserve"> d'objectifs plus ciblés et en s'appuyant sur une stratégie d'évaluation efficace qui servira de base à de nouvelles améliorations du programme</w:t>
      </w:r>
      <w:r w:rsidR="00C64326" w:rsidRPr="00BA22DE">
        <w:rPr>
          <w:rFonts w:asciiTheme="majorHAnsi" w:hAnsiTheme="majorHAnsi" w:cs="Times New Roman"/>
          <w:lang w:val="fr-CH"/>
        </w:rPr>
        <w:t>.</w:t>
      </w:r>
    </w:p>
    <w:p w14:paraId="31F3550C" w14:textId="77777777" w:rsidR="004C5BF4" w:rsidRPr="00BA22DE" w:rsidRDefault="004C5BF4" w:rsidP="004C3670">
      <w:pPr>
        <w:pStyle w:val="BodyText"/>
        <w:widowControl/>
        <w:tabs>
          <w:tab w:val="left" w:pos="544"/>
        </w:tabs>
        <w:ind w:left="425" w:hanging="425"/>
        <w:rPr>
          <w:rFonts w:asciiTheme="majorHAnsi" w:hAnsiTheme="majorHAnsi" w:cs="Times New Roman"/>
          <w:lang w:val="fr-CH"/>
        </w:rPr>
      </w:pPr>
    </w:p>
    <w:p w14:paraId="5424268D" w14:textId="5CA50A54" w:rsidR="00C64326" w:rsidRPr="00BA22DE" w:rsidRDefault="004C5BF4"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cs="Times New Roman"/>
          <w:lang w:val="fr-CH"/>
        </w:rPr>
        <w:t>23.</w:t>
      </w:r>
      <w:r w:rsidRPr="00BA22DE">
        <w:rPr>
          <w:rFonts w:asciiTheme="majorHAnsi" w:hAnsiTheme="majorHAnsi" w:cs="Times New Roman"/>
          <w:lang w:val="fr-CH"/>
        </w:rPr>
        <w:tab/>
      </w:r>
      <w:r w:rsidR="00CB3AB4" w:rsidRPr="00CB3AB4">
        <w:rPr>
          <w:rFonts w:asciiTheme="majorHAnsi" w:hAnsiTheme="majorHAnsi" w:cs="Times New Roman"/>
          <w:lang w:val="fr-CH"/>
        </w:rPr>
        <w:t>Le Groupe de surveillance des activités de CESP a préparé, à l'Annexe B, des orientations et des recommandations initiales sur les principes et les priorités à prendre en</w:t>
      </w:r>
      <w:r w:rsidR="004F273B">
        <w:rPr>
          <w:rFonts w:asciiTheme="majorHAnsi" w:hAnsiTheme="majorHAnsi" w:cs="Times New Roman"/>
          <w:lang w:val="fr-CH"/>
        </w:rPr>
        <w:t xml:space="preserve"> compte dans la manière d’aborder à l’avenir le </w:t>
      </w:r>
      <w:r w:rsidR="00225362">
        <w:rPr>
          <w:rFonts w:asciiTheme="majorHAnsi" w:hAnsiTheme="majorHAnsi" w:cs="Times New Roman"/>
          <w:lang w:val="fr-CH"/>
        </w:rPr>
        <w:t>soutien à</w:t>
      </w:r>
      <w:r w:rsidR="00CB3AB4" w:rsidRPr="00CB3AB4">
        <w:rPr>
          <w:rFonts w:asciiTheme="majorHAnsi" w:hAnsiTheme="majorHAnsi" w:cs="Times New Roman"/>
          <w:lang w:val="fr-CH"/>
        </w:rPr>
        <w:t xml:space="preserve"> la CESP et l'examen du Plan stratégique Ramsar.</w:t>
      </w:r>
      <w:r w:rsidR="00C64326" w:rsidRPr="00BA22DE">
        <w:rPr>
          <w:rFonts w:asciiTheme="majorHAnsi" w:hAnsiTheme="majorHAnsi" w:cs="Times New Roman"/>
          <w:lang w:val="fr-CH"/>
        </w:rPr>
        <w:t xml:space="preserve">  </w:t>
      </w:r>
    </w:p>
    <w:p w14:paraId="726D1F43" w14:textId="77777777" w:rsidR="004C5BF4" w:rsidRPr="00BA22DE" w:rsidRDefault="004C5BF4" w:rsidP="004C3670">
      <w:pPr>
        <w:pStyle w:val="BodyText"/>
        <w:widowControl/>
        <w:tabs>
          <w:tab w:val="left" w:pos="544"/>
        </w:tabs>
        <w:ind w:left="425" w:hanging="425"/>
        <w:rPr>
          <w:rFonts w:asciiTheme="majorHAnsi" w:hAnsiTheme="majorHAnsi"/>
          <w:lang w:val="fr-CH"/>
        </w:rPr>
      </w:pPr>
    </w:p>
    <w:p w14:paraId="09E7C864" w14:textId="3148D844" w:rsidR="00C64326" w:rsidRPr="00BA22DE" w:rsidRDefault="004C5BF4" w:rsidP="004C3670">
      <w:pPr>
        <w:pStyle w:val="BodyText"/>
        <w:widowControl/>
        <w:tabs>
          <w:tab w:val="left" w:pos="544"/>
        </w:tabs>
        <w:ind w:left="425" w:hanging="425"/>
        <w:rPr>
          <w:rFonts w:asciiTheme="majorHAnsi" w:hAnsiTheme="majorHAnsi" w:cs="Times New Roman"/>
          <w:lang w:val="fr-CH"/>
        </w:rPr>
      </w:pPr>
      <w:r w:rsidRPr="00BA22DE">
        <w:rPr>
          <w:rFonts w:asciiTheme="majorHAnsi" w:hAnsiTheme="majorHAnsi"/>
          <w:lang w:val="fr-CH"/>
        </w:rPr>
        <w:t>24.</w:t>
      </w:r>
      <w:r w:rsidRPr="00BA22DE">
        <w:rPr>
          <w:rFonts w:asciiTheme="majorHAnsi" w:hAnsiTheme="majorHAnsi"/>
          <w:lang w:val="fr-CH"/>
        </w:rPr>
        <w:tab/>
      </w:r>
      <w:r w:rsidR="004F273B" w:rsidRPr="004F273B">
        <w:rPr>
          <w:rFonts w:asciiTheme="majorHAnsi" w:hAnsiTheme="majorHAnsi"/>
          <w:lang w:val="fr-CH"/>
        </w:rPr>
        <w:t>Ces questions feront l'objet d'un examen plus approfondi et</w:t>
      </w:r>
      <w:r w:rsidR="004F273B">
        <w:rPr>
          <w:rFonts w:asciiTheme="majorHAnsi" w:hAnsiTheme="majorHAnsi"/>
          <w:lang w:val="fr-CH"/>
        </w:rPr>
        <w:t xml:space="preserve"> un rapport sera préparé pour la</w:t>
      </w:r>
      <w:r w:rsidR="004F273B" w:rsidRPr="004F273B">
        <w:rPr>
          <w:rFonts w:asciiTheme="majorHAnsi" w:hAnsiTheme="majorHAnsi"/>
          <w:lang w:val="fr-CH"/>
        </w:rPr>
        <w:t xml:space="preserve"> </w:t>
      </w:r>
      <w:r w:rsidR="004F273B">
        <w:rPr>
          <w:rFonts w:asciiTheme="majorHAnsi" w:hAnsiTheme="majorHAnsi"/>
          <w:lang w:val="fr-CH"/>
        </w:rPr>
        <w:t>57</w:t>
      </w:r>
      <w:r w:rsidR="004F273B" w:rsidRPr="004F273B">
        <w:rPr>
          <w:rFonts w:asciiTheme="majorHAnsi" w:hAnsiTheme="majorHAnsi"/>
          <w:vertAlign w:val="superscript"/>
          <w:lang w:val="fr-CH"/>
        </w:rPr>
        <w:t>e</w:t>
      </w:r>
      <w:r w:rsidR="004F273B">
        <w:rPr>
          <w:rFonts w:asciiTheme="majorHAnsi" w:hAnsiTheme="majorHAnsi"/>
          <w:lang w:val="fr-CH"/>
        </w:rPr>
        <w:t xml:space="preserve"> Réunion du Comité permanent</w:t>
      </w:r>
      <w:r w:rsidR="002D7788">
        <w:rPr>
          <w:rFonts w:asciiTheme="majorHAnsi" w:hAnsiTheme="majorHAnsi"/>
          <w:lang w:val="fr-CH"/>
        </w:rPr>
        <w:t xml:space="preserve"> sur la</w:t>
      </w:r>
      <w:r w:rsidR="004F273B" w:rsidRPr="004F273B">
        <w:rPr>
          <w:rFonts w:asciiTheme="majorHAnsi" w:hAnsiTheme="majorHAnsi"/>
          <w:lang w:val="fr-CH"/>
        </w:rPr>
        <w:t xml:space="preserve"> nouvelle </w:t>
      </w:r>
      <w:r w:rsidR="004F273B">
        <w:rPr>
          <w:rFonts w:asciiTheme="majorHAnsi" w:hAnsiTheme="majorHAnsi"/>
          <w:lang w:val="fr-CH"/>
        </w:rPr>
        <w:t xml:space="preserve">manière d’aborder le soutien à </w:t>
      </w:r>
      <w:r w:rsidR="004F273B" w:rsidRPr="004F273B">
        <w:rPr>
          <w:rFonts w:asciiTheme="majorHAnsi" w:hAnsiTheme="majorHAnsi"/>
          <w:lang w:val="fr-CH"/>
        </w:rPr>
        <w:t>la mise e</w:t>
      </w:r>
      <w:r w:rsidR="004F273B">
        <w:rPr>
          <w:rFonts w:asciiTheme="majorHAnsi" w:hAnsiTheme="majorHAnsi"/>
          <w:lang w:val="fr-CH"/>
        </w:rPr>
        <w:t xml:space="preserve">n œuvre de la </w:t>
      </w:r>
      <w:r w:rsidR="004F273B" w:rsidRPr="004F273B">
        <w:rPr>
          <w:rFonts w:asciiTheme="majorHAnsi" w:hAnsiTheme="majorHAnsi"/>
          <w:lang w:val="fr-CH"/>
        </w:rPr>
        <w:t>C</w:t>
      </w:r>
      <w:r w:rsidR="004F273B">
        <w:rPr>
          <w:rFonts w:asciiTheme="majorHAnsi" w:hAnsiTheme="majorHAnsi"/>
          <w:lang w:val="fr-CH"/>
        </w:rPr>
        <w:t>ESP</w:t>
      </w:r>
      <w:r w:rsidR="004F273B" w:rsidRPr="004F273B">
        <w:rPr>
          <w:rFonts w:asciiTheme="majorHAnsi" w:hAnsiTheme="majorHAnsi"/>
          <w:lang w:val="fr-CH"/>
        </w:rPr>
        <w:t>.  Ce document éc</w:t>
      </w:r>
      <w:r w:rsidR="004F273B">
        <w:rPr>
          <w:rFonts w:asciiTheme="majorHAnsi" w:hAnsiTheme="majorHAnsi"/>
          <w:lang w:val="fr-CH"/>
        </w:rPr>
        <w:t>lairera également l’examen du P</w:t>
      </w:r>
      <w:r w:rsidR="004F273B" w:rsidRPr="004F273B">
        <w:rPr>
          <w:rFonts w:asciiTheme="majorHAnsi" w:hAnsiTheme="majorHAnsi"/>
          <w:lang w:val="fr-CH"/>
        </w:rPr>
        <w:t xml:space="preserve">rogramme de CESP et </w:t>
      </w:r>
      <w:r w:rsidR="00225362">
        <w:rPr>
          <w:rFonts w:asciiTheme="majorHAnsi" w:hAnsiTheme="majorHAnsi"/>
          <w:lang w:val="fr-CH"/>
        </w:rPr>
        <w:t xml:space="preserve">la </w:t>
      </w:r>
      <w:r w:rsidR="002D7788">
        <w:rPr>
          <w:rFonts w:asciiTheme="majorHAnsi" w:hAnsiTheme="majorHAnsi"/>
          <w:lang w:val="fr-CH"/>
        </w:rPr>
        <w:t>coopération avec le G</w:t>
      </w:r>
      <w:r w:rsidR="004F273B" w:rsidRPr="004F273B">
        <w:rPr>
          <w:rFonts w:asciiTheme="majorHAnsi" w:hAnsiTheme="majorHAnsi"/>
          <w:lang w:val="fr-CH"/>
        </w:rPr>
        <w:t xml:space="preserve">roupe de travail sur le plan stratégique </w:t>
      </w:r>
      <w:r w:rsidR="00225362">
        <w:rPr>
          <w:rFonts w:asciiTheme="majorHAnsi" w:hAnsiTheme="majorHAnsi"/>
          <w:lang w:val="fr-CH"/>
        </w:rPr>
        <w:t xml:space="preserve">concernant </w:t>
      </w:r>
      <w:r w:rsidR="004F273B" w:rsidRPr="004F273B">
        <w:rPr>
          <w:rFonts w:asciiTheme="majorHAnsi" w:hAnsiTheme="majorHAnsi"/>
          <w:lang w:val="fr-CH"/>
        </w:rPr>
        <w:t xml:space="preserve">les recommandations </w:t>
      </w:r>
      <w:r w:rsidR="002D7788">
        <w:rPr>
          <w:rFonts w:asciiTheme="majorHAnsi" w:hAnsiTheme="majorHAnsi"/>
          <w:lang w:val="fr-CH"/>
        </w:rPr>
        <w:t>qui seront soumises lors de la 58</w:t>
      </w:r>
      <w:r w:rsidR="002D7788" w:rsidRPr="002D7788">
        <w:rPr>
          <w:rFonts w:asciiTheme="majorHAnsi" w:hAnsiTheme="majorHAnsi"/>
          <w:vertAlign w:val="superscript"/>
          <w:lang w:val="fr-CH"/>
        </w:rPr>
        <w:t>e</w:t>
      </w:r>
      <w:r w:rsidR="002D7788">
        <w:rPr>
          <w:rFonts w:asciiTheme="majorHAnsi" w:hAnsiTheme="majorHAnsi"/>
          <w:lang w:val="fr-CH"/>
        </w:rPr>
        <w:t xml:space="preserve"> Réunion du</w:t>
      </w:r>
      <w:r w:rsidR="004F273B" w:rsidRPr="004F273B">
        <w:rPr>
          <w:rFonts w:asciiTheme="majorHAnsi" w:hAnsiTheme="majorHAnsi"/>
          <w:lang w:val="fr-CH"/>
        </w:rPr>
        <w:t xml:space="preserve"> Comité permanent et à la COP1</w:t>
      </w:r>
      <w:r w:rsidR="004F273B">
        <w:rPr>
          <w:rFonts w:asciiTheme="majorHAnsi" w:hAnsiTheme="majorHAnsi"/>
          <w:lang w:val="fr-CH"/>
        </w:rPr>
        <w:t>4</w:t>
      </w:r>
      <w:r w:rsidR="00C64326" w:rsidRPr="00BA22DE">
        <w:rPr>
          <w:rFonts w:asciiTheme="majorHAnsi" w:hAnsiTheme="majorHAnsi" w:cs="Times New Roman"/>
          <w:lang w:val="fr-CH"/>
        </w:rPr>
        <w:t>.</w:t>
      </w:r>
    </w:p>
    <w:p w14:paraId="5F55400E" w14:textId="77777777" w:rsidR="004C5BF4" w:rsidRPr="00BA22DE" w:rsidRDefault="004C5BF4" w:rsidP="004C3670">
      <w:pPr>
        <w:pStyle w:val="BodyText"/>
        <w:widowControl/>
        <w:tabs>
          <w:tab w:val="left" w:pos="544"/>
        </w:tabs>
        <w:ind w:left="425" w:hanging="425"/>
        <w:rPr>
          <w:rFonts w:asciiTheme="majorHAnsi" w:hAnsiTheme="majorHAnsi" w:cs="Times New Roman"/>
          <w:lang w:val="fr-CH"/>
        </w:rPr>
      </w:pPr>
    </w:p>
    <w:p w14:paraId="095660C6" w14:textId="78A60E90" w:rsidR="00C64326" w:rsidRPr="00BA22DE" w:rsidRDefault="00C64326" w:rsidP="004C3670">
      <w:pPr>
        <w:rPr>
          <w:rFonts w:asciiTheme="majorHAnsi" w:eastAsia="Calibri" w:hAnsiTheme="majorHAnsi"/>
          <w:sz w:val="22"/>
          <w:szCs w:val="22"/>
          <w:lang w:val="fr-CH"/>
        </w:rPr>
      </w:pPr>
      <w:r w:rsidRPr="00BA22DE">
        <w:rPr>
          <w:rFonts w:asciiTheme="majorHAnsi" w:hAnsiTheme="majorHAnsi"/>
          <w:sz w:val="22"/>
          <w:szCs w:val="22"/>
          <w:lang w:val="fr-CH"/>
        </w:rPr>
        <w:br w:type="page"/>
      </w:r>
    </w:p>
    <w:p w14:paraId="1874589C" w14:textId="1F5283F1" w:rsidR="00C64326" w:rsidRPr="009A6E0F" w:rsidRDefault="009A6E0F" w:rsidP="009A6E0F">
      <w:pPr>
        <w:rPr>
          <w:rFonts w:asciiTheme="majorHAnsi" w:hAnsiTheme="majorHAnsi"/>
          <w:b/>
          <w:lang w:val="fr-CH"/>
        </w:rPr>
      </w:pPr>
      <w:r w:rsidRPr="009A6E0F">
        <w:rPr>
          <w:rFonts w:asciiTheme="majorHAnsi" w:hAnsiTheme="majorHAnsi"/>
          <w:b/>
          <w:lang w:val="fr-CH"/>
        </w:rPr>
        <w:lastRenderedPageBreak/>
        <w:t xml:space="preserve">Annexe </w:t>
      </w:r>
      <w:r w:rsidR="00C64326" w:rsidRPr="009A6E0F">
        <w:rPr>
          <w:rFonts w:asciiTheme="majorHAnsi" w:hAnsiTheme="majorHAnsi"/>
          <w:b/>
          <w:lang w:val="fr-CH"/>
        </w:rPr>
        <w:t>A</w:t>
      </w:r>
    </w:p>
    <w:p w14:paraId="726CBED8" w14:textId="77777777" w:rsidR="007D0D4B" w:rsidRPr="009A6E0F" w:rsidRDefault="007D0D4B" w:rsidP="009A6E0F">
      <w:pPr>
        <w:rPr>
          <w:rFonts w:asciiTheme="majorHAnsi" w:hAnsiTheme="majorHAnsi"/>
          <w:b/>
          <w:lang w:val="fr-CH"/>
        </w:rPr>
      </w:pPr>
    </w:p>
    <w:p w14:paraId="42781178" w14:textId="1BE0C8E3" w:rsidR="00C64326" w:rsidRPr="009A6E0F" w:rsidRDefault="005E1C03" w:rsidP="009A6E0F">
      <w:pPr>
        <w:spacing w:after="120"/>
        <w:rPr>
          <w:rFonts w:asciiTheme="majorHAnsi" w:hAnsiTheme="majorHAnsi"/>
          <w:b/>
          <w:lang w:val="fr-CH"/>
        </w:rPr>
      </w:pPr>
      <w:r w:rsidRPr="009A6E0F">
        <w:rPr>
          <w:rFonts w:asciiTheme="majorHAnsi" w:hAnsiTheme="majorHAnsi"/>
          <w:b/>
          <w:lang w:val="fr-CH"/>
        </w:rPr>
        <w:t>C</w:t>
      </w:r>
      <w:r w:rsidR="002D7788" w:rsidRPr="009A6E0F">
        <w:rPr>
          <w:rFonts w:asciiTheme="majorHAnsi" w:hAnsiTheme="majorHAnsi"/>
          <w:b/>
          <w:lang w:val="fr-CH"/>
        </w:rPr>
        <w:t xml:space="preserve">ampagnes, programmes et projets </w:t>
      </w:r>
      <w:r w:rsidRPr="009A6E0F">
        <w:rPr>
          <w:rFonts w:asciiTheme="majorHAnsi" w:hAnsiTheme="majorHAnsi"/>
          <w:b/>
          <w:lang w:val="fr-CH"/>
        </w:rPr>
        <w:t xml:space="preserve">mis en œuvre par les Parties contractantes en matière de CESP en faveur </w:t>
      </w:r>
      <w:r w:rsidR="002D7788" w:rsidRPr="009A6E0F">
        <w:rPr>
          <w:rFonts w:asciiTheme="majorHAnsi" w:hAnsiTheme="majorHAnsi"/>
          <w:b/>
          <w:lang w:val="fr-CH"/>
        </w:rPr>
        <w:t xml:space="preserve">des zones humides </w:t>
      </w:r>
      <w:r w:rsidRPr="009A6E0F">
        <w:rPr>
          <w:rFonts w:asciiTheme="majorHAnsi" w:hAnsiTheme="majorHAnsi"/>
          <w:b/>
          <w:lang w:val="fr-CH"/>
        </w:rPr>
        <w:t xml:space="preserve">lors de la période triennale </w:t>
      </w:r>
      <w:r w:rsidR="00C64326" w:rsidRPr="009A6E0F">
        <w:rPr>
          <w:rFonts w:asciiTheme="majorHAnsi" w:hAnsiTheme="majorHAnsi"/>
          <w:b/>
          <w:lang w:val="fr-CH"/>
        </w:rPr>
        <w:t xml:space="preserve">2016-18 </w:t>
      </w:r>
    </w:p>
    <w:p w14:paraId="14A5159E" w14:textId="77777777" w:rsidR="007D0D4B" w:rsidRPr="00BA22DE" w:rsidRDefault="007D0D4B" w:rsidP="004C3670">
      <w:pPr>
        <w:spacing w:after="120"/>
        <w:jc w:val="center"/>
        <w:rPr>
          <w:rFonts w:asciiTheme="majorHAnsi" w:hAnsiTheme="majorHAnsi"/>
          <w:b/>
          <w:sz w:val="22"/>
          <w:szCs w:val="22"/>
          <w:lang w:val="fr-CH"/>
        </w:rPr>
      </w:pPr>
    </w:p>
    <w:p w14:paraId="1342F64C" w14:textId="27D41895" w:rsidR="00C64326" w:rsidRPr="00BA22DE" w:rsidRDefault="00D722C0" w:rsidP="00D722C0">
      <w:pPr>
        <w:numPr>
          <w:ilvl w:val="0"/>
          <w:numId w:val="17"/>
        </w:numPr>
        <w:spacing w:after="120"/>
        <w:rPr>
          <w:rFonts w:asciiTheme="majorHAnsi" w:hAnsiTheme="majorHAnsi"/>
          <w:sz w:val="22"/>
          <w:szCs w:val="22"/>
          <w:lang w:val="fr-CH"/>
        </w:rPr>
      </w:pPr>
      <w:r w:rsidRPr="00D722C0">
        <w:rPr>
          <w:rFonts w:asciiTheme="majorHAnsi" w:hAnsiTheme="majorHAnsi"/>
          <w:sz w:val="22"/>
          <w:szCs w:val="22"/>
          <w:lang w:val="fr-CH"/>
        </w:rPr>
        <w:t xml:space="preserve">Au Mexique, la Commission nationale des aires naturelles protégées a préparé et distribué </w:t>
      </w:r>
      <w:r>
        <w:rPr>
          <w:rFonts w:asciiTheme="majorHAnsi" w:hAnsiTheme="majorHAnsi"/>
          <w:sz w:val="22"/>
          <w:szCs w:val="22"/>
          <w:lang w:val="fr-CH"/>
        </w:rPr>
        <w:t xml:space="preserve">sur son </w:t>
      </w:r>
      <w:r w:rsidRPr="00D722C0">
        <w:rPr>
          <w:rFonts w:asciiTheme="majorHAnsi" w:hAnsiTheme="majorHAnsi"/>
          <w:sz w:val="22"/>
          <w:szCs w:val="22"/>
          <w:lang w:val="fr-CH"/>
        </w:rPr>
        <w:t xml:space="preserve">site Web et </w:t>
      </w:r>
      <w:r>
        <w:rPr>
          <w:rFonts w:asciiTheme="majorHAnsi" w:hAnsiTheme="majorHAnsi"/>
          <w:sz w:val="22"/>
          <w:szCs w:val="22"/>
          <w:lang w:val="fr-CH"/>
        </w:rPr>
        <w:t xml:space="preserve">sur </w:t>
      </w:r>
      <w:r w:rsidRPr="00D722C0">
        <w:rPr>
          <w:rFonts w:asciiTheme="majorHAnsi" w:hAnsiTheme="majorHAnsi"/>
          <w:sz w:val="22"/>
          <w:szCs w:val="22"/>
          <w:lang w:val="fr-CH"/>
        </w:rPr>
        <w:t xml:space="preserve">des </w:t>
      </w:r>
      <w:r>
        <w:rPr>
          <w:rFonts w:asciiTheme="majorHAnsi" w:hAnsiTheme="majorHAnsi"/>
          <w:sz w:val="22"/>
          <w:szCs w:val="22"/>
          <w:lang w:val="fr-CH"/>
        </w:rPr>
        <w:t xml:space="preserve">réseaux sociaux </w:t>
      </w:r>
      <w:r w:rsidRPr="00D722C0">
        <w:rPr>
          <w:rFonts w:asciiTheme="majorHAnsi" w:hAnsiTheme="majorHAnsi"/>
          <w:sz w:val="22"/>
          <w:szCs w:val="22"/>
          <w:lang w:val="fr-CH"/>
        </w:rPr>
        <w:t>une brochure numérique sur l'application de la Convention de Ramsar au Mexique et la pertinence des zones humides pour les populations.</w:t>
      </w:r>
    </w:p>
    <w:p w14:paraId="0AEF82F3" w14:textId="65FDDF90" w:rsidR="00C64326" w:rsidRPr="00BA22DE" w:rsidRDefault="00D722C0" w:rsidP="00D722C0">
      <w:pPr>
        <w:numPr>
          <w:ilvl w:val="0"/>
          <w:numId w:val="17"/>
        </w:numPr>
        <w:spacing w:after="120"/>
        <w:rPr>
          <w:rFonts w:asciiTheme="majorHAnsi" w:hAnsiTheme="majorHAnsi"/>
          <w:sz w:val="22"/>
          <w:szCs w:val="22"/>
          <w:lang w:val="fr-CH"/>
        </w:rPr>
      </w:pPr>
      <w:r w:rsidRPr="00D722C0">
        <w:rPr>
          <w:rFonts w:asciiTheme="majorHAnsi" w:hAnsiTheme="majorHAnsi"/>
          <w:sz w:val="22"/>
          <w:szCs w:val="22"/>
          <w:lang w:val="fr-CH"/>
        </w:rPr>
        <w:t>En Hongrie, le Festival de l'Oie sauvage, qui se tient chaq</w:t>
      </w:r>
      <w:r>
        <w:rPr>
          <w:rFonts w:asciiTheme="majorHAnsi" w:hAnsiTheme="majorHAnsi"/>
          <w:sz w:val="22"/>
          <w:szCs w:val="22"/>
          <w:lang w:val="fr-CH"/>
        </w:rPr>
        <w:t>ue année sur le S</w:t>
      </w:r>
      <w:r w:rsidRPr="00D722C0">
        <w:rPr>
          <w:rFonts w:asciiTheme="majorHAnsi" w:hAnsiTheme="majorHAnsi"/>
          <w:sz w:val="22"/>
          <w:szCs w:val="22"/>
          <w:lang w:val="fr-CH"/>
        </w:rPr>
        <w:t xml:space="preserve">ite Ramsar du lac Tata, attire </w:t>
      </w:r>
      <w:r w:rsidR="008D7C3E">
        <w:rPr>
          <w:rFonts w:asciiTheme="majorHAnsi" w:hAnsiTheme="majorHAnsi"/>
          <w:sz w:val="22"/>
          <w:szCs w:val="22"/>
          <w:lang w:val="fr-CH"/>
        </w:rPr>
        <w:t xml:space="preserve">toujours plus </w:t>
      </w:r>
      <w:r w:rsidRPr="00D722C0">
        <w:rPr>
          <w:rFonts w:asciiTheme="majorHAnsi" w:hAnsiTheme="majorHAnsi"/>
          <w:sz w:val="22"/>
          <w:szCs w:val="22"/>
          <w:lang w:val="fr-CH"/>
        </w:rPr>
        <w:t xml:space="preserve">de visiteurs, soit plus de 14 000 </w:t>
      </w:r>
      <w:r>
        <w:rPr>
          <w:rFonts w:asciiTheme="majorHAnsi" w:hAnsiTheme="majorHAnsi"/>
          <w:sz w:val="22"/>
          <w:szCs w:val="22"/>
          <w:lang w:val="fr-CH"/>
        </w:rPr>
        <w:t>personnes les jours de grande affluence</w:t>
      </w:r>
      <w:r w:rsidR="00E84D17">
        <w:rPr>
          <w:rFonts w:asciiTheme="majorHAnsi" w:hAnsiTheme="majorHAnsi"/>
          <w:sz w:val="22"/>
          <w:szCs w:val="22"/>
          <w:lang w:val="fr-CH"/>
        </w:rPr>
        <w:t xml:space="preserve"> du festival. Lors de ce</w:t>
      </w:r>
      <w:r w:rsidRPr="00D722C0">
        <w:rPr>
          <w:rFonts w:asciiTheme="majorHAnsi" w:hAnsiTheme="majorHAnsi"/>
          <w:sz w:val="22"/>
          <w:szCs w:val="22"/>
          <w:lang w:val="fr-CH"/>
        </w:rPr>
        <w:t xml:space="preserve"> festival</w:t>
      </w:r>
      <w:r w:rsidR="00E84D17">
        <w:rPr>
          <w:rFonts w:asciiTheme="majorHAnsi" w:hAnsiTheme="majorHAnsi"/>
          <w:sz w:val="22"/>
          <w:szCs w:val="22"/>
          <w:lang w:val="fr-CH"/>
        </w:rPr>
        <w:t>,</w:t>
      </w:r>
      <w:r w:rsidRPr="00D722C0">
        <w:rPr>
          <w:rFonts w:asciiTheme="majorHAnsi" w:hAnsiTheme="majorHAnsi"/>
          <w:sz w:val="22"/>
          <w:szCs w:val="22"/>
          <w:lang w:val="fr-CH"/>
        </w:rPr>
        <w:t xml:space="preserve"> des présentations </w:t>
      </w:r>
      <w:r w:rsidR="00E84D17">
        <w:rPr>
          <w:rFonts w:asciiTheme="majorHAnsi" w:hAnsiTheme="majorHAnsi"/>
          <w:sz w:val="22"/>
          <w:szCs w:val="22"/>
          <w:lang w:val="fr-CH"/>
        </w:rPr>
        <w:t xml:space="preserve">sont faites </w:t>
      </w:r>
      <w:r w:rsidRPr="00D722C0">
        <w:rPr>
          <w:rFonts w:asciiTheme="majorHAnsi" w:hAnsiTheme="majorHAnsi"/>
          <w:sz w:val="22"/>
          <w:szCs w:val="22"/>
          <w:lang w:val="fr-CH"/>
        </w:rPr>
        <w:t xml:space="preserve">sur les valeurs des </w:t>
      </w:r>
      <w:r>
        <w:rPr>
          <w:rFonts w:asciiTheme="majorHAnsi" w:hAnsiTheme="majorHAnsi"/>
          <w:sz w:val="22"/>
          <w:szCs w:val="22"/>
          <w:lang w:val="fr-CH"/>
        </w:rPr>
        <w:t>zones</w:t>
      </w:r>
      <w:r w:rsidRPr="00D722C0">
        <w:rPr>
          <w:rFonts w:asciiTheme="majorHAnsi" w:hAnsiTheme="majorHAnsi"/>
          <w:sz w:val="22"/>
          <w:szCs w:val="22"/>
          <w:lang w:val="fr-CH"/>
        </w:rPr>
        <w:t xml:space="preserve"> humides et </w:t>
      </w:r>
      <w:r w:rsidR="00E84D17">
        <w:rPr>
          <w:rFonts w:asciiTheme="majorHAnsi" w:hAnsiTheme="majorHAnsi"/>
          <w:sz w:val="22"/>
          <w:szCs w:val="22"/>
          <w:lang w:val="fr-CH"/>
        </w:rPr>
        <w:t xml:space="preserve">on peut </w:t>
      </w:r>
      <w:r w:rsidRPr="00D722C0">
        <w:rPr>
          <w:rFonts w:asciiTheme="majorHAnsi" w:hAnsiTheme="majorHAnsi"/>
          <w:sz w:val="22"/>
          <w:szCs w:val="22"/>
          <w:lang w:val="fr-CH"/>
        </w:rPr>
        <w:t>observ</w:t>
      </w:r>
      <w:r w:rsidR="00E84D17">
        <w:rPr>
          <w:rFonts w:asciiTheme="majorHAnsi" w:hAnsiTheme="majorHAnsi"/>
          <w:sz w:val="22"/>
          <w:szCs w:val="22"/>
          <w:lang w:val="fr-CH"/>
        </w:rPr>
        <w:t xml:space="preserve">er </w:t>
      </w:r>
      <w:r w:rsidRPr="00D722C0">
        <w:rPr>
          <w:rFonts w:asciiTheme="majorHAnsi" w:hAnsiTheme="majorHAnsi"/>
          <w:sz w:val="22"/>
          <w:szCs w:val="22"/>
          <w:lang w:val="fr-CH"/>
        </w:rPr>
        <w:t xml:space="preserve">un vol de milliers d'oies </w:t>
      </w:r>
      <w:r w:rsidR="00B708F3">
        <w:rPr>
          <w:rFonts w:asciiTheme="majorHAnsi" w:hAnsiTheme="majorHAnsi"/>
          <w:sz w:val="22"/>
          <w:szCs w:val="22"/>
          <w:lang w:val="fr-CH"/>
        </w:rPr>
        <w:t>sur</w:t>
      </w:r>
      <w:r w:rsidRPr="00D722C0">
        <w:rPr>
          <w:rFonts w:asciiTheme="majorHAnsi" w:hAnsiTheme="majorHAnsi"/>
          <w:sz w:val="22"/>
          <w:szCs w:val="22"/>
          <w:lang w:val="fr-CH"/>
        </w:rPr>
        <w:t xml:space="preserve"> le lac.</w:t>
      </w:r>
    </w:p>
    <w:p w14:paraId="217F66BE" w14:textId="1CBE6EBF" w:rsidR="00C64326" w:rsidRPr="00BA22DE" w:rsidRDefault="00E84D17" w:rsidP="00E84D17">
      <w:pPr>
        <w:numPr>
          <w:ilvl w:val="0"/>
          <w:numId w:val="17"/>
        </w:numPr>
        <w:spacing w:after="120"/>
        <w:rPr>
          <w:rFonts w:asciiTheme="majorHAnsi" w:hAnsiTheme="majorHAnsi"/>
          <w:sz w:val="22"/>
          <w:szCs w:val="22"/>
          <w:lang w:val="fr-CH"/>
        </w:rPr>
      </w:pPr>
      <w:r w:rsidRPr="00E84D17">
        <w:rPr>
          <w:rFonts w:asciiTheme="majorHAnsi" w:hAnsiTheme="majorHAnsi"/>
          <w:sz w:val="22"/>
          <w:szCs w:val="22"/>
          <w:lang w:val="fr-CH"/>
        </w:rPr>
        <w:t xml:space="preserve">Aux Pays-Bas, divers programmes ont été mis en œuvre pour illustrer l'importance des zones humides pour </w:t>
      </w:r>
      <w:r w:rsidR="00275B69">
        <w:rPr>
          <w:rFonts w:asciiTheme="majorHAnsi" w:hAnsiTheme="majorHAnsi"/>
          <w:sz w:val="22"/>
          <w:szCs w:val="22"/>
          <w:lang w:val="fr-CH"/>
        </w:rPr>
        <w:t>l'homme et la nature, tels que « Room for the River »</w:t>
      </w:r>
      <w:r w:rsidRPr="00E84D17">
        <w:rPr>
          <w:rFonts w:asciiTheme="majorHAnsi" w:hAnsiTheme="majorHAnsi"/>
          <w:sz w:val="22"/>
          <w:szCs w:val="22"/>
          <w:lang w:val="fr-CH"/>
        </w:rPr>
        <w:t xml:space="preserve"> (sur plus de 30 sites, des mesures sont prises pour donner à la rivière l'espa</w:t>
      </w:r>
      <w:r w:rsidR="00275B69">
        <w:rPr>
          <w:rFonts w:asciiTheme="majorHAnsi" w:hAnsiTheme="majorHAnsi"/>
          <w:sz w:val="22"/>
          <w:szCs w:val="22"/>
          <w:lang w:val="fr-CH"/>
        </w:rPr>
        <w:t>ce nécessaire pour déborder en toute sécurité) et « Natuur Monumenten »</w:t>
      </w:r>
      <w:r w:rsidRPr="00E84D17">
        <w:rPr>
          <w:rFonts w:asciiTheme="majorHAnsi" w:hAnsiTheme="majorHAnsi"/>
          <w:sz w:val="22"/>
          <w:szCs w:val="22"/>
          <w:lang w:val="fr-CH"/>
        </w:rPr>
        <w:t xml:space="preserve">, une campagne </w:t>
      </w:r>
      <w:r w:rsidR="00275B69">
        <w:rPr>
          <w:rFonts w:asciiTheme="majorHAnsi" w:hAnsiTheme="majorHAnsi"/>
          <w:sz w:val="22"/>
          <w:szCs w:val="22"/>
          <w:lang w:val="fr-CH"/>
        </w:rPr>
        <w:t>visant à</w:t>
      </w:r>
      <w:r w:rsidRPr="00E84D17">
        <w:rPr>
          <w:rFonts w:asciiTheme="majorHAnsi" w:hAnsiTheme="majorHAnsi"/>
          <w:sz w:val="22"/>
          <w:szCs w:val="22"/>
          <w:lang w:val="fr-CH"/>
        </w:rPr>
        <w:t xml:space="preserve"> protéger le littoral néerlandais de l'urbanisation</w:t>
      </w:r>
      <w:r w:rsidR="00C64326" w:rsidRPr="00BA22DE">
        <w:rPr>
          <w:rFonts w:asciiTheme="majorHAnsi" w:hAnsiTheme="majorHAnsi"/>
          <w:sz w:val="22"/>
          <w:szCs w:val="22"/>
          <w:lang w:val="fr-CH"/>
        </w:rPr>
        <w:t xml:space="preserve">. </w:t>
      </w:r>
    </w:p>
    <w:p w14:paraId="2F953EEC" w14:textId="473E1B1C" w:rsidR="00C64326" w:rsidRPr="00BA22DE" w:rsidRDefault="00275B69" w:rsidP="00275B69">
      <w:pPr>
        <w:numPr>
          <w:ilvl w:val="0"/>
          <w:numId w:val="17"/>
        </w:numPr>
        <w:spacing w:after="120"/>
        <w:rPr>
          <w:rFonts w:asciiTheme="majorHAnsi" w:hAnsiTheme="majorHAnsi"/>
          <w:sz w:val="22"/>
          <w:szCs w:val="22"/>
          <w:lang w:val="fr-CH"/>
        </w:rPr>
      </w:pPr>
      <w:r w:rsidRPr="00275B69">
        <w:rPr>
          <w:rFonts w:asciiTheme="majorHAnsi" w:hAnsiTheme="majorHAnsi"/>
          <w:sz w:val="22"/>
          <w:szCs w:val="22"/>
          <w:lang w:val="fr-CH"/>
        </w:rPr>
        <w:t xml:space="preserve">En Jamaïque, le Bureau de la préparation aux catastrophes et de la gestion des situations d'urgence et le Jamaica National Heritage Trust ont organisé des expositions </w:t>
      </w:r>
      <w:r>
        <w:rPr>
          <w:rFonts w:asciiTheme="majorHAnsi" w:hAnsiTheme="majorHAnsi"/>
          <w:sz w:val="22"/>
          <w:szCs w:val="22"/>
          <w:lang w:val="fr-CH"/>
        </w:rPr>
        <w:t xml:space="preserve">pour les écoles </w:t>
      </w:r>
      <w:r w:rsidRPr="00275B69">
        <w:rPr>
          <w:rFonts w:asciiTheme="majorHAnsi" w:hAnsiTheme="majorHAnsi"/>
          <w:sz w:val="22"/>
          <w:szCs w:val="22"/>
          <w:lang w:val="fr-CH"/>
        </w:rPr>
        <w:t xml:space="preserve">sur </w:t>
      </w:r>
      <w:r w:rsidR="00EF0866">
        <w:rPr>
          <w:rFonts w:asciiTheme="majorHAnsi" w:hAnsiTheme="majorHAnsi"/>
          <w:sz w:val="22"/>
          <w:szCs w:val="22"/>
          <w:lang w:val="fr-CH"/>
        </w:rPr>
        <w:t>le thème d</w:t>
      </w:r>
      <w:r w:rsidRPr="00275B69">
        <w:rPr>
          <w:rFonts w:asciiTheme="majorHAnsi" w:hAnsiTheme="majorHAnsi"/>
          <w:sz w:val="22"/>
          <w:szCs w:val="22"/>
          <w:lang w:val="fr-CH"/>
        </w:rPr>
        <w:t xml:space="preserve">es zones humides et </w:t>
      </w:r>
      <w:r w:rsidR="00EF0866">
        <w:rPr>
          <w:rFonts w:asciiTheme="majorHAnsi" w:hAnsiTheme="majorHAnsi"/>
          <w:sz w:val="22"/>
          <w:szCs w:val="22"/>
          <w:lang w:val="fr-CH"/>
        </w:rPr>
        <w:t xml:space="preserve">de </w:t>
      </w:r>
      <w:r w:rsidRPr="00275B69">
        <w:rPr>
          <w:rFonts w:asciiTheme="majorHAnsi" w:hAnsiTheme="majorHAnsi"/>
          <w:sz w:val="22"/>
          <w:szCs w:val="22"/>
          <w:lang w:val="fr-CH"/>
        </w:rPr>
        <w:t xml:space="preserve">la réduction des risques de catastrophe. L'éducation sur les zones humides est intégrée dans les programmes d'éducation du public de l'Agence nationale de l'environnement et de la planification (NEPA), d'autres organismes gouvernementaux tels que la Urban Development Corporation (UDC) et l'Institute of Jamaica. </w:t>
      </w:r>
      <w:r w:rsidR="00EF0866">
        <w:rPr>
          <w:rFonts w:asciiTheme="majorHAnsi" w:hAnsiTheme="majorHAnsi"/>
          <w:sz w:val="22"/>
          <w:szCs w:val="22"/>
          <w:lang w:val="fr-CH"/>
        </w:rPr>
        <w:t>Dans le cadre du Programme « Adoptez une plage »</w:t>
      </w:r>
      <w:r w:rsidRPr="00275B69">
        <w:rPr>
          <w:rFonts w:asciiTheme="majorHAnsi" w:hAnsiTheme="majorHAnsi"/>
          <w:sz w:val="22"/>
          <w:szCs w:val="22"/>
          <w:lang w:val="fr-CH"/>
        </w:rPr>
        <w:t>, les écoles, les groupes communautaires et les églises sont encouragés à procéder au nettoyage de</w:t>
      </w:r>
      <w:r w:rsidR="00B708F3">
        <w:rPr>
          <w:rFonts w:asciiTheme="majorHAnsi" w:hAnsiTheme="majorHAnsi"/>
          <w:sz w:val="22"/>
          <w:szCs w:val="22"/>
          <w:lang w:val="fr-CH"/>
        </w:rPr>
        <w:t xml:space="preserve"> certaines</w:t>
      </w:r>
      <w:r w:rsidRPr="00275B69">
        <w:rPr>
          <w:rFonts w:asciiTheme="majorHAnsi" w:hAnsiTheme="majorHAnsi"/>
          <w:sz w:val="22"/>
          <w:szCs w:val="22"/>
          <w:lang w:val="fr-CH"/>
        </w:rPr>
        <w:t xml:space="preserve"> plages de l'île, </w:t>
      </w:r>
      <w:r w:rsidR="00B708F3">
        <w:rPr>
          <w:rFonts w:asciiTheme="majorHAnsi" w:hAnsiTheme="majorHAnsi"/>
          <w:sz w:val="22"/>
          <w:szCs w:val="22"/>
          <w:lang w:val="fr-CH"/>
        </w:rPr>
        <w:t>notamment des</w:t>
      </w:r>
      <w:r w:rsidRPr="00275B69">
        <w:rPr>
          <w:rFonts w:asciiTheme="majorHAnsi" w:hAnsiTheme="majorHAnsi"/>
          <w:sz w:val="22"/>
          <w:szCs w:val="22"/>
          <w:lang w:val="fr-CH"/>
        </w:rPr>
        <w:t xml:space="preserve"> sites Ramsar</w:t>
      </w:r>
      <w:r w:rsidR="00C64326" w:rsidRPr="00BA22DE">
        <w:rPr>
          <w:rFonts w:asciiTheme="majorHAnsi" w:hAnsiTheme="majorHAnsi"/>
          <w:sz w:val="22"/>
          <w:szCs w:val="22"/>
          <w:lang w:val="fr-CH"/>
        </w:rPr>
        <w:t xml:space="preserve">. </w:t>
      </w:r>
    </w:p>
    <w:p w14:paraId="0B9BAA8C" w14:textId="34A2EA13" w:rsidR="00C64326" w:rsidRPr="00BA22DE" w:rsidRDefault="008A2490" w:rsidP="008A2490">
      <w:pPr>
        <w:numPr>
          <w:ilvl w:val="0"/>
          <w:numId w:val="17"/>
        </w:numPr>
        <w:spacing w:after="120"/>
        <w:rPr>
          <w:rFonts w:asciiTheme="majorHAnsi" w:hAnsiTheme="majorHAnsi"/>
          <w:sz w:val="22"/>
          <w:szCs w:val="22"/>
          <w:lang w:val="fr-CH"/>
        </w:rPr>
      </w:pPr>
      <w:r w:rsidRPr="008A2490">
        <w:rPr>
          <w:rFonts w:asciiTheme="majorHAnsi" w:hAnsiTheme="majorHAnsi"/>
          <w:sz w:val="22"/>
          <w:szCs w:val="22"/>
          <w:lang w:val="fr-CH"/>
        </w:rPr>
        <w:t xml:space="preserve">Au Royaume-Uni, l'expédition </w:t>
      </w:r>
      <w:r>
        <w:rPr>
          <w:rFonts w:asciiTheme="majorHAnsi" w:hAnsiTheme="majorHAnsi"/>
          <w:sz w:val="22"/>
          <w:szCs w:val="22"/>
          <w:lang w:val="fr-CH"/>
        </w:rPr>
        <w:t>Vol de cygnes</w:t>
      </w:r>
      <w:r w:rsidRPr="008A2490">
        <w:rPr>
          <w:rFonts w:asciiTheme="majorHAnsi" w:hAnsiTheme="majorHAnsi"/>
          <w:sz w:val="22"/>
          <w:szCs w:val="22"/>
          <w:lang w:val="fr-CH"/>
        </w:rPr>
        <w:t xml:space="preserve"> a recueilli des informations et encouragé la conservation des zones humides et des oiseaux d'eau le long de la voie d</w:t>
      </w:r>
      <w:r>
        <w:rPr>
          <w:rFonts w:asciiTheme="majorHAnsi" w:hAnsiTheme="majorHAnsi"/>
          <w:sz w:val="22"/>
          <w:szCs w:val="22"/>
          <w:lang w:val="fr-CH"/>
        </w:rPr>
        <w:t>e migration du cygne de Bewick</w:t>
      </w:r>
      <w:r w:rsidRPr="008A2490">
        <w:rPr>
          <w:rFonts w:asciiTheme="majorHAnsi" w:hAnsiTheme="majorHAnsi"/>
          <w:sz w:val="22"/>
          <w:szCs w:val="22"/>
          <w:lang w:val="fr-CH"/>
        </w:rPr>
        <w:t>, sur une distance de 7</w:t>
      </w:r>
      <w:r w:rsidR="00B708F3">
        <w:rPr>
          <w:rFonts w:asciiTheme="majorHAnsi" w:hAnsiTheme="majorHAnsi"/>
          <w:sz w:val="22"/>
          <w:szCs w:val="22"/>
          <w:lang w:val="fr-CH"/>
        </w:rPr>
        <w:t xml:space="preserve"> </w:t>
      </w:r>
      <w:r w:rsidRPr="008A2490">
        <w:rPr>
          <w:rFonts w:asciiTheme="majorHAnsi" w:hAnsiTheme="majorHAnsi"/>
          <w:sz w:val="22"/>
          <w:szCs w:val="22"/>
          <w:lang w:val="fr-CH"/>
        </w:rPr>
        <w:t>000 kilomètres, de la Russie à l'Angleterre en passant par l'Europe du Nord.</w:t>
      </w:r>
      <w:r w:rsidR="00C64326" w:rsidRPr="00BA22DE">
        <w:rPr>
          <w:rFonts w:asciiTheme="majorHAnsi" w:hAnsiTheme="majorHAnsi"/>
          <w:sz w:val="22"/>
          <w:szCs w:val="22"/>
          <w:lang w:val="fr-CH"/>
        </w:rPr>
        <w:t xml:space="preserve"> </w:t>
      </w:r>
    </w:p>
    <w:p w14:paraId="6DEA62EC" w14:textId="629B53B1" w:rsidR="00C64326" w:rsidRPr="00BA22DE" w:rsidRDefault="00B67891" w:rsidP="00B67891">
      <w:pPr>
        <w:numPr>
          <w:ilvl w:val="0"/>
          <w:numId w:val="17"/>
        </w:numPr>
        <w:spacing w:after="120"/>
        <w:rPr>
          <w:rFonts w:asciiTheme="majorHAnsi" w:hAnsiTheme="majorHAnsi"/>
          <w:sz w:val="22"/>
          <w:szCs w:val="22"/>
          <w:lang w:val="fr-CH"/>
        </w:rPr>
      </w:pPr>
      <w:r w:rsidRPr="00B67891">
        <w:rPr>
          <w:rFonts w:asciiTheme="majorHAnsi" w:hAnsiTheme="majorHAnsi"/>
          <w:sz w:val="22"/>
          <w:szCs w:val="22"/>
          <w:lang w:val="fr-CH"/>
        </w:rPr>
        <w:t>Aux États-Uni</w:t>
      </w:r>
      <w:r w:rsidR="00B708F3">
        <w:rPr>
          <w:rFonts w:asciiTheme="majorHAnsi" w:hAnsiTheme="majorHAnsi"/>
          <w:sz w:val="22"/>
          <w:szCs w:val="22"/>
          <w:lang w:val="fr-CH"/>
        </w:rPr>
        <w:t>s, le gouvernement fédéral, d</w:t>
      </w:r>
      <w:r w:rsidR="00CB1B0D">
        <w:rPr>
          <w:rFonts w:asciiTheme="majorHAnsi" w:hAnsiTheme="majorHAnsi"/>
          <w:sz w:val="22"/>
          <w:szCs w:val="22"/>
          <w:lang w:val="fr-CH"/>
        </w:rPr>
        <w:t xml:space="preserve">es administrations </w:t>
      </w:r>
      <w:r w:rsidRPr="00B67891">
        <w:rPr>
          <w:rFonts w:asciiTheme="majorHAnsi" w:hAnsiTheme="majorHAnsi"/>
          <w:sz w:val="22"/>
          <w:szCs w:val="22"/>
          <w:lang w:val="fr-CH"/>
        </w:rPr>
        <w:t>d</w:t>
      </w:r>
      <w:r w:rsidR="00B708F3">
        <w:rPr>
          <w:rFonts w:asciiTheme="majorHAnsi" w:hAnsiTheme="majorHAnsi"/>
          <w:sz w:val="22"/>
          <w:szCs w:val="22"/>
          <w:lang w:val="fr-CH"/>
        </w:rPr>
        <w:t>’</w:t>
      </w:r>
      <w:r w:rsidRPr="00B67891">
        <w:rPr>
          <w:rFonts w:asciiTheme="majorHAnsi" w:hAnsiTheme="majorHAnsi"/>
          <w:sz w:val="22"/>
          <w:szCs w:val="22"/>
          <w:lang w:val="fr-CH"/>
        </w:rPr>
        <w:t xml:space="preserve">États et des ONG ont </w:t>
      </w:r>
      <w:r w:rsidR="00CB1B0D">
        <w:rPr>
          <w:rFonts w:asciiTheme="majorHAnsi" w:hAnsiTheme="majorHAnsi"/>
          <w:sz w:val="22"/>
          <w:szCs w:val="22"/>
          <w:lang w:val="fr-CH"/>
        </w:rPr>
        <w:t xml:space="preserve">organisé </w:t>
      </w:r>
      <w:r w:rsidRPr="00B67891">
        <w:rPr>
          <w:rFonts w:asciiTheme="majorHAnsi" w:hAnsiTheme="majorHAnsi"/>
          <w:sz w:val="22"/>
          <w:szCs w:val="22"/>
          <w:lang w:val="fr-CH"/>
        </w:rPr>
        <w:t>diverses campagnes, comme le 25</w:t>
      </w:r>
      <w:r w:rsidRPr="00B708F3">
        <w:rPr>
          <w:rFonts w:asciiTheme="majorHAnsi" w:hAnsiTheme="majorHAnsi"/>
          <w:sz w:val="22"/>
          <w:szCs w:val="22"/>
          <w:vertAlign w:val="superscript"/>
          <w:lang w:val="fr-CH"/>
        </w:rPr>
        <w:t>e</w:t>
      </w:r>
      <w:r w:rsidR="00B708F3">
        <w:rPr>
          <w:rFonts w:asciiTheme="majorHAnsi" w:hAnsiTheme="majorHAnsi"/>
          <w:sz w:val="22"/>
          <w:szCs w:val="22"/>
          <w:lang w:val="fr-CH"/>
        </w:rPr>
        <w:t xml:space="preserve"> </w:t>
      </w:r>
      <w:r w:rsidRPr="00B67891">
        <w:rPr>
          <w:rFonts w:asciiTheme="majorHAnsi" w:hAnsiTheme="majorHAnsi"/>
          <w:sz w:val="22"/>
          <w:szCs w:val="22"/>
          <w:lang w:val="fr-CH"/>
        </w:rPr>
        <w:t>anniversaire du Mois américain des zones humid</w:t>
      </w:r>
      <w:r w:rsidR="00CB1B0D">
        <w:rPr>
          <w:rFonts w:asciiTheme="majorHAnsi" w:hAnsiTheme="majorHAnsi"/>
          <w:sz w:val="22"/>
          <w:szCs w:val="22"/>
          <w:lang w:val="fr-CH"/>
        </w:rPr>
        <w:t xml:space="preserve">es et le Wetlands Project, qui parraine </w:t>
      </w:r>
      <w:r w:rsidRPr="00B67891">
        <w:rPr>
          <w:rFonts w:asciiTheme="majorHAnsi" w:hAnsiTheme="majorHAnsi"/>
          <w:sz w:val="22"/>
          <w:szCs w:val="22"/>
          <w:lang w:val="fr-CH"/>
        </w:rPr>
        <w:t xml:space="preserve">des projets de conservation des zones humides dans </w:t>
      </w:r>
      <w:r w:rsidR="00B708F3">
        <w:rPr>
          <w:rFonts w:asciiTheme="majorHAnsi" w:hAnsiTheme="majorHAnsi"/>
          <w:sz w:val="22"/>
          <w:szCs w:val="22"/>
          <w:lang w:val="fr-CH"/>
        </w:rPr>
        <w:t>l’ensemble du</w:t>
      </w:r>
      <w:r w:rsidRPr="00B67891">
        <w:rPr>
          <w:rFonts w:asciiTheme="majorHAnsi" w:hAnsiTheme="majorHAnsi"/>
          <w:sz w:val="22"/>
          <w:szCs w:val="22"/>
          <w:lang w:val="fr-CH"/>
        </w:rPr>
        <w:t xml:space="preserve"> pays</w:t>
      </w:r>
      <w:r w:rsidR="00C64326" w:rsidRPr="00BA22DE">
        <w:rPr>
          <w:rFonts w:asciiTheme="majorHAnsi" w:hAnsiTheme="majorHAnsi"/>
          <w:sz w:val="22"/>
          <w:szCs w:val="22"/>
          <w:lang w:val="fr-CH"/>
        </w:rPr>
        <w:t xml:space="preserve">. </w:t>
      </w:r>
    </w:p>
    <w:p w14:paraId="53E1DC10" w14:textId="7BE6A303" w:rsidR="00C64326" w:rsidRPr="00BA22DE" w:rsidRDefault="00CB1B0D" w:rsidP="00CB1B0D">
      <w:pPr>
        <w:numPr>
          <w:ilvl w:val="0"/>
          <w:numId w:val="17"/>
        </w:numPr>
        <w:spacing w:after="120"/>
        <w:rPr>
          <w:rFonts w:asciiTheme="majorHAnsi" w:hAnsiTheme="majorHAnsi"/>
          <w:sz w:val="22"/>
          <w:szCs w:val="22"/>
          <w:lang w:val="fr-CH"/>
        </w:rPr>
      </w:pPr>
      <w:r w:rsidRPr="00CB1B0D">
        <w:rPr>
          <w:rFonts w:asciiTheme="majorHAnsi" w:hAnsiTheme="majorHAnsi"/>
          <w:sz w:val="22"/>
          <w:szCs w:val="22"/>
          <w:lang w:val="fr-CH"/>
        </w:rPr>
        <w:t>Au Canada, chaque année (2015, 2016, 2017), les partenaires du Plan nord-américain de ge</w:t>
      </w:r>
      <w:r w:rsidR="005D1B63">
        <w:rPr>
          <w:rFonts w:asciiTheme="majorHAnsi" w:hAnsiTheme="majorHAnsi"/>
          <w:sz w:val="22"/>
          <w:szCs w:val="22"/>
          <w:lang w:val="fr-CH"/>
        </w:rPr>
        <w:t>stion de la sauvagine publient « Habitat Matters »</w:t>
      </w:r>
      <w:r w:rsidRPr="00CB1B0D">
        <w:rPr>
          <w:rFonts w:asciiTheme="majorHAnsi" w:hAnsiTheme="majorHAnsi"/>
          <w:sz w:val="22"/>
          <w:szCs w:val="22"/>
          <w:lang w:val="fr-CH"/>
        </w:rPr>
        <w:t xml:space="preserve">. Le rapport met en lumière les succès remportés dans le </w:t>
      </w:r>
      <w:r w:rsidR="007956B8">
        <w:rPr>
          <w:rFonts w:asciiTheme="majorHAnsi" w:hAnsiTheme="majorHAnsi"/>
          <w:sz w:val="22"/>
          <w:szCs w:val="22"/>
          <w:lang w:val="fr-CH"/>
        </w:rPr>
        <w:t>pays en présentant des projets « </w:t>
      </w:r>
      <w:r w:rsidR="00442979">
        <w:rPr>
          <w:rFonts w:asciiTheme="majorHAnsi" w:hAnsiTheme="majorHAnsi"/>
          <w:sz w:val="22"/>
          <w:szCs w:val="22"/>
          <w:lang w:val="fr-CH"/>
        </w:rPr>
        <w:t>Joint-Venture</w:t>
      </w:r>
      <w:r w:rsidR="007956B8">
        <w:rPr>
          <w:rFonts w:asciiTheme="majorHAnsi" w:hAnsiTheme="majorHAnsi"/>
          <w:sz w:val="22"/>
          <w:szCs w:val="22"/>
          <w:lang w:val="fr-CH"/>
        </w:rPr>
        <w:t> »</w:t>
      </w:r>
      <w:r w:rsidRPr="00CB1B0D">
        <w:rPr>
          <w:rFonts w:asciiTheme="majorHAnsi" w:hAnsiTheme="majorHAnsi"/>
          <w:sz w:val="22"/>
          <w:szCs w:val="22"/>
          <w:lang w:val="fr-CH"/>
        </w:rPr>
        <w:t xml:space="preserve"> pour chaque région. Habitat Matters 2017 a présenté la famille Hogan et ses efforts de conservation agricole dans le Plan conjoint des habitats des Prairies.  Entre 2003 et 2017, les activités de la ferme ont pris de l'expansion et la famille a signé 18 servitudes </w:t>
      </w:r>
      <w:r w:rsidR="0043632D">
        <w:rPr>
          <w:rFonts w:asciiTheme="majorHAnsi" w:hAnsiTheme="majorHAnsi"/>
          <w:sz w:val="22"/>
          <w:szCs w:val="22"/>
          <w:lang w:val="fr-CH"/>
        </w:rPr>
        <w:t>pour la</w:t>
      </w:r>
      <w:r w:rsidRPr="00CB1B0D">
        <w:rPr>
          <w:rFonts w:asciiTheme="majorHAnsi" w:hAnsiTheme="majorHAnsi"/>
          <w:sz w:val="22"/>
          <w:szCs w:val="22"/>
          <w:lang w:val="fr-CH"/>
        </w:rPr>
        <w:t xml:space="preserve"> conservation, protégeant en permanence 1 977 hectares de terres naturelles, dont 817 hectares de </w:t>
      </w:r>
      <w:r w:rsidR="0043632D">
        <w:rPr>
          <w:rFonts w:asciiTheme="majorHAnsi" w:hAnsiTheme="majorHAnsi"/>
          <w:sz w:val="22"/>
          <w:szCs w:val="22"/>
          <w:lang w:val="fr-CH"/>
        </w:rPr>
        <w:t>zones</w:t>
      </w:r>
      <w:r w:rsidRPr="00CB1B0D">
        <w:rPr>
          <w:rFonts w:asciiTheme="majorHAnsi" w:hAnsiTheme="majorHAnsi"/>
          <w:sz w:val="22"/>
          <w:szCs w:val="22"/>
          <w:lang w:val="fr-CH"/>
        </w:rPr>
        <w:t xml:space="preserve"> humides.</w:t>
      </w:r>
      <w:r w:rsidR="00C64326" w:rsidRPr="00BA22DE">
        <w:rPr>
          <w:rFonts w:asciiTheme="majorHAnsi" w:hAnsiTheme="majorHAnsi"/>
          <w:sz w:val="22"/>
          <w:szCs w:val="22"/>
          <w:lang w:val="fr-CH"/>
        </w:rPr>
        <w:t xml:space="preserve">   </w:t>
      </w:r>
    </w:p>
    <w:p w14:paraId="1AC4340C" w14:textId="125E35C7" w:rsidR="00C64326" w:rsidRPr="00BA22DE" w:rsidRDefault="0043632D" w:rsidP="0043632D">
      <w:pPr>
        <w:numPr>
          <w:ilvl w:val="0"/>
          <w:numId w:val="17"/>
        </w:numPr>
        <w:spacing w:after="120"/>
        <w:rPr>
          <w:rFonts w:asciiTheme="majorHAnsi" w:hAnsiTheme="majorHAnsi"/>
          <w:sz w:val="22"/>
          <w:szCs w:val="22"/>
          <w:lang w:val="fr-CH"/>
        </w:rPr>
      </w:pPr>
      <w:r w:rsidRPr="0043632D">
        <w:rPr>
          <w:rFonts w:asciiTheme="majorHAnsi" w:hAnsiTheme="majorHAnsi"/>
          <w:sz w:val="22"/>
          <w:szCs w:val="22"/>
          <w:lang w:val="fr-CH"/>
        </w:rPr>
        <w:t xml:space="preserve">Environnement et changements climatiques Canada utilise les </w:t>
      </w:r>
      <w:r>
        <w:rPr>
          <w:rFonts w:asciiTheme="majorHAnsi" w:hAnsiTheme="majorHAnsi"/>
          <w:sz w:val="22"/>
          <w:szCs w:val="22"/>
          <w:lang w:val="fr-CH"/>
        </w:rPr>
        <w:t xml:space="preserve">réseaux </w:t>
      </w:r>
      <w:r w:rsidRPr="0043632D">
        <w:rPr>
          <w:rFonts w:asciiTheme="majorHAnsi" w:hAnsiTheme="majorHAnsi"/>
          <w:sz w:val="22"/>
          <w:szCs w:val="22"/>
          <w:lang w:val="fr-CH"/>
        </w:rPr>
        <w:t xml:space="preserve">sociaux pour promouvoir les possibilités de financement et les avantages de la conservation des </w:t>
      </w:r>
      <w:r>
        <w:rPr>
          <w:rFonts w:asciiTheme="majorHAnsi" w:hAnsiTheme="majorHAnsi"/>
          <w:sz w:val="22"/>
          <w:szCs w:val="22"/>
          <w:lang w:val="fr-CH"/>
        </w:rPr>
        <w:t>zones</w:t>
      </w:r>
      <w:r w:rsidRPr="0043632D">
        <w:rPr>
          <w:rFonts w:asciiTheme="majorHAnsi" w:hAnsiTheme="majorHAnsi"/>
          <w:sz w:val="22"/>
          <w:szCs w:val="22"/>
          <w:lang w:val="fr-CH"/>
        </w:rPr>
        <w:t xml:space="preserve"> humides dans le cadre de divers programmes (p. ex. Fonds national de conservation des </w:t>
      </w:r>
      <w:r>
        <w:rPr>
          <w:rFonts w:asciiTheme="majorHAnsi" w:hAnsiTheme="majorHAnsi"/>
          <w:sz w:val="22"/>
          <w:szCs w:val="22"/>
          <w:lang w:val="fr-CH"/>
        </w:rPr>
        <w:t>zones</w:t>
      </w:r>
      <w:r w:rsidRPr="0043632D">
        <w:rPr>
          <w:rFonts w:asciiTheme="majorHAnsi" w:hAnsiTheme="majorHAnsi"/>
          <w:sz w:val="22"/>
          <w:szCs w:val="22"/>
          <w:lang w:val="fr-CH"/>
        </w:rPr>
        <w:t xml:space="preserve"> humides, Éco</w:t>
      </w:r>
      <w:r w:rsidR="009174BF">
        <w:rPr>
          <w:rFonts w:asciiTheme="majorHAnsi" w:hAnsiTheme="majorHAnsi"/>
          <w:sz w:val="22"/>
          <w:szCs w:val="22"/>
          <w:lang w:val="fr-CH"/>
        </w:rPr>
        <w:t xml:space="preserve"> </w:t>
      </w:r>
      <w:r w:rsidRPr="0043632D">
        <w:rPr>
          <w:rFonts w:asciiTheme="majorHAnsi" w:hAnsiTheme="majorHAnsi"/>
          <w:sz w:val="22"/>
          <w:szCs w:val="22"/>
          <w:lang w:val="fr-CH"/>
        </w:rPr>
        <w:t>Action).</w:t>
      </w:r>
      <w:r w:rsidR="00C64326" w:rsidRPr="00BA22DE">
        <w:rPr>
          <w:rFonts w:asciiTheme="majorHAnsi" w:hAnsiTheme="majorHAnsi"/>
          <w:sz w:val="22"/>
          <w:szCs w:val="22"/>
          <w:lang w:val="fr-CH"/>
        </w:rPr>
        <w:t xml:space="preserve"> </w:t>
      </w:r>
    </w:p>
    <w:p w14:paraId="7DBDBC9A" w14:textId="6CFC2BF3" w:rsidR="009174BF" w:rsidRDefault="009174BF" w:rsidP="009174BF">
      <w:pPr>
        <w:numPr>
          <w:ilvl w:val="0"/>
          <w:numId w:val="17"/>
        </w:numPr>
        <w:spacing w:after="120"/>
        <w:rPr>
          <w:rFonts w:asciiTheme="majorHAnsi" w:hAnsiTheme="majorHAnsi"/>
          <w:sz w:val="22"/>
          <w:szCs w:val="22"/>
          <w:lang w:val="fr-CH"/>
        </w:rPr>
      </w:pPr>
      <w:r>
        <w:rPr>
          <w:rFonts w:asciiTheme="majorHAnsi" w:hAnsiTheme="majorHAnsi"/>
          <w:sz w:val="22"/>
          <w:szCs w:val="22"/>
          <w:lang w:val="fr-CH"/>
        </w:rPr>
        <w:lastRenderedPageBreak/>
        <w:t>En Australie,</w:t>
      </w:r>
      <w:r w:rsidRPr="009174BF">
        <w:rPr>
          <w:rFonts w:asciiTheme="majorHAnsi" w:hAnsiTheme="majorHAnsi"/>
          <w:sz w:val="22"/>
          <w:szCs w:val="22"/>
          <w:lang w:val="fr-CH"/>
        </w:rPr>
        <w:t xml:space="preserve"> l'Autorité du Parc marin du récif de la Grande-Barrière s'est efforcée de sensibiliser le bassin versant de la Grande Barrière de corail aux avantages écosystémiques fournis par les zones humides. Le programme d'écoles de gardiens de récifs de l'Autorité, en particulier, encourage et aide les élèves à s'informer sur les zones humides afin qu'ils puissent restaurer, protéger et entretenir les zones humides du bassin versant de la Grande Barrière de corail. En 2017, 300 écoles, plus de 127 000 élèves et 7 900 enseignants ont participé au programme. Le </w:t>
      </w:r>
      <w:r w:rsidR="00916995">
        <w:rPr>
          <w:rFonts w:asciiTheme="majorHAnsi" w:hAnsiTheme="majorHAnsi"/>
          <w:sz w:val="22"/>
          <w:szCs w:val="22"/>
          <w:lang w:val="fr-CH"/>
        </w:rPr>
        <w:t xml:space="preserve">Conseil des gardiens de la </w:t>
      </w:r>
      <w:r w:rsidR="00DF13BF">
        <w:rPr>
          <w:rFonts w:asciiTheme="majorHAnsi" w:hAnsiTheme="majorHAnsi"/>
          <w:sz w:val="22"/>
          <w:szCs w:val="22"/>
          <w:lang w:val="fr-CH"/>
        </w:rPr>
        <w:t xml:space="preserve">Grande-Barrière </w:t>
      </w:r>
      <w:r w:rsidRPr="009174BF">
        <w:rPr>
          <w:rFonts w:asciiTheme="majorHAnsi" w:hAnsiTheme="majorHAnsi"/>
          <w:sz w:val="22"/>
          <w:szCs w:val="22"/>
          <w:lang w:val="fr-CH"/>
        </w:rPr>
        <w:t>de l'Autorité</w:t>
      </w:r>
      <w:r w:rsidR="00DF13BF">
        <w:rPr>
          <w:rFonts w:asciiTheme="majorHAnsi" w:hAnsiTheme="majorHAnsi"/>
          <w:sz w:val="22"/>
          <w:szCs w:val="22"/>
          <w:lang w:val="fr-CH"/>
        </w:rPr>
        <w:t>, par l’intermédiaire de son programme,</w:t>
      </w:r>
      <w:r w:rsidRPr="009174BF">
        <w:rPr>
          <w:rFonts w:asciiTheme="majorHAnsi" w:hAnsiTheme="majorHAnsi"/>
          <w:sz w:val="22"/>
          <w:szCs w:val="22"/>
          <w:lang w:val="fr-CH"/>
        </w:rPr>
        <w:t xml:space="preserve"> a présenté les activités menées par les autorités locales qui reconnaissent l'importance</w:t>
      </w:r>
      <w:r w:rsidR="00B708F3">
        <w:rPr>
          <w:rFonts w:asciiTheme="majorHAnsi" w:hAnsiTheme="majorHAnsi"/>
          <w:sz w:val="22"/>
          <w:szCs w:val="22"/>
          <w:lang w:val="fr-CH"/>
        </w:rPr>
        <w:t xml:space="preserve"> de la gestion et du soutien aux</w:t>
      </w:r>
      <w:r w:rsidRPr="009174BF">
        <w:rPr>
          <w:rFonts w:asciiTheme="majorHAnsi" w:hAnsiTheme="majorHAnsi"/>
          <w:sz w:val="22"/>
          <w:szCs w:val="22"/>
          <w:lang w:val="fr-CH"/>
        </w:rPr>
        <w:t xml:space="preserve"> zones humides pour tous les bénéficiaires.</w:t>
      </w:r>
    </w:p>
    <w:p w14:paraId="417C71C0" w14:textId="5B83B89F" w:rsidR="00C64326" w:rsidRPr="00BA22DE" w:rsidRDefault="00DF13BF" w:rsidP="00DF13BF">
      <w:pPr>
        <w:numPr>
          <w:ilvl w:val="0"/>
          <w:numId w:val="17"/>
        </w:numPr>
        <w:spacing w:after="120"/>
        <w:rPr>
          <w:rFonts w:asciiTheme="majorHAnsi" w:hAnsiTheme="majorHAnsi"/>
          <w:sz w:val="22"/>
          <w:szCs w:val="22"/>
          <w:lang w:val="fr-CH"/>
        </w:rPr>
      </w:pPr>
      <w:r w:rsidRPr="00DF13BF">
        <w:rPr>
          <w:rFonts w:asciiTheme="majorHAnsi" w:hAnsiTheme="majorHAnsi"/>
          <w:sz w:val="22"/>
          <w:szCs w:val="22"/>
          <w:lang w:val="fr-CH"/>
        </w:rPr>
        <w:t>En Nouvelle-Zélande, le programme Kiwi Guardians, lancé en 2015 avec le soutien de Toyota Nouvelle-Zélande, est un programme d'activités permettant aux enfants d'apprendre</w:t>
      </w:r>
      <w:r w:rsidR="00B708F3">
        <w:rPr>
          <w:rFonts w:asciiTheme="majorHAnsi" w:hAnsiTheme="majorHAnsi"/>
          <w:sz w:val="22"/>
          <w:szCs w:val="22"/>
          <w:lang w:val="fr-CH"/>
        </w:rPr>
        <w:t xml:space="preserve"> à connaître </w:t>
      </w:r>
      <w:r w:rsidRPr="00DF13BF">
        <w:rPr>
          <w:rFonts w:asciiTheme="majorHAnsi" w:hAnsiTheme="majorHAnsi"/>
          <w:sz w:val="22"/>
          <w:szCs w:val="22"/>
          <w:lang w:val="fr-CH"/>
        </w:rPr>
        <w:t>la nature et de gagner une médaille</w:t>
      </w:r>
      <w:r>
        <w:rPr>
          <w:rFonts w:asciiTheme="majorHAnsi" w:hAnsiTheme="majorHAnsi"/>
          <w:sz w:val="22"/>
          <w:szCs w:val="22"/>
          <w:lang w:val="fr-CH"/>
        </w:rPr>
        <w:t>. Plusieurs S</w:t>
      </w:r>
      <w:r w:rsidRPr="00DF13BF">
        <w:rPr>
          <w:rFonts w:asciiTheme="majorHAnsi" w:hAnsiTheme="majorHAnsi"/>
          <w:sz w:val="22"/>
          <w:szCs w:val="22"/>
          <w:lang w:val="fr-CH"/>
        </w:rPr>
        <w:t xml:space="preserve">ites Ramsar </w:t>
      </w:r>
      <w:r>
        <w:rPr>
          <w:rFonts w:asciiTheme="majorHAnsi" w:hAnsiTheme="majorHAnsi"/>
          <w:sz w:val="22"/>
          <w:szCs w:val="22"/>
          <w:lang w:val="fr-CH"/>
        </w:rPr>
        <w:t>participent au</w:t>
      </w:r>
      <w:r w:rsidRPr="00DF13BF">
        <w:rPr>
          <w:rFonts w:asciiTheme="majorHAnsi" w:hAnsiTheme="majorHAnsi"/>
          <w:sz w:val="22"/>
          <w:szCs w:val="22"/>
          <w:lang w:val="fr-CH"/>
        </w:rPr>
        <w:t xml:space="preserve"> programme </w:t>
      </w:r>
      <w:r>
        <w:rPr>
          <w:rFonts w:asciiTheme="majorHAnsi" w:hAnsiTheme="majorHAnsi"/>
          <w:sz w:val="22"/>
          <w:szCs w:val="22"/>
          <w:lang w:val="fr-CH"/>
        </w:rPr>
        <w:t xml:space="preserve">dans le cadre duquel </w:t>
      </w:r>
      <w:r w:rsidRPr="00DF13BF">
        <w:rPr>
          <w:rFonts w:asciiTheme="majorHAnsi" w:hAnsiTheme="majorHAnsi"/>
          <w:sz w:val="22"/>
          <w:szCs w:val="22"/>
          <w:lang w:val="fr-CH"/>
        </w:rPr>
        <w:t>des enfants visitent des lacs, des ruisseaux, des marais et des tourbières pour recueillir des informations.</w:t>
      </w:r>
      <w:r w:rsidR="00C64326" w:rsidRPr="00BA22DE">
        <w:rPr>
          <w:rFonts w:asciiTheme="majorHAnsi" w:hAnsiTheme="majorHAnsi"/>
          <w:sz w:val="22"/>
          <w:szCs w:val="22"/>
          <w:lang w:val="fr-CH"/>
        </w:rPr>
        <w:t xml:space="preserve"> </w:t>
      </w:r>
    </w:p>
    <w:p w14:paraId="5E24A4A5" w14:textId="08EBA8CE" w:rsidR="00C64326" w:rsidRPr="00BA22DE" w:rsidRDefault="00DF13BF" w:rsidP="00DF13BF">
      <w:pPr>
        <w:numPr>
          <w:ilvl w:val="0"/>
          <w:numId w:val="17"/>
        </w:numPr>
        <w:spacing w:after="120"/>
        <w:rPr>
          <w:rFonts w:asciiTheme="majorHAnsi" w:hAnsiTheme="majorHAnsi"/>
          <w:sz w:val="22"/>
          <w:szCs w:val="22"/>
          <w:lang w:val="fr-CH"/>
        </w:rPr>
      </w:pPr>
      <w:r w:rsidRPr="00DF13BF">
        <w:rPr>
          <w:rFonts w:asciiTheme="majorHAnsi" w:hAnsiTheme="majorHAnsi"/>
          <w:sz w:val="22"/>
          <w:szCs w:val="22"/>
          <w:lang w:val="fr-CH"/>
        </w:rPr>
        <w:t>L'Agence fédérale allemande pour la conservation de la nature a organisé une manifestation parallèle sur les tourbières et le changement climatique dans le cadre de la COP23 de la CCNUCC.</w:t>
      </w:r>
      <w:r w:rsidR="00C64326" w:rsidRPr="00BA22DE">
        <w:rPr>
          <w:rFonts w:asciiTheme="majorHAnsi" w:hAnsiTheme="majorHAnsi"/>
          <w:sz w:val="22"/>
          <w:szCs w:val="22"/>
          <w:lang w:val="fr-CH"/>
        </w:rPr>
        <w:t xml:space="preserve"> </w:t>
      </w:r>
    </w:p>
    <w:p w14:paraId="3ECD3C3C" w14:textId="6B7646AC" w:rsidR="00C64326" w:rsidRPr="00BA22DE" w:rsidRDefault="00DF13BF" w:rsidP="00DF13BF">
      <w:pPr>
        <w:numPr>
          <w:ilvl w:val="0"/>
          <w:numId w:val="17"/>
        </w:numPr>
        <w:spacing w:after="120"/>
        <w:rPr>
          <w:rFonts w:asciiTheme="majorHAnsi" w:hAnsiTheme="majorHAnsi"/>
          <w:sz w:val="22"/>
          <w:szCs w:val="22"/>
          <w:lang w:val="fr-CH"/>
        </w:rPr>
      </w:pPr>
      <w:r w:rsidRPr="00DF13BF">
        <w:rPr>
          <w:rFonts w:asciiTheme="majorHAnsi" w:hAnsiTheme="majorHAnsi"/>
          <w:sz w:val="22"/>
          <w:szCs w:val="22"/>
          <w:lang w:val="fr-CH"/>
        </w:rPr>
        <w:t>A la Grenade, un projet in</w:t>
      </w:r>
      <w:r>
        <w:rPr>
          <w:rFonts w:asciiTheme="majorHAnsi" w:hAnsiTheme="majorHAnsi"/>
          <w:sz w:val="22"/>
          <w:szCs w:val="22"/>
          <w:lang w:val="fr-CH"/>
        </w:rPr>
        <w:t>titulé « </w:t>
      </w:r>
      <w:r w:rsidRPr="00DF13BF">
        <w:rPr>
          <w:rFonts w:asciiTheme="majorHAnsi" w:hAnsiTheme="majorHAnsi"/>
          <w:sz w:val="22"/>
          <w:szCs w:val="22"/>
          <w:lang w:val="fr-CH"/>
        </w:rPr>
        <w:t>Adaptation au changement climatique</w:t>
      </w:r>
      <w:r>
        <w:rPr>
          <w:rFonts w:asciiTheme="majorHAnsi" w:hAnsiTheme="majorHAnsi"/>
          <w:sz w:val="22"/>
          <w:szCs w:val="22"/>
          <w:lang w:val="fr-CH"/>
        </w:rPr>
        <w:t xml:space="preserve"> et atténuation de ses effets</w:t>
      </w:r>
      <w:r w:rsidRPr="00DF13BF">
        <w:rPr>
          <w:rFonts w:asciiTheme="majorHAnsi" w:hAnsiTheme="majorHAnsi"/>
          <w:sz w:val="22"/>
          <w:szCs w:val="22"/>
          <w:lang w:val="fr-CH"/>
        </w:rPr>
        <w:t xml:space="preserve"> </w:t>
      </w:r>
      <w:r>
        <w:rPr>
          <w:rFonts w:asciiTheme="majorHAnsi" w:hAnsiTheme="majorHAnsi"/>
          <w:sz w:val="22"/>
          <w:szCs w:val="22"/>
          <w:lang w:val="fr-CH"/>
        </w:rPr>
        <w:t>sur le Site Ramsar de Levera »</w:t>
      </w:r>
      <w:r w:rsidRPr="00DF13BF">
        <w:rPr>
          <w:rFonts w:asciiTheme="majorHAnsi" w:hAnsiTheme="majorHAnsi"/>
          <w:sz w:val="22"/>
          <w:szCs w:val="22"/>
          <w:lang w:val="fr-CH"/>
        </w:rPr>
        <w:t xml:space="preserve"> a été mis en œuvre par Ocean Spirit International (ONG) en collaboration avec l'Autorité administrative de la Convention, pour traiter les questions liées à l'atténuation/adaptation au changement climatique </w:t>
      </w:r>
      <w:r>
        <w:rPr>
          <w:rFonts w:asciiTheme="majorHAnsi" w:hAnsiTheme="majorHAnsi"/>
          <w:sz w:val="22"/>
          <w:szCs w:val="22"/>
          <w:lang w:val="fr-CH"/>
        </w:rPr>
        <w:t xml:space="preserve">sur </w:t>
      </w:r>
      <w:r w:rsidRPr="00DF13BF">
        <w:rPr>
          <w:rFonts w:asciiTheme="majorHAnsi" w:hAnsiTheme="majorHAnsi"/>
          <w:sz w:val="22"/>
          <w:szCs w:val="22"/>
          <w:lang w:val="fr-CH"/>
        </w:rPr>
        <w:t>le site</w:t>
      </w:r>
      <w:r w:rsidR="00C64326" w:rsidRPr="00BA22DE">
        <w:rPr>
          <w:rFonts w:asciiTheme="majorHAnsi" w:hAnsiTheme="majorHAnsi"/>
          <w:sz w:val="22"/>
          <w:szCs w:val="22"/>
          <w:lang w:val="fr-CH"/>
        </w:rPr>
        <w:t xml:space="preserve">. </w:t>
      </w:r>
    </w:p>
    <w:p w14:paraId="628CB205" w14:textId="5E678DBF" w:rsidR="00C64326" w:rsidRPr="00BA22DE" w:rsidRDefault="00DF13BF" w:rsidP="00DF13BF">
      <w:pPr>
        <w:numPr>
          <w:ilvl w:val="0"/>
          <w:numId w:val="17"/>
        </w:numPr>
        <w:spacing w:after="120"/>
        <w:rPr>
          <w:rFonts w:asciiTheme="majorHAnsi" w:hAnsiTheme="majorHAnsi"/>
          <w:sz w:val="22"/>
          <w:szCs w:val="22"/>
          <w:lang w:val="fr-CH"/>
        </w:rPr>
      </w:pPr>
      <w:r w:rsidRPr="00DF13BF">
        <w:rPr>
          <w:rFonts w:asciiTheme="majorHAnsi" w:hAnsiTheme="majorHAnsi"/>
          <w:sz w:val="22"/>
          <w:szCs w:val="22"/>
          <w:lang w:val="fr-CH"/>
        </w:rPr>
        <w:t>Aux Émirats arabes u</w:t>
      </w:r>
      <w:r>
        <w:rPr>
          <w:rFonts w:asciiTheme="majorHAnsi" w:hAnsiTheme="majorHAnsi"/>
          <w:sz w:val="22"/>
          <w:szCs w:val="22"/>
          <w:lang w:val="fr-CH"/>
        </w:rPr>
        <w:t>nis, le nombre de visiteurs du S</w:t>
      </w:r>
      <w:r w:rsidRPr="00DF13BF">
        <w:rPr>
          <w:rFonts w:asciiTheme="majorHAnsi" w:hAnsiTheme="majorHAnsi"/>
          <w:sz w:val="22"/>
          <w:szCs w:val="22"/>
          <w:lang w:val="fr-CH"/>
        </w:rPr>
        <w:t xml:space="preserve">ite Ramsar du Sanctuaire de </w:t>
      </w:r>
      <w:r w:rsidR="00DE4716">
        <w:rPr>
          <w:rFonts w:asciiTheme="majorHAnsi" w:hAnsiTheme="majorHAnsi"/>
          <w:sz w:val="22"/>
          <w:szCs w:val="22"/>
          <w:lang w:val="fr-CH"/>
        </w:rPr>
        <w:t xml:space="preserve">faune </w:t>
      </w:r>
      <w:r w:rsidRPr="00DF13BF">
        <w:rPr>
          <w:rFonts w:asciiTheme="majorHAnsi" w:hAnsiTheme="majorHAnsi"/>
          <w:sz w:val="22"/>
          <w:szCs w:val="22"/>
          <w:lang w:val="fr-CH"/>
        </w:rPr>
        <w:t>Ras Al Khor a augmenté</w:t>
      </w:r>
      <w:r w:rsidR="00DE4716">
        <w:rPr>
          <w:rFonts w:asciiTheme="majorHAnsi" w:hAnsiTheme="majorHAnsi"/>
          <w:sz w:val="22"/>
          <w:szCs w:val="22"/>
          <w:lang w:val="fr-CH"/>
        </w:rPr>
        <w:t>, passant de</w:t>
      </w:r>
      <w:r w:rsidRPr="00DF13BF">
        <w:rPr>
          <w:rFonts w:asciiTheme="majorHAnsi" w:hAnsiTheme="majorHAnsi"/>
          <w:sz w:val="22"/>
          <w:szCs w:val="22"/>
          <w:lang w:val="fr-CH"/>
        </w:rPr>
        <w:t xml:space="preserve"> 48 659 en 2015 à 92 309 en 2016 </w:t>
      </w:r>
      <w:r w:rsidR="00DE4716">
        <w:rPr>
          <w:rFonts w:asciiTheme="majorHAnsi" w:hAnsiTheme="majorHAnsi"/>
          <w:sz w:val="22"/>
          <w:szCs w:val="22"/>
          <w:lang w:val="fr-CH"/>
        </w:rPr>
        <w:t>et à</w:t>
      </w:r>
      <w:r w:rsidRPr="00DF13BF">
        <w:rPr>
          <w:rFonts w:asciiTheme="majorHAnsi" w:hAnsiTheme="majorHAnsi"/>
          <w:sz w:val="22"/>
          <w:szCs w:val="22"/>
          <w:lang w:val="fr-CH"/>
        </w:rPr>
        <w:t xml:space="preserve"> 136 751 en 2017. Au total, 600 élèves des écoles ont visité le sanctuaire de faune de Ras Al Khor au cours des deux dernières années. Il existe également un programme de volontaires. Des étudiants </w:t>
      </w:r>
      <w:r w:rsidR="00DE4716">
        <w:rPr>
          <w:rFonts w:asciiTheme="majorHAnsi" w:hAnsiTheme="majorHAnsi"/>
          <w:sz w:val="22"/>
          <w:szCs w:val="22"/>
          <w:lang w:val="fr-CH"/>
        </w:rPr>
        <w:t>de l’</w:t>
      </w:r>
      <w:r w:rsidRPr="00DF13BF">
        <w:rPr>
          <w:rFonts w:asciiTheme="majorHAnsi" w:hAnsiTheme="majorHAnsi"/>
          <w:sz w:val="22"/>
          <w:szCs w:val="22"/>
          <w:lang w:val="fr-CH"/>
        </w:rPr>
        <w:t>universit</w:t>
      </w:r>
      <w:r w:rsidR="00DE4716">
        <w:rPr>
          <w:rFonts w:asciiTheme="majorHAnsi" w:hAnsiTheme="majorHAnsi"/>
          <w:sz w:val="22"/>
          <w:szCs w:val="22"/>
          <w:lang w:val="fr-CH"/>
        </w:rPr>
        <w:t>é</w:t>
      </w:r>
      <w:r w:rsidRPr="00DF13BF">
        <w:rPr>
          <w:rFonts w:asciiTheme="majorHAnsi" w:hAnsiTheme="majorHAnsi"/>
          <w:sz w:val="22"/>
          <w:szCs w:val="22"/>
          <w:lang w:val="fr-CH"/>
        </w:rPr>
        <w:t xml:space="preserve"> se sont portés volontaires pour participer à l'activité de gestion des mangroves. Un autre programme qui encourage la </w:t>
      </w:r>
      <w:r w:rsidR="00DE4716">
        <w:rPr>
          <w:rFonts w:asciiTheme="majorHAnsi" w:hAnsiTheme="majorHAnsi"/>
          <w:sz w:val="22"/>
          <w:szCs w:val="22"/>
          <w:lang w:val="fr-CH"/>
        </w:rPr>
        <w:t>participation du public est le n</w:t>
      </w:r>
      <w:r w:rsidRPr="00DF13BF">
        <w:rPr>
          <w:rFonts w:asciiTheme="majorHAnsi" w:hAnsiTheme="majorHAnsi"/>
          <w:sz w:val="22"/>
          <w:szCs w:val="22"/>
          <w:lang w:val="fr-CH"/>
        </w:rPr>
        <w:t xml:space="preserve">ettoyage international du littoral qui se </w:t>
      </w:r>
      <w:r w:rsidR="00DE4716">
        <w:rPr>
          <w:rFonts w:asciiTheme="majorHAnsi" w:hAnsiTheme="majorHAnsi"/>
          <w:sz w:val="22"/>
          <w:szCs w:val="22"/>
          <w:lang w:val="fr-CH"/>
        </w:rPr>
        <w:t>déroule dans le s</w:t>
      </w:r>
      <w:r w:rsidRPr="00DF13BF">
        <w:rPr>
          <w:rFonts w:asciiTheme="majorHAnsi" w:hAnsiTheme="majorHAnsi"/>
          <w:sz w:val="22"/>
          <w:szCs w:val="22"/>
          <w:lang w:val="fr-CH"/>
        </w:rPr>
        <w:t>anctuaire marin de Jabal Ali.  L'activité a mobilisé des étudiants, des entreprises, des plongeurs et le grand public. En 2016, plus de 2 tonnes de déchets ont été enlevées le long d'un tronçon de 2 km de la plage</w:t>
      </w:r>
      <w:r w:rsidR="00C64326" w:rsidRPr="00BA22DE">
        <w:rPr>
          <w:rFonts w:asciiTheme="majorHAnsi" w:hAnsiTheme="majorHAnsi"/>
          <w:sz w:val="22"/>
          <w:szCs w:val="22"/>
          <w:lang w:val="fr-CH"/>
        </w:rPr>
        <w:t xml:space="preserve">. </w:t>
      </w:r>
    </w:p>
    <w:p w14:paraId="4A965D0E" w14:textId="3CEBFA41" w:rsidR="00C64326" w:rsidRPr="00BA22DE" w:rsidRDefault="00DE4716" w:rsidP="00DE4716">
      <w:pPr>
        <w:numPr>
          <w:ilvl w:val="0"/>
          <w:numId w:val="17"/>
        </w:numPr>
        <w:spacing w:after="120"/>
        <w:rPr>
          <w:rFonts w:asciiTheme="majorHAnsi" w:hAnsiTheme="majorHAnsi"/>
          <w:sz w:val="22"/>
          <w:szCs w:val="22"/>
          <w:lang w:val="fr-CH"/>
        </w:rPr>
      </w:pPr>
      <w:r w:rsidRPr="00DE4716">
        <w:rPr>
          <w:rFonts w:asciiTheme="majorHAnsi" w:hAnsiTheme="majorHAnsi"/>
          <w:sz w:val="22"/>
          <w:szCs w:val="22"/>
          <w:lang w:val="fr-CH"/>
        </w:rPr>
        <w:t xml:space="preserve">En Équateur, le Ministère de l'environnement dirige une initiative annuelle de nettoyage des plages dans le cadre de la célébration de la Journée internationale du nettoyage des plages, qui </w:t>
      </w:r>
      <w:r>
        <w:rPr>
          <w:rFonts w:asciiTheme="majorHAnsi" w:hAnsiTheme="majorHAnsi"/>
          <w:sz w:val="22"/>
          <w:szCs w:val="22"/>
          <w:lang w:val="fr-CH"/>
        </w:rPr>
        <w:t xml:space="preserve">englobe </w:t>
      </w:r>
      <w:r w:rsidRPr="00DE4716">
        <w:rPr>
          <w:rFonts w:asciiTheme="majorHAnsi" w:hAnsiTheme="majorHAnsi"/>
          <w:sz w:val="22"/>
          <w:szCs w:val="22"/>
          <w:lang w:val="fr-CH"/>
        </w:rPr>
        <w:t xml:space="preserve">également des </w:t>
      </w:r>
      <w:r>
        <w:rPr>
          <w:rFonts w:asciiTheme="majorHAnsi" w:hAnsiTheme="majorHAnsi"/>
          <w:sz w:val="22"/>
          <w:szCs w:val="22"/>
          <w:lang w:val="fr-CH"/>
        </w:rPr>
        <w:t xml:space="preserve">cours des </w:t>
      </w:r>
      <w:r w:rsidRPr="00DE4716">
        <w:rPr>
          <w:rFonts w:asciiTheme="majorHAnsi" w:hAnsiTheme="majorHAnsi"/>
          <w:sz w:val="22"/>
          <w:szCs w:val="22"/>
          <w:lang w:val="fr-CH"/>
        </w:rPr>
        <w:t xml:space="preserve">rivières, des lagunes, des ruisseaux et des lacs. Cet événement permet également de sensibiliser </w:t>
      </w:r>
      <w:r>
        <w:rPr>
          <w:rFonts w:asciiTheme="majorHAnsi" w:hAnsiTheme="majorHAnsi"/>
          <w:sz w:val="22"/>
          <w:szCs w:val="22"/>
          <w:lang w:val="fr-CH"/>
        </w:rPr>
        <w:t xml:space="preserve">la population </w:t>
      </w:r>
      <w:r w:rsidRPr="00DE4716">
        <w:rPr>
          <w:rFonts w:asciiTheme="majorHAnsi" w:hAnsiTheme="majorHAnsi"/>
          <w:sz w:val="22"/>
          <w:szCs w:val="22"/>
          <w:lang w:val="fr-CH"/>
        </w:rPr>
        <w:t>et de diffuser de</w:t>
      </w:r>
      <w:r>
        <w:rPr>
          <w:rFonts w:asciiTheme="majorHAnsi" w:hAnsiTheme="majorHAnsi"/>
          <w:sz w:val="22"/>
          <w:szCs w:val="22"/>
          <w:lang w:val="fr-CH"/>
        </w:rPr>
        <w:t xml:space="preserve">s </w:t>
      </w:r>
      <w:r w:rsidRPr="00DE4716">
        <w:rPr>
          <w:rFonts w:asciiTheme="majorHAnsi" w:hAnsiTheme="majorHAnsi"/>
          <w:sz w:val="22"/>
          <w:szCs w:val="22"/>
          <w:lang w:val="fr-CH"/>
        </w:rPr>
        <w:t>information</w:t>
      </w:r>
      <w:r>
        <w:rPr>
          <w:rFonts w:asciiTheme="majorHAnsi" w:hAnsiTheme="majorHAnsi"/>
          <w:sz w:val="22"/>
          <w:szCs w:val="22"/>
          <w:lang w:val="fr-CH"/>
        </w:rPr>
        <w:t>s</w:t>
      </w:r>
      <w:r w:rsidRPr="00DE4716">
        <w:rPr>
          <w:rFonts w:asciiTheme="majorHAnsi" w:hAnsiTheme="majorHAnsi"/>
          <w:sz w:val="22"/>
          <w:szCs w:val="22"/>
          <w:lang w:val="fr-CH"/>
        </w:rPr>
        <w:t xml:space="preserve"> sur le traitement des déchets et sur les effets de la mauvaise gestion des déchets sur les écosystèmes aquatiques. </w:t>
      </w:r>
      <w:r>
        <w:rPr>
          <w:rFonts w:asciiTheme="majorHAnsi" w:hAnsiTheme="majorHAnsi"/>
          <w:sz w:val="22"/>
          <w:szCs w:val="22"/>
          <w:lang w:val="fr-CH"/>
        </w:rPr>
        <w:t xml:space="preserve">Près de </w:t>
      </w:r>
      <w:r w:rsidRPr="00DE4716">
        <w:rPr>
          <w:rFonts w:asciiTheme="majorHAnsi" w:hAnsiTheme="majorHAnsi"/>
          <w:sz w:val="22"/>
          <w:szCs w:val="22"/>
          <w:lang w:val="fr-CH"/>
        </w:rPr>
        <w:t>39 000 personnes ont fait du bénévolat en 2017</w:t>
      </w:r>
      <w:r w:rsidR="00C64326" w:rsidRPr="00BA22DE">
        <w:rPr>
          <w:rFonts w:asciiTheme="majorHAnsi" w:hAnsiTheme="majorHAnsi"/>
          <w:sz w:val="22"/>
          <w:szCs w:val="22"/>
          <w:lang w:val="fr-CH"/>
        </w:rPr>
        <w:t xml:space="preserve">.  </w:t>
      </w:r>
    </w:p>
    <w:p w14:paraId="057CC9DE" w14:textId="2BC37362" w:rsidR="00C64326" w:rsidRPr="00BA22DE" w:rsidRDefault="00DE4716" w:rsidP="00DE4716">
      <w:pPr>
        <w:numPr>
          <w:ilvl w:val="0"/>
          <w:numId w:val="17"/>
        </w:numPr>
        <w:spacing w:after="120"/>
        <w:rPr>
          <w:rFonts w:asciiTheme="majorHAnsi" w:hAnsiTheme="majorHAnsi"/>
          <w:sz w:val="22"/>
          <w:szCs w:val="22"/>
          <w:lang w:val="fr-CH"/>
        </w:rPr>
      </w:pPr>
      <w:r w:rsidRPr="00DE4716">
        <w:rPr>
          <w:rFonts w:asciiTheme="majorHAnsi" w:hAnsiTheme="majorHAnsi"/>
          <w:sz w:val="22"/>
          <w:szCs w:val="22"/>
          <w:lang w:val="fr-CH"/>
        </w:rPr>
        <w:t xml:space="preserve">En Chine, l'Administration nationale des forêts et l'Université de Nanjing ont accueilli conjointement la dixième Conférence internationale sur les zones humides </w:t>
      </w:r>
      <w:r>
        <w:rPr>
          <w:rFonts w:asciiTheme="majorHAnsi" w:hAnsiTheme="majorHAnsi"/>
          <w:sz w:val="22"/>
          <w:szCs w:val="22"/>
          <w:lang w:val="fr-CH"/>
        </w:rPr>
        <w:t>afin de</w:t>
      </w:r>
      <w:r w:rsidRPr="00DE4716">
        <w:rPr>
          <w:rFonts w:asciiTheme="majorHAnsi" w:hAnsiTheme="majorHAnsi"/>
          <w:sz w:val="22"/>
          <w:szCs w:val="22"/>
          <w:lang w:val="fr-CH"/>
        </w:rPr>
        <w:t xml:space="preserve"> partager les meilleures pratiques en matière de conservation et de gestion des zones humides. C'était la première fois en quarante ans que l'Asie organisait un tel événement. </w:t>
      </w:r>
      <w:r>
        <w:rPr>
          <w:rFonts w:asciiTheme="majorHAnsi" w:hAnsiTheme="majorHAnsi"/>
          <w:sz w:val="22"/>
          <w:szCs w:val="22"/>
          <w:lang w:val="fr-CH"/>
        </w:rPr>
        <w:t xml:space="preserve">Près de </w:t>
      </w:r>
      <w:r w:rsidRPr="00DE4716">
        <w:rPr>
          <w:rFonts w:asciiTheme="majorHAnsi" w:hAnsiTheme="majorHAnsi"/>
          <w:sz w:val="22"/>
          <w:szCs w:val="22"/>
          <w:lang w:val="fr-CH"/>
        </w:rPr>
        <w:t>7 200 participants de 72 pays y ont assisté</w:t>
      </w:r>
      <w:r w:rsidR="00C64326" w:rsidRPr="00BA22DE">
        <w:rPr>
          <w:rFonts w:asciiTheme="majorHAnsi" w:hAnsiTheme="majorHAnsi"/>
          <w:sz w:val="22"/>
          <w:szCs w:val="22"/>
          <w:lang w:val="fr-CH"/>
        </w:rPr>
        <w:t>.</w:t>
      </w:r>
    </w:p>
    <w:p w14:paraId="1F58ECB8" w14:textId="77777777" w:rsidR="00C64326" w:rsidRPr="00BA22DE" w:rsidRDefault="00C64326" w:rsidP="004C3670">
      <w:pPr>
        <w:spacing w:after="120"/>
        <w:rPr>
          <w:rFonts w:asciiTheme="majorHAnsi" w:hAnsiTheme="majorHAnsi"/>
          <w:sz w:val="22"/>
          <w:szCs w:val="22"/>
          <w:lang w:val="fr-CH"/>
        </w:rPr>
      </w:pPr>
    </w:p>
    <w:p w14:paraId="317E029F" w14:textId="77777777" w:rsidR="00C64326" w:rsidRPr="00BA22DE" w:rsidRDefault="00C64326" w:rsidP="004C3670">
      <w:pPr>
        <w:spacing w:after="120"/>
        <w:rPr>
          <w:rFonts w:asciiTheme="majorHAnsi" w:hAnsiTheme="majorHAnsi"/>
          <w:sz w:val="22"/>
          <w:szCs w:val="22"/>
          <w:lang w:val="fr-CH"/>
        </w:rPr>
      </w:pPr>
      <w:r w:rsidRPr="00BA22DE">
        <w:rPr>
          <w:rFonts w:asciiTheme="majorHAnsi" w:hAnsiTheme="majorHAnsi"/>
          <w:sz w:val="22"/>
          <w:szCs w:val="22"/>
          <w:lang w:val="fr-CH"/>
        </w:rPr>
        <w:br w:type="page"/>
      </w:r>
    </w:p>
    <w:p w14:paraId="4A3754F1" w14:textId="234B86EA" w:rsidR="00C64326" w:rsidRPr="009A6E0F" w:rsidRDefault="009A6E0F" w:rsidP="009A6E0F">
      <w:pPr>
        <w:rPr>
          <w:rFonts w:asciiTheme="majorHAnsi" w:hAnsiTheme="majorHAnsi"/>
          <w:b/>
          <w:lang w:val="fr-CH"/>
        </w:rPr>
      </w:pPr>
      <w:r w:rsidRPr="009A6E0F">
        <w:rPr>
          <w:rFonts w:asciiTheme="majorHAnsi" w:hAnsiTheme="majorHAnsi"/>
          <w:b/>
          <w:lang w:val="fr-CH"/>
        </w:rPr>
        <w:lastRenderedPageBreak/>
        <w:t xml:space="preserve">Annexe </w:t>
      </w:r>
      <w:r w:rsidR="00C64326" w:rsidRPr="009A6E0F">
        <w:rPr>
          <w:rFonts w:asciiTheme="majorHAnsi" w:hAnsiTheme="majorHAnsi"/>
          <w:b/>
          <w:lang w:val="fr-CH"/>
        </w:rPr>
        <w:t>B</w:t>
      </w:r>
    </w:p>
    <w:p w14:paraId="0B377441" w14:textId="77777777" w:rsidR="009A6E0F" w:rsidRDefault="009A6E0F" w:rsidP="009A6E0F">
      <w:pPr>
        <w:rPr>
          <w:rFonts w:asciiTheme="majorHAnsi" w:hAnsiTheme="majorHAnsi"/>
          <w:b/>
          <w:lang w:val="fr-CH"/>
        </w:rPr>
      </w:pPr>
    </w:p>
    <w:p w14:paraId="47C290D2" w14:textId="35B210B3" w:rsidR="00C64326" w:rsidRPr="009A6E0F" w:rsidRDefault="00DE4716" w:rsidP="009A6E0F">
      <w:pPr>
        <w:rPr>
          <w:rFonts w:asciiTheme="majorHAnsi" w:hAnsiTheme="majorHAnsi"/>
          <w:b/>
          <w:lang w:val="fr-CH"/>
        </w:rPr>
      </w:pPr>
      <w:bookmarkStart w:id="0" w:name="_GoBack"/>
      <w:bookmarkEnd w:id="0"/>
      <w:r w:rsidRPr="009A6E0F">
        <w:rPr>
          <w:rFonts w:asciiTheme="majorHAnsi" w:hAnsiTheme="majorHAnsi"/>
          <w:b/>
          <w:lang w:val="fr-CH"/>
        </w:rPr>
        <w:t xml:space="preserve">Nouvelle manière d’aborder les conseils et l’appui à la CESP dans la </w:t>
      </w:r>
      <w:r w:rsidR="00C64326" w:rsidRPr="009A6E0F">
        <w:rPr>
          <w:rFonts w:asciiTheme="majorHAnsi" w:hAnsiTheme="majorHAnsi"/>
          <w:b/>
          <w:lang w:val="fr-CH"/>
        </w:rPr>
        <w:t>Convention -</w:t>
      </w:r>
      <w:r w:rsidR="00C64326" w:rsidRPr="009A6E0F">
        <w:rPr>
          <w:rFonts w:asciiTheme="majorHAnsi" w:hAnsiTheme="majorHAnsi"/>
          <w:b/>
          <w:lang w:val="fr-CH"/>
        </w:rPr>
        <w:br/>
      </w:r>
      <w:r w:rsidRPr="009A6E0F">
        <w:rPr>
          <w:rFonts w:asciiTheme="majorHAnsi" w:hAnsiTheme="majorHAnsi"/>
          <w:b/>
          <w:lang w:val="fr-CH"/>
        </w:rPr>
        <w:t>Orientations et recomma</w:t>
      </w:r>
      <w:r w:rsidR="00C64326" w:rsidRPr="009A6E0F">
        <w:rPr>
          <w:rFonts w:asciiTheme="majorHAnsi" w:hAnsiTheme="majorHAnsi"/>
          <w:b/>
          <w:lang w:val="fr-CH"/>
        </w:rPr>
        <w:t xml:space="preserve">ndations </w:t>
      </w:r>
      <w:r w:rsidRPr="009A6E0F">
        <w:rPr>
          <w:rFonts w:asciiTheme="majorHAnsi" w:hAnsiTheme="majorHAnsi"/>
          <w:b/>
          <w:lang w:val="fr-CH"/>
        </w:rPr>
        <w:t>du</w:t>
      </w:r>
      <w:r w:rsidR="0071074F" w:rsidRPr="009A6E0F">
        <w:rPr>
          <w:rFonts w:asciiTheme="majorHAnsi" w:hAnsiTheme="majorHAnsi"/>
          <w:b/>
          <w:lang w:val="fr-CH"/>
        </w:rPr>
        <w:t xml:space="preserve"> Groupe de surveillance des activités de CESP</w:t>
      </w:r>
    </w:p>
    <w:p w14:paraId="0E3A9804" w14:textId="77777777" w:rsidR="00C64326" w:rsidRPr="00BA22DE" w:rsidRDefault="00C64326" w:rsidP="004C3670">
      <w:pPr>
        <w:spacing w:after="120"/>
        <w:rPr>
          <w:rFonts w:asciiTheme="majorHAnsi" w:hAnsiTheme="majorHAnsi"/>
          <w:sz w:val="22"/>
          <w:szCs w:val="22"/>
          <w:lang w:val="fr-CH"/>
        </w:rPr>
      </w:pPr>
    </w:p>
    <w:p w14:paraId="78E68F1E" w14:textId="1FFEC831" w:rsidR="00C64326" w:rsidRPr="00BA22DE" w:rsidRDefault="005F71E9" w:rsidP="004C3670">
      <w:pPr>
        <w:spacing w:after="120"/>
        <w:rPr>
          <w:rFonts w:asciiTheme="majorHAnsi" w:hAnsiTheme="majorHAnsi"/>
          <w:sz w:val="22"/>
          <w:szCs w:val="22"/>
          <w:lang w:val="fr-CH"/>
        </w:rPr>
      </w:pPr>
      <w:r>
        <w:rPr>
          <w:rFonts w:asciiTheme="majorHAnsi" w:hAnsiTheme="majorHAnsi"/>
          <w:sz w:val="22"/>
          <w:szCs w:val="22"/>
          <w:lang w:val="fr-CH"/>
        </w:rPr>
        <w:t>Le projet de résolution 18.6 qui sera soumis à la</w:t>
      </w:r>
      <w:r w:rsidR="00217670" w:rsidRPr="00217670">
        <w:rPr>
          <w:rFonts w:asciiTheme="majorHAnsi" w:hAnsiTheme="majorHAnsi"/>
          <w:sz w:val="22"/>
          <w:szCs w:val="22"/>
          <w:lang w:val="fr-CH"/>
        </w:rPr>
        <w:t xml:space="preserve"> COP13 propose que le Groupe de surveillance des activités de CESP fasse rapport au Comité permanent </w:t>
      </w:r>
      <w:r>
        <w:rPr>
          <w:rFonts w:asciiTheme="majorHAnsi" w:hAnsiTheme="majorHAnsi"/>
          <w:sz w:val="22"/>
          <w:szCs w:val="22"/>
          <w:lang w:val="fr-CH"/>
        </w:rPr>
        <w:t xml:space="preserve">lors de sa </w:t>
      </w:r>
      <w:r w:rsidR="00217670" w:rsidRPr="00217670">
        <w:rPr>
          <w:rFonts w:asciiTheme="majorHAnsi" w:hAnsiTheme="majorHAnsi"/>
          <w:sz w:val="22"/>
          <w:szCs w:val="22"/>
          <w:lang w:val="fr-CH"/>
        </w:rPr>
        <w:t>57</w:t>
      </w:r>
      <w:r w:rsidRPr="005F71E9">
        <w:rPr>
          <w:rFonts w:asciiTheme="majorHAnsi" w:hAnsiTheme="majorHAnsi"/>
          <w:sz w:val="22"/>
          <w:szCs w:val="22"/>
          <w:vertAlign w:val="superscript"/>
          <w:lang w:val="fr-CH"/>
        </w:rPr>
        <w:t>e</w:t>
      </w:r>
      <w:r>
        <w:rPr>
          <w:rFonts w:asciiTheme="majorHAnsi" w:hAnsiTheme="majorHAnsi"/>
          <w:sz w:val="22"/>
          <w:szCs w:val="22"/>
          <w:lang w:val="fr-CH"/>
        </w:rPr>
        <w:t xml:space="preserve"> Réunion</w:t>
      </w:r>
      <w:r w:rsidR="00217670" w:rsidRPr="00217670">
        <w:rPr>
          <w:rFonts w:asciiTheme="majorHAnsi" w:hAnsiTheme="majorHAnsi"/>
          <w:sz w:val="22"/>
          <w:szCs w:val="22"/>
          <w:lang w:val="fr-CH"/>
        </w:rPr>
        <w:t xml:space="preserve"> sur une nouvelle </w:t>
      </w:r>
      <w:r>
        <w:rPr>
          <w:rFonts w:asciiTheme="majorHAnsi" w:hAnsiTheme="majorHAnsi"/>
          <w:sz w:val="22"/>
          <w:szCs w:val="22"/>
          <w:lang w:val="fr-CH"/>
        </w:rPr>
        <w:t xml:space="preserve">manière d’aborder l’appui à la </w:t>
      </w:r>
      <w:r w:rsidR="00217670" w:rsidRPr="00217670">
        <w:rPr>
          <w:rFonts w:asciiTheme="majorHAnsi" w:hAnsiTheme="majorHAnsi"/>
          <w:sz w:val="22"/>
          <w:szCs w:val="22"/>
          <w:lang w:val="fr-CH"/>
        </w:rPr>
        <w:t>mise en œuvre de la CES</w:t>
      </w:r>
      <w:r>
        <w:rPr>
          <w:rFonts w:asciiTheme="majorHAnsi" w:hAnsiTheme="majorHAnsi"/>
          <w:sz w:val="22"/>
          <w:szCs w:val="22"/>
          <w:lang w:val="fr-CH"/>
        </w:rPr>
        <w:t>P</w:t>
      </w:r>
      <w:r w:rsidR="00217670" w:rsidRPr="00217670">
        <w:rPr>
          <w:rFonts w:asciiTheme="majorHAnsi" w:hAnsiTheme="majorHAnsi"/>
          <w:sz w:val="22"/>
          <w:szCs w:val="22"/>
          <w:lang w:val="fr-CH"/>
        </w:rPr>
        <w:t>,</w:t>
      </w:r>
      <w:r>
        <w:rPr>
          <w:rFonts w:asciiTheme="majorHAnsi" w:hAnsiTheme="majorHAnsi"/>
          <w:sz w:val="22"/>
          <w:szCs w:val="22"/>
          <w:lang w:val="fr-CH"/>
        </w:rPr>
        <w:t xml:space="preserve"> puis entreprenne un examen du Programme de CESP</w:t>
      </w:r>
      <w:r w:rsidR="00217670" w:rsidRPr="00217670">
        <w:rPr>
          <w:rFonts w:asciiTheme="majorHAnsi" w:hAnsiTheme="majorHAnsi"/>
          <w:sz w:val="22"/>
          <w:szCs w:val="22"/>
          <w:lang w:val="fr-CH"/>
        </w:rPr>
        <w:t>, en coordonnant ses effo</w:t>
      </w:r>
      <w:r>
        <w:rPr>
          <w:rFonts w:asciiTheme="majorHAnsi" w:hAnsiTheme="majorHAnsi"/>
          <w:sz w:val="22"/>
          <w:szCs w:val="22"/>
          <w:lang w:val="fr-CH"/>
        </w:rPr>
        <w:t>rts avec le Groupe de travail sur le p</w:t>
      </w:r>
      <w:r w:rsidR="00217670" w:rsidRPr="00217670">
        <w:rPr>
          <w:rFonts w:asciiTheme="majorHAnsi" w:hAnsiTheme="majorHAnsi"/>
          <w:sz w:val="22"/>
          <w:szCs w:val="22"/>
          <w:lang w:val="fr-CH"/>
        </w:rPr>
        <w:t xml:space="preserve">lan stratégique, pour faire rapport au Comité permanent </w:t>
      </w:r>
      <w:r>
        <w:rPr>
          <w:rFonts w:asciiTheme="majorHAnsi" w:hAnsiTheme="majorHAnsi"/>
          <w:sz w:val="22"/>
          <w:szCs w:val="22"/>
          <w:lang w:val="fr-CH"/>
        </w:rPr>
        <w:t xml:space="preserve">lors de sa </w:t>
      </w:r>
      <w:r w:rsidR="00217670" w:rsidRPr="00217670">
        <w:rPr>
          <w:rFonts w:asciiTheme="majorHAnsi" w:hAnsiTheme="majorHAnsi"/>
          <w:sz w:val="22"/>
          <w:szCs w:val="22"/>
          <w:lang w:val="fr-CH"/>
        </w:rPr>
        <w:t>58</w:t>
      </w:r>
      <w:r w:rsidRPr="005F71E9">
        <w:rPr>
          <w:rFonts w:asciiTheme="majorHAnsi" w:hAnsiTheme="majorHAnsi"/>
          <w:sz w:val="22"/>
          <w:szCs w:val="22"/>
          <w:vertAlign w:val="superscript"/>
          <w:lang w:val="fr-CH"/>
        </w:rPr>
        <w:t>e</w:t>
      </w:r>
      <w:r>
        <w:rPr>
          <w:rFonts w:asciiTheme="majorHAnsi" w:hAnsiTheme="majorHAnsi"/>
          <w:sz w:val="22"/>
          <w:szCs w:val="22"/>
          <w:lang w:val="fr-CH"/>
        </w:rPr>
        <w:t xml:space="preserve"> Réunion</w:t>
      </w:r>
      <w:r w:rsidR="00217670" w:rsidRPr="00217670">
        <w:rPr>
          <w:rFonts w:asciiTheme="majorHAnsi" w:hAnsiTheme="majorHAnsi"/>
          <w:sz w:val="22"/>
          <w:szCs w:val="22"/>
          <w:lang w:val="fr-CH"/>
        </w:rPr>
        <w:t>.  Les résultats seront ensuite transmis à la COP14.</w:t>
      </w:r>
    </w:p>
    <w:p w14:paraId="400D5E8B" w14:textId="3FC6E561" w:rsidR="00C64326" w:rsidRPr="00BA22DE" w:rsidRDefault="005F71E9" w:rsidP="004C3670">
      <w:pPr>
        <w:spacing w:after="120"/>
        <w:rPr>
          <w:rFonts w:asciiTheme="majorHAnsi" w:hAnsiTheme="majorHAnsi"/>
          <w:sz w:val="22"/>
          <w:szCs w:val="22"/>
          <w:lang w:val="fr-CH"/>
        </w:rPr>
      </w:pPr>
      <w:r w:rsidRPr="005F71E9">
        <w:rPr>
          <w:rFonts w:asciiTheme="majorHAnsi" w:hAnsiTheme="majorHAnsi"/>
          <w:sz w:val="22"/>
          <w:szCs w:val="22"/>
          <w:lang w:val="fr-CH"/>
        </w:rPr>
        <w:t xml:space="preserve">Le Groupe de surveillance des activités de CESP s'est penché sur une nouvelle approche </w:t>
      </w:r>
      <w:r w:rsidR="00432AA6">
        <w:rPr>
          <w:rFonts w:asciiTheme="majorHAnsi" w:hAnsiTheme="majorHAnsi"/>
          <w:sz w:val="22"/>
          <w:szCs w:val="22"/>
          <w:lang w:val="fr-CH"/>
        </w:rPr>
        <w:t>des</w:t>
      </w:r>
      <w:r>
        <w:rPr>
          <w:rFonts w:asciiTheme="majorHAnsi" w:hAnsiTheme="majorHAnsi"/>
          <w:sz w:val="22"/>
          <w:szCs w:val="22"/>
          <w:lang w:val="fr-CH"/>
        </w:rPr>
        <w:t xml:space="preserve"> conseils et </w:t>
      </w:r>
      <w:r w:rsidR="00432AA6">
        <w:rPr>
          <w:rFonts w:asciiTheme="majorHAnsi" w:hAnsiTheme="majorHAnsi"/>
          <w:sz w:val="22"/>
          <w:szCs w:val="22"/>
          <w:lang w:val="fr-CH"/>
        </w:rPr>
        <w:t>de</w:t>
      </w:r>
      <w:r>
        <w:rPr>
          <w:rFonts w:asciiTheme="majorHAnsi" w:hAnsiTheme="majorHAnsi"/>
          <w:sz w:val="22"/>
          <w:szCs w:val="22"/>
          <w:lang w:val="fr-CH"/>
        </w:rPr>
        <w:t xml:space="preserve"> l’appui à la CESP</w:t>
      </w:r>
      <w:r w:rsidRPr="005F71E9">
        <w:rPr>
          <w:rFonts w:asciiTheme="majorHAnsi" w:hAnsiTheme="majorHAnsi"/>
          <w:sz w:val="22"/>
          <w:szCs w:val="22"/>
          <w:lang w:val="fr-CH"/>
        </w:rPr>
        <w:t xml:space="preserve"> dans la Convention, afin de s'assurer q</w:t>
      </w:r>
      <w:r>
        <w:rPr>
          <w:rFonts w:asciiTheme="majorHAnsi" w:hAnsiTheme="majorHAnsi"/>
          <w:sz w:val="22"/>
          <w:szCs w:val="22"/>
          <w:lang w:val="fr-CH"/>
        </w:rPr>
        <w:t>ue l'accent est mis sur une CESP</w:t>
      </w:r>
      <w:r w:rsidRPr="005F71E9">
        <w:rPr>
          <w:rFonts w:asciiTheme="majorHAnsi" w:hAnsiTheme="majorHAnsi"/>
          <w:sz w:val="22"/>
          <w:szCs w:val="22"/>
          <w:lang w:val="fr-CH"/>
        </w:rPr>
        <w:t xml:space="preserve"> plus stratégique, intégrée et efficace </w:t>
      </w:r>
      <w:r>
        <w:rPr>
          <w:rFonts w:asciiTheme="majorHAnsi" w:hAnsiTheme="majorHAnsi"/>
          <w:sz w:val="22"/>
          <w:szCs w:val="22"/>
          <w:lang w:val="fr-CH"/>
        </w:rPr>
        <w:t>en faveur de</w:t>
      </w:r>
      <w:r w:rsidRPr="005F71E9">
        <w:rPr>
          <w:rFonts w:asciiTheme="majorHAnsi" w:hAnsiTheme="majorHAnsi"/>
          <w:sz w:val="22"/>
          <w:szCs w:val="22"/>
          <w:lang w:val="fr-CH"/>
        </w:rPr>
        <w:t xml:space="preserve"> la protection et </w:t>
      </w:r>
      <w:r>
        <w:rPr>
          <w:rFonts w:asciiTheme="majorHAnsi" w:hAnsiTheme="majorHAnsi"/>
          <w:sz w:val="22"/>
          <w:szCs w:val="22"/>
          <w:lang w:val="fr-CH"/>
        </w:rPr>
        <w:t xml:space="preserve">de </w:t>
      </w:r>
      <w:r w:rsidRPr="005F71E9">
        <w:rPr>
          <w:rFonts w:asciiTheme="majorHAnsi" w:hAnsiTheme="majorHAnsi"/>
          <w:sz w:val="22"/>
          <w:szCs w:val="22"/>
          <w:lang w:val="fr-CH"/>
        </w:rPr>
        <w:t>l'utilisation rationnelle des zones humides.</w:t>
      </w:r>
    </w:p>
    <w:p w14:paraId="5BF0E305" w14:textId="1AAD1BAB" w:rsidR="00C64326" w:rsidRPr="00BA22DE" w:rsidRDefault="00FB167D" w:rsidP="004C3670">
      <w:pPr>
        <w:spacing w:after="120"/>
        <w:rPr>
          <w:rFonts w:asciiTheme="majorHAnsi" w:hAnsiTheme="majorHAnsi"/>
          <w:sz w:val="22"/>
          <w:szCs w:val="22"/>
          <w:lang w:val="fr-CH"/>
        </w:rPr>
      </w:pPr>
      <w:r w:rsidRPr="00FB167D">
        <w:rPr>
          <w:rFonts w:asciiTheme="majorHAnsi" w:hAnsiTheme="majorHAnsi"/>
          <w:sz w:val="22"/>
          <w:szCs w:val="22"/>
          <w:lang w:val="fr-CH"/>
        </w:rPr>
        <w:t>Il a identifié les questions suivantes qui devrai</w:t>
      </w:r>
      <w:r>
        <w:rPr>
          <w:rFonts w:asciiTheme="majorHAnsi" w:hAnsiTheme="majorHAnsi"/>
          <w:sz w:val="22"/>
          <w:szCs w:val="22"/>
          <w:lang w:val="fr-CH"/>
        </w:rPr>
        <w:t xml:space="preserve">ent être prises en compte dans </w:t>
      </w:r>
      <w:r w:rsidRPr="00FB167D">
        <w:rPr>
          <w:rFonts w:asciiTheme="majorHAnsi" w:hAnsiTheme="majorHAnsi"/>
          <w:sz w:val="22"/>
          <w:szCs w:val="22"/>
          <w:lang w:val="fr-CH"/>
        </w:rPr>
        <w:t>l'examen du programme de CESP et du Plan stratégique Ramsar</w:t>
      </w:r>
      <w:r w:rsidR="00C64326" w:rsidRPr="00BA22DE">
        <w:rPr>
          <w:rFonts w:asciiTheme="majorHAnsi" w:hAnsiTheme="majorHAnsi"/>
          <w:sz w:val="22"/>
          <w:szCs w:val="22"/>
          <w:lang w:val="fr-CH"/>
        </w:rPr>
        <w:t>.</w:t>
      </w:r>
    </w:p>
    <w:p w14:paraId="43421F91" w14:textId="2C93241C" w:rsidR="00C64326" w:rsidRPr="00BA22DE" w:rsidRDefault="00FB167D" w:rsidP="004C3670">
      <w:pPr>
        <w:spacing w:after="120"/>
        <w:rPr>
          <w:rFonts w:asciiTheme="majorHAnsi" w:hAnsiTheme="majorHAnsi"/>
          <w:b/>
          <w:sz w:val="22"/>
          <w:szCs w:val="22"/>
          <w:lang w:val="fr-CH"/>
        </w:rPr>
      </w:pPr>
      <w:r>
        <w:rPr>
          <w:rFonts w:asciiTheme="majorHAnsi" w:hAnsiTheme="majorHAnsi"/>
          <w:b/>
          <w:sz w:val="22"/>
          <w:szCs w:val="22"/>
          <w:lang w:val="fr-CH"/>
        </w:rPr>
        <w:t>Objectif</w:t>
      </w:r>
      <w:r w:rsidR="00C64326" w:rsidRPr="00BA22DE">
        <w:rPr>
          <w:rFonts w:asciiTheme="majorHAnsi" w:hAnsiTheme="majorHAnsi"/>
          <w:b/>
          <w:sz w:val="22"/>
          <w:szCs w:val="22"/>
          <w:lang w:val="fr-CH"/>
        </w:rPr>
        <w:t>s</w:t>
      </w:r>
      <w:r>
        <w:rPr>
          <w:rFonts w:asciiTheme="majorHAnsi" w:hAnsiTheme="majorHAnsi"/>
          <w:b/>
          <w:sz w:val="22"/>
          <w:szCs w:val="22"/>
          <w:lang w:val="fr-CH"/>
        </w:rPr>
        <w:t xml:space="preserve"> en matière de communication</w:t>
      </w:r>
    </w:p>
    <w:p w14:paraId="5AC1D4F7" w14:textId="4C5A967A" w:rsidR="00C64326" w:rsidRPr="00BA22DE" w:rsidRDefault="00CB1548" w:rsidP="004C3670">
      <w:pPr>
        <w:spacing w:after="120"/>
        <w:rPr>
          <w:rFonts w:asciiTheme="majorHAnsi" w:hAnsiTheme="majorHAnsi"/>
          <w:sz w:val="22"/>
          <w:szCs w:val="22"/>
          <w:lang w:val="fr-CH"/>
        </w:rPr>
      </w:pPr>
      <w:r>
        <w:rPr>
          <w:rFonts w:asciiTheme="majorHAnsi" w:hAnsiTheme="majorHAnsi"/>
          <w:sz w:val="22"/>
          <w:szCs w:val="22"/>
          <w:lang w:val="fr-CH"/>
        </w:rPr>
        <w:t>L</w:t>
      </w:r>
      <w:r w:rsidRPr="00CB1548">
        <w:rPr>
          <w:rFonts w:asciiTheme="majorHAnsi" w:hAnsiTheme="majorHAnsi"/>
          <w:sz w:val="22"/>
          <w:szCs w:val="22"/>
          <w:lang w:val="fr-CH"/>
        </w:rPr>
        <w:t xml:space="preserve">e Groupe de surveillance des activités de CESP souligne l'importance fondamentale de l'engagement des </w:t>
      </w:r>
      <w:r w:rsidR="00ED456D">
        <w:rPr>
          <w:rFonts w:asciiTheme="majorHAnsi" w:hAnsiTheme="majorHAnsi"/>
          <w:sz w:val="22"/>
          <w:szCs w:val="22"/>
          <w:lang w:val="fr-CH"/>
        </w:rPr>
        <w:t>populations</w:t>
      </w:r>
      <w:r w:rsidRPr="00CB1548">
        <w:rPr>
          <w:rFonts w:asciiTheme="majorHAnsi" w:hAnsiTheme="majorHAnsi"/>
          <w:sz w:val="22"/>
          <w:szCs w:val="22"/>
          <w:lang w:val="fr-CH"/>
        </w:rPr>
        <w:t xml:space="preserve"> à mettre en œuvre la vision et les objectifs de la Convention de Ramsar, et la nécessité de continuer à </w:t>
      </w:r>
      <w:r w:rsidR="00ED456D">
        <w:rPr>
          <w:rFonts w:asciiTheme="majorHAnsi" w:hAnsiTheme="majorHAnsi"/>
          <w:sz w:val="22"/>
          <w:szCs w:val="22"/>
          <w:lang w:val="fr-CH"/>
        </w:rPr>
        <w:t xml:space="preserve">lancer </w:t>
      </w:r>
      <w:r w:rsidRPr="00CB1548">
        <w:rPr>
          <w:rFonts w:asciiTheme="majorHAnsi" w:hAnsiTheme="majorHAnsi"/>
          <w:sz w:val="22"/>
          <w:szCs w:val="22"/>
          <w:lang w:val="fr-CH"/>
        </w:rPr>
        <w:t>des initiatives part</w:t>
      </w:r>
      <w:r w:rsidR="00ED456D">
        <w:rPr>
          <w:rFonts w:asciiTheme="majorHAnsi" w:hAnsiTheme="majorHAnsi"/>
          <w:sz w:val="22"/>
          <w:szCs w:val="22"/>
          <w:lang w:val="fr-CH"/>
        </w:rPr>
        <w:t>iculières de CESP</w:t>
      </w:r>
      <w:r w:rsidR="00432AA6">
        <w:rPr>
          <w:rFonts w:asciiTheme="majorHAnsi" w:hAnsiTheme="majorHAnsi"/>
          <w:sz w:val="22"/>
          <w:szCs w:val="22"/>
          <w:lang w:val="fr-CH"/>
        </w:rPr>
        <w:t>,</w:t>
      </w:r>
      <w:r w:rsidR="00ED456D">
        <w:rPr>
          <w:rFonts w:asciiTheme="majorHAnsi" w:hAnsiTheme="majorHAnsi"/>
          <w:sz w:val="22"/>
          <w:szCs w:val="22"/>
          <w:lang w:val="fr-CH"/>
        </w:rPr>
        <w:t xml:space="preserve"> ainsi que de considérer la CESP </w:t>
      </w:r>
      <w:r w:rsidRPr="00CB1548">
        <w:rPr>
          <w:rFonts w:asciiTheme="majorHAnsi" w:hAnsiTheme="majorHAnsi"/>
          <w:sz w:val="22"/>
          <w:szCs w:val="22"/>
          <w:lang w:val="fr-CH"/>
        </w:rPr>
        <w:t xml:space="preserve">comme </w:t>
      </w:r>
      <w:r w:rsidR="00ED456D">
        <w:rPr>
          <w:rFonts w:asciiTheme="majorHAnsi" w:hAnsiTheme="majorHAnsi"/>
          <w:sz w:val="22"/>
          <w:szCs w:val="22"/>
          <w:lang w:val="fr-CH"/>
        </w:rPr>
        <w:t>volet</w:t>
      </w:r>
      <w:r w:rsidRPr="00CB1548">
        <w:rPr>
          <w:rFonts w:asciiTheme="majorHAnsi" w:hAnsiTheme="majorHAnsi"/>
          <w:sz w:val="22"/>
          <w:szCs w:val="22"/>
          <w:lang w:val="fr-CH"/>
        </w:rPr>
        <w:t xml:space="preserve"> important </w:t>
      </w:r>
      <w:r w:rsidR="00ED456D">
        <w:rPr>
          <w:rFonts w:asciiTheme="majorHAnsi" w:hAnsiTheme="majorHAnsi"/>
          <w:sz w:val="22"/>
          <w:szCs w:val="22"/>
          <w:lang w:val="fr-CH"/>
        </w:rPr>
        <w:t xml:space="preserve">à intégrer </w:t>
      </w:r>
      <w:r w:rsidRPr="00CB1548">
        <w:rPr>
          <w:rFonts w:asciiTheme="majorHAnsi" w:hAnsiTheme="majorHAnsi"/>
          <w:sz w:val="22"/>
          <w:szCs w:val="22"/>
          <w:lang w:val="fr-CH"/>
        </w:rPr>
        <w:t>dans toutes les initiatives de la Convention (locales, nationales,</w:t>
      </w:r>
      <w:r w:rsidR="00ED456D">
        <w:rPr>
          <w:rFonts w:asciiTheme="majorHAnsi" w:hAnsiTheme="majorHAnsi"/>
          <w:sz w:val="22"/>
          <w:szCs w:val="22"/>
          <w:lang w:val="fr-CH"/>
        </w:rPr>
        <w:t xml:space="preserve"> régionales et internationales)</w:t>
      </w:r>
      <w:r w:rsidR="00C64326" w:rsidRPr="00BA22DE">
        <w:rPr>
          <w:rFonts w:asciiTheme="majorHAnsi" w:hAnsiTheme="majorHAnsi"/>
          <w:sz w:val="22"/>
          <w:szCs w:val="22"/>
          <w:lang w:val="fr-CH"/>
        </w:rPr>
        <w:t>.</w:t>
      </w:r>
    </w:p>
    <w:p w14:paraId="5913F905" w14:textId="626B0CE0" w:rsidR="00C64326" w:rsidRPr="00BA22DE" w:rsidRDefault="00ED456D" w:rsidP="004C3670">
      <w:pPr>
        <w:spacing w:after="120"/>
        <w:rPr>
          <w:rFonts w:asciiTheme="majorHAnsi" w:hAnsiTheme="majorHAnsi"/>
          <w:sz w:val="22"/>
          <w:szCs w:val="22"/>
          <w:lang w:val="fr-CH"/>
        </w:rPr>
      </w:pPr>
      <w:r w:rsidRPr="00ED456D">
        <w:rPr>
          <w:rFonts w:asciiTheme="majorHAnsi" w:hAnsiTheme="majorHAnsi"/>
          <w:sz w:val="22"/>
          <w:szCs w:val="22"/>
          <w:lang w:val="fr-CH"/>
        </w:rPr>
        <w:t xml:space="preserve">L'objectif actuel du Programme de CESP est </w:t>
      </w:r>
      <w:r w:rsidR="00842E2B">
        <w:rPr>
          <w:rFonts w:asciiTheme="majorHAnsi" w:hAnsiTheme="majorHAnsi"/>
          <w:sz w:val="22"/>
          <w:szCs w:val="22"/>
          <w:lang w:val="fr-CH"/>
        </w:rPr>
        <w:t>défini comme étant « l</w:t>
      </w:r>
      <w:r w:rsidRPr="00ED456D">
        <w:rPr>
          <w:rFonts w:asciiTheme="majorHAnsi" w:hAnsiTheme="majorHAnsi"/>
          <w:sz w:val="22"/>
          <w:szCs w:val="22"/>
          <w:lang w:val="fr-CH"/>
        </w:rPr>
        <w:t xml:space="preserve">'action de la population en faveur de la conservation et de l'utilisation rationnelle des zones humides », et </w:t>
      </w:r>
      <w:r w:rsidR="00842E2B">
        <w:rPr>
          <w:rFonts w:asciiTheme="majorHAnsi" w:hAnsiTheme="majorHAnsi"/>
          <w:sz w:val="22"/>
          <w:szCs w:val="22"/>
          <w:lang w:val="fr-CH"/>
        </w:rPr>
        <w:t xml:space="preserve">le Groupe d'experts continue à souligner </w:t>
      </w:r>
      <w:r w:rsidRPr="00ED456D">
        <w:rPr>
          <w:rFonts w:asciiTheme="majorHAnsi" w:hAnsiTheme="majorHAnsi"/>
          <w:sz w:val="22"/>
          <w:szCs w:val="22"/>
          <w:lang w:val="fr-CH"/>
        </w:rPr>
        <w:t xml:space="preserve">la nécessité pour tous les acteurs des zones humides </w:t>
      </w:r>
      <w:r w:rsidR="001E63BA" w:rsidRPr="001E63BA">
        <w:rPr>
          <w:rFonts w:asciiTheme="majorHAnsi" w:hAnsiTheme="majorHAnsi"/>
          <w:sz w:val="22"/>
          <w:szCs w:val="22"/>
          <w:lang w:val="fr-CH"/>
        </w:rPr>
        <w:t xml:space="preserve">de concevoir des actions appropriées en vue de faire participer la population et de lui permettre d’agir </w:t>
      </w:r>
      <w:r w:rsidR="00432AA6">
        <w:rPr>
          <w:rFonts w:asciiTheme="majorHAnsi" w:hAnsiTheme="majorHAnsi"/>
          <w:sz w:val="22"/>
          <w:szCs w:val="22"/>
          <w:lang w:val="fr-CH"/>
        </w:rPr>
        <w:t xml:space="preserve">en faveur de </w:t>
      </w:r>
      <w:r w:rsidR="001E63BA" w:rsidRPr="001E63BA">
        <w:rPr>
          <w:rFonts w:asciiTheme="majorHAnsi" w:hAnsiTheme="majorHAnsi"/>
          <w:sz w:val="22"/>
          <w:szCs w:val="22"/>
          <w:lang w:val="fr-CH"/>
        </w:rPr>
        <w:t>la conservation et l’utilisation rationnelle des zones humide</w:t>
      </w:r>
      <w:r w:rsidR="001E63BA">
        <w:rPr>
          <w:rFonts w:asciiTheme="majorHAnsi" w:hAnsiTheme="majorHAnsi"/>
          <w:sz w:val="22"/>
          <w:szCs w:val="22"/>
          <w:lang w:val="fr-CH"/>
        </w:rPr>
        <w:t xml:space="preserve">s </w:t>
      </w:r>
      <w:r w:rsidRPr="00ED456D">
        <w:rPr>
          <w:rFonts w:asciiTheme="majorHAnsi" w:hAnsiTheme="majorHAnsi"/>
          <w:sz w:val="22"/>
          <w:szCs w:val="22"/>
          <w:lang w:val="fr-CH"/>
        </w:rPr>
        <w:t>(Résolution XII.9)</w:t>
      </w:r>
      <w:r w:rsidR="00C64326" w:rsidRPr="00BA22DE">
        <w:rPr>
          <w:rFonts w:asciiTheme="majorHAnsi" w:hAnsiTheme="majorHAnsi"/>
          <w:sz w:val="22"/>
          <w:szCs w:val="22"/>
          <w:lang w:val="fr-CH"/>
        </w:rPr>
        <w:t xml:space="preserve">.  </w:t>
      </w:r>
    </w:p>
    <w:p w14:paraId="6E45273B" w14:textId="37118EF1" w:rsidR="00C64326" w:rsidRPr="00BA22DE" w:rsidRDefault="001E63BA" w:rsidP="004C3670">
      <w:pPr>
        <w:spacing w:after="120"/>
        <w:rPr>
          <w:rFonts w:asciiTheme="majorHAnsi" w:hAnsiTheme="majorHAnsi"/>
          <w:b/>
          <w:sz w:val="22"/>
          <w:szCs w:val="22"/>
          <w:lang w:val="fr-CH"/>
        </w:rPr>
      </w:pPr>
      <w:r>
        <w:rPr>
          <w:rFonts w:asciiTheme="majorHAnsi" w:hAnsiTheme="majorHAnsi"/>
          <w:b/>
          <w:sz w:val="22"/>
          <w:szCs w:val="22"/>
          <w:lang w:val="fr-CH"/>
        </w:rPr>
        <w:t>Public cible</w:t>
      </w:r>
    </w:p>
    <w:p w14:paraId="6DFEEA48" w14:textId="76C75637" w:rsidR="00C64326" w:rsidRPr="00BA22DE" w:rsidRDefault="001E63BA" w:rsidP="004C3670">
      <w:pPr>
        <w:spacing w:after="120"/>
        <w:rPr>
          <w:rFonts w:asciiTheme="majorHAnsi" w:hAnsiTheme="majorHAnsi"/>
          <w:sz w:val="22"/>
          <w:szCs w:val="22"/>
          <w:lang w:val="fr-CH"/>
        </w:rPr>
      </w:pPr>
      <w:r w:rsidRPr="001E63BA">
        <w:rPr>
          <w:rFonts w:asciiTheme="majorHAnsi" w:hAnsiTheme="majorHAnsi"/>
          <w:sz w:val="22"/>
          <w:szCs w:val="22"/>
          <w:lang w:val="fr-CH"/>
        </w:rPr>
        <w:t xml:space="preserve">Bien qu'il existe une grande variété d'auditoires </w:t>
      </w:r>
      <w:r>
        <w:rPr>
          <w:rFonts w:asciiTheme="majorHAnsi" w:hAnsiTheme="majorHAnsi"/>
          <w:sz w:val="22"/>
          <w:szCs w:val="22"/>
          <w:lang w:val="fr-CH"/>
        </w:rPr>
        <w:t xml:space="preserve">sensibles aux </w:t>
      </w:r>
      <w:r w:rsidRPr="001E63BA">
        <w:rPr>
          <w:rFonts w:asciiTheme="majorHAnsi" w:hAnsiTheme="majorHAnsi"/>
          <w:sz w:val="22"/>
          <w:szCs w:val="22"/>
          <w:lang w:val="fr-CH"/>
        </w:rPr>
        <w:t xml:space="preserve">initiatives de CESP de la Convention, il serait utile que des </w:t>
      </w:r>
      <w:r w:rsidR="00432AA6">
        <w:rPr>
          <w:rFonts w:asciiTheme="majorHAnsi" w:hAnsiTheme="majorHAnsi"/>
          <w:sz w:val="22"/>
          <w:szCs w:val="22"/>
          <w:lang w:val="fr-CH"/>
        </w:rPr>
        <w:t>groupes</w:t>
      </w:r>
      <w:r w:rsidRPr="001E63BA">
        <w:rPr>
          <w:rFonts w:asciiTheme="majorHAnsi" w:hAnsiTheme="majorHAnsi"/>
          <w:sz w:val="22"/>
          <w:szCs w:val="22"/>
          <w:lang w:val="fr-CH"/>
        </w:rPr>
        <w:t xml:space="preserve"> et des partenaires spécifiques soient identifiés </w:t>
      </w:r>
      <w:r>
        <w:rPr>
          <w:rFonts w:asciiTheme="majorHAnsi" w:hAnsiTheme="majorHAnsi"/>
          <w:sz w:val="22"/>
          <w:szCs w:val="22"/>
          <w:lang w:val="fr-CH"/>
        </w:rPr>
        <w:t xml:space="preserve">et fasse l’objet d’une attention particulière </w:t>
      </w:r>
      <w:r w:rsidRPr="001E63BA">
        <w:rPr>
          <w:rFonts w:asciiTheme="majorHAnsi" w:hAnsiTheme="majorHAnsi"/>
          <w:sz w:val="22"/>
          <w:szCs w:val="22"/>
          <w:lang w:val="fr-CH"/>
        </w:rPr>
        <w:t xml:space="preserve">pour chaque année ou période triennale, afin </w:t>
      </w:r>
      <w:r>
        <w:rPr>
          <w:rFonts w:asciiTheme="majorHAnsi" w:hAnsiTheme="majorHAnsi"/>
          <w:sz w:val="22"/>
          <w:szCs w:val="22"/>
          <w:lang w:val="fr-CH"/>
        </w:rPr>
        <w:t xml:space="preserve">que les </w:t>
      </w:r>
      <w:r w:rsidRPr="001E63BA">
        <w:rPr>
          <w:rFonts w:asciiTheme="majorHAnsi" w:hAnsiTheme="majorHAnsi"/>
          <w:sz w:val="22"/>
          <w:szCs w:val="22"/>
          <w:lang w:val="fr-CH"/>
        </w:rPr>
        <w:t>effort</w:t>
      </w:r>
      <w:r>
        <w:rPr>
          <w:rFonts w:asciiTheme="majorHAnsi" w:hAnsiTheme="majorHAnsi"/>
          <w:sz w:val="22"/>
          <w:szCs w:val="22"/>
          <w:lang w:val="fr-CH"/>
        </w:rPr>
        <w:t>s soient plus</w:t>
      </w:r>
      <w:r w:rsidRPr="001E63BA">
        <w:rPr>
          <w:rFonts w:asciiTheme="majorHAnsi" w:hAnsiTheme="majorHAnsi"/>
          <w:sz w:val="22"/>
          <w:szCs w:val="22"/>
          <w:lang w:val="fr-CH"/>
        </w:rPr>
        <w:t xml:space="preserve"> efficace</w:t>
      </w:r>
      <w:r>
        <w:rPr>
          <w:rFonts w:asciiTheme="majorHAnsi" w:hAnsiTheme="majorHAnsi"/>
          <w:sz w:val="22"/>
          <w:szCs w:val="22"/>
          <w:lang w:val="fr-CH"/>
        </w:rPr>
        <w:t>s</w:t>
      </w:r>
      <w:r w:rsidRPr="001E63BA">
        <w:rPr>
          <w:rFonts w:asciiTheme="majorHAnsi" w:hAnsiTheme="majorHAnsi"/>
          <w:sz w:val="22"/>
          <w:szCs w:val="22"/>
          <w:lang w:val="fr-CH"/>
        </w:rPr>
        <w:t xml:space="preserve"> et </w:t>
      </w:r>
      <w:r>
        <w:rPr>
          <w:rFonts w:asciiTheme="majorHAnsi" w:hAnsiTheme="majorHAnsi"/>
          <w:sz w:val="22"/>
          <w:szCs w:val="22"/>
          <w:lang w:val="fr-CH"/>
        </w:rPr>
        <w:t xml:space="preserve">mieux </w:t>
      </w:r>
      <w:r w:rsidRPr="001E63BA">
        <w:rPr>
          <w:rFonts w:asciiTheme="majorHAnsi" w:hAnsiTheme="majorHAnsi"/>
          <w:sz w:val="22"/>
          <w:szCs w:val="22"/>
          <w:lang w:val="fr-CH"/>
        </w:rPr>
        <w:t>coordonné</w:t>
      </w:r>
      <w:r w:rsidR="00E95FA1">
        <w:rPr>
          <w:rFonts w:asciiTheme="majorHAnsi" w:hAnsiTheme="majorHAnsi"/>
          <w:sz w:val="22"/>
          <w:szCs w:val="22"/>
          <w:lang w:val="fr-CH"/>
        </w:rPr>
        <w:t>s</w:t>
      </w:r>
      <w:r w:rsidRPr="001E63BA">
        <w:rPr>
          <w:rFonts w:asciiTheme="majorHAnsi" w:hAnsiTheme="majorHAnsi"/>
          <w:sz w:val="22"/>
          <w:szCs w:val="22"/>
          <w:lang w:val="fr-CH"/>
        </w:rPr>
        <w:t xml:space="preserve">.  </w:t>
      </w:r>
      <w:r w:rsidR="00E95FA1">
        <w:rPr>
          <w:rFonts w:asciiTheme="majorHAnsi" w:hAnsiTheme="majorHAnsi"/>
          <w:sz w:val="22"/>
          <w:szCs w:val="22"/>
          <w:lang w:val="fr-CH"/>
        </w:rPr>
        <w:t xml:space="preserve">On pourrait les calquer sur </w:t>
      </w:r>
      <w:r w:rsidRPr="001E63BA">
        <w:rPr>
          <w:rFonts w:asciiTheme="majorHAnsi" w:hAnsiTheme="majorHAnsi"/>
          <w:sz w:val="22"/>
          <w:szCs w:val="22"/>
          <w:lang w:val="fr-CH"/>
        </w:rPr>
        <w:t>les thèmes de la Journée mondiale des zones humides</w:t>
      </w:r>
      <w:r w:rsidR="00C64326" w:rsidRPr="00BA22DE">
        <w:rPr>
          <w:rFonts w:asciiTheme="majorHAnsi" w:hAnsiTheme="majorHAnsi"/>
          <w:sz w:val="22"/>
          <w:szCs w:val="22"/>
          <w:lang w:val="fr-CH"/>
        </w:rPr>
        <w:t>.</w:t>
      </w:r>
    </w:p>
    <w:p w14:paraId="676EC311" w14:textId="129D3F16" w:rsidR="00C64326" w:rsidRPr="00BA22DE" w:rsidRDefault="00E95FA1" w:rsidP="004C3670">
      <w:pPr>
        <w:spacing w:after="120"/>
        <w:rPr>
          <w:rFonts w:asciiTheme="majorHAnsi" w:hAnsiTheme="majorHAnsi"/>
          <w:sz w:val="22"/>
          <w:szCs w:val="22"/>
          <w:lang w:val="fr-CH"/>
        </w:rPr>
      </w:pPr>
      <w:r w:rsidRPr="00E95FA1">
        <w:rPr>
          <w:rFonts w:asciiTheme="majorHAnsi" w:hAnsiTheme="majorHAnsi"/>
          <w:sz w:val="22"/>
          <w:szCs w:val="22"/>
          <w:lang w:val="fr-CH"/>
        </w:rPr>
        <w:t>Le Groupe reconnaît que les Parties contractantes devront tenir compte de leur propre situation lorsqu'elles identifieront leurs groupes cibles les plus prioritai</w:t>
      </w:r>
      <w:r>
        <w:rPr>
          <w:rFonts w:asciiTheme="majorHAnsi" w:hAnsiTheme="majorHAnsi"/>
          <w:sz w:val="22"/>
          <w:szCs w:val="22"/>
          <w:lang w:val="fr-CH"/>
        </w:rPr>
        <w:t>res</w:t>
      </w:r>
      <w:r w:rsidR="00C64326" w:rsidRPr="00BA22DE">
        <w:rPr>
          <w:rFonts w:asciiTheme="majorHAnsi" w:hAnsiTheme="majorHAnsi"/>
          <w:sz w:val="22"/>
          <w:szCs w:val="22"/>
          <w:lang w:val="fr-CH"/>
        </w:rPr>
        <w:t xml:space="preserve"> (</w:t>
      </w:r>
      <w:r>
        <w:rPr>
          <w:rFonts w:asciiTheme="majorHAnsi" w:hAnsiTheme="majorHAnsi"/>
          <w:sz w:val="22"/>
          <w:szCs w:val="22"/>
          <w:lang w:val="fr-CH"/>
        </w:rPr>
        <w:t>orientations disponibles à l’appendice</w:t>
      </w:r>
      <w:r w:rsidR="00C64326" w:rsidRPr="00BA22DE">
        <w:rPr>
          <w:rFonts w:asciiTheme="majorHAnsi" w:hAnsiTheme="majorHAnsi"/>
          <w:sz w:val="22"/>
          <w:szCs w:val="22"/>
          <w:lang w:val="fr-CH"/>
        </w:rPr>
        <w:t xml:space="preserve"> 3 </w:t>
      </w:r>
      <w:r>
        <w:rPr>
          <w:rFonts w:asciiTheme="majorHAnsi" w:hAnsiTheme="majorHAnsi"/>
          <w:sz w:val="22"/>
          <w:szCs w:val="22"/>
          <w:lang w:val="fr-CH"/>
        </w:rPr>
        <w:t>de la Ré</w:t>
      </w:r>
      <w:r w:rsidR="00C64326" w:rsidRPr="00BA22DE">
        <w:rPr>
          <w:rFonts w:asciiTheme="majorHAnsi" w:hAnsiTheme="majorHAnsi"/>
          <w:sz w:val="22"/>
          <w:szCs w:val="22"/>
          <w:lang w:val="fr-CH"/>
        </w:rPr>
        <w:t>solution XII.9).</w:t>
      </w:r>
    </w:p>
    <w:p w14:paraId="1F3E4735" w14:textId="6CF9AE7E" w:rsidR="00C64326" w:rsidRPr="00BA22DE" w:rsidRDefault="00E95FA1" w:rsidP="004C3670">
      <w:pPr>
        <w:spacing w:after="120"/>
        <w:rPr>
          <w:rFonts w:asciiTheme="majorHAnsi" w:hAnsiTheme="majorHAnsi"/>
          <w:b/>
          <w:sz w:val="22"/>
          <w:szCs w:val="22"/>
          <w:lang w:val="fr-CH"/>
        </w:rPr>
      </w:pPr>
      <w:r>
        <w:rPr>
          <w:rFonts w:asciiTheme="majorHAnsi" w:hAnsiTheme="majorHAnsi"/>
          <w:b/>
          <w:sz w:val="22"/>
          <w:szCs w:val="22"/>
          <w:lang w:val="fr-CH"/>
        </w:rPr>
        <w:t>Efficacité des interventions de CESP</w:t>
      </w:r>
    </w:p>
    <w:p w14:paraId="333E828A" w14:textId="270F2A89" w:rsidR="00C64326" w:rsidRPr="00BA22DE" w:rsidRDefault="00C2531D" w:rsidP="004C3670">
      <w:pPr>
        <w:spacing w:after="120"/>
        <w:rPr>
          <w:rFonts w:asciiTheme="majorHAnsi" w:hAnsiTheme="majorHAnsi"/>
          <w:sz w:val="22"/>
          <w:szCs w:val="22"/>
          <w:lang w:val="fr-CH"/>
        </w:rPr>
      </w:pPr>
      <w:r w:rsidRPr="00C2531D">
        <w:rPr>
          <w:rFonts w:asciiTheme="majorHAnsi" w:hAnsiTheme="majorHAnsi"/>
          <w:sz w:val="22"/>
          <w:szCs w:val="22"/>
          <w:lang w:val="fr-CH"/>
        </w:rPr>
        <w:t>Les examens du Programme de CESP et du Plan stratégique Ramsar devraient tenir compte des informations fournies par les Parties contractantes (</w:t>
      </w:r>
      <w:r>
        <w:rPr>
          <w:rFonts w:asciiTheme="majorHAnsi" w:hAnsiTheme="majorHAnsi"/>
          <w:sz w:val="22"/>
          <w:szCs w:val="22"/>
          <w:lang w:val="fr-CH"/>
        </w:rPr>
        <w:t>notamment par le</w:t>
      </w:r>
      <w:r w:rsidR="00442979">
        <w:rPr>
          <w:rFonts w:asciiTheme="majorHAnsi" w:hAnsiTheme="majorHAnsi"/>
          <w:sz w:val="22"/>
          <w:szCs w:val="22"/>
          <w:lang w:val="fr-CH"/>
        </w:rPr>
        <w:t>s</w:t>
      </w:r>
      <w:r>
        <w:rPr>
          <w:rFonts w:asciiTheme="majorHAnsi" w:hAnsiTheme="majorHAnsi"/>
          <w:sz w:val="22"/>
          <w:szCs w:val="22"/>
          <w:lang w:val="fr-CH"/>
        </w:rPr>
        <w:t xml:space="preserve"> Correspondants nationaux et dans </w:t>
      </w:r>
      <w:r w:rsidRPr="00C2531D">
        <w:rPr>
          <w:rFonts w:asciiTheme="majorHAnsi" w:hAnsiTheme="majorHAnsi"/>
          <w:sz w:val="22"/>
          <w:szCs w:val="22"/>
          <w:lang w:val="fr-CH"/>
        </w:rPr>
        <w:t xml:space="preserve">les rapports nationaux), le Secrétariat, les Initiatives régionales Ramsar et d'autres parties prenantes sur la mise en œuvre et l'efficacité des interventions de CESP à ce jour.  L'examen devrait </w:t>
      </w:r>
      <w:r>
        <w:rPr>
          <w:rFonts w:asciiTheme="majorHAnsi" w:hAnsiTheme="majorHAnsi"/>
          <w:sz w:val="22"/>
          <w:szCs w:val="22"/>
          <w:lang w:val="fr-CH"/>
        </w:rPr>
        <w:t xml:space="preserve">porter sur </w:t>
      </w:r>
      <w:r w:rsidRPr="00C2531D">
        <w:rPr>
          <w:rFonts w:asciiTheme="majorHAnsi" w:hAnsiTheme="majorHAnsi"/>
          <w:sz w:val="22"/>
          <w:szCs w:val="22"/>
          <w:lang w:val="fr-CH"/>
        </w:rPr>
        <w:t xml:space="preserve">leur pertinence, leur efficacité et leur impact, et </w:t>
      </w:r>
      <w:r>
        <w:rPr>
          <w:rFonts w:asciiTheme="majorHAnsi" w:hAnsiTheme="majorHAnsi"/>
          <w:sz w:val="22"/>
          <w:szCs w:val="22"/>
          <w:lang w:val="fr-CH"/>
        </w:rPr>
        <w:t xml:space="preserve">déterminer dans quelle </w:t>
      </w:r>
      <w:r w:rsidRPr="00C2531D">
        <w:rPr>
          <w:rFonts w:asciiTheme="majorHAnsi" w:hAnsiTheme="majorHAnsi"/>
          <w:sz w:val="22"/>
          <w:szCs w:val="22"/>
          <w:lang w:val="fr-CH"/>
        </w:rPr>
        <w:t xml:space="preserve">mesure </w:t>
      </w:r>
      <w:r>
        <w:rPr>
          <w:rFonts w:asciiTheme="majorHAnsi" w:hAnsiTheme="majorHAnsi"/>
          <w:sz w:val="22"/>
          <w:szCs w:val="22"/>
          <w:lang w:val="fr-CH"/>
        </w:rPr>
        <w:t>elles</w:t>
      </w:r>
      <w:r w:rsidRPr="00C2531D">
        <w:rPr>
          <w:rFonts w:asciiTheme="majorHAnsi" w:hAnsiTheme="majorHAnsi"/>
          <w:sz w:val="22"/>
          <w:szCs w:val="22"/>
          <w:lang w:val="fr-CH"/>
        </w:rPr>
        <w:t xml:space="preserve"> ont répondu aux besoins des Parties contractantes à la Convention de Ramsar.</w:t>
      </w:r>
    </w:p>
    <w:p w14:paraId="0022AA26" w14:textId="2FDF9050" w:rsidR="00C64326" w:rsidRPr="00BA22DE" w:rsidRDefault="00C2531D" w:rsidP="004C3670">
      <w:pPr>
        <w:spacing w:after="120"/>
        <w:rPr>
          <w:rFonts w:asciiTheme="majorHAnsi" w:hAnsiTheme="majorHAnsi"/>
          <w:sz w:val="22"/>
          <w:szCs w:val="22"/>
          <w:lang w:val="fr-CH"/>
        </w:rPr>
      </w:pPr>
      <w:r w:rsidRPr="00C2531D">
        <w:rPr>
          <w:rFonts w:asciiTheme="majorHAnsi" w:hAnsiTheme="majorHAnsi"/>
          <w:sz w:val="22"/>
          <w:szCs w:val="22"/>
          <w:lang w:val="fr-CH"/>
        </w:rPr>
        <w:t xml:space="preserve">Plus précisément, l'examen devrait </w:t>
      </w:r>
      <w:r>
        <w:rPr>
          <w:rFonts w:asciiTheme="majorHAnsi" w:hAnsiTheme="majorHAnsi"/>
          <w:sz w:val="22"/>
          <w:szCs w:val="22"/>
          <w:lang w:val="fr-CH"/>
        </w:rPr>
        <w:t>identifier les outils et l</w:t>
      </w:r>
      <w:r w:rsidRPr="00C2531D">
        <w:rPr>
          <w:rFonts w:asciiTheme="majorHAnsi" w:hAnsiTheme="majorHAnsi"/>
          <w:sz w:val="22"/>
          <w:szCs w:val="22"/>
          <w:lang w:val="fr-CH"/>
        </w:rPr>
        <w:t xml:space="preserve">es mécanismes utilisés, </w:t>
      </w:r>
      <w:r w:rsidR="004065AA">
        <w:rPr>
          <w:rFonts w:asciiTheme="majorHAnsi" w:hAnsiTheme="majorHAnsi"/>
          <w:sz w:val="22"/>
          <w:szCs w:val="22"/>
          <w:lang w:val="fr-CH"/>
        </w:rPr>
        <w:t xml:space="preserve">et déterminer </w:t>
      </w:r>
      <w:r w:rsidRPr="00C2531D">
        <w:rPr>
          <w:rFonts w:asciiTheme="majorHAnsi" w:hAnsiTheme="majorHAnsi"/>
          <w:sz w:val="22"/>
          <w:szCs w:val="22"/>
          <w:lang w:val="fr-CH"/>
        </w:rPr>
        <w:t xml:space="preserve">leur efficacité à </w:t>
      </w:r>
      <w:r w:rsidR="004065AA">
        <w:rPr>
          <w:rFonts w:asciiTheme="majorHAnsi" w:hAnsiTheme="majorHAnsi"/>
          <w:sz w:val="22"/>
          <w:szCs w:val="22"/>
          <w:lang w:val="fr-CH"/>
        </w:rPr>
        <w:t>atteindre le public, l'engager et</w:t>
      </w:r>
      <w:r w:rsidRPr="00C2531D">
        <w:rPr>
          <w:rFonts w:asciiTheme="majorHAnsi" w:hAnsiTheme="majorHAnsi"/>
          <w:sz w:val="22"/>
          <w:szCs w:val="22"/>
          <w:lang w:val="fr-CH"/>
        </w:rPr>
        <w:t xml:space="preserve"> susciter un changement de comportement.</w:t>
      </w:r>
    </w:p>
    <w:p w14:paraId="4CE62841" w14:textId="3AA072A7" w:rsidR="00C64326" w:rsidRPr="00BA22DE" w:rsidRDefault="004065AA" w:rsidP="004C3670">
      <w:pPr>
        <w:spacing w:after="120"/>
        <w:rPr>
          <w:rFonts w:asciiTheme="majorHAnsi" w:hAnsiTheme="majorHAnsi"/>
          <w:b/>
          <w:sz w:val="22"/>
          <w:szCs w:val="22"/>
          <w:lang w:val="fr-CH"/>
        </w:rPr>
      </w:pPr>
      <w:r>
        <w:rPr>
          <w:rFonts w:asciiTheme="majorHAnsi" w:hAnsiTheme="majorHAnsi"/>
          <w:b/>
          <w:sz w:val="22"/>
          <w:szCs w:val="22"/>
          <w:lang w:val="fr-CH"/>
        </w:rPr>
        <w:lastRenderedPageBreak/>
        <w:t>Appro</w:t>
      </w:r>
      <w:r w:rsidR="00C64326" w:rsidRPr="00BA22DE">
        <w:rPr>
          <w:rFonts w:asciiTheme="majorHAnsi" w:hAnsiTheme="majorHAnsi"/>
          <w:b/>
          <w:sz w:val="22"/>
          <w:szCs w:val="22"/>
          <w:lang w:val="fr-CH"/>
        </w:rPr>
        <w:t>ch</w:t>
      </w:r>
      <w:r>
        <w:rPr>
          <w:rFonts w:asciiTheme="majorHAnsi" w:hAnsiTheme="majorHAnsi"/>
          <w:b/>
          <w:sz w:val="22"/>
          <w:szCs w:val="22"/>
          <w:lang w:val="fr-CH"/>
        </w:rPr>
        <w:t>e stratégique</w:t>
      </w:r>
    </w:p>
    <w:p w14:paraId="34A32526" w14:textId="5CD285F4" w:rsidR="00C64326" w:rsidRPr="00BA22DE" w:rsidRDefault="004065AA" w:rsidP="004C3670">
      <w:pPr>
        <w:spacing w:after="120"/>
        <w:rPr>
          <w:rFonts w:asciiTheme="majorHAnsi" w:hAnsiTheme="majorHAnsi"/>
          <w:sz w:val="22"/>
          <w:szCs w:val="22"/>
          <w:lang w:val="fr-CH"/>
        </w:rPr>
      </w:pPr>
      <w:r w:rsidRPr="004065AA">
        <w:rPr>
          <w:rFonts w:asciiTheme="majorHAnsi" w:hAnsiTheme="majorHAnsi"/>
          <w:sz w:val="22"/>
          <w:szCs w:val="22"/>
          <w:lang w:val="fr-CH"/>
        </w:rPr>
        <w:t xml:space="preserve">Le Groupe de surveillance des </w:t>
      </w:r>
      <w:r w:rsidR="00A86C37">
        <w:rPr>
          <w:rFonts w:asciiTheme="majorHAnsi" w:hAnsiTheme="majorHAnsi"/>
          <w:sz w:val="22"/>
          <w:szCs w:val="22"/>
          <w:lang w:val="fr-CH"/>
        </w:rPr>
        <w:t xml:space="preserve">activités de CESP a identifié la nécessité d’aborder </w:t>
      </w:r>
      <w:r w:rsidRPr="004065AA">
        <w:rPr>
          <w:rFonts w:asciiTheme="majorHAnsi" w:hAnsiTheme="majorHAnsi"/>
          <w:sz w:val="22"/>
          <w:szCs w:val="22"/>
          <w:lang w:val="fr-CH"/>
        </w:rPr>
        <w:t>la mise en œuvre de la CESP</w:t>
      </w:r>
      <w:r w:rsidR="00A86C37">
        <w:rPr>
          <w:rFonts w:asciiTheme="majorHAnsi" w:hAnsiTheme="majorHAnsi"/>
          <w:sz w:val="22"/>
          <w:szCs w:val="22"/>
          <w:lang w:val="fr-CH"/>
        </w:rPr>
        <w:t xml:space="preserve"> de manière plus stratégique</w:t>
      </w:r>
      <w:r w:rsidRPr="004065AA">
        <w:rPr>
          <w:rFonts w:asciiTheme="majorHAnsi" w:hAnsiTheme="majorHAnsi"/>
          <w:sz w:val="22"/>
          <w:szCs w:val="22"/>
          <w:lang w:val="fr-CH"/>
        </w:rPr>
        <w:t>, afin de concentrer les ressources</w:t>
      </w:r>
      <w:r w:rsidR="00A86C37">
        <w:rPr>
          <w:rFonts w:asciiTheme="majorHAnsi" w:hAnsiTheme="majorHAnsi"/>
          <w:sz w:val="22"/>
          <w:szCs w:val="22"/>
          <w:lang w:val="fr-CH"/>
        </w:rPr>
        <w:t>, qui sont</w:t>
      </w:r>
      <w:r w:rsidRPr="004065AA">
        <w:rPr>
          <w:rFonts w:asciiTheme="majorHAnsi" w:hAnsiTheme="majorHAnsi"/>
          <w:sz w:val="22"/>
          <w:szCs w:val="22"/>
          <w:lang w:val="fr-CH"/>
        </w:rPr>
        <w:t xml:space="preserve"> limitées</w:t>
      </w:r>
      <w:r w:rsidR="00A86C37">
        <w:rPr>
          <w:rFonts w:asciiTheme="majorHAnsi" w:hAnsiTheme="majorHAnsi"/>
          <w:sz w:val="22"/>
          <w:szCs w:val="22"/>
          <w:lang w:val="fr-CH"/>
        </w:rPr>
        <w:t>,</w:t>
      </w:r>
      <w:r w:rsidRPr="004065AA">
        <w:rPr>
          <w:rFonts w:asciiTheme="majorHAnsi" w:hAnsiTheme="majorHAnsi"/>
          <w:sz w:val="22"/>
          <w:szCs w:val="22"/>
          <w:lang w:val="fr-CH"/>
        </w:rPr>
        <w:t xml:space="preserve"> sur les activités de CESP qui contribueront le plus efficacement à </w:t>
      </w:r>
      <w:r w:rsidR="00A86C37">
        <w:rPr>
          <w:rFonts w:asciiTheme="majorHAnsi" w:hAnsiTheme="majorHAnsi"/>
          <w:sz w:val="22"/>
          <w:szCs w:val="22"/>
          <w:lang w:val="fr-CH"/>
        </w:rPr>
        <w:t xml:space="preserve">la réalisation des </w:t>
      </w:r>
      <w:r w:rsidRPr="004065AA">
        <w:rPr>
          <w:rFonts w:asciiTheme="majorHAnsi" w:hAnsiTheme="majorHAnsi"/>
          <w:sz w:val="22"/>
          <w:szCs w:val="22"/>
          <w:lang w:val="fr-CH"/>
        </w:rPr>
        <w:t>objectifs du Plan stratégique Ramsar.  Cette approche stratégique devra se refléter dans la mise en œuvre des activités et des approches du Programme de CESP, qu'il s'agisse d'un programme distinct ou d'un programme intégré dans le Plan stratégique Ramsar.</w:t>
      </w:r>
      <w:r w:rsidR="00C64326" w:rsidRPr="00BA22DE">
        <w:rPr>
          <w:rFonts w:asciiTheme="majorHAnsi" w:hAnsiTheme="majorHAnsi"/>
          <w:sz w:val="22"/>
          <w:szCs w:val="22"/>
          <w:lang w:val="fr-CH"/>
        </w:rPr>
        <w:t xml:space="preserve">  </w:t>
      </w:r>
    </w:p>
    <w:p w14:paraId="71D4FB5E" w14:textId="6D9B9767" w:rsidR="00C64326" w:rsidRPr="00BA22DE" w:rsidRDefault="00AC27DA" w:rsidP="004C3670">
      <w:pPr>
        <w:spacing w:after="120"/>
        <w:rPr>
          <w:rFonts w:asciiTheme="majorHAnsi" w:hAnsiTheme="majorHAnsi"/>
          <w:sz w:val="22"/>
          <w:szCs w:val="22"/>
          <w:lang w:val="fr-CH"/>
        </w:rPr>
      </w:pPr>
      <w:r w:rsidRPr="00AC27DA">
        <w:rPr>
          <w:rFonts w:asciiTheme="majorHAnsi" w:hAnsiTheme="majorHAnsi"/>
          <w:sz w:val="22"/>
          <w:szCs w:val="22"/>
          <w:lang w:val="fr-CH"/>
        </w:rPr>
        <w:t>Compte tenu de l'importance fondamentale des activités de sensibilisation pour la mise en œuvre de la Convention de Ramsar et de l</w:t>
      </w:r>
      <w:r w:rsidR="00432AA6">
        <w:rPr>
          <w:rFonts w:asciiTheme="majorHAnsi" w:hAnsiTheme="majorHAnsi"/>
          <w:sz w:val="22"/>
          <w:szCs w:val="22"/>
          <w:lang w:val="fr-CH"/>
        </w:rPr>
        <w:t>a nécessité</w:t>
      </w:r>
      <w:r w:rsidRPr="00AC27DA">
        <w:rPr>
          <w:rFonts w:asciiTheme="majorHAnsi" w:hAnsiTheme="majorHAnsi"/>
          <w:sz w:val="22"/>
          <w:szCs w:val="22"/>
          <w:lang w:val="fr-CH"/>
        </w:rPr>
        <w:t xml:space="preserve"> de clarifier et de simplifier à la fois la planification et l'établissement de rapports, le Groupe de surveillance des activités de CESP recommande spécifiquement</w:t>
      </w:r>
      <w:r w:rsidR="0081605C">
        <w:rPr>
          <w:rFonts w:asciiTheme="majorHAnsi" w:hAnsiTheme="majorHAnsi"/>
          <w:sz w:val="22"/>
          <w:szCs w:val="22"/>
          <w:lang w:val="fr-CH"/>
        </w:rPr>
        <w:t xml:space="preserve"> </w:t>
      </w:r>
      <w:r w:rsidR="00432AA6">
        <w:rPr>
          <w:rFonts w:asciiTheme="majorHAnsi" w:hAnsiTheme="majorHAnsi"/>
          <w:sz w:val="22"/>
          <w:szCs w:val="22"/>
          <w:lang w:val="fr-CH"/>
        </w:rPr>
        <w:t xml:space="preserve">de </w:t>
      </w:r>
      <w:r w:rsidR="00C64326" w:rsidRPr="00BA22DE">
        <w:rPr>
          <w:rFonts w:asciiTheme="majorHAnsi" w:hAnsiTheme="majorHAnsi"/>
          <w:sz w:val="22"/>
          <w:szCs w:val="22"/>
          <w:lang w:val="fr-CH"/>
        </w:rPr>
        <w:t xml:space="preserve">: </w:t>
      </w:r>
    </w:p>
    <w:p w14:paraId="12BC39D1" w14:textId="120E05F9" w:rsidR="00C64326" w:rsidRPr="00BA22DE" w:rsidRDefault="0081605C" w:rsidP="0081605C">
      <w:pPr>
        <w:pStyle w:val="ListParagraph"/>
        <w:numPr>
          <w:ilvl w:val="0"/>
          <w:numId w:val="16"/>
        </w:numPr>
        <w:spacing w:after="120"/>
        <w:rPr>
          <w:rFonts w:asciiTheme="majorHAnsi" w:hAnsiTheme="majorHAnsi"/>
          <w:sz w:val="22"/>
          <w:szCs w:val="22"/>
          <w:lang w:val="fr-CH"/>
        </w:rPr>
      </w:pPr>
      <w:r w:rsidRPr="0081605C">
        <w:rPr>
          <w:rFonts w:asciiTheme="majorHAnsi" w:hAnsiTheme="majorHAnsi"/>
          <w:sz w:val="22"/>
          <w:szCs w:val="22"/>
          <w:lang w:val="fr-CH"/>
        </w:rPr>
        <w:t>limiter le nombre d</w:t>
      </w:r>
      <w:r>
        <w:rPr>
          <w:rFonts w:asciiTheme="majorHAnsi" w:hAnsiTheme="majorHAnsi"/>
          <w:sz w:val="22"/>
          <w:szCs w:val="22"/>
          <w:lang w:val="fr-CH"/>
        </w:rPr>
        <w:t>e buts et d</w:t>
      </w:r>
      <w:r w:rsidRPr="0081605C">
        <w:rPr>
          <w:rFonts w:asciiTheme="majorHAnsi" w:hAnsiTheme="majorHAnsi"/>
          <w:sz w:val="22"/>
          <w:szCs w:val="22"/>
          <w:lang w:val="fr-CH"/>
        </w:rPr>
        <w:t>'objectifs de CESP et les intégrer dans le Plan stratégique</w:t>
      </w:r>
      <w:r>
        <w:rPr>
          <w:rFonts w:asciiTheme="majorHAnsi" w:hAnsiTheme="majorHAnsi"/>
          <w:sz w:val="22"/>
          <w:szCs w:val="22"/>
          <w:lang w:val="fr-CH"/>
        </w:rPr>
        <w:t xml:space="preserve"> Ramsar, plutôt que d'avoir un P</w:t>
      </w:r>
      <w:r w:rsidRPr="0081605C">
        <w:rPr>
          <w:rFonts w:asciiTheme="majorHAnsi" w:hAnsiTheme="majorHAnsi"/>
          <w:sz w:val="22"/>
          <w:szCs w:val="22"/>
          <w:lang w:val="fr-CH"/>
        </w:rPr>
        <w:t xml:space="preserve">rogramme </w:t>
      </w:r>
      <w:r>
        <w:rPr>
          <w:rFonts w:asciiTheme="majorHAnsi" w:hAnsiTheme="majorHAnsi"/>
          <w:sz w:val="22"/>
          <w:szCs w:val="22"/>
          <w:lang w:val="fr-CH"/>
        </w:rPr>
        <w:t xml:space="preserve">de </w:t>
      </w:r>
      <w:r w:rsidRPr="0081605C">
        <w:rPr>
          <w:rFonts w:asciiTheme="majorHAnsi" w:hAnsiTheme="majorHAnsi"/>
          <w:sz w:val="22"/>
          <w:szCs w:val="22"/>
          <w:lang w:val="fr-CH"/>
        </w:rPr>
        <w:t xml:space="preserve">CESP distinct.  Le plan comprendrait à la fois des initiatives </w:t>
      </w:r>
      <w:r>
        <w:rPr>
          <w:rFonts w:asciiTheme="majorHAnsi" w:hAnsiTheme="majorHAnsi"/>
          <w:sz w:val="22"/>
          <w:szCs w:val="22"/>
          <w:lang w:val="fr-CH"/>
        </w:rPr>
        <w:t>distinctes</w:t>
      </w:r>
      <w:r w:rsidRPr="0081605C">
        <w:rPr>
          <w:rFonts w:asciiTheme="majorHAnsi" w:hAnsiTheme="majorHAnsi"/>
          <w:sz w:val="22"/>
          <w:szCs w:val="22"/>
          <w:lang w:val="fr-CH"/>
        </w:rPr>
        <w:t xml:space="preserve"> de CESP et des éléments de CESP intégrés à d'autres initiative</w:t>
      </w:r>
      <w:r>
        <w:rPr>
          <w:rFonts w:asciiTheme="majorHAnsi" w:hAnsiTheme="majorHAnsi"/>
          <w:sz w:val="22"/>
          <w:szCs w:val="22"/>
          <w:lang w:val="fr-CH"/>
        </w:rPr>
        <w:t>s</w:t>
      </w:r>
      <w:r w:rsidR="00C64326" w:rsidRPr="00BA22DE">
        <w:rPr>
          <w:rFonts w:asciiTheme="majorHAnsi" w:hAnsiTheme="majorHAnsi"/>
          <w:sz w:val="22"/>
          <w:szCs w:val="22"/>
          <w:lang w:val="fr-CH"/>
        </w:rPr>
        <w:t>.</w:t>
      </w:r>
    </w:p>
    <w:p w14:paraId="5A02B35B" w14:textId="747D9B33" w:rsidR="00C64326" w:rsidRPr="00BA22DE" w:rsidRDefault="0081605C" w:rsidP="0081605C">
      <w:pPr>
        <w:pStyle w:val="ListParagraph"/>
        <w:numPr>
          <w:ilvl w:val="0"/>
          <w:numId w:val="16"/>
        </w:numPr>
        <w:spacing w:after="120"/>
        <w:rPr>
          <w:rFonts w:asciiTheme="majorHAnsi" w:hAnsiTheme="majorHAnsi"/>
          <w:sz w:val="22"/>
          <w:szCs w:val="22"/>
          <w:lang w:val="fr-CH"/>
        </w:rPr>
      </w:pPr>
      <w:r w:rsidRPr="0081605C">
        <w:rPr>
          <w:rFonts w:asciiTheme="majorHAnsi" w:hAnsiTheme="majorHAnsi"/>
          <w:sz w:val="22"/>
          <w:szCs w:val="22"/>
          <w:lang w:val="fr-CH"/>
        </w:rPr>
        <w:t>mieux aligner les rapports de CESP sur les besoins des Parties contractantes et sur les exigences en matière de rapports d'autres conventions e</w:t>
      </w:r>
      <w:r w:rsidR="007D4B9A">
        <w:rPr>
          <w:rFonts w:asciiTheme="majorHAnsi" w:hAnsiTheme="majorHAnsi"/>
          <w:sz w:val="22"/>
          <w:szCs w:val="22"/>
          <w:lang w:val="fr-CH"/>
        </w:rPr>
        <w:t xml:space="preserve">t initiatives internationales, notamment </w:t>
      </w:r>
      <w:r w:rsidRPr="0081605C">
        <w:rPr>
          <w:rFonts w:asciiTheme="majorHAnsi" w:hAnsiTheme="majorHAnsi"/>
          <w:sz w:val="22"/>
          <w:szCs w:val="22"/>
          <w:lang w:val="fr-CH"/>
        </w:rPr>
        <w:t xml:space="preserve">les </w:t>
      </w:r>
      <w:r w:rsidR="007D4B9A">
        <w:rPr>
          <w:rFonts w:asciiTheme="majorHAnsi" w:hAnsiTheme="majorHAnsi"/>
          <w:sz w:val="22"/>
          <w:szCs w:val="22"/>
          <w:lang w:val="fr-CH"/>
        </w:rPr>
        <w:t>Objectifs</w:t>
      </w:r>
      <w:r w:rsidRPr="0081605C">
        <w:rPr>
          <w:rFonts w:asciiTheme="majorHAnsi" w:hAnsiTheme="majorHAnsi"/>
          <w:sz w:val="22"/>
          <w:szCs w:val="22"/>
          <w:lang w:val="fr-CH"/>
        </w:rPr>
        <w:t xml:space="preserve"> d'Aichi (en particulier les </w:t>
      </w:r>
      <w:r w:rsidR="007D4B9A">
        <w:rPr>
          <w:rFonts w:asciiTheme="majorHAnsi" w:hAnsiTheme="majorHAnsi"/>
          <w:sz w:val="22"/>
          <w:szCs w:val="22"/>
          <w:lang w:val="fr-CH"/>
        </w:rPr>
        <w:t xml:space="preserve">Objectifs </w:t>
      </w:r>
      <w:r w:rsidRPr="0081605C">
        <w:rPr>
          <w:rFonts w:asciiTheme="majorHAnsi" w:hAnsiTheme="majorHAnsi"/>
          <w:sz w:val="22"/>
          <w:szCs w:val="22"/>
          <w:lang w:val="fr-CH"/>
        </w:rPr>
        <w:t>1 et 18) et les objectifs de développement durable (y compris les indicateurs 6.B1, 11.16.1 et 12.8.1)</w:t>
      </w:r>
      <w:r w:rsidR="00B01569">
        <w:rPr>
          <w:rFonts w:asciiTheme="majorHAnsi" w:hAnsiTheme="majorHAnsi"/>
          <w:sz w:val="22"/>
          <w:szCs w:val="22"/>
          <w:lang w:val="fr-CH"/>
        </w:rPr>
        <w:t>.</w:t>
      </w:r>
    </w:p>
    <w:p w14:paraId="34A79F3F" w14:textId="36EF6D61" w:rsidR="00C64326" w:rsidRPr="00BA22DE" w:rsidRDefault="00B01569" w:rsidP="004C3670">
      <w:pPr>
        <w:spacing w:after="120"/>
        <w:rPr>
          <w:rFonts w:asciiTheme="majorHAnsi" w:hAnsiTheme="majorHAnsi"/>
          <w:sz w:val="22"/>
          <w:szCs w:val="22"/>
          <w:lang w:val="fr-CH"/>
        </w:rPr>
      </w:pPr>
      <w:r w:rsidRPr="00B01569">
        <w:rPr>
          <w:rFonts w:asciiTheme="majorHAnsi" w:hAnsiTheme="majorHAnsi"/>
          <w:sz w:val="22"/>
          <w:szCs w:val="22"/>
          <w:lang w:val="fr-CH"/>
        </w:rPr>
        <w:t xml:space="preserve">Au niveau des Parties contractantes, une approche plus stratégique est nécessaire, </w:t>
      </w:r>
      <w:r w:rsidR="00253954">
        <w:rPr>
          <w:rFonts w:asciiTheme="majorHAnsi" w:hAnsiTheme="majorHAnsi"/>
          <w:sz w:val="22"/>
          <w:szCs w:val="22"/>
          <w:lang w:val="fr-CH"/>
        </w:rPr>
        <w:t xml:space="preserve">selon laquelle </w:t>
      </w:r>
      <w:r w:rsidRPr="00B01569">
        <w:rPr>
          <w:rFonts w:asciiTheme="majorHAnsi" w:hAnsiTheme="majorHAnsi"/>
          <w:sz w:val="22"/>
          <w:szCs w:val="22"/>
          <w:lang w:val="fr-CH"/>
        </w:rPr>
        <w:t xml:space="preserve">les activités de CESP </w:t>
      </w:r>
      <w:r w:rsidR="00253954">
        <w:rPr>
          <w:rFonts w:asciiTheme="majorHAnsi" w:hAnsiTheme="majorHAnsi"/>
          <w:sz w:val="22"/>
          <w:szCs w:val="22"/>
          <w:lang w:val="fr-CH"/>
        </w:rPr>
        <w:t xml:space="preserve">sont </w:t>
      </w:r>
      <w:r w:rsidRPr="00B01569">
        <w:rPr>
          <w:rFonts w:asciiTheme="majorHAnsi" w:hAnsiTheme="majorHAnsi"/>
          <w:sz w:val="22"/>
          <w:szCs w:val="22"/>
          <w:lang w:val="fr-CH"/>
        </w:rPr>
        <w:t xml:space="preserve">prioritaires et intégrées dans la planification et les </w:t>
      </w:r>
      <w:r w:rsidR="00253954">
        <w:rPr>
          <w:rFonts w:asciiTheme="majorHAnsi" w:hAnsiTheme="majorHAnsi"/>
          <w:sz w:val="22"/>
          <w:szCs w:val="22"/>
          <w:lang w:val="fr-CH"/>
        </w:rPr>
        <w:t>stratégies</w:t>
      </w:r>
      <w:r w:rsidRPr="00B01569">
        <w:rPr>
          <w:rFonts w:asciiTheme="majorHAnsi" w:hAnsiTheme="majorHAnsi"/>
          <w:sz w:val="22"/>
          <w:szCs w:val="22"/>
          <w:lang w:val="fr-CH"/>
        </w:rPr>
        <w:t xml:space="preserve"> nationales de gestion et d'utilisatio</w:t>
      </w:r>
      <w:r>
        <w:rPr>
          <w:rFonts w:asciiTheme="majorHAnsi" w:hAnsiTheme="majorHAnsi"/>
          <w:sz w:val="22"/>
          <w:szCs w:val="22"/>
          <w:lang w:val="fr-CH"/>
        </w:rPr>
        <w:t>n rationnelle des zones humides</w:t>
      </w:r>
      <w:r w:rsidR="00C64326" w:rsidRPr="00BA22DE">
        <w:rPr>
          <w:rFonts w:asciiTheme="majorHAnsi" w:hAnsiTheme="majorHAnsi"/>
          <w:sz w:val="22"/>
          <w:szCs w:val="22"/>
          <w:lang w:val="fr-CH"/>
        </w:rPr>
        <w:t>.</w:t>
      </w:r>
    </w:p>
    <w:p w14:paraId="1D951106" w14:textId="71C5EF66" w:rsidR="00C64326" w:rsidRPr="00BA22DE" w:rsidRDefault="005C401C" w:rsidP="004C3670">
      <w:pPr>
        <w:spacing w:after="120"/>
        <w:rPr>
          <w:rFonts w:asciiTheme="majorHAnsi" w:hAnsiTheme="majorHAnsi"/>
          <w:sz w:val="22"/>
          <w:szCs w:val="22"/>
          <w:lang w:val="fr-CH"/>
        </w:rPr>
      </w:pPr>
      <w:r w:rsidRPr="005C401C">
        <w:rPr>
          <w:rFonts w:asciiTheme="majorHAnsi" w:hAnsiTheme="majorHAnsi"/>
          <w:sz w:val="22"/>
          <w:szCs w:val="22"/>
          <w:lang w:val="fr-CH"/>
        </w:rPr>
        <w:t xml:space="preserve">Un certain nombre de questions devront être abordées </w:t>
      </w:r>
      <w:r>
        <w:rPr>
          <w:rFonts w:asciiTheme="majorHAnsi" w:hAnsiTheme="majorHAnsi"/>
          <w:sz w:val="22"/>
          <w:szCs w:val="22"/>
          <w:lang w:val="fr-CH"/>
        </w:rPr>
        <w:t xml:space="preserve">afin </w:t>
      </w:r>
      <w:r w:rsidRPr="005C401C">
        <w:rPr>
          <w:rFonts w:asciiTheme="majorHAnsi" w:hAnsiTheme="majorHAnsi"/>
          <w:sz w:val="22"/>
          <w:szCs w:val="22"/>
          <w:lang w:val="fr-CH"/>
        </w:rPr>
        <w:t>que les messages</w:t>
      </w:r>
      <w:r>
        <w:rPr>
          <w:rFonts w:asciiTheme="majorHAnsi" w:hAnsiTheme="majorHAnsi"/>
          <w:sz w:val="22"/>
          <w:szCs w:val="22"/>
          <w:lang w:val="fr-CH"/>
        </w:rPr>
        <w:t>, ainsi que</w:t>
      </w:r>
      <w:r w:rsidRPr="005C401C">
        <w:rPr>
          <w:rFonts w:asciiTheme="majorHAnsi" w:hAnsiTheme="majorHAnsi"/>
          <w:sz w:val="22"/>
          <w:szCs w:val="22"/>
          <w:lang w:val="fr-CH"/>
        </w:rPr>
        <w:t xml:space="preserve"> l'engagement et l'action du public soient efficaces, </w:t>
      </w:r>
      <w:r>
        <w:rPr>
          <w:rFonts w:asciiTheme="majorHAnsi" w:hAnsiTheme="majorHAnsi"/>
          <w:sz w:val="22"/>
          <w:szCs w:val="22"/>
          <w:lang w:val="fr-CH"/>
        </w:rPr>
        <w:t xml:space="preserve">sachant </w:t>
      </w:r>
      <w:r w:rsidRPr="005C401C">
        <w:rPr>
          <w:rFonts w:asciiTheme="majorHAnsi" w:hAnsiTheme="majorHAnsi"/>
          <w:sz w:val="22"/>
          <w:szCs w:val="22"/>
          <w:lang w:val="fr-CH"/>
        </w:rPr>
        <w:t xml:space="preserve">que des approches différentes seront nécessaires </w:t>
      </w:r>
      <w:r w:rsidR="00432AA6">
        <w:rPr>
          <w:rFonts w:asciiTheme="majorHAnsi" w:hAnsiTheme="majorHAnsi"/>
          <w:sz w:val="22"/>
          <w:szCs w:val="22"/>
          <w:lang w:val="fr-CH"/>
        </w:rPr>
        <w:t>selon les</w:t>
      </w:r>
      <w:r w:rsidRPr="005C401C">
        <w:rPr>
          <w:rFonts w:asciiTheme="majorHAnsi" w:hAnsiTheme="majorHAnsi"/>
          <w:sz w:val="22"/>
          <w:szCs w:val="22"/>
          <w:lang w:val="fr-CH"/>
        </w:rPr>
        <w:t xml:space="preserve"> pays.  </w:t>
      </w:r>
      <w:r>
        <w:rPr>
          <w:rFonts w:asciiTheme="majorHAnsi" w:hAnsiTheme="majorHAnsi"/>
          <w:sz w:val="22"/>
          <w:szCs w:val="22"/>
          <w:lang w:val="fr-CH"/>
        </w:rPr>
        <w:t>Les questions</w:t>
      </w:r>
      <w:r w:rsidR="00432AA6">
        <w:rPr>
          <w:rFonts w:asciiTheme="majorHAnsi" w:hAnsiTheme="majorHAnsi"/>
          <w:sz w:val="22"/>
          <w:szCs w:val="22"/>
          <w:lang w:val="fr-CH"/>
        </w:rPr>
        <w:t xml:space="preserve"> à aborder</w:t>
      </w:r>
      <w:r>
        <w:rPr>
          <w:rFonts w:asciiTheme="majorHAnsi" w:hAnsiTheme="majorHAnsi"/>
          <w:sz w:val="22"/>
          <w:szCs w:val="22"/>
          <w:lang w:val="fr-CH"/>
        </w:rPr>
        <w:t xml:space="preserve"> sont les suivantes :</w:t>
      </w:r>
    </w:p>
    <w:p w14:paraId="7ABAE48C" w14:textId="3C9336EB" w:rsidR="00C64326" w:rsidRPr="00BA22DE" w:rsidRDefault="005C401C" w:rsidP="005C401C">
      <w:pPr>
        <w:pStyle w:val="ListParagraph"/>
        <w:numPr>
          <w:ilvl w:val="0"/>
          <w:numId w:val="21"/>
        </w:numPr>
        <w:spacing w:after="120"/>
        <w:rPr>
          <w:rFonts w:asciiTheme="majorHAnsi" w:hAnsiTheme="majorHAnsi"/>
          <w:sz w:val="22"/>
          <w:szCs w:val="22"/>
          <w:lang w:val="fr-CH"/>
        </w:rPr>
      </w:pPr>
      <w:r w:rsidRPr="005C401C">
        <w:rPr>
          <w:rFonts w:asciiTheme="majorHAnsi" w:hAnsiTheme="majorHAnsi"/>
          <w:sz w:val="22"/>
          <w:szCs w:val="22"/>
          <w:lang w:val="fr-CH"/>
        </w:rPr>
        <w:t xml:space="preserve">Quels types de messages </w:t>
      </w:r>
      <w:r w:rsidR="00404133">
        <w:rPr>
          <w:rFonts w:asciiTheme="majorHAnsi" w:hAnsiTheme="majorHAnsi"/>
          <w:sz w:val="22"/>
          <w:szCs w:val="22"/>
          <w:lang w:val="fr-CH"/>
        </w:rPr>
        <w:t xml:space="preserve">pourront </w:t>
      </w:r>
      <w:r w:rsidRPr="005C401C">
        <w:rPr>
          <w:rFonts w:asciiTheme="majorHAnsi" w:hAnsiTheme="majorHAnsi"/>
          <w:sz w:val="22"/>
          <w:szCs w:val="22"/>
          <w:lang w:val="fr-CH"/>
        </w:rPr>
        <w:t>effica</w:t>
      </w:r>
      <w:r w:rsidR="00404133">
        <w:rPr>
          <w:rFonts w:asciiTheme="majorHAnsi" w:hAnsiTheme="majorHAnsi"/>
          <w:sz w:val="22"/>
          <w:szCs w:val="22"/>
          <w:lang w:val="fr-CH"/>
        </w:rPr>
        <w:t xml:space="preserve">cement </w:t>
      </w:r>
      <w:r w:rsidRPr="005C401C">
        <w:rPr>
          <w:rFonts w:asciiTheme="majorHAnsi" w:hAnsiTheme="majorHAnsi"/>
          <w:sz w:val="22"/>
          <w:szCs w:val="22"/>
          <w:lang w:val="fr-CH"/>
        </w:rPr>
        <w:t>motiver et faire participer la communauté à la conservation des zones humides ?</w:t>
      </w:r>
      <w:r w:rsidR="00C64326" w:rsidRPr="00BA22DE">
        <w:rPr>
          <w:rFonts w:asciiTheme="majorHAnsi" w:hAnsiTheme="majorHAnsi"/>
          <w:sz w:val="22"/>
          <w:szCs w:val="22"/>
          <w:lang w:val="fr-CH"/>
        </w:rPr>
        <w:t xml:space="preserve"> </w:t>
      </w:r>
    </w:p>
    <w:p w14:paraId="6EDED919" w14:textId="54654A59" w:rsidR="00C64326" w:rsidRPr="00BA22DE" w:rsidRDefault="001A56EE" w:rsidP="001A56EE">
      <w:pPr>
        <w:pStyle w:val="ListParagraph"/>
        <w:numPr>
          <w:ilvl w:val="0"/>
          <w:numId w:val="21"/>
        </w:numPr>
        <w:spacing w:after="120"/>
        <w:rPr>
          <w:rFonts w:asciiTheme="majorHAnsi" w:hAnsiTheme="majorHAnsi"/>
          <w:sz w:val="22"/>
          <w:szCs w:val="22"/>
          <w:lang w:val="fr-CH"/>
        </w:rPr>
      </w:pPr>
      <w:r w:rsidRPr="001A56EE">
        <w:rPr>
          <w:rFonts w:asciiTheme="majorHAnsi" w:hAnsiTheme="majorHAnsi"/>
          <w:sz w:val="22"/>
          <w:szCs w:val="22"/>
          <w:lang w:val="fr-CH"/>
        </w:rPr>
        <w:t xml:space="preserve">Quelles </w:t>
      </w:r>
      <w:r>
        <w:rPr>
          <w:rFonts w:asciiTheme="majorHAnsi" w:hAnsiTheme="majorHAnsi"/>
          <w:sz w:val="22"/>
          <w:szCs w:val="22"/>
          <w:lang w:val="fr-CH"/>
        </w:rPr>
        <w:t xml:space="preserve">sont les </w:t>
      </w:r>
      <w:r w:rsidRPr="001A56EE">
        <w:rPr>
          <w:rFonts w:asciiTheme="majorHAnsi" w:hAnsiTheme="majorHAnsi"/>
          <w:sz w:val="22"/>
          <w:szCs w:val="22"/>
          <w:lang w:val="fr-CH"/>
        </w:rPr>
        <w:t>plateformes efficaces pour faire passer le message ?</w:t>
      </w:r>
    </w:p>
    <w:p w14:paraId="763B993A" w14:textId="30C9411A" w:rsidR="00C64326" w:rsidRPr="00BA22DE" w:rsidRDefault="001A56EE" w:rsidP="001A56EE">
      <w:pPr>
        <w:pStyle w:val="ListParagraph"/>
        <w:numPr>
          <w:ilvl w:val="0"/>
          <w:numId w:val="21"/>
        </w:numPr>
        <w:spacing w:after="120"/>
        <w:rPr>
          <w:rFonts w:asciiTheme="majorHAnsi" w:hAnsiTheme="majorHAnsi"/>
          <w:sz w:val="22"/>
          <w:szCs w:val="22"/>
          <w:lang w:val="fr-CH"/>
        </w:rPr>
      </w:pPr>
      <w:r w:rsidRPr="001A56EE">
        <w:rPr>
          <w:rFonts w:asciiTheme="majorHAnsi" w:hAnsiTheme="majorHAnsi"/>
          <w:sz w:val="22"/>
          <w:szCs w:val="22"/>
          <w:lang w:val="fr-CH"/>
        </w:rPr>
        <w:t>Comment instaurer un changement durable ?</w:t>
      </w:r>
    </w:p>
    <w:p w14:paraId="67723DBB" w14:textId="393D113A" w:rsidR="00C64326" w:rsidRPr="00BA22DE" w:rsidRDefault="001A56EE" w:rsidP="001A56EE">
      <w:pPr>
        <w:pStyle w:val="ListParagraph"/>
        <w:numPr>
          <w:ilvl w:val="0"/>
          <w:numId w:val="21"/>
        </w:numPr>
        <w:spacing w:after="120"/>
        <w:rPr>
          <w:rFonts w:asciiTheme="majorHAnsi" w:hAnsiTheme="majorHAnsi"/>
          <w:sz w:val="22"/>
          <w:szCs w:val="22"/>
          <w:lang w:val="fr-CH"/>
        </w:rPr>
      </w:pPr>
      <w:r w:rsidRPr="001A56EE">
        <w:rPr>
          <w:rFonts w:asciiTheme="majorHAnsi" w:hAnsiTheme="majorHAnsi"/>
          <w:sz w:val="22"/>
          <w:szCs w:val="22"/>
          <w:lang w:val="fr-CH"/>
        </w:rPr>
        <w:t xml:space="preserve">Le message sur les </w:t>
      </w:r>
      <w:r>
        <w:rPr>
          <w:rFonts w:asciiTheme="majorHAnsi" w:hAnsiTheme="majorHAnsi"/>
          <w:sz w:val="22"/>
          <w:szCs w:val="22"/>
          <w:lang w:val="fr-CH"/>
        </w:rPr>
        <w:t>zones</w:t>
      </w:r>
      <w:r w:rsidRPr="001A56EE">
        <w:rPr>
          <w:rFonts w:asciiTheme="majorHAnsi" w:hAnsiTheme="majorHAnsi"/>
          <w:sz w:val="22"/>
          <w:szCs w:val="22"/>
          <w:lang w:val="fr-CH"/>
        </w:rPr>
        <w:t xml:space="preserve"> humides est-il </w:t>
      </w:r>
      <w:r w:rsidR="00E86474">
        <w:rPr>
          <w:rFonts w:asciiTheme="majorHAnsi" w:hAnsiTheme="majorHAnsi"/>
          <w:sz w:val="22"/>
          <w:szCs w:val="22"/>
          <w:lang w:val="fr-CH"/>
        </w:rPr>
        <w:t>supplanté</w:t>
      </w:r>
      <w:r w:rsidRPr="001A56EE">
        <w:rPr>
          <w:rFonts w:asciiTheme="majorHAnsi" w:hAnsiTheme="majorHAnsi"/>
          <w:sz w:val="22"/>
          <w:szCs w:val="22"/>
          <w:lang w:val="fr-CH"/>
        </w:rPr>
        <w:t xml:space="preserve"> par d'autres messages ?</w:t>
      </w:r>
    </w:p>
    <w:p w14:paraId="24B70BEC" w14:textId="5D8BD280" w:rsidR="00C64326" w:rsidRPr="00BA22DE" w:rsidRDefault="000B0118" w:rsidP="000B0118">
      <w:pPr>
        <w:pStyle w:val="ListParagraph"/>
        <w:numPr>
          <w:ilvl w:val="0"/>
          <w:numId w:val="21"/>
        </w:numPr>
        <w:spacing w:after="120"/>
        <w:rPr>
          <w:rFonts w:asciiTheme="majorHAnsi" w:hAnsiTheme="majorHAnsi"/>
          <w:sz w:val="22"/>
          <w:szCs w:val="22"/>
          <w:lang w:val="fr-CH"/>
        </w:rPr>
      </w:pPr>
      <w:r w:rsidRPr="000B0118">
        <w:rPr>
          <w:rFonts w:asciiTheme="majorHAnsi" w:hAnsiTheme="majorHAnsi"/>
          <w:sz w:val="22"/>
          <w:szCs w:val="22"/>
          <w:lang w:val="fr-CH"/>
        </w:rPr>
        <w:t xml:space="preserve">La conservation des zones humides </w:t>
      </w:r>
      <w:r w:rsidR="00E90595">
        <w:rPr>
          <w:rFonts w:asciiTheme="majorHAnsi" w:hAnsiTheme="majorHAnsi"/>
          <w:sz w:val="22"/>
          <w:szCs w:val="22"/>
          <w:lang w:val="fr-CH"/>
        </w:rPr>
        <w:t xml:space="preserve">bénéficie-t-elle d’une </w:t>
      </w:r>
      <w:r w:rsidRPr="000B0118">
        <w:rPr>
          <w:rFonts w:asciiTheme="majorHAnsi" w:hAnsiTheme="majorHAnsi"/>
          <w:sz w:val="22"/>
          <w:szCs w:val="22"/>
          <w:lang w:val="fr-CH"/>
        </w:rPr>
        <w:t>faible priorité par rapport à d'autres objectifs s</w:t>
      </w:r>
      <w:r w:rsidR="00E90595">
        <w:rPr>
          <w:rFonts w:asciiTheme="majorHAnsi" w:hAnsiTheme="majorHAnsi"/>
          <w:sz w:val="22"/>
          <w:szCs w:val="22"/>
          <w:lang w:val="fr-CH"/>
        </w:rPr>
        <w:t xml:space="preserve">ociétaux </w:t>
      </w:r>
      <w:r w:rsidR="00C64326" w:rsidRPr="00BA22DE">
        <w:rPr>
          <w:rFonts w:asciiTheme="majorHAnsi" w:hAnsiTheme="majorHAnsi"/>
          <w:sz w:val="22"/>
          <w:szCs w:val="22"/>
          <w:lang w:val="fr-CH"/>
        </w:rPr>
        <w:t>?</w:t>
      </w:r>
    </w:p>
    <w:p w14:paraId="1D51202C" w14:textId="379A00CC" w:rsidR="00C64326" w:rsidRPr="00BA22DE" w:rsidRDefault="00E90595" w:rsidP="00E90595">
      <w:pPr>
        <w:pStyle w:val="ListParagraph"/>
        <w:numPr>
          <w:ilvl w:val="0"/>
          <w:numId w:val="21"/>
        </w:numPr>
        <w:spacing w:after="120"/>
        <w:rPr>
          <w:rFonts w:asciiTheme="majorHAnsi" w:hAnsiTheme="majorHAnsi"/>
          <w:sz w:val="22"/>
          <w:szCs w:val="22"/>
          <w:lang w:val="fr-CH"/>
        </w:rPr>
      </w:pPr>
      <w:r>
        <w:rPr>
          <w:rFonts w:asciiTheme="majorHAnsi" w:hAnsiTheme="majorHAnsi"/>
          <w:sz w:val="22"/>
          <w:szCs w:val="22"/>
          <w:lang w:val="fr-CH"/>
        </w:rPr>
        <w:t xml:space="preserve">Dispersons-nous trop </w:t>
      </w:r>
      <w:r w:rsidRPr="00E90595">
        <w:rPr>
          <w:rFonts w:asciiTheme="majorHAnsi" w:hAnsiTheme="majorHAnsi"/>
          <w:sz w:val="22"/>
          <w:szCs w:val="22"/>
          <w:lang w:val="fr-CH"/>
        </w:rPr>
        <w:t xml:space="preserve">nos efforts (trop d'objectifs, </w:t>
      </w:r>
      <w:r>
        <w:rPr>
          <w:rFonts w:asciiTheme="majorHAnsi" w:hAnsiTheme="majorHAnsi"/>
          <w:sz w:val="22"/>
          <w:szCs w:val="22"/>
          <w:lang w:val="fr-CH"/>
        </w:rPr>
        <w:t xml:space="preserve">efforts </w:t>
      </w:r>
      <w:r w:rsidRPr="00E90595">
        <w:rPr>
          <w:rFonts w:asciiTheme="majorHAnsi" w:hAnsiTheme="majorHAnsi"/>
          <w:sz w:val="22"/>
          <w:szCs w:val="22"/>
          <w:lang w:val="fr-CH"/>
        </w:rPr>
        <w:t xml:space="preserve">pas assez </w:t>
      </w:r>
      <w:r>
        <w:rPr>
          <w:rFonts w:asciiTheme="majorHAnsi" w:hAnsiTheme="majorHAnsi"/>
          <w:sz w:val="22"/>
          <w:szCs w:val="22"/>
          <w:lang w:val="fr-CH"/>
        </w:rPr>
        <w:t xml:space="preserve">ciblés et </w:t>
      </w:r>
      <w:r w:rsidRPr="00E90595">
        <w:rPr>
          <w:rFonts w:asciiTheme="majorHAnsi" w:hAnsiTheme="majorHAnsi"/>
          <w:sz w:val="22"/>
          <w:szCs w:val="22"/>
          <w:lang w:val="fr-CH"/>
        </w:rPr>
        <w:t>orient</w:t>
      </w:r>
      <w:r>
        <w:rPr>
          <w:rFonts w:asciiTheme="majorHAnsi" w:hAnsiTheme="majorHAnsi"/>
          <w:sz w:val="22"/>
          <w:szCs w:val="22"/>
          <w:lang w:val="fr-CH"/>
        </w:rPr>
        <w:t>és</w:t>
      </w:r>
      <w:r w:rsidRPr="00E90595">
        <w:rPr>
          <w:rFonts w:asciiTheme="majorHAnsi" w:hAnsiTheme="majorHAnsi"/>
          <w:sz w:val="22"/>
          <w:szCs w:val="22"/>
          <w:lang w:val="fr-CH"/>
        </w:rPr>
        <w:t>)</w:t>
      </w:r>
      <w:r w:rsidR="00C64326" w:rsidRPr="00BA22DE">
        <w:rPr>
          <w:rFonts w:asciiTheme="majorHAnsi" w:hAnsiTheme="majorHAnsi"/>
          <w:sz w:val="22"/>
          <w:szCs w:val="22"/>
          <w:lang w:val="fr-CH"/>
        </w:rPr>
        <w:t>?</w:t>
      </w:r>
    </w:p>
    <w:p w14:paraId="4C4BFDBE" w14:textId="60DA03B0" w:rsidR="00C64326" w:rsidRPr="00BA22DE" w:rsidRDefault="00E90595" w:rsidP="004C3670">
      <w:pPr>
        <w:spacing w:after="120"/>
        <w:rPr>
          <w:rFonts w:asciiTheme="majorHAnsi" w:hAnsiTheme="majorHAnsi"/>
          <w:b/>
          <w:sz w:val="22"/>
          <w:szCs w:val="22"/>
          <w:lang w:val="fr-CH"/>
        </w:rPr>
      </w:pPr>
      <w:r w:rsidRPr="00E90595">
        <w:rPr>
          <w:rFonts w:asciiTheme="majorHAnsi" w:hAnsiTheme="majorHAnsi"/>
          <w:b/>
          <w:sz w:val="22"/>
          <w:szCs w:val="22"/>
          <w:lang w:val="fr-CH"/>
        </w:rPr>
        <w:t>Dispositions en matière de gouvernance</w:t>
      </w:r>
    </w:p>
    <w:p w14:paraId="1A523FFC" w14:textId="76C5D571" w:rsidR="00C64326" w:rsidRPr="00BA22DE" w:rsidRDefault="00E90595" w:rsidP="004C3670">
      <w:pPr>
        <w:spacing w:after="120"/>
        <w:rPr>
          <w:rFonts w:asciiTheme="majorHAnsi" w:hAnsiTheme="majorHAnsi"/>
          <w:sz w:val="22"/>
          <w:szCs w:val="22"/>
          <w:lang w:val="fr-CH"/>
        </w:rPr>
      </w:pPr>
      <w:r w:rsidRPr="00E90595">
        <w:rPr>
          <w:rFonts w:asciiTheme="majorHAnsi" w:hAnsiTheme="majorHAnsi"/>
          <w:sz w:val="22"/>
          <w:szCs w:val="22"/>
          <w:lang w:val="fr-CH"/>
        </w:rPr>
        <w:t xml:space="preserve">L'examen du Plan stratégique devrait </w:t>
      </w:r>
      <w:r>
        <w:rPr>
          <w:rFonts w:asciiTheme="majorHAnsi" w:hAnsiTheme="majorHAnsi"/>
          <w:sz w:val="22"/>
          <w:szCs w:val="22"/>
          <w:lang w:val="fr-CH"/>
        </w:rPr>
        <w:t xml:space="preserve">porter </w:t>
      </w:r>
      <w:r w:rsidR="0044116A">
        <w:rPr>
          <w:rFonts w:asciiTheme="majorHAnsi" w:hAnsiTheme="majorHAnsi"/>
          <w:sz w:val="22"/>
          <w:szCs w:val="22"/>
          <w:lang w:val="fr-CH"/>
        </w:rPr>
        <w:t xml:space="preserve">sur la manière dont </w:t>
      </w:r>
      <w:r w:rsidRPr="00E90595">
        <w:rPr>
          <w:rFonts w:asciiTheme="majorHAnsi" w:hAnsiTheme="majorHAnsi"/>
          <w:sz w:val="22"/>
          <w:szCs w:val="22"/>
          <w:lang w:val="fr-CH"/>
        </w:rPr>
        <w:t xml:space="preserve">les conseils et le soutien </w:t>
      </w:r>
      <w:r w:rsidR="0044116A">
        <w:rPr>
          <w:rFonts w:asciiTheme="majorHAnsi" w:hAnsiTheme="majorHAnsi"/>
          <w:sz w:val="22"/>
          <w:szCs w:val="22"/>
          <w:lang w:val="fr-CH"/>
        </w:rPr>
        <w:t>à la</w:t>
      </w:r>
      <w:r w:rsidRPr="00E90595">
        <w:rPr>
          <w:rFonts w:asciiTheme="majorHAnsi" w:hAnsiTheme="majorHAnsi"/>
          <w:sz w:val="22"/>
          <w:szCs w:val="22"/>
          <w:lang w:val="fr-CH"/>
        </w:rPr>
        <w:t xml:space="preserve"> CESP</w:t>
      </w:r>
      <w:r w:rsidR="0044116A">
        <w:rPr>
          <w:rFonts w:asciiTheme="majorHAnsi" w:hAnsiTheme="majorHAnsi"/>
          <w:sz w:val="22"/>
          <w:szCs w:val="22"/>
          <w:lang w:val="fr-CH"/>
        </w:rPr>
        <w:t xml:space="preserve"> relative à</w:t>
      </w:r>
      <w:r w:rsidRPr="00E90595">
        <w:rPr>
          <w:rFonts w:asciiTheme="majorHAnsi" w:hAnsiTheme="majorHAnsi"/>
          <w:sz w:val="22"/>
          <w:szCs w:val="22"/>
          <w:lang w:val="fr-CH"/>
        </w:rPr>
        <w:t xml:space="preserve"> Ramsar peu</w:t>
      </w:r>
      <w:r w:rsidR="0044116A">
        <w:rPr>
          <w:rFonts w:asciiTheme="majorHAnsi" w:hAnsiTheme="majorHAnsi"/>
          <w:sz w:val="22"/>
          <w:szCs w:val="22"/>
          <w:lang w:val="fr-CH"/>
        </w:rPr>
        <w:t>ven</w:t>
      </w:r>
      <w:r w:rsidRPr="00E90595">
        <w:rPr>
          <w:rFonts w:asciiTheme="majorHAnsi" w:hAnsiTheme="majorHAnsi"/>
          <w:sz w:val="22"/>
          <w:szCs w:val="22"/>
          <w:lang w:val="fr-CH"/>
        </w:rPr>
        <w:t>t être fournis de la manière la plus efficace possible.  S</w:t>
      </w:r>
      <w:r w:rsidR="0044116A">
        <w:rPr>
          <w:rFonts w:asciiTheme="majorHAnsi" w:hAnsiTheme="majorHAnsi"/>
          <w:sz w:val="22"/>
          <w:szCs w:val="22"/>
          <w:lang w:val="fr-CH"/>
        </w:rPr>
        <w:t xml:space="preserve">’il convient de maintenir </w:t>
      </w:r>
      <w:r w:rsidRPr="00E90595">
        <w:rPr>
          <w:rFonts w:asciiTheme="majorHAnsi" w:hAnsiTheme="majorHAnsi"/>
          <w:sz w:val="22"/>
          <w:szCs w:val="22"/>
          <w:lang w:val="fr-CH"/>
        </w:rPr>
        <w:t xml:space="preserve">un groupe d'experts </w:t>
      </w:r>
      <w:r w:rsidR="0044116A">
        <w:rPr>
          <w:rFonts w:asciiTheme="majorHAnsi" w:hAnsiTheme="majorHAnsi"/>
          <w:sz w:val="22"/>
          <w:szCs w:val="22"/>
          <w:lang w:val="fr-CH"/>
        </w:rPr>
        <w:t xml:space="preserve">pour la </w:t>
      </w:r>
      <w:r w:rsidRPr="00E90595">
        <w:rPr>
          <w:rFonts w:asciiTheme="majorHAnsi" w:hAnsiTheme="majorHAnsi"/>
          <w:sz w:val="22"/>
          <w:szCs w:val="22"/>
          <w:lang w:val="fr-CH"/>
        </w:rPr>
        <w:t>CE</w:t>
      </w:r>
      <w:r w:rsidR="0044116A">
        <w:rPr>
          <w:rFonts w:asciiTheme="majorHAnsi" w:hAnsiTheme="majorHAnsi"/>
          <w:sz w:val="22"/>
          <w:szCs w:val="22"/>
          <w:lang w:val="fr-CH"/>
        </w:rPr>
        <w:t>SP</w:t>
      </w:r>
      <w:r w:rsidRPr="00E90595">
        <w:rPr>
          <w:rFonts w:asciiTheme="majorHAnsi" w:hAnsiTheme="majorHAnsi"/>
          <w:sz w:val="22"/>
          <w:szCs w:val="22"/>
          <w:lang w:val="fr-CH"/>
        </w:rPr>
        <w:t xml:space="preserve">, il </w:t>
      </w:r>
      <w:r w:rsidR="0044116A">
        <w:rPr>
          <w:rFonts w:asciiTheme="majorHAnsi" w:hAnsiTheme="majorHAnsi"/>
          <w:sz w:val="22"/>
          <w:szCs w:val="22"/>
          <w:lang w:val="fr-CH"/>
        </w:rPr>
        <w:t xml:space="preserve">faut </w:t>
      </w:r>
      <w:r w:rsidR="007B5F3E">
        <w:rPr>
          <w:rFonts w:asciiTheme="majorHAnsi" w:hAnsiTheme="majorHAnsi"/>
          <w:sz w:val="22"/>
          <w:szCs w:val="22"/>
          <w:lang w:val="fr-CH"/>
        </w:rPr>
        <w:t>que celui-ci comble une lacune et joue</w:t>
      </w:r>
      <w:r w:rsidRPr="00E90595">
        <w:rPr>
          <w:rFonts w:asciiTheme="majorHAnsi" w:hAnsiTheme="majorHAnsi"/>
          <w:sz w:val="22"/>
          <w:szCs w:val="22"/>
          <w:lang w:val="fr-CH"/>
        </w:rPr>
        <w:t xml:space="preserve"> un rôle utile dans l'amélioration de l</w:t>
      </w:r>
      <w:r w:rsidR="007B5F3E">
        <w:rPr>
          <w:rFonts w:asciiTheme="majorHAnsi" w:hAnsiTheme="majorHAnsi"/>
          <w:sz w:val="22"/>
          <w:szCs w:val="22"/>
          <w:lang w:val="fr-CH"/>
        </w:rPr>
        <w:t>’applic</w:t>
      </w:r>
      <w:r w:rsidRPr="00E90595">
        <w:rPr>
          <w:rFonts w:asciiTheme="majorHAnsi" w:hAnsiTheme="majorHAnsi"/>
          <w:sz w:val="22"/>
          <w:szCs w:val="22"/>
          <w:lang w:val="fr-CH"/>
        </w:rPr>
        <w:t>a</w:t>
      </w:r>
      <w:r w:rsidR="007B5F3E">
        <w:rPr>
          <w:rFonts w:asciiTheme="majorHAnsi" w:hAnsiTheme="majorHAnsi"/>
          <w:sz w:val="22"/>
          <w:szCs w:val="22"/>
          <w:lang w:val="fr-CH"/>
        </w:rPr>
        <w:t xml:space="preserve">tion </w:t>
      </w:r>
      <w:r w:rsidRPr="00E90595">
        <w:rPr>
          <w:rFonts w:asciiTheme="majorHAnsi" w:hAnsiTheme="majorHAnsi"/>
          <w:sz w:val="22"/>
          <w:szCs w:val="22"/>
          <w:lang w:val="fr-CH"/>
        </w:rPr>
        <w:t xml:space="preserve">de la Convention.  Son rôle, sa composition et ses modalités d'établissement de rapports devront être </w:t>
      </w:r>
      <w:r w:rsidR="007B5F3E">
        <w:rPr>
          <w:rFonts w:asciiTheme="majorHAnsi" w:hAnsiTheme="majorHAnsi"/>
          <w:sz w:val="22"/>
          <w:szCs w:val="22"/>
          <w:lang w:val="fr-CH"/>
        </w:rPr>
        <w:t>examinés</w:t>
      </w:r>
      <w:r w:rsidRPr="00E90595">
        <w:rPr>
          <w:rFonts w:asciiTheme="majorHAnsi" w:hAnsiTheme="majorHAnsi"/>
          <w:sz w:val="22"/>
          <w:szCs w:val="22"/>
          <w:lang w:val="fr-CH"/>
        </w:rPr>
        <w:t xml:space="preserve">.  D'autres conseils sur les modalités d'appui seront fournis </w:t>
      </w:r>
      <w:r w:rsidR="007B5F3E">
        <w:rPr>
          <w:rFonts w:asciiTheme="majorHAnsi" w:hAnsiTheme="majorHAnsi"/>
          <w:sz w:val="22"/>
          <w:szCs w:val="22"/>
          <w:lang w:val="fr-CH"/>
        </w:rPr>
        <w:t>lors de la 58</w:t>
      </w:r>
      <w:r w:rsidR="007B5F3E" w:rsidRPr="007B5F3E">
        <w:rPr>
          <w:rFonts w:asciiTheme="majorHAnsi" w:hAnsiTheme="majorHAnsi"/>
          <w:sz w:val="22"/>
          <w:szCs w:val="22"/>
          <w:vertAlign w:val="superscript"/>
          <w:lang w:val="fr-CH"/>
        </w:rPr>
        <w:t>e</w:t>
      </w:r>
      <w:r w:rsidR="007B5F3E">
        <w:rPr>
          <w:rFonts w:asciiTheme="majorHAnsi" w:hAnsiTheme="majorHAnsi"/>
          <w:sz w:val="22"/>
          <w:szCs w:val="22"/>
          <w:lang w:val="fr-CH"/>
        </w:rPr>
        <w:t xml:space="preserve"> Réunion du Comité permanent</w:t>
      </w:r>
      <w:r w:rsidR="00C64326" w:rsidRPr="00BA22DE">
        <w:rPr>
          <w:rFonts w:asciiTheme="majorHAnsi" w:hAnsiTheme="majorHAnsi"/>
          <w:sz w:val="22"/>
          <w:szCs w:val="22"/>
          <w:lang w:val="fr-CH"/>
        </w:rPr>
        <w:t>.</w:t>
      </w:r>
    </w:p>
    <w:p w14:paraId="606D77D8" w14:textId="5566BEAA" w:rsidR="00C64326" w:rsidRPr="00BA22DE" w:rsidRDefault="007B5F3E" w:rsidP="004C3670">
      <w:pPr>
        <w:spacing w:after="120"/>
        <w:rPr>
          <w:rFonts w:asciiTheme="majorHAnsi" w:hAnsiTheme="majorHAnsi"/>
          <w:sz w:val="22"/>
          <w:szCs w:val="22"/>
          <w:lang w:val="fr-CH"/>
        </w:rPr>
      </w:pPr>
      <w:r w:rsidRPr="007B5F3E">
        <w:rPr>
          <w:rFonts w:asciiTheme="majorHAnsi" w:hAnsiTheme="majorHAnsi"/>
          <w:sz w:val="22"/>
          <w:szCs w:val="22"/>
          <w:lang w:val="fr-CH"/>
        </w:rPr>
        <w:t xml:space="preserve">Les </w:t>
      </w:r>
      <w:r>
        <w:rPr>
          <w:rFonts w:asciiTheme="majorHAnsi" w:hAnsiTheme="majorHAnsi"/>
          <w:sz w:val="22"/>
          <w:szCs w:val="22"/>
          <w:lang w:val="fr-CH"/>
        </w:rPr>
        <w:t xml:space="preserve">Correspondants nationaux et les Correspondants nationaux pour la </w:t>
      </w:r>
      <w:r w:rsidRPr="007B5F3E">
        <w:rPr>
          <w:rFonts w:asciiTheme="majorHAnsi" w:hAnsiTheme="majorHAnsi"/>
          <w:sz w:val="22"/>
          <w:szCs w:val="22"/>
          <w:lang w:val="fr-CH"/>
        </w:rPr>
        <w:t xml:space="preserve">CESP au sein des </w:t>
      </w:r>
      <w:r>
        <w:rPr>
          <w:rFonts w:asciiTheme="majorHAnsi" w:hAnsiTheme="majorHAnsi"/>
          <w:sz w:val="22"/>
          <w:szCs w:val="22"/>
          <w:lang w:val="fr-CH"/>
        </w:rPr>
        <w:t>Parties contractantes sont jugé</w:t>
      </w:r>
      <w:r w:rsidR="00FD26F1">
        <w:rPr>
          <w:rFonts w:asciiTheme="majorHAnsi" w:hAnsiTheme="majorHAnsi"/>
          <w:sz w:val="22"/>
          <w:szCs w:val="22"/>
          <w:lang w:val="fr-CH"/>
        </w:rPr>
        <w:t>s important</w:t>
      </w:r>
      <w:r w:rsidRPr="007B5F3E">
        <w:rPr>
          <w:rFonts w:asciiTheme="majorHAnsi" w:hAnsiTheme="majorHAnsi"/>
          <w:sz w:val="22"/>
          <w:szCs w:val="22"/>
          <w:lang w:val="fr-CH"/>
        </w:rPr>
        <w:t xml:space="preserve">s pour </w:t>
      </w:r>
      <w:r w:rsidR="00FD26F1">
        <w:rPr>
          <w:rFonts w:asciiTheme="majorHAnsi" w:hAnsiTheme="majorHAnsi"/>
          <w:sz w:val="22"/>
          <w:szCs w:val="22"/>
          <w:lang w:val="fr-CH"/>
        </w:rPr>
        <w:t>garantir</w:t>
      </w:r>
      <w:r w:rsidRPr="007B5F3E">
        <w:rPr>
          <w:rFonts w:asciiTheme="majorHAnsi" w:hAnsiTheme="majorHAnsi"/>
          <w:sz w:val="22"/>
          <w:szCs w:val="22"/>
          <w:lang w:val="fr-CH"/>
        </w:rPr>
        <w:t xml:space="preserve"> une approche coordonnée et stratégique </w:t>
      </w:r>
      <w:r w:rsidR="00FD26F1">
        <w:rPr>
          <w:rFonts w:asciiTheme="majorHAnsi" w:hAnsiTheme="majorHAnsi"/>
          <w:sz w:val="22"/>
          <w:szCs w:val="22"/>
          <w:lang w:val="fr-CH"/>
        </w:rPr>
        <w:t xml:space="preserve">au niveau national </w:t>
      </w:r>
      <w:r w:rsidRPr="007B5F3E">
        <w:rPr>
          <w:rFonts w:asciiTheme="majorHAnsi" w:hAnsiTheme="majorHAnsi"/>
          <w:sz w:val="22"/>
          <w:szCs w:val="22"/>
          <w:lang w:val="fr-CH"/>
        </w:rPr>
        <w:t>de l</w:t>
      </w:r>
      <w:r w:rsidR="00FD26F1">
        <w:rPr>
          <w:rFonts w:asciiTheme="majorHAnsi" w:hAnsiTheme="majorHAnsi"/>
          <w:sz w:val="22"/>
          <w:szCs w:val="22"/>
          <w:lang w:val="fr-CH"/>
        </w:rPr>
        <w:t xml:space="preserve">’application de la Convention </w:t>
      </w:r>
      <w:r w:rsidRPr="007B5F3E">
        <w:rPr>
          <w:rFonts w:asciiTheme="majorHAnsi" w:hAnsiTheme="majorHAnsi"/>
          <w:sz w:val="22"/>
          <w:szCs w:val="22"/>
          <w:lang w:val="fr-CH"/>
        </w:rPr>
        <w:t xml:space="preserve">de Ramsar.  Ces réseaux devraient être un </w:t>
      </w:r>
      <w:r w:rsidR="00FD26F1">
        <w:rPr>
          <w:rFonts w:asciiTheme="majorHAnsi" w:hAnsiTheme="majorHAnsi"/>
          <w:sz w:val="22"/>
          <w:szCs w:val="22"/>
          <w:lang w:val="fr-CH"/>
        </w:rPr>
        <w:t xml:space="preserve">outil essentiel pour diffuser des </w:t>
      </w:r>
      <w:r w:rsidRPr="007B5F3E">
        <w:rPr>
          <w:rFonts w:asciiTheme="majorHAnsi" w:hAnsiTheme="majorHAnsi"/>
          <w:sz w:val="22"/>
          <w:szCs w:val="22"/>
          <w:lang w:val="fr-CH"/>
        </w:rPr>
        <w:t>information</w:t>
      </w:r>
      <w:r w:rsidR="00FD26F1">
        <w:rPr>
          <w:rFonts w:asciiTheme="majorHAnsi" w:hAnsiTheme="majorHAnsi"/>
          <w:sz w:val="22"/>
          <w:szCs w:val="22"/>
          <w:lang w:val="fr-CH"/>
        </w:rPr>
        <w:t>s</w:t>
      </w:r>
      <w:r w:rsidRPr="007B5F3E">
        <w:rPr>
          <w:rFonts w:asciiTheme="majorHAnsi" w:hAnsiTheme="majorHAnsi"/>
          <w:sz w:val="22"/>
          <w:szCs w:val="22"/>
          <w:lang w:val="fr-CH"/>
        </w:rPr>
        <w:t xml:space="preserve"> aux Parties contractante</w:t>
      </w:r>
      <w:r w:rsidR="00FD26F1">
        <w:rPr>
          <w:rFonts w:asciiTheme="majorHAnsi" w:hAnsiTheme="majorHAnsi"/>
          <w:sz w:val="22"/>
          <w:szCs w:val="22"/>
          <w:lang w:val="fr-CH"/>
        </w:rPr>
        <w:t>s et recueillir leurs réactions</w:t>
      </w:r>
      <w:r w:rsidR="00C64326" w:rsidRPr="00BA22DE">
        <w:rPr>
          <w:rFonts w:asciiTheme="majorHAnsi" w:hAnsiTheme="majorHAnsi"/>
          <w:sz w:val="22"/>
          <w:szCs w:val="22"/>
          <w:lang w:val="fr-CH"/>
        </w:rPr>
        <w:t>.</w:t>
      </w:r>
    </w:p>
    <w:p w14:paraId="629B7661" w14:textId="6EE22AD7" w:rsidR="00C64326" w:rsidRPr="00BA22DE" w:rsidRDefault="00FD26F1" w:rsidP="004C3670">
      <w:pPr>
        <w:keepNext/>
        <w:spacing w:after="120"/>
        <w:rPr>
          <w:rFonts w:asciiTheme="majorHAnsi" w:hAnsiTheme="majorHAnsi"/>
          <w:b/>
          <w:sz w:val="22"/>
          <w:szCs w:val="22"/>
          <w:lang w:val="fr-CH"/>
        </w:rPr>
      </w:pPr>
      <w:r>
        <w:rPr>
          <w:rFonts w:asciiTheme="majorHAnsi" w:hAnsiTheme="majorHAnsi"/>
          <w:b/>
          <w:sz w:val="22"/>
          <w:szCs w:val="22"/>
          <w:lang w:val="fr-CH"/>
        </w:rPr>
        <w:t xml:space="preserve">Affecter des ressources aux activités de </w:t>
      </w:r>
      <w:r w:rsidR="00C64326" w:rsidRPr="00BA22DE">
        <w:rPr>
          <w:rFonts w:asciiTheme="majorHAnsi" w:hAnsiTheme="majorHAnsi"/>
          <w:b/>
          <w:sz w:val="22"/>
          <w:szCs w:val="22"/>
          <w:lang w:val="fr-CH"/>
        </w:rPr>
        <w:t>CE</w:t>
      </w:r>
      <w:r>
        <w:rPr>
          <w:rFonts w:asciiTheme="majorHAnsi" w:hAnsiTheme="majorHAnsi"/>
          <w:b/>
          <w:sz w:val="22"/>
          <w:szCs w:val="22"/>
          <w:lang w:val="fr-CH"/>
        </w:rPr>
        <w:t>SP</w:t>
      </w:r>
    </w:p>
    <w:p w14:paraId="01194A13" w14:textId="347CA226" w:rsidR="00C64326" w:rsidRPr="00BA22DE" w:rsidRDefault="00FD26F1" w:rsidP="004C3670">
      <w:pPr>
        <w:keepNext/>
        <w:spacing w:after="120"/>
        <w:rPr>
          <w:rFonts w:asciiTheme="majorHAnsi" w:hAnsiTheme="majorHAnsi"/>
          <w:sz w:val="22"/>
          <w:szCs w:val="22"/>
          <w:lang w:val="fr-CH"/>
        </w:rPr>
      </w:pPr>
      <w:r w:rsidRPr="00FD26F1">
        <w:rPr>
          <w:rFonts w:asciiTheme="majorHAnsi" w:hAnsiTheme="majorHAnsi"/>
          <w:sz w:val="22"/>
          <w:szCs w:val="22"/>
          <w:lang w:val="fr-CH"/>
        </w:rPr>
        <w:t>Le financement des activités de CESP devrait être in</w:t>
      </w:r>
      <w:r>
        <w:rPr>
          <w:rFonts w:asciiTheme="majorHAnsi" w:hAnsiTheme="majorHAnsi"/>
          <w:sz w:val="22"/>
          <w:szCs w:val="22"/>
          <w:lang w:val="fr-CH"/>
        </w:rPr>
        <w:t xml:space="preserve">tégré </w:t>
      </w:r>
      <w:r w:rsidRPr="00FD26F1">
        <w:rPr>
          <w:rFonts w:asciiTheme="majorHAnsi" w:hAnsiTheme="majorHAnsi"/>
          <w:sz w:val="22"/>
          <w:szCs w:val="22"/>
          <w:lang w:val="fr-CH"/>
        </w:rPr>
        <w:t xml:space="preserve">dans les budgets de la Convention pour la prochaine période triennale. </w:t>
      </w:r>
      <w:r>
        <w:rPr>
          <w:rFonts w:asciiTheme="majorHAnsi" w:hAnsiTheme="majorHAnsi"/>
          <w:sz w:val="22"/>
          <w:szCs w:val="22"/>
          <w:lang w:val="fr-CH"/>
        </w:rPr>
        <w:t xml:space="preserve">Il faudrait </w:t>
      </w:r>
      <w:r w:rsidR="00D84297">
        <w:rPr>
          <w:rFonts w:asciiTheme="majorHAnsi" w:hAnsiTheme="majorHAnsi"/>
          <w:sz w:val="22"/>
          <w:szCs w:val="22"/>
          <w:lang w:val="fr-CH"/>
        </w:rPr>
        <w:t xml:space="preserve">envisager </w:t>
      </w:r>
      <w:r w:rsidRPr="00FD26F1">
        <w:rPr>
          <w:rFonts w:asciiTheme="majorHAnsi" w:hAnsiTheme="majorHAnsi"/>
          <w:sz w:val="22"/>
          <w:szCs w:val="22"/>
          <w:lang w:val="fr-CH"/>
        </w:rPr>
        <w:t xml:space="preserve">une mobilisation accrue des ressources et des </w:t>
      </w:r>
      <w:r w:rsidRPr="00FD26F1">
        <w:rPr>
          <w:rFonts w:asciiTheme="majorHAnsi" w:hAnsiTheme="majorHAnsi"/>
          <w:sz w:val="22"/>
          <w:szCs w:val="22"/>
          <w:lang w:val="fr-CH"/>
        </w:rPr>
        <w:lastRenderedPageBreak/>
        <w:t xml:space="preserve">partenariats, le financement d'initiatives spécifiques de CESP et l'obligation </w:t>
      </w:r>
      <w:r w:rsidR="00D84297">
        <w:rPr>
          <w:rFonts w:asciiTheme="majorHAnsi" w:hAnsiTheme="majorHAnsi"/>
          <w:sz w:val="22"/>
          <w:szCs w:val="22"/>
          <w:lang w:val="fr-CH"/>
        </w:rPr>
        <w:t xml:space="preserve">d’intégrer </w:t>
      </w:r>
      <w:r w:rsidRPr="00FD26F1">
        <w:rPr>
          <w:rFonts w:asciiTheme="majorHAnsi" w:hAnsiTheme="majorHAnsi"/>
          <w:sz w:val="22"/>
          <w:szCs w:val="22"/>
          <w:lang w:val="fr-CH"/>
        </w:rPr>
        <w:t>la CESP dans toutes les initiatives et activités financées.</w:t>
      </w:r>
      <w:r w:rsidR="00C64326" w:rsidRPr="00BA22DE">
        <w:rPr>
          <w:rFonts w:asciiTheme="majorHAnsi" w:hAnsiTheme="majorHAnsi"/>
          <w:sz w:val="22"/>
          <w:szCs w:val="22"/>
          <w:lang w:val="fr-CH"/>
        </w:rPr>
        <w:t xml:space="preserve">  </w:t>
      </w:r>
    </w:p>
    <w:p w14:paraId="423B5E6B" w14:textId="1800BE91" w:rsidR="00C64326" w:rsidRPr="00BA22DE" w:rsidRDefault="00D84297" w:rsidP="003A3EF9">
      <w:pPr>
        <w:spacing w:after="120"/>
        <w:rPr>
          <w:rFonts w:asciiTheme="majorHAnsi" w:hAnsiTheme="majorHAnsi"/>
          <w:sz w:val="22"/>
          <w:szCs w:val="22"/>
          <w:lang w:val="fr-CH"/>
        </w:rPr>
      </w:pPr>
      <w:r w:rsidRPr="00D84297">
        <w:rPr>
          <w:rFonts w:asciiTheme="majorHAnsi" w:hAnsiTheme="majorHAnsi"/>
          <w:sz w:val="22"/>
          <w:szCs w:val="22"/>
          <w:lang w:val="fr-CH"/>
        </w:rPr>
        <w:t xml:space="preserve">Il conviendrait d'envisager de nouveaux partenariats, notamment avec des ONG </w:t>
      </w:r>
      <w:r>
        <w:rPr>
          <w:rFonts w:asciiTheme="majorHAnsi" w:hAnsiTheme="majorHAnsi"/>
          <w:sz w:val="22"/>
          <w:szCs w:val="22"/>
          <w:lang w:val="fr-CH"/>
        </w:rPr>
        <w:t xml:space="preserve">spécialisées </w:t>
      </w:r>
      <w:r w:rsidRPr="00D84297">
        <w:rPr>
          <w:rFonts w:asciiTheme="majorHAnsi" w:hAnsiTheme="majorHAnsi"/>
          <w:sz w:val="22"/>
          <w:szCs w:val="22"/>
          <w:lang w:val="fr-CH"/>
        </w:rPr>
        <w:t>d</w:t>
      </w:r>
      <w:r>
        <w:rPr>
          <w:rFonts w:asciiTheme="majorHAnsi" w:hAnsiTheme="majorHAnsi"/>
          <w:sz w:val="22"/>
          <w:szCs w:val="22"/>
          <w:lang w:val="fr-CH"/>
        </w:rPr>
        <w:t>ans la</w:t>
      </w:r>
      <w:r w:rsidRPr="00D84297">
        <w:rPr>
          <w:rFonts w:asciiTheme="majorHAnsi" w:hAnsiTheme="majorHAnsi"/>
          <w:sz w:val="22"/>
          <w:szCs w:val="22"/>
          <w:lang w:val="fr-CH"/>
        </w:rPr>
        <w:t xml:space="preserve"> conservation, des organisations internationales, des organisations du secteur privé et d</w:t>
      </w:r>
      <w:r>
        <w:rPr>
          <w:rFonts w:asciiTheme="majorHAnsi" w:hAnsiTheme="majorHAnsi"/>
          <w:sz w:val="22"/>
          <w:szCs w:val="22"/>
          <w:lang w:val="fr-CH"/>
        </w:rPr>
        <w:t>es</w:t>
      </w:r>
      <w:r w:rsidRPr="00D84297">
        <w:rPr>
          <w:rFonts w:asciiTheme="majorHAnsi" w:hAnsiTheme="majorHAnsi"/>
          <w:sz w:val="22"/>
          <w:szCs w:val="22"/>
          <w:lang w:val="fr-CH"/>
        </w:rPr>
        <w:t xml:space="preserve"> accords multilatéraux sur l'environnement (AME), qui pourraient être identifiés par le Secrétariat ou par les Parties contractantes et les OIP, et mis en œuvre aux niveaux mondial, régional et par des Parties contractantes individuelles</w:t>
      </w:r>
      <w:r w:rsidR="00C64326" w:rsidRPr="00BA22DE">
        <w:rPr>
          <w:rFonts w:asciiTheme="majorHAnsi" w:hAnsiTheme="majorHAnsi"/>
          <w:sz w:val="22"/>
          <w:szCs w:val="22"/>
          <w:lang w:val="fr-CH"/>
        </w:rPr>
        <w:t>.</w:t>
      </w:r>
    </w:p>
    <w:p w14:paraId="7AA20C74" w14:textId="257D5F52" w:rsidR="00C64326" w:rsidRPr="00BA22DE" w:rsidRDefault="00D84297" w:rsidP="004C3670">
      <w:pPr>
        <w:keepNext/>
        <w:spacing w:after="120"/>
        <w:rPr>
          <w:rFonts w:asciiTheme="majorHAnsi" w:hAnsiTheme="majorHAnsi"/>
          <w:b/>
          <w:sz w:val="22"/>
          <w:szCs w:val="22"/>
          <w:lang w:val="fr-CH"/>
        </w:rPr>
      </w:pPr>
      <w:r w:rsidRPr="00D84297">
        <w:rPr>
          <w:rFonts w:asciiTheme="majorHAnsi" w:hAnsiTheme="majorHAnsi"/>
          <w:b/>
          <w:sz w:val="22"/>
          <w:szCs w:val="22"/>
          <w:lang w:val="fr-CH"/>
        </w:rPr>
        <w:t>Orientations pour la mise en œu</w:t>
      </w:r>
      <w:r>
        <w:rPr>
          <w:rFonts w:asciiTheme="majorHAnsi" w:hAnsiTheme="majorHAnsi"/>
          <w:b/>
          <w:sz w:val="22"/>
          <w:szCs w:val="22"/>
          <w:lang w:val="fr-CH"/>
        </w:rPr>
        <w:t>vre</w:t>
      </w:r>
    </w:p>
    <w:p w14:paraId="35C4C4CA" w14:textId="7C9D8394" w:rsidR="00C64326" w:rsidRPr="00BA22DE" w:rsidRDefault="001919E2" w:rsidP="004C3670">
      <w:pPr>
        <w:keepNext/>
        <w:spacing w:after="120"/>
        <w:rPr>
          <w:rFonts w:asciiTheme="majorHAnsi" w:hAnsiTheme="majorHAnsi"/>
          <w:sz w:val="22"/>
          <w:szCs w:val="22"/>
          <w:lang w:val="fr-CH"/>
        </w:rPr>
      </w:pPr>
      <w:r w:rsidRPr="001919E2">
        <w:rPr>
          <w:rFonts w:asciiTheme="majorHAnsi" w:hAnsiTheme="majorHAnsi"/>
          <w:lang w:val="fr-CH"/>
        </w:rPr>
        <w:t>Le Groupe de surveillance des activités de CESP recommande de prendre en considération les priorités et questions suivantes afin d'opti</w:t>
      </w:r>
      <w:r>
        <w:rPr>
          <w:rFonts w:asciiTheme="majorHAnsi" w:hAnsiTheme="majorHAnsi"/>
          <w:lang w:val="fr-CH"/>
        </w:rPr>
        <w:t>miser la contribution de la CESP</w:t>
      </w:r>
      <w:r w:rsidRPr="001919E2">
        <w:rPr>
          <w:rFonts w:asciiTheme="majorHAnsi" w:hAnsiTheme="majorHAnsi"/>
          <w:lang w:val="fr-CH"/>
        </w:rPr>
        <w:t xml:space="preserve"> à la réalisation des objectifs du Plan stratégique Ramsar</w:t>
      </w:r>
      <w:r>
        <w:rPr>
          <w:rFonts w:asciiTheme="majorHAnsi" w:hAnsiTheme="majorHAnsi"/>
          <w:lang w:val="fr-CH"/>
        </w:rPr>
        <w:t> </w:t>
      </w:r>
      <w:r>
        <w:rPr>
          <w:rFonts w:asciiTheme="majorHAnsi" w:hAnsiTheme="majorHAnsi"/>
          <w:sz w:val="22"/>
          <w:szCs w:val="22"/>
          <w:lang w:val="fr-CH"/>
        </w:rPr>
        <w:t>:</w:t>
      </w:r>
    </w:p>
    <w:p w14:paraId="58BE3C98" w14:textId="0E3932DB" w:rsidR="00C64326" w:rsidRPr="00BA22DE" w:rsidRDefault="001919E2" w:rsidP="004C3670">
      <w:pPr>
        <w:keepNext/>
        <w:spacing w:after="120"/>
        <w:rPr>
          <w:rFonts w:asciiTheme="majorHAnsi" w:hAnsiTheme="majorHAnsi"/>
          <w:i/>
          <w:sz w:val="22"/>
          <w:szCs w:val="22"/>
          <w:lang w:val="fr-CH"/>
        </w:rPr>
      </w:pPr>
      <w:r>
        <w:rPr>
          <w:rFonts w:asciiTheme="majorHAnsi" w:hAnsiTheme="majorHAnsi"/>
          <w:i/>
          <w:sz w:val="22"/>
          <w:szCs w:val="22"/>
          <w:lang w:val="fr-CH"/>
        </w:rPr>
        <w:t xml:space="preserve">Objectif stratégique </w:t>
      </w:r>
      <w:r w:rsidR="00C64326" w:rsidRPr="00BA22DE">
        <w:rPr>
          <w:rFonts w:asciiTheme="majorHAnsi" w:hAnsiTheme="majorHAnsi"/>
          <w:i/>
          <w:sz w:val="22"/>
          <w:szCs w:val="22"/>
          <w:lang w:val="fr-CH"/>
        </w:rPr>
        <w:t xml:space="preserve">1 – </w:t>
      </w:r>
      <w:r w:rsidRPr="001919E2">
        <w:rPr>
          <w:rFonts w:asciiTheme="majorHAnsi" w:hAnsiTheme="majorHAnsi"/>
          <w:i/>
          <w:sz w:val="22"/>
          <w:szCs w:val="22"/>
          <w:lang w:val="fr-CH"/>
        </w:rPr>
        <w:t>S’attaquer aux moteurs de la perte et de la dégradation des zones humides</w:t>
      </w:r>
    </w:p>
    <w:p w14:paraId="15276A70" w14:textId="0D56A0B9" w:rsidR="00C64326" w:rsidRPr="00BA22DE" w:rsidRDefault="001919E2" w:rsidP="001919E2">
      <w:pPr>
        <w:numPr>
          <w:ilvl w:val="0"/>
          <w:numId w:val="13"/>
        </w:numPr>
        <w:spacing w:after="120"/>
        <w:rPr>
          <w:rFonts w:asciiTheme="majorHAnsi" w:hAnsiTheme="majorHAnsi"/>
          <w:sz w:val="22"/>
          <w:szCs w:val="22"/>
          <w:lang w:val="fr-CH"/>
        </w:rPr>
      </w:pPr>
      <w:r w:rsidRPr="001919E2">
        <w:rPr>
          <w:rFonts w:asciiTheme="majorHAnsi" w:hAnsiTheme="majorHAnsi"/>
          <w:sz w:val="22"/>
          <w:szCs w:val="22"/>
          <w:lang w:val="fr-CH"/>
        </w:rPr>
        <w:t xml:space="preserve">Donner la priorité aux activités mondiales de CESP qui promeuvent la Convention et ses objectifs, </w:t>
      </w:r>
      <w:r w:rsidR="004E448C">
        <w:rPr>
          <w:rFonts w:asciiTheme="majorHAnsi" w:hAnsiTheme="majorHAnsi"/>
          <w:sz w:val="22"/>
          <w:szCs w:val="22"/>
          <w:lang w:val="fr-CH"/>
        </w:rPr>
        <w:t xml:space="preserve">et </w:t>
      </w:r>
      <w:r>
        <w:rPr>
          <w:rFonts w:asciiTheme="majorHAnsi" w:hAnsiTheme="majorHAnsi"/>
          <w:sz w:val="22"/>
          <w:szCs w:val="22"/>
          <w:lang w:val="fr-CH"/>
        </w:rPr>
        <w:t xml:space="preserve">notamment </w:t>
      </w:r>
      <w:r w:rsidR="004E448C">
        <w:rPr>
          <w:rFonts w:asciiTheme="majorHAnsi" w:hAnsiTheme="majorHAnsi"/>
          <w:sz w:val="22"/>
          <w:szCs w:val="22"/>
          <w:lang w:val="fr-CH"/>
        </w:rPr>
        <w:t xml:space="preserve">qui font une </w:t>
      </w:r>
      <w:r w:rsidRPr="001919E2">
        <w:rPr>
          <w:rFonts w:asciiTheme="majorHAnsi" w:hAnsiTheme="majorHAnsi"/>
          <w:sz w:val="22"/>
          <w:szCs w:val="22"/>
          <w:lang w:val="fr-CH"/>
        </w:rPr>
        <w:t xml:space="preserve">promotion à grande échelle de la COP13 et de ses résultats, et </w:t>
      </w:r>
      <w:r w:rsidR="00E733FC">
        <w:rPr>
          <w:rFonts w:asciiTheme="majorHAnsi" w:hAnsiTheme="majorHAnsi"/>
          <w:sz w:val="22"/>
          <w:szCs w:val="22"/>
          <w:lang w:val="fr-CH"/>
        </w:rPr>
        <w:t xml:space="preserve">à </w:t>
      </w:r>
      <w:r w:rsidRPr="001919E2">
        <w:rPr>
          <w:rFonts w:asciiTheme="majorHAnsi" w:hAnsiTheme="majorHAnsi"/>
          <w:sz w:val="22"/>
          <w:szCs w:val="22"/>
          <w:lang w:val="fr-CH"/>
        </w:rPr>
        <w:t>la contribution du Secrétaire général de Ramsar et des Parties contractantes aux débats sur les questions de pol</w:t>
      </w:r>
      <w:r w:rsidR="004E448C">
        <w:rPr>
          <w:rFonts w:asciiTheme="majorHAnsi" w:hAnsiTheme="majorHAnsi"/>
          <w:sz w:val="22"/>
          <w:szCs w:val="22"/>
          <w:lang w:val="fr-CH"/>
        </w:rPr>
        <w:t>itique mondiale, et notamment les o</w:t>
      </w:r>
      <w:r w:rsidRPr="001919E2">
        <w:rPr>
          <w:rFonts w:asciiTheme="majorHAnsi" w:hAnsiTheme="majorHAnsi"/>
          <w:sz w:val="22"/>
          <w:szCs w:val="22"/>
          <w:lang w:val="fr-CH"/>
        </w:rPr>
        <w:t>bjectifs du développement durable</w:t>
      </w:r>
      <w:r>
        <w:rPr>
          <w:rFonts w:asciiTheme="majorHAnsi" w:hAnsiTheme="majorHAnsi"/>
          <w:sz w:val="22"/>
          <w:szCs w:val="22"/>
          <w:lang w:val="fr-CH"/>
        </w:rPr>
        <w:t>.</w:t>
      </w:r>
      <w:r w:rsidR="00C64326" w:rsidRPr="00BA22DE">
        <w:rPr>
          <w:rFonts w:asciiTheme="majorHAnsi" w:hAnsiTheme="majorHAnsi"/>
          <w:sz w:val="22"/>
          <w:szCs w:val="22"/>
          <w:lang w:val="fr-CH"/>
        </w:rPr>
        <w:t xml:space="preserve"> </w:t>
      </w:r>
    </w:p>
    <w:p w14:paraId="242B0EA6" w14:textId="64630BA6" w:rsidR="00C64326" w:rsidRPr="00BA22DE" w:rsidRDefault="004E448C" w:rsidP="004E448C">
      <w:pPr>
        <w:numPr>
          <w:ilvl w:val="0"/>
          <w:numId w:val="13"/>
        </w:numPr>
        <w:spacing w:after="120"/>
        <w:rPr>
          <w:rFonts w:asciiTheme="majorHAnsi" w:hAnsiTheme="majorHAnsi"/>
          <w:sz w:val="22"/>
          <w:szCs w:val="22"/>
          <w:lang w:val="fr-CH"/>
        </w:rPr>
      </w:pPr>
      <w:r w:rsidRPr="004E448C">
        <w:rPr>
          <w:rFonts w:asciiTheme="majorHAnsi" w:hAnsiTheme="majorHAnsi"/>
          <w:sz w:val="22"/>
          <w:szCs w:val="22"/>
          <w:lang w:val="fr-CH"/>
        </w:rPr>
        <w:t xml:space="preserve">Donner la priorité aux actions de CESP qui soutiendront efficacement les </w:t>
      </w:r>
      <w:r>
        <w:rPr>
          <w:rFonts w:asciiTheme="majorHAnsi" w:hAnsiTheme="majorHAnsi"/>
          <w:sz w:val="22"/>
          <w:szCs w:val="22"/>
          <w:lang w:val="fr-CH"/>
        </w:rPr>
        <w:t>Parties contractantes et leurs C</w:t>
      </w:r>
      <w:r w:rsidRPr="004E448C">
        <w:rPr>
          <w:rFonts w:asciiTheme="majorHAnsi" w:hAnsiTheme="majorHAnsi"/>
          <w:sz w:val="22"/>
          <w:szCs w:val="22"/>
          <w:lang w:val="fr-CH"/>
        </w:rPr>
        <w:t xml:space="preserve">orrespondants nationaux, et </w:t>
      </w:r>
      <w:r>
        <w:rPr>
          <w:rFonts w:asciiTheme="majorHAnsi" w:hAnsiTheme="majorHAnsi"/>
          <w:sz w:val="22"/>
          <w:szCs w:val="22"/>
          <w:lang w:val="fr-CH"/>
        </w:rPr>
        <w:t xml:space="preserve">qui </w:t>
      </w:r>
      <w:r w:rsidRPr="004E448C">
        <w:rPr>
          <w:rFonts w:asciiTheme="majorHAnsi" w:hAnsiTheme="majorHAnsi"/>
          <w:sz w:val="22"/>
          <w:szCs w:val="22"/>
          <w:lang w:val="fr-CH"/>
        </w:rPr>
        <w:t xml:space="preserve">aideront les </w:t>
      </w:r>
      <w:r>
        <w:rPr>
          <w:rFonts w:asciiTheme="majorHAnsi" w:hAnsiTheme="majorHAnsi"/>
          <w:sz w:val="22"/>
          <w:szCs w:val="22"/>
          <w:lang w:val="fr-CH"/>
        </w:rPr>
        <w:t>administrateurs de S</w:t>
      </w:r>
      <w:r w:rsidR="00A11FCC">
        <w:rPr>
          <w:rFonts w:asciiTheme="majorHAnsi" w:hAnsiTheme="majorHAnsi"/>
          <w:sz w:val="22"/>
          <w:szCs w:val="22"/>
          <w:lang w:val="fr-CH"/>
        </w:rPr>
        <w:t>ites Ramsar et de</w:t>
      </w:r>
      <w:r w:rsidRPr="004E448C">
        <w:rPr>
          <w:rFonts w:asciiTheme="majorHAnsi" w:hAnsiTheme="majorHAnsi"/>
          <w:sz w:val="22"/>
          <w:szCs w:val="22"/>
          <w:lang w:val="fr-CH"/>
        </w:rPr>
        <w:t xml:space="preserve"> zones humides à mobiliser </w:t>
      </w:r>
      <w:r w:rsidR="00A11FCC">
        <w:rPr>
          <w:rFonts w:asciiTheme="majorHAnsi" w:hAnsiTheme="majorHAnsi"/>
          <w:sz w:val="22"/>
          <w:szCs w:val="22"/>
          <w:lang w:val="fr-CH"/>
        </w:rPr>
        <w:t>de nouveaux acteurs</w:t>
      </w:r>
      <w:r w:rsidRPr="004E448C">
        <w:rPr>
          <w:rFonts w:asciiTheme="majorHAnsi" w:hAnsiTheme="majorHAnsi"/>
          <w:sz w:val="22"/>
          <w:szCs w:val="22"/>
          <w:lang w:val="fr-CH"/>
        </w:rPr>
        <w:t xml:space="preserve">, à faire face aux menaces </w:t>
      </w:r>
      <w:r w:rsidR="00A11FCC">
        <w:rPr>
          <w:rFonts w:asciiTheme="majorHAnsi" w:hAnsiTheme="majorHAnsi"/>
          <w:sz w:val="22"/>
          <w:szCs w:val="22"/>
          <w:lang w:val="fr-CH"/>
        </w:rPr>
        <w:t xml:space="preserve">qui pèsent sur </w:t>
      </w:r>
      <w:r w:rsidRPr="004E448C">
        <w:rPr>
          <w:rFonts w:asciiTheme="majorHAnsi" w:hAnsiTheme="majorHAnsi"/>
          <w:sz w:val="22"/>
          <w:szCs w:val="22"/>
          <w:lang w:val="fr-CH"/>
        </w:rPr>
        <w:t>leurs zones humides</w:t>
      </w:r>
      <w:r w:rsidR="00A11FCC">
        <w:rPr>
          <w:rFonts w:asciiTheme="majorHAnsi" w:hAnsiTheme="majorHAnsi"/>
          <w:sz w:val="22"/>
          <w:szCs w:val="22"/>
          <w:lang w:val="fr-CH"/>
        </w:rPr>
        <w:t xml:space="preserve"> et à mieux les gérer</w:t>
      </w:r>
      <w:r w:rsidR="00C64326" w:rsidRPr="00BA22DE">
        <w:rPr>
          <w:rFonts w:asciiTheme="majorHAnsi" w:hAnsiTheme="majorHAnsi"/>
          <w:sz w:val="22"/>
          <w:szCs w:val="22"/>
          <w:lang w:val="fr-CH"/>
        </w:rPr>
        <w:t xml:space="preserve">. </w:t>
      </w:r>
    </w:p>
    <w:p w14:paraId="22DDC67B" w14:textId="41D170B2" w:rsidR="00C64326" w:rsidRPr="00BA22DE" w:rsidRDefault="00A11FCC" w:rsidP="00A11FCC">
      <w:pPr>
        <w:numPr>
          <w:ilvl w:val="0"/>
          <w:numId w:val="13"/>
        </w:numPr>
        <w:spacing w:after="120"/>
        <w:rPr>
          <w:rFonts w:asciiTheme="majorHAnsi" w:hAnsiTheme="majorHAnsi"/>
          <w:sz w:val="22"/>
          <w:szCs w:val="22"/>
          <w:lang w:val="fr-CH"/>
        </w:rPr>
      </w:pPr>
      <w:r w:rsidRPr="00A11FCC">
        <w:rPr>
          <w:rFonts w:asciiTheme="majorHAnsi" w:hAnsiTheme="majorHAnsi"/>
          <w:sz w:val="22"/>
          <w:szCs w:val="22"/>
          <w:lang w:val="fr-CH"/>
        </w:rPr>
        <w:t xml:space="preserve">Identifier les menaces actuelles et </w:t>
      </w:r>
      <w:r>
        <w:rPr>
          <w:rFonts w:asciiTheme="majorHAnsi" w:hAnsiTheme="majorHAnsi"/>
          <w:sz w:val="22"/>
          <w:szCs w:val="22"/>
          <w:lang w:val="fr-CH"/>
        </w:rPr>
        <w:t>nouvelles</w:t>
      </w:r>
      <w:r w:rsidRPr="00A11FCC">
        <w:rPr>
          <w:rFonts w:asciiTheme="majorHAnsi" w:hAnsiTheme="majorHAnsi"/>
          <w:sz w:val="22"/>
          <w:szCs w:val="22"/>
          <w:lang w:val="fr-CH"/>
        </w:rPr>
        <w:t xml:space="preserve">, </w:t>
      </w:r>
      <w:r>
        <w:rPr>
          <w:rFonts w:asciiTheme="majorHAnsi" w:hAnsiTheme="majorHAnsi"/>
          <w:sz w:val="22"/>
          <w:szCs w:val="22"/>
          <w:lang w:val="fr-CH"/>
        </w:rPr>
        <w:t xml:space="preserve">et notamment </w:t>
      </w:r>
      <w:r w:rsidRPr="00A11FCC">
        <w:rPr>
          <w:rFonts w:asciiTheme="majorHAnsi" w:hAnsiTheme="majorHAnsi"/>
          <w:sz w:val="22"/>
          <w:szCs w:val="22"/>
          <w:lang w:val="fr-CH"/>
        </w:rPr>
        <w:t xml:space="preserve">la menace générale </w:t>
      </w:r>
      <w:r>
        <w:rPr>
          <w:rFonts w:asciiTheme="majorHAnsi" w:hAnsiTheme="majorHAnsi"/>
          <w:sz w:val="22"/>
          <w:szCs w:val="22"/>
          <w:lang w:val="fr-CH"/>
        </w:rPr>
        <w:t>que représente le</w:t>
      </w:r>
      <w:r w:rsidRPr="00A11FCC">
        <w:rPr>
          <w:rFonts w:asciiTheme="majorHAnsi" w:hAnsiTheme="majorHAnsi"/>
          <w:sz w:val="22"/>
          <w:szCs w:val="22"/>
          <w:lang w:val="fr-CH"/>
        </w:rPr>
        <w:t xml:space="preserve"> changement climatique, et élaborer des outils pratiques et des orientations </w:t>
      </w:r>
      <w:r>
        <w:rPr>
          <w:rFonts w:asciiTheme="majorHAnsi" w:hAnsiTheme="majorHAnsi"/>
          <w:sz w:val="22"/>
          <w:szCs w:val="22"/>
          <w:lang w:val="fr-CH"/>
        </w:rPr>
        <w:t>à</w:t>
      </w:r>
      <w:r w:rsidRPr="00A11FCC">
        <w:rPr>
          <w:rFonts w:asciiTheme="majorHAnsi" w:hAnsiTheme="majorHAnsi"/>
          <w:sz w:val="22"/>
          <w:szCs w:val="22"/>
          <w:lang w:val="fr-CH"/>
        </w:rPr>
        <w:t xml:space="preserve"> partager entre les Parties po</w:t>
      </w:r>
      <w:r>
        <w:rPr>
          <w:rFonts w:asciiTheme="majorHAnsi" w:hAnsiTheme="majorHAnsi"/>
          <w:sz w:val="22"/>
          <w:szCs w:val="22"/>
          <w:lang w:val="fr-CH"/>
        </w:rPr>
        <w:t>ur la gestion à long terme des S</w:t>
      </w:r>
      <w:r w:rsidRPr="00A11FCC">
        <w:rPr>
          <w:rFonts w:asciiTheme="majorHAnsi" w:hAnsiTheme="majorHAnsi"/>
          <w:sz w:val="22"/>
          <w:szCs w:val="22"/>
          <w:lang w:val="fr-CH"/>
        </w:rPr>
        <w:t>ites Ramsar et autres zones humides</w:t>
      </w:r>
      <w:r w:rsidR="00C64326" w:rsidRPr="00BA22DE">
        <w:rPr>
          <w:rFonts w:asciiTheme="majorHAnsi" w:hAnsiTheme="majorHAnsi"/>
          <w:sz w:val="22"/>
          <w:szCs w:val="22"/>
          <w:lang w:val="fr-CH"/>
        </w:rPr>
        <w:t>.</w:t>
      </w:r>
    </w:p>
    <w:p w14:paraId="31141DCC" w14:textId="32E27CD7" w:rsidR="00C64326" w:rsidRPr="00BA22DE" w:rsidRDefault="00A11FCC" w:rsidP="00A11FCC">
      <w:pPr>
        <w:numPr>
          <w:ilvl w:val="0"/>
          <w:numId w:val="13"/>
        </w:numPr>
        <w:spacing w:after="120"/>
        <w:rPr>
          <w:rFonts w:asciiTheme="majorHAnsi" w:hAnsiTheme="majorHAnsi"/>
          <w:sz w:val="22"/>
          <w:szCs w:val="22"/>
          <w:lang w:val="fr-CH"/>
        </w:rPr>
      </w:pPr>
      <w:r w:rsidRPr="00A11FCC">
        <w:rPr>
          <w:rFonts w:asciiTheme="majorHAnsi" w:hAnsiTheme="majorHAnsi"/>
          <w:sz w:val="22"/>
          <w:szCs w:val="22"/>
          <w:lang w:val="fr-CH"/>
        </w:rPr>
        <w:t xml:space="preserve">Identifier des mécanismes </w:t>
      </w:r>
      <w:r w:rsidR="00D76389">
        <w:rPr>
          <w:rFonts w:asciiTheme="majorHAnsi" w:hAnsiTheme="majorHAnsi"/>
          <w:sz w:val="22"/>
          <w:szCs w:val="22"/>
          <w:lang w:val="fr-CH"/>
        </w:rPr>
        <w:t xml:space="preserve">favorisant </w:t>
      </w:r>
      <w:r w:rsidRPr="00A11FCC">
        <w:rPr>
          <w:rFonts w:asciiTheme="majorHAnsi" w:hAnsiTheme="majorHAnsi"/>
          <w:sz w:val="22"/>
          <w:szCs w:val="22"/>
          <w:lang w:val="fr-CH"/>
        </w:rPr>
        <w:t xml:space="preserve">une </w:t>
      </w:r>
      <w:r w:rsidR="00D76389">
        <w:rPr>
          <w:rFonts w:asciiTheme="majorHAnsi" w:hAnsiTheme="majorHAnsi"/>
          <w:sz w:val="22"/>
          <w:szCs w:val="22"/>
          <w:lang w:val="fr-CH"/>
        </w:rPr>
        <w:t xml:space="preserve">meilleure </w:t>
      </w:r>
      <w:r w:rsidRPr="00A11FCC">
        <w:rPr>
          <w:rFonts w:asciiTheme="majorHAnsi" w:hAnsiTheme="majorHAnsi"/>
          <w:sz w:val="22"/>
          <w:szCs w:val="22"/>
          <w:lang w:val="fr-CH"/>
        </w:rPr>
        <w:t xml:space="preserve">contribution sectorielle à la planification de Ramsar et de la CESP, </w:t>
      </w:r>
      <w:r w:rsidR="00D76389">
        <w:rPr>
          <w:rFonts w:asciiTheme="majorHAnsi" w:hAnsiTheme="majorHAnsi"/>
          <w:sz w:val="22"/>
          <w:szCs w:val="22"/>
          <w:lang w:val="fr-CH"/>
        </w:rPr>
        <w:t xml:space="preserve">notamment en reconnaissant </w:t>
      </w:r>
      <w:r w:rsidRPr="00A11FCC">
        <w:rPr>
          <w:rFonts w:asciiTheme="majorHAnsi" w:hAnsiTheme="majorHAnsi"/>
          <w:sz w:val="22"/>
          <w:szCs w:val="22"/>
          <w:lang w:val="fr-CH"/>
        </w:rPr>
        <w:t xml:space="preserve">la valeur, l'expérience et les ressources des OIP, des ONG, des Parties contractantes et des partenaires commerciaux </w:t>
      </w:r>
      <w:r w:rsidR="00D76389">
        <w:rPr>
          <w:rFonts w:asciiTheme="majorHAnsi" w:hAnsiTheme="majorHAnsi"/>
          <w:sz w:val="22"/>
          <w:szCs w:val="22"/>
          <w:lang w:val="fr-CH"/>
        </w:rPr>
        <w:t xml:space="preserve">concernant </w:t>
      </w:r>
      <w:r w:rsidRPr="00A11FCC">
        <w:rPr>
          <w:rFonts w:asciiTheme="majorHAnsi" w:hAnsiTheme="majorHAnsi"/>
          <w:sz w:val="22"/>
          <w:szCs w:val="22"/>
          <w:lang w:val="fr-CH"/>
        </w:rPr>
        <w:t>la planification, le financement, l'élaboration et l</w:t>
      </w:r>
      <w:r w:rsidR="00E733FC">
        <w:rPr>
          <w:rFonts w:asciiTheme="majorHAnsi" w:hAnsiTheme="majorHAnsi"/>
          <w:sz w:val="22"/>
          <w:szCs w:val="22"/>
          <w:lang w:val="fr-CH"/>
        </w:rPr>
        <w:t>a diffusion</w:t>
      </w:r>
      <w:r w:rsidRPr="00A11FCC">
        <w:rPr>
          <w:rFonts w:asciiTheme="majorHAnsi" w:hAnsiTheme="majorHAnsi"/>
          <w:sz w:val="22"/>
          <w:szCs w:val="22"/>
          <w:lang w:val="fr-CH"/>
        </w:rPr>
        <w:t xml:space="preserve"> des messages et </w:t>
      </w:r>
      <w:r w:rsidR="00D76389">
        <w:rPr>
          <w:rFonts w:asciiTheme="majorHAnsi" w:hAnsiTheme="majorHAnsi"/>
          <w:sz w:val="22"/>
          <w:szCs w:val="22"/>
          <w:lang w:val="fr-CH"/>
        </w:rPr>
        <w:t xml:space="preserve">des </w:t>
      </w:r>
      <w:r w:rsidRPr="00A11FCC">
        <w:rPr>
          <w:rFonts w:asciiTheme="majorHAnsi" w:hAnsiTheme="majorHAnsi"/>
          <w:sz w:val="22"/>
          <w:szCs w:val="22"/>
          <w:lang w:val="fr-CH"/>
        </w:rPr>
        <w:t>produits Ramsar de CESP</w:t>
      </w:r>
      <w:r w:rsidR="00C64326" w:rsidRPr="00BA22DE">
        <w:rPr>
          <w:rFonts w:asciiTheme="majorHAnsi" w:hAnsiTheme="majorHAnsi"/>
          <w:sz w:val="22"/>
          <w:szCs w:val="22"/>
          <w:lang w:val="fr-CH"/>
        </w:rPr>
        <w:t>.</w:t>
      </w:r>
    </w:p>
    <w:p w14:paraId="6BC7EF07" w14:textId="03733800" w:rsidR="00C64326" w:rsidRPr="00BA22DE" w:rsidRDefault="005D6D23" w:rsidP="004C3670">
      <w:pPr>
        <w:spacing w:after="120"/>
        <w:rPr>
          <w:rFonts w:asciiTheme="majorHAnsi" w:hAnsiTheme="majorHAnsi"/>
          <w:i/>
          <w:sz w:val="22"/>
          <w:szCs w:val="22"/>
          <w:lang w:val="fr-CH"/>
        </w:rPr>
      </w:pPr>
      <w:r>
        <w:rPr>
          <w:rFonts w:asciiTheme="majorHAnsi" w:hAnsiTheme="majorHAnsi"/>
          <w:i/>
          <w:sz w:val="22"/>
          <w:szCs w:val="22"/>
          <w:lang w:val="fr-CH"/>
        </w:rPr>
        <w:t>Objectif stratégique</w:t>
      </w:r>
      <w:r w:rsidR="00C64326" w:rsidRPr="00BA22DE">
        <w:rPr>
          <w:rFonts w:asciiTheme="majorHAnsi" w:hAnsiTheme="majorHAnsi"/>
          <w:i/>
          <w:sz w:val="22"/>
          <w:szCs w:val="22"/>
          <w:lang w:val="fr-CH"/>
        </w:rPr>
        <w:t xml:space="preserve"> 2 – </w:t>
      </w:r>
      <w:r w:rsidRPr="005D6D23">
        <w:rPr>
          <w:rFonts w:asciiTheme="majorHAnsi" w:hAnsiTheme="majorHAnsi"/>
          <w:i/>
          <w:sz w:val="22"/>
          <w:szCs w:val="22"/>
          <w:lang w:val="fr-CH"/>
        </w:rPr>
        <w:t>Conserver et gérer efficacement le réseau de Sites Ramsar</w:t>
      </w:r>
    </w:p>
    <w:p w14:paraId="7029CA2A" w14:textId="07B47742" w:rsidR="00C64326" w:rsidRPr="00BA22DE" w:rsidRDefault="005D6D23" w:rsidP="005D6D23">
      <w:pPr>
        <w:numPr>
          <w:ilvl w:val="0"/>
          <w:numId w:val="13"/>
        </w:numPr>
        <w:spacing w:after="120"/>
        <w:rPr>
          <w:rFonts w:asciiTheme="majorHAnsi" w:hAnsiTheme="majorHAnsi"/>
          <w:sz w:val="22"/>
          <w:szCs w:val="22"/>
          <w:lang w:val="fr-CH"/>
        </w:rPr>
      </w:pPr>
      <w:r w:rsidRPr="005D6D23">
        <w:rPr>
          <w:rFonts w:asciiTheme="majorHAnsi" w:hAnsiTheme="majorHAnsi"/>
          <w:sz w:val="22"/>
          <w:szCs w:val="22"/>
          <w:lang w:val="fr-CH"/>
        </w:rPr>
        <w:t xml:space="preserve">Poursuivre la communication avec les </w:t>
      </w:r>
      <w:r>
        <w:rPr>
          <w:rFonts w:asciiTheme="majorHAnsi" w:hAnsiTheme="majorHAnsi"/>
          <w:sz w:val="22"/>
          <w:szCs w:val="22"/>
          <w:lang w:val="fr-CH"/>
        </w:rPr>
        <w:t xml:space="preserve">Correspondants nationaux </w:t>
      </w:r>
      <w:r w:rsidRPr="005D6D23">
        <w:rPr>
          <w:rFonts w:asciiTheme="majorHAnsi" w:hAnsiTheme="majorHAnsi"/>
          <w:sz w:val="22"/>
          <w:szCs w:val="22"/>
          <w:lang w:val="fr-CH"/>
        </w:rPr>
        <w:t xml:space="preserve">des Parties contractantes et les </w:t>
      </w:r>
      <w:r>
        <w:rPr>
          <w:rFonts w:asciiTheme="majorHAnsi" w:hAnsiTheme="majorHAnsi"/>
          <w:sz w:val="22"/>
          <w:szCs w:val="22"/>
          <w:lang w:val="fr-CH"/>
        </w:rPr>
        <w:t xml:space="preserve">Correspondants nationaux  pour </w:t>
      </w:r>
      <w:r w:rsidRPr="005D6D23">
        <w:rPr>
          <w:rFonts w:asciiTheme="majorHAnsi" w:hAnsiTheme="majorHAnsi"/>
          <w:sz w:val="22"/>
          <w:szCs w:val="22"/>
          <w:lang w:val="fr-CH"/>
        </w:rPr>
        <w:t xml:space="preserve">la CESP (gouvernements et ONG) et leur apporter un soutien pour </w:t>
      </w:r>
      <w:r w:rsidR="00F350C0">
        <w:rPr>
          <w:rFonts w:asciiTheme="majorHAnsi" w:hAnsiTheme="majorHAnsi"/>
          <w:sz w:val="22"/>
          <w:szCs w:val="22"/>
          <w:lang w:val="fr-CH"/>
        </w:rPr>
        <w:t>promouvoir la conservation des S</w:t>
      </w:r>
      <w:r w:rsidRPr="005D6D23">
        <w:rPr>
          <w:rFonts w:asciiTheme="majorHAnsi" w:hAnsiTheme="majorHAnsi"/>
          <w:sz w:val="22"/>
          <w:szCs w:val="22"/>
          <w:lang w:val="fr-CH"/>
        </w:rPr>
        <w:t>ites Ramsar et l'utilisation rationnelle des zones humides, ainsi que l'utilisation efficace d'autres réseaux et structures (réseau Wetland Link International, Initiatives régionales Ramsar)</w:t>
      </w:r>
      <w:r w:rsidR="00F350C0">
        <w:rPr>
          <w:rFonts w:asciiTheme="majorHAnsi" w:hAnsiTheme="majorHAnsi"/>
          <w:sz w:val="22"/>
          <w:szCs w:val="22"/>
          <w:lang w:val="fr-CH"/>
        </w:rPr>
        <w:t>,</w:t>
      </w:r>
      <w:r w:rsidRPr="005D6D23">
        <w:rPr>
          <w:rFonts w:asciiTheme="majorHAnsi" w:hAnsiTheme="majorHAnsi"/>
          <w:sz w:val="22"/>
          <w:szCs w:val="22"/>
          <w:lang w:val="fr-CH"/>
        </w:rPr>
        <w:t xml:space="preserve"> pour améliorer la sensibilisation, la participation et le renforcement des capacités. L'attention portée au renforcement des capacités au niveau national </w:t>
      </w:r>
      <w:r w:rsidR="00F350C0">
        <w:rPr>
          <w:rFonts w:asciiTheme="majorHAnsi" w:hAnsiTheme="majorHAnsi"/>
          <w:sz w:val="22"/>
          <w:szCs w:val="22"/>
          <w:lang w:val="fr-CH"/>
        </w:rPr>
        <w:t xml:space="preserve">favorisera </w:t>
      </w:r>
      <w:r w:rsidRPr="005D6D23">
        <w:rPr>
          <w:rFonts w:asciiTheme="majorHAnsi" w:hAnsiTheme="majorHAnsi"/>
          <w:sz w:val="22"/>
          <w:szCs w:val="22"/>
          <w:lang w:val="fr-CH"/>
        </w:rPr>
        <w:t>une planification et une mise en œuvre plus efficaces par les Parties contractantes.</w:t>
      </w:r>
    </w:p>
    <w:p w14:paraId="0E3D9962" w14:textId="1F5A6E0E" w:rsidR="00C64326" w:rsidRPr="00BA22DE" w:rsidRDefault="00F350C0" w:rsidP="00F350C0">
      <w:pPr>
        <w:numPr>
          <w:ilvl w:val="0"/>
          <w:numId w:val="13"/>
        </w:numPr>
        <w:spacing w:after="120"/>
        <w:rPr>
          <w:rFonts w:asciiTheme="majorHAnsi" w:hAnsiTheme="majorHAnsi"/>
          <w:sz w:val="22"/>
          <w:szCs w:val="22"/>
          <w:lang w:val="fr-CH"/>
        </w:rPr>
      </w:pPr>
      <w:r w:rsidRPr="00F350C0">
        <w:rPr>
          <w:rFonts w:asciiTheme="majorHAnsi" w:hAnsiTheme="majorHAnsi"/>
          <w:sz w:val="22"/>
          <w:szCs w:val="22"/>
          <w:lang w:val="fr-CH"/>
        </w:rPr>
        <w:t xml:space="preserve">Entreprendre une enquête auprès des </w:t>
      </w:r>
      <w:r w:rsidR="00C834F1">
        <w:rPr>
          <w:rFonts w:asciiTheme="majorHAnsi" w:hAnsiTheme="majorHAnsi"/>
          <w:sz w:val="22"/>
          <w:szCs w:val="22"/>
          <w:lang w:val="fr-CH"/>
        </w:rPr>
        <w:t>Correspondants nationaux</w:t>
      </w:r>
      <w:r w:rsidRPr="00F350C0">
        <w:rPr>
          <w:rFonts w:asciiTheme="majorHAnsi" w:hAnsiTheme="majorHAnsi"/>
          <w:sz w:val="22"/>
          <w:szCs w:val="22"/>
          <w:lang w:val="fr-CH"/>
        </w:rPr>
        <w:t xml:space="preserve"> afin d'identifier des outils et des approches utiles qui </w:t>
      </w:r>
      <w:r w:rsidR="00E733FC">
        <w:rPr>
          <w:rFonts w:asciiTheme="majorHAnsi" w:hAnsiTheme="majorHAnsi"/>
          <w:sz w:val="22"/>
          <w:szCs w:val="22"/>
          <w:lang w:val="fr-CH"/>
        </w:rPr>
        <w:t xml:space="preserve">les </w:t>
      </w:r>
      <w:r w:rsidRPr="00F350C0">
        <w:rPr>
          <w:rFonts w:asciiTheme="majorHAnsi" w:hAnsiTheme="majorHAnsi"/>
          <w:sz w:val="22"/>
          <w:szCs w:val="22"/>
          <w:lang w:val="fr-CH"/>
        </w:rPr>
        <w:t>aideraient d</w:t>
      </w:r>
      <w:r w:rsidR="008F2B85">
        <w:rPr>
          <w:rFonts w:asciiTheme="majorHAnsi" w:hAnsiTheme="majorHAnsi"/>
          <w:sz w:val="22"/>
          <w:szCs w:val="22"/>
          <w:lang w:val="fr-CH"/>
        </w:rPr>
        <w:t>e</w:t>
      </w:r>
      <w:r w:rsidRPr="00F350C0">
        <w:rPr>
          <w:rFonts w:asciiTheme="majorHAnsi" w:hAnsiTheme="majorHAnsi"/>
          <w:sz w:val="22"/>
          <w:szCs w:val="22"/>
          <w:lang w:val="fr-CH"/>
        </w:rPr>
        <w:t xml:space="preserve"> manière pragmatique à mettre en œuvre les résultats </w:t>
      </w:r>
      <w:r w:rsidR="008F2B85">
        <w:rPr>
          <w:rFonts w:asciiTheme="majorHAnsi" w:hAnsiTheme="majorHAnsi"/>
          <w:sz w:val="22"/>
          <w:szCs w:val="22"/>
          <w:lang w:val="fr-CH"/>
        </w:rPr>
        <w:t xml:space="preserve">en faveur </w:t>
      </w:r>
      <w:r w:rsidRPr="00F350C0">
        <w:rPr>
          <w:rFonts w:asciiTheme="majorHAnsi" w:hAnsiTheme="majorHAnsi"/>
          <w:sz w:val="22"/>
          <w:szCs w:val="22"/>
          <w:lang w:val="fr-CH"/>
        </w:rPr>
        <w:t xml:space="preserve">de la Convention </w:t>
      </w:r>
      <w:r w:rsidR="00E733FC">
        <w:rPr>
          <w:rFonts w:asciiTheme="majorHAnsi" w:hAnsiTheme="majorHAnsi"/>
          <w:sz w:val="22"/>
          <w:szCs w:val="22"/>
          <w:lang w:val="fr-CH"/>
        </w:rPr>
        <w:t>grâce à</w:t>
      </w:r>
      <w:r w:rsidRPr="00F350C0">
        <w:rPr>
          <w:rFonts w:asciiTheme="majorHAnsi" w:hAnsiTheme="majorHAnsi"/>
          <w:sz w:val="22"/>
          <w:szCs w:val="22"/>
          <w:lang w:val="fr-CH"/>
        </w:rPr>
        <w:t xml:space="preserve"> un meille</w:t>
      </w:r>
      <w:r>
        <w:rPr>
          <w:rFonts w:asciiTheme="majorHAnsi" w:hAnsiTheme="majorHAnsi"/>
          <w:sz w:val="22"/>
          <w:szCs w:val="22"/>
          <w:lang w:val="fr-CH"/>
        </w:rPr>
        <w:t>ur engagement des populations</w:t>
      </w:r>
      <w:r w:rsidR="00C64326" w:rsidRPr="00BA22DE">
        <w:rPr>
          <w:rFonts w:asciiTheme="majorHAnsi" w:hAnsiTheme="majorHAnsi"/>
          <w:sz w:val="22"/>
          <w:szCs w:val="22"/>
          <w:lang w:val="fr-CH"/>
        </w:rPr>
        <w:t>.</w:t>
      </w:r>
    </w:p>
    <w:p w14:paraId="6C31FC45" w14:textId="60767280" w:rsidR="00C64326" w:rsidRPr="00BA22DE" w:rsidRDefault="0072237E" w:rsidP="004C3670">
      <w:pPr>
        <w:spacing w:after="120"/>
        <w:rPr>
          <w:rFonts w:asciiTheme="majorHAnsi" w:hAnsiTheme="majorHAnsi"/>
          <w:i/>
          <w:sz w:val="22"/>
          <w:szCs w:val="22"/>
          <w:lang w:val="fr-CH"/>
        </w:rPr>
      </w:pPr>
      <w:r>
        <w:rPr>
          <w:rFonts w:asciiTheme="majorHAnsi" w:hAnsiTheme="majorHAnsi"/>
          <w:i/>
          <w:sz w:val="22"/>
          <w:szCs w:val="22"/>
          <w:lang w:val="fr-CH"/>
        </w:rPr>
        <w:t>Objectif stratégique</w:t>
      </w:r>
      <w:r w:rsidR="00C64326" w:rsidRPr="00BA22DE">
        <w:rPr>
          <w:rFonts w:asciiTheme="majorHAnsi" w:hAnsiTheme="majorHAnsi"/>
          <w:i/>
          <w:sz w:val="22"/>
          <w:szCs w:val="22"/>
          <w:lang w:val="fr-CH"/>
        </w:rPr>
        <w:t xml:space="preserve"> 3 - </w:t>
      </w:r>
      <w:r w:rsidRPr="0072237E">
        <w:rPr>
          <w:rFonts w:asciiTheme="majorHAnsi" w:hAnsiTheme="majorHAnsi"/>
          <w:i/>
          <w:sz w:val="22"/>
          <w:szCs w:val="22"/>
          <w:lang w:val="fr-CH"/>
        </w:rPr>
        <w:t xml:space="preserve">Utiliser toutes les zones humides de façon rationnelle </w:t>
      </w:r>
    </w:p>
    <w:p w14:paraId="54A7E1B2" w14:textId="2D95E8F5" w:rsidR="00C64326" w:rsidRPr="00BA22DE" w:rsidRDefault="0072237E" w:rsidP="0072237E">
      <w:pPr>
        <w:numPr>
          <w:ilvl w:val="0"/>
          <w:numId w:val="13"/>
        </w:numPr>
        <w:spacing w:after="120"/>
        <w:rPr>
          <w:rFonts w:asciiTheme="majorHAnsi" w:hAnsiTheme="majorHAnsi"/>
          <w:sz w:val="22"/>
          <w:szCs w:val="22"/>
          <w:lang w:val="fr-CH"/>
        </w:rPr>
      </w:pPr>
      <w:r w:rsidRPr="0072237E">
        <w:rPr>
          <w:rFonts w:asciiTheme="majorHAnsi" w:hAnsiTheme="majorHAnsi"/>
          <w:sz w:val="22"/>
          <w:szCs w:val="22"/>
          <w:lang w:val="fr-CH"/>
        </w:rPr>
        <w:t>Donner la priorité à l'engagement des décideurs sectoriels à intégrer les valeurs des zones humides dans leur planification et leur prise de décision.  Il s'agit notamment</w:t>
      </w:r>
      <w:r>
        <w:rPr>
          <w:rFonts w:asciiTheme="majorHAnsi" w:hAnsiTheme="majorHAnsi"/>
          <w:sz w:val="22"/>
          <w:szCs w:val="22"/>
          <w:lang w:val="fr-CH"/>
        </w:rPr>
        <w:t> </w:t>
      </w:r>
      <w:r w:rsidR="00A37BE8">
        <w:rPr>
          <w:rFonts w:asciiTheme="majorHAnsi" w:hAnsiTheme="majorHAnsi"/>
          <w:sz w:val="22"/>
          <w:szCs w:val="22"/>
          <w:lang w:val="fr-CH"/>
        </w:rPr>
        <w:t xml:space="preserve">de </w:t>
      </w:r>
      <w:r>
        <w:rPr>
          <w:rFonts w:asciiTheme="majorHAnsi" w:hAnsiTheme="majorHAnsi"/>
          <w:sz w:val="22"/>
          <w:szCs w:val="22"/>
          <w:lang w:val="fr-CH"/>
        </w:rPr>
        <w:t>:</w:t>
      </w:r>
    </w:p>
    <w:p w14:paraId="478A429B" w14:textId="2BCBB82C" w:rsidR="00C64326" w:rsidRPr="00BA22DE" w:rsidRDefault="00A37BE8" w:rsidP="00A37BE8">
      <w:pPr>
        <w:numPr>
          <w:ilvl w:val="1"/>
          <w:numId w:val="13"/>
        </w:numPr>
        <w:spacing w:after="120"/>
        <w:contextualSpacing/>
        <w:rPr>
          <w:rFonts w:asciiTheme="majorHAnsi" w:hAnsiTheme="majorHAnsi"/>
          <w:sz w:val="22"/>
          <w:szCs w:val="22"/>
          <w:lang w:val="fr-CH"/>
        </w:rPr>
      </w:pPr>
      <w:r>
        <w:rPr>
          <w:rFonts w:asciiTheme="majorHAnsi" w:hAnsiTheme="majorHAnsi"/>
          <w:sz w:val="22"/>
          <w:szCs w:val="22"/>
          <w:lang w:val="fr-CH"/>
        </w:rPr>
        <w:lastRenderedPageBreak/>
        <w:t xml:space="preserve">Privilégier </w:t>
      </w:r>
      <w:r w:rsidRPr="00A37BE8">
        <w:rPr>
          <w:rFonts w:asciiTheme="majorHAnsi" w:hAnsiTheme="majorHAnsi"/>
          <w:sz w:val="22"/>
          <w:szCs w:val="22"/>
          <w:lang w:val="fr-CH"/>
        </w:rPr>
        <w:t xml:space="preserve">les messages et les outils destinés aux Parties contractantes qui soutiennent le concept d'utilisation rationnelle, afin d'aider les décideurs à faire participer les communautés et à négocier des compromis </w:t>
      </w:r>
      <w:r w:rsidR="009430C9">
        <w:rPr>
          <w:rFonts w:asciiTheme="majorHAnsi" w:hAnsiTheme="majorHAnsi"/>
          <w:sz w:val="22"/>
          <w:szCs w:val="22"/>
          <w:lang w:val="fr-CH"/>
        </w:rPr>
        <w:t xml:space="preserve">avec </w:t>
      </w:r>
      <w:r w:rsidRPr="00A37BE8">
        <w:rPr>
          <w:rFonts w:asciiTheme="majorHAnsi" w:hAnsiTheme="majorHAnsi"/>
          <w:sz w:val="22"/>
          <w:szCs w:val="22"/>
          <w:lang w:val="fr-CH"/>
        </w:rPr>
        <w:t>les utilisateurs des zones humides</w:t>
      </w:r>
      <w:r w:rsidR="009430C9">
        <w:rPr>
          <w:rFonts w:asciiTheme="majorHAnsi" w:hAnsiTheme="majorHAnsi"/>
          <w:sz w:val="22"/>
          <w:szCs w:val="22"/>
          <w:lang w:val="fr-CH"/>
        </w:rPr>
        <w:t>.</w:t>
      </w:r>
      <w:r w:rsidR="00C64326" w:rsidRPr="00BA22DE">
        <w:rPr>
          <w:rFonts w:asciiTheme="majorHAnsi" w:hAnsiTheme="majorHAnsi"/>
          <w:sz w:val="22"/>
          <w:szCs w:val="22"/>
          <w:lang w:val="fr-CH"/>
        </w:rPr>
        <w:t xml:space="preserve"> </w:t>
      </w:r>
    </w:p>
    <w:p w14:paraId="1E29FF17" w14:textId="2F1C2545" w:rsidR="00C64326" w:rsidRPr="00BA22DE" w:rsidRDefault="00C505B0" w:rsidP="00C505B0">
      <w:pPr>
        <w:numPr>
          <w:ilvl w:val="1"/>
          <w:numId w:val="13"/>
        </w:numPr>
        <w:spacing w:after="120"/>
        <w:contextualSpacing/>
        <w:rPr>
          <w:rFonts w:asciiTheme="majorHAnsi" w:hAnsiTheme="majorHAnsi"/>
          <w:sz w:val="22"/>
          <w:szCs w:val="22"/>
          <w:lang w:val="fr-CH"/>
        </w:rPr>
      </w:pPr>
      <w:r w:rsidRPr="00C505B0">
        <w:rPr>
          <w:rFonts w:asciiTheme="majorHAnsi" w:hAnsiTheme="majorHAnsi"/>
          <w:sz w:val="22"/>
          <w:szCs w:val="22"/>
          <w:lang w:val="fr-CH"/>
        </w:rPr>
        <w:t xml:space="preserve">Souligner spécifiquement le rôle des zones humides en tant qu'infrastructures vertes et les valeurs des zones humides pour l'approvisionnement en eau, la qualité de l'eau, le transport, la production alimentaire et les moyens </w:t>
      </w:r>
      <w:r>
        <w:rPr>
          <w:rFonts w:asciiTheme="majorHAnsi" w:hAnsiTheme="majorHAnsi"/>
          <w:sz w:val="22"/>
          <w:szCs w:val="22"/>
          <w:lang w:val="fr-CH"/>
        </w:rPr>
        <w:t>d'existence, la régulation des crues</w:t>
      </w:r>
      <w:r w:rsidRPr="00C505B0">
        <w:rPr>
          <w:rFonts w:asciiTheme="majorHAnsi" w:hAnsiTheme="majorHAnsi"/>
          <w:sz w:val="22"/>
          <w:szCs w:val="22"/>
          <w:lang w:val="fr-CH"/>
        </w:rPr>
        <w:t xml:space="preserve">, la protection côtière, la régulation </w:t>
      </w:r>
      <w:r>
        <w:rPr>
          <w:rFonts w:asciiTheme="majorHAnsi" w:hAnsiTheme="majorHAnsi"/>
          <w:sz w:val="22"/>
          <w:szCs w:val="22"/>
          <w:lang w:val="fr-CH"/>
        </w:rPr>
        <w:t xml:space="preserve">du </w:t>
      </w:r>
      <w:r w:rsidRPr="00C505B0">
        <w:rPr>
          <w:rFonts w:asciiTheme="majorHAnsi" w:hAnsiTheme="majorHAnsi"/>
          <w:sz w:val="22"/>
          <w:szCs w:val="22"/>
          <w:lang w:val="fr-CH"/>
        </w:rPr>
        <w:t>climat, la lutte contre la pollution, la pêche et la chasse, les loisirs et le tourisme</w:t>
      </w:r>
      <w:r w:rsidR="00C64326" w:rsidRPr="00BA22DE">
        <w:rPr>
          <w:rFonts w:asciiTheme="majorHAnsi" w:hAnsiTheme="majorHAnsi"/>
          <w:sz w:val="22"/>
          <w:szCs w:val="22"/>
          <w:lang w:val="fr-CH"/>
        </w:rPr>
        <w:t xml:space="preserve">. </w:t>
      </w:r>
    </w:p>
    <w:p w14:paraId="4C2BD378" w14:textId="6832E7C1" w:rsidR="00C64326" w:rsidRPr="00BA22DE" w:rsidRDefault="00C64326" w:rsidP="004C3670">
      <w:pPr>
        <w:spacing w:after="120"/>
        <w:rPr>
          <w:rFonts w:asciiTheme="majorHAnsi" w:hAnsiTheme="majorHAnsi"/>
          <w:i/>
          <w:sz w:val="22"/>
          <w:szCs w:val="22"/>
          <w:lang w:val="fr-CH"/>
        </w:rPr>
      </w:pPr>
      <w:r w:rsidRPr="00BA22DE">
        <w:rPr>
          <w:rFonts w:asciiTheme="majorHAnsi" w:hAnsiTheme="majorHAnsi"/>
          <w:sz w:val="22"/>
          <w:szCs w:val="22"/>
          <w:lang w:val="fr-CH"/>
        </w:rPr>
        <w:br/>
      </w:r>
      <w:r w:rsidR="00DE05FF">
        <w:rPr>
          <w:rFonts w:asciiTheme="majorHAnsi" w:hAnsiTheme="majorHAnsi"/>
          <w:i/>
          <w:sz w:val="22"/>
          <w:szCs w:val="22"/>
          <w:lang w:val="fr-CH"/>
        </w:rPr>
        <w:t xml:space="preserve">Objectif stratégique </w:t>
      </w:r>
      <w:r w:rsidRPr="00BA22DE">
        <w:rPr>
          <w:rFonts w:asciiTheme="majorHAnsi" w:hAnsiTheme="majorHAnsi"/>
          <w:i/>
          <w:sz w:val="22"/>
          <w:szCs w:val="22"/>
          <w:lang w:val="fr-CH"/>
        </w:rPr>
        <w:t xml:space="preserve">4 – </w:t>
      </w:r>
      <w:r w:rsidR="00A37BE8" w:rsidRPr="00A37BE8">
        <w:rPr>
          <w:rFonts w:asciiTheme="majorHAnsi" w:hAnsiTheme="majorHAnsi"/>
          <w:i/>
          <w:sz w:val="22"/>
          <w:szCs w:val="22"/>
          <w:lang w:val="fr-CH"/>
        </w:rPr>
        <w:t xml:space="preserve">Améliorer la mise en œuvre </w:t>
      </w:r>
      <w:r w:rsidRPr="00BA22DE">
        <w:rPr>
          <w:rFonts w:asciiTheme="majorHAnsi" w:hAnsiTheme="majorHAnsi"/>
          <w:i/>
          <w:sz w:val="22"/>
          <w:szCs w:val="22"/>
          <w:lang w:val="fr-CH"/>
        </w:rPr>
        <w:t>(</w:t>
      </w:r>
      <w:r w:rsidR="00A37BE8" w:rsidRPr="00A37BE8">
        <w:rPr>
          <w:rFonts w:asciiTheme="majorHAnsi" w:hAnsiTheme="majorHAnsi"/>
          <w:i/>
          <w:sz w:val="22"/>
          <w:szCs w:val="22"/>
          <w:lang w:val="fr-CH"/>
        </w:rPr>
        <w:t>orientations scientifique</w:t>
      </w:r>
      <w:r w:rsidRPr="00BA22DE">
        <w:rPr>
          <w:rFonts w:asciiTheme="majorHAnsi" w:hAnsiTheme="majorHAnsi"/>
          <w:i/>
          <w:sz w:val="22"/>
          <w:szCs w:val="22"/>
          <w:lang w:val="fr-CH"/>
        </w:rPr>
        <w:t>, mobilisation</w:t>
      </w:r>
      <w:r w:rsidR="00A37BE8">
        <w:rPr>
          <w:rFonts w:asciiTheme="majorHAnsi" w:hAnsiTheme="majorHAnsi"/>
          <w:i/>
          <w:sz w:val="22"/>
          <w:szCs w:val="22"/>
          <w:lang w:val="fr-CH"/>
        </w:rPr>
        <w:t xml:space="preserve"> des ressources</w:t>
      </w:r>
      <w:r w:rsidRPr="00BA22DE">
        <w:rPr>
          <w:rFonts w:asciiTheme="majorHAnsi" w:hAnsiTheme="majorHAnsi"/>
          <w:i/>
          <w:sz w:val="22"/>
          <w:szCs w:val="22"/>
          <w:lang w:val="fr-CH"/>
        </w:rPr>
        <w:t xml:space="preserve">, </w:t>
      </w:r>
      <w:r w:rsidR="00A37BE8">
        <w:rPr>
          <w:rFonts w:asciiTheme="majorHAnsi" w:hAnsiTheme="majorHAnsi"/>
          <w:i/>
          <w:sz w:val="22"/>
          <w:szCs w:val="22"/>
          <w:lang w:val="fr-CH"/>
        </w:rPr>
        <w:t xml:space="preserve">sensibilisation du </w:t>
      </w:r>
      <w:r w:rsidRPr="00BA22DE">
        <w:rPr>
          <w:rFonts w:asciiTheme="majorHAnsi" w:hAnsiTheme="majorHAnsi"/>
          <w:i/>
          <w:sz w:val="22"/>
          <w:szCs w:val="22"/>
          <w:lang w:val="fr-CH"/>
        </w:rPr>
        <w:t>public</w:t>
      </w:r>
      <w:r w:rsidR="00A37BE8">
        <w:rPr>
          <w:rFonts w:asciiTheme="majorHAnsi" w:hAnsiTheme="majorHAnsi"/>
          <w:i/>
          <w:sz w:val="22"/>
          <w:szCs w:val="22"/>
          <w:lang w:val="fr-CH"/>
        </w:rPr>
        <w:t>, visibilité</w:t>
      </w:r>
      <w:r w:rsidRPr="00BA22DE">
        <w:rPr>
          <w:rFonts w:asciiTheme="majorHAnsi" w:hAnsiTheme="majorHAnsi"/>
          <w:i/>
          <w:sz w:val="22"/>
          <w:szCs w:val="22"/>
          <w:lang w:val="fr-CH"/>
        </w:rPr>
        <w:t xml:space="preserve"> </w:t>
      </w:r>
      <w:r w:rsidR="00A37BE8">
        <w:rPr>
          <w:rFonts w:asciiTheme="majorHAnsi" w:hAnsiTheme="majorHAnsi"/>
          <w:i/>
          <w:sz w:val="22"/>
          <w:szCs w:val="22"/>
          <w:lang w:val="fr-CH"/>
        </w:rPr>
        <w:t xml:space="preserve">et renforcement des </w:t>
      </w:r>
      <w:r w:rsidRPr="00BA22DE">
        <w:rPr>
          <w:rFonts w:asciiTheme="majorHAnsi" w:hAnsiTheme="majorHAnsi"/>
          <w:i/>
          <w:sz w:val="22"/>
          <w:szCs w:val="22"/>
          <w:lang w:val="fr-CH"/>
        </w:rPr>
        <w:t>capacit</w:t>
      </w:r>
      <w:r w:rsidR="00A37BE8">
        <w:rPr>
          <w:rFonts w:asciiTheme="majorHAnsi" w:hAnsiTheme="majorHAnsi"/>
          <w:i/>
          <w:sz w:val="22"/>
          <w:szCs w:val="22"/>
          <w:lang w:val="fr-CH"/>
        </w:rPr>
        <w:t>és</w:t>
      </w:r>
      <w:r w:rsidRPr="00BA22DE">
        <w:rPr>
          <w:rFonts w:asciiTheme="majorHAnsi" w:hAnsiTheme="majorHAnsi"/>
          <w:i/>
          <w:sz w:val="22"/>
          <w:szCs w:val="22"/>
          <w:lang w:val="fr-CH"/>
        </w:rPr>
        <w:t>)</w:t>
      </w:r>
    </w:p>
    <w:p w14:paraId="485C92B0" w14:textId="70783A3F" w:rsidR="00C64326" w:rsidRPr="00BA22DE" w:rsidRDefault="00C505B0" w:rsidP="00C505B0">
      <w:pPr>
        <w:numPr>
          <w:ilvl w:val="0"/>
          <w:numId w:val="13"/>
        </w:numPr>
        <w:spacing w:after="120"/>
        <w:rPr>
          <w:rFonts w:asciiTheme="majorHAnsi" w:hAnsiTheme="majorHAnsi"/>
          <w:sz w:val="22"/>
          <w:szCs w:val="22"/>
          <w:lang w:val="fr-CH"/>
        </w:rPr>
      </w:pPr>
      <w:r w:rsidRPr="00C505B0">
        <w:rPr>
          <w:rFonts w:asciiTheme="majorHAnsi" w:hAnsiTheme="majorHAnsi"/>
          <w:sz w:val="22"/>
          <w:szCs w:val="22"/>
          <w:lang w:val="fr-CH"/>
        </w:rPr>
        <w:t>Meilleur a</w:t>
      </w:r>
      <w:r>
        <w:rPr>
          <w:rFonts w:asciiTheme="majorHAnsi" w:hAnsiTheme="majorHAnsi"/>
          <w:sz w:val="22"/>
          <w:szCs w:val="22"/>
          <w:lang w:val="fr-CH"/>
        </w:rPr>
        <w:t xml:space="preserve">lignement des produits du GEST en soutien aux </w:t>
      </w:r>
      <w:r w:rsidRPr="00C505B0">
        <w:rPr>
          <w:rFonts w:asciiTheme="majorHAnsi" w:hAnsiTheme="majorHAnsi"/>
          <w:sz w:val="22"/>
          <w:szCs w:val="22"/>
          <w:lang w:val="fr-CH"/>
        </w:rPr>
        <w:t xml:space="preserve">objectifs de la CESP et à l'usage des Parties contractantes dans le cadre de la CESP, afin que les résultats des travaux du GEST puissent être efficacement communiqués aux Parties contractantes, aux autres </w:t>
      </w:r>
      <w:r w:rsidR="008A3980">
        <w:rPr>
          <w:rFonts w:asciiTheme="majorHAnsi" w:hAnsiTheme="majorHAnsi"/>
          <w:sz w:val="22"/>
          <w:szCs w:val="22"/>
          <w:lang w:val="fr-CH"/>
        </w:rPr>
        <w:t>acteurs</w:t>
      </w:r>
      <w:r w:rsidRPr="00C505B0">
        <w:rPr>
          <w:rFonts w:asciiTheme="majorHAnsi" w:hAnsiTheme="majorHAnsi"/>
          <w:sz w:val="22"/>
          <w:szCs w:val="22"/>
          <w:lang w:val="fr-CH"/>
        </w:rPr>
        <w:t xml:space="preserve"> des zones humides et à la communauté en général.</w:t>
      </w:r>
    </w:p>
    <w:p w14:paraId="22743997" w14:textId="14074927" w:rsidR="00C64326" w:rsidRPr="00662C56" w:rsidRDefault="00C505B0" w:rsidP="00662C56">
      <w:pPr>
        <w:numPr>
          <w:ilvl w:val="0"/>
          <w:numId w:val="13"/>
        </w:numPr>
        <w:spacing w:after="120"/>
        <w:rPr>
          <w:rFonts w:asciiTheme="majorHAnsi" w:hAnsiTheme="majorHAnsi"/>
          <w:sz w:val="22"/>
          <w:szCs w:val="22"/>
          <w:lang w:val="fr-CH"/>
        </w:rPr>
      </w:pPr>
      <w:r w:rsidRPr="00C505B0">
        <w:rPr>
          <w:rFonts w:asciiTheme="majorHAnsi" w:hAnsiTheme="majorHAnsi"/>
          <w:sz w:val="22"/>
          <w:szCs w:val="22"/>
          <w:lang w:val="fr-CH"/>
        </w:rPr>
        <w:t xml:space="preserve">Veiller à ce que les membres du GEST disposent d'une expertise adéquate en matière de communication et à ce qu'ils entretiennent des relations étroites avec le personnel du Secrétariat chargé des communications.  La Résolution XII.5 Annexe 1 demande que les travaux du GEST soient mieux alignés sur ceux </w:t>
      </w:r>
      <w:r w:rsidR="00AB3984">
        <w:rPr>
          <w:rFonts w:asciiTheme="majorHAnsi" w:hAnsiTheme="majorHAnsi"/>
          <w:sz w:val="22"/>
          <w:szCs w:val="22"/>
          <w:lang w:val="fr-CH"/>
        </w:rPr>
        <w:t>entrepris en matière de</w:t>
      </w:r>
      <w:r w:rsidRPr="00C505B0">
        <w:rPr>
          <w:rFonts w:asciiTheme="majorHAnsi" w:hAnsiTheme="majorHAnsi"/>
          <w:sz w:val="22"/>
          <w:szCs w:val="22"/>
          <w:lang w:val="fr-CH"/>
        </w:rPr>
        <w:t xml:space="preserve"> CESP, notamment que le Chef de</w:t>
      </w:r>
      <w:r w:rsidR="00662C56">
        <w:rPr>
          <w:rFonts w:asciiTheme="majorHAnsi" w:hAnsiTheme="majorHAnsi"/>
          <w:sz w:val="22"/>
          <w:szCs w:val="22"/>
          <w:lang w:val="fr-CH"/>
        </w:rPr>
        <w:t xml:space="preserve"> la</w:t>
      </w:r>
      <w:r w:rsidR="00442979">
        <w:rPr>
          <w:rFonts w:asciiTheme="majorHAnsi" w:hAnsiTheme="majorHAnsi"/>
          <w:sz w:val="22"/>
          <w:szCs w:val="22"/>
          <w:lang w:val="fr-CH"/>
        </w:rPr>
        <w:t xml:space="preserve"> communication</w:t>
      </w:r>
      <w:r w:rsidRPr="00C505B0">
        <w:rPr>
          <w:rFonts w:asciiTheme="majorHAnsi" w:hAnsiTheme="majorHAnsi"/>
          <w:sz w:val="22"/>
          <w:szCs w:val="22"/>
          <w:lang w:val="fr-CH"/>
        </w:rPr>
        <w:t xml:space="preserve"> du Secrétariat </w:t>
      </w:r>
      <w:r w:rsidR="00662C56" w:rsidRPr="00662C56">
        <w:rPr>
          <w:rFonts w:asciiTheme="majorHAnsi" w:hAnsiTheme="majorHAnsi"/>
          <w:sz w:val="22"/>
          <w:szCs w:val="22"/>
          <w:lang w:val="fr-CH"/>
        </w:rPr>
        <w:t>rempli</w:t>
      </w:r>
      <w:r w:rsidR="00662C56">
        <w:rPr>
          <w:rFonts w:asciiTheme="majorHAnsi" w:hAnsiTheme="majorHAnsi"/>
          <w:sz w:val="22"/>
          <w:szCs w:val="22"/>
          <w:lang w:val="fr-CH"/>
        </w:rPr>
        <w:t xml:space="preserve">sse </w:t>
      </w:r>
      <w:r w:rsidR="00662C56" w:rsidRPr="00662C56">
        <w:rPr>
          <w:rFonts w:asciiTheme="majorHAnsi" w:hAnsiTheme="majorHAnsi"/>
          <w:sz w:val="22"/>
          <w:szCs w:val="22"/>
          <w:lang w:val="fr-CH"/>
        </w:rPr>
        <w:t>le rôle</w:t>
      </w:r>
      <w:r w:rsidR="00662C56">
        <w:rPr>
          <w:rFonts w:asciiTheme="majorHAnsi" w:hAnsiTheme="majorHAnsi"/>
          <w:sz w:val="22"/>
          <w:szCs w:val="22"/>
          <w:lang w:val="fr-CH"/>
        </w:rPr>
        <w:t xml:space="preserve"> </w:t>
      </w:r>
      <w:r w:rsidR="00662C56" w:rsidRPr="00662C56">
        <w:rPr>
          <w:rFonts w:asciiTheme="majorHAnsi" w:hAnsiTheme="majorHAnsi"/>
          <w:sz w:val="22"/>
          <w:szCs w:val="22"/>
          <w:lang w:val="fr-CH"/>
        </w:rPr>
        <w:t>d’expert CESP</w:t>
      </w:r>
      <w:r w:rsidR="008A3980">
        <w:rPr>
          <w:rFonts w:asciiTheme="majorHAnsi" w:hAnsiTheme="majorHAnsi"/>
          <w:sz w:val="22"/>
          <w:szCs w:val="22"/>
          <w:lang w:val="fr-CH"/>
        </w:rPr>
        <w:t xml:space="preserve"> au sein du g</w:t>
      </w:r>
      <w:r w:rsidRPr="00662C56">
        <w:rPr>
          <w:rFonts w:asciiTheme="majorHAnsi" w:hAnsiTheme="majorHAnsi"/>
          <w:sz w:val="22"/>
          <w:szCs w:val="22"/>
          <w:lang w:val="fr-CH"/>
        </w:rPr>
        <w:t>roupe (paragraphe 6) et que les C</w:t>
      </w:r>
      <w:r w:rsidR="00662C56">
        <w:rPr>
          <w:rFonts w:asciiTheme="majorHAnsi" w:hAnsiTheme="majorHAnsi"/>
          <w:sz w:val="22"/>
          <w:szCs w:val="22"/>
          <w:lang w:val="fr-CH"/>
        </w:rPr>
        <w:t xml:space="preserve">orrespondants nationaux </w:t>
      </w:r>
      <w:r w:rsidRPr="00662C56">
        <w:rPr>
          <w:rFonts w:asciiTheme="majorHAnsi" w:hAnsiTheme="majorHAnsi"/>
          <w:sz w:val="22"/>
          <w:szCs w:val="22"/>
          <w:lang w:val="fr-CH"/>
        </w:rPr>
        <w:t>soient associés à l'élaboration du plan de travail du GEST (paragraphe 50</w:t>
      </w:r>
      <w:r w:rsidR="00C64326" w:rsidRPr="00662C56">
        <w:rPr>
          <w:rFonts w:asciiTheme="majorHAnsi" w:hAnsiTheme="majorHAnsi"/>
          <w:sz w:val="22"/>
          <w:szCs w:val="22"/>
          <w:lang w:val="fr-CH"/>
        </w:rPr>
        <w:t xml:space="preserve">).  </w:t>
      </w:r>
    </w:p>
    <w:p w14:paraId="5FD20C8D" w14:textId="2BDEBBB6" w:rsidR="00C64326" w:rsidRPr="00BA22DE" w:rsidRDefault="003B23C0" w:rsidP="003B23C0">
      <w:pPr>
        <w:numPr>
          <w:ilvl w:val="0"/>
          <w:numId w:val="13"/>
        </w:numPr>
        <w:spacing w:after="120"/>
        <w:rPr>
          <w:rFonts w:asciiTheme="majorHAnsi" w:hAnsiTheme="majorHAnsi"/>
          <w:sz w:val="22"/>
          <w:szCs w:val="22"/>
          <w:lang w:val="fr-CH"/>
        </w:rPr>
      </w:pPr>
      <w:r w:rsidRPr="003B23C0">
        <w:rPr>
          <w:rFonts w:asciiTheme="majorHAnsi" w:hAnsiTheme="majorHAnsi"/>
          <w:sz w:val="22"/>
          <w:szCs w:val="22"/>
          <w:lang w:val="fr-CH"/>
        </w:rPr>
        <w:t xml:space="preserve">Mieux comprendre les lacunes </w:t>
      </w:r>
      <w:r>
        <w:rPr>
          <w:rFonts w:asciiTheme="majorHAnsi" w:hAnsiTheme="majorHAnsi"/>
          <w:sz w:val="22"/>
          <w:szCs w:val="22"/>
          <w:lang w:val="fr-CH"/>
        </w:rPr>
        <w:t xml:space="preserve">en matière </w:t>
      </w:r>
      <w:r w:rsidRPr="003B23C0">
        <w:rPr>
          <w:rFonts w:asciiTheme="majorHAnsi" w:hAnsiTheme="majorHAnsi"/>
          <w:sz w:val="22"/>
          <w:szCs w:val="22"/>
          <w:lang w:val="fr-CH"/>
        </w:rPr>
        <w:t>d</w:t>
      </w:r>
      <w:r>
        <w:rPr>
          <w:rFonts w:asciiTheme="majorHAnsi" w:hAnsiTheme="majorHAnsi"/>
          <w:sz w:val="22"/>
          <w:szCs w:val="22"/>
          <w:lang w:val="fr-CH"/>
        </w:rPr>
        <w:t>e</w:t>
      </w:r>
      <w:r w:rsidRPr="003B23C0">
        <w:rPr>
          <w:rFonts w:asciiTheme="majorHAnsi" w:hAnsiTheme="majorHAnsi"/>
          <w:sz w:val="22"/>
          <w:szCs w:val="22"/>
          <w:lang w:val="fr-CH"/>
        </w:rPr>
        <w:t xml:space="preserve"> mise en œuvre</w:t>
      </w:r>
      <w:r>
        <w:rPr>
          <w:rFonts w:asciiTheme="majorHAnsi" w:hAnsiTheme="majorHAnsi"/>
          <w:sz w:val="22"/>
          <w:szCs w:val="22"/>
          <w:lang w:val="fr-CH"/>
        </w:rPr>
        <w:t>,</w:t>
      </w:r>
      <w:r w:rsidRPr="003B23C0">
        <w:rPr>
          <w:rFonts w:asciiTheme="majorHAnsi" w:hAnsiTheme="majorHAnsi"/>
          <w:sz w:val="22"/>
          <w:szCs w:val="22"/>
          <w:lang w:val="fr-CH"/>
        </w:rPr>
        <w:t xml:space="preserve"> et les besoins prioritaires des Parties contractantes en matière d'engagement pratique, de communication et de formation/renforcement des capacités, afin de cibler les activités du Secrétariat. </w:t>
      </w:r>
      <w:r>
        <w:rPr>
          <w:rFonts w:asciiTheme="majorHAnsi" w:hAnsiTheme="majorHAnsi"/>
          <w:sz w:val="22"/>
          <w:szCs w:val="22"/>
          <w:lang w:val="fr-CH"/>
        </w:rPr>
        <w:t>Bien entendu,</w:t>
      </w:r>
      <w:r w:rsidRPr="003B23C0">
        <w:rPr>
          <w:rFonts w:asciiTheme="majorHAnsi" w:hAnsiTheme="majorHAnsi"/>
          <w:sz w:val="22"/>
          <w:szCs w:val="22"/>
          <w:lang w:val="fr-CH"/>
        </w:rPr>
        <w:t xml:space="preserve"> les besoi</w:t>
      </w:r>
      <w:r>
        <w:rPr>
          <w:rFonts w:asciiTheme="majorHAnsi" w:hAnsiTheme="majorHAnsi"/>
          <w:sz w:val="22"/>
          <w:szCs w:val="22"/>
          <w:lang w:val="fr-CH"/>
        </w:rPr>
        <w:t>ns peuvent varier d'une région/P</w:t>
      </w:r>
      <w:r w:rsidRPr="003B23C0">
        <w:rPr>
          <w:rFonts w:asciiTheme="majorHAnsi" w:hAnsiTheme="majorHAnsi"/>
          <w:sz w:val="22"/>
          <w:szCs w:val="22"/>
          <w:lang w:val="fr-CH"/>
        </w:rPr>
        <w:t xml:space="preserve">artie contractante à </w:t>
      </w:r>
      <w:r w:rsidR="00442979" w:rsidRPr="003B23C0">
        <w:rPr>
          <w:rFonts w:asciiTheme="majorHAnsi" w:hAnsiTheme="majorHAnsi"/>
          <w:sz w:val="22"/>
          <w:szCs w:val="22"/>
          <w:lang w:val="fr-CH"/>
        </w:rPr>
        <w:t>l’autre.</w:t>
      </w:r>
      <w:r w:rsidR="00C64326" w:rsidRPr="00BA22DE">
        <w:rPr>
          <w:rFonts w:asciiTheme="majorHAnsi" w:hAnsiTheme="majorHAnsi"/>
          <w:sz w:val="22"/>
          <w:szCs w:val="22"/>
          <w:lang w:val="fr-CH"/>
        </w:rPr>
        <w:t xml:space="preserve"> </w:t>
      </w:r>
    </w:p>
    <w:p w14:paraId="4E025C5C" w14:textId="40465845" w:rsidR="003B23C0" w:rsidRDefault="003B23C0" w:rsidP="003B23C0">
      <w:pPr>
        <w:numPr>
          <w:ilvl w:val="0"/>
          <w:numId w:val="13"/>
        </w:numPr>
        <w:spacing w:after="120"/>
        <w:rPr>
          <w:rFonts w:asciiTheme="majorHAnsi" w:hAnsiTheme="majorHAnsi"/>
          <w:sz w:val="22"/>
          <w:szCs w:val="22"/>
          <w:lang w:val="fr-CH"/>
        </w:rPr>
      </w:pPr>
      <w:r>
        <w:rPr>
          <w:rFonts w:asciiTheme="majorHAnsi" w:hAnsiTheme="majorHAnsi"/>
          <w:sz w:val="22"/>
          <w:szCs w:val="22"/>
          <w:lang w:val="fr-CH"/>
        </w:rPr>
        <w:t xml:space="preserve">S'appuyer sur les </w:t>
      </w:r>
      <w:r w:rsidRPr="003B23C0">
        <w:rPr>
          <w:rFonts w:asciiTheme="majorHAnsi" w:hAnsiTheme="majorHAnsi"/>
          <w:sz w:val="22"/>
          <w:szCs w:val="22"/>
          <w:lang w:val="fr-CH"/>
        </w:rPr>
        <w:t>activité</w:t>
      </w:r>
      <w:r>
        <w:rPr>
          <w:rFonts w:asciiTheme="majorHAnsi" w:hAnsiTheme="majorHAnsi"/>
          <w:sz w:val="22"/>
          <w:szCs w:val="22"/>
          <w:lang w:val="fr-CH"/>
        </w:rPr>
        <w:t>s</w:t>
      </w:r>
      <w:r w:rsidRPr="003B23C0">
        <w:rPr>
          <w:rFonts w:asciiTheme="majorHAnsi" w:hAnsiTheme="majorHAnsi"/>
          <w:sz w:val="22"/>
          <w:szCs w:val="22"/>
          <w:lang w:val="fr-CH"/>
        </w:rPr>
        <w:t xml:space="preserve"> et l'engagement obtenus grâce à la Journée mon</w:t>
      </w:r>
      <w:r w:rsidR="008A3980">
        <w:rPr>
          <w:rFonts w:asciiTheme="majorHAnsi" w:hAnsiTheme="majorHAnsi"/>
          <w:sz w:val="22"/>
          <w:szCs w:val="22"/>
          <w:lang w:val="fr-CH"/>
        </w:rPr>
        <w:t>diale des zones humides et aux I</w:t>
      </w:r>
      <w:r w:rsidRPr="003B23C0">
        <w:rPr>
          <w:rFonts w:asciiTheme="majorHAnsi" w:hAnsiTheme="majorHAnsi"/>
          <w:sz w:val="22"/>
          <w:szCs w:val="22"/>
          <w:lang w:val="fr-CH"/>
        </w:rPr>
        <w:t>nitiatives régionales Ramsar</w:t>
      </w:r>
      <w:r>
        <w:rPr>
          <w:rFonts w:asciiTheme="majorHAnsi" w:hAnsiTheme="majorHAnsi"/>
          <w:sz w:val="22"/>
          <w:szCs w:val="22"/>
          <w:lang w:val="fr-CH"/>
        </w:rPr>
        <w:t>.</w:t>
      </w:r>
    </w:p>
    <w:p w14:paraId="47E06AE9" w14:textId="4C7B35F8" w:rsidR="00C64326" w:rsidRPr="00BA22DE" w:rsidRDefault="003B23C0" w:rsidP="003B23C0">
      <w:pPr>
        <w:numPr>
          <w:ilvl w:val="0"/>
          <w:numId w:val="13"/>
        </w:numPr>
        <w:spacing w:after="120"/>
        <w:rPr>
          <w:rFonts w:asciiTheme="majorHAnsi" w:hAnsiTheme="majorHAnsi"/>
          <w:sz w:val="22"/>
          <w:szCs w:val="22"/>
          <w:lang w:val="fr-CH"/>
        </w:rPr>
      </w:pPr>
      <w:r w:rsidRPr="003B23C0">
        <w:rPr>
          <w:rFonts w:asciiTheme="majorHAnsi" w:hAnsiTheme="majorHAnsi"/>
          <w:sz w:val="22"/>
          <w:szCs w:val="22"/>
          <w:lang w:val="fr-CH"/>
        </w:rPr>
        <w:t xml:space="preserve">Utiliser divers canaux médiatiques </w:t>
      </w:r>
      <w:r>
        <w:rPr>
          <w:rFonts w:asciiTheme="majorHAnsi" w:hAnsiTheme="majorHAnsi"/>
          <w:sz w:val="22"/>
          <w:szCs w:val="22"/>
          <w:lang w:val="fr-CH"/>
        </w:rPr>
        <w:t xml:space="preserve">jugés </w:t>
      </w:r>
      <w:r w:rsidRPr="003B23C0">
        <w:rPr>
          <w:rFonts w:asciiTheme="majorHAnsi" w:hAnsiTheme="majorHAnsi"/>
          <w:sz w:val="22"/>
          <w:szCs w:val="22"/>
          <w:lang w:val="fr-CH"/>
        </w:rPr>
        <w:t xml:space="preserve">appropriés à cette fin, tels que les </w:t>
      </w:r>
      <w:r>
        <w:rPr>
          <w:rFonts w:asciiTheme="majorHAnsi" w:hAnsiTheme="majorHAnsi"/>
          <w:sz w:val="22"/>
          <w:szCs w:val="22"/>
          <w:lang w:val="fr-CH"/>
        </w:rPr>
        <w:t>réseaux</w:t>
      </w:r>
      <w:r w:rsidRPr="003B23C0">
        <w:rPr>
          <w:rFonts w:asciiTheme="majorHAnsi" w:hAnsiTheme="majorHAnsi"/>
          <w:sz w:val="22"/>
          <w:szCs w:val="22"/>
          <w:lang w:val="fr-CH"/>
        </w:rPr>
        <w:t xml:space="preserve"> sociaux</w:t>
      </w:r>
      <w:r>
        <w:rPr>
          <w:rFonts w:asciiTheme="majorHAnsi" w:hAnsiTheme="majorHAnsi"/>
          <w:sz w:val="22"/>
          <w:szCs w:val="22"/>
          <w:lang w:val="fr-CH"/>
        </w:rPr>
        <w:t>,</w:t>
      </w:r>
      <w:r w:rsidRPr="003B23C0">
        <w:rPr>
          <w:rFonts w:asciiTheme="majorHAnsi" w:hAnsiTheme="majorHAnsi"/>
          <w:sz w:val="22"/>
          <w:szCs w:val="22"/>
          <w:lang w:val="fr-CH"/>
        </w:rPr>
        <w:t xml:space="preserve"> pour sensibiliser le public (et potentiellement susciter l'in</w:t>
      </w:r>
      <w:r w:rsidR="008A3980">
        <w:rPr>
          <w:rFonts w:asciiTheme="majorHAnsi" w:hAnsiTheme="majorHAnsi"/>
          <w:sz w:val="22"/>
          <w:szCs w:val="22"/>
          <w:lang w:val="fr-CH"/>
        </w:rPr>
        <w:t>térêt</w:t>
      </w:r>
      <w:r w:rsidRPr="003B23C0">
        <w:rPr>
          <w:rFonts w:asciiTheme="majorHAnsi" w:hAnsiTheme="majorHAnsi"/>
          <w:sz w:val="22"/>
          <w:szCs w:val="22"/>
          <w:lang w:val="fr-CH"/>
        </w:rPr>
        <w:t xml:space="preserve"> du public et exercer des pressions sur les décideurs), ainsi que d'autres approches pour faire participer les décideurs sectoriels.  Identifier de nouve</w:t>
      </w:r>
      <w:r w:rsidR="005D3F7F">
        <w:rPr>
          <w:rFonts w:asciiTheme="majorHAnsi" w:hAnsiTheme="majorHAnsi"/>
          <w:sz w:val="22"/>
          <w:szCs w:val="22"/>
          <w:lang w:val="fr-CH"/>
        </w:rPr>
        <w:t xml:space="preserve">aux moyens </w:t>
      </w:r>
      <w:r w:rsidRPr="003B23C0">
        <w:rPr>
          <w:rFonts w:asciiTheme="majorHAnsi" w:hAnsiTheme="majorHAnsi"/>
          <w:sz w:val="22"/>
          <w:szCs w:val="22"/>
          <w:lang w:val="fr-CH"/>
        </w:rPr>
        <w:t>et possibilités de communication pour promouvoir les objectifs Ramsar</w:t>
      </w:r>
      <w:r w:rsidR="00C64326" w:rsidRPr="00BA22DE">
        <w:rPr>
          <w:rFonts w:asciiTheme="majorHAnsi" w:hAnsiTheme="majorHAnsi"/>
          <w:sz w:val="22"/>
          <w:szCs w:val="22"/>
          <w:lang w:val="fr-CH"/>
        </w:rPr>
        <w:t>.</w:t>
      </w:r>
    </w:p>
    <w:p w14:paraId="07724AFC" w14:textId="2404F0FE" w:rsidR="00C64326" w:rsidRPr="00BA22DE" w:rsidRDefault="005D3F7F" w:rsidP="005D3F7F">
      <w:pPr>
        <w:numPr>
          <w:ilvl w:val="0"/>
          <w:numId w:val="13"/>
        </w:numPr>
        <w:spacing w:after="120"/>
        <w:rPr>
          <w:rFonts w:asciiTheme="majorHAnsi" w:hAnsiTheme="majorHAnsi"/>
          <w:sz w:val="22"/>
          <w:szCs w:val="22"/>
          <w:lang w:val="fr-CH"/>
        </w:rPr>
      </w:pPr>
      <w:r>
        <w:rPr>
          <w:rFonts w:asciiTheme="majorHAnsi" w:hAnsiTheme="majorHAnsi"/>
          <w:sz w:val="22"/>
          <w:szCs w:val="22"/>
          <w:lang w:val="fr-CH"/>
        </w:rPr>
        <w:t xml:space="preserve">Renforcer </w:t>
      </w:r>
      <w:r w:rsidRPr="005D3F7F">
        <w:rPr>
          <w:rFonts w:asciiTheme="majorHAnsi" w:hAnsiTheme="majorHAnsi"/>
          <w:sz w:val="22"/>
          <w:szCs w:val="22"/>
          <w:lang w:val="fr-CH"/>
        </w:rPr>
        <w:t xml:space="preserve">l'utilité des rapports nationaux des Parties contractantes en tant qu'outil permettant à la Convention d'obtenir des informations en retour sur l'efficacité de </w:t>
      </w:r>
      <w:r>
        <w:rPr>
          <w:rFonts w:asciiTheme="majorHAnsi" w:hAnsiTheme="majorHAnsi"/>
          <w:sz w:val="22"/>
          <w:szCs w:val="22"/>
          <w:lang w:val="fr-CH"/>
        </w:rPr>
        <w:t>son application</w:t>
      </w:r>
      <w:r w:rsidRPr="005D3F7F">
        <w:rPr>
          <w:rFonts w:asciiTheme="majorHAnsi" w:hAnsiTheme="majorHAnsi"/>
          <w:sz w:val="22"/>
          <w:szCs w:val="22"/>
          <w:lang w:val="fr-CH"/>
        </w:rPr>
        <w:t>, d'identifier les lacunes, l'appui nécessaire et les</w:t>
      </w:r>
      <w:r>
        <w:rPr>
          <w:rFonts w:asciiTheme="majorHAnsi" w:hAnsiTheme="majorHAnsi"/>
          <w:sz w:val="22"/>
          <w:szCs w:val="22"/>
          <w:lang w:val="fr-CH"/>
        </w:rPr>
        <w:t xml:space="preserve"> nouveaux problèmes</w:t>
      </w:r>
      <w:r w:rsidRPr="005D3F7F">
        <w:rPr>
          <w:rFonts w:asciiTheme="majorHAnsi" w:hAnsiTheme="majorHAnsi"/>
          <w:sz w:val="22"/>
          <w:szCs w:val="22"/>
          <w:lang w:val="fr-CH"/>
        </w:rPr>
        <w:t>.  Il est important que le</w:t>
      </w:r>
      <w:r>
        <w:rPr>
          <w:rFonts w:asciiTheme="majorHAnsi" w:hAnsiTheme="majorHAnsi"/>
          <w:sz w:val="22"/>
          <w:szCs w:val="22"/>
          <w:lang w:val="fr-CH"/>
        </w:rPr>
        <w:t xml:space="preserve">s </w:t>
      </w:r>
      <w:r w:rsidRPr="005D3F7F">
        <w:rPr>
          <w:rFonts w:asciiTheme="majorHAnsi" w:hAnsiTheme="majorHAnsi"/>
          <w:sz w:val="22"/>
          <w:szCs w:val="22"/>
          <w:lang w:val="fr-CH"/>
        </w:rPr>
        <w:t>rapport</w:t>
      </w:r>
      <w:r>
        <w:rPr>
          <w:rFonts w:asciiTheme="majorHAnsi" w:hAnsiTheme="majorHAnsi"/>
          <w:sz w:val="22"/>
          <w:szCs w:val="22"/>
          <w:lang w:val="fr-CH"/>
        </w:rPr>
        <w:t>s</w:t>
      </w:r>
      <w:r w:rsidRPr="005D3F7F">
        <w:rPr>
          <w:rFonts w:asciiTheme="majorHAnsi" w:hAnsiTheme="majorHAnsi"/>
          <w:sz w:val="22"/>
          <w:szCs w:val="22"/>
          <w:lang w:val="fr-CH"/>
        </w:rPr>
        <w:t xml:space="preserve"> nationa</w:t>
      </w:r>
      <w:r>
        <w:rPr>
          <w:rFonts w:asciiTheme="majorHAnsi" w:hAnsiTheme="majorHAnsi"/>
          <w:sz w:val="22"/>
          <w:szCs w:val="22"/>
          <w:lang w:val="fr-CH"/>
        </w:rPr>
        <w:t xml:space="preserve">ux </w:t>
      </w:r>
      <w:r w:rsidRPr="005D3F7F">
        <w:rPr>
          <w:rFonts w:asciiTheme="majorHAnsi" w:hAnsiTheme="majorHAnsi"/>
          <w:sz w:val="22"/>
          <w:szCs w:val="22"/>
          <w:lang w:val="fr-CH"/>
        </w:rPr>
        <w:t>ne soi</w:t>
      </w:r>
      <w:r>
        <w:rPr>
          <w:rFonts w:asciiTheme="majorHAnsi" w:hAnsiTheme="majorHAnsi"/>
          <w:sz w:val="22"/>
          <w:szCs w:val="22"/>
          <w:lang w:val="fr-CH"/>
        </w:rPr>
        <w:t>en</w:t>
      </w:r>
      <w:r w:rsidRPr="005D3F7F">
        <w:rPr>
          <w:rFonts w:asciiTheme="majorHAnsi" w:hAnsiTheme="majorHAnsi"/>
          <w:sz w:val="22"/>
          <w:szCs w:val="22"/>
          <w:lang w:val="fr-CH"/>
        </w:rPr>
        <w:t>t pas volumineux au point de représenter un</w:t>
      </w:r>
      <w:r>
        <w:rPr>
          <w:rFonts w:asciiTheme="majorHAnsi" w:hAnsiTheme="majorHAnsi"/>
          <w:sz w:val="22"/>
          <w:szCs w:val="22"/>
          <w:lang w:val="fr-CH"/>
        </w:rPr>
        <w:t xml:space="preserve"> fardeau</w:t>
      </w:r>
      <w:r w:rsidRPr="005D3F7F">
        <w:rPr>
          <w:rFonts w:asciiTheme="majorHAnsi" w:hAnsiTheme="majorHAnsi"/>
          <w:sz w:val="22"/>
          <w:szCs w:val="22"/>
          <w:lang w:val="fr-CH"/>
        </w:rPr>
        <w:t xml:space="preserve"> pour les Parties contractantes, mais qu'il</w:t>
      </w:r>
      <w:r>
        <w:rPr>
          <w:rFonts w:asciiTheme="majorHAnsi" w:hAnsiTheme="majorHAnsi"/>
          <w:sz w:val="22"/>
          <w:szCs w:val="22"/>
          <w:lang w:val="fr-CH"/>
        </w:rPr>
        <w:t xml:space="preserve">s soient axés </w:t>
      </w:r>
      <w:r w:rsidRPr="005D3F7F">
        <w:rPr>
          <w:rFonts w:asciiTheme="majorHAnsi" w:hAnsiTheme="majorHAnsi"/>
          <w:sz w:val="22"/>
          <w:szCs w:val="22"/>
          <w:lang w:val="fr-CH"/>
        </w:rPr>
        <w:t>sur la collecte des informations clés nécessaires pour aider le Secrétariat et les Parties contractantes à identifier les priorités d</w:t>
      </w:r>
      <w:r>
        <w:rPr>
          <w:rFonts w:asciiTheme="majorHAnsi" w:hAnsiTheme="majorHAnsi"/>
          <w:sz w:val="22"/>
          <w:szCs w:val="22"/>
          <w:lang w:val="fr-CH"/>
        </w:rPr>
        <w:t>e l</w:t>
      </w:r>
      <w:r w:rsidRPr="005D3F7F">
        <w:rPr>
          <w:rFonts w:asciiTheme="majorHAnsi" w:hAnsiTheme="majorHAnsi"/>
          <w:sz w:val="22"/>
          <w:szCs w:val="22"/>
          <w:lang w:val="fr-CH"/>
        </w:rPr>
        <w:t>'action future.</w:t>
      </w:r>
    </w:p>
    <w:p w14:paraId="46B34CF6" w14:textId="3BD4B835" w:rsidR="00C64326" w:rsidRPr="00BA22DE" w:rsidRDefault="00CC3B33" w:rsidP="005D3F7F">
      <w:pPr>
        <w:numPr>
          <w:ilvl w:val="0"/>
          <w:numId w:val="13"/>
        </w:numPr>
        <w:spacing w:after="120"/>
        <w:rPr>
          <w:rFonts w:asciiTheme="majorHAnsi" w:hAnsiTheme="majorHAnsi"/>
          <w:sz w:val="22"/>
          <w:szCs w:val="22"/>
          <w:lang w:val="fr-CH"/>
        </w:rPr>
      </w:pPr>
      <w:r>
        <w:rPr>
          <w:rFonts w:asciiTheme="majorHAnsi" w:hAnsiTheme="majorHAnsi"/>
          <w:sz w:val="22"/>
          <w:szCs w:val="22"/>
          <w:lang w:val="fr-CH"/>
        </w:rPr>
        <w:t>Donner</w:t>
      </w:r>
      <w:r w:rsidR="005D3F7F" w:rsidRPr="005D3F7F">
        <w:rPr>
          <w:rFonts w:asciiTheme="majorHAnsi" w:hAnsiTheme="majorHAnsi"/>
          <w:sz w:val="22"/>
          <w:szCs w:val="22"/>
          <w:lang w:val="fr-CH"/>
        </w:rPr>
        <w:t xml:space="preserve"> un accès efficace aux documents du Secrétariat, notamment</w:t>
      </w:r>
      <w:r w:rsidR="00C64326" w:rsidRPr="00BA22DE">
        <w:rPr>
          <w:rFonts w:asciiTheme="majorHAnsi" w:hAnsiTheme="majorHAnsi"/>
          <w:sz w:val="22"/>
          <w:szCs w:val="22"/>
          <w:lang w:val="fr-CH"/>
        </w:rPr>
        <w:t xml:space="preserve">: </w:t>
      </w:r>
    </w:p>
    <w:p w14:paraId="679C41AC" w14:textId="0CD39D28" w:rsidR="00C64326" w:rsidRPr="00BA22DE" w:rsidRDefault="00D31457" w:rsidP="00CC3B33">
      <w:pPr>
        <w:numPr>
          <w:ilvl w:val="1"/>
          <w:numId w:val="13"/>
        </w:numPr>
        <w:spacing w:after="120"/>
        <w:contextualSpacing/>
        <w:rPr>
          <w:rFonts w:asciiTheme="majorHAnsi" w:hAnsiTheme="majorHAnsi"/>
          <w:sz w:val="22"/>
          <w:szCs w:val="22"/>
          <w:lang w:val="fr-CH"/>
        </w:rPr>
      </w:pPr>
      <w:r>
        <w:rPr>
          <w:rFonts w:asciiTheme="majorHAnsi" w:hAnsiTheme="majorHAnsi"/>
          <w:sz w:val="22"/>
          <w:szCs w:val="22"/>
          <w:lang w:val="fr-CH"/>
        </w:rPr>
        <w:t>u</w:t>
      </w:r>
      <w:r w:rsidR="00CC3B33">
        <w:rPr>
          <w:rFonts w:asciiTheme="majorHAnsi" w:hAnsiTheme="majorHAnsi"/>
          <w:sz w:val="22"/>
          <w:szCs w:val="22"/>
          <w:lang w:val="fr-CH"/>
        </w:rPr>
        <w:t xml:space="preserve">ne possibilité d’obtenir </w:t>
      </w:r>
      <w:r w:rsidR="00CC3B33" w:rsidRPr="00CC3B33">
        <w:rPr>
          <w:rFonts w:asciiTheme="majorHAnsi" w:hAnsiTheme="majorHAnsi"/>
          <w:sz w:val="22"/>
          <w:szCs w:val="22"/>
          <w:lang w:val="fr-CH"/>
        </w:rPr>
        <w:t xml:space="preserve">des informations sur les questions relatives aux zones humides, les techniques de recherche et de gestion (documents </w:t>
      </w:r>
      <w:r w:rsidR="00CC3B33">
        <w:rPr>
          <w:rFonts w:asciiTheme="majorHAnsi" w:hAnsiTheme="majorHAnsi"/>
          <w:sz w:val="22"/>
          <w:szCs w:val="22"/>
          <w:lang w:val="fr-CH"/>
        </w:rPr>
        <w:t xml:space="preserve">provenant </w:t>
      </w:r>
      <w:r w:rsidR="00CC3B33" w:rsidRPr="00CC3B33">
        <w:rPr>
          <w:rFonts w:asciiTheme="majorHAnsi" w:hAnsiTheme="majorHAnsi"/>
          <w:sz w:val="22"/>
          <w:szCs w:val="22"/>
          <w:lang w:val="fr-CH"/>
        </w:rPr>
        <w:t>du Secrétariat et de Partie</w:t>
      </w:r>
      <w:r w:rsidR="00CC3B33">
        <w:rPr>
          <w:rFonts w:asciiTheme="majorHAnsi" w:hAnsiTheme="majorHAnsi"/>
          <w:sz w:val="22"/>
          <w:szCs w:val="22"/>
          <w:lang w:val="fr-CH"/>
        </w:rPr>
        <w:t>s</w:t>
      </w:r>
      <w:r w:rsidR="00CC3B33" w:rsidRPr="00CC3B33">
        <w:rPr>
          <w:rFonts w:asciiTheme="majorHAnsi" w:hAnsiTheme="majorHAnsi"/>
          <w:sz w:val="22"/>
          <w:szCs w:val="22"/>
          <w:lang w:val="fr-CH"/>
        </w:rPr>
        <w:t xml:space="preserve"> contractante</w:t>
      </w:r>
      <w:r w:rsidR="00CC3B33">
        <w:rPr>
          <w:rFonts w:asciiTheme="majorHAnsi" w:hAnsiTheme="majorHAnsi"/>
          <w:sz w:val="22"/>
          <w:szCs w:val="22"/>
          <w:lang w:val="fr-CH"/>
        </w:rPr>
        <w:t>s</w:t>
      </w:r>
      <w:r w:rsidR="00CC3B33" w:rsidRPr="00CC3B33">
        <w:rPr>
          <w:rFonts w:asciiTheme="majorHAnsi" w:hAnsiTheme="majorHAnsi"/>
          <w:sz w:val="22"/>
          <w:szCs w:val="22"/>
          <w:lang w:val="fr-CH"/>
        </w:rPr>
        <w:t>) ou d</w:t>
      </w:r>
      <w:r w:rsidR="00CC3B33">
        <w:rPr>
          <w:rFonts w:asciiTheme="majorHAnsi" w:hAnsiTheme="majorHAnsi"/>
          <w:sz w:val="22"/>
          <w:szCs w:val="22"/>
          <w:lang w:val="fr-CH"/>
        </w:rPr>
        <w:t>’avoir accès à d</w:t>
      </w:r>
      <w:r w:rsidR="00CC3B33" w:rsidRPr="00CC3B33">
        <w:rPr>
          <w:rFonts w:asciiTheme="majorHAnsi" w:hAnsiTheme="majorHAnsi"/>
          <w:sz w:val="22"/>
          <w:szCs w:val="22"/>
          <w:lang w:val="fr-CH"/>
        </w:rPr>
        <w:t>es portails contenant des informations sur ces questions</w:t>
      </w:r>
      <w:r w:rsidR="00C64326" w:rsidRPr="00BA22DE">
        <w:rPr>
          <w:rFonts w:asciiTheme="majorHAnsi" w:hAnsiTheme="majorHAnsi"/>
          <w:sz w:val="22"/>
          <w:szCs w:val="22"/>
          <w:lang w:val="fr-CH"/>
        </w:rPr>
        <w:t>).</w:t>
      </w:r>
    </w:p>
    <w:p w14:paraId="7090482F" w14:textId="2DD23B91" w:rsidR="00C64326" w:rsidRPr="00BA22DE" w:rsidRDefault="00CC3B33" w:rsidP="00CC3B33">
      <w:pPr>
        <w:numPr>
          <w:ilvl w:val="1"/>
          <w:numId w:val="13"/>
        </w:numPr>
        <w:spacing w:after="120"/>
        <w:rPr>
          <w:rFonts w:asciiTheme="majorHAnsi" w:hAnsiTheme="majorHAnsi"/>
          <w:sz w:val="22"/>
          <w:szCs w:val="22"/>
          <w:lang w:val="fr-CH"/>
        </w:rPr>
      </w:pPr>
      <w:r w:rsidRPr="00CC3B33">
        <w:rPr>
          <w:rFonts w:asciiTheme="majorHAnsi" w:hAnsiTheme="majorHAnsi"/>
          <w:sz w:val="22"/>
          <w:szCs w:val="22"/>
          <w:lang w:val="fr-CH"/>
        </w:rPr>
        <w:lastRenderedPageBreak/>
        <w:t xml:space="preserve">à un </w:t>
      </w:r>
      <w:r w:rsidR="00D31457">
        <w:rPr>
          <w:rFonts w:asciiTheme="majorHAnsi" w:hAnsiTheme="majorHAnsi"/>
          <w:sz w:val="22"/>
          <w:szCs w:val="22"/>
          <w:lang w:val="fr-CH"/>
        </w:rPr>
        <w:t>Service d’information sur les Sites Ramsar</w:t>
      </w:r>
      <w:r w:rsidRPr="00CC3B33">
        <w:rPr>
          <w:rFonts w:asciiTheme="majorHAnsi" w:hAnsiTheme="majorHAnsi"/>
          <w:sz w:val="22"/>
          <w:szCs w:val="22"/>
          <w:lang w:val="fr-CH"/>
        </w:rPr>
        <w:t xml:space="preserve"> convivial p</w:t>
      </w:r>
      <w:r w:rsidR="00D31457">
        <w:rPr>
          <w:rFonts w:asciiTheme="majorHAnsi" w:hAnsiTheme="majorHAnsi"/>
          <w:sz w:val="22"/>
          <w:szCs w:val="22"/>
          <w:lang w:val="fr-CH"/>
        </w:rPr>
        <w:t>our permettre aux administrateurs de S</w:t>
      </w:r>
      <w:r w:rsidRPr="00CC3B33">
        <w:rPr>
          <w:rFonts w:asciiTheme="majorHAnsi" w:hAnsiTheme="majorHAnsi"/>
          <w:sz w:val="22"/>
          <w:szCs w:val="22"/>
          <w:lang w:val="fr-CH"/>
        </w:rPr>
        <w:t>ites Ramsar de mettre à jour/télécharger</w:t>
      </w:r>
      <w:r w:rsidR="006D0232">
        <w:rPr>
          <w:rFonts w:asciiTheme="majorHAnsi" w:hAnsiTheme="majorHAnsi"/>
          <w:sz w:val="22"/>
          <w:szCs w:val="22"/>
          <w:lang w:val="fr-CH"/>
        </w:rPr>
        <w:t xml:space="preserve"> des </w:t>
      </w:r>
      <w:r w:rsidRPr="00CC3B33">
        <w:rPr>
          <w:rFonts w:asciiTheme="majorHAnsi" w:hAnsiTheme="majorHAnsi"/>
          <w:sz w:val="22"/>
          <w:szCs w:val="22"/>
          <w:lang w:val="fr-CH"/>
        </w:rPr>
        <w:t>information</w:t>
      </w:r>
      <w:r w:rsidR="006D0232">
        <w:rPr>
          <w:rFonts w:asciiTheme="majorHAnsi" w:hAnsiTheme="majorHAnsi"/>
          <w:sz w:val="22"/>
          <w:szCs w:val="22"/>
          <w:lang w:val="fr-CH"/>
        </w:rPr>
        <w:t xml:space="preserve">s sur les sites et de les utiliser </w:t>
      </w:r>
      <w:r w:rsidRPr="00CC3B33">
        <w:rPr>
          <w:rFonts w:asciiTheme="majorHAnsi" w:hAnsiTheme="majorHAnsi"/>
          <w:sz w:val="22"/>
          <w:szCs w:val="22"/>
          <w:lang w:val="fr-CH"/>
        </w:rPr>
        <w:t>pour la gestion</w:t>
      </w:r>
      <w:r w:rsidR="00C64326" w:rsidRPr="00BA22DE">
        <w:rPr>
          <w:rFonts w:asciiTheme="majorHAnsi" w:hAnsiTheme="majorHAnsi"/>
          <w:sz w:val="22"/>
          <w:szCs w:val="22"/>
          <w:lang w:val="fr-CH"/>
        </w:rPr>
        <w:t xml:space="preserve">. </w:t>
      </w:r>
    </w:p>
    <w:p w14:paraId="6A2E3812" w14:textId="1BEBC609" w:rsidR="00C64326" w:rsidRPr="00BA22DE" w:rsidRDefault="006D0232" w:rsidP="006D0232">
      <w:pPr>
        <w:numPr>
          <w:ilvl w:val="0"/>
          <w:numId w:val="13"/>
        </w:numPr>
        <w:spacing w:after="120"/>
        <w:rPr>
          <w:rFonts w:asciiTheme="majorHAnsi" w:hAnsiTheme="majorHAnsi"/>
          <w:sz w:val="22"/>
          <w:szCs w:val="22"/>
          <w:lang w:val="fr-CH"/>
        </w:rPr>
      </w:pPr>
      <w:r>
        <w:rPr>
          <w:rFonts w:asciiTheme="majorHAnsi" w:hAnsiTheme="majorHAnsi"/>
          <w:sz w:val="22"/>
          <w:szCs w:val="22"/>
          <w:lang w:val="fr-CH"/>
        </w:rPr>
        <w:t xml:space="preserve">Privilégier </w:t>
      </w:r>
      <w:r w:rsidRPr="006D0232">
        <w:rPr>
          <w:rFonts w:asciiTheme="majorHAnsi" w:hAnsiTheme="majorHAnsi"/>
          <w:sz w:val="22"/>
          <w:szCs w:val="22"/>
          <w:lang w:val="fr-CH"/>
        </w:rPr>
        <w:t>le renforcement des capacités, afin d</w:t>
      </w:r>
      <w:r>
        <w:rPr>
          <w:rFonts w:asciiTheme="majorHAnsi" w:hAnsiTheme="majorHAnsi"/>
          <w:sz w:val="22"/>
          <w:szCs w:val="22"/>
          <w:lang w:val="fr-CH"/>
        </w:rPr>
        <w:t xml:space="preserve">e soutenir </w:t>
      </w:r>
      <w:r w:rsidRPr="006D0232">
        <w:rPr>
          <w:rFonts w:asciiTheme="majorHAnsi" w:hAnsiTheme="majorHAnsi"/>
          <w:sz w:val="22"/>
          <w:szCs w:val="22"/>
          <w:lang w:val="fr-CH"/>
        </w:rPr>
        <w:t xml:space="preserve">les personnes </w:t>
      </w:r>
      <w:r>
        <w:rPr>
          <w:rFonts w:asciiTheme="majorHAnsi" w:hAnsiTheme="majorHAnsi"/>
          <w:sz w:val="22"/>
          <w:szCs w:val="22"/>
          <w:lang w:val="fr-CH"/>
        </w:rPr>
        <w:t xml:space="preserve">assumant </w:t>
      </w:r>
      <w:r w:rsidRPr="006D0232">
        <w:rPr>
          <w:rFonts w:asciiTheme="majorHAnsi" w:hAnsiTheme="majorHAnsi"/>
          <w:sz w:val="22"/>
          <w:szCs w:val="22"/>
          <w:lang w:val="fr-CH"/>
        </w:rPr>
        <w:t xml:space="preserve">divers rôles dans la conservation et l'utilisation rationnelle des zones humides.  </w:t>
      </w:r>
      <w:r>
        <w:rPr>
          <w:rFonts w:asciiTheme="majorHAnsi" w:hAnsiTheme="majorHAnsi"/>
          <w:sz w:val="22"/>
          <w:szCs w:val="22"/>
          <w:lang w:val="fr-CH"/>
        </w:rPr>
        <w:t>Il conviendrait d’avoir recours à</w:t>
      </w:r>
      <w:r w:rsidRPr="006D0232">
        <w:rPr>
          <w:rFonts w:asciiTheme="majorHAnsi" w:hAnsiTheme="majorHAnsi"/>
          <w:sz w:val="22"/>
          <w:szCs w:val="22"/>
          <w:lang w:val="fr-CH"/>
        </w:rPr>
        <w:t xml:space="preserve"> l'expertise du Groupe d'évaluation scientifique et technique (GEST), </w:t>
      </w:r>
      <w:r w:rsidR="008A3980">
        <w:rPr>
          <w:rFonts w:asciiTheme="majorHAnsi" w:hAnsiTheme="majorHAnsi"/>
          <w:sz w:val="22"/>
          <w:szCs w:val="22"/>
          <w:lang w:val="fr-CH"/>
        </w:rPr>
        <w:t>d’utiliser les</w:t>
      </w:r>
      <w:r w:rsidRPr="006D0232">
        <w:rPr>
          <w:rFonts w:asciiTheme="majorHAnsi" w:hAnsiTheme="majorHAnsi"/>
          <w:sz w:val="22"/>
          <w:szCs w:val="22"/>
          <w:lang w:val="fr-CH"/>
        </w:rPr>
        <w:t xml:space="preserve"> communications et </w:t>
      </w:r>
      <w:r w:rsidR="008A3980">
        <w:rPr>
          <w:rFonts w:asciiTheme="majorHAnsi" w:hAnsiTheme="majorHAnsi"/>
          <w:sz w:val="22"/>
          <w:szCs w:val="22"/>
          <w:lang w:val="fr-CH"/>
        </w:rPr>
        <w:t>les réseaux du</w:t>
      </w:r>
      <w:r w:rsidRPr="006D0232">
        <w:rPr>
          <w:rFonts w:asciiTheme="majorHAnsi" w:hAnsiTheme="majorHAnsi"/>
          <w:sz w:val="22"/>
          <w:szCs w:val="22"/>
          <w:lang w:val="fr-CH"/>
        </w:rPr>
        <w:t xml:space="preserve"> Secrétariat, et </w:t>
      </w:r>
      <w:r w:rsidR="008A3980">
        <w:rPr>
          <w:rFonts w:asciiTheme="majorHAnsi" w:hAnsiTheme="majorHAnsi"/>
          <w:sz w:val="22"/>
          <w:szCs w:val="22"/>
          <w:lang w:val="fr-CH"/>
        </w:rPr>
        <w:t>le</w:t>
      </w:r>
      <w:r w:rsidRPr="006D0232">
        <w:rPr>
          <w:rFonts w:asciiTheme="majorHAnsi" w:hAnsiTheme="majorHAnsi"/>
          <w:sz w:val="22"/>
          <w:szCs w:val="22"/>
          <w:lang w:val="fr-CH"/>
        </w:rPr>
        <w:t xml:space="preserve"> partage des expériences entre les Parties contractantes.</w:t>
      </w:r>
    </w:p>
    <w:p w14:paraId="6796E779" w14:textId="77777777" w:rsidR="003D28E4" w:rsidRPr="00BA22DE" w:rsidRDefault="003D28E4" w:rsidP="004C3670">
      <w:pPr>
        <w:autoSpaceDE w:val="0"/>
        <w:autoSpaceDN w:val="0"/>
        <w:adjustRightInd w:val="0"/>
        <w:spacing w:after="120"/>
        <w:ind w:right="288"/>
        <w:rPr>
          <w:rFonts w:asciiTheme="majorHAnsi" w:hAnsiTheme="majorHAnsi" w:cs="Calibri"/>
          <w:b/>
          <w:bCs/>
          <w:sz w:val="22"/>
          <w:szCs w:val="22"/>
          <w:lang w:val="fr-CH"/>
        </w:rPr>
      </w:pPr>
    </w:p>
    <w:sectPr w:rsidR="003D28E4" w:rsidRPr="00BA22DE" w:rsidSect="003D28E4">
      <w:footerReference w:type="default" r:id="rId12"/>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E526A" w14:textId="77777777" w:rsidR="004464BC" w:rsidRDefault="004464BC" w:rsidP="00002B9E">
      <w:r>
        <w:separator/>
      </w:r>
    </w:p>
  </w:endnote>
  <w:endnote w:type="continuationSeparator" w:id="0">
    <w:p w14:paraId="4D8DCC94" w14:textId="77777777" w:rsidR="004464BC" w:rsidRDefault="004464BC" w:rsidP="0000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D3CA" w14:textId="59A549E8" w:rsidR="005C401C" w:rsidRPr="00C50F56" w:rsidRDefault="005C401C" w:rsidP="003D28E4">
    <w:pPr>
      <w:pStyle w:val="Footer"/>
      <w:tabs>
        <w:tab w:val="clear" w:pos="9026"/>
        <w:tab w:val="right" w:pos="14220"/>
      </w:tabs>
      <w:rPr>
        <w:rFonts w:ascii="Calibri" w:hAnsi="Calibri"/>
        <w:sz w:val="20"/>
        <w:szCs w:val="20"/>
        <w:lang w:val="en-GB"/>
      </w:rPr>
    </w:pPr>
    <w:r>
      <w:rPr>
        <w:rFonts w:ascii="Calibri" w:hAnsi="Calibri"/>
        <w:sz w:val="20"/>
        <w:szCs w:val="20"/>
        <w:lang w:val="en-GB"/>
      </w:rPr>
      <w:t>Ramsar COP13 Doc.10</w:t>
    </w:r>
    <w:r w:rsidRPr="00CB5417">
      <w:rPr>
        <w:rFonts w:ascii="Calibri" w:hAnsi="Calibri"/>
        <w:sz w:val="20"/>
        <w:szCs w:val="20"/>
        <w:lang w:val="en-GB"/>
      </w:rPr>
      <w:tab/>
    </w:r>
    <w:r w:rsidRPr="00CB5417">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9A6E0F">
      <w:rPr>
        <w:rFonts w:ascii="Calibri" w:hAnsi="Calibri"/>
        <w:noProof/>
        <w:sz w:val="20"/>
        <w:szCs w:val="20"/>
        <w:lang w:val="en-GB"/>
      </w:rPr>
      <w:t>16</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493F2" w14:textId="77777777" w:rsidR="004464BC" w:rsidRDefault="004464BC" w:rsidP="00002B9E">
      <w:r>
        <w:separator/>
      </w:r>
    </w:p>
  </w:footnote>
  <w:footnote w:type="continuationSeparator" w:id="0">
    <w:p w14:paraId="1EA90BE9" w14:textId="77777777" w:rsidR="004464BC" w:rsidRDefault="004464BC" w:rsidP="00002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86EFD"/>
    <w:multiLevelType w:val="hybridMultilevel"/>
    <w:tmpl w:val="15A8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8766F"/>
    <w:multiLevelType w:val="hybridMultilevel"/>
    <w:tmpl w:val="125A8268"/>
    <w:lvl w:ilvl="0" w:tplc="45A06F0E">
      <w:start w:val="1"/>
      <w:numFmt w:val="decimal"/>
      <w:lvlText w:val="%1."/>
      <w:lvlJc w:val="left"/>
      <w:pPr>
        <w:ind w:left="-708" w:hanging="360"/>
      </w:pPr>
    </w:lvl>
    <w:lvl w:ilvl="1" w:tplc="0C090019">
      <w:start w:val="1"/>
      <w:numFmt w:val="lowerLetter"/>
      <w:lvlText w:val="%2."/>
      <w:lvlJc w:val="left"/>
      <w:pPr>
        <w:ind w:left="12" w:hanging="360"/>
      </w:pPr>
    </w:lvl>
    <w:lvl w:ilvl="2" w:tplc="0C09001B">
      <w:start w:val="1"/>
      <w:numFmt w:val="lowerRoman"/>
      <w:lvlText w:val="%3."/>
      <w:lvlJc w:val="right"/>
      <w:pPr>
        <w:ind w:left="732" w:hanging="180"/>
      </w:pPr>
    </w:lvl>
    <w:lvl w:ilvl="3" w:tplc="0C09000F" w:tentative="1">
      <w:start w:val="1"/>
      <w:numFmt w:val="decimal"/>
      <w:lvlText w:val="%4."/>
      <w:lvlJc w:val="left"/>
      <w:pPr>
        <w:ind w:left="1452" w:hanging="360"/>
      </w:pPr>
    </w:lvl>
    <w:lvl w:ilvl="4" w:tplc="0C090019" w:tentative="1">
      <w:start w:val="1"/>
      <w:numFmt w:val="lowerLetter"/>
      <w:lvlText w:val="%5."/>
      <w:lvlJc w:val="left"/>
      <w:pPr>
        <w:ind w:left="2172" w:hanging="360"/>
      </w:pPr>
    </w:lvl>
    <w:lvl w:ilvl="5" w:tplc="0C09001B" w:tentative="1">
      <w:start w:val="1"/>
      <w:numFmt w:val="lowerRoman"/>
      <w:lvlText w:val="%6."/>
      <w:lvlJc w:val="right"/>
      <w:pPr>
        <w:ind w:left="2892" w:hanging="180"/>
      </w:pPr>
    </w:lvl>
    <w:lvl w:ilvl="6" w:tplc="0C09000F" w:tentative="1">
      <w:start w:val="1"/>
      <w:numFmt w:val="decimal"/>
      <w:lvlText w:val="%7."/>
      <w:lvlJc w:val="left"/>
      <w:pPr>
        <w:ind w:left="3612" w:hanging="360"/>
      </w:pPr>
    </w:lvl>
    <w:lvl w:ilvl="7" w:tplc="0C090019" w:tentative="1">
      <w:start w:val="1"/>
      <w:numFmt w:val="lowerLetter"/>
      <w:lvlText w:val="%8."/>
      <w:lvlJc w:val="left"/>
      <w:pPr>
        <w:ind w:left="4332" w:hanging="360"/>
      </w:pPr>
    </w:lvl>
    <w:lvl w:ilvl="8" w:tplc="0C09001B" w:tentative="1">
      <w:start w:val="1"/>
      <w:numFmt w:val="lowerRoman"/>
      <w:lvlText w:val="%9."/>
      <w:lvlJc w:val="right"/>
      <w:pPr>
        <w:ind w:left="5052" w:hanging="180"/>
      </w:pPr>
    </w:lvl>
  </w:abstractNum>
  <w:abstractNum w:abstractNumId="3" w15:restartNumberingAfterBreak="0">
    <w:nsid w:val="10780119"/>
    <w:multiLevelType w:val="hybridMultilevel"/>
    <w:tmpl w:val="84E0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447FF"/>
    <w:multiLevelType w:val="hybridMultilevel"/>
    <w:tmpl w:val="645EF8DE"/>
    <w:lvl w:ilvl="0" w:tplc="9262611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E133C"/>
    <w:multiLevelType w:val="hybridMultilevel"/>
    <w:tmpl w:val="502AAE96"/>
    <w:lvl w:ilvl="0" w:tplc="77986E14">
      <w:start w:val="7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22686"/>
    <w:multiLevelType w:val="hybridMultilevel"/>
    <w:tmpl w:val="579EB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D76883"/>
    <w:multiLevelType w:val="hybridMultilevel"/>
    <w:tmpl w:val="15EC3B88"/>
    <w:lvl w:ilvl="0" w:tplc="34E6C664">
      <w:start w:val="15"/>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8" w15:restartNumberingAfterBreak="0">
    <w:nsid w:val="30C11C85"/>
    <w:multiLevelType w:val="hybridMultilevel"/>
    <w:tmpl w:val="B8701C96"/>
    <w:lvl w:ilvl="0" w:tplc="1CB0D58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F9643E"/>
    <w:multiLevelType w:val="hybridMultilevel"/>
    <w:tmpl w:val="90D0DE90"/>
    <w:lvl w:ilvl="0" w:tplc="358248BA">
      <w:start w:val="1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E7292F"/>
    <w:multiLevelType w:val="hybridMultilevel"/>
    <w:tmpl w:val="6EF2C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C41FA4"/>
    <w:multiLevelType w:val="hybridMultilevel"/>
    <w:tmpl w:val="18F49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FC23A0"/>
    <w:multiLevelType w:val="hybridMultilevel"/>
    <w:tmpl w:val="F6A82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D80F25"/>
    <w:multiLevelType w:val="hybridMultilevel"/>
    <w:tmpl w:val="40B2581E"/>
    <w:lvl w:ilvl="0" w:tplc="0C090001">
      <w:start w:val="1"/>
      <w:numFmt w:val="bullet"/>
      <w:lvlText w:val=""/>
      <w:lvlJc w:val="left"/>
      <w:pPr>
        <w:ind w:left="720" w:hanging="360"/>
      </w:pPr>
      <w:rPr>
        <w:rFonts w:ascii="Symbol" w:hAnsi="Symbol" w:hint="default"/>
      </w:rPr>
    </w:lvl>
    <w:lvl w:ilvl="1" w:tplc="41DAAAC2">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443668"/>
    <w:multiLevelType w:val="hybridMultilevel"/>
    <w:tmpl w:val="DC76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EA27EB"/>
    <w:multiLevelType w:val="hybridMultilevel"/>
    <w:tmpl w:val="D040BDDA"/>
    <w:lvl w:ilvl="0" w:tplc="0980ECCA">
      <w:start w:val="20"/>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3D253F"/>
    <w:multiLevelType w:val="hybridMultilevel"/>
    <w:tmpl w:val="1E18E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134A11"/>
    <w:multiLevelType w:val="hybridMultilevel"/>
    <w:tmpl w:val="5980E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1D1BEA"/>
    <w:multiLevelType w:val="hybridMultilevel"/>
    <w:tmpl w:val="0B204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E51AC9"/>
    <w:multiLevelType w:val="hybridMultilevel"/>
    <w:tmpl w:val="DC2E8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A21914"/>
    <w:multiLevelType w:val="hybridMultilevel"/>
    <w:tmpl w:val="A21CA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8"/>
  </w:num>
  <w:num w:numId="4">
    <w:abstractNumId w:val="8"/>
  </w:num>
  <w:num w:numId="5">
    <w:abstractNumId w:val="3"/>
  </w:num>
  <w:num w:numId="6">
    <w:abstractNumId w:val="9"/>
  </w:num>
  <w:num w:numId="7">
    <w:abstractNumId w:val="20"/>
  </w:num>
  <w:num w:numId="8">
    <w:abstractNumId w:val="7"/>
  </w:num>
  <w:num w:numId="9">
    <w:abstractNumId w:val="15"/>
  </w:num>
  <w:num w:numId="10">
    <w:abstractNumId w:val="5"/>
  </w:num>
  <w:num w:numId="11">
    <w:abstractNumId w:val="14"/>
  </w:num>
  <w:num w:numId="12">
    <w:abstractNumId w:val="11"/>
  </w:num>
  <w:num w:numId="13">
    <w:abstractNumId w:val="10"/>
  </w:num>
  <w:num w:numId="14">
    <w:abstractNumId w:val="2"/>
  </w:num>
  <w:num w:numId="15">
    <w:abstractNumId w:val="13"/>
  </w:num>
  <w:num w:numId="16">
    <w:abstractNumId w:val="12"/>
  </w:num>
  <w:num w:numId="17">
    <w:abstractNumId w:val="19"/>
  </w:num>
  <w:num w:numId="18">
    <w:abstractNumId w:val="1"/>
  </w:num>
  <w:num w:numId="19">
    <w:abstractNumId w:val="17"/>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FD"/>
    <w:rsid w:val="00002B9E"/>
    <w:rsid w:val="00013A20"/>
    <w:rsid w:val="00022368"/>
    <w:rsid w:val="000347DF"/>
    <w:rsid w:val="00051B97"/>
    <w:rsid w:val="000626C8"/>
    <w:rsid w:val="0006765B"/>
    <w:rsid w:val="00093C64"/>
    <w:rsid w:val="000A0F97"/>
    <w:rsid w:val="000A2151"/>
    <w:rsid w:val="000A4C25"/>
    <w:rsid w:val="000A5212"/>
    <w:rsid w:val="000B0118"/>
    <w:rsid w:val="000D76DA"/>
    <w:rsid w:val="000E1710"/>
    <w:rsid w:val="000F2A07"/>
    <w:rsid w:val="000F692A"/>
    <w:rsid w:val="00114121"/>
    <w:rsid w:val="001149FA"/>
    <w:rsid w:val="00143BA7"/>
    <w:rsid w:val="00162CCA"/>
    <w:rsid w:val="00163B31"/>
    <w:rsid w:val="0017435A"/>
    <w:rsid w:val="001919E2"/>
    <w:rsid w:val="001A4349"/>
    <w:rsid w:val="001A56EE"/>
    <w:rsid w:val="001D173E"/>
    <w:rsid w:val="001E63BA"/>
    <w:rsid w:val="00200F2E"/>
    <w:rsid w:val="00202401"/>
    <w:rsid w:val="00207F77"/>
    <w:rsid w:val="002125BB"/>
    <w:rsid w:val="00217670"/>
    <w:rsid w:val="00225362"/>
    <w:rsid w:val="00233ED9"/>
    <w:rsid w:val="0024172D"/>
    <w:rsid w:val="00251D62"/>
    <w:rsid w:val="00252764"/>
    <w:rsid w:val="00253954"/>
    <w:rsid w:val="00262249"/>
    <w:rsid w:val="00270DD4"/>
    <w:rsid w:val="00275B69"/>
    <w:rsid w:val="00285A55"/>
    <w:rsid w:val="00287923"/>
    <w:rsid w:val="002A3A1E"/>
    <w:rsid w:val="002A56F5"/>
    <w:rsid w:val="002A5FB1"/>
    <w:rsid w:val="002B4657"/>
    <w:rsid w:val="002C00B9"/>
    <w:rsid w:val="002D42F6"/>
    <w:rsid w:val="002D7788"/>
    <w:rsid w:val="002E59E4"/>
    <w:rsid w:val="00303921"/>
    <w:rsid w:val="00306A1E"/>
    <w:rsid w:val="0033529E"/>
    <w:rsid w:val="0034470E"/>
    <w:rsid w:val="00365011"/>
    <w:rsid w:val="003727D7"/>
    <w:rsid w:val="00374BA1"/>
    <w:rsid w:val="00384525"/>
    <w:rsid w:val="00392FD9"/>
    <w:rsid w:val="00394520"/>
    <w:rsid w:val="003A3EF9"/>
    <w:rsid w:val="003B0DD2"/>
    <w:rsid w:val="003B23C0"/>
    <w:rsid w:val="003D28E4"/>
    <w:rsid w:val="00404133"/>
    <w:rsid w:val="004043BF"/>
    <w:rsid w:val="004065AA"/>
    <w:rsid w:val="0041481E"/>
    <w:rsid w:val="00415448"/>
    <w:rsid w:val="00415ECA"/>
    <w:rsid w:val="0042045C"/>
    <w:rsid w:val="00430D89"/>
    <w:rsid w:val="00432AA6"/>
    <w:rsid w:val="0043632D"/>
    <w:rsid w:val="0044116A"/>
    <w:rsid w:val="004418A4"/>
    <w:rsid w:val="00442979"/>
    <w:rsid w:val="004464BC"/>
    <w:rsid w:val="00472071"/>
    <w:rsid w:val="00473429"/>
    <w:rsid w:val="00475197"/>
    <w:rsid w:val="004C3670"/>
    <w:rsid w:val="004C491F"/>
    <w:rsid w:val="004C5BF4"/>
    <w:rsid w:val="004D353C"/>
    <w:rsid w:val="004E2B40"/>
    <w:rsid w:val="004E448C"/>
    <w:rsid w:val="004F273B"/>
    <w:rsid w:val="004F7D4E"/>
    <w:rsid w:val="0050435B"/>
    <w:rsid w:val="0052503B"/>
    <w:rsid w:val="00551906"/>
    <w:rsid w:val="00551C14"/>
    <w:rsid w:val="005618AB"/>
    <w:rsid w:val="00581125"/>
    <w:rsid w:val="005825FD"/>
    <w:rsid w:val="005855FC"/>
    <w:rsid w:val="00590257"/>
    <w:rsid w:val="005951D7"/>
    <w:rsid w:val="005B7A3C"/>
    <w:rsid w:val="005C401C"/>
    <w:rsid w:val="005C517A"/>
    <w:rsid w:val="005D0D94"/>
    <w:rsid w:val="005D1B63"/>
    <w:rsid w:val="005D3F7F"/>
    <w:rsid w:val="005D6D23"/>
    <w:rsid w:val="005E1C03"/>
    <w:rsid w:val="005F71E9"/>
    <w:rsid w:val="0060184B"/>
    <w:rsid w:val="00616DCD"/>
    <w:rsid w:val="006347EB"/>
    <w:rsid w:val="006529DC"/>
    <w:rsid w:val="00656918"/>
    <w:rsid w:val="00662C56"/>
    <w:rsid w:val="006765B1"/>
    <w:rsid w:val="00680240"/>
    <w:rsid w:val="00694C68"/>
    <w:rsid w:val="006C42EE"/>
    <w:rsid w:val="006D0232"/>
    <w:rsid w:val="006D6D61"/>
    <w:rsid w:val="006E2A23"/>
    <w:rsid w:val="006E7956"/>
    <w:rsid w:val="006F40CA"/>
    <w:rsid w:val="0070043A"/>
    <w:rsid w:val="0070717B"/>
    <w:rsid w:val="0071074F"/>
    <w:rsid w:val="00717253"/>
    <w:rsid w:val="0072237E"/>
    <w:rsid w:val="00722C1B"/>
    <w:rsid w:val="00723164"/>
    <w:rsid w:val="007407DE"/>
    <w:rsid w:val="0074148C"/>
    <w:rsid w:val="007466DB"/>
    <w:rsid w:val="007535B2"/>
    <w:rsid w:val="00756D73"/>
    <w:rsid w:val="007574CC"/>
    <w:rsid w:val="007811F7"/>
    <w:rsid w:val="00793C33"/>
    <w:rsid w:val="007956B8"/>
    <w:rsid w:val="0079661F"/>
    <w:rsid w:val="007B3A9C"/>
    <w:rsid w:val="007B5F3E"/>
    <w:rsid w:val="007C0025"/>
    <w:rsid w:val="007C353A"/>
    <w:rsid w:val="007D0D4B"/>
    <w:rsid w:val="007D4B9A"/>
    <w:rsid w:val="007F480A"/>
    <w:rsid w:val="007F4B56"/>
    <w:rsid w:val="00805542"/>
    <w:rsid w:val="00805C19"/>
    <w:rsid w:val="0081605C"/>
    <w:rsid w:val="00842E2B"/>
    <w:rsid w:val="008728FE"/>
    <w:rsid w:val="00876FD9"/>
    <w:rsid w:val="008802AF"/>
    <w:rsid w:val="008959D8"/>
    <w:rsid w:val="008A2490"/>
    <w:rsid w:val="008A3980"/>
    <w:rsid w:val="008A471E"/>
    <w:rsid w:val="008A5DB2"/>
    <w:rsid w:val="008B0838"/>
    <w:rsid w:val="008B2A23"/>
    <w:rsid w:val="008B49AE"/>
    <w:rsid w:val="008C39DD"/>
    <w:rsid w:val="008C5CC4"/>
    <w:rsid w:val="008D7C3E"/>
    <w:rsid w:val="008E1457"/>
    <w:rsid w:val="008F045C"/>
    <w:rsid w:val="008F2B85"/>
    <w:rsid w:val="00911188"/>
    <w:rsid w:val="00915948"/>
    <w:rsid w:val="0091611C"/>
    <w:rsid w:val="00916995"/>
    <w:rsid w:val="00917030"/>
    <w:rsid w:val="0091738A"/>
    <w:rsid w:val="009174BF"/>
    <w:rsid w:val="00920F61"/>
    <w:rsid w:val="00922328"/>
    <w:rsid w:val="0092589F"/>
    <w:rsid w:val="00934FCA"/>
    <w:rsid w:val="00941127"/>
    <w:rsid w:val="009425AD"/>
    <w:rsid w:val="009430C9"/>
    <w:rsid w:val="00944327"/>
    <w:rsid w:val="009526F7"/>
    <w:rsid w:val="009653A3"/>
    <w:rsid w:val="00987120"/>
    <w:rsid w:val="009A6E0F"/>
    <w:rsid w:val="009B3AA6"/>
    <w:rsid w:val="009E34F6"/>
    <w:rsid w:val="00A11FCC"/>
    <w:rsid w:val="00A121C9"/>
    <w:rsid w:val="00A14A02"/>
    <w:rsid w:val="00A15AC3"/>
    <w:rsid w:val="00A342C3"/>
    <w:rsid w:val="00A35B9F"/>
    <w:rsid w:val="00A37BE8"/>
    <w:rsid w:val="00A53E83"/>
    <w:rsid w:val="00A5666E"/>
    <w:rsid w:val="00A86C37"/>
    <w:rsid w:val="00A93FDE"/>
    <w:rsid w:val="00AB3984"/>
    <w:rsid w:val="00AC27DA"/>
    <w:rsid w:val="00AD2E6A"/>
    <w:rsid w:val="00AD6BC3"/>
    <w:rsid w:val="00AE4C4C"/>
    <w:rsid w:val="00AF7D72"/>
    <w:rsid w:val="00B00BD0"/>
    <w:rsid w:val="00B01569"/>
    <w:rsid w:val="00B156BD"/>
    <w:rsid w:val="00B20189"/>
    <w:rsid w:val="00B26BF0"/>
    <w:rsid w:val="00B26DBC"/>
    <w:rsid w:val="00B37A05"/>
    <w:rsid w:val="00B4290D"/>
    <w:rsid w:val="00B625E9"/>
    <w:rsid w:val="00B64257"/>
    <w:rsid w:val="00B67891"/>
    <w:rsid w:val="00B708F3"/>
    <w:rsid w:val="00B807E0"/>
    <w:rsid w:val="00B8224A"/>
    <w:rsid w:val="00B86BD7"/>
    <w:rsid w:val="00B86E7B"/>
    <w:rsid w:val="00BA22DE"/>
    <w:rsid w:val="00BD0BE4"/>
    <w:rsid w:val="00C21D00"/>
    <w:rsid w:val="00C2531D"/>
    <w:rsid w:val="00C27634"/>
    <w:rsid w:val="00C462B2"/>
    <w:rsid w:val="00C505B0"/>
    <w:rsid w:val="00C50F56"/>
    <w:rsid w:val="00C607DB"/>
    <w:rsid w:val="00C64326"/>
    <w:rsid w:val="00C82F49"/>
    <w:rsid w:val="00C834F1"/>
    <w:rsid w:val="00C9646D"/>
    <w:rsid w:val="00CB1548"/>
    <w:rsid w:val="00CB1B0D"/>
    <w:rsid w:val="00CB3AB4"/>
    <w:rsid w:val="00CB6CF9"/>
    <w:rsid w:val="00CC3B33"/>
    <w:rsid w:val="00CD1A19"/>
    <w:rsid w:val="00CE4463"/>
    <w:rsid w:val="00CE747D"/>
    <w:rsid w:val="00CF16A6"/>
    <w:rsid w:val="00CF2EE6"/>
    <w:rsid w:val="00CF544E"/>
    <w:rsid w:val="00D00672"/>
    <w:rsid w:val="00D0200A"/>
    <w:rsid w:val="00D03D94"/>
    <w:rsid w:val="00D05B35"/>
    <w:rsid w:val="00D14C34"/>
    <w:rsid w:val="00D25946"/>
    <w:rsid w:val="00D27214"/>
    <w:rsid w:val="00D31457"/>
    <w:rsid w:val="00D52519"/>
    <w:rsid w:val="00D7075A"/>
    <w:rsid w:val="00D722C0"/>
    <w:rsid w:val="00D76389"/>
    <w:rsid w:val="00D801AE"/>
    <w:rsid w:val="00D84297"/>
    <w:rsid w:val="00DA2220"/>
    <w:rsid w:val="00DC24CE"/>
    <w:rsid w:val="00DD2C21"/>
    <w:rsid w:val="00DD2F97"/>
    <w:rsid w:val="00DE05FF"/>
    <w:rsid w:val="00DE4716"/>
    <w:rsid w:val="00DF13BF"/>
    <w:rsid w:val="00DF4DC5"/>
    <w:rsid w:val="00E137BA"/>
    <w:rsid w:val="00E200AF"/>
    <w:rsid w:val="00E27D8F"/>
    <w:rsid w:val="00E446BA"/>
    <w:rsid w:val="00E50747"/>
    <w:rsid w:val="00E54D84"/>
    <w:rsid w:val="00E57057"/>
    <w:rsid w:val="00E6664C"/>
    <w:rsid w:val="00E733FC"/>
    <w:rsid w:val="00E747B8"/>
    <w:rsid w:val="00E84D17"/>
    <w:rsid w:val="00E86474"/>
    <w:rsid w:val="00E90595"/>
    <w:rsid w:val="00E92D9E"/>
    <w:rsid w:val="00E95FA1"/>
    <w:rsid w:val="00EA1FAC"/>
    <w:rsid w:val="00EB0248"/>
    <w:rsid w:val="00EB0F67"/>
    <w:rsid w:val="00EC1642"/>
    <w:rsid w:val="00EC7A4B"/>
    <w:rsid w:val="00ED456D"/>
    <w:rsid w:val="00EE47BB"/>
    <w:rsid w:val="00EE491E"/>
    <w:rsid w:val="00EF0866"/>
    <w:rsid w:val="00F0383B"/>
    <w:rsid w:val="00F13534"/>
    <w:rsid w:val="00F350C0"/>
    <w:rsid w:val="00F479B2"/>
    <w:rsid w:val="00F65F35"/>
    <w:rsid w:val="00F8141B"/>
    <w:rsid w:val="00FA7381"/>
    <w:rsid w:val="00FB167D"/>
    <w:rsid w:val="00FB169A"/>
    <w:rsid w:val="00FC6B45"/>
    <w:rsid w:val="00FD1CE4"/>
    <w:rsid w:val="00FD26F1"/>
    <w:rsid w:val="00FD5609"/>
    <w:rsid w:val="00FE1C5D"/>
    <w:rsid w:val="00FE2EFB"/>
    <w:rsid w:val="00FF1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A039B4"/>
  <w14:defaultImageDpi w14:val="300"/>
  <w15:docId w15:val="{CB278E2F-1C04-4286-851F-C14ED508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5FD"/>
    <w:pPr>
      <w:ind w:left="720"/>
      <w:contextualSpacing/>
    </w:pPr>
  </w:style>
  <w:style w:type="character" w:styleId="Hyperlink">
    <w:name w:val="Hyperlink"/>
    <w:uiPriority w:val="99"/>
    <w:unhideWhenUsed/>
    <w:rsid w:val="005825FD"/>
    <w:rPr>
      <w:color w:val="0000FF"/>
      <w:u w:val="single"/>
    </w:rPr>
  </w:style>
  <w:style w:type="character" w:styleId="CommentReference">
    <w:name w:val="annotation reference"/>
    <w:basedOn w:val="DefaultParagraphFont"/>
    <w:uiPriority w:val="99"/>
    <w:semiHidden/>
    <w:unhideWhenUsed/>
    <w:rsid w:val="005825FD"/>
    <w:rPr>
      <w:sz w:val="18"/>
      <w:szCs w:val="18"/>
    </w:rPr>
  </w:style>
  <w:style w:type="paragraph" w:styleId="CommentText">
    <w:name w:val="annotation text"/>
    <w:basedOn w:val="Normal"/>
    <w:link w:val="CommentTextChar"/>
    <w:uiPriority w:val="99"/>
    <w:semiHidden/>
    <w:unhideWhenUsed/>
    <w:rsid w:val="005825FD"/>
  </w:style>
  <w:style w:type="character" w:customStyle="1" w:styleId="CommentTextChar">
    <w:name w:val="Comment Text Char"/>
    <w:basedOn w:val="DefaultParagraphFont"/>
    <w:link w:val="CommentText"/>
    <w:uiPriority w:val="99"/>
    <w:semiHidden/>
    <w:rsid w:val="005825FD"/>
  </w:style>
  <w:style w:type="paragraph" w:styleId="CommentSubject">
    <w:name w:val="annotation subject"/>
    <w:basedOn w:val="CommentText"/>
    <w:next w:val="CommentText"/>
    <w:link w:val="CommentSubjectChar"/>
    <w:uiPriority w:val="99"/>
    <w:semiHidden/>
    <w:unhideWhenUsed/>
    <w:rsid w:val="005825FD"/>
    <w:rPr>
      <w:b/>
      <w:bCs/>
      <w:sz w:val="20"/>
      <w:szCs w:val="20"/>
    </w:rPr>
  </w:style>
  <w:style w:type="character" w:customStyle="1" w:styleId="CommentSubjectChar">
    <w:name w:val="Comment Subject Char"/>
    <w:basedOn w:val="CommentTextChar"/>
    <w:link w:val="CommentSubject"/>
    <w:uiPriority w:val="99"/>
    <w:semiHidden/>
    <w:rsid w:val="005825FD"/>
    <w:rPr>
      <w:b/>
      <w:bCs/>
      <w:sz w:val="20"/>
      <w:szCs w:val="20"/>
    </w:rPr>
  </w:style>
  <w:style w:type="paragraph" w:styleId="BalloonText">
    <w:name w:val="Balloon Text"/>
    <w:basedOn w:val="Normal"/>
    <w:link w:val="BalloonTextChar"/>
    <w:uiPriority w:val="99"/>
    <w:semiHidden/>
    <w:unhideWhenUsed/>
    <w:rsid w:val="005825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5FD"/>
    <w:rPr>
      <w:rFonts w:ascii="Lucida Grande" w:hAnsi="Lucida Grande" w:cs="Lucida Grande"/>
      <w:sz w:val="18"/>
      <w:szCs w:val="18"/>
    </w:rPr>
  </w:style>
  <w:style w:type="paragraph" w:styleId="NormalWeb">
    <w:name w:val="Normal (Web)"/>
    <w:basedOn w:val="Normal"/>
    <w:uiPriority w:val="99"/>
    <w:unhideWhenUsed/>
    <w:rsid w:val="00F1353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13534"/>
  </w:style>
  <w:style w:type="paragraph" w:customStyle="1" w:styleId="ColorfulList-Accent11">
    <w:name w:val="Colorful List - Accent 11"/>
    <w:basedOn w:val="Normal"/>
    <w:uiPriority w:val="34"/>
    <w:qFormat/>
    <w:rsid w:val="002A3A1E"/>
    <w:pPr>
      <w:ind w:left="720" w:hanging="425"/>
      <w:contextualSpacing/>
    </w:pPr>
    <w:rPr>
      <w:rFonts w:ascii="Calibri" w:eastAsia="Calibri" w:hAnsi="Calibri" w:cs="Times New Roman"/>
      <w:sz w:val="22"/>
      <w:szCs w:val="22"/>
      <w:lang w:val="en-GB"/>
    </w:rPr>
  </w:style>
  <w:style w:type="paragraph" w:styleId="Revision">
    <w:name w:val="Revision"/>
    <w:hidden/>
    <w:uiPriority w:val="99"/>
    <w:semiHidden/>
    <w:rsid w:val="00C27634"/>
  </w:style>
  <w:style w:type="character" w:styleId="FollowedHyperlink">
    <w:name w:val="FollowedHyperlink"/>
    <w:basedOn w:val="DefaultParagraphFont"/>
    <w:uiPriority w:val="99"/>
    <w:semiHidden/>
    <w:unhideWhenUsed/>
    <w:rsid w:val="00143BA7"/>
    <w:rPr>
      <w:color w:val="800080" w:themeColor="followedHyperlink"/>
      <w:u w:val="single"/>
    </w:rPr>
  </w:style>
  <w:style w:type="table" w:customStyle="1" w:styleId="LightList1">
    <w:name w:val="Light List1"/>
    <w:basedOn w:val="TableNormal"/>
    <w:next w:val="LightList"/>
    <w:uiPriority w:val="61"/>
    <w:rsid w:val="000A4C25"/>
    <w:rPr>
      <w:rFonts w:eastAsia="Calibri"/>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0A4C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A35B9F"/>
    <w:pPr>
      <w:autoSpaceDE w:val="0"/>
      <w:autoSpaceDN w:val="0"/>
      <w:adjustRightInd w:val="0"/>
    </w:pPr>
    <w:rPr>
      <w:rFonts w:ascii="Calibri" w:hAnsi="Calibri" w:cs="Calibri"/>
      <w:color w:val="000000"/>
      <w:lang w:val="en-GB"/>
    </w:rPr>
  </w:style>
  <w:style w:type="paragraph" w:styleId="Header">
    <w:name w:val="header"/>
    <w:basedOn w:val="Normal"/>
    <w:link w:val="HeaderChar"/>
    <w:uiPriority w:val="99"/>
    <w:unhideWhenUsed/>
    <w:rsid w:val="00002B9E"/>
    <w:pPr>
      <w:tabs>
        <w:tab w:val="center" w:pos="4513"/>
        <w:tab w:val="right" w:pos="9026"/>
      </w:tabs>
    </w:pPr>
  </w:style>
  <w:style w:type="character" w:customStyle="1" w:styleId="HeaderChar">
    <w:name w:val="Header Char"/>
    <w:basedOn w:val="DefaultParagraphFont"/>
    <w:link w:val="Header"/>
    <w:uiPriority w:val="99"/>
    <w:rsid w:val="00002B9E"/>
  </w:style>
  <w:style w:type="paragraph" w:styleId="Footer">
    <w:name w:val="footer"/>
    <w:basedOn w:val="Normal"/>
    <w:link w:val="FooterChar"/>
    <w:uiPriority w:val="99"/>
    <w:unhideWhenUsed/>
    <w:rsid w:val="00002B9E"/>
    <w:pPr>
      <w:tabs>
        <w:tab w:val="center" w:pos="4513"/>
        <w:tab w:val="right" w:pos="9026"/>
      </w:tabs>
    </w:pPr>
  </w:style>
  <w:style w:type="character" w:customStyle="1" w:styleId="FooterChar">
    <w:name w:val="Footer Char"/>
    <w:basedOn w:val="DefaultParagraphFont"/>
    <w:link w:val="Footer"/>
    <w:uiPriority w:val="99"/>
    <w:rsid w:val="00002B9E"/>
  </w:style>
  <w:style w:type="paragraph" w:styleId="BodyText">
    <w:name w:val="Body Text"/>
    <w:basedOn w:val="Normal"/>
    <w:link w:val="BodyTextChar"/>
    <w:uiPriority w:val="1"/>
    <w:qFormat/>
    <w:rsid w:val="002C00B9"/>
    <w:pPr>
      <w:widowControl w:val="0"/>
      <w:ind w:left="544" w:hanging="424"/>
    </w:pPr>
    <w:rPr>
      <w:rFonts w:ascii="Calibri" w:eastAsia="Calibri" w:hAnsi="Calibri"/>
      <w:sz w:val="22"/>
      <w:szCs w:val="22"/>
    </w:rPr>
  </w:style>
  <w:style w:type="character" w:customStyle="1" w:styleId="BodyTextChar">
    <w:name w:val="Body Text Char"/>
    <w:basedOn w:val="DefaultParagraphFont"/>
    <w:link w:val="BodyText"/>
    <w:uiPriority w:val="1"/>
    <w:rsid w:val="002C00B9"/>
    <w:rPr>
      <w:rFonts w:ascii="Calibri" w:eastAsia="Calibri" w:hAnsi="Calibri"/>
      <w:sz w:val="22"/>
      <w:szCs w:val="22"/>
    </w:rPr>
  </w:style>
  <w:style w:type="character" w:customStyle="1" w:styleId="UnresolvedMention">
    <w:name w:val="Unresolved Mention"/>
    <w:basedOn w:val="DefaultParagraphFont"/>
    <w:uiPriority w:val="99"/>
    <w:semiHidden/>
    <w:unhideWhenUsed/>
    <w:rsid w:val="00676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5014">
      <w:bodyDiv w:val="1"/>
      <w:marLeft w:val="0"/>
      <w:marRight w:val="0"/>
      <w:marTop w:val="0"/>
      <w:marBottom w:val="0"/>
      <w:divBdr>
        <w:top w:val="none" w:sz="0" w:space="0" w:color="auto"/>
        <w:left w:val="none" w:sz="0" w:space="0" w:color="auto"/>
        <w:bottom w:val="none" w:sz="0" w:space="0" w:color="auto"/>
        <w:right w:val="none" w:sz="0" w:space="0" w:color="auto"/>
      </w:divBdr>
    </w:div>
    <w:div w:id="165479380">
      <w:bodyDiv w:val="1"/>
      <w:marLeft w:val="0"/>
      <w:marRight w:val="0"/>
      <w:marTop w:val="0"/>
      <w:marBottom w:val="0"/>
      <w:divBdr>
        <w:top w:val="none" w:sz="0" w:space="0" w:color="auto"/>
        <w:left w:val="none" w:sz="0" w:space="0" w:color="auto"/>
        <w:bottom w:val="none" w:sz="0" w:space="0" w:color="auto"/>
        <w:right w:val="none" w:sz="0" w:space="0" w:color="auto"/>
      </w:divBdr>
      <w:divsChild>
        <w:div w:id="1577668450">
          <w:marLeft w:val="0"/>
          <w:marRight w:val="0"/>
          <w:marTop w:val="0"/>
          <w:marBottom w:val="0"/>
          <w:divBdr>
            <w:top w:val="none" w:sz="0" w:space="0" w:color="auto"/>
            <w:left w:val="none" w:sz="0" w:space="0" w:color="auto"/>
            <w:bottom w:val="none" w:sz="0" w:space="0" w:color="auto"/>
            <w:right w:val="none" w:sz="0" w:space="0" w:color="auto"/>
          </w:divBdr>
          <w:divsChild>
            <w:div w:id="465315578">
              <w:marLeft w:val="0"/>
              <w:marRight w:val="0"/>
              <w:marTop w:val="0"/>
              <w:marBottom w:val="0"/>
              <w:divBdr>
                <w:top w:val="none" w:sz="0" w:space="0" w:color="auto"/>
                <w:left w:val="none" w:sz="0" w:space="0" w:color="auto"/>
                <w:bottom w:val="none" w:sz="0" w:space="0" w:color="auto"/>
                <w:right w:val="none" w:sz="0" w:space="0" w:color="auto"/>
              </w:divBdr>
              <w:divsChild>
                <w:div w:id="1641690677">
                  <w:marLeft w:val="0"/>
                  <w:marRight w:val="0"/>
                  <w:marTop w:val="0"/>
                  <w:marBottom w:val="0"/>
                  <w:divBdr>
                    <w:top w:val="none" w:sz="0" w:space="0" w:color="auto"/>
                    <w:left w:val="none" w:sz="0" w:space="0" w:color="auto"/>
                    <w:bottom w:val="none" w:sz="0" w:space="0" w:color="auto"/>
                    <w:right w:val="none" w:sz="0" w:space="0" w:color="auto"/>
                  </w:divBdr>
                  <w:divsChild>
                    <w:div w:id="15879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6518">
      <w:bodyDiv w:val="1"/>
      <w:marLeft w:val="0"/>
      <w:marRight w:val="0"/>
      <w:marTop w:val="0"/>
      <w:marBottom w:val="0"/>
      <w:divBdr>
        <w:top w:val="none" w:sz="0" w:space="0" w:color="auto"/>
        <w:left w:val="none" w:sz="0" w:space="0" w:color="auto"/>
        <w:bottom w:val="none" w:sz="0" w:space="0" w:color="auto"/>
        <w:right w:val="none" w:sz="0" w:space="0" w:color="auto"/>
      </w:divBdr>
    </w:div>
    <w:div w:id="609318001">
      <w:bodyDiv w:val="1"/>
      <w:marLeft w:val="0"/>
      <w:marRight w:val="0"/>
      <w:marTop w:val="0"/>
      <w:marBottom w:val="0"/>
      <w:divBdr>
        <w:top w:val="none" w:sz="0" w:space="0" w:color="auto"/>
        <w:left w:val="none" w:sz="0" w:space="0" w:color="auto"/>
        <w:bottom w:val="none" w:sz="0" w:space="0" w:color="auto"/>
        <w:right w:val="none" w:sz="0" w:space="0" w:color="auto"/>
      </w:divBdr>
      <w:divsChild>
        <w:div w:id="1735277029">
          <w:marLeft w:val="0"/>
          <w:marRight w:val="0"/>
          <w:marTop w:val="0"/>
          <w:marBottom w:val="0"/>
          <w:divBdr>
            <w:top w:val="none" w:sz="0" w:space="0" w:color="auto"/>
            <w:left w:val="none" w:sz="0" w:space="0" w:color="auto"/>
            <w:bottom w:val="none" w:sz="0" w:space="0" w:color="auto"/>
            <w:right w:val="none" w:sz="0" w:space="0" w:color="auto"/>
          </w:divBdr>
          <w:divsChild>
            <w:div w:id="1620407574">
              <w:marLeft w:val="0"/>
              <w:marRight w:val="0"/>
              <w:marTop w:val="0"/>
              <w:marBottom w:val="0"/>
              <w:divBdr>
                <w:top w:val="none" w:sz="0" w:space="0" w:color="auto"/>
                <w:left w:val="none" w:sz="0" w:space="0" w:color="auto"/>
                <w:bottom w:val="none" w:sz="0" w:space="0" w:color="auto"/>
                <w:right w:val="none" w:sz="0" w:space="0" w:color="auto"/>
              </w:divBdr>
              <w:divsChild>
                <w:div w:id="18166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7774">
      <w:bodyDiv w:val="1"/>
      <w:marLeft w:val="0"/>
      <w:marRight w:val="0"/>
      <w:marTop w:val="0"/>
      <w:marBottom w:val="0"/>
      <w:divBdr>
        <w:top w:val="none" w:sz="0" w:space="0" w:color="auto"/>
        <w:left w:val="none" w:sz="0" w:space="0" w:color="auto"/>
        <w:bottom w:val="none" w:sz="0" w:space="0" w:color="auto"/>
        <w:right w:val="none" w:sz="0" w:space="0" w:color="auto"/>
      </w:divBdr>
      <w:divsChild>
        <w:div w:id="727611021">
          <w:marLeft w:val="0"/>
          <w:marRight w:val="0"/>
          <w:marTop w:val="0"/>
          <w:marBottom w:val="0"/>
          <w:divBdr>
            <w:top w:val="none" w:sz="0" w:space="0" w:color="auto"/>
            <w:left w:val="none" w:sz="0" w:space="0" w:color="auto"/>
            <w:bottom w:val="none" w:sz="0" w:space="0" w:color="auto"/>
            <w:right w:val="none" w:sz="0" w:space="0" w:color="auto"/>
          </w:divBdr>
          <w:divsChild>
            <w:div w:id="1056509614">
              <w:marLeft w:val="0"/>
              <w:marRight w:val="0"/>
              <w:marTop w:val="0"/>
              <w:marBottom w:val="0"/>
              <w:divBdr>
                <w:top w:val="none" w:sz="0" w:space="0" w:color="auto"/>
                <w:left w:val="none" w:sz="0" w:space="0" w:color="auto"/>
                <w:bottom w:val="none" w:sz="0" w:space="0" w:color="auto"/>
                <w:right w:val="none" w:sz="0" w:space="0" w:color="auto"/>
              </w:divBdr>
              <w:divsChild>
                <w:div w:id="6800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4469">
      <w:bodyDiv w:val="1"/>
      <w:marLeft w:val="0"/>
      <w:marRight w:val="0"/>
      <w:marTop w:val="0"/>
      <w:marBottom w:val="0"/>
      <w:divBdr>
        <w:top w:val="none" w:sz="0" w:space="0" w:color="auto"/>
        <w:left w:val="none" w:sz="0" w:space="0" w:color="auto"/>
        <w:bottom w:val="none" w:sz="0" w:space="0" w:color="auto"/>
        <w:right w:val="none" w:sz="0" w:space="0" w:color="auto"/>
      </w:divBdr>
      <w:divsChild>
        <w:div w:id="1027944683">
          <w:marLeft w:val="0"/>
          <w:marRight w:val="0"/>
          <w:marTop w:val="0"/>
          <w:marBottom w:val="0"/>
          <w:divBdr>
            <w:top w:val="none" w:sz="0" w:space="0" w:color="auto"/>
            <w:left w:val="none" w:sz="0" w:space="0" w:color="auto"/>
            <w:bottom w:val="none" w:sz="0" w:space="0" w:color="auto"/>
            <w:right w:val="none" w:sz="0" w:space="0" w:color="auto"/>
          </w:divBdr>
          <w:divsChild>
            <w:div w:id="1065882463">
              <w:marLeft w:val="0"/>
              <w:marRight w:val="0"/>
              <w:marTop w:val="0"/>
              <w:marBottom w:val="0"/>
              <w:divBdr>
                <w:top w:val="none" w:sz="0" w:space="0" w:color="auto"/>
                <w:left w:val="none" w:sz="0" w:space="0" w:color="auto"/>
                <w:bottom w:val="none" w:sz="0" w:space="0" w:color="auto"/>
                <w:right w:val="none" w:sz="0" w:space="0" w:color="auto"/>
              </w:divBdr>
              <w:divsChild>
                <w:div w:id="12999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6634">
      <w:bodyDiv w:val="1"/>
      <w:marLeft w:val="0"/>
      <w:marRight w:val="0"/>
      <w:marTop w:val="0"/>
      <w:marBottom w:val="0"/>
      <w:divBdr>
        <w:top w:val="none" w:sz="0" w:space="0" w:color="auto"/>
        <w:left w:val="none" w:sz="0" w:space="0" w:color="auto"/>
        <w:bottom w:val="none" w:sz="0" w:space="0" w:color="auto"/>
        <w:right w:val="none" w:sz="0" w:space="0" w:color="auto"/>
      </w:divBdr>
      <w:divsChild>
        <w:div w:id="1903372282">
          <w:marLeft w:val="0"/>
          <w:marRight w:val="0"/>
          <w:marTop w:val="0"/>
          <w:marBottom w:val="0"/>
          <w:divBdr>
            <w:top w:val="none" w:sz="0" w:space="0" w:color="auto"/>
            <w:left w:val="none" w:sz="0" w:space="0" w:color="auto"/>
            <w:bottom w:val="none" w:sz="0" w:space="0" w:color="auto"/>
            <w:right w:val="none" w:sz="0" w:space="0" w:color="auto"/>
          </w:divBdr>
          <w:divsChild>
            <w:div w:id="963393132">
              <w:marLeft w:val="0"/>
              <w:marRight w:val="0"/>
              <w:marTop w:val="0"/>
              <w:marBottom w:val="0"/>
              <w:divBdr>
                <w:top w:val="none" w:sz="0" w:space="0" w:color="auto"/>
                <w:left w:val="none" w:sz="0" w:space="0" w:color="auto"/>
                <w:bottom w:val="none" w:sz="0" w:space="0" w:color="auto"/>
                <w:right w:val="none" w:sz="0" w:space="0" w:color="auto"/>
              </w:divBdr>
              <w:divsChild>
                <w:div w:id="1819178938">
                  <w:marLeft w:val="0"/>
                  <w:marRight w:val="0"/>
                  <w:marTop w:val="0"/>
                  <w:marBottom w:val="0"/>
                  <w:divBdr>
                    <w:top w:val="none" w:sz="0" w:space="0" w:color="auto"/>
                    <w:left w:val="none" w:sz="0" w:space="0" w:color="auto"/>
                    <w:bottom w:val="none" w:sz="0" w:space="0" w:color="auto"/>
                    <w:right w:val="none" w:sz="0" w:space="0" w:color="auto"/>
                  </w:divBdr>
                  <w:divsChild>
                    <w:div w:id="12617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1598">
      <w:bodyDiv w:val="1"/>
      <w:marLeft w:val="0"/>
      <w:marRight w:val="0"/>
      <w:marTop w:val="0"/>
      <w:marBottom w:val="0"/>
      <w:divBdr>
        <w:top w:val="none" w:sz="0" w:space="0" w:color="auto"/>
        <w:left w:val="none" w:sz="0" w:space="0" w:color="auto"/>
        <w:bottom w:val="none" w:sz="0" w:space="0" w:color="auto"/>
        <w:right w:val="none" w:sz="0" w:space="0" w:color="auto"/>
      </w:divBdr>
    </w:div>
    <w:div w:id="1230650602">
      <w:bodyDiv w:val="1"/>
      <w:marLeft w:val="0"/>
      <w:marRight w:val="0"/>
      <w:marTop w:val="0"/>
      <w:marBottom w:val="0"/>
      <w:divBdr>
        <w:top w:val="none" w:sz="0" w:space="0" w:color="auto"/>
        <w:left w:val="none" w:sz="0" w:space="0" w:color="auto"/>
        <w:bottom w:val="none" w:sz="0" w:space="0" w:color="auto"/>
        <w:right w:val="none" w:sz="0" w:space="0" w:color="auto"/>
      </w:divBdr>
    </w:div>
    <w:div w:id="1459907840">
      <w:bodyDiv w:val="1"/>
      <w:marLeft w:val="0"/>
      <w:marRight w:val="0"/>
      <w:marTop w:val="0"/>
      <w:marBottom w:val="0"/>
      <w:divBdr>
        <w:top w:val="none" w:sz="0" w:space="0" w:color="auto"/>
        <w:left w:val="none" w:sz="0" w:space="0" w:color="auto"/>
        <w:bottom w:val="none" w:sz="0" w:space="0" w:color="auto"/>
        <w:right w:val="none" w:sz="0" w:space="0" w:color="auto"/>
      </w:divBdr>
      <w:divsChild>
        <w:div w:id="743381673">
          <w:marLeft w:val="0"/>
          <w:marRight w:val="0"/>
          <w:marTop w:val="0"/>
          <w:marBottom w:val="0"/>
          <w:divBdr>
            <w:top w:val="none" w:sz="0" w:space="0" w:color="auto"/>
            <w:left w:val="none" w:sz="0" w:space="0" w:color="auto"/>
            <w:bottom w:val="none" w:sz="0" w:space="0" w:color="auto"/>
            <w:right w:val="none" w:sz="0" w:space="0" w:color="auto"/>
          </w:divBdr>
          <w:divsChild>
            <w:div w:id="1364819684">
              <w:marLeft w:val="0"/>
              <w:marRight w:val="0"/>
              <w:marTop w:val="0"/>
              <w:marBottom w:val="0"/>
              <w:divBdr>
                <w:top w:val="none" w:sz="0" w:space="0" w:color="auto"/>
                <w:left w:val="none" w:sz="0" w:space="0" w:color="auto"/>
                <w:bottom w:val="none" w:sz="0" w:space="0" w:color="auto"/>
                <w:right w:val="none" w:sz="0" w:space="0" w:color="auto"/>
              </w:divBdr>
              <w:divsChild>
                <w:div w:id="173350993">
                  <w:marLeft w:val="0"/>
                  <w:marRight w:val="0"/>
                  <w:marTop w:val="0"/>
                  <w:marBottom w:val="0"/>
                  <w:divBdr>
                    <w:top w:val="none" w:sz="0" w:space="0" w:color="auto"/>
                    <w:left w:val="none" w:sz="0" w:space="0" w:color="auto"/>
                    <w:bottom w:val="none" w:sz="0" w:space="0" w:color="auto"/>
                    <w:right w:val="none" w:sz="0" w:space="0" w:color="auto"/>
                  </w:divBdr>
                  <w:divsChild>
                    <w:div w:id="5396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0627">
      <w:bodyDiv w:val="1"/>
      <w:marLeft w:val="0"/>
      <w:marRight w:val="0"/>
      <w:marTop w:val="0"/>
      <w:marBottom w:val="0"/>
      <w:divBdr>
        <w:top w:val="none" w:sz="0" w:space="0" w:color="auto"/>
        <w:left w:val="none" w:sz="0" w:space="0" w:color="auto"/>
        <w:bottom w:val="none" w:sz="0" w:space="0" w:color="auto"/>
        <w:right w:val="none" w:sz="0" w:space="0" w:color="auto"/>
      </w:divBdr>
      <w:divsChild>
        <w:div w:id="1839999451">
          <w:marLeft w:val="0"/>
          <w:marRight w:val="0"/>
          <w:marTop w:val="0"/>
          <w:marBottom w:val="0"/>
          <w:divBdr>
            <w:top w:val="none" w:sz="0" w:space="0" w:color="auto"/>
            <w:left w:val="none" w:sz="0" w:space="0" w:color="auto"/>
            <w:bottom w:val="none" w:sz="0" w:space="0" w:color="auto"/>
            <w:right w:val="none" w:sz="0" w:space="0" w:color="auto"/>
          </w:divBdr>
          <w:divsChild>
            <w:div w:id="410005537">
              <w:marLeft w:val="0"/>
              <w:marRight w:val="0"/>
              <w:marTop w:val="0"/>
              <w:marBottom w:val="0"/>
              <w:divBdr>
                <w:top w:val="none" w:sz="0" w:space="0" w:color="auto"/>
                <w:left w:val="none" w:sz="0" w:space="0" w:color="auto"/>
                <w:bottom w:val="none" w:sz="0" w:space="0" w:color="auto"/>
                <w:right w:val="none" w:sz="0" w:space="0" w:color="auto"/>
              </w:divBdr>
              <w:divsChild>
                <w:div w:id="15592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35274">
      <w:bodyDiv w:val="1"/>
      <w:marLeft w:val="0"/>
      <w:marRight w:val="0"/>
      <w:marTop w:val="0"/>
      <w:marBottom w:val="0"/>
      <w:divBdr>
        <w:top w:val="none" w:sz="0" w:space="0" w:color="auto"/>
        <w:left w:val="none" w:sz="0" w:space="0" w:color="auto"/>
        <w:bottom w:val="none" w:sz="0" w:space="0" w:color="auto"/>
        <w:right w:val="none" w:sz="0" w:space="0" w:color="auto"/>
      </w:divBdr>
      <w:divsChild>
        <w:div w:id="1201354675">
          <w:marLeft w:val="0"/>
          <w:marRight w:val="0"/>
          <w:marTop w:val="0"/>
          <w:marBottom w:val="0"/>
          <w:divBdr>
            <w:top w:val="none" w:sz="0" w:space="0" w:color="auto"/>
            <w:left w:val="none" w:sz="0" w:space="0" w:color="auto"/>
            <w:bottom w:val="none" w:sz="0" w:space="0" w:color="auto"/>
            <w:right w:val="none" w:sz="0" w:space="0" w:color="auto"/>
          </w:divBdr>
          <w:divsChild>
            <w:div w:id="1199273150">
              <w:marLeft w:val="0"/>
              <w:marRight w:val="0"/>
              <w:marTop w:val="0"/>
              <w:marBottom w:val="0"/>
              <w:divBdr>
                <w:top w:val="none" w:sz="0" w:space="0" w:color="auto"/>
                <w:left w:val="none" w:sz="0" w:space="0" w:color="auto"/>
                <w:bottom w:val="none" w:sz="0" w:space="0" w:color="auto"/>
                <w:right w:val="none" w:sz="0" w:space="0" w:color="auto"/>
              </w:divBdr>
              <w:divsChild>
                <w:div w:id="1298294833">
                  <w:marLeft w:val="0"/>
                  <w:marRight w:val="0"/>
                  <w:marTop w:val="0"/>
                  <w:marBottom w:val="0"/>
                  <w:divBdr>
                    <w:top w:val="none" w:sz="0" w:space="0" w:color="auto"/>
                    <w:left w:val="none" w:sz="0" w:space="0" w:color="auto"/>
                    <w:bottom w:val="none" w:sz="0" w:space="0" w:color="auto"/>
                    <w:right w:val="none" w:sz="0" w:space="0" w:color="auto"/>
                  </w:divBdr>
                  <w:divsChild>
                    <w:div w:id="4610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99462">
      <w:bodyDiv w:val="1"/>
      <w:marLeft w:val="0"/>
      <w:marRight w:val="0"/>
      <w:marTop w:val="0"/>
      <w:marBottom w:val="0"/>
      <w:divBdr>
        <w:top w:val="none" w:sz="0" w:space="0" w:color="auto"/>
        <w:left w:val="none" w:sz="0" w:space="0" w:color="auto"/>
        <w:bottom w:val="none" w:sz="0" w:space="0" w:color="auto"/>
        <w:right w:val="none" w:sz="0" w:space="0" w:color="auto"/>
      </w:divBdr>
      <w:divsChild>
        <w:div w:id="320087920">
          <w:marLeft w:val="0"/>
          <w:marRight w:val="0"/>
          <w:marTop w:val="0"/>
          <w:marBottom w:val="0"/>
          <w:divBdr>
            <w:top w:val="none" w:sz="0" w:space="0" w:color="auto"/>
            <w:left w:val="none" w:sz="0" w:space="0" w:color="auto"/>
            <w:bottom w:val="none" w:sz="0" w:space="0" w:color="auto"/>
            <w:right w:val="none" w:sz="0" w:space="0" w:color="auto"/>
          </w:divBdr>
          <w:divsChild>
            <w:div w:id="2060543644">
              <w:marLeft w:val="0"/>
              <w:marRight w:val="0"/>
              <w:marTop w:val="0"/>
              <w:marBottom w:val="0"/>
              <w:divBdr>
                <w:top w:val="none" w:sz="0" w:space="0" w:color="auto"/>
                <w:left w:val="none" w:sz="0" w:space="0" w:color="auto"/>
                <w:bottom w:val="none" w:sz="0" w:space="0" w:color="auto"/>
                <w:right w:val="none" w:sz="0" w:space="0" w:color="auto"/>
              </w:divBdr>
              <w:divsChild>
                <w:div w:id="4146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269953">
      <w:bodyDiv w:val="1"/>
      <w:marLeft w:val="0"/>
      <w:marRight w:val="0"/>
      <w:marTop w:val="0"/>
      <w:marBottom w:val="0"/>
      <w:divBdr>
        <w:top w:val="none" w:sz="0" w:space="0" w:color="auto"/>
        <w:left w:val="none" w:sz="0" w:space="0" w:color="auto"/>
        <w:bottom w:val="none" w:sz="0" w:space="0" w:color="auto"/>
        <w:right w:val="none" w:sz="0" w:space="0" w:color="auto"/>
      </w:divBdr>
      <w:divsChild>
        <w:div w:id="216750112">
          <w:marLeft w:val="0"/>
          <w:marRight w:val="0"/>
          <w:marTop w:val="0"/>
          <w:marBottom w:val="0"/>
          <w:divBdr>
            <w:top w:val="none" w:sz="0" w:space="0" w:color="auto"/>
            <w:left w:val="none" w:sz="0" w:space="0" w:color="auto"/>
            <w:bottom w:val="none" w:sz="0" w:space="0" w:color="auto"/>
            <w:right w:val="none" w:sz="0" w:space="0" w:color="auto"/>
          </w:divBdr>
          <w:divsChild>
            <w:div w:id="738793100">
              <w:marLeft w:val="0"/>
              <w:marRight w:val="0"/>
              <w:marTop w:val="0"/>
              <w:marBottom w:val="0"/>
              <w:divBdr>
                <w:top w:val="none" w:sz="0" w:space="0" w:color="auto"/>
                <w:left w:val="none" w:sz="0" w:space="0" w:color="auto"/>
                <w:bottom w:val="none" w:sz="0" w:space="0" w:color="auto"/>
                <w:right w:val="none" w:sz="0" w:space="0" w:color="auto"/>
              </w:divBdr>
              <w:divsChild>
                <w:div w:id="5410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7386">
      <w:bodyDiv w:val="1"/>
      <w:marLeft w:val="0"/>
      <w:marRight w:val="0"/>
      <w:marTop w:val="0"/>
      <w:marBottom w:val="0"/>
      <w:divBdr>
        <w:top w:val="none" w:sz="0" w:space="0" w:color="auto"/>
        <w:left w:val="none" w:sz="0" w:space="0" w:color="auto"/>
        <w:bottom w:val="none" w:sz="0" w:space="0" w:color="auto"/>
        <w:right w:val="none" w:sz="0" w:space="0" w:color="auto"/>
      </w:divBdr>
    </w:div>
    <w:div w:id="2127305124">
      <w:bodyDiv w:val="1"/>
      <w:marLeft w:val="0"/>
      <w:marRight w:val="0"/>
      <w:marTop w:val="0"/>
      <w:marBottom w:val="0"/>
      <w:divBdr>
        <w:top w:val="none" w:sz="0" w:space="0" w:color="auto"/>
        <w:left w:val="none" w:sz="0" w:space="0" w:color="auto"/>
        <w:bottom w:val="none" w:sz="0" w:space="0" w:color="auto"/>
        <w:right w:val="none" w:sz="0" w:space="0" w:color="auto"/>
      </w:divBdr>
      <w:divsChild>
        <w:div w:id="170799464">
          <w:marLeft w:val="0"/>
          <w:marRight w:val="0"/>
          <w:marTop w:val="0"/>
          <w:marBottom w:val="0"/>
          <w:divBdr>
            <w:top w:val="none" w:sz="0" w:space="0" w:color="auto"/>
            <w:left w:val="none" w:sz="0" w:space="0" w:color="auto"/>
            <w:bottom w:val="none" w:sz="0" w:space="0" w:color="auto"/>
            <w:right w:val="none" w:sz="0" w:space="0" w:color="auto"/>
          </w:divBdr>
          <w:divsChild>
            <w:div w:id="1574240516">
              <w:marLeft w:val="0"/>
              <w:marRight w:val="0"/>
              <w:marTop w:val="0"/>
              <w:marBottom w:val="0"/>
              <w:divBdr>
                <w:top w:val="none" w:sz="0" w:space="0" w:color="auto"/>
                <w:left w:val="none" w:sz="0" w:space="0" w:color="auto"/>
                <w:bottom w:val="none" w:sz="0" w:space="0" w:color="auto"/>
                <w:right w:val="none" w:sz="0" w:space="0" w:color="auto"/>
              </w:divBdr>
              <w:divsChild>
                <w:div w:id="647052345">
                  <w:marLeft w:val="0"/>
                  <w:marRight w:val="0"/>
                  <w:marTop w:val="0"/>
                  <w:marBottom w:val="0"/>
                  <w:divBdr>
                    <w:top w:val="none" w:sz="0" w:space="0" w:color="auto"/>
                    <w:left w:val="none" w:sz="0" w:space="0" w:color="auto"/>
                    <w:bottom w:val="none" w:sz="0" w:space="0" w:color="auto"/>
                    <w:right w:val="none" w:sz="0" w:space="0" w:color="auto"/>
                  </w:divBdr>
                  <w:divsChild>
                    <w:div w:id="11929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95772">
      <w:bodyDiv w:val="1"/>
      <w:marLeft w:val="0"/>
      <w:marRight w:val="0"/>
      <w:marTop w:val="0"/>
      <w:marBottom w:val="0"/>
      <w:divBdr>
        <w:top w:val="none" w:sz="0" w:space="0" w:color="auto"/>
        <w:left w:val="none" w:sz="0" w:space="0" w:color="auto"/>
        <w:bottom w:val="none" w:sz="0" w:space="0" w:color="auto"/>
        <w:right w:val="none" w:sz="0" w:space="0" w:color="auto"/>
      </w:divBdr>
      <w:divsChild>
        <w:div w:id="1719741533">
          <w:marLeft w:val="0"/>
          <w:marRight w:val="0"/>
          <w:marTop w:val="0"/>
          <w:marBottom w:val="0"/>
          <w:divBdr>
            <w:top w:val="none" w:sz="0" w:space="0" w:color="auto"/>
            <w:left w:val="none" w:sz="0" w:space="0" w:color="auto"/>
            <w:bottom w:val="none" w:sz="0" w:space="0" w:color="auto"/>
            <w:right w:val="none" w:sz="0" w:space="0" w:color="auto"/>
          </w:divBdr>
          <w:divsChild>
            <w:div w:id="1870215915">
              <w:marLeft w:val="0"/>
              <w:marRight w:val="0"/>
              <w:marTop w:val="0"/>
              <w:marBottom w:val="0"/>
              <w:divBdr>
                <w:top w:val="none" w:sz="0" w:space="0" w:color="auto"/>
                <w:left w:val="none" w:sz="0" w:space="0" w:color="auto"/>
                <w:bottom w:val="none" w:sz="0" w:space="0" w:color="auto"/>
                <w:right w:val="none" w:sz="0" w:space="0" w:color="auto"/>
              </w:divBdr>
              <w:divsChild>
                <w:div w:id="1613126095">
                  <w:marLeft w:val="0"/>
                  <w:marRight w:val="0"/>
                  <w:marTop w:val="0"/>
                  <w:marBottom w:val="0"/>
                  <w:divBdr>
                    <w:top w:val="none" w:sz="0" w:space="0" w:color="auto"/>
                    <w:left w:val="none" w:sz="0" w:space="0" w:color="auto"/>
                    <w:bottom w:val="none" w:sz="0" w:space="0" w:color="auto"/>
                    <w:right w:val="none" w:sz="0" w:space="0" w:color="auto"/>
                  </w:divBdr>
                  <w:divsChild>
                    <w:div w:id="12541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wetnet.org/news/2018/5/global-wetland-survey---results-may-2018" TargetMode="External"/><Relationship Id="rId5" Type="http://schemas.openxmlformats.org/officeDocument/2006/relationships/webSettings" Target="webSettings.xml"/><Relationship Id="rId10" Type="http://schemas.openxmlformats.org/officeDocument/2006/relationships/hyperlink" Target="https://www.ramsar.org/fr/ressources/outils-de-gestion-des-sites-ramsar" TargetMode="External"/><Relationship Id="rId4" Type="http://schemas.openxmlformats.org/officeDocument/2006/relationships/settings" Target="settings.xml"/><Relationship Id="rId9" Type="http://schemas.openxmlformats.org/officeDocument/2006/relationships/hyperlink" Target="https://www.ramsar.org/fr/document/sc53-03-progres-dapplication-du-plan-daction-de-cesp-2016-20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35DE9-30FE-4143-B83B-6766B750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7557</Words>
  <Characters>43081</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Gardner</dc:creator>
  <cp:lastModifiedBy>JENNINGS Edmund</cp:lastModifiedBy>
  <cp:revision>2</cp:revision>
  <cp:lastPrinted>2018-08-12T17:56:00Z</cp:lastPrinted>
  <dcterms:created xsi:type="dcterms:W3CDTF">2018-09-13T10:04:00Z</dcterms:created>
  <dcterms:modified xsi:type="dcterms:W3CDTF">2018-09-13T10:04:00Z</dcterms:modified>
</cp:coreProperties>
</file>