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D86E75" w:rsidRPr="000E67F8" w14:paraId="5EECA98E" w14:textId="77777777" w:rsidTr="008D476C">
        <w:tc>
          <w:tcPr>
            <w:tcW w:w="4708" w:type="dxa"/>
          </w:tcPr>
          <w:p w14:paraId="6D2DB491" w14:textId="77777777" w:rsidR="00D86E75" w:rsidRPr="000E67F8" w:rsidRDefault="00D86E75" w:rsidP="008D476C">
            <w:pPr>
              <w:ind w:right="17"/>
              <w:jc w:val="center"/>
              <w:outlineLvl w:val="0"/>
              <w:rPr>
                <w:rFonts w:eastAsia="Times New Roman" w:cstheme="majorHAnsi"/>
                <w:b/>
                <w:bCs/>
                <w:sz w:val="24"/>
                <w:szCs w:val="24"/>
                <w:lang w:val="en-US"/>
              </w:rPr>
            </w:pPr>
          </w:p>
        </w:tc>
        <w:tc>
          <w:tcPr>
            <w:tcW w:w="4652" w:type="dxa"/>
          </w:tcPr>
          <w:p w14:paraId="0D750FD2" w14:textId="7791BF8C" w:rsidR="00D86E75" w:rsidRPr="000E67F8" w:rsidRDefault="00D86E75" w:rsidP="00D86E75">
            <w:pPr>
              <w:ind w:right="67"/>
              <w:jc w:val="right"/>
              <w:outlineLvl w:val="0"/>
              <w:rPr>
                <w:rFonts w:eastAsia="Times New Roman" w:cstheme="majorHAnsi"/>
                <w:b/>
                <w:bCs/>
                <w:sz w:val="24"/>
                <w:szCs w:val="24"/>
                <w:lang w:val="en-US"/>
              </w:rPr>
            </w:pPr>
            <w:r w:rsidRPr="000E67F8">
              <w:rPr>
                <w:rFonts w:eastAsia="Times New Roman" w:cstheme="majorHAnsi"/>
                <w:b/>
                <w:bCs/>
                <w:sz w:val="24"/>
                <w:szCs w:val="24"/>
                <w:lang w:val="en-US"/>
              </w:rPr>
              <w:t xml:space="preserve">Ramsar COP13 </w:t>
            </w:r>
            <w:r>
              <w:rPr>
                <w:rFonts w:eastAsia="Times New Roman" w:cstheme="majorHAnsi"/>
                <w:b/>
                <w:bCs/>
                <w:sz w:val="24"/>
                <w:szCs w:val="24"/>
                <w:lang w:val="en-US"/>
              </w:rPr>
              <w:t>Inf.5</w:t>
            </w:r>
          </w:p>
        </w:tc>
      </w:tr>
    </w:tbl>
    <w:p w14:paraId="4FFB313B" w14:textId="77777777" w:rsidR="00D86E75" w:rsidRDefault="00D86E75" w:rsidP="005A2ACF">
      <w:pPr>
        <w:ind w:left="425" w:hanging="425"/>
        <w:jc w:val="center"/>
        <w:rPr>
          <w:rFonts w:ascii="Times New Roman" w:hAnsi="Times New Roman"/>
          <w:b/>
          <w:sz w:val="24"/>
        </w:rPr>
      </w:pPr>
    </w:p>
    <w:p w14:paraId="750F7137" w14:textId="77777777" w:rsidR="00D86E75" w:rsidRDefault="00D86E75" w:rsidP="005A2ACF">
      <w:pPr>
        <w:ind w:left="425" w:hanging="425"/>
        <w:jc w:val="center"/>
        <w:rPr>
          <w:rFonts w:ascii="Times New Roman" w:hAnsi="Times New Roman"/>
          <w:b/>
          <w:sz w:val="24"/>
        </w:rPr>
      </w:pPr>
    </w:p>
    <w:p w14:paraId="2A36996A" w14:textId="09755375" w:rsidR="005A2ACF" w:rsidRPr="005A2ACF" w:rsidRDefault="0045434B" w:rsidP="005A2ACF">
      <w:pPr>
        <w:ind w:left="425" w:hanging="425"/>
        <w:jc w:val="center"/>
        <w:rPr>
          <w:rFonts w:ascii="Times New Roman" w:hAnsi="Times New Roman"/>
          <w:b/>
          <w:sz w:val="24"/>
        </w:rPr>
      </w:pPr>
      <w:r>
        <w:rPr>
          <w:rFonts w:ascii="Times New Roman" w:hAnsi="Times New Roman"/>
          <w:b/>
          <w:sz w:val="24"/>
        </w:rPr>
        <w:t xml:space="preserve">Governance Contact Group – Compromise </w:t>
      </w:r>
      <w:r w:rsidR="005A2ACF" w:rsidRPr="005A2ACF">
        <w:rPr>
          <w:rFonts w:ascii="Times New Roman" w:hAnsi="Times New Roman"/>
          <w:b/>
          <w:sz w:val="24"/>
        </w:rPr>
        <w:t xml:space="preserve">Draft Decision </w:t>
      </w:r>
      <w:r w:rsidR="00F632AC">
        <w:rPr>
          <w:rFonts w:ascii="Times New Roman" w:hAnsi="Times New Roman"/>
          <w:b/>
          <w:sz w:val="24"/>
        </w:rPr>
        <w:t>– 2</w:t>
      </w:r>
      <w:r w:rsidR="003B16EB">
        <w:rPr>
          <w:rFonts w:ascii="Times New Roman" w:hAnsi="Times New Roman"/>
          <w:b/>
          <w:sz w:val="24"/>
        </w:rPr>
        <w:t>5</w:t>
      </w:r>
      <w:r w:rsidR="00F632AC" w:rsidRPr="00F632AC">
        <w:rPr>
          <w:rFonts w:ascii="Times New Roman" w:hAnsi="Times New Roman"/>
          <w:b/>
          <w:sz w:val="24"/>
          <w:vertAlign w:val="superscript"/>
        </w:rPr>
        <w:t>th</w:t>
      </w:r>
      <w:r w:rsidR="00F632AC">
        <w:rPr>
          <w:rFonts w:ascii="Times New Roman" w:hAnsi="Times New Roman"/>
          <w:b/>
          <w:sz w:val="24"/>
        </w:rPr>
        <w:t xml:space="preserve"> October 2018</w:t>
      </w:r>
    </w:p>
    <w:p w14:paraId="0BA8541F" w14:textId="77777777" w:rsidR="005A2ACF" w:rsidRDefault="005A2ACF" w:rsidP="005A2ACF">
      <w:pPr>
        <w:ind w:left="425" w:hanging="425"/>
        <w:rPr>
          <w:rFonts w:ascii="Times New Roman" w:hAnsi="Times New Roman"/>
          <w:sz w:val="24"/>
        </w:rPr>
      </w:pPr>
    </w:p>
    <w:p w14:paraId="53AFF038" w14:textId="77777777" w:rsidR="003D1A4B" w:rsidRDefault="003D1A4B" w:rsidP="005A2ACF">
      <w:pPr>
        <w:ind w:left="425" w:hanging="425"/>
        <w:rPr>
          <w:rFonts w:ascii="Times New Roman" w:hAnsi="Times New Roman"/>
          <w:sz w:val="24"/>
        </w:rPr>
      </w:pPr>
      <w:bookmarkStart w:id="0" w:name="_GoBack"/>
      <w:bookmarkEnd w:id="0"/>
    </w:p>
    <w:p w14:paraId="07221B74" w14:textId="4A62E0E2" w:rsidR="00440B74" w:rsidRDefault="00440B74" w:rsidP="00440B74">
      <w:pPr>
        <w:pStyle w:val="ListParagraph"/>
        <w:numPr>
          <w:ilvl w:val="0"/>
          <w:numId w:val="3"/>
        </w:numPr>
        <w:ind w:left="426" w:hanging="426"/>
        <w:rPr>
          <w:rFonts w:ascii="Times New Roman" w:hAnsi="Times New Roman"/>
          <w:sz w:val="24"/>
        </w:rPr>
      </w:pPr>
      <w:r w:rsidRPr="00440B74">
        <w:rPr>
          <w:rFonts w:ascii="Times New Roman" w:hAnsi="Times New Roman"/>
          <w:sz w:val="24"/>
        </w:rPr>
        <w:t xml:space="preserve">ACKNOWLEDGING the importance of providing </w:t>
      </w:r>
      <w:r w:rsidR="0061706B">
        <w:rPr>
          <w:rFonts w:ascii="Times New Roman" w:hAnsi="Times New Roman"/>
          <w:sz w:val="24"/>
        </w:rPr>
        <w:t>an</w:t>
      </w:r>
      <w:r w:rsidR="0061706B" w:rsidRPr="00440B74">
        <w:rPr>
          <w:rFonts w:ascii="Times New Roman" w:hAnsi="Times New Roman"/>
          <w:sz w:val="24"/>
        </w:rPr>
        <w:t xml:space="preserve"> </w:t>
      </w:r>
      <w:r w:rsidRPr="00440B74">
        <w:rPr>
          <w:rFonts w:ascii="Times New Roman" w:hAnsi="Times New Roman"/>
          <w:sz w:val="24"/>
        </w:rPr>
        <w:t>adequate institutiona</w:t>
      </w:r>
      <w:r>
        <w:rPr>
          <w:rFonts w:ascii="Times New Roman" w:hAnsi="Times New Roman"/>
          <w:sz w:val="24"/>
        </w:rPr>
        <w:t xml:space="preserve">l set-up for a </w:t>
      </w:r>
      <w:r w:rsidR="00082892">
        <w:rPr>
          <w:rFonts w:ascii="Times New Roman" w:hAnsi="Times New Roman"/>
          <w:sz w:val="24"/>
        </w:rPr>
        <w:t xml:space="preserve">global </w:t>
      </w:r>
      <w:r>
        <w:rPr>
          <w:rFonts w:ascii="Times New Roman" w:hAnsi="Times New Roman"/>
          <w:sz w:val="24"/>
        </w:rPr>
        <w:t>convention with 170 Parties</w:t>
      </w:r>
      <w:r w:rsidR="00A41E77">
        <w:rPr>
          <w:rFonts w:ascii="Times New Roman" w:hAnsi="Times New Roman"/>
          <w:sz w:val="24"/>
        </w:rPr>
        <w:t>;</w:t>
      </w:r>
    </w:p>
    <w:p w14:paraId="412AB4CA" w14:textId="77777777" w:rsidR="00440B74" w:rsidRDefault="00440B74" w:rsidP="00440B74">
      <w:pPr>
        <w:pStyle w:val="ListParagraph"/>
        <w:ind w:left="426"/>
        <w:rPr>
          <w:rFonts w:ascii="Times New Roman" w:hAnsi="Times New Roman"/>
          <w:sz w:val="24"/>
        </w:rPr>
      </w:pPr>
    </w:p>
    <w:p w14:paraId="1F9F6EB6" w14:textId="5D6D862C" w:rsidR="003B3904" w:rsidRPr="00A70CE8" w:rsidRDefault="003B3904" w:rsidP="00440B74">
      <w:pPr>
        <w:pStyle w:val="ListParagraph"/>
        <w:numPr>
          <w:ilvl w:val="0"/>
          <w:numId w:val="3"/>
        </w:numPr>
        <w:ind w:left="426" w:hanging="426"/>
        <w:rPr>
          <w:rFonts w:ascii="Times New Roman" w:hAnsi="Times New Roman"/>
          <w:sz w:val="24"/>
        </w:rPr>
      </w:pPr>
      <w:r w:rsidRPr="00A70CE8">
        <w:rPr>
          <w:rFonts w:ascii="Times New Roman" w:hAnsi="Times New Roman"/>
          <w:sz w:val="24"/>
        </w:rPr>
        <w:t>RECALLING</w:t>
      </w:r>
      <w:r w:rsidR="00A70CE8" w:rsidRPr="00A70CE8">
        <w:rPr>
          <w:rFonts w:ascii="Times New Roman" w:hAnsi="Times New Roman"/>
          <w:sz w:val="24"/>
        </w:rPr>
        <w:t xml:space="preserve"> the Convention’s mission of conservation and wise use of all wetlands through local and national actions and international cooperation, as a contribution towards achieving sustainable d</w:t>
      </w:r>
      <w:r w:rsidR="00440B74">
        <w:rPr>
          <w:rFonts w:ascii="Times New Roman" w:hAnsi="Times New Roman"/>
          <w:sz w:val="24"/>
        </w:rPr>
        <w:t>evelopment throughout the world;</w:t>
      </w:r>
    </w:p>
    <w:p w14:paraId="4266F1D7" w14:textId="77777777" w:rsidR="00A70CE8" w:rsidRDefault="00A70CE8" w:rsidP="00440B74">
      <w:pPr>
        <w:ind w:left="426" w:hanging="426"/>
        <w:rPr>
          <w:rFonts w:ascii="Times New Roman" w:hAnsi="Times New Roman"/>
          <w:sz w:val="24"/>
        </w:rPr>
      </w:pPr>
    </w:p>
    <w:p w14:paraId="0258A804" w14:textId="068F8093" w:rsidR="00A70CE8" w:rsidRDefault="00A70CE8" w:rsidP="00440B74">
      <w:pPr>
        <w:pStyle w:val="ListParagraph"/>
        <w:numPr>
          <w:ilvl w:val="0"/>
          <w:numId w:val="3"/>
        </w:numPr>
        <w:ind w:left="426" w:hanging="426"/>
        <w:rPr>
          <w:rFonts w:ascii="Times New Roman" w:hAnsi="Times New Roman"/>
          <w:sz w:val="24"/>
        </w:rPr>
      </w:pPr>
      <w:r w:rsidRPr="00A70CE8">
        <w:rPr>
          <w:rFonts w:ascii="Times New Roman" w:hAnsi="Times New Roman"/>
          <w:sz w:val="24"/>
        </w:rPr>
        <w:t xml:space="preserve">FURTHER RECALLING Contracting Parties’ commitment to work towards </w:t>
      </w:r>
      <w:r>
        <w:rPr>
          <w:rFonts w:ascii="Times New Roman" w:hAnsi="Times New Roman"/>
          <w:sz w:val="24"/>
        </w:rPr>
        <w:t>achievement of the Convention’s mission</w:t>
      </w:r>
      <w:r w:rsidRPr="00A70CE8">
        <w:rPr>
          <w:rFonts w:ascii="Times New Roman" w:hAnsi="Times New Roman"/>
          <w:sz w:val="24"/>
        </w:rPr>
        <w:t xml:space="preserve">, both within their own territories and through cooperation globally and with other </w:t>
      </w:r>
      <w:r w:rsidR="002D2B0A">
        <w:rPr>
          <w:rFonts w:ascii="Times New Roman" w:hAnsi="Times New Roman"/>
          <w:sz w:val="24"/>
        </w:rPr>
        <w:t xml:space="preserve">Contracting </w:t>
      </w:r>
      <w:r w:rsidR="00440B74">
        <w:rPr>
          <w:rFonts w:ascii="Times New Roman" w:hAnsi="Times New Roman"/>
          <w:sz w:val="24"/>
        </w:rPr>
        <w:t>Parties;</w:t>
      </w:r>
    </w:p>
    <w:p w14:paraId="1E324BF1" w14:textId="77777777" w:rsidR="00A70CE8" w:rsidRPr="00A70CE8" w:rsidRDefault="00A70CE8" w:rsidP="00A70CE8">
      <w:pPr>
        <w:rPr>
          <w:rFonts w:ascii="Times New Roman" w:hAnsi="Times New Roman"/>
          <w:sz w:val="24"/>
        </w:rPr>
      </w:pPr>
    </w:p>
    <w:p w14:paraId="0A980FA8" w14:textId="381DE4AD" w:rsidR="00A70CE8" w:rsidRPr="00A70CE8" w:rsidRDefault="00A70CE8" w:rsidP="00A70CE8">
      <w:pPr>
        <w:pStyle w:val="ListParagraph"/>
        <w:numPr>
          <w:ilvl w:val="0"/>
          <w:numId w:val="3"/>
        </w:numPr>
        <w:ind w:left="360"/>
        <w:rPr>
          <w:rFonts w:ascii="Times New Roman" w:hAnsi="Times New Roman"/>
          <w:sz w:val="24"/>
        </w:rPr>
      </w:pPr>
      <w:r w:rsidRPr="00A70CE8">
        <w:rPr>
          <w:rFonts w:ascii="Times New Roman" w:hAnsi="Times New Roman"/>
          <w:sz w:val="24"/>
        </w:rPr>
        <w:t xml:space="preserve">ALSO RECALLING the </w:t>
      </w:r>
      <w:r w:rsidR="001E0173">
        <w:rPr>
          <w:rFonts w:ascii="Times New Roman" w:hAnsi="Times New Roman"/>
          <w:sz w:val="24"/>
        </w:rPr>
        <w:t>v</w:t>
      </w:r>
      <w:r w:rsidRPr="00A70CE8">
        <w:rPr>
          <w:rFonts w:ascii="Times New Roman" w:hAnsi="Times New Roman"/>
          <w:sz w:val="24"/>
        </w:rPr>
        <w:t xml:space="preserve">ision of the Ramsar Strategic Plan 2016-2024 that </w:t>
      </w:r>
      <w:r w:rsidR="002D2B0A">
        <w:rPr>
          <w:rFonts w:ascii="Times New Roman" w:hAnsi="Times New Roman"/>
          <w:sz w:val="24"/>
        </w:rPr>
        <w:t>w</w:t>
      </w:r>
      <w:r w:rsidRPr="00A70CE8">
        <w:rPr>
          <w:rFonts w:ascii="Times New Roman" w:hAnsi="Times New Roman"/>
          <w:sz w:val="24"/>
        </w:rPr>
        <w:t>etlands are conserved, wisely used, restored and their benefits are recognized and valued by all</w:t>
      </w:r>
      <w:r w:rsidR="00082892">
        <w:rPr>
          <w:rFonts w:ascii="Times New Roman" w:hAnsi="Times New Roman"/>
          <w:sz w:val="24"/>
        </w:rPr>
        <w:t>,</w:t>
      </w:r>
      <w:r>
        <w:rPr>
          <w:rFonts w:ascii="Times New Roman" w:hAnsi="Times New Roman"/>
          <w:sz w:val="24"/>
        </w:rPr>
        <w:t xml:space="preserve"> and </w:t>
      </w:r>
      <w:r w:rsidR="002D2B0A">
        <w:rPr>
          <w:rFonts w:ascii="Times New Roman" w:hAnsi="Times New Roman"/>
          <w:sz w:val="24"/>
        </w:rPr>
        <w:t>the Plan’s</w:t>
      </w:r>
      <w:r w:rsidR="001E0173">
        <w:rPr>
          <w:rFonts w:ascii="Times New Roman" w:hAnsi="Times New Roman"/>
          <w:sz w:val="24"/>
        </w:rPr>
        <w:t xml:space="preserve"> g</w:t>
      </w:r>
      <w:r>
        <w:rPr>
          <w:rFonts w:ascii="Times New Roman" w:hAnsi="Times New Roman"/>
          <w:sz w:val="24"/>
        </w:rPr>
        <w:t xml:space="preserve">oals </w:t>
      </w:r>
      <w:r w:rsidR="001E0173">
        <w:rPr>
          <w:rFonts w:ascii="Times New Roman" w:hAnsi="Times New Roman"/>
          <w:sz w:val="24"/>
        </w:rPr>
        <w:t xml:space="preserve">of </w:t>
      </w:r>
      <w:r>
        <w:rPr>
          <w:rFonts w:ascii="Times New Roman" w:hAnsi="Times New Roman"/>
          <w:sz w:val="24"/>
        </w:rPr>
        <w:t>address</w:t>
      </w:r>
      <w:r w:rsidR="001E0173">
        <w:rPr>
          <w:rFonts w:ascii="Times New Roman" w:hAnsi="Times New Roman"/>
          <w:sz w:val="24"/>
        </w:rPr>
        <w:t>ing</w:t>
      </w:r>
      <w:r>
        <w:rPr>
          <w:rFonts w:ascii="Times New Roman" w:hAnsi="Times New Roman"/>
          <w:sz w:val="24"/>
        </w:rPr>
        <w:t xml:space="preserve"> the drivers of wetland loss and degradation, effectively conserv</w:t>
      </w:r>
      <w:r w:rsidR="001E0173">
        <w:rPr>
          <w:rFonts w:ascii="Times New Roman" w:hAnsi="Times New Roman"/>
          <w:sz w:val="24"/>
        </w:rPr>
        <w:t>ing</w:t>
      </w:r>
      <w:r>
        <w:rPr>
          <w:rFonts w:ascii="Times New Roman" w:hAnsi="Times New Roman"/>
          <w:sz w:val="24"/>
        </w:rPr>
        <w:t xml:space="preserve"> and manag</w:t>
      </w:r>
      <w:r w:rsidR="001E0173">
        <w:rPr>
          <w:rFonts w:ascii="Times New Roman" w:hAnsi="Times New Roman"/>
          <w:sz w:val="24"/>
        </w:rPr>
        <w:t>ing</w:t>
      </w:r>
      <w:r>
        <w:rPr>
          <w:rFonts w:ascii="Times New Roman" w:hAnsi="Times New Roman"/>
          <w:sz w:val="24"/>
        </w:rPr>
        <w:t xml:space="preserve"> the </w:t>
      </w:r>
      <w:r w:rsidR="007E0D37">
        <w:rPr>
          <w:rFonts w:ascii="Times New Roman" w:hAnsi="Times New Roman"/>
          <w:sz w:val="24"/>
        </w:rPr>
        <w:t xml:space="preserve">network of </w:t>
      </w:r>
      <w:r>
        <w:rPr>
          <w:rFonts w:ascii="Times New Roman" w:hAnsi="Times New Roman"/>
          <w:sz w:val="24"/>
        </w:rPr>
        <w:t xml:space="preserve">Ramsar </w:t>
      </w:r>
      <w:r w:rsidR="007E0D37">
        <w:rPr>
          <w:rFonts w:ascii="Times New Roman" w:hAnsi="Times New Roman"/>
          <w:sz w:val="24"/>
        </w:rPr>
        <w:t>s</w:t>
      </w:r>
      <w:r>
        <w:rPr>
          <w:rFonts w:ascii="Times New Roman" w:hAnsi="Times New Roman"/>
          <w:sz w:val="24"/>
        </w:rPr>
        <w:t>ite</w:t>
      </w:r>
      <w:r w:rsidR="007E0D37">
        <w:rPr>
          <w:rFonts w:ascii="Times New Roman" w:hAnsi="Times New Roman"/>
          <w:sz w:val="24"/>
        </w:rPr>
        <w:t>s</w:t>
      </w:r>
      <w:r w:rsidR="001E0173">
        <w:rPr>
          <w:rFonts w:ascii="Times New Roman" w:hAnsi="Times New Roman"/>
          <w:sz w:val="24"/>
        </w:rPr>
        <w:t xml:space="preserve">, </w:t>
      </w:r>
      <w:r>
        <w:rPr>
          <w:rFonts w:ascii="Times New Roman" w:hAnsi="Times New Roman"/>
          <w:sz w:val="24"/>
        </w:rPr>
        <w:t>wisely us</w:t>
      </w:r>
      <w:r w:rsidR="001E0173">
        <w:rPr>
          <w:rFonts w:ascii="Times New Roman" w:hAnsi="Times New Roman"/>
          <w:sz w:val="24"/>
        </w:rPr>
        <w:t>ing</w:t>
      </w:r>
      <w:r>
        <w:rPr>
          <w:rFonts w:ascii="Times New Roman" w:hAnsi="Times New Roman"/>
          <w:sz w:val="24"/>
        </w:rPr>
        <w:t xml:space="preserve"> all wetlands, </w:t>
      </w:r>
      <w:r w:rsidR="001E0173">
        <w:rPr>
          <w:rFonts w:ascii="Times New Roman" w:hAnsi="Times New Roman"/>
          <w:sz w:val="24"/>
        </w:rPr>
        <w:t xml:space="preserve">and </w:t>
      </w:r>
      <w:r>
        <w:rPr>
          <w:rFonts w:ascii="Times New Roman" w:hAnsi="Times New Roman"/>
          <w:sz w:val="24"/>
        </w:rPr>
        <w:t>enhancing i</w:t>
      </w:r>
      <w:r w:rsidR="00440B74">
        <w:rPr>
          <w:rFonts w:ascii="Times New Roman" w:hAnsi="Times New Roman"/>
          <w:sz w:val="24"/>
        </w:rPr>
        <w:t>mplementation of the Convention;</w:t>
      </w:r>
    </w:p>
    <w:p w14:paraId="069D65DE" w14:textId="77777777" w:rsidR="005A2ACF" w:rsidRPr="005A2ACF" w:rsidRDefault="005A2ACF" w:rsidP="005A2ACF">
      <w:pPr>
        <w:ind w:left="425" w:hanging="425"/>
        <w:rPr>
          <w:rFonts w:ascii="Times New Roman" w:hAnsi="Times New Roman"/>
          <w:sz w:val="24"/>
        </w:rPr>
      </w:pPr>
    </w:p>
    <w:p w14:paraId="5F59B436" w14:textId="62DB44C7" w:rsidR="005A2ACF" w:rsidRPr="00A70CE8" w:rsidRDefault="005A2ACF" w:rsidP="00DC0647">
      <w:pPr>
        <w:pStyle w:val="ListParagraph"/>
        <w:numPr>
          <w:ilvl w:val="0"/>
          <w:numId w:val="3"/>
        </w:numPr>
        <w:ind w:left="360"/>
        <w:rPr>
          <w:rFonts w:ascii="Times New Roman" w:hAnsi="Times New Roman"/>
          <w:sz w:val="24"/>
        </w:rPr>
      </w:pPr>
      <w:r w:rsidRPr="00A70CE8">
        <w:rPr>
          <w:rFonts w:ascii="Times New Roman" w:hAnsi="Times New Roman"/>
          <w:sz w:val="24"/>
        </w:rPr>
        <w:t xml:space="preserve">NOTING WITH APPRECIATION the extensive and continuing work by </w:t>
      </w:r>
      <w:r w:rsidR="00A259A1" w:rsidRPr="00A70CE8">
        <w:rPr>
          <w:rFonts w:ascii="Times New Roman" w:hAnsi="Times New Roman"/>
          <w:sz w:val="24"/>
        </w:rPr>
        <w:t xml:space="preserve">Contracting </w:t>
      </w:r>
      <w:r w:rsidRPr="00A70CE8">
        <w:rPr>
          <w:rFonts w:ascii="Times New Roman" w:hAnsi="Times New Roman"/>
          <w:sz w:val="24"/>
        </w:rPr>
        <w:t xml:space="preserve">Parties and the Secretariat to support the implementation of the Convention </w:t>
      </w:r>
      <w:r w:rsidR="00DC0647">
        <w:rPr>
          <w:rFonts w:ascii="Times New Roman" w:hAnsi="Times New Roman"/>
          <w:sz w:val="24"/>
        </w:rPr>
        <w:t xml:space="preserve">and its Strategic Plan </w:t>
      </w:r>
      <w:r w:rsidRPr="00A70CE8">
        <w:rPr>
          <w:rFonts w:ascii="Times New Roman" w:hAnsi="Times New Roman"/>
          <w:sz w:val="24"/>
        </w:rPr>
        <w:t xml:space="preserve">through efforts undertaken </w:t>
      </w:r>
      <w:r w:rsidR="00440B74">
        <w:rPr>
          <w:rFonts w:ascii="Times New Roman" w:hAnsi="Times New Roman"/>
          <w:sz w:val="24"/>
        </w:rPr>
        <w:t>by the bodies of the Convention;</w:t>
      </w:r>
    </w:p>
    <w:p w14:paraId="0F636F29" w14:textId="77777777" w:rsidR="005A2ACF" w:rsidRPr="005A2ACF" w:rsidRDefault="005A2ACF" w:rsidP="00DC0647">
      <w:pPr>
        <w:pStyle w:val="ListParagraph"/>
        <w:ind w:left="360"/>
        <w:rPr>
          <w:rFonts w:ascii="Times New Roman" w:hAnsi="Times New Roman"/>
          <w:sz w:val="24"/>
        </w:rPr>
      </w:pPr>
    </w:p>
    <w:p w14:paraId="74AC2ED0" w14:textId="0BFAD891" w:rsidR="005A2ACF" w:rsidRPr="005A2ACF" w:rsidRDefault="005A2ACF" w:rsidP="00DC0647">
      <w:pPr>
        <w:pStyle w:val="ListParagraph"/>
        <w:numPr>
          <w:ilvl w:val="0"/>
          <w:numId w:val="3"/>
        </w:numPr>
        <w:ind w:left="360"/>
        <w:rPr>
          <w:rFonts w:ascii="Times New Roman" w:hAnsi="Times New Roman"/>
          <w:sz w:val="24"/>
        </w:rPr>
      </w:pPr>
      <w:r w:rsidRPr="005A2ACF">
        <w:rPr>
          <w:rFonts w:ascii="Times New Roman" w:hAnsi="Times New Roman"/>
          <w:sz w:val="24"/>
        </w:rPr>
        <w:t>RECOGNIZING that the Convention has a crucial role to play and contribution to make to the 2030 Agenda for Sustainable Development and to the achievement of th</w:t>
      </w:r>
      <w:r w:rsidR="00440B74">
        <w:rPr>
          <w:rFonts w:ascii="Times New Roman" w:hAnsi="Times New Roman"/>
          <w:sz w:val="24"/>
        </w:rPr>
        <w:t>e Sustainable Development Goals;</w:t>
      </w:r>
    </w:p>
    <w:p w14:paraId="0C8CE73D" w14:textId="77777777" w:rsidR="00DC0647" w:rsidRDefault="00DC0647" w:rsidP="00DC0647">
      <w:pPr>
        <w:pStyle w:val="ListParagraph"/>
        <w:ind w:left="360"/>
        <w:rPr>
          <w:rFonts w:ascii="Times New Roman" w:hAnsi="Times New Roman"/>
          <w:sz w:val="24"/>
        </w:rPr>
      </w:pPr>
    </w:p>
    <w:p w14:paraId="148FC470" w14:textId="571FF7A3" w:rsidR="005A2ACF" w:rsidRPr="005A2ACF" w:rsidRDefault="005A2ACF" w:rsidP="006C7CD5">
      <w:pPr>
        <w:pStyle w:val="ListParagraph"/>
        <w:numPr>
          <w:ilvl w:val="0"/>
          <w:numId w:val="3"/>
        </w:numPr>
        <w:ind w:left="360"/>
        <w:rPr>
          <w:rFonts w:ascii="Times New Roman" w:hAnsi="Times New Roman"/>
          <w:sz w:val="24"/>
        </w:rPr>
      </w:pPr>
      <w:r w:rsidRPr="005A2ACF">
        <w:rPr>
          <w:rFonts w:ascii="Times New Roman" w:hAnsi="Times New Roman"/>
          <w:sz w:val="24"/>
        </w:rPr>
        <w:t xml:space="preserve">REITERATING the obligation on all </w:t>
      </w:r>
      <w:r w:rsidR="00A259A1">
        <w:rPr>
          <w:rFonts w:ascii="Times New Roman" w:hAnsi="Times New Roman"/>
          <w:sz w:val="24"/>
        </w:rPr>
        <w:t xml:space="preserve">Contracting </w:t>
      </w:r>
      <w:r w:rsidRPr="005A2ACF">
        <w:rPr>
          <w:rFonts w:ascii="Times New Roman" w:hAnsi="Times New Roman"/>
          <w:sz w:val="24"/>
        </w:rPr>
        <w:t xml:space="preserve">Parties </w:t>
      </w:r>
      <w:r w:rsidR="002317B4" w:rsidRPr="002317B4">
        <w:rPr>
          <w:rFonts w:ascii="Times New Roman" w:hAnsi="Times New Roman"/>
          <w:sz w:val="24"/>
        </w:rPr>
        <w:t xml:space="preserve">to contribute to Convention </w:t>
      </w:r>
      <w:r w:rsidR="002317B4">
        <w:rPr>
          <w:rFonts w:ascii="Times New Roman" w:hAnsi="Times New Roman"/>
          <w:sz w:val="24"/>
        </w:rPr>
        <w:t>deliberations and processes</w:t>
      </w:r>
      <w:r w:rsidR="002317B4" w:rsidRPr="002317B4">
        <w:rPr>
          <w:rFonts w:ascii="Times New Roman" w:hAnsi="Times New Roman"/>
          <w:sz w:val="24"/>
        </w:rPr>
        <w:t xml:space="preserve"> in a manner that </w:t>
      </w:r>
      <w:r w:rsidRPr="005A2ACF">
        <w:rPr>
          <w:rFonts w:ascii="Times New Roman" w:hAnsi="Times New Roman"/>
          <w:sz w:val="24"/>
        </w:rPr>
        <w:t>ensure</w:t>
      </w:r>
      <w:r w:rsidR="002317B4">
        <w:rPr>
          <w:rFonts w:ascii="Times New Roman" w:hAnsi="Times New Roman"/>
          <w:sz w:val="24"/>
        </w:rPr>
        <w:t>s</w:t>
      </w:r>
      <w:r w:rsidRPr="005A2ACF">
        <w:rPr>
          <w:rFonts w:ascii="Times New Roman" w:hAnsi="Times New Roman"/>
          <w:sz w:val="24"/>
        </w:rPr>
        <w:t xml:space="preserve"> the effective and efficient use of Convention and </w:t>
      </w:r>
      <w:r w:rsidR="00A259A1">
        <w:rPr>
          <w:rFonts w:ascii="Times New Roman" w:hAnsi="Times New Roman"/>
          <w:sz w:val="24"/>
        </w:rPr>
        <w:t xml:space="preserve">Contracting </w:t>
      </w:r>
      <w:r w:rsidRPr="005A2ACF">
        <w:rPr>
          <w:rFonts w:ascii="Times New Roman" w:hAnsi="Times New Roman"/>
          <w:sz w:val="24"/>
        </w:rPr>
        <w:t xml:space="preserve">Party resources </w:t>
      </w:r>
      <w:r w:rsidR="00A82A1C">
        <w:rPr>
          <w:rFonts w:ascii="Times New Roman" w:hAnsi="Times New Roman"/>
          <w:sz w:val="24"/>
        </w:rPr>
        <w:t xml:space="preserve">in order </w:t>
      </w:r>
      <w:r w:rsidRPr="005A2ACF">
        <w:rPr>
          <w:rFonts w:ascii="Times New Roman" w:hAnsi="Times New Roman"/>
          <w:sz w:val="24"/>
        </w:rPr>
        <w:t xml:space="preserve">to support the best outcomes </w:t>
      </w:r>
      <w:r w:rsidR="00440B74">
        <w:rPr>
          <w:rFonts w:ascii="Times New Roman" w:hAnsi="Times New Roman"/>
          <w:sz w:val="24"/>
        </w:rPr>
        <w:t>for wetlands and the Convention;</w:t>
      </w:r>
    </w:p>
    <w:p w14:paraId="6A6FB5C8" w14:textId="77777777" w:rsidR="005A2ACF" w:rsidRPr="005A2ACF" w:rsidRDefault="005A2ACF" w:rsidP="00DC0647">
      <w:pPr>
        <w:pStyle w:val="ListParagraph"/>
        <w:ind w:left="360"/>
        <w:rPr>
          <w:rFonts w:ascii="Times New Roman" w:hAnsi="Times New Roman"/>
          <w:sz w:val="24"/>
        </w:rPr>
      </w:pPr>
    </w:p>
    <w:p w14:paraId="5A9DA33B" w14:textId="74311D58" w:rsidR="005A2ACF" w:rsidRPr="005A2ACF" w:rsidRDefault="005A2ACF" w:rsidP="00DC0647">
      <w:pPr>
        <w:pStyle w:val="ListParagraph"/>
        <w:numPr>
          <w:ilvl w:val="0"/>
          <w:numId w:val="3"/>
        </w:numPr>
        <w:ind w:left="360"/>
        <w:rPr>
          <w:rFonts w:ascii="Times New Roman" w:hAnsi="Times New Roman"/>
          <w:sz w:val="24"/>
        </w:rPr>
      </w:pPr>
      <w:r w:rsidRPr="005A2ACF">
        <w:rPr>
          <w:rFonts w:ascii="Times New Roman" w:hAnsi="Times New Roman"/>
          <w:sz w:val="24"/>
        </w:rPr>
        <w:t>RECOGNIZI</w:t>
      </w:r>
      <w:r w:rsidR="00DF4EDC">
        <w:rPr>
          <w:rFonts w:ascii="Times New Roman" w:hAnsi="Times New Roman"/>
          <w:sz w:val="24"/>
        </w:rPr>
        <w:t xml:space="preserve">NG that on </w:t>
      </w:r>
      <w:r w:rsidR="0061706B">
        <w:rPr>
          <w:rFonts w:ascii="Times New Roman" w:hAnsi="Times New Roman"/>
          <w:sz w:val="24"/>
        </w:rPr>
        <w:t>as</w:t>
      </w:r>
      <w:r w:rsidR="00DF4EDC">
        <w:rPr>
          <w:rFonts w:ascii="Times New Roman" w:hAnsi="Times New Roman"/>
          <w:sz w:val="24"/>
        </w:rPr>
        <w:t xml:space="preserve"> the 50</w:t>
      </w:r>
      <w:r w:rsidR="00DF4EDC" w:rsidRPr="00DF4EDC">
        <w:rPr>
          <w:rFonts w:ascii="Times New Roman" w:hAnsi="Times New Roman"/>
          <w:sz w:val="24"/>
          <w:vertAlign w:val="superscript"/>
        </w:rPr>
        <w:t>th</w:t>
      </w:r>
      <w:r w:rsidR="00DF4EDC">
        <w:rPr>
          <w:rFonts w:ascii="Times New Roman" w:hAnsi="Times New Roman"/>
          <w:sz w:val="24"/>
        </w:rPr>
        <w:t xml:space="preserve"> Anniversary of the Convention</w:t>
      </w:r>
      <w:r w:rsidR="0061706B">
        <w:rPr>
          <w:rFonts w:ascii="Times New Roman" w:hAnsi="Times New Roman"/>
          <w:sz w:val="24"/>
        </w:rPr>
        <w:t xml:space="preserve"> approaches</w:t>
      </w:r>
      <w:r w:rsidR="00DF4EDC">
        <w:rPr>
          <w:rFonts w:ascii="Times New Roman" w:hAnsi="Times New Roman"/>
          <w:sz w:val="24"/>
        </w:rPr>
        <w:t>,</w:t>
      </w:r>
      <w:r w:rsidRPr="005A2ACF">
        <w:rPr>
          <w:rFonts w:ascii="Times New Roman" w:hAnsi="Times New Roman"/>
          <w:sz w:val="24"/>
        </w:rPr>
        <w:t xml:space="preserve"> the intended mandates, reporting ar</w:t>
      </w:r>
      <w:r w:rsidR="00DF4EDC">
        <w:rPr>
          <w:rFonts w:ascii="Times New Roman" w:hAnsi="Times New Roman"/>
          <w:sz w:val="24"/>
        </w:rPr>
        <w:t>rangements, and</w:t>
      </w:r>
      <w:r w:rsidRPr="005A2ACF">
        <w:rPr>
          <w:rFonts w:ascii="Times New Roman" w:hAnsi="Times New Roman"/>
          <w:sz w:val="24"/>
        </w:rPr>
        <w:t xml:space="preserve"> bodies of the Convention </w:t>
      </w:r>
      <w:r w:rsidR="00DF4EDC">
        <w:rPr>
          <w:rFonts w:ascii="Times New Roman" w:hAnsi="Times New Roman"/>
          <w:sz w:val="24"/>
        </w:rPr>
        <w:t>should be reviewed and refreshed</w:t>
      </w:r>
      <w:r w:rsidRPr="005A2ACF">
        <w:rPr>
          <w:rFonts w:ascii="Times New Roman" w:hAnsi="Times New Roman"/>
          <w:sz w:val="24"/>
        </w:rPr>
        <w:t xml:space="preserve"> to enhance the effectiveness of the Convention</w:t>
      </w:r>
      <w:r w:rsidR="00A93735">
        <w:rPr>
          <w:rFonts w:ascii="Times New Roman" w:hAnsi="Times New Roman"/>
          <w:sz w:val="24"/>
        </w:rPr>
        <w:t>, increase its visibility and foster synergies</w:t>
      </w:r>
      <w:r w:rsidR="00440B74">
        <w:rPr>
          <w:rFonts w:ascii="Times New Roman" w:hAnsi="Times New Roman"/>
          <w:sz w:val="24"/>
        </w:rPr>
        <w:t>;</w:t>
      </w:r>
    </w:p>
    <w:p w14:paraId="6C8BE5A6" w14:textId="77777777" w:rsidR="00A259A1" w:rsidRPr="005A2ACF" w:rsidRDefault="00A259A1" w:rsidP="005A2ACF">
      <w:pPr>
        <w:pStyle w:val="NoSpacing"/>
        <w:ind w:left="425" w:hanging="425"/>
        <w:rPr>
          <w:rFonts w:ascii="Times New Roman" w:hAnsi="Times New Roman" w:cs="Times New Roman"/>
          <w:sz w:val="24"/>
        </w:rPr>
      </w:pPr>
    </w:p>
    <w:p w14:paraId="4DF5FBA1" w14:textId="77777777" w:rsidR="005A2ACF" w:rsidRPr="005A2ACF" w:rsidRDefault="005A2ACF" w:rsidP="005A2ACF">
      <w:pPr>
        <w:pStyle w:val="NoSpacing"/>
        <w:ind w:left="425" w:hanging="425"/>
        <w:jc w:val="center"/>
        <w:rPr>
          <w:rFonts w:ascii="Times New Roman" w:hAnsi="Times New Roman" w:cs="Times New Roman"/>
          <w:sz w:val="24"/>
        </w:rPr>
      </w:pPr>
      <w:r w:rsidRPr="005A2ACF">
        <w:rPr>
          <w:rFonts w:ascii="Times New Roman" w:hAnsi="Times New Roman" w:cs="Times New Roman"/>
          <w:sz w:val="24"/>
        </w:rPr>
        <w:t>THE CONFERENCE OF THE CONTRACTING PARTIES</w:t>
      </w:r>
    </w:p>
    <w:p w14:paraId="70C31FBC" w14:textId="77777777" w:rsidR="00A259A1" w:rsidRPr="005A2ACF" w:rsidRDefault="00A259A1" w:rsidP="005A2ACF">
      <w:pPr>
        <w:pStyle w:val="NoSpacing"/>
        <w:ind w:left="425" w:hanging="425"/>
        <w:rPr>
          <w:rFonts w:ascii="Times New Roman" w:hAnsi="Times New Roman" w:cs="Times New Roman"/>
          <w:sz w:val="24"/>
        </w:rPr>
      </w:pPr>
    </w:p>
    <w:p w14:paraId="08A55DBF" w14:textId="2918CA48" w:rsidR="005A2ACF" w:rsidRDefault="005A2ACF" w:rsidP="001E0173">
      <w:pPr>
        <w:pStyle w:val="ListParagraph"/>
        <w:numPr>
          <w:ilvl w:val="0"/>
          <w:numId w:val="3"/>
        </w:numPr>
        <w:ind w:left="360"/>
        <w:rPr>
          <w:rFonts w:ascii="Times New Roman" w:hAnsi="Times New Roman"/>
          <w:sz w:val="24"/>
          <w:szCs w:val="24"/>
        </w:rPr>
      </w:pPr>
      <w:r w:rsidRPr="005A2ACF">
        <w:rPr>
          <w:rFonts w:ascii="Times New Roman" w:hAnsi="Times New Roman"/>
          <w:sz w:val="24"/>
        </w:rPr>
        <w:t xml:space="preserve">EXPRESSES ITS GRATITUDE to all bodies of the Convention for the accomplishments and </w:t>
      </w:r>
      <w:r w:rsidRPr="00355B91">
        <w:rPr>
          <w:rFonts w:ascii="Times New Roman" w:hAnsi="Times New Roman"/>
          <w:sz w:val="24"/>
          <w:szCs w:val="24"/>
        </w:rPr>
        <w:t>benefits to the Convention rea</w:t>
      </w:r>
      <w:r w:rsidR="00440B74">
        <w:rPr>
          <w:rFonts w:ascii="Times New Roman" w:hAnsi="Times New Roman"/>
          <w:sz w:val="24"/>
          <w:szCs w:val="24"/>
        </w:rPr>
        <w:t>lized as a result of their work;</w:t>
      </w:r>
    </w:p>
    <w:p w14:paraId="33F69027" w14:textId="77777777" w:rsidR="00322915" w:rsidRPr="00355B91" w:rsidRDefault="00322915" w:rsidP="00322915">
      <w:pPr>
        <w:pStyle w:val="ListParagraph"/>
        <w:ind w:left="360"/>
        <w:rPr>
          <w:rFonts w:ascii="Times New Roman" w:hAnsi="Times New Roman"/>
          <w:sz w:val="24"/>
          <w:szCs w:val="24"/>
        </w:rPr>
      </w:pPr>
    </w:p>
    <w:p w14:paraId="4B0A11F9" w14:textId="1B3FA0E6" w:rsidR="00473C2C" w:rsidRDefault="00473C2C" w:rsidP="001E0173">
      <w:pPr>
        <w:pStyle w:val="ListParagraph"/>
        <w:numPr>
          <w:ilvl w:val="0"/>
          <w:numId w:val="3"/>
        </w:numPr>
        <w:ind w:left="360"/>
        <w:rPr>
          <w:rFonts w:ascii="Times New Roman" w:hAnsi="Times New Roman"/>
          <w:sz w:val="24"/>
          <w:szCs w:val="24"/>
        </w:rPr>
      </w:pPr>
      <w:r w:rsidRPr="00355B91">
        <w:rPr>
          <w:rFonts w:ascii="Times New Roman" w:hAnsi="Times New Roman"/>
          <w:sz w:val="24"/>
          <w:szCs w:val="24"/>
        </w:rPr>
        <w:lastRenderedPageBreak/>
        <w:t>DECIDES to retire the subsidiary bodies listed in Annex 1</w:t>
      </w:r>
      <w:r w:rsidR="00440B74">
        <w:rPr>
          <w:rFonts w:ascii="Times New Roman" w:hAnsi="Times New Roman"/>
          <w:sz w:val="24"/>
          <w:szCs w:val="24"/>
        </w:rPr>
        <w:t>;</w:t>
      </w:r>
    </w:p>
    <w:p w14:paraId="781D2715" w14:textId="77777777" w:rsidR="00322915" w:rsidRPr="00322915" w:rsidRDefault="00322915" w:rsidP="00322915">
      <w:pPr>
        <w:pStyle w:val="ListParagraph"/>
        <w:rPr>
          <w:rFonts w:ascii="Times New Roman" w:hAnsi="Times New Roman"/>
          <w:sz w:val="24"/>
          <w:szCs w:val="24"/>
        </w:rPr>
      </w:pPr>
    </w:p>
    <w:p w14:paraId="5C605007" w14:textId="7E1CAC01" w:rsidR="00473C2C" w:rsidRDefault="00473C2C" w:rsidP="00B53A47">
      <w:pPr>
        <w:pStyle w:val="ListParagraph"/>
        <w:numPr>
          <w:ilvl w:val="0"/>
          <w:numId w:val="3"/>
        </w:numPr>
        <w:ind w:left="360"/>
        <w:rPr>
          <w:rFonts w:ascii="Times New Roman" w:hAnsi="Times New Roman"/>
          <w:sz w:val="24"/>
          <w:szCs w:val="24"/>
        </w:rPr>
      </w:pPr>
      <w:r w:rsidRPr="00355B91">
        <w:rPr>
          <w:rFonts w:ascii="Times New Roman" w:hAnsi="Times New Roman"/>
          <w:sz w:val="24"/>
          <w:szCs w:val="24"/>
        </w:rPr>
        <w:t xml:space="preserve">CONFIRMS that the present Resolution supersedes the resolutions and decisions relating to each body </w:t>
      </w:r>
      <w:r w:rsidR="001177A4">
        <w:rPr>
          <w:rFonts w:ascii="Times New Roman" w:hAnsi="Times New Roman"/>
          <w:sz w:val="24"/>
          <w:szCs w:val="24"/>
        </w:rPr>
        <w:t xml:space="preserve">as </w:t>
      </w:r>
      <w:r w:rsidRPr="00355B91">
        <w:rPr>
          <w:rFonts w:ascii="Times New Roman" w:hAnsi="Times New Roman"/>
          <w:sz w:val="24"/>
          <w:szCs w:val="24"/>
        </w:rPr>
        <w:t xml:space="preserve">listed in </w:t>
      </w:r>
      <w:r w:rsidR="00CE4398">
        <w:rPr>
          <w:rFonts w:ascii="Times New Roman" w:hAnsi="Times New Roman"/>
          <w:sz w:val="24"/>
          <w:szCs w:val="24"/>
        </w:rPr>
        <w:t>Annex 1</w:t>
      </w:r>
      <w:r w:rsidRPr="00355B91">
        <w:rPr>
          <w:rFonts w:ascii="Times New Roman" w:hAnsi="Times New Roman"/>
          <w:sz w:val="24"/>
          <w:szCs w:val="24"/>
        </w:rPr>
        <w:t xml:space="preserve">, and that any ongoing responsibilities of </w:t>
      </w:r>
      <w:r w:rsidR="00CE4398">
        <w:rPr>
          <w:rFonts w:ascii="Times New Roman" w:hAnsi="Times New Roman"/>
          <w:sz w:val="24"/>
          <w:szCs w:val="24"/>
        </w:rPr>
        <w:t xml:space="preserve"> these</w:t>
      </w:r>
      <w:r w:rsidRPr="00355B91">
        <w:rPr>
          <w:rFonts w:ascii="Times New Roman" w:hAnsi="Times New Roman"/>
          <w:sz w:val="24"/>
          <w:szCs w:val="24"/>
        </w:rPr>
        <w:t xml:space="preserve"> </w:t>
      </w:r>
      <w:r w:rsidR="001177A4">
        <w:rPr>
          <w:rFonts w:ascii="Times New Roman" w:hAnsi="Times New Roman"/>
          <w:sz w:val="24"/>
          <w:szCs w:val="24"/>
        </w:rPr>
        <w:t xml:space="preserve">subsidiary </w:t>
      </w:r>
      <w:r w:rsidRPr="00355B91">
        <w:rPr>
          <w:rFonts w:ascii="Times New Roman" w:hAnsi="Times New Roman"/>
          <w:sz w:val="24"/>
          <w:szCs w:val="24"/>
        </w:rPr>
        <w:t>bod</w:t>
      </w:r>
      <w:r w:rsidR="00CE4398">
        <w:rPr>
          <w:rFonts w:ascii="Times New Roman" w:hAnsi="Times New Roman"/>
          <w:sz w:val="24"/>
          <w:szCs w:val="24"/>
        </w:rPr>
        <w:t>ies</w:t>
      </w:r>
      <w:r w:rsidRPr="00355B91">
        <w:rPr>
          <w:rFonts w:ascii="Times New Roman" w:hAnsi="Times New Roman"/>
          <w:sz w:val="24"/>
          <w:szCs w:val="24"/>
        </w:rPr>
        <w:t xml:space="preserve"> </w:t>
      </w:r>
      <w:r w:rsidR="00CE4398">
        <w:rPr>
          <w:rFonts w:ascii="Times New Roman" w:hAnsi="Times New Roman"/>
          <w:sz w:val="24"/>
          <w:szCs w:val="24"/>
        </w:rPr>
        <w:t xml:space="preserve">now </w:t>
      </w:r>
      <w:r w:rsidRPr="00355B91">
        <w:rPr>
          <w:rFonts w:ascii="Times New Roman" w:hAnsi="Times New Roman"/>
          <w:sz w:val="24"/>
          <w:szCs w:val="24"/>
        </w:rPr>
        <w:t>revert</w:t>
      </w:r>
      <w:r w:rsidR="00CE4398">
        <w:rPr>
          <w:rFonts w:ascii="Times New Roman" w:hAnsi="Times New Roman"/>
          <w:sz w:val="24"/>
          <w:szCs w:val="24"/>
        </w:rPr>
        <w:t>s</w:t>
      </w:r>
      <w:r w:rsidRPr="00355B91">
        <w:rPr>
          <w:rFonts w:ascii="Times New Roman" w:hAnsi="Times New Roman"/>
          <w:sz w:val="24"/>
          <w:szCs w:val="24"/>
        </w:rPr>
        <w:t xml:space="preserve"> to the Standing Committee to address or delegate further</w:t>
      </w:r>
      <w:r w:rsidR="00440B74">
        <w:rPr>
          <w:rFonts w:ascii="Times New Roman" w:hAnsi="Times New Roman"/>
          <w:sz w:val="24"/>
          <w:szCs w:val="24"/>
        </w:rPr>
        <w:t>;</w:t>
      </w:r>
    </w:p>
    <w:p w14:paraId="7594AAAA" w14:textId="77777777" w:rsidR="00322915" w:rsidRPr="00322915" w:rsidRDefault="00322915" w:rsidP="00B53A47">
      <w:pPr>
        <w:pStyle w:val="ListParagraph"/>
        <w:ind w:left="360"/>
        <w:rPr>
          <w:rFonts w:ascii="Times New Roman" w:hAnsi="Times New Roman"/>
          <w:sz w:val="24"/>
          <w:szCs w:val="24"/>
        </w:rPr>
      </w:pPr>
    </w:p>
    <w:p w14:paraId="75EAFCD3" w14:textId="2B70EC3A" w:rsidR="00473C2C" w:rsidRPr="00355B91" w:rsidRDefault="00473C2C" w:rsidP="00B53A47">
      <w:pPr>
        <w:pStyle w:val="ListParagraph"/>
        <w:numPr>
          <w:ilvl w:val="0"/>
          <w:numId w:val="3"/>
        </w:numPr>
        <w:ind w:left="360"/>
        <w:rPr>
          <w:rFonts w:ascii="Times New Roman" w:hAnsi="Times New Roman"/>
          <w:sz w:val="24"/>
          <w:szCs w:val="24"/>
        </w:rPr>
      </w:pPr>
      <w:r w:rsidRPr="00355B91">
        <w:rPr>
          <w:rFonts w:ascii="Times New Roman" w:hAnsi="Times New Roman"/>
          <w:sz w:val="24"/>
          <w:szCs w:val="24"/>
        </w:rPr>
        <w:t xml:space="preserve">INVITES the Chairs of these </w:t>
      </w:r>
      <w:r w:rsidR="001177A4">
        <w:rPr>
          <w:rFonts w:ascii="Times New Roman" w:hAnsi="Times New Roman"/>
          <w:sz w:val="24"/>
          <w:szCs w:val="24"/>
        </w:rPr>
        <w:t xml:space="preserve">subsidiary </w:t>
      </w:r>
      <w:r w:rsidRPr="00355B91">
        <w:rPr>
          <w:rFonts w:ascii="Times New Roman" w:hAnsi="Times New Roman"/>
          <w:sz w:val="24"/>
          <w:szCs w:val="24"/>
        </w:rPr>
        <w:t>bodies to, as appropriate, provide a final report on the outcome of their body’s work to the Standin</w:t>
      </w:r>
      <w:r w:rsidR="002072F8" w:rsidRPr="00355B91">
        <w:rPr>
          <w:rFonts w:ascii="Times New Roman" w:hAnsi="Times New Roman"/>
          <w:sz w:val="24"/>
          <w:szCs w:val="24"/>
        </w:rPr>
        <w:t>g Committee at its 5</w:t>
      </w:r>
      <w:r w:rsidR="00B53A47">
        <w:rPr>
          <w:rFonts w:ascii="Times New Roman" w:hAnsi="Times New Roman"/>
          <w:sz w:val="24"/>
          <w:szCs w:val="24"/>
        </w:rPr>
        <w:t>7</w:t>
      </w:r>
      <w:r w:rsidR="00180D87">
        <w:rPr>
          <w:rFonts w:ascii="Times New Roman" w:hAnsi="Times New Roman"/>
          <w:sz w:val="24"/>
          <w:szCs w:val="24"/>
        </w:rPr>
        <w:t>th session;</w:t>
      </w:r>
    </w:p>
    <w:p w14:paraId="2BFBEC6B" w14:textId="77777777" w:rsidR="004B5192" w:rsidRPr="00355B91" w:rsidRDefault="004B5192" w:rsidP="00B53A47">
      <w:pPr>
        <w:pStyle w:val="ListParagraph"/>
        <w:ind w:left="360"/>
        <w:rPr>
          <w:rFonts w:ascii="Times New Roman" w:hAnsi="Times New Roman"/>
          <w:sz w:val="24"/>
          <w:szCs w:val="24"/>
        </w:rPr>
      </w:pPr>
    </w:p>
    <w:p w14:paraId="7AA98CF3" w14:textId="188511BF" w:rsidR="006A2474" w:rsidRDefault="006A2474" w:rsidP="00B53A47">
      <w:pPr>
        <w:pStyle w:val="ListParagraph"/>
        <w:numPr>
          <w:ilvl w:val="0"/>
          <w:numId w:val="3"/>
        </w:numPr>
        <w:ind w:left="360"/>
        <w:rPr>
          <w:rFonts w:ascii="Times New Roman" w:hAnsi="Times New Roman"/>
          <w:sz w:val="24"/>
          <w:szCs w:val="24"/>
        </w:rPr>
      </w:pPr>
      <w:r w:rsidRPr="00355B91">
        <w:rPr>
          <w:rFonts w:ascii="Times New Roman" w:hAnsi="Times New Roman"/>
          <w:sz w:val="24"/>
          <w:szCs w:val="24"/>
        </w:rPr>
        <w:t>ESTABLISHES</w:t>
      </w:r>
      <w:r w:rsidR="005A2ACF" w:rsidRPr="00355B91">
        <w:rPr>
          <w:rFonts w:ascii="Times New Roman" w:hAnsi="Times New Roman"/>
          <w:sz w:val="24"/>
          <w:szCs w:val="24"/>
        </w:rPr>
        <w:t xml:space="preserve"> the </w:t>
      </w:r>
      <w:r w:rsidR="00CD4998" w:rsidRPr="00355B91">
        <w:rPr>
          <w:rFonts w:ascii="Times New Roman" w:hAnsi="Times New Roman"/>
          <w:sz w:val="24"/>
          <w:szCs w:val="24"/>
        </w:rPr>
        <w:t>Effectiveness</w:t>
      </w:r>
      <w:r w:rsidR="005A2ACF" w:rsidRPr="00355B91">
        <w:rPr>
          <w:rFonts w:ascii="Times New Roman" w:hAnsi="Times New Roman"/>
          <w:sz w:val="24"/>
          <w:szCs w:val="24"/>
        </w:rPr>
        <w:t xml:space="preserve"> </w:t>
      </w:r>
      <w:r w:rsidR="006E272F" w:rsidRPr="00355B91">
        <w:rPr>
          <w:rFonts w:ascii="Times New Roman" w:hAnsi="Times New Roman"/>
          <w:sz w:val="24"/>
          <w:szCs w:val="24"/>
        </w:rPr>
        <w:t>Working Group</w:t>
      </w:r>
      <w:r w:rsidRPr="00355B91">
        <w:rPr>
          <w:rFonts w:ascii="Times New Roman" w:hAnsi="Times New Roman"/>
          <w:sz w:val="24"/>
          <w:szCs w:val="24"/>
        </w:rPr>
        <w:t xml:space="preserve"> under Rule 25 of the Rules of Procedure</w:t>
      </w:r>
      <w:r w:rsidR="00180D87">
        <w:rPr>
          <w:rFonts w:ascii="Times New Roman" w:hAnsi="Times New Roman"/>
          <w:sz w:val="24"/>
          <w:szCs w:val="24"/>
        </w:rPr>
        <w:t>;</w:t>
      </w:r>
    </w:p>
    <w:p w14:paraId="64F95D17" w14:textId="77777777" w:rsidR="00322915" w:rsidRPr="00322915" w:rsidRDefault="00322915" w:rsidP="00B53A47">
      <w:pPr>
        <w:pStyle w:val="ListParagraph"/>
        <w:ind w:left="360"/>
        <w:rPr>
          <w:rFonts w:ascii="Times New Roman" w:hAnsi="Times New Roman"/>
          <w:sz w:val="24"/>
          <w:szCs w:val="24"/>
        </w:rPr>
      </w:pPr>
    </w:p>
    <w:p w14:paraId="73F541DF" w14:textId="4855B39A" w:rsidR="002072F8" w:rsidRDefault="006A2474" w:rsidP="00B53A47">
      <w:pPr>
        <w:pStyle w:val="ListParagraph"/>
        <w:numPr>
          <w:ilvl w:val="0"/>
          <w:numId w:val="3"/>
        </w:numPr>
        <w:ind w:left="360"/>
        <w:rPr>
          <w:rFonts w:ascii="Times New Roman" w:hAnsi="Times New Roman"/>
          <w:sz w:val="24"/>
          <w:szCs w:val="24"/>
        </w:rPr>
      </w:pPr>
      <w:r w:rsidRPr="00355B91">
        <w:rPr>
          <w:rFonts w:ascii="Times New Roman" w:hAnsi="Times New Roman"/>
          <w:sz w:val="24"/>
          <w:szCs w:val="24"/>
        </w:rPr>
        <w:t>DIRECTS that the Working Group be</w:t>
      </w:r>
      <w:r w:rsidR="006E272F" w:rsidRPr="00355B91">
        <w:rPr>
          <w:rFonts w:ascii="Times New Roman" w:hAnsi="Times New Roman"/>
          <w:sz w:val="24"/>
          <w:szCs w:val="24"/>
        </w:rPr>
        <w:t xml:space="preserve"> composed of one Standing Committee </w:t>
      </w:r>
      <w:r w:rsidR="0021488A" w:rsidRPr="00355B91">
        <w:rPr>
          <w:rFonts w:ascii="Times New Roman" w:hAnsi="Times New Roman"/>
          <w:sz w:val="24"/>
          <w:szCs w:val="24"/>
        </w:rPr>
        <w:t>representative from each Ramsar region</w:t>
      </w:r>
      <w:r w:rsidR="00180D87">
        <w:rPr>
          <w:rFonts w:ascii="Times New Roman" w:hAnsi="Times New Roman"/>
          <w:sz w:val="24"/>
          <w:szCs w:val="24"/>
        </w:rPr>
        <w:t>;</w:t>
      </w:r>
    </w:p>
    <w:p w14:paraId="7D92B6CF" w14:textId="77777777" w:rsidR="00322915" w:rsidRPr="00322915" w:rsidRDefault="00322915" w:rsidP="00B53A47">
      <w:pPr>
        <w:pStyle w:val="ListParagraph"/>
        <w:ind w:left="360"/>
        <w:rPr>
          <w:rFonts w:ascii="Times New Roman" w:hAnsi="Times New Roman"/>
          <w:sz w:val="24"/>
          <w:szCs w:val="24"/>
        </w:rPr>
      </w:pPr>
    </w:p>
    <w:p w14:paraId="55913C70" w14:textId="7E371F39" w:rsidR="001E0173" w:rsidRDefault="0061706B" w:rsidP="00B53A47">
      <w:pPr>
        <w:pStyle w:val="ListParagraph"/>
        <w:numPr>
          <w:ilvl w:val="0"/>
          <w:numId w:val="3"/>
        </w:numPr>
        <w:ind w:left="360"/>
        <w:rPr>
          <w:rFonts w:ascii="Times New Roman" w:hAnsi="Times New Roman"/>
          <w:sz w:val="24"/>
          <w:szCs w:val="24"/>
        </w:rPr>
      </w:pPr>
      <w:r>
        <w:rPr>
          <w:rFonts w:ascii="Times New Roman" w:hAnsi="Times New Roman"/>
          <w:sz w:val="24"/>
          <w:szCs w:val="24"/>
        </w:rPr>
        <w:t>DIRECTS</w:t>
      </w:r>
      <w:r w:rsidRPr="00355B91">
        <w:rPr>
          <w:rFonts w:ascii="Times New Roman" w:hAnsi="Times New Roman"/>
          <w:sz w:val="24"/>
          <w:szCs w:val="24"/>
        </w:rPr>
        <w:t xml:space="preserve"> </w:t>
      </w:r>
      <w:r w:rsidR="0021488A" w:rsidRPr="00355B91">
        <w:rPr>
          <w:rFonts w:ascii="Times New Roman" w:hAnsi="Times New Roman"/>
          <w:sz w:val="24"/>
          <w:szCs w:val="24"/>
        </w:rPr>
        <w:t xml:space="preserve">that the members of </w:t>
      </w:r>
      <w:r>
        <w:rPr>
          <w:rFonts w:ascii="Times New Roman" w:hAnsi="Times New Roman"/>
          <w:sz w:val="24"/>
          <w:szCs w:val="24"/>
        </w:rPr>
        <w:t>the Working Group</w:t>
      </w:r>
      <w:r w:rsidR="0021488A" w:rsidRPr="00355B91">
        <w:rPr>
          <w:rFonts w:ascii="Times New Roman" w:hAnsi="Times New Roman"/>
          <w:sz w:val="24"/>
          <w:szCs w:val="24"/>
        </w:rPr>
        <w:t xml:space="preserve"> designate one to two of </w:t>
      </w:r>
      <w:r>
        <w:rPr>
          <w:rFonts w:ascii="Times New Roman" w:hAnsi="Times New Roman"/>
          <w:sz w:val="24"/>
          <w:szCs w:val="24"/>
        </w:rPr>
        <w:t>its</w:t>
      </w:r>
      <w:r w:rsidRPr="00355B91">
        <w:rPr>
          <w:rFonts w:ascii="Times New Roman" w:hAnsi="Times New Roman"/>
          <w:sz w:val="24"/>
          <w:szCs w:val="24"/>
        </w:rPr>
        <w:t xml:space="preserve"> </w:t>
      </w:r>
      <w:r w:rsidR="0021488A" w:rsidRPr="00355B91">
        <w:rPr>
          <w:rFonts w:ascii="Times New Roman" w:hAnsi="Times New Roman"/>
          <w:sz w:val="24"/>
          <w:szCs w:val="24"/>
        </w:rPr>
        <w:t>members as Chair or Co-Chairs</w:t>
      </w:r>
      <w:r w:rsidR="00180D87">
        <w:rPr>
          <w:rFonts w:ascii="Times New Roman" w:hAnsi="Times New Roman"/>
          <w:sz w:val="24"/>
          <w:szCs w:val="24"/>
        </w:rPr>
        <w:t>;</w:t>
      </w:r>
    </w:p>
    <w:p w14:paraId="0A05D95E" w14:textId="77777777" w:rsidR="00322915" w:rsidRPr="00322915" w:rsidRDefault="00322915" w:rsidP="00B53A47">
      <w:pPr>
        <w:pStyle w:val="ListParagraph"/>
        <w:ind w:left="360"/>
        <w:rPr>
          <w:rFonts w:ascii="Times New Roman" w:hAnsi="Times New Roman"/>
          <w:sz w:val="24"/>
          <w:szCs w:val="24"/>
        </w:rPr>
      </w:pPr>
    </w:p>
    <w:p w14:paraId="377F6745" w14:textId="5C32A6B8" w:rsidR="0061706B" w:rsidRDefault="005A2ACF" w:rsidP="00B53A47">
      <w:pPr>
        <w:pStyle w:val="ListParagraph"/>
        <w:numPr>
          <w:ilvl w:val="0"/>
          <w:numId w:val="3"/>
        </w:numPr>
        <w:ind w:left="360"/>
        <w:rPr>
          <w:rFonts w:ascii="Times New Roman" w:hAnsi="Times New Roman"/>
          <w:sz w:val="24"/>
          <w:szCs w:val="24"/>
        </w:rPr>
      </w:pPr>
      <w:r w:rsidRPr="00B53A47">
        <w:rPr>
          <w:rFonts w:ascii="Times New Roman" w:hAnsi="Times New Roman"/>
          <w:sz w:val="24"/>
          <w:szCs w:val="24"/>
        </w:rPr>
        <w:t xml:space="preserve">REQUESTS </w:t>
      </w:r>
      <w:r w:rsidR="0021488A" w:rsidRPr="00B53A47">
        <w:rPr>
          <w:rFonts w:ascii="Times New Roman" w:hAnsi="Times New Roman"/>
          <w:sz w:val="24"/>
          <w:szCs w:val="24"/>
        </w:rPr>
        <w:t>the Working Group</w:t>
      </w:r>
      <w:r w:rsidR="00002076" w:rsidRPr="00B53A47">
        <w:rPr>
          <w:rFonts w:ascii="Times New Roman" w:hAnsi="Times New Roman"/>
          <w:sz w:val="24"/>
          <w:szCs w:val="24"/>
        </w:rPr>
        <w:t xml:space="preserve"> </w:t>
      </w:r>
      <w:r w:rsidR="00A93735" w:rsidRPr="00B53A47">
        <w:rPr>
          <w:rFonts w:ascii="Times New Roman" w:hAnsi="Times New Roman"/>
          <w:sz w:val="24"/>
          <w:szCs w:val="24"/>
        </w:rPr>
        <w:t xml:space="preserve">to </w:t>
      </w:r>
      <w:r w:rsidR="00123DD3" w:rsidRPr="00B53A47">
        <w:rPr>
          <w:rFonts w:ascii="Times New Roman" w:hAnsi="Times New Roman"/>
          <w:sz w:val="24"/>
          <w:szCs w:val="24"/>
        </w:rPr>
        <w:t>review the governance structure of the Convention, as that structure exists at the close of the 13th Conference of the Parties</w:t>
      </w:r>
      <w:r w:rsidR="00B53A47">
        <w:rPr>
          <w:rFonts w:ascii="Times New Roman" w:hAnsi="Times New Roman"/>
          <w:sz w:val="24"/>
          <w:szCs w:val="24"/>
        </w:rPr>
        <w:t xml:space="preserve">, </w:t>
      </w:r>
      <w:r w:rsidR="0061706B">
        <w:rPr>
          <w:rFonts w:ascii="Times New Roman" w:hAnsi="Times New Roman"/>
          <w:sz w:val="24"/>
          <w:szCs w:val="24"/>
        </w:rPr>
        <w:t>for the purpose of:</w:t>
      </w:r>
      <w:r w:rsidR="000A4161" w:rsidRPr="00B53A47">
        <w:rPr>
          <w:rFonts w:ascii="Times New Roman" w:hAnsi="Times New Roman"/>
          <w:sz w:val="24"/>
          <w:szCs w:val="24"/>
        </w:rPr>
        <w:t xml:space="preserve"> </w:t>
      </w:r>
    </w:p>
    <w:p w14:paraId="5B456DB0" w14:textId="77777777" w:rsidR="0061706B" w:rsidRPr="00A41E77" w:rsidRDefault="0061706B" w:rsidP="00A41E77">
      <w:pPr>
        <w:pStyle w:val="ListParagraph"/>
        <w:rPr>
          <w:rFonts w:ascii="Times New Roman" w:hAnsi="Times New Roman"/>
          <w:sz w:val="24"/>
          <w:szCs w:val="24"/>
        </w:rPr>
      </w:pPr>
    </w:p>
    <w:p w14:paraId="4E5A220E" w14:textId="77777777" w:rsidR="00A41E77" w:rsidRDefault="0061706B" w:rsidP="00A41E77">
      <w:pPr>
        <w:pStyle w:val="ListParagraph"/>
        <w:numPr>
          <w:ilvl w:val="1"/>
          <w:numId w:val="8"/>
        </w:numPr>
        <w:ind w:left="720"/>
        <w:rPr>
          <w:rFonts w:ascii="Times New Roman" w:hAnsi="Times New Roman"/>
          <w:sz w:val="24"/>
          <w:szCs w:val="24"/>
        </w:rPr>
      </w:pPr>
      <w:r>
        <w:rPr>
          <w:rFonts w:ascii="Times New Roman" w:hAnsi="Times New Roman"/>
          <w:sz w:val="24"/>
          <w:szCs w:val="24"/>
        </w:rPr>
        <w:t xml:space="preserve">Recommending reforms </w:t>
      </w:r>
      <w:r w:rsidR="000A4161" w:rsidRPr="00B53A47">
        <w:rPr>
          <w:rFonts w:ascii="Times New Roman" w:hAnsi="Times New Roman"/>
          <w:sz w:val="24"/>
          <w:szCs w:val="24"/>
        </w:rPr>
        <w:t>(if any) that</w:t>
      </w:r>
      <w:r w:rsidR="002072F8" w:rsidRPr="00B53A47">
        <w:rPr>
          <w:rFonts w:ascii="Times New Roman" w:hAnsi="Times New Roman"/>
          <w:sz w:val="24"/>
          <w:szCs w:val="24"/>
        </w:rPr>
        <w:t xml:space="preserve"> </w:t>
      </w:r>
      <w:r w:rsidR="005A2ACF" w:rsidRPr="00B53A47">
        <w:rPr>
          <w:rFonts w:ascii="Times New Roman" w:hAnsi="Times New Roman"/>
          <w:sz w:val="24"/>
          <w:szCs w:val="24"/>
        </w:rPr>
        <w:t xml:space="preserve">further </w:t>
      </w:r>
      <w:r w:rsidR="002F7A3B" w:rsidRPr="00B53A47">
        <w:rPr>
          <w:rFonts w:ascii="Times New Roman" w:hAnsi="Times New Roman"/>
          <w:sz w:val="24"/>
          <w:szCs w:val="24"/>
        </w:rPr>
        <w:t xml:space="preserve">enhance </w:t>
      </w:r>
      <w:r w:rsidR="005A2ACF" w:rsidRPr="00B53A47">
        <w:rPr>
          <w:rFonts w:ascii="Times New Roman" w:hAnsi="Times New Roman"/>
          <w:sz w:val="24"/>
          <w:szCs w:val="24"/>
        </w:rPr>
        <w:t>the effectiveness</w:t>
      </w:r>
      <w:r w:rsidR="002F7A3B">
        <w:rPr>
          <w:rFonts w:ascii="Times New Roman" w:hAnsi="Times New Roman"/>
          <w:sz w:val="24"/>
          <w:szCs w:val="24"/>
        </w:rPr>
        <w:t xml:space="preserve"> (</w:t>
      </w:r>
      <w:r w:rsidR="000A4161" w:rsidRPr="00B53A47">
        <w:rPr>
          <w:rFonts w:ascii="Times New Roman" w:hAnsi="Times New Roman"/>
          <w:sz w:val="24"/>
          <w:szCs w:val="24"/>
        </w:rPr>
        <w:t>including cost effectiveness</w:t>
      </w:r>
      <w:r w:rsidR="002F7A3B">
        <w:rPr>
          <w:rFonts w:ascii="Times New Roman" w:hAnsi="Times New Roman"/>
          <w:sz w:val="24"/>
          <w:szCs w:val="24"/>
        </w:rPr>
        <w:t>)</w:t>
      </w:r>
      <w:r w:rsidR="000A4161" w:rsidRPr="00B53A47">
        <w:rPr>
          <w:rFonts w:ascii="Times New Roman" w:hAnsi="Times New Roman"/>
          <w:sz w:val="24"/>
          <w:szCs w:val="24"/>
        </w:rPr>
        <w:t xml:space="preserve"> </w:t>
      </w:r>
      <w:r w:rsidR="005A2ACF" w:rsidRPr="00B53A47">
        <w:rPr>
          <w:rFonts w:ascii="Times New Roman" w:hAnsi="Times New Roman"/>
          <w:sz w:val="24"/>
          <w:szCs w:val="24"/>
        </w:rPr>
        <w:t>and efficiency of the Convention</w:t>
      </w:r>
      <w:r w:rsidR="00A46341" w:rsidRPr="00B53A47">
        <w:rPr>
          <w:rFonts w:ascii="Times New Roman" w:hAnsi="Times New Roman"/>
          <w:sz w:val="24"/>
          <w:szCs w:val="24"/>
        </w:rPr>
        <w:t>, and</w:t>
      </w:r>
    </w:p>
    <w:p w14:paraId="70602773" w14:textId="300177D2" w:rsidR="0061706B" w:rsidRDefault="0061706B" w:rsidP="00A41E77">
      <w:pPr>
        <w:pStyle w:val="ListParagraph"/>
        <w:ind w:firstLine="60"/>
        <w:rPr>
          <w:rFonts w:ascii="Times New Roman" w:hAnsi="Times New Roman"/>
          <w:sz w:val="24"/>
          <w:szCs w:val="24"/>
        </w:rPr>
      </w:pPr>
    </w:p>
    <w:p w14:paraId="0CD824B7" w14:textId="76D4FD28" w:rsidR="00123DD3" w:rsidRPr="00B53A47" w:rsidRDefault="0061706B" w:rsidP="00A41E77">
      <w:pPr>
        <w:pStyle w:val="ListParagraph"/>
        <w:numPr>
          <w:ilvl w:val="1"/>
          <w:numId w:val="8"/>
        </w:numPr>
        <w:ind w:left="720"/>
        <w:rPr>
          <w:rFonts w:ascii="Times New Roman" w:hAnsi="Times New Roman"/>
          <w:sz w:val="24"/>
          <w:szCs w:val="24"/>
        </w:rPr>
      </w:pPr>
      <w:r>
        <w:rPr>
          <w:rFonts w:ascii="Times New Roman" w:hAnsi="Times New Roman"/>
          <w:sz w:val="24"/>
          <w:szCs w:val="24"/>
        </w:rPr>
        <w:t>proposing a</w:t>
      </w:r>
      <w:r w:rsidR="00A46341" w:rsidRPr="00B53A47">
        <w:rPr>
          <w:rFonts w:ascii="Times New Roman" w:hAnsi="Times New Roman"/>
          <w:sz w:val="24"/>
          <w:szCs w:val="24"/>
        </w:rPr>
        <w:t xml:space="preserve"> process to implement its recommendations</w:t>
      </w:r>
      <w:r w:rsidR="00180D87">
        <w:rPr>
          <w:rFonts w:ascii="Times New Roman" w:hAnsi="Times New Roman"/>
          <w:sz w:val="24"/>
          <w:szCs w:val="24"/>
        </w:rPr>
        <w:t>;</w:t>
      </w:r>
    </w:p>
    <w:p w14:paraId="5B15ECFD" w14:textId="77777777" w:rsidR="00322915" w:rsidRPr="00322915" w:rsidRDefault="00322915" w:rsidP="00B53A47">
      <w:pPr>
        <w:pStyle w:val="ListParagraph"/>
        <w:ind w:left="360"/>
        <w:rPr>
          <w:rFonts w:ascii="Times New Roman" w:hAnsi="Times New Roman"/>
          <w:sz w:val="24"/>
          <w:szCs w:val="24"/>
        </w:rPr>
      </w:pPr>
    </w:p>
    <w:p w14:paraId="10F418F5" w14:textId="690CE650" w:rsidR="00FD3126" w:rsidRPr="00FD3126" w:rsidRDefault="00123DD3" w:rsidP="00B53A47">
      <w:pPr>
        <w:pStyle w:val="ListParagraph"/>
        <w:numPr>
          <w:ilvl w:val="0"/>
          <w:numId w:val="3"/>
        </w:numPr>
        <w:ind w:left="360"/>
        <w:rPr>
          <w:rFonts w:ascii="Times New Roman" w:hAnsi="Times New Roman"/>
          <w:sz w:val="24"/>
        </w:rPr>
      </w:pPr>
      <w:r w:rsidRPr="00355B91">
        <w:rPr>
          <w:rFonts w:ascii="Times New Roman" w:hAnsi="Times New Roman"/>
          <w:sz w:val="24"/>
          <w:szCs w:val="24"/>
        </w:rPr>
        <w:t xml:space="preserve">REQUESTS the Working Group, when conducting its review, to </w:t>
      </w:r>
      <w:r w:rsidR="007C0182">
        <w:rPr>
          <w:rFonts w:ascii="Times New Roman" w:hAnsi="Times New Roman"/>
          <w:sz w:val="24"/>
          <w:szCs w:val="24"/>
        </w:rPr>
        <w:t xml:space="preserve">include consideration of </w:t>
      </w:r>
      <w:r w:rsidR="007C0182" w:rsidRPr="007C0182">
        <w:rPr>
          <w:rFonts w:ascii="Times New Roman" w:hAnsi="Times New Roman"/>
          <w:sz w:val="24"/>
          <w:szCs w:val="24"/>
        </w:rPr>
        <w:t>the previous work undertaken by the Facilitation Working Group</w:t>
      </w:r>
      <w:r w:rsidR="00796307">
        <w:rPr>
          <w:rFonts w:ascii="Times New Roman" w:hAnsi="Times New Roman"/>
          <w:sz w:val="24"/>
          <w:szCs w:val="24"/>
        </w:rPr>
        <w:t>,</w:t>
      </w:r>
      <w:r w:rsidR="007C0182" w:rsidRPr="007C0182">
        <w:rPr>
          <w:rFonts w:ascii="Times New Roman" w:hAnsi="Times New Roman"/>
          <w:sz w:val="24"/>
          <w:szCs w:val="24"/>
        </w:rPr>
        <w:t xml:space="preserve"> </w:t>
      </w:r>
      <w:r w:rsidR="00796307">
        <w:rPr>
          <w:rFonts w:ascii="Times New Roman" w:hAnsi="Times New Roman"/>
          <w:sz w:val="24"/>
          <w:szCs w:val="24"/>
        </w:rPr>
        <w:t>give</w:t>
      </w:r>
      <w:r w:rsidR="007C0182" w:rsidRPr="007C0182">
        <w:rPr>
          <w:rFonts w:ascii="Times New Roman" w:hAnsi="Times New Roman"/>
          <w:sz w:val="24"/>
          <w:szCs w:val="24"/>
        </w:rPr>
        <w:t xml:space="preserve"> due consideration to the ideas contained in </w:t>
      </w:r>
      <w:r w:rsidR="007C0182">
        <w:rPr>
          <w:rFonts w:ascii="Times New Roman" w:hAnsi="Times New Roman"/>
          <w:sz w:val="24"/>
          <w:szCs w:val="24"/>
        </w:rPr>
        <w:t xml:space="preserve">the draft </w:t>
      </w:r>
      <w:r w:rsidR="0061706B">
        <w:rPr>
          <w:rFonts w:ascii="Times New Roman" w:hAnsi="Times New Roman"/>
          <w:sz w:val="24"/>
          <w:szCs w:val="24"/>
        </w:rPr>
        <w:t>R</w:t>
      </w:r>
      <w:r w:rsidR="007C0182">
        <w:rPr>
          <w:rFonts w:ascii="Times New Roman" w:hAnsi="Times New Roman"/>
          <w:sz w:val="24"/>
          <w:szCs w:val="24"/>
        </w:rPr>
        <w:t xml:space="preserve">esolutions </w:t>
      </w:r>
      <w:r w:rsidR="0061706B">
        <w:rPr>
          <w:rFonts w:ascii="Times New Roman" w:hAnsi="Times New Roman"/>
          <w:sz w:val="24"/>
          <w:szCs w:val="24"/>
        </w:rPr>
        <w:t xml:space="preserve">document </w:t>
      </w:r>
      <w:r w:rsidR="007C0182" w:rsidRPr="007C0182">
        <w:rPr>
          <w:rFonts w:ascii="Times New Roman" w:hAnsi="Times New Roman"/>
          <w:sz w:val="24"/>
          <w:szCs w:val="24"/>
        </w:rPr>
        <w:t>18.1</w:t>
      </w:r>
      <w:r w:rsidR="007C0182">
        <w:rPr>
          <w:rFonts w:ascii="Times New Roman" w:hAnsi="Times New Roman"/>
          <w:sz w:val="24"/>
          <w:szCs w:val="24"/>
        </w:rPr>
        <w:t>,</w:t>
      </w:r>
      <w:r w:rsidR="007C0182" w:rsidRPr="007C0182">
        <w:rPr>
          <w:rFonts w:ascii="Times New Roman" w:hAnsi="Times New Roman"/>
          <w:sz w:val="24"/>
          <w:szCs w:val="24"/>
        </w:rPr>
        <w:t xml:space="preserve"> </w:t>
      </w:r>
      <w:r w:rsidR="0061706B">
        <w:rPr>
          <w:rFonts w:ascii="Times New Roman" w:hAnsi="Times New Roman"/>
          <w:sz w:val="24"/>
          <w:szCs w:val="24"/>
        </w:rPr>
        <w:t xml:space="preserve">document </w:t>
      </w:r>
      <w:r w:rsidR="007C0182" w:rsidRPr="007C0182">
        <w:rPr>
          <w:rFonts w:ascii="Times New Roman" w:hAnsi="Times New Roman"/>
          <w:sz w:val="24"/>
          <w:szCs w:val="24"/>
        </w:rPr>
        <w:t>18.2</w:t>
      </w:r>
      <w:r w:rsidR="007C0182">
        <w:rPr>
          <w:rFonts w:ascii="Times New Roman" w:hAnsi="Times New Roman"/>
          <w:sz w:val="24"/>
          <w:szCs w:val="24"/>
        </w:rPr>
        <w:t xml:space="preserve"> and the revised </w:t>
      </w:r>
      <w:r w:rsidR="0061706B">
        <w:rPr>
          <w:rFonts w:ascii="Times New Roman" w:hAnsi="Times New Roman"/>
          <w:sz w:val="24"/>
          <w:szCs w:val="24"/>
        </w:rPr>
        <w:t xml:space="preserve">document </w:t>
      </w:r>
      <w:r w:rsidR="007C0182">
        <w:rPr>
          <w:rFonts w:ascii="Times New Roman" w:hAnsi="Times New Roman"/>
          <w:sz w:val="24"/>
          <w:szCs w:val="24"/>
        </w:rPr>
        <w:t>18.2</w:t>
      </w:r>
      <w:r w:rsidRPr="00355B91">
        <w:rPr>
          <w:rFonts w:ascii="Times New Roman" w:hAnsi="Times New Roman"/>
          <w:sz w:val="24"/>
          <w:szCs w:val="24"/>
        </w:rPr>
        <w:t>, as submitted to the 13th Conference of the Parties</w:t>
      </w:r>
      <w:r w:rsidR="00796307">
        <w:rPr>
          <w:rFonts w:ascii="Times New Roman" w:hAnsi="Times New Roman"/>
          <w:sz w:val="24"/>
          <w:szCs w:val="24"/>
        </w:rPr>
        <w:t xml:space="preserve">, and examine other </w:t>
      </w:r>
      <w:r w:rsidR="00A46341">
        <w:rPr>
          <w:rFonts w:ascii="Times New Roman" w:hAnsi="Times New Roman"/>
          <w:sz w:val="24"/>
          <w:szCs w:val="24"/>
        </w:rPr>
        <w:t xml:space="preserve">similar </w:t>
      </w:r>
      <w:r w:rsidR="00A41E77">
        <w:rPr>
          <w:rFonts w:ascii="Times New Roman" w:hAnsi="Times New Roman"/>
          <w:sz w:val="24"/>
          <w:szCs w:val="24"/>
        </w:rPr>
        <w:t xml:space="preserve">multilateral environmental agreements </w:t>
      </w:r>
      <w:r w:rsidR="00A46341">
        <w:rPr>
          <w:rFonts w:ascii="Times New Roman" w:hAnsi="Times New Roman"/>
          <w:sz w:val="24"/>
          <w:szCs w:val="24"/>
        </w:rPr>
        <w:t>and their efforts</w:t>
      </w:r>
      <w:r w:rsidR="00796307">
        <w:rPr>
          <w:rFonts w:ascii="Times New Roman" w:hAnsi="Times New Roman"/>
          <w:sz w:val="24"/>
          <w:szCs w:val="24"/>
        </w:rPr>
        <w:t xml:space="preserve"> to achieve similar reforms (e.g. </w:t>
      </w:r>
      <w:r w:rsidR="0061706B">
        <w:rPr>
          <w:rFonts w:ascii="Times New Roman" w:hAnsi="Times New Roman"/>
          <w:sz w:val="24"/>
          <w:szCs w:val="24"/>
        </w:rPr>
        <w:t>International Whaling Commission, Convention on International Trade in Endangered Species, and the Convention on Migratory Species</w:t>
      </w:r>
      <w:r w:rsidR="00825AD5">
        <w:rPr>
          <w:rFonts w:ascii="Times New Roman" w:hAnsi="Times New Roman"/>
          <w:sz w:val="24"/>
          <w:szCs w:val="24"/>
        </w:rPr>
        <w:t>);</w:t>
      </w:r>
      <w:r w:rsidR="0061706B">
        <w:rPr>
          <w:rFonts w:ascii="Times New Roman" w:hAnsi="Times New Roman"/>
          <w:sz w:val="24"/>
          <w:szCs w:val="24"/>
        </w:rPr>
        <w:t xml:space="preserve"> </w:t>
      </w:r>
    </w:p>
    <w:p w14:paraId="3083A9A0" w14:textId="7E6C57BE" w:rsidR="00FD3126" w:rsidRPr="00FD3126" w:rsidRDefault="00FD3126" w:rsidP="00B53A47">
      <w:pPr>
        <w:pStyle w:val="ListParagraph"/>
        <w:ind w:left="360"/>
        <w:rPr>
          <w:rFonts w:ascii="Times New Roman" w:hAnsi="Times New Roman"/>
          <w:sz w:val="24"/>
        </w:rPr>
      </w:pPr>
    </w:p>
    <w:p w14:paraId="7CE17FB3" w14:textId="71ECF853" w:rsidR="00AB7360" w:rsidRDefault="00AB7360" w:rsidP="00B53A47">
      <w:pPr>
        <w:pStyle w:val="ListParagraph"/>
        <w:numPr>
          <w:ilvl w:val="0"/>
          <w:numId w:val="3"/>
        </w:numPr>
        <w:ind w:left="360"/>
        <w:rPr>
          <w:rFonts w:ascii="Times New Roman" w:hAnsi="Times New Roman"/>
          <w:sz w:val="24"/>
        </w:rPr>
      </w:pPr>
      <w:r>
        <w:rPr>
          <w:rFonts w:ascii="Times New Roman" w:hAnsi="Times New Roman"/>
          <w:sz w:val="24"/>
        </w:rPr>
        <w:t>REQUESTS the Working Group to provide the following reports to each of the following Standing Committees:</w:t>
      </w:r>
    </w:p>
    <w:p w14:paraId="54FB26F4" w14:textId="77777777" w:rsidR="006E272F" w:rsidRPr="005A2ACF" w:rsidRDefault="006E272F" w:rsidP="006E272F">
      <w:pPr>
        <w:pStyle w:val="NoSpacing"/>
        <w:rPr>
          <w:rFonts w:ascii="Times New Roman" w:hAnsi="Times New Roman" w:cs="Times New Roman"/>
          <w:sz w:val="24"/>
        </w:rPr>
      </w:pPr>
    </w:p>
    <w:p w14:paraId="421243CB" w14:textId="4F758AB5" w:rsidR="006C7CD5" w:rsidRDefault="00A259A1" w:rsidP="006C7CD5">
      <w:pPr>
        <w:pStyle w:val="NoSpacing"/>
        <w:numPr>
          <w:ilvl w:val="0"/>
          <w:numId w:val="1"/>
        </w:numPr>
        <w:rPr>
          <w:rFonts w:ascii="Times New Roman" w:hAnsi="Times New Roman" w:cs="Times New Roman"/>
          <w:sz w:val="24"/>
        </w:rPr>
      </w:pPr>
      <w:r>
        <w:rPr>
          <w:rFonts w:ascii="Times New Roman" w:hAnsi="Times New Roman" w:cs="Times New Roman"/>
          <w:sz w:val="24"/>
        </w:rPr>
        <w:t xml:space="preserve">Report to </w:t>
      </w:r>
      <w:r w:rsidR="00A93735">
        <w:rPr>
          <w:rFonts w:ascii="Times New Roman" w:hAnsi="Times New Roman" w:cs="Times New Roman"/>
          <w:sz w:val="24"/>
        </w:rPr>
        <w:t xml:space="preserve">the </w:t>
      </w:r>
      <w:r>
        <w:rPr>
          <w:rFonts w:ascii="Times New Roman" w:hAnsi="Times New Roman" w:cs="Times New Roman"/>
          <w:sz w:val="24"/>
        </w:rPr>
        <w:t>S</w:t>
      </w:r>
      <w:r w:rsidR="00A93735">
        <w:rPr>
          <w:rFonts w:ascii="Times New Roman" w:hAnsi="Times New Roman" w:cs="Times New Roman"/>
          <w:sz w:val="24"/>
        </w:rPr>
        <w:t xml:space="preserve">tanding </w:t>
      </w:r>
      <w:r>
        <w:rPr>
          <w:rFonts w:ascii="Times New Roman" w:hAnsi="Times New Roman" w:cs="Times New Roman"/>
          <w:sz w:val="24"/>
        </w:rPr>
        <w:t>C</w:t>
      </w:r>
      <w:r w:rsidR="00A93735">
        <w:rPr>
          <w:rFonts w:ascii="Times New Roman" w:hAnsi="Times New Roman" w:cs="Times New Roman"/>
          <w:sz w:val="24"/>
        </w:rPr>
        <w:t xml:space="preserve">ommittee at its </w:t>
      </w:r>
      <w:r w:rsidR="005A2ACF" w:rsidRPr="005A2ACF">
        <w:rPr>
          <w:rFonts w:ascii="Times New Roman" w:hAnsi="Times New Roman" w:cs="Times New Roman"/>
          <w:sz w:val="24"/>
        </w:rPr>
        <w:t>57</w:t>
      </w:r>
      <w:r w:rsidR="00A93735" w:rsidRPr="006C7CD5">
        <w:rPr>
          <w:rFonts w:ascii="Times New Roman" w:hAnsi="Times New Roman" w:cs="Times New Roman"/>
          <w:sz w:val="24"/>
          <w:vertAlign w:val="superscript"/>
        </w:rPr>
        <w:t>th</w:t>
      </w:r>
      <w:r w:rsidR="00A93735">
        <w:rPr>
          <w:rFonts w:ascii="Times New Roman" w:hAnsi="Times New Roman" w:cs="Times New Roman"/>
          <w:sz w:val="24"/>
        </w:rPr>
        <w:t xml:space="preserve"> </w:t>
      </w:r>
      <w:r w:rsidR="00A7506E">
        <w:rPr>
          <w:rFonts w:ascii="Times New Roman" w:hAnsi="Times New Roman" w:cs="Times New Roman"/>
          <w:sz w:val="24"/>
        </w:rPr>
        <w:t>Meeting</w:t>
      </w:r>
      <w:r w:rsidR="00AB7360">
        <w:rPr>
          <w:rFonts w:ascii="Times New Roman" w:hAnsi="Times New Roman" w:cs="Times New Roman"/>
          <w:sz w:val="24"/>
        </w:rPr>
        <w:t xml:space="preserve">, with a </w:t>
      </w:r>
      <w:r w:rsidR="00D74207">
        <w:rPr>
          <w:rFonts w:ascii="Times New Roman" w:hAnsi="Times New Roman" w:cs="Times New Roman"/>
          <w:sz w:val="24"/>
        </w:rPr>
        <w:t xml:space="preserve">detailed </w:t>
      </w:r>
      <w:r w:rsidR="00AB7360">
        <w:rPr>
          <w:rFonts w:ascii="Times New Roman" w:hAnsi="Times New Roman" w:cs="Times New Roman"/>
          <w:sz w:val="24"/>
        </w:rPr>
        <w:t>work plan for completing the review of governance structures.  This work</w:t>
      </w:r>
      <w:r w:rsidR="001A66D9">
        <w:rPr>
          <w:rFonts w:ascii="Times New Roman" w:hAnsi="Times New Roman" w:cs="Times New Roman"/>
          <w:sz w:val="24"/>
        </w:rPr>
        <w:t xml:space="preserve"> plan should include information about: (1) processes for gathering evidence, (2) consulting with Contracting Parties, (3) consulting with </w:t>
      </w:r>
      <w:r w:rsidR="00A41E77">
        <w:rPr>
          <w:rFonts w:ascii="Times New Roman" w:hAnsi="Times New Roman" w:cs="Times New Roman"/>
          <w:sz w:val="24"/>
        </w:rPr>
        <w:t xml:space="preserve">existing </w:t>
      </w:r>
      <w:r w:rsidR="001A66D9">
        <w:rPr>
          <w:rFonts w:ascii="Times New Roman" w:hAnsi="Times New Roman" w:cs="Times New Roman"/>
          <w:sz w:val="24"/>
        </w:rPr>
        <w:t>bodies currently involved in the governance of the Convention, and (4) decision-making within the Working Group;</w:t>
      </w:r>
    </w:p>
    <w:p w14:paraId="6F199485" w14:textId="77777777" w:rsidR="002072F8" w:rsidRDefault="002072F8" w:rsidP="00FD3126">
      <w:pPr>
        <w:pStyle w:val="NoSpacing"/>
        <w:ind w:left="860"/>
        <w:rPr>
          <w:rFonts w:ascii="Times New Roman" w:hAnsi="Times New Roman" w:cs="Times New Roman"/>
          <w:sz w:val="24"/>
        </w:rPr>
      </w:pPr>
    </w:p>
    <w:p w14:paraId="5DD09AF3" w14:textId="3BDAFAB6" w:rsidR="001A66D9" w:rsidRDefault="001A66D9" w:rsidP="006C7CD5">
      <w:pPr>
        <w:pStyle w:val="NoSpacing"/>
        <w:numPr>
          <w:ilvl w:val="0"/>
          <w:numId w:val="1"/>
        </w:numPr>
        <w:rPr>
          <w:rFonts w:ascii="Times New Roman" w:hAnsi="Times New Roman" w:cs="Times New Roman"/>
          <w:sz w:val="24"/>
        </w:rPr>
      </w:pPr>
      <w:r>
        <w:rPr>
          <w:rFonts w:ascii="Times New Roman" w:hAnsi="Times New Roman" w:cs="Times New Roman"/>
          <w:sz w:val="24"/>
        </w:rPr>
        <w:t>Report to the Standing Committee at its 58th Meeting, with Preliminary Recommendations for Reform to the governance structure of the Convention</w:t>
      </w:r>
      <w:r w:rsidR="002F4F03">
        <w:rPr>
          <w:rFonts w:ascii="Times New Roman" w:hAnsi="Times New Roman" w:cs="Times New Roman"/>
          <w:sz w:val="24"/>
        </w:rPr>
        <w:t>.  The Recommendations should contain a</w:t>
      </w:r>
      <w:r w:rsidR="0002646E">
        <w:rPr>
          <w:rFonts w:ascii="Times New Roman" w:hAnsi="Times New Roman" w:cs="Times New Roman"/>
          <w:sz w:val="24"/>
        </w:rPr>
        <w:t>n</w:t>
      </w:r>
      <w:r w:rsidR="002F4F03">
        <w:rPr>
          <w:rFonts w:ascii="Times New Roman" w:hAnsi="Times New Roman" w:cs="Times New Roman"/>
          <w:sz w:val="24"/>
        </w:rPr>
        <w:t xml:space="preserve"> overview of the </w:t>
      </w:r>
      <w:r w:rsidR="0002646E">
        <w:rPr>
          <w:rFonts w:ascii="Times New Roman" w:hAnsi="Times New Roman" w:cs="Times New Roman"/>
          <w:sz w:val="24"/>
        </w:rPr>
        <w:t xml:space="preserve">proposed </w:t>
      </w:r>
      <w:r w:rsidR="002F4F03">
        <w:rPr>
          <w:rFonts w:ascii="Times New Roman" w:hAnsi="Times New Roman" w:cs="Times New Roman"/>
          <w:sz w:val="24"/>
        </w:rPr>
        <w:t>governance structure</w:t>
      </w:r>
      <w:r w:rsidR="0002646E">
        <w:rPr>
          <w:rFonts w:ascii="Times New Roman" w:hAnsi="Times New Roman" w:cs="Times New Roman"/>
          <w:sz w:val="24"/>
        </w:rPr>
        <w:t>,</w:t>
      </w:r>
      <w:r w:rsidR="002F4F03">
        <w:rPr>
          <w:rFonts w:ascii="Times New Roman" w:hAnsi="Times New Roman" w:cs="Times New Roman"/>
          <w:sz w:val="24"/>
        </w:rPr>
        <w:t xml:space="preserve"> and iden</w:t>
      </w:r>
      <w:r w:rsidR="0002646E">
        <w:rPr>
          <w:rFonts w:ascii="Times New Roman" w:hAnsi="Times New Roman" w:cs="Times New Roman"/>
          <w:sz w:val="24"/>
        </w:rPr>
        <w:t xml:space="preserve">tify (1) bodies that are to be established, retired, reformed or maintained, (2) the </w:t>
      </w:r>
      <w:r w:rsidR="0002646E">
        <w:rPr>
          <w:rFonts w:ascii="Times New Roman" w:hAnsi="Times New Roman" w:cs="Times New Roman"/>
          <w:sz w:val="24"/>
        </w:rPr>
        <w:lastRenderedPageBreak/>
        <w:t>functions of new, reformed or established bodies, (3) speciali</w:t>
      </w:r>
      <w:r w:rsidR="00C34A84">
        <w:rPr>
          <w:rFonts w:ascii="Times New Roman" w:hAnsi="Times New Roman" w:cs="Times New Roman"/>
          <w:sz w:val="24"/>
        </w:rPr>
        <w:t>s</w:t>
      </w:r>
      <w:r w:rsidR="0002646E">
        <w:rPr>
          <w:rFonts w:ascii="Times New Roman" w:hAnsi="Times New Roman" w:cs="Times New Roman"/>
          <w:sz w:val="24"/>
        </w:rPr>
        <w:t xml:space="preserve">ed Rules of Procedure </w:t>
      </w:r>
      <w:r w:rsidR="008E10BC">
        <w:rPr>
          <w:rFonts w:ascii="Times New Roman" w:hAnsi="Times New Roman" w:cs="Times New Roman"/>
          <w:sz w:val="24"/>
        </w:rPr>
        <w:t xml:space="preserve">for </w:t>
      </w:r>
      <w:r w:rsidR="00A41E77">
        <w:rPr>
          <w:rFonts w:ascii="Times New Roman" w:hAnsi="Times New Roman" w:cs="Times New Roman"/>
          <w:sz w:val="24"/>
        </w:rPr>
        <w:t>reformed or established bodies</w:t>
      </w:r>
      <w:r w:rsidR="008E10BC">
        <w:rPr>
          <w:rFonts w:ascii="Times New Roman" w:hAnsi="Times New Roman" w:cs="Times New Roman"/>
          <w:sz w:val="24"/>
        </w:rPr>
        <w:t>(if necessary)</w:t>
      </w:r>
      <w:r w:rsidR="00FD3126">
        <w:rPr>
          <w:rFonts w:ascii="Times New Roman" w:hAnsi="Times New Roman" w:cs="Times New Roman"/>
          <w:sz w:val="24"/>
        </w:rPr>
        <w:t xml:space="preserve"> </w:t>
      </w:r>
      <w:r w:rsidR="0002646E">
        <w:rPr>
          <w:rFonts w:ascii="Times New Roman" w:hAnsi="Times New Roman" w:cs="Times New Roman"/>
          <w:sz w:val="24"/>
        </w:rPr>
        <w:t xml:space="preserve">and </w:t>
      </w:r>
      <w:r w:rsidR="008E10BC">
        <w:rPr>
          <w:rFonts w:ascii="Times New Roman" w:hAnsi="Times New Roman" w:cs="Times New Roman"/>
          <w:sz w:val="24"/>
        </w:rPr>
        <w:t>(4</w:t>
      </w:r>
      <w:r w:rsidR="002F4F03">
        <w:rPr>
          <w:rFonts w:ascii="Times New Roman" w:hAnsi="Times New Roman" w:cs="Times New Roman"/>
          <w:sz w:val="24"/>
        </w:rPr>
        <w:t xml:space="preserve">) the relationships between these bodies.  </w:t>
      </w:r>
    </w:p>
    <w:p w14:paraId="51BFA4D4" w14:textId="77777777" w:rsidR="006C7CD5" w:rsidRPr="006C7CD5" w:rsidRDefault="006C7CD5" w:rsidP="006C7CD5">
      <w:pPr>
        <w:rPr>
          <w:rFonts w:ascii="Times New Roman" w:hAnsi="Times New Roman"/>
          <w:sz w:val="24"/>
        </w:rPr>
      </w:pPr>
    </w:p>
    <w:p w14:paraId="6E6BADB4" w14:textId="6839AAB6" w:rsidR="002072F8" w:rsidRDefault="001A66D9" w:rsidP="002F4F03">
      <w:pPr>
        <w:pStyle w:val="NoSpacing"/>
        <w:numPr>
          <w:ilvl w:val="0"/>
          <w:numId w:val="1"/>
        </w:numPr>
        <w:rPr>
          <w:rFonts w:ascii="Times New Roman" w:hAnsi="Times New Roman" w:cs="Times New Roman"/>
          <w:sz w:val="24"/>
        </w:rPr>
      </w:pPr>
      <w:r>
        <w:rPr>
          <w:rFonts w:ascii="Times New Roman" w:hAnsi="Times New Roman" w:cs="Times New Roman"/>
          <w:sz w:val="24"/>
        </w:rPr>
        <w:t>Report</w:t>
      </w:r>
      <w:r w:rsidR="002317B4" w:rsidRPr="006C7CD5">
        <w:rPr>
          <w:rFonts w:ascii="Times New Roman" w:hAnsi="Times New Roman" w:cs="Times New Roman"/>
          <w:sz w:val="24"/>
        </w:rPr>
        <w:t xml:space="preserve"> to the Standing Committee at its 59</w:t>
      </w:r>
      <w:r w:rsidR="002317B4" w:rsidRPr="006C7CD5">
        <w:rPr>
          <w:rFonts w:ascii="Times New Roman" w:hAnsi="Times New Roman" w:cs="Times New Roman"/>
          <w:sz w:val="24"/>
          <w:vertAlign w:val="superscript"/>
        </w:rPr>
        <w:t>th</w:t>
      </w:r>
      <w:r w:rsidR="002317B4" w:rsidRPr="006C7CD5">
        <w:rPr>
          <w:rFonts w:ascii="Times New Roman" w:hAnsi="Times New Roman" w:cs="Times New Roman"/>
          <w:sz w:val="24"/>
        </w:rPr>
        <w:t xml:space="preserve"> Meeting, </w:t>
      </w:r>
      <w:r>
        <w:rPr>
          <w:rFonts w:ascii="Times New Roman" w:hAnsi="Times New Roman" w:cs="Times New Roman"/>
          <w:sz w:val="24"/>
        </w:rPr>
        <w:t>with Final Recommendations for Reform to the governance structure of the Convention</w:t>
      </w:r>
      <w:r w:rsidR="002F4F03">
        <w:rPr>
          <w:rFonts w:ascii="Times New Roman" w:hAnsi="Times New Roman" w:cs="Times New Roman"/>
          <w:sz w:val="24"/>
        </w:rPr>
        <w:t>.  These Final Recommendations are to be accompanied by</w:t>
      </w:r>
      <w:r w:rsidR="002072F8">
        <w:rPr>
          <w:rFonts w:ascii="Times New Roman" w:hAnsi="Times New Roman" w:cs="Times New Roman"/>
          <w:sz w:val="24"/>
        </w:rPr>
        <w:t>:</w:t>
      </w:r>
    </w:p>
    <w:p w14:paraId="55E55CD0" w14:textId="77777777" w:rsidR="002072F8" w:rsidRDefault="002072F8" w:rsidP="00FD3126">
      <w:pPr>
        <w:pStyle w:val="NoSpacing"/>
        <w:numPr>
          <w:ilvl w:val="1"/>
          <w:numId w:val="5"/>
        </w:numPr>
        <w:rPr>
          <w:rFonts w:ascii="Times New Roman" w:hAnsi="Times New Roman" w:cs="Times New Roman"/>
          <w:sz w:val="24"/>
        </w:rPr>
      </w:pPr>
      <w:r>
        <w:rPr>
          <w:rFonts w:ascii="Times New Roman" w:hAnsi="Times New Roman" w:cs="Times New Roman"/>
          <w:sz w:val="24"/>
        </w:rPr>
        <w:t>a statement of reasons for the Final Recommendations;</w:t>
      </w:r>
    </w:p>
    <w:p w14:paraId="49C6023D" w14:textId="4C50AE7C" w:rsidR="0061706B" w:rsidRDefault="0061706B" w:rsidP="00FD3126">
      <w:pPr>
        <w:pStyle w:val="NoSpacing"/>
        <w:numPr>
          <w:ilvl w:val="1"/>
          <w:numId w:val="5"/>
        </w:numPr>
        <w:rPr>
          <w:rFonts w:ascii="Times New Roman" w:hAnsi="Times New Roman" w:cs="Times New Roman"/>
          <w:sz w:val="24"/>
        </w:rPr>
      </w:pPr>
      <w:r>
        <w:rPr>
          <w:rFonts w:ascii="Times New Roman" w:hAnsi="Times New Roman" w:cs="Times New Roman"/>
          <w:sz w:val="24"/>
        </w:rPr>
        <w:t>a process for implementing the recommendations;</w:t>
      </w:r>
    </w:p>
    <w:p w14:paraId="402329F0" w14:textId="3EF1707F" w:rsidR="001E0173" w:rsidRPr="002F4F03" w:rsidRDefault="002317B4" w:rsidP="00FD3126">
      <w:pPr>
        <w:pStyle w:val="NoSpacing"/>
        <w:numPr>
          <w:ilvl w:val="1"/>
          <w:numId w:val="5"/>
        </w:numPr>
        <w:rPr>
          <w:rFonts w:ascii="Times New Roman" w:hAnsi="Times New Roman" w:cs="Times New Roman"/>
          <w:sz w:val="24"/>
        </w:rPr>
      </w:pPr>
      <w:r w:rsidRPr="006C7CD5">
        <w:rPr>
          <w:rFonts w:ascii="Times New Roman" w:hAnsi="Times New Roman" w:cs="Times New Roman"/>
          <w:sz w:val="24"/>
        </w:rPr>
        <w:t>a draft resolution</w:t>
      </w:r>
      <w:r w:rsidR="008E10BC">
        <w:rPr>
          <w:rFonts w:ascii="Times New Roman" w:hAnsi="Times New Roman" w:cs="Times New Roman"/>
          <w:sz w:val="24"/>
        </w:rPr>
        <w:t>,</w:t>
      </w:r>
      <w:r w:rsidRPr="006C7CD5">
        <w:rPr>
          <w:rFonts w:ascii="Times New Roman" w:hAnsi="Times New Roman" w:cs="Times New Roman"/>
          <w:sz w:val="24"/>
        </w:rPr>
        <w:t xml:space="preserve"> </w:t>
      </w:r>
      <w:r w:rsidR="001A66D9">
        <w:rPr>
          <w:rFonts w:ascii="Times New Roman" w:hAnsi="Times New Roman" w:cs="Times New Roman"/>
          <w:sz w:val="24"/>
        </w:rPr>
        <w:t xml:space="preserve">for submission </w:t>
      </w:r>
      <w:r w:rsidRPr="006C7CD5">
        <w:rPr>
          <w:rFonts w:ascii="Times New Roman" w:hAnsi="Times New Roman" w:cs="Times New Roman"/>
          <w:sz w:val="24"/>
        </w:rPr>
        <w:t xml:space="preserve">to the 14th meeting of the Conference of </w:t>
      </w:r>
      <w:r w:rsidR="00C34A84">
        <w:rPr>
          <w:rFonts w:ascii="Times New Roman" w:hAnsi="Times New Roman" w:cs="Times New Roman"/>
          <w:sz w:val="24"/>
        </w:rPr>
        <w:t xml:space="preserve">the </w:t>
      </w:r>
      <w:r w:rsidRPr="006C7CD5">
        <w:rPr>
          <w:rFonts w:ascii="Times New Roman" w:hAnsi="Times New Roman" w:cs="Times New Roman"/>
          <w:sz w:val="24"/>
        </w:rPr>
        <w:t xml:space="preserve">Parties </w:t>
      </w:r>
      <w:r w:rsidR="00A41E77">
        <w:rPr>
          <w:rFonts w:ascii="Times New Roman" w:hAnsi="Times New Roman" w:cs="Times New Roman"/>
          <w:sz w:val="24"/>
        </w:rPr>
        <w:t xml:space="preserve">to the Ramsar Convention on Wetlands </w:t>
      </w:r>
      <w:r w:rsidRPr="006C7CD5">
        <w:rPr>
          <w:rFonts w:ascii="Times New Roman" w:hAnsi="Times New Roman" w:cs="Times New Roman"/>
          <w:sz w:val="24"/>
        </w:rPr>
        <w:t>(COP14)</w:t>
      </w:r>
      <w:r w:rsidR="008E10BC">
        <w:rPr>
          <w:rFonts w:ascii="Times New Roman" w:hAnsi="Times New Roman" w:cs="Times New Roman"/>
          <w:sz w:val="24"/>
        </w:rPr>
        <w:t>, providing for the implementation of the Final Recommendations</w:t>
      </w:r>
      <w:r w:rsidR="00180D87">
        <w:rPr>
          <w:rFonts w:ascii="Times New Roman" w:hAnsi="Times New Roman" w:cs="Times New Roman"/>
          <w:sz w:val="24"/>
        </w:rPr>
        <w:t>;</w:t>
      </w:r>
      <w:r w:rsidRPr="002F4F03" w:rsidDel="002317B4">
        <w:rPr>
          <w:rFonts w:ascii="Times New Roman" w:hAnsi="Times New Roman" w:cs="Times New Roman"/>
          <w:sz w:val="24"/>
          <w:highlight w:val="yellow"/>
        </w:rPr>
        <w:t xml:space="preserve"> </w:t>
      </w:r>
    </w:p>
    <w:p w14:paraId="200CBC9F" w14:textId="77777777" w:rsidR="001E0173" w:rsidRDefault="001E0173" w:rsidP="00DC1DEA">
      <w:pPr>
        <w:rPr>
          <w:rFonts w:ascii="Times New Roman" w:hAnsi="Times New Roman"/>
          <w:sz w:val="24"/>
        </w:rPr>
      </w:pPr>
    </w:p>
    <w:p w14:paraId="62A2D394" w14:textId="562C4E9E" w:rsidR="005A2ACF" w:rsidRDefault="005A2ACF" w:rsidP="001E0173">
      <w:pPr>
        <w:pStyle w:val="ListParagraph"/>
        <w:numPr>
          <w:ilvl w:val="0"/>
          <w:numId w:val="3"/>
        </w:numPr>
        <w:ind w:left="360"/>
        <w:rPr>
          <w:rFonts w:ascii="Times New Roman" w:hAnsi="Times New Roman"/>
          <w:sz w:val="24"/>
        </w:rPr>
      </w:pPr>
      <w:r w:rsidRPr="005A2ACF">
        <w:rPr>
          <w:rFonts w:ascii="Times New Roman" w:hAnsi="Times New Roman"/>
          <w:sz w:val="24"/>
        </w:rPr>
        <w:t xml:space="preserve">DECIDES to </w:t>
      </w:r>
      <w:r w:rsidR="001113DC">
        <w:rPr>
          <w:rFonts w:ascii="Times New Roman" w:hAnsi="Times New Roman"/>
          <w:sz w:val="24"/>
        </w:rPr>
        <w:t>allocate</w:t>
      </w:r>
      <w:r w:rsidR="001113DC" w:rsidRPr="005A2ACF">
        <w:rPr>
          <w:rFonts w:ascii="Times New Roman" w:hAnsi="Times New Roman"/>
          <w:sz w:val="24"/>
        </w:rPr>
        <w:t xml:space="preserve"> </w:t>
      </w:r>
      <w:r w:rsidRPr="005A2ACF">
        <w:rPr>
          <w:rFonts w:ascii="Times New Roman" w:hAnsi="Times New Roman"/>
          <w:sz w:val="24"/>
        </w:rPr>
        <w:t xml:space="preserve">funding from the </w:t>
      </w:r>
      <w:r w:rsidR="001113DC">
        <w:rPr>
          <w:rFonts w:ascii="Times New Roman" w:hAnsi="Times New Roman"/>
          <w:sz w:val="24"/>
        </w:rPr>
        <w:t xml:space="preserve">current identified </w:t>
      </w:r>
      <w:r w:rsidRPr="005A2ACF">
        <w:rPr>
          <w:rFonts w:ascii="Times New Roman" w:hAnsi="Times New Roman"/>
          <w:sz w:val="24"/>
        </w:rPr>
        <w:t>core budget surplus to support the work of the Working Group</w:t>
      </w:r>
      <w:r w:rsidR="005771A8">
        <w:rPr>
          <w:rFonts w:ascii="Times New Roman" w:hAnsi="Times New Roman"/>
          <w:sz w:val="24"/>
        </w:rPr>
        <w:t xml:space="preserve"> including</w:t>
      </w:r>
      <w:r w:rsidR="009064AB">
        <w:rPr>
          <w:rFonts w:ascii="Times New Roman" w:hAnsi="Times New Roman"/>
          <w:sz w:val="24"/>
        </w:rPr>
        <w:t>,</w:t>
      </w:r>
      <w:r w:rsidR="005771A8">
        <w:rPr>
          <w:rFonts w:ascii="Times New Roman" w:hAnsi="Times New Roman"/>
          <w:sz w:val="24"/>
        </w:rPr>
        <w:t xml:space="preserve"> but not limited to</w:t>
      </w:r>
      <w:r w:rsidR="009064AB">
        <w:rPr>
          <w:rFonts w:ascii="Times New Roman" w:hAnsi="Times New Roman"/>
          <w:sz w:val="24"/>
        </w:rPr>
        <w:t>,</w:t>
      </w:r>
      <w:r w:rsidR="005771A8">
        <w:rPr>
          <w:rFonts w:ascii="Times New Roman" w:hAnsi="Times New Roman"/>
          <w:sz w:val="24"/>
        </w:rPr>
        <w:t xml:space="preserve"> </w:t>
      </w:r>
      <w:r w:rsidRPr="005A2ACF">
        <w:rPr>
          <w:rFonts w:ascii="Times New Roman" w:hAnsi="Times New Roman"/>
          <w:sz w:val="24"/>
        </w:rPr>
        <w:t xml:space="preserve">meetings or other support required to accomplish </w:t>
      </w:r>
      <w:r w:rsidR="00900C31">
        <w:rPr>
          <w:rFonts w:ascii="Times New Roman" w:hAnsi="Times New Roman"/>
          <w:sz w:val="24"/>
        </w:rPr>
        <w:t>its</w:t>
      </w:r>
      <w:r w:rsidR="00900C31" w:rsidRPr="005A2ACF">
        <w:rPr>
          <w:rFonts w:ascii="Times New Roman" w:hAnsi="Times New Roman"/>
          <w:sz w:val="24"/>
        </w:rPr>
        <w:t xml:space="preserve"> </w:t>
      </w:r>
      <w:r w:rsidRPr="005A2ACF">
        <w:rPr>
          <w:rFonts w:ascii="Times New Roman" w:hAnsi="Times New Roman"/>
          <w:sz w:val="24"/>
        </w:rPr>
        <w:t>tasks</w:t>
      </w:r>
      <w:r w:rsidR="00180D87">
        <w:rPr>
          <w:rFonts w:ascii="Times New Roman" w:hAnsi="Times New Roman"/>
          <w:sz w:val="24"/>
        </w:rPr>
        <w:t>;</w:t>
      </w:r>
    </w:p>
    <w:p w14:paraId="1B9BC3E3" w14:textId="77777777" w:rsidR="003D1A4B" w:rsidRPr="00DC1DEA" w:rsidRDefault="003D1A4B" w:rsidP="00DC1DEA">
      <w:pPr>
        <w:rPr>
          <w:rFonts w:ascii="Times New Roman" w:hAnsi="Times New Roman"/>
          <w:sz w:val="24"/>
        </w:rPr>
      </w:pPr>
    </w:p>
    <w:p w14:paraId="41B69D41" w14:textId="1B104A80" w:rsidR="003D1A4B" w:rsidRPr="005A2ACF" w:rsidRDefault="00494288" w:rsidP="001E0173">
      <w:pPr>
        <w:pStyle w:val="ListParagraph"/>
        <w:numPr>
          <w:ilvl w:val="0"/>
          <w:numId w:val="3"/>
        </w:numPr>
        <w:ind w:left="360"/>
        <w:rPr>
          <w:rFonts w:ascii="Times New Roman" w:hAnsi="Times New Roman"/>
          <w:sz w:val="24"/>
        </w:rPr>
      </w:pPr>
      <w:r>
        <w:rPr>
          <w:rFonts w:ascii="Times New Roman" w:hAnsi="Times New Roman"/>
          <w:sz w:val="24"/>
        </w:rPr>
        <w:t>FURTHER DECIDES</w:t>
      </w:r>
      <w:r w:rsidR="003D1A4B">
        <w:rPr>
          <w:rFonts w:ascii="Times New Roman" w:hAnsi="Times New Roman"/>
          <w:sz w:val="24"/>
        </w:rPr>
        <w:t xml:space="preserve"> the Effectiveness Working Group </w:t>
      </w:r>
      <w:r>
        <w:rPr>
          <w:rFonts w:ascii="Times New Roman" w:hAnsi="Times New Roman"/>
          <w:sz w:val="24"/>
        </w:rPr>
        <w:t xml:space="preserve">is to complete </w:t>
      </w:r>
      <w:r w:rsidR="003D1A4B">
        <w:rPr>
          <w:rFonts w:ascii="Times New Roman" w:hAnsi="Times New Roman"/>
          <w:sz w:val="24"/>
        </w:rPr>
        <w:t>its work by COP</w:t>
      </w:r>
      <w:r w:rsidR="002F7D71">
        <w:rPr>
          <w:rFonts w:ascii="Times New Roman" w:hAnsi="Times New Roman"/>
          <w:sz w:val="24"/>
        </w:rPr>
        <w:t>1</w:t>
      </w:r>
      <w:r w:rsidR="00A80F46">
        <w:rPr>
          <w:rFonts w:ascii="Times New Roman" w:hAnsi="Times New Roman"/>
          <w:sz w:val="24"/>
        </w:rPr>
        <w:t>4</w:t>
      </w:r>
      <w:r w:rsidR="00DC0647">
        <w:rPr>
          <w:rFonts w:ascii="Times New Roman" w:hAnsi="Times New Roman"/>
          <w:sz w:val="24"/>
        </w:rPr>
        <w:t xml:space="preserve">, </w:t>
      </w:r>
      <w:r w:rsidR="00DC1DEA">
        <w:rPr>
          <w:rFonts w:ascii="Times New Roman" w:hAnsi="Times New Roman"/>
          <w:sz w:val="24"/>
        </w:rPr>
        <w:t>a</w:t>
      </w:r>
      <w:r w:rsidR="006C1502">
        <w:rPr>
          <w:rFonts w:ascii="Times New Roman" w:hAnsi="Times New Roman"/>
          <w:sz w:val="24"/>
        </w:rPr>
        <w:t xml:space="preserve">t which time </w:t>
      </w:r>
      <w:r w:rsidR="00DC1DEA">
        <w:rPr>
          <w:rFonts w:ascii="Times New Roman" w:hAnsi="Times New Roman"/>
          <w:sz w:val="24"/>
        </w:rPr>
        <w:t>the group</w:t>
      </w:r>
      <w:r w:rsidR="00DC0647">
        <w:rPr>
          <w:rFonts w:ascii="Times New Roman" w:hAnsi="Times New Roman"/>
          <w:sz w:val="24"/>
        </w:rPr>
        <w:t xml:space="preserve"> will be retired</w:t>
      </w:r>
      <w:r w:rsidR="00381399">
        <w:rPr>
          <w:rFonts w:ascii="Times New Roman" w:hAnsi="Times New Roman"/>
          <w:sz w:val="24"/>
        </w:rPr>
        <w:t xml:space="preserve"> </w:t>
      </w:r>
      <w:r w:rsidR="003D1A4B">
        <w:rPr>
          <w:rFonts w:ascii="Times New Roman" w:hAnsi="Times New Roman"/>
          <w:sz w:val="24"/>
        </w:rPr>
        <w:t>unless otherwise decided at COP</w:t>
      </w:r>
      <w:r w:rsidR="002F7D71">
        <w:rPr>
          <w:rFonts w:ascii="Times New Roman" w:hAnsi="Times New Roman"/>
          <w:sz w:val="24"/>
        </w:rPr>
        <w:t>1</w:t>
      </w:r>
      <w:r w:rsidR="00A80F46">
        <w:rPr>
          <w:rFonts w:ascii="Times New Roman" w:hAnsi="Times New Roman"/>
          <w:sz w:val="24"/>
        </w:rPr>
        <w:t>4</w:t>
      </w:r>
      <w:r w:rsidR="00381399">
        <w:rPr>
          <w:rFonts w:ascii="Times New Roman" w:hAnsi="Times New Roman"/>
          <w:sz w:val="24"/>
        </w:rPr>
        <w:t>.</w:t>
      </w:r>
    </w:p>
    <w:p w14:paraId="0988005D" w14:textId="77777777" w:rsidR="00FD3126" w:rsidRDefault="00FD3126" w:rsidP="00FD3126">
      <w:pPr>
        <w:spacing w:after="160" w:line="259" w:lineRule="auto"/>
        <w:rPr>
          <w:rFonts w:ascii="Times New Roman" w:hAnsi="Times New Roman"/>
          <w:sz w:val="24"/>
        </w:rPr>
      </w:pPr>
    </w:p>
    <w:p w14:paraId="4182A775" w14:textId="77777777" w:rsidR="00FD3126" w:rsidRDefault="00FD3126" w:rsidP="00FD3126">
      <w:pPr>
        <w:spacing w:after="160" w:line="259" w:lineRule="auto"/>
        <w:rPr>
          <w:rFonts w:ascii="Times New Roman" w:hAnsi="Times New Roman"/>
          <w:sz w:val="24"/>
        </w:rPr>
      </w:pPr>
    </w:p>
    <w:p w14:paraId="59AE4AFE" w14:textId="3009F851" w:rsidR="005A2ACF" w:rsidRPr="00FD3126" w:rsidRDefault="002072F8" w:rsidP="00FD3126">
      <w:pPr>
        <w:spacing w:after="160" w:line="259" w:lineRule="auto"/>
        <w:rPr>
          <w:rFonts w:ascii="Times New Roman" w:eastAsiaTheme="minorHAnsi" w:hAnsi="Times New Roman"/>
          <w:sz w:val="24"/>
          <w:lang w:val="en-US"/>
        </w:rPr>
      </w:pPr>
      <w:r>
        <w:rPr>
          <w:rFonts w:ascii="Times New Roman" w:hAnsi="Times New Roman"/>
          <w:sz w:val="24"/>
        </w:rPr>
        <w:t>ANNEX 1</w:t>
      </w:r>
    </w:p>
    <w:p w14:paraId="0E7FE6B7" w14:textId="77777777" w:rsidR="002072F8" w:rsidRDefault="002072F8" w:rsidP="005A2ACF">
      <w:pPr>
        <w:pStyle w:val="NoSpacing"/>
        <w:ind w:left="425" w:hanging="425"/>
        <w:rPr>
          <w:rFonts w:ascii="Times New Roman" w:hAnsi="Times New Roman" w:cs="Times New Roman"/>
          <w:sz w:val="24"/>
        </w:rPr>
      </w:pPr>
    </w:p>
    <w:tbl>
      <w:tblPr>
        <w:tblStyle w:val="TableGrid"/>
        <w:tblW w:w="0" w:type="auto"/>
        <w:tblInd w:w="425" w:type="dxa"/>
        <w:tblLook w:val="04A0" w:firstRow="1" w:lastRow="0" w:firstColumn="1" w:lastColumn="0" w:noHBand="0" w:noVBand="1"/>
      </w:tblPr>
      <w:tblGrid>
        <w:gridCol w:w="4426"/>
        <w:gridCol w:w="4499"/>
      </w:tblGrid>
      <w:tr w:rsidR="002072F8" w14:paraId="778BE365" w14:textId="77777777" w:rsidTr="0045434B">
        <w:tc>
          <w:tcPr>
            <w:tcW w:w="4426" w:type="dxa"/>
          </w:tcPr>
          <w:p w14:paraId="60A3FB3F" w14:textId="5B06CED7" w:rsidR="002072F8" w:rsidRPr="00FD3126" w:rsidRDefault="00CE4398" w:rsidP="005A2ACF">
            <w:pPr>
              <w:pStyle w:val="NoSpacing"/>
              <w:rPr>
                <w:rFonts w:ascii="Times New Roman" w:hAnsi="Times New Roman" w:cs="Times New Roman"/>
                <w:b/>
                <w:sz w:val="24"/>
              </w:rPr>
            </w:pPr>
            <w:r>
              <w:rPr>
                <w:rFonts w:ascii="Times New Roman" w:hAnsi="Times New Roman" w:cs="Times New Roman"/>
                <w:b/>
                <w:sz w:val="24"/>
              </w:rPr>
              <w:t>Ramsar Convention subsidiary b</w:t>
            </w:r>
            <w:r w:rsidR="002072F8" w:rsidRPr="00FD3126">
              <w:rPr>
                <w:rFonts w:ascii="Times New Roman" w:hAnsi="Times New Roman" w:cs="Times New Roman"/>
                <w:b/>
                <w:sz w:val="24"/>
              </w:rPr>
              <w:t>ody</w:t>
            </w:r>
          </w:p>
        </w:tc>
        <w:tc>
          <w:tcPr>
            <w:tcW w:w="4499" w:type="dxa"/>
          </w:tcPr>
          <w:p w14:paraId="0DEA7B61" w14:textId="0E6A8619" w:rsidR="002072F8" w:rsidRPr="00FD3126" w:rsidRDefault="002072F8" w:rsidP="005A2ACF">
            <w:pPr>
              <w:pStyle w:val="NoSpacing"/>
              <w:rPr>
                <w:rFonts w:ascii="Times New Roman" w:hAnsi="Times New Roman" w:cs="Times New Roman"/>
                <w:b/>
                <w:sz w:val="24"/>
              </w:rPr>
            </w:pPr>
            <w:r w:rsidRPr="00FD3126">
              <w:rPr>
                <w:rFonts w:ascii="Times New Roman" w:hAnsi="Times New Roman" w:cs="Times New Roman"/>
                <w:b/>
                <w:sz w:val="24"/>
              </w:rPr>
              <w:t>Resolutions/decisions relating to the body</w:t>
            </w:r>
          </w:p>
        </w:tc>
      </w:tr>
      <w:tr w:rsidR="002072F8" w14:paraId="69D0E789" w14:textId="77777777" w:rsidTr="0045434B">
        <w:tc>
          <w:tcPr>
            <w:tcW w:w="4426" w:type="dxa"/>
          </w:tcPr>
          <w:p w14:paraId="4C9F8B82" w14:textId="27A7292E" w:rsidR="002072F8" w:rsidRDefault="002072F8" w:rsidP="005A2ACF">
            <w:pPr>
              <w:pStyle w:val="NoSpacing"/>
              <w:rPr>
                <w:rFonts w:ascii="Times New Roman" w:hAnsi="Times New Roman" w:cs="Times New Roman"/>
                <w:sz w:val="24"/>
              </w:rPr>
            </w:pPr>
            <w:r>
              <w:rPr>
                <w:rFonts w:ascii="Times New Roman" w:hAnsi="Times New Roman" w:cs="Times New Roman"/>
                <w:sz w:val="24"/>
              </w:rPr>
              <w:t>CEPA Working Group</w:t>
            </w:r>
          </w:p>
        </w:tc>
        <w:tc>
          <w:tcPr>
            <w:tcW w:w="4499" w:type="dxa"/>
          </w:tcPr>
          <w:p w14:paraId="1FB7D0C5" w14:textId="77777777" w:rsidR="002072F8" w:rsidRDefault="002072F8" w:rsidP="005A2ACF">
            <w:pPr>
              <w:pStyle w:val="NoSpacing"/>
              <w:rPr>
                <w:rFonts w:ascii="Times New Roman" w:hAnsi="Times New Roman" w:cs="Times New Roman"/>
                <w:sz w:val="24"/>
              </w:rPr>
            </w:pPr>
          </w:p>
        </w:tc>
      </w:tr>
      <w:tr w:rsidR="002072F8" w14:paraId="7AB64356" w14:textId="77777777" w:rsidTr="0045434B">
        <w:tc>
          <w:tcPr>
            <w:tcW w:w="4426" w:type="dxa"/>
          </w:tcPr>
          <w:p w14:paraId="0E4F6809" w14:textId="52E387C0" w:rsidR="002072F8" w:rsidRDefault="002072F8" w:rsidP="005A2ACF">
            <w:pPr>
              <w:pStyle w:val="NoSpacing"/>
              <w:rPr>
                <w:rFonts w:ascii="Times New Roman" w:hAnsi="Times New Roman" w:cs="Times New Roman"/>
                <w:sz w:val="24"/>
              </w:rPr>
            </w:pPr>
            <w:r>
              <w:rPr>
                <w:rFonts w:ascii="Times New Roman" w:hAnsi="Times New Roman" w:cs="Times New Roman"/>
                <w:sz w:val="24"/>
              </w:rPr>
              <w:t>Facilitation Working Group</w:t>
            </w:r>
          </w:p>
        </w:tc>
        <w:tc>
          <w:tcPr>
            <w:tcW w:w="4499" w:type="dxa"/>
          </w:tcPr>
          <w:p w14:paraId="1756DF03" w14:textId="77777777" w:rsidR="002072F8" w:rsidRDefault="002072F8" w:rsidP="005A2ACF">
            <w:pPr>
              <w:pStyle w:val="NoSpacing"/>
              <w:rPr>
                <w:rFonts w:ascii="Times New Roman" w:hAnsi="Times New Roman" w:cs="Times New Roman"/>
                <w:sz w:val="24"/>
              </w:rPr>
            </w:pPr>
          </w:p>
        </w:tc>
      </w:tr>
      <w:tr w:rsidR="002072F8" w14:paraId="0949D8EE" w14:textId="77777777" w:rsidTr="0045434B">
        <w:tc>
          <w:tcPr>
            <w:tcW w:w="4426" w:type="dxa"/>
          </w:tcPr>
          <w:p w14:paraId="3D4244DC" w14:textId="7DDBB9DF" w:rsidR="002072F8" w:rsidRDefault="002072F8" w:rsidP="005A2ACF">
            <w:pPr>
              <w:pStyle w:val="NoSpacing"/>
              <w:rPr>
                <w:rFonts w:ascii="Times New Roman" w:hAnsi="Times New Roman" w:cs="Times New Roman"/>
                <w:sz w:val="24"/>
              </w:rPr>
            </w:pPr>
            <w:r>
              <w:rPr>
                <w:rFonts w:ascii="Times New Roman" w:hAnsi="Times New Roman" w:cs="Times New Roman"/>
                <w:sz w:val="24"/>
              </w:rPr>
              <w:t>Language Strategy Working Group</w:t>
            </w:r>
          </w:p>
        </w:tc>
        <w:tc>
          <w:tcPr>
            <w:tcW w:w="4499" w:type="dxa"/>
          </w:tcPr>
          <w:p w14:paraId="32588743" w14:textId="77777777" w:rsidR="002072F8" w:rsidRDefault="002072F8" w:rsidP="005A2ACF">
            <w:pPr>
              <w:pStyle w:val="NoSpacing"/>
              <w:rPr>
                <w:rFonts w:ascii="Times New Roman" w:hAnsi="Times New Roman" w:cs="Times New Roman"/>
                <w:sz w:val="24"/>
              </w:rPr>
            </w:pPr>
          </w:p>
        </w:tc>
      </w:tr>
      <w:tr w:rsidR="002072F8" w14:paraId="3EDBCB47" w14:textId="77777777" w:rsidTr="0045434B">
        <w:tc>
          <w:tcPr>
            <w:tcW w:w="4426" w:type="dxa"/>
          </w:tcPr>
          <w:p w14:paraId="7113CFCA" w14:textId="71769A24" w:rsidR="002072F8" w:rsidRDefault="002072F8" w:rsidP="005A2ACF">
            <w:pPr>
              <w:pStyle w:val="NoSpacing"/>
              <w:rPr>
                <w:rFonts w:ascii="Times New Roman" w:hAnsi="Times New Roman" w:cs="Times New Roman"/>
                <w:sz w:val="24"/>
              </w:rPr>
            </w:pPr>
            <w:r>
              <w:rPr>
                <w:rFonts w:ascii="Times New Roman" w:hAnsi="Times New Roman" w:cs="Times New Roman"/>
                <w:sz w:val="24"/>
              </w:rPr>
              <w:t>Resource Mobilization Working Group</w:t>
            </w:r>
          </w:p>
        </w:tc>
        <w:tc>
          <w:tcPr>
            <w:tcW w:w="4499" w:type="dxa"/>
          </w:tcPr>
          <w:p w14:paraId="20177477" w14:textId="77777777" w:rsidR="002072F8" w:rsidRDefault="002072F8" w:rsidP="005A2ACF">
            <w:pPr>
              <w:pStyle w:val="NoSpacing"/>
              <w:rPr>
                <w:rFonts w:ascii="Times New Roman" w:hAnsi="Times New Roman" w:cs="Times New Roman"/>
                <w:sz w:val="24"/>
              </w:rPr>
            </w:pPr>
          </w:p>
        </w:tc>
      </w:tr>
      <w:tr w:rsidR="002072F8" w14:paraId="33D72EBB" w14:textId="77777777" w:rsidTr="0045434B">
        <w:tc>
          <w:tcPr>
            <w:tcW w:w="4426" w:type="dxa"/>
          </w:tcPr>
          <w:p w14:paraId="78B1E954" w14:textId="6128964C" w:rsidR="002072F8" w:rsidRDefault="002072F8" w:rsidP="005A2ACF">
            <w:pPr>
              <w:pStyle w:val="NoSpacing"/>
              <w:rPr>
                <w:rFonts w:ascii="Times New Roman" w:hAnsi="Times New Roman" w:cs="Times New Roman"/>
                <w:sz w:val="24"/>
              </w:rPr>
            </w:pPr>
            <w:r>
              <w:rPr>
                <w:rFonts w:ascii="Times New Roman" w:hAnsi="Times New Roman" w:cs="Times New Roman"/>
                <w:sz w:val="24"/>
              </w:rPr>
              <w:t>Ramsar Regional Initiatives Working Group</w:t>
            </w:r>
          </w:p>
        </w:tc>
        <w:tc>
          <w:tcPr>
            <w:tcW w:w="4499" w:type="dxa"/>
          </w:tcPr>
          <w:p w14:paraId="5C513E7D" w14:textId="77777777" w:rsidR="002072F8" w:rsidRDefault="002072F8" w:rsidP="005A2ACF">
            <w:pPr>
              <w:pStyle w:val="NoSpacing"/>
              <w:rPr>
                <w:rFonts w:ascii="Times New Roman" w:hAnsi="Times New Roman" w:cs="Times New Roman"/>
                <w:sz w:val="24"/>
              </w:rPr>
            </w:pPr>
          </w:p>
        </w:tc>
      </w:tr>
      <w:tr w:rsidR="0045434B" w14:paraId="4FB2C6EF" w14:textId="77777777" w:rsidTr="0045434B">
        <w:tc>
          <w:tcPr>
            <w:tcW w:w="4426" w:type="dxa"/>
          </w:tcPr>
          <w:p w14:paraId="56F83528" w14:textId="76BF3F9B" w:rsidR="0045434B" w:rsidRDefault="0045434B" w:rsidP="005A2ACF">
            <w:pPr>
              <w:pStyle w:val="NoSpacing"/>
              <w:rPr>
                <w:rFonts w:ascii="Times New Roman" w:hAnsi="Times New Roman" w:cs="Times New Roman"/>
                <w:sz w:val="24"/>
              </w:rPr>
            </w:pPr>
            <w:r>
              <w:rPr>
                <w:rFonts w:ascii="Times New Roman" w:hAnsi="Times New Roman" w:cs="Times New Roman"/>
                <w:sz w:val="24"/>
              </w:rPr>
              <w:t>[Staffing Working Group]</w:t>
            </w:r>
          </w:p>
        </w:tc>
        <w:tc>
          <w:tcPr>
            <w:tcW w:w="4499" w:type="dxa"/>
          </w:tcPr>
          <w:p w14:paraId="0B1C1733" w14:textId="77777777" w:rsidR="0045434B" w:rsidRDefault="0045434B" w:rsidP="005A2ACF">
            <w:pPr>
              <w:pStyle w:val="NoSpacing"/>
              <w:rPr>
                <w:rFonts w:ascii="Times New Roman" w:hAnsi="Times New Roman" w:cs="Times New Roman"/>
                <w:sz w:val="24"/>
              </w:rPr>
            </w:pPr>
          </w:p>
        </w:tc>
      </w:tr>
      <w:tr w:rsidR="002072F8" w14:paraId="2B4BD9A8" w14:textId="77777777" w:rsidTr="0045434B">
        <w:tc>
          <w:tcPr>
            <w:tcW w:w="4426" w:type="dxa"/>
          </w:tcPr>
          <w:p w14:paraId="424309E3" w14:textId="2649ED24" w:rsidR="002072F8" w:rsidRDefault="0045434B" w:rsidP="005A2ACF">
            <w:pPr>
              <w:pStyle w:val="NoSpacing"/>
              <w:rPr>
                <w:rFonts w:ascii="Times New Roman" w:hAnsi="Times New Roman" w:cs="Times New Roman"/>
                <w:sz w:val="24"/>
              </w:rPr>
            </w:pPr>
            <w:r>
              <w:rPr>
                <w:rFonts w:ascii="Times New Roman" w:hAnsi="Times New Roman" w:cs="Times New Roman"/>
                <w:sz w:val="24"/>
              </w:rPr>
              <w:t>[Transition Committee]</w:t>
            </w:r>
          </w:p>
        </w:tc>
        <w:tc>
          <w:tcPr>
            <w:tcW w:w="4499" w:type="dxa"/>
          </w:tcPr>
          <w:p w14:paraId="20DF22EE" w14:textId="77777777" w:rsidR="002072F8" w:rsidRDefault="002072F8" w:rsidP="005A2ACF">
            <w:pPr>
              <w:pStyle w:val="NoSpacing"/>
              <w:rPr>
                <w:rFonts w:ascii="Times New Roman" w:hAnsi="Times New Roman" w:cs="Times New Roman"/>
                <w:sz w:val="24"/>
              </w:rPr>
            </w:pPr>
          </w:p>
        </w:tc>
      </w:tr>
      <w:tr w:rsidR="0045434B" w14:paraId="17F82422" w14:textId="77777777" w:rsidTr="0045434B">
        <w:tc>
          <w:tcPr>
            <w:tcW w:w="4426" w:type="dxa"/>
          </w:tcPr>
          <w:p w14:paraId="30DADCD0" w14:textId="258EFB54" w:rsidR="0045434B" w:rsidRDefault="0045434B" w:rsidP="005A2ACF">
            <w:pPr>
              <w:pStyle w:val="NoSpacing"/>
              <w:rPr>
                <w:rFonts w:ascii="Times New Roman" w:hAnsi="Times New Roman" w:cs="Times New Roman"/>
                <w:sz w:val="24"/>
              </w:rPr>
            </w:pPr>
            <w:r>
              <w:rPr>
                <w:rFonts w:ascii="Times New Roman" w:hAnsi="Times New Roman" w:cs="Times New Roman"/>
                <w:sz w:val="24"/>
              </w:rPr>
              <w:t>[Subgroup on COP13]</w:t>
            </w:r>
          </w:p>
        </w:tc>
        <w:tc>
          <w:tcPr>
            <w:tcW w:w="4499" w:type="dxa"/>
          </w:tcPr>
          <w:p w14:paraId="5755F72B" w14:textId="77777777" w:rsidR="0045434B" w:rsidRDefault="0045434B" w:rsidP="005A2ACF">
            <w:pPr>
              <w:pStyle w:val="NoSpacing"/>
              <w:rPr>
                <w:rFonts w:ascii="Times New Roman" w:hAnsi="Times New Roman" w:cs="Times New Roman"/>
                <w:sz w:val="24"/>
              </w:rPr>
            </w:pPr>
          </w:p>
        </w:tc>
      </w:tr>
    </w:tbl>
    <w:p w14:paraId="58250FD4" w14:textId="77777777" w:rsidR="002072F8" w:rsidRDefault="002072F8" w:rsidP="005A2ACF">
      <w:pPr>
        <w:pStyle w:val="NoSpacing"/>
        <w:ind w:left="425" w:hanging="425"/>
        <w:rPr>
          <w:rFonts w:ascii="Times New Roman" w:hAnsi="Times New Roman" w:cs="Times New Roman"/>
          <w:sz w:val="24"/>
        </w:rPr>
      </w:pPr>
    </w:p>
    <w:p w14:paraId="1FD943C9" w14:textId="77777777" w:rsidR="0045434B" w:rsidRDefault="0045434B" w:rsidP="005A2ACF">
      <w:pPr>
        <w:pStyle w:val="NoSpacing"/>
        <w:ind w:left="425" w:hanging="425"/>
        <w:rPr>
          <w:rFonts w:ascii="Times New Roman" w:hAnsi="Times New Roman" w:cs="Times New Roman"/>
          <w:sz w:val="24"/>
        </w:rPr>
      </w:pPr>
    </w:p>
    <w:p w14:paraId="50281CB6" w14:textId="77777777" w:rsidR="00D66226" w:rsidRDefault="00D66226">
      <w:pPr>
        <w:spacing w:after="160" w:line="259" w:lineRule="auto"/>
        <w:rPr>
          <w:rFonts w:ascii="Times New Roman" w:eastAsiaTheme="minorHAnsi" w:hAnsi="Times New Roman"/>
          <w:b/>
          <w:sz w:val="24"/>
          <w:lang w:val="en-US"/>
        </w:rPr>
      </w:pPr>
      <w:r>
        <w:rPr>
          <w:rFonts w:ascii="Times New Roman" w:hAnsi="Times New Roman"/>
          <w:b/>
          <w:sz w:val="24"/>
        </w:rPr>
        <w:br w:type="page"/>
      </w:r>
    </w:p>
    <w:p w14:paraId="6D0A4A29" w14:textId="5425FB57" w:rsidR="0045434B" w:rsidRDefault="0045434B" w:rsidP="005A2ACF">
      <w:pPr>
        <w:pStyle w:val="NoSpacing"/>
        <w:ind w:left="425" w:hanging="425"/>
        <w:rPr>
          <w:rFonts w:ascii="Times New Roman" w:hAnsi="Times New Roman" w:cs="Times New Roman"/>
          <w:b/>
          <w:sz w:val="24"/>
        </w:rPr>
      </w:pPr>
      <w:r w:rsidRPr="0045434B">
        <w:rPr>
          <w:rFonts w:ascii="Times New Roman" w:hAnsi="Times New Roman" w:cs="Times New Roman"/>
          <w:b/>
          <w:sz w:val="24"/>
        </w:rPr>
        <w:lastRenderedPageBreak/>
        <w:t xml:space="preserve">Additional Text on Executive Team – Proposed for addition in 18.3 </w:t>
      </w:r>
      <w:r w:rsidR="00E41F39">
        <w:rPr>
          <w:rFonts w:ascii="Times New Roman" w:hAnsi="Times New Roman" w:cs="Times New Roman"/>
          <w:b/>
          <w:sz w:val="24"/>
        </w:rPr>
        <w:t>Annex 1</w:t>
      </w:r>
    </w:p>
    <w:p w14:paraId="1C99FFC1" w14:textId="2DE23F5F" w:rsidR="006B7D13" w:rsidRPr="006B7D13" w:rsidRDefault="006B7D13" w:rsidP="006B7D13">
      <w:pPr>
        <w:pStyle w:val="NoSpacing"/>
        <w:ind w:firstLine="1"/>
        <w:rPr>
          <w:rFonts w:ascii="Times New Roman" w:hAnsi="Times New Roman" w:cs="Times New Roman"/>
          <w:i/>
          <w:sz w:val="24"/>
        </w:rPr>
      </w:pPr>
      <w:r>
        <w:rPr>
          <w:rFonts w:ascii="Times New Roman" w:hAnsi="Times New Roman" w:cs="Times New Roman"/>
          <w:i/>
          <w:sz w:val="24"/>
        </w:rPr>
        <w:t>The proposed text below seeks to define a mandate for the Executive Team within the framework of the existing draft 18.3 and</w:t>
      </w:r>
      <w:r w:rsidR="00D66226">
        <w:rPr>
          <w:rFonts w:ascii="Times New Roman" w:hAnsi="Times New Roman" w:cs="Times New Roman"/>
          <w:i/>
          <w:sz w:val="24"/>
        </w:rPr>
        <w:t xml:space="preserve"> the</w:t>
      </w:r>
      <w:r>
        <w:rPr>
          <w:rFonts w:ascii="Times New Roman" w:hAnsi="Times New Roman" w:cs="Times New Roman"/>
          <w:i/>
          <w:sz w:val="24"/>
        </w:rPr>
        <w:t xml:space="preserve"> proposed mandate for the Standing Committee, recognizing the similarities that already exist between elements of this mandate and the proposed mandate for a Bureau as set out in the Rev 18.2. </w:t>
      </w:r>
    </w:p>
    <w:p w14:paraId="3A2DE90C" w14:textId="77777777" w:rsidR="0045434B" w:rsidRDefault="0045434B" w:rsidP="005A2ACF">
      <w:pPr>
        <w:pStyle w:val="NoSpacing"/>
        <w:ind w:left="425" w:hanging="425"/>
        <w:rPr>
          <w:rFonts w:ascii="Times New Roman" w:hAnsi="Times New Roman" w:cs="Times New Roman"/>
          <w:sz w:val="24"/>
        </w:rPr>
      </w:pPr>
    </w:p>
    <w:p w14:paraId="51A2CBCE" w14:textId="5B9E91B2" w:rsidR="00E41F39" w:rsidRDefault="00E41F39" w:rsidP="00E41F39">
      <w:pPr>
        <w:pStyle w:val="NoSpacing"/>
        <w:ind w:left="425" w:hanging="425"/>
        <w:rPr>
          <w:rFonts w:ascii="Times New Roman" w:hAnsi="Times New Roman" w:cs="Times New Roman"/>
          <w:sz w:val="24"/>
        </w:rPr>
      </w:pPr>
      <w:r w:rsidRPr="00E41F39">
        <w:rPr>
          <w:rFonts w:ascii="Times New Roman" w:hAnsi="Times New Roman" w:cs="Times New Roman"/>
          <w:sz w:val="24"/>
        </w:rPr>
        <w:t>The Standing Committee’s functions relating to the Secretariat, and descri</w:t>
      </w:r>
      <w:r>
        <w:rPr>
          <w:rFonts w:ascii="Times New Roman" w:hAnsi="Times New Roman" w:cs="Times New Roman"/>
          <w:sz w:val="24"/>
        </w:rPr>
        <w:t>bed at paragraph 19(c) and (d),</w:t>
      </w:r>
      <w:r w:rsidRPr="00E41F39">
        <w:rPr>
          <w:rFonts w:ascii="Times New Roman" w:hAnsi="Times New Roman" w:cs="Times New Roman"/>
          <w:sz w:val="24"/>
        </w:rPr>
        <w:t xml:space="preserve"> are conducted on the Committee’s behalf by its Executive Team, using a combination of meetings and teleconferences to strengthen coordination and communication.  The Executive team will:</w:t>
      </w:r>
    </w:p>
    <w:p w14:paraId="6FE2AD49" w14:textId="77777777" w:rsidR="00354D0B" w:rsidRPr="00E41F39" w:rsidRDefault="00354D0B" w:rsidP="00E41F39">
      <w:pPr>
        <w:pStyle w:val="NoSpacing"/>
        <w:ind w:left="425" w:hanging="425"/>
        <w:rPr>
          <w:rFonts w:ascii="Times New Roman" w:hAnsi="Times New Roman" w:cs="Times New Roman"/>
          <w:sz w:val="24"/>
        </w:rPr>
      </w:pPr>
    </w:p>
    <w:p w14:paraId="6D718EAD" w14:textId="0BEECD9F" w:rsidR="00E41F39" w:rsidRDefault="00E41F39" w:rsidP="00E41F39">
      <w:pPr>
        <w:pStyle w:val="NoSpacing"/>
        <w:numPr>
          <w:ilvl w:val="0"/>
          <w:numId w:val="7"/>
        </w:numPr>
        <w:rPr>
          <w:rFonts w:ascii="Times New Roman" w:hAnsi="Times New Roman" w:cs="Times New Roman"/>
          <w:sz w:val="24"/>
        </w:rPr>
      </w:pPr>
      <w:r w:rsidRPr="00E41F39">
        <w:rPr>
          <w:rFonts w:ascii="Times New Roman" w:hAnsi="Times New Roman" w:cs="Times New Roman"/>
          <w:sz w:val="24"/>
        </w:rPr>
        <w:t>provide agendas for its meetings to National Focal Points, at least one week in advance of those meetings;</w:t>
      </w:r>
    </w:p>
    <w:p w14:paraId="661EC6F3" w14:textId="77777777" w:rsidR="00354D0B" w:rsidRPr="00E41F39" w:rsidRDefault="00354D0B" w:rsidP="00354D0B">
      <w:pPr>
        <w:pStyle w:val="NoSpacing"/>
        <w:ind w:left="860"/>
        <w:rPr>
          <w:rFonts w:ascii="Times New Roman" w:hAnsi="Times New Roman" w:cs="Times New Roman"/>
          <w:sz w:val="24"/>
        </w:rPr>
      </w:pPr>
    </w:p>
    <w:p w14:paraId="387B71D1" w14:textId="1A92B50B" w:rsidR="00E41F39" w:rsidRDefault="00E41F39" w:rsidP="00E41F39">
      <w:pPr>
        <w:pStyle w:val="NoSpacing"/>
        <w:numPr>
          <w:ilvl w:val="0"/>
          <w:numId w:val="7"/>
        </w:numPr>
        <w:rPr>
          <w:rFonts w:ascii="Times New Roman" w:hAnsi="Times New Roman" w:cs="Times New Roman"/>
          <w:sz w:val="24"/>
        </w:rPr>
      </w:pPr>
      <w:r w:rsidRPr="00E41F39">
        <w:rPr>
          <w:rFonts w:ascii="Times New Roman" w:hAnsi="Times New Roman" w:cs="Times New Roman"/>
          <w:sz w:val="24"/>
        </w:rPr>
        <w:t>provide records of its meetings to National Focal Points, following those meetings;</w:t>
      </w:r>
    </w:p>
    <w:p w14:paraId="6CCDF5EA" w14:textId="77777777" w:rsidR="00354D0B" w:rsidRDefault="00354D0B" w:rsidP="00354D0B">
      <w:pPr>
        <w:pStyle w:val="ListParagraph"/>
        <w:rPr>
          <w:rFonts w:ascii="Times New Roman" w:hAnsi="Times New Roman"/>
          <w:sz w:val="24"/>
        </w:rPr>
      </w:pPr>
    </w:p>
    <w:p w14:paraId="72CA3936" w14:textId="093832FA" w:rsidR="00E41F39" w:rsidRPr="00E41F39" w:rsidRDefault="00E41F39" w:rsidP="00E41F39">
      <w:pPr>
        <w:pStyle w:val="NoSpacing"/>
        <w:numPr>
          <w:ilvl w:val="0"/>
          <w:numId w:val="7"/>
        </w:numPr>
        <w:rPr>
          <w:rFonts w:ascii="Times New Roman" w:hAnsi="Times New Roman" w:cs="Times New Roman"/>
          <w:sz w:val="24"/>
        </w:rPr>
      </w:pPr>
      <w:r w:rsidRPr="00E41F39">
        <w:rPr>
          <w:rFonts w:ascii="Times New Roman" w:hAnsi="Times New Roman" w:cs="Times New Roman"/>
          <w:sz w:val="24"/>
        </w:rPr>
        <w:t>report on its work with the Secretariat, at each meeting of the Standing Committee.</w:t>
      </w:r>
    </w:p>
    <w:p w14:paraId="1DCF58A6" w14:textId="77777777" w:rsidR="00E41F39" w:rsidRDefault="00E41F39" w:rsidP="00E41F39">
      <w:pPr>
        <w:pStyle w:val="NoSpacing"/>
        <w:ind w:left="425" w:hanging="425"/>
        <w:rPr>
          <w:rFonts w:ascii="Times New Roman" w:hAnsi="Times New Roman" w:cs="Times New Roman"/>
          <w:sz w:val="24"/>
        </w:rPr>
      </w:pPr>
      <w:r>
        <w:rPr>
          <w:rFonts w:ascii="Times New Roman" w:hAnsi="Times New Roman" w:cs="Times New Roman"/>
          <w:sz w:val="24"/>
        </w:rPr>
        <w:t xml:space="preserve"> </w:t>
      </w:r>
    </w:p>
    <w:p w14:paraId="031C37BC" w14:textId="20E23C6F" w:rsidR="0045434B" w:rsidRDefault="00E41F39" w:rsidP="00E41F39">
      <w:pPr>
        <w:pStyle w:val="NoSpacing"/>
        <w:ind w:left="425" w:hanging="425"/>
        <w:rPr>
          <w:rFonts w:ascii="Times New Roman" w:hAnsi="Times New Roman" w:cs="Times New Roman"/>
          <w:sz w:val="24"/>
        </w:rPr>
      </w:pPr>
      <w:r w:rsidRPr="00E41F39">
        <w:rPr>
          <w:rFonts w:ascii="Times New Roman" w:hAnsi="Times New Roman" w:cs="Times New Roman"/>
          <w:sz w:val="24"/>
        </w:rPr>
        <w:t xml:space="preserve">The Executive Team will continue to be comprised of the Chair and Vice Chair of the Standing Committee, and </w:t>
      </w:r>
      <w:r w:rsidR="009064AB">
        <w:rPr>
          <w:rFonts w:ascii="Times New Roman" w:hAnsi="Times New Roman" w:cs="Times New Roman"/>
          <w:sz w:val="24"/>
        </w:rPr>
        <w:t xml:space="preserve">the </w:t>
      </w:r>
      <w:r w:rsidRPr="00E41F39">
        <w:rPr>
          <w:rFonts w:ascii="Times New Roman" w:hAnsi="Times New Roman" w:cs="Times New Roman"/>
          <w:sz w:val="24"/>
        </w:rPr>
        <w:t>Chair of the Subgroup on Finance. Three additional representatives will be selected from among the Regional Representatives elected to serve in the Standing Committee to achieve a balance in regional representation.</w:t>
      </w:r>
    </w:p>
    <w:p w14:paraId="06206B36" w14:textId="77777777" w:rsidR="00E41F39" w:rsidRDefault="00E41F39" w:rsidP="00E41F39">
      <w:pPr>
        <w:pStyle w:val="NoSpacing"/>
        <w:ind w:left="425" w:hanging="425"/>
        <w:rPr>
          <w:rFonts w:ascii="Times New Roman" w:hAnsi="Times New Roman" w:cs="Times New Roman"/>
          <w:sz w:val="24"/>
        </w:rPr>
      </w:pPr>
    </w:p>
    <w:p w14:paraId="16281AEA" w14:textId="77777777" w:rsidR="00E41F39" w:rsidRDefault="00E41F39" w:rsidP="00E41F39">
      <w:pPr>
        <w:pStyle w:val="NoSpacing"/>
        <w:ind w:left="425" w:hanging="425"/>
        <w:rPr>
          <w:rFonts w:ascii="Times New Roman" w:hAnsi="Times New Roman" w:cs="Times New Roman"/>
          <w:sz w:val="24"/>
        </w:rPr>
      </w:pPr>
    </w:p>
    <w:p w14:paraId="24BDAC31" w14:textId="373362A0" w:rsidR="00E41F39" w:rsidRPr="006B7D13" w:rsidRDefault="00E41F39" w:rsidP="00E41F39">
      <w:pPr>
        <w:pStyle w:val="NoSpacing"/>
        <w:ind w:left="425" w:hanging="425"/>
        <w:rPr>
          <w:rFonts w:ascii="Times New Roman" w:hAnsi="Times New Roman" w:cs="Times New Roman"/>
          <w:i/>
          <w:sz w:val="24"/>
        </w:rPr>
      </w:pPr>
      <w:r w:rsidRPr="006B7D13">
        <w:rPr>
          <w:rFonts w:ascii="Times New Roman" w:hAnsi="Times New Roman" w:cs="Times New Roman"/>
          <w:i/>
          <w:sz w:val="24"/>
        </w:rPr>
        <w:t>For ease of reference see below for the text from 18.3 referenced above:</w:t>
      </w:r>
    </w:p>
    <w:p w14:paraId="402F3577" w14:textId="77777777" w:rsidR="006B7D13" w:rsidRDefault="006B7D13" w:rsidP="00E41F39">
      <w:pPr>
        <w:pStyle w:val="NoSpacing"/>
        <w:ind w:left="425" w:hanging="425"/>
        <w:rPr>
          <w:rFonts w:ascii="Times New Roman" w:hAnsi="Times New Roman" w:cs="Times New Roman"/>
          <w:sz w:val="24"/>
        </w:rPr>
      </w:pPr>
    </w:p>
    <w:p w14:paraId="68E513BF" w14:textId="71AE60A1" w:rsidR="00E41F39" w:rsidRDefault="00E41F39" w:rsidP="00E41F39">
      <w:pPr>
        <w:pStyle w:val="NoSpacing"/>
        <w:ind w:left="425" w:hanging="425"/>
        <w:rPr>
          <w:rFonts w:ascii="Times New Roman" w:hAnsi="Times New Roman" w:cs="Times New Roman"/>
          <w:sz w:val="24"/>
        </w:rPr>
      </w:pPr>
      <w:r>
        <w:rPr>
          <w:rFonts w:ascii="Times New Roman" w:hAnsi="Times New Roman" w:cs="Times New Roman"/>
          <w:sz w:val="24"/>
        </w:rPr>
        <w:t>19 (c)</w:t>
      </w:r>
      <w:r w:rsidRPr="00E41F39">
        <w:t xml:space="preserve"> </w:t>
      </w:r>
      <w:r w:rsidRPr="00E41F39">
        <w:rPr>
          <w:rFonts w:ascii="Times New Roman" w:hAnsi="Times New Roman" w:cs="Times New Roman"/>
          <w:sz w:val="24"/>
        </w:rPr>
        <w:t>supervise, as a representative of the COP, the implementation of activities by the Secretariat, the execution of the Secretariat’s budget, and conduct of the Secretariat’s programmes;</w:t>
      </w:r>
    </w:p>
    <w:p w14:paraId="49BDEC89" w14:textId="77777777" w:rsidR="00E41F39" w:rsidRDefault="00E41F39" w:rsidP="00E41F39">
      <w:pPr>
        <w:pStyle w:val="NoSpacing"/>
        <w:ind w:left="425" w:hanging="425"/>
        <w:rPr>
          <w:rFonts w:ascii="Times New Roman" w:hAnsi="Times New Roman" w:cs="Times New Roman"/>
          <w:sz w:val="24"/>
        </w:rPr>
      </w:pPr>
    </w:p>
    <w:p w14:paraId="2F23540B" w14:textId="14B025BE" w:rsidR="00E41F39" w:rsidRPr="005A2ACF" w:rsidRDefault="00E41F39" w:rsidP="00E41F39">
      <w:pPr>
        <w:pStyle w:val="NoSpacing"/>
        <w:ind w:left="425" w:hanging="425"/>
        <w:rPr>
          <w:rFonts w:ascii="Times New Roman" w:hAnsi="Times New Roman" w:cs="Times New Roman"/>
          <w:sz w:val="24"/>
        </w:rPr>
      </w:pPr>
      <w:r>
        <w:rPr>
          <w:rFonts w:ascii="Times New Roman" w:hAnsi="Times New Roman" w:cs="Times New Roman"/>
          <w:sz w:val="24"/>
        </w:rPr>
        <w:t xml:space="preserve">19 (d) </w:t>
      </w:r>
      <w:r w:rsidRPr="00E41F39">
        <w:rPr>
          <w:rFonts w:ascii="Times New Roman" w:hAnsi="Times New Roman" w:cs="Times New Roman"/>
          <w:sz w:val="24"/>
        </w:rPr>
        <w:t>provide guidance and advice to the Secretariat on the implementation of the Convention, on the preparation of meetings, and on any other matters relating to the exercise of its functions brought to it by the Secretariat;</w:t>
      </w:r>
    </w:p>
    <w:sectPr w:rsidR="00E41F39" w:rsidRPr="005A2ACF">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75A225" w16cid:durableId="1F7B9C00"/>
  <w16cid:commentId w16cid:paraId="3BC8BCAF" w16cid:durableId="1F7B9D0B"/>
  <w16cid:commentId w16cid:paraId="113D1894" w16cid:durableId="1F7B9ECB"/>
  <w16cid:commentId w16cid:paraId="15D95949" w16cid:durableId="1F7BA1AA"/>
  <w16cid:commentId w16cid:paraId="79923403" w16cid:durableId="1F7BA1F3"/>
  <w16cid:commentId w16cid:paraId="22AD42F9" w16cid:durableId="1F7BA257"/>
  <w16cid:commentId w16cid:paraId="1F492C33" w16cid:durableId="1F7BA275"/>
  <w16cid:commentId w16cid:paraId="5CE2B119" w16cid:durableId="1F7BA3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C2ECF" w14:textId="77777777" w:rsidR="00E76896" w:rsidRDefault="00E76896" w:rsidP="00D66226">
      <w:r>
        <w:separator/>
      </w:r>
    </w:p>
  </w:endnote>
  <w:endnote w:type="continuationSeparator" w:id="0">
    <w:p w14:paraId="74D65F9F" w14:textId="77777777" w:rsidR="00E76896" w:rsidRDefault="00E76896" w:rsidP="00D6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24948"/>
      <w:docPartObj>
        <w:docPartGallery w:val="Page Numbers (Bottom of Page)"/>
        <w:docPartUnique/>
      </w:docPartObj>
    </w:sdtPr>
    <w:sdtEndPr>
      <w:rPr>
        <w:noProof/>
      </w:rPr>
    </w:sdtEndPr>
    <w:sdtContent>
      <w:p w14:paraId="278E49D3" w14:textId="11E49839" w:rsidR="00D66226" w:rsidRDefault="00D66226">
        <w:pPr>
          <w:pStyle w:val="Footer"/>
          <w:jc w:val="right"/>
        </w:pPr>
        <w:r>
          <w:fldChar w:fldCharType="begin"/>
        </w:r>
        <w:r>
          <w:instrText xml:space="preserve"> PAGE   \* MERGEFORMAT </w:instrText>
        </w:r>
        <w:r>
          <w:fldChar w:fldCharType="separate"/>
        </w:r>
        <w:r w:rsidR="0077531F">
          <w:rPr>
            <w:noProof/>
          </w:rPr>
          <w:t>4</w:t>
        </w:r>
        <w:r>
          <w:rPr>
            <w:noProof/>
          </w:rPr>
          <w:fldChar w:fldCharType="end"/>
        </w:r>
      </w:p>
    </w:sdtContent>
  </w:sdt>
  <w:p w14:paraId="3AEE6404" w14:textId="77777777" w:rsidR="00D66226" w:rsidRDefault="00D6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495E" w14:textId="77777777" w:rsidR="00E76896" w:rsidRDefault="00E76896" w:rsidP="00D66226">
      <w:r>
        <w:separator/>
      </w:r>
    </w:p>
  </w:footnote>
  <w:footnote w:type="continuationSeparator" w:id="0">
    <w:p w14:paraId="4E7299FB" w14:textId="77777777" w:rsidR="00E76896" w:rsidRDefault="00E76896" w:rsidP="00D66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A4C"/>
    <w:multiLevelType w:val="hybridMultilevel"/>
    <w:tmpl w:val="E6C25F10"/>
    <w:lvl w:ilvl="0" w:tplc="08090001">
      <w:start w:val="1"/>
      <w:numFmt w:val="bullet"/>
      <w:lvlText w:val=""/>
      <w:lvlJc w:val="left"/>
      <w:pPr>
        <w:ind w:left="860" w:hanging="435"/>
      </w:pPr>
      <w:rPr>
        <w:rFonts w:ascii="Symbol" w:hAnsi="Symbol" w:hint="default"/>
      </w:rPr>
    </w:lvl>
    <w:lvl w:ilvl="1" w:tplc="08090001">
      <w:start w:val="1"/>
      <w:numFmt w:val="bullet"/>
      <w:lvlText w:val=""/>
      <w:lvlJc w:val="left"/>
      <w:pPr>
        <w:ind w:left="1505" w:hanging="360"/>
      </w:pPr>
      <w:rPr>
        <w:rFonts w:ascii="Symbol" w:hAnsi="Symbol" w:hint="default"/>
      </w:rPr>
    </w:lvl>
    <w:lvl w:ilvl="2" w:tplc="4E4E7E56">
      <w:numFmt w:val="bullet"/>
      <w:lvlText w:val="•"/>
      <w:lvlJc w:val="left"/>
      <w:pPr>
        <w:ind w:left="2465" w:hanging="420"/>
      </w:pPr>
      <w:rPr>
        <w:rFonts w:ascii="Times New Roman" w:eastAsiaTheme="minorHAns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1B33B2D"/>
    <w:multiLevelType w:val="hybridMultilevel"/>
    <w:tmpl w:val="085E3ECC"/>
    <w:lvl w:ilvl="0" w:tplc="0409000F">
      <w:start w:val="1"/>
      <w:numFmt w:val="decimal"/>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836EA"/>
    <w:multiLevelType w:val="hybridMultilevel"/>
    <w:tmpl w:val="D7AC76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02370"/>
    <w:multiLevelType w:val="hybridMultilevel"/>
    <w:tmpl w:val="78FE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A410B"/>
    <w:multiLevelType w:val="hybridMultilevel"/>
    <w:tmpl w:val="C962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164F3"/>
    <w:multiLevelType w:val="hybridMultilevel"/>
    <w:tmpl w:val="C6A401FA"/>
    <w:lvl w:ilvl="0" w:tplc="7F3C97E2">
      <w:start w:val="1"/>
      <w:numFmt w:val="lowerLetter"/>
      <w:lvlText w:val="%1."/>
      <w:lvlJc w:val="left"/>
      <w:pPr>
        <w:ind w:left="860" w:hanging="435"/>
      </w:pPr>
      <w:rPr>
        <w:rFonts w:hint="default"/>
      </w:rPr>
    </w:lvl>
    <w:lvl w:ilvl="1" w:tplc="08090001">
      <w:start w:val="1"/>
      <w:numFmt w:val="bullet"/>
      <w:lvlText w:val=""/>
      <w:lvlJc w:val="left"/>
      <w:pPr>
        <w:ind w:left="1505" w:hanging="360"/>
      </w:pPr>
      <w:rPr>
        <w:rFonts w:ascii="Symbol" w:hAnsi="Symbol" w:hint="default"/>
      </w:rPr>
    </w:lvl>
    <w:lvl w:ilvl="2" w:tplc="4E4E7E56">
      <w:numFmt w:val="bullet"/>
      <w:lvlText w:val="•"/>
      <w:lvlJc w:val="left"/>
      <w:pPr>
        <w:ind w:left="2465" w:hanging="420"/>
      </w:pPr>
      <w:rPr>
        <w:rFonts w:ascii="Times New Roman" w:eastAsiaTheme="minorHAns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764C25B7"/>
    <w:multiLevelType w:val="hybridMultilevel"/>
    <w:tmpl w:val="F4C6F57E"/>
    <w:lvl w:ilvl="0" w:tplc="706A0F5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7267A"/>
    <w:multiLevelType w:val="hybridMultilevel"/>
    <w:tmpl w:val="69625A20"/>
    <w:lvl w:ilvl="0" w:tplc="7F3C97E2">
      <w:start w:val="1"/>
      <w:numFmt w:val="lowerLetter"/>
      <w:lvlText w:val="%1."/>
      <w:lvlJc w:val="left"/>
      <w:pPr>
        <w:ind w:left="860" w:hanging="435"/>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7"/>
  </w:num>
  <w:num w:numId="2">
    <w:abstractNumId w:val="4"/>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CF"/>
    <w:rsid w:val="00002076"/>
    <w:rsid w:val="00015CFC"/>
    <w:rsid w:val="0002646E"/>
    <w:rsid w:val="00037C27"/>
    <w:rsid w:val="000612DE"/>
    <w:rsid w:val="00082892"/>
    <w:rsid w:val="000A4161"/>
    <w:rsid w:val="000C02D6"/>
    <w:rsid w:val="00103CCD"/>
    <w:rsid w:val="001113DC"/>
    <w:rsid w:val="001177A4"/>
    <w:rsid w:val="00123DD3"/>
    <w:rsid w:val="00180D87"/>
    <w:rsid w:val="001845DE"/>
    <w:rsid w:val="001A66D9"/>
    <w:rsid w:val="001D416B"/>
    <w:rsid w:val="001E0173"/>
    <w:rsid w:val="002072F8"/>
    <w:rsid w:val="0021488A"/>
    <w:rsid w:val="002317B4"/>
    <w:rsid w:val="002D2B0A"/>
    <w:rsid w:val="002F211D"/>
    <w:rsid w:val="002F4F03"/>
    <w:rsid w:val="002F7A3B"/>
    <w:rsid w:val="002F7D71"/>
    <w:rsid w:val="00322915"/>
    <w:rsid w:val="00354D0B"/>
    <w:rsid w:val="00355B91"/>
    <w:rsid w:val="003800D2"/>
    <w:rsid w:val="00381399"/>
    <w:rsid w:val="003B16EB"/>
    <w:rsid w:val="003B3904"/>
    <w:rsid w:val="003D1A4B"/>
    <w:rsid w:val="00440B74"/>
    <w:rsid w:val="0045434B"/>
    <w:rsid w:val="00466C1A"/>
    <w:rsid w:val="00473C2C"/>
    <w:rsid w:val="00494288"/>
    <w:rsid w:val="004A1186"/>
    <w:rsid w:val="004B5192"/>
    <w:rsid w:val="004C0FDF"/>
    <w:rsid w:val="004F5C60"/>
    <w:rsid w:val="005771A8"/>
    <w:rsid w:val="005860BD"/>
    <w:rsid w:val="005A2ACF"/>
    <w:rsid w:val="0061706B"/>
    <w:rsid w:val="0064310B"/>
    <w:rsid w:val="006A2474"/>
    <w:rsid w:val="006B1F8B"/>
    <w:rsid w:val="006B7D13"/>
    <w:rsid w:val="006C1502"/>
    <w:rsid w:val="006C7CD5"/>
    <w:rsid w:val="006E272F"/>
    <w:rsid w:val="006E7CEC"/>
    <w:rsid w:val="0077531F"/>
    <w:rsid w:val="00796307"/>
    <w:rsid w:val="007C0182"/>
    <w:rsid w:val="007E0D37"/>
    <w:rsid w:val="007F0387"/>
    <w:rsid w:val="00825AD5"/>
    <w:rsid w:val="008C6B90"/>
    <w:rsid w:val="008D1256"/>
    <w:rsid w:val="008E10BC"/>
    <w:rsid w:val="00900C31"/>
    <w:rsid w:val="009064AB"/>
    <w:rsid w:val="009162ED"/>
    <w:rsid w:val="00A259A1"/>
    <w:rsid w:val="00A41E77"/>
    <w:rsid w:val="00A46341"/>
    <w:rsid w:val="00A70CE8"/>
    <w:rsid w:val="00A7506E"/>
    <w:rsid w:val="00A80F46"/>
    <w:rsid w:val="00A82A1C"/>
    <w:rsid w:val="00A93735"/>
    <w:rsid w:val="00AB7360"/>
    <w:rsid w:val="00AE0507"/>
    <w:rsid w:val="00AE3396"/>
    <w:rsid w:val="00B53A47"/>
    <w:rsid w:val="00B70F61"/>
    <w:rsid w:val="00B927F6"/>
    <w:rsid w:val="00BA7BC4"/>
    <w:rsid w:val="00BE577F"/>
    <w:rsid w:val="00BF7CBE"/>
    <w:rsid w:val="00C34A84"/>
    <w:rsid w:val="00CD4998"/>
    <w:rsid w:val="00CE4398"/>
    <w:rsid w:val="00D16A7F"/>
    <w:rsid w:val="00D66226"/>
    <w:rsid w:val="00D74207"/>
    <w:rsid w:val="00D86E75"/>
    <w:rsid w:val="00DB10B6"/>
    <w:rsid w:val="00DC0647"/>
    <w:rsid w:val="00DC1DEA"/>
    <w:rsid w:val="00DE7B46"/>
    <w:rsid w:val="00DF4EDC"/>
    <w:rsid w:val="00E41F39"/>
    <w:rsid w:val="00E76896"/>
    <w:rsid w:val="00E82CBF"/>
    <w:rsid w:val="00F363D5"/>
    <w:rsid w:val="00F632AC"/>
    <w:rsid w:val="00F942FE"/>
    <w:rsid w:val="00F96272"/>
    <w:rsid w:val="00FD31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2706"/>
  <w15:chartTrackingRefBased/>
  <w15:docId w15:val="{6446E0EF-E6CF-477D-9011-F9F47867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ACF"/>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ACF"/>
    <w:pPr>
      <w:spacing w:after="0" w:line="240" w:lineRule="auto"/>
    </w:pPr>
  </w:style>
  <w:style w:type="paragraph" w:styleId="ListParagraph">
    <w:name w:val="List Paragraph"/>
    <w:basedOn w:val="Normal"/>
    <w:uiPriority w:val="34"/>
    <w:qFormat/>
    <w:rsid w:val="006E272F"/>
    <w:pPr>
      <w:ind w:left="720"/>
      <w:contextualSpacing/>
    </w:pPr>
  </w:style>
  <w:style w:type="character" w:styleId="CommentReference">
    <w:name w:val="annotation reference"/>
    <w:basedOn w:val="DefaultParagraphFont"/>
    <w:uiPriority w:val="99"/>
    <w:semiHidden/>
    <w:unhideWhenUsed/>
    <w:rsid w:val="00DC0647"/>
    <w:rPr>
      <w:sz w:val="16"/>
      <w:szCs w:val="16"/>
    </w:rPr>
  </w:style>
  <w:style w:type="paragraph" w:styleId="CommentText">
    <w:name w:val="annotation text"/>
    <w:basedOn w:val="Normal"/>
    <w:link w:val="CommentTextChar"/>
    <w:uiPriority w:val="99"/>
    <w:semiHidden/>
    <w:unhideWhenUsed/>
    <w:rsid w:val="00DC0647"/>
    <w:rPr>
      <w:sz w:val="20"/>
      <w:szCs w:val="20"/>
    </w:rPr>
  </w:style>
  <w:style w:type="character" w:customStyle="1" w:styleId="CommentTextChar">
    <w:name w:val="Comment Text Char"/>
    <w:basedOn w:val="DefaultParagraphFont"/>
    <w:link w:val="CommentText"/>
    <w:uiPriority w:val="99"/>
    <w:semiHidden/>
    <w:rsid w:val="00DC064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C0647"/>
    <w:rPr>
      <w:b/>
      <w:bCs/>
    </w:rPr>
  </w:style>
  <w:style w:type="character" w:customStyle="1" w:styleId="CommentSubjectChar">
    <w:name w:val="Comment Subject Char"/>
    <w:basedOn w:val="CommentTextChar"/>
    <w:link w:val="CommentSubject"/>
    <w:uiPriority w:val="99"/>
    <w:semiHidden/>
    <w:rsid w:val="00DC0647"/>
    <w:rPr>
      <w:rFonts w:ascii="Calibri" w:eastAsia="Calibri" w:hAnsi="Calibri" w:cs="Times New Roman"/>
      <w:b/>
      <w:bCs/>
      <w:sz w:val="20"/>
      <w:szCs w:val="20"/>
      <w:lang w:val="en-GB"/>
    </w:rPr>
  </w:style>
  <w:style w:type="paragraph" w:styleId="Revision">
    <w:name w:val="Revision"/>
    <w:hidden/>
    <w:uiPriority w:val="99"/>
    <w:semiHidden/>
    <w:rsid w:val="00DC064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DC0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47"/>
    <w:rPr>
      <w:rFonts w:ascii="Segoe UI" w:eastAsia="Calibri" w:hAnsi="Segoe UI" w:cs="Segoe UI"/>
      <w:sz w:val="18"/>
      <w:szCs w:val="18"/>
      <w:lang w:val="en-GB"/>
    </w:rPr>
  </w:style>
  <w:style w:type="table" w:styleId="TableGrid">
    <w:name w:val="Table Grid"/>
    <w:basedOn w:val="TableNormal"/>
    <w:uiPriority w:val="39"/>
    <w:rsid w:val="0020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226"/>
    <w:pPr>
      <w:tabs>
        <w:tab w:val="center" w:pos="4513"/>
        <w:tab w:val="right" w:pos="9026"/>
      </w:tabs>
    </w:pPr>
  </w:style>
  <w:style w:type="character" w:customStyle="1" w:styleId="HeaderChar">
    <w:name w:val="Header Char"/>
    <w:basedOn w:val="DefaultParagraphFont"/>
    <w:link w:val="Header"/>
    <w:uiPriority w:val="99"/>
    <w:rsid w:val="00D66226"/>
    <w:rPr>
      <w:rFonts w:ascii="Calibri" w:eastAsia="Calibri" w:hAnsi="Calibri" w:cs="Times New Roman"/>
      <w:lang w:val="en-GB"/>
    </w:rPr>
  </w:style>
  <w:style w:type="paragraph" w:styleId="Footer">
    <w:name w:val="footer"/>
    <w:basedOn w:val="Normal"/>
    <w:link w:val="FooterChar"/>
    <w:uiPriority w:val="99"/>
    <w:unhideWhenUsed/>
    <w:rsid w:val="00D66226"/>
    <w:pPr>
      <w:tabs>
        <w:tab w:val="center" w:pos="4513"/>
        <w:tab w:val="right" w:pos="9026"/>
      </w:tabs>
    </w:pPr>
  </w:style>
  <w:style w:type="character" w:customStyle="1" w:styleId="FooterChar">
    <w:name w:val="Footer Char"/>
    <w:basedOn w:val="DefaultParagraphFont"/>
    <w:link w:val="Footer"/>
    <w:uiPriority w:val="99"/>
    <w:rsid w:val="00D66226"/>
    <w:rPr>
      <w:rFonts w:ascii="Calibri" w:eastAsia="Calibri" w:hAnsi="Calibri" w:cs="Times New Roman"/>
      <w:lang w:val="en-GB"/>
    </w:rPr>
  </w:style>
  <w:style w:type="character" w:styleId="Hyperlink">
    <w:name w:val="Hyperlink"/>
    <w:basedOn w:val="DefaultParagraphFont"/>
    <w:uiPriority w:val="99"/>
    <w:unhideWhenUsed/>
    <w:rsid w:val="000C02D6"/>
    <w:rPr>
      <w:color w:val="0563C1" w:themeColor="hyperlink"/>
      <w:u w:val="single"/>
    </w:rPr>
  </w:style>
  <w:style w:type="character" w:customStyle="1" w:styleId="UnresolvedMention">
    <w:name w:val="Unresolved Mention"/>
    <w:basedOn w:val="DefaultParagraphFont"/>
    <w:uiPriority w:val="99"/>
    <w:semiHidden/>
    <w:unhideWhenUsed/>
    <w:rsid w:val="000C02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2828-7E0C-432C-A23B-66C27968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JENNINGS Edmund</cp:lastModifiedBy>
  <cp:revision>2</cp:revision>
  <cp:lastPrinted>2018-09-18T20:23:00Z</cp:lastPrinted>
  <dcterms:created xsi:type="dcterms:W3CDTF">2018-10-25T05:31:00Z</dcterms:created>
  <dcterms:modified xsi:type="dcterms:W3CDTF">2018-10-25T05:31:00Z</dcterms:modified>
</cp:coreProperties>
</file>