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19" w:rsidRPr="00F60119" w:rsidRDefault="00F60119" w:rsidP="00F60119">
      <w:pPr>
        <w:spacing w:after="0" w:line="240" w:lineRule="auto"/>
        <w:jc w:val="center"/>
        <w:rPr>
          <w:rFonts w:asciiTheme="majorHAnsi" w:hAnsiTheme="majorHAnsi"/>
          <w:b/>
          <w:sz w:val="25"/>
          <w:szCs w:val="25"/>
          <w:lang w:val="es-ES_tradnl"/>
        </w:rPr>
      </w:pPr>
      <w:r w:rsidRPr="00F60119">
        <w:rPr>
          <w:rFonts w:asciiTheme="majorHAnsi" w:hAnsiTheme="majorHAnsi"/>
          <w:noProof/>
          <w:sz w:val="25"/>
          <w:szCs w:val="25"/>
          <w:lang w:val="en-US"/>
        </w:rPr>
        <w:drawing>
          <wp:anchor distT="0" distB="0" distL="114300" distR="114300" simplePos="0" relativeHeight="251659264" behindDoc="0" locked="0" layoutInCell="1" allowOverlap="1">
            <wp:simplePos x="0" y="0"/>
            <wp:positionH relativeFrom="margin">
              <wp:posOffset>-171450</wp:posOffset>
            </wp:positionH>
            <wp:positionV relativeFrom="margin">
              <wp:posOffset>-187960</wp:posOffset>
            </wp:positionV>
            <wp:extent cx="2219325" cy="955675"/>
            <wp:effectExtent l="19050" t="0" r="9525" b="0"/>
            <wp:wrapSquare wrapText="bothSides"/>
            <wp:docPr id="2"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7"/>
                    <a:stretch>
                      <a:fillRect/>
                    </a:stretch>
                  </pic:blipFill>
                  <pic:spPr bwMode="auto">
                    <a:xfrm>
                      <a:off x="0" y="0"/>
                      <a:ext cx="2219325" cy="955675"/>
                    </a:xfrm>
                    <a:prstGeom prst="rect">
                      <a:avLst/>
                    </a:prstGeom>
                    <a:noFill/>
                    <a:ln>
                      <a:noFill/>
                    </a:ln>
                  </pic:spPr>
                </pic:pic>
              </a:graphicData>
            </a:graphic>
          </wp:anchor>
        </w:drawing>
      </w:r>
      <w:r w:rsidRPr="00F60119">
        <w:rPr>
          <w:rFonts w:asciiTheme="majorHAnsi" w:hAnsiTheme="majorHAnsi"/>
          <w:b/>
          <w:sz w:val="25"/>
          <w:szCs w:val="25"/>
          <w:lang w:val="es-ES_tradnl"/>
        </w:rPr>
        <w:t>12ª Reunión de la Conferencia de las Partes en la Convención sobre los Humedales (Ramsar, Irán, 1971)</w:t>
      </w:r>
    </w:p>
    <w:p w:rsidR="00F60119" w:rsidRPr="00F60119" w:rsidRDefault="00F60119" w:rsidP="00F60119">
      <w:pPr>
        <w:spacing w:after="0" w:line="240" w:lineRule="auto"/>
        <w:jc w:val="center"/>
        <w:rPr>
          <w:rFonts w:asciiTheme="majorHAnsi" w:hAnsiTheme="majorHAnsi"/>
          <w:sz w:val="25"/>
          <w:szCs w:val="25"/>
          <w:lang w:val="es-ES_tradnl"/>
        </w:rPr>
      </w:pPr>
    </w:p>
    <w:p w:rsidR="00F60119" w:rsidRPr="00F60119" w:rsidRDefault="00F60119" w:rsidP="00F60119">
      <w:pPr>
        <w:tabs>
          <w:tab w:val="left" w:pos="3828"/>
        </w:tabs>
        <w:spacing w:after="0" w:line="240" w:lineRule="auto"/>
        <w:jc w:val="center"/>
        <w:rPr>
          <w:rFonts w:asciiTheme="majorHAnsi" w:hAnsiTheme="majorHAnsi"/>
          <w:b/>
          <w:sz w:val="25"/>
          <w:szCs w:val="25"/>
          <w:lang w:val="es-ES_tradnl"/>
        </w:rPr>
      </w:pPr>
      <w:r w:rsidRPr="00F60119">
        <w:rPr>
          <w:rFonts w:asciiTheme="majorHAnsi" w:hAnsiTheme="majorHAnsi"/>
          <w:b/>
          <w:sz w:val="25"/>
          <w:szCs w:val="25"/>
          <w:lang w:val="es-ES_tradnl"/>
        </w:rPr>
        <w:t>Punta del Este, Uruguay, 1 a 9 de junio de 2015</w:t>
      </w:r>
    </w:p>
    <w:p w:rsidR="006373A5" w:rsidRPr="00087FBE" w:rsidRDefault="006373A5" w:rsidP="006373A5">
      <w:pPr>
        <w:tabs>
          <w:tab w:val="left" w:pos="3828"/>
        </w:tabs>
        <w:jc w:val="center"/>
        <w:rPr>
          <w:rFonts w:asciiTheme="majorHAnsi" w:hAnsiTheme="majorHAnsi"/>
          <w:b/>
          <w:sz w:val="25"/>
          <w:szCs w:val="25"/>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6373A5" w:rsidRPr="00087FBE" w:rsidTr="0041709D">
        <w:trPr>
          <w:trHeight w:val="170"/>
        </w:trPr>
        <w:tc>
          <w:tcPr>
            <w:tcW w:w="4528" w:type="dxa"/>
          </w:tcPr>
          <w:p w:rsidR="006373A5" w:rsidRPr="00087FBE" w:rsidRDefault="006373A5" w:rsidP="0041709D">
            <w:pPr>
              <w:spacing w:after="0" w:line="240" w:lineRule="auto"/>
              <w:rPr>
                <w:rFonts w:asciiTheme="majorHAnsi" w:hAnsiTheme="majorHAnsi"/>
                <w:b/>
                <w:sz w:val="25"/>
                <w:szCs w:val="25"/>
                <w:lang w:val="es-ES_tradnl"/>
              </w:rPr>
            </w:pPr>
          </w:p>
        </w:tc>
        <w:tc>
          <w:tcPr>
            <w:tcW w:w="4602" w:type="dxa"/>
          </w:tcPr>
          <w:p w:rsidR="006373A5" w:rsidRPr="00087FBE" w:rsidRDefault="006373A5" w:rsidP="0041709D">
            <w:pPr>
              <w:spacing w:after="0" w:line="240" w:lineRule="auto"/>
              <w:jc w:val="right"/>
              <w:rPr>
                <w:rFonts w:asciiTheme="majorHAnsi" w:hAnsiTheme="majorHAnsi"/>
                <w:b/>
                <w:sz w:val="25"/>
                <w:szCs w:val="25"/>
                <w:lang w:val="es-ES_tradnl"/>
              </w:rPr>
            </w:pPr>
            <w:r w:rsidRPr="00087FBE">
              <w:rPr>
                <w:rFonts w:asciiTheme="majorHAnsi" w:hAnsiTheme="majorHAnsi"/>
                <w:b/>
                <w:sz w:val="25"/>
                <w:szCs w:val="25"/>
                <w:lang w:val="es-ES_tradnl"/>
              </w:rPr>
              <w:t>Ramsar COP12 DOC.18</w:t>
            </w:r>
          </w:p>
        </w:tc>
      </w:tr>
    </w:tbl>
    <w:p w:rsidR="006373A5" w:rsidRPr="00087FBE" w:rsidRDefault="006373A5" w:rsidP="006373A5">
      <w:pPr>
        <w:spacing w:after="0" w:line="240" w:lineRule="auto"/>
        <w:ind w:right="17"/>
        <w:jc w:val="center"/>
        <w:rPr>
          <w:rFonts w:asciiTheme="majorHAnsi" w:eastAsia="Times New Roman" w:hAnsiTheme="majorHAnsi" w:cs="Times New Roman"/>
          <w:b/>
          <w:bCs/>
          <w:sz w:val="28"/>
          <w:szCs w:val="28"/>
          <w:lang w:val="es-ES_tradnl" w:eastAsia="el-GR"/>
        </w:rPr>
      </w:pPr>
    </w:p>
    <w:p w:rsidR="006373A5" w:rsidRPr="00087FBE" w:rsidRDefault="006373A5" w:rsidP="006373A5">
      <w:pPr>
        <w:spacing w:after="0" w:line="240" w:lineRule="auto"/>
        <w:ind w:right="17"/>
        <w:jc w:val="center"/>
        <w:rPr>
          <w:rFonts w:asciiTheme="majorHAnsi" w:eastAsia="Times New Roman" w:hAnsiTheme="majorHAnsi" w:cs="Times New Roman"/>
          <w:b/>
          <w:bCs/>
          <w:sz w:val="28"/>
          <w:szCs w:val="28"/>
          <w:lang w:val="es-ES_tradnl" w:eastAsia="el-GR"/>
        </w:rPr>
      </w:pPr>
      <w:r w:rsidRPr="00087FBE">
        <w:rPr>
          <w:rFonts w:asciiTheme="majorHAnsi" w:eastAsia="Times New Roman" w:hAnsiTheme="majorHAnsi" w:cs="Times New Roman"/>
          <w:b/>
          <w:bCs/>
          <w:sz w:val="28"/>
          <w:szCs w:val="28"/>
          <w:lang w:val="es-ES_tradnl" w:eastAsia="el-GR"/>
        </w:rPr>
        <w:t>Informe sobre la aplicación del Programa de CECoP de la Convención para 2009-2015</w:t>
      </w:r>
    </w:p>
    <w:p w:rsidR="006373A5" w:rsidRPr="00087FBE" w:rsidRDefault="006373A5" w:rsidP="006373A5">
      <w:pPr>
        <w:spacing w:after="0" w:line="240" w:lineRule="auto"/>
        <w:ind w:right="17"/>
        <w:jc w:val="center"/>
        <w:rPr>
          <w:rFonts w:asciiTheme="majorHAnsi" w:eastAsia="Times New Roman" w:hAnsiTheme="majorHAnsi" w:cs="Times New Roman"/>
          <w:b/>
          <w:bCs/>
          <w:sz w:val="28"/>
          <w:szCs w:val="28"/>
          <w:lang w:val="es-ES_tradnl" w:eastAsia="el-GR"/>
        </w:rPr>
      </w:pPr>
    </w:p>
    <w:p w:rsidR="006373A5" w:rsidRPr="00087FBE" w:rsidRDefault="006373A5" w:rsidP="006373A5">
      <w:pPr>
        <w:spacing w:after="0" w:line="240" w:lineRule="auto"/>
        <w:rPr>
          <w:rFonts w:asciiTheme="majorHAnsi" w:hAnsiTheme="majorHAnsi" w:cs="Arial"/>
          <w:b/>
          <w:sz w:val="24"/>
          <w:szCs w:val="24"/>
          <w:lang w:val="es-ES_tradnl"/>
        </w:rPr>
      </w:pPr>
      <w:r w:rsidRPr="00087FBE">
        <w:rPr>
          <w:rFonts w:asciiTheme="majorHAnsi" w:hAnsiTheme="majorHAnsi" w:cs="Arial"/>
          <w:b/>
          <w:sz w:val="24"/>
          <w:szCs w:val="24"/>
          <w:lang w:val="es-ES_tradnl"/>
        </w:rPr>
        <w:t>Introducción</w:t>
      </w:r>
    </w:p>
    <w:p w:rsidR="006373A5" w:rsidRPr="00087FBE" w:rsidRDefault="006373A5" w:rsidP="006373A5">
      <w:pPr>
        <w:spacing w:after="0" w:line="240" w:lineRule="auto"/>
        <w:rPr>
          <w:rFonts w:asciiTheme="majorHAnsi" w:hAnsiTheme="majorHAnsi" w:cs="Arial"/>
          <w:b/>
          <w:lang w:val="es-ES_tradnl"/>
        </w:rPr>
      </w:pPr>
    </w:p>
    <w:p w:rsidR="006373A5" w:rsidRPr="00087FBE" w:rsidRDefault="0041709D"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Times New Roman"/>
          <w:szCs w:val="24"/>
          <w:lang w:val="es-ES_tradnl" w:eastAsia="fr-FR"/>
        </w:rPr>
        <w:t xml:space="preserve">El primer “Programa de </w:t>
      </w:r>
      <w:r w:rsidR="00A13793" w:rsidRPr="00087FBE">
        <w:rPr>
          <w:rFonts w:asciiTheme="majorHAnsi" w:hAnsiTheme="majorHAnsi" w:cs="Times New Roman"/>
          <w:szCs w:val="24"/>
          <w:lang w:val="es-ES_tradnl" w:eastAsia="fr-FR"/>
        </w:rPr>
        <w:t>comunicación</w:t>
      </w:r>
      <w:r w:rsidRPr="00087FBE">
        <w:rPr>
          <w:rFonts w:asciiTheme="majorHAnsi" w:hAnsiTheme="majorHAnsi" w:cs="Times New Roman"/>
          <w:szCs w:val="24"/>
          <w:lang w:val="es-ES_tradnl" w:eastAsia="fr-FR"/>
        </w:rPr>
        <w:t xml:space="preserve">, </w:t>
      </w:r>
      <w:r w:rsidR="00A13793" w:rsidRPr="00087FBE">
        <w:rPr>
          <w:rFonts w:asciiTheme="majorHAnsi" w:hAnsiTheme="majorHAnsi" w:cs="Times New Roman"/>
          <w:szCs w:val="24"/>
          <w:lang w:val="es-ES_tradnl" w:eastAsia="fr-FR"/>
        </w:rPr>
        <w:t>educación</w:t>
      </w:r>
      <w:r w:rsidRPr="00087FBE">
        <w:rPr>
          <w:rFonts w:asciiTheme="majorHAnsi" w:hAnsiTheme="majorHAnsi" w:cs="Times New Roman"/>
          <w:szCs w:val="24"/>
          <w:lang w:val="es-ES_tradnl" w:eastAsia="fr-FR"/>
        </w:rPr>
        <w:t xml:space="preserve"> y </w:t>
      </w:r>
      <w:r w:rsidR="00A13793" w:rsidRPr="00087FBE">
        <w:rPr>
          <w:rFonts w:asciiTheme="majorHAnsi" w:hAnsiTheme="majorHAnsi" w:cs="Times New Roman"/>
          <w:szCs w:val="24"/>
          <w:lang w:val="es-ES_tradnl" w:eastAsia="fr-FR"/>
        </w:rPr>
        <w:t>concienciación</w:t>
      </w:r>
      <w:r w:rsidRPr="00087FBE">
        <w:rPr>
          <w:rFonts w:asciiTheme="majorHAnsi" w:hAnsiTheme="majorHAnsi" w:cs="Times New Roman"/>
          <w:szCs w:val="24"/>
          <w:lang w:val="es-ES_tradnl" w:eastAsia="fr-FR"/>
        </w:rPr>
        <w:t xml:space="preserve"> del </w:t>
      </w:r>
      <w:r w:rsidR="00A13793" w:rsidRPr="00087FBE">
        <w:rPr>
          <w:rFonts w:asciiTheme="majorHAnsi" w:hAnsiTheme="majorHAnsi" w:cs="Times New Roman"/>
          <w:szCs w:val="24"/>
          <w:lang w:val="es-ES_tradnl" w:eastAsia="fr-FR"/>
        </w:rPr>
        <w:t>público</w:t>
      </w:r>
      <w:r w:rsidRPr="00087FBE">
        <w:rPr>
          <w:rFonts w:asciiTheme="majorHAnsi" w:hAnsiTheme="majorHAnsi" w:cs="Times New Roman"/>
          <w:szCs w:val="24"/>
          <w:lang w:val="es-ES_tradnl" w:eastAsia="fr-FR"/>
        </w:rPr>
        <w:t>”</w:t>
      </w:r>
      <w:r w:rsidR="006373A5" w:rsidRPr="00087FBE">
        <w:rPr>
          <w:rFonts w:asciiTheme="majorHAnsi" w:hAnsiTheme="majorHAnsi" w:cs="Times New Roman"/>
          <w:szCs w:val="24"/>
          <w:lang w:val="es-ES_tradnl" w:eastAsia="fr-FR"/>
        </w:rPr>
        <w:t xml:space="preserve"> (CECoP) fue aprobado por la Conferencia de las Partes Contratantes en</w:t>
      </w:r>
      <w:r w:rsidRPr="00087FBE">
        <w:rPr>
          <w:rFonts w:asciiTheme="majorHAnsi" w:hAnsiTheme="majorHAnsi" w:cs="Times New Roman"/>
          <w:szCs w:val="24"/>
          <w:lang w:val="es-ES_tradnl" w:eastAsia="fr-FR"/>
        </w:rPr>
        <w:t xml:space="preserve"> su 7ª </w:t>
      </w:r>
      <w:r w:rsidR="00A13793" w:rsidRPr="00087FBE">
        <w:rPr>
          <w:rFonts w:asciiTheme="majorHAnsi" w:hAnsiTheme="majorHAnsi" w:cs="Times New Roman"/>
          <w:szCs w:val="24"/>
          <w:lang w:val="es-ES_tradnl" w:eastAsia="fr-FR"/>
        </w:rPr>
        <w:t>reunión</w:t>
      </w:r>
      <w:r w:rsidR="006373A5" w:rsidRPr="00087FBE">
        <w:rPr>
          <w:rFonts w:asciiTheme="majorHAnsi" w:hAnsiTheme="majorHAnsi" w:cs="Times New Roman"/>
          <w:szCs w:val="24"/>
          <w:lang w:val="es-ES_tradnl" w:eastAsia="fr-FR"/>
        </w:rPr>
        <w:t xml:space="preserve"> (COP7), en 1999, mediante la Resolución VII.9, la cual fue reemplazada por la </w:t>
      </w:r>
      <w:r w:rsidR="00A13793" w:rsidRPr="00087FBE">
        <w:rPr>
          <w:rFonts w:asciiTheme="majorHAnsi" w:hAnsiTheme="majorHAnsi" w:cs="Times New Roman"/>
          <w:szCs w:val="24"/>
          <w:lang w:val="es-ES_tradnl" w:eastAsia="fr-FR"/>
        </w:rPr>
        <w:t>Resolución</w:t>
      </w:r>
      <w:r w:rsidR="006373A5" w:rsidRPr="00087FBE">
        <w:rPr>
          <w:rFonts w:asciiTheme="majorHAnsi" w:hAnsiTheme="majorHAnsi" w:cs="Times New Roman"/>
          <w:szCs w:val="24"/>
          <w:lang w:val="es-ES_tradnl" w:eastAsia="fr-FR"/>
        </w:rPr>
        <w:t xml:space="preserve"> VIII.31 en la COP8. Las Partes adoptaron el actual Programa de CECoP para el </w:t>
      </w:r>
      <w:r w:rsidR="00A13793" w:rsidRPr="00087FBE">
        <w:rPr>
          <w:rFonts w:asciiTheme="majorHAnsi" w:hAnsiTheme="majorHAnsi" w:cs="Times New Roman"/>
          <w:szCs w:val="24"/>
          <w:lang w:val="es-ES_tradnl" w:eastAsia="fr-FR"/>
        </w:rPr>
        <w:t>período</w:t>
      </w:r>
      <w:r w:rsidR="006373A5" w:rsidRPr="00087FBE">
        <w:rPr>
          <w:rFonts w:asciiTheme="majorHAnsi" w:hAnsiTheme="majorHAnsi" w:cs="Times New Roman"/>
          <w:szCs w:val="24"/>
          <w:lang w:val="es-ES_tradnl" w:eastAsia="fr-FR"/>
        </w:rPr>
        <w:t xml:space="preserve"> 2009-2015 mediante la </w:t>
      </w:r>
      <w:r w:rsidR="00A13793" w:rsidRPr="00087FBE">
        <w:rPr>
          <w:rFonts w:asciiTheme="majorHAnsi" w:hAnsiTheme="majorHAnsi" w:cs="Times New Roman"/>
          <w:szCs w:val="24"/>
          <w:lang w:val="es-ES_tradnl" w:eastAsia="fr-FR"/>
        </w:rPr>
        <w:t>Resolución</w:t>
      </w:r>
      <w:r w:rsidR="006373A5" w:rsidRPr="00087FBE">
        <w:rPr>
          <w:rFonts w:asciiTheme="majorHAnsi" w:hAnsiTheme="majorHAnsi" w:cs="Times New Roman"/>
          <w:szCs w:val="24"/>
          <w:lang w:val="es-ES_tradnl" w:eastAsia="fr-FR"/>
        </w:rPr>
        <w:t xml:space="preserve"> X.8, aprobada en la COP10, en 2008. En ella se </w:t>
      </w:r>
      <w:r w:rsidR="00A13793" w:rsidRPr="00087FBE">
        <w:rPr>
          <w:rFonts w:asciiTheme="majorHAnsi" w:hAnsiTheme="majorHAnsi" w:cs="Times New Roman"/>
          <w:szCs w:val="24"/>
          <w:lang w:val="es-ES_tradnl" w:eastAsia="fr-FR"/>
        </w:rPr>
        <w:t>prevé</w:t>
      </w:r>
      <w:r w:rsidR="006373A5" w:rsidRPr="00087FBE">
        <w:rPr>
          <w:rFonts w:asciiTheme="majorHAnsi" w:hAnsiTheme="majorHAnsi" w:cs="Times New Roman"/>
          <w:szCs w:val="24"/>
          <w:lang w:val="es-ES_tradnl" w:eastAsia="fr-FR"/>
        </w:rPr>
        <w:t xml:space="preserve">́ un programa de trabajo de seis </w:t>
      </w:r>
      <w:r w:rsidR="00A13793" w:rsidRPr="00087FBE">
        <w:rPr>
          <w:rFonts w:asciiTheme="majorHAnsi" w:hAnsiTheme="majorHAnsi" w:cs="Times New Roman"/>
          <w:szCs w:val="24"/>
          <w:lang w:val="es-ES_tradnl" w:eastAsia="fr-FR"/>
        </w:rPr>
        <w:t>años</w:t>
      </w:r>
      <w:r w:rsidR="006373A5" w:rsidRPr="00087FBE">
        <w:rPr>
          <w:rFonts w:asciiTheme="majorHAnsi" w:hAnsiTheme="majorHAnsi" w:cs="Times New Roman"/>
          <w:szCs w:val="24"/>
          <w:lang w:val="es-ES_tradnl" w:eastAsia="fr-FR"/>
        </w:rPr>
        <w:t xml:space="preserve"> en el que se reconoce la importancia de la </w:t>
      </w:r>
      <w:r w:rsidR="00A13793" w:rsidRPr="00087FBE">
        <w:rPr>
          <w:rFonts w:asciiTheme="majorHAnsi" w:hAnsiTheme="majorHAnsi" w:cs="Times New Roman"/>
          <w:szCs w:val="24"/>
          <w:lang w:val="es-ES_tradnl" w:eastAsia="fr-FR"/>
        </w:rPr>
        <w:t>comunicación</w:t>
      </w:r>
      <w:r w:rsidR="006373A5" w:rsidRPr="00087FBE">
        <w:rPr>
          <w:rFonts w:asciiTheme="majorHAnsi" w:hAnsiTheme="majorHAnsi" w:cs="Times New Roman"/>
          <w:szCs w:val="24"/>
          <w:lang w:val="es-ES_tradnl" w:eastAsia="fr-FR"/>
        </w:rPr>
        <w:t xml:space="preserve">, la </w:t>
      </w:r>
      <w:r w:rsidR="00A13793" w:rsidRPr="00087FBE">
        <w:rPr>
          <w:rFonts w:asciiTheme="majorHAnsi" w:hAnsiTheme="majorHAnsi" w:cs="Times New Roman"/>
          <w:szCs w:val="24"/>
          <w:lang w:val="es-ES_tradnl" w:eastAsia="fr-FR"/>
        </w:rPr>
        <w:t>educación</w:t>
      </w:r>
      <w:r w:rsidR="006373A5" w:rsidRPr="00087FBE">
        <w:rPr>
          <w:rFonts w:asciiTheme="majorHAnsi" w:hAnsiTheme="majorHAnsi" w:cs="Times New Roman"/>
          <w:szCs w:val="24"/>
          <w:lang w:val="es-ES_tradnl" w:eastAsia="fr-FR"/>
        </w:rPr>
        <w:t xml:space="preserve">, la </w:t>
      </w:r>
      <w:r w:rsidR="00A13793" w:rsidRPr="00087FBE">
        <w:rPr>
          <w:rFonts w:asciiTheme="majorHAnsi" w:hAnsiTheme="majorHAnsi" w:cs="Times New Roman"/>
          <w:szCs w:val="24"/>
          <w:lang w:val="es-ES_tradnl" w:eastAsia="fr-FR"/>
        </w:rPr>
        <w:t>participación</w:t>
      </w:r>
      <w:r w:rsidR="006373A5" w:rsidRPr="00087FBE">
        <w:rPr>
          <w:rFonts w:asciiTheme="majorHAnsi" w:hAnsiTheme="majorHAnsi" w:cs="Times New Roman"/>
          <w:szCs w:val="24"/>
          <w:lang w:val="es-ES_tradnl" w:eastAsia="fr-FR"/>
        </w:rPr>
        <w:t xml:space="preserve"> y la </w:t>
      </w:r>
      <w:r w:rsidR="00A13793" w:rsidRPr="00087FBE">
        <w:rPr>
          <w:rFonts w:asciiTheme="majorHAnsi" w:hAnsiTheme="majorHAnsi" w:cs="Times New Roman"/>
          <w:szCs w:val="24"/>
          <w:lang w:val="es-ES_tradnl" w:eastAsia="fr-FR"/>
        </w:rPr>
        <w:t>concienciación</w:t>
      </w:r>
      <w:r w:rsidR="006373A5" w:rsidRPr="00087FBE">
        <w:rPr>
          <w:rFonts w:asciiTheme="majorHAnsi" w:hAnsiTheme="majorHAnsi" w:cs="Times New Roman"/>
          <w:szCs w:val="24"/>
          <w:lang w:val="es-ES_tradnl" w:eastAsia="fr-FR"/>
        </w:rPr>
        <w:t xml:space="preserve"> como elementos intersectoriales decisivos para la </w:t>
      </w:r>
      <w:r w:rsidR="00A13793" w:rsidRPr="00087FBE">
        <w:rPr>
          <w:rFonts w:asciiTheme="majorHAnsi" w:hAnsiTheme="majorHAnsi" w:cs="Times New Roman"/>
          <w:szCs w:val="24"/>
          <w:lang w:val="es-ES_tradnl" w:eastAsia="fr-FR"/>
        </w:rPr>
        <w:t>aplicación</w:t>
      </w:r>
      <w:r w:rsidR="006373A5" w:rsidRPr="00087FBE">
        <w:rPr>
          <w:rFonts w:asciiTheme="majorHAnsi" w:hAnsiTheme="majorHAnsi" w:cs="Times New Roman"/>
          <w:szCs w:val="24"/>
          <w:lang w:val="es-ES_tradnl" w:eastAsia="fr-FR"/>
        </w:rPr>
        <w:t xml:space="preserve"> de la </w:t>
      </w:r>
      <w:r w:rsidR="00A13793" w:rsidRPr="00087FBE">
        <w:rPr>
          <w:rFonts w:asciiTheme="majorHAnsi" w:hAnsiTheme="majorHAnsi" w:cs="Times New Roman"/>
          <w:szCs w:val="24"/>
          <w:lang w:val="es-ES_tradnl" w:eastAsia="fr-FR"/>
        </w:rPr>
        <w:t>Convención</w:t>
      </w:r>
      <w:r w:rsidR="006373A5" w:rsidRPr="00087FBE">
        <w:rPr>
          <w:rFonts w:asciiTheme="majorHAnsi" w:hAnsiTheme="majorHAnsi" w:cs="Times New Roman"/>
          <w:szCs w:val="24"/>
          <w:lang w:val="es-ES_tradnl" w:eastAsia="fr-FR"/>
        </w:rPr>
        <w:t xml:space="preserve"> de Ramsar.</w:t>
      </w:r>
    </w:p>
    <w:p w:rsidR="006373A5" w:rsidRPr="00087FBE" w:rsidRDefault="006373A5" w:rsidP="006373A5">
      <w:pPr>
        <w:pStyle w:val="ListParagraph"/>
        <w:spacing w:after="0" w:line="240" w:lineRule="auto"/>
        <w:ind w:left="426"/>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Times New Roman"/>
          <w:szCs w:val="24"/>
          <w:lang w:val="es-ES_tradnl" w:eastAsia="fr-FR"/>
        </w:rPr>
        <w:t xml:space="preserve">La presente sinopsis de la </w:t>
      </w:r>
      <w:r w:rsidR="0041709D" w:rsidRPr="00087FBE">
        <w:rPr>
          <w:rFonts w:asciiTheme="majorHAnsi" w:hAnsiTheme="majorHAnsi" w:cs="Times New Roman"/>
          <w:szCs w:val="24"/>
          <w:lang w:val="es-ES_tradnl" w:eastAsia="fr-FR"/>
        </w:rPr>
        <w:t>aplicación</w:t>
      </w:r>
      <w:r w:rsidRPr="00087FBE">
        <w:rPr>
          <w:rFonts w:asciiTheme="majorHAnsi" w:hAnsiTheme="majorHAnsi" w:cs="Times New Roman"/>
          <w:szCs w:val="24"/>
          <w:lang w:val="es-ES_tradnl" w:eastAsia="fr-FR"/>
        </w:rPr>
        <w:t xml:space="preserve"> del Programa </w:t>
      </w:r>
      <w:r w:rsidRPr="00087FBE">
        <w:rPr>
          <w:rFonts w:asciiTheme="majorHAnsi" w:hAnsiTheme="majorHAnsi" w:cs="Arial"/>
          <w:lang w:val="es-ES_tradnl"/>
        </w:rPr>
        <w:t xml:space="preserve">abarca el </w:t>
      </w:r>
      <w:r w:rsidR="0041709D" w:rsidRPr="00087FBE">
        <w:rPr>
          <w:rFonts w:asciiTheme="majorHAnsi" w:hAnsiTheme="majorHAnsi" w:cs="Arial"/>
          <w:lang w:val="es-ES_tradnl"/>
        </w:rPr>
        <w:t>período</w:t>
      </w:r>
      <w:r w:rsidRPr="00087FBE">
        <w:rPr>
          <w:rFonts w:asciiTheme="majorHAnsi" w:hAnsiTheme="majorHAnsi" w:cs="Arial"/>
          <w:lang w:val="es-ES_tradnl"/>
        </w:rPr>
        <w:t xml:space="preserve"> comprendido desde la clausura de la COP11, el 13 de julio de 2012, hasta el 1 de marzo de 2015. S</w:t>
      </w:r>
      <w:r w:rsidRPr="00087FBE">
        <w:rPr>
          <w:rFonts w:asciiTheme="majorHAnsi" w:hAnsiTheme="majorHAnsi" w:cs="Times New Roman"/>
          <w:szCs w:val="24"/>
          <w:lang w:val="es-ES_tradnl" w:eastAsia="fr-FR"/>
        </w:rPr>
        <w:t xml:space="preserve">e basa en gran medida en los 131 Informes Nacionales para la COP12 que se presentaron a la Secretaría antes de mediados de octubre de 2014. Aunque contiene los principales indicadores de CECoP incluidos en la Estrategia 4.1 sobre apoyo y asistencia a la </w:t>
      </w:r>
      <w:r w:rsidR="00A13793" w:rsidRPr="00087FBE">
        <w:rPr>
          <w:rFonts w:asciiTheme="majorHAnsi" w:hAnsiTheme="majorHAnsi" w:cs="Times New Roman"/>
          <w:szCs w:val="24"/>
          <w:lang w:val="es-ES_tradnl" w:eastAsia="fr-FR"/>
        </w:rPr>
        <w:t>ejecución</w:t>
      </w:r>
      <w:r w:rsidRPr="00087FBE">
        <w:rPr>
          <w:rFonts w:asciiTheme="majorHAnsi" w:hAnsiTheme="majorHAnsi" w:cs="Times New Roman"/>
          <w:szCs w:val="24"/>
          <w:lang w:val="es-ES_tradnl" w:eastAsia="fr-FR"/>
        </w:rPr>
        <w:t xml:space="preserve"> del Programa de CECoP, en ella </w:t>
      </w:r>
      <w:r w:rsidR="00A13793" w:rsidRPr="00087FBE">
        <w:rPr>
          <w:rFonts w:asciiTheme="majorHAnsi" w:hAnsiTheme="majorHAnsi" w:cs="Times New Roman"/>
          <w:szCs w:val="24"/>
          <w:lang w:val="es-ES_tradnl" w:eastAsia="fr-FR"/>
        </w:rPr>
        <w:t>también</w:t>
      </w:r>
      <w:r w:rsidRPr="00087FBE">
        <w:rPr>
          <w:rFonts w:asciiTheme="majorHAnsi" w:hAnsiTheme="majorHAnsi" w:cs="Times New Roman"/>
          <w:szCs w:val="24"/>
          <w:lang w:val="es-ES_tradnl" w:eastAsia="fr-FR"/>
        </w:rPr>
        <w:t xml:space="preserve"> se hace referencia a otros indicadores pertinentes que reflejan el </w:t>
      </w:r>
      <w:r w:rsidR="00A13793" w:rsidRPr="00087FBE">
        <w:rPr>
          <w:rFonts w:asciiTheme="majorHAnsi" w:hAnsiTheme="majorHAnsi" w:cs="Times New Roman"/>
          <w:szCs w:val="24"/>
          <w:lang w:val="es-ES_tradnl" w:eastAsia="fr-FR"/>
        </w:rPr>
        <w:t>carácter</w:t>
      </w:r>
      <w:r w:rsidRPr="00087FBE">
        <w:rPr>
          <w:rFonts w:asciiTheme="majorHAnsi" w:hAnsiTheme="majorHAnsi" w:cs="Times New Roman"/>
          <w:szCs w:val="24"/>
          <w:lang w:val="es-ES_tradnl" w:eastAsia="fr-FR"/>
        </w:rPr>
        <w:t xml:space="preserve"> de</w:t>
      </w:r>
      <w:r w:rsidR="0041709D" w:rsidRPr="00087FBE">
        <w:rPr>
          <w:rFonts w:asciiTheme="majorHAnsi" w:hAnsiTheme="majorHAnsi" w:cs="Times New Roman"/>
          <w:szCs w:val="24"/>
          <w:lang w:val="es-ES_tradnl" w:eastAsia="fr-FR"/>
        </w:rPr>
        <w:t xml:space="preserve"> la</w:t>
      </w:r>
      <w:r w:rsidRPr="00087FBE">
        <w:rPr>
          <w:rFonts w:asciiTheme="majorHAnsi" w:hAnsiTheme="majorHAnsi" w:cs="Times New Roman"/>
          <w:szCs w:val="24"/>
          <w:lang w:val="es-ES_tradnl" w:eastAsia="fr-FR"/>
        </w:rPr>
        <w:t xml:space="preserve"> CECoP como </w:t>
      </w:r>
      <w:r w:rsidR="0041709D" w:rsidRPr="00087FBE">
        <w:rPr>
          <w:rFonts w:asciiTheme="majorHAnsi" w:hAnsiTheme="majorHAnsi" w:cs="Times New Roman"/>
          <w:szCs w:val="24"/>
          <w:lang w:val="es-ES_tradnl" w:eastAsia="fr-FR"/>
        </w:rPr>
        <w:t>área</w:t>
      </w:r>
      <w:r w:rsidRPr="00087FBE">
        <w:rPr>
          <w:rFonts w:asciiTheme="majorHAnsi" w:hAnsiTheme="majorHAnsi" w:cs="Times New Roman"/>
          <w:szCs w:val="24"/>
          <w:lang w:val="es-ES_tradnl" w:eastAsia="fr-FR"/>
        </w:rPr>
        <w:t xml:space="preserve"> de trabajo intersectorial en el </w:t>
      </w:r>
      <w:r w:rsidR="00A13793" w:rsidRPr="00087FBE">
        <w:rPr>
          <w:rFonts w:asciiTheme="majorHAnsi" w:hAnsiTheme="majorHAnsi" w:cs="Times New Roman"/>
          <w:szCs w:val="24"/>
          <w:lang w:val="es-ES_tradnl" w:eastAsia="fr-FR"/>
        </w:rPr>
        <w:t>ámbito</w:t>
      </w:r>
      <w:r w:rsidRPr="00087FBE">
        <w:rPr>
          <w:rFonts w:asciiTheme="majorHAnsi" w:hAnsiTheme="majorHAnsi" w:cs="Times New Roman"/>
          <w:szCs w:val="24"/>
          <w:lang w:val="es-ES_tradnl" w:eastAsia="fr-FR"/>
        </w:rPr>
        <w:t xml:space="preserve"> de la </w:t>
      </w:r>
      <w:r w:rsidR="00A13793" w:rsidRPr="00087FBE">
        <w:rPr>
          <w:rFonts w:asciiTheme="majorHAnsi" w:hAnsiTheme="majorHAnsi" w:cs="Times New Roman"/>
          <w:szCs w:val="24"/>
          <w:lang w:val="es-ES_tradnl" w:eastAsia="fr-FR"/>
        </w:rPr>
        <w:t>Convención</w:t>
      </w:r>
      <w:r w:rsidRPr="00087FBE">
        <w:rPr>
          <w:rFonts w:asciiTheme="majorHAnsi" w:hAnsiTheme="majorHAnsi" w:cs="Times New Roman"/>
          <w:szCs w:val="24"/>
          <w:lang w:val="es-ES_tradnl" w:eastAsia="fr-FR"/>
        </w:rPr>
        <w:t>.</w:t>
      </w:r>
    </w:p>
    <w:p w:rsidR="006373A5" w:rsidRPr="00087FBE" w:rsidRDefault="006373A5" w:rsidP="006373A5">
      <w:pPr>
        <w:spacing w:after="0" w:line="240" w:lineRule="auto"/>
        <w:rPr>
          <w:rFonts w:asciiTheme="majorHAnsi" w:hAnsiTheme="majorHAnsi" w:cs="Times New Roman"/>
          <w:szCs w:val="24"/>
          <w:lang w:val="es-ES_tradnl" w:eastAsia="fr-FR"/>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Times New Roman"/>
          <w:szCs w:val="24"/>
          <w:lang w:val="es-ES_tradnl" w:eastAsia="fr-FR"/>
        </w:rPr>
        <w:t xml:space="preserve">En el Programa se definen otros “órganos responsables y colaboradores asociados” como instancias encargadas de la ejecución. En el presente informe </w:t>
      </w:r>
      <w:r w:rsidR="00A13793" w:rsidRPr="00087FBE">
        <w:rPr>
          <w:rFonts w:asciiTheme="majorHAnsi" w:hAnsiTheme="majorHAnsi" w:cs="Times New Roman"/>
          <w:szCs w:val="24"/>
          <w:lang w:val="es-ES_tradnl" w:eastAsia="fr-FR"/>
        </w:rPr>
        <w:t>también</w:t>
      </w:r>
      <w:r w:rsidRPr="00087FBE">
        <w:rPr>
          <w:rFonts w:asciiTheme="majorHAnsi" w:hAnsiTheme="majorHAnsi" w:cs="Times New Roman"/>
          <w:szCs w:val="24"/>
          <w:lang w:val="es-ES_tradnl" w:eastAsia="fr-FR"/>
        </w:rPr>
        <w:t xml:space="preserve"> se analizan elementos fundamentales de la ejecución del Programa de CECoP por esos órganos, en particular la </w:t>
      </w:r>
      <w:r w:rsidR="00A13793" w:rsidRPr="00087FBE">
        <w:rPr>
          <w:rFonts w:asciiTheme="majorHAnsi" w:hAnsiTheme="majorHAnsi" w:cs="Times New Roman"/>
          <w:szCs w:val="24"/>
          <w:lang w:val="es-ES_tradnl" w:eastAsia="fr-FR"/>
        </w:rPr>
        <w:t>Secretaría</w:t>
      </w:r>
      <w:r w:rsidRPr="00087FBE">
        <w:rPr>
          <w:rFonts w:asciiTheme="majorHAnsi" w:hAnsiTheme="majorHAnsi" w:cs="Times New Roman"/>
          <w:szCs w:val="24"/>
          <w:lang w:val="es-ES_tradnl" w:eastAsia="fr-FR"/>
        </w:rPr>
        <w:t xml:space="preserve">, el Grupo de </w:t>
      </w:r>
      <w:r w:rsidR="00A13793" w:rsidRPr="00087FBE">
        <w:rPr>
          <w:rFonts w:asciiTheme="majorHAnsi" w:hAnsiTheme="majorHAnsi" w:cs="Times New Roman"/>
          <w:szCs w:val="24"/>
          <w:lang w:val="es-ES_tradnl" w:eastAsia="fr-FR"/>
        </w:rPr>
        <w:t>supervisión</w:t>
      </w:r>
      <w:r w:rsidRPr="00087FBE">
        <w:rPr>
          <w:rFonts w:asciiTheme="majorHAnsi" w:hAnsiTheme="majorHAnsi" w:cs="Times New Roman"/>
          <w:szCs w:val="24"/>
          <w:lang w:val="es-ES_tradnl" w:eastAsia="fr-FR"/>
        </w:rPr>
        <w:t xml:space="preserve"> de las actividades de CECoP y l</w:t>
      </w:r>
      <w:r w:rsidR="00234C75" w:rsidRPr="00087FBE">
        <w:rPr>
          <w:rFonts w:asciiTheme="majorHAnsi" w:hAnsiTheme="majorHAnsi" w:cs="Times New Roman"/>
          <w:szCs w:val="24"/>
          <w:lang w:val="es-ES_tradnl" w:eastAsia="fr-FR"/>
        </w:rPr>
        <w:t>os Centros Regionales de Ramsar</w:t>
      </w:r>
      <w:r w:rsidRPr="00087FBE">
        <w:rPr>
          <w:rFonts w:asciiTheme="majorHAnsi" w:hAnsiTheme="majorHAnsi" w:cs="Times New Roman"/>
          <w:szCs w:val="24"/>
          <w:lang w:val="es-ES_tradnl" w:eastAsia="fr-FR"/>
        </w:rPr>
        <w:t xml:space="preserve"> refrendados por la Convención como Iniciativas Regionales de Ramsar</w:t>
      </w:r>
      <w:r w:rsidRPr="00087FBE">
        <w:rPr>
          <w:rFonts w:asciiTheme="majorHAnsi" w:hAnsiTheme="majorHAnsi" w:cs="Arial"/>
          <w:lang w:val="es-ES_tradnl"/>
        </w:rPr>
        <w:t>.</w:t>
      </w:r>
    </w:p>
    <w:p w:rsidR="006373A5" w:rsidRDefault="006373A5" w:rsidP="006373A5">
      <w:pPr>
        <w:spacing w:after="0" w:line="240" w:lineRule="auto"/>
        <w:rPr>
          <w:rFonts w:asciiTheme="majorHAnsi" w:hAnsiTheme="majorHAnsi" w:cs="Arial"/>
          <w:lang w:val="es-ES_tradnl"/>
        </w:rPr>
      </w:pPr>
    </w:p>
    <w:p w:rsidR="00F60119" w:rsidRPr="00087FBE" w:rsidRDefault="00F60119" w:rsidP="006373A5">
      <w:pPr>
        <w:spacing w:after="0" w:line="240" w:lineRule="auto"/>
        <w:rPr>
          <w:rFonts w:asciiTheme="majorHAnsi" w:hAnsiTheme="majorHAnsi" w:cs="Arial"/>
          <w:lang w:val="es-ES_tradnl"/>
        </w:rPr>
      </w:pPr>
    </w:p>
    <w:p w:rsidR="006373A5" w:rsidRPr="00087FBE" w:rsidRDefault="009A1236" w:rsidP="006373A5">
      <w:pPr>
        <w:spacing w:after="0" w:line="240" w:lineRule="auto"/>
        <w:rPr>
          <w:rFonts w:asciiTheme="majorHAnsi" w:hAnsiTheme="majorHAnsi" w:cs="Arial"/>
          <w:b/>
          <w:sz w:val="24"/>
          <w:szCs w:val="24"/>
          <w:lang w:val="es-ES_tradnl"/>
        </w:rPr>
      </w:pPr>
      <w:r w:rsidRPr="00087FBE">
        <w:rPr>
          <w:rFonts w:asciiTheme="majorHAnsi" w:hAnsiTheme="majorHAnsi" w:cs="Arial"/>
          <w:b/>
          <w:sz w:val="24"/>
          <w:szCs w:val="24"/>
          <w:lang w:val="es-ES_tradnl"/>
        </w:rPr>
        <w:t>Principales logros desde la COP</w:t>
      </w:r>
      <w:r w:rsidR="006373A5" w:rsidRPr="00087FBE">
        <w:rPr>
          <w:rFonts w:asciiTheme="majorHAnsi" w:hAnsiTheme="majorHAnsi" w:cs="Arial"/>
          <w:b/>
          <w:sz w:val="24"/>
          <w:szCs w:val="24"/>
          <w:lang w:val="es-ES_tradnl"/>
        </w:rPr>
        <w:t>11</w:t>
      </w:r>
    </w:p>
    <w:p w:rsidR="006373A5" w:rsidRPr="00087FBE" w:rsidRDefault="006373A5" w:rsidP="006373A5">
      <w:pPr>
        <w:spacing w:after="0" w:line="240" w:lineRule="auto"/>
        <w:rPr>
          <w:rFonts w:asciiTheme="majorHAnsi" w:hAnsiTheme="majorHAnsi" w:cs="Arial"/>
          <w:b/>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Al identificar los aspectos más exitosos de la aplicación durante el trienio en la Sección B de sus Informes Nacionales, las Partes a menudo elaboraron listas largas y detalladas. Entre los logros comunicados cabe señalar:</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 xml:space="preserve">la celebración del Día Mundial de los Humedales y el apoyo </w:t>
      </w:r>
      <w:r w:rsidR="00234C75" w:rsidRPr="00087FBE">
        <w:rPr>
          <w:rFonts w:asciiTheme="majorHAnsi" w:hAnsiTheme="majorHAnsi" w:cs="Arial"/>
          <w:lang w:val="es-ES_tradnl"/>
        </w:rPr>
        <w:t>a</w:t>
      </w:r>
      <w:r w:rsidRPr="00087FBE">
        <w:rPr>
          <w:rFonts w:asciiTheme="majorHAnsi" w:hAnsiTheme="majorHAnsi" w:cs="Arial"/>
          <w:lang w:val="es-ES_tradnl"/>
        </w:rPr>
        <w:t xml:space="preserve"> este </w:t>
      </w:r>
      <w:r w:rsidR="009A1236" w:rsidRPr="00087FBE">
        <w:rPr>
          <w:rFonts w:asciiTheme="majorHAnsi" w:hAnsiTheme="majorHAnsi" w:cs="Arial"/>
          <w:lang w:val="es-ES_tradnl"/>
        </w:rPr>
        <w:t>evento</w:t>
      </w:r>
      <w:r w:rsidRPr="00087FBE">
        <w:rPr>
          <w:rFonts w:asciiTheme="majorHAnsi" w:hAnsiTheme="majorHAnsi" w:cs="Arial"/>
          <w:lang w:val="es-ES_tradnl"/>
        </w:rPr>
        <w:t xml:space="preserve"> con actividades </w:t>
      </w:r>
      <w:r w:rsidR="009A1236" w:rsidRPr="00087FBE">
        <w:rPr>
          <w:rFonts w:asciiTheme="majorHAnsi" w:hAnsiTheme="majorHAnsi" w:cs="Arial"/>
          <w:lang w:val="es-ES_tradnl"/>
        </w:rPr>
        <w:t>a escala</w:t>
      </w:r>
      <w:r w:rsidRPr="00087FBE">
        <w:rPr>
          <w:rFonts w:asciiTheme="majorHAnsi" w:hAnsiTheme="majorHAnsi" w:cs="Arial"/>
          <w:lang w:val="es-ES_tradnl"/>
        </w:rPr>
        <w:t xml:space="preserve"> nacional y local;</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 xml:space="preserve">la incorporación de conocimientos técnicos y herramientas de CECoP en la planificación y </w:t>
      </w:r>
      <w:r w:rsidR="00234C75" w:rsidRPr="00087FBE">
        <w:rPr>
          <w:rFonts w:asciiTheme="majorHAnsi" w:hAnsiTheme="majorHAnsi" w:cs="Arial"/>
          <w:lang w:val="es-ES_tradnl"/>
        </w:rPr>
        <w:t>el manejo</w:t>
      </w:r>
      <w:r w:rsidRPr="00087FBE">
        <w:rPr>
          <w:rFonts w:asciiTheme="majorHAnsi" w:hAnsiTheme="majorHAnsi" w:cs="Arial"/>
          <w:lang w:val="es-ES_tradnl"/>
        </w:rPr>
        <w:t xml:space="preserve"> de las cuencas hidrográficas;</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 xml:space="preserve">el establecimiento de redes de profesionales, incluyendo acuerdos de hermanamiento </w:t>
      </w:r>
      <w:r w:rsidR="009A1236" w:rsidRPr="00087FBE">
        <w:rPr>
          <w:rFonts w:asciiTheme="majorHAnsi" w:hAnsiTheme="majorHAnsi" w:cs="Arial"/>
          <w:lang w:val="es-ES_tradnl"/>
        </w:rPr>
        <w:t>a escala</w:t>
      </w:r>
      <w:r w:rsidRPr="00087FBE">
        <w:rPr>
          <w:rFonts w:asciiTheme="majorHAnsi" w:hAnsiTheme="majorHAnsi" w:cs="Arial"/>
          <w:lang w:val="es-ES_tradnl"/>
        </w:rPr>
        <w:t xml:space="preserve"> nacional e internacional, para el intercambio de conocimientos y </w:t>
      </w:r>
      <w:r w:rsidR="00700681">
        <w:rPr>
          <w:rFonts w:asciiTheme="majorHAnsi" w:hAnsiTheme="majorHAnsi" w:cs="Arial"/>
          <w:lang w:val="es-ES_tradnl"/>
        </w:rPr>
        <w:t>formación</w:t>
      </w:r>
      <w:r w:rsidRPr="00087FBE">
        <w:rPr>
          <w:rFonts w:asciiTheme="majorHAnsi" w:hAnsiTheme="majorHAnsi" w:cs="Arial"/>
          <w:lang w:val="es-ES_tradnl"/>
        </w:rPr>
        <w:t>;</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lastRenderedPageBreak/>
        <w:t>las actividades realizadas por los Centros Regionales de Ramsar (CRR) en Asia central y occidental (República Islámica del Irán), Asia oriental (República de Corea), África oriental (Uganda), y el CRR para la capacit</w:t>
      </w:r>
      <w:r w:rsidR="00264965" w:rsidRPr="00087FBE">
        <w:rPr>
          <w:rFonts w:asciiTheme="majorHAnsi" w:hAnsiTheme="majorHAnsi" w:cs="Arial"/>
          <w:lang w:val="es-ES_tradnl"/>
        </w:rPr>
        <w:t>ación y la investigación en el h</w:t>
      </w:r>
      <w:r w:rsidRPr="00087FBE">
        <w:rPr>
          <w:rFonts w:asciiTheme="majorHAnsi" w:hAnsiTheme="majorHAnsi" w:cs="Arial"/>
          <w:lang w:val="es-ES_tradnl"/>
        </w:rPr>
        <w:t>emisferio occidental (Panamá);</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 xml:space="preserve">el fomento de una mayor participación de los gobiernos nacionales, </w:t>
      </w:r>
      <w:r w:rsidR="00264965" w:rsidRPr="00087FBE">
        <w:rPr>
          <w:rFonts w:asciiTheme="majorHAnsi" w:hAnsiTheme="majorHAnsi" w:cs="Arial"/>
          <w:lang w:val="es-ES_tradnl"/>
        </w:rPr>
        <w:t>los municipios</w:t>
      </w:r>
      <w:r w:rsidRPr="00087FBE">
        <w:rPr>
          <w:rFonts w:asciiTheme="majorHAnsi" w:hAnsiTheme="majorHAnsi" w:cs="Arial"/>
          <w:lang w:val="es-ES_tradnl"/>
        </w:rPr>
        <w:t xml:space="preserve">, las comunidades locales, los pueblos indígenas y las ONG en la designación </w:t>
      </w:r>
      <w:r w:rsidR="00DE050A" w:rsidRPr="00087FBE">
        <w:rPr>
          <w:rFonts w:asciiTheme="majorHAnsi" w:hAnsiTheme="majorHAnsi" w:cs="Arial"/>
          <w:lang w:val="es-ES_tradnl"/>
        </w:rPr>
        <w:t>y el manejo</w:t>
      </w:r>
      <w:r w:rsidRPr="00087FBE">
        <w:rPr>
          <w:rFonts w:asciiTheme="majorHAnsi" w:hAnsiTheme="majorHAnsi" w:cs="Arial"/>
          <w:lang w:val="es-ES_tradnl"/>
        </w:rPr>
        <w:t xml:space="preserve"> de los sitios; y</w:t>
      </w:r>
    </w:p>
    <w:p w:rsidR="006373A5" w:rsidRPr="00087FBE" w:rsidRDefault="0026496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las medidas en el marco de las Iniciativas R</w:t>
      </w:r>
      <w:r w:rsidR="006373A5" w:rsidRPr="00087FBE">
        <w:rPr>
          <w:rFonts w:asciiTheme="majorHAnsi" w:hAnsiTheme="majorHAnsi" w:cs="Arial"/>
          <w:lang w:val="es-ES_tradnl"/>
        </w:rPr>
        <w:t>egionales</w:t>
      </w:r>
      <w:r w:rsidRPr="00087FBE">
        <w:rPr>
          <w:rFonts w:asciiTheme="majorHAnsi" w:hAnsiTheme="majorHAnsi" w:cs="Arial"/>
          <w:lang w:val="es-ES_tradnl"/>
        </w:rPr>
        <w:t xml:space="preserve"> tales</w:t>
      </w:r>
      <w:r w:rsidR="006373A5" w:rsidRPr="00087FBE">
        <w:rPr>
          <w:rFonts w:asciiTheme="majorHAnsi" w:hAnsiTheme="majorHAnsi" w:cs="Arial"/>
          <w:lang w:val="es-ES_tradnl"/>
        </w:rPr>
        <w:t xml:space="preserve"> como la </w:t>
      </w:r>
      <w:r w:rsidR="00DE050A" w:rsidRPr="00087FBE">
        <w:rPr>
          <w:rFonts w:asciiTheme="majorHAnsi" w:hAnsiTheme="majorHAnsi" w:cs="Arial"/>
          <w:lang w:val="es-ES_tradnl"/>
        </w:rPr>
        <w:t>Alianza de la Vía</w:t>
      </w:r>
      <w:r w:rsidR="006373A5" w:rsidRPr="00087FBE">
        <w:rPr>
          <w:rFonts w:asciiTheme="majorHAnsi" w:hAnsiTheme="majorHAnsi" w:cs="Arial"/>
          <w:lang w:val="es-ES_tradnl"/>
        </w:rPr>
        <w:t xml:space="preserve"> Migratoria </w:t>
      </w:r>
      <w:r w:rsidR="00DE050A" w:rsidRPr="00087FBE">
        <w:rPr>
          <w:rFonts w:asciiTheme="majorHAnsi" w:hAnsiTheme="majorHAnsi" w:cs="Arial"/>
          <w:lang w:val="es-ES_tradnl"/>
        </w:rPr>
        <w:t>Asia O</w:t>
      </w:r>
      <w:r w:rsidR="006373A5" w:rsidRPr="00087FBE">
        <w:rPr>
          <w:rFonts w:asciiTheme="majorHAnsi" w:hAnsiTheme="majorHAnsi" w:cs="Arial"/>
          <w:lang w:val="es-ES_tradnl"/>
        </w:rPr>
        <w:t xml:space="preserve">riental – Australasia, la Iniciativa para los Humedales Mediterráneos y la Iniciativa Regional </w:t>
      </w:r>
      <w:r w:rsidR="008B0499" w:rsidRPr="00087FBE">
        <w:rPr>
          <w:rFonts w:asciiTheme="majorHAnsi" w:hAnsiTheme="majorHAnsi" w:cs="Arial"/>
          <w:lang w:val="es-ES_tradnl"/>
        </w:rPr>
        <w:t>de</w:t>
      </w:r>
      <w:r w:rsidR="006373A5" w:rsidRPr="00087FBE">
        <w:rPr>
          <w:rFonts w:asciiTheme="majorHAnsi" w:hAnsiTheme="majorHAnsi" w:cs="Arial"/>
          <w:lang w:val="es-ES_tradnl"/>
        </w:rPr>
        <w:t xml:space="preserve"> los Humedales del Caribe.</w:t>
      </w:r>
    </w:p>
    <w:p w:rsidR="006373A5" w:rsidRPr="00087FBE" w:rsidRDefault="006373A5" w:rsidP="006373A5">
      <w:pPr>
        <w:spacing w:after="0" w:line="240" w:lineRule="auto"/>
        <w:ind w:left="426"/>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 xml:space="preserve">La contribución de la Secretaría </w:t>
      </w:r>
      <w:r w:rsidR="00766FA7" w:rsidRPr="00087FBE">
        <w:rPr>
          <w:rFonts w:asciiTheme="majorHAnsi" w:hAnsiTheme="majorHAnsi" w:cs="Arial"/>
          <w:lang w:val="es-ES_tradnl"/>
        </w:rPr>
        <w:t>a</w:t>
      </w:r>
      <w:r w:rsidRPr="00087FBE">
        <w:rPr>
          <w:rFonts w:asciiTheme="majorHAnsi" w:hAnsiTheme="majorHAnsi" w:cs="Arial"/>
          <w:lang w:val="es-ES_tradnl"/>
        </w:rPr>
        <w:t xml:space="preserve"> la aplicación de</w:t>
      </w:r>
      <w:r w:rsidR="00C759C6" w:rsidRPr="00087FBE">
        <w:rPr>
          <w:rFonts w:asciiTheme="majorHAnsi" w:hAnsiTheme="majorHAnsi" w:cs="Arial"/>
          <w:lang w:val="es-ES_tradnl"/>
        </w:rPr>
        <w:t xml:space="preserve"> la</w:t>
      </w:r>
      <w:r w:rsidRPr="00087FBE">
        <w:rPr>
          <w:rFonts w:asciiTheme="majorHAnsi" w:hAnsiTheme="majorHAnsi" w:cs="Arial"/>
          <w:lang w:val="es-ES_tradnl"/>
        </w:rPr>
        <w:t xml:space="preserve"> CECoP ha continuado durante este </w:t>
      </w:r>
      <w:r w:rsidR="0041709D" w:rsidRPr="00087FBE">
        <w:rPr>
          <w:rFonts w:asciiTheme="majorHAnsi" w:hAnsiTheme="majorHAnsi" w:cs="Arial"/>
          <w:lang w:val="es-ES_tradnl"/>
        </w:rPr>
        <w:t>período</w:t>
      </w:r>
      <w:r w:rsidRPr="00087FBE">
        <w:rPr>
          <w:rFonts w:asciiTheme="majorHAnsi" w:hAnsiTheme="majorHAnsi" w:cs="Arial"/>
          <w:lang w:val="es-ES_tradnl"/>
        </w:rPr>
        <w:t xml:space="preserve"> de tres años. En particular, las actividades del Día Mundial de los Humedales </w:t>
      </w:r>
      <w:r w:rsidR="00C759C6" w:rsidRPr="00087FBE">
        <w:rPr>
          <w:rFonts w:asciiTheme="majorHAnsi" w:hAnsiTheme="majorHAnsi" w:cs="Arial"/>
          <w:lang w:val="es-ES_tradnl"/>
        </w:rPr>
        <w:t xml:space="preserve">(DMH) </w:t>
      </w:r>
      <w:r w:rsidRPr="00087FBE">
        <w:rPr>
          <w:rFonts w:asciiTheme="majorHAnsi" w:hAnsiTheme="majorHAnsi" w:cs="Arial"/>
          <w:lang w:val="es-ES_tradnl"/>
        </w:rPr>
        <w:t xml:space="preserve">aumentaron cada año y </w:t>
      </w:r>
      <w:r w:rsidR="00C759C6" w:rsidRPr="00087FBE">
        <w:rPr>
          <w:rFonts w:asciiTheme="majorHAnsi" w:hAnsiTheme="majorHAnsi" w:cs="Arial"/>
          <w:lang w:val="es-ES_tradnl"/>
        </w:rPr>
        <w:t>en 2015</w:t>
      </w:r>
      <w:r w:rsidRPr="00087FBE">
        <w:rPr>
          <w:rFonts w:asciiTheme="majorHAnsi" w:hAnsiTheme="majorHAnsi" w:cs="Arial"/>
          <w:lang w:val="es-ES_tradnl"/>
        </w:rPr>
        <w:t xml:space="preserve"> se adoptó un nuevo enfoque para el día, centrándose </w:t>
      </w:r>
      <w:r w:rsidR="00DE050A" w:rsidRPr="00087FBE">
        <w:rPr>
          <w:rFonts w:asciiTheme="majorHAnsi" w:hAnsiTheme="majorHAnsi" w:cs="Arial"/>
          <w:lang w:val="es-ES_tradnl"/>
        </w:rPr>
        <w:t>específicamente</w:t>
      </w:r>
      <w:r w:rsidRPr="00087FBE">
        <w:rPr>
          <w:rFonts w:asciiTheme="majorHAnsi" w:hAnsiTheme="majorHAnsi" w:cs="Arial"/>
          <w:lang w:val="es-ES_tradnl"/>
        </w:rPr>
        <w:t xml:space="preserve"> en los jóvenes como transmisores </w:t>
      </w:r>
      <w:r w:rsidR="00C759C6" w:rsidRPr="00087FBE">
        <w:rPr>
          <w:rFonts w:asciiTheme="majorHAnsi" w:hAnsiTheme="majorHAnsi" w:cs="Arial"/>
          <w:lang w:val="es-ES_tradnl"/>
        </w:rPr>
        <w:t>a</w:t>
      </w:r>
      <w:r w:rsidRPr="00087FBE">
        <w:rPr>
          <w:rFonts w:asciiTheme="majorHAnsi" w:hAnsiTheme="majorHAnsi" w:cs="Arial"/>
          <w:lang w:val="es-ES_tradnl"/>
        </w:rPr>
        <w:t xml:space="preserve"> un público más amplio. En este sentido, la Secretaría creó un sitio web multilingüe </w:t>
      </w:r>
      <w:r w:rsidRPr="00E8131F">
        <w:rPr>
          <w:rFonts w:asciiTheme="majorHAnsi" w:hAnsiTheme="majorHAnsi" w:cs="Arial"/>
          <w:lang w:val="es-ES_tradnl"/>
        </w:rPr>
        <w:t>dedicado al DMH (</w:t>
      </w:r>
      <w:hyperlink r:id="rId8" w:history="1">
        <w:r w:rsidR="00E8131F" w:rsidRPr="00E8131F">
          <w:rPr>
            <w:rStyle w:val="Hyperlink"/>
            <w:rFonts w:asciiTheme="majorHAnsi" w:hAnsiTheme="majorHAnsi"/>
          </w:rPr>
          <w:t>www.worldwetlandsday.org/es/</w:t>
        </w:r>
      </w:hyperlink>
      <w:r w:rsidRPr="00E8131F">
        <w:rPr>
          <w:rFonts w:asciiTheme="majorHAnsi" w:hAnsiTheme="majorHAnsi" w:cs="Arial"/>
          <w:lang w:val="es-ES_tradnl"/>
        </w:rPr>
        <w:t>) y un concurso fotográfico sobre los humedales que atrajo a más de</w:t>
      </w:r>
      <w:r w:rsidRPr="00087FBE">
        <w:rPr>
          <w:rFonts w:asciiTheme="majorHAnsi" w:hAnsiTheme="majorHAnsi" w:cs="Arial"/>
          <w:lang w:val="es-ES_tradnl"/>
        </w:rPr>
        <w:t xml:space="preserve"> 2.200 participantes de 80 países. La campaña recibió </w:t>
      </w:r>
      <w:r w:rsidR="00C759C6" w:rsidRPr="00087FBE">
        <w:rPr>
          <w:rFonts w:asciiTheme="majorHAnsi" w:hAnsiTheme="majorHAnsi" w:cs="Arial"/>
          <w:lang w:val="es-ES_tradnl"/>
        </w:rPr>
        <w:t>un gran</w:t>
      </w:r>
      <w:r w:rsidRPr="00087FBE">
        <w:rPr>
          <w:rFonts w:asciiTheme="majorHAnsi" w:hAnsiTheme="majorHAnsi" w:cs="Arial"/>
          <w:lang w:val="es-ES_tradnl"/>
        </w:rPr>
        <w:t xml:space="preserve"> apoyo de las Partes y las OIA, y estuvo acompañada por un considerable aumento de la utilización de los medios sociales: Facebo</w:t>
      </w:r>
      <w:r w:rsidR="00DE050A" w:rsidRPr="00087FBE">
        <w:rPr>
          <w:rFonts w:asciiTheme="majorHAnsi" w:hAnsiTheme="majorHAnsi" w:cs="Arial"/>
          <w:lang w:val="es-ES_tradnl"/>
        </w:rPr>
        <w:t>ok, YouTube, la cuenta T</w:t>
      </w:r>
      <w:r w:rsidRPr="00087FBE">
        <w:rPr>
          <w:rFonts w:asciiTheme="majorHAnsi" w:hAnsiTheme="majorHAnsi" w:cs="Arial"/>
          <w:lang w:val="es-ES_tradnl"/>
        </w:rPr>
        <w:t xml:space="preserve">witter de Ramsar y la nueva cuenta Instagram. </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spacing w:after="0" w:line="240" w:lineRule="auto"/>
        <w:rPr>
          <w:rFonts w:asciiTheme="majorHAnsi" w:hAnsiTheme="majorHAnsi" w:cs="Arial"/>
          <w:b/>
          <w:sz w:val="24"/>
          <w:szCs w:val="24"/>
          <w:lang w:val="es-ES_tradnl"/>
        </w:rPr>
      </w:pPr>
      <w:r w:rsidRPr="00087FBE">
        <w:rPr>
          <w:rFonts w:asciiTheme="majorHAnsi" w:hAnsiTheme="majorHAnsi" w:cs="Arial"/>
          <w:b/>
          <w:sz w:val="24"/>
          <w:szCs w:val="24"/>
          <w:lang w:val="es-ES_tradnl"/>
        </w:rPr>
        <w:t>Prioridades para el próximo trienio y formulación del programa de CECoP para 2016-21</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 xml:space="preserve">En </w:t>
      </w:r>
      <w:r w:rsidR="00DE050A" w:rsidRPr="00087FBE">
        <w:rPr>
          <w:rFonts w:asciiTheme="majorHAnsi" w:hAnsiTheme="majorHAnsi" w:cs="Arial"/>
          <w:lang w:val="es-ES_tradnl"/>
        </w:rPr>
        <w:t>sus</w:t>
      </w:r>
      <w:r w:rsidRPr="00087FBE">
        <w:rPr>
          <w:rFonts w:asciiTheme="majorHAnsi" w:hAnsiTheme="majorHAnsi" w:cs="Arial"/>
          <w:lang w:val="es-ES_tradnl"/>
        </w:rPr>
        <w:t xml:space="preserve"> Informes Nacionales</w:t>
      </w:r>
      <w:r w:rsidR="00DE050A" w:rsidRPr="00087FBE">
        <w:rPr>
          <w:rFonts w:asciiTheme="majorHAnsi" w:hAnsiTheme="majorHAnsi" w:cs="Arial"/>
          <w:lang w:val="es-ES_tradnl"/>
        </w:rPr>
        <w:t>,</w:t>
      </w:r>
      <w:r w:rsidRPr="00087FBE">
        <w:rPr>
          <w:rFonts w:asciiTheme="majorHAnsi" w:hAnsiTheme="majorHAnsi" w:cs="Arial"/>
          <w:lang w:val="es-ES_tradnl"/>
        </w:rPr>
        <w:t xml:space="preserve"> las Partes definieron diversas prioridades fundamentales de CECoP para </w:t>
      </w:r>
      <w:r w:rsidR="00D95EDE" w:rsidRPr="00087FBE">
        <w:rPr>
          <w:rFonts w:asciiTheme="majorHAnsi" w:hAnsiTheme="majorHAnsi" w:cs="Arial"/>
          <w:lang w:val="es-ES_tradnl"/>
        </w:rPr>
        <w:t>su</w:t>
      </w:r>
      <w:r w:rsidRPr="00087FBE">
        <w:rPr>
          <w:rFonts w:asciiTheme="majorHAnsi" w:hAnsiTheme="majorHAnsi" w:cs="Arial"/>
          <w:lang w:val="es-ES_tradnl"/>
        </w:rPr>
        <w:t xml:space="preserve"> futura aplicación. Algunas Partes solicitaron a la Secretaría que estableciese mecanismos de desarrollo de capacidad, </w:t>
      </w:r>
      <w:r w:rsidR="00DE050A" w:rsidRPr="00087FBE">
        <w:rPr>
          <w:rFonts w:asciiTheme="majorHAnsi" w:hAnsiTheme="majorHAnsi" w:cs="Arial"/>
          <w:lang w:val="es-ES_tradnl"/>
        </w:rPr>
        <w:t xml:space="preserve">tales </w:t>
      </w:r>
      <w:r w:rsidRPr="00087FBE">
        <w:rPr>
          <w:rFonts w:asciiTheme="majorHAnsi" w:hAnsiTheme="majorHAnsi" w:cs="Arial"/>
          <w:lang w:val="es-ES_tradnl"/>
        </w:rPr>
        <w:t xml:space="preserve">como los talleres internacionales, el intercambio de experiencias, el intercambio de visitas y la capacitación, especialmente sobre la gobernanza y la gestión sostenible de los humedales para los administradores de los humedales. Entre otras prioridades de CECoP frecuentemente citadas cabe destacar: </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 xml:space="preserve">crear mayor concienciación acerca de los valores y servicios </w:t>
      </w:r>
      <w:r w:rsidR="00685B61" w:rsidRPr="00087FBE">
        <w:rPr>
          <w:rFonts w:asciiTheme="majorHAnsi" w:hAnsiTheme="majorHAnsi" w:cs="Arial"/>
          <w:lang w:val="es-ES_tradnl"/>
        </w:rPr>
        <w:t>de los ecosistemas</w:t>
      </w:r>
      <w:r w:rsidRPr="00087FBE">
        <w:rPr>
          <w:rFonts w:asciiTheme="majorHAnsi" w:hAnsiTheme="majorHAnsi" w:cs="Arial"/>
          <w:lang w:val="es-ES_tradnl"/>
        </w:rPr>
        <w:t xml:space="preserve"> de los humedales</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 xml:space="preserve">mejorar la integración de las comunidades y </w:t>
      </w:r>
      <w:r w:rsidR="00685B61" w:rsidRPr="00087FBE">
        <w:rPr>
          <w:rFonts w:asciiTheme="majorHAnsi" w:hAnsiTheme="majorHAnsi" w:cs="Arial"/>
          <w:lang w:val="es-ES_tradnl"/>
        </w:rPr>
        <w:t>los interesados</w:t>
      </w:r>
      <w:r w:rsidRPr="00087FBE">
        <w:rPr>
          <w:rFonts w:asciiTheme="majorHAnsi" w:hAnsiTheme="majorHAnsi" w:cs="Arial"/>
          <w:lang w:val="es-ES_tradnl"/>
        </w:rPr>
        <w:t xml:space="preserve"> locales en la conservación y </w:t>
      </w:r>
      <w:r w:rsidR="00685B61" w:rsidRPr="00087FBE">
        <w:rPr>
          <w:rFonts w:asciiTheme="majorHAnsi" w:hAnsiTheme="majorHAnsi" w:cs="Arial"/>
          <w:lang w:val="es-ES_tradnl"/>
        </w:rPr>
        <w:t xml:space="preserve">los </w:t>
      </w:r>
      <w:r w:rsidRPr="00087FBE">
        <w:rPr>
          <w:rFonts w:asciiTheme="majorHAnsi" w:hAnsiTheme="majorHAnsi" w:cs="Arial"/>
          <w:lang w:val="es-ES_tradnl"/>
        </w:rPr>
        <w:t xml:space="preserve">esfuerzos de </w:t>
      </w:r>
      <w:r w:rsidR="00DE050A" w:rsidRPr="00087FBE">
        <w:rPr>
          <w:rFonts w:asciiTheme="majorHAnsi" w:hAnsiTheme="majorHAnsi" w:cs="Arial"/>
          <w:lang w:val="es-ES_tradnl"/>
        </w:rPr>
        <w:t>manejo</w:t>
      </w:r>
      <w:r w:rsidRPr="00087FBE">
        <w:rPr>
          <w:rFonts w:asciiTheme="majorHAnsi" w:hAnsiTheme="majorHAnsi" w:cs="Arial"/>
          <w:lang w:val="es-ES_tradnl"/>
        </w:rPr>
        <w:t xml:space="preserve"> de los humedales</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incrementar la cooperación con las organizac</w:t>
      </w:r>
      <w:r w:rsidR="00DE050A" w:rsidRPr="00087FBE">
        <w:rPr>
          <w:rFonts w:asciiTheme="majorHAnsi" w:hAnsiTheme="majorHAnsi" w:cs="Arial"/>
          <w:lang w:val="es-ES_tradnl"/>
        </w:rPr>
        <w:t>iones asociadas en la ejecución</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 xml:space="preserve">De acuerdo con estas prioridades, se redactó un nuevo Programa </w:t>
      </w:r>
      <w:r w:rsidR="00685B61" w:rsidRPr="00087FBE">
        <w:rPr>
          <w:rFonts w:asciiTheme="majorHAnsi" w:hAnsiTheme="majorHAnsi" w:cs="Arial"/>
          <w:lang w:val="es-ES_tradnl"/>
        </w:rPr>
        <w:t>de CECoP para 2016-21 titulado “</w:t>
      </w:r>
      <w:r w:rsidRPr="00087FBE">
        <w:rPr>
          <w:rFonts w:asciiTheme="majorHAnsi" w:hAnsiTheme="majorHAnsi" w:cs="Arial"/>
          <w:lang w:val="es-ES_tradnl"/>
        </w:rPr>
        <w:t xml:space="preserve">Programa </w:t>
      </w:r>
      <w:r w:rsidR="00685B61" w:rsidRPr="00087FBE">
        <w:rPr>
          <w:rFonts w:asciiTheme="majorHAnsi" w:hAnsiTheme="majorHAnsi" w:cs="Arial"/>
          <w:lang w:val="es-ES_tradnl"/>
        </w:rPr>
        <w:t>de los Humedales y las Personas”</w:t>
      </w:r>
      <w:r w:rsidRPr="00087FBE">
        <w:rPr>
          <w:rFonts w:asciiTheme="majorHAnsi" w:hAnsiTheme="majorHAnsi" w:cs="Arial"/>
          <w:lang w:val="es-ES_tradnl"/>
        </w:rPr>
        <w:t xml:space="preserve"> para su consideración por las Partes en la COP12 (Proyecto de Resolución XII.9). El Programa define los conceptos q</w:t>
      </w:r>
      <w:r w:rsidR="00685B61" w:rsidRPr="00087FBE">
        <w:rPr>
          <w:rFonts w:asciiTheme="majorHAnsi" w:hAnsiTheme="majorHAnsi" w:cs="Arial"/>
          <w:lang w:val="es-ES_tradnl"/>
        </w:rPr>
        <w:t>ue sustentan el acrónimo de CECoP “</w:t>
      </w:r>
      <w:r w:rsidRPr="00087FBE">
        <w:rPr>
          <w:rFonts w:asciiTheme="majorHAnsi" w:hAnsiTheme="majorHAnsi" w:cs="Arial"/>
          <w:lang w:val="es-ES_tradnl"/>
        </w:rPr>
        <w:t>comunicación, desarrollo de capacidad, educación,</w:t>
      </w:r>
      <w:r w:rsidR="00685B61" w:rsidRPr="00087FBE">
        <w:rPr>
          <w:rFonts w:asciiTheme="majorHAnsi" w:hAnsiTheme="majorHAnsi" w:cs="Arial"/>
          <w:lang w:val="es-ES_tradnl"/>
        </w:rPr>
        <w:t xml:space="preserve"> concienciación y participación”</w:t>
      </w:r>
      <w:r w:rsidRPr="00087FBE">
        <w:rPr>
          <w:rFonts w:asciiTheme="majorHAnsi" w:hAnsiTheme="majorHAnsi" w:cs="Arial"/>
          <w:lang w:val="es-ES_tradnl"/>
        </w:rPr>
        <w:t xml:space="preserve"> para reflejar más ampliamente las áreas que pretende abarcar el Programa de CECoP.</w:t>
      </w:r>
    </w:p>
    <w:p w:rsidR="006373A5" w:rsidRPr="00087FBE" w:rsidRDefault="006373A5" w:rsidP="006373A5">
      <w:pPr>
        <w:pStyle w:val="NormalWeb"/>
        <w:spacing w:before="2" w:after="2"/>
        <w:rPr>
          <w:rFonts w:asciiTheme="majorHAnsi" w:hAnsiTheme="majorHAnsi"/>
          <w:i/>
          <w:iCs/>
          <w:sz w:val="22"/>
          <w:szCs w:val="22"/>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 xml:space="preserve">Describe nueve estrategias de CECoP y 42 objetivos estratégicos </w:t>
      </w:r>
      <w:r w:rsidR="00685B61" w:rsidRPr="00087FBE">
        <w:rPr>
          <w:rFonts w:asciiTheme="majorHAnsi" w:hAnsiTheme="majorHAnsi" w:cs="Arial"/>
          <w:lang w:val="es-ES_tradnl"/>
        </w:rPr>
        <w:t xml:space="preserve">subyacentes para movilizar a las personas de forma que tomen </w:t>
      </w:r>
      <w:r w:rsidRPr="00087FBE">
        <w:rPr>
          <w:rFonts w:asciiTheme="majorHAnsi" w:hAnsiTheme="majorHAnsi" w:cs="Arial"/>
          <w:lang w:val="es-ES_tradnl"/>
        </w:rPr>
        <w:t>medidas en pro de los humedales. Cabe destacar la adición de la nove</w:t>
      </w:r>
      <w:r w:rsidR="00685B61" w:rsidRPr="00087FBE">
        <w:rPr>
          <w:rFonts w:asciiTheme="majorHAnsi" w:hAnsiTheme="majorHAnsi" w:cs="Arial"/>
          <w:lang w:val="es-ES_tradnl"/>
        </w:rPr>
        <w:t>na estrategia, que consiste en “</w:t>
      </w:r>
      <w:r w:rsidRPr="00087FBE">
        <w:rPr>
          <w:rFonts w:asciiTheme="majorHAnsi" w:hAnsiTheme="majorHAnsi" w:cs="Arial"/>
          <w:lang w:val="es-ES_tradnl"/>
        </w:rPr>
        <w:t>garantizar que las orientaciones y la información que proporciona el GECT se desarrollen en estrecha colaboración con el Programa de CECoP y se divulguen a los destinatarios seleccionados a través de los canal</w:t>
      </w:r>
      <w:r w:rsidR="00685B61" w:rsidRPr="00087FBE">
        <w:rPr>
          <w:rFonts w:asciiTheme="majorHAnsi" w:hAnsiTheme="majorHAnsi" w:cs="Arial"/>
          <w:lang w:val="es-ES_tradnl"/>
        </w:rPr>
        <w:t>es de comunicación más eficaces”</w:t>
      </w:r>
      <w:r w:rsidRPr="00087FBE">
        <w:rPr>
          <w:rFonts w:asciiTheme="majorHAnsi" w:hAnsiTheme="majorHAnsi" w:cs="Arial"/>
          <w:lang w:val="es-ES_tradnl"/>
        </w:rPr>
        <w:t xml:space="preserve">. Esta es una respuesta directa a varios llamamientos previos para lograr una mejor alineación entre los procesos del GECT y </w:t>
      </w:r>
      <w:r w:rsidR="0041709D" w:rsidRPr="00087FBE">
        <w:rPr>
          <w:rFonts w:asciiTheme="majorHAnsi" w:hAnsiTheme="majorHAnsi" w:cs="Arial"/>
          <w:lang w:val="es-ES_tradnl"/>
        </w:rPr>
        <w:t>de la CEC</w:t>
      </w:r>
      <w:r w:rsidRPr="00087FBE">
        <w:rPr>
          <w:rFonts w:asciiTheme="majorHAnsi" w:hAnsiTheme="majorHAnsi" w:cs="Arial"/>
          <w:lang w:val="es-ES_tradnl"/>
        </w:rPr>
        <w:t xml:space="preserve">oP por la Secretaría y las Partes. </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spacing w:after="0" w:line="240" w:lineRule="auto"/>
        <w:rPr>
          <w:rFonts w:asciiTheme="majorHAnsi" w:hAnsiTheme="majorHAnsi" w:cs="Arial"/>
          <w:b/>
          <w:lang w:val="es-ES_tradnl"/>
        </w:rPr>
      </w:pPr>
    </w:p>
    <w:p w:rsidR="006373A5" w:rsidRPr="00087FBE" w:rsidRDefault="006373A5" w:rsidP="006373A5">
      <w:pPr>
        <w:spacing w:after="0" w:line="240" w:lineRule="auto"/>
        <w:rPr>
          <w:rFonts w:asciiTheme="majorHAnsi" w:hAnsiTheme="majorHAnsi" w:cs="Arial"/>
          <w:b/>
          <w:sz w:val="24"/>
          <w:szCs w:val="24"/>
          <w:lang w:val="es-ES_tradnl"/>
        </w:rPr>
      </w:pPr>
      <w:r w:rsidRPr="00087FBE">
        <w:rPr>
          <w:rFonts w:asciiTheme="majorHAnsi" w:hAnsiTheme="majorHAnsi" w:cs="Arial"/>
          <w:b/>
          <w:sz w:val="24"/>
          <w:szCs w:val="24"/>
          <w:lang w:val="es-ES_tradnl"/>
        </w:rPr>
        <w:t>Ejecución del Programa de CECoP desde la COP11</w:t>
      </w:r>
    </w:p>
    <w:p w:rsidR="006373A5" w:rsidRPr="00087FBE" w:rsidRDefault="006373A5" w:rsidP="006373A5">
      <w:pPr>
        <w:spacing w:after="0" w:line="240" w:lineRule="auto"/>
        <w:rPr>
          <w:rFonts w:asciiTheme="majorHAnsi" w:hAnsiTheme="majorHAnsi" w:cs="Arial"/>
          <w:b/>
          <w:lang w:val="es-ES_tradnl"/>
        </w:rPr>
      </w:pPr>
    </w:p>
    <w:p w:rsidR="006373A5" w:rsidRPr="00087FBE" w:rsidRDefault="006373A5" w:rsidP="006373A5">
      <w:pPr>
        <w:spacing w:after="0" w:line="240" w:lineRule="auto"/>
        <w:rPr>
          <w:rFonts w:asciiTheme="majorHAnsi" w:hAnsiTheme="majorHAnsi" w:cs="Arial"/>
          <w:b/>
          <w:lang w:val="es-ES_tradnl"/>
        </w:rPr>
      </w:pPr>
      <w:r w:rsidRPr="00087FBE">
        <w:rPr>
          <w:rFonts w:asciiTheme="majorHAnsi" w:hAnsiTheme="majorHAnsi" w:cs="Arial"/>
          <w:b/>
          <w:lang w:val="es-ES_tradnl"/>
        </w:rPr>
        <w:t>Grupo de supervisión de las actividades de CECoP</w:t>
      </w:r>
    </w:p>
    <w:p w:rsidR="006373A5" w:rsidRPr="00087FBE" w:rsidRDefault="006373A5" w:rsidP="006373A5">
      <w:pPr>
        <w:spacing w:after="0" w:line="240" w:lineRule="auto"/>
        <w:rPr>
          <w:rFonts w:asciiTheme="majorHAnsi" w:hAnsiTheme="majorHAnsi" w:cs="Arial"/>
          <w:lang w:val="es-ES_tradnl"/>
        </w:rPr>
      </w:pPr>
    </w:p>
    <w:p w:rsidR="006373A5" w:rsidRPr="00087FBE" w:rsidRDefault="007535D7"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Times New Roman"/>
          <w:szCs w:val="24"/>
          <w:lang w:val="es-ES_tradnl" w:eastAsia="fr-FR"/>
        </w:rPr>
        <w:t xml:space="preserve">Mediante </w:t>
      </w:r>
      <w:r w:rsidR="006373A5" w:rsidRPr="00087FBE">
        <w:rPr>
          <w:rFonts w:asciiTheme="majorHAnsi" w:hAnsiTheme="majorHAnsi" w:cs="Times New Roman"/>
          <w:szCs w:val="24"/>
          <w:lang w:val="es-ES_tradnl" w:eastAsia="fr-FR"/>
        </w:rPr>
        <w:t xml:space="preserve">la </w:t>
      </w:r>
      <w:r w:rsidR="00A13793" w:rsidRPr="00087FBE">
        <w:rPr>
          <w:rFonts w:asciiTheme="majorHAnsi" w:hAnsiTheme="majorHAnsi" w:cs="Times New Roman"/>
          <w:szCs w:val="24"/>
          <w:lang w:val="es-ES_tradnl" w:eastAsia="fr-FR"/>
        </w:rPr>
        <w:t>Resolución</w:t>
      </w:r>
      <w:r w:rsidR="006373A5" w:rsidRPr="00087FBE">
        <w:rPr>
          <w:rFonts w:asciiTheme="majorHAnsi" w:hAnsiTheme="majorHAnsi" w:cs="Times New Roman"/>
          <w:szCs w:val="24"/>
          <w:lang w:val="es-ES_tradnl" w:eastAsia="fr-FR"/>
        </w:rPr>
        <w:t xml:space="preserve"> IX.18 (2005) y la Decisión SC34-12 (2006) del Comité Permanente, las Partes establecieron un Grupo de supervisión de las actividades de CECoP con el mandato de supervisar la ejecución del Programa de CECoP y presentar informes al respecto. Aunque funciona casi en su totalidad por correo electrónico, el Grupo ha celebrado dos reuniones en el curso del trienio y se </w:t>
      </w:r>
      <w:r w:rsidR="00A13793" w:rsidRPr="00087FBE">
        <w:rPr>
          <w:rFonts w:asciiTheme="majorHAnsi" w:hAnsiTheme="majorHAnsi" w:cs="Times New Roman"/>
          <w:szCs w:val="24"/>
          <w:lang w:val="es-ES_tradnl" w:eastAsia="fr-FR"/>
        </w:rPr>
        <w:t>reunirá</w:t>
      </w:r>
      <w:r w:rsidR="006373A5" w:rsidRPr="00087FBE">
        <w:rPr>
          <w:rFonts w:asciiTheme="majorHAnsi" w:hAnsiTheme="majorHAnsi" w:cs="Times New Roman"/>
          <w:szCs w:val="24"/>
          <w:lang w:val="es-ES_tradnl" w:eastAsia="fr-FR"/>
        </w:rPr>
        <w:t>́ de nuevo durante la COP12. También ha presentado informes al Comité Permanente en sus reuniones</w:t>
      </w:r>
      <w:r w:rsidRPr="00087FBE">
        <w:rPr>
          <w:rFonts w:asciiTheme="majorHAnsi" w:hAnsiTheme="majorHAnsi" w:cs="Arial"/>
          <w:lang w:val="es-ES_tradnl"/>
        </w:rPr>
        <w:t xml:space="preserve"> 44ª, 45ª, 46ª, 47ª y 48ª</w:t>
      </w:r>
      <w:r w:rsidR="006373A5" w:rsidRPr="00087FBE">
        <w:rPr>
          <w:rFonts w:asciiTheme="majorHAnsi" w:hAnsiTheme="majorHAnsi" w:cs="Arial"/>
          <w:lang w:val="es-ES_tradnl"/>
        </w:rPr>
        <w:t xml:space="preserve"> </w:t>
      </w:r>
      <w:r w:rsidR="006373A5" w:rsidRPr="00087FBE">
        <w:rPr>
          <w:rFonts w:asciiTheme="majorHAnsi" w:hAnsiTheme="majorHAnsi" w:cs="Times New Roman"/>
          <w:szCs w:val="24"/>
          <w:lang w:val="es-ES_tradnl" w:eastAsia="fr-FR"/>
        </w:rPr>
        <w:t xml:space="preserve">acerca del cumplimiento de su plan de trabajo. Todos los informes de las reuniones del grupo pueden consultarse en la </w:t>
      </w:r>
      <w:r w:rsidR="00A13793" w:rsidRPr="00087FBE">
        <w:rPr>
          <w:rFonts w:asciiTheme="majorHAnsi" w:hAnsiTheme="majorHAnsi" w:cs="Times New Roman"/>
          <w:szCs w:val="24"/>
          <w:lang w:val="es-ES_tradnl" w:eastAsia="fr-FR"/>
        </w:rPr>
        <w:t>dirección</w:t>
      </w:r>
      <w:r w:rsidR="006373A5" w:rsidRPr="00087FBE">
        <w:rPr>
          <w:rFonts w:asciiTheme="majorHAnsi" w:hAnsiTheme="majorHAnsi" w:cs="Arial"/>
          <w:lang w:val="es-ES_tradnl"/>
        </w:rPr>
        <w:t xml:space="preserve"> </w:t>
      </w:r>
      <w:hyperlink r:id="rId9" w:history="1">
        <w:r w:rsidR="006373A5" w:rsidRPr="00087FBE">
          <w:rPr>
            <w:rStyle w:val="Hyperlink"/>
            <w:rFonts w:asciiTheme="majorHAnsi" w:hAnsiTheme="majorHAnsi" w:cs="Arial"/>
            <w:lang w:val="es-ES_tradnl"/>
          </w:rPr>
          <w:t>www.ramsar.org/activity/the-cepa-oversight-panel</w:t>
        </w:r>
      </w:hyperlink>
      <w:r w:rsidR="006373A5" w:rsidRPr="00087FBE">
        <w:rPr>
          <w:rFonts w:asciiTheme="majorHAnsi" w:hAnsiTheme="majorHAnsi" w:cs="Arial"/>
          <w:lang w:val="es-ES_tradnl"/>
        </w:rPr>
        <w:t>.</w:t>
      </w:r>
    </w:p>
    <w:p w:rsidR="006373A5" w:rsidRPr="00087FBE" w:rsidRDefault="006373A5" w:rsidP="006373A5">
      <w:pPr>
        <w:pStyle w:val="ListParagraph"/>
        <w:spacing w:after="0" w:line="240" w:lineRule="auto"/>
        <w:ind w:left="426"/>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Durante este trienio, el Grupo completó diversas tareas y proseguirá con algunas de ellas no completadas en el próximo trienio, como sigue:</w:t>
      </w:r>
    </w:p>
    <w:p w:rsidR="006373A5" w:rsidRPr="00087FBE" w:rsidRDefault="006373A5" w:rsidP="006373A5">
      <w:pPr>
        <w:pStyle w:val="ListParagraph"/>
        <w:rPr>
          <w:rFonts w:asciiTheme="majorHAnsi" w:hAnsiTheme="majorHAnsi" w:cs="Arial"/>
          <w:lang w:val="es-ES_tradnl"/>
        </w:rPr>
      </w:pP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El Grupo asesoró a la Secretaría sobre los indicadores de CECoP par</w:t>
      </w:r>
      <w:r w:rsidR="007535D7" w:rsidRPr="00087FBE">
        <w:rPr>
          <w:rFonts w:asciiTheme="majorHAnsi" w:hAnsiTheme="majorHAnsi" w:cs="Arial"/>
          <w:lang w:val="es-ES_tradnl"/>
        </w:rPr>
        <w:t>a el proyecto de formulario de Informe N</w:t>
      </w:r>
      <w:r w:rsidRPr="00087FBE">
        <w:rPr>
          <w:rFonts w:asciiTheme="majorHAnsi" w:hAnsiTheme="majorHAnsi" w:cs="Arial"/>
          <w:lang w:val="es-ES_tradnl"/>
        </w:rPr>
        <w:t>acional para la COP12, que tiene</w:t>
      </w:r>
      <w:r w:rsidR="00FB0352" w:rsidRPr="00087FBE">
        <w:rPr>
          <w:rFonts w:asciiTheme="majorHAnsi" w:hAnsiTheme="majorHAnsi" w:cs="Arial"/>
          <w:lang w:val="es-ES_tradnl"/>
        </w:rPr>
        <w:t>n</w:t>
      </w:r>
      <w:r w:rsidRPr="00087FBE">
        <w:rPr>
          <w:rFonts w:asciiTheme="majorHAnsi" w:hAnsiTheme="majorHAnsi" w:cs="Arial"/>
          <w:lang w:val="es-ES_tradnl"/>
        </w:rPr>
        <w:t xml:space="preserve"> por finalidad evaluar la aplicación del componente de CECoP del Plan Estratégico. </w:t>
      </w:r>
    </w:p>
    <w:p w:rsidR="006373A5" w:rsidRPr="00087FBE" w:rsidRDefault="006373A5" w:rsidP="006373A5">
      <w:pPr>
        <w:pStyle w:val="ListParagraph"/>
        <w:spacing w:after="0" w:line="240" w:lineRule="auto"/>
        <w:ind w:left="851"/>
        <w:rPr>
          <w:rFonts w:asciiTheme="majorHAnsi" w:hAnsiTheme="majorHAnsi" w:cs="Arial"/>
          <w:lang w:val="es-ES_tradnl"/>
        </w:rPr>
      </w:pP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 xml:space="preserve">Se reunió con los cuatro Centros Regionales de Ramsar para abordar los retos y las necesidades de desarrollo de capacidades y acordó con los Centros una lista de materiales de capacitación fundamentales que pueden traducirse fácilmente para su amplio uso. </w:t>
      </w:r>
    </w:p>
    <w:p w:rsidR="006373A5" w:rsidRPr="00087FBE" w:rsidRDefault="006373A5" w:rsidP="006373A5">
      <w:pPr>
        <w:pStyle w:val="ListParagraph"/>
        <w:rPr>
          <w:rFonts w:asciiTheme="majorHAnsi" w:hAnsiTheme="majorHAnsi" w:cs="Arial"/>
          <w:lang w:val="es-ES_tradnl"/>
        </w:rPr>
      </w:pP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 xml:space="preserve">Se reunió con el GECT para abordar estrategias a fin de mejorar y apoyar el desarrollo de capacidades </w:t>
      </w:r>
      <w:r w:rsidR="009A1236" w:rsidRPr="00087FBE">
        <w:rPr>
          <w:rFonts w:asciiTheme="majorHAnsi" w:hAnsiTheme="majorHAnsi" w:cs="Arial"/>
          <w:lang w:val="es-ES_tradnl"/>
        </w:rPr>
        <w:t>a escala</w:t>
      </w:r>
      <w:r w:rsidRPr="00087FBE">
        <w:rPr>
          <w:rFonts w:asciiTheme="majorHAnsi" w:hAnsiTheme="majorHAnsi" w:cs="Arial"/>
          <w:lang w:val="es-ES_tradnl"/>
        </w:rPr>
        <w:t xml:space="preserve"> nacional y local. Los grupos acordaron cooperar y trabajar para preparar una serie de principios rectores comunes. </w:t>
      </w:r>
    </w:p>
    <w:p w:rsidR="006373A5" w:rsidRPr="00087FBE" w:rsidRDefault="006373A5" w:rsidP="006373A5">
      <w:pPr>
        <w:pStyle w:val="ListParagraph"/>
        <w:rPr>
          <w:rFonts w:asciiTheme="majorHAnsi" w:hAnsiTheme="majorHAnsi" w:cs="Arial"/>
          <w:lang w:val="es-ES_tradnl"/>
        </w:rPr>
      </w:pP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 xml:space="preserve">Examinó la comprensión de los términos y definiciones de CECoP, concluyendo que había cierto entendimiento común, pero también importantes divergencias que requerían una revisión del mandato para reflejar la amplitud del programa. El Grupo propuso un nuevo nombre – Programa de los Humedales y las Personas – para reemplazar </w:t>
      </w:r>
      <w:r w:rsidR="00FB0352" w:rsidRPr="00087FBE">
        <w:rPr>
          <w:rFonts w:asciiTheme="majorHAnsi" w:hAnsiTheme="majorHAnsi" w:cs="Arial"/>
          <w:lang w:val="es-ES_tradnl"/>
        </w:rPr>
        <w:t>el de</w:t>
      </w:r>
      <w:r w:rsidRPr="00087FBE">
        <w:rPr>
          <w:rFonts w:asciiTheme="majorHAnsi" w:hAnsiTheme="majorHAnsi" w:cs="Arial"/>
          <w:lang w:val="es-ES_tradnl"/>
        </w:rPr>
        <w:t xml:space="preserve"> Programa de CECoP tras llegar a la conclusión de que </w:t>
      </w:r>
      <w:r w:rsidR="007535D7" w:rsidRPr="00087FBE">
        <w:rPr>
          <w:rFonts w:asciiTheme="majorHAnsi" w:hAnsiTheme="majorHAnsi" w:cs="Arial"/>
          <w:lang w:val="es-ES_tradnl"/>
        </w:rPr>
        <w:t>“</w:t>
      </w:r>
      <w:r w:rsidRPr="00087FBE">
        <w:rPr>
          <w:rFonts w:asciiTheme="majorHAnsi" w:hAnsiTheme="majorHAnsi" w:cs="Arial"/>
          <w:lang w:val="es-ES_tradnl"/>
        </w:rPr>
        <w:t>CECoP</w:t>
      </w:r>
      <w:r w:rsidR="007535D7" w:rsidRPr="00087FBE">
        <w:rPr>
          <w:rFonts w:asciiTheme="majorHAnsi" w:hAnsiTheme="majorHAnsi" w:cs="Arial"/>
          <w:lang w:val="es-ES_tradnl"/>
        </w:rPr>
        <w:t xml:space="preserve">” </w:t>
      </w:r>
      <w:r w:rsidR="00FB0352" w:rsidRPr="00087FBE">
        <w:rPr>
          <w:rFonts w:asciiTheme="majorHAnsi" w:hAnsiTheme="majorHAnsi" w:cs="Arial"/>
          <w:lang w:val="es-ES_tradnl"/>
        </w:rPr>
        <w:t xml:space="preserve">no se entendía bien </w:t>
      </w:r>
      <w:r w:rsidRPr="00087FBE">
        <w:rPr>
          <w:rFonts w:asciiTheme="majorHAnsi" w:hAnsiTheme="majorHAnsi" w:cs="Arial"/>
          <w:lang w:val="es-ES_tradnl"/>
        </w:rPr>
        <w:t xml:space="preserve">fuera de la Comunidad de Ramsar. </w:t>
      </w:r>
    </w:p>
    <w:p w:rsidR="006373A5" w:rsidRPr="00087FBE" w:rsidRDefault="006373A5" w:rsidP="006373A5">
      <w:pPr>
        <w:pStyle w:val="ListParagraph"/>
        <w:rPr>
          <w:rFonts w:asciiTheme="majorHAnsi" w:hAnsiTheme="majorHAnsi" w:cs="Arial"/>
          <w:lang w:val="es-ES_tradnl"/>
        </w:rPr>
      </w:pP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 xml:space="preserve">Examinó e identificó prioridades </w:t>
      </w:r>
      <w:r w:rsidR="007535D7" w:rsidRPr="00087FBE">
        <w:rPr>
          <w:rFonts w:asciiTheme="majorHAnsi" w:hAnsiTheme="majorHAnsi" w:cs="Arial"/>
          <w:lang w:val="es-ES_tradnl"/>
        </w:rPr>
        <w:t>para el nuevo P</w:t>
      </w:r>
      <w:r w:rsidRPr="00087FBE">
        <w:rPr>
          <w:rFonts w:asciiTheme="majorHAnsi" w:hAnsiTheme="majorHAnsi" w:cs="Arial"/>
          <w:lang w:val="es-ES_tradnl"/>
        </w:rPr>
        <w:t>rograma para el próximo trienio, las cuales se han incluido en documentos de la COP12.</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 xml:space="preserve">El Grupo de supervisión de las actividades de CECoP realizó progresos pero no concluyó el examen de las dos Resoluciones relativas a la participación en </w:t>
      </w:r>
      <w:r w:rsidR="00FB0352" w:rsidRPr="00087FBE">
        <w:rPr>
          <w:rFonts w:asciiTheme="majorHAnsi" w:hAnsiTheme="majorHAnsi" w:cs="Arial"/>
          <w:lang w:val="es-ES_tradnl"/>
        </w:rPr>
        <w:t>el manejo</w:t>
      </w:r>
      <w:r w:rsidRPr="00087FBE">
        <w:rPr>
          <w:rFonts w:asciiTheme="majorHAnsi" w:hAnsiTheme="majorHAnsi" w:cs="Arial"/>
          <w:lang w:val="es-ES_tradnl"/>
        </w:rPr>
        <w:t xml:space="preserve"> (Resolución VII.8, sobre los </w:t>
      </w:r>
      <w:r w:rsidRPr="00087FBE">
        <w:rPr>
          <w:rFonts w:asciiTheme="majorHAnsi" w:hAnsiTheme="majorHAnsi" w:cs="Georgia"/>
          <w:color w:val="1A1B15"/>
          <w:szCs w:val="48"/>
          <w:lang w:val="es-ES_tradnl"/>
        </w:rPr>
        <w:t>Lineamientos para establecer y fortalecer la participación de las comunidades locales y de los pueblos indígenas en el manejo de los humedales,</w:t>
      </w:r>
      <w:r w:rsidRPr="00087FBE">
        <w:rPr>
          <w:rFonts w:asciiTheme="majorHAnsi" w:hAnsiTheme="majorHAnsi" w:cs="Arial"/>
          <w:lang w:val="es-ES_tradnl"/>
        </w:rPr>
        <w:t xml:space="preserve"> y Resolución VIII.36, sobre </w:t>
      </w:r>
      <w:r w:rsidRPr="00087FBE">
        <w:rPr>
          <w:rFonts w:asciiTheme="majorHAnsi" w:hAnsiTheme="majorHAnsi" w:cs="Georgia"/>
          <w:bCs/>
          <w:color w:val="2D4146"/>
          <w:lang w:val="es-ES_tradnl"/>
        </w:rPr>
        <w:t>la Gestión Ambiental Participativa (GAP) como herramienta para el manejo y uso racional de los humedales</w:t>
      </w:r>
      <w:r w:rsidRPr="00087FBE">
        <w:rPr>
          <w:rFonts w:asciiTheme="majorHAnsi" w:hAnsiTheme="majorHAnsi" w:cs="Arial"/>
          <w:lang w:val="es-ES_tradnl"/>
        </w:rPr>
        <w:t>), a fin de asesorar sobre la necesidad de consolidar y actualizar esa</w:t>
      </w:r>
      <w:r w:rsidR="00EC45E0" w:rsidRPr="00087FBE">
        <w:rPr>
          <w:rFonts w:asciiTheme="majorHAnsi" w:hAnsiTheme="majorHAnsi" w:cs="Arial"/>
          <w:lang w:val="es-ES_tradnl"/>
        </w:rPr>
        <w:t>s orientaciones</w:t>
      </w:r>
      <w:r w:rsidRPr="00087FBE">
        <w:rPr>
          <w:rFonts w:asciiTheme="majorHAnsi" w:hAnsiTheme="majorHAnsi" w:cs="Arial"/>
          <w:lang w:val="es-ES_tradnl"/>
        </w:rPr>
        <w:t xml:space="preserve">. La labor para </w:t>
      </w:r>
      <w:r w:rsidR="00EC45E0" w:rsidRPr="00087FBE">
        <w:rPr>
          <w:rFonts w:asciiTheme="majorHAnsi" w:hAnsiTheme="majorHAnsi" w:cs="Arial"/>
          <w:lang w:val="es-ES_tradnl"/>
        </w:rPr>
        <w:t>desarrollar ases</w:t>
      </w:r>
      <w:r w:rsidR="00FB0352" w:rsidRPr="00087FBE">
        <w:rPr>
          <w:rFonts w:asciiTheme="majorHAnsi" w:hAnsiTheme="majorHAnsi" w:cs="Arial"/>
          <w:lang w:val="es-ES_tradnl"/>
        </w:rPr>
        <w:t>ora</w:t>
      </w:r>
      <w:r w:rsidR="00EC45E0" w:rsidRPr="00087FBE">
        <w:rPr>
          <w:rFonts w:asciiTheme="majorHAnsi" w:hAnsiTheme="majorHAnsi" w:cs="Arial"/>
          <w:lang w:val="es-ES_tradnl"/>
        </w:rPr>
        <w:t>miento sobre el futuro de ambas R</w:t>
      </w:r>
      <w:r w:rsidRPr="00087FBE">
        <w:rPr>
          <w:rFonts w:asciiTheme="majorHAnsi" w:hAnsiTheme="majorHAnsi" w:cs="Arial"/>
          <w:lang w:val="es-ES_tradnl"/>
        </w:rPr>
        <w:t>esoluciones continuará en el próximo trienio.</w:t>
      </w:r>
    </w:p>
    <w:p w:rsidR="006373A5" w:rsidRPr="00087FBE" w:rsidRDefault="006373A5" w:rsidP="006373A5">
      <w:pPr>
        <w:pStyle w:val="ListParagraph"/>
        <w:spacing w:after="0" w:line="240" w:lineRule="auto"/>
        <w:ind w:left="426"/>
        <w:rPr>
          <w:rFonts w:asciiTheme="majorHAnsi" w:hAnsiTheme="majorHAnsi" w:cs="Arial"/>
          <w:lang w:val="es-ES_tradnl"/>
        </w:rPr>
      </w:pPr>
    </w:p>
    <w:p w:rsidR="006373A5" w:rsidRPr="00087FBE" w:rsidRDefault="006373A5" w:rsidP="006373A5">
      <w:pPr>
        <w:spacing w:after="0" w:line="240" w:lineRule="auto"/>
        <w:rPr>
          <w:rFonts w:asciiTheme="majorHAnsi" w:hAnsiTheme="majorHAnsi" w:cs="Arial"/>
          <w:b/>
          <w:lang w:val="es-ES_tradnl"/>
        </w:rPr>
      </w:pPr>
      <w:r w:rsidRPr="00087FBE">
        <w:rPr>
          <w:rFonts w:asciiTheme="majorHAnsi" w:hAnsiTheme="majorHAnsi" w:cs="Arial"/>
          <w:b/>
          <w:lang w:val="es-ES_tradnl"/>
        </w:rPr>
        <w:t>Aumentar los conocimientos especializados de CECoP en la</w:t>
      </w:r>
      <w:r w:rsidR="00D81B50" w:rsidRPr="00087FBE">
        <w:rPr>
          <w:rFonts w:asciiTheme="majorHAnsi" w:hAnsiTheme="majorHAnsi" w:cs="Arial"/>
          <w:b/>
          <w:lang w:val="es-ES_tradnl"/>
        </w:rPr>
        <w:t>s orientaciones</w:t>
      </w:r>
      <w:r w:rsidRPr="00087FBE">
        <w:rPr>
          <w:rFonts w:asciiTheme="majorHAnsi" w:hAnsiTheme="majorHAnsi" w:cs="Arial"/>
          <w:b/>
          <w:lang w:val="es-ES_tradnl"/>
        </w:rPr>
        <w:t xml:space="preserve"> científica</w:t>
      </w:r>
      <w:r w:rsidR="00D81B50" w:rsidRPr="00087FBE">
        <w:rPr>
          <w:rFonts w:asciiTheme="majorHAnsi" w:hAnsiTheme="majorHAnsi" w:cs="Arial"/>
          <w:b/>
          <w:lang w:val="es-ES_tradnl"/>
        </w:rPr>
        <w:t>s</w:t>
      </w:r>
      <w:r w:rsidRPr="00087FBE">
        <w:rPr>
          <w:rFonts w:asciiTheme="majorHAnsi" w:hAnsiTheme="majorHAnsi" w:cs="Arial"/>
          <w:b/>
          <w:lang w:val="es-ES_tradnl"/>
        </w:rPr>
        <w:t xml:space="preserve"> y técnica</w:t>
      </w:r>
      <w:r w:rsidR="00D81B50" w:rsidRPr="00087FBE">
        <w:rPr>
          <w:rFonts w:asciiTheme="majorHAnsi" w:hAnsiTheme="majorHAnsi" w:cs="Arial"/>
          <w:b/>
          <w:lang w:val="es-ES_tradnl"/>
        </w:rPr>
        <w:t>s</w:t>
      </w:r>
      <w:r w:rsidRPr="00087FBE">
        <w:rPr>
          <w:rFonts w:asciiTheme="majorHAnsi" w:hAnsiTheme="majorHAnsi" w:cs="Arial"/>
          <w:b/>
          <w:lang w:val="es-ES_tradnl"/>
        </w:rPr>
        <w:t xml:space="preserve"> de la Convención</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lastRenderedPageBreak/>
        <w:t xml:space="preserve">En la Resolución XI.16, sobre </w:t>
      </w:r>
      <w:r w:rsidRPr="00087FBE">
        <w:rPr>
          <w:rFonts w:asciiTheme="majorHAnsi" w:hAnsiTheme="majorHAnsi" w:cs="Georgia"/>
          <w:bCs/>
          <w:color w:val="2D4146"/>
          <w:szCs w:val="24"/>
          <w:lang w:val="es-ES_tradnl"/>
        </w:rPr>
        <w:t xml:space="preserve">Medidas para asegurar la prestación eficiente de asesoramiento y apoyo de carácter científico y técnico a la Convención, se estipula </w:t>
      </w:r>
      <w:r w:rsidR="008847C9" w:rsidRPr="00087FBE">
        <w:rPr>
          <w:rFonts w:asciiTheme="majorHAnsi" w:hAnsiTheme="majorHAnsi" w:cs="Georgia"/>
          <w:bCs/>
          <w:color w:val="2D4146"/>
          <w:szCs w:val="24"/>
          <w:lang w:val="es-ES_tradnl"/>
        </w:rPr>
        <w:t>que se debe “</w:t>
      </w:r>
      <w:r w:rsidRPr="00087FBE">
        <w:rPr>
          <w:rFonts w:asciiTheme="majorHAnsi" w:hAnsiTheme="majorHAnsi" w:cs="Georgia"/>
          <w:bCs/>
          <w:color w:val="2D4146"/>
          <w:szCs w:val="24"/>
          <w:lang w:val="es-ES_tradnl"/>
        </w:rPr>
        <w:t>asegurar la prestación eficiente de asesoramiento y apoyo de carácter científico y técnico a la Convención</w:t>
      </w:r>
      <w:r w:rsidR="008847C9" w:rsidRPr="00087FBE">
        <w:rPr>
          <w:rFonts w:asciiTheme="majorHAnsi" w:hAnsiTheme="majorHAnsi" w:cs="Arial"/>
          <w:lang w:val="es-ES_tradnl"/>
        </w:rPr>
        <w:t>”</w:t>
      </w:r>
      <w:r w:rsidRPr="00087FBE">
        <w:rPr>
          <w:rFonts w:asciiTheme="majorHAnsi" w:hAnsiTheme="majorHAnsi" w:cs="Arial"/>
          <w:lang w:val="es-ES_tradnl"/>
        </w:rPr>
        <w:t xml:space="preserve"> y durante el trienio se encargó un Examen de la</w:t>
      </w:r>
      <w:r w:rsidR="008847C9" w:rsidRPr="00087FBE">
        <w:rPr>
          <w:rFonts w:asciiTheme="majorHAnsi" w:hAnsiTheme="majorHAnsi" w:cs="Arial"/>
          <w:lang w:val="es-ES_tradnl"/>
        </w:rPr>
        <w:t xml:space="preserve">s orientaciones </w:t>
      </w:r>
      <w:r w:rsidRPr="00087FBE">
        <w:rPr>
          <w:rFonts w:asciiTheme="majorHAnsi" w:hAnsiTheme="majorHAnsi" w:cs="Arial"/>
          <w:lang w:val="es-ES_tradnl"/>
        </w:rPr>
        <w:t>científica</w:t>
      </w:r>
      <w:r w:rsidR="008847C9" w:rsidRPr="00087FBE">
        <w:rPr>
          <w:rFonts w:asciiTheme="majorHAnsi" w:hAnsiTheme="majorHAnsi" w:cs="Arial"/>
          <w:lang w:val="es-ES_tradnl"/>
        </w:rPr>
        <w:t>s</w:t>
      </w:r>
      <w:r w:rsidRPr="00087FBE">
        <w:rPr>
          <w:rFonts w:asciiTheme="majorHAnsi" w:hAnsiTheme="majorHAnsi" w:cs="Arial"/>
          <w:lang w:val="es-ES_tradnl"/>
        </w:rPr>
        <w:t xml:space="preserve"> y técnica</w:t>
      </w:r>
      <w:r w:rsidR="008847C9" w:rsidRPr="00087FBE">
        <w:rPr>
          <w:rFonts w:asciiTheme="majorHAnsi" w:hAnsiTheme="majorHAnsi" w:cs="Arial"/>
          <w:lang w:val="es-ES_tradnl"/>
        </w:rPr>
        <w:t>s</w:t>
      </w:r>
      <w:r w:rsidRPr="00087FBE">
        <w:rPr>
          <w:rFonts w:asciiTheme="majorHAnsi" w:hAnsiTheme="majorHAnsi" w:cs="Arial"/>
          <w:lang w:val="es-ES_tradnl"/>
        </w:rPr>
        <w:t xml:space="preserve"> de Ramsar, consistente en preparar un informe resumido final y cuatro análisis específicos: </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Examen de los procesos y la</w:t>
      </w:r>
      <w:r w:rsidR="00720554" w:rsidRPr="00087FBE">
        <w:rPr>
          <w:rFonts w:asciiTheme="majorHAnsi" w:hAnsiTheme="majorHAnsi" w:cs="Arial"/>
          <w:lang w:val="es-ES_tradnl"/>
        </w:rPr>
        <w:t>s orientaciones</w:t>
      </w:r>
      <w:r w:rsidRPr="00087FBE">
        <w:rPr>
          <w:rFonts w:asciiTheme="majorHAnsi" w:hAnsiTheme="majorHAnsi" w:cs="Arial"/>
          <w:lang w:val="es-ES_tradnl"/>
        </w:rPr>
        <w:t xml:space="preserve"> científica</w:t>
      </w:r>
      <w:r w:rsidR="00720554" w:rsidRPr="00087FBE">
        <w:rPr>
          <w:rFonts w:asciiTheme="majorHAnsi" w:hAnsiTheme="majorHAnsi" w:cs="Arial"/>
          <w:lang w:val="es-ES_tradnl"/>
        </w:rPr>
        <w:t>s</w:t>
      </w:r>
      <w:r w:rsidRPr="00087FBE">
        <w:rPr>
          <w:rFonts w:asciiTheme="majorHAnsi" w:hAnsiTheme="majorHAnsi" w:cs="Arial"/>
          <w:lang w:val="es-ES_tradnl"/>
        </w:rPr>
        <w:t xml:space="preserve"> y técnica</w:t>
      </w:r>
      <w:r w:rsidR="00720554" w:rsidRPr="00087FBE">
        <w:rPr>
          <w:rFonts w:asciiTheme="majorHAnsi" w:hAnsiTheme="majorHAnsi" w:cs="Arial"/>
          <w:lang w:val="es-ES_tradnl"/>
        </w:rPr>
        <w:t>s</w:t>
      </w:r>
      <w:r w:rsidRPr="00087FBE">
        <w:rPr>
          <w:rFonts w:asciiTheme="majorHAnsi" w:hAnsiTheme="majorHAnsi" w:cs="Arial"/>
          <w:lang w:val="es-ES_tradnl"/>
        </w:rPr>
        <w:t xml:space="preserve"> de Ramsar existentes</w:t>
      </w:r>
      <w:r w:rsidR="00720554" w:rsidRPr="00087FBE">
        <w:rPr>
          <w:rFonts w:asciiTheme="majorHAnsi" w:hAnsiTheme="majorHAnsi" w:cs="Arial"/>
          <w:lang w:val="es-ES_tradnl"/>
        </w:rPr>
        <w:t xml:space="preserve"> y de</w:t>
      </w:r>
      <w:r w:rsidRPr="00087FBE">
        <w:rPr>
          <w:rFonts w:asciiTheme="majorHAnsi" w:hAnsiTheme="majorHAnsi" w:cs="Arial"/>
          <w:lang w:val="es-ES_tradnl"/>
        </w:rPr>
        <w:t xml:space="preserve"> su utilidad, uso, aplicación y conversión en herramientas prácticas</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Examen de las FUNCIONES de los órganos y los procesos</w:t>
      </w:r>
      <w:r w:rsidR="00720554" w:rsidRPr="00087FBE">
        <w:rPr>
          <w:rFonts w:asciiTheme="majorHAnsi" w:hAnsiTheme="majorHAnsi" w:cs="Arial"/>
          <w:lang w:val="es-ES_tradnl"/>
        </w:rPr>
        <w:t xml:space="preserve"> </w:t>
      </w:r>
      <w:r w:rsidR="00745985" w:rsidRPr="00087FBE">
        <w:rPr>
          <w:rFonts w:asciiTheme="majorHAnsi" w:hAnsiTheme="majorHAnsi" w:cs="Arial"/>
          <w:lang w:val="es-ES_tradnl"/>
        </w:rPr>
        <w:t xml:space="preserve">de Ramsar </w:t>
      </w:r>
      <w:r w:rsidR="00720554" w:rsidRPr="00087FBE">
        <w:rPr>
          <w:rFonts w:asciiTheme="majorHAnsi" w:hAnsiTheme="majorHAnsi" w:cs="Arial"/>
          <w:lang w:val="es-ES_tradnl"/>
        </w:rPr>
        <w:t>que prestan apoyo científico</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Examinar la</w:t>
      </w:r>
      <w:r w:rsidR="00745985" w:rsidRPr="00087FBE">
        <w:rPr>
          <w:rFonts w:asciiTheme="majorHAnsi" w:hAnsiTheme="majorHAnsi" w:cs="Arial"/>
          <w:lang w:val="es-ES_tradnl"/>
        </w:rPr>
        <w:t>s orientaciones y herramientas</w:t>
      </w:r>
      <w:r w:rsidRPr="00087FBE">
        <w:rPr>
          <w:rFonts w:asciiTheme="majorHAnsi" w:hAnsiTheme="majorHAnsi" w:cs="Arial"/>
          <w:lang w:val="es-ES_tradnl"/>
        </w:rPr>
        <w:t xml:space="preserve"> científica</w:t>
      </w:r>
      <w:r w:rsidR="00745985" w:rsidRPr="00087FBE">
        <w:rPr>
          <w:rFonts w:asciiTheme="majorHAnsi" w:hAnsiTheme="majorHAnsi" w:cs="Arial"/>
          <w:lang w:val="es-ES_tradnl"/>
        </w:rPr>
        <w:t>s de</w:t>
      </w:r>
      <w:r w:rsidRPr="00087FBE">
        <w:rPr>
          <w:rFonts w:asciiTheme="majorHAnsi" w:hAnsiTheme="majorHAnsi" w:cs="Arial"/>
          <w:lang w:val="es-ES_tradnl"/>
        </w:rPr>
        <w:t xml:space="preserve"> otros acuerdos multilaterales sobre </w:t>
      </w:r>
      <w:r w:rsidR="00745985" w:rsidRPr="00087FBE">
        <w:rPr>
          <w:rFonts w:asciiTheme="majorHAnsi" w:hAnsiTheme="majorHAnsi" w:cs="Arial"/>
          <w:lang w:val="es-ES_tradnl"/>
        </w:rPr>
        <w:t xml:space="preserve">el </w:t>
      </w:r>
      <w:r w:rsidRPr="00087FBE">
        <w:rPr>
          <w:rFonts w:asciiTheme="majorHAnsi" w:hAnsiTheme="majorHAnsi" w:cs="Arial"/>
          <w:lang w:val="es-ES_tradnl"/>
        </w:rPr>
        <w:t xml:space="preserve">medio ambiente </w:t>
      </w:r>
      <w:r w:rsidR="00745985" w:rsidRPr="00087FBE">
        <w:rPr>
          <w:rFonts w:asciiTheme="majorHAnsi" w:hAnsiTheme="majorHAnsi" w:cs="Arial"/>
          <w:lang w:val="es-ES_tradnl"/>
        </w:rPr>
        <w:t xml:space="preserve">(AMMA) </w:t>
      </w:r>
      <w:r w:rsidRPr="00087FBE">
        <w:rPr>
          <w:rFonts w:asciiTheme="majorHAnsi" w:hAnsiTheme="majorHAnsi" w:cs="Arial"/>
          <w:lang w:val="es-ES_tradnl"/>
        </w:rPr>
        <w:t>y las lecciones aprendidas para Ramsar</w:t>
      </w:r>
    </w:p>
    <w:p w:rsidR="006373A5" w:rsidRPr="00087FBE" w:rsidRDefault="00FB0352"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Buenas</w:t>
      </w:r>
      <w:r w:rsidR="006373A5" w:rsidRPr="00087FBE">
        <w:rPr>
          <w:rFonts w:asciiTheme="majorHAnsi" w:hAnsiTheme="majorHAnsi" w:cs="Arial"/>
          <w:lang w:val="es-ES_tradnl"/>
        </w:rPr>
        <w:t xml:space="preserve"> prácticas y </w:t>
      </w:r>
      <w:r w:rsidR="00C44721" w:rsidRPr="00087FBE">
        <w:rPr>
          <w:rFonts w:asciiTheme="majorHAnsi" w:hAnsiTheme="majorHAnsi" w:cs="Arial"/>
          <w:lang w:val="es-ES_tradnl"/>
        </w:rPr>
        <w:t xml:space="preserve">lecciones aprendidas sobre la provisión </w:t>
      </w:r>
      <w:r w:rsidR="006373A5" w:rsidRPr="00087FBE">
        <w:rPr>
          <w:rFonts w:asciiTheme="majorHAnsi" w:hAnsiTheme="majorHAnsi" w:cs="Arial"/>
          <w:lang w:val="es-ES_tradnl"/>
        </w:rPr>
        <w:t>de o</w:t>
      </w:r>
      <w:r w:rsidR="00C44721" w:rsidRPr="00087FBE">
        <w:rPr>
          <w:rFonts w:asciiTheme="majorHAnsi" w:hAnsiTheme="majorHAnsi" w:cs="Arial"/>
          <w:lang w:val="es-ES_tradnl"/>
        </w:rPr>
        <w:t>rientaciones</w:t>
      </w:r>
      <w:r w:rsidR="006373A5" w:rsidRPr="00087FBE">
        <w:rPr>
          <w:rFonts w:asciiTheme="majorHAnsi" w:hAnsiTheme="majorHAnsi" w:cs="Arial"/>
          <w:lang w:val="es-ES_tradnl"/>
        </w:rPr>
        <w:t xml:space="preserve"> científica</w:t>
      </w:r>
      <w:r w:rsidR="00C44721" w:rsidRPr="00087FBE">
        <w:rPr>
          <w:rFonts w:asciiTheme="majorHAnsi" w:hAnsiTheme="majorHAnsi" w:cs="Arial"/>
          <w:lang w:val="es-ES_tradnl"/>
        </w:rPr>
        <w:t>s</w:t>
      </w:r>
      <w:r w:rsidR="006373A5" w:rsidRPr="00087FBE">
        <w:rPr>
          <w:rFonts w:asciiTheme="majorHAnsi" w:hAnsiTheme="majorHAnsi" w:cs="Arial"/>
          <w:lang w:val="es-ES_tradnl"/>
        </w:rPr>
        <w:t xml:space="preserve"> y técnica</w:t>
      </w:r>
      <w:r w:rsidR="00C44721" w:rsidRPr="00087FBE">
        <w:rPr>
          <w:rFonts w:asciiTheme="majorHAnsi" w:hAnsiTheme="majorHAnsi" w:cs="Arial"/>
          <w:lang w:val="es-ES_tradnl"/>
        </w:rPr>
        <w:t>s</w:t>
      </w:r>
      <w:r w:rsidR="006373A5" w:rsidRPr="00087FBE">
        <w:rPr>
          <w:rFonts w:asciiTheme="majorHAnsi" w:hAnsiTheme="majorHAnsi" w:cs="Arial"/>
          <w:lang w:val="es-ES_tradnl"/>
        </w:rPr>
        <w:t>: perspectivas de las organizaciones internacionales y las ONG.</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 xml:space="preserve">Las conclusiones y recomendaciones del consultor se han incorporado en el Proyecto de Resolución XII.5, en </w:t>
      </w:r>
      <w:r w:rsidR="00C44721" w:rsidRPr="00087FBE">
        <w:rPr>
          <w:rFonts w:asciiTheme="majorHAnsi" w:hAnsiTheme="majorHAnsi" w:cs="Arial"/>
          <w:lang w:val="es-ES_tradnl"/>
        </w:rPr>
        <w:t>el</w:t>
      </w:r>
      <w:r w:rsidRPr="00087FBE">
        <w:rPr>
          <w:rFonts w:asciiTheme="majorHAnsi" w:hAnsiTheme="majorHAnsi" w:cs="Arial"/>
          <w:lang w:val="es-ES_tradnl"/>
        </w:rPr>
        <w:t xml:space="preserve"> que se esboza un nuevo </w:t>
      </w:r>
      <w:r w:rsidRPr="00087FBE">
        <w:rPr>
          <w:rFonts w:asciiTheme="majorHAnsi" w:hAnsiTheme="majorHAnsi" w:cs="Arial"/>
          <w:i/>
          <w:lang w:val="es-ES_tradnl"/>
        </w:rPr>
        <w:t>modus operandi</w:t>
      </w:r>
      <w:r w:rsidRPr="00087FBE">
        <w:rPr>
          <w:rFonts w:asciiTheme="majorHAnsi" w:hAnsiTheme="majorHAnsi" w:cs="Arial"/>
          <w:lang w:val="es-ES_tradnl"/>
        </w:rPr>
        <w:t xml:space="preserve"> para el GECT</w:t>
      </w:r>
      <w:r w:rsidR="00C44721" w:rsidRPr="00087FBE">
        <w:rPr>
          <w:rFonts w:asciiTheme="majorHAnsi" w:hAnsiTheme="majorHAnsi" w:cs="Arial"/>
          <w:lang w:val="es-ES_tradnl"/>
        </w:rPr>
        <w:t xml:space="preserve"> que incluye, </w:t>
      </w:r>
      <w:r w:rsidRPr="00087FBE">
        <w:rPr>
          <w:rFonts w:asciiTheme="majorHAnsi" w:hAnsiTheme="majorHAnsi" w:cs="Arial"/>
          <w:lang w:val="es-ES_tradnl"/>
        </w:rPr>
        <w:t>entre otras cosas:</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Centrar la</w:t>
      </w:r>
      <w:r w:rsidR="00C44721" w:rsidRPr="00087FBE">
        <w:rPr>
          <w:rFonts w:asciiTheme="majorHAnsi" w:hAnsiTheme="majorHAnsi" w:cs="Arial"/>
          <w:lang w:val="es-ES_tradnl"/>
        </w:rPr>
        <w:t>s orientaciones</w:t>
      </w:r>
      <w:r w:rsidRPr="00087FBE">
        <w:rPr>
          <w:rFonts w:asciiTheme="majorHAnsi" w:hAnsiTheme="majorHAnsi" w:cs="Arial"/>
          <w:lang w:val="es-ES_tradnl"/>
        </w:rPr>
        <w:t xml:space="preserve"> específicamente en los responsables de políticas y profesionales de los humedales; y </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 xml:space="preserve">Fomentar una cooperación más estrecha entre </w:t>
      </w:r>
      <w:r w:rsidR="0041709D" w:rsidRPr="00087FBE">
        <w:rPr>
          <w:rFonts w:asciiTheme="majorHAnsi" w:hAnsiTheme="majorHAnsi" w:cs="Arial"/>
          <w:lang w:val="es-ES_tradnl"/>
        </w:rPr>
        <w:t>la CEC</w:t>
      </w:r>
      <w:r w:rsidRPr="00087FBE">
        <w:rPr>
          <w:rFonts w:asciiTheme="majorHAnsi" w:hAnsiTheme="majorHAnsi" w:cs="Arial"/>
          <w:lang w:val="es-ES_tradnl"/>
        </w:rPr>
        <w:t xml:space="preserve">oP y el GECT (se </w:t>
      </w:r>
      <w:r w:rsidR="00C44721" w:rsidRPr="00087FBE">
        <w:rPr>
          <w:rFonts w:asciiTheme="majorHAnsi" w:hAnsiTheme="majorHAnsi" w:cs="Arial"/>
          <w:lang w:val="es-ES_tradnl"/>
        </w:rPr>
        <w:t>ha añadido</w:t>
      </w:r>
      <w:r w:rsidRPr="00087FBE">
        <w:rPr>
          <w:rFonts w:asciiTheme="majorHAnsi" w:hAnsiTheme="majorHAnsi" w:cs="Arial"/>
          <w:lang w:val="es-ES_tradnl"/>
        </w:rPr>
        <w:t xml:space="preserve"> la Estrategia 9 </w:t>
      </w:r>
      <w:r w:rsidR="00FB0352" w:rsidRPr="00087FBE">
        <w:rPr>
          <w:rFonts w:asciiTheme="majorHAnsi" w:hAnsiTheme="majorHAnsi" w:cs="Arial"/>
          <w:lang w:val="es-ES_tradnl"/>
        </w:rPr>
        <w:t xml:space="preserve">al nuevo Programa de CECoP </w:t>
      </w:r>
      <w:r w:rsidRPr="00087FBE">
        <w:rPr>
          <w:rFonts w:asciiTheme="majorHAnsi" w:hAnsiTheme="majorHAnsi" w:cs="Arial"/>
          <w:lang w:val="es-ES_tradnl"/>
        </w:rPr>
        <w:t xml:space="preserve">con esta </w:t>
      </w:r>
      <w:r w:rsidR="00FB0352" w:rsidRPr="00087FBE">
        <w:rPr>
          <w:rFonts w:asciiTheme="majorHAnsi" w:hAnsiTheme="majorHAnsi" w:cs="Arial"/>
          <w:lang w:val="es-ES_tradnl"/>
        </w:rPr>
        <w:t>finalidad</w:t>
      </w:r>
      <w:r w:rsidRPr="00087FBE">
        <w:rPr>
          <w:rFonts w:asciiTheme="majorHAnsi" w:hAnsiTheme="majorHAnsi" w:cs="Arial"/>
          <w:lang w:val="es-ES_tradnl"/>
        </w:rPr>
        <w:t>).</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spacing w:after="0" w:line="240" w:lineRule="auto"/>
        <w:rPr>
          <w:rFonts w:asciiTheme="majorHAnsi" w:hAnsiTheme="majorHAnsi" w:cs="Arial"/>
          <w:b/>
          <w:lang w:val="es-ES_tradnl"/>
        </w:rPr>
      </w:pPr>
      <w:r w:rsidRPr="00087FBE">
        <w:rPr>
          <w:rFonts w:asciiTheme="majorHAnsi" w:hAnsiTheme="majorHAnsi" w:cs="Arial"/>
          <w:b/>
          <w:lang w:val="es-ES_tradnl"/>
        </w:rPr>
        <w:t>Actividades regionales de CECoP</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 xml:space="preserve">Entre los ejemplos de actividades regionales de CECoP y de iniciativas de CECoP </w:t>
      </w:r>
      <w:r w:rsidR="009A1236" w:rsidRPr="00087FBE">
        <w:rPr>
          <w:rFonts w:asciiTheme="majorHAnsi" w:hAnsiTheme="majorHAnsi" w:cs="Arial"/>
          <w:lang w:val="es-ES_tradnl"/>
        </w:rPr>
        <w:t>a escala</w:t>
      </w:r>
      <w:r w:rsidRPr="00087FBE">
        <w:rPr>
          <w:rFonts w:asciiTheme="majorHAnsi" w:hAnsiTheme="majorHAnsi" w:cs="Arial"/>
          <w:lang w:val="es-ES_tradnl"/>
        </w:rPr>
        <w:t xml:space="preserve"> de</w:t>
      </w:r>
      <w:r w:rsidR="006257FA" w:rsidRPr="00087FBE">
        <w:rPr>
          <w:rFonts w:asciiTheme="majorHAnsi" w:hAnsiTheme="majorHAnsi" w:cs="Arial"/>
          <w:lang w:val="es-ES_tradnl"/>
        </w:rPr>
        <w:t xml:space="preserve"> la</w:t>
      </w:r>
      <w:r w:rsidRPr="00087FBE">
        <w:rPr>
          <w:rFonts w:asciiTheme="majorHAnsi" w:hAnsiTheme="majorHAnsi" w:cs="Arial"/>
          <w:lang w:val="es-ES_tradnl"/>
        </w:rPr>
        <w:t xml:space="preserve"> cuenca cabe señalar:</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El taller de África sobre la incorporación de los valores del agua y de los humedales en el proceso de adopción de decisiones para Á</w:t>
      </w:r>
      <w:hyperlink r:id="rId10" w:tgtFrame="_blank" w:history="1">
        <w:r w:rsidRPr="00087FBE">
          <w:rPr>
            <w:rFonts w:asciiTheme="majorHAnsi" w:hAnsiTheme="majorHAnsi" w:cs="Arial"/>
            <w:lang w:val="es-ES_tradnl"/>
          </w:rPr>
          <w:t xml:space="preserve">frica (noviembre de 2013), </w:t>
        </w:r>
        <w:r w:rsidR="006257FA" w:rsidRPr="00087FBE">
          <w:rPr>
            <w:rFonts w:asciiTheme="majorHAnsi" w:hAnsiTheme="majorHAnsi" w:cs="Arial"/>
            <w:lang w:val="es-ES_tradnl"/>
          </w:rPr>
          <w:t xml:space="preserve">en </w:t>
        </w:r>
        <w:r w:rsidRPr="00087FBE">
          <w:rPr>
            <w:rFonts w:asciiTheme="majorHAnsi" w:hAnsiTheme="majorHAnsi" w:cs="Arial"/>
            <w:lang w:val="es-ES_tradnl"/>
          </w:rPr>
          <w:t>Kampala</w:t>
        </w:r>
        <w:r w:rsidR="006257FA" w:rsidRPr="00087FBE">
          <w:rPr>
            <w:rFonts w:asciiTheme="majorHAnsi" w:hAnsiTheme="majorHAnsi" w:cs="Arial"/>
            <w:lang w:val="es-ES_tradnl"/>
          </w:rPr>
          <w:t xml:space="preserve"> (</w:t>
        </w:r>
        <w:r w:rsidRPr="00087FBE">
          <w:rPr>
            <w:rFonts w:asciiTheme="majorHAnsi" w:hAnsiTheme="majorHAnsi" w:cs="Arial"/>
            <w:lang w:val="es-ES_tradnl"/>
          </w:rPr>
          <w:t>Uganda</w:t>
        </w:r>
        <w:r w:rsidR="006257FA" w:rsidRPr="00087FBE">
          <w:rPr>
            <w:rFonts w:asciiTheme="majorHAnsi" w:hAnsiTheme="majorHAnsi" w:cs="Arial"/>
            <w:lang w:val="es-ES_tradnl"/>
          </w:rPr>
          <w:t>)</w:t>
        </w:r>
        <w:r w:rsidRPr="00087FBE">
          <w:rPr>
            <w:rFonts w:asciiTheme="majorHAnsi" w:hAnsiTheme="majorHAnsi" w:cs="Arial"/>
            <w:lang w:val="es-ES_tradnl"/>
          </w:rPr>
          <w:t xml:space="preserve">, basado en el Informe TEEB para el agua y los humedales, organizado por el Instituto </w:t>
        </w:r>
      </w:hyperlink>
      <w:hyperlink r:id="rId11" w:tgtFrame="_blank" w:history="1">
        <w:r w:rsidR="006257FA" w:rsidRPr="00087FBE">
          <w:rPr>
            <w:rFonts w:asciiTheme="majorHAnsi" w:hAnsiTheme="majorHAnsi" w:cs="Arial"/>
            <w:lang w:val="es-ES_tradnl"/>
          </w:rPr>
          <w:t>UNESCO-</w:t>
        </w:r>
        <w:r w:rsidRPr="00087FBE">
          <w:rPr>
            <w:rFonts w:asciiTheme="majorHAnsi" w:hAnsiTheme="majorHAnsi" w:cs="Arial"/>
            <w:lang w:val="es-ES_tradnl"/>
          </w:rPr>
          <w:t>IHE para la Educación relativa al Agua</w:t>
        </w:r>
      </w:hyperlink>
      <w:r w:rsidRPr="00087FBE">
        <w:rPr>
          <w:rFonts w:asciiTheme="majorHAnsi" w:hAnsiTheme="majorHAnsi" w:cs="Arial"/>
          <w:lang w:val="es-ES_tradnl"/>
        </w:rPr>
        <w:t xml:space="preserve">, </w:t>
      </w:r>
      <w:r w:rsidR="006257FA" w:rsidRPr="00087FBE">
        <w:rPr>
          <w:rFonts w:asciiTheme="majorHAnsi" w:hAnsiTheme="majorHAnsi" w:cs="Arial"/>
          <w:lang w:val="es-ES_tradnl"/>
        </w:rPr>
        <w:t xml:space="preserve">el </w:t>
      </w:r>
      <w:r w:rsidRPr="00087FBE">
        <w:rPr>
          <w:rFonts w:asciiTheme="majorHAnsi" w:hAnsiTheme="majorHAnsi" w:cs="Arial"/>
          <w:lang w:val="es-ES_tradnl"/>
        </w:rPr>
        <w:t xml:space="preserve">Centro </w:t>
      </w:r>
      <w:r w:rsidR="00FB0352" w:rsidRPr="00087FBE">
        <w:rPr>
          <w:rFonts w:asciiTheme="majorHAnsi" w:hAnsiTheme="majorHAnsi" w:cs="Arial"/>
          <w:lang w:val="es-ES_tradnl"/>
        </w:rPr>
        <w:t xml:space="preserve">de </w:t>
      </w:r>
      <w:hyperlink r:id="rId12" w:tgtFrame="_blank" w:history="1">
        <w:r w:rsidRPr="00087FBE">
          <w:rPr>
            <w:rFonts w:asciiTheme="majorHAnsi" w:hAnsiTheme="majorHAnsi" w:cs="Arial"/>
            <w:lang w:val="es-ES_tradnl"/>
          </w:rPr>
          <w:t>Ram</w:t>
        </w:r>
        <w:r w:rsidR="00FB0352" w:rsidRPr="00087FBE">
          <w:rPr>
            <w:rFonts w:asciiTheme="majorHAnsi" w:hAnsiTheme="majorHAnsi" w:cs="Arial"/>
            <w:lang w:val="es-ES_tradnl"/>
          </w:rPr>
          <w:t>sar para África O</w:t>
        </w:r>
        <w:r w:rsidRPr="00087FBE">
          <w:rPr>
            <w:rFonts w:asciiTheme="majorHAnsi" w:hAnsiTheme="majorHAnsi" w:cs="Arial"/>
            <w:lang w:val="es-ES_tradnl"/>
          </w:rPr>
          <w:t>riental (RAMCEA),</w:t>
        </w:r>
      </w:hyperlink>
      <w:r w:rsidR="006257FA" w:rsidRPr="00087FBE">
        <w:rPr>
          <w:rFonts w:asciiTheme="majorHAnsi" w:hAnsiTheme="majorHAnsi"/>
          <w:lang w:val="es-ES_tradnl"/>
        </w:rPr>
        <w:t xml:space="preserve"> y la</w:t>
      </w:r>
      <w:r w:rsidRPr="00087FBE">
        <w:rPr>
          <w:rFonts w:asciiTheme="majorHAnsi" w:hAnsiTheme="majorHAnsi" w:cs="Arial"/>
          <w:lang w:val="es-ES_tradnl"/>
        </w:rPr>
        <w:t xml:space="preserve"> Oficina de </w:t>
      </w:r>
      <w:r w:rsidR="006257FA" w:rsidRPr="00087FBE">
        <w:rPr>
          <w:rFonts w:asciiTheme="majorHAnsi" w:hAnsiTheme="majorHAnsi" w:cs="Arial"/>
          <w:lang w:val="es-ES_tradnl"/>
        </w:rPr>
        <w:t>TEEB del PNUMA</w:t>
      </w:r>
      <w:r w:rsidRPr="00087FBE">
        <w:rPr>
          <w:rFonts w:asciiTheme="majorHAnsi" w:hAnsiTheme="majorHAnsi" w:cs="Arial"/>
          <w:lang w:val="es-ES_tradnl"/>
        </w:rPr>
        <w:t>.</w:t>
      </w:r>
    </w:p>
    <w:p w:rsidR="006373A5" w:rsidRPr="00087FBE" w:rsidRDefault="00274E9F"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El Foro Internacional “</w:t>
      </w:r>
      <w:r w:rsidR="006373A5" w:rsidRPr="00087FBE">
        <w:rPr>
          <w:rFonts w:asciiTheme="majorHAnsi" w:hAnsiTheme="majorHAnsi" w:cs="Arial"/>
          <w:lang w:val="es-ES_tradnl"/>
        </w:rPr>
        <w:t>Humedales: us</w:t>
      </w:r>
      <w:r w:rsidRPr="00087FBE">
        <w:rPr>
          <w:rFonts w:asciiTheme="majorHAnsi" w:hAnsiTheme="majorHAnsi" w:cs="Arial"/>
          <w:lang w:val="es-ES_tradnl"/>
        </w:rPr>
        <w:t>o racional, planes inteligentes”</w:t>
      </w:r>
      <w:r w:rsidR="006373A5" w:rsidRPr="00087FBE">
        <w:rPr>
          <w:rFonts w:asciiTheme="majorHAnsi" w:hAnsiTheme="majorHAnsi" w:cs="Arial"/>
          <w:lang w:val="es-ES_tradnl"/>
        </w:rPr>
        <w:t xml:space="preserve"> se celebró en Kigali</w:t>
      </w:r>
      <w:r w:rsidRPr="00087FBE">
        <w:rPr>
          <w:rFonts w:asciiTheme="majorHAnsi" w:hAnsiTheme="majorHAnsi" w:cs="Arial"/>
          <w:lang w:val="es-ES_tradnl"/>
        </w:rPr>
        <w:t xml:space="preserve"> (</w:t>
      </w:r>
      <w:r w:rsidR="006373A5" w:rsidRPr="00087FBE">
        <w:rPr>
          <w:rFonts w:asciiTheme="majorHAnsi" w:hAnsiTheme="majorHAnsi" w:cs="Arial"/>
          <w:lang w:val="es-ES_tradnl"/>
        </w:rPr>
        <w:t>Rwanda</w:t>
      </w:r>
      <w:r w:rsidRPr="00087FBE">
        <w:rPr>
          <w:rFonts w:asciiTheme="majorHAnsi" w:hAnsiTheme="majorHAnsi" w:cs="Arial"/>
          <w:lang w:val="es-ES_tradnl"/>
        </w:rPr>
        <w:t>)</w:t>
      </w:r>
      <w:r w:rsidR="006373A5" w:rsidRPr="00087FBE">
        <w:rPr>
          <w:rFonts w:asciiTheme="majorHAnsi" w:hAnsiTheme="majorHAnsi" w:cs="Arial"/>
          <w:lang w:val="es-ES_tradnl"/>
        </w:rPr>
        <w:t>, organizado en colaboración con el Gobierno de Rwanda</w:t>
      </w:r>
      <w:r w:rsidRPr="00087FBE">
        <w:rPr>
          <w:rFonts w:asciiTheme="majorHAnsi" w:hAnsiTheme="majorHAnsi" w:cs="Arial"/>
          <w:lang w:val="es-ES_tradnl"/>
        </w:rPr>
        <w:t xml:space="preserve"> y </w:t>
      </w:r>
      <w:r w:rsidR="006373A5" w:rsidRPr="00087FBE">
        <w:rPr>
          <w:rFonts w:asciiTheme="majorHAnsi" w:hAnsiTheme="majorHAnsi" w:cs="Arial"/>
          <w:lang w:val="es-ES_tradnl"/>
        </w:rPr>
        <w:t>UNESCO-IHE.</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El taller de Asia sobre la incorporación de los valores del agua y de los humedales en el proceso de adopción de decisiones</w:t>
      </w:r>
      <w:hyperlink r:id="rId13" w:tgtFrame="_blank" w:history="1">
        <w:r w:rsidRPr="00087FBE">
          <w:rPr>
            <w:rFonts w:asciiTheme="majorHAnsi" w:hAnsiTheme="majorHAnsi" w:cs="Arial"/>
            <w:lang w:val="es-ES_tradnl"/>
          </w:rPr>
          <w:t xml:space="preserve"> (31 de agosto de 2013</w:t>
        </w:r>
        <w:r w:rsidR="00274E9F" w:rsidRPr="00087FBE">
          <w:rPr>
            <w:rFonts w:asciiTheme="majorHAnsi" w:hAnsiTheme="majorHAnsi" w:cs="Arial"/>
            <w:lang w:val="es-ES_tradnl"/>
          </w:rPr>
          <w:t>) en Balí (</w:t>
        </w:r>
        <w:r w:rsidRPr="00087FBE">
          <w:rPr>
            <w:rFonts w:asciiTheme="majorHAnsi" w:hAnsiTheme="majorHAnsi" w:cs="Arial"/>
            <w:lang w:val="es-ES_tradnl"/>
          </w:rPr>
          <w:t>Indonesia</w:t>
        </w:r>
        <w:r w:rsidR="00274E9F" w:rsidRPr="00087FBE">
          <w:rPr>
            <w:rFonts w:asciiTheme="majorHAnsi" w:hAnsiTheme="majorHAnsi" w:cs="Arial"/>
            <w:lang w:val="es-ES_tradnl"/>
          </w:rPr>
          <w:t>)</w:t>
        </w:r>
        <w:r w:rsidRPr="00087FBE">
          <w:rPr>
            <w:rFonts w:asciiTheme="majorHAnsi" w:hAnsiTheme="majorHAnsi" w:cs="Arial"/>
            <w:lang w:val="es-ES_tradnl"/>
          </w:rPr>
          <w:t xml:space="preserve">, </w:t>
        </w:r>
      </w:hyperlink>
      <w:r w:rsidRPr="00087FBE">
        <w:rPr>
          <w:rFonts w:asciiTheme="majorHAnsi" w:hAnsiTheme="majorHAnsi"/>
          <w:lang w:val="es-ES_tradnl"/>
        </w:rPr>
        <w:t xml:space="preserve">basado en el Informe TEEB para el agua y los humedales, organizado por la Oficina </w:t>
      </w:r>
      <w:r w:rsidR="00274E9F" w:rsidRPr="00087FBE">
        <w:rPr>
          <w:rFonts w:asciiTheme="majorHAnsi" w:hAnsiTheme="majorHAnsi"/>
          <w:lang w:val="es-ES_tradnl"/>
        </w:rPr>
        <w:t xml:space="preserve">de TEEB del </w:t>
      </w:r>
      <w:r w:rsidRPr="00087FBE">
        <w:rPr>
          <w:rFonts w:asciiTheme="majorHAnsi" w:hAnsiTheme="majorHAnsi"/>
          <w:lang w:val="es-ES_tradnl"/>
        </w:rPr>
        <w:t>PNUMA</w:t>
      </w:r>
      <w:r w:rsidRPr="00087FBE">
        <w:rPr>
          <w:rFonts w:asciiTheme="majorHAnsi" w:hAnsiTheme="majorHAnsi" w:cs="Arial"/>
          <w:lang w:val="es-ES_tradnl"/>
        </w:rPr>
        <w:t>.</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Provisión por Japón de capacitación internacional en los sitios Ramsar de Biwa-ko (2012) y de Kushiro (2012, 2013).</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El segundo taller sobre la planificación de</w:t>
      </w:r>
      <w:r w:rsidR="00670EC8" w:rsidRPr="00087FBE">
        <w:rPr>
          <w:rFonts w:asciiTheme="majorHAnsi" w:hAnsiTheme="majorHAnsi" w:cs="Arial"/>
          <w:lang w:val="es-ES_tradnl"/>
        </w:rPr>
        <w:t xml:space="preserve"> CECoP se celebró en Finlandia del 4 al 6 de septiembre de 2012</w:t>
      </w:r>
      <w:r w:rsidRPr="00087FBE">
        <w:rPr>
          <w:rFonts w:asciiTheme="majorHAnsi" w:hAnsiTheme="majorHAnsi" w:cs="Arial"/>
          <w:lang w:val="es-ES_tradnl"/>
        </w:rPr>
        <w:t xml:space="preserve"> para los Coordinadores de CECoP de la Iniciativa Regional </w:t>
      </w:r>
      <w:r w:rsidR="00EA392D" w:rsidRPr="00087FBE">
        <w:rPr>
          <w:rFonts w:asciiTheme="majorHAnsi" w:hAnsiTheme="majorHAnsi" w:cs="Arial"/>
          <w:lang w:val="es-ES_tradnl"/>
        </w:rPr>
        <w:t xml:space="preserve">de </w:t>
      </w:r>
      <w:r w:rsidRPr="00087FBE">
        <w:rPr>
          <w:rFonts w:asciiTheme="majorHAnsi" w:hAnsiTheme="majorHAnsi" w:cs="Arial"/>
          <w:lang w:val="es-ES_tradnl"/>
        </w:rPr>
        <w:t>Ramsar NorBalWet</w:t>
      </w:r>
      <w:r w:rsidR="00EA392D" w:rsidRPr="00087FBE">
        <w:rPr>
          <w:rFonts w:asciiTheme="majorHAnsi" w:hAnsiTheme="majorHAnsi" w:cs="Arial"/>
          <w:lang w:val="es-ES_tradnl"/>
        </w:rPr>
        <w:t xml:space="preserve"> y fue</w:t>
      </w:r>
      <w:r w:rsidRPr="00087FBE">
        <w:rPr>
          <w:rFonts w:asciiTheme="majorHAnsi" w:hAnsiTheme="majorHAnsi" w:cs="Arial"/>
          <w:lang w:val="es-ES_tradnl"/>
        </w:rPr>
        <w:t xml:space="preserve"> financiado en gran medida por el Consejo de Ministros de los Países Nórdicos.</w:t>
      </w:r>
    </w:p>
    <w:p w:rsidR="006373A5" w:rsidRPr="00087FBE" w:rsidRDefault="00EA392D"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 xml:space="preserve">El </w:t>
      </w:r>
      <w:r w:rsidR="006373A5" w:rsidRPr="00087FBE">
        <w:rPr>
          <w:rFonts w:asciiTheme="majorHAnsi" w:hAnsiTheme="majorHAnsi" w:cs="Arial"/>
          <w:lang w:val="es-ES_tradnl"/>
        </w:rPr>
        <w:t>Líbano tiene un proyecto para preparar un programa de capacitación sobre los humedales en lengua árabe para el MedWetCoast.</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Entre las actividades para intercambiar conocimientos relativos a la información y conocimientos especializados sobre los humedales cabe reseñar:</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Cinco acuerdos de hermanamiento entre sitios Ramsar en</w:t>
      </w:r>
      <w:r w:rsidR="00FB0352" w:rsidRPr="00087FBE">
        <w:rPr>
          <w:rFonts w:asciiTheme="majorHAnsi" w:hAnsiTheme="majorHAnsi" w:cs="Arial"/>
          <w:lang w:val="es-ES_tradnl"/>
        </w:rPr>
        <w:t xml:space="preserve"> el</w:t>
      </w:r>
      <w:r w:rsidRPr="00087FBE">
        <w:rPr>
          <w:rFonts w:asciiTheme="majorHAnsi" w:hAnsiTheme="majorHAnsi" w:cs="Arial"/>
          <w:lang w:val="es-ES_tradnl"/>
        </w:rPr>
        <w:t xml:space="preserve"> Japón y Australia;</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Una red entre</w:t>
      </w:r>
      <w:r w:rsidR="00FB0352" w:rsidRPr="00087FBE">
        <w:rPr>
          <w:rFonts w:asciiTheme="majorHAnsi" w:hAnsiTheme="majorHAnsi" w:cs="Arial"/>
          <w:lang w:val="es-ES_tradnl"/>
        </w:rPr>
        <w:t xml:space="preserve"> el</w:t>
      </w:r>
      <w:r w:rsidRPr="00087FBE">
        <w:rPr>
          <w:rFonts w:asciiTheme="majorHAnsi" w:hAnsiTheme="majorHAnsi" w:cs="Arial"/>
          <w:lang w:val="es-ES_tradnl"/>
        </w:rPr>
        <w:t xml:space="preserve"> Irán y Pakistán;</w:t>
      </w:r>
    </w:p>
    <w:p w:rsidR="006373A5" w:rsidRPr="00087FBE" w:rsidRDefault="007B254F"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Un proyecto para el “</w:t>
      </w:r>
      <w:r w:rsidR="006373A5" w:rsidRPr="00087FBE">
        <w:rPr>
          <w:rFonts w:asciiTheme="majorHAnsi" w:hAnsiTheme="majorHAnsi" w:cs="Arial"/>
          <w:lang w:val="es-ES_tradnl"/>
        </w:rPr>
        <w:t>Uso sostenible y protección de las turberas</w:t>
      </w:r>
      <w:r w:rsidRPr="00087FBE">
        <w:rPr>
          <w:rFonts w:asciiTheme="majorHAnsi" w:hAnsiTheme="majorHAnsi" w:cs="Arial"/>
          <w:lang w:val="es-ES_tradnl"/>
        </w:rPr>
        <w:t>”</w:t>
      </w:r>
      <w:r w:rsidR="006373A5" w:rsidRPr="00087FBE">
        <w:rPr>
          <w:rFonts w:asciiTheme="majorHAnsi" w:hAnsiTheme="majorHAnsi" w:cs="Arial"/>
          <w:lang w:val="es-ES_tradnl"/>
        </w:rPr>
        <w:t xml:space="preserve"> en </w:t>
      </w:r>
      <w:r w:rsidRPr="00087FBE">
        <w:rPr>
          <w:rFonts w:asciiTheme="majorHAnsi" w:hAnsiTheme="majorHAnsi" w:cs="Arial"/>
          <w:lang w:val="es-ES_tradnl"/>
        </w:rPr>
        <w:t xml:space="preserve">las </w:t>
      </w:r>
      <w:r w:rsidR="006373A5" w:rsidRPr="00087FBE">
        <w:rPr>
          <w:rFonts w:asciiTheme="majorHAnsi" w:hAnsiTheme="majorHAnsi" w:cs="Arial"/>
          <w:lang w:val="es-ES_tradnl"/>
        </w:rPr>
        <w:t>Filipinas, Indonesia, Malasia y Viet Nam;</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lastRenderedPageBreak/>
        <w:t xml:space="preserve">La iniciativa sobre el Triángulo de Coral que incluye a </w:t>
      </w:r>
      <w:r w:rsidR="007B254F" w:rsidRPr="00087FBE">
        <w:rPr>
          <w:rFonts w:asciiTheme="majorHAnsi" w:hAnsiTheme="majorHAnsi" w:cs="Arial"/>
          <w:lang w:val="es-ES_tradnl"/>
        </w:rPr>
        <w:t xml:space="preserve">las </w:t>
      </w:r>
      <w:r w:rsidRPr="00087FBE">
        <w:rPr>
          <w:rFonts w:asciiTheme="majorHAnsi" w:hAnsiTheme="majorHAnsi" w:cs="Arial"/>
          <w:lang w:val="es-ES_tradnl"/>
        </w:rPr>
        <w:t xml:space="preserve">Filipinas, Indonesia, </w:t>
      </w:r>
      <w:r w:rsidR="007B254F" w:rsidRPr="00087FBE">
        <w:rPr>
          <w:rFonts w:asciiTheme="majorHAnsi" w:hAnsiTheme="majorHAnsi" w:cs="Arial"/>
          <w:lang w:val="es-ES_tradnl"/>
        </w:rPr>
        <w:t xml:space="preserve">las </w:t>
      </w:r>
      <w:r w:rsidRPr="00087FBE">
        <w:rPr>
          <w:rFonts w:asciiTheme="majorHAnsi" w:hAnsiTheme="majorHAnsi" w:cs="Arial"/>
          <w:lang w:val="es-ES_tradnl"/>
        </w:rPr>
        <w:t>Islas Salomón, Malasia, Papua Nueva Guinea y Timor-Leste</w:t>
      </w:r>
    </w:p>
    <w:p w:rsidR="006373A5" w:rsidRPr="00087FBE" w:rsidRDefault="007B254F"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La R</w:t>
      </w:r>
      <w:r w:rsidR="006373A5" w:rsidRPr="00087FBE">
        <w:rPr>
          <w:rFonts w:asciiTheme="majorHAnsi" w:hAnsiTheme="majorHAnsi" w:cs="Arial"/>
          <w:lang w:val="es-ES_tradnl"/>
        </w:rPr>
        <w:t xml:space="preserve">ed universitaria para la investigación y capacitación </w:t>
      </w:r>
      <w:r w:rsidRPr="00087FBE">
        <w:rPr>
          <w:rFonts w:asciiTheme="majorHAnsi" w:hAnsiTheme="majorHAnsi" w:cs="Arial"/>
          <w:lang w:val="es-ES_tradnl"/>
        </w:rPr>
        <w:t>sobre</w:t>
      </w:r>
      <w:r w:rsidR="006373A5" w:rsidRPr="00087FBE">
        <w:rPr>
          <w:rFonts w:asciiTheme="majorHAnsi" w:hAnsiTheme="majorHAnsi" w:cs="Arial"/>
          <w:lang w:val="es-ES_tradnl"/>
        </w:rPr>
        <w:t xml:space="preserve"> los humedales en la región del Mekong en Tailandia</w:t>
      </w:r>
    </w:p>
    <w:p w:rsidR="006373A5" w:rsidRPr="00087FBE" w:rsidRDefault="007B254F"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La Red i</w:t>
      </w:r>
      <w:r w:rsidR="006373A5" w:rsidRPr="00087FBE">
        <w:rPr>
          <w:rFonts w:asciiTheme="majorHAnsi" w:hAnsiTheme="majorHAnsi" w:cs="Arial"/>
          <w:lang w:val="es-ES_tradnl"/>
        </w:rPr>
        <w:t>nternacional para el agua y el ecosistema en los arrozales en Tailandia</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 xml:space="preserve">En el marco del acuerdo bilateral entre Colombia y Ecuador, las actividades se centran en </w:t>
      </w:r>
      <w:r w:rsidR="007B254F" w:rsidRPr="00087FBE">
        <w:rPr>
          <w:rFonts w:ascii="Calibri" w:hAnsi="Calibri"/>
          <w:snapToGrid w:val="0"/>
          <w:lang w:val="es-ES_tradnl"/>
        </w:rPr>
        <w:t>en las cuencas de los ríos Mira, Santiago, Cayapas y Mataje</w:t>
      </w:r>
      <w:r w:rsidRPr="00087FBE">
        <w:rPr>
          <w:rFonts w:asciiTheme="majorHAnsi" w:hAnsiTheme="majorHAnsi" w:cs="Arial"/>
          <w:lang w:val="es-ES_tradnl"/>
        </w:rPr>
        <w:t>.</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Chile y México tienen un acuerdo bilateral para intercambiar experiencias e información sobre</w:t>
      </w:r>
      <w:r w:rsidR="007B254F" w:rsidRPr="00087FBE">
        <w:rPr>
          <w:rFonts w:asciiTheme="majorHAnsi" w:hAnsiTheme="majorHAnsi" w:cs="Arial"/>
          <w:lang w:val="es-ES_tradnl"/>
        </w:rPr>
        <w:t xml:space="preserve"> los</w:t>
      </w:r>
      <w:r w:rsidRPr="00087FBE">
        <w:rPr>
          <w:rFonts w:asciiTheme="majorHAnsi" w:hAnsiTheme="majorHAnsi" w:cs="Arial"/>
          <w:lang w:val="es-ES_tradnl"/>
        </w:rPr>
        <w:t xml:space="preserve"> sitios Ramsar.</w:t>
      </w:r>
    </w:p>
    <w:p w:rsidR="006373A5" w:rsidRPr="00087FBE" w:rsidDel="00202EFB" w:rsidRDefault="006373A5" w:rsidP="006373A5">
      <w:pPr>
        <w:spacing w:after="0" w:line="240" w:lineRule="auto"/>
        <w:rPr>
          <w:rFonts w:asciiTheme="majorHAnsi" w:hAnsiTheme="majorHAnsi" w:cs="Arial"/>
          <w:lang w:val="es-ES_tradnl"/>
        </w:rPr>
      </w:pP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spacing w:after="0" w:line="240" w:lineRule="auto"/>
        <w:rPr>
          <w:rFonts w:asciiTheme="majorHAnsi" w:hAnsiTheme="majorHAnsi" w:cs="Arial"/>
          <w:b/>
          <w:sz w:val="24"/>
          <w:szCs w:val="24"/>
          <w:lang w:val="es-ES_tradnl"/>
        </w:rPr>
      </w:pPr>
      <w:r w:rsidRPr="00087FBE">
        <w:rPr>
          <w:rFonts w:asciiTheme="majorHAnsi" w:hAnsiTheme="majorHAnsi" w:cs="Arial"/>
          <w:b/>
          <w:sz w:val="24"/>
          <w:szCs w:val="24"/>
          <w:lang w:val="es-ES_tradnl"/>
        </w:rPr>
        <w:t>La ejecución comunicada en los Informes Nacionales</w:t>
      </w:r>
    </w:p>
    <w:p w:rsidR="006373A5" w:rsidRPr="00087FBE" w:rsidRDefault="006373A5" w:rsidP="006373A5">
      <w:pPr>
        <w:spacing w:after="0" w:line="240" w:lineRule="auto"/>
        <w:rPr>
          <w:rFonts w:asciiTheme="majorHAnsi" w:hAnsiTheme="majorHAnsi" w:cs="Arial"/>
          <w:b/>
          <w:lang w:val="es-ES_tradnl"/>
        </w:rPr>
      </w:pPr>
    </w:p>
    <w:p w:rsidR="006373A5" w:rsidRPr="00087FBE" w:rsidRDefault="006373A5" w:rsidP="006373A5">
      <w:pPr>
        <w:spacing w:after="0" w:line="240" w:lineRule="auto"/>
        <w:rPr>
          <w:rFonts w:asciiTheme="majorHAnsi" w:hAnsiTheme="majorHAnsi" w:cs="Arial"/>
          <w:b/>
          <w:lang w:val="es-ES_tradnl"/>
        </w:rPr>
      </w:pPr>
      <w:r w:rsidRPr="00087FBE">
        <w:rPr>
          <w:rFonts w:asciiTheme="majorHAnsi" w:hAnsiTheme="majorHAnsi" w:cs="Arial"/>
          <w:b/>
          <w:lang w:val="es-ES_tradnl"/>
        </w:rPr>
        <w:t>Mecanismos para garantizar la capacidad para las actividades de CECoP</w:t>
      </w:r>
    </w:p>
    <w:p w:rsidR="006373A5" w:rsidRPr="00087FBE" w:rsidRDefault="006373A5" w:rsidP="006373A5">
      <w:pPr>
        <w:spacing w:after="0" w:line="240" w:lineRule="auto"/>
        <w:rPr>
          <w:rFonts w:asciiTheme="majorHAnsi" w:hAnsiTheme="majorHAnsi" w:cs="Arial"/>
          <w:b/>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 xml:space="preserve">En la Convención se estipula que los principales contactos de las Partes a escala nacional son los Coordinadores Nacionales (CN) de las Autoridades Administrativas, los CN </w:t>
      </w:r>
      <w:r w:rsidR="0041709D" w:rsidRPr="00087FBE">
        <w:rPr>
          <w:rFonts w:asciiTheme="majorHAnsi" w:hAnsiTheme="majorHAnsi" w:cs="Arial"/>
          <w:lang w:val="es-ES_tradnl"/>
        </w:rPr>
        <w:t>de CEC</w:t>
      </w:r>
      <w:r w:rsidRPr="00087FBE">
        <w:rPr>
          <w:rFonts w:asciiTheme="majorHAnsi" w:hAnsiTheme="majorHAnsi" w:cs="Arial"/>
          <w:lang w:val="es-ES_tradnl"/>
        </w:rPr>
        <w:t xml:space="preserve">oP (tanto gubernamentales como </w:t>
      </w:r>
      <w:r w:rsidR="00E60F11" w:rsidRPr="00087FBE">
        <w:rPr>
          <w:rFonts w:asciiTheme="majorHAnsi" w:hAnsiTheme="majorHAnsi" w:cs="Arial"/>
          <w:lang w:val="es-ES_tradnl"/>
        </w:rPr>
        <w:t>no gubernamentales</w:t>
      </w:r>
      <w:r w:rsidRPr="00087FBE">
        <w:rPr>
          <w:rFonts w:asciiTheme="majorHAnsi" w:hAnsiTheme="majorHAnsi" w:cs="Arial"/>
          <w:lang w:val="es-ES_tradnl"/>
        </w:rPr>
        <w:t xml:space="preserve">) y los CN del GECT. </w:t>
      </w:r>
      <w:r w:rsidRPr="00087FBE">
        <w:rPr>
          <w:rFonts w:asciiTheme="majorHAnsi" w:hAnsiTheme="majorHAnsi" w:cs="Times New Roman"/>
          <w:szCs w:val="24"/>
          <w:lang w:val="es-ES_tradnl" w:eastAsia="fr-FR"/>
        </w:rPr>
        <w:t xml:space="preserve">Esos contactos tienen funciones que han quedado adecuadamente definidas, documentadas y compartidas con las Partes, y resultan decisivos para la </w:t>
      </w:r>
      <w:r w:rsidR="00A13793" w:rsidRPr="00087FBE">
        <w:rPr>
          <w:rFonts w:asciiTheme="majorHAnsi" w:hAnsiTheme="majorHAnsi" w:cs="Times New Roman"/>
          <w:szCs w:val="24"/>
          <w:lang w:val="es-ES_tradnl" w:eastAsia="fr-FR"/>
        </w:rPr>
        <w:t>interacción</w:t>
      </w:r>
      <w:r w:rsidRPr="00087FBE">
        <w:rPr>
          <w:rFonts w:asciiTheme="majorHAnsi" w:hAnsiTheme="majorHAnsi" w:cs="Times New Roman"/>
          <w:szCs w:val="24"/>
          <w:lang w:val="es-ES_tradnl" w:eastAsia="fr-FR"/>
        </w:rPr>
        <w:t xml:space="preserve"> de la Secretaría con las Partes, </w:t>
      </w:r>
      <w:r w:rsidR="00A13793" w:rsidRPr="00087FBE">
        <w:rPr>
          <w:rFonts w:asciiTheme="majorHAnsi" w:hAnsiTheme="majorHAnsi" w:cs="Times New Roman"/>
          <w:szCs w:val="24"/>
          <w:lang w:val="es-ES_tradnl" w:eastAsia="fr-FR"/>
        </w:rPr>
        <w:t>así</w:t>
      </w:r>
      <w:r w:rsidRPr="00087FBE">
        <w:rPr>
          <w:rFonts w:asciiTheme="majorHAnsi" w:hAnsiTheme="majorHAnsi" w:cs="Times New Roman"/>
          <w:szCs w:val="24"/>
          <w:lang w:val="es-ES_tradnl" w:eastAsia="fr-FR"/>
        </w:rPr>
        <w:t xml:space="preserve"> como dentro de cada una de las Partes y entre ellas. </w:t>
      </w:r>
    </w:p>
    <w:p w:rsidR="006373A5" w:rsidRPr="00087FBE" w:rsidRDefault="006373A5" w:rsidP="006373A5">
      <w:pPr>
        <w:pStyle w:val="ListParagraph"/>
        <w:spacing w:after="0" w:line="240" w:lineRule="auto"/>
        <w:ind w:left="426"/>
        <w:rPr>
          <w:rFonts w:asciiTheme="majorHAnsi" w:hAnsiTheme="majorHAnsi" w:cs="Arial"/>
          <w:lang w:val="es-ES_tradnl"/>
        </w:rPr>
      </w:pPr>
    </w:p>
    <w:p w:rsidR="006373A5" w:rsidRPr="00087FBE" w:rsidRDefault="00E8131F" w:rsidP="006373A5">
      <w:pPr>
        <w:pStyle w:val="ListParagraph"/>
        <w:numPr>
          <w:ilvl w:val="0"/>
          <w:numId w:val="1"/>
        </w:numPr>
        <w:spacing w:after="0" w:line="240" w:lineRule="auto"/>
        <w:ind w:left="426" w:hanging="426"/>
        <w:rPr>
          <w:rFonts w:asciiTheme="majorHAnsi" w:hAnsiTheme="majorHAnsi" w:cs="Arial"/>
          <w:lang w:val="es-ES_tradnl"/>
        </w:rPr>
      </w:pPr>
      <w:r>
        <w:rPr>
          <w:rFonts w:asciiTheme="majorHAnsi" w:hAnsiTheme="majorHAnsi" w:cs="Arial"/>
          <w:noProof/>
          <w:lang w:val="en-US"/>
        </w:rPr>
        <w:pict>
          <v:shapetype id="_x0000_t202" coordsize="21600,21600" o:spt="202" path="m,l,21600r21600,l21600,xe">
            <v:stroke joinstyle="miter"/>
            <v:path gradientshapeok="t" o:connecttype="rect"/>
          </v:shapetype>
          <v:shape id="_x0000_s1027" type="#_x0000_t202" style="position:absolute;left:0;text-align:left;margin-left:350.5pt;margin-top:85.6pt;width:76.75pt;height:26.9pt;z-index:-251654144;mso-wrap-distance-left:2.85pt;mso-wrap-distance-right:2.85pt;mso-position-vertical:absolute" wrapcoords="-212 0 -212 21000 21600 21000 21600 0 -212 0" stroked="f">
            <v:textbox>
              <w:txbxContent>
                <w:p w:rsidR="00E8131F" w:rsidRPr="00E8131F" w:rsidRDefault="00E8131F">
                  <w:r w:rsidRPr="00E8131F">
                    <w:rPr>
                      <w:rFonts w:cs="Arial"/>
                      <w:lang w:val="es-ES_tradnl"/>
                    </w:rPr>
                    <w:t>CN AA</w:t>
                  </w:r>
                </w:p>
              </w:txbxContent>
            </v:textbox>
            <w10:wrap type="tight"/>
          </v:shape>
        </w:pict>
      </w:r>
      <w:r w:rsidR="006373A5" w:rsidRPr="00087FBE">
        <w:rPr>
          <w:rFonts w:asciiTheme="majorHAnsi" w:hAnsiTheme="majorHAnsi" w:cs="Arial"/>
          <w:lang w:val="es-ES_tradnl"/>
        </w:rPr>
        <w:t xml:space="preserve">En la Figura 1 </w:t>
      </w:r>
      <w:r w:rsidR="006373A5" w:rsidRPr="00087FBE">
        <w:rPr>
          <w:rFonts w:asciiTheme="majorHAnsi" w:hAnsiTheme="majorHAnsi" w:cs="Arial"/>
          <w:i/>
          <w:lang w:val="es-ES_tradnl"/>
        </w:rPr>
        <w:t>infra</w:t>
      </w:r>
      <w:r w:rsidR="006373A5" w:rsidRPr="00087FBE">
        <w:rPr>
          <w:rFonts w:asciiTheme="majorHAnsi" w:hAnsiTheme="majorHAnsi" w:cs="Times New Roman"/>
          <w:szCs w:val="24"/>
          <w:lang w:val="es-ES_tradnl" w:eastAsia="fr-FR"/>
        </w:rPr>
        <w:t xml:space="preserve"> se muestran los porcentajes correspondientes a los distintos tipos de coordinadores actualmente designados </w:t>
      </w:r>
      <w:r w:rsidR="009A1236" w:rsidRPr="00087FBE">
        <w:rPr>
          <w:rFonts w:asciiTheme="majorHAnsi" w:hAnsiTheme="majorHAnsi" w:cs="Times New Roman"/>
          <w:szCs w:val="24"/>
          <w:lang w:val="es-ES_tradnl" w:eastAsia="fr-FR"/>
        </w:rPr>
        <w:t>a escala</w:t>
      </w:r>
      <w:r w:rsidR="006373A5" w:rsidRPr="00087FBE">
        <w:rPr>
          <w:rFonts w:asciiTheme="majorHAnsi" w:hAnsiTheme="majorHAnsi" w:cs="Times New Roman"/>
          <w:szCs w:val="24"/>
          <w:lang w:val="es-ES_tradnl" w:eastAsia="fr-FR"/>
        </w:rPr>
        <w:t xml:space="preserve"> mundial</w:t>
      </w:r>
      <w:r w:rsidR="006373A5" w:rsidRPr="00087FBE">
        <w:rPr>
          <w:rFonts w:asciiTheme="majorHAnsi" w:hAnsiTheme="majorHAnsi" w:cs="Arial"/>
          <w:lang w:val="es-ES_tradnl"/>
        </w:rPr>
        <w:t xml:space="preserve">. Los resultados son similares a los de la COP11, pero con un ligero aumento de las designaciones </w:t>
      </w:r>
      <w:r w:rsidR="00D04FB2" w:rsidRPr="00087FBE">
        <w:rPr>
          <w:rFonts w:asciiTheme="majorHAnsi" w:hAnsiTheme="majorHAnsi" w:cs="Arial"/>
          <w:lang w:val="es-ES_tradnl"/>
        </w:rPr>
        <w:t xml:space="preserve">de Coordinadores </w:t>
      </w:r>
      <w:r w:rsidR="006373A5" w:rsidRPr="00087FBE">
        <w:rPr>
          <w:rFonts w:asciiTheme="majorHAnsi" w:hAnsiTheme="majorHAnsi" w:cs="Arial"/>
          <w:lang w:val="es-ES_tradnl"/>
        </w:rPr>
        <w:t>gubernamentales de CECoP</w:t>
      </w:r>
      <w:r w:rsidR="00D04FB2" w:rsidRPr="00087FBE">
        <w:rPr>
          <w:rFonts w:asciiTheme="majorHAnsi" w:hAnsiTheme="majorHAnsi" w:cs="Arial"/>
          <w:lang w:val="es-ES_tradnl"/>
        </w:rPr>
        <w:t>,</w:t>
      </w:r>
      <w:r w:rsidR="006373A5" w:rsidRPr="00087FBE">
        <w:rPr>
          <w:rFonts w:asciiTheme="majorHAnsi" w:hAnsiTheme="majorHAnsi" w:cs="Arial"/>
          <w:lang w:val="es-ES_tradnl"/>
        </w:rPr>
        <w:t xml:space="preserve"> que han pasado del 74 al 80 </w:t>
      </w:r>
      <w:r w:rsidR="00E60F11" w:rsidRPr="00087FBE">
        <w:rPr>
          <w:rFonts w:asciiTheme="majorHAnsi" w:hAnsiTheme="majorHAnsi" w:cs="Arial"/>
          <w:lang w:val="es-ES_tradnl"/>
        </w:rPr>
        <w:t>%</w:t>
      </w:r>
      <w:r w:rsidR="006373A5" w:rsidRPr="00087FBE">
        <w:rPr>
          <w:rFonts w:asciiTheme="majorHAnsi" w:hAnsiTheme="majorHAnsi" w:cs="Arial"/>
          <w:lang w:val="es-ES_tradnl"/>
        </w:rPr>
        <w:t xml:space="preserve">. </w:t>
      </w:r>
      <w:r w:rsidR="006373A5" w:rsidRPr="00087FBE">
        <w:rPr>
          <w:rFonts w:asciiTheme="majorHAnsi" w:hAnsiTheme="majorHAnsi" w:cs="Times New Roman"/>
          <w:szCs w:val="24"/>
          <w:lang w:val="es-ES_tradnl" w:eastAsia="fr-FR"/>
        </w:rPr>
        <w:t>En</w:t>
      </w:r>
      <w:r w:rsidR="00D04FB2" w:rsidRPr="00087FBE">
        <w:rPr>
          <w:rFonts w:asciiTheme="majorHAnsi" w:hAnsiTheme="majorHAnsi" w:cs="Times New Roman"/>
          <w:szCs w:val="24"/>
          <w:lang w:val="es-ES_tradnl" w:eastAsia="fr-FR"/>
        </w:rPr>
        <w:t xml:space="preserve"> general, las designaciones de C</w:t>
      </w:r>
      <w:r w:rsidR="006373A5" w:rsidRPr="00087FBE">
        <w:rPr>
          <w:rFonts w:asciiTheme="majorHAnsi" w:hAnsiTheme="majorHAnsi" w:cs="Times New Roman"/>
          <w:szCs w:val="24"/>
          <w:lang w:val="es-ES_tradnl" w:eastAsia="fr-FR"/>
        </w:rPr>
        <w:t>oordinadores de CECoP se mantienen por de</w:t>
      </w:r>
      <w:r w:rsidR="00D04FB2" w:rsidRPr="00087FBE">
        <w:rPr>
          <w:rFonts w:asciiTheme="majorHAnsi" w:hAnsiTheme="majorHAnsi" w:cs="Times New Roman"/>
          <w:szCs w:val="24"/>
          <w:lang w:val="es-ES_tradnl" w:eastAsia="fr-FR"/>
        </w:rPr>
        <w:t>bajo de las correspondientes a C</w:t>
      </w:r>
      <w:r w:rsidR="006373A5" w:rsidRPr="00087FBE">
        <w:rPr>
          <w:rFonts w:asciiTheme="majorHAnsi" w:hAnsiTheme="majorHAnsi" w:cs="Times New Roman"/>
          <w:szCs w:val="24"/>
          <w:lang w:val="es-ES_tradnl" w:eastAsia="fr-FR"/>
        </w:rPr>
        <w:t xml:space="preserve">oordinadores del GECT y Coordinadores Nacionales de las Autoridades Administrativas, lo cual </w:t>
      </w:r>
      <w:r w:rsidR="00A13793" w:rsidRPr="00087FBE">
        <w:rPr>
          <w:rFonts w:asciiTheme="majorHAnsi" w:hAnsiTheme="majorHAnsi" w:cs="Times New Roman"/>
          <w:szCs w:val="24"/>
          <w:lang w:val="es-ES_tradnl" w:eastAsia="fr-FR"/>
        </w:rPr>
        <w:t>podría</w:t>
      </w:r>
      <w:r w:rsidR="006373A5" w:rsidRPr="00087FBE">
        <w:rPr>
          <w:rFonts w:asciiTheme="majorHAnsi" w:hAnsiTheme="majorHAnsi" w:cs="Times New Roman"/>
          <w:szCs w:val="24"/>
          <w:lang w:val="es-ES_tradnl" w:eastAsia="fr-FR"/>
        </w:rPr>
        <w:t xml:space="preserve"> ser un reflejo del </w:t>
      </w:r>
      <w:r w:rsidR="00A13793" w:rsidRPr="00087FBE">
        <w:rPr>
          <w:rFonts w:asciiTheme="majorHAnsi" w:hAnsiTheme="majorHAnsi" w:cs="Times New Roman"/>
          <w:szCs w:val="24"/>
          <w:lang w:val="es-ES_tradnl" w:eastAsia="fr-FR"/>
        </w:rPr>
        <w:t xml:space="preserve">hincapié </w:t>
      </w:r>
      <w:r w:rsidR="006373A5" w:rsidRPr="00087FBE">
        <w:rPr>
          <w:rFonts w:asciiTheme="majorHAnsi" w:hAnsiTheme="majorHAnsi" w:cs="Times New Roman"/>
          <w:szCs w:val="24"/>
          <w:lang w:val="es-ES_tradnl" w:eastAsia="fr-FR"/>
        </w:rPr>
        <w:t xml:space="preserve">de la Convención en los aspectos </w:t>
      </w:r>
      <w:r w:rsidR="00A13793" w:rsidRPr="00087FBE">
        <w:rPr>
          <w:rFonts w:asciiTheme="majorHAnsi" w:hAnsiTheme="majorHAnsi" w:cs="Times New Roman"/>
          <w:szCs w:val="24"/>
          <w:lang w:val="es-ES_tradnl" w:eastAsia="fr-FR"/>
        </w:rPr>
        <w:t>científicos</w:t>
      </w:r>
      <w:r w:rsidR="006373A5" w:rsidRPr="00087FBE">
        <w:rPr>
          <w:rFonts w:asciiTheme="majorHAnsi" w:hAnsiTheme="majorHAnsi" w:cs="Times New Roman"/>
          <w:szCs w:val="24"/>
          <w:lang w:val="es-ES_tradnl" w:eastAsia="fr-FR"/>
        </w:rPr>
        <w:t xml:space="preserve"> y </w:t>
      </w:r>
      <w:r w:rsidR="00A13793" w:rsidRPr="00087FBE">
        <w:rPr>
          <w:rFonts w:asciiTheme="majorHAnsi" w:hAnsiTheme="majorHAnsi" w:cs="Times New Roman"/>
          <w:szCs w:val="24"/>
          <w:lang w:val="es-ES_tradnl" w:eastAsia="fr-FR"/>
        </w:rPr>
        <w:t>técnicos</w:t>
      </w:r>
      <w:r w:rsidR="006373A5" w:rsidRPr="00087FBE">
        <w:rPr>
          <w:rFonts w:asciiTheme="majorHAnsi" w:hAnsiTheme="majorHAnsi" w:cs="Times New Roman"/>
          <w:szCs w:val="24"/>
          <w:lang w:val="es-ES_tradnl" w:eastAsia="fr-FR"/>
        </w:rPr>
        <w:t xml:space="preserve"> y la experiencia conexa adquirida con las Autoridades Administrativas</w:t>
      </w:r>
      <w:r w:rsidR="006373A5" w:rsidRPr="00087FBE">
        <w:rPr>
          <w:rFonts w:asciiTheme="majorHAnsi" w:hAnsiTheme="majorHAnsi" w:cs="Arial"/>
          <w:lang w:val="es-ES_tradnl"/>
        </w:rPr>
        <w:t xml:space="preserve"> (AA).</w:t>
      </w:r>
    </w:p>
    <w:p w:rsidR="006373A5" w:rsidRPr="00087FBE" w:rsidDel="00912FF6" w:rsidRDefault="006373A5" w:rsidP="00F60119">
      <w:pPr>
        <w:spacing w:beforeLines="1" w:afterLines="1" w:line="240" w:lineRule="auto"/>
        <w:ind w:left="720"/>
        <w:rPr>
          <w:rFonts w:asciiTheme="majorHAnsi" w:hAnsiTheme="majorHAnsi" w:cs="Arial"/>
          <w:lang w:val="es-ES_tradnl"/>
        </w:rPr>
      </w:pPr>
    </w:p>
    <w:p w:rsidR="006373A5" w:rsidRPr="00087FBE" w:rsidRDefault="00E8131F" w:rsidP="006373A5">
      <w:pPr>
        <w:spacing w:after="0" w:line="240" w:lineRule="auto"/>
        <w:rPr>
          <w:rFonts w:asciiTheme="majorHAnsi" w:hAnsiTheme="majorHAnsi" w:cs="Arial"/>
          <w:highlight w:val="yellow"/>
          <w:lang w:val="es-ES_tradnl"/>
        </w:rPr>
      </w:pPr>
      <w:r>
        <w:rPr>
          <w:noProof/>
        </w:rPr>
        <w:pict>
          <v:shape id="_x0000_s1026" type="#_x0000_t202" style="position:absolute;margin-left:49.7pt;margin-top:183.8pt;width:42.6pt;height:20.65pt;z-index:251661312;mso-wrap-style:none;mso-position-horizontal-relative:text;mso-position-vertical-relative:text" stroked="f">
            <v:textbox style="mso-fit-shape-to-text:t">
              <w:txbxContent>
                <w:p w:rsidR="00E8131F" w:rsidRPr="00E8131F" w:rsidRDefault="00E8131F" w:rsidP="001B6C1B">
                  <w:pPr>
                    <w:spacing w:after="0" w:line="240" w:lineRule="auto"/>
                    <w:rPr>
                      <w:rFonts w:cs="Arial"/>
                      <w:lang w:val="es-ES_tradnl"/>
                    </w:rPr>
                  </w:pPr>
                  <w:r w:rsidRPr="00E8131F">
                    <w:rPr>
                      <w:rFonts w:cs="Arial"/>
                      <w:lang w:val="es-ES_tradnl"/>
                    </w:rPr>
                    <w:t>CN AA</w:t>
                  </w:r>
                </w:p>
              </w:txbxContent>
            </v:textbox>
          </v:shape>
        </w:pict>
      </w:r>
      <w:r>
        <w:rPr>
          <w:noProof/>
          <w:lang w:val="en-US"/>
        </w:rPr>
        <w:pict>
          <v:shape id="_x0000_s1028" type="#_x0000_t202" style="position:absolute;margin-left:115.4pt;margin-top:183.8pt;width:67.65pt;height:20.65pt;z-index:251663360;mso-wrap-style:none;mso-position-horizontal-relative:text;mso-position-vertical-relative:text" stroked="f">
            <v:textbox style="mso-fit-shape-to-text:t">
              <w:txbxContent>
                <w:p w:rsidR="00E8131F" w:rsidRPr="00E8131F" w:rsidRDefault="00E8131F" w:rsidP="001B6C1B">
                  <w:pPr>
                    <w:spacing w:after="0" w:line="240" w:lineRule="auto"/>
                    <w:rPr>
                      <w:rFonts w:cs="Arial"/>
                      <w:lang w:val="es-ES_tradnl"/>
                    </w:rPr>
                  </w:pPr>
                  <w:r w:rsidRPr="00E8131F">
                    <w:rPr>
                      <w:rFonts w:cs="Arial"/>
                      <w:lang w:val="es-ES_tradnl"/>
                    </w:rPr>
                    <w:t>CECoP-Gob.</w:t>
                  </w:r>
                </w:p>
              </w:txbxContent>
            </v:textbox>
          </v:shape>
        </w:pict>
      </w:r>
      <w:r>
        <w:rPr>
          <w:noProof/>
          <w:lang w:val="en-US"/>
        </w:rPr>
        <w:pict>
          <v:shape id="_x0000_s1029" type="#_x0000_t202" style="position:absolute;margin-left:188.85pt;margin-top:183.8pt;width:70.2pt;height:20.65pt;z-index:251664384;mso-wrap-style:none;mso-position-horizontal-relative:text;mso-position-vertical-relative:text" stroked="f">
            <v:textbox style="mso-fit-shape-to-text:t">
              <w:txbxContent>
                <w:p w:rsidR="00E8131F" w:rsidRPr="00E8131F" w:rsidRDefault="00E8131F" w:rsidP="001B6C1B">
                  <w:pPr>
                    <w:spacing w:after="0" w:line="240" w:lineRule="auto"/>
                    <w:rPr>
                      <w:rFonts w:cs="Arial"/>
                      <w:lang w:val="es-ES_tradnl"/>
                    </w:rPr>
                  </w:pPr>
                  <w:r w:rsidRPr="00E8131F">
                    <w:rPr>
                      <w:rFonts w:cs="Arial"/>
                      <w:lang w:val="es-ES_tradnl"/>
                    </w:rPr>
                    <w:t>CECoP- ONG</w:t>
                  </w:r>
                </w:p>
              </w:txbxContent>
            </v:textbox>
          </v:shape>
        </w:pict>
      </w:r>
      <w:r>
        <w:rPr>
          <w:noProof/>
          <w:lang w:val="en-US"/>
        </w:rPr>
        <w:pict>
          <v:shape id="_x0000_s1030" type="#_x0000_t202" style="position:absolute;margin-left:280.15pt;margin-top:184.6pt;width:37.95pt;height:25.4pt;z-index:251665408;mso-wrap-style:none;mso-position-horizontal-relative:text;mso-position-vertical-relative:text" stroked="f">
            <v:textbox>
              <w:txbxContent>
                <w:p w:rsidR="00E8131F" w:rsidRPr="00E8131F" w:rsidRDefault="00E8131F" w:rsidP="00E8131F">
                  <w:r w:rsidRPr="00E8131F">
                    <w:rPr>
                      <w:rFonts w:cs="Arial"/>
                      <w:lang w:val="es-ES_tradnl"/>
                    </w:rPr>
                    <w:t>GECT</w:t>
                  </w:r>
                </w:p>
              </w:txbxContent>
            </v:textbox>
          </v:shape>
        </w:pict>
      </w:r>
      <w:r w:rsidR="006373A5" w:rsidRPr="00087FBE">
        <w:rPr>
          <w:rFonts w:asciiTheme="majorHAnsi" w:hAnsiTheme="majorHAnsi"/>
          <w:noProof/>
          <w:lang w:val="en-US"/>
        </w:rPr>
        <w:drawing>
          <wp:inline distT="0" distB="0" distL="0" distR="0">
            <wp:extent cx="5087340" cy="2614617"/>
            <wp:effectExtent l="19050" t="0" r="1806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73A5" w:rsidRPr="00087FBE" w:rsidRDefault="006373A5" w:rsidP="006373A5">
      <w:pPr>
        <w:spacing w:after="0" w:line="240" w:lineRule="auto"/>
        <w:rPr>
          <w:rFonts w:asciiTheme="majorHAnsi" w:hAnsiTheme="majorHAnsi" w:cs="Arial"/>
          <w:b/>
          <w:lang w:val="es-ES_tradnl"/>
        </w:rPr>
      </w:pPr>
      <w:r w:rsidRPr="00087FBE">
        <w:rPr>
          <w:rFonts w:asciiTheme="majorHAnsi" w:hAnsiTheme="majorHAnsi" w:cs="Arial"/>
          <w:b/>
          <w:lang w:val="es-ES_tradnl"/>
        </w:rPr>
        <w:t>Figura 1: Porcentaje de Partes con Coordinadores Nacionales designados</w:t>
      </w:r>
    </w:p>
    <w:p w:rsidR="007667C3" w:rsidRPr="00087FBE" w:rsidRDefault="007667C3" w:rsidP="006373A5">
      <w:pPr>
        <w:spacing w:after="0" w:line="240" w:lineRule="auto"/>
        <w:rPr>
          <w:rFonts w:asciiTheme="majorHAnsi" w:hAnsiTheme="majorHAnsi" w:cs="Arial"/>
          <w:b/>
          <w:lang w:val="es-ES_tradnl"/>
        </w:rPr>
      </w:pPr>
    </w:p>
    <w:p w:rsidR="006373A5" w:rsidRPr="00087FBE" w:rsidRDefault="006373A5" w:rsidP="006373A5">
      <w:pPr>
        <w:spacing w:after="0" w:line="240" w:lineRule="auto"/>
        <w:rPr>
          <w:rFonts w:asciiTheme="majorHAnsi" w:hAnsiTheme="majorHAnsi" w:cs="Arial"/>
          <w:highlight w:val="yellow"/>
          <w:lang w:val="es-ES_tradnl"/>
        </w:rPr>
      </w:pPr>
    </w:p>
    <w:p w:rsidR="006373A5" w:rsidRPr="00087FBE" w:rsidRDefault="006373A5" w:rsidP="006373A5">
      <w:pPr>
        <w:spacing w:after="0" w:line="240" w:lineRule="auto"/>
        <w:rPr>
          <w:rFonts w:asciiTheme="majorHAnsi" w:hAnsiTheme="majorHAnsi" w:cs="Arial"/>
          <w:highlight w:val="yellow"/>
          <w:lang w:val="es-ES_tradnl"/>
        </w:rPr>
      </w:pPr>
    </w:p>
    <w:p w:rsidR="006373A5" w:rsidRPr="00087FBE" w:rsidRDefault="007667C3"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lastRenderedPageBreak/>
        <w:t xml:space="preserve">Las situaciones en las </w:t>
      </w:r>
      <w:r w:rsidR="00AC7E54" w:rsidRPr="00087FBE">
        <w:rPr>
          <w:rFonts w:asciiTheme="majorHAnsi" w:hAnsiTheme="majorHAnsi" w:cs="Arial"/>
          <w:lang w:val="es-ES_tradnl"/>
        </w:rPr>
        <w:t>que una persona desempeña</w:t>
      </w:r>
      <w:r w:rsidR="006373A5" w:rsidRPr="00087FBE">
        <w:rPr>
          <w:rFonts w:asciiTheme="majorHAnsi" w:hAnsiTheme="majorHAnsi" w:cs="Arial"/>
          <w:lang w:val="es-ES_tradnl"/>
        </w:rPr>
        <w:t xml:space="preserve"> más de una función de Coordinador Nacional</w:t>
      </w:r>
      <w:r w:rsidRPr="00087FBE">
        <w:rPr>
          <w:rFonts w:asciiTheme="majorHAnsi" w:hAnsiTheme="majorHAnsi" w:cs="Arial"/>
          <w:lang w:val="es-ES_tradnl"/>
        </w:rPr>
        <w:t xml:space="preserve"> siguen </w:t>
      </w:r>
      <w:r w:rsidR="006373A5" w:rsidRPr="00087FBE">
        <w:rPr>
          <w:rFonts w:asciiTheme="majorHAnsi" w:hAnsiTheme="majorHAnsi" w:cs="Arial"/>
          <w:lang w:val="es-ES_tradnl"/>
        </w:rPr>
        <w:t xml:space="preserve">a niveles similares a los comunicados en la COP11. </w:t>
      </w:r>
      <w:r w:rsidR="00AC7E54" w:rsidRPr="00087FBE">
        <w:rPr>
          <w:rFonts w:asciiTheme="majorHAnsi" w:hAnsiTheme="majorHAnsi" w:cs="Arial"/>
          <w:lang w:val="es-ES_tradnl"/>
        </w:rPr>
        <w:t>En el caso de</w:t>
      </w:r>
      <w:r w:rsidRPr="00087FBE">
        <w:rPr>
          <w:rFonts w:asciiTheme="majorHAnsi" w:hAnsiTheme="majorHAnsi" w:cs="Arial"/>
          <w:lang w:val="es-ES_tradnl"/>
        </w:rPr>
        <w:t xml:space="preserve"> 15 Partes, el C</w:t>
      </w:r>
      <w:r w:rsidR="006373A5" w:rsidRPr="00087FBE">
        <w:rPr>
          <w:rFonts w:asciiTheme="majorHAnsi" w:hAnsiTheme="majorHAnsi" w:cs="Arial"/>
          <w:lang w:val="es-ES_tradnl"/>
        </w:rPr>
        <w:t>oordinador gubern</w:t>
      </w:r>
      <w:r w:rsidRPr="00087FBE">
        <w:rPr>
          <w:rFonts w:asciiTheme="majorHAnsi" w:hAnsiTheme="majorHAnsi" w:cs="Arial"/>
          <w:lang w:val="es-ES_tradnl"/>
        </w:rPr>
        <w:t>amental de CECoP es también el C</w:t>
      </w:r>
      <w:r w:rsidR="006373A5" w:rsidRPr="00087FBE">
        <w:rPr>
          <w:rFonts w:asciiTheme="majorHAnsi" w:hAnsiTheme="majorHAnsi" w:cs="Arial"/>
          <w:lang w:val="es-ES_tradnl"/>
        </w:rPr>
        <w:t xml:space="preserve">oordinador de la AA o el del GECT. </w:t>
      </w:r>
      <w:r w:rsidRPr="00087FBE">
        <w:rPr>
          <w:rFonts w:asciiTheme="majorHAnsi" w:hAnsiTheme="majorHAnsi" w:cs="Arial"/>
          <w:lang w:val="es-ES_tradnl"/>
        </w:rPr>
        <w:t>El desempeño de funciones múltiples</w:t>
      </w:r>
      <w:r w:rsidR="006373A5" w:rsidRPr="00087FBE">
        <w:rPr>
          <w:rFonts w:asciiTheme="majorHAnsi" w:hAnsiTheme="majorHAnsi" w:cs="Arial"/>
          <w:lang w:val="es-ES_tradnl"/>
        </w:rPr>
        <w:t xml:space="preserve"> puede comprometer la cantidad de tiempo disponible para ejecutar las actividades de CECoP. </w:t>
      </w:r>
    </w:p>
    <w:p w:rsidR="006373A5" w:rsidRPr="00087FBE" w:rsidRDefault="006373A5" w:rsidP="006373A5">
      <w:pPr>
        <w:pStyle w:val="ListParagraph"/>
        <w:spacing w:after="0" w:line="240" w:lineRule="auto"/>
        <w:ind w:left="426"/>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En el Indicador 4.1.6 se evalúa si las Partes tienen un Comité</w:t>
      </w:r>
      <w:r w:rsidR="00AC7E54" w:rsidRPr="00087FBE">
        <w:rPr>
          <w:rFonts w:asciiTheme="majorHAnsi" w:hAnsiTheme="majorHAnsi" w:cs="Arial"/>
          <w:lang w:val="es-ES_tradnl"/>
        </w:rPr>
        <w:t xml:space="preserve"> Nacional </w:t>
      </w:r>
      <w:r w:rsidR="00A65940" w:rsidRPr="00087FBE">
        <w:rPr>
          <w:rFonts w:asciiTheme="majorHAnsi" w:hAnsiTheme="majorHAnsi" w:cs="Arial"/>
          <w:lang w:val="es-ES_tradnl"/>
        </w:rPr>
        <w:t xml:space="preserve">de </w:t>
      </w:r>
      <w:r w:rsidR="00AC7E54" w:rsidRPr="00087FBE">
        <w:rPr>
          <w:rFonts w:asciiTheme="majorHAnsi" w:hAnsiTheme="majorHAnsi" w:cs="Arial"/>
          <w:lang w:val="es-ES_tradnl"/>
        </w:rPr>
        <w:t>Ramsar o</w:t>
      </w:r>
      <w:r w:rsidRPr="00087FBE">
        <w:rPr>
          <w:rFonts w:asciiTheme="majorHAnsi" w:hAnsiTheme="majorHAnsi" w:cs="Arial"/>
          <w:lang w:val="es-ES_tradnl"/>
        </w:rPr>
        <w:t xml:space="preserve"> de Humedales operativo. Este es el mecanismo principal por el que los Coordinadores Nacionales de CECoP pueden integrar la</w:t>
      </w:r>
      <w:r w:rsidR="008E63E6" w:rsidRPr="00087FBE">
        <w:rPr>
          <w:rFonts w:asciiTheme="majorHAnsi" w:hAnsiTheme="majorHAnsi" w:cs="Arial"/>
          <w:lang w:val="es-ES_tradnl"/>
        </w:rPr>
        <w:t>s orientaciones</w:t>
      </w:r>
      <w:r w:rsidRPr="00087FBE">
        <w:rPr>
          <w:rFonts w:asciiTheme="majorHAnsi" w:hAnsiTheme="majorHAnsi" w:cs="Arial"/>
          <w:lang w:val="es-ES_tradnl"/>
        </w:rPr>
        <w:t xml:space="preserve"> de CECoP y estar informados de las cuestiones que requieren medidas de CECoP. De los análisis de los Informes Nacionales se desprende que</w:t>
      </w:r>
      <w:r w:rsidR="008E63E6" w:rsidRPr="00087FBE">
        <w:rPr>
          <w:rFonts w:asciiTheme="majorHAnsi" w:hAnsiTheme="majorHAnsi" w:cs="Arial"/>
          <w:lang w:val="es-ES_tradnl"/>
        </w:rPr>
        <w:t xml:space="preserve"> el</w:t>
      </w:r>
      <w:r w:rsidRPr="00087FBE">
        <w:rPr>
          <w:rFonts w:asciiTheme="majorHAnsi" w:hAnsiTheme="majorHAnsi" w:cs="Arial"/>
          <w:lang w:val="es-ES_tradnl"/>
        </w:rPr>
        <w:t xml:space="preserve"> 63 </w:t>
      </w:r>
      <w:r w:rsidR="008E63E6" w:rsidRPr="00087FBE">
        <w:rPr>
          <w:rFonts w:asciiTheme="majorHAnsi" w:hAnsiTheme="majorHAnsi" w:cs="Arial"/>
          <w:lang w:val="es-ES_tradnl"/>
        </w:rPr>
        <w:t>%</w:t>
      </w:r>
      <w:r w:rsidRPr="00087FBE">
        <w:rPr>
          <w:rFonts w:asciiTheme="majorHAnsi" w:hAnsiTheme="majorHAnsi" w:cs="Arial"/>
          <w:lang w:val="es-ES_tradnl"/>
        </w:rPr>
        <w:t xml:space="preserve"> de las Partes respondieron que </w:t>
      </w:r>
      <w:r w:rsidR="00A65940" w:rsidRPr="00087FBE">
        <w:rPr>
          <w:rFonts w:asciiTheme="majorHAnsi" w:hAnsiTheme="majorHAnsi" w:cs="Arial"/>
          <w:lang w:val="es-ES_tradnl"/>
        </w:rPr>
        <w:t>disponen de dichos</w:t>
      </w:r>
      <w:r w:rsidRPr="00087FBE">
        <w:rPr>
          <w:rFonts w:asciiTheme="majorHAnsi" w:hAnsiTheme="majorHAnsi" w:cs="Arial"/>
          <w:lang w:val="es-ES_tradnl"/>
        </w:rPr>
        <w:t xml:space="preserve"> comités, una ligera mejoría respecto del 54 </w:t>
      </w:r>
      <w:r w:rsidR="00A65940" w:rsidRPr="00087FBE">
        <w:rPr>
          <w:rFonts w:asciiTheme="majorHAnsi" w:hAnsiTheme="majorHAnsi" w:cs="Arial"/>
          <w:lang w:val="es-ES_tradnl"/>
        </w:rPr>
        <w:t>%</w:t>
      </w:r>
      <w:r w:rsidRPr="00087FBE">
        <w:rPr>
          <w:rFonts w:asciiTheme="majorHAnsi" w:hAnsiTheme="majorHAnsi" w:cs="Arial"/>
          <w:lang w:val="es-ES_tradnl"/>
        </w:rPr>
        <w:t xml:space="preserve"> comunicado en la COP11. </w:t>
      </w:r>
    </w:p>
    <w:p w:rsidR="006373A5" w:rsidRPr="00087FBE" w:rsidRDefault="006373A5" w:rsidP="006373A5">
      <w:pPr>
        <w:pStyle w:val="ListParagraph"/>
        <w:spacing w:after="0" w:line="240" w:lineRule="auto"/>
        <w:ind w:left="426"/>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Times New Roman"/>
          <w:szCs w:val="24"/>
          <w:lang w:val="es-ES_tradnl" w:eastAsia="fr-FR"/>
        </w:rPr>
        <w:t xml:space="preserve">Aparte de los Comités Nacionales </w:t>
      </w:r>
      <w:r w:rsidR="00A65940" w:rsidRPr="00087FBE">
        <w:rPr>
          <w:rFonts w:asciiTheme="majorHAnsi" w:hAnsiTheme="majorHAnsi" w:cs="Times New Roman"/>
          <w:szCs w:val="24"/>
          <w:lang w:val="es-ES_tradnl" w:eastAsia="fr-FR"/>
        </w:rPr>
        <w:t xml:space="preserve">de </w:t>
      </w:r>
      <w:r w:rsidRPr="00087FBE">
        <w:rPr>
          <w:rFonts w:asciiTheme="majorHAnsi" w:hAnsiTheme="majorHAnsi" w:cs="Times New Roman"/>
          <w:szCs w:val="24"/>
          <w:lang w:val="es-ES_tradnl" w:eastAsia="fr-FR"/>
        </w:rPr>
        <w:t>Ramsar, existen otros medios para mantener un intercambio de información y mecanismos de planificación intersectorial</w:t>
      </w:r>
      <w:r w:rsidR="00A65940" w:rsidRPr="00087FBE">
        <w:rPr>
          <w:rFonts w:asciiTheme="majorHAnsi" w:hAnsiTheme="majorHAnsi" w:cs="Times New Roman"/>
          <w:szCs w:val="24"/>
          <w:lang w:val="es-ES_tradnl" w:eastAsia="fr-FR"/>
        </w:rPr>
        <w:t xml:space="preserve"> eficaces</w:t>
      </w:r>
      <w:r w:rsidRPr="00087FBE">
        <w:rPr>
          <w:rFonts w:asciiTheme="majorHAnsi" w:hAnsiTheme="majorHAnsi" w:cs="Times New Roman"/>
          <w:szCs w:val="24"/>
          <w:lang w:val="es-ES_tradnl" w:eastAsia="fr-FR"/>
        </w:rPr>
        <w:t xml:space="preserve">. En el </w:t>
      </w:r>
      <w:r w:rsidRPr="00087FBE">
        <w:rPr>
          <w:rFonts w:asciiTheme="majorHAnsi" w:hAnsiTheme="majorHAnsi" w:cs="Times New Roman"/>
          <w:iCs/>
          <w:szCs w:val="24"/>
          <w:lang w:val="es-ES_tradnl" w:eastAsia="fr-FR"/>
        </w:rPr>
        <w:t>Indicador 4.1.7</w:t>
      </w:r>
      <w:r w:rsidRPr="00087FBE">
        <w:rPr>
          <w:rFonts w:asciiTheme="majorHAnsi" w:hAnsiTheme="majorHAnsi" w:cs="Times New Roman"/>
          <w:i/>
          <w:iCs/>
          <w:szCs w:val="24"/>
          <w:lang w:val="es-ES_tradnl" w:eastAsia="fr-FR"/>
        </w:rPr>
        <w:t xml:space="preserve"> </w:t>
      </w:r>
      <w:r w:rsidRPr="00087FBE">
        <w:rPr>
          <w:rFonts w:asciiTheme="majorHAnsi" w:hAnsiTheme="majorHAnsi" w:cs="Times New Roman"/>
          <w:szCs w:val="24"/>
          <w:lang w:val="es-ES_tradnl" w:eastAsia="fr-FR"/>
        </w:rPr>
        <w:t xml:space="preserve">se pregunta si </w:t>
      </w:r>
      <w:r w:rsidR="00A65940" w:rsidRPr="00087FBE">
        <w:rPr>
          <w:rFonts w:asciiTheme="majorHAnsi" w:hAnsiTheme="majorHAnsi" w:cs="Times New Roman"/>
          <w:szCs w:val="24"/>
          <w:lang w:val="es-ES_tradnl" w:eastAsia="fr-FR"/>
        </w:rPr>
        <w:t>existen</w:t>
      </w:r>
      <w:r w:rsidRPr="00087FBE">
        <w:rPr>
          <w:rFonts w:asciiTheme="majorHAnsi" w:hAnsiTheme="majorHAnsi" w:cs="Times New Roman"/>
          <w:szCs w:val="24"/>
          <w:lang w:val="es-ES_tradnl" w:eastAsia="fr-FR"/>
        </w:rPr>
        <w:t xml:space="preserve"> mecanismos para compartir </w:t>
      </w:r>
      <w:r w:rsidR="009C6174" w:rsidRPr="00087FBE">
        <w:rPr>
          <w:rFonts w:asciiTheme="majorHAnsi" w:hAnsiTheme="majorHAnsi" w:cs="Times New Roman"/>
          <w:szCs w:val="24"/>
          <w:lang w:val="es-ES_tradnl" w:eastAsia="fr-FR"/>
        </w:rPr>
        <w:t>los lineamientos</w:t>
      </w:r>
      <w:r w:rsidRPr="00087FBE">
        <w:rPr>
          <w:rFonts w:asciiTheme="majorHAnsi" w:hAnsiTheme="majorHAnsi" w:cs="Times New Roman"/>
          <w:szCs w:val="24"/>
          <w:lang w:val="es-ES_tradnl" w:eastAsia="fr-FR"/>
        </w:rPr>
        <w:t xml:space="preserve"> </w:t>
      </w:r>
      <w:r w:rsidR="009C6174" w:rsidRPr="00087FBE">
        <w:rPr>
          <w:rFonts w:asciiTheme="majorHAnsi" w:hAnsiTheme="majorHAnsi" w:cs="Times New Roman"/>
          <w:szCs w:val="24"/>
          <w:lang w:val="es-ES_tradnl" w:eastAsia="fr-FR"/>
        </w:rPr>
        <w:t xml:space="preserve">de Ramsar sobre </w:t>
      </w:r>
      <w:r w:rsidRPr="00087FBE">
        <w:rPr>
          <w:rFonts w:asciiTheme="majorHAnsi" w:hAnsiTheme="majorHAnsi" w:cs="Times New Roman"/>
          <w:szCs w:val="24"/>
          <w:lang w:val="es-ES_tradnl" w:eastAsia="fr-FR"/>
        </w:rPr>
        <w:t>la aplicación y otras informaciones entre la Autoridad Administrativa de Ramsar y a) los administradores de los sitios Ramsar, b) otros acuerdos multilaterales sobre el medio ambiente (AMMA), y c) los ministerios, departamentos y organismos pertinentes</w:t>
      </w:r>
      <w:r w:rsidRPr="00087FBE">
        <w:rPr>
          <w:rFonts w:asciiTheme="majorHAnsi" w:hAnsiTheme="majorHAnsi" w:cs="Arial"/>
          <w:lang w:val="es-ES_tradnl"/>
        </w:rPr>
        <w:t xml:space="preserve">. Estos resultados se resumen en la Cuadro 1 </w:t>
      </w:r>
      <w:r w:rsidRPr="00087FBE">
        <w:rPr>
          <w:rFonts w:asciiTheme="majorHAnsi" w:hAnsiTheme="majorHAnsi" w:cs="Arial"/>
          <w:i/>
          <w:lang w:val="es-ES_tradnl"/>
        </w:rPr>
        <w:t>infra</w:t>
      </w:r>
      <w:r w:rsidRPr="00087FBE">
        <w:rPr>
          <w:rFonts w:asciiTheme="majorHAnsi" w:hAnsiTheme="majorHAnsi" w:cs="Arial"/>
          <w:lang w:val="es-ES_tradnl"/>
        </w:rPr>
        <w:t>.</w:t>
      </w:r>
    </w:p>
    <w:p w:rsidR="006373A5" w:rsidRPr="00087FBE" w:rsidRDefault="006373A5" w:rsidP="006373A5">
      <w:pPr>
        <w:spacing w:after="0" w:line="240" w:lineRule="auto"/>
        <w:rPr>
          <w:rFonts w:asciiTheme="majorHAnsi" w:hAnsiTheme="majorHAnsi" w:cs="Arial"/>
          <w:highlight w:val="yellow"/>
          <w:lang w:val="es-ES_tradnl"/>
        </w:rPr>
      </w:pPr>
    </w:p>
    <w:tbl>
      <w:tblPr>
        <w:tblStyle w:val="TableGrid"/>
        <w:tblW w:w="0" w:type="auto"/>
        <w:tblInd w:w="108" w:type="dxa"/>
        <w:tblLook w:val="04A0"/>
      </w:tblPr>
      <w:tblGrid>
        <w:gridCol w:w="3828"/>
        <w:gridCol w:w="935"/>
        <w:gridCol w:w="907"/>
        <w:gridCol w:w="993"/>
        <w:gridCol w:w="930"/>
      </w:tblGrid>
      <w:tr w:rsidR="006373A5" w:rsidRPr="00087FBE" w:rsidTr="0041709D">
        <w:tc>
          <w:tcPr>
            <w:tcW w:w="3828" w:type="dxa"/>
          </w:tcPr>
          <w:p w:rsidR="006373A5" w:rsidRPr="00087FBE" w:rsidRDefault="006373A5" w:rsidP="00E8131F">
            <w:pPr>
              <w:autoSpaceDE w:val="0"/>
              <w:autoSpaceDN w:val="0"/>
              <w:adjustRightInd w:val="0"/>
              <w:spacing w:after="0" w:line="240" w:lineRule="auto"/>
              <w:rPr>
                <w:rFonts w:asciiTheme="majorHAnsi" w:hAnsiTheme="majorHAnsi" w:cs="Garamond"/>
                <w:lang w:val="es-ES_tradnl"/>
              </w:rPr>
            </w:pPr>
          </w:p>
        </w:tc>
        <w:tc>
          <w:tcPr>
            <w:tcW w:w="935" w:type="dxa"/>
          </w:tcPr>
          <w:p w:rsidR="006373A5" w:rsidRPr="00087FBE" w:rsidRDefault="006373A5" w:rsidP="00E8131F">
            <w:pPr>
              <w:autoSpaceDE w:val="0"/>
              <w:autoSpaceDN w:val="0"/>
              <w:adjustRightInd w:val="0"/>
              <w:spacing w:after="0" w:line="240" w:lineRule="auto"/>
              <w:rPr>
                <w:rFonts w:asciiTheme="majorHAnsi" w:hAnsiTheme="majorHAnsi" w:cs="Garamond"/>
                <w:b/>
                <w:lang w:val="es-ES_tradnl"/>
              </w:rPr>
            </w:pPr>
            <w:r w:rsidRPr="00087FBE">
              <w:rPr>
                <w:rFonts w:asciiTheme="majorHAnsi" w:hAnsiTheme="majorHAnsi" w:cs="Garamond"/>
                <w:b/>
                <w:lang w:val="es-ES_tradnl"/>
              </w:rPr>
              <w:t>COP12</w:t>
            </w:r>
          </w:p>
          <w:p w:rsidR="006373A5" w:rsidRPr="00087FBE" w:rsidRDefault="006373A5" w:rsidP="00E8131F">
            <w:pPr>
              <w:autoSpaceDE w:val="0"/>
              <w:autoSpaceDN w:val="0"/>
              <w:adjustRightInd w:val="0"/>
              <w:spacing w:after="0" w:line="240" w:lineRule="auto"/>
              <w:rPr>
                <w:rFonts w:asciiTheme="majorHAnsi" w:hAnsiTheme="majorHAnsi" w:cs="Garamond"/>
                <w:b/>
                <w:lang w:val="es-ES_tradnl"/>
              </w:rPr>
            </w:pPr>
            <w:r w:rsidRPr="00087FBE">
              <w:rPr>
                <w:rFonts w:asciiTheme="majorHAnsi" w:hAnsiTheme="majorHAnsi" w:cs="Garamond"/>
                <w:b/>
                <w:lang w:val="es-ES_tradnl"/>
              </w:rPr>
              <w:t>Sí</w:t>
            </w:r>
          </w:p>
        </w:tc>
        <w:tc>
          <w:tcPr>
            <w:tcW w:w="907" w:type="dxa"/>
          </w:tcPr>
          <w:p w:rsidR="006373A5" w:rsidRPr="00087FBE" w:rsidRDefault="006373A5" w:rsidP="00E8131F">
            <w:pPr>
              <w:autoSpaceDE w:val="0"/>
              <w:autoSpaceDN w:val="0"/>
              <w:adjustRightInd w:val="0"/>
              <w:spacing w:after="0" w:line="240" w:lineRule="auto"/>
              <w:rPr>
                <w:rFonts w:asciiTheme="majorHAnsi" w:hAnsiTheme="majorHAnsi" w:cs="Garamond"/>
                <w:b/>
                <w:lang w:val="es-ES_tradnl"/>
              </w:rPr>
            </w:pPr>
            <w:r w:rsidRPr="00087FBE">
              <w:rPr>
                <w:rFonts w:asciiTheme="majorHAnsi" w:hAnsiTheme="majorHAnsi" w:cs="Garamond"/>
                <w:b/>
                <w:lang w:val="es-ES_tradnl"/>
              </w:rPr>
              <w:t>COP11</w:t>
            </w:r>
          </w:p>
          <w:p w:rsidR="006373A5" w:rsidRPr="00087FBE" w:rsidRDefault="006373A5" w:rsidP="00E8131F">
            <w:pPr>
              <w:autoSpaceDE w:val="0"/>
              <w:autoSpaceDN w:val="0"/>
              <w:adjustRightInd w:val="0"/>
              <w:spacing w:after="0" w:line="240" w:lineRule="auto"/>
              <w:rPr>
                <w:rFonts w:asciiTheme="majorHAnsi" w:hAnsiTheme="majorHAnsi" w:cs="Garamond"/>
                <w:b/>
                <w:lang w:val="es-ES_tradnl"/>
              </w:rPr>
            </w:pPr>
            <w:r w:rsidRPr="00087FBE">
              <w:rPr>
                <w:rFonts w:asciiTheme="majorHAnsi" w:hAnsiTheme="majorHAnsi" w:cs="Garamond"/>
                <w:b/>
                <w:lang w:val="es-ES_tradnl"/>
              </w:rPr>
              <w:t>Sí</w:t>
            </w:r>
          </w:p>
        </w:tc>
        <w:tc>
          <w:tcPr>
            <w:tcW w:w="993" w:type="dxa"/>
          </w:tcPr>
          <w:p w:rsidR="006373A5" w:rsidRPr="00087FBE" w:rsidRDefault="006373A5" w:rsidP="00E8131F">
            <w:pPr>
              <w:autoSpaceDE w:val="0"/>
              <w:autoSpaceDN w:val="0"/>
              <w:adjustRightInd w:val="0"/>
              <w:spacing w:after="0" w:line="240" w:lineRule="auto"/>
              <w:rPr>
                <w:rFonts w:asciiTheme="majorHAnsi" w:hAnsiTheme="majorHAnsi" w:cs="Garamond"/>
                <w:b/>
                <w:lang w:val="es-ES_tradnl"/>
              </w:rPr>
            </w:pPr>
            <w:r w:rsidRPr="00087FBE">
              <w:rPr>
                <w:rFonts w:asciiTheme="majorHAnsi" w:hAnsiTheme="majorHAnsi" w:cs="Garamond"/>
                <w:b/>
                <w:lang w:val="es-ES_tradnl"/>
              </w:rPr>
              <w:t>COP12</w:t>
            </w:r>
          </w:p>
          <w:p w:rsidR="006373A5" w:rsidRPr="00087FBE" w:rsidRDefault="006373A5" w:rsidP="00E8131F">
            <w:pPr>
              <w:autoSpaceDE w:val="0"/>
              <w:autoSpaceDN w:val="0"/>
              <w:adjustRightInd w:val="0"/>
              <w:spacing w:after="0" w:line="240" w:lineRule="auto"/>
              <w:rPr>
                <w:rFonts w:asciiTheme="majorHAnsi" w:hAnsiTheme="majorHAnsi" w:cs="Garamond"/>
                <w:b/>
                <w:lang w:val="es-ES_tradnl"/>
              </w:rPr>
            </w:pPr>
            <w:r w:rsidRPr="00087FBE">
              <w:rPr>
                <w:rFonts w:asciiTheme="majorHAnsi" w:hAnsiTheme="majorHAnsi" w:cs="Garamond"/>
                <w:b/>
                <w:lang w:val="es-ES_tradnl"/>
              </w:rPr>
              <w:t>No</w:t>
            </w:r>
          </w:p>
        </w:tc>
        <w:tc>
          <w:tcPr>
            <w:tcW w:w="930" w:type="dxa"/>
          </w:tcPr>
          <w:p w:rsidR="006373A5" w:rsidRPr="00087FBE" w:rsidRDefault="006373A5" w:rsidP="00E8131F">
            <w:pPr>
              <w:autoSpaceDE w:val="0"/>
              <w:autoSpaceDN w:val="0"/>
              <w:adjustRightInd w:val="0"/>
              <w:spacing w:after="0" w:line="240" w:lineRule="auto"/>
              <w:rPr>
                <w:rFonts w:asciiTheme="majorHAnsi" w:hAnsiTheme="majorHAnsi" w:cs="Garamond"/>
                <w:b/>
                <w:lang w:val="es-ES_tradnl"/>
              </w:rPr>
            </w:pPr>
            <w:r w:rsidRPr="00087FBE">
              <w:rPr>
                <w:rFonts w:asciiTheme="majorHAnsi" w:hAnsiTheme="majorHAnsi" w:cs="Garamond"/>
                <w:b/>
                <w:lang w:val="es-ES_tradnl"/>
              </w:rPr>
              <w:t>COP11</w:t>
            </w:r>
          </w:p>
          <w:p w:rsidR="006373A5" w:rsidRPr="00087FBE" w:rsidRDefault="006373A5" w:rsidP="00E8131F">
            <w:pPr>
              <w:autoSpaceDE w:val="0"/>
              <w:autoSpaceDN w:val="0"/>
              <w:adjustRightInd w:val="0"/>
              <w:spacing w:after="0" w:line="240" w:lineRule="auto"/>
              <w:rPr>
                <w:rFonts w:asciiTheme="majorHAnsi" w:hAnsiTheme="majorHAnsi" w:cs="Garamond"/>
                <w:b/>
                <w:lang w:val="es-ES_tradnl"/>
              </w:rPr>
            </w:pPr>
            <w:r w:rsidRPr="00087FBE">
              <w:rPr>
                <w:rFonts w:asciiTheme="majorHAnsi" w:hAnsiTheme="majorHAnsi" w:cs="Garamond"/>
                <w:b/>
                <w:lang w:val="es-ES_tradnl"/>
              </w:rPr>
              <w:t>No</w:t>
            </w:r>
          </w:p>
        </w:tc>
      </w:tr>
      <w:tr w:rsidR="006373A5" w:rsidRPr="00087FBE" w:rsidTr="0041709D">
        <w:tc>
          <w:tcPr>
            <w:tcW w:w="3828" w:type="dxa"/>
          </w:tcPr>
          <w:p w:rsidR="006373A5" w:rsidRPr="00087FBE" w:rsidRDefault="006373A5" w:rsidP="00E8131F">
            <w:pPr>
              <w:autoSpaceDE w:val="0"/>
              <w:autoSpaceDN w:val="0"/>
              <w:adjustRightInd w:val="0"/>
              <w:spacing w:after="0" w:line="240" w:lineRule="auto"/>
              <w:rPr>
                <w:rFonts w:asciiTheme="majorHAnsi" w:hAnsiTheme="majorHAnsi" w:cs="Garamond"/>
                <w:lang w:val="es-ES_tradnl"/>
              </w:rPr>
            </w:pPr>
            <w:r w:rsidRPr="00087FBE">
              <w:rPr>
                <w:rFonts w:asciiTheme="majorHAnsi" w:hAnsiTheme="majorHAnsi" w:cs="Garamond"/>
                <w:lang w:val="es-ES_tradnl"/>
              </w:rPr>
              <w:t>a) Administradores de sitios Ramsar</w:t>
            </w:r>
          </w:p>
        </w:tc>
        <w:tc>
          <w:tcPr>
            <w:tcW w:w="935" w:type="dxa"/>
          </w:tcPr>
          <w:p w:rsidR="006373A5" w:rsidRPr="00087FBE" w:rsidRDefault="006373A5" w:rsidP="00E8131F">
            <w:pPr>
              <w:autoSpaceDE w:val="0"/>
              <w:autoSpaceDN w:val="0"/>
              <w:adjustRightInd w:val="0"/>
              <w:spacing w:after="0" w:line="240" w:lineRule="auto"/>
              <w:rPr>
                <w:rFonts w:asciiTheme="majorHAnsi" w:hAnsiTheme="majorHAnsi" w:cs="Garamond"/>
                <w:lang w:val="es-ES_tradnl"/>
              </w:rPr>
            </w:pPr>
            <w:r w:rsidRPr="00087FBE">
              <w:rPr>
                <w:rFonts w:asciiTheme="majorHAnsi" w:hAnsiTheme="majorHAnsi" w:cs="Garamond"/>
                <w:lang w:val="es-ES_tradnl"/>
              </w:rPr>
              <w:t>55</w:t>
            </w:r>
            <w:r w:rsidR="00A65940" w:rsidRPr="00087FBE">
              <w:rPr>
                <w:rFonts w:asciiTheme="majorHAnsi" w:hAnsiTheme="majorHAnsi" w:cs="Garamond"/>
                <w:lang w:val="es-ES_tradnl"/>
              </w:rPr>
              <w:t xml:space="preserve"> </w:t>
            </w:r>
            <w:r w:rsidRPr="00087FBE">
              <w:rPr>
                <w:rFonts w:asciiTheme="majorHAnsi" w:hAnsiTheme="majorHAnsi" w:cs="Garamond"/>
                <w:lang w:val="es-ES_tradnl"/>
              </w:rPr>
              <w:t>%</w:t>
            </w:r>
          </w:p>
        </w:tc>
        <w:tc>
          <w:tcPr>
            <w:tcW w:w="907" w:type="dxa"/>
          </w:tcPr>
          <w:p w:rsidR="006373A5" w:rsidRPr="00087FBE" w:rsidRDefault="006373A5" w:rsidP="00E8131F">
            <w:pPr>
              <w:autoSpaceDE w:val="0"/>
              <w:autoSpaceDN w:val="0"/>
              <w:adjustRightInd w:val="0"/>
              <w:spacing w:after="0" w:line="240" w:lineRule="auto"/>
              <w:rPr>
                <w:rFonts w:asciiTheme="majorHAnsi" w:hAnsiTheme="majorHAnsi" w:cs="Garamond"/>
                <w:lang w:val="es-ES_tradnl"/>
              </w:rPr>
            </w:pPr>
            <w:r w:rsidRPr="00087FBE">
              <w:rPr>
                <w:rFonts w:asciiTheme="majorHAnsi" w:hAnsiTheme="majorHAnsi" w:cs="Garamond"/>
                <w:lang w:val="es-ES_tradnl"/>
              </w:rPr>
              <w:t>56</w:t>
            </w:r>
            <w:r w:rsidR="00A65940" w:rsidRPr="00087FBE">
              <w:rPr>
                <w:rFonts w:asciiTheme="majorHAnsi" w:hAnsiTheme="majorHAnsi" w:cs="Garamond"/>
                <w:lang w:val="es-ES_tradnl"/>
              </w:rPr>
              <w:t xml:space="preserve"> </w:t>
            </w:r>
            <w:r w:rsidRPr="00087FBE">
              <w:rPr>
                <w:rFonts w:asciiTheme="majorHAnsi" w:hAnsiTheme="majorHAnsi" w:cs="Garamond"/>
                <w:lang w:val="es-ES_tradnl"/>
              </w:rPr>
              <w:t>%</w:t>
            </w:r>
          </w:p>
        </w:tc>
        <w:tc>
          <w:tcPr>
            <w:tcW w:w="993" w:type="dxa"/>
          </w:tcPr>
          <w:p w:rsidR="006373A5" w:rsidRPr="00087FBE" w:rsidRDefault="006373A5" w:rsidP="00E8131F">
            <w:pPr>
              <w:autoSpaceDE w:val="0"/>
              <w:autoSpaceDN w:val="0"/>
              <w:adjustRightInd w:val="0"/>
              <w:spacing w:after="0" w:line="240" w:lineRule="auto"/>
              <w:rPr>
                <w:rFonts w:asciiTheme="majorHAnsi" w:hAnsiTheme="majorHAnsi" w:cs="Garamond"/>
                <w:lang w:val="es-ES_tradnl"/>
              </w:rPr>
            </w:pPr>
            <w:r w:rsidRPr="00087FBE">
              <w:rPr>
                <w:rFonts w:asciiTheme="majorHAnsi" w:hAnsiTheme="majorHAnsi" w:cs="Garamond"/>
                <w:lang w:val="es-ES_tradnl"/>
              </w:rPr>
              <w:t>19</w:t>
            </w:r>
            <w:r w:rsidR="00A65940" w:rsidRPr="00087FBE">
              <w:rPr>
                <w:rFonts w:asciiTheme="majorHAnsi" w:hAnsiTheme="majorHAnsi" w:cs="Garamond"/>
                <w:lang w:val="es-ES_tradnl"/>
              </w:rPr>
              <w:t xml:space="preserve"> </w:t>
            </w:r>
            <w:r w:rsidRPr="00087FBE">
              <w:rPr>
                <w:rFonts w:asciiTheme="majorHAnsi" w:hAnsiTheme="majorHAnsi" w:cs="Garamond"/>
                <w:lang w:val="es-ES_tradnl"/>
              </w:rPr>
              <w:t>%</w:t>
            </w:r>
          </w:p>
        </w:tc>
        <w:tc>
          <w:tcPr>
            <w:tcW w:w="930" w:type="dxa"/>
          </w:tcPr>
          <w:p w:rsidR="006373A5" w:rsidRPr="00087FBE" w:rsidRDefault="006373A5" w:rsidP="00E8131F">
            <w:pPr>
              <w:autoSpaceDE w:val="0"/>
              <w:autoSpaceDN w:val="0"/>
              <w:adjustRightInd w:val="0"/>
              <w:spacing w:after="0" w:line="240" w:lineRule="auto"/>
              <w:rPr>
                <w:rFonts w:asciiTheme="majorHAnsi" w:hAnsiTheme="majorHAnsi" w:cs="Garamond"/>
                <w:lang w:val="es-ES_tradnl"/>
              </w:rPr>
            </w:pPr>
            <w:r w:rsidRPr="00087FBE">
              <w:rPr>
                <w:rFonts w:asciiTheme="majorHAnsi" w:hAnsiTheme="majorHAnsi" w:cs="Garamond"/>
                <w:lang w:val="es-ES_tradnl"/>
              </w:rPr>
              <w:t>22</w:t>
            </w:r>
            <w:r w:rsidR="00A65940" w:rsidRPr="00087FBE">
              <w:rPr>
                <w:rFonts w:asciiTheme="majorHAnsi" w:hAnsiTheme="majorHAnsi" w:cs="Garamond"/>
                <w:lang w:val="es-ES_tradnl"/>
              </w:rPr>
              <w:t xml:space="preserve"> </w:t>
            </w:r>
            <w:r w:rsidRPr="00087FBE">
              <w:rPr>
                <w:rFonts w:asciiTheme="majorHAnsi" w:hAnsiTheme="majorHAnsi" w:cs="Garamond"/>
                <w:lang w:val="es-ES_tradnl"/>
              </w:rPr>
              <w:t>%</w:t>
            </w:r>
          </w:p>
        </w:tc>
      </w:tr>
      <w:tr w:rsidR="006373A5" w:rsidRPr="00087FBE" w:rsidTr="0041709D">
        <w:tc>
          <w:tcPr>
            <w:tcW w:w="3828" w:type="dxa"/>
          </w:tcPr>
          <w:p w:rsidR="006373A5" w:rsidRPr="00087FBE" w:rsidRDefault="006373A5" w:rsidP="00E8131F">
            <w:pPr>
              <w:autoSpaceDE w:val="0"/>
              <w:autoSpaceDN w:val="0"/>
              <w:adjustRightInd w:val="0"/>
              <w:spacing w:after="0" w:line="240" w:lineRule="auto"/>
              <w:rPr>
                <w:rFonts w:asciiTheme="majorHAnsi" w:hAnsiTheme="majorHAnsi" w:cs="Garamond"/>
                <w:lang w:val="es-ES_tradnl"/>
              </w:rPr>
            </w:pPr>
            <w:r w:rsidRPr="00087FBE">
              <w:rPr>
                <w:rFonts w:asciiTheme="majorHAnsi" w:hAnsiTheme="majorHAnsi" w:cs="Garamond"/>
                <w:lang w:val="es-ES_tradnl"/>
              </w:rPr>
              <w:t xml:space="preserve">b) </w:t>
            </w:r>
            <w:r w:rsidR="009C6174" w:rsidRPr="00087FBE">
              <w:rPr>
                <w:rFonts w:asciiTheme="majorHAnsi" w:hAnsiTheme="majorHAnsi" w:cs="Garamond"/>
                <w:lang w:val="es-ES_tradnl"/>
              </w:rPr>
              <w:t>C</w:t>
            </w:r>
            <w:r w:rsidRPr="00087FBE">
              <w:rPr>
                <w:rFonts w:asciiTheme="majorHAnsi" w:hAnsiTheme="majorHAnsi" w:cs="Garamond"/>
                <w:lang w:val="es-ES_tradnl"/>
              </w:rPr>
              <w:t xml:space="preserve">oordinadores de </w:t>
            </w:r>
            <w:r w:rsidR="009C6174" w:rsidRPr="00087FBE">
              <w:rPr>
                <w:rFonts w:asciiTheme="majorHAnsi" w:hAnsiTheme="majorHAnsi" w:cs="Garamond"/>
                <w:lang w:val="es-ES_tradnl"/>
              </w:rPr>
              <w:t xml:space="preserve">otros </w:t>
            </w:r>
            <w:r w:rsidRPr="00087FBE">
              <w:rPr>
                <w:rFonts w:asciiTheme="majorHAnsi" w:hAnsiTheme="majorHAnsi" w:cs="Garamond"/>
                <w:lang w:val="es-ES_tradnl"/>
              </w:rPr>
              <w:t>AMMA</w:t>
            </w:r>
          </w:p>
        </w:tc>
        <w:tc>
          <w:tcPr>
            <w:tcW w:w="935" w:type="dxa"/>
          </w:tcPr>
          <w:p w:rsidR="006373A5" w:rsidRPr="00087FBE" w:rsidRDefault="006373A5" w:rsidP="00E8131F">
            <w:pPr>
              <w:autoSpaceDE w:val="0"/>
              <w:autoSpaceDN w:val="0"/>
              <w:adjustRightInd w:val="0"/>
              <w:spacing w:after="0" w:line="240" w:lineRule="auto"/>
              <w:rPr>
                <w:rFonts w:asciiTheme="majorHAnsi" w:hAnsiTheme="majorHAnsi" w:cs="Garamond"/>
                <w:lang w:val="es-ES_tradnl"/>
              </w:rPr>
            </w:pPr>
            <w:r w:rsidRPr="00087FBE">
              <w:rPr>
                <w:rFonts w:asciiTheme="majorHAnsi" w:hAnsiTheme="majorHAnsi" w:cs="Garamond"/>
                <w:lang w:val="es-ES_tradnl"/>
              </w:rPr>
              <w:t>44</w:t>
            </w:r>
            <w:r w:rsidR="006C3EBA">
              <w:rPr>
                <w:rFonts w:asciiTheme="majorHAnsi" w:hAnsiTheme="majorHAnsi" w:cs="Garamond"/>
                <w:lang w:val="es-ES_tradnl"/>
              </w:rPr>
              <w:t xml:space="preserve"> </w:t>
            </w:r>
            <w:r w:rsidRPr="00087FBE">
              <w:rPr>
                <w:rFonts w:asciiTheme="majorHAnsi" w:hAnsiTheme="majorHAnsi" w:cs="Garamond"/>
                <w:lang w:val="es-ES_tradnl"/>
              </w:rPr>
              <w:t>%</w:t>
            </w:r>
          </w:p>
        </w:tc>
        <w:tc>
          <w:tcPr>
            <w:tcW w:w="907" w:type="dxa"/>
          </w:tcPr>
          <w:p w:rsidR="006373A5" w:rsidRPr="00087FBE" w:rsidRDefault="006373A5" w:rsidP="00E8131F">
            <w:pPr>
              <w:autoSpaceDE w:val="0"/>
              <w:autoSpaceDN w:val="0"/>
              <w:adjustRightInd w:val="0"/>
              <w:spacing w:after="0" w:line="240" w:lineRule="auto"/>
              <w:rPr>
                <w:rFonts w:asciiTheme="majorHAnsi" w:hAnsiTheme="majorHAnsi" w:cs="Garamond"/>
                <w:lang w:val="es-ES_tradnl"/>
              </w:rPr>
            </w:pPr>
            <w:r w:rsidRPr="00087FBE">
              <w:rPr>
                <w:rFonts w:asciiTheme="majorHAnsi" w:hAnsiTheme="majorHAnsi" w:cs="Garamond"/>
                <w:lang w:val="es-ES_tradnl"/>
              </w:rPr>
              <w:t>45</w:t>
            </w:r>
            <w:r w:rsidR="006C3EBA">
              <w:rPr>
                <w:rFonts w:asciiTheme="majorHAnsi" w:hAnsiTheme="majorHAnsi" w:cs="Garamond"/>
                <w:lang w:val="es-ES_tradnl"/>
              </w:rPr>
              <w:t xml:space="preserve"> </w:t>
            </w:r>
            <w:r w:rsidRPr="00087FBE">
              <w:rPr>
                <w:rFonts w:asciiTheme="majorHAnsi" w:hAnsiTheme="majorHAnsi" w:cs="Garamond"/>
                <w:lang w:val="es-ES_tradnl"/>
              </w:rPr>
              <w:t>%</w:t>
            </w:r>
          </w:p>
        </w:tc>
        <w:tc>
          <w:tcPr>
            <w:tcW w:w="993" w:type="dxa"/>
          </w:tcPr>
          <w:p w:rsidR="006373A5" w:rsidRPr="00087FBE" w:rsidRDefault="006373A5" w:rsidP="00E8131F">
            <w:pPr>
              <w:autoSpaceDE w:val="0"/>
              <w:autoSpaceDN w:val="0"/>
              <w:adjustRightInd w:val="0"/>
              <w:spacing w:after="0" w:line="240" w:lineRule="auto"/>
              <w:rPr>
                <w:rFonts w:asciiTheme="majorHAnsi" w:hAnsiTheme="majorHAnsi" w:cs="Garamond"/>
                <w:lang w:val="es-ES_tradnl"/>
              </w:rPr>
            </w:pPr>
            <w:r w:rsidRPr="00087FBE">
              <w:rPr>
                <w:rFonts w:asciiTheme="majorHAnsi" w:hAnsiTheme="majorHAnsi" w:cs="Garamond"/>
                <w:lang w:val="es-ES_tradnl"/>
              </w:rPr>
              <w:t>19</w:t>
            </w:r>
            <w:r w:rsidR="006C3EBA">
              <w:rPr>
                <w:rFonts w:asciiTheme="majorHAnsi" w:hAnsiTheme="majorHAnsi" w:cs="Garamond"/>
                <w:lang w:val="es-ES_tradnl"/>
              </w:rPr>
              <w:t xml:space="preserve"> </w:t>
            </w:r>
            <w:r w:rsidRPr="00087FBE">
              <w:rPr>
                <w:rFonts w:asciiTheme="majorHAnsi" w:hAnsiTheme="majorHAnsi" w:cs="Garamond"/>
                <w:lang w:val="es-ES_tradnl"/>
              </w:rPr>
              <w:t>%</w:t>
            </w:r>
          </w:p>
        </w:tc>
        <w:tc>
          <w:tcPr>
            <w:tcW w:w="930" w:type="dxa"/>
          </w:tcPr>
          <w:p w:rsidR="006373A5" w:rsidRPr="00087FBE" w:rsidRDefault="006373A5" w:rsidP="00E8131F">
            <w:pPr>
              <w:autoSpaceDE w:val="0"/>
              <w:autoSpaceDN w:val="0"/>
              <w:adjustRightInd w:val="0"/>
              <w:spacing w:after="0" w:line="240" w:lineRule="auto"/>
              <w:rPr>
                <w:rFonts w:asciiTheme="majorHAnsi" w:hAnsiTheme="majorHAnsi" w:cs="Garamond"/>
                <w:lang w:val="es-ES_tradnl"/>
              </w:rPr>
            </w:pPr>
            <w:r w:rsidRPr="00087FBE">
              <w:rPr>
                <w:rFonts w:asciiTheme="majorHAnsi" w:hAnsiTheme="majorHAnsi" w:cs="Garamond"/>
                <w:lang w:val="es-ES_tradnl"/>
              </w:rPr>
              <w:t>21</w:t>
            </w:r>
            <w:r w:rsidR="006C3EBA">
              <w:rPr>
                <w:rFonts w:asciiTheme="majorHAnsi" w:hAnsiTheme="majorHAnsi" w:cs="Garamond"/>
                <w:lang w:val="es-ES_tradnl"/>
              </w:rPr>
              <w:t xml:space="preserve"> </w:t>
            </w:r>
            <w:r w:rsidRPr="00087FBE">
              <w:rPr>
                <w:rFonts w:asciiTheme="majorHAnsi" w:hAnsiTheme="majorHAnsi" w:cs="Garamond"/>
                <w:lang w:val="es-ES_tradnl"/>
              </w:rPr>
              <w:t>%</w:t>
            </w:r>
          </w:p>
        </w:tc>
      </w:tr>
      <w:tr w:rsidR="006373A5" w:rsidRPr="00087FBE" w:rsidTr="0041709D">
        <w:tc>
          <w:tcPr>
            <w:tcW w:w="3828" w:type="dxa"/>
          </w:tcPr>
          <w:p w:rsidR="006373A5" w:rsidRPr="00087FBE" w:rsidRDefault="006373A5" w:rsidP="00E8131F">
            <w:pPr>
              <w:autoSpaceDE w:val="0"/>
              <w:autoSpaceDN w:val="0"/>
              <w:adjustRightInd w:val="0"/>
              <w:spacing w:after="0" w:line="240" w:lineRule="auto"/>
              <w:rPr>
                <w:rFonts w:asciiTheme="majorHAnsi" w:hAnsiTheme="majorHAnsi" w:cs="Garamond"/>
                <w:lang w:val="es-ES_tradnl"/>
              </w:rPr>
            </w:pPr>
            <w:r w:rsidRPr="00087FBE">
              <w:rPr>
                <w:rFonts w:asciiTheme="majorHAnsi" w:hAnsiTheme="majorHAnsi" w:cs="Garamond"/>
                <w:lang w:val="es-ES_tradnl"/>
              </w:rPr>
              <w:t>c) Ministerios, departamentos y organismos pertinentes</w:t>
            </w:r>
          </w:p>
        </w:tc>
        <w:tc>
          <w:tcPr>
            <w:tcW w:w="935" w:type="dxa"/>
          </w:tcPr>
          <w:p w:rsidR="006373A5" w:rsidRPr="00087FBE" w:rsidRDefault="006373A5" w:rsidP="00E8131F">
            <w:pPr>
              <w:autoSpaceDE w:val="0"/>
              <w:autoSpaceDN w:val="0"/>
              <w:adjustRightInd w:val="0"/>
              <w:spacing w:after="0" w:line="240" w:lineRule="auto"/>
              <w:rPr>
                <w:rFonts w:asciiTheme="majorHAnsi" w:hAnsiTheme="majorHAnsi" w:cs="Garamond"/>
                <w:lang w:val="es-ES_tradnl"/>
              </w:rPr>
            </w:pPr>
            <w:r w:rsidRPr="00087FBE">
              <w:rPr>
                <w:rFonts w:asciiTheme="majorHAnsi" w:hAnsiTheme="majorHAnsi" w:cs="Garamond"/>
                <w:lang w:val="es-ES_tradnl"/>
              </w:rPr>
              <w:t>48</w:t>
            </w:r>
            <w:r w:rsidR="006C3EBA">
              <w:rPr>
                <w:rFonts w:asciiTheme="majorHAnsi" w:hAnsiTheme="majorHAnsi" w:cs="Garamond"/>
                <w:lang w:val="es-ES_tradnl"/>
              </w:rPr>
              <w:t xml:space="preserve"> </w:t>
            </w:r>
            <w:r w:rsidRPr="00087FBE">
              <w:rPr>
                <w:rFonts w:asciiTheme="majorHAnsi" w:hAnsiTheme="majorHAnsi" w:cs="Garamond"/>
                <w:lang w:val="es-ES_tradnl"/>
              </w:rPr>
              <w:t>%</w:t>
            </w:r>
          </w:p>
        </w:tc>
        <w:tc>
          <w:tcPr>
            <w:tcW w:w="907" w:type="dxa"/>
          </w:tcPr>
          <w:p w:rsidR="006373A5" w:rsidRPr="00087FBE" w:rsidRDefault="006373A5" w:rsidP="00E8131F">
            <w:pPr>
              <w:autoSpaceDE w:val="0"/>
              <w:autoSpaceDN w:val="0"/>
              <w:adjustRightInd w:val="0"/>
              <w:spacing w:after="0" w:line="240" w:lineRule="auto"/>
              <w:rPr>
                <w:rFonts w:asciiTheme="majorHAnsi" w:hAnsiTheme="majorHAnsi" w:cs="Garamond"/>
                <w:lang w:val="es-ES_tradnl"/>
              </w:rPr>
            </w:pPr>
            <w:r w:rsidRPr="00087FBE">
              <w:rPr>
                <w:rFonts w:asciiTheme="majorHAnsi" w:hAnsiTheme="majorHAnsi" w:cs="Garamond"/>
                <w:lang w:val="es-ES_tradnl"/>
              </w:rPr>
              <w:t>54</w:t>
            </w:r>
            <w:r w:rsidR="006C3EBA">
              <w:rPr>
                <w:rFonts w:asciiTheme="majorHAnsi" w:hAnsiTheme="majorHAnsi" w:cs="Garamond"/>
                <w:lang w:val="es-ES_tradnl"/>
              </w:rPr>
              <w:t xml:space="preserve"> </w:t>
            </w:r>
            <w:r w:rsidRPr="00087FBE">
              <w:rPr>
                <w:rFonts w:asciiTheme="majorHAnsi" w:hAnsiTheme="majorHAnsi" w:cs="Garamond"/>
                <w:lang w:val="es-ES_tradnl"/>
              </w:rPr>
              <w:t>%</w:t>
            </w:r>
          </w:p>
        </w:tc>
        <w:tc>
          <w:tcPr>
            <w:tcW w:w="993" w:type="dxa"/>
          </w:tcPr>
          <w:p w:rsidR="006373A5" w:rsidRPr="00087FBE" w:rsidRDefault="006373A5" w:rsidP="00E8131F">
            <w:pPr>
              <w:autoSpaceDE w:val="0"/>
              <w:autoSpaceDN w:val="0"/>
              <w:adjustRightInd w:val="0"/>
              <w:spacing w:after="0" w:line="240" w:lineRule="auto"/>
              <w:rPr>
                <w:rFonts w:asciiTheme="majorHAnsi" w:hAnsiTheme="majorHAnsi" w:cs="Garamond"/>
                <w:lang w:val="es-ES_tradnl"/>
              </w:rPr>
            </w:pPr>
            <w:r w:rsidRPr="00087FBE">
              <w:rPr>
                <w:rFonts w:asciiTheme="majorHAnsi" w:hAnsiTheme="majorHAnsi" w:cs="Garamond"/>
                <w:lang w:val="es-ES_tradnl"/>
              </w:rPr>
              <w:t>17</w:t>
            </w:r>
            <w:r w:rsidR="006C3EBA">
              <w:rPr>
                <w:rFonts w:asciiTheme="majorHAnsi" w:hAnsiTheme="majorHAnsi" w:cs="Garamond"/>
                <w:lang w:val="es-ES_tradnl"/>
              </w:rPr>
              <w:t xml:space="preserve"> </w:t>
            </w:r>
            <w:r w:rsidRPr="00087FBE">
              <w:rPr>
                <w:rFonts w:asciiTheme="majorHAnsi" w:hAnsiTheme="majorHAnsi" w:cs="Garamond"/>
                <w:lang w:val="es-ES_tradnl"/>
              </w:rPr>
              <w:t>%</w:t>
            </w:r>
          </w:p>
        </w:tc>
        <w:tc>
          <w:tcPr>
            <w:tcW w:w="930" w:type="dxa"/>
          </w:tcPr>
          <w:p w:rsidR="006373A5" w:rsidRPr="00087FBE" w:rsidRDefault="006373A5" w:rsidP="00E8131F">
            <w:pPr>
              <w:autoSpaceDE w:val="0"/>
              <w:autoSpaceDN w:val="0"/>
              <w:adjustRightInd w:val="0"/>
              <w:spacing w:after="0" w:line="240" w:lineRule="auto"/>
              <w:rPr>
                <w:rFonts w:asciiTheme="majorHAnsi" w:hAnsiTheme="majorHAnsi" w:cs="Garamond"/>
                <w:lang w:val="es-ES_tradnl"/>
              </w:rPr>
            </w:pPr>
            <w:r w:rsidRPr="00087FBE">
              <w:rPr>
                <w:rFonts w:asciiTheme="majorHAnsi" w:hAnsiTheme="majorHAnsi" w:cs="Garamond"/>
                <w:lang w:val="es-ES_tradnl"/>
              </w:rPr>
              <w:t>13</w:t>
            </w:r>
            <w:r w:rsidR="006C3EBA">
              <w:rPr>
                <w:rFonts w:asciiTheme="majorHAnsi" w:hAnsiTheme="majorHAnsi" w:cs="Garamond"/>
                <w:lang w:val="es-ES_tradnl"/>
              </w:rPr>
              <w:t xml:space="preserve"> </w:t>
            </w:r>
            <w:r w:rsidRPr="00087FBE">
              <w:rPr>
                <w:rFonts w:asciiTheme="majorHAnsi" w:hAnsiTheme="majorHAnsi" w:cs="Garamond"/>
                <w:lang w:val="es-ES_tradnl"/>
              </w:rPr>
              <w:t>%</w:t>
            </w:r>
          </w:p>
        </w:tc>
      </w:tr>
    </w:tbl>
    <w:p w:rsidR="006373A5" w:rsidRPr="00087FBE" w:rsidRDefault="006373A5" w:rsidP="006373A5">
      <w:pPr>
        <w:spacing w:after="0" w:line="240" w:lineRule="auto"/>
        <w:rPr>
          <w:rFonts w:asciiTheme="majorHAnsi" w:hAnsiTheme="majorHAnsi" w:cs="Arial"/>
          <w:b/>
          <w:lang w:val="es-ES_tradnl"/>
        </w:rPr>
      </w:pPr>
      <w:r w:rsidRPr="00087FBE">
        <w:rPr>
          <w:rFonts w:asciiTheme="majorHAnsi" w:hAnsiTheme="majorHAnsi" w:cs="Arial"/>
          <w:b/>
          <w:lang w:val="es-ES_tradnl"/>
        </w:rPr>
        <w:t xml:space="preserve">Cuadro 1: </w:t>
      </w:r>
      <w:r w:rsidR="006C3EBA">
        <w:rPr>
          <w:rFonts w:asciiTheme="majorHAnsi" w:hAnsiTheme="majorHAnsi" w:cs="Arial"/>
          <w:b/>
          <w:lang w:val="es-ES_tradnl"/>
        </w:rPr>
        <w:t>¿Existen otros mecanismos de comunicación instaurados (aparte de Comités Nacionales de Humedales) para compartir los lineamientos de Ramsar entre la Autoridad Administrativa de Ramsar y los interesados?</w:t>
      </w:r>
    </w:p>
    <w:p w:rsidR="006373A5" w:rsidRPr="00087FBE" w:rsidRDefault="006373A5" w:rsidP="006373A5">
      <w:pPr>
        <w:tabs>
          <w:tab w:val="left" w:pos="7256"/>
        </w:tabs>
        <w:spacing w:after="0" w:line="240" w:lineRule="auto"/>
        <w:rPr>
          <w:rFonts w:asciiTheme="majorHAnsi" w:hAnsiTheme="majorHAnsi" w:cs="Arial"/>
          <w:lang w:val="es-ES_tradnl"/>
        </w:rPr>
      </w:pPr>
      <w:r w:rsidRPr="00087FBE">
        <w:rPr>
          <w:rFonts w:asciiTheme="majorHAnsi" w:hAnsiTheme="majorHAnsi" w:cs="Arial"/>
          <w:lang w:val="es-ES_tradnl"/>
        </w:rPr>
        <w:tab/>
      </w: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 xml:space="preserve">Los administradores de los sitios Ramsar necesitan </w:t>
      </w:r>
      <w:r w:rsidR="001035F9" w:rsidRPr="00087FBE">
        <w:rPr>
          <w:rFonts w:asciiTheme="majorHAnsi" w:hAnsiTheme="majorHAnsi" w:cs="Arial"/>
          <w:lang w:val="es-ES_tradnl"/>
        </w:rPr>
        <w:t xml:space="preserve">recibir </w:t>
      </w:r>
      <w:r w:rsidRPr="00087FBE">
        <w:rPr>
          <w:rFonts w:asciiTheme="majorHAnsi" w:hAnsiTheme="majorHAnsi" w:cs="Arial"/>
          <w:lang w:val="es-ES_tradnl"/>
        </w:rPr>
        <w:t xml:space="preserve">actualizaciones periódicas de su Autoridad Administrativa nacional sobre los materiales de orientación de Ramsar, con particular referencia </w:t>
      </w:r>
      <w:r w:rsidR="00F3363E" w:rsidRPr="00087FBE">
        <w:rPr>
          <w:rFonts w:asciiTheme="majorHAnsi" w:hAnsiTheme="majorHAnsi" w:cs="Arial"/>
          <w:lang w:val="es-ES_tradnl"/>
        </w:rPr>
        <w:t>al manejo de los sitios</w:t>
      </w:r>
      <w:r w:rsidRPr="00087FBE">
        <w:rPr>
          <w:rFonts w:asciiTheme="majorHAnsi" w:hAnsiTheme="majorHAnsi" w:cs="Arial"/>
          <w:lang w:val="es-ES_tradnl"/>
        </w:rPr>
        <w:t xml:space="preserve">. De las respuestas al Indicador 4.1.7.a se desprende que el 55 </w:t>
      </w:r>
      <w:r w:rsidR="00F3363E" w:rsidRPr="00087FBE">
        <w:rPr>
          <w:rFonts w:asciiTheme="majorHAnsi" w:hAnsiTheme="majorHAnsi" w:cs="Arial"/>
          <w:lang w:val="es-ES_tradnl"/>
        </w:rPr>
        <w:t>%</w:t>
      </w:r>
      <w:r w:rsidRPr="00087FBE">
        <w:rPr>
          <w:rFonts w:asciiTheme="majorHAnsi" w:hAnsiTheme="majorHAnsi" w:cs="Arial"/>
          <w:lang w:val="es-ES_tradnl"/>
        </w:rPr>
        <w:t xml:space="preserve"> de las Partes </w:t>
      </w:r>
      <w:r w:rsidR="00F3363E" w:rsidRPr="00087FBE">
        <w:rPr>
          <w:rFonts w:asciiTheme="majorHAnsi" w:hAnsiTheme="majorHAnsi" w:cs="Arial"/>
          <w:lang w:val="es-ES_tradnl"/>
        </w:rPr>
        <w:t>señalaron</w:t>
      </w:r>
      <w:r w:rsidRPr="00087FBE">
        <w:rPr>
          <w:rFonts w:asciiTheme="majorHAnsi" w:hAnsiTheme="majorHAnsi" w:cs="Arial"/>
          <w:lang w:val="es-ES_tradnl"/>
        </w:rPr>
        <w:t xml:space="preserve"> la existencia de esos mecanismos de comunicaciones, porcentaje similar al 56 </w:t>
      </w:r>
      <w:r w:rsidR="00F3363E" w:rsidRPr="00087FBE">
        <w:rPr>
          <w:rFonts w:asciiTheme="majorHAnsi" w:hAnsiTheme="majorHAnsi" w:cs="Arial"/>
          <w:lang w:val="es-ES_tradnl"/>
        </w:rPr>
        <w:t>%</w:t>
      </w:r>
      <w:r w:rsidRPr="00087FBE">
        <w:rPr>
          <w:rFonts w:asciiTheme="majorHAnsi" w:hAnsiTheme="majorHAnsi" w:cs="Arial"/>
          <w:lang w:val="es-ES_tradnl"/>
        </w:rPr>
        <w:t xml:space="preserve"> </w:t>
      </w:r>
      <w:r w:rsidR="00F3363E" w:rsidRPr="00087FBE">
        <w:rPr>
          <w:rFonts w:asciiTheme="majorHAnsi" w:hAnsiTheme="majorHAnsi" w:cs="Arial"/>
          <w:lang w:val="es-ES_tradnl"/>
        </w:rPr>
        <w:t>indicado</w:t>
      </w:r>
      <w:r w:rsidRPr="00087FBE">
        <w:rPr>
          <w:rFonts w:asciiTheme="majorHAnsi" w:hAnsiTheme="majorHAnsi" w:cs="Arial"/>
          <w:lang w:val="es-ES_tradnl"/>
        </w:rPr>
        <w:t xml:space="preserve"> en la COP11. El 19 </w:t>
      </w:r>
      <w:r w:rsidR="00F3363E" w:rsidRPr="00087FBE">
        <w:rPr>
          <w:rFonts w:asciiTheme="majorHAnsi" w:hAnsiTheme="majorHAnsi" w:cs="Arial"/>
          <w:lang w:val="es-ES_tradnl"/>
        </w:rPr>
        <w:t>%</w:t>
      </w:r>
      <w:r w:rsidRPr="00087FBE">
        <w:rPr>
          <w:rFonts w:asciiTheme="majorHAnsi" w:hAnsiTheme="majorHAnsi" w:cs="Arial"/>
          <w:lang w:val="es-ES_tradnl"/>
        </w:rPr>
        <w:t xml:space="preserve"> de las Partes declararon que no existía un mecanismo de comunicación, una mejora en comparación con el 31 </w:t>
      </w:r>
      <w:r w:rsidR="00F3363E" w:rsidRPr="00087FBE">
        <w:rPr>
          <w:rFonts w:asciiTheme="majorHAnsi" w:hAnsiTheme="majorHAnsi" w:cs="Arial"/>
          <w:lang w:val="es-ES_tradnl"/>
        </w:rPr>
        <w:t>%</w:t>
      </w:r>
      <w:r w:rsidRPr="00087FBE">
        <w:rPr>
          <w:rFonts w:asciiTheme="majorHAnsi" w:hAnsiTheme="majorHAnsi" w:cs="Arial"/>
          <w:lang w:val="es-ES_tradnl"/>
        </w:rPr>
        <w:t xml:space="preserve"> declarado en la COP11.</w:t>
      </w:r>
    </w:p>
    <w:p w:rsidR="006373A5" w:rsidRPr="00087FBE" w:rsidRDefault="006373A5" w:rsidP="006373A5">
      <w:pPr>
        <w:pStyle w:val="ListParagraph"/>
        <w:spacing w:after="0" w:line="240" w:lineRule="auto"/>
        <w:ind w:left="426"/>
        <w:rPr>
          <w:rFonts w:asciiTheme="majorHAnsi" w:hAnsiTheme="majorHAnsi" w:cs="Arial"/>
          <w:lang w:val="es-ES_tradnl"/>
        </w:rPr>
      </w:pPr>
    </w:p>
    <w:p w:rsidR="006373A5" w:rsidRPr="00087FBE" w:rsidRDefault="006373A5" w:rsidP="0003188A">
      <w:pPr>
        <w:pStyle w:val="ListParagraph"/>
        <w:numPr>
          <w:ilvl w:val="0"/>
          <w:numId w:val="1"/>
        </w:numPr>
        <w:tabs>
          <w:tab w:val="left" w:pos="7655"/>
        </w:tabs>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 xml:space="preserve">En el Indicador 4.1.7.c se pregunta </w:t>
      </w:r>
      <w:r w:rsidR="00F3363E" w:rsidRPr="00087FBE">
        <w:rPr>
          <w:rFonts w:asciiTheme="majorHAnsi" w:hAnsiTheme="majorHAnsi" w:cs="Arial"/>
          <w:lang w:val="es-ES_tradnl"/>
        </w:rPr>
        <w:t>si existen</w:t>
      </w:r>
      <w:r w:rsidRPr="00087FBE">
        <w:rPr>
          <w:rFonts w:asciiTheme="majorHAnsi" w:hAnsiTheme="majorHAnsi" w:cs="Arial"/>
          <w:lang w:val="es-ES_tradnl"/>
        </w:rPr>
        <w:t xml:space="preserve"> mecanismos de comunicación para compartir información sobre la aplicación de Ramsar </w:t>
      </w:r>
      <w:r w:rsidR="004C0F7C" w:rsidRPr="00087FBE">
        <w:rPr>
          <w:rFonts w:asciiTheme="majorHAnsi" w:hAnsiTheme="majorHAnsi" w:cs="Arial"/>
          <w:lang w:val="es-ES_tradnl"/>
        </w:rPr>
        <w:t>con</w:t>
      </w:r>
      <w:r w:rsidRPr="00087FBE">
        <w:rPr>
          <w:rFonts w:asciiTheme="majorHAnsi" w:hAnsiTheme="majorHAnsi" w:cs="Arial"/>
          <w:lang w:val="es-ES_tradnl"/>
        </w:rPr>
        <w:t xml:space="preserve"> los ministerios y departamentos pertinentes. La existencia de este mecanismo muestra si ya existen estructuras nacionales para la gestión de los humedales, o de manera más general, para la conservación de la diversidad biológica en un país y, por ende, podría resultar innecesario o sencillamente poco práctico establecer un mecanismo </w:t>
      </w:r>
      <w:r w:rsidR="00F3363E" w:rsidRPr="00087FBE">
        <w:rPr>
          <w:rFonts w:asciiTheme="majorHAnsi" w:hAnsiTheme="majorHAnsi" w:cs="Arial"/>
          <w:lang w:val="es-ES_tradnl"/>
        </w:rPr>
        <w:t xml:space="preserve">específico para </w:t>
      </w:r>
      <w:r w:rsidRPr="00087FBE">
        <w:rPr>
          <w:rFonts w:asciiTheme="majorHAnsi" w:hAnsiTheme="majorHAnsi" w:cs="Arial"/>
          <w:lang w:val="es-ES_tradnl"/>
        </w:rPr>
        <w:t xml:space="preserve">Ramsar. El 48 </w:t>
      </w:r>
      <w:r w:rsidR="00F3363E" w:rsidRPr="00087FBE">
        <w:rPr>
          <w:rFonts w:asciiTheme="majorHAnsi" w:hAnsiTheme="majorHAnsi" w:cs="Arial"/>
          <w:lang w:val="es-ES_tradnl"/>
        </w:rPr>
        <w:t>%</w:t>
      </w:r>
      <w:r w:rsidRPr="00087FBE">
        <w:rPr>
          <w:rFonts w:asciiTheme="majorHAnsi" w:hAnsiTheme="majorHAnsi" w:cs="Arial"/>
          <w:lang w:val="es-ES_tradnl"/>
        </w:rPr>
        <w:t xml:space="preserve"> de las Partes </w:t>
      </w:r>
      <w:r w:rsidR="00F3363E" w:rsidRPr="00087FBE">
        <w:rPr>
          <w:rFonts w:asciiTheme="majorHAnsi" w:hAnsiTheme="majorHAnsi" w:cs="Arial"/>
          <w:lang w:val="es-ES_tradnl"/>
        </w:rPr>
        <w:t>señalaron</w:t>
      </w:r>
      <w:r w:rsidRPr="00087FBE">
        <w:rPr>
          <w:rFonts w:asciiTheme="majorHAnsi" w:hAnsiTheme="majorHAnsi" w:cs="Arial"/>
          <w:lang w:val="es-ES_tradnl"/>
        </w:rPr>
        <w:t xml:space="preserve"> que </w:t>
      </w:r>
      <w:r w:rsidR="00F3363E" w:rsidRPr="00087FBE">
        <w:rPr>
          <w:rFonts w:asciiTheme="majorHAnsi" w:hAnsiTheme="majorHAnsi" w:cs="Arial"/>
          <w:lang w:val="es-ES_tradnl"/>
        </w:rPr>
        <w:t>disponían</w:t>
      </w:r>
      <w:r w:rsidRPr="00087FBE">
        <w:rPr>
          <w:rFonts w:asciiTheme="majorHAnsi" w:hAnsiTheme="majorHAnsi" w:cs="Arial"/>
          <w:lang w:val="es-ES_tradnl"/>
        </w:rPr>
        <w:t xml:space="preserve"> </w:t>
      </w:r>
      <w:r w:rsidR="00F3363E" w:rsidRPr="00087FBE">
        <w:rPr>
          <w:rFonts w:asciiTheme="majorHAnsi" w:hAnsiTheme="majorHAnsi" w:cs="Arial"/>
          <w:lang w:val="es-ES_tradnl"/>
        </w:rPr>
        <w:t xml:space="preserve">de dicho </w:t>
      </w:r>
      <w:r w:rsidRPr="00087FBE">
        <w:rPr>
          <w:rFonts w:asciiTheme="majorHAnsi" w:hAnsiTheme="majorHAnsi" w:cs="Arial"/>
          <w:lang w:val="es-ES_tradnl"/>
        </w:rPr>
        <w:t xml:space="preserve">mecanismo, ligeramente menos que el 54 </w:t>
      </w:r>
      <w:r w:rsidR="00F3363E" w:rsidRPr="00087FBE">
        <w:rPr>
          <w:rFonts w:asciiTheme="majorHAnsi" w:hAnsiTheme="majorHAnsi" w:cs="Arial"/>
          <w:lang w:val="es-ES_tradnl"/>
        </w:rPr>
        <w:t>%</w:t>
      </w:r>
      <w:r w:rsidRPr="00087FBE">
        <w:rPr>
          <w:rFonts w:asciiTheme="majorHAnsi" w:hAnsiTheme="majorHAnsi" w:cs="Arial"/>
          <w:lang w:val="es-ES_tradnl"/>
        </w:rPr>
        <w:t xml:space="preserve"> </w:t>
      </w:r>
      <w:r w:rsidR="00F3363E" w:rsidRPr="00087FBE">
        <w:rPr>
          <w:rFonts w:asciiTheme="majorHAnsi" w:hAnsiTheme="majorHAnsi" w:cs="Arial"/>
          <w:lang w:val="es-ES_tradnl"/>
        </w:rPr>
        <w:t>indicado</w:t>
      </w:r>
      <w:r w:rsidRPr="00087FBE">
        <w:rPr>
          <w:rFonts w:asciiTheme="majorHAnsi" w:hAnsiTheme="majorHAnsi" w:cs="Arial"/>
          <w:lang w:val="es-ES_tradnl"/>
        </w:rPr>
        <w:t xml:space="preserve"> en la COP11. </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Times New Roman"/>
          <w:szCs w:val="24"/>
          <w:lang w:val="es-ES_tradnl" w:eastAsia="fr-FR"/>
        </w:rPr>
        <w:t xml:space="preserve">Sin embargo, la mayor preocupación gira en torno a los países que no disponen de </w:t>
      </w:r>
      <w:r w:rsidRPr="00087FBE">
        <w:rPr>
          <w:rFonts w:asciiTheme="majorHAnsi" w:hAnsiTheme="majorHAnsi" w:cs="Times New Roman"/>
          <w:iCs/>
          <w:szCs w:val="24"/>
          <w:lang w:val="es-ES_tradnl" w:eastAsia="fr-FR"/>
        </w:rPr>
        <w:t>ningún</w:t>
      </w:r>
      <w:r w:rsidRPr="00087FBE">
        <w:rPr>
          <w:rFonts w:asciiTheme="majorHAnsi" w:hAnsiTheme="majorHAnsi" w:cs="Times New Roman"/>
          <w:i/>
          <w:iCs/>
          <w:szCs w:val="24"/>
          <w:lang w:val="es-ES_tradnl" w:eastAsia="fr-FR"/>
        </w:rPr>
        <w:t xml:space="preserve"> </w:t>
      </w:r>
      <w:r w:rsidRPr="00087FBE">
        <w:rPr>
          <w:rFonts w:asciiTheme="majorHAnsi" w:hAnsiTheme="majorHAnsi" w:cs="Times New Roman"/>
          <w:szCs w:val="24"/>
          <w:lang w:val="es-ES_tradnl" w:eastAsia="fr-FR"/>
        </w:rPr>
        <w:t xml:space="preserve">mecanismo, es decir, que no cuentan con un Comité Nacional </w:t>
      </w:r>
      <w:r w:rsidR="00F3363E" w:rsidRPr="00087FBE">
        <w:rPr>
          <w:rFonts w:asciiTheme="majorHAnsi" w:hAnsiTheme="majorHAnsi" w:cs="Times New Roman"/>
          <w:szCs w:val="24"/>
          <w:lang w:val="es-ES_tradnl" w:eastAsia="fr-FR"/>
        </w:rPr>
        <w:t xml:space="preserve">de </w:t>
      </w:r>
      <w:r w:rsidRPr="00087FBE">
        <w:rPr>
          <w:rFonts w:asciiTheme="majorHAnsi" w:hAnsiTheme="majorHAnsi" w:cs="Times New Roman"/>
          <w:szCs w:val="24"/>
          <w:lang w:val="es-ES_tradnl" w:eastAsia="fr-FR"/>
        </w:rPr>
        <w:t xml:space="preserve">Ramsar ni con </w:t>
      </w:r>
      <w:r w:rsidR="00A13793" w:rsidRPr="00087FBE">
        <w:rPr>
          <w:rFonts w:asciiTheme="majorHAnsi" w:hAnsiTheme="majorHAnsi" w:cs="Times New Roman"/>
          <w:szCs w:val="24"/>
          <w:lang w:val="es-ES_tradnl" w:eastAsia="fr-FR"/>
        </w:rPr>
        <w:t>ningún</w:t>
      </w:r>
      <w:r w:rsidRPr="00087FBE">
        <w:rPr>
          <w:rFonts w:asciiTheme="majorHAnsi" w:hAnsiTheme="majorHAnsi" w:cs="Times New Roman"/>
          <w:szCs w:val="24"/>
          <w:lang w:val="es-ES_tradnl" w:eastAsia="fr-FR"/>
        </w:rPr>
        <w:t xml:space="preserve"> otro mecanismo de comunicación con ministerios, departamentos y organismos. Al analizar esa situación, se observa que</w:t>
      </w:r>
      <w:r w:rsidR="00F3363E" w:rsidRPr="00087FBE">
        <w:rPr>
          <w:rFonts w:asciiTheme="majorHAnsi" w:hAnsiTheme="majorHAnsi" w:cs="Times New Roman"/>
          <w:szCs w:val="24"/>
          <w:lang w:val="es-ES_tradnl" w:eastAsia="fr-FR"/>
        </w:rPr>
        <w:t xml:space="preserve">, como </w:t>
      </w:r>
      <w:r w:rsidRPr="00087FBE">
        <w:rPr>
          <w:rFonts w:asciiTheme="majorHAnsi" w:hAnsiTheme="majorHAnsi" w:cs="Times New Roman"/>
          <w:szCs w:val="24"/>
          <w:lang w:val="es-ES_tradnl" w:eastAsia="fr-FR"/>
        </w:rPr>
        <w:t>promedio</w:t>
      </w:r>
      <w:r w:rsidR="00F3363E" w:rsidRPr="00087FBE">
        <w:rPr>
          <w:rFonts w:asciiTheme="majorHAnsi" w:hAnsiTheme="majorHAnsi" w:cs="Times New Roman"/>
          <w:szCs w:val="24"/>
          <w:lang w:val="es-ES_tradnl" w:eastAsia="fr-FR"/>
        </w:rPr>
        <w:t>,</w:t>
      </w:r>
      <w:r w:rsidRPr="00087FBE">
        <w:rPr>
          <w:rFonts w:asciiTheme="majorHAnsi" w:hAnsiTheme="majorHAnsi" w:cs="Times New Roman"/>
          <w:szCs w:val="24"/>
          <w:lang w:val="es-ES_tradnl" w:eastAsia="fr-FR"/>
        </w:rPr>
        <w:t xml:space="preserve"> el 19 </w:t>
      </w:r>
      <w:r w:rsidR="00F3363E" w:rsidRPr="00087FBE">
        <w:rPr>
          <w:rFonts w:asciiTheme="majorHAnsi" w:hAnsiTheme="majorHAnsi" w:cs="Times New Roman"/>
          <w:szCs w:val="24"/>
          <w:lang w:val="es-ES_tradnl" w:eastAsia="fr-FR"/>
        </w:rPr>
        <w:t>%</w:t>
      </w:r>
      <w:r w:rsidRPr="00087FBE">
        <w:rPr>
          <w:rFonts w:asciiTheme="majorHAnsi" w:hAnsiTheme="majorHAnsi" w:cs="Times New Roman"/>
          <w:szCs w:val="24"/>
          <w:lang w:val="es-ES_tradnl" w:eastAsia="fr-FR"/>
        </w:rPr>
        <w:t xml:space="preserve"> de las Partes que presentaron Informes Nacionales no disponen de ninguno de esos mecanismos.</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spacing w:after="0" w:line="240" w:lineRule="auto"/>
        <w:rPr>
          <w:rFonts w:asciiTheme="majorHAnsi" w:hAnsiTheme="majorHAnsi" w:cs="Arial"/>
          <w:b/>
          <w:lang w:val="es-ES_tradnl"/>
        </w:rPr>
      </w:pPr>
      <w:r w:rsidRPr="00087FBE">
        <w:rPr>
          <w:rFonts w:asciiTheme="majorHAnsi" w:hAnsiTheme="majorHAnsi" w:cs="Arial"/>
          <w:b/>
          <w:lang w:val="es-ES_tradnl"/>
        </w:rPr>
        <w:t xml:space="preserve">Planes y planes de </w:t>
      </w:r>
      <w:r w:rsidR="00382E33" w:rsidRPr="00087FBE">
        <w:rPr>
          <w:rFonts w:asciiTheme="majorHAnsi" w:hAnsiTheme="majorHAnsi" w:cs="Arial"/>
          <w:b/>
          <w:lang w:val="es-ES_tradnl"/>
        </w:rPr>
        <w:t>a</w:t>
      </w:r>
      <w:r w:rsidR="00F3363E" w:rsidRPr="00087FBE">
        <w:rPr>
          <w:rFonts w:asciiTheme="majorHAnsi" w:hAnsiTheme="majorHAnsi" w:cs="Arial"/>
          <w:b/>
          <w:lang w:val="es-ES_tradnl"/>
        </w:rPr>
        <w:t>cción</w:t>
      </w:r>
      <w:r w:rsidRPr="00087FBE">
        <w:rPr>
          <w:rFonts w:asciiTheme="majorHAnsi" w:hAnsiTheme="majorHAnsi" w:cs="Arial"/>
          <w:b/>
          <w:lang w:val="es-ES_tradnl"/>
        </w:rPr>
        <w:t xml:space="preserve"> de CECoP </w:t>
      </w:r>
      <w:r w:rsidR="00337461" w:rsidRPr="00087FBE">
        <w:rPr>
          <w:rFonts w:asciiTheme="majorHAnsi" w:hAnsiTheme="majorHAnsi" w:cs="Arial"/>
          <w:b/>
          <w:lang w:val="es-ES_tradnl"/>
        </w:rPr>
        <w:t>sobre</w:t>
      </w:r>
      <w:r w:rsidRPr="00087FBE">
        <w:rPr>
          <w:rFonts w:asciiTheme="majorHAnsi" w:hAnsiTheme="majorHAnsi" w:cs="Arial"/>
          <w:b/>
          <w:lang w:val="es-ES_tradnl"/>
        </w:rPr>
        <w:t xml:space="preserve"> los humedales</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 xml:space="preserve">En el Indicador 4.1.1 en los Informes Nacionales para la COP12 se solicita a las Partes que </w:t>
      </w:r>
      <w:r w:rsidR="00337461" w:rsidRPr="00087FBE">
        <w:rPr>
          <w:rFonts w:asciiTheme="majorHAnsi" w:hAnsiTheme="majorHAnsi" w:cs="Arial"/>
          <w:lang w:val="es-ES_tradnl"/>
        </w:rPr>
        <w:t>indiquen</w:t>
      </w:r>
      <w:r w:rsidRPr="00087FBE">
        <w:rPr>
          <w:rFonts w:asciiTheme="majorHAnsi" w:hAnsiTheme="majorHAnsi" w:cs="Arial"/>
          <w:lang w:val="es-ES_tradnl"/>
        </w:rPr>
        <w:t xml:space="preserve"> si han establecido planes de acción de CECoP </w:t>
      </w:r>
      <w:r w:rsidR="00461719" w:rsidRPr="00087FBE">
        <w:rPr>
          <w:rFonts w:asciiTheme="majorHAnsi" w:hAnsiTheme="majorHAnsi" w:cs="Arial"/>
          <w:lang w:val="es-ES_tradnl"/>
        </w:rPr>
        <w:t>sobre</w:t>
      </w:r>
      <w:r w:rsidRPr="00087FBE">
        <w:rPr>
          <w:rFonts w:asciiTheme="majorHAnsi" w:hAnsiTheme="majorHAnsi" w:cs="Arial"/>
          <w:lang w:val="es-ES_tradnl"/>
        </w:rPr>
        <w:t xml:space="preserve"> los humedales </w:t>
      </w:r>
      <w:r w:rsidR="009A1236" w:rsidRPr="00087FBE">
        <w:rPr>
          <w:rFonts w:asciiTheme="majorHAnsi" w:hAnsiTheme="majorHAnsi" w:cs="Arial"/>
          <w:lang w:val="es-ES_tradnl"/>
        </w:rPr>
        <w:t>a escala</w:t>
      </w:r>
      <w:r w:rsidRPr="00087FBE">
        <w:rPr>
          <w:rFonts w:asciiTheme="majorHAnsi" w:hAnsiTheme="majorHAnsi" w:cs="Arial"/>
          <w:lang w:val="es-ES_tradnl"/>
        </w:rPr>
        <w:t xml:space="preserve"> nacional,</w:t>
      </w:r>
      <w:r w:rsidR="000A0BC2" w:rsidRPr="00087FBE">
        <w:rPr>
          <w:rFonts w:asciiTheme="majorHAnsi" w:hAnsiTheme="majorHAnsi" w:cs="Arial"/>
          <w:lang w:val="es-ES_tradnl"/>
        </w:rPr>
        <w:t xml:space="preserve"> subnacional, de cuenca y local o </w:t>
      </w:r>
      <w:r w:rsidRPr="00087FBE">
        <w:rPr>
          <w:rFonts w:asciiTheme="majorHAnsi" w:hAnsiTheme="majorHAnsi" w:cs="Arial"/>
          <w:lang w:val="es-ES_tradnl"/>
        </w:rPr>
        <w:t xml:space="preserve">de sitio. El 27 </w:t>
      </w:r>
      <w:r w:rsidR="00F3363E" w:rsidRPr="00087FBE">
        <w:rPr>
          <w:rFonts w:asciiTheme="majorHAnsi" w:hAnsiTheme="majorHAnsi" w:cs="Arial"/>
          <w:lang w:val="es-ES_tradnl"/>
        </w:rPr>
        <w:t>%</w:t>
      </w:r>
      <w:r w:rsidRPr="00087FBE">
        <w:rPr>
          <w:rFonts w:asciiTheme="majorHAnsi" w:hAnsiTheme="majorHAnsi" w:cs="Arial"/>
          <w:lang w:val="es-ES_tradnl"/>
        </w:rPr>
        <w:t xml:space="preserve"> de las Partes </w:t>
      </w:r>
      <w:r w:rsidR="000A0BC2" w:rsidRPr="00087FBE">
        <w:rPr>
          <w:rFonts w:asciiTheme="majorHAnsi" w:hAnsiTheme="majorHAnsi" w:cs="Arial"/>
          <w:lang w:val="es-ES_tradnl"/>
        </w:rPr>
        <w:t>señalaron que disponen de u</w:t>
      </w:r>
      <w:r w:rsidRPr="00087FBE">
        <w:rPr>
          <w:rFonts w:asciiTheme="majorHAnsi" w:hAnsiTheme="majorHAnsi" w:cs="Arial"/>
          <w:lang w:val="es-ES_tradnl"/>
        </w:rPr>
        <w:t xml:space="preserve">n plan a escala nacional y el 16 </w:t>
      </w:r>
      <w:r w:rsidR="00F3363E" w:rsidRPr="00087FBE">
        <w:rPr>
          <w:rFonts w:asciiTheme="majorHAnsi" w:hAnsiTheme="majorHAnsi" w:cs="Arial"/>
          <w:lang w:val="es-ES_tradnl"/>
        </w:rPr>
        <w:t>%</w:t>
      </w:r>
      <w:r w:rsidRPr="00087FBE">
        <w:rPr>
          <w:rFonts w:asciiTheme="majorHAnsi" w:hAnsiTheme="majorHAnsi" w:cs="Arial"/>
          <w:lang w:val="es-ES_tradnl"/>
        </w:rPr>
        <w:t xml:space="preserve"> a escala subnacional. </w:t>
      </w:r>
      <w:r w:rsidR="009A1236" w:rsidRPr="00087FBE">
        <w:rPr>
          <w:rFonts w:asciiTheme="majorHAnsi" w:hAnsiTheme="majorHAnsi" w:cs="Arial"/>
          <w:lang w:val="es-ES_tradnl"/>
        </w:rPr>
        <w:t>A escala de la cuenca</w:t>
      </w:r>
      <w:r w:rsidRPr="00087FBE">
        <w:rPr>
          <w:rFonts w:asciiTheme="majorHAnsi" w:hAnsiTheme="majorHAnsi" w:cs="Arial"/>
          <w:lang w:val="es-ES_tradnl"/>
        </w:rPr>
        <w:t xml:space="preserve">, el 15 </w:t>
      </w:r>
      <w:r w:rsidR="00F3363E" w:rsidRPr="00087FBE">
        <w:rPr>
          <w:rFonts w:asciiTheme="majorHAnsi" w:hAnsiTheme="majorHAnsi" w:cs="Arial"/>
          <w:lang w:val="es-ES_tradnl"/>
        </w:rPr>
        <w:t>%</w:t>
      </w:r>
      <w:r w:rsidRPr="00087FBE">
        <w:rPr>
          <w:rFonts w:asciiTheme="majorHAnsi" w:hAnsiTheme="majorHAnsi" w:cs="Arial"/>
          <w:lang w:val="es-ES_tradnl"/>
        </w:rPr>
        <w:t xml:space="preserve"> </w:t>
      </w:r>
      <w:r w:rsidR="00461719" w:rsidRPr="00087FBE">
        <w:rPr>
          <w:rFonts w:asciiTheme="majorHAnsi" w:hAnsiTheme="majorHAnsi" w:cs="Arial"/>
          <w:lang w:val="es-ES_tradnl"/>
        </w:rPr>
        <w:t xml:space="preserve">indicaron que disponen </w:t>
      </w:r>
      <w:r w:rsidRPr="00087FBE">
        <w:rPr>
          <w:rFonts w:asciiTheme="majorHAnsi" w:hAnsiTheme="majorHAnsi" w:cs="Arial"/>
          <w:lang w:val="es-ES_tradnl"/>
        </w:rPr>
        <w:t xml:space="preserve">de planes, mientras que el 37 </w:t>
      </w:r>
      <w:r w:rsidR="00F3363E" w:rsidRPr="00087FBE">
        <w:rPr>
          <w:rFonts w:asciiTheme="majorHAnsi" w:hAnsiTheme="majorHAnsi" w:cs="Arial"/>
          <w:lang w:val="es-ES_tradnl"/>
        </w:rPr>
        <w:t>%</w:t>
      </w:r>
      <w:r w:rsidRPr="00087FBE">
        <w:rPr>
          <w:rFonts w:asciiTheme="majorHAnsi" w:hAnsiTheme="majorHAnsi" w:cs="Arial"/>
          <w:lang w:val="es-ES_tradnl"/>
        </w:rPr>
        <w:t xml:space="preserve"> declara</w:t>
      </w:r>
      <w:r w:rsidR="000A0BC2" w:rsidRPr="00087FBE">
        <w:rPr>
          <w:rFonts w:asciiTheme="majorHAnsi" w:hAnsiTheme="majorHAnsi" w:cs="Arial"/>
          <w:lang w:val="es-ES_tradnl"/>
        </w:rPr>
        <w:t xml:space="preserve">ron tener un plan </w:t>
      </w:r>
      <w:r w:rsidR="009A1236" w:rsidRPr="00087FBE">
        <w:rPr>
          <w:rFonts w:asciiTheme="majorHAnsi" w:hAnsiTheme="majorHAnsi" w:cs="Arial"/>
          <w:lang w:val="es-ES_tradnl"/>
        </w:rPr>
        <w:t>a escala</w:t>
      </w:r>
      <w:r w:rsidR="000A0BC2" w:rsidRPr="00087FBE">
        <w:rPr>
          <w:rFonts w:asciiTheme="majorHAnsi" w:hAnsiTheme="majorHAnsi" w:cs="Arial"/>
          <w:lang w:val="es-ES_tradnl"/>
        </w:rPr>
        <w:t xml:space="preserve"> local o </w:t>
      </w:r>
      <w:r w:rsidRPr="00087FBE">
        <w:rPr>
          <w:rFonts w:asciiTheme="majorHAnsi" w:hAnsiTheme="majorHAnsi" w:cs="Arial"/>
          <w:lang w:val="es-ES_tradnl"/>
        </w:rPr>
        <w:t xml:space="preserve">de sitio. En general, estas cifras suponen una mejora y muestran progresos </w:t>
      </w:r>
      <w:r w:rsidR="000A0BC2" w:rsidRPr="00087FBE">
        <w:rPr>
          <w:rFonts w:asciiTheme="majorHAnsi" w:hAnsiTheme="majorHAnsi" w:cs="Arial"/>
          <w:lang w:val="es-ES_tradnl"/>
        </w:rPr>
        <w:t>en comparación</w:t>
      </w:r>
      <w:r w:rsidRPr="00087FBE">
        <w:rPr>
          <w:rFonts w:asciiTheme="majorHAnsi" w:hAnsiTheme="majorHAnsi" w:cs="Arial"/>
          <w:lang w:val="es-ES_tradnl"/>
        </w:rPr>
        <w:t xml:space="preserve"> con las cifras comunicadas a la COP11. </w:t>
      </w:r>
      <w:r w:rsidR="009A1236" w:rsidRPr="00087FBE">
        <w:rPr>
          <w:rFonts w:asciiTheme="majorHAnsi" w:hAnsiTheme="majorHAnsi" w:cs="Arial"/>
          <w:lang w:val="es-ES_tradnl"/>
        </w:rPr>
        <w:t>A escala</w:t>
      </w:r>
      <w:r w:rsidRPr="00087FBE">
        <w:rPr>
          <w:rFonts w:asciiTheme="majorHAnsi" w:hAnsiTheme="majorHAnsi" w:cs="Arial"/>
          <w:lang w:val="es-ES_tradnl"/>
        </w:rPr>
        <w:t xml:space="preserve"> de sitio vale la pena mencionar que el principal trabajo de CECoP fue realizado por los centros de humedales en los sitios.</w:t>
      </w:r>
    </w:p>
    <w:p w:rsidR="006373A5" w:rsidRPr="00087FBE" w:rsidRDefault="006373A5" w:rsidP="006373A5">
      <w:pPr>
        <w:pStyle w:val="ListParagraph"/>
        <w:spacing w:after="0" w:line="240" w:lineRule="auto"/>
        <w:ind w:left="426"/>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 xml:space="preserve">Un ejemplo de iniciativas de CECoP </w:t>
      </w:r>
      <w:r w:rsidR="009A1236" w:rsidRPr="00087FBE">
        <w:rPr>
          <w:rFonts w:asciiTheme="majorHAnsi" w:hAnsiTheme="majorHAnsi" w:cs="Arial"/>
          <w:lang w:val="es-ES_tradnl"/>
        </w:rPr>
        <w:t>a escala de la cuenca</w:t>
      </w:r>
      <w:r w:rsidRPr="00087FBE">
        <w:rPr>
          <w:rFonts w:asciiTheme="majorHAnsi" w:hAnsiTheme="majorHAnsi" w:cs="Arial"/>
          <w:lang w:val="es-ES_tradnl"/>
        </w:rPr>
        <w:t xml:space="preserve"> es China: la Comisión de Recursos Hídricos del río Yangtze está fomentando la comprensión del público sobre la gobernanza y la planificación de cuencas preparando planes de educación ambiental a mediano y largo plazo para el río Yangtze, organizando el Foro de Conservación del río Yangtze y estableciendo el Premio del río Yangtze para los medios de comunicación.</w:t>
      </w:r>
    </w:p>
    <w:p w:rsidR="006373A5" w:rsidRPr="00087FBE" w:rsidRDefault="006373A5" w:rsidP="006373A5">
      <w:pPr>
        <w:pStyle w:val="ListParagraph"/>
        <w:spacing w:after="0" w:line="240" w:lineRule="auto"/>
        <w:ind w:left="426"/>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 xml:space="preserve">Ejemplos de actividades de CECoP </w:t>
      </w:r>
      <w:r w:rsidR="009A1236" w:rsidRPr="00087FBE">
        <w:rPr>
          <w:rFonts w:asciiTheme="majorHAnsi" w:hAnsiTheme="majorHAnsi" w:cs="Arial"/>
          <w:lang w:val="es-ES_tradnl"/>
        </w:rPr>
        <w:t>a escala</w:t>
      </w:r>
      <w:r w:rsidRPr="00087FBE">
        <w:rPr>
          <w:rFonts w:asciiTheme="majorHAnsi" w:hAnsiTheme="majorHAnsi" w:cs="Arial"/>
          <w:lang w:val="es-ES_tradnl"/>
        </w:rPr>
        <w:t xml:space="preserve"> de</w:t>
      </w:r>
      <w:r w:rsidR="00461719" w:rsidRPr="00087FBE">
        <w:rPr>
          <w:rFonts w:asciiTheme="majorHAnsi" w:hAnsiTheme="majorHAnsi" w:cs="Arial"/>
          <w:lang w:val="es-ES_tradnl"/>
        </w:rPr>
        <w:t xml:space="preserve"> los</w:t>
      </w:r>
      <w:r w:rsidRPr="00087FBE">
        <w:rPr>
          <w:rFonts w:asciiTheme="majorHAnsi" w:hAnsiTheme="majorHAnsi" w:cs="Arial"/>
          <w:lang w:val="es-ES_tradnl"/>
        </w:rPr>
        <w:t xml:space="preserve"> sitio</w:t>
      </w:r>
      <w:r w:rsidR="00461719" w:rsidRPr="00087FBE">
        <w:rPr>
          <w:rFonts w:asciiTheme="majorHAnsi" w:hAnsiTheme="majorHAnsi" w:cs="Arial"/>
          <w:lang w:val="es-ES_tradnl"/>
        </w:rPr>
        <w:t>s</w:t>
      </w:r>
      <w:r w:rsidRPr="00087FBE">
        <w:rPr>
          <w:rFonts w:asciiTheme="majorHAnsi" w:hAnsiTheme="majorHAnsi" w:cs="Arial"/>
          <w:lang w:val="es-ES_tradnl"/>
        </w:rPr>
        <w:t>:</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Preparar grupos de voluntarios locales</w:t>
      </w:r>
      <w:r w:rsidR="000A0BC2" w:rsidRPr="00087FBE">
        <w:rPr>
          <w:rFonts w:asciiTheme="majorHAnsi" w:hAnsiTheme="majorHAnsi" w:cs="Arial"/>
          <w:lang w:val="es-ES_tradnl"/>
        </w:rPr>
        <w:t xml:space="preserve"> y en el sitio, desarrollar un kit </w:t>
      </w:r>
      <w:r w:rsidRPr="00087FBE">
        <w:rPr>
          <w:rFonts w:asciiTheme="majorHAnsi" w:hAnsiTheme="majorHAnsi" w:cs="Arial"/>
          <w:lang w:val="es-ES_tradnl"/>
        </w:rPr>
        <w:t xml:space="preserve">de herramientas </w:t>
      </w:r>
      <w:r w:rsidR="000A0BC2" w:rsidRPr="00087FBE">
        <w:rPr>
          <w:rFonts w:asciiTheme="majorHAnsi" w:hAnsiTheme="majorHAnsi" w:cs="Arial"/>
          <w:lang w:val="es-ES_tradnl"/>
        </w:rPr>
        <w:t xml:space="preserve">de </w:t>
      </w:r>
      <w:r w:rsidRPr="00087FBE">
        <w:rPr>
          <w:rFonts w:asciiTheme="majorHAnsi" w:hAnsiTheme="majorHAnsi" w:cs="Arial"/>
          <w:lang w:val="es-ES_tradnl"/>
        </w:rPr>
        <w:t xml:space="preserve">CECoP para el sitio Ramsar de </w:t>
      </w:r>
      <w:r w:rsidR="00461719" w:rsidRPr="00087FBE">
        <w:rPr>
          <w:rFonts w:asciiTheme="majorHAnsi" w:hAnsiTheme="majorHAnsi" w:cs="Arial"/>
          <w:lang w:val="es-ES_tradnl"/>
        </w:rPr>
        <w:t>Lower Kinabantangan – Segama Wetlands</w:t>
      </w:r>
      <w:r w:rsidR="00461719" w:rsidRPr="00087FBE">
        <w:rPr>
          <w:rFonts w:cs="Arial"/>
          <w:lang w:val="es-ES_tradnl"/>
        </w:rPr>
        <w:t xml:space="preserve"> </w:t>
      </w:r>
      <w:r w:rsidRPr="00087FBE">
        <w:rPr>
          <w:rFonts w:asciiTheme="majorHAnsi" w:hAnsiTheme="majorHAnsi" w:cs="Arial"/>
          <w:lang w:val="es-ES_tradnl"/>
        </w:rPr>
        <w:t>en Malasia; y</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 xml:space="preserve">Talleres y capacitación para los administradores de humedales en los Emiratos Árabes Unidos, </w:t>
      </w:r>
      <w:r w:rsidR="000A0BC2" w:rsidRPr="00087FBE">
        <w:rPr>
          <w:rFonts w:asciiTheme="majorHAnsi" w:hAnsiTheme="majorHAnsi" w:cs="Arial"/>
          <w:lang w:val="es-ES_tradnl"/>
        </w:rPr>
        <w:t xml:space="preserve">el </w:t>
      </w:r>
      <w:r w:rsidRPr="00087FBE">
        <w:rPr>
          <w:rFonts w:asciiTheme="majorHAnsi" w:hAnsiTheme="majorHAnsi" w:cs="Arial"/>
          <w:lang w:val="es-ES_tradnl"/>
        </w:rPr>
        <w:t xml:space="preserve">Líbano, </w:t>
      </w:r>
      <w:r w:rsidR="000A0BC2" w:rsidRPr="00087FBE">
        <w:rPr>
          <w:rFonts w:asciiTheme="majorHAnsi" w:hAnsiTheme="majorHAnsi" w:cs="Arial"/>
          <w:lang w:val="es-ES_tradnl"/>
        </w:rPr>
        <w:t xml:space="preserve">la </w:t>
      </w:r>
      <w:r w:rsidRPr="00087FBE">
        <w:rPr>
          <w:rFonts w:asciiTheme="majorHAnsi" w:hAnsiTheme="majorHAnsi" w:cs="Arial"/>
          <w:lang w:val="es-ES_tradnl"/>
        </w:rPr>
        <w:t>República Democrática Popular Lao, Tailandia y Viet Nam.</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 xml:space="preserve">Muchas Partes en Asia oriental y sudoriental mencionaron que el Centro Regional de Ramsar ha proporcionado oportunidades de capacitación para los administradores de sitios. En Japón, la Red de administradores de los sitios Ramsar de Hokkaido celebró conferencias, talleres y excursiones como capacitación de administradores de sitios de humedales con ocasión de su reunión general anual. En Kazajstán se organizaron cinco cursos de capacitación para el personal de los sitios como parte del procedimiento de rutina de mejora de cualificaciones para el personal de las área protegidas en cuestiones de gestión y conservación general. En Tailandia se proporcionó también capacitación </w:t>
      </w:r>
      <w:r w:rsidR="009A1236" w:rsidRPr="00087FBE">
        <w:rPr>
          <w:rFonts w:asciiTheme="majorHAnsi" w:hAnsiTheme="majorHAnsi" w:cs="Arial"/>
          <w:lang w:val="es-ES_tradnl"/>
        </w:rPr>
        <w:t>a escala</w:t>
      </w:r>
      <w:r w:rsidRPr="00087FBE">
        <w:rPr>
          <w:rFonts w:asciiTheme="majorHAnsi" w:hAnsiTheme="majorHAnsi" w:cs="Arial"/>
          <w:lang w:val="es-ES_tradnl"/>
        </w:rPr>
        <w:t xml:space="preserve"> nacional.</w:t>
      </w:r>
    </w:p>
    <w:p w:rsidR="006373A5" w:rsidRPr="00087FBE" w:rsidRDefault="006373A5" w:rsidP="006373A5">
      <w:pPr>
        <w:spacing w:after="0" w:line="240" w:lineRule="auto"/>
        <w:rPr>
          <w:rFonts w:asciiTheme="majorHAnsi" w:hAnsiTheme="majorHAnsi" w:cs="Arial"/>
          <w:highlight w:val="yellow"/>
          <w:lang w:val="es-ES_tradnl"/>
        </w:rPr>
      </w:pPr>
    </w:p>
    <w:p w:rsidR="006373A5" w:rsidRPr="00087FBE" w:rsidRDefault="006373A5" w:rsidP="006373A5">
      <w:pPr>
        <w:spacing w:after="0" w:line="240" w:lineRule="auto"/>
        <w:rPr>
          <w:rFonts w:asciiTheme="majorHAnsi" w:hAnsiTheme="majorHAnsi" w:cs="Arial"/>
          <w:b/>
          <w:lang w:val="es-ES_tradnl"/>
        </w:rPr>
      </w:pPr>
      <w:r w:rsidRPr="00087FBE">
        <w:rPr>
          <w:rFonts w:asciiTheme="majorHAnsi" w:hAnsiTheme="majorHAnsi" w:cs="Arial"/>
          <w:b/>
          <w:lang w:val="es-ES_tradnl"/>
        </w:rPr>
        <w:t>Establecimiento de centros de educación sobre los humedales en los sitios Ramsar y otros humedales</w:t>
      </w:r>
    </w:p>
    <w:p w:rsidR="006373A5" w:rsidRPr="00087FBE" w:rsidRDefault="006373A5" w:rsidP="006373A5">
      <w:pPr>
        <w:spacing w:after="0" w:line="240" w:lineRule="auto"/>
        <w:rPr>
          <w:rFonts w:asciiTheme="majorHAnsi" w:hAnsiTheme="majorHAnsi" w:cs="Arial"/>
          <w:b/>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Times New Roman"/>
          <w:szCs w:val="24"/>
          <w:lang w:val="es-ES_tradnl" w:eastAsia="fr-FR"/>
        </w:rPr>
        <w:t xml:space="preserve">En el Programa de CECoP se asigna mucha importancia a los centros de humedales y se alienta a las Partes a que presten apoyo a la </w:t>
      </w:r>
      <w:r w:rsidR="004E3F11" w:rsidRPr="00087FBE">
        <w:rPr>
          <w:rFonts w:asciiTheme="majorHAnsi" w:hAnsiTheme="majorHAnsi" w:cs="Times New Roman"/>
          <w:szCs w:val="24"/>
          <w:lang w:val="es-ES_tradnl" w:eastAsia="fr-FR"/>
        </w:rPr>
        <w:t>función</w:t>
      </w:r>
      <w:r w:rsidRPr="00087FBE">
        <w:rPr>
          <w:rFonts w:asciiTheme="majorHAnsi" w:hAnsiTheme="majorHAnsi" w:cs="Times New Roman"/>
          <w:szCs w:val="24"/>
          <w:lang w:val="es-ES_tradnl" w:eastAsia="fr-FR"/>
        </w:rPr>
        <w:t xml:space="preserve"> que desempeñan tales centros como agentes catalizadores y componentes fundamentales de las actividades de CECoP en pro del cumplimiento de los objetivos de la Convención. Asimismo, se indica que las Partes deberían </w:t>
      </w:r>
      <w:r w:rsidR="000C7F47" w:rsidRPr="00087FBE">
        <w:rPr>
          <w:rFonts w:asciiTheme="majorHAnsi" w:hAnsiTheme="majorHAnsi" w:cs="Times New Roman"/>
          <w:szCs w:val="24"/>
          <w:lang w:val="es-ES_tradnl" w:eastAsia="fr-FR"/>
        </w:rPr>
        <w:t>promover</w:t>
      </w:r>
      <w:r w:rsidRPr="00087FBE">
        <w:rPr>
          <w:rFonts w:asciiTheme="majorHAnsi" w:hAnsiTheme="majorHAnsi" w:cs="Times New Roman"/>
          <w:szCs w:val="24"/>
          <w:lang w:val="es-ES_tradnl" w:eastAsia="fr-FR"/>
        </w:rPr>
        <w:t xml:space="preserve"> su establecimiento como medios decisivos para el aprendizaje y la capacitación sobre los humedales, así como para las actividades de CECoP relacionadas con los humedales, y favorecer su participación en Wetland Link International.</w:t>
      </w:r>
    </w:p>
    <w:p w:rsidR="006373A5" w:rsidRPr="00087FBE" w:rsidRDefault="006373A5" w:rsidP="006373A5">
      <w:pPr>
        <w:pStyle w:val="ListParagraph"/>
        <w:spacing w:after="0" w:line="240" w:lineRule="auto"/>
        <w:ind w:left="426"/>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La red de centros de humedales Wetland Link International (WLI) es una red de apoyo para los centros de educación sobre los hu</w:t>
      </w:r>
      <w:r w:rsidR="0021429B" w:rsidRPr="00087FBE">
        <w:rPr>
          <w:rFonts w:asciiTheme="majorHAnsi" w:hAnsiTheme="majorHAnsi" w:cs="Arial"/>
          <w:lang w:val="es-ES_tradnl"/>
        </w:rPr>
        <w:t>medales en el seno de Wetlands and</w:t>
      </w:r>
      <w:r w:rsidRPr="00087FBE">
        <w:rPr>
          <w:rFonts w:asciiTheme="majorHAnsi" w:hAnsiTheme="majorHAnsi" w:cs="Arial"/>
          <w:lang w:val="es-ES_tradnl"/>
        </w:rPr>
        <w:t xml:space="preserve"> Wildfowl Trust (WWT), </w:t>
      </w:r>
      <w:r w:rsidR="0021429B" w:rsidRPr="00087FBE">
        <w:rPr>
          <w:rFonts w:asciiTheme="majorHAnsi" w:hAnsiTheme="majorHAnsi" w:cs="Arial"/>
          <w:lang w:val="es-ES_tradnl"/>
        </w:rPr>
        <w:t>con sede</w:t>
      </w:r>
      <w:r w:rsidRPr="00087FBE">
        <w:rPr>
          <w:rFonts w:asciiTheme="majorHAnsi" w:hAnsiTheme="majorHAnsi" w:cs="Arial"/>
          <w:lang w:val="es-ES_tradnl"/>
        </w:rPr>
        <w:t xml:space="preserve"> en el Reino Unido. En 2005 se firmó un memorando de cooperación entre la Secretaría de Ramsar y la red de WLI con </w:t>
      </w:r>
      <w:r w:rsidR="0021429B" w:rsidRPr="00087FBE">
        <w:rPr>
          <w:rFonts w:asciiTheme="majorHAnsi" w:hAnsiTheme="majorHAnsi" w:cs="Arial"/>
          <w:lang w:val="es-ES_tradnl"/>
        </w:rPr>
        <w:t xml:space="preserve">el objetivo de </w:t>
      </w:r>
      <w:r w:rsidRPr="00087FBE">
        <w:rPr>
          <w:rFonts w:asciiTheme="majorHAnsi" w:hAnsiTheme="majorHAnsi" w:cs="Arial"/>
          <w:lang w:val="es-ES_tradnl"/>
        </w:rPr>
        <w:t xml:space="preserve">reforzar </w:t>
      </w:r>
      <w:r w:rsidR="0021429B" w:rsidRPr="00087FBE">
        <w:rPr>
          <w:rFonts w:asciiTheme="majorHAnsi" w:hAnsiTheme="majorHAnsi" w:cs="Arial"/>
          <w:lang w:val="es-ES_tradnl"/>
        </w:rPr>
        <w:t>su relación de trabajo</w:t>
      </w:r>
      <w:r w:rsidRPr="00087FBE">
        <w:rPr>
          <w:rFonts w:asciiTheme="majorHAnsi" w:hAnsiTheme="majorHAnsi" w:cs="Arial"/>
          <w:lang w:val="es-ES_tradnl"/>
        </w:rPr>
        <w:t xml:space="preserve">, y </w:t>
      </w:r>
      <w:r w:rsidR="000C7F47" w:rsidRPr="00087FBE">
        <w:rPr>
          <w:rFonts w:asciiTheme="majorHAnsi" w:hAnsiTheme="majorHAnsi" w:cs="Arial"/>
          <w:lang w:val="es-ES_tradnl"/>
        </w:rPr>
        <w:t>este</w:t>
      </w:r>
      <w:r w:rsidRPr="00087FBE">
        <w:rPr>
          <w:rFonts w:asciiTheme="majorHAnsi" w:hAnsiTheme="majorHAnsi" w:cs="Arial"/>
          <w:lang w:val="es-ES_tradnl"/>
        </w:rPr>
        <w:t xml:space="preserve"> se amplió en 2011 mediante un memorando de cooperación con el WWT, reflejando una relación más amplia </w:t>
      </w:r>
      <w:r w:rsidR="0021429B" w:rsidRPr="00087FBE">
        <w:rPr>
          <w:rFonts w:asciiTheme="majorHAnsi" w:hAnsiTheme="majorHAnsi" w:cs="Arial"/>
          <w:lang w:val="es-ES_tradnl"/>
        </w:rPr>
        <w:t>en favor de</w:t>
      </w:r>
      <w:r w:rsidRPr="00087FBE">
        <w:rPr>
          <w:rFonts w:asciiTheme="majorHAnsi" w:hAnsiTheme="majorHAnsi" w:cs="Arial"/>
          <w:lang w:val="es-ES_tradnl"/>
        </w:rPr>
        <w:t xml:space="preserve"> la conservación de los humedales, inclusive a través </w:t>
      </w:r>
      <w:r w:rsidR="0021429B" w:rsidRPr="00087FBE">
        <w:rPr>
          <w:rFonts w:asciiTheme="majorHAnsi" w:hAnsiTheme="majorHAnsi" w:cs="Arial"/>
          <w:lang w:val="es-ES_tradnl"/>
        </w:rPr>
        <w:t xml:space="preserve">de </w:t>
      </w:r>
      <w:r w:rsidRPr="00087FBE">
        <w:rPr>
          <w:rFonts w:asciiTheme="majorHAnsi" w:hAnsiTheme="majorHAnsi" w:cs="Arial"/>
          <w:lang w:val="es-ES_tradnl"/>
        </w:rPr>
        <w:t xml:space="preserve">WLI. La colaboración con WWT representa una plataforma importante para el desarrollo de capacidades y la red </w:t>
      </w:r>
      <w:r w:rsidR="0021429B" w:rsidRPr="00087FBE">
        <w:rPr>
          <w:rFonts w:asciiTheme="majorHAnsi" w:hAnsiTheme="majorHAnsi" w:cs="Arial"/>
          <w:lang w:val="es-ES_tradnl"/>
        </w:rPr>
        <w:t xml:space="preserve">ha </w:t>
      </w:r>
      <w:r w:rsidR="0021429B" w:rsidRPr="00087FBE">
        <w:rPr>
          <w:rFonts w:asciiTheme="majorHAnsi" w:hAnsiTheme="majorHAnsi" w:cs="Arial"/>
          <w:lang w:val="es-ES_tradnl"/>
        </w:rPr>
        <w:lastRenderedPageBreak/>
        <w:t>seguido</w:t>
      </w:r>
      <w:r w:rsidRPr="00087FBE">
        <w:rPr>
          <w:rFonts w:asciiTheme="majorHAnsi" w:hAnsiTheme="majorHAnsi" w:cs="Arial"/>
          <w:lang w:val="es-ES_tradnl"/>
        </w:rPr>
        <w:t xml:space="preserve"> creciendo desde la COP11. Para </w:t>
      </w:r>
      <w:r w:rsidR="0021429B" w:rsidRPr="00087FBE">
        <w:rPr>
          <w:rFonts w:asciiTheme="majorHAnsi" w:hAnsiTheme="majorHAnsi" w:cs="Arial"/>
          <w:lang w:val="es-ES_tradnl"/>
        </w:rPr>
        <w:t>obtener u</w:t>
      </w:r>
      <w:r w:rsidRPr="00087FBE">
        <w:rPr>
          <w:rFonts w:asciiTheme="majorHAnsi" w:hAnsiTheme="majorHAnsi" w:cs="Arial"/>
          <w:lang w:val="es-ES_tradnl"/>
        </w:rPr>
        <w:t xml:space="preserve">na visión general de las actividades emprendidas, véase </w:t>
      </w:r>
      <w:hyperlink r:id="rId15" w:history="1">
        <w:r w:rsidRPr="00087FBE">
          <w:rPr>
            <w:rStyle w:val="Hyperlink"/>
            <w:rFonts w:asciiTheme="majorHAnsi" w:hAnsiTheme="majorHAnsi" w:cs="Arial"/>
            <w:lang w:val="es-ES_tradnl"/>
          </w:rPr>
          <w:t>wli.wwt.org.uk</w:t>
        </w:r>
      </w:hyperlink>
      <w:r w:rsidRPr="00087FBE">
        <w:rPr>
          <w:rFonts w:asciiTheme="majorHAnsi" w:hAnsiTheme="majorHAnsi" w:cs="Arial"/>
          <w:lang w:val="es-ES_tradnl"/>
        </w:rPr>
        <w:t>.</w:t>
      </w:r>
    </w:p>
    <w:p w:rsidR="006373A5" w:rsidRPr="00087FBE" w:rsidRDefault="006373A5" w:rsidP="006373A5">
      <w:pPr>
        <w:pStyle w:val="ListParagraph"/>
        <w:spacing w:after="0" w:line="240" w:lineRule="auto"/>
        <w:ind w:left="426"/>
        <w:rPr>
          <w:rFonts w:asciiTheme="majorHAnsi" w:hAnsiTheme="majorHAnsi" w:cs="Arial"/>
          <w:lang w:val="es-ES_tradnl"/>
        </w:rPr>
      </w:pPr>
    </w:p>
    <w:p w:rsidR="006373A5" w:rsidRPr="00087FBE" w:rsidDel="00E94892"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Times New Roman"/>
          <w:szCs w:val="24"/>
          <w:lang w:val="es-ES_tradnl" w:eastAsia="fr-FR"/>
        </w:rPr>
        <w:t xml:space="preserve">Con el </w:t>
      </w:r>
      <w:r w:rsidRPr="00087FBE">
        <w:rPr>
          <w:rFonts w:asciiTheme="majorHAnsi" w:hAnsiTheme="majorHAnsi" w:cs="Times New Roman"/>
          <w:iCs/>
          <w:szCs w:val="24"/>
          <w:lang w:val="es-ES_tradnl" w:eastAsia="fr-FR"/>
        </w:rPr>
        <w:t>Indicador 4.1.2</w:t>
      </w:r>
      <w:r w:rsidRPr="00087FBE">
        <w:rPr>
          <w:rFonts w:asciiTheme="majorHAnsi" w:hAnsiTheme="majorHAnsi" w:cs="Times New Roman"/>
          <w:i/>
          <w:iCs/>
          <w:szCs w:val="24"/>
          <w:lang w:val="es-ES_tradnl" w:eastAsia="fr-FR"/>
        </w:rPr>
        <w:t xml:space="preserve"> </w:t>
      </w:r>
      <w:r w:rsidRPr="00087FBE">
        <w:rPr>
          <w:rFonts w:asciiTheme="majorHAnsi" w:hAnsiTheme="majorHAnsi" w:cs="Times New Roman"/>
          <w:szCs w:val="24"/>
          <w:lang w:val="es-ES_tradnl" w:eastAsia="fr-FR"/>
        </w:rPr>
        <w:t xml:space="preserve">se trata de obtener información sobre el número de centros de humedales establecidos en sitios Ramsar y otros humedales, y de las respuestas textuales se desprende que algunas Partes comunicaron </w:t>
      </w:r>
      <w:r w:rsidRPr="00087FBE">
        <w:rPr>
          <w:rFonts w:asciiTheme="majorHAnsi" w:hAnsiTheme="majorHAnsi" w:cs="Times New Roman"/>
          <w:iCs/>
          <w:szCs w:val="24"/>
          <w:lang w:val="es-ES_tradnl" w:eastAsia="fr-FR"/>
        </w:rPr>
        <w:t>solo</w:t>
      </w:r>
      <w:r w:rsidRPr="00087FBE">
        <w:rPr>
          <w:rFonts w:asciiTheme="majorHAnsi" w:hAnsiTheme="majorHAnsi" w:cs="Times New Roman"/>
          <w:i/>
          <w:iCs/>
          <w:szCs w:val="24"/>
          <w:lang w:val="es-ES_tradnl" w:eastAsia="fr-FR"/>
        </w:rPr>
        <w:t xml:space="preserve"> </w:t>
      </w:r>
      <w:r w:rsidRPr="00087FBE">
        <w:rPr>
          <w:rFonts w:asciiTheme="majorHAnsi" w:hAnsiTheme="majorHAnsi" w:cs="Times New Roman"/>
          <w:szCs w:val="24"/>
          <w:lang w:val="es-ES_tradnl" w:eastAsia="fr-FR"/>
        </w:rPr>
        <w:t>la existencia de tales centros en los sitios Ramsar, mientras que otras informaron más ampliamente sobre los centros existentes en todos los humedales, lo que dificulta la presentación de una perspectiva global común. Además, algunas de las Partes comunicaron la existencia de muchos centros en la casilla de texto libre, aunque sin proporcionar datos numéricos</w:t>
      </w:r>
      <w:r w:rsidRPr="00087FBE">
        <w:rPr>
          <w:rFonts w:asciiTheme="majorHAnsi" w:hAnsiTheme="majorHAnsi" w:cs="Arial"/>
          <w:lang w:val="es-ES_tradnl"/>
        </w:rPr>
        <w:t xml:space="preserve">. </w:t>
      </w:r>
    </w:p>
    <w:p w:rsidR="006373A5" w:rsidRPr="00087FBE" w:rsidRDefault="006373A5" w:rsidP="006373A5">
      <w:pPr>
        <w:pStyle w:val="ListParagraph"/>
        <w:spacing w:after="0" w:line="240" w:lineRule="auto"/>
        <w:ind w:left="426"/>
        <w:rPr>
          <w:rFonts w:asciiTheme="majorHAnsi" w:hAnsiTheme="majorHAnsi" w:cs="Arial"/>
          <w:lang w:val="es-ES_tradnl"/>
        </w:rPr>
      </w:pPr>
    </w:p>
    <w:p w:rsidR="006373A5"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Times New Roman"/>
          <w:szCs w:val="24"/>
          <w:lang w:val="es-ES_tradnl" w:eastAsia="fr-FR"/>
        </w:rPr>
        <w:t xml:space="preserve">Un importante número de Partes señaló en la casilla de texto libre que muchos centros están situados en parques nacionales y que, si bien algunos de estos </w:t>
      </w:r>
      <w:r w:rsidR="000C7F47" w:rsidRPr="00087FBE">
        <w:rPr>
          <w:rFonts w:asciiTheme="majorHAnsi" w:hAnsiTheme="majorHAnsi" w:cs="Times New Roman"/>
          <w:szCs w:val="24"/>
          <w:lang w:val="es-ES_tradnl" w:eastAsia="fr-FR"/>
        </w:rPr>
        <w:t>son</w:t>
      </w:r>
      <w:r w:rsidRPr="00087FBE">
        <w:rPr>
          <w:rFonts w:asciiTheme="majorHAnsi" w:hAnsiTheme="majorHAnsi" w:cs="Times New Roman"/>
          <w:szCs w:val="24"/>
          <w:lang w:val="es-ES_tradnl" w:eastAsia="fr-FR"/>
        </w:rPr>
        <w:t xml:space="preserve"> sitios Ramsar, el sistema de par</w:t>
      </w:r>
      <w:r w:rsidR="000C7F47" w:rsidRPr="00087FBE">
        <w:rPr>
          <w:rFonts w:asciiTheme="majorHAnsi" w:hAnsiTheme="majorHAnsi" w:cs="Times New Roman"/>
          <w:szCs w:val="24"/>
          <w:lang w:val="es-ES_tradnl" w:eastAsia="fr-FR"/>
        </w:rPr>
        <w:t>ques nacionales se ocupa</w:t>
      </w:r>
      <w:r w:rsidRPr="00087FBE">
        <w:rPr>
          <w:rFonts w:asciiTheme="majorHAnsi" w:hAnsiTheme="majorHAnsi" w:cs="Times New Roman"/>
          <w:szCs w:val="24"/>
          <w:lang w:val="es-ES_tradnl" w:eastAsia="fr-FR"/>
        </w:rPr>
        <w:t xml:space="preserve"> de la construcción y mantenimiento de esos centros. Las Partes y los Coordinadores Nacionales de CECoP tienen ante sí el reto de apoyar y alentar a esos centros a que preparen materiales y realicen actividades que fomenten el uso racional de los humedales, transmitan a los visitantes mensajes clave sobre los humedales y den a conocer mejor la marca Ramsar</w:t>
      </w:r>
      <w:r w:rsidRPr="00087FBE">
        <w:rPr>
          <w:rFonts w:asciiTheme="majorHAnsi" w:hAnsiTheme="majorHAnsi" w:cs="Arial"/>
          <w:lang w:val="es-ES_tradnl"/>
        </w:rPr>
        <w:t>.</w:t>
      </w:r>
    </w:p>
    <w:p w:rsidR="00700681" w:rsidRPr="00700681" w:rsidRDefault="00700681" w:rsidP="00700681">
      <w:pPr>
        <w:spacing w:after="0" w:line="240" w:lineRule="auto"/>
        <w:rPr>
          <w:rFonts w:asciiTheme="majorHAnsi" w:hAnsiTheme="majorHAnsi" w:cs="Arial"/>
          <w:lang w:val="es-ES_tradnl"/>
        </w:rPr>
      </w:pPr>
    </w:p>
    <w:p w:rsidR="00700681" w:rsidRDefault="00700681" w:rsidP="00700681">
      <w:pPr>
        <w:pStyle w:val="ListParagraph"/>
        <w:numPr>
          <w:ilvl w:val="0"/>
          <w:numId w:val="1"/>
        </w:numPr>
        <w:spacing w:after="0" w:line="240" w:lineRule="auto"/>
        <w:ind w:left="426" w:hanging="426"/>
        <w:rPr>
          <w:rFonts w:asciiTheme="majorHAnsi" w:hAnsiTheme="majorHAnsi" w:cs="Arial"/>
          <w:lang w:val="es-ES_tradnl"/>
        </w:rPr>
      </w:pPr>
      <w:r>
        <w:rPr>
          <w:rFonts w:asciiTheme="majorHAnsi" w:hAnsiTheme="majorHAnsi" w:cs="Arial"/>
          <w:lang w:val="es-ES_tradnl"/>
        </w:rPr>
        <w:t>En China, se espera que los sitios Ramsar establezcan un centro de educación según se indica en su plan maestro o su planificación del manejo. En el 12ª plan quinquenal del país para la “Aplicación del Programa Nacional para la Conservación de los Humedales (2011-2015)”, se crearán o mejorarán centros de educación sobre los humedales en diez sitios de humedales. Aparte de los centros patrocinados por el Gobierno, las ONG también han establecido centros en algunos humedal</w:t>
      </w:r>
      <w:bookmarkStart w:id="0" w:name="_GoBack"/>
      <w:bookmarkEnd w:id="0"/>
      <w:r>
        <w:rPr>
          <w:rFonts w:asciiTheme="majorHAnsi" w:hAnsiTheme="majorHAnsi" w:cs="Arial"/>
          <w:lang w:val="es-ES_tradnl"/>
        </w:rPr>
        <w:t>es y sitios Ramsar.</w:t>
      </w:r>
    </w:p>
    <w:p w:rsidR="00700681" w:rsidRDefault="00700681" w:rsidP="00700681">
      <w:pPr>
        <w:spacing w:after="0" w:line="240" w:lineRule="auto"/>
        <w:rPr>
          <w:rFonts w:asciiTheme="majorHAnsi" w:hAnsiTheme="majorHAnsi" w:cs="Arial"/>
          <w:lang w:val="es-ES_tradnl"/>
        </w:rPr>
      </w:pPr>
    </w:p>
    <w:p w:rsidR="006373A5" w:rsidRPr="00087FBE" w:rsidRDefault="006373A5" w:rsidP="006373A5">
      <w:pPr>
        <w:spacing w:after="0" w:line="240" w:lineRule="auto"/>
        <w:rPr>
          <w:rFonts w:asciiTheme="majorHAnsi" w:hAnsiTheme="majorHAnsi" w:cs="Arial"/>
          <w:b/>
          <w:lang w:val="es-ES_tradnl"/>
        </w:rPr>
      </w:pPr>
      <w:r w:rsidRPr="00087FBE">
        <w:rPr>
          <w:rFonts w:asciiTheme="majorHAnsi" w:hAnsiTheme="majorHAnsi" w:cs="Arial"/>
          <w:b/>
          <w:lang w:val="es-ES_tradnl"/>
        </w:rPr>
        <w:t>Participación del público en la adopción de decisiones sobre los humedales</w:t>
      </w:r>
    </w:p>
    <w:p w:rsidR="006373A5" w:rsidRPr="00087FBE" w:rsidRDefault="006373A5" w:rsidP="006373A5">
      <w:pPr>
        <w:spacing w:after="0" w:line="240" w:lineRule="auto"/>
        <w:rPr>
          <w:rFonts w:asciiTheme="majorHAnsi" w:hAnsiTheme="majorHAnsi" w:cs="Arial"/>
          <w:b/>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 xml:space="preserve">La importancia de la participación como proceso en muchas cuestiones relacionadas con la aplicación de la Convención se refleja explícitamente en el acrónimo CECoP. </w:t>
      </w:r>
      <w:r w:rsidRPr="00087FBE">
        <w:rPr>
          <w:rFonts w:asciiTheme="majorHAnsi" w:hAnsiTheme="majorHAnsi" w:cs="Times New Roman"/>
          <w:szCs w:val="24"/>
          <w:lang w:val="es-ES_tradnl" w:eastAsia="fr-FR"/>
        </w:rPr>
        <w:t xml:space="preserve">En conjunto, el 75 </w:t>
      </w:r>
      <w:r w:rsidR="00F3363E" w:rsidRPr="00087FBE">
        <w:rPr>
          <w:rFonts w:asciiTheme="majorHAnsi" w:hAnsiTheme="majorHAnsi" w:cs="Times New Roman"/>
          <w:szCs w:val="24"/>
          <w:lang w:val="es-ES_tradnl" w:eastAsia="fr-FR"/>
        </w:rPr>
        <w:t>%</w:t>
      </w:r>
      <w:r w:rsidRPr="00087FBE">
        <w:rPr>
          <w:rFonts w:asciiTheme="majorHAnsi" w:hAnsiTheme="majorHAnsi" w:cs="Times New Roman"/>
          <w:szCs w:val="24"/>
          <w:lang w:val="es-ES_tradnl" w:eastAsia="fr-FR"/>
        </w:rPr>
        <w:t xml:space="preserve"> de las Partes </w:t>
      </w:r>
      <w:r w:rsidR="003F2F5D" w:rsidRPr="00087FBE">
        <w:rPr>
          <w:rFonts w:asciiTheme="majorHAnsi" w:hAnsiTheme="majorHAnsi" w:cs="Times New Roman"/>
          <w:szCs w:val="24"/>
          <w:lang w:val="es-ES_tradnl" w:eastAsia="fr-FR"/>
        </w:rPr>
        <w:t>respondieron</w:t>
      </w:r>
      <w:r w:rsidRPr="00087FBE">
        <w:rPr>
          <w:rFonts w:asciiTheme="majorHAnsi" w:hAnsiTheme="majorHAnsi" w:cs="Times New Roman"/>
          <w:szCs w:val="24"/>
          <w:lang w:val="es-ES_tradnl" w:eastAsia="fr-FR"/>
        </w:rPr>
        <w:t xml:space="preserve"> que había</w:t>
      </w:r>
      <w:r w:rsidR="003F2F5D" w:rsidRPr="00087FBE">
        <w:rPr>
          <w:rFonts w:asciiTheme="majorHAnsi" w:hAnsiTheme="majorHAnsi" w:cs="Times New Roman"/>
          <w:szCs w:val="24"/>
          <w:lang w:val="es-ES_tradnl" w:eastAsia="fr-FR"/>
        </w:rPr>
        <w:t>n</w:t>
      </w:r>
      <w:r w:rsidRPr="00087FBE">
        <w:rPr>
          <w:rFonts w:asciiTheme="majorHAnsi" w:hAnsiTheme="majorHAnsi" w:cs="Times New Roman"/>
          <w:szCs w:val="24"/>
          <w:lang w:val="es-ES_tradnl" w:eastAsia="fr-FR"/>
        </w:rPr>
        <w:t xml:space="preserve"> promovido la participación en la planificación y la gestión de los humedales, aunque Asia se hallaba muy por debajo con </w:t>
      </w:r>
      <w:r w:rsidR="000C7F47" w:rsidRPr="00087FBE">
        <w:rPr>
          <w:rFonts w:asciiTheme="majorHAnsi" w:hAnsiTheme="majorHAnsi" w:cs="Times New Roman"/>
          <w:szCs w:val="24"/>
          <w:lang w:val="es-ES_tradnl" w:eastAsia="fr-FR"/>
        </w:rPr>
        <w:t>un</w:t>
      </w:r>
      <w:r w:rsidRPr="00087FBE">
        <w:rPr>
          <w:rFonts w:asciiTheme="majorHAnsi" w:hAnsiTheme="majorHAnsi" w:cs="Times New Roman"/>
          <w:szCs w:val="24"/>
          <w:lang w:val="es-ES_tradnl" w:eastAsia="fr-FR"/>
        </w:rPr>
        <w:t xml:space="preserve"> 43</w:t>
      </w:r>
      <w:r w:rsidR="00EB58D6" w:rsidRPr="00087FBE">
        <w:rPr>
          <w:rFonts w:asciiTheme="majorHAnsi" w:hAnsiTheme="majorHAnsi" w:cs="Times New Roman"/>
          <w:szCs w:val="24"/>
          <w:lang w:val="es-ES_tradnl" w:eastAsia="fr-FR"/>
        </w:rPr>
        <w:t xml:space="preserve"> </w:t>
      </w:r>
      <w:r w:rsidRPr="00087FBE">
        <w:rPr>
          <w:rFonts w:asciiTheme="majorHAnsi" w:hAnsiTheme="majorHAnsi" w:cs="Times New Roman"/>
          <w:szCs w:val="24"/>
          <w:lang w:val="es-ES_tradnl" w:eastAsia="fr-FR"/>
        </w:rPr>
        <w:t xml:space="preserve">% y las Américas bastante por encima de la media con </w:t>
      </w:r>
      <w:r w:rsidR="000C7F47" w:rsidRPr="00087FBE">
        <w:rPr>
          <w:rFonts w:asciiTheme="majorHAnsi" w:hAnsiTheme="majorHAnsi" w:cs="Times New Roman"/>
          <w:szCs w:val="24"/>
          <w:lang w:val="es-ES_tradnl" w:eastAsia="fr-FR"/>
        </w:rPr>
        <w:t>un</w:t>
      </w:r>
      <w:r w:rsidRPr="00087FBE">
        <w:rPr>
          <w:rFonts w:asciiTheme="majorHAnsi" w:hAnsiTheme="majorHAnsi" w:cs="Times New Roman"/>
          <w:szCs w:val="24"/>
          <w:lang w:val="es-ES_tradnl" w:eastAsia="fr-FR"/>
        </w:rPr>
        <w:t xml:space="preserve"> 84 </w:t>
      </w:r>
      <w:r w:rsidR="00F3363E" w:rsidRPr="00087FBE">
        <w:rPr>
          <w:rFonts w:asciiTheme="majorHAnsi" w:hAnsiTheme="majorHAnsi" w:cs="Times New Roman"/>
          <w:szCs w:val="24"/>
          <w:lang w:val="es-ES_tradnl" w:eastAsia="fr-FR"/>
        </w:rPr>
        <w:t>%</w:t>
      </w:r>
      <w:r w:rsidRPr="00087FBE">
        <w:rPr>
          <w:rFonts w:asciiTheme="majorHAnsi" w:hAnsiTheme="majorHAnsi" w:cs="Times New Roman"/>
          <w:szCs w:val="24"/>
          <w:lang w:val="es-ES_tradnl" w:eastAsia="fr-FR"/>
        </w:rPr>
        <w:t>. Un</w:t>
      </w:r>
      <w:r w:rsidR="00EB58D6" w:rsidRPr="00087FBE">
        <w:rPr>
          <w:rFonts w:asciiTheme="majorHAnsi" w:hAnsiTheme="majorHAnsi" w:cs="Times New Roman"/>
          <w:szCs w:val="24"/>
          <w:lang w:val="es-ES_tradnl" w:eastAsia="fr-FR"/>
        </w:rPr>
        <w:t xml:space="preserve">a importante proporción de las Partes, el </w:t>
      </w:r>
      <w:r w:rsidRPr="00087FBE">
        <w:rPr>
          <w:rFonts w:asciiTheme="majorHAnsi" w:hAnsiTheme="majorHAnsi" w:cs="Times New Roman"/>
          <w:szCs w:val="24"/>
          <w:lang w:val="es-ES_tradnl" w:eastAsia="fr-FR"/>
        </w:rPr>
        <w:t xml:space="preserve">20 </w:t>
      </w:r>
      <w:r w:rsidR="00F3363E" w:rsidRPr="00087FBE">
        <w:rPr>
          <w:rFonts w:asciiTheme="majorHAnsi" w:hAnsiTheme="majorHAnsi" w:cs="Times New Roman"/>
          <w:szCs w:val="24"/>
          <w:lang w:val="es-ES_tradnl" w:eastAsia="fr-FR"/>
        </w:rPr>
        <w:t>%</w:t>
      </w:r>
      <w:r w:rsidRPr="00087FBE">
        <w:rPr>
          <w:rFonts w:asciiTheme="majorHAnsi" w:hAnsiTheme="majorHAnsi" w:cs="Times New Roman"/>
          <w:szCs w:val="24"/>
          <w:lang w:val="es-ES_tradnl" w:eastAsia="fr-FR"/>
        </w:rPr>
        <w:t xml:space="preserve"> de las Partes</w:t>
      </w:r>
      <w:r w:rsidR="00EB58D6" w:rsidRPr="00087FBE">
        <w:rPr>
          <w:rFonts w:asciiTheme="majorHAnsi" w:hAnsiTheme="majorHAnsi" w:cs="Times New Roman"/>
          <w:szCs w:val="24"/>
          <w:lang w:val="es-ES_tradnl" w:eastAsia="fr-FR"/>
        </w:rPr>
        <w:t>,</w:t>
      </w:r>
      <w:r w:rsidR="003F2F5D" w:rsidRPr="00087FBE">
        <w:rPr>
          <w:rFonts w:asciiTheme="majorHAnsi" w:hAnsiTheme="majorHAnsi" w:cs="Times New Roman"/>
          <w:szCs w:val="24"/>
          <w:lang w:val="es-ES_tradnl" w:eastAsia="fr-FR"/>
        </w:rPr>
        <w:t xml:space="preserve"> optaron</w:t>
      </w:r>
      <w:r w:rsidRPr="00087FBE">
        <w:rPr>
          <w:rFonts w:asciiTheme="majorHAnsi" w:hAnsiTheme="majorHAnsi" w:cs="Times New Roman"/>
          <w:szCs w:val="24"/>
          <w:lang w:val="es-ES_tradnl" w:eastAsia="fr-FR"/>
        </w:rPr>
        <w:t xml:space="preserve"> por “Parcialmente” para responder a esa pregunta. De hecho, esa es una respuesta más bien positiva, aunque debe tomarse con cautela ya que la “participación” puede interpretarse en un sentido muy amplio</w:t>
      </w:r>
      <w:r w:rsidRPr="00087FBE">
        <w:rPr>
          <w:rFonts w:asciiTheme="majorHAnsi" w:hAnsiTheme="majorHAnsi" w:cs="Arial"/>
          <w:lang w:val="es-ES_tradnl"/>
        </w:rPr>
        <w:t xml:space="preserve">. </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 xml:space="preserve">En </w:t>
      </w:r>
      <w:r w:rsidRPr="00087FBE">
        <w:rPr>
          <w:rFonts w:asciiTheme="majorHAnsi" w:hAnsiTheme="majorHAnsi" w:cs="Times New Roman"/>
          <w:szCs w:val="24"/>
          <w:lang w:val="es-ES_tradnl" w:eastAsia="fr-FR"/>
        </w:rPr>
        <w:t>el I</w:t>
      </w:r>
      <w:r w:rsidRPr="00087FBE">
        <w:rPr>
          <w:rFonts w:asciiTheme="majorHAnsi" w:hAnsiTheme="majorHAnsi" w:cs="Times New Roman"/>
          <w:iCs/>
          <w:szCs w:val="24"/>
          <w:lang w:val="es-ES_tradnl" w:eastAsia="fr-FR"/>
        </w:rPr>
        <w:t>ndicador 4.1.3 b)</w:t>
      </w:r>
      <w:r w:rsidRPr="00087FBE">
        <w:rPr>
          <w:rFonts w:asciiTheme="majorHAnsi" w:hAnsiTheme="majorHAnsi" w:cs="Times New Roman"/>
          <w:szCs w:val="24"/>
          <w:lang w:val="es-ES_tradnl" w:eastAsia="fr-FR"/>
        </w:rPr>
        <w:t xml:space="preserve"> se preguntaba si las Partes promovían específicamente la participación de los interesados locales en la selección de nuevos Sitios Ramsar y en el manejo de los existentes. El 54 </w:t>
      </w:r>
      <w:r w:rsidR="00F3363E" w:rsidRPr="00087FBE">
        <w:rPr>
          <w:rFonts w:asciiTheme="majorHAnsi" w:hAnsiTheme="majorHAnsi" w:cs="Times New Roman"/>
          <w:szCs w:val="24"/>
          <w:lang w:val="es-ES_tradnl" w:eastAsia="fr-FR"/>
        </w:rPr>
        <w:t>%</w:t>
      </w:r>
      <w:r w:rsidR="003F2F5D" w:rsidRPr="00087FBE">
        <w:rPr>
          <w:rFonts w:asciiTheme="majorHAnsi" w:hAnsiTheme="majorHAnsi" w:cs="Times New Roman"/>
          <w:szCs w:val="24"/>
          <w:lang w:val="es-ES_tradnl" w:eastAsia="fr-FR"/>
        </w:rPr>
        <w:t xml:space="preserve"> respondieron </w:t>
      </w:r>
      <w:r w:rsidRPr="00087FBE">
        <w:rPr>
          <w:rFonts w:asciiTheme="majorHAnsi" w:hAnsiTheme="majorHAnsi" w:cs="Times New Roman"/>
          <w:szCs w:val="24"/>
          <w:lang w:val="es-ES_tradnl" w:eastAsia="fr-FR"/>
        </w:rPr>
        <w:t xml:space="preserve">afirmativamente y otro 21 </w:t>
      </w:r>
      <w:r w:rsidR="00F3363E" w:rsidRPr="00087FBE">
        <w:rPr>
          <w:rFonts w:asciiTheme="majorHAnsi" w:hAnsiTheme="majorHAnsi" w:cs="Times New Roman"/>
          <w:szCs w:val="24"/>
          <w:lang w:val="es-ES_tradnl" w:eastAsia="fr-FR"/>
        </w:rPr>
        <w:t>%</w:t>
      </w:r>
      <w:r w:rsidR="003F2F5D" w:rsidRPr="00087FBE">
        <w:rPr>
          <w:rFonts w:asciiTheme="majorHAnsi" w:hAnsiTheme="majorHAnsi" w:cs="Times New Roman"/>
          <w:szCs w:val="24"/>
          <w:lang w:val="es-ES_tradnl" w:eastAsia="fr-FR"/>
        </w:rPr>
        <w:t xml:space="preserve"> respondieron</w:t>
      </w:r>
      <w:r w:rsidRPr="00087FBE">
        <w:rPr>
          <w:rFonts w:asciiTheme="majorHAnsi" w:hAnsiTheme="majorHAnsi" w:cs="Times New Roman"/>
          <w:szCs w:val="24"/>
          <w:lang w:val="es-ES_tradnl" w:eastAsia="fr-FR"/>
        </w:rPr>
        <w:t xml:space="preserve"> usando la opción “Parcialmente”</w:t>
      </w:r>
      <w:r w:rsidRPr="00087FBE">
        <w:rPr>
          <w:rFonts w:asciiTheme="majorHAnsi" w:hAnsiTheme="majorHAnsi" w:cs="Arial"/>
          <w:lang w:val="es-ES_tradnl"/>
        </w:rPr>
        <w:t xml:space="preserve">. Entre los ejemplos de </w:t>
      </w:r>
      <w:r w:rsidR="000C7F47" w:rsidRPr="00087FBE">
        <w:rPr>
          <w:rFonts w:asciiTheme="majorHAnsi" w:hAnsiTheme="majorHAnsi" w:cs="Arial"/>
          <w:lang w:val="es-ES_tradnl"/>
        </w:rPr>
        <w:t>manejo</w:t>
      </w:r>
      <w:r w:rsidRPr="00087FBE">
        <w:rPr>
          <w:rFonts w:asciiTheme="majorHAnsi" w:hAnsiTheme="majorHAnsi" w:cs="Arial"/>
          <w:lang w:val="es-ES_tradnl"/>
        </w:rPr>
        <w:t xml:space="preserve"> participativ</w:t>
      </w:r>
      <w:r w:rsidR="000C7F47" w:rsidRPr="00087FBE">
        <w:rPr>
          <w:rFonts w:asciiTheme="majorHAnsi" w:hAnsiTheme="majorHAnsi" w:cs="Arial"/>
          <w:lang w:val="es-ES_tradnl"/>
        </w:rPr>
        <w:t>o</w:t>
      </w:r>
      <w:r w:rsidRPr="00087FBE">
        <w:rPr>
          <w:rFonts w:asciiTheme="majorHAnsi" w:hAnsiTheme="majorHAnsi" w:cs="Arial"/>
          <w:lang w:val="es-ES_tradnl"/>
        </w:rPr>
        <w:t xml:space="preserve"> cabe señalar</w:t>
      </w:r>
      <w:r w:rsidR="000C7F47" w:rsidRPr="00087FBE">
        <w:rPr>
          <w:rFonts w:asciiTheme="majorHAnsi" w:hAnsiTheme="majorHAnsi" w:cs="Arial"/>
          <w:lang w:val="es-ES_tradnl"/>
        </w:rPr>
        <w:t xml:space="preserve"> los siguientes</w:t>
      </w:r>
      <w:r w:rsidRPr="00087FBE">
        <w:rPr>
          <w:rFonts w:asciiTheme="majorHAnsi" w:hAnsiTheme="majorHAnsi" w:cs="Arial"/>
          <w:lang w:val="es-ES_tradnl"/>
        </w:rPr>
        <w:t>:</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En Australia, el proceso de planificación de</w:t>
      </w:r>
      <w:r w:rsidR="0088718D" w:rsidRPr="00087FBE">
        <w:rPr>
          <w:rFonts w:asciiTheme="majorHAnsi" w:hAnsiTheme="majorHAnsi" w:cs="Arial"/>
          <w:lang w:val="es-ES_tradnl"/>
        </w:rPr>
        <w:t xml:space="preserve">l manejo </w:t>
      </w:r>
      <w:r w:rsidRPr="00087FBE">
        <w:rPr>
          <w:rFonts w:asciiTheme="majorHAnsi" w:hAnsiTheme="majorHAnsi" w:cs="Arial"/>
          <w:lang w:val="es-ES_tradnl"/>
        </w:rPr>
        <w:t xml:space="preserve">para la preparación de planes de </w:t>
      </w:r>
      <w:r w:rsidR="0088718D" w:rsidRPr="00087FBE">
        <w:rPr>
          <w:rFonts w:asciiTheme="majorHAnsi" w:hAnsiTheme="majorHAnsi" w:cs="Arial"/>
          <w:lang w:val="es-ES_tradnl"/>
        </w:rPr>
        <w:t>manejo</w:t>
      </w:r>
      <w:r w:rsidRPr="00087FBE">
        <w:rPr>
          <w:rFonts w:asciiTheme="majorHAnsi" w:hAnsiTheme="majorHAnsi" w:cs="Arial"/>
          <w:lang w:val="es-ES_tradnl"/>
        </w:rPr>
        <w:t xml:space="preserve"> de parques nacionales </w:t>
      </w:r>
      <w:r w:rsidR="0088718D" w:rsidRPr="00087FBE">
        <w:rPr>
          <w:rFonts w:asciiTheme="majorHAnsi" w:hAnsiTheme="majorHAnsi" w:cs="Arial"/>
          <w:lang w:val="es-ES_tradnl"/>
        </w:rPr>
        <w:t>incluyó</w:t>
      </w:r>
      <w:r w:rsidRPr="00087FBE">
        <w:rPr>
          <w:rFonts w:asciiTheme="majorHAnsi" w:hAnsiTheme="majorHAnsi" w:cs="Arial"/>
          <w:lang w:val="es-ES_tradnl"/>
        </w:rPr>
        <w:t xml:space="preserve"> un </w:t>
      </w:r>
      <w:r w:rsidR="0041709D" w:rsidRPr="00087FBE">
        <w:rPr>
          <w:rFonts w:asciiTheme="majorHAnsi" w:hAnsiTheme="majorHAnsi" w:cs="Arial"/>
          <w:lang w:val="es-ES_tradnl"/>
        </w:rPr>
        <w:t>período</w:t>
      </w:r>
      <w:r w:rsidRPr="00087FBE">
        <w:rPr>
          <w:rFonts w:asciiTheme="majorHAnsi" w:hAnsiTheme="majorHAnsi" w:cs="Arial"/>
          <w:lang w:val="es-ES_tradnl"/>
        </w:rPr>
        <w:t xml:space="preserve"> oficial de comentarios públicos, así como la consulta con los principales interesados y comunidades locales.</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 xml:space="preserve">En Nueva Zelandia, </w:t>
      </w:r>
      <w:r w:rsidR="00272CAB" w:rsidRPr="00087FBE">
        <w:rPr>
          <w:rFonts w:asciiTheme="majorHAnsi" w:hAnsiTheme="majorHAnsi" w:cs="Arial"/>
          <w:lang w:val="es-ES_tradnl"/>
        </w:rPr>
        <w:t xml:space="preserve">la </w:t>
      </w:r>
      <w:r w:rsidRPr="00087FBE">
        <w:rPr>
          <w:rFonts w:asciiTheme="majorHAnsi" w:hAnsiTheme="majorHAnsi" w:cs="Arial"/>
          <w:lang w:val="es-ES_tradnl"/>
        </w:rPr>
        <w:t>participación de los interesados locales es uno de los criterios para seleccionar nuevos sitios Ramsar</w:t>
      </w:r>
      <w:r w:rsidR="00272CAB" w:rsidRPr="00087FBE">
        <w:rPr>
          <w:rFonts w:asciiTheme="majorHAnsi" w:hAnsiTheme="majorHAnsi" w:cs="Arial"/>
          <w:lang w:val="es-ES_tradnl"/>
        </w:rPr>
        <w:t>.</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spacing w:after="0" w:line="240" w:lineRule="auto"/>
        <w:rPr>
          <w:rFonts w:asciiTheme="majorHAnsi" w:hAnsiTheme="majorHAnsi" w:cs="Arial"/>
          <w:b/>
          <w:lang w:val="es-ES_tradnl"/>
        </w:rPr>
      </w:pPr>
      <w:r w:rsidRPr="00087FBE">
        <w:rPr>
          <w:rFonts w:asciiTheme="majorHAnsi" w:hAnsiTheme="majorHAnsi" w:cs="Arial"/>
          <w:b/>
          <w:lang w:val="es-ES_tradnl"/>
        </w:rPr>
        <w:t xml:space="preserve">Evaluación de las necesidades nacionales y locales </w:t>
      </w:r>
      <w:r w:rsidR="00071EF3" w:rsidRPr="00087FBE">
        <w:rPr>
          <w:rFonts w:asciiTheme="majorHAnsi" w:hAnsiTheme="majorHAnsi" w:cs="Arial"/>
          <w:b/>
          <w:lang w:val="es-ES_tradnl"/>
        </w:rPr>
        <w:t>de</w:t>
      </w:r>
      <w:r w:rsidRPr="00087FBE">
        <w:rPr>
          <w:rFonts w:asciiTheme="majorHAnsi" w:hAnsiTheme="majorHAnsi" w:cs="Arial"/>
          <w:b/>
          <w:lang w:val="es-ES_tradnl"/>
        </w:rPr>
        <w:t xml:space="preserve"> </w:t>
      </w:r>
      <w:r w:rsidR="00700681">
        <w:rPr>
          <w:rFonts w:asciiTheme="majorHAnsi" w:hAnsiTheme="majorHAnsi" w:cs="Arial"/>
          <w:b/>
          <w:lang w:val="es-ES_tradnl"/>
        </w:rPr>
        <w:t>formación</w:t>
      </w:r>
      <w:r w:rsidRPr="00087FBE">
        <w:rPr>
          <w:rFonts w:asciiTheme="majorHAnsi" w:hAnsiTheme="majorHAnsi" w:cs="Arial"/>
          <w:b/>
          <w:lang w:val="es-ES_tradnl"/>
        </w:rPr>
        <w:t xml:space="preserve"> y de las oportunidades de</w:t>
      </w:r>
      <w:r w:rsidR="00087FBE" w:rsidRPr="00087FBE">
        <w:rPr>
          <w:rFonts w:asciiTheme="majorHAnsi" w:hAnsiTheme="majorHAnsi" w:cs="Arial"/>
          <w:b/>
          <w:lang w:val="es-ES_tradnl"/>
        </w:rPr>
        <w:t xml:space="preserve"> </w:t>
      </w:r>
      <w:r w:rsidR="00700681">
        <w:rPr>
          <w:rFonts w:asciiTheme="majorHAnsi" w:hAnsiTheme="majorHAnsi" w:cs="Arial"/>
          <w:b/>
          <w:lang w:val="es-ES_tradnl"/>
        </w:rPr>
        <w:t>formación</w:t>
      </w:r>
      <w:r w:rsidRPr="00087FBE">
        <w:rPr>
          <w:rFonts w:asciiTheme="majorHAnsi" w:hAnsiTheme="majorHAnsi" w:cs="Arial"/>
          <w:b/>
          <w:lang w:val="es-ES_tradnl"/>
        </w:rPr>
        <w:t xml:space="preserve"> de los administradores de humedales</w:t>
      </w:r>
    </w:p>
    <w:p w:rsidR="006373A5" w:rsidRPr="00087FBE" w:rsidRDefault="006373A5" w:rsidP="006373A5">
      <w:pPr>
        <w:spacing w:after="0" w:line="240" w:lineRule="auto"/>
        <w:rPr>
          <w:rFonts w:asciiTheme="majorHAnsi" w:hAnsiTheme="majorHAnsi" w:cs="Arial"/>
          <w:b/>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Times New Roman"/>
          <w:szCs w:val="24"/>
          <w:lang w:val="es-ES_tradnl" w:eastAsia="fr-FR"/>
        </w:rPr>
        <w:lastRenderedPageBreak/>
        <w:t>La</w:t>
      </w:r>
      <w:r w:rsidR="00087FBE" w:rsidRPr="00087FBE">
        <w:rPr>
          <w:rFonts w:asciiTheme="majorHAnsi" w:hAnsiTheme="majorHAnsi" w:cs="Times New Roman"/>
          <w:szCs w:val="24"/>
          <w:lang w:val="es-ES_tradnl" w:eastAsia="fr-FR"/>
        </w:rPr>
        <w:t xml:space="preserve"> </w:t>
      </w:r>
      <w:r w:rsidR="00700681">
        <w:rPr>
          <w:rFonts w:asciiTheme="majorHAnsi" w:hAnsiTheme="majorHAnsi" w:cs="Times New Roman"/>
          <w:szCs w:val="24"/>
          <w:lang w:val="es-ES_tradnl" w:eastAsia="fr-FR"/>
        </w:rPr>
        <w:t>formación</w:t>
      </w:r>
      <w:r w:rsidRPr="00087FBE">
        <w:rPr>
          <w:rFonts w:asciiTheme="majorHAnsi" w:hAnsiTheme="majorHAnsi" w:cs="Times New Roman"/>
          <w:szCs w:val="24"/>
          <w:lang w:val="es-ES_tradnl" w:eastAsia="fr-FR"/>
        </w:rPr>
        <w:t xml:space="preserve"> y la creación de capacidad forman parte integral del éxito en </w:t>
      </w:r>
      <w:r w:rsidR="004E3F11">
        <w:rPr>
          <w:rFonts w:asciiTheme="majorHAnsi" w:hAnsiTheme="majorHAnsi" w:cs="Times New Roman"/>
          <w:szCs w:val="24"/>
          <w:lang w:val="es-ES_tradnl" w:eastAsia="fr-FR"/>
        </w:rPr>
        <w:t>el manejo</w:t>
      </w:r>
      <w:r w:rsidRPr="00087FBE">
        <w:rPr>
          <w:rFonts w:asciiTheme="majorHAnsi" w:hAnsiTheme="majorHAnsi" w:cs="Times New Roman"/>
          <w:szCs w:val="24"/>
          <w:lang w:val="es-ES_tradnl" w:eastAsia="fr-FR"/>
        </w:rPr>
        <w:t xml:space="preserve"> de los humedales y las Partes citan con frecuencia en sus informes las necesidades </w:t>
      </w:r>
      <w:r w:rsidR="00071EF3" w:rsidRPr="00087FBE">
        <w:rPr>
          <w:rFonts w:asciiTheme="majorHAnsi" w:hAnsiTheme="majorHAnsi" w:cs="Times New Roman"/>
          <w:szCs w:val="24"/>
          <w:lang w:val="es-ES_tradnl" w:eastAsia="fr-FR"/>
        </w:rPr>
        <w:t>en ese sentido</w:t>
      </w:r>
      <w:r w:rsidRPr="00087FBE">
        <w:rPr>
          <w:rFonts w:asciiTheme="majorHAnsi" w:hAnsiTheme="majorHAnsi" w:cs="Times New Roman"/>
          <w:szCs w:val="24"/>
          <w:lang w:val="es-ES_tradnl" w:eastAsia="fr-FR"/>
        </w:rPr>
        <w:t xml:space="preserve">. En el actual Programa de CECoP se indica que es preciso que los países realicen un examen de sus necesidades y su capacidad en materia de CECoP, definan sus prioridades de formación y creación de capacidad y evalúen las necesidades nacionales y locales de </w:t>
      </w:r>
      <w:r w:rsidR="00700681">
        <w:rPr>
          <w:rFonts w:asciiTheme="majorHAnsi" w:hAnsiTheme="majorHAnsi" w:cs="Times New Roman"/>
          <w:szCs w:val="24"/>
          <w:lang w:val="es-ES_tradnl" w:eastAsia="fr-FR"/>
        </w:rPr>
        <w:t>formación</w:t>
      </w:r>
      <w:r w:rsidRPr="00087FBE">
        <w:rPr>
          <w:rFonts w:asciiTheme="majorHAnsi" w:hAnsiTheme="majorHAnsi" w:cs="Times New Roman"/>
          <w:szCs w:val="24"/>
          <w:lang w:val="es-ES_tradnl" w:eastAsia="fr-FR"/>
        </w:rPr>
        <w:t xml:space="preserve"> a un nivel más amplio</w:t>
      </w:r>
      <w:r w:rsidRPr="00087FBE">
        <w:rPr>
          <w:rFonts w:asciiTheme="majorHAnsi" w:hAnsiTheme="majorHAnsi" w:cs="Arial"/>
          <w:lang w:val="es-ES_tradnl"/>
        </w:rPr>
        <w:t>.</w:t>
      </w:r>
    </w:p>
    <w:p w:rsidR="006373A5" w:rsidRPr="00087FBE" w:rsidRDefault="006373A5" w:rsidP="00F60119">
      <w:pPr>
        <w:spacing w:beforeLines="1" w:afterLines="1" w:line="240" w:lineRule="auto"/>
        <w:rPr>
          <w:rFonts w:asciiTheme="majorHAnsi" w:hAnsiTheme="majorHAnsi" w:cs="Times New Roman"/>
          <w:szCs w:val="24"/>
          <w:lang w:val="es-ES_tradnl" w:eastAsia="fr-FR"/>
        </w:rPr>
      </w:pPr>
      <w:r w:rsidRPr="00087FBE">
        <w:rPr>
          <w:rFonts w:asciiTheme="majorHAnsi" w:hAnsiTheme="majorHAnsi" w:cs="Times New Roman"/>
          <w:szCs w:val="24"/>
          <w:lang w:val="es-ES_tradnl" w:eastAsia="fr-FR"/>
        </w:rPr>
        <w:t xml:space="preserve"> </w:t>
      </w: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Times New Roman"/>
          <w:szCs w:val="24"/>
          <w:lang w:val="es-ES_tradnl" w:eastAsia="fr-FR"/>
        </w:rPr>
        <w:t xml:space="preserve">En los Informes Nacionales se pidió a las Partes que indicaran si habían realizado una evaluación de las necesidades nacionales y locales de </w:t>
      </w:r>
      <w:r w:rsidR="00700681">
        <w:rPr>
          <w:rFonts w:asciiTheme="majorHAnsi" w:hAnsiTheme="majorHAnsi" w:cs="Times New Roman"/>
          <w:szCs w:val="24"/>
          <w:lang w:val="es-ES_tradnl" w:eastAsia="fr-FR"/>
        </w:rPr>
        <w:t>formació</w:t>
      </w:r>
      <w:r w:rsidRPr="00087FBE">
        <w:rPr>
          <w:rFonts w:asciiTheme="majorHAnsi" w:hAnsiTheme="majorHAnsi" w:cs="Times New Roman"/>
          <w:szCs w:val="24"/>
          <w:lang w:val="es-ES_tradnl" w:eastAsia="fr-FR"/>
        </w:rPr>
        <w:t>n para aplicar la Convención (</w:t>
      </w:r>
      <w:r w:rsidRPr="00087FBE">
        <w:rPr>
          <w:rFonts w:asciiTheme="majorHAnsi" w:hAnsiTheme="majorHAnsi" w:cs="Times New Roman"/>
          <w:iCs/>
          <w:szCs w:val="24"/>
          <w:lang w:val="es-ES_tradnl" w:eastAsia="fr-FR"/>
        </w:rPr>
        <w:t>Indicador 4.1.4</w:t>
      </w:r>
      <w:r w:rsidRPr="00087FBE">
        <w:rPr>
          <w:rFonts w:asciiTheme="majorHAnsi" w:hAnsiTheme="majorHAnsi" w:cs="Times New Roman"/>
          <w:szCs w:val="24"/>
          <w:lang w:val="es-ES_tradnl" w:eastAsia="fr-FR"/>
        </w:rPr>
        <w:t xml:space="preserve">). De acuerdo con la información suministrada, solo el 20 </w:t>
      </w:r>
      <w:r w:rsidR="00F3363E" w:rsidRPr="00087FBE">
        <w:rPr>
          <w:rFonts w:asciiTheme="majorHAnsi" w:hAnsiTheme="majorHAnsi" w:cs="Times New Roman"/>
          <w:szCs w:val="24"/>
          <w:lang w:val="es-ES_tradnl" w:eastAsia="fr-FR"/>
        </w:rPr>
        <w:t>%</w:t>
      </w:r>
      <w:r w:rsidR="00402811" w:rsidRPr="00087FBE">
        <w:rPr>
          <w:rFonts w:asciiTheme="majorHAnsi" w:hAnsiTheme="majorHAnsi" w:cs="Times New Roman"/>
          <w:szCs w:val="24"/>
          <w:lang w:val="es-ES_tradnl" w:eastAsia="fr-FR"/>
        </w:rPr>
        <w:t xml:space="preserve"> de las Partes ha</w:t>
      </w:r>
      <w:r w:rsidRPr="00087FBE">
        <w:rPr>
          <w:rFonts w:asciiTheme="majorHAnsi" w:hAnsiTheme="majorHAnsi" w:cs="Times New Roman"/>
          <w:szCs w:val="24"/>
          <w:lang w:val="es-ES_tradnl" w:eastAsia="fr-FR"/>
        </w:rPr>
        <w:t xml:space="preserve"> realizado dicha evaluación, mientras que el 47 </w:t>
      </w:r>
      <w:r w:rsidR="00F3363E" w:rsidRPr="00087FBE">
        <w:rPr>
          <w:rFonts w:asciiTheme="majorHAnsi" w:hAnsiTheme="majorHAnsi" w:cs="Times New Roman"/>
          <w:szCs w:val="24"/>
          <w:lang w:val="es-ES_tradnl" w:eastAsia="fr-FR"/>
        </w:rPr>
        <w:t>%</w:t>
      </w:r>
      <w:r w:rsidRPr="00087FBE">
        <w:rPr>
          <w:rFonts w:asciiTheme="majorHAnsi" w:hAnsiTheme="majorHAnsi" w:cs="Times New Roman"/>
          <w:szCs w:val="24"/>
          <w:lang w:val="es-ES_tradnl" w:eastAsia="fr-FR"/>
        </w:rPr>
        <w:t xml:space="preserve"> de las Partes </w:t>
      </w:r>
      <w:r w:rsidR="003F2F5D" w:rsidRPr="00087FBE">
        <w:rPr>
          <w:rFonts w:asciiTheme="majorHAnsi" w:hAnsiTheme="majorHAnsi" w:cs="Times New Roman"/>
          <w:szCs w:val="24"/>
          <w:lang w:val="es-ES_tradnl" w:eastAsia="fr-FR"/>
        </w:rPr>
        <w:t>respondieron</w:t>
      </w:r>
      <w:r w:rsidRPr="00087FBE">
        <w:rPr>
          <w:rFonts w:asciiTheme="majorHAnsi" w:hAnsiTheme="majorHAnsi" w:cs="Times New Roman"/>
          <w:szCs w:val="24"/>
          <w:lang w:val="es-ES_tradnl" w:eastAsia="fr-FR"/>
        </w:rPr>
        <w:t xml:space="preserve"> negativamente</w:t>
      </w:r>
      <w:r w:rsidRPr="00087FBE">
        <w:rPr>
          <w:rFonts w:asciiTheme="majorHAnsi" w:hAnsiTheme="majorHAnsi" w:cs="Arial"/>
          <w:lang w:val="es-ES_tradnl"/>
        </w:rPr>
        <w:t xml:space="preserve">. Es preciso desplegar más esfuerzos para investigar las necesidades de </w:t>
      </w:r>
      <w:r w:rsidR="00700681">
        <w:rPr>
          <w:rFonts w:asciiTheme="majorHAnsi" w:hAnsiTheme="majorHAnsi" w:cs="Arial"/>
          <w:lang w:val="es-ES_tradnl"/>
        </w:rPr>
        <w:t>formación</w:t>
      </w:r>
      <w:r w:rsidRPr="00087FBE">
        <w:rPr>
          <w:rFonts w:asciiTheme="majorHAnsi" w:hAnsiTheme="majorHAnsi" w:cs="Arial"/>
          <w:lang w:val="es-ES_tradnl"/>
        </w:rPr>
        <w:t xml:space="preserve"> a fin de facilitar el diseño de oportunidades de </w:t>
      </w:r>
      <w:r w:rsidR="00087FBE" w:rsidRPr="00087FBE">
        <w:rPr>
          <w:rFonts w:asciiTheme="majorHAnsi" w:hAnsiTheme="majorHAnsi" w:cs="Arial"/>
          <w:lang w:val="es-ES_tradnl"/>
        </w:rPr>
        <w:t>capacitación</w:t>
      </w:r>
      <w:r w:rsidRPr="00087FBE">
        <w:rPr>
          <w:rFonts w:asciiTheme="majorHAnsi" w:hAnsiTheme="majorHAnsi" w:cs="Arial"/>
          <w:lang w:val="es-ES_tradnl"/>
        </w:rPr>
        <w:t xml:space="preserve"> adecuadas.</w:t>
      </w:r>
    </w:p>
    <w:p w:rsidR="006373A5" w:rsidRPr="00087FBE" w:rsidRDefault="006373A5" w:rsidP="006373A5">
      <w:pPr>
        <w:pStyle w:val="ListParagraph"/>
        <w:spacing w:after="0" w:line="240" w:lineRule="auto"/>
        <w:ind w:left="426"/>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En el Indicador 4.1.5 se muestra cuántas</w:t>
      </w:r>
      <w:r w:rsidRPr="00087FBE">
        <w:rPr>
          <w:rFonts w:asciiTheme="majorHAnsi" w:hAnsiTheme="majorHAnsi" w:cs="Times New Roman"/>
          <w:szCs w:val="24"/>
          <w:lang w:val="es-ES_tradnl" w:eastAsia="fr-FR"/>
        </w:rPr>
        <w:t xml:space="preserve"> oportunidades de </w:t>
      </w:r>
      <w:r w:rsidR="00700681">
        <w:rPr>
          <w:rFonts w:asciiTheme="majorHAnsi" w:hAnsiTheme="majorHAnsi" w:cs="Times New Roman"/>
          <w:szCs w:val="24"/>
          <w:lang w:val="es-ES_tradnl" w:eastAsia="fr-FR"/>
        </w:rPr>
        <w:t>formación</w:t>
      </w:r>
      <w:r w:rsidR="004E3F11">
        <w:rPr>
          <w:rFonts w:asciiTheme="majorHAnsi" w:hAnsiTheme="majorHAnsi" w:cs="Times New Roman"/>
          <w:szCs w:val="24"/>
          <w:lang w:val="es-ES_tradnl" w:eastAsia="fr-FR"/>
        </w:rPr>
        <w:t xml:space="preserve"> </w:t>
      </w:r>
      <w:r w:rsidRPr="00087FBE">
        <w:rPr>
          <w:rFonts w:asciiTheme="majorHAnsi" w:hAnsiTheme="majorHAnsi" w:cs="Times New Roman"/>
          <w:szCs w:val="24"/>
          <w:lang w:val="es-ES_tradnl" w:eastAsia="fr-FR"/>
        </w:rPr>
        <w:t xml:space="preserve">para los administradores de humedales se han </w:t>
      </w:r>
      <w:r w:rsidR="00071EF3" w:rsidRPr="00087FBE">
        <w:rPr>
          <w:rFonts w:asciiTheme="majorHAnsi" w:hAnsiTheme="majorHAnsi" w:cs="Times New Roman"/>
          <w:szCs w:val="24"/>
          <w:lang w:val="es-ES_tradnl" w:eastAsia="fr-FR"/>
        </w:rPr>
        <w:t>ofrecido</w:t>
      </w:r>
      <w:r w:rsidRPr="00087FBE">
        <w:rPr>
          <w:rFonts w:asciiTheme="majorHAnsi" w:hAnsiTheme="majorHAnsi" w:cs="Times New Roman"/>
          <w:szCs w:val="24"/>
          <w:lang w:val="es-ES_tradnl" w:eastAsia="fr-FR"/>
        </w:rPr>
        <w:t xml:space="preserve"> en un sitio</w:t>
      </w:r>
      <w:r w:rsidRPr="00087FBE">
        <w:rPr>
          <w:rFonts w:asciiTheme="majorHAnsi" w:hAnsiTheme="majorHAnsi" w:cs="Arial"/>
          <w:lang w:val="es-ES_tradnl"/>
        </w:rPr>
        <w:t xml:space="preserve"> Ramsar o en otros humedales. En general</w:t>
      </w:r>
      <w:r w:rsidR="00071EF3" w:rsidRPr="00087FBE">
        <w:rPr>
          <w:rFonts w:asciiTheme="majorHAnsi" w:hAnsiTheme="majorHAnsi" w:cs="Arial"/>
          <w:lang w:val="es-ES_tradnl"/>
        </w:rPr>
        <w:t>,</w:t>
      </w:r>
      <w:r w:rsidRPr="00087FBE">
        <w:rPr>
          <w:rFonts w:asciiTheme="majorHAnsi" w:hAnsiTheme="majorHAnsi" w:cs="Arial"/>
          <w:lang w:val="es-ES_tradnl"/>
        </w:rPr>
        <w:t xml:space="preserve"> las Partes comunicaron más oportunidades de </w:t>
      </w:r>
      <w:r w:rsidR="00700681">
        <w:rPr>
          <w:rFonts w:asciiTheme="majorHAnsi" w:hAnsiTheme="majorHAnsi" w:cs="Arial"/>
          <w:lang w:val="es-ES_tradnl"/>
        </w:rPr>
        <w:t>formación</w:t>
      </w:r>
      <w:r w:rsidRPr="00087FBE">
        <w:rPr>
          <w:rFonts w:asciiTheme="majorHAnsi" w:hAnsiTheme="majorHAnsi" w:cs="Arial"/>
          <w:lang w:val="es-ES_tradnl"/>
        </w:rPr>
        <w:t xml:space="preserve"> llevadas a cabo en los sitios Ramsar que en otros humedales. </w:t>
      </w:r>
      <w:r w:rsidRPr="00087FBE">
        <w:rPr>
          <w:rFonts w:asciiTheme="majorHAnsi" w:hAnsiTheme="majorHAnsi" w:cs="Times New Roman"/>
          <w:szCs w:val="24"/>
          <w:lang w:val="es-ES_tradnl" w:eastAsia="fr-FR"/>
        </w:rPr>
        <w:t xml:space="preserve">Las respuestas ofrecidas en la casilla de texto libre indicaron una mezcla similar de enfoques con actividades aisladas de </w:t>
      </w:r>
      <w:r w:rsidR="00700681">
        <w:rPr>
          <w:rFonts w:asciiTheme="majorHAnsi" w:hAnsiTheme="majorHAnsi" w:cs="Times New Roman"/>
          <w:szCs w:val="24"/>
          <w:lang w:val="es-ES_tradnl" w:eastAsia="fr-FR"/>
        </w:rPr>
        <w:t>formación</w:t>
      </w:r>
      <w:r w:rsidRPr="00087FBE">
        <w:rPr>
          <w:rFonts w:asciiTheme="majorHAnsi" w:hAnsiTheme="majorHAnsi" w:cs="Times New Roman"/>
          <w:szCs w:val="24"/>
          <w:lang w:val="es-ES_tradnl" w:eastAsia="fr-FR"/>
        </w:rPr>
        <w:t xml:space="preserve">, actividades periódicas </w:t>
      </w:r>
      <w:r w:rsidR="00071EF3" w:rsidRPr="00087FBE">
        <w:rPr>
          <w:rFonts w:asciiTheme="majorHAnsi" w:hAnsiTheme="majorHAnsi" w:cs="Times New Roman"/>
          <w:szCs w:val="24"/>
          <w:lang w:val="es-ES_tradnl" w:eastAsia="fr-FR"/>
        </w:rPr>
        <w:t>en los planos</w:t>
      </w:r>
      <w:r w:rsidRPr="00087FBE">
        <w:rPr>
          <w:rFonts w:asciiTheme="majorHAnsi" w:hAnsiTheme="majorHAnsi" w:cs="Times New Roman"/>
          <w:szCs w:val="24"/>
          <w:lang w:val="es-ES_tradnl" w:eastAsia="fr-FR"/>
        </w:rPr>
        <w:t xml:space="preserve"> nacional y local y actividades de </w:t>
      </w:r>
      <w:r w:rsidR="00700681">
        <w:rPr>
          <w:rFonts w:asciiTheme="majorHAnsi" w:hAnsiTheme="majorHAnsi" w:cs="Times New Roman"/>
          <w:szCs w:val="24"/>
          <w:lang w:val="es-ES_tradnl" w:eastAsia="fr-FR"/>
        </w:rPr>
        <w:t>formación</w:t>
      </w:r>
      <w:r w:rsidRPr="00087FBE">
        <w:rPr>
          <w:rFonts w:asciiTheme="majorHAnsi" w:hAnsiTheme="majorHAnsi" w:cs="Times New Roman"/>
          <w:szCs w:val="24"/>
          <w:lang w:val="es-ES_tradnl" w:eastAsia="fr-FR"/>
        </w:rPr>
        <w:t xml:space="preserve"> en colaboración con países vecinos. Muchos países han señalado que sus actividades de </w:t>
      </w:r>
      <w:r w:rsidR="00071EF3" w:rsidRPr="00087FBE">
        <w:rPr>
          <w:rFonts w:asciiTheme="majorHAnsi" w:hAnsiTheme="majorHAnsi" w:cs="Times New Roman"/>
          <w:szCs w:val="24"/>
          <w:lang w:val="es-ES_tradnl" w:eastAsia="fr-FR"/>
        </w:rPr>
        <w:t>capacitación</w:t>
      </w:r>
      <w:r w:rsidRPr="00087FBE">
        <w:rPr>
          <w:rFonts w:asciiTheme="majorHAnsi" w:hAnsiTheme="majorHAnsi" w:cs="Times New Roman"/>
          <w:szCs w:val="24"/>
          <w:lang w:val="es-ES_tradnl" w:eastAsia="fr-FR"/>
        </w:rPr>
        <w:t xml:space="preserve"> no suelen centrarse específicamente en la Convención de Ramsar, sino que son más genéricas y están destinadas a los administradores de parques nacionales y/o zonas protegidas.</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 xml:space="preserve">Durante este trienio, la </w:t>
      </w:r>
      <w:r w:rsidRPr="00087FBE">
        <w:rPr>
          <w:rFonts w:asciiTheme="majorHAnsi" w:hAnsiTheme="majorHAnsi" w:cs="Times New Roman"/>
          <w:szCs w:val="24"/>
          <w:lang w:val="es-ES_tradnl" w:eastAsia="fr-FR"/>
        </w:rPr>
        <w:t>Convención ha seguido beneficiándose de los cuatro Centros Regionales de Ramsar (CRR)</w:t>
      </w:r>
      <w:r w:rsidR="00071EF3" w:rsidRPr="00087FBE">
        <w:rPr>
          <w:rFonts w:asciiTheme="majorHAnsi" w:hAnsiTheme="majorHAnsi" w:cs="Times New Roman"/>
          <w:szCs w:val="24"/>
          <w:lang w:val="es-ES_tradnl" w:eastAsia="fr-FR"/>
        </w:rPr>
        <w:t>: el CRR para las Américas, situado</w:t>
      </w:r>
      <w:r w:rsidRPr="00087FBE">
        <w:rPr>
          <w:rFonts w:asciiTheme="majorHAnsi" w:hAnsiTheme="majorHAnsi" w:cs="Times New Roman"/>
          <w:szCs w:val="24"/>
          <w:lang w:val="es-ES_tradnl" w:eastAsia="fr-FR"/>
        </w:rPr>
        <w:t xml:space="preserve"> en Panamá</w:t>
      </w:r>
      <w:r w:rsidR="00071EF3" w:rsidRPr="00087FBE">
        <w:rPr>
          <w:rFonts w:asciiTheme="majorHAnsi" w:hAnsiTheme="majorHAnsi" w:cs="Times New Roman"/>
          <w:szCs w:val="24"/>
          <w:lang w:val="es-ES_tradnl" w:eastAsia="fr-FR"/>
        </w:rPr>
        <w:t>; el CRR para África oriental, situado en Uganda; el CRR</w:t>
      </w:r>
      <w:r w:rsidRPr="00087FBE">
        <w:rPr>
          <w:rFonts w:asciiTheme="majorHAnsi" w:hAnsiTheme="majorHAnsi" w:cs="Times New Roman"/>
          <w:szCs w:val="24"/>
          <w:lang w:val="es-ES_tradnl" w:eastAsia="fr-FR"/>
        </w:rPr>
        <w:t xml:space="preserve"> para </w:t>
      </w:r>
      <w:r w:rsidR="00071EF3" w:rsidRPr="00087FBE">
        <w:rPr>
          <w:rFonts w:asciiTheme="majorHAnsi" w:hAnsiTheme="majorHAnsi" w:cs="Times New Roman"/>
          <w:szCs w:val="24"/>
          <w:lang w:val="es-ES_tradnl" w:eastAsia="fr-FR"/>
        </w:rPr>
        <w:t xml:space="preserve">Asia central y occidental, </w:t>
      </w:r>
      <w:r w:rsidR="00883461" w:rsidRPr="00087FBE">
        <w:rPr>
          <w:rFonts w:asciiTheme="majorHAnsi" w:hAnsiTheme="majorHAnsi" w:cs="Times New Roman"/>
          <w:szCs w:val="24"/>
          <w:lang w:val="es-ES_tradnl" w:eastAsia="fr-FR"/>
        </w:rPr>
        <w:t xml:space="preserve">en </w:t>
      </w:r>
      <w:r w:rsidRPr="00087FBE">
        <w:rPr>
          <w:rFonts w:asciiTheme="majorHAnsi" w:hAnsiTheme="majorHAnsi" w:cs="Times New Roman"/>
          <w:szCs w:val="24"/>
          <w:lang w:val="es-ES_tradnl" w:eastAsia="fr-FR"/>
        </w:rPr>
        <w:t xml:space="preserve">la </w:t>
      </w:r>
      <w:r w:rsidR="00087FBE" w:rsidRPr="00087FBE">
        <w:rPr>
          <w:rFonts w:asciiTheme="majorHAnsi" w:hAnsiTheme="majorHAnsi" w:cs="Times New Roman"/>
          <w:szCs w:val="24"/>
          <w:lang w:val="es-ES_tradnl" w:eastAsia="fr-FR"/>
        </w:rPr>
        <w:t>República</w:t>
      </w:r>
      <w:r w:rsidR="00883461" w:rsidRPr="00087FBE">
        <w:rPr>
          <w:rFonts w:asciiTheme="majorHAnsi" w:hAnsiTheme="majorHAnsi" w:cs="Times New Roman"/>
          <w:szCs w:val="24"/>
          <w:lang w:val="es-ES_tradnl" w:eastAsia="fr-FR"/>
        </w:rPr>
        <w:t xml:space="preserve"> </w:t>
      </w:r>
      <w:r w:rsidR="00087FBE" w:rsidRPr="00087FBE">
        <w:rPr>
          <w:rFonts w:asciiTheme="majorHAnsi" w:hAnsiTheme="majorHAnsi" w:cs="Times New Roman"/>
          <w:szCs w:val="24"/>
          <w:lang w:val="es-ES_tradnl" w:eastAsia="fr-FR"/>
        </w:rPr>
        <w:t>Islámica</w:t>
      </w:r>
      <w:r w:rsidR="00883461" w:rsidRPr="00087FBE">
        <w:rPr>
          <w:rFonts w:asciiTheme="majorHAnsi" w:hAnsiTheme="majorHAnsi" w:cs="Times New Roman"/>
          <w:szCs w:val="24"/>
          <w:lang w:val="es-ES_tradnl" w:eastAsia="fr-FR"/>
        </w:rPr>
        <w:t xml:space="preserve"> del </w:t>
      </w:r>
      <w:r w:rsidR="00087FBE" w:rsidRPr="00087FBE">
        <w:rPr>
          <w:rFonts w:asciiTheme="majorHAnsi" w:hAnsiTheme="majorHAnsi" w:cs="Times New Roman"/>
          <w:szCs w:val="24"/>
          <w:lang w:val="es-ES_tradnl" w:eastAsia="fr-FR"/>
        </w:rPr>
        <w:t>Irán</w:t>
      </w:r>
      <w:r w:rsidR="00883461" w:rsidRPr="00087FBE">
        <w:rPr>
          <w:rFonts w:asciiTheme="majorHAnsi" w:hAnsiTheme="majorHAnsi" w:cs="Times New Roman"/>
          <w:szCs w:val="24"/>
          <w:lang w:val="es-ES_tradnl" w:eastAsia="fr-FR"/>
        </w:rPr>
        <w:t>; y el CRR</w:t>
      </w:r>
      <w:r w:rsidRPr="00087FBE">
        <w:rPr>
          <w:rFonts w:asciiTheme="majorHAnsi" w:hAnsiTheme="majorHAnsi" w:cs="Times New Roman"/>
          <w:szCs w:val="24"/>
          <w:lang w:val="es-ES_tradnl" w:eastAsia="fr-FR"/>
        </w:rPr>
        <w:t xml:space="preserve"> </w:t>
      </w:r>
      <w:r w:rsidR="00883461" w:rsidRPr="00087FBE">
        <w:rPr>
          <w:rFonts w:asciiTheme="majorHAnsi" w:hAnsiTheme="majorHAnsi" w:cs="Times New Roman"/>
          <w:szCs w:val="24"/>
          <w:lang w:val="es-ES_tradnl" w:eastAsia="fr-FR"/>
        </w:rPr>
        <w:t xml:space="preserve">para Asia oriental, en la </w:t>
      </w:r>
      <w:r w:rsidR="00087FBE" w:rsidRPr="00087FBE">
        <w:rPr>
          <w:rFonts w:asciiTheme="majorHAnsi" w:hAnsiTheme="majorHAnsi" w:cs="Times New Roman"/>
          <w:szCs w:val="24"/>
          <w:lang w:val="es-ES_tradnl" w:eastAsia="fr-FR"/>
        </w:rPr>
        <w:t>República</w:t>
      </w:r>
      <w:r w:rsidR="00883461" w:rsidRPr="00087FBE">
        <w:rPr>
          <w:rFonts w:asciiTheme="majorHAnsi" w:hAnsiTheme="majorHAnsi" w:cs="Times New Roman"/>
          <w:szCs w:val="24"/>
          <w:lang w:val="es-ES_tradnl" w:eastAsia="fr-FR"/>
        </w:rPr>
        <w:t xml:space="preserve"> de Corea</w:t>
      </w:r>
      <w:r w:rsidRPr="00087FBE">
        <w:rPr>
          <w:rFonts w:asciiTheme="majorHAnsi" w:hAnsiTheme="majorHAnsi" w:cs="Times New Roman"/>
          <w:szCs w:val="24"/>
          <w:lang w:val="es-ES_tradnl" w:eastAsia="fr-FR"/>
        </w:rPr>
        <w:t xml:space="preserve">. Esos centros se mencionan con frecuencia en las respuestas en las casillas de texto libre de los Informes Nacionales en </w:t>
      </w:r>
      <w:r w:rsidR="00087FBE" w:rsidRPr="00087FBE">
        <w:rPr>
          <w:rFonts w:asciiTheme="majorHAnsi" w:hAnsiTheme="majorHAnsi" w:cs="Times New Roman"/>
          <w:szCs w:val="24"/>
          <w:lang w:val="es-ES_tradnl" w:eastAsia="fr-FR"/>
        </w:rPr>
        <w:t>relación</w:t>
      </w:r>
      <w:r w:rsidRPr="00087FBE">
        <w:rPr>
          <w:rFonts w:asciiTheme="majorHAnsi" w:hAnsiTheme="majorHAnsi" w:cs="Times New Roman"/>
          <w:szCs w:val="24"/>
          <w:lang w:val="es-ES_tradnl" w:eastAsia="fr-FR"/>
        </w:rPr>
        <w:t xml:space="preserve"> con la </w:t>
      </w:r>
      <w:r w:rsidR="00700681">
        <w:rPr>
          <w:rFonts w:asciiTheme="majorHAnsi" w:hAnsiTheme="majorHAnsi" w:cs="Times New Roman"/>
          <w:szCs w:val="24"/>
          <w:lang w:val="es-ES_tradnl" w:eastAsia="fr-FR"/>
        </w:rPr>
        <w:t>formación</w:t>
      </w:r>
      <w:r w:rsidRPr="00087FBE">
        <w:rPr>
          <w:rFonts w:asciiTheme="majorHAnsi" w:hAnsiTheme="majorHAnsi" w:cs="Times New Roman"/>
          <w:szCs w:val="24"/>
          <w:lang w:val="es-ES_tradnl" w:eastAsia="fr-FR"/>
        </w:rPr>
        <w:t xml:space="preserve"> y la creación de capacidad</w:t>
      </w:r>
      <w:r w:rsidRPr="00087FBE">
        <w:rPr>
          <w:rFonts w:asciiTheme="majorHAnsi" w:hAnsiTheme="majorHAnsi" w:cs="Arial"/>
          <w:lang w:val="es-ES_tradnl"/>
        </w:rPr>
        <w:t>.</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Times New Roman"/>
          <w:szCs w:val="24"/>
          <w:lang w:val="es-ES_tradnl" w:eastAsia="fr-FR"/>
        </w:rPr>
        <w:t xml:space="preserve">Cabe señalar </w:t>
      </w:r>
      <w:r w:rsidR="00087FBE" w:rsidRPr="00087FBE">
        <w:rPr>
          <w:rFonts w:asciiTheme="majorHAnsi" w:hAnsiTheme="majorHAnsi" w:cs="Times New Roman"/>
          <w:szCs w:val="24"/>
          <w:lang w:val="es-ES_tradnl" w:eastAsia="fr-FR"/>
        </w:rPr>
        <w:t>también</w:t>
      </w:r>
      <w:r w:rsidRPr="00087FBE">
        <w:rPr>
          <w:rFonts w:asciiTheme="majorHAnsi" w:hAnsiTheme="majorHAnsi" w:cs="Times New Roman"/>
          <w:szCs w:val="24"/>
          <w:lang w:val="es-ES_tradnl" w:eastAsia="fr-FR"/>
        </w:rPr>
        <w:t xml:space="preserve"> que la Convención se </w:t>
      </w:r>
      <w:r w:rsidR="00883461" w:rsidRPr="00087FBE">
        <w:rPr>
          <w:rFonts w:asciiTheme="majorHAnsi" w:hAnsiTheme="majorHAnsi" w:cs="Times New Roman"/>
          <w:szCs w:val="24"/>
          <w:lang w:val="es-ES_tradnl" w:eastAsia="fr-FR"/>
        </w:rPr>
        <w:t xml:space="preserve">ve beneficiada por </w:t>
      </w:r>
      <w:r w:rsidRPr="00087FBE">
        <w:rPr>
          <w:rFonts w:asciiTheme="majorHAnsi" w:hAnsiTheme="majorHAnsi" w:cs="Times New Roman"/>
          <w:szCs w:val="24"/>
          <w:lang w:val="es-ES_tradnl" w:eastAsia="fr-FR"/>
        </w:rPr>
        <w:t xml:space="preserve">las diversas actividades de </w:t>
      </w:r>
      <w:r w:rsidR="00700681">
        <w:rPr>
          <w:rFonts w:asciiTheme="majorHAnsi" w:hAnsiTheme="majorHAnsi" w:cs="Times New Roman"/>
          <w:szCs w:val="24"/>
          <w:lang w:val="es-ES_tradnl" w:eastAsia="fr-FR"/>
        </w:rPr>
        <w:t>formación</w:t>
      </w:r>
      <w:r w:rsidRPr="00087FBE">
        <w:rPr>
          <w:rFonts w:asciiTheme="majorHAnsi" w:hAnsiTheme="majorHAnsi" w:cs="Times New Roman"/>
          <w:szCs w:val="24"/>
          <w:lang w:val="es-ES_tradnl" w:eastAsia="fr-FR"/>
        </w:rPr>
        <w:t xml:space="preserve"> sobre los humedales realizadas por las cinco Organizaciones Internacionales Asociadas de Ramsar, que en muchos casos están vinculadas a proyectos y programas sobre la gestión de humedales actualmente en ejecución.</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spacing w:after="0" w:line="240" w:lineRule="auto"/>
        <w:rPr>
          <w:rFonts w:asciiTheme="majorHAnsi" w:hAnsiTheme="majorHAnsi" w:cs="Arial"/>
          <w:b/>
          <w:lang w:val="es-ES_tradnl"/>
        </w:rPr>
      </w:pPr>
      <w:r w:rsidRPr="00087FBE">
        <w:rPr>
          <w:rFonts w:asciiTheme="majorHAnsi" w:hAnsiTheme="majorHAnsi" w:cs="Arial"/>
          <w:b/>
          <w:lang w:val="es-ES_tradnl"/>
        </w:rPr>
        <w:t>Celebración del Día Mundial de los Humedales</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 xml:space="preserve">El Día Mundial de los Humedales es el </w:t>
      </w:r>
      <w:r w:rsidR="00BD6B4F" w:rsidRPr="00087FBE">
        <w:rPr>
          <w:rFonts w:asciiTheme="majorHAnsi" w:hAnsiTheme="majorHAnsi" w:cs="Arial"/>
          <w:lang w:val="es-ES_tradnl"/>
        </w:rPr>
        <w:t>evento</w:t>
      </w:r>
      <w:r w:rsidRPr="00087FBE">
        <w:rPr>
          <w:rFonts w:asciiTheme="majorHAnsi" w:hAnsiTheme="majorHAnsi" w:cs="Arial"/>
          <w:lang w:val="es-ES_tradnl"/>
        </w:rPr>
        <w:t xml:space="preserve"> de sensibilización más importante de la Convención, y las publicaciones y el apoyo electrónico </w:t>
      </w:r>
      <w:r w:rsidR="00883461" w:rsidRPr="00087FBE">
        <w:rPr>
          <w:rFonts w:asciiTheme="majorHAnsi" w:hAnsiTheme="majorHAnsi" w:cs="Arial"/>
          <w:lang w:val="es-ES_tradnl"/>
        </w:rPr>
        <w:t>desarrollados</w:t>
      </w:r>
      <w:r w:rsidRPr="00087FBE">
        <w:rPr>
          <w:rFonts w:asciiTheme="majorHAnsi" w:hAnsiTheme="majorHAnsi" w:cs="Arial"/>
          <w:lang w:val="es-ES_tradnl"/>
        </w:rPr>
        <w:t xml:space="preserve"> por la Secretaría para este acontecimiento </w:t>
      </w:r>
      <w:r w:rsidR="00883461" w:rsidRPr="00087FBE">
        <w:rPr>
          <w:rFonts w:asciiTheme="majorHAnsi" w:hAnsiTheme="majorHAnsi" w:cs="Arial"/>
          <w:lang w:val="es-ES_tradnl"/>
        </w:rPr>
        <w:t>se realizan</w:t>
      </w:r>
      <w:r w:rsidRPr="00087FBE">
        <w:rPr>
          <w:rFonts w:asciiTheme="majorHAnsi" w:hAnsiTheme="majorHAnsi" w:cs="Arial"/>
          <w:lang w:val="es-ES_tradnl"/>
        </w:rPr>
        <w:t xml:space="preserve"> gracias a la </w:t>
      </w:r>
      <w:r w:rsidR="00883461" w:rsidRPr="00087FBE">
        <w:rPr>
          <w:rFonts w:asciiTheme="majorHAnsi" w:hAnsiTheme="majorHAnsi" w:cs="Arial"/>
          <w:lang w:val="es-ES_tradnl"/>
        </w:rPr>
        <w:t>generosa</w:t>
      </w:r>
      <w:r w:rsidRPr="00087FBE">
        <w:rPr>
          <w:rFonts w:asciiTheme="majorHAnsi" w:hAnsiTheme="majorHAnsi" w:cs="Arial"/>
          <w:lang w:val="es-ES_tradnl"/>
        </w:rPr>
        <w:t xml:space="preserve"> financiación del Fondo Danone-Evian para el Agua. Las Partes han acogido con entusiasmo el Día Mundial de los Humedales (Indicador 4.1.8) durante el plazo observado</w:t>
      </w:r>
      <w:r w:rsidR="00883461" w:rsidRPr="00087FBE">
        <w:rPr>
          <w:rFonts w:asciiTheme="majorHAnsi" w:hAnsiTheme="majorHAnsi" w:cs="Arial"/>
          <w:lang w:val="es-ES_tradnl"/>
        </w:rPr>
        <w:t xml:space="preserve"> y el</w:t>
      </w:r>
      <w:r w:rsidRPr="00087FBE">
        <w:rPr>
          <w:rFonts w:asciiTheme="majorHAnsi" w:hAnsiTheme="majorHAnsi" w:cs="Arial"/>
          <w:lang w:val="es-ES_tradnl"/>
        </w:rPr>
        <w:t xml:space="preserve"> 89 </w:t>
      </w:r>
      <w:r w:rsidR="00F3363E" w:rsidRPr="00087FBE">
        <w:rPr>
          <w:rFonts w:asciiTheme="majorHAnsi" w:hAnsiTheme="majorHAnsi" w:cs="Arial"/>
          <w:lang w:val="es-ES_tradnl"/>
        </w:rPr>
        <w:t>%</w:t>
      </w:r>
      <w:r w:rsidRPr="00087FBE">
        <w:rPr>
          <w:rFonts w:asciiTheme="majorHAnsi" w:hAnsiTheme="majorHAnsi" w:cs="Arial"/>
          <w:lang w:val="es-ES_tradnl"/>
        </w:rPr>
        <w:t xml:space="preserve"> de las Partes </w:t>
      </w:r>
      <w:r w:rsidR="00BD6B4F" w:rsidRPr="00087FBE">
        <w:rPr>
          <w:rFonts w:asciiTheme="majorHAnsi" w:hAnsiTheme="majorHAnsi" w:cs="Arial"/>
          <w:lang w:val="es-ES_tradnl"/>
        </w:rPr>
        <w:t>señala</w:t>
      </w:r>
      <w:r w:rsidR="003F2F5D" w:rsidRPr="00087FBE">
        <w:rPr>
          <w:rFonts w:asciiTheme="majorHAnsi" w:hAnsiTheme="majorHAnsi" w:cs="Arial"/>
          <w:lang w:val="es-ES_tradnl"/>
        </w:rPr>
        <w:t>n</w:t>
      </w:r>
      <w:r w:rsidR="00BD6B4F" w:rsidRPr="00087FBE">
        <w:rPr>
          <w:rFonts w:asciiTheme="majorHAnsi" w:hAnsiTheme="majorHAnsi" w:cs="Arial"/>
          <w:lang w:val="es-ES_tradnl"/>
        </w:rPr>
        <w:t xml:space="preserve"> que ha</w:t>
      </w:r>
      <w:r w:rsidR="003F2F5D" w:rsidRPr="00087FBE">
        <w:rPr>
          <w:rFonts w:asciiTheme="majorHAnsi" w:hAnsiTheme="majorHAnsi" w:cs="Arial"/>
          <w:lang w:val="es-ES_tradnl"/>
        </w:rPr>
        <w:t>n</w:t>
      </w:r>
      <w:r w:rsidRPr="00087FBE">
        <w:rPr>
          <w:rFonts w:asciiTheme="majorHAnsi" w:hAnsiTheme="majorHAnsi" w:cs="Arial"/>
          <w:lang w:val="es-ES_tradnl"/>
        </w:rPr>
        <w:t xml:space="preserve"> realizado actividades relacionadas con el DMH desde la COP11. Los análisis sobre el DMH realizados por Futerra (2013) y Artemis Services (2009) pusieron de relieve la necesidad de definir con mayor precisión </w:t>
      </w:r>
      <w:r w:rsidR="00883461" w:rsidRPr="00087FBE">
        <w:rPr>
          <w:rFonts w:asciiTheme="majorHAnsi" w:hAnsiTheme="majorHAnsi" w:cs="Arial"/>
          <w:lang w:val="es-ES_tradnl"/>
        </w:rPr>
        <w:t>la finalidad y el público destinatario de</w:t>
      </w:r>
      <w:r w:rsidRPr="00087FBE">
        <w:rPr>
          <w:rFonts w:asciiTheme="majorHAnsi" w:hAnsiTheme="majorHAnsi" w:cs="Arial"/>
          <w:lang w:val="es-ES_tradnl"/>
        </w:rPr>
        <w:t xml:space="preserve">l DMH. Asimismo, recomendaron orientarse hacia los medios electrónicos y definir la forma de provocar el cambio. </w:t>
      </w:r>
    </w:p>
    <w:p w:rsidR="006373A5" w:rsidRPr="00087FBE" w:rsidRDefault="006373A5" w:rsidP="006373A5">
      <w:pPr>
        <w:pStyle w:val="ListParagraph"/>
        <w:spacing w:after="0" w:line="240" w:lineRule="auto"/>
        <w:ind w:left="426"/>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Para el DMH de 2015</w:t>
      </w:r>
      <w:r w:rsidR="00C96773" w:rsidRPr="00087FBE">
        <w:rPr>
          <w:rFonts w:asciiTheme="majorHAnsi" w:hAnsiTheme="majorHAnsi" w:cs="Arial"/>
          <w:lang w:val="es-ES_tradnl"/>
        </w:rPr>
        <w:t xml:space="preserve">, se redujo el público destinatario a </w:t>
      </w:r>
      <w:r w:rsidRPr="00087FBE">
        <w:rPr>
          <w:rFonts w:asciiTheme="majorHAnsi" w:hAnsiTheme="majorHAnsi" w:cs="Arial"/>
          <w:lang w:val="es-ES_tradnl"/>
        </w:rPr>
        <w:t>los jóvenes d</w:t>
      </w:r>
      <w:r w:rsidR="00847140" w:rsidRPr="00087FBE">
        <w:rPr>
          <w:rFonts w:asciiTheme="majorHAnsi" w:hAnsiTheme="majorHAnsi" w:cs="Arial"/>
          <w:lang w:val="es-ES_tradnl"/>
        </w:rPr>
        <w:t xml:space="preserve">e entre 15 y </w:t>
      </w:r>
      <w:r w:rsidRPr="00087FBE">
        <w:rPr>
          <w:rFonts w:asciiTheme="majorHAnsi" w:hAnsiTheme="majorHAnsi" w:cs="Arial"/>
          <w:lang w:val="es-ES_tradnl"/>
        </w:rPr>
        <w:t>24 años, centrándose en este grupo</w:t>
      </w:r>
      <w:r w:rsidR="00C96773" w:rsidRPr="00087FBE">
        <w:rPr>
          <w:rFonts w:asciiTheme="majorHAnsi" w:hAnsiTheme="majorHAnsi" w:cs="Arial"/>
          <w:lang w:val="es-ES_tradnl"/>
        </w:rPr>
        <w:t xml:space="preserve"> de personas</w:t>
      </w:r>
      <w:r w:rsidRPr="00087FBE">
        <w:rPr>
          <w:rFonts w:asciiTheme="majorHAnsi" w:hAnsiTheme="majorHAnsi" w:cs="Arial"/>
          <w:lang w:val="es-ES_tradnl"/>
        </w:rPr>
        <w:t xml:space="preserve"> </w:t>
      </w:r>
      <w:r w:rsidR="00C96773" w:rsidRPr="00087FBE">
        <w:rPr>
          <w:rFonts w:asciiTheme="majorHAnsi" w:hAnsiTheme="majorHAnsi" w:cs="Arial"/>
          <w:lang w:val="es-ES_tradnl"/>
        </w:rPr>
        <w:t>idealistas y con grandes conocimientos en las tecnologías que actúan como</w:t>
      </w:r>
      <w:r w:rsidRPr="00087FBE">
        <w:rPr>
          <w:rFonts w:asciiTheme="majorHAnsi" w:hAnsiTheme="majorHAnsi" w:cs="Arial"/>
          <w:lang w:val="es-ES_tradnl"/>
        </w:rPr>
        <w:t xml:space="preserve"> transmisores a sus familias y a una población más amplia. </w:t>
      </w:r>
      <w:r w:rsidR="00C96773" w:rsidRPr="00087FBE">
        <w:rPr>
          <w:rFonts w:asciiTheme="majorHAnsi" w:hAnsiTheme="majorHAnsi" w:cs="Arial"/>
          <w:lang w:val="es-ES_tradnl"/>
        </w:rPr>
        <w:t xml:space="preserve">En </w:t>
      </w:r>
      <w:r w:rsidR="00C96773" w:rsidRPr="00087FBE">
        <w:rPr>
          <w:rFonts w:asciiTheme="majorHAnsi" w:hAnsiTheme="majorHAnsi" w:cs="Arial"/>
          <w:lang w:val="es-ES_tradnl"/>
        </w:rPr>
        <w:lastRenderedPageBreak/>
        <w:t>paralelo,</w:t>
      </w:r>
      <w:r w:rsidRPr="00087FBE">
        <w:rPr>
          <w:rFonts w:asciiTheme="majorHAnsi" w:hAnsiTheme="majorHAnsi" w:cs="Arial"/>
          <w:lang w:val="es-ES_tradnl"/>
        </w:rPr>
        <w:t xml:space="preserve"> se estableció un sitio web para el DMH (</w:t>
      </w:r>
      <w:hyperlink r:id="rId16" w:history="1">
        <w:r w:rsidR="004B3327" w:rsidRPr="00E8131F">
          <w:rPr>
            <w:rStyle w:val="Hyperlink"/>
            <w:rFonts w:asciiTheme="majorHAnsi" w:hAnsiTheme="majorHAnsi"/>
          </w:rPr>
          <w:t>www.worldwetlandsday.org/es/</w:t>
        </w:r>
      </w:hyperlink>
      <w:r w:rsidRPr="00087FBE">
        <w:rPr>
          <w:rFonts w:asciiTheme="majorHAnsi" w:hAnsiTheme="majorHAnsi" w:cs="Arial"/>
          <w:lang w:val="es-ES_tradnl"/>
        </w:rPr>
        <w:t xml:space="preserve">) a fin de </w:t>
      </w:r>
      <w:r w:rsidR="00C96773" w:rsidRPr="00087FBE">
        <w:rPr>
          <w:rFonts w:asciiTheme="majorHAnsi" w:hAnsiTheme="majorHAnsi" w:cs="Arial"/>
          <w:lang w:val="es-ES_tradnl"/>
        </w:rPr>
        <w:t xml:space="preserve">servir de punto </w:t>
      </w:r>
      <w:r w:rsidR="00BD4B51" w:rsidRPr="00087FBE">
        <w:rPr>
          <w:rFonts w:asciiTheme="majorHAnsi" w:hAnsiTheme="majorHAnsi" w:cs="Arial"/>
          <w:lang w:val="es-ES_tradnl"/>
        </w:rPr>
        <w:t>de contacto</w:t>
      </w:r>
      <w:r w:rsidR="00C96773" w:rsidRPr="00087FBE">
        <w:rPr>
          <w:rFonts w:asciiTheme="majorHAnsi" w:hAnsiTheme="majorHAnsi" w:cs="Arial"/>
          <w:lang w:val="es-ES_tradnl"/>
        </w:rPr>
        <w:t xml:space="preserve"> </w:t>
      </w:r>
      <w:r w:rsidRPr="00087FBE">
        <w:rPr>
          <w:rFonts w:asciiTheme="majorHAnsi" w:hAnsiTheme="majorHAnsi" w:cs="Arial"/>
          <w:lang w:val="es-ES_tradnl"/>
        </w:rPr>
        <w:t xml:space="preserve">para el día. Se celebró un concurso fotográfico para alentar a los jóvenes a </w:t>
      </w:r>
      <w:r w:rsidR="00C96773" w:rsidRPr="00087FBE">
        <w:rPr>
          <w:rFonts w:asciiTheme="majorHAnsi" w:hAnsiTheme="majorHAnsi" w:cs="Arial"/>
          <w:lang w:val="es-ES_tradnl"/>
        </w:rPr>
        <w:t>experimentar</w:t>
      </w:r>
      <w:r w:rsidRPr="00087FBE">
        <w:rPr>
          <w:rFonts w:asciiTheme="majorHAnsi" w:hAnsiTheme="majorHAnsi" w:cs="Arial"/>
          <w:lang w:val="es-ES_tradnl"/>
        </w:rPr>
        <w:t xml:space="preserve"> los humedales por sí mismos</w:t>
      </w:r>
      <w:r w:rsidR="00C96773" w:rsidRPr="00087FBE">
        <w:rPr>
          <w:rFonts w:asciiTheme="majorHAnsi" w:hAnsiTheme="majorHAnsi" w:cs="Arial"/>
          <w:lang w:val="es-ES_tradnl"/>
        </w:rPr>
        <w:t xml:space="preserve"> que atrajo </w:t>
      </w:r>
      <w:r w:rsidRPr="00087FBE">
        <w:rPr>
          <w:rFonts w:asciiTheme="majorHAnsi" w:hAnsiTheme="majorHAnsi" w:cs="Arial"/>
          <w:lang w:val="es-ES_tradnl"/>
        </w:rPr>
        <w:t xml:space="preserve">más de 2.200 participantes de 80 países. Se </w:t>
      </w:r>
      <w:r w:rsidR="00C96773" w:rsidRPr="00087FBE">
        <w:rPr>
          <w:rFonts w:asciiTheme="majorHAnsi" w:hAnsiTheme="majorHAnsi" w:cs="Arial"/>
          <w:lang w:val="es-ES_tradnl"/>
        </w:rPr>
        <w:t>puso</w:t>
      </w:r>
      <w:r w:rsidRPr="00087FBE">
        <w:rPr>
          <w:rFonts w:asciiTheme="majorHAnsi" w:hAnsiTheme="majorHAnsi" w:cs="Arial"/>
          <w:lang w:val="es-ES_tradnl"/>
        </w:rPr>
        <w:t xml:space="preserve"> a disposición </w:t>
      </w:r>
      <w:r w:rsidR="00C96773" w:rsidRPr="00087FBE">
        <w:rPr>
          <w:rFonts w:asciiTheme="majorHAnsi" w:hAnsiTheme="majorHAnsi" w:cs="Arial"/>
          <w:lang w:val="es-ES_tradnl"/>
        </w:rPr>
        <w:t xml:space="preserve">de los docentes y organizadores </w:t>
      </w:r>
      <w:r w:rsidRPr="00087FBE">
        <w:rPr>
          <w:rFonts w:asciiTheme="majorHAnsi" w:hAnsiTheme="majorHAnsi" w:cs="Arial"/>
          <w:lang w:val="es-ES_tradnl"/>
        </w:rPr>
        <w:t xml:space="preserve">una </w:t>
      </w:r>
      <w:r w:rsidR="00C96773" w:rsidRPr="00087FBE">
        <w:rPr>
          <w:rFonts w:asciiTheme="majorHAnsi" w:hAnsiTheme="majorHAnsi" w:cs="Arial"/>
          <w:lang w:val="es-ES_tradnl"/>
        </w:rPr>
        <w:t>biblioteca</w:t>
      </w:r>
      <w:r w:rsidRPr="00087FBE">
        <w:rPr>
          <w:rFonts w:asciiTheme="majorHAnsi" w:hAnsiTheme="majorHAnsi" w:cs="Arial"/>
          <w:lang w:val="es-ES_tradnl"/>
        </w:rPr>
        <w:t xml:space="preserve"> de materiales </w:t>
      </w:r>
      <w:r w:rsidR="00C96773" w:rsidRPr="00087FBE">
        <w:rPr>
          <w:rFonts w:asciiTheme="majorHAnsi" w:hAnsiTheme="majorHAnsi" w:cs="Arial"/>
          <w:lang w:val="es-ES_tradnl"/>
        </w:rPr>
        <w:t>que se pueden descargar</w:t>
      </w:r>
      <w:r w:rsidRPr="00087FBE">
        <w:rPr>
          <w:rFonts w:asciiTheme="majorHAnsi" w:hAnsiTheme="majorHAnsi" w:cs="Arial"/>
          <w:lang w:val="es-ES_tradnl"/>
        </w:rPr>
        <w:t xml:space="preserve">. </w:t>
      </w:r>
    </w:p>
    <w:p w:rsidR="006373A5" w:rsidRPr="00087FBE" w:rsidRDefault="006373A5" w:rsidP="006373A5">
      <w:pPr>
        <w:pStyle w:val="ListParagraph"/>
        <w:spacing w:after="0" w:line="240" w:lineRule="auto"/>
        <w:ind w:left="426"/>
        <w:rPr>
          <w:rFonts w:asciiTheme="majorHAnsi" w:hAnsiTheme="majorHAnsi" w:cs="Arial"/>
          <w:lang w:val="es-ES_tradnl"/>
        </w:rPr>
      </w:pPr>
    </w:p>
    <w:p w:rsidR="006373A5" w:rsidRPr="00087FBE" w:rsidRDefault="00C96773"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Durante e</w:t>
      </w:r>
      <w:r w:rsidR="006373A5" w:rsidRPr="00087FBE">
        <w:rPr>
          <w:rFonts w:asciiTheme="majorHAnsi" w:hAnsiTheme="majorHAnsi" w:cs="Arial"/>
          <w:lang w:val="es-ES_tradnl"/>
        </w:rPr>
        <w:t xml:space="preserve">ste trienio </w:t>
      </w:r>
      <w:r w:rsidRPr="00087FBE">
        <w:rPr>
          <w:rFonts w:asciiTheme="majorHAnsi" w:hAnsiTheme="majorHAnsi" w:cs="Arial"/>
          <w:lang w:val="es-ES_tradnl"/>
        </w:rPr>
        <w:t xml:space="preserve">aumentaron </w:t>
      </w:r>
      <w:r w:rsidR="006373A5" w:rsidRPr="00087FBE">
        <w:rPr>
          <w:rFonts w:asciiTheme="majorHAnsi" w:hAnsiTheme="majorHAnsi" w:cs="Arial"/>
          <w:lang w:val="es-ES_tradnl"/>
        </w:rPr>
        <w:t xml:space="preserve">el alcance y la profundidad de los </w:t>
      </w:r>
      <w:r w:rsidR="00BD4B51" w:rsidRPr="00087FBE">
        <w:rPr>
          <w:rFonts w:asciiTheme="majorHAnsi" w:hAnsiTheme="majorHAnsi" w:cs="Arial"/>
          <w:lang w:val="es-ES_tradnl"/>
        </w:rPr>
        <w:t>eventos</w:t>
      </w:r>
      <w:r w:rsidR="006373A5" w:rsidRPr="00087FBE">
        <w:rPr>
          <w:rFonts w:asciiTheme="majorHAnsi" w:hAnsiTheme="majorHAnsi" w:cs="Arial"/>
          <w:lang w:val="es-ES_tradnl"/>
        </w:rPr>
        <w:t xml:space="preserve">, señalando una vez más que las Partes perciben este día como un valioso instrumento para fomentar la concienciación </w:t>
      </w:r>
      <w:r w:rsidRPr="00087FBE">
        <w:rPr>
          <w:rFonts w:asciiTheme="majorHAnsi" w:hAnsiTheme="majorHAnsi" w:cs="Arial"/>
          <w:lang w:val="es-ES_tradnl"/>
        </w:rPr>
        <w:t>acerca de</w:t>
      </w:r>
      <w:r w:rsidR="006373A5" w:rsidRPr="00087FBE">
        <w:rPr>
          <w:rFonts w:asciiTheme="majorHAnsi" w:hAnsiTheme="majorHAnsi" w:cs="Arial"/>
          <w:lang w:val="es-ES_tradnl"/>
        </w:rPr>
        <w:t xml:space="preserve"> las cuestiones relativas a los humedales. La frecuente mención del DMH en las respuestas </w:t>
      </w:r>
      <w:r w:rsidR="006373A5" w:rsidRPr="00087FBE">
        <w:rPr>
          <w:rFonts w:asciiTheme="majorHAnsi" w:hAnsiTheme="majorHAnsi" w:cs="Times New Roman"/>
          <w:szCs w:val="24"/>
          <w:lang w:val="es-ES_tradnl" w:eastAsia="fr-FR"/>
        </w:rPr>
        <w:t xml:space="preserve">en las casillas de texto libre en los Informes Nacionales es otro indicador de </w:t>
      </w:r>
      <w:r w:rsidRPr="00087FBE">
        <w:rPr>
          <w:rFonts w:asciiTheme="majorHAnsi" w:hAnsiTheme="majorHAnsi" w:cs="Times New Roman"/>
          <w:szCs w:val="24"/>
          <w:lang w:val="es-ES_tradnl" w:eastAsia="fr-FR"/>
        </w:rPr>
        <w:t>ello</w:t>
      </w:r>
      <w:r w:rsidR="006373A5" w:rsidRPr="00087FBE">
        <w:rPr>
          <w:rFonts w:asciiTheme="majorHAnsi" w:hAnsiTheme="majorHAnsi" w:cs="Times New Roman"/>
          <w:szCs w:val="24"/>
          <w:lang w:val="es-ES_tradnl" w:eastAsia="fr-FR"/>
        </w:rPr>
        <w:t>. En el sitio web de la Convención se registran anualmente los informes que se reciben para el DMH</w:t>
      </w:r>
      <w:r w:rsidR="006373A5" w:rsidRPr="00087FBE">
        <w:rPr>
          <w:rFonts w:asciiTheme="majorHAnsi" w:hAnsiTheme="majorHAnsi" w:cs="Arial"/>
          <w:lang w:val="es-ES_tradnl"/>
        </w:rPr>
        <w:t xml:space="preserve">. Los totales comunicados a continuación son una subestimación, ya que se realizan muchas otras actividades pero no se informa sobre ellas. </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spacing w:after="0" w:line="240" w:lineRule="auto"/>
        <w:rPr>
          <w:rFonts w:asciiTheme="majorHAnsi" w:hAnsiTheme="majorHAnsi" w:cs="Arial"/>
          <w:b/>
          <w:lang w:val="es-ES_tradnl"/>
        </w:rPr>
      </w:pPr>
      <w:r w:rsidRPr="00087FBE">
        <w:rPr>
          <w:rFonts w:asciiTheme="majorHAnsi" w:hAnsiTheme="majorHAnsi" w:cs="Arial"/>
          <w:b/>
          <w:lang w:val="es-ES_tradnl"/>
        </w:rPr>
        <w:t>Cuadro 2: Indicadores del Día Mundial de los Humedales</w:t>
      </w:r>
    </w:p>
    <w:tbl>
      <w:tblPr>
        <w:tblStyle w:val="TableGrid"/>
        <w:tblW w:w="0" w:type="auto"/>
        <w:tblInd w:w="108" w:type="dxa"/>
        <w:tblLayout w:type="fixed"/>
        <w:tblLook w:val="04A0"/>
      </w:tblPr>
      <w:tblGrid>
        <w:gridCol w:w="3828"/>
        <w:gridCol w:w="1653"/>
        <w:gridCol w:w="1654"/>
        <w:gridCol w:w="1654"/>
      </w:tblGrid>
      <w:tr w:rsidR="006373A5" w:rsidRPr="00087FBE" w:rsidTr="0041709D">
        <w:tc>
          <w:tcPr>
            <w:tcW w:w="3828" w:type="dxa"/>
          </w:tcPr>
          <w:p w:rsidR="006373A5" w:rsidRPr="00087FBE" w:rsidRDefault="006373A5" w:rsidP="004B3327">
            <w:pPr>
              <w:spacing w:after="0" w:line="240" w:lineRule="auto"/>
              <w:rPr>
                <w:rFonts w:asciiTheme="majorHAnsi" w:hAnsiTheme="majorHAnsi" w:cs="Arial"/>
                <w:lang w:val="es-ES_tradnl"/>
              </w:rPr>
            </w:pPr>
          </w:p>
        </w:tc>
        <w:tc>
          <w:tcPr>
            <w:tcW w:w="1653" w:type="dxa"/>
          </w:tcPr>
          <w:p w:rsidR="006373A5" w:rsidRPr="00087FBE" w:rsidRDefault="006373A5" w:rsidP="004B3327">
            <w:pPr>
              <w:spacing w:after="0" w:line="240" w:lineRule="auto"/>
              <w:rPr>
                <w:rFonts w:asciiTheme="majorHAnsi" w:hAnsiTheme="majorHAnsi" w:cs="Arial"/>
                <w:b/>
                <w:lang w:val="es-ES_tradnl"/>
              </w:rPr>
            </w:pPr>
            <w:r w:rsidRPr="00087FBE">
              <w:rPr>
                <w:rFonts w:asciiTheme="majorHAnsi" w:hAnsiTheme="majorHAnsi" w:cs="Arial"/>
                <w:b/>
                <w:lang w:val="es-ES_tradnl"/>
              </w:rPr>
              <w:t>2013</w:t>
            </w:r>
          </w:p>
        </w:tc>
        <w:tc>
          <w:tcPr>
            <w:tcW w:w="1654" w:type="dxa"/>
          </w:tcPr>
          <w:p w:rsidR="006373A5" w:rsidRPr="00087FBE" w:rsidRDefault="006373A5" w:rsidP="004B3327">
            <w:pPr>
              <w:spacing w:after="0" w:line="240" w:lineRule="auto"/>
              <w:rPr>
                <w:rFonts w:asciiTheme="majorHAnsi" w:hAnsiTheme="majorHAnsi" w:cs="Arial"/>
                <w:b/>
                <w:lang w:val="es-ES_tradnl"/>
              </w:rPr>
            </w:pPr>
            <w:r w:rsidRPr="00087FBE">
              <w:rPr>
                <w:rFonts w:asciiTheme="majorHAnsi" w:hAnsiTheme="majorHAnsi" w:cs="Arial"/>
                <w:b/>
                <w:lang w:val="es-ES_tradnl"/>
              </w:rPr>
              <w:t>2014</w:t>
            </w:r>
          </w:p>
        </w:tc>
        <w:tc>
          <w:tcPr>
            <w:tcW w:w="1654" w:type="dxa"/>
          </w:tcPr>
          <w:p w:rsidR="006373A5" w:rsidRPr="00087FBE" w:rsidRDefault="006373A5" w:rsidP="004B3327">
            <w:pPr>
              <w:spacing w:after="0" w:line="240" w:lineRule="auto"/>
              <w:rPr>
                <w:rFonts w:asciiTheme="majorHAnsi" w:hAnsiTheme="majorHAnsi" w:cs="Arial"/>
                <w:b/>
                <w:lang w:val="es-ES_tradnl"/>
              </w:rPr>
            </w:pPr>
            <w:r w:rsidRPr="00087FBE">
              <w:rPr>
                <w:rFonts w:asciiTheme="majorHAnsi" w:hAnsiTheme="majorHAnsi" w:cs="Arial"/>
                <w:b/>
                <w:lang w:val="es-ES_tradnl"/>
              </w:rPr>
              <w:t>2015</w:t>
            </w:r>
          </w:p>
        </w:tc>
      </w:tr>
      <w:tr w:rsidR="006373A5" w:rsidRPr="00087FBE" w:rsidTr="0041709D">
        <w:tc>
          <w:tcPr>
            <w:tcW w:w="3828" w:type="dxa"/>
          </w:tcPr>
          <w:p w:rsidR="006373A5" w:rsidRPr="00087FBE" w:rsidRDefault="006373A5" w:rsidP="004B3327">
            <w:pPr>
              <w:spacing w:after="0" w:line="240" w:lineRule="auto"/>
              <w:rPr>
                <w:rFonts w:asciiTheme="majorHAnsi" w:hAnsiTheme="majorHAnsi" w:cs="Arial"/>
                <w:lang w:val="es-ES_tradnl"/>
              </w:rPr>
            </w:pPr>
            <w:r w:rsidRPr="00087FBE">
              <w:rPr>
                <w:rFonts w:asciiTheme="majorHAnsi" w:hAnsiTheme="majorHAnsi" w:cs="Arial"/>
                <w:lang w:val="es-ES_tradnl"/>
              </w:rPr>
              <w:t>Número de actividades sobre el DMH comunicadas</w:t>
            </w:r>
          </w:p>
        </w:tc>
        <w:tc>
          <w:tcPr>
            <w:tcW w:w="1653" w:type="dxa"/>
          </w:tcPr>
          <w:p w:rsidR="006373A5" w:rsidRPr="00087FBE" w:rsidRDefault="006373A5" w:rsidP="004B3327">
            <w:pPr>
              <w:spacing w:after="0" w:line="240" w:lineRule="auto"/>
              <w:rPr>
                <w:rFonts w:asciiTheme="majorHAnsi" w:hAnsiTheme="majorHAnsi" w:cs="Arial"/>
                <w:lang w:val="es-ES_tradnl"/>
              </w:rPr>
            </w:pPr>
            <w:r w:rsidRPr="00087FBE">
              <w:rPr>
                <w:rFonts w:asciiTheme="majorHAnsi" w:hAnsiTheme="majorHAnsi" w:cs="Arial"/>
                <w:lang w:val="es-ES_tradnl"/>
              </w:rPr>
              <w:t>904</w:t>
            </w:r>
          </w:p>
        </w:tc>
        <w:tc>
          <w:tcPr>
            <w:tcW w:w="1654" w:type="dxa"/>
          </w:tcPr>
          <w:p w:rsidR="006373A5" w:rsidRPr="00087FBE" w:rsidRDefault="006373A5" w:rsidP="004B3327">
            <w:pPr>
              <w:spacing w:after="0" w:line="240" w:lineRule="auto"/>
              <w:rPr>
                <w:rFonts w:asciiTheme="majorHAnsi" w:hAnsiTheme="majorHAnsi" w:cs="Arial"/>
                <w:lang w:val="es-ES_tradnl"/>
              </w:rPr>
            </w:pPr>
            <w:r w:rsidRPr="00087FBE">
              <w:rPr>
                <w:rFonts w:asciiTheme="majorHAnsi" w:hAnsiTheme="majorHAnsi" w:cs="Arial"/>
                <w:lang w:val="es-ES_tradnl"/>
              </w:rPr>
              <w:t>820</w:t>
            </w:r>
          </w:p>
        </w:tc>
        <w:tc>
          <w:tcPr>
            <w:tcW w:w="1654" w:type="dxa"/>
          </w:tcPr>
          <w:p w:rsidR="006373A5" w:rsidRPr="00087FBE" w:rsidRDefault="006373A5" w:rsidP="004B3327">
            <w:pPr>
              <w:spacing w:after="0" w:line="240" w:lineRule="auto"/>
              <w:rPr>
                <w:rFonts w:asciiTheme="majorHAnsi" w:hAnsiTheme="majorHAnsi" w:cs="Arial"/>
                <w:lang w:val="es-ES_tradnl"/>
              </w:rPr>
            </w:pPr>
            <w:r w:rsidRPr="00087FBE">
              <w:rPr>
                <w:rFonts w:asciiTheme="majorHAnsi" w:hAnsiTheme="majorHAnsi" w:cs="Arial"/>
                <w:lang w:val="es-ES_tradnl"/>
              </w:rPr>
              <w:t xml:space="preserve">Se están compilando </w:t>
            </w:r>
          </w:p>
        </w:tc>
      </w:tr>
      <w:tr w:rsidR="006373A5" w:rsidRPr="00087FBE" w:rsidTr="0041709D">
        <w:tc>
          <w:tcPr>
            <w:tcW w:w="3828" w:type="dxa"/>
          </w:tcPr>
          <w:p w:rsidR="006373A5" w:rsidRPr="00087FBE" w:rsidRDefault="006373A5" w:rsidP="004B3327">
            <w:pPr>
              <w:spacing w:after="0" w:line="240" w:lineRule="auto"/>
              <w:rPr>
                <w:rFonts w:asciiTheme="majorHAnsi" w:hAnsiTheme="majorHAnsi" w:cs="Arial"/>
                <w:lang w:val="es-ES_tradnl"/>
              </w:rPr>
            </w:pPr>
            <w:r w:rsidRPr="00087FBE">
              <w:rPr>
                <w:rFonts w:asciiTheme="majorHAnsi" w:hAnsiTheme="majorHAnsi" w:cs="Arial"/>
                <w:lang w:val="es-ES_tradnl"/>
              </w:rPr>
              <w:t xml:space="preserve">Número de países participantes </w:t>
            </w:r>
          </w:p>
        </w:tc>
        <w:tc>
          <w:tcPr>
            <w:tcW w:w="1653" w:type="dxa"/>
          </w:tcPr>
          <w:p w:rsidR="006373A5" w:rsidRPr="00087FBE" w:rsidRDefault="006373A5" w:rsidP="004B3327">
            <w:pPr>
              <w:spacing w:after="0" w:line="240" w:lineRule="auto"/>
              <w:rPr>
                <w:rFonts w:asciiTheme="majorHAnsi" w:hAnsiTheme="majorHAnsi" w:cs="Arial"/>
                <w:lang w:val="es-ES_tradnl"/>
              </w:rPr>
            </w:pPr>
            <w:r w:rsidRPr="00087FBE">
              <w:rPr>
                <w:rFonts w:asciiTheme="majorHAnsi" w:hAnsiTheme="majorHAnsi" w:cs="Arial"/>
                <w:lang w:val="es-ES_tradnl"/>
              </w:rPr>
              <w:t>48</w:t>
            </w:r>
          </w:p>
        </w:tc>
        <w:tc>
          <w:tcPr>
            <w:tcW w:w="1654" w:type="dxa"/>
          </w:tcPr>
          <w:p w:rsidR="006373A5" w:rsidRPr="00087FBE" w:rsidRDefault="006373A5" w:rsidP="004B3327">
            <w:pPr>
              <w:spacing w:after="0" w:line="240" w:lineRule="auto"/>
              <w:rPr>
                <w:rFonts w:asciiTheme="majorHAnsi" w:hAnsiTheme="majorHAnsi" w:cs="Arial"/>
                <w:lang w:val="es-ES_tradnl"/>
              </w:rPr>
            </w:pPr>
            <w:r w:rsidRPr="00087FBE">
              <w:rPr>
                <w:rFonts w:asciiTheme="majorHAnsi" w:hAnsiTheme="majorHAnsi" w:cs="Arial"/>
                <w:lang w:val="es-ES_tradnl"/>
              </w:rPr>
              <w:t>77</w:t>
            </w:r>
          </w:p>
        </w:tc>
        <w:tc>
          <w:tcPr>
            <w:tcW w:w="1654" w:type="dxa"/>
          </w:tcPr>
          <w:p w:rsidR="006373A5" w:rsidRPr="00087FBE" w:rsidRDefault="006373A5" w:rsidP="004B3327">
            <w:pPr>
              <w:spacing w:after="0" w:line="240" w:lineRule="auto"/>
              <w:rPr>
                <w:rFonts w:asciiTheme="majorHAnsi" w:hAnsiTheme="majorHAnsi" w:cs="Arial"/>
                <w:lang w:val="es-ES_tradnl"/>
              </w:rPr>
            </w:pPr>
            <w:r w:rsidRPr="00087FBE">
              <w:rPr>
                <w:rFonts w:asciiTheme="majorHAnsi" w:hAnsiTheme="majorHAnsi" w:cs="Arial"/>
                <w:lang w:val="es-ES_tradnl"/>
              </w:rPr>
              <w:t>Se están compilando</w:t>
            </w:r>
          </w:p>
        </w:tc>
      </w:tr>
      <w:tr w:rsidR="006373A5" w:rsidRPr="00087FBE" w:rsidTr="0041709D">
        <w:tc>
          <w:tcPr>
            <w:tcW w:w="3828" w:type="dxa"/>
          </w:tcPr>
          <w:p w:rsidR="006373A5" w:rsidRPr="00087FBE" w:rsidRDefault="006373A5" w:rsidP="004B3327">
            <w:pPr>
              <w:spacing w:after="0" w:line="240" w:lineRule="auto"/>
              <w:rPr>
                <w:rFonts w:asciiTheme="majorHAnsi" w:hAnsiTheme="majorHAnsi" w:cs="Arial"/>
                <w:lang w:val="es-ES_tradnl"/>
              </w:rPr>
            </w:pPr>
            <w:r w:rsidRPr="00087FBE">
              <w:rPr>
                <w:rFonts w:asciiTheme="majorHAnsi" w:hAnsiTheme="majorHAnsi" w:cs="Arial"/>
                <w:lang w:val="es-ES_tradnl"/>
              </w:rPr>
              <w:t>Número de materiales del DMH descargados</w:t>
            </w:r>
          </w:p>
        </w:tc>
        <w:tc>
          <w:tcPr>
            <w:tcW w:w="1653" w:type="dxa"/>
          </w:tcPr>
          <w:p w:rsidR="006373A5" w:rsidRPr="00087FBE" w:rsidRDefault="006373A5" w:rsidP="004B3327">
            <w:pPr>
              <w:spacing w:after="0" w:line="240" w:lineRule="auto"/>
              <w:rPr>
                <w:rFonts w:asciiTheme="majorHAnsi" w:hAnsiTheme="majorHAnsi" w:cs="Arial"/>
                <w:lang w:val="es-ES_tradnl"/>
              </w:rPr>
            </w:pPr>
            <w:r w:rsidRPr="00087FBE">
              <w:rPr>
                <w:rFonts w:asciiTheme="majorHAnsi" w:hAnsiTheme="majorHAnsi" w:cs="Arial"/>
                <w:lang w:val="es-ES_tradnl"/>
              </w:rPr>
              <w:t>N/A</w:t>
            </w:r>
          </w:p>
        </w:tc>
        <w:tc>
          <w:tcPr>
            <w:tcW w:w="1654" w:type="dxa"/>
          </w:tcPr>
          <w:p w:rsidR="006373A5" w:rsidRPr="00087FBE" w:rsidRDefault="006373A5" w:rsidP="004B3327">
            <w:pPr>
              <w:spacing w:after="0" w:line="240" w:lineRule="auto"/>
              <w:rPr>
                <w:rFonts w:asciiTheme="majorHAnsi" w:hAnsiTheme="majorHAnsi" w:cs="Arial"/>
                <w:lang w:val="es-ES_tradnl"/>
              </w:rPr>
            </w:pPr>
            <w:r w:rsidRPr="00087FBE">
              <w:rPr>
                <w:rFonts w:asciiTheme="majorHAnsi" w:hAnsiTheme="majorHAnsi" w:cs="Arial"/>
                <w:lang w:val="es-ES_tradnl"/>
              </w:rPr>
              <w:t>N/A</w:t>
            </w:r>
          </w:p>
        </w:tc>
        <w:tc>
          <w:tcPr>
            <w:tcW w:w="1654" w:type="dxa"/>
          </w:tcPr>
          <w:p w:rsidR="006373A5" w:rsidRPr="00087FBE" w:rsidRDefault="006373A5" w:rsidP="004B3327">
            <w:pPr>
              <w:spacing w:after="0" w:line="240" w:lineRule="auto"/>
              <w:rPr>
                <w:rFonts w:asciiTheme="majorHAnsi" w:hAnsiTheme="majorHAnsi" w:cs="Arial"/>
                <w:lang w:val="es-ES_tradnl"/>
              </w:rPr>
            </w:pPr>
            <w:r w:rsidRPr="00087FBE">
              <w:rPr>
                <w:rFonts w:asciiTheme="majorHAnsi" w:hAnsiTheme="majorHAnsi" w:cs="Arial"/>
                <w:lang w:val="es-ES_tradnl"/>
              </w:rPr>
              <w:t>113.464</w:t>
            </w:r>
          </w:p>
        </w:tc>
      </w:tr>
    </w:tbl>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 xml:space="preserve">Durante este trienio la Secretaría desplegó esfuerzos específicos para desarrollar temas y mensajes sobre el DHM en coordinación con otros importantes asociados y </w:t>
      </w:r>
      <w:r w:rsidR="00086A93" w:rsidRPr="00087FBE">
        <w:rPr>
          <w:rFonts w:asciiTheme="majorHAnsi" w:hAnsiTheme="majorHAnsi" w:cs="Arial"/>
          <w:lang w:val="es-ES_tradnl"/>
        </w:rPr>
        <w:t>reflejando</w:t>
      </w:r>
      <w:r w:rsidRPr="00087FBE">
        <w:rPr>
          <w:rFonts w:asciiTheme="majorHAnsi" w:hAnsiTheme="majorHAnsi" w:cs="Arial"/>
          <w:lang w:val="es-ES_tradnl"/>
        </w:rPr>
        <w:t xml:space="preserve"> temas internacionales más amplios: </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 xml:space="preserve">En 2013 la Secretaría colaboró con la UNESCO en el </w:t>
      </w:r>
      <w:r w:rsidRPr="00087FBE">
        <w:rPr>
          <w:rFonts w:asciiTheme="majorHAnsi" w:hAnsiTheme="majorHAnsi" w:cs="Arial"/>
          <w:color w:val="2E2E2E"/>
          <w:szCs w:val="24"/>
          <w:lang w:val="es-ES_tradnl"/>
        </w:rPr>
        <w:t>Año Internacional d</w:t>
      </w:r>
      <w:r w:rsidRPr="00087FBE">
        <w:rPr>
          <w:rFonts w:asciiTheme="majorHAnsi" w:hAnsiTheme="majorHAnsi" w:cs="Arial"/>
          <w:color w:val="0B0B0B"/>
          <w:szCs w:val="24"/>
          <w:lang w:val="es-ES_tradnl"/>
        </w:rPr>
        <w:t>e l</w:t>
      </w:r>
      <w:r w:rsidRPr="00087FBE">
        <w:rPr>
          <w:rFonts w:asciiTheme="majorHAnsi" w:hAnsiTheme="majorHAnsi" w:cs="Arial"/>
          <w:color w:val="2E2E2E"/>
          <w:szCs w:val="24"/>
          <w:lang w:val="es-ES_tradnl"/>
        </w:rPr>
        <w:t>a Cooperación e</w:t>
      </w:r>
      <w:r w:rsidRPr="00087FBE">
        <w:rPr>
          <w:rFonts w:asciiTheme="majorHAnsi" w:hAnsiTheme="majorHAnsi" w:cs="Arial"/>
          <w:color w:val="0B0B0B"/>
          <w:szCs w:val="24"/>
          <w:lang w:val="es-ES_tradnl"/>
        </w:rPr>
        <w:t>n l</w:t>
      </w:r>
      <w:r w:rsidRPr="00087FBE">
        <w:rPr>
          <w:rFonts w:asciiTheme="majorHAnsi" w:hAnsiTheme="majorHAnsi" w:cs="Arial"/>
          <w:color w:val="131313"/>
          <w:szCs w:val="24"/>
          <w:lang w:val="es-ES_tradnl"/>
        </w:rPr>
        <w:t>a E</w:t>
      </w:r>
      <w:r w:rsidRPr="00087FBE">
        <w:rPr>
          <w:rFonts w:asciiTheme="majorHAnsi" w:hAnsiTheme="majorHAnsi" w:cs="Arial"/>
          <w:color w:val="1B1B1B"/>
          <w:szCs w:val="24"/>
          <w:lang w:val="es-ES_tradnl"/>
        </w:rPr>
        <w:t>sfe</w:t>
      </w:r>
      <w:r w:rsidRPr="00087FBE">
        <w:rPr>
          <w:rFonts w:asciiTheme="majorHAnsi" w:hAnsiTheme="majorHAnsi" w:cs="Arial"/>
          <w:color w:val="131313"/>
          <w:szCs w:val="24"/>
          <w:lang w:val="es-ES_tradnl"/>
        </w:rPr>
        <w:t>ra d</w:t>
      </w:r>
      <w:r w:rsidRPr="00087FBE">
        <w:rPr>
          <w:rFonts w:asciiTheme="majorHAnsi" w:hAnsiTheme="majorHAnsi" w:cs="Arial"/>
          <w:color w:val="0B0B0B"/>
          <w:szCs w:val="24"/>
          <w:lang w:val="es-ES_tradnl"/>
        </w:rPr>
        <w:t xml:space="preserve">el </w:t>
      </w:r>
      <w:r w:rsidRPr="00087FBE">
        <w:rPr>
          <w:rFonts w:asciiTheme="majorHAnsi" w:hAnsiTheme="majorHAnsi" w:cs="Arial"/>
          <w:color w:val="2E2E2E"/>
          <w:szCs w:val="24"/>
          <w:lang w:val="es-ES_tradnl"/>
        </w:rPr>
        <w:t>Agua de las Naciones Unidas</w:t>
      </w:r>
      <w:r w:rsidRPr="00087FBE">
        <w:rPr>
          <w:rFonts w:asciiTheme="majorHAnsi" w:hAnsiTheme="majorHAnsi" w:cs="Arial"/>
          <w:lang w:val="es-ES_tradnl"/>
        </w:rPr>
        <w:t xml:space="preserve">, con el correspondiente tema del DMH </w:t>
      </w:r>
      <w:r w:rsidR="00BD7594" w:rsidRPr="00087FBE">
        <w:rPr>
          <w:rFonts w:asciiTheme="majorHAnsi" w:hAnsiTheme="majorHAnsi" w:cs="Arial"/>
          <w:lang w:val="es-ES_tradnl"/>
        </w:rPr>
        <w:t>“</w:t>
      </w:r>
      <w:r w:rsidRPr="00087FBE">
        <w:rPr>
          <w:rFonts w:asciiTheme="majorHAnsi" w:hAnsiTheme="majorHAnsi" w:cs="Arial"/>
          <w:lang w:val="es-ES_tradnl"/>
        </w:rPr>
        <w:t xml:space="preserve">Los </w:t>
      </w:r>
      <w:r w:rsidR="00BD7594" w:rsidRPr="00087FBE">
        <w:rPr>
          <w:rFonts w:asciiTheme="majorHAnsi" w:hAnsiTheme="majorHAnsi" w:cs="Arial"/>
          <w:lang w:val="es-ES_tradnl"/>
        </w:rPr>
        <w:t>humedales cuidan del agua”</w:t>
      </w:r>
      <w:r w:rsidRPr="00087FBE">
        <w:rPr>
          <w:rFonts w:asciiTheme="majorHAnsi" w:hAnsiTheme="majorHAnsi" w:cs="Arial"/>
          <w:lang w:val="es-ES_tradnl"/>
        </w:rPr>
        <w:t xml:space="preserve"> </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 xml:space="preserve">En 2014, para conmemorar el Año Internacional de la Agricultura Familiar, la Secretaría cooperó con el Instituto Internacional </w:t>
      </w:r>
      <w:r w:rsidR="00086A93" w:rsidRPr="00087FBE">
        <w:rPr>
          <w:rFonts w:asciiTheme="majorHAnsi" w:hAnsiTheme="majorHAnsi" w:cs="Arial"/>
          <w:lang w:val="es-ES_tradnl"/>
        </w:rPr>
        <w:t>para el Manejo</w:t>
      </w:r>
      <w:r w:rsidRPr="00087FBE">
        <w:rPr>
          <w:rFonts w:asciiTheme="majorHAnsi" w:hAnsiTheme="majorHAnsi" w:cs="Arial"/>
          <w:lang w:val="es-ES_tradnl"/>
        </w:rPr>
        <w:t xml:space="preserve"> del Agua y la Organización de las Naciones Unidas para la Alimentación</w:t>
      </w:r>
      <w:r w:rsidR="00BD7594" w:rsidRPr="00087FBE">
        <w:rPr>
          <w:rFonts w:asciiTheme="majorHAnsi" w:hAnsiTheme="majorHAnsi" w:cs="Arial"/>
          <w:lang w:val="es-ES_tradnl"/>
        </w:rPr>
        <w:t xml:space="preserve"> y la Agricultura para subrayar el tema “</w:t>
      </w:r>
      <w:r w:rsidRPr="00087FBE">
        <w:rPr>
          <w:rFonts w:asciiTheme="majorHAnsi" w:hAnsiTheme="majorHAnsi" w:cs="Arial"/>
          <w:lang w:val="es-ES_tradnl"/>
        </w:rPr>
        <w:t>Humedales y Agricultura:</w:t>
      </w:r>
      <w:r w:rsidR="00BD7594" w:rsidRPr="00087FBE">
        <w:rPr>
          <w:rFonts w:asciiTheme="majorHAnsi" w:hAnsiTheme="majorHAnsi" w:cs="Arial"/>
          <w:lang w:val="es-ES_tradnl"/>
        </w:rPr>
        <w:t xml:space="preserve"> juntos en pro del crecimiento”.</w:t>
      </w:r>
    </w:p>
    <w:p w:rsidR="006373A5" w:rsidRPr="00087FBE" w:rsidRDefault="00BD7594"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En 2015, se adoptó el tema “Humedales para nuestro futuro”</w:t>
      </w:r>
      <w:r w:rsidR="006373A5" w:rsidRPr="00087FBE">
        <w:rPr>
          <w:rFonts w:asciiTheme="majorHAnsi" w:hAnsiTheme="majorHAnsi" w:cs="Arial"/>
          <w:lang w:val="es-ES_tradnl"/>
        </w:rPr>
        <w:t xml:space="preserve"> conjuntamente con el tema para la COP12. En este año se </w:t>
      </w:r>
      <w:r w:rsidRPr="00087FBE">
        <w:rPr>
          <w:rFonts w:asciiTheme="majorHAnsi" w:hAnsiTheme="majorHAnsi" w:cs="Arial"/>
          <w:lang w:val="es-ES_tradnl"/>
        </w:rPr>
        <w:t xml:space="preserve">produjo </w:t>
      </w:r>
      <w:r w:rsidR="006373A5" w:rsidRPr="00087FBE">
        <w:rPr>
          <w:rFonts w:asciiTheme="majorHAnsi" w:hAnsiTheme="majorHAnsi" w:cs="Arial"/>
          <w:lang w:val="es-ES_tradnl"/>
        </w:rPr>
        <w:t xml:space="preserve">también a un cambio radical en la mecánica del día, como se describe con más detalle </w:t>
      </w:r>
      <w:r w:rsidR="006373A5" w:rsidRPr="00087FBE">
        <w:rPr>
          <w:rFonts w:asciiTheme="majorHAnsi" w:hAnsiTheme="majorHAnsi" w:cs="Arial"/>
          <w:i/>
          <w:lang w:val="es-ES_tradnl"/>
        </w:rPr>
        <w:t>infra</w:t>
      </w:r>
      <w:r w:rsidR="006373A5" w:rsidRPr="00087FBE">
        <w:rPr>
          <w:rFonts w:asciiTheme="majorHAnsi" w:hAnsiTheme="majorHAnsi" w:cs="Arial"/>
          <w:lang w:val="es-ES_tradnl"/>
        </w:rPr>
        <w:t>.</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 xml:space="preserve">Durante el trienio, el 89 </w:t>
      </w:r>
      <w:r w:rsidR="00F3363E" w:rsidRPr="00087FBE">
        <w:rPr>
          <w:rFonts w:asciiTheme="majorHAnsi" w:hAnsiTheme="majorHAnsi" w:cs="Arial"/>
          <w:lang w:val="es-ES_tradnl"/>
        </w:rPr>
        <w:t>%</w:t>
      </w:r>
      <w:r w:rsidRPr="00087FBE">
        <w:rPr>
          <w:rFonts w:asciiTheme="majorHAnsi" w:hAnsiTheme="majorHAnsi" w:cs="Arial"/>
          <w:lang w:val="es-ES_tradnl"/>
        </w:rPr>
        <w:t xml:space="preserve"> de las Partes han adaptado materiales del DMH para uso local. Cabe mencionar muchas otras actividades realizadas a lo largo del trienio. He aquí una selección que </w:t>
      </w:r>
      <w:r w:rsidR="009000AB" w:rsidRPr="00087FBE">
        <w:rPr>
          <w:rFonts w:asciiTheme="majorHAnsi" w:hAnsiTheme="majorHAnsi" w:cs="Arial"/>
          <w:lang w:val="es-ES_tradnl"/>
        </w:rPr>
        <w:t>sirve de ejemplo de</w:t>
      </w:r>
      <w:r w:rsidRPr="00087FBE">
        <w:rPr>
          <w:rFonts w:asciiTheme="majorHAnsi" w:hAnsiTheme="majorHAnsi" w:cs="Arial"/>
          <w:lang w:val="es-ES_tradnl"/>
        </w:rPr>
        <w:t xml:space="preserve"> la amplitud de las actividades del DMH:</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Gracias al sistema altamente evolucionado del DMH en Francia se llevaron a cabo 481 actividades relacionadas con el DMH solamente en 2014, desde excursiones escolares hasta actos informativos.</w:t>
      </w:r>
    </w:p>
    <w:p w:rsidR="006373A5" w:rsidRPr="00087FBE" w:rsidRDefault="006373A5" w:rsidP="006373A5">
      <w:pPr>
        <w:pStyle w:val="ListParagraph"/>
        <w:spacing w:after="0" w:line="240" w:lineRule="auto"/>
        <w:ind w:left="851"/>
        <w:rPr>
          <w:rFonts w:asciiTheme="majorHAnsi" w:hAnsiTheme="majorHAnsi" w:cs="Arial"/>
          <w:lang w:val="es-ES_tradnl"/>
        </w:rPr>
      </w:pP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 xml:space="preserve">En 2013, Estonia apoyó el DMH con </w:t>
      </w:r>
      <w:r w:rsidR="00A05412" w:rsidRPr="00087FBE">
        <w:rPr>
          <w:rFonts w:asciiTheme="majorHAnsi" w:hAnsiTheme="majorHAnsi" w:cs="Arial"/>
          <w:lang w:val="es-ES_tradnl"/>
        </w:rPr>
        <w:t>varias actividades. Representantes de sus autoridades ambientales (</w:t>
      </w:r>
      <w:r w:rsidR="0098017C" w:rsidRPr="00087FBE">
        <w:rPr>
          <w:rFonts w:asciiTheme="majorHAnsi" w:hAnsiTheme="majorHAnsi" w:cs="Arial"/>
          <w:i/>
          <w:lang w:val="es-ES_tradnl"/>
        </w:rPr>
        <w:t>Environmental Board</w:t>
      </w:r>
      <w:r w:rsidR="00A05412" w:rsidRPr="00087FBE">
        <w:rPr>
          <w:rFonts w:asciiTheme="majorHAnsi" w:hAnsiTheme="majorHAnsi" w:cs="Arial"/>
          <w:lang w:val="es-ES_tradnl"/>
        </w:rPr>
        <w:t xml:space="preserve"> y</w:t>
      </w:r>
      <w:r w:rsidRPr="00087FBE">
        <w:rPr>
          <w:rFonts w:asciiTheme="majorHAnsi" w:hAnsiTheme="majorHAnsi" w:cs="Arial"/>
          <w:color w:val="FF0000"/>
          <w:lang w:val="es-ES_tradnl"/>
        </w:rPr>
        <w:t xml:space="preserve"> </w:t>
      </w:r>
      <w:r w:rsidR="00A05412" w:rsidRPr="00087FBE">
        <w:rPr>
          <w:rFonts w:asciiTheme="majorHAnsi" w:hAnsiTheme="majorHAnsi" w:cs="Arial"/>
          <w:i/>
          <w:lang w:val="es-ES_tradnl"/>
        </w:rPr>
        <w:t>State Forest Management Centre</w:t>
      </w:r>
      <w:r w:rsidR="00A05412" w:rsidRPr="00087FBE">
        <w:rPr>
          <w:rFonts w:asciiTheme="majorHAnsi" w:hAnsiTheme="majorHAnsi" w:cs="Arial"/>
          <w:lang w:val="es-ES_tradnl"/>
        </w:rPr>
        <w:t>),</w:t>
      </w:r>
      <w:r w:rsidR="00A05412" w:rsidRPr="00087FBE">
        <w:rPr>
          <w:rFonts w:asciiTheme="majorHAnsi" w:hAnsiTheme="majorHAnsi" w:cs="Arial"/>
          <w:color w:val="FF0000"/>
          <w:lang w:val="es-ES_tradnl"/>
        </w:rPr>
        <w:t xml:space="preserve"> </w:t>
      </w:r>
      <w:r w:rsidRPr="00087FBE">
        <w:rPr>
          <w:rFonts w:asciiTheme="majorHAnsi" w:hAnsiTheme="majorHAnsi" w:cs="Arial"/>
          <w:lang w:val="es-ES_tradnl"/>
        </w:rPr>
        <w:t xml:space="preserve">la Universidad de Ciencias de la Vida de Estonia y guías </w:t>
      </w:r>
      <w:r w:rsidR="00A05412" w:rsidRPr="00087FBE">
        <w:rPr>
          <w:rFonts w:asciiTheme="majorHAnsi" w:hAnsiTheme="majorHAnsi" w:cs="Arial"/>
          <w:lang w:val="es-ES_tradnl"/>
        </w:rPr>
        <w:t>de la naturaleza</w:t>
      </w:r>
      <w:r w:rsidRPr="00087FBE">
        <w:rPr>
          <w:rFonts w:asciiTheme="majorHAnsi" w:hAnsiTheme="majorHAnsi" w:cs="Arial"/>
          <w:lang w:val="es-ES_tradnl"/>
        </w:rPr>
        <w:t xml:space="preserve"> locales se asociaron para organizar visitas educativas a diversos lugares, incluidos la Reserva Natural de Silma, el Parque Nacional de Soomaa y la Bahía de Käina en Hiiumaa. </w:t>
      </w:r>
    </w:p>
    <w:p w:rsidR="006373A5" w:rsidRPr="00087FBE" w:rsidRDefault="006373A5" w:rsidP="006373A5">
      <w:pPr>
        <w:pStyle w:val="ListParagraph"/>
        <w:rPr>
          <w:rFonts w:asciiTheme="majorHAnsi" w:hAnsiTheme="majorHAnsi" w:cs="Arial"/>
          <w:lang w:val="es-ES_tradnl"/>
        </w:rPr>
      </w:pP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 xml:space="preserve">En 2014, varios países adaptaron y tradujeron </w:t>
      </w:r>
      <w:r w:rsidR="00156B06" w:rsidRPr="00087FBE">
        <w:rPr>
          <w:rFonts w:asciiTheme="majorHAnsi" w:hAnsiTheme="majorHAnsi" w:cs="Arial"/>
          <w:lang w:val="es-ES_tradnl"/>
        </w:rPr>
        <w:t xml:space="preserve">los </w:t>
      </w:r>
      <w:r w:rsidRPr="00087FBE">
        <w:rPr>
          <w:rFonts w:asciiTheme="majorHAnsi" w:hAnsiTheme="majorHAnsi" w:cs="Arial"/>
          <w:lang w:val="es-ES_tradnl"/>
        </w:rPr>
        <w:t>materiales del DMH sobre agricultura y humedales, a saber: China, Colombia, España, Francia, Granada, Grecia, India, Irán, Iraq, Japón, Madagascar, Myanmar y República Democrática Popular Lao.</w:t>
      </w:r>
    </w:p>
    <w:p w:rsidR="006373A5" w:rsidRPr="00087FBE" w:rsidRDefault="006373A5" w:rsidP="006373A5">
      <w:pPr>
        <w:pStyle w:val="ListParagraph"/>
        <w:rPr>
          <w:rFonts w:asciiTheme="majorHAnsi" w:hAnsiTheme="majorHAnsi" w:cs="Arial"/>
          <w:lang w:val="es-ES_tradnl"/>
        </w:rPr>
      </w:pP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 xml:space="preserve">Bangladesh </w:t>
      </w:r>
      <w:r w:rsidR="00FD1C5F" w:rsidRPr="00087FBE">
        <w:rPr>
          <w:rFonts w:asciiTheme="majorHAnsi" w:hAnsiTheme="majorHAnsi" w:cs="Arial"/>
          <w:lang w:val="es-ES_tradnl"/>
        </w:rPr>
        <w:t>se hizo eco del</w:t>
      </w:r>
      <w:r w:rsidRPr="00087FBE">
        <w:rPr>
          <w:rFonts w:asciiTheme="majorHAnsi" w:hAnsiTheme="majorHAnsi" w:cs="Arial"/>
          <w:lang w:val="es-ES_tradnl"/>
        </w:rPr>
        <w:t xml:space="preserve"> tema del agua del DMH de 2013 con carteles preparados por </w:t>
      </w:r>
      <w:r w:rsidR="00FD1C5F" w:rsidRPr="00087FBE">
        <w:rPr>
          <w:rFonts w:asciiTheme="majorHAnsi" w:hAnsiTheme="majorHAnsi" w:cs="Arial"/>
          <w:lang w:val="es-ES_tradnl"/>
        </w:rPr>
        <w:t>un proyecto para la rehabilitación de la biodiversidad de los h</w:t>
      </w:r>
      <w:r w:rsidRPr="00087FBE">
        <w:rPr>
          <w:rFonts w:asciiTheme="majorHAnsi" w:hAnsiTheme="majorHAnsi" w:cs="Arial"/>
          <w:lang w:val="es-ES_tradnl"/>
        </w:rPr>
        <w:t>umedales</w:t>
      </w:r>
      <w:r w:rsidR="00FD1C5F" w:rsidRPr="00087FBE">
        <w:rPr>
          <w:rFonts w:asciiTheme="majorHAnsi" w:hAnsiTheme="majorHAnsi" w:cs="Arial"/>
          <w:lang w:val="es-ES_tradnl"/>
        </w:rPr>
        <w:t xml:space="preserve"> (</w:t>
      </w:r>
      <w:r w:rsidR="00FD1C5F" w:rsidRPr="00087FBE">
        <w:rPr>
          <w:rFonts w:asciiTheme="majorHAnsi" w:hAnsiTheme="majorHAnsi" w:cs="Arial"/>
          <w:i/>
          <w:lang w:val="es-ES_tradnl"/>
        </w:rPr>
        <w:t>Wetland Biodiversity Rehabilitation Project</w:t>
      </w:r>
      <w:r w:rsidR="00FD1C5F" w:rsidRPr="00087FBE">
        <w:rPr>
          <w:rFonts w:asciiTheme="majorHAnsi" w:hAnsiTheme="majorHAnsi" w:cs="Arial"/>
          <w:lang w:val="es-ES_tradnl"/>
        </w:rPr>
        <w:t>, WBRP)</w:t>
      </w:r>
      <w:r w:rsidRPr="00087FBE">
        <w:rPr>
          <w:rFonts w:asciiTheme="majorHAnsi" w:hAnsiTheme="majorHAnsi" w:cs="Arial"/>
          <w:lang w:val="es-ES_tradnl"/>
        </w:rPr>
        <w:t xml:space="preserve"> y la Misión Mundial para la Paz en Dhaka.</w:t>
      </w:r>
    </w:p>
    <w:p w:rsidR="006373A5" w:rsidRPr="00087FBE" w:rsidRDefault="006373A5" w:rsidP="006373A5">
      <w:pPr>
        <w:pStyle w:val="ListParagraph"/>
        <w:spacing w:after="0" w:line="240" w:lineRule="auto"/>
        <w:ind w:left="851"/>
        <w:rPr>
          <w:rFonts w:asciiTheme="majorHAnsi" w:hAnsiTheme="majorHAnsi" w:cs="Arial"/>
          <w:lang w:val="es-ES_tradnl"/>
        </w:rPr>
      </w:pP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El Gob</w:t>
      </w:r>
      <w:r w:rsidR="00156B06" w:rsidRPr="00087FBE">
        <w:rPr>
          <w:rFonts w:asciiTheme="majorHAnsi" w:hAnsiTheme="majorHAnsi" w:cs="Arial"/>
          <w:lang w:val="es-ES_tradnl"/>
        </w:rPr>
        <w:t>ierno de Australia publicó el Nº 22 de la publicación</w:t>
      </w:r>
      <w:r w:rsidRPr="00087FBE">
        <w:rPr>
          <w:rFonts w:asciiTheme="majorHAnsi" w:hAnsiTheme="majorHAnsi" w:cs="Arial"/>
          <w:lang w:val="es-ES_tradnl"/>
        </w:rPr>
        <w:t xml:space="preserve"> </w:t>
      </w:r>
      <w:r w:rsidRPr="00087FBE">
        <w:rPr>
          <w:rFonts w:asciiTheme="majorHAnsi" w:hAnsiTheme="majorHAnsi" w:cs="Arial"/>
          <w:i/>
          <w:lang w:val="es-ES_tradnl"/>
        </w:rPr>
        <w:t>Wetlands Australia</w:t>
      </w:r>
      <w:r w:rsidRPr="00087FBE">
        <w:rPr>
          <w:rFonts w:asciiTheme="majorHAnsi" w:hAnsiTheme="majorHAnsi" w:cs="Arial"/>
          <w:lang w:val="es-ES_tradnl"/>
        </w:rPr>
        <w:t xml:space="preserve">, con el tema </w:t>
      </w:r>
      <w:r w:rsidR="00156B06" w:rsidRPr="00087FBE">
        <w:rPr>
          <w:rFonts w:asciiTheme="majorHAnsi" w:hAnsiTheme="majorHAnsi" w:cs="Arial"/>
          <w:lang w:val="es-ES_tradnl"/>
        </w:rPr>
        <w:t>“</w:t>
      </w:r>
      <w:r w:rsidR="00FD1C5F" w:rsidRPr="00087FBE">
        <w:rPr>
          <w:rFonts w:asciiTheme="majorHAnsi" w:hAnsiTheme="majorHAnsi" w:cs="Arial"/>
          <w:i/>
          <w:lang w:val="es-ES_tradnl"/>
        </w:rPr>
        <w:t>Wetlands and Water Management</w:t>
      </w:r>
      <w:r w:rsidR="00FD1C5F" w:rsidRPr="00087FBE">
        <w:rPr>
          <w:rFonts w:asciiTheme="majorHAnsi" w:hAnsiTheme="majorHAnsi" w:cs="Arial"/>
          <w:lang w:val="es-ES_tradnl"/>
        </w:rPr>
        <w:t>” (l</w:t>
      </w:r>
      <w:r w:rsidRPr="00087FBE">
        <w:rPr>
          <w:rFonts w:asciiTheme="majorHAnsi" w:hAnsiTheme="majorHAnsi" w:cs="Arial"/>
          <w:lang w:val="es-ES_tradnl"/>
        </w:rPr>
        <w:t xml:space="preserve">os </w:t>
      </w:r>
      <w:r w:rsidR="00FD1C5F" w:rsidRPr="00087FBE">
        <w:rPr>
          <w:rFonts w:asciiTheme="majorHAnsi" w:hAnsiTheme="majorHAnsi" w:cs="Arial"/>
          <w:lang w:val="es-ES_tradnl"/>
        </w:rPr>
        <w:t>h</w:t>
      </w:r>
      <w:r w:rsidRPr="00087FBE">
        <w:rPr>
          <w:rFonts w:asciiTheme="majorHAnsi" w:hAnsiTheme="majorHAnsi" w:cs="Arial"/>
          <w:lang w:val="es-ES_tradnl"/>
        </w:rPr>
        <w:t xml:space="preserve">umedales y </w:t>
      </w:r>
      <w:r w:rsidR="00FD1C5F" w:rsidRPr="00087FBE">
        <w:rPr>
          <w:rFonts w:asciiTheme="majorHAnsi" w:hAnsiTheme="majorHAnsi" w:cs="Arial"/>
          <w:lang w:val="es-ES_tradnl"/>
        </w:rPr>
        <w:t xml:space="preserve">el manejo </w:t>
      </w:r>
      <w:r w:rsidRPr="00087FBE">
        <w:rPr>
          <w:rFonts w:asciiTheme="majorHAnsi" w:hAnsiTheme="majorHAnsi" w:cs="Arial"/>
          <w:lang w:val="es-ES_tradnl"/>
        </w:rPr>
        <w:t>de</w:t>
      </w:r>
      <w:r w:rsidR="00FD1C5F" w:rsidRPr="00087FBE">
        <w:rPr>
          <w:rFonts w:asciiTheme="majorHAnsi" w:hAnsiTheme="majorHAnsi" w:cs="Arial"/>
          <w:lang w:val="es-ES_tradnl"/>
        </w:rPr>
        <w:t>l a</w:t>
      </w:r>
      <w:r w:rsidRPr="00087FBE">
        <w:rPr>
          <w:rFonts w:asciiTheme="majorHAnsi" w:hAnsiTheme="majorHAnsi" w:cs="Arial"/>
          <w:lang w:val="es-ES_tradnl"/>
        </w:rPr>
        <w:t>gua</w:t>
      </w:r>
      <w:r w:rsidR="00FD1C5F" w:rsidRPr="00087FBE">
        <w:rPr>
          <w:rFonts w:asciiTheme="majorHAnsi" w:hAnsiTheme="majorHAnsi" w:cs="Arial"/>
          <w:lang w:val="es-ES_tradnl"/>
        </w:rPr>
        <w:t>)</w:t>
      </w:r>
      <w:r w:rsidRPr="00087FBE">
        <w:rPr>
          <w:rFonts w:asciiTheme="majorHAnsi" w:hAnsiTheme="majorHAnsi" w:cs="Arial"/>
          <w:lang w:val="es-ES_tradnl"/>
        </w:rPr>
        <w:t>, para apoyar el DMH de 2013.</w:t>
      </w:r>
    </w:p>
    <w:p w:rsidR="006373A5" w:rsidRPr="00087FBE" w:rsidRDefault="006373A5" w:rsidP="006373A5">
      <w:pPr>
        <w:pStyle w:val="ListParagraph"/>
        <w:rPr>
          <w:rFonts w:asciiTheme="majorHAnsi" w:hAnsiTheme="majorHAnsi" w:cs="Arial"/>
          <w:lang w:val="es-ES_tradnl"/>
        </w:rPr>
      </w:pP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 xml:space="preserve">La Oficina de Conservación y </w:t>
      </w:r>
      <w:r w:rsidR="00FD1C5F" w:rsidRPr="00087FBE">
        <w:rPr>
          <w:rFonts w:asciiTheme="majorHAnsi" w:hAnsiTheme="majorHAnsi" w:cs="Arial"/>
          <w:lang w:val="es-ES_tradnl"/>
        </w:rPr>
        <w:t>Manejo</w:t>
      </w:r>
      <w:r w:rsidRPr="00087FBE">
        <w:rPr>
          <w:rFonts w:asciiTheme="majorHAnsi" w:hAnsiTheme="majorHAnsi" w:cs="Arial"/>
          <w:lang w:val="es-ES_tradnl"/>
        </w:rPr>
        <w:t xml:space="preserve"> de los Humedales de la Administración Forestal </w:t>
      </w:r>
      <w:r w:rsidR="00156B06" w:rsidRPr="00087FBE">
        <w:rPr>
          <w:rFonts w:asciiTheme="majorHAnsi" w:hAnsiTheme="majorHAnsi" w:cs="Arial"/>
          <w:lang w:val="es-ES_tradnl"/>
        </w:rPr>
        <w:t xml:space="preserve">Estatal </w:t>
      </w:r>
      <w:r w:rsidRPr="00087FBE">
        <w:rPr>
          <w:rFonts w:asciiTheme="majorHAnsi" w:hAnsiTheme="majorHAnsi" w:cs="Arial"/>
          <w:lang w:val="es-ES_tradnl"/>
        </w:rPr>
        <w:t>de China, el Instituto de Investigación de los Humedales de la Academia Forestal de China y el Parque de Humedales de Hong Kong apoyaron el DMH de 2013 con una serie de carteles y folletos adaptados para la ocasión.</w:t>
      </w:r>
    </w:p>
    <w:p w:rsidR="006373A5" w:rsidRPr="00087FBE" w:rsidRDefault="006373A5" w:rsidP="006373A5">
      <w:pPr>
        <w:pStyle w:val="ListParagraph"/>
        <w:rPr>
          <w:rFonts w:asciiTheme="majorHAnsi" w:hAnsiTheme="majorHAnsi" w:cs="Arial"/>
          <w:lang w:val="es-ES_tradnl"/>
        </w:rPr>
      </w:pP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En 2015, el Secretario General de Ramsar fue invitado a asistir a las celebraciones del DMH en Uganda, organizadas por el Ministerio de Medio Ambiente de Uganda, e</w:t>
      </w:r>
      <w:r w:rsidR="00FD1C5F" w:rsidRPr="00087FBE">
        <w:rPr>
          <w:rFonts w:asciiTheme="majorHAnsi" w:hAnsiTheme="majorHAnsi" w:cs="Arial"/>
          <w:lang w:val="es-ES_tradnl"/>
        </w:rPr>
        <w:t>l Centro de Ramsar para África O</w:t>
      </w:r>
      <w:r w:rsidRPr="00087FBE">
        <w:rPr>
          <w:rFonts w:asciiTheme="majorHAnsi" w:hAnsiTheme="majorHAnsi" w:cs="Arial"/>
          <w:lang w:val="es-ES_tradnl"/>
        </w:rPr>
        <w:t>riental en el sitio Lutembe Bay</w:t>
      </w:r>
      <w:r w:rsidR="00E84CDA" w:rsidRPr="00087FBE">
        <w:rPr>
          <w:rFonts w:asciiTheme="majorHAnsi" w:hAnsiTheme="majorHAnsi" w:cs="Arial"/>
          <w:lang w:val="es-ES_tradnl"/>
        </w:rPr>
        <w:t>, en la orilla</w:t>
      </w:r>
      <w:r w:rsidRPr="00087FBE">
        <w:rPr>
          <w:rFonts w:asciiTheme="majorHAnsi" w:hAnsiTheme="majorHAnsi" w:cs="Arial"/>
          <w:lang w:val="es-ES_tradnl"/>
        </w:rPr>
        <w:t xml:space="preserve"> del lago Victoria. Al acto asistieron más de 500 personas, </w:t>
      </w:r>
      <w:r w:rsidR="00FD1C5F" w:rsidRPr="00087FBE">
        <w:rPr>
          <w:rFonts w:asciiTheme="majorHAnsi" w:hAnsiTheme="majorHAnsi" w:cs="Arial"/>
          <w:lang w:val="es-ES_tradnl"/>
        </w:rPr>
        <w:t>incluyendo</w:t>
      </w:r>
      <w:r w:rsidRPr="00087FBE">
        <w:rPr>
          <w:rFonts w:asciiTheme="majorHAnsi" w:hAnsiTheme="majorHAnsi" w:cs="Arial"/>
          <w:lang w:val="es-ES_tradnl"/>
        </w:rPr>
        <w:t xml:space="preserve"> representantes de las comunidades locales, jóvenes y medios de comunicación, así como administradores y profesionales de los humedales.</w:t>
      </w:r>
    </w:p>
    <w:p w:rsidR="006373A5" w:rsidRPr="00087FBE" w:rsidRDefault="006373A5" w:rsidP="006373A5">
      <w:pPr>
        <w:pStyle w:val="ListParagraph"/>
        <w:spacing w:after="0" w:line="240" w:lineRule="auto"/>
        <w:ind w:left="1080"/>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En el futuro, la estrategia propuesta consiste en utilizar el Día Mundial de los Humedales para subrayar el mensaje de marca de Ramsar de que los humedales son la fuente del desarrollo sostenible. En ese marco, la Secretaría tiene la intención de coordinar temas específicos de actualidad con otras importantes</w:t>
      </w:r>
      <w:r w:rsidR="00EA0CDE" w:rsidRPr="00087FBE">
        <w:rPr>
          <w:rFonts w:asciiTheme="majorHAnsi" w:hAnsiTheme="majorHAnsi" w:cs="Arial"/>
          <w:lang w:val="es-ES_tradnl"/>
        </w:rPr>
        <w:t xml:space="preserve"> organizaciones internacionales</w:t>
      </w:r>
      <w:r w:rsidRPr="00087FBE">
        <w:rPr>
          <w:rFonts w:asciiTheme="majorHAnsi" w:hAnsiTheme="majorHAnsi" w:cs="Arial"/>
          <w:lang w:val="es-ES_tradnl"/>
        </w:rPr>
        <w:t xml:space="preserve"> en relación con otras importantes iniciativas anuales, y llegar a un acuerdo sobre un calendario coordinado de los días de sensibilización internacional para reducir al mínimo la competencia y la duplicación. </w:t>
      </w:r>
    </w:p>
    <w:p w:rsidR="006373A5" w:rsidRPr="00087FBE" w:rsidRDefault="006373A5" w:rsidP="006373A5">
      <w:pPr>
        <w:spacing w:after="0" w:line="240" w:lineRule="auto"/>
        <w:rPr>
          <w:rFonts w:asciiTheme="majorHAnsi" w:hAnsiTheme="majorHAnsi" w:cs="Arial"/>
          <w:lang w:val="es-ES_tradnl"/>
        </w:rPr>
      </w:pPr>
    </w:p>
    <w:p w:rsidR="006373A5" w:rsidRPr="00087FBE" w:rsidRDefault="00087FBE" w:rsidP="00F60119">
      <w:pPr>
        <w:spacing w:beforeLines="1" w:afterLines="1" w:line="240" w:lineRule="auto"/>
        <w:rPr>
          <w:rFonts w:asciiTheme="majorHAnsi" w:hAnsiTheme="majorHAnsi" w:cs="Times New Roman"/>
          <w:szCs w:val="20"/>
          <w:lang w:val="es-ES_tradnl" w:eastAsia="fr-FR"/>
        </w:rPr>
      </w:pPr>
      <w:r w:rsidRPr="00087FBE">
        <w:rPr>
          <w:rFonts w:asciiTheme="majorHAnsi" w:hAnsiTheme="majorHAnsi" w:cs="Times New Roman"/>
          <w:b/>
          <w:bCs/>
          <w:szCs w:val="24"/>
          <w:lang w:val="es-ES_tradnl" w:eastAsia="fr-FR"/>
        </w:rPr>
        <w:t>Utilización</w:t>
      </w:r>
      <w:r w:rsidR="006373A5" w:rsidRPr="00087FBE">
        <w:rPr>
          <w:rFonts w:asciiTheme="majorHAnsi" w:hAnsiTheme="majorHAnsi" w:cs="Times New Roman"/>
          <w:b/>
          <w:bCs/>
          <w:szCs w:val="24"/>
          <w:lang w:val="es-ES_tradnl" w:eastAsia="fr-FR"/>
        </w:rPr>
        <w:t xml:space="preserve"> de </w:t>
      </w:r>
      <w:r w:rsidRPr="00087FBE">
        <w:rPr>
          <w:rFonts w:asciiTheme="majorHAnsi" w:hAnsiTheme="majorHAnsi" w:cs="Times New Roman"/>
          <w:b/>
          <w:bCs/>
          <w:szCs w:val="24"/>
          <w:lang w:val="es-ES_tradnl" w:eastAsia="fr-FR"/>
        </w:rPr>
        <w:t>campañas</w:t>
      </w:r>
      <w:r w:rsidR="006373A5" w:rsidRPr="00087FBE">
        <w:rPr>
          <w:rFonts w:asciiTheme="majorHAnsi" w:hAnsiTheme="majorHAnsi" w:cs="Times New Roman"/>
          <w:b/>
          <w:bCs/>
          <w:szCs w:val="24"/>
          <w:lang w:val="es-ES_tradnl" w:eastAsia="fr-FR"/>
        </w:rPr>
        <w:t xml:space="preserve">, programas y proyectos para aumentar la conciencia sobre la importancia de los humedales para las personas y la vida silvestre, y sobre los beneficios/servicios ecosistémicos proporcionados por los humedales </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Las respuestas al Indicador 4.1.9</w:t>
      </w:r>
      <w:r w:rsidRPr="00087FBE">
        <w:rPr>
          <w:rFonts w:asciiTheme="majorHAnsi" w:hAnsiTheme="majorHAnsi" w:cs="Times New Roman"/>
          <w:szCs w:val="24"/>
          <w:lang w:val="es-ES_tradnl" w:eastAsia="fr-FR"/>
        </w:rPr>
        <w:t xml:space="preserve"> parecen indicar un aumento de respuestas afirmativas y una impresionante diversidad de actividades en todas las regiones para </w:t>
      </w:r>
      <w:r w:rsidR="002153FB" w:rsidRPr="00087FBE">
        <w:rPr>
          <w:rFonts w:asciiTheme="majorHAnsi" w:hAnsiTheme="majorHAnsi" w:cs="Times New Roman"/>
          <w:szCs w:val="24"/>
          <w:lang w:val="es-ES_tradnl" w:eastAsia="fr-FR"/>
        </w:rPr>
        <w:t>aumentar</w:t>
      </w:r>
      <w:r w:rsidRPr="00087FBE">
        <w:rPr>
          <w:rFonts w:asciiTheme="majorHAnsi" w:hAnsiTheme="majorHAnsi" w:cs="Times New Roman"/>
          <w:szCs w:val="24"/>
          <w:lang w:val="es-ES_tradnl" w:eastAsia="fr-FR"/>
        </w:rPr>
        <w:t xml:space="preserve"> la conciencia sobre los humedales. Considerando todas las regiones en su conjunto, la </w:t>
      </w:r>
      <w:r w:rsidR="00087FBE" w:rsidRPr="00087FBE">
        <w:rPr>
          <w:rFonts w:asciiTheme="majorHAnsi" w:hAnsiTheme="majorHAnsi" w:cs="Times New Roman"/>
          <w:szCs w:val="24"/>
          <w:lang w:val="es-ES_tradnl" w:eastAsia="fr-FR"/>
        </w:rPr>
        <w:t>proporción</w:t>
      </w:r>
      <w:r w:rsidRPr="00087FBE">
        <w:rPr>
          <w:rFonts w:asciiTheme="majorHAnsi" w:hAnsiTheme="majorHAnsi" w:cs="Times New Roman"/>
          <w:szCs w:val="24"/>
          <w:lang w:val="es-ES_tradnl" w:eastAsia="fr-FR"/>
        </w:rPr>
        <w:t xml:space="preserve"> correspondiente a las Partes que respondieron afirmativamente en este indicador aumentó del 82 </w:t>
      </w:r>
      <w:r w:rsidR="00F3363E" w:rsidRPr="00087FBE">
        <w:rPr>
          <w:rFonts w:asciiTheme="majorHAnsi" w:hAnsiTheme="majorHAnsi" w:cs="Times New Roman"/>
          <w:szCs w:val="24"/>
          <w:lang w:val="es-ES_tradnl" w:eastAsia="fr-FR"/>
        </w:rPr>
        <w:t>%</w:t>
      </w:r>
      <w:r w:rsidRPr="00087FBE">
        <w:rPr>
          <w:rFonts w:asciiTheme="majorHAnsi" w:hAnsiTheme="majorHAnsi" w:cs="Times New Roman"/>
          <w:szCs w:val="24"/>
          <w:lang w:val="es-ES_tradnl" w:eastAsia="fr-FR"/>
        </w:rPr>
        <w:t xml:space="preserve"> en la COP11 al 89 </w:t>
      </w:r>
      <w:r w:rsidR="00F3363E" w:rsidRPr="00087FBE">
        <w:rPr>
          <w:rFonts w:asciiTheme="majorHAnsi" w:hAnsiTheme="majorHAnsi" w:cs="Times New Roman"/>
          <w:szCs w:val="24"/>
          <w:lang w:val="es-ES_tradnl" w:eastAsia="fr-FR"/>
        </w:rPr>
        <w:t>%</w:t>
      </w:r>
      <w:r w:rsidRPr="00087FBE">
        <w:rPr>
          <w:rFonts w:asciiTheme="majorHAnsi" w:hAnsiTheme="majorHAnsi" w:cs="Times New Roman"/>
          <w:szCs w:val="24"/>
          <w:lang w:val="es-ES_tradnl" w:eastAsia="fr-FR"/>
        </w:rPr>
        <w:t xml:space="preserve"> </w:t>
      </w:r>
      <w:r w:rsidR="009A1236" w:rsidRPr="00087FBE">
        <w:rPr>
          <w:rFonts w:asciiTheme="majorHAnsi" w:hAnsiTheme="majorHAnsi" w:cs="Times New Roman"/>
          <w:szCs w:val="24"/>
          <w:lang w:val="es-ES_tradnl" w:eastAsia="fr-FR"/>
        </w:rPr>
        <w:t>a escala</w:t>
      </w:r>
      <w:r w:rsidRPr="00087FBE">
        <w:rPr>
          <w:rFonts w:asciiTheme="majorHAnsi" w:hAnsiTheme="majorHAnsi" w:cs="Times New Roman"/>
          <w:szCs w:val="24"/>
          <w:lang w:val="es-ES_tradnl" w:eastAsia="fr-FR"/>
        </w:rPr>
        <w:t xml:space="preserve"> mundial en la COP12, </w:t>
      </w:r>
      <w:r w:rsidR="002153FB" w:rsidRPr="00087FBE">
        <w:rPr>
          <w:rFonts w:asciiTheme="majorHAnsi" w:hAnsiTheme="majorHAnsi" w:cs="Times New Roman"/>
          <w:szCs w:val="24"/>
          <w:lang w:val="es-ES_tradnl" w:eastAsia="fr-FR"/>
        </w:rPr>
        <w:t xml:space="preserve">con una distribución uniforme de las respuestas por </w:t>
      </w:r>
      <w:r w:rsidRPr="00087FBE">
        <w:rPr>
          <w:rFonts w:asciiTheme="majorHAnsi" w:hAnsiTheme="majorHAnsi" w:cs="Times New Roman"/>
          <w:szCs w:val="24"/>
          <w:lang w:val="es-ES_tradnl" w:eastAsia="fr-FR"/>
        </w:rPr>
        <w:t xml:space="preserve">región. El porcentaje de respuestas negativas se ha mantenido estable en el 13 </w:t>
      </w:r>
      <w:r w:rsidR="00F3363E" w:rsidRPr="00087FBE">
        <w:rPr>
          <w:rFonts w:asciiTheme="majorHAnsi" w:hAnsiTheme="majorHAnsi" w:cs="Times New Roman"/>
          <w:szCs w:val="24"/>
          <w:lang w:val="es-ES_tradnl" w:eastAsia="fr-FR"/>
        </w:rPr>
        <w:t>%</w:t>
      </w:r>
      <w:r w:rsidRPr="00087FBE">
        <w:rPr>
          <w:rFonts w:asciiTheme="majorHAnsi" w:hAnsiTheme="majorHAnsi" w:cs="Times New Roman"/>
          <w:szCs w:val="24"/>
          <w:lang w:val="es-ES_tradnl" w:eastAsia="fr-FR"/>
        </w:rPr>
        <w:t xml:space="preserve">. En las casillas de texto libre correspondientes a este indicador, los países </w:t>
      </w:r>
      <w:r w:rsidR="00087FBE" w:rsidRPr="00087FBE">
        <w:rPr>
          <w:rFonts w:asciiTheme="majorHAnsi" w:hAnsiTheme="majorHAnsi" w:cs="Times New Roman"/>
          <w:szCs w:val="24"/>
          <w:lang w:val="es-ES_tradnl" w:eastAsia="fr-FR"/>
        </w:rPr>
        <w:t>señalaron</w:t>
      </w:r>
      <w:r w:rsidRPr="00087FBE">
        <w:rPr>
          <w:rFonts w:asciiTheme="majorHAnsi" w:hAnsiTheme="majorHAnsi" w:cs="Times New Roman"/>
          <w:szCs w:val="24"/>
          <w:lang w:val="es-ES_tradnl" w:eastAsia="fr-FR"/>
        </w:rPr>
        <w:t xml:space="preserve"> que utilizaban otros </w:t>
      </w:r>
      <w:r w:rsidR="00087FBE" w:rsidRPr="00087FBE">
        <w:rPr>
          <w:rFonts w:asciiTheme="majorHAnsi" w:hAnsiTheme="majorHAnsi" w:cs="Times New Roman"/>
          <w:szCs w:val="24"/>
          <w:lang w:val="es-ES_tradnl" w:eastAsia="fr-FR"/>
        </w:rPr>
        <w:t>días</w:t>
      </w:r>
      <w:r w:rsidRPr="00087FBE">
        <w:rPr>
          <w:rFonts w:asciiTheme="majorHAnsi" w:hAnsiTheme="majorHAnsi" w:cs="Times New Roman"/>
          <w:szCs w:val="24"/>
          <w:lang w:val="es-ES_tradnl" w:eastAsia="fr-FR"/>
        </w:rPr>
        <w:t xml:space="preserve"> internacionales para fomentar la sensibilización acerca de los humedales</w:t>
      </w:r>
      <w:r w:rsidRPr="00087FBE">
        <w:rPr>
          <w:rFonts w:asciiTheme="majorHAnsi" w:hAnsiTheme="majorHAnsi" w:cs="Arial"/>
          <w:lang w:val="es-ES_tradnl"/>
        </w:rPr>
        <w:t xml:space="preserve">. </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 xml:space="preserve">Reconociendo la </w:t>
      </w:r>
      <w:r w:rsidR="00103535" w:rsidRPr="00087FBE">
        <w:rPr>
          <w:rFonts w:asciiTheme="majorHAnsi" w:hAnsiTheme="majorHAnsi" w:cs="Arial"/>
          <w:lang w:val="es-ES_tradnl"/>
        </w:rPr>
        <w:t>grave</w:t>
      </w:r>
      <w:r w:rsidRPr="00087FBE">
        <w:rPr>
          <w:rFonts w:asciiTheme="majorHAnsi" w:hAnsiTheme="majorHAnsi" w:cs="Arial"/>
          <w:lang w:val="es-ES_tradnl"/>
        </w:rPr>
        <w:t xml:space="preserve"> falta de sensibilización del público sobre los servicios y los beneficios de los ecosistemas que ofrecen los humedales, la Secretaría ha </w:t>
      </w:r>
      <w:r w:rsidR="00103535" w:rsidRPr="00087FBE">
        <w:rPr>
          <w:rFonts w:asciiTheme="majorHAnsi" w:hAnsiTheme="majorHAnsi" w:cs="Arial"/>
          <w:lang w:val="es-ES_tradnl"/>
        </w:rPr>
        <w:t>realizado</w:t>
      </w:r>
      <w:r w:rsidRPr="00087FBE">
        <w:rPr>
          <w:rFonts w:asciiTheme="majorHAnsi" w:hAnsiTheme="majorHAnsi" w:cs="Arial"/>
          <w:lang w:val="es-ES_tradnl"/>
        </w:rPr>
        <w:t xml:space="preserve"> importantes progresos durante el trienio en lo que </w:t>
      </w:r>
      <w:r w:rsidR="00103535" w:rsidRPr="00087FBE">
        <w:rPr>
          <w:rFonts w:asciiTheme="majorHAnsi" w:hAnsiTheme="majorHAnsi" w:cs="Arial"/>
          <w:lang w:val="es-ES_tradnl"/>
        </w:rPr>
        <w:t>respcta</w:t>
      </w:r>
      <w:r w:rsidRPr="00087FBE">
        <w:rPr>
          <w:rFonts w:asciiTheme="majorHAnsi" w:hAnsiTheme="majorHAnsi" w:cs="Arial"/>
          <w:lang w:val="es-ES_tradnl"/>
        </w:rPr>
        <w:t xml:space="preserve"> a su función de centro de intercambio de las comunicaciones de la Convención de Ramsar, con una serie de mejoras</w:t>
      </w:r>
      <w:r w:rsidR="00103535" w:rsidRPr="00087FBE">
        <w:rPr>
          <w:rFonts w:asciiTheme="majorHAnsi" w:hAnsiTheme="majorHAnsi" w:cs="Arial"/>
          <w:lang w:val="es-ES_tradnl"/>
        </w:rPr>
        <w:t xml:space="preserve"> recientes</w:t>
      </w:r>
      <w:r w:rsidRPr="00087FBE">
        <w:rPr>
          <w:rFonts w:asciiTheme="majorHAnsi" w:hAnsiTheme="majorHAnsi" w:cs="Arial"/>
          <w:lang w:val="es-ES_tradnl"/>
        </w:rPr>
        <w:t>:</w:t>
      </w:r>
    </w:p>
    <w:p w:rsidR="006373A5" w:rsidRPr="00087FBE" w:rsidRDefault="0010353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lastRenderedPageBreak/>
        <w:t xml:space="preserve">Un </w:t>
      </w:r>
      <w:r w:rsidR="006373A5" w:rsidRPr="00087FBE">
        <w:rPr>
          <w:rFonts w:asciiTheme="majorHAnsi" w:hAnsiTheme="majorHAnsi" w:cs="Arial"/>
          <w:lang w:val="es-ES_tradnl"/>
        </w:rPr>
        <w:t xml:space="preserve">sitio web completamente </w:t>
      </w:r>
      <w:r w:rsidRPr="00087FBE">
        <w:rPr>
          <w:rFonts w:asciiTheme="majorHAnsi" w:hAnsiTheme="majorHAnsi" w:cs="Arial"/>
          <w:lang w:val="es-ES_tradnl"/>
        </w:rPr>
        <w:t>remodelado</w:t>
      </w:r>
      <w:r w:rsidR="006373A5" w:rsidRPr="00087FBE">
        <w:rPr>
          <w:rFonts w:asciiTheme="majorHAnsi" w:hAnsiTheme="majorHAnsi" w:cs="Arial"/>
          <w:lang w:val="es-ES_tradnl"/>
        </w:rPr>
        <w:t xml:space="preserve"> (</w:t>
      </w:r>
      <w:hyperlink r:id="rId17" w:history="1">
        <w:r w:rsidR="006373A5" w:rsidRPr="00087FBE">
          <w:rPr>
            <w:rFonts w:asciiTheme="majorHAnsi" w:hAnsiTheme="majorHAnsi"/>
            <w:lang w:val="es-ES_tradnl"/>
          </w:rPr>
          <w:t>www.ramsar.org</w:t>
        </w:r>
      </w:hyperlink>
      <w:r w:rsidR="006373A5" w:rsidRPr="00087FBE">
        <w:rPr>
          <w:rFonts w:asciiTheme="majorHAnsi" w:hAnsiTheme="majorHAnsi" w:cs="Arial"/>
          <w:lang w:val="es-ES_tradnl"/>
        </w:rPr>
        <w:t>)</w:t>
      </w:r>
      <w:r w:rsidRPr="00087FBE">
        <w:rPr>
          <w:rFonts w:asciiTheme="majorHAnsi" w:hAnsiTheme="majorHAnsi" w:cs="Arial"/>
          <w:lang w:val="es-ES_tradnl"/>
        </w:rPr>
        <w:t>, que se inauguró</w:t>
      </w:r>
      <w:r w:rsidR="006373A5" w:rsidRPr="00087FBE">
        <w:rPr>
          <w:rFonts w:asciiTheme="majorHAnsi" w:hAnsiTheme="majorHAnsi" w:cs="Arial"/>
          <w:lang w:val="es-ES_tradnl"/>
        </w:rPr>
        <w:t xml:space="preserve"> a finales de 2014; este sitio se mejorará con nuevas capacidades de búsqueda y de archivo de documentos</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Una versión revisada y más fácil de utilizar del Servicio de Información sobre Sitios Ramsar (</w:t>
      </w:r>
      <w:hyperlink r:id="rId18" w:history="1">
        <w:r w:rsidRPr="00087FBE">
          <w:rPr>
            <w:rFonts w:asciiTheme="majorHAnsi" w:hAnsiTheme="majorHAnsi"/>
            <w:lang w:val="es-ES_tradnl"/>
          </w:rPr>
          <w:t>https://rsis.ramsar.org</w:t>
        </w:r>
      </w:hyperlink>
      <w:r w:rsidRPr="00087FBE">
        <w:rPr>
          <w:rFonts w:asciiTheme="majorHAnsi" w:hAnsiTheme="majorHAnsi" w:cs="Arial"/>
          <w:lang w:val="es-ES_tradnl"/>
        </w:rPr>
        <w:t xml:space="preserve">) puesta en marcha a mediados de 2014. </w:t>
      </w:r>
      <w:r w:rsidR="00103535" w:rsidRPr="00087FBE">
        <w:rPr>
          <w:rFonts w:asciiTheme="majorHAnsi" w:hAnsiTheme="majorHAnsi" w:cs="Arial"/>
          <w:lang w:val="es-ES_tradnl"/>
        </w:rPr>
        <w:t>Este cambio permite</w:t>
      </w:r>
      <w:r w:rsidRPr="00087FBE">
        <w:rPr>
          <w:rFonts w:asciiTheme="majorHAnsi" w:hAnsiTheme="majorHAnsi" w:cs="Arial"/>
          <w:lang w:val="es-ES_tradnl"/>
        </w:rPr>
        <w:t xml:space="preserve"> a las Partes actualizar con mayor facilid</w:t>
      </w:r>
      <w:r w:rsidR="00103535" w:rsidRPr="00087FBE">
        <w:rPr>
          <w:rFonts w:asciiTheme="majorHAnsi" w:hAnsiTheme="majorHAnsi" w:cs="Arial"/>
          <w:lang w:val="es-ES_tradnl"/>
        </w:rPr>
        <w:t>ad información sobre los sitios</w:t>
      </w:r>
      <w:r w:rsidRPr="00087FBE">
        <w:rPr>
          <w:rFonts w:asciiTheme="majorHAnsi" w:hAnsiTheme="majorHAnsi" w:cs="Arial"/>
          <w:lang w:val="es-ES_tradnl"/>
        </w:rPr>
        <w:t xml:space="preserve"> y al público acceder a información detallada </w:t>
      </w:r>
      <w:r w:rsidR="00103535" w:rsidRPr="00087FBE">
        <w:rPr>
          <w:rFonts w:asciiTheme="majorHAnsi" w:hAnsiTheme="majorHAnsi" w:cs="Arial"/>
          <w:lang w:val="es-ES_tradnl"/>
        </w:rPr>
        <w:t>sobre</w:t>
      </w:r>
      <w:r w:rsidRPr="00087FBE">
        <w:rPr>
          <w:rFonts w:asciiTheme="majorHAnsi" w:hAnsiTheme="majorHAnsi" w:cs="Arial"/>
          <w:lang w:val="es-ES_tradnl"/>
        </w:rPr>
        <w:t xml:space="preserve"> cada sitio Ramsar.</w:t>
      </w:r>
    </w:p>
    <w:p w:rsidR="006373A5" w:rsidRPr="00087FBE" w:rsidRDefault="0010353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 xml:space="preserve">Una utilización mucho mayor </w:t>
      </w:r>
      <w:r w:rsidR="006373A5" w:rsidRPr="00087FBE">
        <w:rPr>
          <w:rFonts w:asciiTheme="majorHAnsi" w:hAnsiTheme="majorHAnsi" w:cs="Arial"/>
          <w:lang w:val="es-ES_tradnl"/>
        </w:rPr>
        <w:t xml:space="preserve">de los medios sociales, </w:t>
      </w:r>
      <w:r w:rsidRPr="00087FBE">
        <w:rPr>
          <w:rFonts w:asciiTheme="majorHAnsi" w:hAnsiTheme="majorHAnsi" w:cs="Arial"/>
          <w:lang w:val="es-ES_tradnl"/>
        </w:rPr>
        <w:t>sobre todo</w:t>
      </w:r>
      <w:r w:rsidR="006373A5" w:rsidRPr="00087FBE">
        <w:rPr>
          <w:rFonts w:asciiTheme="majorHAnsi" w:hAnsiTheme="majorHAnsi" w:cs="Arial"/>
          <w:lang w:val="es-ES_tradnl"/>
        </w:rPr>
        <w:t xml:space="preserve"> después del Día Mundial de los Humedales de 2015, como se muestra en el Cuadro 3.</w:t>
      </w:r>
    </w:p>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spacing w:after="0" w:line="240" w:lineRule="auto"/>
        <w:rPr>
          <w:rFonts w:asciiTheme="majorHAnsi" w:hAnsiTheme="majorHAnsi" w:cs="Arial"/>
          <w:b/>
          <w:lang w:val="es-ES_tradnl"/>
        </w:rPr>
      </w:pPr>
      <w:r w:rsidRPr="00087FBE">
        <w:rPr>
          <w:rFonts w:asciiTheme="majorHAnsi" w:hAnsiTheme="majorHAnsi" w:cs="Arial"/>
          <w:b/>
          <w:lang w:val="es-ES_tradnl"/>
        </w:rPr>
        <w:t>Cuadro 3: Alcance de los medios sociales, 2013-2015</w:t>
      </w:r>
    </w:p>
    <w:tbl>
      <w:tblPr>
        <w:tblStyle w:val="TableGrid"/>
        <w:tblW w:w="0" w:type="auto"/>
        <w:tblInd w:w="108" w:type="dxa"/>
        <w:tblLook w:val="04A0"/>
      </w:tblPr>
      <w:tblGrid>
        <w:gridCol w:w="2585"/>
        <w:gridCol w:w="1973"/>
        <w:gridCol w:w="1973"/>
        <w:gridCol w:w="1974"/>
      </w:tblGrid>
      <w:tr w:rsidR="006373A5" w:rsidRPr="00087FBE" w:rsidTr="0041709D">
        <w:tc>
          <w:tcPr>
            <w:tcW w:w="2585" w:type="dxa"/>
          </w:tcPr>
          <w:p w:rsidR="006373A5" w:rsidRPr="00087FBE" w:rsidRDefault="006373A5" w:rsidP="004B3327">
            <w:pPr>
              <w:pStyle w:val="ListParagraph"/>
              <w:spacing w:after="0" w:line="240" w:lineRule="auto"/>
              <w:ind w:left="0"/>
              <w:rPr>
                <w:rFonts w:asciiTheme="majorHAnsi" w:hAnsiTheme="majorHAnsi" w:cs="Arial"/>
                <w:lang w:val="es-ES_tradnl"/>
              </w:rPr>
            </w:pPr>
          </w:p>
        </w:tc>
        <w:tc>
          <w:tcPr>
            <w:tcW w:w="1973" w:type="dxa"/>
          </w:tcPr>
          <w:p w:rsidR="006373A5" w:rsidRPr="00087FBE" w:rsidRDefault="006373A5" w:rsidP="004B3327">
            <w:pPr>
              <w:pStyle w:val="ListParagraph"/>
              <w:spacing w:after="0" w:line="240" w:lineRule="auto"/>
              <w:ind w:left="0"/>
              <w:rPr>
                <w:rFonts w:asciiTheme="majorHAnsi" w:hAnsiTheme="majorHAnsi" w:cs="Arial"/>
                <w:b/>
                <w:lang w:val="es-ES_tradnl"/>
              </w:rPr>
            </w:pPr>
            <w:r w:rsidRPr="00087FBE">
              <w:rPr>
                <w:rFonts w:asciiTheme="majorHAnsi" w:hAnsiTheme="majorHAnsi" w:cs="Arial"/>
                <w:b/>
                <w:lang w:val="es-ES_tradnl"/>
              </w:rPr>
              <w:t>2013</w:t>
            </w:r>
          </w:p>
        </w:tc>
        <w:tc>
          <w:tcPr>
            <w:tcW w:w="1973" w:type="dxa"/>
          </w:tcPr>
          <w:p w:rsidR="006373A5" w:rsidRPr="00087FBE" w:rsidRDefault="006373A5" w:rsidP="004B3327">
            <w:pPr>
              <w:pStyle w:val="ListParagraph"/>
              <w:spacing w:after="0" w:line="240" w:lineRule="auto"/>
              <w:ind w:left="0"/>
              <w:rPr>
                <w:rFonts w:asciiTheme="majorHAnsi" w:hAnsiTheme="majorHAnsi" w:cs="Arial"/>
                <w:b/>
                <w:lang w:val="es-ES_tradnl"/>
              </w:rPr>
            </w:pPr>
            <w:r w:rsidRPr="00087FBE">
              <w:rPr>
                <w:rFonts w:asciiTheme="majorHAnsi" w:hAnsiTheme="majorHAnsi" w:cs="Arial"/>
                <w:b/>
                <w:lang w:val="es-ES_tradnl"/>
              </w:rPr>
              <w:t>2014</w:t>
            </w:r>
          </w:p>
        </w:tc>
        <w:tc>
          <w:tcPr>
            <w:tcW w:w="1974" w:type="dxa"/>
          </w:tcPr>
          <w:p w:rsidR="006373A5" w:rsidRPr="00087FBE" w:rsidRDefault="006373A5" w:rsidP="004B3327">
            <w:pPr>
              <w:pStyle w:val="ListParagraph"/>
              <w:spacing w:after="0" w:line="240" w:lineRule="auto"/>
              <w:ind w:left="0"/>
              <w:rPr>
                <w:rFonts w:asciiTheme="majorHAnsi" w:hAnsiTheme="majorHAnsi" w:cs="Arial"/>
                <w:b/>
                <w:lang w:val="es-ES_tradnl"/>
              </w:rPr>
            </w:pPr>
            <w:r w:rsidRPr="00087FBE">
              <w:rPr>
                <w:rFonts w:asciiTheme="majorHAnsi" w:hAnsiTheme="majorHAnsi" w:cs="Arial"/>
                <w:b/>
                <w:lang w:val="es-ES_tradnl"/>
              </w:rPr>
              <w:t>2015 (hasta el 1 de marzo)</w:t>
            </w:r>
          </w:p>
        </w:tc>
      </w:tr>
      <w:tr w:rsidR="006373A5" w:rsidRPr="00087FBE" w:rsidTr="0041709D">
        <w:tc>
          <w:tcPr>
            <w:tcW w:w="2585" w:type="dxa"/>
          </w:tcPr>
          <w:p w:rsidR="006373A5" w:rsidRPr="00087FBE" w:rsidRDefault="00103535" w:rsidP="004B3327">
            <w:pPr>
              <w:pStyle w:val="ListParagraph"/>
              <w:spacing w:after="0" w:line="240" w:lineRule="auto"/>
              <w:ind w:left="0"/>
              <w:rPr>
                <w:rFonts w:asciiTheme="majorHAnsi" w:hAnsiTheme="majorHAnsi" w:cs="Arial"/>
                <w:lang w:val="es-ES_tradnl"/>
              </w:rPr>
            </w:pPr>
            <w:r w:rsidRPr="00087FBE">
              <w:rPr>
                <w:rFonts w:asciiTheme="majorHAnsi" w:hAnsiTheme="majorHAnsi" w:cs="Arial"/>
                <w:lang w:val="es-ES_tradnl"/>
              </w:rPr>
              <w:t>“</w:t>
            </w:r>
            <w:r w:rsidR="006373A5" w:rsidRPr="00087FBE">
              <w:rPr>
                <w:rFonts w:asciiTheme="majorHAnsi" w:hAnsiTheme="majorHAnsi" w:cs="Arial"/>
                <w:lang w:val="es-ES_tradnl"/>
              </w:rPr>
              <w:t>Me gusta</w:t>
            </w:r>
            <w:r w:rsidRPr="00087FBE">
              <w:rPr>
                <w:rFonts w:asciiTheme="majorHAnsi" w:hAnsiTheme="majorHAnsi" w:cs="Arial"/>
                <w:lang w:val="es-ES_tradnl"/>
              </w:rPr>
              <w:t xml:space="preserve">” </w:t>
            </w:r>
            <w:r w:rsidR="006373A5" w:rsidRPr="00087FBE">
              <w:rPr>
                <w:rFonts w:asciiTheme="majorHAnsi" w:hAnsiTheme="majorHAnsi" w:cs="Arial"/>
                <w:lang w:val="es-ES_tradnl"/>
              </w:rPr>
              <w:t xml:space="preserve">en Facebook </w:t>
            </w:r>
          </w:p>
        </w:tc>
        <w:tc>
          <w:tcPr>
            <w:tcW w:w="1973" w:type="dxa"/>
          </w:tcPr>
          <w:p w:rsidR="006373A5" w:rsidRPr="00087FBE" w:rsidRDefault="006373A5" w:rsidP="004B3327">
            <w:pPr>
              <w:pStyle w:val="ListParagraph"/>
              <w:spacing w:after="0" w:line="240" w:lineRule="auto"/>
              <w:ind w:left="0"/>
              <w:rPr>
                <w:rFonts w:asciiTheme="majorHAnsi" w:hAnsiTheme="majorHAnsi" w:cs="Arial"/>
                <w:lang w:val="es-ES_tradnl"/>
              </w:rPr>
            </w:pPr>
            <w:r w:rsidRPr="00087FBE">
              <w:rPr>
                <w:rFonts w:asciiTheme="majorHAnsi" w:hAnsiTheme="majorHAnsi" w:cs="Arial"/>
                <w:lang w:val="es-ES_tradnl"/>
              </w:rPr>
              <w:t>100,711</w:t>
            </w:r>
          </w:p>
        </w:tc>
        <w:tc>
          <w:tcPr>
            <w:tcW w:w="1973" w:type="dxa"/>
          </w:tcPr>
          <w:p w:rsidR="006373A5" w:rsidRPr="00087FBE" w:rsidRDefault="006373A5" w:rsidP="004B3327">
            <w:pPr>
              <w:pStyle w:val="ListParagraph"/>
              <w:spacing w:after="0" w:line="240" w:lineRule="auto"/>
              <w:ind w:left="0"/>
              <w:rPr>
                <w:rFonts w:asciiTheme="majorHAnsi" w:hAnsiTheme="majorHAnsi" w:cs="Arial"/>
                <w:lang w:val="es-ES_tradnl"/>
              </w:rPr>
            </w:pPr>
            <w:r w:rsidRPr="00087FBE">
              <w:rPr>
                <w:rFonts w:asciiTheme="majorHAnsi" w:hAnsiTheme="majorHAnsi" w:cs="Arial"/>
                <w:lang w:val="es-ES_tradnl"/>
              </w:rPr>
              <w:t>142,123</w:t>
            </w:r>
          </w:p>
        </w:tc>
        <w:tc>
          <w:tcPr>
            <w:tcW w:w="1974" w:type="dxa"/>
          </w:tcPr>
          <w:p w:rsidR="006373A5" w:rsidRPr="00087FBE" w:rsidRDefault="006373A5" w:rsidP="004B3327">
            <w:pPr>
              <w:pStyle w:val="ListParagraph"/>
              <w:spacing w:after="0" w:line="240" w:lineRule="auto"/>
              <w:ind w:left="0"/>
              <w:rPr>
                <w:rFonts w:asciiTheme="majorHAnsi" w:hAnsiTheme="majorHAnsi" w:cs="Arial"/>
                <w:lang w:val="es-ES_tradnl"/>
              </w:rPr>
            </w:pPr>
            <w:r w:rsidRPr="00087FBE">
              <w:rPr>
                <w:rFonts w:asciiTheme="majorHAnsi" w:hAnsiTheme="majorHAnsi" w:cs="Arial"/>
                <w:lang w:val="es-ES_tradnl"/>
              </w:rPr>
              <w:t>143,873</w:t>
            </w:r>
          </w:p>
        </w:tc>
      </w:tr>
      <w:tr w:rsidR="006373A5" w:rsidRPr="00087FBE" w:rsidTr="0041709D">
        <w:tc>
          <w:tcPr>
            <w:tcW w:w="2585" w:type="dxa"/>
          </w:tcPr>
          <w:p w:rsidR="006373A5" w:rsidRPr="00087FBE" w:rsidRDefault="006373A5" w:rsidP="004B3327">
            <w:pPr>
              <w:pStyle w:val="ListParagraph"/>
              <w:spacing w:after="0" w:line="240" w:lineRule="auto"/>
              <w:ind w:left="0"/>
              <w:rPr>
                <w:rFonts w:asciiTheme="majorHAnsi" w:hAnsiTheme="majorHAnsi" w:cs="Arial"/>
                <w:lang w:val="es-ES_tradnl"/>
              </w:rPr>
            </w:pPr>
            <w:r w:rsidRPr="00087FBE">
              <w:rPr>
                <w:rFonts w:asciiTheme="majorHAnsi" w:hAnsiTheme="majorHAnsi" w:cs="Arial"/>
                <w:lang w:val="es-ES_tradnl"/>
              </w:rPr>
              <w:t xml:space="preserve">Seguidores </w:t>
            </w:r>
            <w:r w:rsidR="00103535" w:rsidRPr="00087FBE">
              <w:rPr>
                <w:rFonts w:asciiTheme="majorHAnsi" w:hAnsiTheme="majorHAnsi" w:cs="Arial"/>
                <w:lang w:val="es-ES_tradnl"/>
              </w:rPr>
              <w:t>en</w:t>
            </w:r>
            <w:r w:rsidRPr="00087FBE">
              <w:rPr>
                <w:rFonts w:asciiTheme="majorHAnsi" w:hAnsiTheme="majorHAnsi" w:cs="Arial"/>
                <w:lang w:val="es-ES_tradnl"/>
              </w:rPr>
              <w:t xml:space="preserve"> Twitter</w:t>
            </w:r>
          </w:p>
        </w:tc>
        <w:tc>
          <w:tcPr>
            <w:tcW w:w="1973" w:type="dxa"/>
          </w:tcPr>
          <w:p w:rsidR="006373A5" w:rsidRPr="00087FBE" w:rsidRDefault="006373A5" w:rsidP="004B3327">
            <w:pPr>
              <w:pStyle w:val="ListParagraph"/>
              <w:spacing w:after="0" w:line="240" w:lineRule="auto"/>
              <w:ind w:left="0"/>
              <w:rPr>
                <w:rFonts w:asciiTheme="majorHAnsi" w:hAnsiTheme="majorHAnsi" w:cs="Arial"/>
                <w:lang w:val="es-ES_tradnl"/>
              </w:rPr>
            </w:pPr>
            <w:r w:rsidRPr="00087FBE">
              <w:rPr>
                <w:rFonts w:asciiTheme="majorHAnsi" w:hAnsiTheme="majorHAnsi" w:cs="Arial"/>
                <w:lang w:val="es-ES_tradnl"/>
              </w:rPr>
              <w:t>823</w:t>
            </w:r>
          </w:p>
        </w:tc>
        <w:tc>
          <w:tcPr>
            <w:tcW w:w="1973" w:type="dxa"/>
          </w:tcPr>
          <w:p w:rsidR="006373A5" w:rsidRPr="00087FBE" w:rsidRDefault="006373A5" w:rsidP="004B3327">
            <w:pPr>
              <w:pStyle w:val="ListParagraph"/>
              <w:spacing w:after="0" w:line="240" w:lineRule="auto"/>
              <w:ind w:left="0"/>
              <w:rPr>
                <w:rFonts w:asciiTheme="majorHAnsi" w:hAnsiTheme="majorHAnsi" w:cs="Arial"/>
                <w:lang w:val="es-ES_tradnl"/>
              </w:rPr>
            </w:pPr>
            <w:r w:rsidRPr="00087FBE">
              <w:rPr>
                <w:rFonts w:asciiTheme="majorHAnsi" w:hAnsiTheme="majorHAnsi" w:cs="Arial"/>
                <w:lang w:val="es-ES_tradnl"/>
              </w:rPr>
              <w:t>3,097</w:t>
            </w:r>
          </w:p>
        </w:tc>
        <w:tc>
          <w:tcPr>
            <w:tcW w:w="1974" w:type="dxa"/>
          </w:tcPr>
          <w:p w:rsidR="006373A5" w:rsidRPr="00087FBE" w:rsidRDefault="006373A5" w:rsidP="004B3327">
            <w:pPr>
              <w:pStyle w:val="ListParagraph"/>
              <w:spacing w:after="0" w:line="240" w:lineRule="auto"/>
              <w:ind w:left="0"/>
              <w:rPr>
                <w:rFonts w:asciiTheme="majorHAnsi" w:hAnsiTheme="majorHAnsi" w:cs="Arial"/>
                <w:lang w:val="es-ES_tradnl"/>
              </w:rPr>
            </w:pPr>
            <w:r w:rsidRPr="00087FBE">
              <w:rPr>
                <w:rFonts w:asciiTheme="majorHAnsi" w:hAnsiTheme="majorHAnsi" w:cs="Arial"/>
                <w:lang w:val="es-ES_tradnl"/>
              </w:rPr>
              <w:t>3,851</w:t>
            </w:r>
          </w:p>
        </w:tc>
      </w:tr>
      <w:tr w:rsidR="006373A5" w:rsidRPr="00087FBE" w:rsidTr="0041709D">
        <w:tc>
          <w:tcPr>
            <w:tcW w:w="2585" w:type="dxa"/>
          </w:tcPr>
          <w:p w:rsidR="006373A5" w:rsidRPr="00087FBE" w:rsidRDefault="00103535" w:rsidP="004B3327">
            <w:pPr>
              <w:pStyle w:val="ListParagraph"/>
              <w:spacing w:after="0" w:line="240" w:lineRule="auto"/>
              <w:ind w:left="0"/>
              <w:rPr>
                <w:rFonts w:asciiTheme="majorHAnsi" w:hAnsiTheme="majorHAnsi" w:cs="Arial"/>
                <w:lang w:val="es-ES_tradnl"/>
              </w:rPr>
            </w:pPr>
            <w:r w:rsidRPr="00087FBE">
              <w:rPr>
                <w:rFonts w:asciiTheme="majorHAnsi" w:hAnsiTheme="majorHAnsi" w:cs="Arial"/>
                <w:lang w:val="es-ES_tradnl"/>
              </w:rPr>
              <w:t>Vistas en You</w:t>
            </w:r>
            <w:r w:rsidR="006373A5" w:rsidRPr="00087FBE">
              <w:rPr>
                <w:rFonts w:asciiTheme="majorHAnsi" w:hAnsiTheme="majorHAnsi" w:cs="Arial"/>
                <w:lang w:val="es-ES_tradnl"/>
              </w:rPr>
              <w:t>Tube</w:t>
            </w:r>
          </w:p>
        </w:tc>
        <w:tc>
          <w:tcPr>
            <w:tcW w:w="1973" w:type="dxa"/>
          </w:tcPr>
          <w:p w:rsidR="006373A5" w:rsidRPr="00087FBE" w:rsidRDefault="006373A5" w:rsidP="004B3327">
            <w:pPr>
              <w:pStyle w:val="ListParagraph"/>
              <w:spacing w:after="0" w:line="240" w:lineRule="auto"/>
              <w:ind w:left="0"/>
              <w:rPr>
                <w:rFonts w:asciiTheme="majorHAnsi" w:hAnsiTheme="majorHAnsi" w:cs="Arial"/>
                <w:lang w:val="es-ES_tradnl"/>
              </w:rPr>
            </w:pPr>
            <w:r w:rsidRPr="00087FBE">
              <w:rPr>
                <w:rFonts w:asciiTheme="majorHAnsi" w:hAnsiTheme="majorHAnsi" w:cs="Arial"/>
                <w:lang w:val="es-ES_tradnl"/>
              </w:rPr>
              <w:t>236</w:t>
            </w:r>
          </w:p>
        </w:tc>
        <w:tc>
          <w:tcPr>
            <w:tcW w:w="1973" w:type="dxa"/>
          </w:tcPr>
          <w:p w:rsidR="006373A5" w:rsidRPr="00087FBE" w:rsidRDefault="006373A5" w:rsidP="004B3327">
            <w:pPr>
              <w:pStyle w:val="ListParagraph"/>
              <w:spacing w:after="0" w:line="240" w:lineRule="auto"/>
              <w:ind w:left="0"/>
              <w:rPr>
                <w:rFonts w:asciiTheme="majorHAnsi" w:hAnsiTheme="majorHAnsi" w:cs="Arial"/>
                <w:lang w:val="es-ES_tradnl"/>
              </w:rPr>
            </w:pPr>
            <w:r w:rsidRPr="00087FBE">
              <w:rPr>
                <w:rFonts w:asciiTheme="majorHAnsi" w:hAnsiTheme="majorHAnsi" w:cs="Arial"/>
                <w:lang w:val="es-ES_tradnl"/>
              </w:rPr>
              <w:t>390</w:t>
            </w:r>
          </w:p>
        </w:tc>
        <w:tc>
          <w:tcPr>
            <w:tcW w:w="1974" w:type="dxa"/>
          </w:tcPr>
          <w:p w:rsidR="006373A5" w:rsidRPr="00087FBE" w:rsidRDefault="006373A5" w:rsidP="004B3327">
            <w:pPr>
              <w:pStyle w:val="ListParagraph"/>
              <w:spacing w:after="0" w:line="240" w:lineRule="auto"/>
              <w:ind w:left="0"/>
              <w:rPr>
                <w:rFonts w:asciiTheme="majorHAnsi" w:hAnsiTheme="majorHAnsi" w:cs="Arial"/>
                <w:lang w:val="es-ES_tradnl"/>
              </w:rPr>
            </w:pPr>
            <w:r w:rsidRPr="00087FBE">
              <w:rPr>
                <w:rFonts w:asciiTheme="majorHAnsi" w:hAnsiTheme="majorHAnsi" w:cs="Arial"/>
                <w:lang w:val="es-ES_tradnl"/>
              </w:rPr>
              <w:t>453</w:t>
            </w:r>
          </w:p>
        </w:tc>
      </w:tr>
      <w:tr w:rsidR="006373A5" w:rsidRPr="00087FBE" w:rsidTr="0041709D">
        <w:tc>
          <w:tcPr>
            <w:tcW w:w="2585" w:type="dxa"/>
          </w:tcPr>
          <w:p w:rsidR="006373A5" w:rsidRPr="00087FBE" w:rsidRDefault="006373A5" w:rsidP="004B3327">
            <w:pPr>
              <w:pStyle w:val="ListParagraph"/>
              <w:spacing w:after="0" w:line="240" w:lineRule="auto"/>
              <w:ind w:left="0"/>
              <w:rPr>
                <w:rFonts w:asciiTheme="majorHAnsi" w:hAnsiTheme="majorHAnsi" w:cs="Arial"/>
                <w:lang w:val="es-ES_tradnl"/>
              </w:rPr>
            </w:pPr>
            <w:r w:rsidRPr="00087FBE">
              <w:rPr>
                <w:rFonts w:asciiTheme="majorHAnsi" w:hAnsiTheme="majorHAnsi" w:cs="Arial"/>
                <w:lang w:val="es-ES_tradnl"/>
              </w:rPr>
              <w:t xml:space="preserve">Instagram </w:t>
            </w:r>
          </w:p>
        </w:tc>
        <w:tc>
          <w:tcPr>
            <w:tcW w:w="1973" w:type="dxa"/>
          </w:tcPr>
          <w:p w:rsidR="006373A5" w:rsidRPr="00087FBE" w:rsidRDefault="006373A5" w:rsidP="004B3327">
            <w:pPr>
              <w:pStyle w:val="ListParagraph"/>
              <w:spacing w:after="0" w:line="240" w:lineRule="auto"/>
              <w:ind w:left="0"/>
              <w:rPr>
                <w:rFonts w:asciiTheme="majorHAnsi" w:hAnsiTheme="majorHAnsi" w:cs="Arial"/>
                <w:lang w:val="es-ES_tradnl"/>
              </w:rPr>
            </w:pPr>
            <w:r w:rsidRPr="00087FBE">
              <w:rPr>
                <w:rFonts w:asciiTheme="majorHAnsi" w:hAnsiTheme="majorHAnsi" w:cs="Arial"/>
                <w:lang w:val="es-ES_tradnl"/>
              </w:rPr>
              <w:t>N/A</w:t>
            </w:r>
          </w:p>
        </w:tc>
        <w:tc>
          <w:tcPr>
            <w:tcW w:w="1973" w:type="dxa"/>
          </w:tcPr>
          <w:p w:rsidR="006373A5" w:rsidRPr="00087FBE" w:rsidRDefault="006373A5" w:rsidP="004B3327">
            <w:pPr>
              <w:pStyle w:val="ListParagraph"/>
              <w:spacing w:after="0" w:line="240" w:lineRule="auto"/>
              <w:ind w:left="0"/>
              <w:rPr>
                <w:rFonts w:asciiTheme="majorHAnsi" w:hAnsiTheme="majorHAnsi" w:cs="Arial"/>
                <w:lang w:val="es-ES_tradnl"/>
              </w:rPr>
            </w:pPr>
            <w:r w:rsidRPr="00087FBE">
              <w:rPr>
                <w:rFonts w:asciiTheme="majorHAnsi" w:hAnsiTheme="majorHAnsi" w:cs="Arial"/>
                <w:lang w:val="es-ES_tradnl"/>
              </w:rPr>
              <w:t>N/A</w:t>
            </w:r>
          </w:p>
        </w:tc>
        <w:tc>
          <w:tcPr>
            <w:tcW w:w="1974" w:type="dxa"/>
          </w:tcPr>
          <w:p w:rsidR="006373A5" w:rsidRPr="00087FBE" w:rsidRDefault="006373A5" w:rsidP="004B3327">
            <w:pPr>
              <w:pStyle w:val="ListParagraph"/>
              <w:spacing w:after="0" w:line="240" w:lineRule="auto"/>
              <w:ind w:left="0"/>
              <w:rPr>
                <w:rFonts w:asciiTheme="majorHAnsi" w:hAnsiTheme="majorHAnsi" w:cs="Arial"/>
                <w:lang w:val="es-ES_tradnl"/>
              </w:rPr>
            </w:pPr>
            <w:r w:rsidRPr="00087FBE">
              <w:rPr>
                <w:rFonts w:asciiTheme="majorHAnsi" w:hAnsiTheme="majorHAnsi" w:cs="Arial"/>
                <w:lang w:val="es-ES_tradnl"/>
              </w:rPr>
              <w:t>84</w:t>
            </w:r>
          </w:p>
        </w:tc>
      </w:tr>
    </w:tbl>
    <w:p w:rsidR="006373A5" w:rsidRPr="00087FBE" w:rsidRDefault="006373A5" w:rsidP="006373A5">
      <w:pPr>
        <w:spacing w:after="0" w:line="240" w:lineRule="auto"/>
        <w:rPr>
          <w:rFonts w:asciiTheme="majorHAnsi" w:hAnsiTheme="majorHAnsi" w:cs="Arial"/>
          <w:lang w:val="es-ES_tradnl"/>
        </w:rPr>
      </w:pPr>
    </w:p>
    <w:p w:rsidR="006373A5" w:rsidRPr="00087FBE" w:rsidRDefault="006373A5" w:rsidP="006373A5">
      <w:pPr>
        <w:spacing w:after="0" w:line="240" w:lineRule="auto"/>
        <w:rPr>
          <w:rFonts w:asciiTheme="majorHAnsi" w:hAnsiTheme="majorHAnsi" w:cs="Arial"/>
          <w:lang w:val="es-ES_tradnl"/>
        </w:rPr>
      </w:pPr>
    </w:p>
    <w:p w:rsidR="006373A5" w:rsidRPr="00087FBE" w:rsidRDefault="008020A3"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Arial"/>
          <w:lang w:val="es-ES_tradnl"/>
        </w:rPr>
        <w:t>Según indican las cifras anteriores, l</w:t>
      </w:r>
      <w:r w:rsidR="006373A5" w:rsidRPr="00087FBE">
        <w:rPr>
          <w:rFonts w:asciiTheme="majorHAnsi" w:hAnsiTheme="majorHAnsi" w:cs="Arial"/>
          <w:lang w:val="es-ES_tradnl"/>
        </w:rPr>
        <w:t>as plataformas de los medios sociales</w:t>
      </w:r>
      <w:r w:rsidR="00087FBE" w:rsidRPr="00087FBE">
        <w:rPr>
          <w:rFonts w:asciiTheme="majorHAnsi" w:hAnsiTheme="majorHAnsi" w:cs="Arial"/>
          <w:lang w:val="es-ES_tradnl"/>
        </w:rPr>
        <w:t xml:space="preserve"> </w:t>
      </w:r>
      <w:r w:rsidR="006373A5" w:rsidRPr="00087FBE">
        <w:rPr>
          <w:rFonts w:asciiTheme="majorHAnsi" w:hAnsiTheme="majorHAnsi" w:cs="Arial"/>
          <w:lang w:val="es-ES_tradnl"/>
        </w:rPr>
        <w:t xml:space="preserve">siguen creciendo cada año. Estas plataformas, como se ha </w:t>
      </w:r>
      <w:r w:rsidRPr="00087FBE">
        <w:rPr>
          <w:rFonts w:asciiTheme="majorHAnsi" w:hAnsiTheme="majorHAnsi" w:cs="Arial"/>
          <w:lang w:val="es-ES_tradnl"/>
        </w:rPr>
        <w:t>señalado</w:t>
      </w:r>
      <w:r w:rsidR="006373A5" w:rsidRPr="00087FBE">
        <w:rPr>
          <w:rFonts w:asciiTheme="majorHAnsi" w:hAnsiTheme="majorHAnsi" w:cs="Arial"/>
          <w:lang w:val="es-ES_tradnl"/>
        </w:rPr>
        <w:t xml:space="preserve"> previamente, constituyen una vía ideal para ponerse en contacto directamente con un</w:t>
      </w:r>
      <w:r w:rsidR="00103535" w:rsidRPr="00087FBE">
        <w:rPr>
          <w:rFonts w:asciiTheme="majorHAnsi" w:hAnsiTheme="majorHAnsi" w:cs="Arial"/>
          <w:lang w:val="es-ES_tradnl"/>
        </w:rPr>
        <w:t xml:space="preserve"> público </w:t>
      </w:r>
      <w:r w:rsidR="006373A5" w:rsidRPr="00087FBE">
        <w:rPr>
          <w:rFonts w:asciiTheme="majorHAnsi" w:hAnsiTheme="majorHAnsi" w:cs="Arial"/>
          <w:lang w:val="es-ES_tradnl"/>
        </w:rPr>
        <w:t>m</w:t>
      </w:r>
      <w:r w:rsidR="00103535" w:rsidRPr="00087FBE">
        <w:rPr>
          <w:rFonts w:asciiTheme="majorHAnsi" w:hAnsiTheme="majorHAnsi" w:cs="Arial"/>
          <w:lang w:val="es-ES_tradnl"/>
        </w:rPr>
        <w:t xml:space="preserve">ás joven cada vez más conectado </w:t>
      </w:r>
      <w:r w:rsidRPr="00087FBE">
        <w:rPr>
          <w:rFonts w:asciiTheme="majorHAnsi" w:hAnsiTheme="majorHAnsi" w:cs="Arial"/>
          <w:lang w:val="es-ES_tradnl"/>
        </w:rPr>
        <w:t>a Internet</w:t>
      </w:r>
      <w:r w:rsidR="006373A5" w:rsidRPr="00087FBE">
        <w:rPr>
          <w:rFonts w:asciiTheme="majorHAnsi" w:hAnsiTheme="majorHAnsi" w:cs="Arial"/>
          <w:lang w:val="es-ES_tradnl"/>
        </w:rPr>
        <w:t xml:space="preserve">. El poder y </w:t>
      </w:r>
      <w:r w:rsidR="00103535" w:rsidRPr="00087FBE">
        <w:rPr>
          <w:rFonts w:asciiTheme="majorHAnsi" w:hAnsiTheme="majorHAnsi" w:cs="Arial"/>
          <w:lang w:val="es-ES_tradnl"/>
        </w:rPr>
        <w:t xml:space="preserve">la </w:t>
      </w:r>
      <w:r w:rsidR="006373A5" w:rsidRPr="00087FBE">
        <w:rPr>
          <w:rFonts w:asciiTheme="majorHAnsi" w:hAnsiTheme="majorHAnsi" w:cs="Arial"/>
          <w:lang w:val="es-ES_tradnl"/>
        </w:rPr>
        <w:t>utilidad</w:t>
      </w:r>
      <w:r w:rsidR="00103535" w:rsidRPr="00087FBE">
        <w:rPr>
          <w:rFonts w:asciiTheme="majorHAnsi" w:hAnsiTheme="majorHAnsi" w:cs="Arial"/>
          <w:lang w:val="es-ES_tradnl"/>
        </w:rPr>
        <w:t xml:space="preserve"> crecientes</w:t>
      </w:r>
      <w:r w:rsidR="006373A5" w:rsidRPr="00087FBE">
        <w:rPr>
          <w:rFonts w:asciiTheme="majorHAnsi" w:hAnsiTheme="majorHAnsi" w:cs="Arial"/>
          <w:lang w:val="es-ES_tradnl"/>
        </w:rPr>
        <w:t xml:space="preserve"> de los medios sociales es evidente a tenor de los 2.200 participantes de 80 países en el concurso de fotografía para los jóvenes del DMH de 2015, que se promocionó esencialmente a través de los medios sociales. Estos medios ofrecen una oportunidad para informar, educar y hacer participar a </w:t>
      </w:r>
      <w:r w:rsidRPr="00087FBE">
        <w:rPr>
          <w:rFonts w:asciiTheme="majorHAnsi" w:hAnsiTheme="majorHAnsi" w:cs="Arial"/>
          <w:lang w:val="es-ES_tradnl"/>
        </w:rPr>
        <w:t xml:space="preserve">un público más amplio </w:t>
      </w:r>
      <w:r w:rsidR="006373A5" w:rsidRPr="00087FBE">
        <w:rPr>
          <w:rFonts w:asciiTheme="majorHAnsi" w:hAnsiTheme="majorHAnsi" w:cs="Arial"/>
          <w:lang w:val="es-ES_tradnl"/>
        </w:rPr>
        <w:t xml:space="preserve">y </w:t>
      </w:r>
      <w:r w:rsidRPr="00087FBE">
        <w:rPr>
          <w:rFonts w:asciiTheme="majorHAnsi" w:hAnsiTheme="majorHAnsi" w:cs="Arial"/>
          <w:lang w:val="es-ES_tradnl"/>
        </w:rPr>
        <w:t xml:space="preserve">sirven de complemento a </w:t>
      </w:r>
      <w:r w:rsidR="006373A5" w:rsidRPr="00087FBE">
        <w:rPr>
          <w:rFonts w:asciiTheme="majorHAnsi" w:hAnsiTheme="majorHAnsi" w:cs="Arial"/>
          <w:lang w:val="es-ES_tradnl"/>
        </w:rPr>
        <w:t>los canales tradicionales ya establecidos.</w:t>
      </w:r>
    </w:p>
    <w:p w:rsidR="006373A5" w:rsidRPr="00087FBE" w:rsidRDefault="006373A5" w:rsidP="006373A5">
      <w:pPr>
        <w:pStyle w:val="ListParagraph"/>
        <w:spacing w:after="0" w:line="240" w:lineRule="auto"/>
        <w:ind w:left="426"/>
        <w:rPr>
          <w:rFonts w:asciiTheme="majorHAnsi" w:hAnsiTheme="majorHAnsi" w:cs="Arial"/>
          <w:lang w:val="es-ES_tradnl"/>
        </w:rPr>
      </w:pPr>
    </w:p>
    <w:p w:rsidR="006373A5" w:rsidRPr="00087FBE" w:rsidRDefault="006373A5" w:rsidP="006373A5">
      <w:pPr>
        <w:pStyle w:val="ListParagraph"/>
        <w:numPr>
          <w:ilvl w:val="0"/>
          <w:numId w:val="1"/>
        </w:numPr>
        <w:spacing w:after="0" w:line="240" w:lineRule="auto"/>
        <w:ind w:left="426" w:hanging="426"/>
        <w:rPr>
          <w:rFonts w:asciiTheme="majorHAnsi" w:hAnsiTheme="majorHAnsi" w:cs="Arial"/>
          <w:lang w:val="es-ES_tradnl"/>
        </w:rPr>
      </w:pPr>
      <w:r w:rsidRPr="00087FBE">
        <w:rPr>
          <w:rFonts w:asciiTheme="majorHAnsi" w:hAnsiTheme="majorHAnsi" w:cs="Times New Roman"/>
          <w:szCs w:val="24"/>
          <w:lang w:val="es-ES_tradnl" w:eastAsia="fr-FR"/>
        </w:rPr>
        <w:t>La Secretaría sigue manteniendo un amplio abanico de l</w:t>
      </w:r>
      <w:r w:rsidRPr="00087FBE">
        <w:rPr>
          <w:rFonts w:asciiTheme="majorHAnsi" w:hAnsiTheme="majorHAnsi" w:cs="Times New Roman"/>
          <w:bCs/>
          <w:szCs w:val="24"/>
          <w:lang w:val="es-ES_tradnl" w:eastAsia="fr-FR"/>
        </w:rPr>
        <w:t xml:space="preserve">istas de correo electrónico con miras a facilitar la </w:t>
      </w:r>
      <w:r w:rsidRPr="00087FBE">
        <w:rPr>
          <w:rFonts w:asciiTheme="majorHAnsi" w:hAnsiTheme="majorHAnsi" w:cs="Times New Roman"/>
          <w:szCs w:val="24"/>
          <w:lang w:val="es-ES_tradnl" w:eastAsia="fr-FR"/>
        </w:rPr>
        <w:t xml:space="preserve">comunicación y el intercambio de información dentro de la Convención y con el </w:t>
      </w:r>
      <w:r w:rsidR="00087FBE" w:rsidRPr="00087FBE">
        <w:rPr>
          <w:rFonts w:asciiTheme="majorHAnsi" w:hAnsiTheme="majorHAnsi" w:cs="Times New Roman"/>
          <w:szCs w:val="24"/>
          <w:lang w:val="es-ES_tradnl" w:eastAsia="fr-FR"/>
        </w:rPr>
        <w:t>público</w:t>
      </w:r>
      <w:r w:rsidRPr="00087FBE">
        <w:rPr>
          <w:rFonts w:asciiTheme="majorHAnsi" w:hAnsiTheme="majorHAnsi" w:cs="Arial"/>
          <w:lang w:val="es-ES_tradnl"/>
        </w:rPr>
        <w:t>:</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Times New Roman"/>
          <w:bCs/>
          <w:szCs w:val="24"/>
          <w:lang w:val="es-ES_tradnl" w:eastAsia="fr-FR"/>
        </w:rPr>
        <w:t xml:space="preserve">Foro </w:t>
      </w:r>
      <w:r w:rsidR="008020A3" w:rsidRPr="00087FBE">
        <w:rPr>
          <w:rFonts w:asciiTheme="majorHAnsi" w:hAnsiTheme="majorHAnsi" w:cs="Times New Roman"/>
          <w:bCs/>
          <w:szCs w:val="24"/>
          <w:lang w:val="es-ES_tradnl" w:eastAsia="fr-FR"/>
        </w:rPr>
        <w:t>de</w:t>
      </w:r>
      <w:r w:rsidRPr="00087FBE">
        <w:rPr>
          <w:rFonts w:asciiTheme="majorHAnsi" w:hAnsiTheme="majorHAnsi" w:cs="Times New Roman"/>
          <w:bCs/>
          <w:szCs w:val="24"/>
          <w:lang w:val="es-ES_tradnl" w:eastAsia="fr-FR"/>
        </w:rPr>
        <w:t xml:space="preserve"> los Humedales </w:t>
      </w:r>
      <w:r w:rsidR="008020A3" w:rsidRPr="00087FBE">
        <w:rPr>
          <w:rFonts w:asciiTheme="majorHAnsi" w:hAnsiTheme="majorHAnsi" w:cs="Times New Roman"/>
          <w:bCs/>
          <w:szCs w:val="24"/>
          <w:lang w:val="es-ES_tradnl" w:eastAsia="fr-FR"/>
        </w:rPr>
        <w:t xml:space="preserve">de </w:t>
      </w:r>
      <w:r w:rsidRPr="00087FBE">
        <w:rPr>
          <w:rFonts w:asciiTheme="majorHAnsi" w:hAnsiTheme="majorHAnsi" w:cs="Times New Roman"/>
          <w:bCs/>
          <w:szCs w:val="24"/>
          <w:lang w:val="es-ES_tradnl" w:eastAsia="fr-FR"/>
        </w:rPr>
        <w:t>Ramsar</w:t>
      </w:r>
      <w:r w:rsidRPr="00087FBE">
        <w:rPr>
          <w:rFonts w:asciiTheme="majorHAnsi" w:hAnsiTheme="majorHAnsi" w:cs="Times New Roman"/>
          <w:szCs w:val="24"/>
          <w:lang w:val="es-ES_tradnl" w:eastAsia="fr-FR"/>
        </w:rPr>
        <w:t xml:space="preserve">: una lista abierta, sin moderador, para la </w:t>
      </w:r>
      <w:r w:rsidR="00087FBE" w:rsidRPr="00087FBE">
        <w:rPr>
          <w:rFonts w:asciiTheme="majorHAnsi" w:hAnsiTheme="majorHAnsi" w:cs="Times New Roman"/>
          <w:szCs w:val="24"/>
          <w:lang w:val="es-ES_tradnl" w:eastAsia="fr-FR"/>
        </w:rPr>
        <w:t>difusión</w:t>
      </w:r>
      <w:r w:rsidRPr="00087FBE">
        <w:rPr>
          <w:rFonts w:asciiTheme="majorHAnsi" w:hAnsiTheme="majorHAnsi" w:cs="Times New Roman"/>
          <w:szCs w:val="24"/>
          <w:lang w:val="es-ES_tradnl" w:eastAsia="fr-FR"/>
        </w:rPr>
        <w:t xml:space="preserve"> de noticias, opiniones y consultas sobre cualquier </w:t>
      </w:r>
      <w:r w:rsidR="00087FBE" w:rsidRPr="00087FBE">
        <w:rPr>
          <w:rFonts w:asciiTheme="majorHAnsi" w:hAnsiTheme="majorHAnsi" w:cs="Times New Roman"/>
          <w:szCs w:val="24"/>
          <w:lang w:val="es-ES_tradnl" w:eastAsia="fr-FR"/>
        </w:rPr>
        <w:t>cuestión</w:t>
      </w:r>
      <w:r w:rsidRPr="00087FBE">
        <w:rPr>
          <w:rFonts w:asciiTheme="majorHAnsi" w:hAnsiTheme="majorHAnsi" w:cs="Times New Roman"/>
          <w:szCs w:val="24"/>
          <w:lang w:val="es-ES_tradnl" w:eastAsia="fr-FR"/>
        </w:rPr>
        <w:t xml:space="preserve"> relacionada con los humedales</w:t>
      </w:r>
      <w:r w:rsidRPr="00087FBE">
        <w:rPr>
          <w:rFonts w:asciiTheme="majorHAnsi" w:hAnsiTheme="majorHAnsi" w:cs="Arial"/>
          <w:lang w:val="es-ES_tradnl"/>
        </w:rPr>
        <w:t>.</w:t>
      </w:r>
    </w:p>
    <w:p w:rsidR="006373A5" w:rsidRPr="00087FBE" w:rsidRDefault="008020A3"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Times New Roman"/>
          <w:bCs/>
          <w:szCs w:val="24"/>
          <w:lang w:val="es-ES_tradnl" w:eastAsia="fr-FR"/>
        </w:rPr>
        <w:t>Ramsar Exchange</w:t>
      </w:r>
      <w:r w:rsidR="006373A5" w:rsidRPr="00087FBE">
        <w:rPr>
          <w:rFonts w:asciiTheme="majorHAnsi" w:hAnsiTheme="majorHAnsi" w:cs="Times New Roman"/>
          <w:bCs/>
          <w:szCs w:val="24"/>
          <w:lang w:val="es-ES_tradnl" w:eastAsia="fr-FR"/>
        </w:rPr>
        <w:t xml:space="preserve"> </w:t>
      </w:r>
      <w:r w:rsidR="006373A5" w:rsidRPr="00087FBE">
        <w:rPr>
          <w:rFonts w:asciiTheme="majorHAnsi" w:hAnsiTheme="majorHAnsi" w:cs="Times New Roman"/>
          <w:szCs w:val="24"/>
          <w:lang w:val="es-ES_tradnl" w:eastAsia="fr-FR"/>
        </w:rPr>
        <w:t>(</w:t>
      </w:r>
      <w:r w:rsidR="0068420B" w:rsidRPr="00087FBE">
        <w:rPr>
          <w:rFonts w:asciiTheme="majorHAnsi" w:hAnsiTheme="majorHAnsi" w:cs="Times New Roman"/>
          <w:szCs w:val="24"/>
          <w:lang w:val="es-ES_tradnl" w:eastAsia="fr-FR"/>
        </w:rPr>
        <w:t xml:space="preserve">tres listas, </w:t>
      </w:r>
      <w:r w:rsidR="00337DF3" w:rsidRPr="00087FBE">
        <w:rPr>
          <w:rFonts w:asciiTheme="majorHAnsi" w:hAnsiTheme="majorHAnsi" w:cs="Times New Roman"/>
          <w:szCs w:val="24"/>
          <w:lang w:val="es-ES_tradnl" w:eastAsia="fr-FR"/>
        </w:rPr>
        <w:t>en</w:t>
      </w:r>
      <w:r w:rsidR="006373A5" w:rsidRPr="00087FBE">
        <w:rPr>
          <w:rFonts w:asciiTheme="majorHAnsi" w:hAnsiTheme="majorHAnsi" w:cs="Times New Roman"/>
          <w:szCs w:val="24"/>
          <w:lang w:val="es-ES_tradnl" w:eastAsia="fr-FR"/>
        </w:rPr>
        <w:t xml:space="preserve"> </w:t>
      </w:r>
      <w:r w:rsidR="00087FBE" w:rsidRPr="00087FBE">
        <w:rPr>
          <w:rFonts w:asciiTheme="majorHAnsi" w:hAnsiTheme="majorHAnsi" w:cs="Times New Roman"/>
          <w:szCs w:val="24"/>
          <w:lang w:val="es-ES_tradnl" w:eastAsia="fr-FR"/>
        </w:rPr>
        <w:t>español</w:t>
      </w:r>
      <w:r w:rsidR="006373A5" w:rsidRPr="00087FBE">
        <w:rPr>
          <w:rFonts w:asciiTheme="majorHAnsi" w:hAnsiTheme="majorHAnsi" w:cs="Times New Roman"/>
          <w:szCs w:val="24"/>
          <w:lang w:val="es-ES_tradnl" w:eastAsia="fr-FR"/>
        </w:rPr>
        <w:t xml:space="preserve">, </w:t>
      </w:r>
      <w:r w:rsidR="00087FBE" w:rsidRPr="00087FBE">
        <w:rPr>
          <w:rFonts w:asciiTheme="majorHAnsi" w:hAnsiTheme="majorHAnsi" w:cs="Times New Roman"/>
          <w:szCs w:val="24"/>
          <w:lang w:val="es-ES_tradnl" w:eastAsia="fr-FR"/>
        </w:rPr>
        <w:t>francés</w:t>
      </w:r>
      <w:r w:rsidR="006373A5" w:rsidRPr="00087FBE">
        <w:rPr>
          <w:rFonts w:asciiTheme="majorHAnsi" w:hAnsiTheme="majorHAnsi" w:cs="Times New Roman"/>
          <w:szCs w:val="24"/>
          <w:lang w:val="es-ES_tradnl" w:eastAsia="fr-FR"/>
        </w:rPr>
        <w:t xml:space="preserve"> e </w:t>
      </w:r>
      <w:r w:rsidR="00087FBE" w:rsidRPr="00087FBE">
        <w:rPr>
          <w:rFonts w:asciiTheme="majorHAnsi" w:hAnsiTheme="majorHAnsi" w:cs="Times New Roman"/>
          <w:szCs w:val="24"/>
          <w:lang w:val="es-ES_tradnl" w:eastAsia="fr-FR"/>
        </w:rPr>
        <w:t>inglés</w:t>
      </w:r>
      <w:r w:rsidR="006373A5" w:rsidRPr="00087FBE">
        <w:rPr>
          <w:rFonts w:asciiTheme="majorHAnsi" w:hAnsiTheme="majorHAnsi" w:cs="Times New Roman"/>
          <w:szCs w:val="24"/>
          <w:lang w:val="es-ES_tradnl" w:eastAsia="fr-FR"/>
        </w:rPr>
        <w:t xml:space="preserve">): listas </w:t>
      </w:r>
      <w:r w:rsidR="00337DF3" w:rsidRPr="00087FBE">
        <w:rPr>
          <w:rFonts w:asciiTheme="majorHAnsi" w:hAnsiTheme="majorHAnsi" w:cs="Times New Roman"/>
          <w:szCs w:val="24"/>
          <w:lang w:val="es-ES_tradnl" w:eastAsia="fr-FR"/>
        </w:rPr>
        <w:t xml:space="preserve">de acceso limitado para los responsables de las </w:t>
      </w:r>
      <w:r w:rsidR="006373A5" w:rsidRPr="00087FBE">
        <w:rPr>
          <w:rFonts w:asciiTheme="majorHAnsi" w:hAnsiTheme="majorHAnsi" w:cs="Times New Roman"/>
          <w:szCs w:val="24"/>
          <w:lang w:val="es-ES_tradnl" w:eastAsia="fr-FR"/>
        </w:rPr>
        <w:t xml:space="preserve">Autoridades Administrativas </w:t>
      </w:r>
      <w:r w:rsidR="00337DF3" w:rsidRPr="00087FBE">
        <w:rPr>
          <w:rFonts w:asciiTheme="majorHAnsi" w:hAnsiTheme="majorHAnsi" w:cs="Times New Roman"/>
          <w:szCs w:val="24"/>
          <w:lang w:val="es-ES_tradnl" w:eastAsia="fr-FR"/>
        </w:rPr>
        <w:t xml:space="preserve">y los Coordinadores Nacionales en la que se anuncian </w:t>
      </w:r>
      <w:r w:rsidR="006373A5" w:rsidRPr="00087FBE">
        <w:rPr>
          <w:rFonts w:asciiTheme="majorHAnsi" w:hAnsiTheme="majorHAnsi" w:cs="Times New Roman"/>
          <w:szCs w:val="24"/>
          <w:lang w:val="es-ES_tradnl" w:eastAsia="fr-FR"/>
        </w:rPr>
        <w:t xml:space="preserve">todos los nuevos sitios Ramsar y </w:t>
      </w:r>
      <w:r w:rsidR="00337DF3" w:rsidRPr="00087FBE">
        <w:rPr>
          <w:rFonts w:asciiTheme="majorHAnsi" w:hAnsiTheme="majorHAnsi" w:cs="Times New Roman"/>
          <w:szCs w:val="24"/>
          <w:lang w:val="es-ES_tradnl" w:eastAsia="fr-FR"/>
        </w:rPr>
        <w:t xml:space="preserve">las adhesiones de </w:t>
      </w:r>
      <w:r w:rsidR="006373A5" w:rsidRPr="00087FBE">
        <w:rPr>
          <w:rFonts w:asciiTheme="majorHAnsi" w:hAnsiTheme="majorHAnsi" w:cs="Times New Roman"/>
          <w:szCs w:val="24"/>
          <w:lang w:val="es-ES_tradnl" w:eastAsia="fr-FR"/>
        </w:rPr>
        <w:t>nuevas Partes, informes del Comité Permanente, etc</w:t>
      </w:r>
      <w:r w:rsidR="006373A5" w:rsidRPr="00087FBE">
        <w:rPr>
          <w:rFonts w:asciiTheme="majorHAnsi" w:hAnsiTheme="majorHAnsi" w:cs="Arial"/>
          <w:lang w:val="es-ES_tradnl"/>
        </w:rPr>
        <w:t>.</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Times New Roman"/>
          <w:bCs/>
          <w:szCs w:val="24"/>
          <w:lang w:val="es-ES_tradnl" w:eastAsia="fr-FR"/>
        </w:rPr>
        <w:t xml:space="preserve">Listas </w:t>
      </w:r>
      <w:r w:rsidR="00A7486F" w:rsidRPr="00087FBE">
        <w:rPr>
          <w:rFonts w:asciiTheme="majorHAnsi" w:hAnsiTheme="majorHAnsi" w:cs="Times New Roman"/>
          <w:bCs/>
          <w:szCs w:val="24"/>
          <w:lang w:val="es-ES_tradnl" w:eastAsia="fr-FR"/>
        </w:rPr>
        <w:t>correo</w:t>
      </w:r>
      <w:r w:rsidRPr="00087FBE">
        <w:rPr>
          <w:rFonts w:asciiTheme="majorHAnsi" w:hAnsiTheme="majorHAnsi" w:cs="Times New Roman"/>
          <w:bCs/>
          <w:szCs w:val="24"/>
          <w:lang w:val="es-ES_tradnl" w:eastAsia="fr-FR"/>
        </w:rPr>
        <w:t xml:space="preserve"> electrónico sobre CECoP </w:t>
      </w:r>
      <w:r w:rsidRPr="00087FBE">
        <w:rPr>
          <w:rFonts w:asciiTheme="majorHAnsi" w:hAnsiTheme="majorHAnsi" w:cs="Times New Roman"/>
          <w:szCs w:val="24"/>
          <w:lang w:val="es-ES_tradnl" w:eastAsia="fr-FR"/>
        </w:rPr>
        <w:t xml:space="preserve">(en </w:t>
      </w:r>
      <w:r w:rsidR="00087FBE" w:rsidRPr="00087FBE">
        <w:rPr>
          <w:rFonts w:asciiTheme="majorHAnsi" w:hAnsiTheme="majorHAnsi" w:cs="Times New Roman"/>
          <w:szCs w:val="24"/>
          <w:lang w:val="es-ES_tradnl" w:eastAsia="fr-FR"/>
        </w:rPr>
        <w:t>español</w:t>
      </w:r>
      <w:r w:rsidRPr="00087FBE">
        <w:rPr>
          <w:rFonts w:asciiTheme="majorHAnsi" w:hAnsiTheme="majorHAnsi" w:cs="Times New Roman"/>
          <w:szCs w:val="24"/>
          <w:lang w:val="es-ES_tradnl" w:eastAsia="fr-FR"/>
        </w:rPr>
        <w:t xml:space="preserve">, </w:t>
      </w:r>
      <w:r w:rsidR="00087FBE" w:rsidRPr="00087FBE">
        <w:rPr>
          <w:rFonts w:asciiTheme="majorHAnsi" w:hAnsiTheme="majorHAnsi" w:cs="Times New Roman"/>
          <w:szCs w:val="24"/>
          <w:lang w:val="es-ES_tradnl" w:eastAsia="fr-FR"/>
        </w:rPr>
        <w:t>francés</w:t>
      </w:r>
      <w:r w:rsidRPr="00087FBE">
        <w:rPr>
          <w:rFonts w:asciiTheme="majorHAnsi" w:hAnsiTheme="majorHAnsi" w:cs="Times New Roman"/>
          <w:szCs w:val="24"/>
          <w:lang w:val="es-ES_tradnl" w:eastAsia="fr-FR"/>
        </w:rPr>
        <w:t xml:space="preserve"> e </w:t>
      </w:r>
      <w:r w:rsidR="00087FBE" w:rsidRPr="00087FBE">
        <w:rPr>
          <w:rFonts w:asciiTheme="majorHAnsi" w:hAnsiTheme="majorHAnsi" w:cs="Times New Roman"/>
          <w:szCs w:val="24"/>
          <w:lang w:val="es-ES_tradnl" w:eastAsia="fr-FR"/>
        </w:rPr>
        <w:t>inglés</w:t>
      </w:r>
      <w:r w:rsidRPr="00087FBE">
        <w:rPr>
          <w:rFonts w:asciiTheme="majorHAnsi" w:hAnsiTheme="majorHAnsi" w:cs="Times New Roman"/>
          <w:szCs w:val="24"/>
          <w:lang w:val="es-ES_tradnl" w:eastAsia="fr-FR"/>
        </w:rPr>
        <w:t>): listas abiertas, sin moderador, en las que figuran todos los Co</w:t>
      </w:r>
      <w:r w:rsidR="00A7486F" w:rsidRPr="00087FBE">
        <w:rPr>
          <w:rFonts w:asciiTheme="majorHAnsi" w:hAnsiTheme="majorHAnsi" w:cs="Times New Roman"/>
          <w:szCs w:val="24"/>
          <w:lang w:val="es-ES_tradnl" w:eastAsia="fr-FR"/>
        </w:rPr>
        <w:t>ordinadores Nacionales de CECoP</w:t>
      </w:r>
      <w:r w:rsidR="00087FBE" w:rsidRPr="00087FBE">
        <w:rPr>
          <w:rFonts w:asciiTheme="majorHAnsi" w:hAnsiTheme="majorHAnsi" w:cs="Times New Roman"/>
          <w:szCs w:val="24"/>
          <w:lang w:val="es-ES_tradnl" w:eastAsia="fr-FR"/>
        </w:rPr>
        <w:t xml:space="preserve"> </w:t>
      </w:r>
      <w:r w:rsidRPr="00087FBE">
        <w:rPr>
          <w:rFonts w:asciiTheme="majorHAnsi" w:hAnsiTheme="majorHAnsi" w:cs="Times New Roman"/>
          <w:szCs w:val="24"/>
          <w:lang w:val="es-ES_tradnl" w:eastAsia="fr-FR"/>
        </w:rPr>
        <w:t>y muchos otros interesados en las actividades de CECoP relacionadas con los humedales</w:t>
      </w:r>
      <w:r w:rsidRPr="00087FBE">
        <w:rPr>
          <w:rFonts w:asciiTheme="majorHAnsi" w:hAnsiTheme="majorHAnsi" w:cs="Arial"/>
          <w:lang w:val="es-ES_tradnl"/>
        </w:rPr>
        <w:t xml:space="preserve">. </w:t>
      </w:r>
    </w:p>
    <w:p w:rsidR="006373A5" w:rsidRPr="00087FBE" w:rsidRDefault="006373A5" w:rsidP="006373A5">
      <w:pPr>
        <w:spacing w:after="0" w:line="240" w:lineRule="auto"/>
        <w:rPr>
          <w:rFonts w:asciiTheme="majorHAnsi" w:hAnsiTheme="majorHAnsi" w:cs="Arial"/>
          <w:lang w:val="es-ES_tradnl"/>
        </w:rPr>
      </w:pPr>
    </w:p>
    <w:p w:rsidR="006373A5" w:rsidRPr="004B3327" w:rsidRDefault="006373A5" w:rsidP="004B3327">
      <w:pPr>
        <w:pStyle w:val="ListParagraph"/>
        <w:numPr>
          <w:ilvl w:val="0"/>
          <w:numId w:val="1"/>
        </w:numPr>
        <w:spacing w:after="0" w:line="240" w:lineRule="auto"/>
        <w:ind w:left="426" w:hanging="426"/>
        <w:rPr>
          <w:rFonts w:asciiTheme="majorHAnsi" w:hAnsiTheme="majorHAnsi" w:cs="Times New Roman"/>
          <w:szCs w:val="24"/>
          <w:lang w:val="es-ES_tradnl" w:eastAsia="fr-FR"/>
        </w:rPr>
      </w:pPr>
      <w:r w:rsidRPr="004B3327">
        <w:rPr>
          <w:rFonts w:asciiTheme="majorHAnsi" w:hAnsiTheme="majorHAnsi" w:cs="Times New Roman"/>
          <w:szCs w:val="24"/>
          <w:lang w:val="es-ES_tradnl" w:eastAsia="fr-FR"/>
        </w:rPr>
        <w:t xml:space="preserve">La Secretaría </w:t>
      </w:r>
      <w:r w:rsidR="00EF6DC7" w:rsidRPr="004B3327">
        <w:rPr>
          <w:rFonts w:asciiTheme="majorHAnsi" w:hAnsiTheme="majorHAnsi" w:cs="Times New Roman"/>
          <w:szCs w:val="24"/>
          <w:lang w:val="es-ES_tradnl" w:eastAsia="fr-FR"/>
        </w:rPr>
        <w:t>desarrolló</w:t>
      </w:r>
      <w:r w:rsidRPr="004B3327">
        <w:rPr>
          <w:rFonts w:asciiTheme="majorHAnsi" w:hAnsiTheme="majorHAnsi" w:cs="Times New Roman"/>
          <w:szCs w:val="24"/>
          <w:lang w:val="es-ES_tradnl" w:eastAsia="fr-FR"/>
        </w:rPr>
        <w:t xml:space="preserve"> una serie de publicaciones durante el trienio:</w:t>
      </w:r>
    </w:p>
    <w:p w:rsidR="006373A5" w:rsidRPr="00087FBE" w:rsidRDefault="00EF6DC7"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szCs w:val="24"/>
          <w:lang w:val="es-ES_tradnl"/>
        </w:rPr>
        <w:t>El informe “</w:t>
      </w:r>
      <w:r w:rsidR="006373A5" w:rsidRPr="00087FBE">
        <w:rPr>
          <w:rFonts w:asciiTheme="majorHAnsi" w:hAnsiTheme="majorHAnsi" w:cs="Arial"/>
          <w:szCs w:val="24"/>
          <w:lang w:val="es-ES_tradnl"/>
        </w:rPr>
        <w:t>La Economía de l</w:t>
      </w:r>
      <w:r w:rsidRPr="00087FBE">
        <w:rPr>
          <w:rFonts w:asciiTheme="majorHAnsi" w:hAnsiTheme="majorHAnsi" w:cs="Arial"/>
          <w:szCs w:val="24"/>
          <w:lang w:val="es-ES_tradnl"/>
        </w:rPr>
        <w:t>os ecosistemas y la b</w:t>
      </w:r>
      <w:r w:rsidR="006373A5" w:rsidRPr="00087FBE">
        <w:rPr>
          <w:rFonts w:asciiTheme="majorHAnsi" w:hAnsiTheme="majorHAnsi" w:cs="Arial"/>
          <w:szCs w:val="24"/>
          <w:lang w:val="es-ES_tradnl"/>
        </w:rPr>
        <w:t xml:space="preserve">iodiversidad (TEEB) </w:t>
      </w:r>
      <w:r w:rsidRPr="00087FBE">
        <w:rPr>
          <w:rFonts w:asciiTheme="majorHAnsi" w:hAnsiTheme="majorHAnsi" w:cs="Arial"/>
          <w:szCs w:val="24"/>
          <w:lang w:val="es-ES_tradnl"/>
        </w:rPr>
        <w:t xml:space="preserve">relativa al agua y los humedales” </w:t>
      </w:r>
      <w:r w:rsidR="006373A5" w:rsidRPr="00087FBE">
        <w:rPr>
          <w:rFonts w:asciiTheme="majorHAnsi" w:hAnsiTheme="majorHAnsi" w:cs="Arial"/>
          <w:lang w:val="es-ES_tradnl"/>
        </w:rPr>
        <w:t>(2013)</w:t>
      </w:r>
    </w:p>
    <w:p w:rsidR="006373A5" w:rsidRPr="00087FBE" w:rsidRDefault="006373A5"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 xml:space="preserve">En 2013 y 2014 se prepararon y distribuyeron materiales sobre el Día Mundial de los Humedales a más de 4.000 contactos, </w:t>
      </w:r>
      <w:r w:rsidR="007B429D" w:rsidRPr="00087FBE">
        <w:rPr>
          <w:rFonts w:asciiTheme="majorHAnsi" w:hAnsiTheme="majorHAnsi" w:cs="Arial"/>
          <w:lang w:val="es-ES_tradnl"/>
        </w:rPr>
        <w:t xml:space="preserve">incluyendo a las </w:t>
      </w:r>
      <w:r w:rsidRPr="00087FBE">
        <w:rPr>
          <w:rFonts w:asciiTheme="majorHAnsi" w:hAnsiTheme="majorHAnsi" w:cs="Arial"/>
          <w:lang w:val="es-ES_tradnl"/>
        </w:rPr>
        <w:t xml:space="preserve">Partes, ONG, </w:t>
      </w:r>
      <w:r w:rsidR="00BB5F3F" w:rsidRPr="00087FBE">
        <w:rPr>
          <w:rFonts w:asciiTheme="majorHAnsi" w:hAnsiTheme="majorHAnsi" w:cs="Arial"/>
          <w:lang w:val="es-ES_tradnl"/>
        </w:rPr>
        <w:t>centros educativos</w:t>
      </w:r>
      <w:r w:rsidRPr="00087FBE">
        <w:rPr>
          <w:rFonts w:asciiTheme="majorHAnsi" w:hAnsiTheme="majorHAnsi" w:cs="Arial"/>
          <w:lang w:val="es-ES_tradnl"/>
        </w:rPr>
        <w:t xml:space="preserve">, administradores de sitios y otras instituciones. En 2015, se </w:t>
      </w:r>
      <w:r w:rsidR="003F2F5D" w:rsidRPr="00087FBE">
        <w:rPr>
          <w:rFonts w:asciiTheme="majorHAnsi" w:hAnsiTheme="majorHAnsi" w:cs="Arial"/>
          <w:lang w:val="es-ES_tradnl"/>
        </w:rPr>
        <w:t>pasó</w:t>
      </w:r>
      <w:r w:rsidRPr="00087FBE">
        <w:rPr>
          <w:rFonts w:asciiTheme="majorHAnsi" w:hAnsiTheme="majorHAnsi" w:cs="Arial"/>
          <w:lang w:val="es-ES_tradnl"/>
        </w:rPr>
        <w:t xml:space="preserve"> a una distribución </w:t>
      </w:r>
      <w:r w:rsidR="00BB5F3F" w:rsidRPr="00087FBE">
        <w:rPr>
          <w:rFonts w:asciiTheme="majorHAnsi" w:hAnsiTheme="majorHAnsi" w:cs="Arial"/>
          <w:lang w:val="es-ES_tradnl"/>
        </w:rPr>
        <w:t>únicamente</w:t>
      </w:r>
      <w:r w:rsidRPr="00087FBE">
        <w:rPr>
          <w:rFonts w:asciiTheme="majorHAnsi" w:hAnsiTheme="majorHAnsi" w:cs="Arial"/>
          <w:lang w:val="es-ES_tradnl"/>
        </w:rPr>
        <w:t xml:space="preserve"> electrónica.</w:t>
      </w:r>
    </w:p>
    <w:p w:rsidR="006373A5" w:rsidRPr="00087FBE" w:rsidRDefault="00BB5F3F"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Se publicaron c</w:t>
      </w:r>
      <w:r w:rsidR="006373A5" w:rsidRPr="00087FBE">
        <w:rPr>
          <w:rFonts w:asciiTheme="majorHAnsi" w:hAnsiTheme="majorHAnsi" w:cs="Arial"/>
          <w:lang w:val="es-ES_tradnl"/>
        </w:rPr>
        <w:t>uatro boletines del GECT entre junio de 2012 y mediados de 2013.</w:t>
      </w:r>
      <w:r w:rsidR="006373A5" w:rsidRPr="00087FBE">
        <w:rPr>
          <w:rFonts w:asciiTheme="majorHAnsi" w:hAnsiTheme="majorHAnsi" w:cs="Arial"/>
          <w:lang w:val="es-ES_tradnl"/>
        </w:rPr>
        <w:br/>
      </w:r>
    </w:p>
    <w:p w:rsidR="006373A5" w:rsidRPr="004B3327" w:rsidRDefault="006373A5" w:rsidP="004B3327">
      <w:pPr>
        <w:pStyle w:val="ListParagraph"/>
        <w:numPr>
          <w:ilvl w:val="0"/>
          <w:numId w:val="1"/>
        </w:numPr>
        <w:spacing w:after="0" w:line="240" w:lineRule="auto"/>
        <w:ind w:left="426" w:hanging="426"/>
        <w:rPr>
          <w:rFonts w:asciiTheme="majorHAnsi" w:hAnsiTheme="majorHAnsi" w:cs="Times New Roman"/>
          <w:szCs w:val="24"/>
          <w:lang w:val="es-ES_tradnl" w:eastAsia="fr-FR"/>
        </w:rPr>
      </w:pPr>
      <w:r w:rsidRPr="004B3327">
        <w:rPr>
          <w:rFonts w:asciiTheme="majorHAnsi" w:hAnsiTheme="majorHAnsi" w:cs="Times New Roman"/>
          <w:szCs w:val="24"/>
          <w:lang w:val="es-ES_tradnl" w:eastAsia="fr-FR"/>
        </w:rPr>
        <w:lastRenderedPageBreak/>
        <w:t>Se presenta un plan revisado de las Comunicaciones de CECoP como documento informativo para la COP12. En él se expone una serie completa de medidas propuestas de CECoP para</w:t>
      </w:r>
      <w:r w:rsidR="00BB5F3F" w:rsidRPr="004B3327">
        <w:rPr>
          <w:rFonts w:asciiTheme="majorHAnsi" w:hAnsiTheme="majorHAnsi" w:cs="Times New Roman"/>
          <w:szCs w:val="24"/>
          <w:lang w:val="es-ES_tradnl" w:eastAsia="fr-FR"/>
        </w:rPr>
        <w:t xml:space="preserve"> el próximo trienio con miras a</w:t>
      </w:r>
      <w:r w:rsidRPr="004B3327">
        <w:rPr>
          <w:rFonts w:asciiTheme="majorHAnsi" w:hAnsiTheme="majorHAnsi" w:cs="Times New Roman"/>
          <w:szCs w:val="24"/>
          <w:lang w:val="es-ES_tradnl" w:eastAsia="fr-FR"/>
        </w:rPr>
        <w:t>:</w:t>
      </w:r>
    </w:p>
    <w:p w:rsidR="006373A5" w:rsidRPr="00087FBE" w:rsidRDefault="003F2F5D"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a</w:t>
      </w:r>
      <w:r w:rsidR="006373A5" w:rsidRPr="00087FBE">
        <w:rPr>
          <w:rFonts w:asciiTheme="majorHAnsi" w:hAnsiTheme="majorHAnsi" w:cs="Arial"/>
          <w:lang w:val="es-ES_tradnl"/>
        </w:rPr>
        <w:t>poyar el Cuarto Plan Estratégico de Ramsar y sus objetivos;</w:t>
      </w:r>
    </w:p>
    <w:p w:rsidR="006373A5" w:rsidRPr="00087FBE" w:rsidRDefault="003F2F5D"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a</w:t>
      </w:r>
      <w:r w:rsidR="006373A5" w:rsidRPr="00087FBE">
        <w:rPr>
          <w:rFonts w:asciiTheme="majorHAnsi" w:hAnsiTheme="majorHAnsi" w:cs="Arial"/>
          <w:lang w:val="es-ES_tradnl"/>
        </w:rPr>
        <w:t>linearse con las nueve estrategias de CECoP y los 42 objetivos estratégicos;</w:t>
      </w:r>
    </w:p>
    <w:p w:rsidR="006373A5" w:rsidRPr="00087FBE" w:rsidRDefault="003F2F5D"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s</w:t>
      </w:r>
      <w:r w:rsidR="006373A5" w:rsidRPr="00087FBE">
        <w:rPr>
          <w:rFonts w:asciiTheme="majorHAnsi" w:hAnsiTheme="majorHAnsi" w:cs="Arial"/>
          <w:lang w:val="es-ES_tradnl"/>
        </w:rPr>
        <w:t>eguir mensajes claramente definidos basados en lo enunciado anteriormente; y</w:t>
      </w:r>
    </w:p>
    <w:p w:rsidR="001D146A" w:rsidRPr="00087FBE" w:rsidRDefault="003F2F5D" w:rsidP="006373A5">
      <w:pPr>
        <w:pStyle w:val="ListParagraph"/>
        <w:numPr>
          <w:ilvl w:val="0"/>
          <w:numId w:val="2"/>
        </w:numPr>
        <w:spacing w:after="0" w:line="240" w:lineRule="auto"/>
        <w:ind w:left="851" w:hanging="425"/>
        <w:rPr>
          <w:rFonts w:asciiTheme="majorHAnsi" w:hAnsiTheme="majorHAnsi" w:cs="Arial"/>
          <w:lang w:val="es-ES_tradnl"/>
        </w:rPr>
      </w:pPr>
      <w:r w:rsidRPr="00087FBE">
        <w:rPr>
          <w:rFonts w:asciiTheme="majorHAnsi" w:hAnsiTheme="majorHAnsi" w:cs="Arial"/>
          <w:lang w:val="es-ES_tradnl"/>
        </w:rPr>
        <w:t>d</w:t>
      </w:r>
      <w:r w:rsidR="006373A5" w:rsidRPr="00087FBE">
        <w:rPr>
          <w:rFonts w:asciiTheme="majorHAnsi" w:hAnsiTheme="majorHAnsi" w:cs="Arial"/>
          <w:lang w:val="es-ES_tradnl"/>
        </w:rPr>
        <w:t xml:space="preserve">esignar a los profesionales de los humedales y los responsables de políticas como </w:t>
      </w:r>
      <w:r w:rsidR="00BB5F3F" w:rsidRPr="00087FBE">
        <w:rPr>
          <w:rFonts w:asciiTheme="majorHAnsi" w:hAnsiTheme="majorHAnsi" w:cs="Arial"/>
          <w:lang w:val="es-ES_tradnl"/>
        </w:rPr>
        <w:t>los públicos destinatarios principales.</w:t>
      </w:r>
    </w:p>
    <w:sectPr w:rsidR="001D146A" w:rsidRPr="00087FBE" w:rsidSect="00F60119">
      <w:footerReference w:type="default" r:id="rId19"/>
      <w:pgSz w:w="11900" w:h="16840"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119" w:rsidRDefault="00F60119" w:rsidP="00F60119">
      <w:pPr>
        <w:spacing w:after="0" w:line="240" w:lineRule="auto"/>
      </w:pPr>
      <w:r>
        <w:separator/>
      </w:r>
    </w:p>
  </w:endnote>
  <w:endnote w:type="continuationSeparator" w:id="0">
    <w:p w:rsidR="00F60119" w:rsidRDefault="00F60119" w:rsidP="00F60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19" w:rsidRPr="00F60119" w:rsidRDefault="00F60119" w:rsidP="00F60119">
    <w:pPr>
      <w:pStyle w:val="Footer"/>
      <w:tabs>
        <w:tab w:val="clear" w:pos="9360"/>
        <w:tab w:val="right" w:pos="9072"/>
      </w:tabs>
      <w:rPr>
        <w:rFonts w:asciiTheme="majorHAnsi" w:hAnsiTheme="majorHAnsi"/>
        <w:sz w:val="20"/>
        <w:szCs w:val="20"/>
      </w:rPr>
    </w:pPr>
    <w:r w:rsidRPr="00F60119">
      <w:rPr>
        <w:rFonts w:asciiTheme="majorHAnsi" w:hAnsiTheme="majorHAnsi"/>
        <w:sz w:val="20"/>
        <w:szCs w:val="20"/>
      </w:rPr>
      <w:t>Ramsar COP12 DOC.18</w:t>
    </w:r>
    <w:r w:rsidRPr="00F60119">
      <w:rPr>
        <w:rFonts w:asciiTheme="majorHAnsi" w:hAnsiTheme="majorHAnsi"/>
        <w:sz w:val="20"/>
        <w:szCs w:val="20"/>
      </w:rPr>
      <w:tab/>
    </w:r>
    <w:r w:rsidRPr="00F60119">
      <w:rPr>
        <w:rFonts w:asciiTheme="majorHAnsi" w:hAnsiTheme="majorHAnsi"/>
        <w:sz w:val="20"/>
        <w:szCs w:val="20"/>
      </w:rPr>
      <w:tab/>
    </w:r>
    <w:r w:rsidRPr="00F60119">
      <w:rPr>
        <w:rFonts w:asciiTheme="majorHAnsi" w:hAnsiTheme="majorHAnsi"/>
        <w:sz w:val="20"/>
        <w:szCs w:val="20"/>
      </w:rPr>
      <w:fldChar w:fldCharType="begin"/>
    </w:r>
    <w:r w:rsidRPr="00F60119">
      <w:rPr>
        <w:rFonts w:asciiTheme="majorHAnsi" w:hAnsiTheme="majorHAnsi"/>
        <w:sz w:val="20"/>
        <w:szCs w:val="20"/>
      </w:rPr>
      <w:instrText xml:space="preserve"> PAGE   \* MERGEFORMAT </w:instrText>
    </w:r>
    <w:r w:rsidRPr="00F60119">
      <w:rPr>
        <w:rFonts w:asciiTheme="majorHAnsi" w:hAnsiTheme="majorHAnsi"/>
        <w:sz w:val="20"/>
        <w:szCs w:val="20"/>
      </w:rPr>
      <w:fldChar w:fldCharType="separate"/>
    </w:r>
    <w:r w:rsidR="004B3327">
      <w:rPr>
        <w:rFonts w:asciiTheme="majorHAnsi" w:hAnsiTheme="majorHAnsi"/>
        <w:noProof/>
        <w:sz w:val="20"/>
        <w:szCs w:val="20"/>
      </w:rPr>
      <w:t>13</w:t>
    </w:r>
    <w:r w:rsidRPr="00F60119">
      <w:rPr>
        <w:rFonts w:asciiTheme="majorHAnsi" w:hAnsiTheme="maj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119" w:rsidRDefault="00F60119" w:rsidP="00F60119">
      <w:pPr>
        <w:spacing w:after="0" w:line="240" w:lineRule="auto"/>
      </w:pPr>
      <w:r>
        <w:separator/>
      </w:r>
    </w:p>
  </w:footnote>
  <w:footnote w:type="continuationSeparator" w:id="0">
    <w:p w:rsidR="00F60119" w:rsidRDefault="00F60119" w:rsidP="00F601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032BD"/>
    <w:multiLevelType w:val="hybridMultilevel"/>
    <w:tmpl w:val="0AA0E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053C10"/>
    <w:multiLevelType w:val="hybridMultilevel"/>
    <w:tmpl w:val="D9D2FE62"/>
    <w:lvl w:ilvl="0" w:tplc="08090001">
      <w:start w:val="1"/>
      <w:numFmt w:val="bullet"/>
      <w:lvlText w:val=""/>
      <w:lvlJc w:val="left"/>
      <w:pPr>
        <w:ind w:left="1440" w:hanging="360"/>
      </w:pPr>
      <w:rPr>
        <w:rFonts w:ascii="Symbol" w:hAnsi="Symbol" w:hint="default"/>
        <w:lang w:val="en-US"/>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373A5"/>
    <w:rsid w:val="000022DC"/>
    <w:rsid w:val="0003188A"/>
    <w:rsid w:val="00071EF3"/>
    <w:rsid w:val="00086A93"/>
    <w:rsid w:val="00087FBE"/>
    <w:rsid w:val="000A0BC2"/>
    <w:rsid w:val="000C7F47"/>
    <w:rsid w:val="000D3D0B"/>
    <w:rsid w:val="0010101F"/>
    <w:rsid w:val="00103535"/>
    <w:rsid w:val="001035F9"/>
    <w:rsid w:val="00156B06"/>
    <w:rsid w:val="00190A88"/>
    <w:rsid w:val="001D146A"/>
    <w:rsid w:val="0021429B"/>
    <w:rsid w:val="002153FB"/>
    <w:rsid w:val="00222259"/>
    <w:rsid w:val="00234C75"/>
    <w:rsid w:val="002521C4"/>
    <w:rsid w:val="00264965"/>
    <w:rsid w:val="00272CAB"/>
    <w:rsid w:val="00274E9F"/>
    <w:rsid w:val="002A2D2A"/>
    <w:rsid w:val="002E7A59"/>
    <w:rsid w:val="00337461"/>
    <w:rsid w:val="00337DF3"/>
    <w:rsid w:val="00382E33"/>
    <w:rsid w:val="003B01CD"/>
    <w:rsid w:val="003F2F5D"/>
    <w:rsid w:val="00402811"/>
    <w:rsid w:val="0041709D"/>
    <w:rsid w:val="00461719"/>
    <w:rsid w:val="00495E95"/>
    <w:rsid w:val="00497E44"/>
    <w:rsid w:val="004B3327"/>
    <w:rsid w:val="004B69E7"/>
    <w:rsid w:val="004C0F7C"/>
    <w:rsid w:val="004E3F11"/>
    <w:rsid w:val="00557F6A"/>
    <w:rsid w:val="00583012"/>
    <w:rsid w:val="005C73DF"/>
    <w:rsid w:val="006072E6"/>
    <w:rsid w:val="006257FA"/>
    <w:rsid w:val="006373A5"/>
    <w:rsid w:val="00670EC8"/>
    <w:rsid w:val="0068420B"/>
    <w:rsid w:val="00685B61"/>
    <w:rsid w:val="006C3EBA"/>
    <w:rsid w:val="006E2A2F"/>
    <w:rsid w:val="006E4ED6"/>
    <w:rsid w:val="00700681"/>
    <w:rsid w:val="00720554"/>
    <w:rsid w:val="00745985"/>
    <w:rsid w:val="007535D7"/>
    <w:rsid w:val="007667C3"/>
    <w:rsid w:val="00766FA7"/>
    <w:rsid w:val="007B254F"/>
    <w:rsid w:val="007B429D"/>
    <w:rsid w:val="008020A3"/>
    <w:rsid w:val="008142EF"/>
    <w:rsid w:val="00847140"/>
    <w:rsid w:val="00883461"/>
    <w:rsid w:val="008847C9"/>
    <w:rsid w:val="0088718D"/>
    <w:rsid w:val="008B0499"/>
    <w:rsid w:val="008E63E6"/>
    <w:rsid w:val="009000AB"/>
    <w:rsid w:val="0098017C"/>
    <w:rsid w:val="009A1236"/>
    <w:rsid w:val="009C6174"/>
    <w:rsid w:val="00A05412"/>
    <w:rsid w:val="00A13793"/>
    <w:rsid w:val="00A65940"/>
    <w:rsid w:val="00A7486F"/>
    <w:rsid w:val="00AB53A1"/>
    <w:rsid w:val="00AC7E54"/>
    <w:rsid w:val="00B346CF"/>
    <w:rsid w:val="00B477C7"/>
    <w:rsid w:val="00BB5F3F"/>
    <w:rsid w:val="00BC2A03"/>
    <w:rsid w:val="00BD4B51"/>
    <w:rsid w:val="00BD6B4F"/>
    <w:rsid w:val="00BD7594"/>
    <w:rsid w:val="00C44721"/>
    <w:rsid w:val="00C759C6"/>
    <w:rsid w:val="00C96773"/>
    <w:rsid w:val="00D04FB2"/>
    <w:rsid w:val="00D81B50"/>
    <w:rsid w:val="00D95EDE"/>
    <w:rsid w:val="00DE050A"/>
    <w:rsid w:val="00E60F11"/>
    <w:rsid w:val="00E8131F"/>
    <w:rsid w:val="00E84CDA"/>
    <w:rsid w:val="00EA0CDE"/>
    <w:rsid w:val="00EA392D"/>
    <w:rsid w:val="00EB58D6"/>
    <w:rsid w:val="00EC45E0"/>
    <w:rsid w:val="00EF6DC7"/>
    <w:rsid w:val="00F10302"/>
    <w:rsid w:val="00F3363E"/>
    <w:rsid w:val="00F60119"/>
    <w:rsid w:val="00F87867"/>
    <w:rsid w:val="00F95664"/>
    <w:rsid w:val="00FB0352"/>
    <w:rsid w:val="00FD1C5F"/>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A5"/>
    <w:pPr>
      <w:spacing w:after="200" w:line="276" w:lineRule="auto"/>
    </w:pPr>
    <w:rPr>
      <w:rFonts w:eastAsiaTheme="minorHAnsi"/>
      <w:sz w:val="22"/>
      <w:szCs w:val="22"/>
      <w:lang w:val="en-GB" w:eastAsia="en-US"/>
    </w:rPr>
  </w:style>
  <w:style w:type="paragraph" w:styleId="Heading3">
    <w:name w:val="heading 3"/>
    <w:basedOn w:val="Normal"/>
    <w:link w:val="Heading3Char"/>
    <w:uiPriority w:val="9"/>
    <w:qFormat/>
    <w:rsid w:val="006373A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73A5"/>
    <w:rPr>
      <w:rFonts w:ascii="Times New Roman" w:eastAsia="Times New Roman" w:hAnsi="Times New Roman" w:cs="Times New Roman"/>
      <w:b/>
      <w:bCs/>
      <w:sz w:val="27"/>
      <w:szCs w:val="27"/>
      <w:lang w:val="en-GB" w:eastAsia="en-GB"/>
    </w:rPr>
  </w:style>
  <w:style w:type="paragraph" w:styleId="ListParagraph">
    <w:name w:val="List Paragraph"/>
    <w:basedOn w:val="Normal"/>
    <w:uiPriority w:val="34"/>
    <w:qFormat/>
    <w:rsid w:val="006373A5"/>
    <w:pPr>
      <w:ind w:left="720"/>
      <w:contextualSpacing/>
    </w:pPr>
  </w:style>
  <w:style w:type="character" w:styleId="Hyperlink">
    <w:name w:val="Hyperlink"/>
    <w:basedOn w:val="DefaultParagraphFont"/>
    <w:uiPriority w:val="99"/>
    <w:unhideWhenUsed/>
    <w:rsid w:val="006373A5"/>
    <w:rPr>
      <w:color w:val="0000FF" w:themeColor="hyperlink"/>
      <w:u w:val="single"/>
    </w:rPr>
  </w:style>
  <w:style w:type="paragraph" w:styleId="BalloonText">
    <w:name w:val="Balloon Text"/>
    <w:basedOn w:val="Normal"/>
    <w:link w:val="BalloonTextChar"/>
    <w:uiPriority w:val="99"/>
    <w:semiHidden/>
    <w:unhideWhenUsed/>
    <w:rsid w:val="00637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3A5"/>
    <w:rPr>
      <w:rFonts w:ascii="Tahoma" w:eastAsiaTheme="minorHAnsi" w:hAnsi="Tahoma" w:cs="Tahoma"/>
      <w:sz w:val="16"/>
      <w:szCs w:val="16"/>
      <w:lang w:val="en-GB" w:eastAsia="en-US"/>
    </w:rPr>
  </w:style>
  <w:style w:type="paragraph" w:customStyle="1" w:styleId="Default">
    <w:name w:val="Default"/>
    <w:rsid w:val="006373A5"/>
    <w:pPr>
      <w:widowControl w:val="0"/>
      <w:autoSpaceDE w:val="0"/>
      <w:autoSpaceDN w:val="0"/>
      <w:adjustRightInd w:val="0"/>
    </w:pPr>
    <w:rPr>
      <w:rFonts w:ascii="Garamond" w:eastAsia="Times New Roman" w:hAnsi="Garamond" w:cs="Garamond"/>
      <w:color w:val="000000"/>
      <w:lang w:val="en-US" w:eastAsia="en-US"/>
    </w:rPr>
  </w:style>
  <w:style w:type="table" w:styleId="TableGrid">
    <w:name w:val="Table Grid"/>
    <w:basedOn w:val="TableNormal"/>
    <w:uiPriority w:val="59"/>
    <w:rsid w:val="006373A5"/>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73A5"/>
    <w:rPr>
      <w:sz w:val="16"/>
      <w:szCs w:val="16"/>
    </w:rPr>
  </w:style>
  <w:style w:type="paragraph" w:styleId="CommentText">
    <w:name w:val="annotation text"/>
    <w:basedOn w:val="Normal"/>
    <w:link w:val="CommentTextChar"/>
    <w:uiPriority w:val="99"/>
    <w:semiHidden/>
    <w:unhideWhenUsed/>
    <w:rsid w:val="006373A5"/>
    <w:pPr>
      <w:spacing w:line="240" w:lineRule="auto"/>
    </w:pPr>
    <w:rPr>
      <w:sz w:val="20"/>
      <w:szCs w:val="20"/>
    </w:rPr>
  </w:style>
  <w:style w:type="character" w:customStyle="1" w:styleId="CommentTextChar">
    <w:name w:val="Comment Text Char"/>
    <w:basedOn w:val="DefaultParagraphFont"/>
    <w:link w:val="CommentText"/>
    <w:uiPriority w:val="99"/>
    <w:semiHidden/>
    <w:rsid w:val="006373A5"/>
    <w:rPr>
      <w:rFonts w:eastAsiaTheme="minorHAnsi"/>
      <w:sz w:val="20"/>
      <w:szCs w:val="20"/>
      <w:lang w:val="en-GB" w:eastAsia="en-US"/>
    </w:rPr>
  </w:style>
  <w:style w:type="paragraph" w:styleId="CommentSubject">
    <w:name w:val="annotation subject"/>
    <w:basedOn w:val="CommentText"/>
    <w:next w:val="CommentText"/>
    <w:link w:val="CommentSubjectChar"/>
    <w:uiPriority w:val="99"/>
    <w:semiHidden/>
    <w:unhideWhenUsed/>
    <w:rsid w:val="006373A5"/>
    <w:rPr>
      <w:b/>
      <w:bCs/>
    </w:rPr>
  </w:style>
  <w:style w:type="character" w:customStyle="1" w:styleId="CommentSubjectChar">
    <w:name w:val="Comment Subject Char"/>
    <w:basedOn w:val="CommentTextChar"/>
    <w:link w:val="CommentSubject"/>
    <w:uiPriority w:val="99"/>
    <w:semiHidden/>
    <w:rsid w:val="006373A5"/>
    <w:rPr>
      <w:rFonts w:eastAsiaTheme="minorHAnsi"/>
      <w:b/>
      <w:bCs/>
      <w:sz w:val="20"/>
      <w:szCs w:val="20"/>
      <w:lang w:val="en-GB" w:eastAsia="en-US"/>
    </w:rPr>
  </w:style>
  <w:style w:type="paragraph" w:styleId="Revision">
    <w:name w:val="Revision"/>
    <w:hidden/>
    <w:uiPriority w:val="99"/>
    <w:semiHidden/>
    <w:rsid w:val="006373A5"/>
    <w:rPr>
      <w:rFonts w:eastAsiaTheme="minorHAnsi"/>
      <w:sz w:val="22"/>
      <w:szCs w:val="22"/>
      <w:lang w:val="en-GB" w:eastAsia="en-US"/>
    </w:rPr>
  </w:style>
  <w:style w:type="paragraph" w:styleId="Header">
    <w:name w:val="header"/>
    <w:basedOn w:val="Normal"/>
    <w:link w:val="HeaderChar"/>
    <w:uiPriority w:val="99"/>
    <w:semiHidden/>
    <w:unhideWhenUsed/>
    <w:rsid w:val="006373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73A5"/>
    <w:rPr>
      <w:rFonts w:eastAsiaTheme="minorHAnsi"/>
      <w:sz w:val="22"/>
      <w:szCs w:val="22"/>
      <w:lang w:val="en-GB" w:eastAsia="en-US"/>
    </w:rPr>
  </w:style>
  <w:style w:type="paragraph" w:styleId="Footer">
    <w:name w:val="footer"/>
    <w:basedOn w:val="Normal"/>
    <w:link w:val="FooterChar"/>
    <w:uiPriority w:val="99"/>
    <w:unhideWhenUsed/>
    <w:rsid w:val="0063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3A5"/>
    <w:rPr>
      <w:rFonts w:eastAsiaTheme="minorHAnsi"/>
      <w:sz w:val="22"/>
      <w:szCs w:val="22"/>
      <w:lang w:val="en-GB" w:eastAsia="en-US"/>
    </w:rPr>
  </w:style>
  <w:style w:type="paragraph" w:styleId="NormalWeb">
    <w:name w:val="Normal (Web)"/>
    <w:basedOn w:val="Normal"/>
    <w:uiPriority w:val="99"/>
    <w:rsid w:val="006373A5"/>
    <w:pPr>
      <w:spacing w:beforeLines="1" w:afterLines="1" w:line="240" w:lineRule="auto"/>
    </w:pPr>
    <w:rPr>
      <w:rFonts w:ascii="Times" w:hAnsi="Times" w:cs="Times New Roman"/>
      <w:sz w:val="20"/>
      <w:szCs w:val="20"/>
      <w:lang w:val="fr-FR" w:eastAsia="fr-FR"/>
    </w:rPr>
  </w:style>
  <w:style w:type="character" w:styleId="FollowedHyperlink">
    <w:name w:val="FollowedHyperlink"/>
    <w:basedOn w:val="DefaultParagraphFont"/>
    <w:uiPriority w:val="99"/>
    <w:semiHidden/>
    <w:unhideWhenUsed/>
    <w:rsid w:val="00E8131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A5"/>
    <w:pPr>
      <w:spacing w:after="200" w:line="276" w:lineRule="auto"/>
    </w:pPr>
    <w:rPr>
      <w:rFonts w:eastAsiaTheme="minorHAnsi"/>
      <w:sz w:val="22"/>
      <w:szCs w:val="22"/>
      <w:lang w:val="en-GB" w:eastAsia="en-US"/>
    </w:rPr>
  </w:style>
  <w:style w:type="paragraph" w:styleId="Ttulo3">
    <w:name w:val="heading 3"/>
    <w:basedOn w:val="Normal"/>
    <w:link w:val="Ttulo3Car"/>
    <w:uiPriority w:val="9"/>
    <w:qFormat/>
    <w:rsid w:val="006373A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373A5"/>
    <w:rPr>
      <w:rFonts w:ascii="Times New Roman" w:eastAsia="Times New Roman" w:hAnsi="Times New Roman" w:cs="Times New Roman"/>
      <w:b/>
      <w:bCs/>
      <w:sz w:val="27"/>
      <w:szCs w:val="27"/>
      <w:lang w:val="en-GB" w:eastAsia="en-GB"/>
    </w:rPr>
  </w:style>
  <w:style w:type="paragraph" w:styleId="Prrafodelista">
    <w:name w:val="List Paragraph"/>
    <w:basedOn w:val="Normal"/>
    <w:uiPriority w:val="34"/>
    <w:qFormat/>
    <w:rsid w:val="006373A5"/>
    <w:pPr>
      <w:ind w:left="720"/>
      <w:contextualSpacing/>
    </w:pPr>
  </w:style>
  <w:style w:type="character" w:styleId="Hipervnculo">
    <w:name w:val="Hyperlink"/>
    <w:basedOn w:val="Fuentedeprrafopredeter"/>
    <w:uiPriority w:val="99"/>
    <w:unhideWhenUsed/>
    <w:rsid w:val="006373A5"/>
    <w:rPr>
      <w:color w:val="0000FF" w:themeColor="hyperlink"/>
      <w:u w:val="single"/>
    </w:rPr>
  </w:style>
  <w:style w:type="paragraph" w:styleId="Textodeglobo">
    <w:name w:val="Balloon Text"/>
    <w:basedOn w:val="Normal"/>
    <w:link w:val="TextodegloboCar"/>
    <w:uiPriority w:val="99"/>
    <w:semiHidden/>
    <w:unhideWhenUsed/>
    <w:rsid w:val="006373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73A5"/>
    <w:rPr>
      <w:rFonts w:ascii="Tahoma" w:eastAsiaTheme="minorHAnsi" w:hAnsi="Tahoma" w:cs="Tahoma"/>
      <w:sz w:val="16"/>
      <w:szCs w:val="16"/>
      <w:lang w:val="en-GB" w:eastAsia="en-US"/>
    </w:rPr>
  </w:style>
  <w:style w:type="paragraph" w:customStyle="1" w:styleId="Default">
    <w:name w:val="Default"/>
    <w:rsid w:val="006373A5"/>
    <w:pPr>
      <w:widowControl w:val="0"/>
      <w:autoSpaceDE w:val="0"/>
      <w:autoSpaceDN w:val="0"/>
      <w:adjustRightInd w:val="0"/>
    </w:pPr>
    <w:rPr>
      <w:rFonts w:ascii="Garamond" w:eastAsia="Times New Roman" w:hAnsi="Garamond" w:cs="Garamond"/>
      <w:color w:val="000000"/>
      <w:lang w:val="en-US" w:eastAsia="en-US"/>
    </w:rPr>
  </w:style>
  <w:style w:type="table" w:styleId="Tablaconcuadrcula">
    <w:name w:val="Table Grid"/>
    <w:basedOn w:val="Tablanormal"/>
    <w:uiPriority w:val="59"/>
    <w:rsid w:val="006373A5"/>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373A5"/>
    <w:rPr>
      <w:sz w:val="16"/>
      <w:szCs w:val="16"/>
    </w:rPr>
  </w:style>
  <w:style w:type="paragraph" w:styleId="Textocomentario">
    <w:name w:val="annotation text"/>
    <w:basedOn w:val="Normal"/>
    <w:link w:val="TextocomentarioCar"/>
    <w:uiPriority w:val="99"/>
    <w:semiHidden/>
    <w:unhideWhenUsed/>
    <w:rsid w:val="006373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73A5"/>
    <w:rPr>
      <w:rFonts w:eastAsiaTheme="minorHAnsi"/>
      <w:sz w:val="20"/>
      <w:szCs w:val="20"/>
      <w:lang w:val="en-GB" w:eastAsia="en-US"/>
    </w:rPr>
  </w:style>
  <w:style w:type="paragraph" w:styleId="Asuntodelcomentario">
    <w:name w:val="annotation subject"/>
    <w:basedOn w:val="Textocomentario"/>
    <w:next w:val="Textocomentario"/>
    <w:link w:val="AsuntodelcomentarioCar"/>
    <w:uiPriority w:val="99"/>
    <w:semiHidden/>
    <w:unhideWhenUsed/>
    <w:rsid w:val="006373A5"/>
    <w:rPr>
      <w:b/>
      <w:bCs/>
    </w:rPr>
  </w:style>
  <w:style w:type="character" w:customStyle="1" w:styleId="AsuntodelcomentarioCar">
    <w:name w:val="Asunto del comentario Car"/>
    <w:basedOn w:val="TextocomentarioCar"/>
    <w:link w:val="Asuntodelcomentario"/>
    <w:uiPriority w:val="99"/>
    <w:semiHidden/>
    <w:rsid w:val="006373A5"/>
    <w:rPr>
      <w:rFonts w:eastAsiaTheme="minorHAnsi"/>
      <w:b/>
      <w:bCs/>
      <w:sz w:val="20"/>
      <w:szCs w:val="20"/>
      <w:lang w:val="en-GB" w:eastAsia="en-US"/>
    </w:rPr>
  </w:style>
  <w:style w:type="paragraph" w:styleId="Revisin">
    <w:name w:val="Revision"/>
    <w:hidden/>
    <w:uiPriority w:val="99"/>
    <w:semiHidden/>
    <w:rsid w:val="006373A5"/>
    <w:rPr>
      <w:rFonts w:eastAsiaTheme="minorHAnsi"/>
      <w:sz w:val="22"/>
      <w:szCs w:val="22"/>
      <w:lang w:val="en-GB" w:eastAsia="en-US"/>
    </w:rPr>
  </w:style>
  <w:style w:type="paragraph" w:styleId="Encabezado">
    <w:name w:val="header"/>
    <w:basedOn w:val="Normal"/>
    <w:link w:val="EncabezadoCar"/>
    <w:uiPriority w:val="99"/>
    <w:semiHidden/>
    <w:unhideWhenUsed/>
    <w:rsid w:val="006373A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6373A5"/>
    <w:rPr>
      <w:rFonts w:eastAsiaTheme="minorHAnsi"/>
      <w:sz w:val="22"/>
      <w:szCs w:val="22"/>
      <w:lang w:val="en-GB" w:eastAsia="en-US"/>
    </w:rPr>
  </w:style>
  <w:style w:type="paragraph" w:styleId="Piedepgina">
    <w:name w:val="footer"/>
    <w:basedOn w:val="Normal"/>
    <w:link w:val="PiedepginaCar"/>
    <w:uiPriority w:val="99"/>
    <w:unhideWhenUsed/>
    <w:rsid w:val="006373A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373A5"/>
    <w:rPr>
      <w:rFonts w:eastAsiaTheme="minorHAnsi"/>
      <w:sz w:val="22"/>
      <w:szCs w:val="22"/>
      <w:lang w:val="en-GB" w:eastAsia="en-US"/>
    </w:rPr>
  </w:style>
  <w:style w:type="paragraph" w:styleId="NormalWeb">
    <w:name w:val="Normal (Web)"/>
    <w:basedOn w:val="Normal"/>
    <w:uiPriority w:val="99"/>
    <w:rsid w:val="006373A5"/>
    <w:pPr>
      <w:spacing w:beforeLines="1" w:afterLines="1" w:line="240" w:lineRule="auto"/>
    </w:pPr>
    <w:rPr>
      <w:rFonts w:ascii="Times" w:hAnsi="Times" w:cs="Times New Roman"/>
      <w:sz w:val="20"/>
      <w:szCs w:val="20"/>
      <w:lang w:val="fr-FR" w:eastAsia="fr-FR"/>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wetlandsday.org/es/" TargetMode="External"/><Relationship Id="rId13" Type="http://schemas.openxmlformats.org/officeDocument/2006/relationships/hyperlink" Target="http://www.teebweb.org/mainstreaming-the-values-of-water-and-wetlands-into-decision-making/" TargetMode="External"/><Relationship Id="rId18" Type="http://schemas.openxmlformats.org/officeDocument/2006/relationships/hyperlink" Target="https://rsis.ramsar.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ramsar.org/sites/default/files/ramcea_en.pdf" TargetMode="External"/><Relationship Id="rId17" Type="http://schemas.openxmlformats.org/officeDocument/2006/relationships/hyperlink" Target="http://www.ramsar.org" TargetMode="External"/><Relationship Id="rId2" Type="http://schemas.openxmlformats.org/officeDocument/2006/relationships/styles" Target="styles.xml"/><Relationship Id="rId16" Type="http://schemas.openxmlformats.org/officeDocument/2006/relationships/hyperlink" Target="http://www.worldwetlandsday.org/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sco-ihe.org/" TargetMode="External"/><Relationship Id="rId5" Type="http://schemas.openxmlformats.org/officeDocument/2006/relationships/footnotes" Target="footnotes.xml"/><Relationship Id="rId15" Type="http://schemas.openxmlformats.org/officeDocument/2006/relationships/hyperlink" Target="file:///\\CHGLNA01.IUCN.SYS\DATA\CC98\COMMON\COPs\COP12\COP12%20documents\Info%20Docs\COP12%20DOC18%20CEPA%20review\wli.wwt.org.uk" TargetMode="External"/><Relationship Id="rId10" Type="http://schemas.openxmlformats.org/officeDocument/2006/relationships/hyperlink" Target="http://www.teebweb.org/water-and-wetlands-training-demonstrates-vital-role-of-valuation-in-policy-and-decision-making-for-the-wise-use-of-wetland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amsar.org/activity/the-cepa-oversight-panel" TargetMode="External"/><Relationship Id="rId14" Type="http://schemas.openxmlformats.org/officeDocument/2006/relationships/chart" Target="charts/chart1.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Sheet1!$A$2</c:f>
              <c:strCache>
                <c:ptCount val="1"/>
                <c:pt idx="0">
                  <c:v>COP11</c:v>
                </c:pt>
              </c:strCache>
            </c:strRef>
          </c:tx>
          <c:cat>
            <c:strRef>
              <c:f>Sheet1!$B$1:$E$1</c:f>
              <c:strCache>
                <c:ptCount val="4"/>
                <c:pt idx="0">
                  <c:v>AANFP</c:v>
                </c:pt>
                <c:pt idx="1">
                  <c:v>CEPA-GOV</c:v>
                </c:pt>
                <c:pt idx="2">
                  <c:v>CEPA-NGO</c:v>
                </c:pt>
                <c:pt idx="3">
                  <c:v>STRP </c:v>
                </c:pt>
              </c:strCache>
            </c:strRef>
          </c:cat>
          <c:val>
            <c:numRef>
              <c:f>Sheet1!$B$2:$E$2</c:f>
              <c:numCache>
                <c:formatCode>General</c:formatCode>
                <c:ptCount val="4"/>
                <c:pt idx="0">
                  <c:v>98</c:v>
                </c:pt>
                <c:pt idx="1">
                  <c:v>74</c:v>
                </c:pt>
                <c:pt idx="2">
                  <c:v>69</c:v>
                </c:pt>
                <c:pt idx="3">
                  <c:v>85</c:v>
                </c:pt>
              </c:numCache>
            </c:numRef>
          </c:val>
        </c:ser>
        <c:ser>
          <c:idx val="1"/>
          <c:order val="1"/>
          <c:tx>
            <c:strRef>
              <c:f>Sheet1!$A$3</c:f>
              <c:strCache>
                <c:ptCount val="1"/>
                <c:pt idx="0">
                  <c:v>COP12</c:v>
                </c:pt>
              </c:strCache>
            </c:strRef>
          </c:tx>
          <c:cat>
            <c:strRef>
              <c:f>Sheet1!$B$1:$E$1</c:f>
              <c:strCache>
                <c:ptCount val="4"/>
                <c:pt idx="0">
                  <c:v>AANFP</c:v>
                </c:pt>
                <c:pt idx="1">
                  <c:v>CEPA-GOV</c:v>
                </c:pt>
                <c:pt idx="2">
                  <c:v>CEPA-NGO</c:v>
                </c:pt>
                <c:pt idx="3">
                  <c:v>STRP </c:v>
                </c:pt>
              </c:strCache>
            </c:strRef>
          </c:cat>
          <c:val>
            <c:numRef>
              <c:f>Sheet1!$B$3:$E$3</c:f>
              <c:numCache>
                <c:formatCode>0</c:formatCode>
                <c:ptCount val="4"/>
                <c:pt idx="0">
                  <c:v>99.240000000000023</c:v>
                </c:pt>
                <c:pt idx="1">
                  <c:v>80.149999999999991</c:v>
                </c:pt>
                <c:pt idx="2">
                  <c:v>69.47</c:v>
                </c:pt>
                <c:pt idx="3">
                  <c:v>86.26</c:v>
                </c:pt>
              </c:numCache>
            </c:numRef>
          </c:val>
        </c:ser>
        <c:dLbls/>
        <c:axId val="48452352"/>
        <c:axId val="48453888"/>
      </c:barChart>
      <c:catAx>
        <c:axId val="48452352"/>
        <c:scaling>
          <c:orientation val="minMax"/>
        </c:scaling>
        <c:axPos val="b"/>
        <c:tickLblPos val="nextTo"/>
        <c:txPr>
          <a:bodyPr/>
          <a:lstStyle/>
          <a:p>
            <a:pPr>
              <a:defRPr lang="en-US"/>
            </a:pPr>
            <a:endParaRPr lang="en-US"/>
          </a:p>
        </c:txPr>
        <c:crossAx val="48453888"/>
        <c:crosses val="autoZero"/>
        <c:auto val="1"/>
        <c:lblAlgn val="ctr"/>
        <c:lblOffset val="100"/>
      </c:catAx>
      <c:valAx>
        <c:axId val="48453888"/>
        <c:scaling>
          <c:orientation val="minMax"/>
          <c:max val="100"/>
          <c:min val="0"/>
        </c:scaling>
        <c:axPos val="l"/>
        <c:majorGridlines/>
        <c:numFmt formatCode="General" sourceLinked="1"/>
        <c:tickLblPos val="nextTo"/>
        <c:txPr>
          <a:bodyPr/>
          <a:lstStyle/>
          <a:p>
            <a:pPr>
              <a:defRPr lang="en-US"/>
            </a:pPr>
            <a:endParaRPr lang="en-US"/>
          </a:p>
        </c:txPr>
        <c:crossAx val="48452352"/>
        <c:crosses val="autoZero"/>
        <c:crossBetween val="between"/>
        <c:majorUnit val="20"/>
        <c:minorUnit val="4"/>
      </c:valAx>
    </c:plotArea>
    <c:legend>
      <c:legendPos val="r"/>
      <c:layout/>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5910</Words>
  <Characters>33688</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Byrnes</dc:creator>
  <cp:lastModifiedBy>Ramsar\JenningsE</cp:lastModifiedBy>
  <cp:revision>2</cp:revision>
  <dcterms:created xsi:type="dcterms:W3CDTF">2015-04-07T12:45:00Z</dcterms:created>
  <dcterms:modified xsi:type="dcterms:W3CDTF">2015-04-07T12:45:00Z</dcterms:modified>
</cp:coreProperties>
</file>