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8E6" w:rsidRPr="00837B0B" w:rsidRDefault="00DF18E6" w:rsidP="00DF18E6">
      <w:pPr>
        <w:jc w:val="center"/>
        <w:rPr>
          <w:rFonts w:asciiTheme="minorHAnsi" w:hAnsiTheme="minorHAnsi"/>
          <w:b/>
          <w:sz w:val="25"/>
          <w:szCs w:val="25"/>
        </w:rPr>
      </w:pPr>
      <w:r>
        <w:rPr>
          <w:rFonts w:asciiTheme="minorHAnsi" w:hAnsiTheme="minorHAnsi"/>
          <w:noProof/>
          <w:sz w:val="25"/>
          <w:szCs w:val="25"/>
          <w:lang w:val="en-US" w:eastAsia="en-US"/>
        </w:rPr>
        <w:drawing>
          <wp:anchor distT="0" distB="0" distL="114300" distR="114300" simplePos="0" relativeHeight="251659264" behindDoc="0" locked="0" layoutInCell="1" allowOverlap="1">
            <wp:simplePos x="0" y="0"/>
            <wp:positionH relativeFrom="margin">
              <wp:posOffset>-172085</wp:posOffset>
            </wp:positionH>
            <wp:positionV relativeFrom="margin">
              <wp:posOffset>-170815</wp:posOffset>
            </wp:positionV>
            <wp:extent cx="2219325" cy="962025"/>
            <wp:effectExtent l="19050" t="0" r="9525" b="0"/>
            <wp:wrapSquare wrapText="bothSides"/>
            <wp:docPr id="7" name="Picture 5" descr="J:\CC98\COMMON\COPs\COP12\COP12 logos\COP12-logo-en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CC98\COMMON\COPs\COP12\COP12 logos\COP12-logo-en_small.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19325" cy="962025"/>
                    </a:xfrm>
                    <a:prstGeom prst="rect">
                      <a:avLst/>
                    </a:prstGeom>
                    <a:noFill/>
                    <a:ln>
                      <a:noFill/>
                    </a:ln>
                  </pic:spPr>
                </pic:pic>
              </a:graphicData>
            </a:graphic>
          </wp:anchor>
        </w:drawing>
      </w:r>
      <w:r w:rsidRPr="00837B0B">
        <w:rPr>
          <w:rFonts w:asciiTheme="minorHAnsi" w:hAnsiTheme="minorHAnsi"/>
          <w:b/>
          <w:sz w:val="25"/>
          <w:szCs w:val="25"/>
        </w:rPr>
        <w:t>12</w:t>
      </w:r>
      <w:r w:rsidRPr="00837B0B">
        <w:rPr>
          <w:rFonts w:asciiTheme="minorHAnsi" w:hAnsiTheme="minorHAnsi"/>
          <w:b/>
          <w:sz w:val="25"/>
          <w:szCs w:val="25"/>
          <w:vertAlign w:val="superscript"/>
        </w:rPr>
        <w:t>th</w:t>
      </w:r>
      <w:r w:rsidRPr="00837B0B">
        <w:rPr>
          <w:rFonts w:asciiTheme="minorHAnsi" w:hAnsiTheme="minorHAnsi"/>
          <w:b/>
          <w:sz w:val="25"/>
          <w:szCs w:val="25"/>
        </w:rPr>
        <w:t xml:space="preserve"> Meeting of the Conference of the Parties to </w:t>
      </w:r>
      <w:r w:rsidRPr="00837B0B">
        <w:rPr>
          <w:rFonts w:asciiTheme="minorHAnsi" w:hAnsiTheme="minorHAnsi"/>
          <w:b/>
          <w:sz w:val="25"/>
          <w:szCs w:val="25"/>
        </w:rPr>
        <w:br/>
        <w:t>the Convention on Wetlands (Ramsar, Iran, 1971)</w:t>
      </w:r>
    </w:p>
    <w:p w:rsidR="00DF18E6" w:rsidRPr="00837B0B" w:rsidRDefault="00DF18E6" w:rsidP="00DF18E6">
      <w:pPr>
        <w:jc w:val="center"/>
        <w:rPr>
          <w:rFonts w:asciiTheme="minorHAnsi" w:hAnsiTheme="minorHAnsi"/>
          <w:sz w:val="25"/>
          <w:szCs w:val="25"/>
        </w:rPr>
      </w:pPr>
    </w:p>
    <w:p w:rsidR="00DF18E6" w:rsidRPr="00837B0B" w:rsidRDefault="00DF18E6" w:rsidP="00DF18E6">
      <w:pPr>
        <w:tabs>
          <w:tab w:val="left" w:pos="3828"/>
        </w:tabs>
        <w:jc w:val="center"/>
        <w:rPr>
          <w:rFonts w:asciiTheme="minorHAnsi" w:hAnsiTheme="minorHAnsi"/>
          <w:b/>
          <w:sz w:val="25"/>
          <w:szCs w:val="25"/>
        </w:rPr>
      </w:pPr>
      <w:r w:rsidRPr="00837B0B">
        <w:rPr>
          <w:rFonts w:asciiTheme="minorHAnsi" w:hAnsiTheme="minorHAnsi"/>
          <w:b/>
          <w:sz w:val="25"/>
          <w:szCs w:val="25"/>
        </w:rPr>
        <w:t>Punta del Este, Uruguay, 1-9 June 2015</w:t>
      </w:r>
    </w:p>
    <w:p w:rsidR="00DF18E6" w:rsidRPr="00AE032E" w:rsidRDefault="00DF18E6" w:rsidP="00DF18E6">
      <w:pPr>
        <w:rPr>
          <w:rFonts w:asciiTheme="minorHAnsi" w:hAnsiTheme="minorHAnsi"/>
        </w:rPr>
      </w:pPr>
    </w:p>
    <w:p w:rsidR="00DF18E6" w:rsidRPr="00AE032E" w:rsidRDefault="00DF18E6" w:rsidP="00DF18E6">
      <w:pPr>
        <w:rPr>
          <w:rFonts w:asciiTheme="minorHAnsi" w:hAnsiTheme="minorHAnsi"/>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tblBorders>
        <w:tblCellMar>
          <w:top w:w="85" w:type="dxa"/>
          <w:left w:w="113" w:type="dxa"/>
          <w:bottom w:w="85" w:type="dxa"/>
          <w:right w:w="113" w:type="dxa"/>
        </w:tblCellMar>
        <w:tblLook w:val="04A0"/>
      </w:tblPr>
      <w:tblGrid>
        <w:gridCol w:w="4528"/>
        <w:gridCol w:w="4602"/>
      </w:tblGrid>
      <w:tr w:rsidR="00DF18E6" w:rsidRPr="00837B0B" w:rsidTr="00DF18E6">
        <w:tc>
          <w:tcPr>
            <w:tcW w:w="4528" w:type="dxa"/>
          </w:tcPr>
          <w:p w:rsidR="00DF18E6" w:rsidRPr="009379AB" w:rsidRDefault="00DF18E6" w:rsidP="00DF18E6">
            <w:pPr>
              <w:rPr>
                <w:rFonts w:asciiTheme="minorHAnsi" w:hAnsiTheme="minorHAnsi"/>
                <w:b/>
                <w:sz w:val="25"/>
                <w:szCs w:val="25"/>
              </w:rPr>
            </w:pPr>
          </w:p>
        </w:tc>
        <w:tc>
          <w:tcPr>
            <w:tcW w:w="4602" w:type="dxa"/>
          </w:tcPr>
          <w:p w:rsidR="00DF18E6" w:rsidRPr="009379AB" w:rsidRDefault="00DF18E6" w:rsidP="00DF18E6">
            <w:pPr>
              <w:jc w:val="right"/>
              <w:rPr>
                <w:rFonts w:asciiTheme="minorHAnsi" w:hAnsiTheme="minorHAnsi"/>
                <w:b/>
                <w:sz w:val="25"/>
                <w:szCs w:val="25"/>
              </w:rPr>
            </w:pPr>
            <w:r w:rsidRPr="00837B0B">
              <w:rPr>
                <w:rFonts w:asciiTheme="minorHAnsi" w:hAnsiTheme="minorHAnsi"/>
                <w:b/>
                <w:sz w:val="25"/>
                <w:szCs w:val="25"/>
              </w:rPr>
              <w:t xml:space="preserve">Ramsar COP12 </w:t>
            </w:r>
            <w:r>
              <w:rPr>
                <w:rFonts w:asciiTheme="minorHAnsi" w:hAnsiTheme="minorHAnsi"/>
                <w:b/>
                <w:sz w:val="25"/>
                <w:szCs w:val="25"/>
              </w:rPr>
              <w:t>DOC.16</w:t>
            </w:r>
          </w:p>
        </w:tc>
      </w:tr>
    </w:tbl>
    <w:p w:rsidR="00DF18E6" w:rsidRDefault="00DF18E6" w:rsidP="00DF18E6">
      <w:pPr>
        <w:ind w:right="17"/>
        <w:jc w:val="center"/>
        <w:rPr>
          <w:rFonts w:asciiTheme="minorHAnsi" w:hAnsiTheme="minorHAnsi"/>
          <w:b/>
          <w:bCs/>
          <w:sz w:val="28"/>
          <w:szCs w:val="28"/>
          <w:lang w:eastAsia="el-GR"/>
        </w:rPr>
      </w:pPr>
    </w:p>
    <w:p w:rsidR="001233DE" w:rsidRPr="003A0727" w:rsidRDefault="00615245" w:rsidP="002714E9">
      <w:pPr>
        <w:jc w:val="center"/>
        <w:rPr>
          <w:rFonts w:asciiTheme="minorHAnsi" w:eastAsiaTheme="minorHAnsi" w:hAnsiTheme="minorHAnsi" w:cs="Garamond"/>
          <w:b/>
          <w:color w:val="000000"/>
          <w:sz w:val="28"/>
          <w:szCs w:val="28"/>
          <w:lang w:eastAsia="en-US"/>
        </w:rPr>
      </w:pPr>
      <w:r>
        <w:rPr>
          <w:rFonts w:asciiTheme="minorHAnsi" w:hAnsiTheme="minorHAnsi"/>
          <w:b/>
          <w:sz w:val="28"/>
          <w:szCs w:val="28"/>
        </w:rPr>
        <w:t xml:space="preserve">Considerations by the </w:t>
      </w:r>
      <w:r w:rsidR="002714E9" w:rsidRPr="003A0727">
        <w:rPr>
          <w:rFonts w:asciiTheme="minorHAnsi" w:hAnsiTheme="minorHAnsi"/>
          <w:b/>
          <w:sz w:val="28"/>
          <w:szCs w:val="28"/>
        </w:rPr>
        <w:t>Strategic Plan Working Group on m</w:t>
      </w:r>
      <w:r w:rsidR="001233DE" w:rsidRPr="003A0727">
        <w:rPr>
          <w:rFonts w:asciiTheme="minorHAnsi" w:hAnsiTheme="minorHAnsi"/>
          <w:b/>
          <w:sz w:val="28"/>
          <w:szCs w:val="28"/>
        </w:rPr>
        <w:t xml:space="preserve">echanisms to enhance </w:t>
      </w:r>
      <w:r w:rsidR="001233DE" w:rsidRPr="003A0727">
        <w:rPr>
          <w:rFonts w:asciiTheme="minorHAnsi" w:eastAsiaTheme="minorHAnsi" w:hAnsiTheme="minorHAnsi" w:cs="Garamond"/>
          <w:b/>
          <w:color w:val="000000"/>
          <w:sz w:val="28"/>
          <w:szCs w:val="28"/>
          <w:lang w:eastAsia="en-US"/>
        </w:rPr>
        <w:t xml:space="preserve">the visibility and stature of the Ramsar Convention and increasing synergies </w:t>
      </w:r>
      <w:r w:rsidR="008E7A2A" w:rsidRPr="003A0727">
        <w:rPr>
          <w:rFonts w:ascii="Calibri" w:hAnsi="Calibri"/>
          <w:b/>
          <w:bCs/>
          <w:sz w:val="28"/>
          <w:szCs w:val="28"/>
        </w:rPr>
        <w:t xml:space="preserve">with </w:t>
      </w:r>
      <w:r w:rsidR="00100888" w:rsidRPr="003A0727">
        <w:rPr>
          <w:rFonts w:ascii="Calibri" w:hAnsi="Calibri"/>
          <w:b/>
          <w:sz w:val="28"/>
          <w:szCs w:val="28"/>
        </w:rPr>
        <w:t xml:space="preserve">multilateral environmental agreements </w:t>
      </w:r>
      <w:r w:rsidR="006D12B3" w:rsidRPr="003A0727">
        <w:rPr>
          <w:rFonts w:ascii="Calibri" w:hAnsi="Calibri"/>
          <w:b/>
          <w:sz w:val="28"/>
          <w:szCs w:val="28"/>
        </w:rPr>
        <w:t>(MEAs)</w:t>
      </w:r>
      <w:r w:rsidR="00100888" w:rsidRPr="003A0727">
        <w:rPr>
          <w:rFonts w:ascii="Calibri" w:hAnsi="Calibri"/>
          <w:b/>
          <w:sz w:val="28"/>
          <w:szCs w:val="28"/>
        </w:rPr>
        <w:t xml:space="preserve"> </w:t>
      </w:r>
      <w:r w:rsidR="008E7A2A" w:rsidRPr="003A0727">
        <w:rPr>
          <w:rFonts w:ascii="Calibri" w:hAnsi="Calibri"/>
          <w:b/>
          <w:sz w:val="28"/>
          <w:szCs w:val="28"/>
        </w:rPr>
        <w:t>and other international entities</w:t>
      </w:r>
    </w:p>
    <w:p w:rsidR="001233DE" w:rsidRDefault="001233DE" w:rsidP="001233DE">
      <w:pPr>
        <w:suppressAutoHyphens/>
        <w:jc w:val="both"/>
        <w:rPr>
          <w:rFonts w:asciiTheme="minorHAnsi" w:hAnsiTheme="minorHAnsi"/>
          <w:b/>
          <w:bCs/>
          <w:sz w:val="28"/>
          <w:szCs w:val="28"/>
        </w:rPr>
      </w:pPr>
    </w:p>
    <w:p w:rsidR="001233DE" w:rsidRPr="00100888" w:rsidRDefault="00487333" w:rsidP="00100888">
      <w:pPr>
        <w:autoSpaceDE w:val="0"/>
        <w:autoSpaceDN w:val="0"/>
        <w:adjustRightInd w:val="0"/>
        <w:rPr>
          <w:rFonts w:asciiTheme="minorHAnsi" w:eastAsiaTheme="minorHAnsi" w:hAnsiTheme="minorHAnsi" w:cs="Calibri-Bold"/>
          <w:b/>
          <w:bCs/>
          <w:sz w:val="22"/>
          <w:szCs w:val="22"/>
          <w:lang w:eastAsia="en-US"/>
        </w:rPr>
      </w:pPr>
      <w:r w:rsidRPr="00487333">
        <w:rPr>
          <w:rFonts w:asciiTheme="minorHAnsi" w:eastAsiaTheme="minorHAnsi" w:hAnsiTheme="minorHAnsi" w:cs="Calibri-Bold"/>
          <w:b/>
          <w:bCs/>
          <w:sz w:val="22"/>
          <w:szCs w:val="22"/>
          <w:lang w:eastAsia="en-US"/>
        </w:rPr>
        <w:t>Background</w:t>
      </w:r>
    </w:p>
    <w:p w:rsidR="001233DE" w:rsidRDefault="001233DE" w:rsidP="00100888">
      <w:pPr>
        <w:autoSpaceDE w:val="0"/>
        <w:autoSpaceDN w:val="0"/>
        <w:adjustRightInd w:val="0"/>
        <w:rPr>
          <w:rFonts w:asciiTheme="minorHAnsi" w:eastAsiaTheme="minorHAnsi" w:hAnsiTheme="minorHAnsi" w:cs="Calibri-Bold"/>
          <w:bCs/>
          <w:sz w:val="22"/>
          <w:szCs w:val="22"/>
          <w:lang w:eastAsia="en-US"/>
        </w:rPr>
      </w:pPr>
    </w:p>
    <w:p w:rsidR="00D91024" w:rsidRDefault="001233DE">
      <w:pPr>
        <w:pStyle w:val="ListParagraph"/>
        <w:numPr>
          <w:ilvl w:val="0"/>
          <w:numId w:val="3"/>
        </w:numPr>
        <w:autoSpaceDE w:val="0"/>
        <w:autoSpaceDN w:val="0"/>
        <w:adjustRightInd w:val="0"/>
        <w:ind w:left="426" w:hanging="426"/>
        <w:jc w:val="left"/>
        <w:rPr>
          <w:rFonts w:asciiTheme="minorHAnsi" w:eastAsiaTheme="minorHAnsi" w:hAnsiTheme="minorHAnsi" w:cs="Calibri-Bold"/>
          <w:bCs/>
        </w:rPr>
      </w:pPr>
      <w:r w:rsidRPr="00806209">
        <w:rPr>
          <w:rFonts w:asciiTheme="minorHAnsi" w:eastAsiaTheme="minorHAnsi" w:hAnsiTheme="minorHAnsi" w:cs="Calibri-Bold"/>
          <w:bCs/>
        </w:rPr>
        <w:t>Standing Committee 47</w:t>
      </w:r>
      <w:r w:rsidR="008E7A2A">
        <w:rPr>
          <w:rFonts w:asciiTheme="minorHAnsi" w:eastAsiaTheme="minorHAnsi" w:hAnsiTheme="minorHAnsi" w:cs="Calibri-Bold"/>
          <w:bCs/>
        </w:rPr>
        <w:t>,</w:t>
      </w:r>
      <w:r w:rsidRPr="00806209">
        <w:rPr>
          <w:rFonts w:asciiTheme="minorHAnsi" w:eastAsiaTheme="minorHAnsi" w:hAnsiTheme="minorHAnsi" w:cs="Calibri-Bold"/>
          <w:bCs/>
        </w:rPr>
        <w:t xml:space="preserve"> through Decision SC47-07</w:t>
      </w:r>
      <w:r w:rsidR="008E7A2A">
        <w:rPr>
          <w:rFonts w:asciiTheme="minorHAnsi" w:eastAsiaTheme="minorHAnsi" w:hAnsiTheme="minorHAnsi" w:cs="Calibri-Bold"/>
          <w:bCs/>
        </w:rPr>
        <w:t>,</w:t>
      </w:r>
      <w:r w:rsidR="00941D6F" w:rsidRPr="00806209">
        <w:rPr>
          <w:rFonts w:asciiTheme="minorHAnsi" w:eastAsiaTheme="minorHAnsi" w:hAnsiTheme="minorHAnsi" w:cs="Calibri-Bold"/>
          <w:bCs/>
        </w:rPr>
        <w:t xml:space="preserve"> decided to address issues </w:t>
      </w:r>
      <w:r w:rsidR="00645412">
        <w:rPr>
          <w:rFonts w:asciiTheme="minorHAnsi" w:eastAsiaTheme="minorHAnsi" w:hAnsiTheme="minorHAnsi" w:cs="Calibri-Bold"/>
          <w:bCs/>
        </w:rPr>
        <w:t>of visibility,</w:t>
      </w:r>
      <w:r w:rsidR="00645412" w:rsidRPr="00806209">
        <w:rPr>
          <w:rFonts w:asciiTheme="minorHAnsi" w:eastAsiaTheme="minorHAnsi" w:hAnsiTheme="minorHAnsi" w:cs="Calibri-Bold"/>
          <w:bCs/>
        </w:rPr>
        <w:t xml:space="preserve"> stature and synergies </w:t>
      </w:r>
      <w:r w:rsidR="008D14FE">
        <w:rPr>
          <w:rFonts w:asciiTheme="minorHAnsi" w:eastAsiaTheme="minorHAnsi" w:hAnsiTheme="minorHAnsi" w:cs="Calibri-Bold"/>
          <w:bCs/>
        </w:rPr>
        <w:t>“</w:t>
      </w:r>
      <w:r w:rsidR="00941D6F" w:rsidRPr="00806209">
        <w:rPr>
          <w:rFonts w:asciiTheme="minorHAnsi" w:eastAsiaTheme="minorHAnsi" w:hAnsiTheme="minorHAnsi" w:cs="Calibri-Bold"/>
          <w:bCs/>
        </w:rPr>
        <w:t xml:space="preserve">within the Strategic Plan Working Group and </w:t>
      </w:r>
      <w:r w:rsidR="008D14FE">
        <w:rPr>
          <w:rFonts w:asciiTheme="minorHAnsi" w:eastAsiaTheme="minorHAnsi" w:hAnsiTheme="minorHAnsi" w:cs="Calibri-Bold"/>
          <w:bCs/>
        </w:rPr>
        <w:t>in</w:t>
      </w:r>
      <w:r w:rsidR="008E7A2A" w:rsidRPr="00806209">
        <w:rPr>
          <w:rFonts w:asciiTheme="minorHAnsi" w:eastAsiaTheme="minorHAnsi" w:hAnsiTheme="minorHAnsi" w:cs="Calibri-Bold"/>
          <w:bCs/>
        </w:rPr>
        <w:t xml:space="preserve"> </w:t>
      </w:r>
      <w:r w:rsidR="00941D6F" w:rsidRPr="00806209">
        <w:rPr>
          <w:rFonts w:asciiTheme="minorHAnsi" w:eastAsiaTheme="minorHAnsi" w:hAnsiTheme="minorHAnsi" w:cs="Calibri-Bold"/>
          <w:bCs/>
        </w:rPr>
        <w:t>follow</w:t>
      </w:r>
      <w:r w:rsidR="00941D6F" w:rsidRPr="00806209">
        <w:rPr>
          <w:rFonts w:asciiTheme="minorHAnsi" w:eastAsiaTheme="minorHAnsi" w:hAnsiTheme="minorHAnsi" w:cs="Cambria Math"/>
          <w:bCs/>
        </w:rPr>
        <w:t>‐</w:t>
      </w:r>
      <w:r w:rsidR="00941D6F" w:rsidRPr="00806209">
        <w:rPr>
          <w:rFonts w:asciiTheme="minorHAnsi" w:eastAsiaTheme="minorHAnsi" w:hAnsiTheme="minorHAnsi" w:cs="Calibri-Bold"/>
          <w:bCs/>
        </w:rPr>
        <w:t>up to</w:t>
      </w:r>
      <w:r w:rsidR="00806209">
        <w:rPr>
          <w:rFonts w:asciiTheme="minorHAnsi" w:eastAsiaTheme="minorHAnsi" w:hAnsiTheme="minorHAnsi" w:cs="Calibri-Bold"/>
          <w:bCs/>
        </w:rPr>
        <w:t xml:space="preserve"> Resolution XI.1 for discussion at SC48 as </w:t>
      </w:r>
      <w:r w:rsidR="008D14FE">
        <w:rPr>
          <w:rFonts w:asciiTheme="minorHAnsi" w:eastAsiaTheme="minorHAnsi" w:hAnsiTheme="minorHAnsi" w:cs="Calibri-Bold"/>
          <w:bCs/>
        </w:rPr>
        <w:t>appropriate”</w:t>
      </w:r>
      <w:r w:rsidR="00806209">
        <w:rPr>
          <w:rFonts w:asciiTheme="minorHAnsi" w:eastAsiaTheme="minorHAnsi" w:hAnsiTheme="minorHAnsi" w:cs="Calibri-Bold"/>
          <w:bCs/>
        </w:rPr>
        <w:t>.</w:t>
      </w:r>
    </w:p>
    <w:p w:rsidR="00D91024" w:rsidRDefault="00D91024">
      <w:pPr>
        <w:autoSpaceDE w:val="0"/>
        <w:autoSpaceDN w:val="0"/>
        <w:adjustRightInd w:val="0"/>
        <w:ind w:left="426" w:hanging="426"/>
        <w:rPr>
          <w:rFonts w:asciiTheme="minorHAnsi" w:eastAsiaTheme="minorHAnsi" w:hAnsiTheme="minorHAnsi" w:cs="Calibri-Bold"/>
          <w:bCs/>
          <w:sz w:val="22"/>
          <w:szCs w:val="22"/>
          <w:lang w:eastAsia="en-US"/>
        </w:rPr>
      </w:pPr>
    </w:p>
    <w:p w:rsidR="00D91024" w:rsidRDefault="008D14FE">
      <w:pPr>
        <w:pStyle w:val="ListParagraph"/>
        <w:numPr>
          <w:ilvl w:val="0"/>
          <w:numId w:val="3"/>
        </w:numPr>
        <w:autoSpaceDE w:val="0"/>
        <w:autoSpaceDN w:val="0"/>
        <w:adjustRightInd w:val="0"/>
        <w:ind w:left="426" w:hanging="426"/>
        <w:jc w:val="left"/>
        <w:rPr>
          <w:rFonts w:asciiTheme="minorHAnsi" w:eastAsiaTheme="minorHAnsi" w:hAnsiTheme="minorHAnsi" w:cs="Calibri-Bold"/>
          <w:bCs/>
        </w:rPr>
      </w:pPr>
      <w:r>
        <w:rPr>
          <w:rFonts w:asciiTheme="minorHAnsi" w:eastAsiaTheme="minorHAnsi" w:hAnsiTheme="minorHAnsi" w:cs="Calibri-Bold"/>
          <w:bCs/>
        </w:rPr>
        <w:t>Accordingly</w:t>
      </w:r>
      <w:r w:rsidR="008E7A2A">
        <w:rPr>
          <w:rFonts w:asciiTheme="minorHAnsi" w:eastAsiaTheme="minorHAnsi" w:hAnsiTheme="minorHAnsi" w:cs="Calibri-Bold"/>
          <w:bCs/>
        </w:rPr>
        <w:t>, during</w:t>
      </w:r>
      <w:r w:rsidR="001233DE" w:rsidRPr="00806209">
        <w:rPr>
          <w:rFonts w:asciiTheme="minorHAnsi" w:eastAsiaTheme="minorHAnsi" w:hAnsiTheme="minorHAnsi" w:cs="Calibri-Bold"/>
          <w:bCs/>
        </w:rPr>
        <w:t xml:space="preserve"> the preparation of </w:t>
      </w:r>
      <w:r w:rsidR="008E7A2A">
        <w:rPr>
          <w:rFonts w:asciiTheme="minorHAnsi" w:eastAsiaTheme="minorHAnsi" w:hAnsiTheme="minorHAnsi" w:cs="Calibri-Bold"/>
          <w:bCs/>
        </w:rPr>
        <w:t xml:space="preserve">the </w:t>
      </w:r>
      <w:r w:rsidR="001233DE" w:rsidRPr="00806209">
        <w:rPr>
          <w:rFonts w:asciiTheme="minorHAnsi" w:eastAsiaTheme="minorHAnsi" w:hAnsiTheme="minorHAnsi" w:cs="Calibri-Bold"/>
          <w:bCs/>
        </w:rPr>
        <w:t>4</w:t>
      </w:r>
      <w:r w:rsidR="001233DE" w:rsidRPr="00806209">
        <w:rPr>
          <w:rFonts w:asciiTheme="minorHAnsi" w:eastAsiaTheme="minorHAnsi" w:hAnsiTheme="minorHAnsi" w:cs="Calibri-Bold"/>
          <w:bCs/>
          <w:vertAlign w:val="superscript"/>
        </w:rPr>
        <w:t>th</w:t>
      </w:r>
      <w:r w:rsidR="001233DE" w:rsidRPr="00806209">
        <w:rPr>
          <w:rFonts w:asciiTheme="minorHAnsi" w:eastAsiaTheme="minorHAnsi" w:hAnsiTheme="minorHAnsi" w:cs="Calibri-Bold"/>
          <w:bCs/>
        </w:rPr>
        <w:t xml:space="preserve"> Ramsar Strategic Plan</w:t>
      </w:r>
      <w:r w:rsidR="008E7A2A">
        <w:rPr>
          <w:rFonts w:asciiTheme="minorHAnsi" w:eastAsiaTheme="minorHAnsi" w:hAnsiTheme="minorHAnsi" w:cs="Calibri-Bold"/>
          <w:bCs/>
        </w:rPr>
        <w:t>,</w:t>
      </w:r>
      <w:r w:rsidR="001233DE" w:rsidRPr="00806209">
        <w:rPr>
          <w:rFonts w:asciiTheme="minorHAnsi" w:eastAsiaTheme="minorHAnsi" w:hAnsiTheme="minorHAnsi" w:cs="Calibri-Bold"/>
          <w:bCs/>
        </w:rPr>
        <w:t xml:space="preserve"> the consultant included considerations on this matter</w:t>
      </w:r>
      <w:r w:rsidR="008E7A2A">
        <w:rPr>
          <w:rFonts w:asciiTheme="minorHAnsi" w:eastAsiaTheme="minorHAnsi" w:hAnsiTheme="minorHAnsi" w:cs="Calibri-Bold"/>
          <w:bCs/>
        </w:rPr>
        <w:t xml:space="preserve"> and the </w:t>
      </w:r>
      <w:r w:rsidR="008E7A2A" w:rsidRPr="00806209">
        <w:rPr>
          <w:rFonts w:asciiTheme="minorHAnsi" w:eastAsiaTheme="minorHAnsi" w:hAnsiTheme="minorHAnsi" w:cs="Calibri-Bold"/>
          <w:bCs/>
        </w:rPr>
        <w:t>Strategic Plan</w:t>
      </w:r>
      <w:r w:rsidR="008E7A2A">
        <w:rPr>
          <w:rFonts w:asciiTheme="minorHAnsi" w:eastAsiaTheme="minorHAnsi" w:hAnsiTheme="minorHAnsi" w:cs="Calibri-Bold"/>
          <w:bCs/>
        </w:rPr>
        <w:t xml:space="preserve"> Working Group discussed the themes</w:t>
      </w:r>
      <w:r w:rsidR="001233DE" w:rsidRPr="00806209">
        <w:rPr>
          <w:rFonts w:asciiTheme="minorHAnsi" w:eastAsiaTheme="minorHAnsi" w:hAnsiTheme="minorHAnsi" w:cs="Calibri-Bold"/>
          <w:bCs/>
        </w:rPr>
        <w:t>.</w:t>
      </w:r>
    </w:p>
    <w:p w:rsidR="00D91024" w:rsidRDefault="00D91024">
      <w:pPr>
        <w:autoSpaceDE w:val="0"/>
        <w:autoSpaceDN w:val="0"/>
        <w:adjustRightInd w:val="0"/>
        <w:ind w:left="426" w:hanging="426"/>
        <w:rPr>
          <w:rFonts w:asciiTheme="minorHAnsi" w:eastAsiaTheme="minorHAnsi" w:hAnsiTheme="minorHAnsi" w:cs="Calibri-Bold"/>
          <w:bCs/>
          <w:sz w:val="22"/>
          <w:szCs w:val="22"/>
          <w:lang w:eastAsia="en-US"/>
        </w:rPr>
      </w:pPr>
    </w:p>
    <w:p w:rsidR="00D91024" w:rsidRDefault="00100888">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The Contr</w:t>
      </w:r>
      <w:r w:rsidRPr="00806209">
        <w:rPr>
          <w:rFonts w:asciiTheme="minorHAnsi" w:eastAsiaTheme="minorHAnsi" w:hAnsiTheme="minorHAnsi" w:cs="Calibri-Bold"/>
          <w:bCs/>
        </w:rPr>
        <w:t>a</w:t>
      </w:r>
      <w:r>
        <w:rPr>
          <w:rFonts w:asciiTheme="minorHAnsi" w:eastAsiaTheme="minorHAnsi" w:hAnsiTheme="minorHAnsi" w:cs="Calibri-Bold"/>
          <w:bCs/>
        </w:rPr>
        <w:t xml:space="preserve">cting Parties </w:t>
      </w:r>
      <w:r w:rsidRPr="00806209">
        <w:rPr>
          <w:rFonts w:asciiTheme="minorHAnsi" w:eastAsiaTheme="minorHAnsi" w:hAnsiTheme="minorHAnsi" w:cs="Calibri-Bold"/>
          <w:bCs/>
        </w:rPr>
        <w:t>have identifie</w:t>
      </w:r>
      <w:r>
        <w:rPr>
          <w:rFonts w:asciiTheme="minorHAnsi" w:eastAsiaTheme="minorHAnsi" w:hAnsiTheme="minorHAnsi" w:cs="Calibri-Bold"/>
          <w:bCs/>
        </w:rPr>
        <w:t>d k</w:t>
      </w:r>
      <w:r w:rsidRPr="00806209">
        <w:rPr>
          <w:rFonts w:asciiTheme="minorHAnsi" w:eastAsiaTheme="minorHAnsi" w:hAnsiTheme="minorHAnsi" w:cs="Calibri-Bold"/>
          <w:bCs/>
        </w:rPr>
        <w:t xml:space="preserve">ey elements </w:t>
      </w:r>
      <w:r>
        <w:rPr>
          <w:rFonts w:asciiTheme="minorHAnsi" w:eastAsiaTheme="minorHAnsi" w:hAnsiTheme="minorHAnsi" w:cs="Calibri-Bold"/>
          <w:bCs/>
        </w:rPr>
        <w:t>to increase the visibility and stature of the Convention and synergies with MEAs and others, through</w:t>
      </w:r>
      <w:r w:rsidR="001233DE" w:rsidRPr="00806209">
        <w:rPr>
          <w:rFonts w:asciiTheme="minorHAnsi" w:eastAsiaTheme="minorHAnsi" w:hAnsiTheme="minorHAnsi" w:cs="Calibri-Bold"/>
          <w:bCs/>
        </w:rPr>
        <w:t xml:space="preserve"> discussion</w:t>
      </w:r>
      <w:r w:rsidR="0064540F">
        <w:rPr>
          <w:rFonts w:asciiTheme="minorHAnsi" w:eastAsiaTheme="minorHAnsi" w:hAnsiTheme="minorHAnsi" w:cs="Calibri-Bold"/>
          <w:bCs/>
        </w:rPr>
        <w:t>s</w:t>
      </w:r>
      <w:r w:rsidR="001233DE" w:rsidRPr="00806209">
        <w:rPr>
          <w:rFonts w:asciiTheme="minorHAnsi" w:eastAsiaTheme="minorHAnsi" w:hAnsiTheme="minorHAnsi" w:cs="Calibri-Bold"/>
          <w:bCs/>
        </w:rPr>
        <w:t xml:space="preserve"> at SC47</w:t>
      </w:r>
      <w:r>
        <w:rPr>
          <w:rFonts w:asciiTheme="minorHAnsi" w:eastAsiaTheme="minorHAnsi" w:hAnsiTheme="minorHAnsi" w:cs="Calibri-Bold"/>
          <w:bCs/>
        </w:rPr>
        <w:t>,</w:t>
      </w:r>
      <w:r w:rsidR="001233DE" w:rsidRPr="00806209">
        <w:rPr>
          <w:rFonts w:asciiTheme="minorHAnsi" w:eastAsiaTheme="minorHAnsi" w:hAnsiTheme="minorHAnsi" w:cs="Calibri-Bold"/>
          <w:bCs/>
        </w:rPr>
        <w:t xml:space="preserve"> Strategic Plan Working Group meetings and review</w:t>
      </w:r>
      <w:r>
        <w:rPr>
          <w:rFonts w:asciiTheme="minorHAnsi" w:eastAsiaTheme="minorHAnsi" w:hAnsiTheme="minorHAnsi" w:cs="Calibri-Bold"/>
          <w:bCs/>
        </w:rPr>
        <w:t>s</w:t>
      </w:r>
      <w:r w:rsidR="001233DE" w:rsidRPr="00806209">
        <w:rPr>
          <w:rFonts w:asciiTheme="minorHAnsi" w:eastAsiaTheme="minorHAnsi" w:hAnsiTheme="minorHAnsi" w:cs="Calibri-Bold"/>
          <w:bCs/>
        </w:rPr>
        <w:t xml:space="preserve"> of </w:t>
      </w:r>
      <w:r>
        <w:rPr>
          <w:rFonts w:asciiTheme="minorHAnsi" w:eastAsiaTheme="minorHAnsi" w:hAnsiTheme="minorHAnsi" w:cs="Calibri-Bold"/>
          <w:bCs/>
        </w:rPr>
        <w:t xml:space="preserve">the </w:t>
      </w:r>
      <w:r w:rsidR="001233DE" w:rsidRPr="00806209">
        <w:rPr>
          <w:rFonts w:asciiTheme="minorHAnsi" w:eastAsiaTheme="minorHAnsi" w:hAnsiTheme="minorHAnsi" w:cs="Calibri-Bold"/>
          <w:bCs/>
        </w:rPr>
        <w:t>National Reports</w:t>
      </w:r>
      <w:r>
        <w:rPr>
          <w:rFonts w:asciiTheme="minorHAnsi" w:eastAsiaTheme="minorHAnsi" w:hAnsiTheme="minorHAnsi" w:cs="Calibri-Bold"/>
          <w:bCs/>
        </w:rPr>
        <w:t xml:space="preserve"> received. These are summarized below</w:t>
      </w:r>
      <w:r w:rsidR="00941D6F" w:rsidRPr="00806209">
        <w:rPr>
          <w:rFonts w:asciiTheme="minorHAnsi" w:eastAsiaTheme="minorHAnsi" w:hAnsiTheme="minorHAnsi" w:cs="Calibri-Bold"/>
          <w:bCs/>
        </w:rPr>
        <w:t xml:space="preserve"> </w:t>
      </w:r>
      <w:r>
        <w:rPr>
          <w:rFonts w:asciiTheme="minorHAnsi" w:eastAsiaTheme="minorHAnsi" w:hAnsiTheme="minorHAnsi" w:cs="Calibri-Bold"/>
          <w:bCs/>
        </w:rPr>
        <w:t xml:space="preserve">and </w:t>
      </w:r>
      <w:r w:rsidR="00941D6F" w:rsidRPr="00806209">
        <w:rPr>
          <w:rFonts w:asciiTheme="minorHAnsi" w:eastAsiaTheme="minorHAnsi" w:hAnsiTheme="minorHAnsi" w:cs="Calibri-Bold"/>
          <w:bCs/>
        </w:rPr>
        <w:t xml:space="preserve">included as </w:t>
      </w:r>
      <w:r w:rsidR="001233DE" w:rsidRPr="00806209">
        <w:rPr>
          <w:rFonts w:asciiTheme="minorHAnsi" w:eastAsiaTheme="minorHAnsi" w:hAnsiTheme="minorHAnsi" w:cs="Calibri-Bold"/>
          <w:bCs/>
        </w:rPr>
        <w:t xml:space="preserve">part of the </w:t>
      </w:r>
      <w:r>
        <w:rPr>
          <w:rFonts w:asciiTheme="minorHAnsi" w:eastAsiaTheme="minorHAnsi" w:hAnsiTheme="minorHAnsi" w:cs="Calibri-Bold"/>
          <w:bCs/>
        </w:rPr>
        <w:t>proposed draft resolution</w:t>
      </w:r>
      <w:r w:rsidR="001233DE" w:rsidRPr="00806209">
        <w:rPr>
          <w:rFonts w:asciiTheme="minorHAnsi" w:eastAsiaTheme="minorHAnsi" w:hAnsiTheme="minorHAnsi" w:cs="Calibri-Bold"/>
          <w:bCs/>
        </w:rPr>
        <w:t xml:space="preserve"> on </w:t>
      </w:r>
      <w:r w:rsidRPr="00806209">
        <w:rPr>
          <w:rFonts w:asciiTheme="minorHAnsi" w:eastAsiaTheme="minorHAnsi" w:hAnsiTheme="minorHAnsi" w:cs="Calibri-Bold"/>
          <w:bCs/>
        </w:rPr>
        <w:t>follow</w:t>
      </w:r>
      <w:r>
        <w:rPr>
          <w:rFonts w:asciiTheme="minorHAnsi" w:eastAsiaTheme="minorHAnsi" w:hAnsiTheme="minorHAnsi" w:cs="Calibri-Bold"/>
          <w:bCs/>
        </w:rPr>
        <w:t>-</w:t>
      </w:r>
      <w:r w:rsidR="001233DE" w:rsidRPr="00806209">
        <w:rPr>
          <w:rFonts w:asciiTheme="minorHAnsi" w:eastAsiaTheme="minorHAnsi" w:hAnsiTheme="minorHAnsi" w:cs="Calibri-Bold"/>
          <w:bCs/>
        </w:rPr>
        <w:t xml:space="preserve">up to Resolution XI.1 for Parties’ consideration </w:t>
      </w:r>
      <w:r w:rsidR="00941D6F" w:rsidRPr="00806209">
        <w:rPr>
          <w:rFonts w:asciiTheme="minorHAnsi" w:eastAsiaTheme="minorHAnsi" w:hAnsiTheme="minorHAnsi" w:cs="Calibri-Bold"/>
          <w:bCs/>
        </w:rPr>
        <w:t>at COP12.</w:t>
      </w:r>
    </w:p>
    <w:p w:rsidR="00D91024" w:rsidRDefault="00D91024">
      <w:pPr>
        <w:suppressAutoHyphens/>
        <w:rPr>
          <w:rFonts w:asciiTheme="minorHAnsi" w:eastAsiaTheme="minorHAnsi" w:hAnsiTheme="minorHAnsi" w:cs="Calibri-Bold"/>
          <w:bCs/>
          <w:sz w:val="22"/>
          <w:szCs w:val="22"/>
        </w:rPr>
      </w:pPr>
    </w:p>
    <w:p w:rsidR="00D91024" w:rsidRDefault="00487333">
      <w:pPr>
        <w:suppressAutoHyphens/>
        <w:rPr>
          <w:rFonts w:asciiTheme="minorHAnsi" w:eastAsiaTheme="minorHAnsi" w:hAnsiTheme="minorHAnsi" w:cs="Calibri-Bold"/>
          <w:b/>
          <w:bCs/>
          <w:sz w:val="22"/>
          <w:szCs w:val="22"/>
        </w:rPr>
      </w:pPr>
      <w:r w:rsidRPr="00487333">
        <w:rPr>
          <w:rFonts w:asciiTheme="minorHAnsi" w:eastAsiaTheme="minorHAnsi" w:hAnsiTheme="minorHAnsi" w:cs="Calibri-Bold"/>
          <w:b/>
          <w:bCs/>
          <w:sz w:val="22"/>
          <w:szCs w:val="22"/>
        </w:rPr>
        <w:t>Elements</w:t>
      </w:r>
      <w:r w:rsidR="003A0727">
        <w:rPr>
          <w:rFonts w:asciiTheme="minorHAnsi" w:eastAsiaTheme="minorHAnsi" w:hAnsiTheme="minorHAnsi" w:cs="Calibri-Bold"/>
          <w:b/>
          <w:bCs/>
          <w:sz w:val="22"/>
          <w:szCs w:val="22"/>
        </w:rPr>
        <w:t xml:space="preserve"> </w:t>
      </w:r>
      <w:r w:rsidRPr="00487333">
        <w:rPr>
          <w:rFonts w:asciiTheme="minorHAnsi" w:eastAsiaTheme="minorHAnsi" w:hAnsiTheme="minorHAnsi" w:cs="Calibri-Bold"/>
          <w:b/>
          <w:bCs/>
          <w:sz w:val="22"/>
          <w:szCs w:val="22"/>
        </w:rPr>
        <w:t>to enhance the visibility and stature of the Ramsar Convention</w:t>
      </w:r>
    </w:p>
    <w:p w:rsidR="00D91024" w:rsidRDefault="00D91024">
      <w:pPr>
        <w:suppressAutoHyphens/>
        <w:rPr>
          <w:rFonts w:asciiTheme="minorHAnsi" w:eastAsiaTheme="minorHAnsi" w:hAnsiTheme="minorHAnsi" w:cs="Calibri-Bold"/>
          <w:bCs/>
          <w:sz w:val="22"/>
          <w:szCs w:val="22"/>
          <w:u w:val="single"/>
        </w:rPr>
      </w:pPr>
    </w:p>
    <w:p w:rsidR="00D91024" w:rsidRDefault="00033522">
      <w:pPr>
        <w:suppressAutoHyphens/>
        <w:rPr>
          <w:rFonts w:asciiTheme="minorHAnsi" w:eastAsiaTheme="minorHAnsi" w:hAnsiTheme="minorHAnsi" w:cs="Calibri-Bold"/>
          <w:bCs/>
          <w:sz w:val="22"/>
          <w:szCs w:val="22"/>
          <w:u w:val="single"/>
        </w:rPr>
      </w:pPr>
      <w:r w:rsidRPr="00F427E1">
        <w:rPr>
          <w:rFonts w:asciiTheme="minorHAnsi" w:eastAsiaTheme="minorHAnsi" w:hAnsiTheme="minorHAnsi" w:cs="Calibri-Bold"/>
          <w:bCs/>
          <w:sz w:val="22"/>
          <w:szCs w:val="22"/>
          <w:u w:val="single"/>
        </w:rPr>
        <w:t>High</w:t>
      </w:r>
      <w:r w:rsidR="00100888">
        <w:rPr>
          <w:rFonts w:asciiTheme="minorHAnsi" w:eastAsiaTheme="minorHAnsi" w:hAnsiTheme="minorHAnsi" w:cs="Calibri-Bold"/>
          <w:bCs/>
          <w:sz w:val="22"/>
          <w:szCs w:val="22"/>
          <w:u w:val="single"/>
        </w:rPr>
        <w:t>-</w:t>
      </w:r>
      <w:r w:rsidRPr="00F427E1">
        <w:rPr>
          <w:rFonts w:asciiTheme="minorHAnsi" w:eastAsiaTheme="minorHAnsi" w:hAnsiTheme="minorHAnsi" w:cs="Calibri-Bold"/>
          <w:bCs/>
          <w:sz w:val="22"/>
          <w:szCs w:val="22"/>
          <w:u w:val="single"/>
        </w:rPr>
        <w:t>level segments at the Conference of the Parties</w:t>
      </w:r>
    </w:p>
    <w:p w:rsidR="00D91024" w:rsidRDefault="00D91024">
      <w:pPr>
        <w:suppressAutoHyphens/>
        <w:rPr>
          <w:rFonts w:asciiTheme="minorHAnsi" w:eastAsiaTheme="minorHAnsi" w:hAnsiTheme="minorHAnsi" w:cs="Calibri-Bold"/>
          <w:bCs/>
          <w:sz w:val="22"/>
          <w:szCs w:val="22"/>
        </w:rPr>
      </w:pPr>
    </w:p>
    <w:p w:rsidR="00D91024" w:rsidRDefault="00033522">
      <w:pPr>
        <w:pStyle w:val="ListParagraph"/>
        <w:numPr>
          <w:ilvl w:val="0"/>
          <w:numId w:val="3"/>
        </w:numPr>
        <w:suppressAutoHyphens/>
        <w:ind w:left="426" w:hanging="426"/>
        <w:jc w:val="left"/>
        <w:rPr>
          <w:rFonts w:asciiTheme="minorHAnsi" w:eastAsiaTheme="minorHAnsi" w:hAnsiTheme="minorHAnsi" w:cs="Calibri-Bold"/>
          <w:bCs/>
        </w:rPr>
      </w:pPr>
      <w:r w:rsidRPr="00806209">
        <w:rPr>
          <w:rFonts w:asciiTheme="minorHAnsi" w:eastAsiaTheme="minorHAnsi" w:hAnsiTheme="minorHAnsi" w:cs="Calibri-Bold"/>
          <w:bCs/>
        </w:rPr>
        <w:t>For some years now, at Standing Committee meetings</w:t>
      </w:r>
      <w:r w:rsidR="0064540F">
        <w:rPr>
          <w:rFonts w:asciiTheme="minorHAnsi" w:eastAsiaTheme="minorHAnsi" w:hAnsiTheme="minorHAnsi" w:cs="Calibri-Bold"/>
          <w:bCs/>
        </w:rPr>
        <w:t>,</w:t>
      </w:r>
      <w:r w:rsidRPr="00806209">
        <w:rPr>
          <w:rFonts w:asciiTheme="minorHAnsi" w:eastAsiaTheme="minorHAnsi" w:hAnsiTheme="minorHAnsi" w:cs="Calibri-Bold"/>
          <w:bCs/>
        </w:rPr>
        <w:t xml:space="preserve"> some Parties have indicated that the establishment of high</w:t>
      </w:r>
      <w:r w:rsidR="00100888">
        <w:rPr>
          <w:rFonts w:asciiTheme="minorHAnsi" w:eastAsiaTheme="minorHAnsi" w:hAnsiTheme="minorHAnsi" w:cs="Calibri-Bold"/>
          <w:bCs/>
        </w:rPr>
        <w:t>-</w:t>
      </w:r>
      <w:r w:rsidRPr="00806209">
        <w:rPr>
          <w:rFonts w:asciiTheme="minorHAnsi" w:eastAsiaTheme="minorHAnsi" w:hAnsiTheme="minorHAnsi" w:cs="Calibri-Bold"/>
          <w:bCs/>
        </w:rPr>
        <w:t xml:space="preserve">level segments during the Conference of the </w:t>
      </w:r>
      <w:r w:rsidR="00BA2127" w:rsidRPr="00806209">
        <w:rPr>
          <w:rFonts w:asciiTheme="minorHAnsi" w:eastAsiaTheme="minorHAnsi" w:hAnsiTheme="minorHAnsi" w:cs="Calibri-Bold"/>
          <w:bCs/>
        </w:rPr>
        <w:t>Parties</w:t>
      </w:r>
      <w:r w:rsidRPr="00806209">
        <w:rPr>
          <w:rFonts w:asciiTheme="minorHAnsi" w:eastAsiaTheme="minorHAnsi" w:hAnsiTheme="minorHAnsi" w:cs="Calibri-Bold"/>
          <w:bCs/>
        </w:rPr>
        <w:t xml:space="preserve"> </w:t>
      </w:r>
      <w:r w:rsidR="0064540F">
        <w:rPr>
          <w:rFonts w:asciiTheme="minorHAnsi" w:eastAsiaTheme="minorHAnsi" w:hAnsiTheme="minorHAnsi" w:cs="Calibri-Bold"/>
          <w:bCs/>
        </w:rPr>
        <w:t>would be</w:t>
      </w:r>
      <w:r w:rsidR="0064540F" w:rsidRPr="00806209">
        <w:rPr>
          <w:rFonts w:asciiTheme="minorHAnsi" w:eastAsiaTheme="minorHAnsi" w:hAnsiTheme="minorHAnsi" w:cs="Calibri-Bold"/>
          <w:bCs/>
        </w:rPr>
        <w:t xml:space="preserve"> </w:t>
      </w:r>
      <w:r w:rsidRPr="00806209">
        <w:rPr>
          <w:rFonts w:asciiTheme="minorHAnsi" w:eastAsiaTheme="minorHAnsi" w:hAnsiTheme="minorHAnsi" w:cs="Calibri-Bold"/>
          <w:bCs/>
        </w:rPr>
        <w:t xml:space="preserve">a useful mechanism to increase the visibility </w:t>
      </w:r>
      <w:r w:rsidR="00100888" w:rsidRPr="00806209">
        <w:rPr>
          <w:rFonts w:asciiTheme="minorHAnsi" w:eastAsiaTheme="minorHAnsi" w:hAnsiTheme="minorHAnsi" w:cs="Calibri-Bold"/>
          <w:bCs/>
        </w:rPr>
        <w:t xml:space="preserve">of the Convention </w:t>
      </w:r>
      <w:r w:rsidRPr="00806209">
        <w:rPr>
          <w:rFonts w:asciiTheme="minorHAnsi" w:eastAsiaTheme="minorHAnsi" w:hAnsiTheme="minorHAnsi" w:cs="Calibri-Bold"/>
          <w:bCs/>
        </w:rPr>
        <w:t xml:space="preserve">and political engagement in </w:t>
      </w:r>
      <w:r w:rsidR="00100888">
        <w:rPr>
          <w:rFonts w:asciiTheme="minorHAnsi" w:eastAsiaTheme="minorHAnsi" w:hAnsiTheme="minorHAnsi" w:cs="Calibri-Bold"/>
          <w:bCs/>
        </w:rPr>
        <w:t xml:space="preserve">it </w:t>
      </w:r>
      <w:r w:rsidR="0010584A" w:rsidRPr="00806209">
        <w:rPr>
          <w:rFonts w:asciiTheme="minorHAnsi" w:eastAsiaTheme="minorHAnsi" w:hAnsiTheme="minorHAnsi" w:cs="Calibri-Bold"/>
          <w:bCs/>
        </w:rPr>
        <w:t xml:space="preserve">at the </w:t>
      </w:r>
      <w:r w:rsidR="00487333" w:rsidRPr="00487333">
        <w:rPr>
          <w:rFonts w:asciiTheme="minorHAnsi" w:eastAsiaTheme="minorHAnsi" w:hAnsiTheme="minorHAnsi" w:cs="Calibri-Bold"/>
          <w:bCs/>
        </w:rPr>
        <w:t>global, regional and national level</w:t>
      </w:r>
      <w:r w:rsidR="00100888">
        <w:rPr>
          <w:rFonts w:asciiTheme="minorHAnsi" w:eastAsiaTheme="minorHAnsi" w:hAnsiTheme="minorHAnsi" w:cs="Calibri-Bold"/>
          <w:bCs/>
        </w:rPr>
        <w:t>s</w:t>
      </w:r>
      <w:r w:rsidR="00487333" w:rsidRPr="00487333">
        <w:rPr>
          <w:rFonts w:asciiTheme="minorHAnsi" w:eastAsiaTheme="minorHAnsi" w:hAnsiTheme="minorHAnsi" w:cs="Calibri-Bold"/>
          <w:bCs/>
        </w:rPr>
        <w:t>.</w:t>
      </w:r>
    </w:p>
    <w:p w:rsidR="00D91024" w:rsidRDefault="00D91024">
      <w:pPr>
        <w:pStyle w:val="ListParagraph"/>
        <w:suppressAutoHyphens/>
        <w:ind w:left="426"/>
        <w:jc w:val="left"/>
        <w:rPr>
          <w:rFonts w:asciiTheme="minorHAnsi" w:eastAsiaTheme="minorHAnsi" w:hAnsiTheme="minorHAnsi" w:cs="Calibri-Bold"/>
          <w:bCs/>
        </w:rPr>
      </w:pPr>
    </w:p>
    <w:p w:rsidR="00D91024" w:rsidRDefault="00487333">
      <w:pPr>
        <w:pStyle w:val="ListParagraph"/>
        <w:numPr>
          <w:ilvl w:val="0"/>
          <w:numId w:val="3"/>
        </w:numPr>
        <w:suppressAutoHyphens/>
        <w:ind w:left="426" w:hanging="426"/>
        <w:jc w:val="left"/>
        <w:rPr>
          <w:rFonts w:asciiTheme="minorHAnsi" w:eastAsiaTheme="minorHAnsi" w:hAnsiTheme="minorHAnsi" w:cs="Calibri-Bold"/>
          <w:bCs/>
        </w:rPr>
      </w:pPr>
      <w:r w:rsidRPr="00487333">
        <w:rPr>
          <w:rFonts w:asciiTheme="minorHAnsi" w:eastAsiaTheme="minorHAnsi" w:hAnsiTheme="minorHAnsi" w:cs="Calibri-Bold"/>
          <w:bCs/>
        </w:rPr>
        <w:t>Taking in</w:t>
      </w:r>
      <w:r w:rsidR="00100888">
        <w:rPr>
          <w:rFonts w:asciiTheme="minorHAnsi" w:eastAsiaTheme="minorHAnsi" w:hAnsiTheme="minorHAnsi" w:cs="Calibri-Bold"/>
          <w:bCs/>
        </w:rPr>
        <w:t>to</w:t>
      </w:r>
      <w:r w:rsidRPr="00487333">
        <w:rPr>
          <w:rFonts w:asciiTheme="minorHAnsi" w:eastAsiaTheme="minorHAnsi" w:hAnsiTheme="minorHAnsi" w:cs="Calibri-Bold"/>
          <w:bCs/>
        </w:rPr>
        <w:t xml:space="preserve"> consideration the different views on this topic, it has been indicated that all Parties </w:t>
      </w:r>
      <w:r w:rsidR="00100888">
        <w:rPr>
          <w:rFonts w:asciiTheme="minorHAnsi" w:eastAsiaTheme="minorHAnsi" w:hAnsiTheme="minorHAnsi" w:cs="Calibri-Bold"/>
          <w:bCs/>
        </w:rPr>
        <w:t xml:space="preserve">who might </w:t>
      </w:r>
      <w:r w:rsidRPr="00487333">
        <w:rPr>
          <w:rFonts w:asciiTheme="minorHAnsi" w:eastAsiaTheme="minorHAnsi" w:hAnsiTheme="minorHAnsi" w:cs="Calibri-Bold"/>
          <w:bCs/>
        </w:rPr>
        <w:t>host future meetings of the Conference of the Parties could</w:t>
      </w:r>
      <w:r w:rsidR="003A0727">
        <w:rPr>
          <w:rFonts w:asciiTheme="minorHAnsi" w:eastAsiaTheme="minorHAnsi" w:hAnsiTheme="minorHAnsi" w:cs="Calibri-Bold"/>
          <w:bCs/>
        </w:rPr>
        <w:t xml:space="preserve"> </w:t>
      </w:r>
      <w:r w:rsidRPr="00487333">
        <w:rPr>
          <w:rFonts w:asciiTheme="minorHAnsi" w:eastAsiaTheme="minorHAnsi" w:hAnsiTheme="minorHAnsi" w:cs="Calibri-Bold"/>
          <w:bCs/>
        </w:rPr>
        <w:t>consider the establishment of a high</w:t>
      </w:r>
      <w:r w:rsidR="00100888">
        <w:rPr>
          <w:rFonts w:asciiTheme="minorHAnsi" w:eastAsiaTheme="minorHAnsi" w:hAnsiTheme="minorHAnsi" w:cs="Calibri-Bold"/>
          <w:bCs/>
        </w:rPr>
        <w:t>-level</w:t>
      </w:r>
      <w:r w:rsidRPr="00487333">
        <w:rPr>
          <w:rFonts w:asciiTheme="minorHAnsi" w:eastAsiaTheme="minorHAnsi" w:hAnsiTheme="minorHAnsi" w:cs="Calibri-Bold"/>
          <w:bCs/>
        </w:rPr>
        <w:t xml:space="preserve"> ministerial segment to improve the visibility of the Convention.</w:t>
      </w:r>
      <w:r w:rsidR="003A0727">
        <w:rPr>
          <w:rFonts w:asciiTheme="minorHAnsi" w:eastAsiaTheme="minorHAnsi" w:hAnsiTheme="minorHAnsi" w:cs="Calibri-Bold"/>
          <w:bCs/>
        </w:rPr>
        <w:t xml:space="preserve"> </w:t>
      </w:r>
    </w:p>
    <w:p w:rsidR="00D91024" w:rsidRDefault="00D91024">
      <w:pPr>
        <w:pStyle w:val="ListParagraph"/>
        <w:suppressAutoHyphens/>
        <w:ind w:left="426"/>
        <w:jc w:val="left"/>
        <w:rPr>
          <w:rFonts w:asciiTheme="minorHAnsi" w:eastAsiaTheme="minorHAnsi" w:hAnsiTheme="minorHAnsi" w:cs="Calibri-Bold"/>
          <w:bCs/>
        </w:rPr>
      </w:pPr>
    </w:p>
    <w:p w:rsidR="00D91024" w:rsidRDefault="00100888">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T</w:t>
      </w:r>
      <w:r w:rsidR="00033522" w:rsidRPr="00806209">
        <w:rPr>
          <w:rFonts w:asciiTheme="minorHAnsi" w:eastAsiaTheme="minorHAnsi" w:hAnsiTheme="minorHAnsi" w:cs="Calibri-Bold"/>
          <w:bCs/>
        </w:rPr>
        <w:t xml:space="preserve">he Convention on Biological Diversity </w:t>
      </w:r>
      <w:r w:rsidR="008212B3">
        <w:rPr>
          <w:rFonts w:asciiTheme="minorHAnsi" w:eastAsiaTheme="minorHAnsi" w:hAnsiTheme="minorHAnsi" w:cs="Calibri-Bold"/>
          <w:bCs/>
        </w:rPr>
        <w:t xml:space="preserve">(CBD) </w:t>
      </w:r>
      <w:r w:rsidR="00033522" w:rsidRPr="00806209">
        <w:rPr>
          <w:rFonts w:asciiTheme="minorHAnsi" w:eastAsiaTheme="minorHAnsi" w:hAnsiTheme="minorHAnsi" w:cs="Calibri-Bold"/>
          <w:bCs/>
        </w:rPr>
        <w:t>and more recently the Convention on Migratory Species</w:t>
      </w:r>
      <w:r>
        <w:rPr>
          <w:rFonts w:asciiTheme="minorHAnsi" w:eastAsiaTheme="minorHAnsi" w:hAnsiTheme="minorHAnsi" w:cs="Calibri-Bold"/>
          <w:bCs/>
        </w:rPr>
        <w:t xml:space="preserve"> </w:t>
      </w:r>
      <w:r w:rsidR="008212B3">
        <w:rPr>
          <w:rFonts w:asciiTheme="minorHAnsi" w:eastAsiaTheme="minorHAnsi" w:hAnsiTheme="minorHAnsi" w:cs="Calibri-Bold"/>
          <w:bCs/>
        </w:rPr>
        <w:t xml:space="preserve">(CMS) </w:t>
      </w:r>
      <w:r>
        <w:rPr>
          <w:rFonts w:asciiTheme="minorHAnsi" w:eastAsiaTheme="minorHAnsi" w:hAnsiTheme="minorHAnsi" w:cs="Calibri-Bold"/>
          <w:bCs/>
        </w:rPr>
        <w:t>have successfully inc</w:t>
      </w:r>
      <w:r w:rsidR="00BC245F">
        <w:rPr>
          <w:rFonts w:asciiTheme="minorHAnsi" w:eastAsiaTheme="minorHAnsi" w:hAnsiTheme="minorHAnsi" w:cs="Calibri-Bold"/>
          <w:bCs/>
        </w:rPr>
        <w:t>l</w:t>
      </w:r>
      <w:r>
        <w:rPr>
          <w:rFonts w:asciiTheme="minorHAnsi" w:eastAsiaTheme="minorHAnsi" w:hAnsiTheme="minorHAnsi" w:cs="Calibri-Bold"/>
          <w:bCs/>
        </w:rPr>
        <w:t xml:space="preserve">uded such segments at </w:t>
      </w:r>
      <w:r w:rsidR="008212B3">
        <w:rPr>
          <w:rFonts w:asciiTheme="minorHAnsi" w:eastAsiaTheme="minorHAnsi" w:hAnsiTheme="minorHAnsi" w:cs="Calibri-Bold"/>
          <w:bCs/>
        </w:rPr>
        <w:t>COPs</w:t>
      </w:r>
      <w:r w:rsidR="00033522" w:rsidRPr="00806209">
        <w:rPr>
          <w:rFonts w:asciiTheme="minorHAnsi" w:eastAsiaTheme="minorHAnsi" w:hAnsiTheme="minorHAnsi" w:cs="Calibri-Bold"/>
          <w:bCs/>
        </w:rPr>
        <w:t>.</w:t>
      </w:r>
    </w:p>
    <w:p w:rsidR="00D91024" w:rsidRDefault="00D91024">
      <w:pPr>
        <w:suppressAutoHyphens/>
        <w:rPr>
          <w:rFonts w:asciiTheme="minorHAnsi" w:eastAsiaTheme="minorHAnsi" w:hAnsiTheme="minorHAnsi" w:cs="Calibri-Bold"/>
          <w:bCs/>
          <w:sz w:val="22"/>
          <w:szCs w:val="22"/>
        </w:rPr>
      </w:pPr>
    </w:p>
    <w:p w:rsidR="009157D4" w:rsidRDefault="00A228B2">
      <w:pPr>
        <w:suppressAutoHyphens/>
        <w:rPr>
          <w:rFonts w:asciiTheme="minorHAnsi" w:eastAsiaTheme="minorHAnsi" w:hAnsiTheme="minorHAnsi" w:cs="Calibri-Bold"/>
          <w:bCs/>
          <w:sz w:val="22"/>
          <w:szCs w:val="22"/>
          <w:u w:val="single"/>
        </w:rPr>
      </w:pPr>
      <w:r>
        <w:rPr>
          <w:rFonts w:asciiTheme="minorHAnsi" w:eastAsiaTheme="minorHAnsi" w:hAnsiTheme="minorHAnsi" w:cs="Calibri-Bold"/>
          <w:bCs/>
          <w:sz w:val="22"/>
          <w:szCs w:val="22"/>
          <w:u w:val="single"/>
        </w:rPr>
        <w:t>Global Wetland Indicators</w:t>
      </w:r>
    </w:p>
    <w:p w:rsidR="00A228B2" w:rsidRDefault="00A228B2">
      <w:pPr>
        <w:suppressAutoHyphens/>
        <w:rPr>
          <w:rFonts w:asciiTheme="minorHAnsi" w:eastAsiaTheme="minorHAnsi" w:hAnsiTheme="minorHAnsi" w:cs="Calibri-Bold"/>
          <w:bCs/>
          <w:sz w:val="22"/>
          <w:szCs w:val="22"/>
          <w:u w:val="single"/>
        </w:rPr>
      </w:pPr>
    </w:p>
    <w:p w:rsidR="00A228B2" w:rsidRPr="00BD5EA5" w:rsidRDefault="00E959F6" w:rsidP="003A0727">
      <w:pPr>
        <w:pStyle w:val="ListParagraph"/>
        <w:numPr>
          <w:ilvl w:val="0"/>
          <w:numId w:val="3"/>
        </w:numPr>
        <w:suppressAutoHyphens/>
        <w:ind w:left="426" w:hanging="426"/>
        <w:jc w:val="left"/>
        <w:rPr>
          <w:rFonts w:asciiTheme="minorHAnsi" w:eastAsiaTheme="minorHAnsi" w:hAnsiTheme="minorHAnsi" w:cs="Calibri-Bold"/>
          <w:bCs/>
        </w:rPr>
      </w:pPr>
      <w:r w:rsidRPr="00BD5EA5">
        <w:rPr>
          <w:rFonts w:asciiTheme="minorHAnsi" w:eastAsiaTheme="minorHAnsi" w:hAnsiTheme="minorHAnsi" w:cs="Calibri-Bold"/>
          <w:bCs/>
        </w:rPr>
        <w:t>T</w:t>
      </w:r>
      <w:r w:rsidR="00F507B8" w:rsidRPr="00BD5EA5">
        <w:rPr>
          <w:rFonts w:asciiTheme="minorHAnsi" w:eastAsiaTheme="minorHAnsi" w:hAnsiTheme="minorHAnsi" w:cs="Calibri-Bold"/>
          <w:bCs/>
        </w:rPr>
        <w:t xml:space="preserve">he </w:t>
      </w:r>
      <w:r w:rsidR="00BD5EA5" w:rsidRPr="00BD5EA5">
        <w:rPr>
          <w:rFonts w:asciiTheme="minorHAnsi" w:eastAsiaTheme="minorHAnsi" w:hAnsiTheme="minorHAnsi" w:cs="Calibri-Bold"/>
          <w:bCs/>
        </w:rPr>
        <w:t xml:space="preserve">Ramsar </w:t>
      </w:r>
      <w:r w:rsidR="00F507B8" w:rsidRPr="00BD5EA5">
        <w:rPr>
          <w:rFonts w:asciiTheme="minorHAnsi" w:eastAsiaTheme="minorHAnsi" w:hAnsiTheme="minorHAnsi" w:cs="Calibri-Bold"/>
          <w:bCs/>
        </w:rPr>
        <w:t xml:space="preserve">Secretariat </w:t>
      </w:r>
      <w:r w:rsidRPr="00BD5EA5">
        <w:rPr>
          <w:rFonts w:asciiTheme="minorHAnsi" w:eastAsiaTheme="minorHAnsi" w:hAnsiTheme="minorHAnsi" w:cs="Calibri-Bold"/>
          <w:bCs/>
        </w:rPr>
        <w:t xml:space="preserve">will </w:t>
      </w:r>
      <w:r w:rsidR="00117941" w:rsidRPr="00BD5EA5">
        <w:rPr>
          <w:rFonts w:asciiTheme="minorHAnsi" w:eastAsiaTheme="minorHAnsi" w:hAnsiTheme="minorHAnsi" w:cs="Calibri-Bold"/>
          <w:bCs/>
        </w:rPr>
        <w:t>enhance</w:t>
      </w:r>
      <w:r w:rsidR="00F507B8" w:rsidRPr="00BD5EA5">
        <w:rPr>
          <w:rFonts w:asciiTheme="minorHAnsi" w:eastAsiaTheme="minorHAnsi" w:hAnsiTheme="minorHAnsi" w:cs="Calibri-Bold"/>
          <w:bCs/>
        </w:rPr>
        <w:t xml:space="preserve"> the work of the STRP in further implementing Resolution</w:t>
      </w:r>
      <w:r w:rsidRPr="00BD5EA5">
        <w:rPr>
          <w:rFonts w:asciiTheme="minorHAnsi" w:eastAsiaTheme="minorHAnsi" w:hAnsiTheme="minorHAnsi" w:cs="Calibri-Bold"/>
          <w:bCs/>
        </w:rPr>
        <w:t>s XI.6 (2012) and</w:t>
      </w:r>
      <w:r w:rsidR="003A0727">
        <w:rPr>
          <w:rFonts w:asciiTheme="minorHAnsi" w:eastAsiaTheme="minorHAnsi" w:hAnsiTheme="minorHAnsi" w:cs="Calibri-Bold"/>
          <w:bCs/>
        </w:rPr>
        <w:t xml:space="preserve"> </w:t>
      </w:r>
      <w:r w:rsidR="00F507B8" w:rsidRPr="00BD5EA5">
        <w:rPr>
          <w:rFonts w:asciiTheme="minorHAnsi" w:eastAsiaTheme="minorHAnsi" w:hAnsiTheme="minorHAnsi" w:cs="Calibri-Bold"/>
          <w:bCs/>
        </w:rPr>
        <w:t xml:space="preserve">VIII.26 (2002) on developing </w:t>
      </w:r>
      <w:r w:rsidRPr="00BD5EA5">
        <w:rPr>
          <w:rFonts w:asciiTheme="minorHAnsi" w:eastAsiaTheme="minorHAnsi" w:hAnsiTheme="minorHAnsi" w:cs="Calibri-Bold"/>
          <w:bCs/>
        </w:rPr>
        <w:t>global wetland</w:t>
      </w:r>
      <w:r w:rsidR="00F507B8" w:rsidRPr="00BD5EA5">
        <w:rPr>
          <w:rFonts w:asciiTheme="minorHAnsi" w:eastAsiaTheme="minorHAnsi" w:hAnsiTheme="minorHAnsi" w:cs="Calibri-Bold"/>
          <w:bCs/>
        </w:rPr>
        <w:t xml:space="preserve"> indicators on the </w:t>
      </w:r>
      <w:r w:rsidRPr="00BD5EA5">
        <w:rPr>
          <w:rFonts w:asciiTheme="minorHAnsi" w:eastAsiaTheme="minorHAnsi" w:hAnsiTheme="minorHAnsi" w:cs="Calibri-Bold"/>
          <w:bCs/>
        </w:rPr>
        <w:t>state of wetlands and wise use and on the results of the Convention’</w:t>
      </w:r>
      <w:r w:rsidR="00F507B8" w:rsidRPr="00BD5EA5">
        <w:rPr>
          <w:rFonts w:asciiTheme="minorHAnsi" w:eastAsiaTheme="minorHAnsi" w:hAnsiTheme="minorHAnsi" w:cs="Calibri-Bold"/>
          <w:bCs/>
        </w:rPr>
        <w:t xml:space="preserve">s activities, in collaboration with other </w:t>
      </w:r>
      <w:r w:rsidR="00F507B8" w:rsidRPr="00BD5EA5">
        <w:rPr>
          <w:rFonts w:asciiTheme="minorHAnsi" w:eastAsiaTheme="minorHAnsi" w:hAnsiTheme="minorHAnsi" w:cs="Calibri-Bold"/>
          <w:bCs/>
        </w:rPr>
        <w:lastRenderedPageBreak/>
        <w:t>biodiversity MEAs</w:t>
      </w:r>
      <w:r w:rsidRPr="00BD5EA5">
        <w:rPr>
          <w:rFonts w:asciiTheme="minorHAnsi" w:eastAsiaTheme="minorHAnsi" w:hAnsiTheme="minorHAnsi" w:cs="Calibri-Bold"/>
          <w:bCs/>
        </w:rPr>
        <w:t xml:space="preserve"> and</w:t>
      </w:r>
      <w:r w:rsidR="003A0727">
        <w:rPr>
          <w:rFonts w:asciiTheme="minorHAnsi" w:eastAsiaTheme="minorHAnsi" w:hAnsiTheme="minorHAnsi" w:cs="Calibri-Bold"/>
          <w:bCs/>
        </w:rPr>
        <w:t xml:space="preserve"> </w:t>
      </w:r>
      <w:r w:rsidRPr="00BD5EA5">
        <w:rPr>
          <w:rFonts w:asciiTheme="minorHAnsi" w:eastAsiaTheme="minorHAnsi" w:hAnsiTheme="minorHAnsi" w:cs="Calibri-Bold"/>
          <w:bCs/>
        </w:rPr>
        <w:t xml:space="preserve">agencies (e.g. UNEP-WCMC) </w:t>
      </w:r>
      <w:r w:rsidR="00F507B8" w:rsidRPr="00BD5EA5">
        <w:rPr>
          <w:rFonts w:asciiTheme="minorHAnsi" w:eastAsiaTheme="minorHAnsi" w:hAnsiTheme="minorHAnsi" w:cs="Calibri-Bold"/>
          <w:bCs/>
        </w:rPr>
        <w:t>so as to achieve a coherent approach to indicator development</w:t>
      </w:r>
      <w:r w:rsidRPr="00BD5EA5">
        <w:rPr>
          <w:rFonts w:asciiTheme="minorHAnsi" w:eastAsiaTheme="minorHAnsi" w:hAnsiTheme="minorHAnsi" w:cs="Calibri-Bold"/>
          <w:bCs/>
        </w:rPr>
        <w:t>.</w:t>
      </w:r>
      <w:r w:rsidR="00F507B8" w:rsidRPr="00BD5EA5">
        <w:rPr>
          <w:rFonts w:asciiTheme="minorHAnsi" w:eastAsiaTheme="minorHAnsi" w:hAnsiTheme="minorHAnsi" w:cs="Calibri-Bold"/>
          <w:bCs/>
        </w:rPr>
        <w:t xml:space="preserve"> </w:t>
      </w:r>
    </w:p>
    <w:p w:rsidR="00E959F6" w:rsidRPr="00E959F6" w:rsidRDefault="00E959F6" w:rsidP="00BD5EA5">
      <w:pPr>
        <w:pStyle w:val="ListParagraph"/>
        <w:suppressAutoHyphens/>
        <w:rPr>
          <w:rFonts w:asciiTheme="minorHAnsi" w:eastAsiaTheme="minorHAnsi" w:hAnsiTheme="minorHAnsi" w:cs="Calibri-Bold"/>
          <w:bCs/>
          <w:u w:val="single"/>
        </w:rPr>
      </w:pPr>
    </w:p>
    <w:p w:rsidR="009157D4" w:rsidRPr="00830C4C" w:rsidRDefault="00A228B2" w:rsidP="009157D4">
      <w:pPr>
        <w:suppressAutoHyphens/>
        <w:jc w:val="both"/>
        <w:rPr>
          <w:rFonts w:asciiTheme="minorHAnsi" w:hAnsiTheme="minorHAnsi"/>
          <w:b/>
          <w:bCs/>
          <w:sz w:val="22"/>
          <w:szCs w:val="22"/>
        </w:rPr>
      </w:pPr>
      <w:r>
        <w:rPr>
          <w:rFonts w:asciiTheme="minorHAnsi" w:eastAsiaTheme="minorHAnsi" w:hAnsiTheme="minorHAnsi" w:cs="Garamond"/>
          <w:b/>
          <w:color w:val="000000"/>
          <w:sz w:val="22"/>
          <w:szCs w:val="22"/>
          <w:lang w:eastAsia="en-US"/>
        </w:rPr>
        <w:t xml:space="preserve">Elements to </w:t>
      </w:r>
      <w:r w:rsidR="009157D4" w:rsidRPr="00830C4C">
        <w:rPr>
          <w:rFonts w:asciiTheme="minorHAnsi" w:eastAsiaTheme="minorHAnsi" w:hAnsiTheme="minorHAnsi" w:cs="Garamond"/>
          <w:b/>
          <w:color w:val="000000"/>
          <w:sz w:val="22"/>
          <w:szCs w:val="22"/>
          <w:lang w:eastAsia="en-US"/>
        </w:rPr>
        <w:t>increas</w:t>
      </w:r>
      <w:r>
        <w:rPr>
          <w:rFonts w:asciiTheme="minorHAnsi" w:eastAsiaTheme="minorHAnsi" w:hAnsiTheme="minorHAnsi" w:cs="Garamond"/>
          <w:b/>
          <w:color w:val="000000"/>
          <w:sz w:val="22"/>
          <w:szCs w:val="22"/>
          <w:lang w:eastAsia="en-US"/>
        </w:rPr>
        <w:t>e</w:t>
      </w:r>
      <w:r w:rsidR="009157D4" w:rsidRPr="00830C4C">
        <w:rPr>
          <w:rFonts w:asciiTheme="minorHAnsi" w:eastAsiaTheme="minorHAnsi" w:hAnsiTheme="minorHAnsi" w:cs="Garamond"/>
          <w:b/>
          <w:color w:val="000000"/>
          <w:sz w:val="22"/>
          <w:szCs w:val="22"/>
          <w:lang w:eastAsia="en-US"/>
        </w:rPr>
        <w:t xml:space="preserve"> synergies with other </w:t>
      </w:r>
      <w:r w:rsidR="006D12B3">
        <w:rPr>
          <w:rFonts w:asciiTheme="minorHAnsi" w:eastAsiaTheme="minorHAnsi" w:hAnsiTheme="minorHAnsi" w:cs="Garamond"/>
          <w:b/>
          <w:color w:val="000000"/>
          <w:sz w:val="22"/>
          <w:szCs w:val="22"/>
          <w:lang w:eastAsia="en-US"/>
        </w:rPr>
        <w:t>MEAs</w:t>
      </w:r>
      <w:r w:rsidR="009157D4" w:rsidRPr="00830C4C">
        <w:rPr>
          <w:rFonts w:asciiTheme="minorHAnsi" w:eastAsiaTheme="minorHAnsi" w:hAnsiTheme="minorHAnsi" w:cs="Garamond"/>
          <w:b/>
          <w:color w:val="000000"/>
          <w:sz w:val="22"/>
          <w:szCs w:val="22"/>
          <w:lang w:eastAsia="en-US"/>
        </w:rPr>
        <w:t xml:space="preserve"> and other international institutions</w:t>
      </w:r>
      <w:r w:rsidR="00BD5EA5">
        <w:rPr>
          <w:rFonts w:asciiTheme="minorHAnsi" w:eastAsiaTheme="minorHAnsi" w:hAnsiTheme="minorHAnsi" w:cs="Garamond"/>
          <w:b/>
          <w:color w:val="000000"/>
          <w:sz w:val="22"/>
          <w:szCs w:val="22"/>
          <w:lang w:eastAsia="en-US"/>
        </w:rPr>
        <w:t>.</w:t>
      </w:r>
    </w:p>
    <w:p w:rsidR="007E7B4D" w:rsidRDefault="007E7B4D" w:rsidP="009157D4">
      <w:pPr>
        <w:suppressAutoHyphens/>
        <w:ind w:right="521"/>
        <w:rPr>
          <w:rFonts w:asciiTheme="minorHAnsi" w:eastAsiaTheme="minorHAnsi" w:hAnsiTheme="minorHAnsi" w:cs="Calibri-Bold"/>
          <w:bCs/>
          <w:sz w:val="22"/>
          <w:szCs w:val="22"/>
          <w:u w:val="single"/>
        </w:rPr>
      </w:pPr>
    </w:p>
    <w:p w:rsidR="009157D4" w:rsidRPr="00A228B2" w:rsidRDefault="009157D4" w:rsidP="003A0727">
      <w:pPr>
        <w:pStyle w:val="ListParagraph"/>
        <w:numPr>
          <w:ilvl w:val="0"/>
          <w:numId w:val="3"/>
        </w:numPr>
        <w:suppressAutoHyphens/>
        <w:ind w:left="426" w:right="521" w:hanging="426"/>
        <w:jc w:val="left"/>
        <w:rPr>
          <w:rFonts w:ascii="Calibri" w:hAnsi="Calibri" w:cs="Arial"/>
        </w:rPr>
      </w:pPr>
      <w:r w:rsidRPr="00BD5EA5">
        <w:rPr>
          <w:rFonts w:asciiTheme="minorHAnsi" w:eastAsiaTheme="minorHAnsi" w:hAnsiTheme="minorHAnsi" w:cs="Calibri-Bold"/>
          <w:bCs/>
        </w:rPr>
        <w:t xml:space="preserve">The Contracting Parties have adopted Resolutions </w:t>
      </w:r>
      <w:r w:rsidR="007E7B4D" w:rsidRPr="00BD5EA5">
        <w:rPr>
          <w:rFonts w:asciiTheme="minorHAnsi" w:eastAsiaTheme="minorHAnsi" w:hAnsiTheme="minorHAnsi" w:cs="Calibri-Bold"/>
          <w:bCs/>
        </w:rPr>
        <w:t xml:space="preserve">X.11 and XI.6 </w:t>
      </w:r>
      <w:r w:rsidRPr="00BD5EA5">
        <w:rPr>
          <w:rFonts w:asciiTheme="minorHAnsi" w:eastAsiaTheme="minorHAnsi" w:hAnsiTheme="minorHAnsi" w:cs="Calibri-Bold"/>
          <w:bCs/>
        </w:rPr>
        <w:t>for enhanced synergies with other Conventions and other international institutions. Under this framework</w:t>
      </w:r>
      <w:r w:rsidR="00787545">
        <w:rPr>
          <w:rFonts w:asciiTheme="minorHAnsi" w:eastAsiaTheme="minorHAnsi" w:hAnsiTheme="minorHAnsi" w:cs="Calibri-Bold"/>
          <w:bCs/>
        </w:rPr>
        <w:t xml:space="preserve"> </w:t>
      </w:r>
      <w:r w:rsidRPr="00A228B2">
        <w:rPr>
          <w:rFonts w:ascii="Calibri" w:hAnsi="Calibri" w:cs="Arial"/>
        </w:rPr>
        <w:t>the Secretariat remain</w:t>
      </w:r>
      <w:r w:rsidR="00D73E2F">
        <w:rPr>
          <w:rFonts w:ascii="Calibri" w:hAnsi="Calibri" w:cs="Arial"/>
        </w:rPr>
        <w:t>s</w:t>
      </w:r>
      <w:r w:rsidRPr="00A228B2">
        <w:rPr>
          <w:rFonts w:ascii="Calibri" w:hAnsi="Calibri" w:cs="Arial"/>
        </w:rPr>
        <w:t xml:space="preserve"> closely involved in the work of the Biodiversity Liaison Group (BLG) established under the aegis of the CBD</w:t>
      </w:r>
      <w:r w:rsidR="00D73E2F">
        <w:rPr>
          <w:rFonts w:ascii="Calibri" w:hAnsi="Calibri" w:cs="Arial"/>
        </w:rPr>
        <w:t>,</w:t>
      </w:r>
      <w:r w:rsidRPr="00A228B2">
        <w:rPr>
          <w:rFonts w:ascii="Calibri" w:hAnsi="Calibri" w:cs="Arial"/>
        </w:rPr>
        <w:t xml:space="preserve"> and facilitate</w:t>
      </w:r>
      <w:r w:rsidR="00D73E2F">
        <w:rPr>
          <w:rFonts w:ascii="Calibri" w:hAnsi="Calibri" w:cs="Arial"/>
        </w:rPr>
        <w:t>s</w:t>
      </w:r>
      <w:r w:rsidRPr="00A228B2">
        <w:rPr>
          <w:rFonts w:ascii="Calibri" w:hAnsi="Calibri" w:cs="Arial"/>
        </w:rPr>
        <w:t xml:space="preserve"> the continuing participation of the Chairperson of the Scientific and Technical Review Panel (STRP) in the work of the scientific bodies of the biodiversity-related convention</w:t>
      </w:r>
      <w:r w:rsidRPr="00D73E2F">
        <w:rPr>
          <w:rFonts w:ascii="Calibri" w:hAnsi="Calibri" w:cs="Arial"/>
        </w:rPr>
        <w:t xml:space="preserve">s </w:t>
      </w:r>
      <w:r w:rsidR="00D73E2F" w:rsidRPr="00D73E2F">
        <w:rPr>
          <w:rFonts w:ascii="Calibri" w:hAnsi="Calibri" w:cs="Arial"/>
        </w:rPr>
        <w:t>through the</w:t>
      </w:r>
      <w:r w:rsidR="00D73E2F">
        <w:rPr>
          <w:rFonts w:ascii="Calibri" w:hAnsi="Calibri" w:cs="Arial"/>
        </w:rPr>
        <w:t xml:space="preserve"> </w:t>
      </w:r>
      <w:r w:rsidR="00D73E2F" w:rsidRPr="00D73E2F">
        <w:rPr>
          <w:rFonts w:ascii="Calibri" w:hAnsi="Calibri" w:cs="Arial"/>
          <w:iCs/>
        </w:rPr>
        <w:t>Chairs of the Scientific Advisory Boards</w:t>
      </w:r>
      <w:r w:rsidR="00D73E2F" w:rsidRPr="00D73E2F">
        <w:rPr>
          <w:rFonts w:ascii="Calibri" w:hAnsi="Calibri" w:cs="Arial"/>
        </w:rPr>
        <w:t xml:space="preserve"> </w:t>
      </w:r>
      <w:r w:rsidRPr="00D73E2F">
        <w:rPr>
          <w:rFonts w:ascii="Calibri" w:hAnsi="Calibri" w:cs="Arial"/>
        </w:rPr>
        <w:t>(CSAB)</w:t>
      </w:r>
      <w:r w:rsidR="00D73E2F">
        <w:rPr>
          <w:rFonts w:ascii="Calibri" w:hAnsi="Calibri" w:cs="Arial"/>
        </w:rPr>
        <w:t xml:space="preserve"> meetings</w:t>
      </w:r>
      <w:r w:rsidRPr="00D73E2F">
        <w:rPr>
          <w:rFonts w:ascii="Calibri" w:hAnsi="Calibri" w:cs="Arial"/>
        </w:rPr>
        <w:t>.</w:t>
      </w:r>
    </w:p>
    <w:p w:rsidR="009157D4" w:rsidRDefault="009157D4" w:rsidP="003A0727">
      <w:pPr>
        <w:suppressAutoHyphens/>
        <w:ind w:left="426" w:right="521" w:hanging="426"/>
        <w:rPr>
          <w:rFonts w:ascii="Calibri" w:hAnsi="Calibri" w:cs="Arial"/>
        </w:rPr>
      </w:pPr>
    </w:p>
    <w:p w:rsidR="009157D4" w:rsidRPr="00866017" w:rsidRDefault="009157D4" w:rsidP="003A0727">
      <w:pPr>
        <w:pStyle w:val="Default"/>
        <w:numPr>
          <w:ilvl w:val="0"/>
          <w:numId w:val="3"/>
        </w:numPr>
        <w:ind w:left="426" w:hanging="426"/>
        <w:rPr>
          <w:rFonts w:asciiTheme="minorHAnsi" w:hAnsiTheme="minorHAnsi"/>
          <w:sz w:val="22"/>
          <w:szCs w:val="22"/>
        </w:rPr>
      </w:pPr>
      <w:r w:rsidRPr="007D3B55">
        <w:rPr>
          <w:rFonts w:asciiTheme="minorHAnsi" w:hAnsiTheme="minorHAnsi" w:cs="Arial"/>
          <w:sz w:val="22"/>
          <w:szCs w:val="22"/>
        </w:rPr>
        <w:t xml:space="preserve">The Ramsar Secretariat </w:t>
      </w:r>
      <w:r w:rsidR="00C770A9">
        <w:rPr>
          <w:rFonts w:asciiTheme="minorHAnsi" w:hAnsiTheme="minorHAnsi" w:cs="Arial"/>
          <w:sz w:val="22"/>
          <w:szCs w:val="22"/>
        </w:rPr>
        <w:t xml:space="preserve">is </w:t>
      </w:r>
      <w:r w:rsidR="00D73E2F" w:rsidRPr="007D3B55">
        <w:rPr>
          <w:rFonts w:asciiTheme="minorHAnsi" w:hAnsiTheme="minorHAnsi" w:cs="Arial"/>
          <w:sz w:val="22"/>
          <w:szCs w:val="22"/>
        </w:rPr>
        <w:t xml:space="preserve">also </w:t>
      </w:r>
      <w:r w:rsidR="00787545">
        <w:rPr>
          <w:rFonts w:asciiTheme="minorHAnsi" w:hAnsiTheme="minorHAnsi" w:cs="Arial"/>
          <w:sz w:val="22"/>
          <w:szCs w:val="22"/>
        </w:rPr>
        <w:t>involved</w:t>
      </w:r>
      <w:r w:rsidR="00C770A9">
        <w:rPr>
          <w:rFonts w:asciiTheme="minorHAnsi" w:hAnsiTheme="minorHAnsi" w:cs="Arial"/>
          <w:sz w:val="22"/>
          <w:szCs w:val="22"/>
        </w:rPr>
        <w:t xml:space="preserve"> in other </w:t>
      </w:r>
      <w:r w:rsidRPr="007D3B55">
        <w:rPr>
          <w:rFonts w:asciiTheme="minorHAnsi" w:hAnsiTheme="minorHAnsi" w:cs="Arial"/>
          <w:sz w:val="22"/>
          <w:szCs w:val="22"/>
        </w:rPr>
        <w:t xml:space="preserve">coordination </w:t>
      </w:r>
      <w:r w:rsidRPr="007D3B55">
        <w:rPr>
          <w:rFonts w:asciiTheme="minorHAnsi" w:hAnsiTheme="minorHAnsi"/>
          <w:sz w:val="22"/>
          <w:szCs w:val="22"/>
        </w:rPr>
        <w:t xml:space="preserve">and collaboration </w:t>
      </w:r>
      <w:r w:rsidR="00D73E2F" w:rsidRPr="007D3B55">
        <w:rPr>
          <w:rFonts w:asciiTheme="minorHAnsi" w:hAnsiTheme="minorHAnsi" w:cs="Arial"/>
          <w:sz w:val="22"/>
          <w:szCs w:val="22"/>
        </w:rPr>
        <w:t xml:space="preserve">mechanisms </w:t>
      </w:r>
      <w:r w:rsidRPr="007D3B55">
        <w:rPr>
          <w:rFonts w:asciiTheme="minorHAnsi" w:hAnsiTheme="minorHAnsi"/>
          <w:sz w:val="22"/>
          <w:szCs w:val="22"/>
        </w:rPr>
        <w:t>between the biodiversity-related conventions</w:t>
      </w:r>
      <w:r w:rsidR="00D73E2F">
        <w:rPr>
          <w:rFonts w:asciiTheme="minorHAnsi" w:hAnsiTheme="minorHAnsi"/>
          <w:sz w:val="22"/>
          <w:szCs w:val="22"/>
        </w:rPr>
        <w:t>,</w:t>
      </w:r>
      <w:r w:rsidRPr="002C3670">
        <w:rPr>
          <w:rFonts w:asciiTheme="minorHAnsi" w:hAnsiTheme="minorHAnsi"/>
          <w:sz w:val="22"/>
          <w:szCs w:val="22"/>
        </w:rPr>
        <w:t xml:space="preserve"> such as the </w:t>
      </w:r>
      <w:r w:rsidRPr="007D3B55">
        <w:rPr>
          <w:rFonts w:asciiTheme="minorHAnsi" w:hAnsiTheme="minorHAnsi" w:cs="Calibri"/>
          <w:bCs/>
          <w:sz w:val="22"/>
          <w:szCs w:val="22"/>
        </w:rPr>
        <w:t xml:space="preserve">MEA Information and Knowledge Management Initiative. </w:t>
      </w:r>
      <w:r w:rsidR="00D73E2F">
        <w:rPr>
          <w:rFonts w:asciiTheme="minorHAnsi" w:hAnsiTheme="minorHAnsi" w:cs="Calibri"/>
          <w:bCs/>
          <w:sz w:val="22"/>
          <w:szCs w:val="22"/>
        </w:rPr>
        <w:t>It has also</w:t>
      </w:r>
      <w:r w:rsidRPr="007D3B55">
        <w:rPr>
          <w:rFonts w:asciiTheme="minorHAnsi" w:hAnsiTheme="minorHAnsi" w:cs="Calibri"/>
          <w:bCs/>
          <w:sz w:val="22"/>
          <w:szCs w:val="22"/>
        </w:rPr>
        <w:t xml:space="preserve"> established a range of bilateral Memoranda of Understanding or </w:t>
      </w:r>
      <w:r w:rsidRPr="00866017">
        <w:rPr>
          <w:rFonts w:asciiTheme="minorHAnsi" w:hAnsiTheme="minorHAnsi"/>
          <w:bCs/>
          <w:sz w:val="22"/>
          <w:szCs w:val="22"/>
        </w:rPr>
        <w:t xml:space="preserve">Cooperation </w:t>
      </w:r>
      <w:r w:rsidRPr="00866017">
        <w:rPr>
          <w:rFonts w:asciiTheme="minorHAnsi" w:hAnsiTheme="minorHAnsi"/>
          <w:sz w:val="22"/>
          <w:szCs w:val="22"/>
        </w:rPr>
        <w:t xml:space="preserve">as well as joint work plans or programmes with other conventions </w:t>
      </w:r>
      <w:r>
        <w:rPr>
          <w:rFonts w:asciiTheme="minorHAnsi" w:hAnsiTheme="minorHAnsi"/>
          <w:sz w:val="22"/>
          <w:szCs w:val="22"/>
        </w:rPr>
        <w:t>and international organizations.</w:t>
      </w:r>
    </w:p>
    <w:p w:rsidR="009157D4" w:rsidRPr="002C3670" w:rsidRDefault="009157D4" w:rsidP="003A0727">
      <w:pPr>
        <w:pStyle w:val="Default"/>
        <w:ind w:left="426" w:hanging="426"/>
        <w:rPr>
          <w:rFonts w:asciiTheme="minorHAnsi" w:hAnsiTheme="minorHAnsi"/>
          <w:sz w:val="22"/>
          <w:szCs w:val="22"/>
        </w:rPr>
      </w:pPr>
    </w:p>
    <w:p w:rsidR="006D12B3" w:rsidRPr="00787545" w:rsidRDefault="009157D4" w:rsidP="003A0727">
      <w:pPr>
        <w:pStyle w:val="Default"/>
        <w:numPr>
          <w:ilvl w:val="0"/>
          <w:numId w:val="3"/>
        </w:numPr>
        <w:ind w:left="426" w:hanging="426"/>
        <w:rPr>
          <w:rFonts w:asciiTheme="minorHAnsi" w:hAnsiTheme="minorHAnsi" w:cs="Arial"/>
          <w:sz w:val="22"/>
          <w:szCs w:val="22"/>
        </w:rPr>
      </w:pPr>
      <w:r w:rsidRPr="00787545">
        <w:rPr>
          <w:rFonts w:asciiTheme="minorHAnsi" w:hAnsiTheme="minorHAnsi"/>
          <w:iCs/>
          <w:sz w:val="22"/>
          <w:szCs w:val="22"/>
        </w:rPr>
        <w:t>As part</w:t>
      </w:r>
      <w:r w:rsidRPr="00EA3FBC">
        <w:rPr>
          <w:rFonts w:asciiTheme="minorHAnsi" w:hAnsiTheme="minorHAnsi"/>
          <w:i/>
          <w:iCs/>
          <w:sz w:val="22"/>
          <w:szCs w:val="22"/>
        </w:rPr>
        <w:t xml:space="preserve"> </w:t>
      </w:r>
      <w:r w:rsidR="00787545" w:rsidRPr="00EA3FBC">
        <w:rPr>
          <w:rFonts w:asciiTheme="minorHAnsi" w:hAnsiTheme="minorHAnsi"/>
          <w:sz w:val="22"/>
          <w:szCs w:val="22"/>
        </w:rPr>
        <w:t>of the</w:t>
      </w:r>
      <w:r w:rsidRPr="00EA3FBC">
        <w:rPr>
          <w:rFonts w:asciiTheme="minorHAnsi" w:hAnsiTheme="minorHAnsi"/>
          <w:sz w:val="22"/>
          <w:szCs w:val="22"/>
        </w:rPr>
        <w:t xml:space="preserve"> project “Improving the effectiveness of and cooperation among biodiversity-related conventions and exploring opportunities for further synergies” undertaken by UNEP</w:t>
      </w:r>
      <w:r w:rsidR="00A14906" w:rsidRPr="00EA3FBC">
        <w:rPr>
          <w:rFonts w:asciiTheme="minorHAnsi" w:hAnsiTheme="minorHAnsi"/>
          <w:sz w:val="22"/>
          <w:szCs w:val="22"/>
        </w:rPr>
        <w:t>,</w:t>
      </w:r>
      <w:r w:rsidRPr="00EA3FBC">
        <w:rPr>
          <w:rFonts w:asciiTheme="minorHAnsi" w:hAnsiTheme="minorHAnsi"/>
          <w:sz w:val="22"/>
          <w:szCs w:val="22"/>
        </w:rPr>
        <w:t xml:space="preserve"> the Ramsar Secretariat</w:t>
      </w:r>
      <w:r w:rsidR="003A0727">
        <w:rPr>
          <w:rFonts w:asciiTheme="minorHAnsi" w:hAnsiTheme="minorHAnsi"/>
          <w:sz w:val="22"/>
          <w:szCs w:val="22"/>
        </w:rPr>
        <w:t xml:space="preserve"> </w:t>
      </w:r>
      <w:r w:rsidR="006D12B3" w:rsidRPr="00EA3FBC">
        <w:rPr>
          <w:rFonts w:asciiTheme="minorHAnsi" w:hAnsiTheme="minorHAnsi"/>
          <w:sz w:val="22"/>
          <w:szCs w:val="22"/>
        </w:rPr>
        <w:t>also</w:t>
      </w:r>
      <w:r w:rsidRPr="00EA3FBC">
        <w:rPr>
          <w:rFonts w:asciiTheme="minorHAnsi" w:hAnsiTheme="minorHAnsi"/>
          <w:sz w:val="22"/>
          <w:szCs w:val="22"/>
        </w:rPr>
        <w:t xml:space="preserve"> provided inputs to the </w:t>
      </w:r>
      <w:r w:rsidR="00D73E2F">
        <w:rPr>
          <w:rFonts w:asciiTheme="minorHAnsi" w:hAnsiTheme="minorHAnsi"/>
          <w:i/>
          <w:sz w:val="22"/>
          <w:szCs w:val="22"/>
        </w:rPr>
        <w:t>S</w:t>
      </w:r>
      <w:r w:rsidR="00D73E2F" w:rsidRPr="00EA3FBC">
        <w:rPr>
          <w:rFonts w:asciiTheme="minorHAnsi" w:hAnsiTheme="minorHAnsi"/>
          <w:i/>
          <w:iCs/>
          <w:sz w:val="22"/>
          <w:szCs w:val="22"/>
        </w:rPr>
        <w:t xml:space="preserve">ourcebook </w:t>
      </w:r>
      <w:r w:rsidRPr="00EA3FBC">
        <w:rPr>
          <w:rFonts w:asciiTheme="minorHAnsi" w:hAnsiTheme="minorHAnsi"/>
          <w:i/>
          <w:iCs/>
          <w:sz w:val="22"/>
          <w:szCs w:val="22"/>
        </w:rPr>
        <w:t>of opportunities for enhancing cooperation among the biodiversity-related conventions at national and regional level</w:t>
      </w:r>
      <w:r w:rsidR="006D12B3" w:rsidRPr="00EA3FBC">
        <w:rPr>
          <w:rFonts w:asciiTheme="minorHAnsi" w:hAnsiTheme="minorHAnsi"/>
          <w:i/>
          <w:iCs/>
          <w:sz w:val="22"/>
          <w:szCs w:val="22"/>
        </w:rPr>
        <w:t xml:space="preserve">. </w:t>
      </w:r>
      <w:r w:rsidR="00C55392" w:rsidRPr="00787545">
        <w:rPr>
          <w:rFonts w:asciiTheme="minorHAnsi" w:hAnsiTheme="minorHAnsi"/>
          <w:iCs/>
          <w:sz w:val="22"/>
          <w:szCs w:val="22"/>
        </w:rPr>
        <w:t xml:space="preserve">The aim of the </w:t>
      </w:r>
      <w:r w:rsidR="00D73E2F" w:rsidRPr="0005436C">
        <w:rPr>
          <w:rFonts w:asciiTheme="minorHAnsi" w:hAnsiTheme="minorHAnsi"/>
          <w:i/>
          <w:iCs/>
          <w:sz w:val="22"/>
          <w:szCs w:val="22"/>
        </w:rPr>
        <w:t>Sourcebook</w:t>
      </w:r>
      <w:r w:rsidR="00D73E2F" w:rsidRPr="006D12B3">
        <w:rPr>
          <w:rFonts w:asciiTheme="minorHAnsi" w:hAnsiTheme="minorHAnsi"/>
          <w:i/>
          <w:iCs/>
          <w:sz w:val="22"/>
          <w:szCs w:val="22"/>
        </w:rPr>
        <w:t xml:space="preserve"> </w:t>
      </w:r>
      <w:r w:rsidR="00C55392" w:rsidRPr="00787545">
        <w:rPr>
          <w:rFonts w:asciiTheme="minorHAnsi" w:hAnsiTheme="minorHAnsi"/>
          <w:iCs/>
          <w:sz w:val="22"/>
          <w:szCs w:val="22"/>
        </w:rPr>
        <w:t>is to provide</w:t>
      </w:r>
      <w:r w:rsidR="00C55392" w:rsidRPr="006D12B3">
        <w:rPr>
          <w:rFonts w:asciiTheme="minorHAnsi" w:hAnsiTheme="minorHAnsi"/>
          <w:i/>
          <w:iCs/>
          <w:sz w:val="22"/>
          <w:szCs w:val="22"/>
        </w:rPr>
        <w:t xml:space="preserve"> </w:t>
      </w:r>
      <w:r w:rsidR="00C55392" w:rsidRPr="006D12B3">
        <w:rPr>
          <w:rFonts w:asciiTheme="minorHAnsi" w:hAnsiTheme="minorHAnsi"/>
          <w:iCs/>
          <w:sz w:val="22"/>
          <w:szCs w:val="22"/>
        </w:rPr>
        <w:t xml:space="preserve">possibilities for enhancing the coherent implementation of the </w:t>
      </w:r>
      <w:r w:rsidR="00D73E2F" w:rsidRPr="006D12B3">
        <w:rPr>
          <w:rFonts w:asciiTheme="minorHAnsi" w:hAnsiTheme="minorHAnsi"/>
          <w:iCs/>
          <w:sz w:val="22"/>
          <w:szCs w:val="22"/>
        </w:rPr>
        <w:t>biodiversity</w:t>
      </w:r>
      <w:r w:rsidR="00D73E2F">
        <w:rPr>
          <w:rFonts w:asciiTheme="minorHAnsi" w:hAnsiTheme="minorHAnsi"/>
          <w:iCs/>
          <w:sz w:val="22"/>
          <w:szCs w:val="22"/>
        </w:rPr>
        <w:t>-</w:t>
      </w:r>
      <w:r w:rsidR="00C55392" w:rsidRPr="006D12B3">
        <w:rPr>
          <w:rFonts w:asciiTheme="minorHAnsi" w:hAnsiTheme="minorHAnsi"/>
          <w:iCs/>
          <w:sz w:val="22"/>
          <w:szCs w:val="22"/>
        </w:rPr>
        <w:t xml:space="preserve">related </w:t>
      </w:r>
      <w:r w:rsidR="00D73E2F">
        <w:rPr>
          <w:rFonts w:asciiTheme="minorHAnsi" w:hAnsiTheme="minorHAnsi"/>
          <w:iCs/>
          <w:sz w:val="22"/>
          <w:szCs w:val="22"/>
        </w:rPr>
        <w:t>c</w:t>
      </w:r>
      <w:r w:rsidR="00D73E2F" w:rsidRPr="006D12B3">
        <w:rPr>
          <w:rFonts w:asciiTheme="minorHAnsi" w:hAnsiTheme="minorHAnsi"/>
          <w:iCs/>
          <w:sz w:val="22"/>
          <w:szCs w:val="22"/>
        </w:rPr>
        <w:t xml:space="preserve">onventions </w:t>
      </w:r>
      <w:r w:rsidR="00C55392" w:rsidRPr="006D12B3">
        <w:rPr>
          <w:rFonts w:asciiTheme="minorHAnsi" w:hAnsiTheme="minorHAnsi"/>
          <w:iCs/>
          <w:sz w:val="22"/>
          <w:szCs w:val="22"/>
        </w:rPr>
        <w:t>at the national and regional levels</w:t>
      </w:r>
      <w:r w:rsidR="008212B3">
        <w:rPr>
          <w:rFonts w:asciiTheme="minorHAnsi" w:hAnsiTheme="minorHAnsi"/>
          <w:iCs/>
          <w:sz w:val="22"/>
          <w:szCs w:val="22"/>
        </w:rPr>
        <w:t>,</w:t>
      </w:r>
      <w:r w:rsidR="00C55392" w:rsidRPr="00C55392">
        <w:rPr>
          <w:rFonts w:asciiTheme="minorHAnsi" w:hAnsiTheme="minorHAnsi"/>
          <w:iCs/>
          <w:sz w:val="22"/>
          <w:szCs w:val="22"/>
        </w:rPr>
        <w:t xml:space="preserve"> including </w:t>
      </w:r>
      <w:r w:rsidR="008212B3">
        <w:rPr>
          <w:rFonts w:asciiTheme="minorHAnsi" w:hAnsiTheme="minorHAnsi"/>
          <w:iCs/>
          <w:sz w:val="22"/>
          <w:szCs w:val="22"/>
        </w:rPr>
        <w:t>through</w:t>
      </w:r>
      <w:r w:rsidR="008212B3" w:rsidRPr="00C55392">
        <w:rPr>
          <w:rFonts w:asciiTheme="minorHAnsi" w:hAnsiTheme="minorHAnsi"/>
          <w:iCs/>
          <w:sz w:val="22"/>
          <w:szCs w:val="22"/>
        </w:rPr>
        <w:t xml:space="preserve"> </w:t>
      </w:r>
      <w:r w:rsidR="00C55392" w:rsidRPr="00C55392">
        <w:rPr>
          <w:rFonts w:asciiTheme="minorHAnsi" w:hAnsiTheme="minorHAnsi"/>
          <w:iCs/>
          <w:sz w:val="22"/>
          <w:szCs w:val="22"/>
        </w:rPr>
        <w:t>coordinati</w:t>
      </w:r>
      <w:r w:rsidR="00C55392" w:rsidRPr="004678D5">
        <w:rPr>
          <w:rFonts w:asciiTheme="minorHAnsi" w:hAnsiTheme="minorHAnsi"/>
          <w:iCs/>
          <w:sz w:val="22"/>
          <w:szCs w:val="22"/>
        </w:rPr>
        <w:t xml:space="preserve">on </w:t>
      </w:r>
      <w:r w:rsidR="008212B3">
        <w:rPr>
          <w:rFonts w:asciiTheme="minorHAnsi" w:hAnsiTheme="minorHAnsi"/>
          <w:iCs/>
          <w:sz w:val="22"/>
          <w:szCs w:val="22"/>
        </w:rPr>
        <w:t xml:space="preserve">between </w:t>
      </w:r>
      <w:r w:rsidR="00C55392" w:rsidRPr="004678D5">
        <w:rPr>
          <w:rFonts w:asciiTheme="minorHAnsi" w:hAnsiTheme="minorHAnsi"/>
          <w:iCs/>
          <w:sz w:val="22"/>
          <w:szCs w:val="22"/>
        </w:rPr>
        <w:t xml:space="preserve">MEA </w:t>
      </w:r>
      <w:r w:rsidR="002D4AC1">
        <w:rPr>
          <w:rFonts w:asciiTheme="minorHAnsi" w:hAnsiTheme="minorHAnsi"/>
          <w:iCs/>
          <w:sz w:val="22"/>
          <w:szCs w:val="22"/>
        </w:rPr>
        <w:t>f</w:t>
      </w:r>
      <w:r w:rsidR="00C55392" w:rsidRPr="004678D5">
        <w:rPr>
          <w:rFonts w:asciiTheme="minorHAnsi" w:hAnsiTheme="minorHAnsi"/>
          <w:iCs/>
          <w:sz w:val="22"/>
          <w:szCs w:val="22"/>
        </w:rPr>
        <w:t xml:space="preserve">ocal </w:t>
      </w:r>
      <w:r w:rsidR="002D4AC1">
        <w:rPr>
          <w:rFonts w:asciiTheme="minorHAnsi" w:hAnsiTheme="minorHAnsi"/>
          <w:iCs/>
          <w:sz w:val="22"/>
          <w:szCs w:val="22"/>
        </w:rPr>
        <w:t>p</w:t>
      </w:r>
      <w:r w:rsidR="00C55392" w:rsidRPr="004678D5">
        <w:rPr>
          <w:rFonts w:asciiTheme="minorHAnsi" w:hAnsiTheme="minorHAnsi"/>
          <w:iCs/>
          <w:sz w:val="22"/>
          <w:szCs w:val="22"/>
        </w:rPr>
        <w:t>oints</w:t>
      </w:r>
      <w:r w:rsidR="00C55392">
        <w:rPr>
          <w:rFonts w:asciiTheme="minorHAnsi" w:hAnsiTheme="minorHAnsi"/>
          <w:iCs/>
          <w:sz w:val="22"/>
          <w:szCs w:val="22"/>
        </w:rPr>
        <w:t xml:space="preserve">. </w:t>
      </w:r>
      <w:r w:rsidR="00EA3FBC" w:rsidRPr="00615245">
        <w:rPr>
          <w:rFonts w:asciiTheme="minorHAnsi" w:hAnsiTheme="minorHAnsi"/>
          <w:iCs/>
          <w:sz w:val="22"/>
          <w:szCs w:val="22"/>
        </w:rPr>
        <w:t xml:space="preserve">The Secretariat will continue to take </w:t>
      </w:r>
      <w:r w:rsidR="008212B3" w:rsidRPr="00615245">
        <w:rPr>
          <w:rFonts w:asciiTheme="minorHAnsi" w:hAnsiTheme="minorHAnsi"/>
          <w:iCs/>
          <w:sz w:val="22"/>
          <w:szCs w:val="22"/>
        </w:rPr>
        <w:t xml:space="preserve">an </w:t>
      </w:r>
      <w:r w:rsidR="00EA3FBC" w:rsidRPr="00615245">
        <w:rPr>
          <w:rFonts w:asciiTheme="minorHAnsi" w:hAnsiTheme="minorHAnsi"/>
          <w:iCs/>
          <w:sz w:val="22"/>
          <w:szCs w:val="22"/>
        </w:rPr>
        <w:t xml:space="preserve">active part </w:t>
      </w:r>
      <w:r w:rsidR="008212B3" w:rsidRPr="00615245">
        <w:rPr>
          <w:rFonts w:asciiTheme="minorHAnsi" w:hAnsiTheme="minorHAnsi"/>
          <w:iCs/>
          <w:sz w:val="22"/>
          <w:szCs w:val="22"/>
        </w:rPr>
        <w:t xml:space="preserve">in </w:t>
      </w:r>
      <w:r w:rsidR="00EA3FBC" w:rsidRPr="00615245">
        <w:rPr>
          <w:rFonts w:asciiTheme="minorHAnsi" w:hAnsiTheme="minorHAnsi"/>
          <w:iCs/>
          <w:sz w:val="22"/>
          <w:szCs w:val="22"/>
        </w:rPr>
        <w:t>the project’s coming activities and meetings.</w:t>
      </w:r>
      <w:r w:rsidR="00EA3FBC" w:rsidRPr="008C445B">
        <w:rPr>
          <w:rFonts w:asciiTheme="minorHAnsi" w:hAnsiTheme="minorHAnsi"/>
          <w:i/>
          <w:iCs/>
          <w:sz w:val="22"/>
          <w:szCs w:val="22"/>
        </w:rPr>
        <w:t xml:space="preserve"> </w:t>
      </w:r>
    </w:p>
    <w:p w:rsidR="00EA3FBC" w:rsidRPr="00787545" w:rsidRDefault="00EA3FBC" w:rsidP="003A0727">
      <w:pPr>
        <w:pStyle w:val="Default"/>
        <w:ind w:left="426" w:hanging="426"/>
        <w:rPr>
          <w:rFonts w:asciiTheme="minorHAnsi" w:hAnsiTheme="minorHAnsi" w:cs="Arial"/>
          <w:sz w:val="22"/>
          <w:szCs w:val="22"/>
        </w:rPr>
      </w:pPr>
    </w:p>
    <w:p w:rsidR="009157D4" w:rsidRDefault="009157D4" w:rsidP="003A0727">
      <w:pPr>
        <w:pStyle w:val="ListParagraph"/>
        <w:numPr>
          <w:ilvl w:val="0"/>
          <w:numId w:val="3"/>
        </w:numPr>
        <w:tabs>
          <w:tab w:val="left" w:pos="0"/>
        </w:tabs>
        <w:suppressAutoHyphens/>
        <w:ind w:left="426" w:hanging="426"/>
        <w:jc w:val="left"/>
        <w:rPr>
          <w:rFonts w:ascii="Calibri" w:hAnsi="Calibri"/>
        </w:rPr>
      </w:pPr>
      <w:r w:rsidRPr="00A228B2">
        <w:rPr>
          <w:rFonts w:asciiTheme="minorHAnsi" w:eastAsiaTheme="minorHAnsi" w:hAnsiTheme="minorHAnsi" w:cs="Arial"/>
          <w:color w:val="000000"/>
        </w:rPr>
        <w:t>T</w:t>
      </w:r>
      <w:r w:rsidRPr="009D7EE2">
        <w:rPr>
          <w:rFonts w:ascii="Calibri" w:hAnsi="Calibri"/>
        </w:rPr>
        <w:t xml:space="preserve">he Secretariat is continuing to work to strengthen collaboration with </w:t>
      </w:r>
      <w:r w:rsidR="00582948">
        <w:rPr>
          <w:rFonts w:ascii="Calibri" w:hAnsi="Calibri"/>
        </w:rPr>
        <w:t xml:space="preserve">UNEP, </w:t>
      </w:r>
      <w:r w:rsidRPr="009D7EE2">
        <w:rPr>
          <w:rFonts w:ascii="Calibri" w:hAnsi="Calibri"/>
        </w:rPr>
        <w:t xml:space="preserve">UNDP, UNESCO, UNECE, the World Bank, WHO, WMO and others. </w:t>
      </w:r>
    </w:p>
    <w:p w:rsidR="008C445B" w:rsidRDefault="008C445B" w:rsidP="003A0727">
      <w:pPr>
        <w:pStyle w:val="ListParagraph"/>
        <w:tabs>
          <w:tab w:val="left" w:pos="0"/>
        </w:tabs>
        <w:suppressAutoHyphens/>
        <w:ind w:left="426" w:hanging="426"/>
        <w:jc w:val="left"/>
        <w:rPr>
          <w:rFonts w:ascii="Calibri" w:hAnsi="Calibri"/>
        </w:rPr>
      </w:pPr>
    </w:p>
    <w:p w:rsidR="008C445B" w:rsidRPr="009D7EE2" w:rsidRDefault="006961B7" w:rsidP="003A0727">
      <w:pPr>
        <w:pStyle w:val="ListParagraph"/>
        <w:numPr>
          <w:ilvl w:val="0"/>
          <w:numId w:val="3"/>
        </w:numPr>
        <w:tabs>
          <w:tab w:val="left" w:pos="0"/>
        </w:tabs>
        <w:suppressAutoHyphens/>
        <w:ind w:left="426" w:hanging="426"/>
        <w:jc w:val="left"/>
        <w:rPr>
          <w:rFonts w:ascii="Calibri" w:hAnsi="Calibri"/>
        </w:rPr>
      </w:pPr>
      <w:r>
        <w:rPr>
          <w:rFonts w:ascii="Calibri" w:hAnsi="Calibri"/>
        </w:rPr>
        <w:t>In</w:t>
      </w:r>
      <w:r w:rsidR="008C445B">
        <w:rPr>
          <w:rFonts w:ascii="Calibri" w:hAnsi="Calibri"/>
        </w:rPr>
        <w:t xml:space="preserve"> 2014 CBD in </w:t>
      </w:r>
      <w:r w:rsidR="008212B3">
        <w:rPr>
          <w:rFonts w:ascii="Calibri" w:hAnsi="Calibri"/>
        </w:rPr>
        <w:t xml:space="preserve">its </w:t>
      </w:r>
      <w:r w:rsidR="008C445B">
        <w:rPr>
          <w:rFonts w:ascii="Calibri" w:hAnsi="Calibri"/>
        </w:rPr>
        <w:t>COP12 and CMS</w:t>
      </w:r>
      <w:r w:rsidR="008212B3">
        <w:rPr>
          <w:rFonts w:ascii="Calibri" w:hAnsi="Calibri"/>
        </w:rPr>
        <w:t xml:space="preserve"> </w:t>
      </w:r>
      <w:r>
        <w:rPr>
          <w:rFonts w:ascii="Calibri" w:hAnsi="Calibri"/>
        </w:rPr>
        <w:t>in</w:t>
      </w:r>
      <w:r w:rsidR="008C445B">
        <w:rPr>
          <w:rFonts w:ascii="Calibri" w:hAnsi="Calibri"/>
        </w:rPr>
        <w:t xml:space="preserve"> </w:t>
      </w:r>
      <w:r w:rsidR="008212B3">
        <w:rPr>
          <w:rFonts w:ascii="Calibri" w:hAnsi="Calibri"/>
        </w:rPr>
        <w:t xml:space="preserve">its </w:t>
      </w:r>
      <w:r w:rsidR="008C445B">
        <w:rPr>
          <w:rFonts w:ascii="Calibri" w:hAnsi="Calibri"/>
        </w:rPr>
        <w:t>COP11</w:t>
      </w:r>
      <w:r>
        <w:rPr>
          <w:rFonts w:ascii="Calibri" w:hAnsi="Calibri"/>
        </w:rPr>
        <w:t xml:space="preserve"> addressed the need for enhancing synergies between MEAs.</w:t>
      </w:r>
      <w:r w:rsidR="008C445B">
        <w:rPr>
          <w:rFonts w:ascii="Calibri" w:hAnsi="Calibri"/>
        </w:rPr>
        <w:t xml:space="preserve"> </w:t>
      </w:r>
    </w:p>
    <w:p w:rsidR="009157D4" w:rsidRDefault="009157D4">
      <w:pPr>
        <w:suppressAutoHyphens/>
        <w:rPr>
          <w:rFonts w:asciiTheme="minorHAnsi" w:eastAsiaTheme="minorHAnsi" w:hAnsiTheme="minorHAnsi" w:cs="Calibri-Bold"/>
          <w:bCs/>
          <w:sz w:val="22"/>
          <w:szCs w:val="22"/>
          <w:u w:val="single"/>
        </w:rPr>
      </w:pPr>
    </w:p>
    <w:p w:rsidR="00D91024" w:rsidRDefault="0013737A">
      <w:pPr>
        <w:suppressAutoHyphens/>
        <w:rPr>
          <w:rFonts w:asciiTheme="minorHAnsi" w:eastAsiaTheme="minorHAnsi" w:hAnsiTheme="minorHAnsi" w:cs="Calibri-Bold"/>
          <w:bCs/>
          <w:sz w:val="22"/>
          <w:szCs w:val="22"/>
          <w:u w:val="single"/>
        </w:rPr>
      </w:pPr>
      <w:r w:rsidRPr="00F427E1">
        <w:rPr>
          <w:rFonts w:asciiTheme="minorHAnsi" w:eastAsiaTheme="minorHAnsi" w:hAnsiTheme="minorHAnsi" w:cs="Calibri-Bold"/>
          <w:bCs/>
          <w:sz w:val="22"/>
          <w:szCs w:val="22"/>
          <w:u w:val="single"/>
        </w:rPr>
        <w:t>Coordination with other Conventions</w:t>
      </w:r>
      <w:r w:rsidR="00100888">
        <w:rPr>
          <w:rFonts w:asciiTheme="minorHAnsi" w:eastAsiaTheme="minorHAnsi" w:hAnsiTheme="minorHAnsi" w:cs="Calibri-Bold"/>
          <w:bCs/>
          <w:sz w:val="22"/>
          <w:szCs w:val="22"/>
          <w:u w:val="single"/>
        </w:rPr>
        <w:t>’</w:t>
      </w:r>
      <w:r w:rsidRPr="00F427E1">
        <w:rPr>
          <w:rFonts w:asciiTheme="minorHAnsi" w:eastAsiaTheme="minorHAnsi" w:hAnsiTheme="minorHAnsi" w:cs="Calibri-Bold"/>
          <w:bCs/>
          <w:sz w:val="22"/>
          <w:szCs w:val="22"/>
          <w:u w:val="single"/>
        </w:rPr>
        <w:t xml:space="preserve"> Focal Points</w:t>
      </w:r>
    </w:p>
    <w:p w:rsidR="00D91024" w:rsidRDefault="00D91024">
      <w:pPr>
        <w:suppressAutoHyphens/>
        <w:rPr>
          <w:rFonts w:asciiTheme="minorHAnsi" w:eastAsiaTheme="minorHAnsi" w:hAnsiTheme="minorHAnsi" w:cs="Calibri-Bold"/>
          <w:bCs/>
          <w:sz w:val="22"/>
          <w:szCs w:val="22"/>
        </w:rPr>
      </w:pPr>
    </w:p>
    <w:p w:rsidR="00D91024" w:rsidRDefault="00174630">
      <w:pPr>
        <w:pStyle w:val="ListParagraph"/>
        <w:numPr>
          <w:ilvl w:val="0"/>
          <w:numId w:val="3"/>
        </w:numPr>
        <w:suppressAutoHyphens/>
        <w:ind w:left="426" w:hanging="426"/>
        <w:jc w:val="left"/>
        <w:rPr>
          <w:rFonts w:asciiTheme="minorHAnsi" w:eastAsiaTheme="minorHAnsi" w:hAnsiTheme="minorHAnsi" w:cs="Calibri-Bold"/>
          <w:bCs/>
        </w:rPr>
      </w:pPr>
      <w:r w:rsidRPr="00806209">
        <w:rPr>
          <w:rFonts w:asciiTheme="minorHAnsi" w:eastAsiaTheme="minorHAnsi" w:hAnsiTheme="minorHAnsi" w:cs="Calibri-Bold"/>
          <w:bCs/>
        </w:rPr>
        <w:t>The Contracting Parties</w:t>
      </w:r>
      <w:r w:rsidR="007B419C" w:rsidRPr="00806209">
        <w:rPr>
          <w:rFonts w:asciiTheme="minorHAnsi" w:eastAsiaTheme="minorHAnsi" w:hAnsiTheme="minorHAnsi" w:cs="Calibri-Bold"/>
          <w:bCs/>
        </w:rPr>
        <w:t xml:space="preserve"> have mentioned th</w:t>
      </w:r>
      <w:r w:rsidR="002934B0" w:rsidRPr="00806209">
        <w:rPr>
          <w:rFonts w:asciiTheme="minorHAnsi" w:eastAsiaTheme="minorHAnsi" w:hAnsiTheme="minorHAnsi" w:cs="Calibri-Bold"/>
          <w:bCs/>
        </w:rPr>
        <w:t xml:space="preserve">e importance </w:t>
      </w:r>
      <w:r w:rsidR="00100888">
        <w:rPr>
          <w:rFonts w:asciiTheme="minorHAnsi" w:eastAsiaTheme="minorHAnsi" w:hAnsiTheme="minorHAnsi" w:cs="Calibri-Bold"/>
          <w:bCs/>
        </w:rPr>
        <w:t>of increasing</w:t>
      </w:r>
      <w:r w:rsidR="002934B0" w:rsidRPr="00806209">
        <w:rPr>
          <w:rFonts w:asciiTheme="minorHAnsi" w:eastAsiaTheme="minorHAnsi" w:hAnsiTheme="minorHAnsi" w:cs="Calibri-Bold"/>
          <w:bCs/>
        </w:rPr>
        <w:t xml:space="preserve"> the </w:t>
      </w:r>
      <w:r w:rsidR="007B419C" w:rsidRPr="00806209">
        <w:rPr>
          <w:rFonts w:asciiTheme="minorHAnsi" w:eastAsiaTheme="minorHAnsi" w:hAnsiTheme="minorHAnsi" w:cs="Calibri-Bold"/>
          <w:bCs/>
        </w:rPr>
        <w:t>coordination</w:t>
      </w:r>
      <w:r w:rsidR="002934B0" w:rsidRPr="00806209">
        <w:rPr>
          <w:rFonts w:asciiTheme="minorHAnsi" w:eastAsiaTheme="minorHAnsi" w:hAnsiTheme="minorHAnsi" w:cs="Calibri-Bold"/>
          <w:bCs/>
        </w:rPr>
        <w:t xml:space="preserve"> </w:t>
      </w:r>
      <w:r w:rsidR="00100888">
        <w:rPr>
          <w:rFonts w:asciiTheme="minorHAnsi" w:eastAsiaTheme="minorHAnsi" w:hAnsiTheme="minorHAnsi" w:cs="Calibri-Bold"/>
          <w:bCs/>
        </w:rPr>
        <w:t>between</w:t>
      </w:r>
      <w:r w:rsidR="00100888" w:rsidRPr="00806209">
        <w:rPr>
          <w:rFonts w:asciiTheme="minorHAnsi" w:eastAsiaTheme="minorHAnsi" w:hAnsiTheme="minorHAnsi" w:cs="Calibri-Bold"/>
          <w:bCs/>
        </w:rPr>
        <w:t xml:space="preserve"> </w:t>
      </w:r>
      <w:r w:rsidR="002934B0" w:rsidRPr="00806209">
        <w:rPr>
          <w:rFonts w:asciiTheme="minorHAnsi" w:eastAsiaTheme="minorHAnsi" w:hAnsiTheme="minorHAnsi" w:cs="Calibri-Bold"/>
          <w:bCs/>
        </w:rPr>
        <w:t xml:space="preserve">Ramsar Focal Points </w:t>
      </w:r>
      <w:r w:rsidR="00100888">
        <w:rPr>
          <w:rFonts w:asciiTheme="minorHAnsi" w:eastAsiaTheme="minorHAnsi" w:hAnsiTheme="minorHAnsi" w:cs="Calibri-Bold"/>
          <w:bCs/>
        </w:rPr>
        <w:t xml:space="preserve">and </w:t>
      </w:r>
      <w:r w:rsidR="008212B3">
        <w:rPr>
          <w:rFonts w:asciiTheme="minorHAnsi" w:eastAsiaTheme="minorHAnsi" w:hAnsiTheme="minorHAnsi" w:cs="Calibri-Bold"/>
          <w:bCs/>
        </w:rPr>
        <w:t>f</w:t>
      </w:r>
      <w:r w:rsidR="008212B3" w:rsidRPr="00806209">
        <w:rPr>
          <w:rFonts w:asciiTheme="minorHAnsi" w:eastAsiaTheme="minorHAnsi" w:hAnsiTheme="minorHAnsi" w:cs="Calibri-Bold"/>
          <w:bCs/>
        </w:rPr>
        <w:t xml:space="preserve">ocal </w:t>
      </w:r>
      <w:r w:rsidR="008212B3">
        <w:rPr>
          <w:rFonts w:asciiTheme="minorHAnsi" w:eastAsiaTheme="minorHAnsi" w:hAnsiTheme="minorHAnsi" w:cs="Calibri-Bold"/>
          <w:bCs/>
        </w:rPr>
        <w:t>p</w:t>
      </w:r>
      <w:r w:rsidR="008212B3" w:rsidRPr="00806209">
        <w:rPr>
          <w:rFonts w:asciiTheme="minorHAnsi" w:eastAsiaTheme="minorHAnsi" w:hAnsiTheme="minorHAnsi" w:cs="Calibri-Bold"/>
          <w:bCs/>
        </w:rPr>
        <w:t xml:space="preserve">oints </w:t>
      </w:r>
      <w:r w:rsidR="002934B0" w:rsidRPr="00806209">
        <w:rPr>
          <w:rFonts w:asciiTheme="minorHAnsi" w:eastAsiaTheme="minorHAnsi" w:hAnsiTheme="minorHAnsi" w:cs="Calibri-Bold"/>
          <w:bCs/>
        </w:rPr>
        <w:t xml:space="preserve">of other </w:t>
      </w:r>
      <w:r w:rsidR="008212B3">
        <w:rPr>
          <w:rFonts w:asciiTheme="minorHAnsi" w:eastAsiaTheme="minorHAnsi" w:hAnsiTheme="minorHAnsi" w:cs="Calibri-Bold"/>
          <w:bCs/>
        </w:rPr>
        <w:t>c</w:t>
      </w:r>
      <w:r w:rsidR="008212B3" w:rsidRPr="00806209">
        <w:rPr>
          <w:rFonts w:asciiTheme="minorHAnsi" w:eastAsiaTheme="minorHAnsi" w:hAnsiTheme="minorHAnsi" w:cs="Calibri-Bold"/>
          <w:bCs/>
        </w:rPr>
        <w:t>onventions</w:t>
      </w:r>
      <w:r w:rsidR="00100888">
        <w:rPr>
          <w:rFonts w:asciiTheme="minorHAnsi" w:eastAsiaTheme="minorHAnsi" w:hAnsiTheme="minorHAnsi" w:cs="Calibri-Bold"/>
          <w:bCs/>
        </w:rPr>
        <w:t>,</w:t>
      </w:r>
      <w:r w:rsidR="002934B0" w:rsidRPr="00806209">
        <w:rPr>
          <w:rFonts w:asciiTheme="minorHAnsi" w:eastAsiaTheme="minorHAnsi" w:hAnsiTheme="minorHAnsi" w:cs="Calibri-Bold"/>
          <w:bCs/>
        </w:rPr>
        <w:t xml:space="preserve"> to </w:t>
      </w:r>
      <w:r w:rsidR="00100888">
        <w:rPr>
          <w:rFonts w:asciiTheme="minorHAnsi" w:eastAsiaTheme="minorHAnsi" w:hAnsiTheme="minorHAnsi" w:cs="Calibri-Bold"/>
          <w:bCs/>
        </w:rPr>
        <w:t xml:space="preserve">enable them to </w:t>
      </w:r>
      <w:r w:rsidR="002934B0" w:rsidRPr="00806209">
        <w:rPr>
          <w:rFonts w:asciiTheme="minorHAnsi" w:eastAsiaTheme="minorHAnsi" w:hAnsiTheme="minorHAnsi" w:cs="Calibri-Bold"/>
          <w:bCs/>
        </w:rPr>
        <w:t xml:space="preserve">inform </w:t>
      </w:r>
      <w:r w:rsidR="00100888">
        <w:rPr>
          <w:rFonts w:asciiTheme="minorHAnsi" w:eastAsiaTheme="minorHAnsi" w:hAnsiTheme="minorHAnsi" w:cs="Calibri-Bold"/>
          <w:bCs/>
        </w:rPr>
        <w:t xml:space="preserve">their counterparts of </w:t>
      </w:r>
      <w:r w:rsidR="002934B0" w:rsidRPr="00806209">
        <w:rPr>
          <w:rFonts w:asciiTheme="minorHAnsi" w:eastAsiaTheme="minorHAnsi" w:hAnsiTheme="minorHAnsi" w:cs="Calibri-Bold"/>
          <w:bCs/>
        </w:rPr>
        <w:t xml:space="preserve">Ramsar activities and agree </w:t>
      </w:r>
      <w:r w:rsidR="003320A7" w:rsidRPr="00806209">
        <w:rPr>
          <w:rFonts w:asciiTheme="minorHAnsi" w:eastAsiaTheme="minorHAnsi" w:hAnsiTheme="minorHAnsi" w:cs="Calibri-Bold"/>
          <w:bCs/>
        </w:rPr>
        <w:t>on areas of common interest and collaboration.</w:t>
      </w:r>
    </w:p>
    <w:p w:rsidR="00D91024" w:rsidRDefault="00D91024">
      <w:pPr>
        <w:suppressAutoHyphens/>
        <w:ind w:left="426" w:hanging="426"/>
        <w:rPr>
          <w:rFonts w:asciiTheme="minorHAnsi" w:eastAsiaTheme="minorHAnsi" w:hAnsiTheme="minorHAnsi" w:cs="Calibri-Bold"/>
          <w:bCs/>
          <w:sz w:val="22"/>
          <w:szCs w:val="22"/>
        </w:rPr>
      </w:pPr>
    </w:p>
    <w:p w:rsidR="00D91024" w:rsidRDefault="008A6402">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M</w:t>
      </w:r>
      <w:r w:rsidR="00104BBE" w:rsidRPr="00806209">
        <w:rPr>
          <w:rFonts w:asciiTheme="minorHAnsi" w:eastAsiaTheme="minorHAnsi" w:hAnsiTheme="minorHAnsi" w:cs="Calibri-Bold"/>
          <w:bCs/>
        </w:rPr>
        <w:t xml:space="preserve">echanisms to promote </w:t>
      </w:r>
      <w:r>
        <w:rPr>
          <w:rFonts w:asciiTheme="minorHAnsi" w:eastAsiaTheme="minorHAnsi" w:hAnsiTheme="minorHAnsi" w:cs="Calibri-Bold"/>
          <w:bCs/>
        </w:rPr>
        <w:t>such</w:t>
      </w:r>
      <w:r w:rsidRPr="00806209">
        <w:rPr>
          <w:rFonts w:asciiTheme="minorHAnsi" w:eastAsiaTheme="minorHAnsi" w:hAnsiTheme="minorHAnsi" w:cs="Calibri-Bold"/>
          <w:bCs/>
        </w:rPr>
        <w:t xml:space="preserve"> </w:t>
      </w:r>
      <w:r w:rsidR="00104BBE" w:rsidRPr="00806209">
        <w:rPr>
          <w:rFonts w:asciiTheme="minorHAnsi" w:eastAsiaTheme="minorHAnsi" w:hAnsiTheme="minorHAnsi" w:cs="Calibri-Bold"/>
          <w:bCs/>
        </w:rPr>
        <w:t>coordination</w:t>
      </w:r>
      <w:r w:rsidR="00AF391D" w:rsidRPr="00806209">
        <w:rPr>
          <w:rFonts w:asciiTheme="minorHAnsi" w:eastAsiaTheme="minorHAnsi" w:hAnsiTheme="minorHAnsi" w:cs="Calibri-Bold"/>
          <w:bCs/>
        </w:rPr>
        <w:t xml:space="preserve"> </w:t>
      </w:r>
      <w:r>
        <w:rPr>
          <w:rFonts w:asciiTheme="minorHAnsi" w:eastAsiaTheme="minorHAnsi" w:hAnsiTheme="minorHAnsi" w:cs="Calibri-Bold"/>
          <w:bCs/>
        </w:rPr>
        <w:t xml:space="preserve">include </w:t>
      </w:r>
      <w:r w:rsidR="00104BBE" w:rsidRPr="00806209">
        <w:rPr>
          <w:rFonts w:asciiTheme="minorHAnsi" w:eastAsiaTheme="minorHAnsi" w:hAnsiTheme="minorHAnsi" w:cs="Calibri-Bold"/>
          <w:bCs/>
        </w:rPr>
        <w:t xml:space="preserve">the establishment of National Ramsar Wetlands Committees </w:t>
      </w:r>
      <w:r w:rsidR="00AF391D" w:rsidRPr="00806209">
        <w:rPr>
          <w:rFonts w:asciiTheme="minorHAnsi" w:eastAsiaTheme="minorHAnsi" w:hAnsiTheme="minorHAnsi" w:cs="Calibri-Bold"/>
          <w:bCs/>
        </w:rPr>
        <w:t xml:space="preserve">or similar bodies that invite </w:t>
      </w:r>
      <w:r w:rsidR="0064540F">
        <w:rPr>
          <w:rFonts w:asciiTheme="minorHAnsi" w:eastAsiaTheme="minorHAnsi" w:hAnsiTheme="minorHAnsi" w:cs="Calibri-Bold"/>
          <w:bCs/>
        </w:rPr>
        <w:t>the</w:t>
      </w:r>
      <w:r w:rsidR="0064540F" w:rsidRPr="00806209">
        <w:rPr>
          <w:rFonts w:asciiTheme="minorHAnsi" w:eastAsiaTheme="minorHAnsi" w:hAnsiTheme="minorHAnsi" w:cs="Calibri-Bold"/>
          <w:bCs/>
        </w:rPr>
        <w:t xml:space="preserve"> participat</w:t>
      </w:r>
      <w:r w:rsidR="0064540F">
        <w:rPr>
          <w:rFonts w:asciiTheme="minorHAnsi" w:eastAsiaTheme="minorHAnsi" w:hAnsiTheme="minorHAnsi" w:cs="Calibri-Bold"/>
          <w:bCs/>
        </w:rPr>
        <w:t>ion of</w:t>
      </w:r>
      <w:r w:rsidR="0064540F" w:rsidRPr="00806209">
        <w:rPr>
          <w:rFonts w:asciiTheme="minorHAnsi" w:eastAsiaTheme="minorHAnsi" w:hAnsiTheme="minorHAnsi" w:cs="Calibri-Bold"/>
          <w:bCs/>
        </w:rPr>
        <w:t xml:space="preserve"> </w:t>
      </w:r>
      <w:r w:rsidR="00AF391D" w:rsidRPr="00806209">
        <w:rPr>
          <w:rFonts w:asciiTheme="minorHAnsi" w:eastAsiaTheme="minorHAnsi" w:hAnsiTheme="minorHAnsi" w:cs="Calibri-Bold"/>
          <w:bCs/>
        </w:rPr>
        <w:t xml:space="preserve">the </w:t>
      </w:r>
      <w:r w:rsidR="008212B3">
        <w:rPr>
          <w:rFonts w:asciiTheme="minorHAnsi" w:eastAsiaTheme="minorHAnsi" w:hAnsiTheme="minorHAnsi" w:cs="Calibri-Bold"/>
          <w:bCs/>
        </w:rPr>
        <w:t>f</w:t>
      </w:r>
      <w:r w:rsidR="008212B3" w:rsidRPr="00806209">
        <w:rPr>
          <w:rFonts w:asciiTheme="minorHAnsi" w:eastAsiaTheme="minorHAnsi" w:hAnsiTheme="minorHAnsi" w:cs="Calibri-Bold"/>
          <w:bCs/>
        </w:rPr>
        <w:t xml:space="preserve">ocal </w:t>
      </w:r>
      <w:r w:rsidR="008212B3">
        <w:rPr>
          <w:rFonts w:asciiTheme="minorHAnsi" w:eastAsiaTheme="minorHAnsi" w:hAnsiTheme="minorHAnsi" w:cs="Calibri-Bold"/>
          <w:bCs/>
        </w:rPr>
        <w:t>p</w:t>
      </w:r>
      <w:r w:rsidR="008212B3" w:rsidRPr="00806209">
        <w:rPr>
          <w:rFonts w:asciiTheme="minorHAnsi" w:eastAsiaTheme="minorHAnsi" w:hAnsiTheme="minorHAnsi" w:cs="Calibri-Bold"/>
          <w:bCs/>
        </w:rPr>
        <w:t xml:space="preserve">oints </w:t>
      </w:r>
      <w:r w:rsidR="00AF391D" w:rsidRPr="00806209">
        <w:rPr>
          <w:rFonts w:asciiTheme="minorHAnsi" w:eastAsiaTheme="minorHAnsi" w:hAnsiTheme="minorHAnsi" w:cs="Calibri-Bold"/>
          <w:bCs/>
        </w:rPr>
        <w:t>of other MEAs.</w:t>
      </w:r>
      <w:r w:rsidR="003A0727">
        <w:rPr>
          <w:rFonts w:asciiTheme="minorHAnsi" w:eastAsiaTheme="minorHAnsi" w:hAnsiTheme="minorHAnsi" w:cs="Calibri-Bold"/>
          <w:bCs/>
        </w:rPr>
        <w:t xml:space="preserve"> </w:t>
      </w:r>
      <w:r w:rsidR="00AF391D" w:rsidRPr="00806209">
        <w:rPr>
          <w:rFonts w:asciiTheme="minorHAnsi" w:eastAsiaTheme="minorHAnsi" w:hAnsiTheme="minorHAnsi" w:cs="Calibri-Bold"/>
          <w:bCs/>
        </w:rPr>
        <w:t>In this regard</w:t>
      </w:r>
      <w:r w:rsidR="0064540F">
        <w:rPr>
          <w:rFonts w:asciiTheme="minorHAnsi" w:eastAsiaTheme="minorHAnsi" w:hAnsiTheme="minorHAnsi" w:cs="Calibri-Bold"/>
          <w:bCs/>
        </w:rPr>
        <w:t>,</w:t>
      </w:r>
      <w:r w:rsidR="00AF391D" w:rsidRPr="00806209">
        <w:rPr>
          <w:rFonts w:asciiTheme="minorHAnsi" w:eastAsiaTheme="minorHAnsi" w:hAnsiTheme="minorHAnsi" w:cs="Calibri-Bold"/>
          <w:bCs/>
        </w:rPr>
        <w:t xml:space="preserve"> according to National Reports to COP11, </w:t>
      </w:r>
      <w:r w:rsidR="00FD04F2">
        <w:rPr>
          <w:rFonts w:asciiTheme="minorHAnsi" w:eastAsiaTheme="minorHAnsi" w:hAnsiTheme="minorHAnsi" w:cs="Calibri-Bold"/>
          <w:bCs/>
        </w:rPr>
        <w:t>only 37%</w:t>
      </w:r>
      <w:r w:rsidR="008212B3">
        <w:rPr>
          <w:rFonts w:asciiTheme="minorHAnsi" w:eastAsiaTheme="minorHAnsi" w:hAnsiTheme="minorHAnsi" w:cs="Calibri-Bold"/>
          <w:bCs/>
        </w:rPr>
        <w:t xml:space="preserve"> </w:t>
      </w:r>
      <w:r w:rsidR="00AF391D" w:rsidRPr="00FD04F2">
        <w:rPr>
          <w:rFonts w:asciiTheme="minorHAnsi" w:eastAsiaTheme="minorHAnsi" w:hAnsiTheme="minorHAnsi" w:cs="Calibri-Bold"/>
          <w:bCs/>
        </w:rPr>
        <w:t xml:space="preserve">of the Contracting Parties </w:t>
      </w:r>
      <w:r w:rsidR="00482DC9" w:rsidRPr="00FD04F2">
        <w:rPr>
          <w:rFonts w:asciiTheme="minorHAnsi" w:eastAsiaTheme="minorHAnsi" w:hAnsiTheme="minorHAnsi" w:cs="Calibri-Bold"/>
          <w:bCs/>
        </w:rPr>
        <w:t>involve</w:t>
      </w:r>
      <w:r>
        <w:rPr>
          <w:rFonts w:asciiTheme="minorHAnsi" w:eastAsiaTheme="minorHAnsi" w:hAnsiTheme="minorHAnsi" w:cs="Calibri-Bold"/>
          <w:bCs/>
        </w:rPr>
        <w:t>d</w:t>
      </w:r>
      <w:r w:rsidR="00AF391D" w:rsidRPr="00FD04F2">
        <w:rPr>
          <w:rFonts w:asciiTheme="minorHAnsi" w:eastAsiaTheme="minorHAnsi" w:hAnsiTheme="minorHAnsi" w:cs="Calibri-Bold"/>
          <w:bCs/>
        </w:rPr>
        <w:t xml:space="preserve"> other </w:t>
      </w:r>
      <w:r w:rsidR="008212B3">
        <w:rPr>
          <w:rFonts w:asciiTheme="minorHAnsi" w:eastAsiaTheme="minorHAnsi" w:hAnsiTheme="minorHAnsi" w:cs="Calibri-Bold"/>
          <w:bCs/>
        </w:rPr>
        <w:t>f</w:t>
      </w:r>
      <w:r w:rsidR="008212B3" w:rsidRPr="00FD04F2">
        <w:rPr>
          <w:rFonts w:asciiTheme="minorHAnsi" w:eastAsiaTheme="minorHAnsi" w:hAnsiTheme="minorHAnsi" w:cs="Calibri-Bold"/>
          <w:bCs/>
        </w:rPr>
        <w:t xml:space="preserve">ocal </w:t>
      </w:r>
      <w:r w:rsidR="008212B3">
        <w:rPr>
          <w:rFonts w:asciiTheme="minorHAnsi" w:eastAsiaTheme="minorHAnsi" w:hAnsiTheme="minorHAnsi" w:cs="Calibri-Bold"/>
          <w:bCs/>
        </w:rPr>
        <w:t>p</w:t>
      </w:r>
      <w:r w:rsidR="008212B3" w:rsidRPr="00FD04F2">
        <w:rPr>
          <w:rFonts w:asciiTheme="minorHAnsi" w:eastAsiaTheme="minorHAnsi" w:hAnsiTheme="minorHAnsi" w:cs="Calibri-Bold"/>
          <w:bCs/>
        </w:rPr>
        <w:t xml:space="preserve">oints </w:t>
      </w:r>
      <w:r w:rsidR="00AF391D" w:rsidRPr="00FD04F2">
        <w:rPr>
          <w:rFonts w:asciiTheme="minorHAnsi" w:eastAsiaTheme="minorHAnsi" w:hAnsiTheme="minorHAnsi" w:cs="Calibri-Bold"/>
          <w:bCs/>
        </w:rPr>
        <w:t xml:space="preserve">in their National Wetlands Committees </w:t>
      </w:r>
      <w:r>
        <w:rPr>
          <w:rFonts w:asciiTheme="minorHAnsi" w:eastAsiaTheme="minorHAnsi" w:hAnsiTheme="minorHAnsi" w:cs="Calibri-Bold"/>
          <w:bCs/>
        </w:rPr>
        <w:t xml:space="preserve">as of 2011 </w:t>
      </w:r>
      <w:r w:rsidR="00AF391D" w:rsidRPr="00FD04F2">
        <w:rPr>
          <w:rFonts w:asciiTheme="minorHAnsi" w:eastAsiaTheme="minorHAnsi" w:hAnsiTheme="minorHAnsi" w:cs="Calibri-Bold"/>
          <w:bCs/>
        </w:rPr>
        <w:t xml:space="preserve">(N.B This </w:t>
      </w:r>
      <w:r>
        <w:rPr>
          <w:rFonts w:asciiTheme="minorHAnsi" w:eastAsiaTheme="minorHAnsi" w:hAnsiTheme="minorHAnsi" w:cs="Calibri-Bold"/>
          <w:bCs/>
        </w:rPr>
        <w:t>figure will</w:t>
      </w:r>
      <w:r w:rsidR="00AF391D" w:rsidRPr="00FD04F2">
        <w:rPr>
          <w:rFonts w:asciiTheme="minorHAnsi" w:eastAsiaTheme="minorHAnsi" w:hAnsiTheme="minorHAnsi" w:cs="Calibri-Bold"/>
          <w:bCs/>
        </w:rPr>
        <w:t xml:space="preserve"> be updated with the information </w:t>
      </w:r>
      <w:r>
        <w:rPr>
          <w:rFonts w:asciiTheme="minorHAnsi" w:eastAsiaTheme="minorHAnsi" w:hAnsiTheme="minorHAnsi" w:cs="Calibri-Bold"/>
          <w:bCs/>
        </w:rPr>
        <w:t>from</w:t>
      </w:r>
      <w:r w:rsidRPr="00FD04F2">
        <w:rPr>
          <w:rFonts w:asciiTheme="minorHAnsi" w:eastAsiaTheme="minorHAnsi" w:hAnsiTheme="minorHAnsi" w:cs="Calibri-Bold"/>
          <w:bCs/>
        </w:rPr>
        <w:t xml:space="preserve"> </w:t>
      </w:r>
      <w:r w:rsidR="00AF391D" w:rsidRPr="00FD04F2">
        <w:rPr>
          <w:rFonts w:asciiTheme="minorHAnsi" w:eastAsiaTheme="minorHAnsi" w:hAnsiTheme="minorHAnsi" w:cs="Calibri-Bold"/>
          <w:bCs/>
        </w:rPr>
        <w:t>COP12 National Reports).</w:t>
      </w:r>
      <w:r w:rsidR="003A0727">
        <w:rPr>
          <w:rFonts w:asciiTheme="minorHAnsi" w:eastAsiaTheme="minorHAnsi" w:hAnsiTheme="minorHAnsi" w:cs="Calibri-Bold"/>
          <w:bCs/>
        </w:rPr>
        <w:t xml:space="preserve"> </w:t>
      </w:r>
    </w:p>
    <w:p w:rsidR="00D91024" w:rsidRDefault="00D91024">
      <w:pPr>
        <w:suppressAutoHyphens/>
        <w:ind w:left="426" w:hanging="426"/>
        <w:rPr>
          <w:rFonts w:asciiTheme="minorHAnsi" w:eastAsiaTheme="minorHAnsi" w:hAnsiTheme="minorHAnsi" w:cs="Calibri-Bold"/>
          <w:bCs/>
          <w:sz w:val="22"/>
          <w:szCs w:val="22"/>
        </w:rPr>
      </w:pPr>
    </w:p>
    <w:p w:rsidR="00D91024" w:rsidRDefault="0082444A">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4</w:t>
      </w:r>
      <w:r w:rsidR="002C0479">
        <w:rPr>
          <w:rFonts w:asciiTheme="minorHAnsi" w:eastAsiaTheme="minorHAnsi" w:hAnsiTheme="minorHAnsi" w:cs="Calibri-Bold"/>
          <w:bCs/>
        </w:rPr>
        <w:t>7</w:t>
      </w:r>
      <w:r>
        <w:rPr>
          <w:rFonts w:asciiTheme="minorHAnsi" w:eastAsiaTheme="minorHAnsi" w:hAnsiTheme="minorHAnsi" w:cs="Calibri-Bold"/>
          <w:bCs/>
        </w:rPr>
        <w:t xml:space="preserve">% </w:t>
      </w:r>
      <w:r w:rsidR="000728A7" w:rsidRPr="00183A30">
        <w:rPr>
          <w:rFonts w:asciiTheme="minorHAnsi" w:eastAsiaTheme="minorHAnsi" w:hAnsiTheme="minorHAnsi" w:cs="Calibri-Bold"/>
          <w:bCs/>
        </w:rPr>
        <w:t>of the Contracting Parties</w:t>
      </w:r>
      <w:r w:rsidR="003A0727">
        <w:rPr>
          <w:rFonts w:asciiTheme="minorHAnsi" w:eastAsiaTheme="minorHAnsi" w:hAnsiTheme="minorHAnsi" w:cs="Calibri-Bold"/>
          <w:bCs/>
        </w:rPr>
        <w:t xml:space="preserve"> </w:t>
      </w:r>
      <w:r w:rsidR="008A6402" w:rsidRPr="00806209">
        <w:rPr>
          <w:rFonts w:asciiTheme="minorHAnsi" w:eastAsiaTheme="minorHAnsi" w:hAnsiTheme="minorHAnsi" w:cs="Calibri-Bold"/>
          <w:bCs/>
        </w:rPr>
        <w:t>ha</w:t>
      </w:r>
      <w:r w:rsidR="008A6402">
        <w:rPr>
          <w:rFonts w:asciiTheme="minorHAnsi" w:eastAsiaTheme="minorHAnsi" w:hAnsiTheme="minorHAnsi" w:cs="Calibri-Bold"/>
          <w:bCs/>
        </w:rPr>
        <w:t>d</w:t>
      </w:r>
      <w:r w:rsidR="008A6402" w:rsidRPr="00806209">
        <w:rPr>
          <w:rFonts w:asciiTheme="minorHAnsi" w:eastAsiaTheme="minorHAnsi" w:hAnsiTheme="minorHAnsi" w:cs="Calibri-Bold"/>
          <w:bCs/>
        </w:rPr>
        <w:t xml:space="preserve"> </w:t>
      </w:r>
      <w:r w:rsidR="000728A7" w:rsidRPr="00806209">
        <w:rPr>
          <w:rFonts w:asciiTheme="minorHAnsi" w:eastAsiaTheme="minorHAnsi" w:hAnsiTheme="minorHAnsi" w:cs="Calibri-Bold"/>
          <w:bCs/>
        </w:rPr>
        <w:t>established other communication mechanism</w:t>
      </w:r>
      <w:r w:rsidR="008A6402">
        <w:rPr>
          <w:rFonts w:asciiTheme="minorHAnsi" w:eastAsiaTheme="minorHAnsi" w:hAnsiTheme="minorHAnsi" w:cs="Calibri-Bold"/>
          <w:bCs/>
        </w:rPr>
        <w:t>s</w:t>
      </w:r>
      <w:r w:rsidR="000728A7" w:rsidRPr="00806209">
        <w:rPr>
          <w:rFonts w:asciiTheme="minorHAnsi" w:eastAsiaTheme="minorHAnsi" w:hAnsiTheme="minorHAnsi" w:cs="Calibri-Bold"/>
          <w:bCs/>
        </w:rPr>
        <w:t xml:space="preserve"> in place to share Ramsar implementation guidelines and other information between the Ramsar Administrative Authority </w:t>
      </w:r>
      <w:r w:rsidR="008A6402">
        <w:rPr>
          <w:rFonts w:asciiTheme="minorHAnsi" w:eastAsiaTheme="minorHAnsi" w:hAnsiTheme="minorHAnsi" w:cs="Calibri-Bold"/>
          <w:bCs/>
        </w:rPr>
        <w:t xml:space="preserve">and </w:t>
      </w:r>
      <w:r w:rsidR="000728A7" w:rsidRPr="00806209">
        <w:rPr>
          <w:rFonts w:asciiTheme="minorHAnsi" w:eastAsiaTheme="minorHAnsi" w:hAnsiTheme="minorHAnsi" w:cs="Calibri-Bold"/>
          <w:bCs/>
        </w:rPr>
        <w:t xml:space="preserve">other MEA </w:t>
      </w:r>
      <w:r w:rsidR="008212B3">
        <w:rPr>
          <w:rFonts w:asciiTheme="minorHAnsi" w:eastAsiaTheme="minorHAnsi" w:hAnsiTheme="minorHAnsi" w:cs="Calibri-Bold"/>
          <w:bCs/>
        </w:rPr>
        <w:t>f</w:t>
      </w:r>
      <w:r w:rsidR="008212B3" w:rsidRPr="00806209">
        <w:rPr>
          <w:rFonts w:asciiTheme="minorHAnsi" w:eastAsiaTheme="minorHAnsi" w:hAnsiTheme="minorHAnsi" w:cs="Calibri-Bold"/>
          <w:bCs/>
        </w:rPr>
        <w:t xml:space="preserve">ocal </w:t>
      </w:r>
      <w:r w:rsidR="008212B3">
        <w:rPr>
          <w:rFonts w:asciiTheme="minorHAnsi" w:eastAsiaTheme="minorHAnsi" w:hAnsiTheme="minorHAnsi" w:cs="Calibri-Bold"/>
          <w:bCs/>
        </w:rPr>
        <w:t>p</w:t>
      </w:r>
      <w:r w:rsidR="008212B3" w:rsidRPr="00806209">
        <w:rPr>
          <w:rFonts w:asciiTheme="minorHAnsi" w:eastAsiaTheme="minorHAnsi" w:hAnsiTheme="minorHAnsi" w:cs="Calibri-Bold"/>
          <w:bCs/>
        </w:rPr>
        <w:t>oints</w:t>
      </w:r>
      <w:r w:rsidR="000728A7" w:rsidRPr="00806209">
        <w:rPr>
          <w:rFonts w:asciiTheme="minorHAnsi" w:eastAsiaTheme="minorHAnsi" w:hAnsiTheme="minorHAnsi" w:cs="Calibri-Bold"/>
          <w:bCs/>
        </w:rPr>
        <w:t>.</w:t>
      </w:r>
    </w:p>
    <w:p w:rsidR="00D91024" w:rsidRDefault="00D91024">
      <w:pPr>
        <w:suppressAutoHyphens/>
        <w:ind w:left="426" w:hanging="426"/>
        <w:rPr>
          <w:rFonts w:asciiTheme="minorHAnsi" w:eastAsiaTheme="minorHAnsi" w:hAnsiTheme="minorHAnsi" w:cs="Calibri-Bold"/>
          <w:bCs/>
          <w:sz w:val="22"/>
          <w:szCs w:val="22"/>
        </w:rPr>
      </w:pPr>
    </w:p>
    <w:p w:rsidR="00D91024" w:rsidRDefault="00AF391D" w:rsidP="00A55093">
      <w:pPr>
        <w:pStyle w:val="ListParagraph"/>
        <w:numPr>
          <w:ilvl w:val="0"/>
          <w:numId w:val="3"/>
        </w:numPr>
        <w:suppressAutoHyphens/>
        <w:ind w:left="426" w:hanging="426"/>
        <w:jc w:val="left"/>
        <w:rPr>
          <w:rFonts w:asciiTheme="minorHAnsi" w:eastAsiaTheme="minorHAnsi" w:hAnsiTheme="minorHAnsi" w:cs="Calibri-Bold"/>
          <w:bCs/>
        </w:rPr>
      </w:pPr>
      <w:r w:rsidRPr="00806209">
        <w:rPr>
          <w:rFonts w:asciiTheme="minorHAnsi" w:eastAsiaTheme="minorHAnsi" w:hAnsiTheme="minorHAnsi" w:cs="Calibri-Bold"/>
          <w:bCs/>
        </w:rPr>
        <w:lastRenderedPageBreak/>
        <w:t>Similarly</w:t>
      </w:r>
      <w:r w:rsidR="008212B3">
        <w:rPr>
          <w:rFonts w:asciiTheme="minorHAnsi" w:eastAsiaTheme="minorHAnsi" w:hAnsiTheme="minorHAnsi" w:cs="Calibri-Bold"/>
          <w:bCs/>
        </w:rPr>
        <w:t>,</w:t>
      </w:r>
      <w:r w:rsidRPr="00806209">
        <w:rPr>
          <w:rFonts w:asciiTheme="minorHAnsi" w:eastAsiaTheme="minorHAnsi" w:hAnsiTheme="minorHAnsi" w:cs="Calibri-Bold"/>
          <w:bCs/>
        </w:rPr>
        <w:t xml:space="preserve"> </w:t>
      </w:r>
      <w:r w:rsidR="00E86897">
        <w:rPr>
          <w:rFonts w:asciiTheme="minorHAnsi" w:eastAsiaTheme="minorHAnsi" w:hAnsiTheme="minorHAnsi" w:cs="Calibri-Bold"/>
          <w:bCs/>
        </w:rPr>
        <w:t>43</w:t>
      </w:r>
      <w:r w:rsidRPr="00E86897">
        <w:rPr>
          <w:rFonts w:asciiTheme="minorHAnsi" w:eastAsiaTheme="minorHAnsi" w:hAnsiTheme="minorHAnsi" w:cs="Calibri-Bold"/>
          <w:bCs/>
        </w:rPr>
        <w:t>% of Contracting Parties</w:t>
      </w:r>
      <w:r w:rsidRPr="00806209">
        <w:rPr>
          <w:rFonts w:asciiTheme="minorHAnsi" w:eastAsiaTheme="minorHAnsi" w:hAnsiTheme="minorHAnsi" w:cs="Calibri-Bold"/>
          <w:bCs/>
        </w:rPr>
        <w:t xml:space="preserve"> </w:t>
      </w:r>
      <w:r w:rsidR="008A6402" w:rsidRPr="00806209">
        <w:rPr>
          <w:rFonts w:asciiTheme="minorHAnsi" w:eastAsiaTheme="minorHAnsi" w:hAnsiTheme="minorHAnsi" w:cs="Calibri-Bold"/>
          <w:bCs/>
        </w:rPr>
        <w:t>ha</w:t>
      </w:r>
      <w:r w:rsidR="008A6402">
        <w:rPr>
          <w:rFonts w:asciiTheme="minorHAnsi" w:eastAsiaTheme="minorHAnsi" w:hAnsiTheme="minorHAnsi" w:cs="Calibri-Bold"/>
          <w:bCs/>
        </w:rPr>
        <w:t>d</w:t>
      </w:r>
      <w:r w:rsidR="008A6402" w:rsidRPr="00806209">
        <w:rPr>
          <w:rFonts w:asciiTheme="minorHAnsi" w:eastAsiaTheme="minorHAnsi" w:hAnsiTheme="minorHAnsi" w:cs="Calibri-Bold"/>
          <w:bCs/>
        </w:rPr>
        <w:t xml:space="preserve"> </w:t>
      </w:r>
      <w:r w:rsidRPr="00806209">
        <w:rPr>
          <w:rFonts w:asciiTheme="minorHAnsi" w:eastAsiaTheme="minorHAnsi" w:hAnsiTheme="minorHAnsi" w:cs="Calibri-Bold"/>
          <w:bCs/>
        </w:rPr>
        <w:t xml:space="preserve">established </w:t>
      </w:r>
      <w:r w:rsidR="00482DC9" w:rsidRPr="00806209">
        <w:rPr>
          <w:rFonts w:asciiTheme="minorHAnsi" w:eastAsiaTheme="minorHAnsi" w:hAnsiTheme="minorHAnsi" w:cs="Calibri-Bold"/>
          <w:bCs/>
        </w:rPr>
        <w:t xml:space="preserve">mechanisms in place for collaboration between the Ramsar Administrative Authority and the </w:t>
      </w:r>
      <w:r w:rsidR="008A6402" w:rsidRPr="00806209">
        <w:rPr>
          <w:rFonts w:asciiTheme="minorHAnsi" w:eastAsiaTheme="minorHAnsi" w:hAnsiTheme="minorHAnsi" w:cs="Calibri-Bold"/>
          <w:bCs/>
        </w:rPr>
        <w:t xml:space="preserve">national </w:t>
      </w:r>
      <w:r w:rsidR="00482DC9" w:rsidRPr="00806209">
        <w:rPr>
          <w:rFonts w:asciiTheme="minorHAnsi" w:eastAsiaTheme="minorHAnsi" w:hAnsiTheme="minorHAnsi" w:cs="Calibri-Bold"/>
          <w:bCs/>
        </w:rPr>
        <w:t>focal point</w:t>
      </w:r>
      <w:r w:rsidR="008A6402">
        <w:rPr>
          <w:rFonts w:asciiTheme="minorHAnsi" w:eastAsiaTheme="minorHAnsi" w:hAnsiTheme="minorHAnsi" w:cs="Calibri-Bold"/>
          <w:bCs/>
        </w:rPr>
        <w:t>s</w:t>
      </w:r>
      <w:r w:rsidR="00482DC9" w:rsidRPr="00806209">
        <w:rPr>
          <w:rFonts w:asciiTheme="minorHAnsi" w:eastAsiaTheme="minorHAnsi" w:hAnsiTheme="minorHAnsi" w:cs="Calibri-Bold"/>
          <w:bCs/>
        </w:rPr>
        <w:t xml:space="preserve"> of UN and other global and regional agencies and bodies. </w:t>
      </w:r>
    </w:p>
    <w:p w:rsidR="00EA3FBC" w:rsidRDefault="00EA3FBC" w:rsidP="00A55093">
      <w:pPr>
        <w:pStyle w:val="ListParagraph"/>
        <w:suppressAutoHyphens/>
        <w:ind w:left="426"/>
        <w:jc w:val="left"/>
        <w:rPr>
          <w:rFonts w:asciiTheme="minorHAnsi" w:eastAsiaTheme="minorHAnsi" w:hAnsiTheme="minorHAnsi" w:cs="Calibri-Bold"/>
          <w:bCs/>
        </w:rPr>
      </w:pPr>
    </w:p>
    <w:p w:rsidR="00C55392" w:rsidRDefault="00EA3FBC" w:rsidP="00A55093">
      <w:pPr>
        <w:pStyle w:val="ListParagraph"/>
        <w:numPr>
          <w:ilvl w:val="0"/>
          <w:numId w:val="3"/>
        </w:numPr>
        <w:suppressAutoHyphens/>
        <w:ind w:left="426" w:hanging="426"/>
        <w:jc w:val="left"/>
        <w:rPr>
          <w:rFonts w:asciiTheme="minorHAnsi" w:eastAsiaTheme="minorHAnsi" w:hAnsiTheme="minorHAnsi" w:cs="Calibri-Bold"/>
          <w:bCs/>
        </w:rPr>
      </w:pPr>
      <w:r>
        <w:rPr>
          <w:rFonts w:asciiTheme="minorHAnsi" w:eastAsiaTheme="minorHAnsi" w:hAnsiTheme="minorHAnsi" w:cs="Calibri-Bold"/>
          <w:bCs/>
        </w:rPr>
        <w:t xml:space="preserve">The </w:t>
      </w:r>
      <w:r w:rsidR="001C69E4" w:rsidRPr="001C69E4">
        <w:rPr>
          <w:rFonts w:asciiTheme="minorHAnsi" w:eastAsiaTheme="minorHAnsi" w:hAnsiTheme="minorHAnsi" w:cs="Calibri-Bold"/>
          <w:bCs/>
          <w:i/>
        </w:rPr>
        <w:t>Sourcebook of opportunities for enhancing cooperation among the biodiversity-related conventions at national and regional level</w:t>
      </w:r>
      <w:r w:rsidR="00C931F7">
        <w:rPr>
          <w:rFonts w:asciiTheme="minorHAnsi" w:eastAsiaTheme="minorHAnsi" w:hAnsiTheme="minorHAnsi" w:cs="Calibri-Bold"/>
          <w:bCs/>
        </w:rPr>
        <w:t xml:space="preserve"> </w:t>
      </w:r>
      <w:r w:rsidR="006961B7">
        <w:rPr>
          <w:rFonts w:asciiTheme="minorHAnsi" w:eastAsiaTheme="minorHAnsi" w:hAnsiTheme="minorHAnsi" w:cs="Calibri-Bold"/>
          <w:bCs/>
        </w:rPr>
        <w:t>points out</w:t>
      </w:r>
      <w:r w:rsidR="00C55392" w:rsidRPr="00C55392">
        <w:rPr>
          <w:rFonts w:asciiTheme="minorHAnsi" w:eastAsiaTheme="minorHAnsi" w:hAnsiTheme="minorHAnsi" w:cs="Calibri-Bold"/>
          <w:bCs/>
        </w:rPr>
        <w:t xml:space="preserve"> six areas where cooperation and coordination could be improved for the biodiversity cluster:</w:t>
      </w:r>
    </w:p>
    <w:p w:rsidR="00560B10" w:rsidRDefault="00C55392" w:rsidP="009519D6">
      <w:pPr>
        <w:pStyle w:val="ListParagraph"/>
        <w:numPr>
          <w:ilvl w:val="1"/>
          <w:numId w:val="3"/>
        </w:numPr>
        <w:suppressAutoHyphens/>
        <w:ind w:left="851" w:hanging="425"/>
        <w:jc w:val="left"/>
        <w:rPr>
          <w:rFonts w:asciiTheme="minorHAnsi" w:eastAsiaTheme="minorHAnsi" w:hAnsiTheme="minorHAnsi" w:cs="Calibri-Bold"/>
          <w:bCs/>
        </w:rPr>
      </w:pPr>
      <w:r w:rsidRPr="00C55392">
        <w:rPr>
          <w:rFonts w:asciiTheme="minorHAnsi" w:eastAsiaTheme="minorHAnsi" w:hAnsiTheme="minorHAnsi" w:cs="Calibri-Bold"/>
          <w:bCs/>
        </w:rPr>
        <w:t>Institutional arrangements</w:t>
      </w:r>
      <w:r w:rsidR="008212B3">
        <w:rPr>
          <w:rFonts w:asciiTheme="minorHAnsi" w:eastAsiaTheme="minorHAnsi" w:hAnsiTheme="minorHAnsi" w:cs="Calibri-Bold"/>
          <w:bCs/>
        </w:rPr>
        <w:t>;</w:t>
      </w:r>
    </w:p>
    <w:p w:rsidR="00560B10" w:rsidRDefault="00C55392" w:rsidP="009519D6">
      <w:pPr>
        <w:pStyle w:val="ListParagraph"/>
        <w:numPr>
          <w:ilvl w:val="1"/>
          <w:numId w:val="3"/>
        </w:numPr>
        <w:suppressAutoHyphens/>
        <w:ind w:left="851" w:hanging="425"/>
        <w:jc w:val="left"/>
        <w:rPr>
          <w:rFonts w:asciiTheme="minorHAnsi" w:eastAsiaTheme="minorHAnsi" w:hAnsiTheme="minorHAnsi" w:cs="Calibri-Bold"/>
          <w:bCs/>
        </w:rPr>
      </w:pPr>
      <w:r w:rsidRPr="00C55392">
        <w:rPr>
          <w:rFonts w:asciiTheme="minorHAnsi" w:eastAsiaTheme="minorHAnsi" w:hAnsiTheme="minorHAnsi" w:cs="Calibri-Bold"/>
          <w:bCs/>
        </w:rPr>
        <w:t>Information management and repo</w:t>
      </w:r>
      <w:bookmarkStart w:id="0" w:name="_GoBack"/>
      <w:bookmarkEnd w:id="0"/>
      <w:r w:rsidRPr="00C55392">
        <w:rPr>
          <w:rFonts w:asciiTheme="minorHAnsi" w:eastAsiaTheme="minorHAnsi" w:hAnsiTheme="minorHAnsi" w:cs="Calibri-Bold"/>
          <w:bCs/>
        </w:rPr>
        <w:t>rting</w:t>
      </w:r>
      <w:r w:rsidR="008212B3">
        <w:rPr>
          <w:rFonts w:asciiTheme="minorHAnsi" w:eastAsiaTheme="minorHAnsi" w:hAnsiTheme="minorHAnsi" w:cs="Calibri-Bold"/>
          <w:bCs/>
        </w:rPr>
        <w:t>;</w:t>
      </w:r>
    </w:p>
    <w:p w:rsidR="00560B10" w:rsidRDefault="00C55392" w:rsidP="009519D6">
      <w:pPr>
        <w:pStyle w:val="ListParagraph"/>
        <w:numPr>
          <w:ilvl w:val="1"/>
          <w:numId w:val="3"/>
        </w:numPr>
        <w:suppressAutoHyphens/>
        <w:ind w:left="851" w:hanging="425"/>
        <w:jc w:val="left"/>
        <w:rPr>
          <w:rFonts w:asciiTheme="minorHAnsi" w:eastAsiaTheme="minorHAnsi" w:hAnsiTheme="minorHAnsi" w:cs="Calibri-Bold"/>
          <w:bCs/>
        </w:rPr>
      </w:pPr>
      <w:r w:rsidRPr="00C55392">
        <w:rPr>
          <w:rFonts w:asciiTheme="minorHAnsi" w:eastAsiaTheme="minorHAnsi" w:hAnsiTheme="minorHAnsi" w:cs="Calibri-Bold"/>
          <w:bCs/>
        </w:rPr>
        <w:t>Science-policy interface</w:t>
      </w:r>
      <w:r w:rsidR="008212B3">
        <w:rPr>
          <w:rFonts w:asciiTheme="minorHAnsi" w:eastAsiaTheme="minorHAnsi" w:hAnsiTheme="minorHAnsi" w:cs="Calibri-Bold"/>
          <w:bCs/>
        </w:rPr>
        <w:t>;</w:t>
      </w:r>
    </w:p>
    <w:p w:rsidR="00560B10" w:rsidRDefault="00C55392" w:rsidP="009519D6">
      <w:pPr>
        <w:pStyle w:val="ListParagraph"/>
        <w:numPr>
          <w:ilvl w:val="1"/>
          <w:numId w:val="3"/>
        </w:numPr>
        <w:suppressAutoHyphens/>
        <w:ind w:left="851" w:hanging="425"/>
        <w:jc w:val="left"/>
        <w:rPr>
          <w:rFonts w:asciiTheme="minorHAnsi" w:eastAsiaTheme="minorHAnsi" w:hAnsiTheme="minorHAnsi" w:cs="Calibri-Bold"/>
          <w:bCs/>
        </w:rPr>
      </w:pPr>
      <w:r w:rsidRPr="00C55392">
        <w:rPr>
          <w:rFonts w:asciiTheme="minorHAnsi" w:eastAsiaTheme="minorHAnsi" w:hAnsiTheme="minorHAnsi" w:cs="Calibri-Bold"/>
          <w:bCs/>
        </w:rPr>
        <w:t>Capacity building</w:t>
      </w:r>
      <w:r w:rsidR="008212B3">
        <w:rPr>
          <w:rFonts w:asciiTheme="minorHAnsi" w:eastAsiaTheme="minorHAnsi" w:hAnsiTheme="minorHAnsi" w:cs="Calibri-Bold"/>
          <w:bCs/>
        </w:rPr>
        <w:t>;</w:t>
      </w:r>
    </w:p>
    <w:p w:rsidR="00560B10" w:rsidRDefault="00C55392" w:rsidP="009519D6">
      <w:pPr>
        <w:pStyle w:val="ListParagraph"/>
        <w:numPr>
          <w:ilvl w:val="1"/>
          <w:numId w:val="3"/>
        </w:numPr>
        <w:suppressAutoHyphens/>
        <w:ind w:left="851" w:hanging="425"/>
        <w:jc w:val="left"/>
        <w:rPr>
          <w:rFonts w:asciiTheme="minorHAnsi" w:eastAsiaTheme="minorHAnsi" w:hAnsiTheme="minorHAnsi" w:cs="Calibri-Bold"/>
          <w:bCs/>
        </w:rPr>
      </w:pPr>
      <w:r w:rsidRPr="00C55392">
        <w:rPr>
          <w:rFonts w:asciiTheme="minorHAnsi" w:eastAsiaTheme="minorHAnsi" w:hAnsiTheme="minorHAnsi" w:cs="Calibri-Bold"/>
          <w:bCs/>
        </w:rPr>
        <w:t>National Biodiversity Strategy and Action Plans (NBSAPs) and the national implementation of the Strategic Plan for Biodiversity 2011-2020</w:t>
      </w:r>
      <w:r w:rsidR="008212B3">
        <w:rPr>
          <w:rFonts w:asciiTheme="minorHAnsi" w:eastAsiaTheme="minorHAnsi" w:hAnsiTheme="minorHAnsi" w:cs="Calibri-Bold"/>
          <w:bCs/>
        </w:rPr>
        <w:t xml:space="preserve">; </w:t>
      </w:r>
      <w:r w:rsidRPr="00C55392">
        <w:rPr>
          <w:rFonts w:asciiTheme="minorHAnsi" w:eastAsiaTheme="minorHAnsi" w:hAnsiTheme="minorHAnsi" w:cs="Calibri-Bold"/>
          <w:bCs/>
        </w:rPr>
        <w:t>and</w:t>
      </w:r>
    </w:p>
    <w:p w:rsidR="00560B10" w:rsidRDefault="00C55392" w:rsidP="009519D6">
      <w:pPr>
        <w:pStyle w:val="ListParagraph"/>
        <w:numPr>
          <w:ilvl w:val="1"/>
          <w:numId w:val="3"/>
        </w:numPr>
        <w:suppressAutoHyphens/>
        <w:ind w:left="851" w:hanging="425"/>
        <w:jc w:val="left"/>
        <w:rPr>
          <w:rFonts w:asciiTheme="minorHAnsi" w:eastAsiaTheme="minorHAnsi" w:hAnsiTheme="minorHAnsi" w:cs="Calibri-Bold"/>
          <w:bCs/>
        </w:rPr>
      </w:pPr>
      <w:r w:rsidRPr="00C55392">
        <w:rPr>
          <w:rFonts w:asciiTheme="minorHAnsi" w:eastAsiaTheme="minorHAnsi" w:hAnsiTheme="minorHAnsi" w:cs="Calibri-Bold"/>
          <w:bCs/>
        </w:rPr>
        <w:t xml:space="preserve">Resource mobilization. </w:t>
      </w:r>
    </w:p>
    <w:p w:rsidR="00C55392" w:rsidRDefault="00C55392" w:rsidP="009D7EE2">
      <w:pPr>
        <w:suppressAutoHyphens/>
        <w:ind w:left="709" w:hanging="709"/>
        <w:rPr>
          <w:rFonts w:asciiTheme="minorHAnsi" w:eastAsiaTheme="minorHAnsi" w:hAnsiTheme="minorHAnsi" w:cs="Calibri-Bold"/>
          <w:bCs/>
        </w:rPr>
      </w:pPr>
    </w:p>
    <w:p w:rsidR="00C55392" w:rsidRPr="00615245" w:rsidRDefault="00C55392" w:rsidP="00382E89">
      <w:pPr>
        <w:suppressAutoHyphens/>
        <w:ind w:left="426"/>
        <w:rPr>
          <w:rFonts w:asciiTheme="minorHAnsi" w:eastAsiaTheme="minorHAnsi" w:hAnsiTheme="minorHAnsi" w:cs="Calibri-Bold"/>
          <w:b/>
          <w:bCs/>
          <w:sz w:val="22"/>
          <w:szCs w:val="22"/>
        </w:rPr>
      </w:pPr>
      <w:r w:rsidRPr="00615245">
        <w:rPr>
          <w:rFonts w:asciiTheme="minorHAnsi" w:eastAsiaTheme="minorHAnsi" w:hAnsiTheme="minorHAnsi" w:cs="Calibri-Bold"/>
          <w:b/>
          <w:bCs/>
          <w:sz w:val="22"/>
          <w:szCs w:val="22"/>
        </w:rPr>
        <w:t>For more background information please visit the project website: wcmc.io/Sourcebook.</w:t>
      </w:r>
    </w:p>
    <w:p w:rsidR="00D91024" w:rsidRDefault="00D91024" w:rsidP="00382E89">
      <w:pPr>
        <w:pStyle w:val="ListParagraph"/>
        <w:suppressAutoHyphens/>
        <w:jc w:val="left"/>
        <w:rPr>
          <w:rFonts w:asciiTheme="minorHAnsi" w:eastAsiaTheme="minorHAnsi" w:hAnsiTheme="minorHAnsi" w:cs="Calibri-Bold"/>
          <w:bCs/>
        </w:rPr>
      </w:pPr>
    </w:p>
    <w:p w:rsidR="00D91024" w:rsidRDefault="00482DC9">
      <w:pPr>
        <w:suppressAutoHyphens/>
        <w:rPr>
          <w:rFonts w:asciiTheme="minorHAnsi" w:hAnsiTheme="minorHAnsi"/>
          <w:bCs/>
          <w:sz w:val="22"/>
          <w:szCs w:val="22"/>
          <w:u w:val="single"/>
        </w:rPr>
      </w:pPr>
      <w:r w:rsidRPr="00F427E1">
        <w:rPr>
          <w:rFonts w:asciiTheme="minorHAnsi" w:eastAsiaTheme="minorHAnsi" w:hAnsiTheme="minorHAnsi" w:cs="Calibri-Bold"/>
          <w:bCs/>
          <w:sz w:val="22"/>
          <w:szCs w:val="22"/>
          <w:u w:val="single"/>
        </w:rPr>
        <w:t>Implement</w:t>
      </w:r>
      <w:r w:rsidR="008A6402">
        <w:rPr>
          <w:rFonts w:asciiTheme="minorHAnsi" w:eastAsiaTheme="minorHAnsi" w:hAnsiTheme="minorHAnsi" w:cs="Calibri-Bold"/>
          <w:bCs/>
          <w:sz w:val="22"/>
          <w:szCs w:val="22"/>
          <w:u w:val="single"/>
        </w:rPr>
        <w:t>ing</w:t>
      </w:r>
      <w:r w:rsidRPr="00F427E1">
        <w:rPr>
          <w:rFonts w:asciiTheme="minorHAnsi" w:eastAsiaTheme="minorHAnsi" w:hAnsiTheme="minorHAnsi" w:cs="Calibri-Bold"/>
          <w:bCs/>
          <w:sz w:val="22"/>
          <w:szCs w:val="22"/>
          <w:u w:val="single"/>
        </w:rPr>
        <w:t xml:space="preserve"> the g</w:t>
      </w:r>
      <w:r w:rsidRPr="00F427E1">
        <w:rPr>
          <w:rFonts w:asciiTheme="minorHAnsi" w:hAnsiTheme="minorHAnsi"/>
          <w:bCs/>
          <w:sz w:val="22"/>
          <w:szCs w:val="22"/>
          <w:u w:val="single"/>
        </w:rPr>
        <w:t>uidelines for international cooperation under the Ramsar Convention</w:t>
      </w:r>
    </w:p>
    <w:p w:rsidR="00D91024" w:rsidRDefault="00D91024">
      <w:pPr>
        <w:suppressAutoHyphens/>
        <w:rPr>
          <w:rFonts w:asciiTheme="minorHAnsi" w:hAnsiTheme="minorHAnsi"/>
          <w:bCs/>
          <w:sz w:val="22"/>
          <w:szCs w:val="22"/>
        </w:rPr>
      </w:pPr>
    </w:p>
    <w:p w:rsidR="00D91024" w:rsidRDefault="00F83863">
      <w:pPr>
        <w:pStyle w:val="ListParagraph"/>
        <w:numPr>
          <w:ilvl w:val="0"/>
          <w:numId w:val="3"/>
        </w:numPr>
        <w:suppressAutoHyphens/>
        <w:ind w:left="426" w:hanging="426"/>
        <w:jc w:val="left"/>
        <w:rPr>
          <w:rFonts w:asciiTheme="minorHAnsi" w:eastAsiaTheme="minorHAnsi" w:hAnsiTheme="minorHAnsi" w:cs="Calibri-Bold"/>
          <w:bCs/>
        </w:rPr>
      </w:pPr>
      <w:r w:rsidRPr="00806209">
        <w:rPr>
          <w:rFonts w:asciiTheme="minorHAnsi" w:hAnsiTheme="minorHAnsi"/>
        </w:rPr>
        <w:t>As part of the discussions</w:t>
      </w:r>
      <w:r w:rsidR="0064540F">
        <w:rPr>
          <w:rFonts w:asciiTheme="minorHAnsi" w:hAnsiTheme="minorHAnsi"/>
        </w:rPr>
        <w:t>,</w:t>
      </w:r>
      <w:r w:rsidRPr="00806209">
        <w:rPr>
          <w:rFonts w:asciiTheme="minorHAnsi" w:hAnsiTheme="minorHAnsi"/>
        </w:rPr>
        <w:t xml:space="preserve"> the Contracting Parties </w:t>
      </w:r>
      <w:r w:rsidR="0064540F">
        <w:rPr>
          <w:rFonts w:asciiTheme="minorHAnsi" w:hAnsiTheme="minorHAnsi"/>
        </w:rPr>
        <w:t>have</w:t>
      </w:r>
      <w:r w:rsidRPr="00806209">
        <w:rPr>
          <w:rFonts w:asciiTheme="minorHAnsi" w:hAnsiTheme="minorHAnsi"/>
        </w:rPr>
        <w:t xml:space="preserve"> noted the importance </w:t>
      </w:r>
      <w:r w:rsidR="0064540F">
        <w:rPr>
          <w:rFonts w:asciiTheme="minorHAnsi" w:hAnsiTheme="minorHAnsi"/>
        </w:rPr>
        <w:t xml:space="preserve">and increasing need </w:t>
      </w:r>
      <w:r w:rsidRPr="00806209">
        <w:rPr>
          <w:rFonts w:asciiTheme="minorHAnsi" w:hAnsiTheme="minorHAnsi"/>
        </w:rPr>
        <w:t>to work more in implement</w:t>
      </w:r>
      <w:r w:rsidR="00E039B7">
        <w:rPr>
          <w:rFonts w:asciiTheme="minorHAnsi" w:hAnsiTheme="minorHAnsi"/>
        </w:rPr>
        <w:t>ing the</w:t>
      </w:r>
      <w:r w:rsidRPr="00806209">
        <w:rPr>
          <w:rFonts w:asciiTheme="minorHAnsi" w:hAnsiTheme="minorHAnsi"/>
        </w:rPr>
        <w:t xml:space="preserve"> management of </w:t>
      </w:r>
      <w:r w:rsidRPr="00806209">
        <w:rPr>
          <w:rFonts w:asciiTheme="minorHAnsi" w:hAnsiTheme="minorHAnsi" w:cstheme="minorHAnsi"/>
          <w:bCs/>
        </w:rPr>
        <w:t>shared wetlands</w:t>
      </w:r>
      <w:r w:rsidR="00BA2127">
        <w:rPr>
          <w:rFonts w:asciiTheme="minorHAnsi" w:hAnsiTheme="minorHAnsi" w:cstheme="minorHAnsi"/>
          <w:bCs/>
        </w:rPr>
        <w:t>,</w:t>
      </w:r>
      <w:r w:rsidRPr="00806209">
        <w:rPr>
          <w:rFonts w:asciiTheme="minorHAnsi" w:hAnsiTheme="minorHAnsi" w:cstheme="minorHAnsi"/>
          <w:bCs/>
        </w:rPr>
        <w:t xml:space="preserve"> including </w:t>
      </w:r>
      <w:r w:rsidR="00BC245F">
        <w:rPr>
          <w:rFonts w:asciiTheme="minorHAnsi" w:hAnsiTheme="minorHAnsi" w:cstheme="minorHAnsi"/>
          <w:bCs/>
        </w:rPr>
        <w:t xml:space="preserve">transboundary </w:t>
      </w:r>
      <w:r w:rsidRPr="00806209">
        <w:rPr>
          <w:rFonts w:asciiTheme="minorHAnsi" w:hAnsiTheme="minorHAnsi" w:cstheme="minorHAnsi"/>
          <w:bCs/>
        </w:rPr>
        <w:t xml:space="preserve">Ramsar </w:t>
      </w:r>
      <w:r w:rsidR="00E039B7">
        <w:rPr>
          <w:rFonts w:asciiTheme="minorHAnsi" w:hAnsiTheme="minorHAnsi" w:cstheme="minorHAnsi"/>
          <w:bCs/>
        </w:rPr>
        <w:t>S</w:t>
      </w:r>
      <w:r w:rsidRPr="00806209">
        <w:rPr>
          <w:rFonts w:asciiTheme="minorHAnsi" w:hAnsiTheme="minorHAnsi" w:cstheme="minorHAnsi"/>
          <w:bCs/>
        </w:rPr>
        <w:t>ites and hydrological basins</w:t>
      </w:r>
      <w:r w:rsidR="00E039B7">
        <w:rPr>
          <w:rFonts w:asciiTheme="minorHAnsi" w:hAnsiTheme="minorHAnsi" w:cstheme="minorHAnsi"/>
          <w:bCs/>
        </w:rPr>
        <w:t>,</w:t>
      </w:r>
      <w:r w:rsidRPr="00806209">
        <w:rPr>
          <w:rFonts w:asciiTheme="minorHAnsi" w:hAnsiTheme="minorHAnsi" w:cstheme="minorHAnsi"/>
          <w:bCs/>
        </w:rPr>
        <w:t xml:space="preserve"> under the international cooperation objective of the Convention. </w:t>
      </w:r>
    </w:p>
    <w:p w:rsidR="00D91024" w:rsidRDefault="00D91024">
      <w:pPr>
        <w:ind w:left="426" w:hanging="426"/>
        <w:rPr>
          <w:rFonts w:asciiTheme="minorHAnsi" w:hAnsiTheme="minorHAnsi"/>
          <w:sz w:val="22"/>
          <w:szCs w:val="22"/>
          <w:lang w:eastAsia="en-US"/>
        </w:rPr>
      </w:pPr>
    </w:p>
    <w:p w:rsidR="00D91024" w:rsidRDefault="00F83863">
      <w:pPr>
        <w:pStyle w:val="Pa7"/>
        <w:numPr>
          <w:ilvl w:val="0"/>
          <w:numId w:val="3"/>
        </w:numPr>
        <w:spacing w:line="240" w:lineRule="auto"/>
        <w:ind w:left="426" w:hanging="426"/>
        <w:rPr>
          <w:rFonts w:asciiTheme="minorHAnsi" w:hAnsiTheme="minorHAnsi" w:cs="Palatino Linotype"/>
          <w:color w:val="221E1F"/>
          <w:sz w:val="22"/>
          <w:szCs w:val="22"/>
        </w:rPr>
      </w:pPr>
      <w:r>
        <w:rPr>
          <w:rFonts w:asciiTheme="minorHAnsi" w:hAnsiTheme="minorHAnsi" w:cs="Palatino Linotype"/>
          <w:color w:val="000000"/>
          <w:sz w:val="22"/>
          <w:szCs w:val="22"/>
        </w:rPr>
        <w:t xml:space="preserve">In line with </w:t>
      </w:r>
      <w:r w:rsidR="003B5014">
        <w:rPr>
          <w:rFonts w:asciiTheme="minorHAnsi" w:hAnsiTheme="minorHAnsi" w:cs="Palatino Linotype"/>
          <w:color w:val="000000"/>
          <w:sz w:val="22"/>
          <w:szCs w:val="22"/>
        </w:rPr>
        <w:t>this</w:t>
      </w:r>
      <w:r>
        <w:rPr>
          <w:rFonts w:asciiTheme="minorHAnsi" w:hAnsiTheme="minorHAnsi" w:cs="Palatino Linotype"/>
          <w:color w:val="000000"/>
          <w:sz w:val="22"/>
          <w:szCs w:val="22"/>
        </w:rPr>
        <w:t xml:space="preserve"> </w:t>
      </w:r>
      <w:r w:rsidR="0064540F">
        <w:rPr>
          <w:rFonts w:asciiTheme="minorHAnsi" w:hAnsiTheme="minorHAnsi" w:cs="Palatino Linotype"/>
          <w:color w:val="000000"/>
          <w:sz w:val="22"/>
          <w:szCs w:val="22"/>
        </w:rPr>
        <w:t>recommendation</w:t>
      </w:r>
      <w:r w:rsidR="003B5014">
        <w:rPr>
          <w:rFonts w:asciiTheme="minorHAnsi" w:hAnsiTheme="minorHAnsi" w:cs="Palatino Linotype"/>
          <w:color w:val="000000"/>
          <w:sz w:val="22"/>
          <w:szCs w:val="22"/>
        </w:rPr>
        <w:t>,</w:t>
      </w:r>
      <w:r w:rsidR="0064540F">
        <w:rPr>
          <w:rFonts w:asciiTheme="minorHAnsi" w:hAnsiTheme="minorHAnsi" w:cs="Palatino Linotype"/>
          <w:color w:val="000000"/>
          <w:sz w:val="22"/>
          <w:szCs w:val="22"/>
        </w:rPr>
        <w:t xml:space="preserve"> </w:t>
      </w:r>
      <w:r w:rsidR="00446641">
        <w:rPr>
          <w:rFonts w:asciiTheme="minorHAnsi" w:hAnsiTheme="minorHAnsi" w:cs="Palatino Linotype"/>
          <w:color w:val="000000"/>
          <w:sz w:val="22"/>
          <w:szCs w:val="22"/>
        </w:rPr>
        <w:t xml:space="preserve">the </w:t>
      </w:r>
      <w:r w:rsidR="00446641">
        <w:rPr>
          <w:rFonts w:asciiTheme="minorHAnsi" w:hAnsiTheme="minorHAnsi" w:cs="Palatino Linotype"/>
          <w:color w:val="221E1F"/>
          <w:sz w:val="22"/>
          <w:szCs w:val="22"/>
        </w:rPr>
        <w:t xml:space="preserve">Contracting Parties have </w:t>
      </w:r>
      <w:r w:rsidR="003B5014">
        <w:rPr>
          <w:rFonts w:asciiTheme="minorHAnsi" w:hAnsiTheme="minorHAnsi" w:cs="Palatino Linotype"/>
          <w:color w:val="221E1F"/>
          <w:sz w:val="22"/>
          <w:szCs w:val="22"/>
        </w:rPr>
        <w:t xml:space="preserve">committed </w:t>
      </w:r>
      <w:r w:rsidR="003B5014">
        <w:rPr>
          <w:rFonts w:asciiTheme="minorHAnsi" w:hAnsiTheme="minorHAnsi" w:cs="Palatino Linotype"/>
          <w:color w:val="000000"/>
          <w:sz w:val="22"/>
          <w:szCs w:val="22"/>
        </w:rPr>
        <w:t xml:space="preserve">under </w:t>
      </w:r>
      <w:r w:rsidR="003B5014" w:rsidRPr="00446641">
        <w:rPr>
          <w:rFonts w:asciiTheme="minorHAnsi" w:hAnsiTheme="minorHAnsi" w:cs="Palatino Linotype"/>
          <w:color w:val="000000"/>
          <w:sz w:val="22"/>
          <w:szCs w:val="22"/>
        </w:rPr>
        <w:t>Article 5 of the Convention</w:t>
      </w:r>
      <w:r w:rsidR="003B5014">
        <w:rPr>
          <w:rFonts w:asciiTheme="minorHAnsi" w:hAnsiTheme="minorHAnsi" w:cs="Palatino Linotype"/>
          <w:color w:val="000000"/>
          <w:sz w:val="22"/>
          <w:szCs w:val="22"/>
        </w:rPr>
        <w:t xml:space="preserve"> </w:t>
      </w:r>
      <w:r w:rsidR="00446641" w:rsidRPr="00446641">
        <w:rPr>
          <w:rFonts w:asciiTheme="minorHAnsi" w:hAnsiTheme="minorHAnsi" w:cs="Palatino Linotype"/>
          <w:color w:val="221E1F"/>
          <w:sz w:val="22"/>
          <w:szCs w:val="22"/>
        </w:rPr>
        <w:t>to consult with other Contracting Parties about implementation of the Convention, especially in regard to transboundary wetlands, shared water systems, and shared species.</w:t>
      </w:r>
    </w:p>
    <w:p w:rsidR="00D91024" w:rsidRDefault="00D91024">
      <w:pPr>
        <w:pStyle w:val="Pa2"/>
        <w:spacing w:line="240" w:lineRule="auto"/>
        <w:ind w:left="426" w:hanging="426"/>
        <w:rPr>
          <w:rFonts w:asciiTheme="minorHAnsi" w:hAnsiTheme="minorHAnsi" w:cs="Palatino Linotype"/>
          <w:color w:val="221E1F"/>
          <w:sz w:val="22"/>
          <w:szCs w:val="22"/>
        </w:rPr>
      </w:pPr>
    </w:p>
    <w:p w:rsidR="00D91024" w:rsidRDefault="00F83863">
      <w:pPr>
        <w:pStyle w:val="Pa2"/>
        <w:numPr>
          <w:ilvl w:val="0"/>
          <w:numId w:val="3"/>
        </w:numPr>
        <w:spacing w:line="240" w:lineRule="auto"/>
        <w:ind w:left="426" w:hanging="426"/>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In order to assist Contracting Parties in the implementation of this obligation of the Convention, in 1999 the Conference of the Parties adopted the </w:t>
      </w:r>
      <w:r w:rsidRPr="00F83863">
        <w:rPr>
          <w:rFonts w:asciiTheme="minorHAnsi" w:hAnsiTheme="minorHAnsi" w:cs="Palatino Linotype"/>
          <w:i/>
          <w:iCs/>
          <w:color w:val="221E1F"/>
          <w:sz w:val="22"/>
          <w:szCs w:val="22"/>
        </w:rPr>
        <w:t xml:space="preserve">Guidelines for international cooperation under the Ramsar Convention </w:t>
      </w:r>
      <w:r w:rsidRPr="00F83863">
        <w:rPr>
          <w:rFonts w:asciiTheme="minorHAnsi" w:hAnsiTheme="minorHAnsi" w:cs="Palatino Linotype"/>
          <w:color w:val="221E1F"/>
          <w:sz w:val="22"/>
          <w:szCs w:val="22"/>
        </w:rPr>
        <w:t>(Resolution VII.19). The Guidelines cover the following areas:</w:t>
      </w:r>
    </w:p>
    <w:p w:rsidR="00D91024" w:rsidRDefault="00F83863">
      <w:pPr>
        <w:pStyle w:val="Pa4"/>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Managing shared wetlands and river basins</w:t>
      </w:r>
      <w:r w:rsidR="008A6402">
        <w:rPr>
          <w:rFonts w:asciiTheme="minorHAnsi" w:hAnsiTheme="minorHAnsi" w:cs="Palatino Linotype"/>
          <w:color w:val="221E1F"/>
          <w:sz w:val="22"/>
          <w:szCs w:val="22"/>
        </w:rPr>
        <w:t>;</w:t>
      </w:r>
    </w:p>
    <w:p w:rsidR="00D91024" w:rsidRDefault="00F83863">
      <w:pPr>
        <w:pStyle w:val="Pa4"/>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Managing shared wetland-related species</w:t>
      </w:r>
      <w:r w:rsidR="008A6402">
        <w:rPr>
          <w:rFonts w:asciiTheme="minorHAnsi" w:hAnsiTheme="minorHAnsi" w:cs="Palatino Linotype"/>
          <w:color w:val="221E1F"/>
          <w:sz w:val="22"/>
          <w:szCs w:val="22"/>
        </w:rPr>
        <w:t>;</w:t>
      </w:r>
    </w:p>
    <w:p w:rsidR="00D91024" w:rsidRDefault="00F83863">
      <w:pPr>
        <w:pStyle w:val="Pa4"/>
        <w:ind w:left="861" w:hanging="43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Ramsar working in partnership with international/regional environment</w:t>
      </w:r>
      <w:r w:rsidR="003B5014">
        <w:rPr>
          <w:rFonts w:asciiTheme="minorHAnsi" w:hAnsiTheme="minorHAnsi" w:cs="Palatino Linotype"/>
          <w:color w:val="221E1F"/>
          <w:sz w:val="22"/>
          <w:szCs w:val="22"/>
        </w:rPr>
        <w:t>al</w:t>
      </w:r>
      <w:r w:rsidRPr="00F83863">
        <w:rPr>
          <w:rFonts w:asciiTheme="minorHAnsi" w:hAnsiTheme="minorHAnsi" w:cs="Palatino Linotype"/>
          <w:color w:val="221E1F"/>
          <w:sz w:val="22"/>
          <w:szCs w:val="22"/>
        </w:rPr>
        <w:t xml:space="preserve"> conventions and agencies</w:t>
      </w:r>
      <w:r w:rsidR="008A6402">
        <w:rPr>
          <w:rFonts w:asciiTheme="minorHAnsi" w:hAnsiTheme="minorHAnsi" w:cs="Palatino Linotype"/>
          <w:color w:val="221E1F"/>
          <w:sz w:val="22"/>
          <w:szCs w:val="22"/>
        </w:rPr>
        <w:t>;</w:t>
      </w:r>
    </w:p>
    <w:p w:rsidR="00D91024" w:rsidRDefault="00F83863">
      <w:pPr>
        <w:pStyle w:val="Pa4"/>
        <w:numPr>
          <w:ilvl w:val="0"/>
          <w:numId w:val="5"/>
        </w:numPr>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Sharing of experience and information</w:t>
      </w:r>
      <w:r w:rsidR="008A6402">
        <w:rPr>
          <w:rFonts w:asciiTheme="minorHAnsi" w:hAnsiTheme="minorHAnsi" w:cs="Palatino Linotype"/>
          <w:color w:val="221E1F"/>
          <w:sz w:val="22"/>
          <w:szCs w:val="22"/>
        </w:rPr>
        <w:t>;</w:t>
      </w:r>
    </w:p>
    <w:p w:rsidR="00D91024" w:rsidRDefault="00F83863">
      <w:pPr>
        <w:pStyle w:val="Pa4"/>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International assistance to support the conservation and wise use of wetlands</w:t>
      </w:r>
      <w:r w:rsidR="008A6402">
        <w:rPr>
          <w:rFonts w:asciiTheme="minorHAnsi" w:hAnsiTheme="minorHAnsi" w:cs="Palatino Linotype"/>
          <w:color w:val="221E1F"/>
          <w:sz w:val="22"/>
          <w:szCs w:val="22"/>
        </w:rPr>
        <w:t>;</w:t>
      </w:r>
    </w:p>
    <w:p w:rsidR="00D91024" w:rsidRDefault="00F83863">
      <w:pPr>
        <w:pStyle w:val="Pa4"/>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Sustainable harvesting and international trade in wetland-derived plant and animal products</w:t>
      </w:r>
      <w:r w:rsidR="008A6402">
        <w:rPr>
          <w:rFonts w:asciiTheme="minorHAnsi" w:hAnsiTheme="minorHAnsi" w:cs="Palatino Linotype"/>
          <w:color w:val="221E1F"/>
          <w:sz w:val="22"/>
          <w:szCs w:val="22"/>
        </w:rPr>
        <w:t>;</w:t>
      </w:r>
    </w:p>
    <w:p w:rsidR="00D91024" w:rsidRDefault="00F83863">
      <w:pPr>
        <w:pStyle w:val="Pa5"/>
        <w:spacing w:after="160"/>
        <w:ind w:left="851" w:hanging="425"/>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 </w:t>
      </w:r>
      <w:r w:rsidR="008A6402">
        <w:rPr>
          <w:rFonts w:asciiTheme="minorHAnsi" w:hAnsiTheme="minorHAnsi" w:cs="Palatino Linotype"/>
          <w:color w:val="221E1F"/>
          <w:sz w:val="22"/>
          <w:szCs w:val="22"/>
        </w:rPr>
        <w:tab/>
      </w:r>
      <w:r w:rsidRPr="00F83863">
        <w:rPr>
          <w:rFonts w:asciiTheme="minorHAnsi" w:hAnsiTheme="minorHAnsi" w:cs="Palatino Linotype"/>
          <w:color w:val="221E1F"/>
          <w:sz w:val="22"/>
          <w:szCs w:val="22"/>
        </w:rPr>
        <w:t xml:space="preserve">Regulation </w:t>
      </w:r>
      <w:r w:rsidR="0064540F" w:rsidRPr="00F83863">
        <w:rPr>
          <w:rFonts w:asciiTheme="minorHAnsi" w:hAnsiTheme="minorHAnsi" w:cs="Palatino Linotype"/>
          <w:color w:val="221E1F"/>
          <w:sz w:val="22"/>
          <w:szCs w:val="22"/>
        </w:rPr>
        <w:t>of</w:t>
      </w:r>
      <w:r w:rsidR="0064540F">
        <w:rPr>
          <w:rFonts w:asciiTheme="minorHAnsi" w:hAnsiTheme="minorHAnsi" w:cs="Palatino Linotype"/>
          <w:color w:val="221E1F"/>
          <w:sz w:val="22"/>
          <w:szCs w:val="22"/>
        </w:rPr>
        <w:t xml:space="preserve"> </w:t>
      </w:r>
      <w:r w:rsidR="0064540F" w:rsidRPr="00F83863">
        <w:rPr>
          <w:rFonts w:asciiTheme="minorHAnsi" w:hAnsiTheme="minorHAnsi" w:cs="Palatino Linotype"/>
          <w:color w:val="221E1F"/>
          <w:sz w:val="22"/>
          <w:szCs w:val="22"/>
        </w:rPr>
        <w:t>foreign</w:t>
      </w:r>
      <w:r w:rsidRPr="00F83863">
        <w:rPr>
          <w:rFonts w:asciiTheme="minorHAnsi" w:hAnsiTheme="minorHAnsi" w:cs="Palatino Linotype"/>
          <w:color w:val="221E1F"/>
          <w:sz w:val="22"/>
          <w:szCs w:val="22"/>
        </w:rPr>
        <w:t xml:space="preserve"> investment to ensure wetland conservation and wise use.</w:t>
      </w:r>
    </w:p>
    <w:p w:rsidR="00D91024" w:rsidRDefault="00F83863">
      <w:pPr>
        <w:pStyle w:val="Pa2"/>
        <w:numPr>
          <w:ilvl w:val="0"/>
          <w:numId w:val="3"/>
        </w:numPr>
        <w:spacing w:after="160"/>
        <w:ind w:left="426" w:hanging="426"/>
        <w:rPr>
          <w:rFonts w:asciiTheme="minorHAnsi" w:hAnsiTheme="minorHAnsi" w:cs="Palatino Linotype"/>
          <w:color w:val="221E1F"/>
          <w:sz w:val="22"/>
          <w:szCs w:val="22"/>
        </w:rPr>
      </w:pPr>
      <w:r w:rsidRPr="00F83863">
        <w:rPr>
          <w:rFonts w:asciiTheme="minorHAnsi" w:hAnsiTheme="minorHAnsi" w:cs="Palatino Linotype"/>
          <w:color w:val="221E1F"/>
          <w:sz w:val="22"/>
          <w:szCs w:val="22"/>
        </w:rPr>
        <w:t xml:space="preserve">In adopting the Guidelines, the Conference called upon Contracting Parties to give special attention to identifying shared wetlands, river basins, and wetland-dependent species and to cooperate with other Parties in their management; to harmonize the implementation of the Ramsar Convention with that of other treaties; to increase the number of site twinning arrangements; and to raise the level and effectiveness of international development assistance programmes directed at the long-term conservation and sustainable use of wetlands. </w:t>
      </w:r>
    </w:p>
    <w:p w:rsidR="00D91024" w:rsidRDefault="00F83863">
      <w:pPr>
        <w:pStyle w:val="ListParagraph"/>
        <w:numPr>
          <w:ilvl w:val="0"/>
          <w:numId w:val="3"/>
        </w:numPr>
        <w:ind w:left="426" w:hanging="426"/>
        <w:jc w:val="left"/>
        <w:rPr>
          <w:rFonts w:asciiTheme="minorHAnsi" w:hAnsiTheme="minorHAnsi"/>
        </w:rPr>
      </w:pPr>
      <w:r w:rsidRPr="00776F3B">
        <w:rPr>
          <w:rFonts w:asciiTheme="minorHAnsi" w:hAnsiTheme="minorHAnsi"/>
        </w:rPr>
        <w:t xml:space="preserve">From </w:t>
      </w:r>
      <w:r w:rsidR="00081961" w:rsidRPr="00183A30">
        <w:rPr>
          <w:rFonts w:asciiTheme="minorHAnsi" w:hAnsiTheme="minorHAnsi"/>
        </w:rPr>
        <w:t xml:space="preserve">COP11 </w:t>
      </w:r>
      <w:r w:rsidRPr="00776F3B">
        <w:rPr>
          <w:rFonts w:asciiTheme="minorHAnsi" w:hAnsiTheme="minorHAnsi"/>
        </w:rPr>
        <w:t>National Reports</w:t>
      </w:r>
      <w:r w:rsidR="00081961">
        <w:rPr>
          <w:rFonts w:asciiTheme="minorHAnsi" w:hAnsiTheme="minorHAnsi"/>
        </w:rPr>
        <w:t>,</w:t>
      </w:r>
      <w:r w:rsidRPr="00776F3B">
        <w:rPr>
          <w:rFonts w:asciiTheme="minorHAnsi" w:hAnsiTheme="minorHAnsi"/>
        </w:rPr>
        <w:t xml:space="preserve"> </w:t>
      </w:r>
      <w:r w:rsidR="00183A30" w:rsidRPr="00183A30">
        <w:rPr>
          <w:rFonts w:asciiTheme="minorHAnsi" w:hAnsiTheme="minorHAnsi"/>
        </w:rPr>
        <w:t>only 22</w:t>
      </w:r>
      <w:r w:rsidRPr="00183A30">
        <w:rPr>
          <w:rFonts w:asciiTheme="minorHAnsi" w:hAnsiTheme="minorHAnsi"/>
        </w:rPr>
        <w:t>%</w:t>
      </w:r>
      <w:r w:rsidRPr="00776F3B">
        <w:rPr>
          <w:rFonts w:asciiTheme="minorHAnsi" w:hAnsiTheme="minorHAnsi"/>
        </w:rPr>
        <w:t xml:space="preserve"> of Contracting Parties have established effective cooperative management in place for shared wetlands </w:t>
      </w:r>
      <w:r w:rsidR="00337C92" w:rsidRPr="00776F3B">
        <w:rPr>
          <w:rFonts w:asciiTheme="minorHAnsi" w:hAnsiTheme="minorHAnsi"/>
        </w:rPr>
        <w:t xml:space="preserve">(3.5.2) </w:t>
      </w:r>
      <w:r w:rsidRPr="00776F3B">
        <w:rPr>
          <w:rFonts w:asciiTheme="minorHAnsi" w:hAnsiTheme="minorHAnsi"/>
        </w:rPr>
        <w:t xml:space="preserve">and </w:t>
      </w:r>
      <w:r w:rsidR="00183A30">
        <w:rPr>
          <w:rFonts w:asciiTheme="minorHAnsi" w:hAnsiTheme="minorHAnsi"/>
        </w:rPr>
        <w:t>36</w:t>
      </w:r>
      <w:r w:rsidRPr="00183A30">
        <w:rPr>
          <w:rFonts w:asciiTheme="minorHAnsi" w:hAnsiTheme="minorHAnsi"/>
        </w:rPr>
        <w:t>%</w:t>
      </w:r>
      <w:r w:rsidR="003A0727">
        <w:rPr>
          <w:rFonts w:asciiTheme="minorHAnsi" w:hAnsiTheme="minorHAnsi"/>
        </w:rPr>
        <w:t xml:space="preserve"> </w:t>
      </w:r>
      <w:r w:rsidRPr="00776F3B">
        <w:rPr>
          <w:rFonts w:asciiTheme="minorHAnsi" w:hAnsiTheme="minorHAnsi"/>
        </w:rPr>
        <w:t>have established networks or twinning arrangements, nationally or internationally, for know</w:t>
      </w:r>
      <w:r w:rsidR="00337C92" w:rsidRPr="00776F3B">
        <w:rPr>
          <w:rFonts w:asciiTheme="minorHAnsi" w:hAnsiTheme="minorHAnsi"/>
        </w:rPr>
        <w:t xml:space="preserve">ledge sharing and training for wetlands that share common features. </w:t>
      </w:r>
    </w:p>
    <w:p w:rsidR="00D91024" w:rsidRDefault="00D91024">
      <w:pPr>
        <w:ind w:left="426" w:hanging="426"/>
        <w:rPr>
          <w:rFonts w:asciiTheme="minorHAnsi" w:hAnsiTheme="minorHAnsi"/>
          <w:sz w:val="22"/>
          <w:szCs w:val="22"/>
          <w:lang w:eastAsia="en-US"/>
        </w:rPr>
      </w:pPr>
    </w:p>
    <w:p w:rsidR="00D91024" w:rsidRDefault="00326F22">
      <w:pPr>
        <w:pStyle w:val="Default"/>
        <w:numPr>
          <w:ilvl w:val="0"/>
          <w:numId w:val="3"/>
        </w:numPr>
        <w:ind w:left="426" w:hanging="426"/>
        <w:rPr>
          <w:rFonts w:asciiTheme="minorHAnsi" w:hAnsiTheme="minorHAnsi" w:cs="Garamond"/>
          <w:sz w:val="22"/>
          <w:szCs w:val="22"/>
        </w:rPr>
      </w:pPr>
      <w:r w:rsidRPr="00AE05E7">
        <w:rPr>
          <w:rFonts w:asciiTheme="minorHAnsi" w:hAnsiTheme="minorHAnsi"/>
          <w:sz w:val="22"/>
          <w:szCs w:val="22"/>
        </w:rPr>
        <w:t>Ramsar Regional Initiatives</w:t>
      </w:r>
      <w:r w:rsidR="00AE05E7">
        <w:rPr>
          <w:rFonts w:asciiTheme="minorHAnsi" w:hAnsiTheme="minorHAnsi"/>
          <w:sz w:val="22"/>
          <w:szCs w:val="22"/>
        </w:rPr>
        <w:t xml:space="preserve"> </w:t>
      </w:r>
      <w:r w:rsidR="00AE05E7" w:rsidRPr="00AE05E7">
        <w:rPr>
          <w:rFonts w:asciiTheme="minorHAnsi" w:hAnsiTheme="minorHAnsi" w:cs="Garamond"/>
          <w:sz w:val="22"/>
          <w:szCs w:val="22"/>
        </w:rPr>
        <w:t xml:space="preserve">are intended as </w:t>
      </w:r>
      <w:r w:rsidR="0064540F">
        <w:rPr>
          <w:rFonts w:asciiTheme="minorHAnsi" w:hAnsiTheme="minorHAnsi" w:cs="Garamond"/>
          <w:sz w:val="22"/>
          <w:szCs w:val="22"/>
        </w:rPr>
        <w:t xml:space="preserve">another </w:t>
      </w:r>
      <w:r w:rsidR="00AE05E7" w:rsidRPr="00AE05E7">
        <w:rPr>
          <w:rFonts w:asciiTheme="minorHAnsi" w:hAnsiTheme="minorHAnsi" w:cs="Garamond"/>
          <w:sz w:val="22"/>
          <w:szCs w:val="22"/>
        </w:rPr>
        <w:t xml:space="preserve">operational means </w:t>
      </w:r>
      <w:r w:rsidR="00081961">
        <w:rPr>
          <w:rFonts w:asciiTheme="minorHAnsi" w:hAnsiTheme="minorHAnsi" w:cs="Garamond"/>
          <w:sz w:val="22"/>
          <w:szCs w:val="22"/>
        </w:rPr>
        <w:t>of providing</w:t>
      </w:r>
      <w:r w:rsidR="00AE05E7" w:rsidRPr="00AE05E7">
        <w:rPr>
          <w:rFonts w:asciiTheme="minorHAnsi" w:hAnsiTheme="minorHAnsi" w:cs="Garamond"/>
          <w:sz w:val="22"/>
          <w:szCs w:val="22"/>
        </w:rPr>
        <w:t xml:space="preserve"> effective support for an improved implementation of the objectives of the Convention and its Strategic Plan, </w:t>
      </w:r>
      <w:r w:rsidR="00081961">
        <w:rPr>
          <w:rFonts w:asciiTheme="minorHAnsi" w:hAnsiTheme="minorHAnsi" w:cs="Garamond"/>
          <w:sz w:val="22"/>
          <w:szCs w:val="22"/>
        </w:rPr>
        <w:t>and of raising</w:t>
      </w:r>
      <w:r w:rsidR="00AE05E7" w:rsidRPr="00AE05E7">
        <w:rPr>
          <w:rFonts w:asciiTheme="minorHAnsi" w:hAnsiTheme="minorHAnsi" w:cs="Garamond"/>
          <w:sz w:val="22"/>
          <w:szCs w:val="22"/>
        </w:rPr>
        <w:t xml:space="preserve"> the visibility of the Convention in specific geographical regions, through international cooperation on wetland-related issues of common concern, involving all relevant national and regional stakeholders.</w:t>
      </w:r>
    </w:p>
    <w:p w:rsidR="00870DF6" w:rsidRDefault="00870DF6" w:rsidP="00100888">
      <w:pPr>
        <w:pStyle w:val="Default"/>
        <w:rPr>
          <w:rFonts w:asciiTheme="minorHAnsi" w:hAnsiTheme="minorHAnsi" w:cs="Garamond"/>
          <w:sz w:val="22"/>
          <w:szCs w:val="22"/>
        </w:rPr>
      </w:pPr>
    </w:p>
    <w:p w:rsidR="00870DF6" w:rsidRPr="00F427E1" w:rsidRDefault="00081961" w:rsidP="00100888">
      <w:pPr>
        <w:pStyle w:val="Default"/>
        <w:rPr>
          <w:rFonts w:asciiTheme="minorHAnsi" w:hAnsiTheme="minorHAnsi" w:cstheme="minorHAnsi"/>
          <w:bCs/>
          <w:sz w:val="22"/>
          <w:szCs w:val="22"/>
          <w:u w:val="single"/>
        </w:rPr>
      </w:pPr>
      <w:r>
        <w:rPr>
          <w:rFonts w:asciiTheme="minorHAnsi" w:hAnsiTheme="minorHAnsi" w:cstheme="minorHAnsi"/>
          <w:bCs/>
          <w:sz w:val="22"/>
          <w:szCs w:val="22"/>
          <w:u w:val="single"/>
        </w:rPr>
        <w:t xml:space="preserve">The </w:t>
      </w:r>
      <w:r w:rsidR="00870DF6" w:rsidRPr="00F427E1">
        <w:rPr>
          <w:rFonts w:asciiTheme="minorHAnsi" w:hAnsiTheme="minorHAnsi" w:cstheme="minorHAnsi"/>
          <w:bCs/>
          <w:sz w:val="22"/>
          <w:szCs w:val="22"/>
          <w:u w:val="single"/>
        </w:rPr>
        <w:t xml:space="preserve">Ramsar Convention is a </w:t>
      </w:r>
      <w:r w:rsidR="0064540F">
        <w:rPr>
          <w:rFonts w:asciiTheme="minorHAnsi" w:hAnsiTheme="minorHAnsi" w:cstheme="minorHAnsi"/>
          <w:bCs/>
          <w:sz w:val="22"/>
          <w:szCs w:val="22"/>
          <w:u w:val="single"/>
        </w:rPr>
        <w:t>B</w:t>
      </w:r>
      <w:r w:rsidR="0064540F" w:rsidRPr="00F427E1">
        <w:rPr>
          <w:rFonts w:asciiTheme="minorHAnsi" w:hAnsiTheme="minorHAnsi" w:cstheme="minorHAnsi"/>
          <w:bCs/>
          <w:sz w:val="22"/>
          <w:szCs w:val="22"/>
          <w:u w:val="single"/>
        </w:rPr>
        <w:t>iodiversity</w:t>
      </w:r>
      <w:r w:rsidR="00870DF6" w:rsidRPr="00F427E1">
        <w:rPr>
          <w:rFonts w:asciiTheme="minorHAnsi" w:hAnsiTheme="minorHAnsi" w:cstheme="minorHAnsi"/>
          <w:bCs/>
          <w:sz w:val="22"/>
          <w:szCs w:val="22"/>
          <w:u w:val="single"/>
        </w:rPr>
        <w:t xml:space="preserve">, </w:t>
      </w:r>
      <w:r w:rsidR="00D76D82">
        <w:rPr>
          <w:rFonts w:asciiTheme="minorHAnsi" w:hAnsiTheme="minorHAnsi" w:cstheme="minorHAnsi"/>
          <w:bCs/>
          <w:sz w:val="22"/>
          <w:szCs w:val="22"/>
          <w:u w:val="single"/>
        </w:rPr>
        <w:t xml:space="preserve">and a </w:t>
      </w:r>
      <w:r w:rsidR="0064540F">
        <w:rPr>
          <w:rFonts w:asciiTheme="minorHAnsi" w:hAnsiTheme="minorHAnsi" w:cstheme="minorHAnsi"/>
          <w:bCs/>
          <w:sz w:val="22"/>
          <w:szCs w:val="22"/>
          <w:u w:val="single"/>
        </w:rPr>
        <w:t>W</w:t>
      </w:r>
      <w:r w:rsidR="003A0727">
        <w:rPr>
          <w:rFonts w:asciiTheme="minorHAnsi" w:hAnsiTheme="minorHAnsi" w:cstheme="minorHAnsi"/>
          <w:bCs/>
          <w:sz w:val="22"/>
          <w:szCs w:val="22"/>
          <w:u w:val="single"/>
        </w:rPr>
        <w:t>ater</w:t>
      </w:r>
      <w:r w:rsidR="0064540F" w:rsidRPr="00F427E1">
        <w:rPr>
          <w:rFonts w:asciiTheme="minorHAnsi" w:hAnsiTheme="minorHAnsi" w:cstheme="minorHAnsi"/>
          <w:bCs/>
          <w:sz w:val="22"/>
          <w:szCs w:val="22"/>
          <w:u w:val="single"/>
        </w:rPr>
        <w:t xml:space="preserve"> </w:t>
      </w:r>
      <w:r w:rsidR="00870DF6" w:rsidRPr="00F427E1">
        <w:rPr>
          <w:rFonts w:asciiTheme="minorHAnsi" w:hAnsiTheme="minorHAnsi" w:cstheme="minorHAnsi"/>
          <w:bCs/>
          <w:sz w:val="22"/>
          <w:szCs w:val="22"/>
          <w:u w:val="single"/>
        </w:rPr>
        <w:t>Convention</w:t>
      </w:r>
    </w:p>
    <w:p w:rsidR="00870DF6" w:rsidRDefault="00870DF6" w:rsidP="00100888">
      <w:pPr>
        <w:pStyle w:val="Default"/>
        <w:rPr>
          <w:rFonts w:asciiTheme="minorHAnsi" w:hAnsiTheme="minorHAnsi" w:cstheme="minorHAnsi"/>
          <w:bCs/>
          <w:sz w:val="22"/>
          <w:szCs w:val="22"/>
        </w:rPr>
      </w:pPr>
    </w:p>
    <w:p w:rsidR="00D91024" w:rsidRDefault="00FF7B51">
      <w:pPr>
        <w:pStyle w:val="Default"/>
        <w:numPr>
          <w:ilvl w:val="0"/>
          <w:numId w:val="3"/>
        </w:numPr>
        <w:ind w:left="426" w:hanging="426"/>
        <w:rPr>
          <w:rFonts w:asciiTheme="minorHAnsi" w:hAnsiTheme="minorHAnsi"/>
          <w:color w:val="221E1F"/>
          <w:sz w:val="22"/>
          <w:szCs w:val="22"/>
        </w:rPr>
      </w:pPr>
      <w:r w:rsidRPr="00FF7B51">
        <w:rPr>
          <w:rFonts w:asciiTheme="minorHAnsi" w:hAnsiTheme="minorHAnsi"/>
          <w:color w:val="221E1F"/>
          <w:sz w:val="22"/>
          <w:szCs w:val="22"/>
        </w:rPr>
        <w:t>The Ramsar wise use concept</w:t>
      </w:r>
      <w:r w:rsidR="0064540F">
        <w:rPr>
          <w:rFonts w:asciiTheme="minorHAnsi" w:hAnsiTheme="minorHAnsi"/>
          <w:color w:val="221E1F"/>
          <w:sz w:val="22"/>
          <w:szCs w:val="22"/>
        </w:rPr>
        <w:t xml:space="preserve">, and the Ramsar mission to secure </w:t>
      </w:r>
      <w:r w:rsidR="00D36866">
        <w:rPr>
          <w:rFonts w:asciiTheme="minorHAnsi" w:hAnsiTheme="minorHAnsi"/>
          <w:color w:val="221E1F"/>
          <w:sz w:val="22"/>
          <w:szCs w:val="22"/>
        </w:rPr>
        <w:t xml:space="preserve">the </w:t>
      </w:r>
      <w:r w:rsidR="0064540F">
        <w:rPr>
          <w:rFonts w:asciiTheme="minorHAnsi" w:hAnsiTheme="minorHAnsi"/>
          <w:color w:val="221E1F"/>
          <w:sz w:val="22"/>
          <w:szCs w:val="22"/>
        </w:rPr>
        <w:t>wise use of all wetlands</w:t>
      </w:r>
      <w:r w:rsidRPr="00FF7B51">
        <w:rPr>
          <w:rFonts w:asciiTheme="minorHAnsi" w:hAnsiTheme="minorHAnsi"/>
          <w:color w:val="221E1F"/>
          <w:sz w:val="22"/>
          <w:szCs w:val="22"/>
        </w:rPr>
        <w:t xml:space="preserve"> </w:t>
      </w:r>
      <w:r w:rsidR="00D36866">
        <w:rPr>
          <w:rFonts w:asciiTheme="minorHAnsi" w:hAnsiTheme="minorHAnsi"/>
          <w:color w:val="221E1F"/>
          <w:sz w:val="22"/>
          <w:szCs w:val="22"/>
        </w:rPr>
        <w:t>, are</w:t>
      </w:r>
      <w:r w:rsidR="0064540F">
        <w:rPr>
          <w:rFonts w:asciiTheme="minorHAnsi" w:hAnsiTheme="minorHAnsi"/>
          <w:color w:val="221E1F"/>
          <w:sz w:val="22"/>
          <w:szCs w:val="22"/>
        </w:rPr>
        <w:t xml:space="preserve"> recognized as </w:t>
      </w:r>
      <w:r w:rsidR="0064540F" w:rsidRPr="00FF7B51">
        <w:rPr>
          <w:rFonts w:asciiTheme="minorHAnsi" w:hAnsiTheme="minorHAnsi"/>
          <w:color w:val="221E1F"/>
          <w:sz w:val="22"/>
          <w:szCs w:val="22"/>
        </w:rPr>
        <w:t>appl</w:t>
      </w:r>
      <w:r w:rsidR="0064540F">
        <w:rPr>
          <w:rFonts w:asciiTheme="minorHAnsi" w:hAnsiTheme="minorHAnsi"/>
          <w:color w:val="221E1F"/>
          <w:sz w:val="22"/>
          <w:szCs w:val="22"/>
        </w:rPr>
        <w:t>ying</w:t>
      </w:r>
      <w:r w:rsidR="0064540F" w:rsidRPr="00FF7B51">
        <w:rPr>
          <w:rFonts w:asciiTheme="minorHAnsi" w:hAnsiTheme="minorHAnsi"/>
          <w:color w:val="221E1F"/>
          <w:sz w:val="22"/>
          <w:szCs w:val="22"/>
        </w:rPr>
        <w:t xml:space="preserve"> </w:t>
      </w:r>
      <w:r w:rsidRPr="00FF7B51">
        <w:rPr>
          <w:rFonts w:asciiTheme="minorHAnsi" w:hAnsiTheme="minorHAnsi"/>
          <w:color w:val="221E1F"/>
          <w:sz w:val="22"/>
          <w:szCs w:val="22"/>
        </w:rPr>
        <w:t xml:space="preserve">to all wetlands and water resources in a Contracting Party’s territory, not only to those sites designated as Wetlands of International Importance. </w:t>
      </w:r>
      <w:r w:rsidR="00D36866">
        <w:rPr>
          <w:rFonts w:asciiTheme="minorHAnsi" w:hAnsiTheme="minorHAnsi"/>
          <w:color w:val="221E1F"/>
          <w:sz w:val="22"/>
          <w:szCs w:val="22"/>
        </w:rPr>
        <w:t xml:space="preserve">The concept’s </w:t>
      </w:r>
      <w:r w:rsidRPr="00FF7B51">
        <w:rPr>
          <w:rFonts w:asciiTheme="minorHAnsi" w:hAnsiTheme="minorHAnsi"/>
          <w:color w:val="221E1F"/>
          <w:sz w:val="22"/>
          <w:szCs w:val="22"/>
        </w:rPr>
        <w:t xml:space="preserve">application is crucial to ensuring that wetlands can continue fully to deliver their vital role in supporting maintenance </w:t>
      </w:r>
      <w:r w:rsidR="0064540F" w:rsidRPr="00FF7B51">
        <w:rPr>
          <w:rFonts w:asciiTheme="minorHAnsi" w:hAnsiTheme="minorHAnsi"/>
          <w:color w:val="221E1F"/>
          <w:sz w:val="22"/>
          <w:szCs w:val="22"/>
        </w:rPr>
        <w:t xml:space="preserve">of </w:t>
      </w:r>
      <w:r w:rsidR="0064540F">
        <w:rPr>
          <w:rFonts w:asciiTheme="minorHAnsi" w:hAnsiTheme="minorHAnsi"/>
          <w:color w:val="221E1F"/>
          <w:sz w:val="22"/>
          <w:szCs w:val="22"/>
        </w:rPr>
        <w:t>biological</w:t>
      </w:r>
      <w:r w:rsidRPr="00FF7B51">
        <w:rPr>
          <w:rFonts w:asciiTheme="minorHAnsi" w:hAnsiTheme="minorHAnsi"/>
          <w:color w:val="221E1F"/>
          <w:sz w:val="22"/>
          <w:szCs w:val="22"/>
        </w:rPr>
        <w:t xml:space="preserve"> diversity and human well-being</w:t>
      </w:r>
      <w:r w:rsidR="0064540F">
        <w:rPr>
          <w:rFonts w:asciiTheme="minorHAnsi" w:hAnsiTheme="minorHAnsi"/>
          <w:color w:val="221E1F"/>
          <w:sz w:val="22"/>
          <w:szCs w:val="22"/>
        </w:rPr>
        <w:t xml:space="preserve"> as well as a full range of wetland services and benefits</w:t>
      </w:r>
      <w:r w:rsidRPr="00FF7B51">
        <w:rPr>
          <w:rFonts w:asciiTheme="minorHAnsi" w:hAnsiTheme="minorHAnsi"/>
          <w:color w:val="221E1F"/>
          <w:sz w:val="22"/>
          <w:szCs w:val="22"/>
        </w:rPr>
        <w:t>.</w:t>
      </w:r>
    </w:p>
    <w:p w:rsidR="00D91024" w:rsidRDefault="00D91024">
      <w:pPr>
        <w:pStyle w:val="Default"/>
        <w:ind w:left="426" w:hanging="426"/>
        <w:rPr>
          <w:rFonts w:cstheme="minorBidi"/>
          <w:color w:val="auto"/>
        </w:rPr>
      </w:pPr>
    </w:p>
    <w:p w:rsidR="00D91024" w:rsidRDefault="00592107">
      <w:pPr>
        <w:pStyle w:val="Default"/>
        <w:numPr>
          <w:ilvl w:val="0"/>
          <w:numId w:val="3"/>
        </w:numPr>
        <w:ind w:left="426" w:hanging="426"/>
        <w:rPr>
          <w:rFonts w:asciiTheme="minorHAnsi" w:hAnsiTheme="minorHAnsi" w:cstheme="minorHAnsi"/>
          <w:bCs/>
          <w:sz w:val="22"/>
          <w:szCs w:val="22"/>
        </w:rPr>
      </w:pPr>
      <w:r w:rsidRPr="00592107">
        <w:rPr>
          <w:rFonts w:asciiTheme="minorHAnsi" w:hAnsiTheme="minorHAnsi"/>
          <w:color w:val="221E1F"/>
          <w:sz w:val="22"/>
          <w:szCs w:val="22"/>
        </w:rPr>
        <w:t>Over the years, the Conference of the Contracting Parties has adopted a considerable body of scientific, technical, and policy guidance to assist the Parties in addressing the issues embodied in the Convention’s “three pillars”: the wise use of all wetlands, Wetlands of International Importance, and international cooperation.</w:t>
      </w:r>
      <w:r w:rsidR="003A0727">
        <w:rPr>
          <w:rFonts w:asciiTheme="minorHAnsi" w:hAnsiTheme="minorHAnsi"/>
          <w:color w:val="221E1F"/>
          <w:sz w:val="22"/>
          <w:szCs w:val="22"/>
        </w:rPr>
        <w:t xml:space="preserve"> </w:t>
      </w:r>
      <w:r w:rsidRPr="00592107">
        <w:rPr>
          <w:rFonts w:asciiTheme="minorHAnsi" w:hAnsiTheme="minorHAnsi"/>
          <w:color w:val="221E1F"/>
          <w:sz w:val="22"/>
          <w:szCs w:val="22"/>
        </w:rPr>
        <w:t xml:space="preserve">All of the guidance is gathered into </w:t>
      </w:r>
      <w:r w:rsidRPr="00592107">
        <w:rPr>
          <w:rFonts w:asciiTheme="minorHAnsi" w:hAnsiTheme="minorHAnsi"/>
          <w:i/>
          <w:iCs/>
          <w:color w:val="221E1F"/>
          <w:sz w:val="22"/>
          <w:szCs w:val="22"/>
        </w:rPr>
        <w:t>The Ramsar Handbooks for the Wise Use of Wetlands</w:t>
      </w:r>
      <w:r w:rsidRPr="00592107">
        <w:rPr>
          <w:rFonts w:asciiTheme="minorHAnsi" w:hAnsiTheme="minorHAnsi"/>
          <w:color w:val="221E1F"/>
          <w:sz w:val="22"/>
          <w:szCs w:val="22"/>
        </w:rPr>
        <w:t>, known as the “</w:t>
      </w:r>
      <w:r w:rsidRPr="00592107">
        <w:rPr>
          <w:rFonts w:asciiTheme="minorHAnsi" w:hAnsiTheme="minorHAnsi"/>
          <w:bCs/>
          <w:color w:val="221E1F"/>
          <w:sz w:val="22"/>
          <w:szCs w:val="22"/>
        </w:rPr>
        <w:t>Ramsar Toolkit</w:t>
      </w:r>
      <w:r w:rsidRPr="00592107">
        <w:rPr>
          <w:rFonts w:asciiTheme="minorHAnsi" w:hAnsiTheme="minorHAnsi"/>
          <w:color w:val="221E1F"/>
          <w:sz w:val="22"/>
          <w:szCs w:val="22"/>
        </w:rPr>
        <w:t>”.</w:t>
      </w:r>
    </w:p>
    <w:p w:rsidR="00D91024" w:rsidRDefault="00D91024">
      <w:pPr>
        <w:pStyle w:val="Default"/>
        <w:ind w:left="426" w:hanging="426"/>
        <w:rPr>
          <w:rFonts w:asciiTheme="minorHAnsi" w:hAnsiTheme="minorHAnsi" w:cstheme="minorHAnsi"/>
          <w:bCs/>
          <w:sz w:val="22"/>
          <w:szCs w:val="22"/>
        </w:rPr>
      </w:pPr>
    </w:p>
    <w:p w:rsidR="00D91024" w:rsidRDefault="00A36B41">
      <w:pPr>
        <w:pStyle w:val="Default"/>
        <w:numPr>
          <w:ilvl w:val="0"/>
          <w:numId w:val="3"/>
        </w:numPr>
        <w:ind w:left="426" w:hanging="426"/>
        <w:rPr>
          <w:rFonts w:asciiTheme="minorHAnsi" w:hAnsiTheme="minorHAnsi" w:cstheme="minorHAnsi"/>
          <w:bCs/>
          <w:sz w:val="22"/>
          <w:szCs w:val="22"/>
        </w:rPr>
      </w:pPr>
      <w:r>
        <w:rPr>
          <w:rFonts w:asciiTheme="minorHAnsi" w:hAnsiTheme="minorHAnsi" w:cstheme="minorHAnsi"/>
          <w:bCs/>
          <w:sz w:val="22"/>
          <w:szCs w:val="22"/>
        </w:rPr>
        <w:t xml:space="preserve">Since </w:t>
      </w:r>
      <w:r w:rsidRPr="00A36B41">
        <w:rPr>
          <w:rFonts w:asciiTheme="minorHAnsi" w:hAnsiTheme="minorHAnsi" w:cstheme="minorHAnsi"/>
          <w:bCs/>
          <w:sz w:val="22"/>
          <w:szCs w:val="22"/>
        </w:rPr>
        <w:t xml:space="preserve">the adoption of </w:t>
      </w:r>
      <w:r w:rsidR="00863FEF">
        <w:rPr>
          <w:rFonts w:asciiTheme="minorHAnsi" w:hAnsiTheme="minorHAnsi" w:cstheme="minorHAnsi"/>
          <w:bCs/>
          <w:sz w:val="22"/>
          <w:szCs w:val="22"/>
        </w:rPr>
        <w:t xml:space="preserve">the </w:t>
      </w:r>
      <w:r w:rsidRPr="00A36B41">
        <w:rPr>
          <w:rFonts w:asciiTheme="minorHAnsi" w:hAnsiTheme="minorHAnsi" w:cstheme="minorHAnsi"/>
          <w:bCs/>
          <w:sz w:val="22"/>
          <w:szCs w:val="22"/>
        </w:rPr>
        <w:t xml:space="preserve">Ramsar Strategic Plan </w:t>
      </w:r>
      <w:r w:rsidR="00863FEF">
        <w:rPr>
          <w:rFonts w:asciiTheme="minorHAnsi" w:hAnsiTheme="minorHAnsi" w:cstheme="minorHAnsi"/>
          <w:bCs/>
          <w:sz w:val="22"/>
          <w:szCs w:val="22"/>
        </w:rPr>
        <w:t xml:space="preserve">for </w:t>
      </w:r>
      <w:r w:rsidRPr="00A36B41">
        <w:rPr>
          <w:rFonts w:asciiTheme="minorHAnsi" w:hAnsiTheme="minorHAnsi" w:cstheme="minorHAnsi"/>
          <w:bCs/>
          <w:sz w:val="22"/>
          <w:szCs w:val="22"/>
        </w:rPr>
        <w:t>2003-2008</w:t>
      </w:r>
      <w:r w:rsidR="00863FEF">
        <w:rPr>
          <w:rFonts w:asciiTheme="minorHAnsi" w:hAnsiTheme="minorHAnsi" w:cstheme="minorHAnsi"/>
          <w:bCs/>
          <w:sz w:val="22"/>
          <w:szCs w:val="22"/>
        </w:rPr>
        <w:t>,</w:t>
      </w:r>
      <w:r w:rsidRPr="00A36B41">
        <w:rPr>
          <w:rFonts w:asciiTheme="minorHAnsi" w:hAnsiTheme="minorHAnsi" w:cstheme="minorHAnsi"/>
          <w:bCs/>
          <w:sz w:val="22"/>
          <w:szCs w:val="22"/>
        </w:rPr>
        <w:t xml:space="preserve"> the Parties </w:t>
      </w:r>
      <w:r w:rsidR="00863FEF">
        <w:rPr>
          <w:rFonts w:asciiTheme="minorHAnsi" w:hAnsiTheme="minorHAnsi" w:cstheme="minorHAnsi"/>
          <w:bCs/>
          <w:sz w:val="22"/>
          <w:szCs w:val="22"/>
        </w:rPr>
        <w:t xml:space="preserve">have </w:t>
      </w:r>
      <w:r w:rsidRPr="00A36B41">
        <w:rPr>
          <w:rFonts w:asciiTheme="minorHAnsi" w:hAnsiTheme="minorHAnsi" w:cstheme="minorHAnsi"/>
          <w:bCs/>
          <w:sz w:val="22"/>
          <w:szCs w:val="22"/>
        </w:rPr>
        <w:t xml:space="preserve">recognized that a </w:t>
      </w:r>
      <w:r w:rsidRPr="00A36B41">
        <w:rPr>
          <w:rFonts w:asciiTheme="minorHAnsi" w:hAnsiTheme="minorHAnsi"/>
          <w:color w:val="221E1F"/>
          <w:sz w:val="22"/>
          <w:szCs w:val="22"/>
        </w:rPr>
        <w:t xml:space="preserve">broader approach to wetland conservation and sustainable development </w:t>
      </w:r>
      <w:r w:rsidR="00863FEF">
        <w:rPr>
          <w:rFonts w:asciiTheme="minorHAnsi" w:hAnsiTheme="minorHAnsi"/>
          <w:color w:val="221E1F"/>
          <w:sz w:val="22"/>
          <w:szCs w:val="22"/>
        </w:rPr>
        <w:t xml:space="preserve">is </w:t>
      </w:r>
      <w:r w:rsidRPr="00A36B41">
        <w:rPr>
          <w:rFonts w:asciiTheme="minorHAnsi" w:hAnsiTheme="minorHAnsi"/>
          <w:color w:val="221E1F"/>
          <w:sz w:val="22"/>
          <w:szCs w:val="22"/>
        </w:rPr>
        <w:t>needed, notably in relation to poverty eradication and food and water security, integrated approaches to water management, climate change and its predicted impacts, increasing globalization of trade and reducing of trade barriers, the increasing role of the private sector, and the increasing influence of development banks and international development agencies.</w:t>
      </w:r>
      <w:r w:rsidR="003A0727">
        <w:rPr>
          <w:rFonts w:asciiTheme="minorHAnsi" w:hAnsiTheme="minorHAnsi" w:cstheme="minorHAnsi"/>
          <w:bCs/>
          <w:sz w:val="22"/>
          <w:szCs w:val="22"/>
        </w:rPr>
        <w:t xml:space="preserve"> </w:t>
      </w:r>
    </w:p>
    <w:p w:rsidR="00D91024" w:rsidRDefault="00870DF6">
      <w:pPr>
        <w:pStyle w:val="Default"/>
        <w:ind w:left="426" w:hanging="426"/>
        <w:rPr>
          <w:rFonts w:asciiTheme="minorHAnsi" w:hAnsiTheme="minorHAnsi" w:cstheme="minorHAnsi"/>
          <w:bCs/>
          <w:sz w:val="22"/>
          <w:szCs w:val="22"/>
        </w:rPr>
      </w:pPr>
      <w:r>
        <w:rPr>
          <w:rFonts w:asciiTheme="minorHAnsi" w:hAnsiTheme="minorHAnsi" w:cstheme="minorHAnsi"/>
          <w:bCs/>
          <w:sz w:val="22"/>
          <w:szCs w:val="22"/>
        </w:rPr>
        <w:t xml:space="preserve"> </w:t>
      </w:r>
    </w:p>
    <w:p w:rsidR="00D91024" w:rsidRDefault="00863FEF">
      <w:pPr>
        <w:pStyle w:val="Default"/>
        <w:numPr>
          <w:ilvl w:val="0"/>
          <w:numId w:val="3"/>
        </w:numPr>
        <w:ind w:left="426" w:hanging="426"/>
        <w:rPr>
          <w:rFonts w:asciiTheme="minorHAnsi" w:hAnsiTheme="minorHAnsi" w:cs="Garamond"/>
          <w:sz w:val="22"/>
          <w:szCs w:val="22"/>
        </w:rPr>
      </w:pPr>
      <w:r>
        <w:rPr>
          <w:rFonts w:asciiTheme="minorHAnsi" w:hAnsiTheme="minorHAnsi" w:cstheme="minorHAnsi"/>
          <w:bCs/>
          <w:sz w:val="22"/>
          <w:szCs w:val="22"/>
        </w:rPr>
        <w:t xml:space="preserve">At </w:t>
      </w:r>
      <w:r w:rsidR="00CA36DC">
        <w:rPr>
          <w:rFonts w:asciiTheme="minorHAnsi" w:hAnsiTheme="minorHAnsi" w:cstheme="minorHAnsi"/>
          <w:bCs/>
          <w:sz w:val="22"/>
          <w:szCs w:val="22"/>
        </w:rPr>
        <w:t>COP6 in 1996</w:t>
      </w:r>
      <w:r>
        <w:rPr>
          <w:rFonts w:asciiTheme="minorHAnsi" w:hAnsiTheme="minorHAnsi" w:cstheme="minorHAnsi"/>
          <w:bCs/>
          <w:sz w:val="22"/>
          <w:szCs w:val="22"/>
        </w:rPr>
        <w:t>,</w:t>
      </w:r>
      <w:r w:rsidR="00CA36DC">
        <w:rPr>
          <w:rFonts w:asciiTheme="minorHAnsi" w:hAnsiTheme="minorHAnsi" w:cstheme="minorHAnsi"/>
          <w:bCs/>
          <w:sz w:val="22"/>
          <w:szCs w:val="22"/>
        </w:rPr>
        <w:t xml:space="preserve"> the Contracting Parties adopted the first </w:t>
      </w:r>
      <w:r w:rsidR="008200FA">
        <w:rPr>
          <w:rFonts w:asciiTheme="minorHAnsi" w:hAnsiTheme="minorHAnsi" w:cstheme="minorHAnsi"/>
          <w:bCs/>
          <w:sz w:val="22"/>
          <w:szCs w:val="22"/>
        </w:rPr>
        <w:t>r</w:t>
      </w:r>
      <w:r w:rsidR="00CA36DC">
        <w:rPr>
          <w:rFonts w:asciiTheme="minorHAnsi" w:hAnsiTheme="minorHAnsi" w:cstheme="minorHAnsi"/>
          <w:bCs/>
          <w:sz w:val="22"/>
          <w:szCs w:val="22"/>
        </w:rPr>
        <w:t>esolution</w:t>
      </w:r>
      <w:r w:rsidR="008200FA">
        <w:rPr>
          <w:rFonts w:asciiTheme="minorHAnsi" w:hAnsiTheme="minorHAnsi" w:cstheme="minorHAnsi"/>
          <w:bCs/>
          <w:sz w:val="22"/>
          <w:szCs w:val="22"/>
        </w:rPr>
        <w:t xml:space="preserve"> </w:t>
      </w:r>
      <w:r w:rsidR="00CA36DC">
        <w:rPr>
          <w:rFonts w:asciiTheme="minorHAnsi" w:hAnsiTheme="minorHAnsi" w:cstheme="minorHAnsi"/>
          <w:bCs/>
          <w:sz w:val="22"/>
          <w:szCs w:val="22"/>
        </w:rPr>
        <w:t xml:space="preserve">related to </w:t>
      </w:r>
      <w:r w:rsidR="008200FA">
        <w:rPr>
          <w:rFonts w:asciiTheme="minorHAnsi" w:hAnsiTheme="minorHAnsi" w:cstheme="minorHAnsi"/>
          <w:bCs/>
          <w:sz w:val="22"/>
          <w:szCs w:val="22"/>
        </w:rPr>
        <w:t xml:space="preserve">water, Resolution VI.23 </w:t>
      </w:r>
      <w:r>
        <w:rPr>
          <w:rFonts w:asciiTheme="minorHAnsi" w:hAnsiTheme="minorHAnsi" w:cstheme="minorHAnsi"/>
          <w:bCs/>
          <w:sz w:val="22"/>
          <w:szCs w:val="22"/>
        </w:rPr>
        <w:t xml:space="preserve">on </w:t>
      </w:r>
      <w:r w:rsidR="00487333" w:rsidRPr="00487333">
        <w:rPr>
          <w:rFonts w:asciiTheme="minorHAnsi" w:hAnsiTheme="minorHAnsi" w:cstheme="minorHAnsi"/>
          <w:bCs/>
          <w:i/>
          <w:sz w:val="22"/>
          <w:szCs w:val="22"/>
        </w:rPr>
        <w:t>Ramsar and water</w:t>
      </w:r>
      <w:r w:rsidR="00B447BA">
        <w:rPr>
          <w:rFonts w:asciiTheme="minorHAnsi" w:hAnsiTheme="minorHAnsi" w:cstheme="minorHAnsi"/>
          <w:bCs/>
          <w:sz w:val="22"/>
          <w:szCs w:val="22"/>
        </w:rPr>
        <w:t>,</w:t>
      </w:r>
      <w:r w:rsidR="008200FA">
        <w:rPr>
          <w:rFonts w:asciiTheme="minorHAnsi" w:hAnsiTheme="minorHAnsi" w:cstheme="minorHAnsi"/>
          <w:bCs/>
          <w:sz w:val="22"/>
          <w:szCs w:val="22"/>
        </w:rPr>
        <w:t xml:space="preserve"> which called upon Contracting Parties to </w:t>
      </w:r>
      <w:r w:rsidR="008200FA" w:rsidRPr="008200FA">
        <w:rPr>
          <w:rFonts w:asciiTheme="minorHAnsi" w:hAnsiTheme="minorHAnsi" w:cs="Garamond"/>
          <w:sz w:val="22"/>
          <w:szCs w:val="22"/>
        </w:rPr>
        <w:t>ensure, through partnerships with water related organisations such as the World Water Council, that the Ramsar Convention becomes an audible voice in water</w:t>
      </w:r>
      <w:r w:rsidR="008200FA">
        <w:rPr>
          <w:rFonts w:asciiTheme="minorHAnsi" w:hAnsiTheme="minorHAnsi" w:cs="Garamond"/>
          <w:sz w:val="22"/>
          <w:szCs w:val="22"/>
        </w:rPr>
        <w:t xml:space="preserve"> </w:t>
      </w:r>
      <w:r w:rsidR="008200FA" w:rsidRPr="008200FA">
        <w:rPr>
          <w:rFonts w:asciiTheme="minorHAnsi" w:hAnsiTheme="minorHAnsi" w:cs="Garamond"/>
          <w:sz w:val="22"/>
          <w:szCs w:val="22"/>
        </w:rPr>
        <w:t>debates.</w:t>
      </w:r>
      <w:r w:rsidR="008200FA">
        <w:rPr>
          <w:rFonts w:asciiTheme="minorHAnsi" w:hAnsiTheme="minorHAnsi" w:cs="Garamond"/>
          <w:sz w:val="22"/>
          <w:szCs w:val="22"/>
        </w:rPr>
        <w:t xml:space="preserve"> </w:t>
      </w:r>
    </w:p>
    <w:p w:rsidR="00D91024" w:rsidRDefault="00D91024">
      <w:pPr>
        <w:pStyle w:val="Default"/>
        <w:ind w:left="426" w:hanging="426"/>
        <w:rPr>
          <w:rFonts w:asciiTheme="minorHAnsi" w:hAnsiTheme="minorHAnsi" w:cs="Garamond"/>
          <w:sz w:val="22"/>
          <w:szCs w:val="22"/>
        </w:rPr>
      </w:pPr>
    </w:p>
    <w:p w:rsidR="00D91024" w:rsidRDefault="008200FA">
      <w:pPr>
        <w:pStyle w:val="ListParagraph"/>
        <w:numPr>
          <w:ilvl w:val="0"/>
          <w:numId w:val="3"/>
        </w:numPr>
        <w:autoSpaceDE w:val="0"/>
        <w:autoSpaceDN w:val="0"/>
        <w:adjustRightInd w:val="0"/>
        <w:ind w:left="426" w:hanging="426"/>
        <w:jc w:val="left"/>
        <w:rPr>
          <w:rFonts w:asciiTheme="minorHAnsi" w:eastAsiaTheme="minorHAnsi" w:hAnsiTheme="minorHAnsi" w:cs="Garamond"/>
        </w:rPr>
      </w:pPr>
      <w:r w:rsidRPr="00776F3B">
        <w:rPr>
          <w:rFonts w:asciiTheme="minorHAnsi" w:hAnsiTheme="minorHAnsi" w:cs="Garamond"/>
        </w:rPr>
        <w:t>Subsequently many guidelines have been adopted highlighting the role of wetlands in the water cycle</w:t>
      </w:r>
      <w:r w:rsidR="009D4081" w:rsidRPr="00776F3B">
        <w:rPr>
          <w:rFonts w:asciiTheme="minorHAnsi" w:hAnsiTheme="minorHAnsi" w:cs="Garamond"/>
        </w:rPr>
        <w:t>, water allocation and</w:t>
      </w:r>
      <w:r w:rsidRPr="00776F3B">
        <w:rPr>
          <w:rFonts w:asciiTheme="minorHAnsi" w:hAnsiTheme="minorHAnsi" w:cs="Garamond"/>
        </w:rPr>
        <w:t xml:space="preserve"> integrated water resource management</w:t>
      </w:r>
      <w:r w:rsidR="009D4081" w:rsidRPr="00776F3B">
        <w:rPr>
          <w:rFonts w:asciiTheme="minorHAnsi" w:hAnsiTheme="minorHAnsi" w:cs="Garamond"/>
        </w:rPr>
        <w:t xml:space="preserve"> among others. </w:t>
      </w:r>
      <w:r w:rsidR="002C0555">
        <w:rPr>
          <w:rFonts w:asciiTheme="minorHAnsi" w:hAnsiTheme="minorHAnsi" w:cs="Garamond"/>
        </w:rPr>
        <w:t xml:space="preserve">A clear example is in </w:t>
      </w:r>
      <w:r w:rsidR="00776F3B">
        <w:rPr>
          <w:rFonts w:asciiTheme="minorHAnsi" w:hAnsiTheme="minorHAnsi" w:cs="Garamond"/>
        </w:rPr>
        <w:t>Resolution</w:t>
      </w:r>
      <w:r w:rsidR="009D4081" w:rsidRPr="00776F3B">
        <w:rPr>
          <w:rFonts w:asciiTheme="minorHAnsi" w:eastAsiaTheme="minorHAnsi" w:hAnsiTheme="minorHAnsi" w:cs="Garamond-Bold"/>
          <w:bCs/>
        </w:rPr>
        <w:t xml:space="preserve"> IX.1 Annex C</w:t>
      </w:r>
      <w:r w:rsidR="005D5FFC" w:rsidRPr="00776F3B">
        <w:rPr>
          <w:rFonts w:asciiTheme="minorHAnsi" w:eastAsiaTheme="minorHAnsi" w:hAnsiTheme="minorHAnsi" w:cs="Garamond-Bold"/>
          <w:bCs/>
        </w:rPr>
        <w:t xml:space="preserve"> </w:t>
      </w:r>
      <w:r w:rsidR="002C0555">
        <w:rPr>
          <w:rFonts w:asciiTheme="minorHAnsi" w:eastAsiaTheme="minorHAnsi" w:hAnsiTheme="minorHAnsi" w:cs="Garamond-Bold"/>
          <w:bCs/>
        </w:rPr>
        <w:t>“</w:t>
      </w:r>
      <w:r w:rsidR="009D4081" w:rsidRPr="00776F3B">
        <w:rPr>
          <w:rFonts w:asciiTheme="minorHAnsi" w:eastAsiaTheme="minorHAnsi" w:hAnsiTheme="minorHAnsi" w:cs="Garamond-Bold"/>
          <w:bCs/>
        </w:rPr>
        <w:t>An Integrated Framework for the Ramsar Convention’s</w:t>
      </w:r>
      <w:r w:rsidR="00B447BA" w:rsidRPr="00776F3B">
        <w:rPr>
          <w:rFonts w:asciiTheme="minorHAnsi" w:eastAsiaTheme="minorHAnsi" w:hAnsiTheme="minorHAnsi" w:cs="Garamond-Bold"/>
          <w:bCs/>
        </w:rPr>
        <w:t xml:space="preserve"> </w:t>
      </w:r>
      <w:r w:rsidR="009D4081" w:rsidRPr="00776F3B">
        <w:rPr>
          <w:rFonts w:asciiTheme="minorHAnsi" w:eastAsiaTheme="minorHAnsi" w:hAnsiTheme="minorHAnsi" w:cs="Garamond-Bold"/>
          <w:bCs/>
        </w:rPr>
        <w:t xml:space="preserve">water-related </w:t>
      </w:r>
      <w:r w:rsidR="00776F3B" w:rsidRPr="00776F3B">
        <w:rPr>
          <w:rFonts w:asciiTheme="minorHAnsi" w:eastAsiaTheme="minorHAnsi" w:hAnsiTheme="minorHAnsi" w:cs="Garamond-Bold"/>
          <w:bCs/>
        </w:rPr>
        <w:t>guidance</w:t>
      </w:r>
      <w:r w:rsidR="002C0555">
        <w:rPr>
          <w:rFonts w:asciiTheme="minorHAnsi" w:eastAsiaTheme="minorHAnsi" w:hAnsiTheme="minorHAnsi" w:cs="Garamond-Bold"/>
          <w:bCs/>
        </w:rPr>
        <w:t>”</w:t>
      </w:r>
      <w:r w:rsidR="009D4081" w:rsidRPr="00776F3B">
        <w:rPr>
          <w:rFonts w:asciiTheme="minorHAnsi" w:hAnsiTheme="minorHAnsi" w:cs="Garamond-Bold"/>
          <w:bCs/>
        </w:rPr>
        <w:t xml:space="preserve"> present</w:t>
      </w:r>
      <w:r w:rsidR="00776F3B">
        <w:rPr>
          <w:rFonts w:asciiTheme="minorHAnsi" w:hAnsiTheme="minorHAnsi" w:cs="Garamond-Bold"/>
          <w:bCs/>
        </w:rPr>
        <w:t>s</w:t>
      </w:r>
      <w:r w:rsidR="009D4081" w:rsidRPr="00776F3B">
        <w:rPr>
          <w:rFonts w:asciiTheme="minorHAnsi" w:hAnsiTheme="minorHAnsi" w:cs="Garamond-Bold"/>
          <w:bCs/>
        </w:rPr>
        <w:t xml:space="preserve"> </w:t>
      </w:r>
      <w:r w:rsidR="009D4081" w:rsidRPr="00776F3B">
        <w:rPr>
          <w:rFonts w:asciiTheme="minorHAnsi" w:eastAsiaTheme="minorHAnsi" w:hAnsiTheme="minorHAnsi" w:cs="Garamond"/>
        </w:rPr>
        <w:t xml:space="preserve">a framework for Ramsar’s current and developing suite of water-related guidance. </w:t>
      </w:r>
    </w:p>
    <w:p w:rsidR="00A43C7D" w:rsidRDefault="00A43C7D" w:rsidP="00100888">
      <w:pPr>
        <w:autoSpaceDE w:val="0"/>
        <w:autoSpaceDN w:val="0"/>
        <w:adjustRightInd w:val="0"/>
        <w:rPr>
          <w:rFonts w:asciiTheme="minorHAnsi" w:hAnsiTheme="minorHAnsi" w:cs="Garamond"/>
          <w:sz w:val="22"/>
          <w:szCs w:val="22"/>
        </w:rPr>
      </w:pPr>
    </w:p>
    <w:p w:rsidR="00533213" w:rsidRPr="00F427E1" w:rsidRDefault="00810F0C" w:rsidP="00100888">
      <w:pPr>
        <w:pStyle w:val="Default"/>
        <w:rPr>
          <w:rFonts w:asciiTheme="minorHAnsi" w:hAnsiTheme="minorHAnsi" w:cs="Garamond"/>
          <w:sz w:val="22"/>
          <w:szCs w:val="22"/>
          <w:u w:val="single"/>
        </w:rPr>
      </w:pPr>
      <w:r>
        <w:rPr>
          <w:rFonts w:asciiTheme="minorHAnsi" w:hAnsiTheme="minorHAnsi"/>
          <w:sz w:val="22"/>
          <w:szCs w:val="22"/>
          <w:u w:val="single"/>
        </w:rPr>
        <w:t>Post-</w:t>
      </w:r>
      <w:r w:rsidRPr="00F427E1">
        <w:rPr>
          <w:rFonts w:asciiTheme="minorHAnsi" w:hAnsiTheme="minorHAnsi"/>
          <w:sz w:val="22"/>
          <w:szCs w:val="22"/>
          <w:u w:val="single"/>
        </w:rPr>
        <w:t>2015</w:t>
      </w:r>
      <w:r>
        <w:rPr>
          <w:rFonts w:asciiTheme="minorHAnsi" w:hAnsiTheme="minorHAnsi"/>
          <w:sz w:val="22"/>
          <w:szCs w:val="22"/>
          <w:u w:val="single"/>
        </w:rPr>
        <w:t xml:space="preserve"> </w:t>
      </w:r>
      <w:r w:rsidR="009D4081" w:rsidRPr="00F427E1">
        <w:rPr>
          <w:rFonts w:asciiTheme="minorHAnsi" w:hAnsiTheme="minorHAnsi" w:cs="Garamond"/>
          <w:sz w:val="22"/>
          <w:szCs w:val="22"/>
          <w:u w:val="single"/>
        </w:rPr>
        <w:t xml:space="preserve">Sustainable Development Goals and </w:t>
      </w:r>
      <w:r w:rsidR="00A43C7D" w:rsidRPr="00F427E1">
        <w:rPr>
          <w:rFonts w:asciiTheme="minorHAnsi" w:hAnsiTheme="minorHAnsi"/>
          <w:sz w:val="22"/>
          <w:szCs w:val="22"/>
          <w:u w:val="single"/>
        </w:rPr>
        <w:t>Targets</w:t>
      </w:r>
    </w:p>
    <w:p w:rsidR="00533213" w:rsidRPr="00A43C7D" w:rsidRDefault="00533213" w:rsidP="00100888">
      <w:pPr>
        <w:pStyle w:val="Default"/>
        <w:rPr>
          <w:rFonts w:asciiTheme="minorHAnsi" w:hAnsiTheme="minorHAnsi" w:cstheme="minorHAnsi"/>
          <w:bCs/>
          <w:sz w:val="22"/>
          <w:szCs w:val="22"/>
        </w:rPr>
      </w:pPr>
    </w:p>
    <w:p w:rsidR="00A43C7D" w:rsidRPr="003A0727" w:rsidRDefault="00CE06B5" w:rsidP="00100888">
      <w:pPr>
        <w:pStyle w:val="Default"/>
        <w:numPr>
          <w:ilvl w:val="0"/>
          <w:numId w:val="3"/>
        </w:numPr>
        <w:ind w:left="426" w:hanging="426"/>
        <w:rPr>
          <w:rFonts w:asciiTheme="minorHAnsi" w:hAnsiTheme="minorHAnsi" w:cstheme="minorHAnsi"/>
          <w:bCs/>
          <w:sz w:val="22"/>
          <w:szCs w:val="22"/>
        </w:rPr>
      </w:pPr>
      <w:r w:rsidRPr="003A0727">
        <w:rPr>
          <w:rFonts w:asciiTheme="minorHAnsi" w:hAnsiTheme="minorHAnsi" w:cstheme="minorHAnsi"/>
          <w:bCs/>
          <w:sz w:val="22"/>
          <w:szCs w:val="22"/>
        </w:rPr>
        <w:t>The Open Work Group on Sustainable Development Goals (SDGs) will not have completed its work prior to COP12.</w:t>
      </w:r>
      <w:r w:rsidR="003A0727">
        <w:rPr>
          <w:rFonts w:asciiTheme="minorHAnsi" w:hAnsiTheme="minorHAnsi" w:cstheme="minorHAnsi"/>
          <w:bCs/>
          <w:sz w:val="22"/>
          <w:szCs w:val="22"/>
        </w:rPr>
        <w:t xml:space="preserve"> </w:t>
      </w:r>
      <w:r w:rsidRPr="003A0727">
        <w:rPr>
          <w:rFonts w:asciiTheme="minorHAnsi" w:hAnsiTheme="minorHAnsi" w:cstheme="minorHAnsi"/>
          <w:bCs/>
          <w:sz w:val="22"/>
          <w:szCs w:val="22"/>
        </w:rPr>
        <w:t>However, there is clear interest by the Ramsar Contracting Parties in maximizing synergies between any future agreed SDGs that are relevant to the Ramsar Convention.</w:t>
      </w:r>
      <w:r w:rsidR="003A0727">
        <w:rPr>
          <w:rFonts w:asciiTheme="minorHAnsi" w:hAnsiTheme="minorHAnsi" w:cstheme="minorHAnsi"/>
          <w:bCs/>
          <w:sz w:val="22"/>
          <w:szCs w:val="22"/>
        </w:rPr>
        <w:t xml:space="preserve"> </w:t>
      </w:r>
      <w:r w:rsidRPr="003A0727">
        <w:rPr>
          <w:rFonts w:asciiTheme="minorHAnsi" w:hAnsiTheme="minorHAnsi" w:cstheme="minorHAnsi"/>
          <w:bCs/>
          <w:sz w:val="22"/>
          <w:szCs w:val="22"/>
        </w:rPr>
        <w:t>As a result, it was recognized i</w:t>
      </w:r>
      <w:r w:rsidR="00810F0C" w:rsidRPr="003A0727">
        <w:rPr>
          <w:rFonts w:asciiTheme="minorHAnsi" w:hAnsiTheme="minorHAnsi" w:cstheme="minorHAnsi"/>
          <w:bCs/>
          <w:sz w:val="22"/>
          <w:szCs w:val="22"/>
        </w:rPr>
        <w:t xml:space="preserve">n </w:t>
      </w:r>
      <w:r w:rsidR="00533213" w:rsidRPr="003A0727">
        <w:rPr>
          <w:rFonts w:asciiTheme="minorHAnsi" w:hAnsiTheme="minorHAnsi" w:cstheme="minorHAnsi"/>
          <w:bCs/>
          <w:sz w:val="22"/>
          <w:szCs w:val="22"/>
        </w:rPr>
        <w:t xml:space="preserve">the Strategic Plan Working Group discussions </w:t>
      </w:r>
      <w:r w:rsidRPr="003A0727">
        <w:rPr>
          <w:rFonts w:asciiTheme="minorHAnsi" w:hAnsiTheme="minorHAnsi" w:cstheme="minorHAnsi"/>
          <w:bCs/>
          <w:sz w:val="22"/>
          <w:szCs w:val="22"/>
        </w:rPr>
        <w:t xml:space="preserve">that once the SDGs are agreed, the Ramsar Contracting Parties should seek to identify </w:t>
      </w:r>
      <w:r w:rsidR="008769EA" w:rsidRPr="003A0727">
        <w:rPr>
          <w:rFonts w:asciiTheme="minorHAnsi" w:hAnsiTheme="minorHAnsi" w:cstheme="minorHAnsi"/>
          <w:bCs/>
          <w:sz w:val="22"/>
          <w:szCs w:val="22"/>
        </w:rPr>
        <w:t xml:space="preserve">any </w:t>
      </w:r>
      <w:r w:rsidRPr="003A0727">
        <w:rPr>
          <w:rFonts w:asciiTheme="minorHAnsi" w:hAnsiTheme="minorHAnsi" w:cstheme="minorHAnsi"/>
          <w:bCs/>
          <w:sz w:val="22"/>
          <w:szCs w:val="22"/>
        </w:rPr>
        <w:t>potential linkages to the 4</w:t>
      </w:r>
      <w:r w:rsidRPr="003A0727">
        <w:rPr>
          <w:rFonts w:asciiTheme="minorHAnsi" w:hAnsiTheme="minorHAnsi" w:cstheme="minorHAnsi"/>
          <w:bCs/>
          <w:sz w:val="22"/>
          <w:szCs w:val="22"/>
          <w:vertAlign w:val="superscript"/>
        </w:rPr>
        <w:t>th</w:t>
      </w:r>
      <w:r w:rsidRPr="003A0727">
        <w:rPr>
          <w:rFonts w:asciiTheme="minorHAnsi" w:hAnsiTheme="minorHAnsi" w:cstheme="minorHAnsi"/>
          <w:bCs/>
          <w:sz w:val="22"/>
          <w:szCs w:val="22"/>
        </w:rPr>
        <w:t xml:space="preserve"> Ramsar Strategic Plan and </w:t>
      </w:r>
      <w:r w:rsidR="008769EA" w:rsidRPr="003A0727">
        <w:rPr>
          <w:rFonts w:asciiTheme="minorHAnsi" w:hAnsiTheme="minorHAnsi" w:cstheme="minorHAnsi"/>
          <w:bCs/>
          <w:sz w:val="22"/>
          <w:szCs w:val="22"/>
        </w:rPr>
        <w:t xml:space="preserve">whether </w:t>
      </w:r>
      <w:r w:rsidRPr="003A0727">
        <w:rPr>
          <w:rFonts w:asciiTheme="minorHAnsi" w:hAnsiTheme="minorHAnsi" w:cstheme="minorHAnsi"/>
          <w:bCs/>
          <w:sz w:val="22"/>
          <w:szCs w:val="22"/>
        </w:rPr>
        <w:t>any modifications to the Plan to leverage those anticipated synergies would be beneficial to the Convention.</w:t>
      </w:r>
      <w:r w:rsidR="00A43C7D" w:rsidRPr="003A0727">
        <w:rPr>
          <w:rFonts w:asciiTheme="minorHAnsi" w:hAnsiTheme="minorHAnsi"/>
          <w:sz w:val="22"/>
          <w:szCs w:val="22"/>
        </w:rPr>
        <w:t xml:space="preserve"> </w:t>
      </w:r>
    </w:p>
    <w:sectPr w:rsidR="00A43C7D" w:rsidRPr="003A0727" w:rsidSect="003A0727">
      <w:footerReference w:type="default" r:id="rId9"/>
      <w:pgSz w:w="11906" w:h="16838"/>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9C4" w:rsidRDefault="00C779C4" w:rsidP="00FF697B">
      <w:r>
        <w:separator/>
      </w:r>
    </w:p>
  </w:endnote>
  <w:endnote w:type="continuationSeparator" w:id="0">
    <w:p w:rsidR="00C779C4" w:rsidRDefault="00C779C4" w:rsidP="00FF697B">
      <w:r>
        <w:continuationSeparator/>
      </w:r>
    </w:p>
  </w:endnote>
  <w:endnote w:type="continuationNotice" w:id="1">
    <w:p w:rsidR="00C779C4" w:rsidRDefault="00C779C4"/>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9C4" w:rsidRPr="00DF18E6" w:rsidRDefault="00C779C4" w:rsidP="00DF18E6">
    <w:pPr>
      <w:pStyle w:val="Footer"/>
      <w:tabs>
        <w:tab w:val="clear" w:pos="9360"/>
        <w:tab w:val="right" w:pos="9072"/>
      </w:tabs>
      <w:rPr>
        <w:rFonts w:asciiTheme="minorHAnsi" w:hAnsiTheme="minorHAnsi"/>
        <w:sz w:val="20"/>
        <w:szCs w:val="20"/>
      </w:rPr>
    </w:pPr>
    <w:r w:rsidRPr="009D62A2">
      <w:rPr>
        <w:rFonts w:asciiTheme="minorHAnsi" w:hAnsiTheme="minorHAnsi"/>
        <w:sz w:val="20"/>
        <w:szCs w:val="20"/>
      </w:rPr>
      <w:t>Ramsar COP12 D</w:t>
    </w:r>
    <w:r>
      <w:rPr>
        <w:rFonts w:asciiTheme="minorHAnsi" w:hAnsiTheme="minorHAnsi"/>
        <w:sz w:val="20"/>
        <w:szCs w:val="20"/>
      </w:rPr>
      <w:t>OC.16</w:t>
    </w:r>
    <w:r w:rsidRPr="009D62A2">
      <w:rPr>
        <w:rFonts w:asciiTheme="minorHAnsi" w:hAnsiTheme="minorHAnsi"/>
        <w:sz w:val="20"/>
        <w:szCs w:val="20"/>
      </w:rPr>
      <w:tab/>
    </w:r>
    <w:r w:rsidRPr="009D62A2">
      <w:rPr>
        <w:rFonts w:asciiTheme="minorHAnsi" w:hAnsiTheme="minorHAnsi"/>
        <w:sz w:val="20"/>
        <w:szCs w:val="20"/>
      </w:rPr>
      <w:tab/>
    </w:r>
    <w:r w:rsidRPr="009D62A2">
      <w:rPr>
        <w:rFonts w:asciiTheme="minorHAnsi" w:hAnsiTheme="minorHAnsi"/>
        <w:sz w:val="20"/>
        <w:szCs w:val="20"/>
      </w:rPr>
      <w:fldChar w:fldCharType="begin"/>
    </w:r>
    <w:r w:rsidRPr="009D62A2">
      <w:rPr>
        <w:rFonts w:asciiTheme="minorHAnsi" w:hAnsiTheme="minorHAnsi"/>
        <w:sz w:val="20"/>
        <w:szCs w:val="20"/>
      </w:rPr>
      <w:instrText xml:space="preserve"> PAGE   \* MERGEFORMAT </w:instrText>
    </w:r>
    <w:r w:rsidRPr="009D62A2">
      <w:rPr>
        <w:rFonts w:asciiTheme="minorHAnsi" w:hAnsiTheme="minorHAnsi"/>
        <w:sz w:val="20"/>
        <w:szCs w:val="20"/>
      </w:rPr>
      <w:fldChar w:fldCharType="separate"/>
    </w:r>
    <w:r>
      <w:rPr>
        <w:rFonts w:asciiTheme="minorHAnsi" w:hAnsiTheme="minorHAnsi"/>
        <w:noProof/>
        <w:sz w:val="20"/>
        <w:szCs w:val="20"/>
      </w:rPr>
      <w:t>2</w:t>
    </w:r>
    <w:r w:rsidRPr="009D62A2">
      <w:rPr>
        <w:rFonts w:asciiTheme="minorHAnsi" w:hAnsiTheme="minorHAns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9C4" w:rsidRDefault="00C779C4" w:rsidP="00FF697B">
      <w:r>
        <w:separator/>
      </w:r>
    </w:p>
  </w:footnote>
  <w:footnote w:type="continuationSeparator" w:id="0">
    <w:p w:rsidR="00C779C4" w:rsidRDefault="00C779C4" w:rsidP="00FF697B">
      <w:r>
        <w:continuationSeparator/>
      </w:r>
    </w:p>
  </w:footnote>
  <w:footnote w:type="continuationNotice" w:id="1">
    <w:p w:rsidR="00C779C4" w:rsidRDefault="00C779C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3E43"/>
    <w:multiLevelType w:val="hybridMultilevel"/>
    <w:tmpl w:val="256AD27C"/>
    <w:lvl w:ilvl="0" w:tplc="0C9C0494">
      <w:numFmt w:val="bullet"/>
      <w:lvlText w:val="•"/>
      <w:lvlJc w:val="left"/>
      <w:pPr>
        <w:ind w:left="1080" w:hanging="360"/>
      </w:pPr>
      <w:rPr>
        <w:rFonts w:ascii="Calibri" w:eastAsiaTheme="minorHAnsi" w:hAnsi="Calibri" w:cs="Palatino Linotyp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64934B3"/>
    <w:multiLevelType w:val="hybridMultilevel"/>
    <w:tmpl w:val="C9A2DC82"/>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D84129E"/>
    <w:multiLevelType w:val="hybridMultilevel"/>
    <w:tmpl w:val="C2723764"/>
    <w:lvl w:ilvl="0" w:tplc="0C9C0494">
      <w:numFmt w:val="bullet"/>
      <w:lvlText w:val="•"/>
      <w:lvlJc w:val="left"/>
      <w:pPr>
        <w:ind w:left="1506" w:hanging="360"/>
      </w:pPr>
      <w:rPr>
        <w:rFonts w:ascii="Calibri" w:eastAsiaTheme="minorHAnsi" w:hAnsi="Calibri" w:cs="Palatino Linotype"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255B4E8C"/>
    <w:multiLevelType w:val="hybridMultilevel"/>
    <w:tmpl w:val="BFBE82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9116F21"/>
    <w:multiLevelType w:val="hybridMultilevel"/>
    <w:tmpl w:val="40DC87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5F5C2886"/>
    <w:multiLevelType w:val="hybridMultilevel"/>
    <w:tmpl w:val="AAC4930A"/>
    <w:lvl w:ilvl="0" w:tplc="0809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711633EE"/>
    <w:multiLevelType w:val="hybridMultilevel"/>
    <w:tmpl w:val="3A2C3A8E"/>
    <w:lvl w:ilvl="0" w:tplc="10BEC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0"/>
  </w:num>
  <w:num w:numId="5">
    <w:abstractNumId w:val="2"/>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rsids>
    <w:rsidRoot w:val="002660B1"/>
    <w:rsid w:val="00032C51"/>
    <w:rsid w:val="00033522"/>
    <w:rsid w:val="00051CDC"/>
    <w:rsid w:val="0005436C"/>
    <w:rsid w:val="000728A7"/>
    <w:rsid w:val="0007671F"/>
    <w:rsid w:val="00080B42"/>
    <w:rsid w:val="00081961"/>
    <w:rsid w:val="000C5614"/>
    <w:rsid w:val="001006BE"/>
    <w:rsid w:val="00100888"/>
    <w:rsid w:val="00104BBE"/>
    <w:rsid w:val="0010584A"/>
    <w:rsid w:val="00117941"/>
    <w:rsid w:val="001233DE"/>
    <w:rsid w:val="0013737A"/>
    <w:rsid w:val="00172DDC"/>
    <w:rsid w:val="00174630"/>
    <w:rsid w:val="00183A30"/>
    <w:rsid w:val="001C64CD"/>
    <w:rsid w:val="001C69E4"/>
    <w:rsid w:val="001D265C"/>
    <w:rsid w:val="002660B1"/>
    <w:rsid w:val="002714E9"/>
    <w:rsid w:val="00276959"/>
    <w:rsid w:val="002934B0"/>
    <w:rsid w:val="002B42B8"/>
    <w:rsid w:val="002C0479"/>
    <w:rsid w:val="002C0555"/>
    <w:rsid w:val="002D4AC1"/>
    <w:rsid w:val="002D6856"/>
    <w:rsid w:val="00326F22"/>
    <w:rsid w:val="003320A7"/>
    <w:rsid w:val="00337C92"/>
    <w:rsid w:val="00382E89"/>
    <w:rsid w:val="003915FB"/>
    <w:rsid w:val="003A0727"/>
    <w:rsid w:val="003B5014"/>
    <w:rsid w:val="003C6A54"/>
    <w:rsid w:val="00434554"/>
    <w:rsid w:val="00446641"/>
    <w:rsid w:val="00482DC9"/>
    <w:rsid w:val="00487333"/>
    <w:rsid w:val="004A08F0"/>
    <w:rsid w:val="004C3C9F"/>
    <w:rsid w:val="004F5DCB"/>
    <w:rsid w:val="005044B6"/>
    <w:rsid w:val="00533213"/>
    <w:rsid w:val="00560B10"/>
    <w:rsid w:val="00582948"/>
    <w:rsid w:val="00592107"/>
    <w:rsid w:val="005A4493"/>
    <w:rsid w:val="005B769D"/>
    <w:rsid w:val="005D5FFC"/>
    <w:rsid w:val="005F4ABE"/>
    <w:rsid w:val="00615245"/>
    <w:rsid w:val="00631532"/>
    <w:rsid w:val="0064540F"/>
    <w:rsid w:val="00645412"/>
    <w:rsid w:val="00651E2D"/>
    <w:rsid w:val="006820B0"/>
    <w:rsid w:val="006961B7"/>
    <w:rsid w:val="006D12B3"/>
    <w:rsid w:val="00760D4B"/>
    <w:rsid w:val="00776F3B"/>
    <w:rsid w:val="00787545"/>
    <w:rsid w:val="007A5606"/>
    <w:rsid w:val="007B419C"/>
    <w:rsid w:val="007E7B4D"/>
    <w:rsid w:val="007F4615"/>
    <w:rsid w:val="00806209"/>
    <w:rsid w:val="00810F0C"/>
    <w:rsid w:val="008200FA"/>
    <w:rsid w:val="008212B3"/>
    <w:rsid w:val="0082444A"/>
    <w:rsid w:val="00863FEF"/>
    <w:rsid w:val="00870DF6"/>
    <w:rsid w:val="008769EA"/>
    <w:rsid w:val="008A6402"/>
    <w:rsid w:val="008C445B"/>
    <w:rsid w:val="008D14FE"/>
    <w:rsid w:val="008E7A2A"/>
    <w:rsid w:val="009157D4"/>
    <w:rsid w:val="00941D6F"/>
    <w:rsid w:val="009519D6"/>
    <w:rsid w:val="00952C58"/>
    <w:rsid w:val="009D4081"/>
    <w:rsid w:val="009D7EE2"/>
    <w:rsid w:val="00A07D4F"/>
    <w:rsid w:val="00A14906"/>
    <w:rsid w:val="00A228B2"/>
    <w:rsid w:val="00A36B41"/>
    <w:rsid w:val="00A43C7D"/>
    <w:rsid w:val="00A55093"/>
    <w:rsid w:val="00AC669A"/>
    <w:rsid w:val="00AD39A4"/>
    <w:rsid w:val="00AE05E7"/>
    <w:rsid w:val="00AF2442"/>
    <w:rsid w:val="00AF391D"/>
    <w:rsid w:val="00B31BC1"/>
    <w:rsid w:val="00B447BA"/>
    <w:rsid w:val="00BA1F7B"/>
    <w:rsid w:val="00BA2127"/>
    <w:rsid w:val="00BC245F"/>
    <w:rsid w:val="00BD5EA5"/>
    <w:rsid w:val="00C4689B"/>
    <w:rsid w:val="00C55392"/>
    <w:rsid w:val="00C606CD"/>
    <w:rsid w:val="00C770A9"/>
    <w:rsid w:val="00C779C4"/>
    <w:rsid w:val="00C87CED"/>
    <w:rsid w:val="00C931F7"/>
    <w:rsid w:val="00CA36DC"/>
    <w:rsid w:val="00CD26B4"/>
    <w:rsid w:val="00CE06B5"/>
    <w:rsid w:val="00D33954"/>
    <w:rsid w:val="00D36866"/>
    <w:rsid w:val="00D55DD9"/>
    <w:rsid w:val="00D73E2F"/>
    <w:rsid w:val="00D75281"/>
    <w:rsid w:val="00D762E7"/>
    <w:rsid w:val="00D76D82"/>
    <w:rsid w:val="00D8166D"/>
    <w:rsid w:val="00D91024"/>
    <w:rsid w:val="00DF18E6"/>
    <w:rsid w:val="00E039B7"/>
    <w:rsid w:val="00E42DBB"/>
    <w:rsid w:val="00E441CB"/>
    <w:rsid w:val="00E8018B"/>
    <w:rsid w:val="00E86897"/>
    <w:rsid w:val="00E959F6"/>
    <w:rsid w:val="00EA3FBC"/>
    <w:rsid w:val="00EF2E30"/>
    <w:rsid w:val="00F110D1"/>
    <w:rsid w:val="00F427E1"/>
    <w:rsid w:val="00F507B8"/>
    <w:rsid w:val="00F83863"/>
    <w:rsid w:val="00FA2B25"/>
    <w:rsid w:val="00FD04F2"/>
    <w:rsid w:val="00FD0F57"/>
    <w:rsid w:val="00FD42D7"/>
    <w:rsid w:val="00FF697B"/>
    <w:rsid w:val="00FF7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 w:type="character" w:customStyle="1" w:styleId="st">
    <w:name w:val="st"/>
    <w:basedOn w:val="DefaultParagraphFont"/>
    <w:rsid w:val="00D73E2F"/>
  </w:style>
  <w:style w:type="character" w:styleId="Emphasis">
    <w:name w:val="Emphasis"/>
    <w:basedOn w:val="DefaultParagraphFont"/>
    <w:uiPriority w:val="20"/>
    <w:qFormat/>
    <w:rsid w:val="00D73E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0B1"/>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33DE"/>
    <w:pPr>
      <w:ind w:left="720"/>
      <w:contextualSpacing/>
      <w:jc w:val="both"/>
    </w:pPr>
    <w:rPr>
      <w:rFonts w:ascii="Tahoma" w:eastAsia="Calibri" w:hAnsi="Tahoma"/>
      <w:sz w:val="22"/>
      <w:szCs w:val="22"/>
      <w:lang w:eastAsia="en-US"/>
    </w:rPr>
  </w:style>
  <w:style w:type="paragraph" w:customStyle="1" w:styleId="Pa7">
    <w:name w:val="Pa7"/>
    <w:basedOn w:val="Normal"/>
    <w:next w:val="Normal"/>
    <w:uiPriority w:val="99"/>
    <w:rsid w:val="00446641"/>
    <w:pPr>
      <w:autoSpaceDE w:val="0"/>
      <w:autoSpaceDN w:val="0"/>
      <w:adjustRightInd w:val="0"/>
      <w:spacing w:line="241" w:lineRule="atLeast"/>
    </w:pPr>
    <w:rPr>
      <w:rFonts w:ascii="Palatino Linotype" w:eastAsiaTheme="minorHAnsi" w:hAnsi="Palatino Linotype" w:cstheme="minorBidi"/>
      <w:lang w:eastAsia="en-US"/>
    </w:rPr>
  </w:style>
  <w:style w:type="paragraph" w:customStyle="1" w:styleId="Default">
    <w:name w:val="Default"/>
    <w:rsid w:val="00F8386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Pa2">
    <w:name w:val="Pa2"/>
    <w:basedOn w:val="Default"/>
    <w:next w:val="Default"/>
    <w:uiPriority w:val="99"/>
    <w:rsid w:val="00F83863"/>
    <w:pPr>
      <w:spacing w:line="231" w:lineRule="atLeast"/>
    </w:pPr>
    <w:rPr>
      <w:rFonts w:cstheme="minorBidi"/>
      <w:color w:val="auto"/>
    </w:rPr>
  </w:style>
  <w:style w:type="paragraph" w:customStyle="1" w:styleId="Pa4">
    <w:name w:val="Pa4"/>
    <w:basedOn w:val="Default"/>
    <w:next w:val="Default"/>
    <w:uiPriority w:val="99"/>
    <w:rsid w:val="00F83863"/>
    <w:pPr>
      <w:spacing w:line="231" w:lineRule="atLeast"/>
    </w:pPr>
    <w:rPr>
      <w:rFonts w:cstheme="minorBidi"/>
      <w:color w:val="auto"/>
    </w:rPr>
  </w:style>
  <w:style w:type="paragraph" w:customStyle="1" w:styleId="Pa5">
    <w:name w:val="Pa5"/>
    <w:basedOn w:val="Default"/>
    <w:next w:val="Default"/>
    <w:uiPriority w:val="99"/>
    <w:rsid w:val="00F83863"/>
    <w:pPr>
      <w:spacing w:line="231" w:lineRule="atLeast"/>
    </w:pPr>
    <w:rPr>
      <w:rFonts w:cstheme="minorBidi"/>
      <w:color w:val="auto"/>
    </w:rPr>
  </w:style>
  <w:style w:type="paragraph" w:styleId="BalloonText">
    <w:name w:val="Balloon Text"/>
    <w:basedOn w:val="Normal"/>
    <w:link w:val="BalloonTextChar"/>
    <w:uiPriority w:val="99"/>
    <w:semiHidden/>
    <w:unhideWhenUsed/>
    <w:rsid w:val="008E7A2A"/>
    <w:rPr>
      <w:rFonts w:ascii="Tahoma" w:hAnsi="Tahoma" w:cs="Tahoma"/>
      <w:sz w:val="16"/>
      <w:szCs w:val="16"/>
    </w:rPr>
  </w:style>
  <w:style w:type="character" w:customStyle="1" w:styleId="BalloonTextChar">
    <w:name w:val="Balloon Text Char"/>
    <w:basedOn w:val="DefaultParagraphFont"/>
    <w:link w:val="BalloonText"/>
    <w:uiPriority w:val="99"/>
    <w:semiHidden/>
    <w:rsid w:val="008E7A2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64540F"/>
    <w:rPr>
      <w:sz w:val="16"/>
      <w:szCs w:val="16"/>
    </w:rPr>
  </w:style>
  <w:style w:type="paragraph" w:styleId="CommentText">
    <w:name w:val="annotation text"/>
    <w:basedOn w:val="Normal"/>
    <w:link w:val="CommentTextChar"/>
    <w:uiPriority w:val="99"/>
    <w:semiHidden/>
    <w:unhideWhenUsed/>
    <w:rsid w:val="0064540F"/>
    <w:rPr>
      <w:sz w:val="20"/>
      <w:szCs w:val="20"/>
    </w:rPr>
  </w:style>
  <w:style w:type="character" w:customStyle="1" w:styleId="CommentTextChar">
    <w:name w:val="Comment Text Char"/>
    <w:basedOn w:val="DefaultParagraphFont"/>
    <w:link w:val="CommentText"/>
    <w:uiPriority w:val="99"/>
    <w:semiHidden/>
    <w:rsid w:val="0064540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4540F"/>
    <w:rPr>
      <w:b/>
      <w:bCs/>
    </w:rPr>
  </w:style>
  <w:style w:type="character" w:customStyle="1" w:styleId="CommentSubjectChar">
    <w:name w:val="Comment Subject Char"/>
    <w:basedOn w:val="CommentTextChar"/>
    <w:link w:val="CommentSubject"/>
    <w:uiPriority w:val="99"/>
    <w:semiHidden/>
    <w:rsid w:val="0064540F"/>
    <w:rPr>
      <w:rFonts w:ascii="Times New Roman" w:eastAsia="Times New Roman" w:hAnsi="Times New Roman" w:cs="Times New Roman"/>
      <w:b/>
      <w:bCs/>
      <w:sz w:val="20"/>
      <w:szCs w:val="20"/>
      <w:lang w:eastAsia="en-GB"/>
    </w:rPr>
  </w:style>
  <w:style w:type="paragraph" w:styleId="Revision">
    <w:name w:val="Revision"/>
    <w:hidden/>
    <w:uiPriority w:val="99"/>
    <w:semiHidden/>
    <w:rsid w:val="003B5014"/>
    <w:pPr>
      <w:spacing w:after="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F697B"/>
    <w:pPr>
      <w:tabs>
        <w:tab w:val="center" w:pos="4680"/>
        <w:tab w:val="right" w:pos="9360"/>
      </w:tabs>
    </w:pPr>
  </w:style>
  <w:style w:type="character" w:customStyle="1" w:styleId="HeaderChar">
    <w:name w:val="Header Char"/>
    <w:basedOn w:val="DefaultParagraphFont"/>
    <w:link w:val="Header"/>
    <w:uiPriority w:val="99"/>
    <w:rsid w:val="00FF697B"/>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FF697B"/>
    <w:pPr>
      <w:tabs>
        <w:tab w:val="center" w:pos="4680"/>
        <w:tab w:val="right" w:pos="9360"/>
      </w:tabs>
    </w:pPr>
  </w:style>
  <w:style w:type="character" w:customStyle="1" w:styleId="FooterChar">
    <w:name w:val="Footer Char"/>
    <w:basedOn w:val="DefaultParagraphFont"/>
    <w:link w:val="Footer"/>
    <w:uiPriority w:val="99"/>
    <w:rsid w:val="00FF697B"/>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42473-FDD9-4AA3-9650-E89F88F61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1787</Words>
  <Characters>10191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RIVERA Maria</dc:creator>
  <cp:lastModifiedBy>Ramsar\JenningsE</cp:lastModifiedBy>
  <cp:revision>2</cp:revision>
  <cp:lastPrinted>2014-10-10T15:34:00Z</cp:lastPrinted>
  <dcterms:created xsi:type="dcterms:W3CDTF">2015-03-02T11:32:00Z</dcterms:created>
  <dcterms:modified xsi:type="dcterms:W3CDTF">2015-03-02T11:32:00Z</dcterms:modified>
</cp:coreProperties>
</file>