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3801" w14:textId="39F02E38" w:rsidR="00467AA0" w:rsidRPr="00FA02E1" w:rsidRDefault="00467AA0" w:rsidP="00F33098">
      <w:pPr>
        <w:spacing w:after="0" w:line="240" w:lineRule="auto"/>
        <w:rPr>
          <w:rFonts w:asciiTheme="majorHAnsi" w:hAnsiTheme="majorHAnsi"/>
          <w:b/>
          <w:sz w:val="24"/>
          <w:szCs w:val="24"/>
          <w:lang w:val="fr-CA"/>
        </w:rPr>
      </w:pPr>
      <w:bookmarkStart w:id="0" w:name="_GoBack"/>
      <w:bookmarkEnd w:id="0"/>
      <w:r w:rsidRPr="00FA02E1">
        <w:rPr>
          <w:rFonts w:asciiTheme="majorHAnsi" w:hAnsiTheme="majorHAnsi"/>
          <w:b/>
          <w:sz w:val="24"/>
          <w:szCs w:val="24"/>
          <w:lang w:val="fr-CA"/>
        </w:rPr>
        <w:t>Annex</w:t>
      </w:r>
      <w:r w:rsidR="00100356" w:rsidRPr="00FA02E1">
        <w:rPr>
          <w:rFonts w:asciiTheme="majorHAnsi" w:hAnsiTheme="majorHAnsi"/>
          <w:b/>
          <w:sz w:val="24"/>
          <w:szCs w:val="24"/>
          <w:lang w:val="fr-CA"/>
        </w:rPr>
        <w:t>e</w:t>
      </w:r>
      <w:r w:rsidRPr="00FA02E1">
        <w:rPr>
          <w:rFonts w:asciiTheme="majorHAnsi" w:hAnsiTheme="majorHAnsi"/>
          <w:b/>
          <w:sz w:val="24"/>
          <w:szCs w:val="24"/>
          <w:lang w:val="fr-CA"/>
        </w:rPr>
        <w:t xml:space="preserve"> 2</w:t>
      </w:r>
    </w:p>
    <w:p w14:paraId="24C9D247" w14:textId="7F0A6509" w:rsidR="00BF284D" w:rsidRPr="00FA02E1" w:rsidRDefault="00BF284D" w:rsidP="00F33098">
      <w:pPr>
        <w:pStyle w:val="NoSpacing"/>
        <w:contextualSpacing/>
        <w:rPr>
          <w:rFonts w:asciiTheme="majorHAnsi" w:hAnsiTheme="majorHAnsi" w:cs="Times New Roman"/>
          <w:b/>
          <w:lang w:val="fr-CA"/>
        </w:rPr>
      </w:pPr>
      <w:r w:rsidRPr="00FA02E1">
        <w:rPr>
          <w:rFonts w:asciiTheme="majorHAnsi" w:hAnsiTheme="majorHAnsi" w:cs="Times New Roman"/>
          <w:b/>
          <w:lang w:val="fr-CA"/>
        </w:rPr>
        <w:t>R</w:t>
      </w:r>
      <w:r w:rsidR="00100356" w:rsidRPr="00FA02E1">
        <w:rPr>
          <w:rFonts w:asciiTheme="majorHAnsi" w:hAnsiTheme="majorHAnsi" w:cs="Times New Roman"/>
          <w:b/>
          <w:lang w:val="fr-CA"/>
        </w:rPr>
        <w:t>ap</w:t>
      </w:r>
      <w:r w:rsidRPr="00FA02E1">
        <w:rPr>
          <w:rFonts w:asciiTheme="majorHAnsi" w:hAnsiTheme="majorHAnsi" w:cs="Times New Roman"/>
          <w:b/>
          <w:lang w:val="fr-CA"/>
        </w:rPr>
        <w:t xml:space="preserve">port </w:t>
      </w:r>
      <w:r w:rsidR="00100356" w:rsidRPr="00FA02E1">
        <w:rPr>
          <w:rFonts w:asciiTheme="majorHAnsi" w:hAnsiTheme="majorHAnsi" w:cs="Times New Roman"/>
          <w:b/>
          <w:lang w:val="fr-CA"/>
        </w:rPr>
        <w:t>du Groupe de travail sur la f</w:t>
      </w:r>
      <w:r w:rsidRPr="00FA02E1">
        <w:rPr>
          <w:rFonts w:asciiTheme="majorHAnsi" w:hAnsiTheme="majorHAnsi" w:cs="Times New Roman"/>
          <w:b/>
          <w:lang w:val="fr-CA"/>
        </w:rPr>
        <w:t xml:space="preserve">acilitation </w:t>
      </w:r>
      <w:r w:rsidR="00100356" w:rsidRPr="00FA02E1">
        <w:rPr>
          <w:rFonts w:asciiTheme="majorHAnsi" w:hAnsiTheme="majorHAnsi" w:cs="Times New Roman"/>
          <w:b/>
          <w:lang w:val="fr-CA"/>
        </w:rPr>
        <w:t>à la 54</w:t>
      </w:r>
      <w:r w:rsidR="00100356" w:rsidRPr="00FA02E1">
        <w:rPr>
          <w:rFonts w:asciiTheme="majorHAnsi" w:hAnsiTheme="majorHAnsi" w:cs="Times New Roman"/>
          <w:b/>
          <w:vertAlign w:val="superscript"/>
          <w:lang w:val="fr-CA"/>
        </w:rPr>
        <w:t>e</w:t>
      </w:r>
      <w:r w:rsidR="00100356" w:rsidRPr="00FA02E1">
        <w:rPr>
          <w:rFonts w:asciiTheme="majorHAnsi" w:hAnsiTheme="majorHAnsi" w:cs="Times New Roman"/>
          <w:b/>
          <w:lang w:val="fr-CA"/>
        </w:rPr>
        <w:t xml:space="preserve"> Réunion du Comité permanent</w:t>
      </w:r>
    </w:p>
    <w:p w14:paraId="6D94BBDE" w14:textId="77777777" w:rsidR="00BF284D" w:rsidRPr="00FA02E1" w:rsidRDefault="00BF284D" w:rsidP="00F33098">
      <w:pPr>
        <w:pStyle w:val="NoSpacing"/>
        <w:contextualSpacing/>
        <w:rPr>
          <w:rFonts w:asciiTheme="majorHAnsi" w:hAnsiTheme="majorHAnsi" w:cs="Times New Roman"/>
          <w:lang w:val="fr-CA"/>
        </w:rPr>
      </w:pPr>
    </w:p>
    <w:p w14:paraId="7DF817D3" w14:textId="0BABF36B" w:rsidR="00BF284D" w:rsidRPr="00FA02E1" w:rsidRDefault="00FA02E1" w:rsidP="00F33098">
      <w:pPr>
        <w:pStyle w:val="NoSpacing"/>
        <w:contextualSpacing/>
        <w:rPr>
          <w:rFonts w:asciiTheme="majorHAnsi" w:hAnsiTheme="majorHAnsi" w:cs="Times New Roman"/>
          <w:lang w:val="fr-CA"/>
        </w:rPr>
      </w:pPr>
      <w:r>
        <w:rPr>
          <w:rFonts w:asciiTheme="majorHAnsi" w:hAnsiTheme="majorHAnsi" w:cs="Times New Roman"/>
          <w:lang w:val="fr-CA"/>
        </w:rPr>
        <w:t>Le Groupe de travail sur la facilitation (GTF), coprésidé par les États</w:t>
      </w:r>
      <w:r>
        <w:rPr>
          <w:rFonts w:asciiTheme="majorHAnsi" w:hAnsiTheme="majorHAnsi" w:cs="Times New Roman"/>
          <w:lang w:val="fr-CA"/>
        </w:rPr>
        <w:noBreakHyphen/>
        <w:t xml:space="preserve">Unis d’Amérique et l’Uruguay, et actuellement composé de représentants de l’Australie, la Colombie, la Finlande, le Japon, le Kenya, la Roumanie, le Sénégal et la Suisse, souhaite remercier le Comité permanent </w:t>
      </w:r>
      <w:r w:rsidR="009C5077">
        <w:rPr>
          <w:rFonts w:asciiTheme="majorHAnsi" w:hAnsiTheme="majorHAnsi" w:cs="Times New Roman"/>
          <w:lang w:val="fr-CA"/>
        </w:rPr>
        <w:t>d’</w:t>
      </w:r>
      <w:r>
        <w:rPr>
          <w:rFonts w:asciiTheme="majorHAnsi" w:hAnsiTheme="majorHAnsi" w:cs="Times New Roman"/>
          <w:lang w:val="fr-CA"/>
        </w:rPr>
        <w:t xml:space="preserve">avoir permis au groupe de travailler au nom des Parties </w:t>
      </w:r>
      <w:r w:rsidR="009C5077">
        <w:rPr>
          <w:rFonts w:asciiTheme="majorHAnsi" w:hAnsiTheme="majorHAnsi" w:cs="Times New Roman"/>
          <w:lang w:val="fr-CA"/>
        </w:rPr>
        <w:t>pour</w:t>
      </w:r>
      <w:r>
        <w:rPr>
          <w:rFonts w:asciiTheme="majorHAnsi" w:hAnsiTheme="majorHAnsi" w:cs="Times New Roman"/>
          <w:lang w:val="fr-CA"/>
        </w:rPr>
        <w:t xml:space="preserve"> explorer </w:t>
      </w:r>
      <w:r w:rsidR="009C5077">
        <w:rPr>
          <w:rFonts w:asciiTheme="majorHAnsi" w:hAnsiTheme="majorHAnsi" w:cs="Times New Roman"/>
          <w:lang w:val="fr-CA"/>
        </w:rPr>
        <w:t>l</w:t>
      </w:r>
      <w:r>
        <w:rPr>
          <w:rFonts w:asciiTheme="majorHAnsi" w:hAnsiTheme="majorHAnsi" w:cs="Times New Roman"/>
          <w:lang w:val="fr-CA"/>
        </w:rPr>
        <w:t>es moyens d’améliorer l’efficacité de la structure de gouvernance de la Convention de Ramsar et du fonctionnement de son Secrétariat. Les co</w:t>
      </w:r>
      <w:r w:rsidR="00EC0B03">
        <w:rPr>
          <w:rFonts w:asciiTheme="majorHAnsi" w:hAnsiTheme="majorHAnsi" w:cs="Times New Roman"/>
          <w:lang w:val="fr-CA"/>
        </w:rPr>
        <w:t>p</w:t>
      </w:r>
      <w:r>
        <w:rPr>
          <w:rFonts w:asciiTheme="majorHAnsi" w:hAnsiTheme="majorHAnsi" w:cs="Times New Roman"/>
          <w:lang w:val="fr-CA"/>
        </w:rPr>
        <w:t xml:space="preserve">résidents souhaitent aussi remercier les membres du GTF pour leur participation active et leurs contributions avisées tout au long du travail intersession du groupe, ainsi que la Secrétaire générale qui a </w:t>
      </w:r>
      <w:r w:rsidR="009C5077">
        <w:rPr>
          <w:rFonts w:asciiTheme="majorHAnsi" w:hAnsiTheme="majorHAnsi" w:cs="Times New Roman"/>
          <w:lang w:val="fr-CA"/>
        </w:rPr>
        <w:t>continuellement</w:t>
      </w:r>
      <w:r w:rsidR="00F33098">
        <w:rPr>
          <w:rFonts w:asciiTheme="majorHAnsi" w:hAnsiTheme="majorHAnsi" w:cs="Times New Roman"/>
          <w:lang w:val="fr-CA"/>
        </w:rPr>
        <w:t xml:space="preserve"> fourni d</w:t>
      </w:r>
      <w:r>
        <w:rPr>
          <w:rFonts w:asciiTheme="majorHAnsi" w:hAnsiTheme="majorHAnsi" w:cs="Times New Roman"/>
          <w:lang w:val="fr-CA"/>
        </w:rPr>
        <w:t>es informat</w:t>
      </w:r>
      <w:r w:rsidR="009C5077">
        <w:rPr>
          <w:rFonts w:asciiTheme="majorHAnsi" w:hAnsiTheme="majorHAnsi" w:cs="Times New Roman"/>
          <w:lang w:val="fr-CA"/>
        </w:rPr>
        <w:t>ions pertinentes pour soutenir l</w:t>
      </w:r>
      <w:r>
        <w:rPr>
          <w:rFonts w:asciiTheme="majorHAnsi" w:hAnsiTheme="majorHAnsi" w:cs="Times New Roman"/>
          <w:lang w:val="fr-CA"/>
        </w:rPr>
        <w:t>es travaux</w:t>
      </w:r>
      <w:r w:rsidR="009C5077">
        <w:rPr>
          <w:rFonts w:asciiTheme="majorHAnsi" w:hAnsiTheme="majorHAnsi" w:cs="Times New Roman"/>
          <w:lang w:val="fr-CA"/>
        </w:rPr>
        <w:t xml:space="preserve"> du Groupe</w:t>
      </w:r>
      <w:r>
        <w:rPr>
          <w:rFonts w:asciiTheme="majorHAnsi" w:hAnsiTheme="majorHAnsi" w:cs="Times New Roman"/>
          <w:lang w:val="fr-CA"/>
        </w:rPr>
        <w:t>.</w:t>
      </w:r>
    </w:p>
    <w:p w14:paraId="31B6F450" w14:textId="77777777" w:rsidR="00BF284D" w:rsidRPr="00FA02E1" w:rsidRDefault="00BF284D" w:rsidP="00F33098">
      <w:pPr>
        <w:pStyle w:val="NoSpacing"/>
        <w:contextualSpacing/>
        <w:rPr>
          <w:rFonts w:asciiTheme="majorHAnsi" w:hAnsiTheme="majorHAnsi" w:cs="Times New Roman"/>
          <w:lang w:val="fr-CA"/>
        </w:rPr>
      </w:pPr>
    </w:p>
    <w:p w14:paraId="52C761E0" w14:textId="4300C696" w:rsidR="00BF284D" w:rsidRPr="00FA02E1" w:rsidRDefault="00FA02E1" w:rsidP="00F33098">
      <w:pPr>
        <w:pStyle w:val="NoSpacing"/>
        <w:contextualSpacing/>
        <w:rPr>
          <w:rFonts w:asciiTheme="majorHAnsi" w:hAnsiTheme="majorHAnsi" w:cs="Times New Roman"/>
          <w:lang w:val="fr-CA"/>
        </w:rPr>
      </w:pPr>
      <w:r>
        <w:rPr>
          <w:rFonts w:asciiTheme="majorHAnsi" w:hAnsiTheme="majorHAnsi" w:cs="Times New Roman"/>
          <w:lang w:val="fr-CA"/>
        </w:rPr>
        <w:t>À sa 53</w:t>
      </w:r>
      <w:r w:rsidRPr="00FA02E1">
        <w:rPr>
          <w:rFonts w:asciiTheme="majorHAnsi" w:hAnsiTheme="majorHAnsi" w:cs="Times New Roman"/>
          <w:vertAlign w:val="superscript"/>
          <w:lang w:val="fr-CA"/>
        </w:rPr>
        <w:t>e</w:t>
      </w:r>
      <w:r>
        <w:rPr>
          <w:rFonts w:asciiTheme="majorHAnsi" w:hAnsiTheme="majorHAnsi" w:cs="Times New Roman"/>
          <w:lang w:val="fr-CA"/>
        </w:rPr>
        <w:t> Réunion, le Comité permanent a confié au GTF des tâches additionnelles en matière de communication et de gouvernance.</w:t>
      </w:r>
    </w:p>
    <w:p w14:paraId="4602ACC9" w14:textId="77777777" w:rsidR="00BF284D" w:rsidRPr="00FA02E1" w:rsidRDefault="00BF284D" w:rsidP="00F33098">
      <w:pPr>
        <w:pStyle w:val="NoSpacing"/>
        <w:contextualSpacing/>
        <w:rPr>
          <w:rFonts w:asciiTheme="majorHAnsi" w:hAnsiTheme="majorHAnsi" w:cs="Times New Roman"/>
          <w:lang w:val="fr-CA"/>
        </w:rPr>
      </w:pPr>
    </w:p>
    <w:p w14:paraId="6FAB6FC3" w14:textId="446BF2BA" w:rsidR="00BF284D" w:rsidRPr="00FA02E1" w:rsidRDefault="00FA02E1" w:rsidP="00F33098">
      <w:pPr>
        <w:pStyle w:val="NoSpacing"/>
        <w:contextualSpacing/>
        <w:rPr>
          <w:rFonts w:asciiTheme="majorHAnsi" w:hAnsiTheme="majorHAnsi" w:cs="Times New Roman"/>
          <w:lang w:val="fr-CA"/>
        </w:rPr>
      </w:pPr>
      <w:r>
        <w:rPr>
          <w:rFonts w:asciiTheme="majorHAnsi" w:hAnsiTheme="majorHAnsi" w:cs="Times New Roman"/>
          <w:lang w:val="fr-CA"/>
        </w:rPr>
        <w:t xml:space="preserve">Plusieurs </w:t>
      </w:r>
      <w:r w:rsidR="00BF284D" w:rsidRPr="00FA02E1">
        <w:rPr>
          <w:rFonts w:asciiTheme="majorHAnsi" w:hAnsiTheme="majorHAnsi" w:cs="Times New Roman"/>
          <w:lang w:val="fr-CA"/>
        </w:rPr>
        <w:t xml:space="preserve">Parties </w:t>
      </w:r>
      <w:r>
        <w:rPr>
          <w:rFonts w:asciiTheme="majorHAnsi" w:hAnsiTheme="majorHAnsi" w:cs="Times New Roman"/>
          <w:lang w:val="fr-CA"/>
        </w:rPr>
        <w:t>ont fait des déclarations durant la 53</w:t>
      </w:r>
      <w:r w:rsidRPr="00FA02E1">
        <w:rPr>
          <w:rFonts w:asciiTheme="majorHAnsi" w:hAnsiTheme="majorHAnsi" w:cs="Times New Roman"/>
          <w:vertAlign w:val="superscript"/>
          <w:lang w:val="fr-CA"/>
        </w:rPr>
        <w:t>e</w:t>
      </w:r>
      <w:r>
        <w:rPr>
          <w:rFonts w:asciiTheme="majorHAnsi" w:hAnsiTheme="majorHAnsi" w:cs="Times New Roman"/>
          <w:lang w:val="fr-CA"/>
        </w:rPr>
        <w:t xml:space="preserve"> Réunion du Comité permanent concernant la communication entre le Secrétariat et les Parties et autres interlocuteurs. Une des demandes a été intégrée dans la Décision </w:t>
      </w:r>
      <w:r w:rsidR="00BF284D" w:rsidRPr="00FA02E1">
        <w:rPr>
          <w:rFonts w:asciiTheme="majorHAnsi" w:hAnsiTheme="majorHAnsi" w:cs="Times New Roman"/>
          <w:lang w:val="fr-CA"/>
        </w:rPr>
        <w:t>SC53-23</w:t>
      </w:r>
      <w:r>
        <w:rPr>
          <w:rFonts w:asciiTheme="majorHAnsi" w:hAnsiTheme="majorHAnsi" w:cs="Times New Roman"/>
          <w:lang w:val="fr-CA"/>
        </w:rPr>
        <w:t> </w:t>
      </w:r>
      <w:r w:rsidR="00BF284D" w:rsidRPr="00FA02E1">
        <w:rPr>
          <w:rFonts w:asciiTheme="majorHAnsi" w:hAnsiTheme="majorHAnsi" w:cs="Times New Roman"/>
          <w:lang w:val="fr-CA"/>
        </w:rPr>
        <w:t>:</w:t>
      </w:r>
    </w:p>
    <w:p w14:paraId="1EEB7664" w14:textId="77777777" w:rsidR="00BF284D" w:rsidRPr="00FA02E1" w:rsidRDefault="00BF284D" w:rsidP="00F33098">
      <w:pPr>
        <w:pStyle w:val="NoSpacing"/>
        <w:contextualSpacing/>
        <w:rPr>
          <w:rFonts w:asciiTheme="majorHAnsi" w:hAnsiTheme="majorHAnsi" w:cs="Times New Roman"/>
          <w:lang w:val="fr-CA"/>
        </w:rPr>
      </w:pPr>
    </w:p>
    <w:p w14:paraId="4A299931" w14:textId="7F274986" w:rsidR="00BF284D" w:rsidRPr="00FA02E1" w:rsidRDefault="008A5E5C" w:rsidP="00F33098">
      <w:pPr>
        <w:pStyle w:val="NoSpacing"/>
        <w:contextualSpacing/>
        <w:rPr>
          <w:rFonts w:asciiTheme="majorHAnsi" w:hAnsiTheme="majorHAnsi" w:cs="Times New Roman"/>
          <w:i/>
          <w:lang w:val="fr-CA"/>
        </w:rPr>
      </w:pPr>
      <w:r w:rsidRPr="00FA02E1">
        <w:rPr>
          <w:rFonts w:asciiTheme="majorHAnsi" w:hAnsiTheme="majorHAnsi" w:cs="Times New Roman"/>
          <w:bCs/>
          <w:i/>
          <w:lang w:val="fr-CA"/>
        </w:rPr>
        <w:t>Le Comité permanent approuve le rapport du Groupe de travail sur la facilitation (GTF) et prend note</w:t>
      </w:r>
      <w:r w:rsidR="00FA02E1">
        <w:rPr>
          <w:rFonts w:asciiTheme="majorHAnsi" w:hAnsiTheme="majorHAnsi" w:cs="Times New Roman"/>
          <w:bCs/>
          <w:i/>
          <w:lang w:val="fr-CA"/>
        </w:rPr>
        <w:t> </w:t>
      </w:r>
      <w:r w:rsidRPr="00FA02E1">
        <w:rPr>
          <w:rFonts w:asciiTheme="majorHAnsi" w:hAnsiTheme="majorHAnsi" w:cs="Times New Roman"/>
          <w:bCs/>
          <w:i/>
          <w:lang w:val="fr-CA"/>
        </w:rPr>
        <w:t>:</w:t>
      </w:r>
      <w:r w:rsidR="00FA02E1">
        <w:rPr>
          <w:rFonts w:asciiTheme="majorHAnsi" w:hAnsiTheme="majorHAnsi" w:cs="Times New Roman"/>
          <w:bCs/>
          <w:i/>
          <w:lang w:val="fr-CA"/>
        </w:rPr>
        <w:t xml:space="preserve"> </w:t>
      </w:r>
      <w:r w:rsidR="00BF284D" w:rsidRPr="00FA02E1">
        <w:rPr>
          <w:rFonts w:asciiTheme="majorHAnsi" w:hAnsiTheme="majorHAnsi" w:cs="Times New Roman"/>
          <w:bCs/>
          <w:i/>
          <w:lang w:val="fr-CA"/>
        </w:rPr>
        <w:t>…</w:t>
      </w:r>
      <w:r w:rsidRPr="00FA02E1">
        <w:rPr>
          <w:lang w:val="fr-CA"/>
        </w:rPr>
        <w:t xml:space="preserve"> </w:t>
      </w:r>
      <w:r w:rsidRPr="00FA02E1">
        <w:rPr>
          <w:rFonts w:asciiTheme="majorHAnsi" w:hAnsiTheme="majorHAnsi" w:cs="Times New Roman"/>
          <w:bCs/>
          <w:i/>
          <w:lang w:val="fr-CA"/>
        </w:rPr>
        <w:t>de la demande du GTF de faciliter un éclaircissement du mandat du Secrétariat et des moyens de communication entre le Secrétariat, les Parties contractantes et le public dans le contexte des dossiers article 3.2</w:t>
      </w:r>
      <w:r w:rsidR="00BF284D" w:rsidRPr="00FA02E1">
        <w:rPr>
          <w:rFonts w:asciiTheme="majorHAnsi" w:hAnsiTheme="majorHAnsi" w:cs="Times New Roman"/>
          <w:bCs/>
          <w:i/>
          <w:lang w:val="fr-CA"/>
        </w:rPr>
        <w:t>.</w:t>
      </w:r>
    </w:p>
    <w:p w14:paraId="38E6D5DA" w14:textId="77777777" w:rsidR="00BF284D" w:rsidRPr="00FA02E1" w:rsidRDefault="00BF284D" w:rsidP="00F33098">
      <w:pPr>
        <w:pStyle w:val="NoSpacing"/>
        <w:contextualSpacing/>
        <w:rPr>
          <w:rFonts w:asciiTheme="majorHAnsi" w:hAnsiTheme="majorHAnsi" w:cs="Times New Roman"/>
          <w:lang w:val="fr-CA"/>
        </w:rPr>
      </w:pPr>
    </w:p>
    <w:p w14:paraId="0AA6D900" w14:textId="1B5B34DD" w:rsidR="00BF284D" w:rsidRPr="00FA02E1" w:rsidRDefault="00EC0B03" w:rsidP="00F33098">
      <w:pPr>
        <w:pStyle w:val="NoSpacing"/>
        <w:contextualSpacing/>
        <w:rPr>
          <w:rFonts w:asciiTheme="majorHAnsi" w:hAnsiTheme="majorHAnsi" w:cs="Times New Roman"/>
          <w:lang w:val="fr-CA"/>
        </w:rPr>
      </w:pPr>
      <w:r>
        <w:rPr>
          <w:rFonts w:asciiTheme="majorHAnsi" w:hAnsiTheme="majorHAnsi" w:cs="Times New Roman"/>
          <w:lang w:val="fr-CA"/>
        </w:rPr>
        <w:t xml:space="preserve">En réponse, le GTF a demandé au Secrétariat d’établir des procédures de fonctionnement normalisées (PFN) pour guider la communication avec les Parties, les ONG, les médias et autres groupes extérieurs dans le cadre de différents scénarios et en ce qui concerne les </w:t>
      </w:r>
      <w:r w:rsidR="009C5077">
        <w:rPr>
          <w:rFonts w:asciiTheme="majorHAnsi" w:hAnsiTheme="majorHAnsi" w:cs="Times New Roman"/>
          <w:lang w:val="fr-CA"/>
        </w:rPr>
        <w:t>dossiers</w:t>
      </w:r>
      <w:r>
        <w:rPr>
          <w:rFonts w:asciiTheme="majorHAnsi" w:hAnsiTheme="majorHAnsi" w:cs="Times New Roman"/>
          <w:lang w:val="fr-CA"/>
        </w:rPr>
        <w:t xml:space="preserve"> article 3.2, et d’informer le GTF lorsque les PFN seraient en place. Les PFN devraient aider à garantir une formula</w:t>
      </w:r>
      <w:r w:rsidR="009C5077">
        <w:rPr>
          <w:rFonts w:asciiTheme="majorHAnsi" w:hAnsiTheme="majorHAnsi" w:cs="Times New Roman"/>
          <w:lang w:val="fr-CA"/>
        </w:rPr>
        <w:t>tion</w:t>
      </w:r>
      <w:r>
        <w:rPr>
          <w:rFonts w:asciiTheme="majorHAnsi" w:hAnsiTheme="majorHAnsi" w:cs="Times New Roman"/>
          <w:lang w:val="fr-CA"/>
        </w:rPr>
        <w:t xml:space="preserve"> cohérente des messages, un service opportun et équitable pour les Parties, la transparence, la responsabilité et la protection des informations sensibles tout en aidant à gérer l</w:t>
      </w:r>
      <w:r w:rsidR="009C5077">
        <w:rPr>
          <w:rFonts w:asciiTheme="majorHAnsi" w:hAnsiTheme="majorHAnsi" w:cs="Times New Roman"/>
          <w:lang w:val="fr-CA"/>
        </w:rPr>
        <w:t>es</w:t>
      </w:r>
      <w:r>
        <w:rPr>
          <w:rFonts w:asciiTheme="majorHAnsi" w:hAnsiTheme="majorHAnsi" w:cs="Times New Roman"/>
          <w:lang w:val="fr-CA"/>
        </w:rPr>
        <w:t xml:space="preserve"> tâche</w:t>
      </w:r>
      <w:r w:rsidR="009C5077">
        <w:rPr>
          <w:rFonts w:asciiTheme="majorHAnsi" w:hAnsiTheme="majorHAnsi" w:cs="Times New Roman"/>
          <w:lang w:val="fr-CA"/>
        </w:rPr>
        <w:t>s</w:t>
      </w:r>
      <w:r>
        <w:rPr>
          <w:rFonts w:asciiTheme="majorHAnsi" w:hAnsiTheme="majorHAnsi" w:cs="Times New Roman"/>
          <w:lang w:val="fr-CA"/>
        </w:rPr>
        <w:t xml:space="preserve"> et le flux de travail au sein du Secrétariat. </w:t>
      </w:r>
    </w:p>
    <w:p w14:paraId="3DDF8F72" w14:textId="77777777" w:rsidR="00BF284D" w:rsidRPr="00FA02E1" w:rsidRDefault="00BF284D" w:rsidP="00F33098">
      <w:pPr>
        <w:pStyle w:val="NoSpacing"/>
        <w:contextualSpacing/>
        <w:rPr>
          <w:rFonts w:asciiTheme="majorHAnsi" w:hAnsiTheme="majorHAnsi" w:cs="Times New Roman"/>
          <w:lang w:val="fr-CA"/>
        </w:rPr>
      </w:pPr>
    </w:p>
    <w:p w14:paraId="448ED5F7" w14:textId="3284F97F" w:rsidR="00BF284D" w:rsidRPr="00FA02E1" w:rsidRDefault="00EC0B03" w:rsidP="00F33098">
      <w:pPr>
        <w:pStyle w:val="NoSpacing"/>
        <w:contextualSpacing/>
        <w:rPr>
          <w:rFonts w:asciiTheme="majorHAnsi" w:hAnsiTheme="majorHAnsi" w:cs="Times New Roman"/>
          <w:lang w:val="fr-CA"/>
        </w:rPr>
      </w:pPr>
      <w:r>
        <w:rPr>
          <w:rFonts w:asciiTheme="majorHAnsi" w:hAnsiTheme="majorHAnsi" w:cs="Times New Roman"/>
          <w:lang w:val="fr-CA"/>
        </w:rPr>
        <w:t>En outre, le Comité permanent a décidé d’élargir le mandat d’origine du GTF et lui a demandé de réaliser des travaux additio</w:t>
      </w:r>
      <w:r w:rsidR="00BF284D" w:rsidRPr="00FA02E1">
        <w:rPr>
          <w:rFonts w:asciiTheme="majorHAnsi" w:hAnsiTheme="majorHAnsi" w:cs="Times New Roman"/>
          <w:lang w:val="fr-CA"/>
        </w:rPr>
        <w:t>n</w:t>
      </w:r>
      <w:r>
        <w:rPr>
          <w:rFonts w:asciiTheme="majorHAnsi" w:hAnsiTheme="majorHAnsi" w:cs="Times New Roman"/>
          <w:lang w:val="fr-CA"/>
        </w:rPr>
        <w:t xml:space="preserve">nels, comme indiqué dans la Décision </w:t>
      </w:r>
      <w:r w:rsidR="00BF284D" w:rsidRPr="00FA02E1">
        <w:rPr>
          <w:rFonts w:asciiTheme="majorHAnsi" w:hAnsiTheme="majorHAnsi" w:cs="Times New Roman"/>
          <w:lang w:val="fr-CA"/>
        </w:rPr>
        <w:t>SC53-04</w:t>
      </w:r>
      <w:r>
        <w:rPr>
          <w:rFonts w:asciiTheme="majorHAnsi" w:hAnsiTheme="majorHAnsi" w:cs="Times New Roman"/>
          <w:lang w:val="fr-CA"/>
        </w:rPr>
        <w:t> </w:t>
      </w:r>
      <w:r w:rsidR="00BF284D" w:rsidRPr="00FA02E1">
        <w:rPr>
          <w:rFonts w:asciiTheme="majorHAnsi" w:hAnsiTheme="majorHAnsi" w:cs="Times New Roman"/>
          <w:lang w:val="fr-CA"/>
        </w:rPr>
        <w:t>:</w:t>
      </w:r>
    </w:p>
    <w:p w14:paraId="36B33E7F" w14:textId="77777777" w:rsidR="00BF284D" w:rsidRPr="00FA02E1" w:rsidRDefault="00BF284D" w:rsidP="00F33098">
      <w:pPr>
        <w:pStyle w:val="NoSpacing"/>
        <w:contextualSpacing/>
        <w:rPr>
          <w:rFonts w:asciiTheme="majorHAnsi" w:hAnsiTheme="majorHAnsi" w:cs="Times New Roman"/>
          <w:lang w:val="fr-CA"/>
        </w:rPr>
      </w:pPr>
    </w:p>
    <w:p w14:paraId="157158D8" w14:textId="1C0C938F" w:rsidR="00BF284D" w:rsidRPr="00FA02E1" w:rsidRDefault="008A5E5C" w:rsidP="00F33098">
      <w:pPr>
        <w:pStyle w:val="NoSpacing"/>
        <w:contextualSpacing/>
        <w:rPr>
          <w:rFonts w:asciiTheme="majorHAnsi" w:hAnsiTheme="majorHAnsi" w:cs="Times New Roman"/>
          <w:lang w:val="fr-CA"/>
        </w:rPr>
      </w:pPr>
      <w:r w:rsidRPr="00FA02E1">
        <w:rPr>
          <w:rFonts w:asciiTheme="majorHAnsi" w:hAnsiTheme="majorHAnsi" w:cs="Times New Roman"/>
          <w:i/>
          <w:lang w:val="fr-CA"/>
        </w:rPr>
        <w:t>Le Comité permanent décide d’examiner l’efficacité de la gouvernance de la Convention afin d’optimiser l’utilisation des ressources, d’augmenter les possibilités de discussion des questions stratégiques et de renforcer la participation et la représentation des Parties, ainsi que de proposer les éléments et moyens nécessaires à cet effet. Pour ce faire, il est décidé de prolonger le mandat du Groupe de travail sur la facilitation à participation ouverte. Les résultats de cet examen et toute proposition correspondante seront soumis pour approbation à la prochaine réunion du Comité permanent puis communiqués à la Conférence des Parties pour décision.</w:t>
      </w:r>
    </w:p>
    <w:p w14:paraId="386A0D9E" w14:textId="77777777" w:rsidR="00BF284D" w:rsidRPr="00FA02E1" w:rsidRDefault="00BF284D" w:rsidP="00F33098">
      <w:pPr>
        <w:pStyle w:val="NoSpacing"/>
        <w:contextualSpacing/>
        <w:rPr>
          <w:rFonts w:asciiTheme="majorHAnsi" w:hAnsiTheme="majorHAnsi" w:cs="Times New Roman"/>
          <w:lang w:val="fr-CA"/>
        </w:rPr>
      </w:pPr>
    </w:p>
    <w:p w14:paraId="5799343F" w14:textId="3BF231E1" w:rsidR="00BF284D" w:rsidRPr="00FA02E1" w:rsidRDefault="00EC0B03" w:rsidP="00F33098">
      <w:pPr>
        <w:pStyle w:val="NoSpacing"/>
        <w:contextualSpacing/>
        <w:rPr>
          <w:rFonts w:asciiTheme="majorHAnsi" w:hAnsiTheme="majorHAnsi" w:cs="Times New Roman"/>
          <w:lang w:val="fr-CA"/>
        </w:rPr>
      </w:pPr>
      <w:r>
        <w:rPr>
          <w:rFonts w:asciiTheme="majorHAnsi" w:hAnsiTheme="majorHAnsi" w:cs="Times New Roman"/>
          <w:lang w:val="fr-CA"/>
        </w:rPr>
        <w:t xml:space="preserve">En réponse, le GTF a cherché, dans un premier temps, à identifier des aspects de la gouvernance de la Convention qui fonctionnent bien et tous </w:t>
      </w:r>
      <w:r w:rsidR="009C5077">
        <w:rPr>
          <w:rFonts w:asciiTheme="majorHAnsi" w:hAnsiTheme="majorHAnsi" w:cs="Times New Roman"/>
          <w:lang w:val="fr-CA"/>
        </w:rPr>
        <w:t xml:space="preserve">les </w:t>
      </w:r>
      <w:r>
        <w:rPr>
          <w:rFonts w:asciiTheme="majorHAnsi" w:hAnsiTheme="majorHAnsi" w:cs="Times New Roman"/>
          <w:lang w:val="fr-CA"/>
        </w:rPr>
        <w:t xml:space="preserve">aspects </w:t>
      </w:r>
      <w:r w:rsidR="009C5077">
        <w:rPr>
          <w:rFonts w:asciiTheme="majorHAnsi" w:hAnsiTheme="majorHAnsi" w:cs="Times New Roman"/>
          <w:lang w:val="fr-CA"/>
        </w:rPr>
        <w:t>pouvant être améliorés</w:t>
      </w:r>
      <w:r>
        <w:rPr>
          <w:rFonts w:asciiTheme="majorHAnsi" w:hAnsiTheme="majorHAnsi" w:cs="Times New Roman"/>
          <w:lang w:val="fr-CA"/>
        </w:rPr>
        <w:t xml:space="preserve">. Parmi les questions principales et les thèmes communs exprimés par les membres du GTF, </w:t>
      </w:r>
      <w:r w:rsidR="009C5077">
        <w:rPr>
          <w:rFonts w:asciiTheme="majorHAnsi" w:hAnsiTheme="majorHAnsi" w:cs="Times New Roman"/>
          <w:lang w:val="fr-CA"/>
        </w:rPr>
        <w:t>on peut citer :</w:t>
      </w:r>
      <w:r>
        <w:rPr>
          <w:rFonts w:asciiTheme="majorHAnsi" w:hAnsiTheme="majorHAnsi" w:cs="Times New Roman"/>
          <w:lang w:val="fr-CA"/>
        </w:rPr>
        <w:t xml:space="preserve"> l’amélioration de l’efficacité des organes de la Convention et du Secrétariat en précisant et simplifiant les rôles, les mandats et les structures hiérarchiques; l’optimisation de l’utilisation des ressources financières par </w:t>
      </w:r>
      <w:r w:rsidR="009C5077">
        <w:rPr>
          <w:rFonts w:asciiTheme="majorHAnsi" w:hAnsiTheme="majorHAnsi" w:cs="Times New Roman"/>
          <w:lang w:val="fr-CA"/>
        </w:rPr>
        <w:lastRenderedPageBreak/>
        <w:t xml:space="preserve">l’amélioration de </w:t>
      </w:r>
      <w:r>
        <w:rPr>
          <w:rFonts w:asciiTheme="majorHAnsi" w:hAnsiTheme="majorHAnsi" w:cs="Times New Roman"/>
          <w:lang w:val="fr-CA"/>
        </w:rPr>
        <w:t xml:space="preserve">la transparence, </w:t>
      </w:r>
      <w:r w:rsidR="00F33098">
        <w:rPr>
          <w:rFonts w:asciiTheme="majorHAnsi" w:hAnsiTheme="majorHAnsi" w:cs="Times New Roman"/>
          <w:lang w:val="fr-CA"/>
        </w:rPr>
        <w:t xml:space="preserve">de </w:t>
      </w:r>
      <w:r>
        <w:rPr>
          <w:rFonts w:asciiTheme="majorHAnsi" w:hAnsiTheme="majorHAnsi" w:cs="Times New Roman"/>
          <w:lang w:val="fr-CA"/>
        </w:rPr>
        <w:t xml:space="preserve">la responsabilité et </w:t>
      </w:r>
      <w:r w:rsidR="00F33098">
        <w:rPr>
          <w:rFonts w:asciiTheme="majorHAnsi" w:hAnsiTheme="majorHAnsi" w:cs="Times New Roman"/>
          <w:lang w:val="fr-CA"/>
        </w:rPr>
        <w:t xml:space="preserve">de </w:t>
      </w:r>
      <w:r>
        <w:rPr>
          <w:rFonts w:asciiTheme="majorHAnsi" w:hAnsiTheme="majorHAnsi" w:cs="Times New Roman"/>
          <w:lang w:val="fr-CA"/>
        </w:rPr>
        <w:t>la priorisation</w:t>
      </w:r>
      <w:r w:rsidR="00BF284D" w:rsidRPr="00FA02E1">
        <w:rPr>
          <w:rFonts w:asciiTheme="majorHAnsi" w:hAnsiTheme="majorHAnsi" w:cs="Times New Roman"/>
          <w:lang w:val="fr-CA"/>
        </w:rPr>
        <w:t xml:space="preserve">; </w:t>
      </w:r>
      <w:r>
        <w:rPr>
          <w:rFonts w:asciiTheme="majorHAnsi" w:hAnsiTheme="majorHAnsi" w:cs="Times New Roman"/>
          <w:lang w:val="fr-CA"/>
        </w:rPr>
        <w:t xml:space="preserve">une gestion plus disciplinée du temps et des procédures lors des réunions pour maintenir la </w:t>
      </w:r>
      <w:r w:rsidR="009C5077">
        <w:rPr>
          <w:rFonts w:asciiTheme="majorHAnsi" w:hAnsiTheme="majorHAnsi" w:cs="Times New Roman"/>
          <w:lang w:val="fr-CA"/>
        </w:rPr>
        <w:t>focalisation</w:t>
      </w:r>
      <w:r>
        <w:rPr>
          <w:rFonts w:asciiTheme="majorHAnsi" w:hAnsiTheme="majorHAnsi" w:cs="Times New Roman"/>
          <w:lang w:val="fr-CA"/>
        </w:rPr>
        <w:t xml:space="preserve"> sur les points de l’ordre du jour et </w:t>
      </w:r>
      <w:r w:rsidR="009C5077">
        <w:rPr>
          <w:rFonts w:asciiTheme="majorHAnsi" w:hAnsiTheme="majorHAnsi" w:cs="Times New Roman"/>
          <w:lang w:val="fr-CA"/>
        </w:rPr>
        <w:t xml:space="preserve">laisser </w:t>
      </w:r>
      <w:r>
        <w:rPr>
          <w:rFonts w:asciiTheme="majorHAnsi" w:hAnsiTheme="majorHAnsi" w:cs="Times New Roman"/>
          <w:lang w:val="fr-CA"/>
        </w:rPr>
        <w:t xml:space="preserve">plus de temps à la discussion des questions stratégiques; </w:t>
      </w:r>
      <w:r w:rsidR="009C5077">
        <w:rPr>
          <w:rFonts w:asciiTheme="majorHAnsi" w:hAnsiTheme="majorHAnsi" w:cs="Times New Roman"/>
          <w:lang w:val="fr-CA"/>
        </w:rPr>
        <w:t xml:space="preserve">l’utilisation de la </w:t>
      </w:r>
      <w:r>
        <w:rPr>
          <w:rFonts w:asciiTheme="majorHAnsi" w:hAnsiTheme="majorHAnsi" w:cs="Times New Roman"/>
          <w:lang w:val="fr-CA"/>
        </w:rPr>
        <w:t xml:space="preserve">technologie et l’exploration de moyens novateurs à faible coût pour </w:t>
      </w:r>
      <w:r w:rsidR="009C5077">
        <w:rPr>
          <w:rFonts w:asciiTheme="majorHAnsi" w:hAnsiTheme="majorHAnsi" w:cs="Times New Roman"/>
          <w:lang w:val="fr-CA"/>
        </w:rPr>
        <w:t>donner</w:t>
      </w:r>
      <w:r>
        <w:rPr>
          <w:rFonts w:asciiTheme="majorHAnsi" w:hAnsiTheme="majorHAnsi" w:cs="Times New Roman"/>
          <w:lang w:val="fr-CA"/>
        </w:rPr>
        <w:t xml:space="preserve"> aux Parties </w:t>
      </w:r>
      <w:r w:rsidR="009C5077">
        <w:rPr>
          <w:rFonts w:asciiTheme="majorHAnsi" w:hAnsiTheme="majorHAnsi" w:cs="Times New Roman"/>
          <w:lang w:val="fr-CA"/>
        </w:rPr>
        <w:t>plus d’occasions d’interagir</w:t>
      </w:r>
      <w:r>
        <w:rPr>
          <w:rFonts w:asciiTheme="majorHAnsi" w:hAnsiTheme="majorHAnsi" w:cs="Times New Roman"/>
          <w:lang w:val="fr-CA"/>
        </w:rPr>
        <w:t xml:space="preserve"> et de participer. </w:t>
      </w:r>
      <w:r w:rsidR="009C5077">
        <w:rPr>
          <w:rFonts w:asciiTheme="majorHAnsi" w:hAnsiTheme="majorHAnsi" w:cs="Times New Roman"/>
          <w:lang w:val="fr-CA"/>
        </w:rPr>
        <w:t xml:space="preserve">Forts des nombreuses contributions </w:t>
      </w:r>
      <w:r>
        <w:rPr>
          <w:rFonts w:asciiTheme="majorHAnsi" w:hAnsiTheme="majorHAnsi" w:cs="Times New Roman"/>
          <w:lang w:val="fr-CA"/>
        </w:rPr>
        <w:t>des membres du GTF, les coprésidents ont élaboré un ensemble de 14 tâches multi</w:t>
      </w:r>
      <w:r>
        <w:rPr>
          <w:rFonts w:asciiTheme="majorHAnsi" w:hAnsiTheme="majorHAnsi" w:cs="Times New Roman"/>
          <w:lang w:val="fr-CA"/>
        </w:rPr>
        <w:noBreakHyphen/>
        <w:t>étapes distinctes</w:t>
      </w:r>
      <w:r w:rsidR="009C5077">
        <w:rPr>
          <w:rFonts w:asciiTheme="majorHAnsi" w:hAnsiTheme="majorHAnsi" w:cs="Times New Roman"/>
          <w:lang w:val="fr-CA"/>
        </w:rPr>
        <w:t>,</w:t>
      </w:r>
      <w:r>
        <w:rPr>
          <w:rFonts w:asciiTheme="majorHAnsi" w:hAnsiTheme="majorHAnsi" w:cs="Times New Roman"/>
          <w:lang w:val="fr-CA"/>
        </w:rPr>
        <w:t xml:space="preserve"> organisées en trois paniers (optimisation des ressources, questions stratégiques et participation/représentation) que le GTF a acceptées, pour aider le groupe à mieux comprendre </w:t>
      </w:r>
      <w:r w:rsidR="009C5077">
        <w:rPr>
          <w:rFonts w:asciiTheme="majorHAnsi" w:hAnsiTheme="majorHAnsi" w:cs="Times New Roman"/>
          <w:lang w:val="fr-CA"/>
        </w:rPr>
        <w:t>comment</w:t>
      </w:r>
      <w:r>
        <w:rPr>
          <w:rFonts w:asciiTheme="majorHAnsi" w:hAnsiTheme="majorHAnsi" w:cs="Times New Roman"/>
          <w:lang w:val="fr-CA"/>
        </w:rPr>
        <w:t xml:space="preserve"> traiter ces questions. </w:t>
      </w:r>
      <w:r w:rsidR="009C5077">
        <w:rPr>
          <w:rFonts w:asciiTheme="majorHAnsi" w:hAnsiTheme="majorHAnsi" w:cs="Times New Roman"/>
          <w:lang w:val="fr-CA"/>
        </w:rPr>
        <w:t xml:space="preserve">Beaucoup de ces </w:t>
      </w:r>
      <w:r>
        <w:rPr>
          <w:rFonts w:asciiTheme="majorHAnsi" w:hAnsiTheme="majorHAnsi" w:cs="Times New Roman"/>
          <w:lang w:val="fr-CA"/>
        </w:rPr>
        <w:t xml:space="preserve">tâches </w:t>
      </w:r>
      <w:r w:rsidR="009C5077">
        <w:rPr>
          <w:rFonts w:asciiTheme="majorHAnsi" w:hAnsiTheme="majorHAnsi" w:cs="Times New Roman"/>
          <w:lang w:val="fr-CA"/>
        </w:rPr>
        <w:t>ont fait appel aux informations pertinentes fournies par le</w:t>
      </w:r>
      <w:r>
        <w:rPr>
          <w:rFonts w:asciiTheme="majorHAnsi" w:hAnsiTheme="majorHAnsi" w:cs="Times New Roman"/>
          <w:lang w:val="fr-CA"/>
        </w:rPr>
        <w:t xml:space="preserve"> Secrétariat, </w:t>
      </w:r>
      <w:r w:rsidR="009C5077">
        <w:rPr>
          <w:rFonts w:asciiTheme="majorHAnsi" w:hAnsiTheme="majorHAnsi" w:cs="Times New Roman"/>
          <w:lang w:val="fr-CA"/>
        </w:rPr>
        <w:t xml:space="preserve">et supposé la diffusion </w:t>
      </w:r>
      <w:r>
        <w:rPr>
          <w:rFonts w:asciiTheme="majorHAnsi" w:hAnsiTheme="majorHAnsi" w:cs="Times New Roman"/>
          <w:lang w:val="fr-CA"/>
        </w:rPr>
        <w:t xml:space="preserve">de l’information reçue en éléments concrets </w:t>
      </w:r>
      <w:r w:rsidR="00A93F64">
        <w:rPr>
          <w:rFonts w:asciiTheme="majorHAnsi" w:hAnsiTheme="majorHAnsi" w:cs="Times New Roman"/>
          <w:lang w:val="fr-CA"/>
        </w:rPr>
        <w:t xml:space="preserve">et distincts pour </w:t>
      </w:r>
      <w:r>
        <w:rPr>
          <w:rFonts w:asciiTheme="majorHAnsi" w:hAnsiTheme="majorHAnsi" w:cs="Times New Roman"/>
          <w:lang w:val="fr-CA"/>
        </w:rPr>
        <w:t xml:space="preserve">aider les Parties à </w:t>
      </w:r>
      <w:r w:rsidR="00A93F64">
        <w:rPr>
          <w:rFonts w:asciiTheme="majorHAnsi" w:hAnsiTheme="majorHAnsi" w:cs="Times New Roman"/>
          <w:lang w:val="fr-CA"/>
        </w:rPr>
        <w:t>remplir</w:t>
      </w:r>
      <w:r>
        <w:rPr>
          <w:rFonts w:asciiTheme="majorHAnsi" w:hAnsiTheme="majorHAnsi" w:cs="Times New Roman"/>
          <w:lang w:val="fr-CA"/>
        </w:rPr>
        <w:t xml:space="preserve"> leurs objectifs</w:t>
      </w:r>
      <w:r w:rsidR="00A93F64">
        <w:rPr>
          <w:rFonts w:asciiTheme="majorHAnsi" w:hAnsiTheme="majorHAnsi" w:cs="Times New Roman"/>
          <w:lang w:val="fr-CA"/>
        </w:rPr>
        <w:t>;</w:t>
      </w:r>
      <w:r>
        <w:rPr>
          <w:rFonts w:asciiTheme="majorHAnsi" w:hAnsiTheme="majorHAnsi" w:cs="Times New Roman"/>
          <w:lang w:val="fr-CA"/>
        </w:rPr>
        <w:t xml:space="preserve"> plusieurs ont </w:t>
      </w:r>
      <w:r w:rsidR="00A93F64">
        <w:rPr>
          <w:rFonts w:asciiTheme="majorHAnsi" w:hAnsiTheme="majorHAnsi" w:cs="Times New Roman"/>
          <w:lang w:val="fr-CA"/>
        </w:rPr>
        <w:t>abouti</w:t>
      </w:r>
      <w:r>
        <w:rPr>
          <w:rFonts w:asciiTheme="majorHAnsi" w:hAnsiTheme="majorHAnsi" w:cs="Times New Roman"/>
          <w:lang w:val="fr-CA"/>
        </w:rPr>
        <w:t xml:space="preserve"> à la préparation d’un projet de résolution lorsque le GTF </w:t>
      </w:r>
      <w:r w:rsidR="00A93F64">
        <w:rPr>
          <w:rFonts w:asciiTheme="majorHAnsi" w:hAnsiTheme="majorHAnsi" w:cs="Times New Roman"/>
          <w:lang w:val="fr-CA"/>
        </w:rPr>
        <w:t>l’a estimé</w:t>
      </w:r>
      <w:r>
        <w:rPr>
          <w:rFonts w:asciiTheme="majorHAnsi" w:hAnsiTheme="majorHAnsi" w:cs="Times New Roman"/>
          <w:lang w:val="fr-CA"/>
        </w:rPr>
        <w:t xml:space="preserve"> nécessaire. Ce plan de travail exhaustif a donné les résultats suivants : </w:t>
      </w:r>
      <w:r w:rsidR="00BF284D" w:rsidRPr="00FA02E1">
        <w:rPr>
          <w:rFonts w:asciiTheme="majorHAnsi" w:hAnsiTheme="majorHAnsi" w:cs="Times New Roman"/>
          <w:lang w:val="fr-CA"/>
        </w:rPr>
        <w:t xml:space="preserve">  </w:t>
      </w:r>
    </w:p>
    <w:p w14:paraId="2B764A87" w14:textId="77777777" w:rsidR="00BF284D" w:rsidRPr="00FA02E1" w:rsidRDefault="00BF284D" w:rsidP="00F33098">
      <w:pPr>
        <w:pStyle w:val="NoSpacing"/>
        <w:contextualSpacing/>
        <w:rPr>
          <w:rFonts w:asciiTheme="majorHAnsi" w:hAnsiTheme="majorHAnsi" w:cs="Times New Roman"/>
          <w:lang w:val="fr-CA"/>
        </w:rPr>
      </w:pPr>
    </w:p>
    <w:p w14:paraId="7415D742" w14:textId="530E83C1" w:rsidR="00BF284D" w:rsidRPr="00FA02E1" w:rsidRDefault="00F33098" w:rsidP="00F33098">
      <w:pPr>
        <w:pStyle w:val="NoSpacing"/>
        <w:numPr>
          <w:ilvl w:val="0"/>
          <w:numId w:val="25"/>
        </w:numPr>
        <w:contextualSpacing/>
        <w:rPr>
          <w:rFonts w:asciiTheme="majorHAnsi" w:hAnsiTheme="majorHAnsi" w:cs="Times New Roman"/>
          <w:lang w:val="fr-CA"/>
        </w:rPr>
      </w:pPr>
      <w:r>
        <w:rPr>
          <w:rFonts w:asciiTheme="majorHAnsi" w:hAnsiTheme="majorHAnsi" w:cs="Times New Roman"/>
          <w:lang w:val="fr-CA"/>
        </w:rPr>
        <w:t>Un texte de p</w:t>
      </w:r>
      <w:r w:rsidR="009D7F92" w:rsidRPr="00DD06CF">
        <w:rPr>
          <w:rFonts w:asciiTheme="majorHAnsi" w:hAnsiTheme="majorHAnsi" w:cs="Times New Roman"/>
          <w:lang w:val="fr-CA"/>
        </w:rPr>
        <w:t>rojet de résolution</w:t>
      </w:r>
      <w:r w:rsidR="009D7F92" w:rsidRPr="00FA02E1">
        <w:rPr>
          <w:rFonts w:asciiTheme="majorHAnsi" w:hAnsiTheme="majorHAnsi" w:cs="Times New Roman"/>
          <w:lang w:val="fr-CA"/>
        </w:rPr>
        <w:t xml:space="preserve"> sur le renforcement de l’efficacité de la Convention de Ramsar </w:t>
      </w:r>
      <w:r w:rsidR="00F90406">
        <w:rPr>
          <w:rFonts w:asciiTheme="majorHAnsi" w:hAnsiTheme="majorHAnsi" w:cs="Times New Roman"/>
          <w:lang w:val="fr-CA"/>
        </w:rPr>
        <w:t>pour éclaircir</w:t>
      </w:r>
      <w:r w:rsidR="00A93F64">
        <w:rPr>
          <w:rFonts w:asciiTheme="majorHAnsi" w:hAnsiTheme="majorHAnsi" w:cs="Times New Roman"/>
          <w:lang w:val="fr-CA"/>
        </w:rPr>
        <w:t xml:space="preserve"> le rôle</w:t>
      </w:r>
      <w:r w:rsidR="00F90406">
        <w:rPr>
          <w:rFonts w:asciiTheme="majorHAnsi" w:hAnsiTheme="majorHAnsi" w:cs="Times New Roman"/>
          <w:lang w:val="fr-CA"/>
        </w:rPr>
        <w:t xml:space="preserve"> et simplifier les groupes de travail (que l’on trouve dans le document </w:t>
      </w:r>
      <w:r w:rsidR="00A93F64">
        <w:rPr>
          <w:rFonts w:asciiTheme="majorHAnsi" w:hAnsiTheme="majorHAnsi" w:cs="Times New Roman"/>
          <w:lang w:val="fr-CA"/>
        </w:rPr>
        <w:t xml:space="preserve">Doc. </w:t>
      </w:r>
      <w:r w:rsidR="00BF284D" w:rsidRPr="00FA02E1">
        <w:rPr>
          <w:rFonts w:asciiTheme="majorHAnsi" w:hAnsiTheme="majorHAnsi" w:cs="Times New Roman"/>
          <w:lang w:val="fr-CA"/>
        </w:rPr>
        <w:t xml:space="preserve">SC54-09 </w:t>
      </w:r>
      <w:r w:rsidR="009D7F92" w:rsidRPr="00FA02E1">
        <w:rPr>
          <w:rFonts w:asciiTheme="majorHAnsi" w:hAnsiTheme="majorHAnsi" w:cs="Times New Roman"/>
          <w:lang w:val="fr-CA"/>
        </w:rPr>
        <w:t>Projet de résolution sur le renforcement de l’efficacité de la Convention de Ramsar</w:t>
      </w:r>
      <w:r w:rsidR="00BF284D" w:rsidRPr="00FA02E1">
        <w:rPr>
          <w:rFonts w:asciiTheme="majorHAnsi" w:hAnsiTheme="majorHAnsi" w:cs="Times New Roman"/>
          <w:lang w:val="fr-CA"/>
        </w:rPr>
        <w:t>).</w:t>
      </w:r>
    </w:p>
    <w:p w14:paraId="04F0045A" w14:textId="1522DE76" w:rsidR="00BF284D" w:rsidRPr="00FA02E1" w:rsidRDefault="00F90406" w:rsidP="00F33098">
      <w:pPr>
        <w:pStyle w:val="NoSpacing"/>
        <w:numPr>
          <w:ilvl w:val="0"/>
          <w:numId w:val="25"/>
        </w:numPr>
        <w:contextualSpacing/>
        <w:rPr>
          <w:rFonts w:asciiTheme="majorHAnsi" w:hAnsiTheme="majorHAnsi" w:cs="Times New Roman"/>
          <w:lang w:val="fr-CA"/>
        </w:rPr>
      </w:pPr>
      <w:r>
        <w:rPr>
          <w:rFonts w:asciiTheme="majorHAnsi" w:hAnsiTheme="majorHAnsi" w:cs="Times New Roman"/>
          <w:lang w:val="fr-CA"/>
        </w:rPr>
        <w:t xml:space="preserve">Un texte de projet de résolution sur le retour à des niveaux normaux de supervision par le Comité permanent (que l’on trouve dans le document </w:t>
      </w:r>
      <w:r w:rsidR="00A93F64">
        <w:rPr>
          <w:rFonts w:asciiTheme="majorHAnsi" w:hAnsiTheme="majorHAnsi" w:cs="Times New Roman"/>
          <w:lang w:val="fr-CA"/>
        </w:rPr>
        <w:t xml:space="preserve">Doc. </w:t>
      </w:r>
      <w:r w:rsidR="00BF284D" w:rsidRPr="00FA02E1">
        <w:rPr>
          <w:rFonts w:asciiTheme="majorHAnsi" w:hAnsiTheme="majorHAnsi" w:cs="Times New Roman"/>
          <w:lang w:val="fr-CA"/>
        </w:rPr>
        <w:t xml:space="preserve">SC54-10 </w:t>
      </w:r>
      <w:r>
        <w:rPr>
          <w:rFonts w:asciiTheme="majorHAnsi" w:hAnsiTheme="majorHAnsi" w:cs="Times New Roman"/>
          <w:lang w:val="fr-CA"/>
        </w:rPr>
        <w:t xml:space="preserve">Projet de résolution sur les responsabilités, les rôles et la composition du Comité permanent et les catégories régionales de pays dans le cadre de la Convention de Ramsar sur les zones humides). </w:t>
      </w:r>
    </w:p>
    <w:p w14:paraId="06E3B077" w14:textId="3BF12CF2" w:rsidR="00BF284D" w:rsidRPr="00FA02E1" w:rsidRDefault="00F90406" w:rsidP="00F33098">
      <w:pPr>
        <w:pStyle w:val="NoSpacing"/>
        <w:numPr>
          <w:ilvl w:val="0"/>
          <w:numId w:val="25"/>
        </w:numPr>
        <w:contextualSpacing/>
        <w:rPr>
          <w:rFonts w:asciiTheme="majorHAnsi" w:hAnsiTheme="majorHAnsi" w:cs="Times New Roman"/>
          <w:lang w:val="fr-CA"/>
        </w:rPr>
      </w:pPr>
      <w:r>
        <w:rPr>
          <w:rFonts w:asciiTheme="majorHAnsi" w:hAnsiTheme="majorHAnsi"/>
          <w:lang w:val="fr-CA"/>
        </w:rPr>
        <w:t xml:space="preserve">Un texte </w:t>
      </w:r>
      <w:r w:rsidR="00DD06CF">
        <w:rPr>
          <w:rFonts w:asciiTheme="majorHAnsi" w:hAnsiTheme="majorHAnsi"/>
          <w:lang w:val="fr-CA"/>
        </w:rPr>
        <w:t>de projet de résolution sur l’amélioration de la participation réelle des Parties au Comité permanent (qui sera proposé à la 54</w:t>
      </w:r>
      <w:r w:rsidR="00DD06CF" w:rsidRPr="00DD06CF">
        <w:rPr>
          <w:rFonts w:asciiTheme="majorHAnsi" w:hAnsiTheme="majorHAnsi"/>
          <w:vertAlign w:val="superscript"/>
          <w:lang w:val="fr-CA"/>
        </w:rPr>
        <w:t>e</w:t>
      </w:r>
      <w:r w:rsidR="00DD06CF">
        <w:rPr>
          <w:rFonts w:asciiTheme="majorHAnsi" w:hAnsiTheme="majorHAnsi"/>
          <w:lang w:val="fr-CA"/>
        </w:rPr>
        <w:t xml:space="preserve"> Réunion du Comité permanent pour </w:t>
      </w:r>
      <w:r w:rsidR="00A93F64">
        <w:rPr>
          <w:rFonts w:asciiTheme="majorHAnsi" w:hAnsiTheme="majorHAnsi"/>
          <w:lang w:val="fr-CA"/>
        </w:rPr>
        <w:t>intégration</w:t>
      </w:r>
      <w:r w:rsidR="00DD06CF">
        <w:rPr>
          <w:rFonts w:asciiTheme="majorHAnsi" w:hAnsiTheme="majorHAnsi"/>
          <w:lang w:val="fr-CA"/>
        </w:rPr>
        <w:t xml:space="preserve"> dans le projet de résolution </w:t>
      </w:r>
      <w:r w:rsidR="00A93F64">
        <w:rPr>
          <w:rFonts w:asciiTheme="majorHAnsi" w:hAnsiTheme="majorHAnsi" w:cs="Times New Roman"/>
          <w:lang w:val="fr-CA"/>
        </w:rPr>
        <w:t xml:space="preserve">Doc. </w:t>
      </w:r>
      <w:r w:rsidR="00BF284D" w:rsidRPr="00FA02E1">
        <w:rPr>
          <w:rFonts w:asciiTheme="majorHAnsi" w:hAnsiTheme="majorHAnsi" w:cs="Times New Roman"/>
          <w:lang w:val="fr-CA"/>
        </w:rPr>
        <w:t>SC54-10)</w:t>
      </w:r>
      <w:r w:rsidR="00BF284D" w:rsidRPr="00FA02E1">
        <w:rPr>
          <w:rFonts w:asciiTheme="majorHAnsi" w:hAnsiTheme="majorHAnsi"/>
          <w:lang w:val="fr-CA"/>
        </w:rPr>
        <w:t>.</w:t>
      </w:r>
    </w:p>
    <w:p w14:paraId="67F56872" w14:textId="75C8F2DA" w:rsidR="00BF284D" w:rsidRPr="00FA02E1" w:rsidRDefault="00DD06CF" w:rsidP="00F33098">
      <w:pPr>
        <w:pStyle w:val="NoSpacing"/>
        <w:numPr>
          <w:ilvl w:val="0"/>
          <w:numId w:val="25"/>
        </w:numPr>
        <w:contextualSpacing/>
        <w:rPr>
          <w:rFonts w:asciiTheme="majorHAnsi" w:hAnsiTheme="majorHAnsi" w:cs="Times New Roman"/>
          <w:lang w:val="fr-CA"/>
        </w:rPr>
      </w:pPr>
      <w:r>
        <w:rPr>
          <w:rFonts w:asciiTheme="majorHAnsi" w:hAnsiTheme="majorHAnsi" w:cs="Times New Roman"/>
          <w:lang w:val="fr-CA"/>
        </w:rPr>
        <w:t xml:space="preserve">Un texte de projet de résolution sur l’examen du règlement intérieur, la révision et éventuellement </w:t>
      </w:r>
      <w:r w:rsidR="00A93F64">
        <w:rPr>
          <w:rFonts w:asciiTheme="majorHAnsi" w:hAnsiTheme="majorHAnsi" w:cs="Times New Roman"/>
          <w:lang w:val="fr-CA"/>
        </w:rPr>
        <w:t>l’abrogation</w:t>
      </w:r>
      <w:r>
        <w:rPr>
          <w:rFonts w:asciiTheme="majorHAnsi" w:hAnsiTheme="majorHAnsi" w:cs="Times New Roman"/>
          <w:lang w:val="fr-CA"/>
        </w:rPr>
        <w:t xml:space="preserve"> de résolutions obsolètes et l’intégration de discussions stratégiques dans les travaux de la Convention (que l’on trouve dans le document </w:t>
      </w:r>
      <w:r w:rsidR="00A93F64">
        <w:rPr>
          <w:rFonts w:asciiTheme="majorHAnsi" w:hAnsiTheme="majorHAnsi" w:cs="Times New Roman"/>
          <w:lang w:val="fr-CA"/>
        </w:rPr>
        <w:t xml:space="preserve">Doc. </w:t>
      </w:r>
      <w:r w:rsidR="00BF284D" w:rsidRPr="00FA02E1">
        <w:rPr>
          <w:rFonts w:asciiTheme="majorHAnsi" w:hAnsiTheme="majorHAnsi" w:cs="Times New Roman"/>
          <w:lang w:val="fr-CA"/>
        </w:rPr>
        <w:t xml:space="preserve">SC54-14 </w:t>
      </w:r>
      <w:r>
        <w:rPr>
          <w:rFonts w:asciiTheme="majorHAnsi" w:hAnsiTheme="majorHAnsi" w:cs="Times New Roman"/>
          <w:lang w:val="fr-CA"/>
        </w:rPr>
        <w:t xml:space="preserve">Projet de résolution sur le renforcement de la visibilité de la Convention et les synergies avec d’autres AME et autres institutions internationales). </w:t>
      </w:r>
    </w:p>
    <w:p w14:paraId="4CB4C57D" w14:textId="5A1EC720" w:rsidR="00BF284D" w:rsidRPr="00FA02E1" w:rsidRDefault="00DD06CF" w:rsidP="00F33098">
      <w:pPr>
        <w:pStyle w:val="NoSpacing"/>
        <w:numPr>
          <w:ilvl w:val="0"/>
          <w:numId w:val="25"/>
        </w:numPr>
        <w:contextualSpacing/>
        <w:rPr>
          <w:rFonts w:asciiTheme="majorHAnsi" w:hAnsiTheme="majorHAnsi" w:cs="Times New Roman"/>
          <w:lang w:val="fr-CA"/>
        </w:rPr>
      </w:pPr>
      <w:r>
        <w:rPr>
          <w:rFonts w:asciiTheme="majorHAnsi" w:hAnsiTheme="majorHAnsi" w:cs="Times New Roman"/>
          <w:lang w:val="fr-CA"/>
        </w:rPr>
        <w:t xml:space="preserve">Un texte de projet de résolution sur les moyens </w:t>
      </w:r>
      <w:r w:rsidR="00F33098">
        <w:rPr>
          <w:rFonts w:asciiTheme="majorHAnsi" w:hAnsiTheme="majorHAnsi" w:cs="Times New Roman"/>
          <w:lang w:val="fr-CA"/>
        </w:rPr>
        <w:t xml:space="preserve">de favoriser </w:t>
      </w:r>
      <w:r w:rsidR="00A93F64">
        <w:rPr>
          <w:rFonts w:asciiTheme="majorHAnsi" w:hAnsiTheme="majorHAnsi" w:cs="Times New Roman"/>
          <w:lang w:val="fr-CA"/>
        </w:rPr>
        <w:t>la spécialisation selon les sujets</w:t>
      </w:r>
      <w:r>
        <w:rPr>
          <w:rFonts w:asciiTheme="majorHAnsi" w:hAnsiTheme="majorHAnsi" w:cs="Times New Roman"/>
          <w:lang w:val="fr-CA"/>
        </w:rPr>
        <w:t xml:space="preserve"> au sein du Secrétariat et sur </w:t>
      </w:r>
      <w:r w:rsidR="00A93F64">
        <w:rPr>
          <w:rFonts w:asciiTheme="majorHAnsi" w:hAnsiTheme="majorHAnsi" w:cs="Times New Roman"/>
          <w:lang w:val="fr-CA"/>
        </w:rPr>
        <w:t>l’utilisation de la</w:t>
      </w:r>
      <w:r>
        <w:rPr>
          <w:rFonts w:asciiTheme="majorHAnsi" w:hAnsiTheme="majorHAnsi" w:cs="Times New Roman"/>
          <w:lang w:val="fr-CA"/>
        </w:rPr>
        <w:t xml:space="preserve"> technologie et les soumissions écrites (proposé à la 54</w:t>
      </w:r>
      <w:r w:rsidRPr="00DD06CF">
        <w:rPr>
          <w:rFonts w:asciiTheme="majorHAnsi" w:hAnsiTheme="majorHAnsi" w:cs="Times New Roman"/>
          <w:vertAlign w:val="superscript"/>
          <w:lang w:val="fr-CA"/>
        </w:rPr>
        <w:t>e</w:t>
      </w:r>
      <w:r>
        <w:rPr>
          <w:rFonts w:asciiTheme="majorHAnsi" w:hAnsiTheme="majorHAnsi" w:cs="Times New Roman"/>
          <w:lang w:val="fr-CA"/>
        </w:rPr>
        <w:t xml:space="preserve"> Réunion du Comité permanent pour </w:t>
      </w:r>
      <w:r w:rsidR="00A93F64">
        <w:rPr>
          <w:rFonts w:asciiTheme="majorHAnsi" w:hAnsiTheme="majorHAnsi" w:cs="Times New Roman"/>
          <w:lang w:val="fr-CA"/>
        </w:rPr>
        <w:t>intégration</w:t>
      </w:r>
      <w:r>
        <w:rPr>
          <w:rFonts w:asciiTheme="majorHAnsi" w:hAnsiTheme="majorHAnsi" w:cs="Times New Roman"/>
          <w:lang w:val="fr-CA"/>
        </w:rPr>
        <w:t xml:space="preserve"> dans le projet de résolution </w:t>
      </w:r>
      <w:r w:rsidR="00A93F64">
        <w:rPr>
          <w:rFonts w:asciiTheme="majorHAnsi" w:hAnsiTheme="majorHAnsi" w:cs="Times New Roman"/>
          <w:lang w:val="fr-CA"/>
        </w:rPr>
        <w:t xml:space="preserve">Doc. </w:t>
      </w:r>
      <w:r>
        <w:rPr>
          <w:rFonts w:asciiTheme="majorHAnsi" w:hAnsiTheme="majorHAnsi" w:cs="Times New Roman"/>
          <w:lang w:val="fr-CA"/>
        </w:rPr>
        <w:t>SC54-14</w:t>
      </w:r>
      <w:r w:rsidR="00BF284D" w:rsidRPr="00FA02E1">
        <w:rPr>
          <w:rFonts w:asciiTheme="majorHAnsi" w:hAnsiTheme="majorHAnsi" w:cs="Times New Roman"/>
          <w:lang w:val="fr-CA"/>
        </w:rPr>
        <w:t>).</w:t>
      </w:r>
    </w:p>
    <w:p w14:paraId="4E0931B6" w14:textId="43E667B8" w:rsidR="00BF284D" w:rsidRPr="00FA02E1" w:rsidRDefault="00DD06CF" w:rsidP="00F33098">
      <w:pPr>
        <w:pStyle w:val="NoSpacing"/>
        <w:numPr>
          <w:ilvl w:val="0"/>
          <w:numId w:val="24"/>
        </w:numPr>
        <w:contextualSpacing/>
        <w:rPr>
          <w:rFonts w:asciiTheme="majorHAnsi" w:hAnsiTheme="majorHAnsi" w:cs="Times New Roman"/>
          <w:lang w:val="fr-CA"/>
        </w:rPr>
      </w:pPr>
      <w:r>
        <w:rPr>
          <w:rFonts w:asciiTheme="majorHAnsi" w:hAnsiTheme="majorHAnsi"/>
          <w:lang w:val="fr-CA"/>
        </w:rPr>
        <w:t xml:space="preserve">Des recommandations au Sous-groupe sur les finances pour examen à sa session suivante concernant des modifications </w:t>
      </w:r>
      <w:r w:rsidR="00A93F64">
        <w:rPr>
          <w:rFonts w:asciiTheme="majorHAnsi" w:hAnsiTheme="majorHAnsi"/>
          <w:lang w:val="fr-CA"/>
        </w:rPr>
        <w:t>éventuelles</w:t>
      </w:r>
      <w:r>
        <w:rPr>
          <w:rFonts w:asciiTheme="majorHAnsi" w:hAnsiTheme="majorHAnsi"/>
          <w:lang w:val="fr-CA"/>
        </w:rPr>
        <w:t xml:space="preserve"> à la structure budgétaire </w:t>
      </w:r>
      <w:r w:rsidR="00A93F64">
        <w:rPr>
          <w:rFonts w:asciiTheme="majorHAnsi" w:hAnsiTheme="majorHAnsi"/>
          <w:lang w:val="fr-CA"/>
        </w:rPr>
        <w:t>en vue de</w:t>
      </w:r>
      <w:r>
        <w:rPr>
          <w:rFonts w:asciiTheme="majorHAnsi" w:hAnsiTheme="majorHAnsi"/>
          <w:lang w:val="fr-CA"/>
        </w:rPr>
        <w:t xml:space="preserve"> renforcer la transparence et la souplesse dans la gestion des fonds par le Secrétariat et </w:t>
      </w:r>
      <w:r w:rsidR="00A93F64">
        <w:rPr>
          <w:rFonts w:asciiTheme="majorHAnsi" w:hAnsiTheme="majorHAnsi"/>
          <w:lang w:val="fr-CA"/>
        </w:rPr>
        <w:t>d’</w:t>
      </w:r>
      <w:r>
        <w:rPr>
          <w:rFonts w:asciiTheme="majorHAnsi" w:hAnsiTheme="majorHAnsi"/>
          <w:lang w:val="fr-CA"/>
        </w:rPr>
        <w:t>améliorer la manière dont les Parties déterminent les priorités budgétaires.</w:t>
      </w:r>
    </w:p>
    <w:p w14:paraId="51C50322" w14:textId="77777777" w:rsidR="00BF284D" w:rsidRPr="00FA02E1" w:rsidRDefault="00BF284D" w:rsidP="00F33098">
      <w:pPr>
        <w:spacing w:after="0" w:line="240" w:lineRule="auto"/>
        <w:contextualSpacing/>
        <w:rPr>
          <w:rFonts w:asciiTheme="majorHAnsi" w:hAnsiTheme="majorHAnsi"/>
          <w:lang w:val="fr-CA"/>
        </w:rPr>
      </w:pPr>
    </w:p>
    <w:p w14:paraId="0E161E66" w14:textId="05A479AE" w:rsidR="00BF284D" w:rsidRPr="00FA02E1" w:rsidRDefault="00DD06CF" w:rsidP="00F33098">
      <w:pPr>
        <w:spacing w:after="0" w:line="240" w:lineRule="auto"/>
        <w:contextualSpacing/>
        <w:rPr>
          <w:rFonts w:asciiTheme="majorHAnsi" w:hAnsiTheme="majorHAnsi"/>
          <w:lang w:val="fr-CA"/>
        </w:rPr>
      </w:pPr>
      <w:r>
        <w:rPr>
          <w:rFonts w:asciiTheme="majorHAnsi" w:hAnsiTheme="majorHAnsi"/>
          <w:lang w:val="fr-CA"/>
        </w:rPr>
        <w:t>E</w:t>
      </w:r>
      <w:r w:rsidR="00BF284D" w:rsidRPr="00FA02E1">
        <w:rPr>
          <w:rFonts w:asciiTheme="majorHAnsi" w:hAnsiTheme="majorHAnsi"/>
          <w:lang w:val="fr-CA"/>
        </w:rPr>
        <w:t xml:space="preserve">n conclusion, </w:t>
      </w:r>
      <w:r w:rsidR="005B44F7">
        <w:rPr>
          <w:rFonts w:asciiTheme="majorHAnsi" w:hAnsiTheme="majorHAnsi"/>
          <w:lang w:val="fr-CA"/>
        </w:rPr>
        <w:t xml:space="preserve">le GTF estime qu’il a répondu aux mandats issus des Décisions </w:t>
      </w:r>
      <w:r w:rsidR="00BF284D" w:rsidRPr="00FA02E1">
        <w:rPr>
          <w:rFonts w:asciiTheme="majorHAnsi" w:hAnsiTheme="majorHAnsi"/>
          <w:lang w:val="fr-CA"/>
        </w:rPr>
        <w:t xml:space="preserve">SC53-04 </w:t>
      </w:r>
      <w:r w:rsidR="005B44F7">
        <w:rPr>
          <w:rFonts w:asciiTheme="majorHAnsi" w:hAnsiTheme="majorHAnsi"/>
          <w:lang w:val="fr-CA"/>
        </w:rPr>
        <w:t>et</w:t>
      </w:r>
      <w:r w:rsidR="00BF284D" w:rsidRPr="00FA02E1">
        <w:rPr>
          <w:rFonts w:asciiTheme="majorHAnsi" w:hAnsiTheme="majorHAnsi"/>
          <w:lang w:val="fr-CA"/>
        </w:rPr>
        <w:t xml:space="preserve"> SC5</w:t>
      </w:r>
      <w:r w:rsidR="00F33098">
        <w:rPr>
          <w:rFonts w:asciiTheme="majorHAnsi" w:hAnsiTheme="majorHAnsi"/>
          <w:lang w:val="fr-CA"/>
        </w:rPr>
        <w:t>3</w:t>
      </w:r>
      <w:r w:rsidR="00BF284D" w:rsidRPr="00FA02E1">
        <w:rPr>
          <w:rFonts w:asciiTheme="majorHAnsi" w:hAnsiTheme="majorHAnsi"/>
          <w:lang w:val="fr-CA"/>
        </w:rPr>
        <w:t xml:space="preserve">-23 </w:t>
      </w:r>
      <w:r w:rsidR="005B44F7">
        <w:rPr>
          <w:rFonts w:asciiTheme="majorHAnsi" w:hAnsiTheme="majorHAnsi"/>
          <w:lang w:val="fr-CA"/>
        </w:rPr>
        <w:t xml:space="preserve">et demande aux membres du Comité permanent leur appui pour le texte </w:t>
      </w:r>
      <w:r w:rsidR="00A93F64">
        <w:rPr>
          <w:rFonts w:asciiTheme="majorHAnsi" w:hAnsiTheme="majorHAnsi"/>
          <w:lang w:val="fr-CA"/>
        </w:rPr>
        <w:t>préparé</w:t>
      </w:r>
      <w:r w:rsidR="005B44F7">
        <w:rPr>
          <w:rFonts w:asciiTheme="majorHAnsi" w:hAnsiTheme="majorHAnsi"/>
          <w:lang w:val="fr-CA"/>
        </w:rPr>
        <w:t xml:space="preserve"> par le GTF, et reste au service des Parties si le Comité permanent considère </w:t>
      </w:r>
      <w:r w:rsidR="00A93F64">
        <w:rPr>
          <w:rFonts w:asciiTheme="majorHAnsi" w:hAnsiTheme="majorHAnsi"/>
          <w:lang w:val="fr-CA"/>
        </w:rPr>
        <w:t>que le GTF pourrait être utile pour</w:t>
      </w:r>
      <w:r w:rsidR="005B44F7">
        <w:rPr>
          <w:rFonts w:asciiTheme="majorHAnsi" w:hAnsiTheme="majorHAnsi"/>
          <w:lang w:val="fr-CA"/>
        </w:rPr>
        <w:t xml:space="preserve"> d’autres questions</w:t>
      </w:r>
      <w:r w:rsidR="00A93F64">
        <w:rPr>
          <w:rFonts w:asciiTheme="majorHAnsi" w:hAnsiTheme="majorHAnsi"/>
          <w:lang w:val="fr-CA"/>
        </w:rPr>
        <w:t>,</w:t>
      </w:r>
      <w:r w:rsidR="005B44F7">
        <w:rPr>
          <w:rFonts w:asciiTheme="majorHAnsi" w:hAnsiTheme="majorHAnsi"/>
          <w:lang w:val="fr-CA"/>
        </w:rPr>
        <w:t xml:space="preserve"> dans l’intérêt futur des Parties. </w:t>
      </w:r>
    </w:p>
    <w:p w14:paraId="0198E9E1" w14:textId="77777777" w:rsidR="00BF284D" w:rsidRPr="00FA02E1" w:rsidRDefault="00BF284D" w:rsidP="00F33098">
      <w:pPr>
        <w:spacing w:after="0" w:line="240" w:lineRule="auto"/>
        <w:contextualSpacing/>
        <w:rPr>
          <w:rFonts w:asciiTheme="majorHAnsi" w:hAnsiTheme="majorHAnsi"/>
          <w:lang w:val="fr-CA"/>
        </w:rPr>
      </w:pPr>
    </w:p>
    <w:p w14:paraId="62510067" w14:textId="53B4B84D" w:rsidR="00BF284D" w:rsidRPr="00FA02E1" w:rsidRDefault="005B44F7" w:rsidP="00F33098">
      <w:pPr>
        <w:pStyle w:val="NoSpacing"/>
        <w:contextualSpacing/>
        <w:rPr>
          <w:rFonts w:asciiTheme="majorHAnsi" w:hAnsiTheme="majorHAnsi" w:cs="Times New Roman"/>
          <w:lang w:val="fr-CA"/>
        </w:rPr>
      </w:pPr>
      <w:r>
        <w:rPr>
          <w:rFonts w:asciiTheme="majorHAnsi" w:hAnsiTheme="majorHAnsi" w:cs="Times New Roman"/>
          <w:lang w:val="fr-CA"/>
        </w:rPr>
        <w:t xml:space="preserve">Le Groupe de travail sur la facilitation recommande </w:t>
      </w:r>
      <w:r w:rsidR="00A93F64">
        <w:rPr>
          <w:rFonts w:asciiTheme="majorHAnsi" w:hAnsiTheme="majorHAnsi" w:cs="Times New Roman"/>
          <w:lang w:val="fr-CA"/>
        </w:rPr>
        <w:t>au</w:t>
      </w:r>
      <w:r>
        <w:rPr>
          <w:rFonts w:asciiTheme="majorHAnsi" w:hAnsiTheme="majorHAnsi" w:cs="Times New Roman"/>
          <w:lang w:val="fr-CA"/>
        </w:rPr>
        <w:t xml:space="preserve"> Comité permanent</w:t>
      </w:r>
      <w:r w:rsidR="002D4671">
        <w:rPr>
          <w:rFonts w:asciiTheme="majorHAnsi" w:hAnsiTheme="majorHAnsi" w:cs="Times New Roman"/>
          <w:lang w:val="fr-CA"/>
        </w:rPr>
        <w:t xml:space="preserve"> </w:t>
      </w:r>
      <w:r>
        <w:rPr>
          <w:rFonts w:asciiTheme="majorHAnsi" w:hAnsiTheme="majorHAnsi" w:cs="Times New Roman"/>
          <w:lang w:val="fr-CA"/>
        </w:rPr>
        <w:t xml:space="preserve">: </w:t>
      </w:r>
    </w:p>
    <w:p w14:paraId="58895AF1" w14:textId="5A6FB3C0" w:rsidR="00BF284D" w:rsidRPr="00FA02E1" w:rsidRDefault="002D4671" w:rsidP="00F33098">
      <w:pPr>
        <w:pStyle w:val="NoSpacing"/>
        <w:numPr>
          <w:ilvl w:val="0"/>
          <w:numId w:val="24"/>
        </w:numPr>
        <w:contextualSpacing/>
        <w:rPr>
          <w:rFonts w:asciiTheme="majorHAnsi" w:hAnsiTheme="majorHAnsi"/>
          <w:lang w:val="fr-CA"/>
        </w:rPr>
      </w:pPr>
      <w:r>
        <w:rPr>
          <w:rFonts w:asciiTheme="majorHAnsi" w:hAnsiTheme="majorHAnsi"/>
          <w:lang w:val="fr-CA"/>
        </w:rPr>
        <w:t xml:space="preserve">de </w:t>
      </w:r>
      <w:r w:rsidR="005B44F7">
        <w:rPr>
          <w:rFonts w:asciiTheme="majorHAnsi" w:hAnsiTheme="majorHAnsi"/>
          <w:lang w:val="fr-CA"/>
        </w:rPr>
        <w:t>pren</w:t>
      </w:r>
      <w:r w:rsidR="00A93F64">
        <w:rPr>
          <w:rFonts w:asciiTheme="majorHAnsi" w:hAnsiTheme="majorHAnsi"/>
          <w:lang w:val="fr-CA"/>
        </w:rPr>
        <w:t>dre</w:t>
      </w:r>
      <w:r w:rsidR="005B44F7">
        <w:rPr>
          <w:rFonts w:asciiTheme="majorHAnsi" w:hAnsiTheme="majorHAnsi"/>
          <w:lang w:val="fr-CA"/>
        </w:rPr>
        <w:t xml:space="preserve"> note </w:t>
      </w:r>
      <w:r>
        <w:rPr>
          <w:rFonts w:asciiTheme="majorHAnsi" w:hAnsiTheme="majorHAnsi"/>
          <w:lang w:val="fr-CA"/>
        </w:rPr>
        <w:t xml:space="preserve">et de se féliciter </w:t>
      </w:r>
      <w:r w:rsidR="005B44F7">
        <w:rPr>
          <w:rFonts w:asciiTheme="majorHAnsi" w:hAnsiTheme="majorHAnsi"/>
          <w:lang w:val="fr-CA"/>
        </w:rPr>
        <w:t xml:space="preserve">des efforts </w:t>
      </w:r>
      <w:r w:rsidR="00A93F64">
        <w:rPr>
          <w:rFonts w:asciiTheme="majorHAnsi" w:hAnsiTheme="majorHAnsi"/>
          <w:lang w:val="fr-CA"/>
        </w:rPr>
        <w:t>déployés par le</w:t>
      </w:r>
      <w:r w:rsidR="005B44F7">
        <w:rPr>
          <w:rFonts w:asciiTheme="majorHAnsi" w:hAnsiTheme="majorHAnsi"/>
          <w:lang w:val="fr-CA"/>
        </w:rPr>
        <w:t xml:space="preserve"> </w:t>
      </w:r>
      <w:r w:rsidR="00A93F64">
        <w:rPr>
          <w:rFonts w:asciiTheme="majorHAnsi" w:hAnsiTheme="majorHAnsi"/>
          <w:lang w:val="fr-CA"/>
        </w:rPr>
        <w:t>G</w:t>
      </w:r>
      <w:r w:rsidR="005B44F7">
        <w:rPr>
          <w:rFonts w:asciiTheme="majorHAnsi" w:hAnsiTheme="majorHAnsi"/>
          <w:lang w:val="fr-CA"/>
        </w:rPr>
        <w:t xml:space="preserve">roupe de travail pour faciliter l’éclaircissement du mandat du Secrétariat et </w:t>
      </w:r>
      <w:r>
        <w:rPr>
          <w:rFonts w:asciiTheme="majorHAnsi" w:hAnsiTheme="majorHAnsi"/>
          <w:lang w:val="fr-CA"/>
        </w:rPr>
        <w:t>d</w:t>
      </w:r>
      <w:r w:rsidR="005B44F7">
        <w:rPr>
          <w:rFonts w:asciiTheme="majorHAnsi" w:hAnsiTheme="majorHAnsi"/>
          <w:lang w:val="fr-CA"/>
        </w:rPr>
        <w:t xml:space="preserve">es moyens de communication entre le Secrétariat, les Parties et le public en réponse à la Décision </w:t>
      </w:r>
      <w:r w:rsidR="00BF284D" w:rsidRPr="00FA02E1">
        <w:rPr>
          <w:rFonts w:asciiTheme="majorHAnsi" w:hAnsiTheme="majorHAnsi"/>
          <w:lang w:val="fr-CA"/>
        </w:rPr>
        <w:t>SC5</w:t>
      </w:r>
      <w:r w:rsidR="00F33098">
        <w:rPr>
          <w:rFonts w:asciiTheme="majorHAnsi" w:hAnsiTheme="majorHAnsi"/>
          <w:lang w:val="fr-CA"/>
        </w:rPr>
        <w:t>3</w:t>
      </w:r>
      <w:r w:rsidR="00BF284D" w:rsidRPr="00FA02E1">
        <w:rPr>
          <w:rFonts w:asciiTheme="majorHAnsi" w:hAnsiTheme="majorHAnsi"/>
          <w:lang w:val="fr-CA"/>
        </w:rPr>
        <w:t>-23</w:t>
      </w:r>
      <w:r w:rsidR="005B44F7">
        <w:rPr>
          <w:rFonts w:asciiTheme="majorHAnsi" w:hAnsiTheme="majorHAnsi"/>
          <w:lang w:val="fr-CA"/>
        </w:rPr>
        <w:t xml:space="preserve">; </w:t>
      </w:r>
    </w:p>
    <w:p w14:paraId="2872A798" w14:textId="2C100808" w:rsidR="00BF284D" w:rsidRPr="00FA02E1" w:rsidRDefault="002D4671" w:rsidP="00F33098">
      <w:pPr>
        <w:pStyle w:val="NoSpacing"/>
        <w:numPr>
          <w:ilvl w:val="0"/>
          <w:numId w:val="24"/>
        </w:numPr>
        <w:contextualSpacing/>
        <w:rPr>
          <w:rFonts w:asciiTheme="majorHAnsi" w:hAnsiTheme="majorHAnsi"/>
          <w:lang w:val="fr-CA"/>
        </w:rPr>
      </w:pPr>
      <w:r>
        <w:rPr>
          <w:rFonts w:asciiTheme="majorHAnsi" w:hAnsiTheme="majorHAnsi"/>
          <w:lang w:val="fr-CA"/>
        </w:rPr>
        <w:t>de prendre note et de se féliciter du</w:t>
      </w:r>
      <w:r w:rsidR="005B44F7">
        <w:rPr>
          <w:rFonts w:asciiTheme="majorHAnsi" w:hAnsiTheme="majorHAnsi"/>
          <w:lang w:val="fr-CA"/>
        </w:rPr>
        <w:t xml:space="preserve"> texte de projet de résolution et autres résultats </w:t>
      </w:r>
      <w:r>
        <w:rPr>
          <w:rFonts w:asciiTheme="majorHAnsi" w:hAnsiTheme="majorHAnsi"/>
          <w:lang w:val="fr-CA"/>
        </w:rPr>
        <w:t>accomplis</w:t>
      </w:r>
      <w:r w:rsidR="005B44F7">
        <w:rPr>
          <w:rFonts w:asciiTheme="majorHAnsi" w:hAnsiTheme="majorHAnsi"/>
          <w:lang w:val="fr-CA"/>
        </w:rPr>
        <w:t xml:space="preserve"> et soumis par le GTF pour optimiser l’utilisation des ressources, créer de nouvelles possibilités </w:t>
      </w:r>
      <w:r w:rsidR="005B44F7">
        <w:rPr>
          <w:rFonts w:asciiTheme="majorHAnsi" w:hAnsiTheme="majorHAnsi"/>
          <w:lang w:val="fr-CA"/>
        </w:rPr>
        <w:lastRenderedPageBreak/>
        <w:t xml:space="preserve">de discussion des questions stratégiques et augmenter la participation et la représentation des Parties en réponse à la Décision </w:t>
      </w:r>
      <w:r w:rsidR="00BF284D" w:rsidRPr="00FA02E1">
        <w:rPr>
          <w:rFonts w:asciiTheme="majorHAnsi" w:hAnsiTheme="majorHAnsi"/>
          <w:lang w:val="fr-CA"/>
        </w:rPr>
        <w:t>SC5</w:t>
      </w:r>
      <w:r w:rsidR="00F33098">
        <w:rPr>
          <w:rFonts w:asciiTheme="majorHAnsi" w:hAnsiTheme="majorHAnsi"/>
          <w:lang w:val="fr-CA"/>
        </w:rPr>
        <w:t>3</w:t>
      </w:r>
      <w:r w:rsidR="00BF284D" w:rsidRPr="00FA02E1">
        <w:rPr>
          <w:rFonts w:asciiTheme="majorHAnsi" w:hAnsiTheme="majorHAnsi"/>
          <w:lang w:val="fr-CA"/>
        </w:rPr>
        <w:t>-04.</w:t>
      </w:r>
    </w:p>
    <w:p w14:paraId="5194361A" w14:textId="77777777" w:rsidR="00BF284D" w:rsidRPr="00FA02E1" w:rsidRDefault="00BF284D" w:rsidP="00F33098">
      <w:pPr>
        <w:pStyle w:val="NoSpacing"/>
        <w:contextualSpacing/>
        <w:rPr>
          <w:rFonts w:asciiTheme="majorHAnsi" w:hAnsiTheme="majorHAnsi"/>
          <w:lang w:val="fr-CA"/>
        </w:rPr>
        <w:sectPr w:rsidR="00BF284D" w:rsidRPr="00FA02E1" w:rsidSect="009C4E5C">
          <w:footerReference w:type="first" r:id="rId8"/>
          <w:type w:val="continuous"/>
          <w:pgSz w:w="12240" w:h="15840" w:code="1"/>
          <w:pgMar w:top="1440" w:right="1440" w:bottom="1440" w:left="1440" w:header="720" w:footer="720" w:gutter="0"/>
          <w:pgNumType w:fmt="numberInDash"/>
          <w:cols w:space="720"/>
          <w:titlePg/>
          <w:docGrid w:linePitch="360"/>
        </w:sectPr>
      </w:pPr>
    </w:p>
    <w:p w14:paraId="56DAF102" w14:textId="77777777" w:rsidR="00BF284D" w:rsidRPr="00FA02E1" w:rsidRDefault="00BF284D" w:rsidP="00F33098">
      <w:pPr>
        <w:spacing w:after="0" w:line="240" w:lineRule="auto"/>
        <w:rPr>
          <w:rFonts w:asciiTheme="majorHAnsi" w:hAnsiTheme="majorHAnsi"/>
          <w:lang w:val="fr-CA"/>
        </w:rPr>
      </w:pPr>
      <w:r w:rsidRPr="00FA02E1">
        <w:rPr>
          <w:rFonts w:asciiTheme="majorHAnsi" w:hAnsiTheme="majorHAnsi"/>
          <w:lang w:val="fr-CA"/>
        </w:rPr>
        <w:lastRenderedPageBreak/>
        <w:br w:type="page"/>
      </w:r>
    </w:p>
    <w:p w14:paraId="3DEC7304" w14:textId="0EC18168" w:rsidR="00BF284D" w:rsidRPr="00FA02E1" w:rsidRDefault="00BF284D" w:rsidP="00F33098">
      <w:pPr>
        <w:pStyle w:val="ListParagraph"/>
        <w:spacing w:after="0" w:line="240" w:lineRule="auto"/>
        <w:ind w:left="0"/>
        <w:jc w:val="center"/>
        <w:rPr>
          <w:rFonts w:asciiTheme="majorHAnsi" w:hAnsiTheme="majorHAnsi"/>
          <w:lang w:val="fr-CA"/>
        </w:rPr>
      </w:pPr>
      <w:r w:rsidRPr="00FA02E1">
        <w:rPr>
          <w:rFonts w:asciiTheme="majorHAnsi" w:hAnsiTheme="majorHAnsi"/>
          <w:lang w:val="fr-CA"/>
        </w:rPr>
        <w:lastRenderedPageBreak/>
        <w:t>ANNEX</w:t>
      </w:r>
      <w:r w:rsidR="008406EB">
        <w:rPr>
          <w:rFonts w:asciiTheme="majorHAnsi" w:hAnsiTheme="majorHAnsi"/>
          <w:lang w:val="fr-CA"/>
        </w:rPr>
        <w:t>E</w:t>
      </w:r>
    </w:p>
    <w:p w14:paraId="6783A47B" w14:textId="77777777" w:rsidR="00BF284D" w:rsidRPr="00FA02E1" w:rsidRDefault="00BF284D" w:rsidP="00F33098">
      <w:pPr>
        <w:pStyle w:val="ListParagraph"/>
        <w:tabs>
          <w:tab w:val="left" w:pos="2685"/>
        </w:tabs>
        <w:spacing w:after="0" w:line="240" w:lineRule="auto"/>
        <w:rPr>
          <w:rFonts w:asciiTheme="majorHAnsi" w:hAnsiTheme="majorHAnsi"/>
          <w:lang w:val="fr-CA"/>
        </w:rPr>
      </w:pPr>
    </w:p>
    <w:tbl>
      <w:tblPr>
        <w:tblStyle w:val="TableGrid"/>
        <w:tblW w:w="9540" w:type="dxa"/>
        <w:tblInd w:w="-5" w:type="dxa"/>
        <w:tblLook w:val="04A0" w:firstRow="1" w:lastRow="0" w:firstColumn="1" w:lastColumn="0" w:noHBand="0" w:noVBand="1"/>
      </w:tblPr>
      <w:tblGrid>
        <w:gridCol w:w="2379"/>
        <w:gridCol w:w="591"/>
        <w:gridCol w:w="6570"/>
      </w:tblGrid>
      <w:tr w:rsidR="00BF284D" w:rsidRPr="00FA02E1" w14:paraId="6FA8CF4D" w14:textId="77777777" w:rsidTr="007142A3">
        <w:trPr>
          <w:trHeight w:val="555"/>
        </w:trPr>
        <w:tc>
          <w:tcPr>
            <w:tcW w:w="9540" w:type="dxa"/>
            <w:gridSpan w:val="3"/>
            <w:noWrap/>
            <w:vAlign w:val="center"/>
          </w:tcPr>
          <w:p w14:paraId="4049F0D4" w14:textId="312F8610" w:rsidR="00BF284D" w:rsidRPr="00FA02E1" w:rsidRDefault="008406EB" w:rsidP="00F33098">
            <w:pPr>
              <w:spacing w:line="240" w:lineRule="auto"/>
              <w:contextualSpacing/>
              <w:jc w:val="center"/>
              <w:rPr>
                <w:rFonts w:asciiTheme="majorHAnsi" w:hAnsiTheme="majorHAnsi"/>
                <w:lang w:val="fr-CA"/>
              </w:rPr>
            </w:pPr>
            <w:r>
              <w:rPr>
                <w:rFonts w:asciiTheme="majorHAnsi" w:hAnsiTheme="majorHAnsi"/>
                <w:lang w:val="fr-CA"/>
              </w:rPr>
              <w:t>Tâches du GTF</w:t>
            </w:r>
          </w:p>
        </w:tc>
      </w:tr>
      <w:tr w:rsidR="00BF284D" w:rsidRPr="00FA02E1" w14:paraId="2D0458B5" w14:textId="77777777" w:rsidTr="007142A3">
        <w:trPr>
          <w:trHeight w:val="421"/>
        </w:trPr>
        <w:tc>
          <w:tcPr>
            <w:tcW w:w="2379" w:type="dxa"/>
            <w:noWrap/>
          </w:tcPr>
          <w:p w14:paraId="3A25B875" w14:textId="5D70DD91"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Th</w:t>
            </w:r>
            <w:r w:rsidR="008406EB">
              <w:rPr>
                <w:rFonts w:asciiTheme="majorHAnsi" w:hAnsiTheme="majorHAnsi"/>
                <w:lang w:val="fr-CA"/>
              </w:rPr>
              <w:t>è</w:t>
            </w:r>
            <w:r w:rsidRPr="00FA02E1">
              <w:rPr>
                <w:rFonts w:asciiTheme="majorHAnsi" w:hAnsiTheme="majorHAnsi"/>
                <w:lang w:val="fr-CA"/>
              </w:rPr>
              <w:t>me</w:t>
            </w:r>
          </w:p>
        </w:tc>
        <w:tc>
          <w:tcPr>
            <w:tcW w:w="591" w:type="dxa"/>
            <w:noWrap/>
          </w:tcPr>
          <w:p w14:paraId="5422212B" w14:textId="309C3284"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N</w:t>
            </w:r>
            <w:r w:rsidR="008406EB" w:rsidRPr="008406EB">
              <w:rPr>
                <w:rFonts w:asciiTheme="majorHAnsi" w:hAnsiTheme="majorHAnsi"/>
                <w:vertAlign w:val="superscript"/>
                <w:lang w:val="fr-CA"/>
              </w:rPr>
              <w:t>o</w:t>
            </w:r>
          </w:p>
        </w:tc>
        <w:tc>
          <w:tcPr>
            <w:tcW w:w="6570" w:type="dxa"/>
          </w:tcPr>
          <w:p w14:paraId="3C5F3F18" w14:textId="1C0F2399" w:rsidR="00BF284D" w:rsidRPr="00FA02E1" w:rsidRDefault="008406EB" w:rsidP="00F33098">
            <w:pPr>
              <w:spacing w:line="240" w:lineRule="auto"/>
              <w:contextualSpacing/>
              <w:rPr>
                <w:rFonts w:asciiTheme="majorHAnsi" w:hAnsiTheme="majorHAnsi"/>
                <w:lang w:val="fr-CA"/>
              </w:rPr>
            </w:pPr>
            <w:r>
              <w:rPr>
                <w:rFonts w:asciiTheme="majorHAnsi" w:hAnsiTheme="majorHAnsi"/>
                <w:lang w:val="fr-CA"/>
              </w:rPr>
              <w:t>Tâche</w:t>
            </w:r>
          </w:p>
        </w:tc>
      </w:tr>
      <w:tr w:rsidR="00BF284D" w:rsidRPr="00F33098" w14:paraId="2F7619B3" w14:textId="77777777" w:rsidTr="00C43150">
        <w:trPr>
          <w:trHeight w:val="1250"/>
        </w:trPr>
        <w:tc>
          <w:tcPr>
            <w:tcW w:w="2379" w:type="dxa"/>
            <w:vMerge w:val="restart"/>
            <w:noWrap/>
            <w:hideMark/>
          </w:tcPr>
          <w:p w14:paraId="1ACBDB31" w14:textId="134F613C" w:rsidR="00BF284D" w:rsidRPr="00FA02E1" w:rsidRDefault="008406EB" w:rsidP="00F33098">
            <w:pPr>
              <w:spacing w:line="240" w:lineRule="auto"/>
              <w:contextualSpacing/>
              <w:rPr>
                <w:rFonts w:asciiTheme="majorHAnsi" w:hAnsiTheme="majorHAnsi"/>
                <w:lang w:val="fr-CA"/>
              </w:rPr>
            </w:pPr>
            <w:r>
              <w:rPr>
                <w:rFonts w:asciiTheme="majorHAnsi" w:hAnsiTheme="majorHAnsi"/>
                <w:lang w:val="fr-CA"/>
              </w:rPr>
              <w:t>Optimisation des ressources</w:t>
            </w:r>
          </w:p>
        </w:tc>
        <w:tc>
          <w:tcPr>
            <w:tcW w:w="591" w:type="dxa"/>
            <w:noWrap/>
            <w:hideMark/>
          </w:tcPr>
          <w:p w14:paraId="19A4AC90"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w:t>
            </w:r>
          </w:p>
        </w:tc>
        <w:tc>
          <w:tcPr>
            <w:tcW w:w="6570" w:type="dxa"/>
            <w:hideMark/>
          </w:tcPr>
          <w:p w14:paraId="5D7CC7E8" w14:textId="15318FC6" w:rsidR="00BF284D" w:rsidRPr="00FA02E1" w:rsidRDefault="008406EB" w:rsidP="00F33098">
            <w:pPr>
              <w:spacing w:line="240" w:lineRule="auto"/>
              <w:contextualSpacing/>
              <w:rPr>
                <w:rFonts w:asciiTheme="majorHAnsi" w:hAnsiTheme="majorHAnsi"/>
                <w:lang w:val="fr-CA"/>
              </w:rPr>
            </w:pPr>
            <w:r>
              <w:rPr>
                <w:rFonts w:asciiTheme="majorHAnsi" w:hAnsiTheme="majorHAnsi"/>
                <w:lang w:val="fr-CA"/>
              </w:rPr>
              <w:t xml:space="preserve">1.  En s’appuyant sur </w:t>
            </w:r>
            <w:r w:rsidR="00D55C16">
              <w:rPr>
                <w:rFonts w:asciiTheme="majorHAnsi" w:hAnsiTheme="majorHAnsi"/>
                <w:lang w:val="fr-CA"/>
              </w:rPr>
              <w:t>le document Doc.</w:t>
            </w:r>
            <w:r>
              <w:rPr>
                <w:rFonts w:asciiTheme="majorHAnsi" w:hAnsiTheme="majorHAnsi"/>
                <w:lang w:val="fr-CA"/>
              </w:rPr>
              <w:t xml:space="preserve"> </w:t>
            </w:r>
            <w:r w:rsidR="00BF284D" w:rsidRPr="00FA02E1">
              <w:rPr>
                <w:rFonts w:asciiTheme="majorHAnsi" w:hAnsiTheme="majorHAnsi"/>
                <w:lang w:val="fr-CA"/>
              </w:rPr>
              <w:t>SC53-05, catalogue</w:t>
            </w:r>
            <w:r>
              <w:rPr>
                <w:rFonts w:asciiTheme="majorHAnsi" w:hAnsiTheme="majorHAnsi"/>
                <w:lang w:val="fr-CA"/>
              </w:rPr>
              <w:t xml:space="preserve">r les organes Ramsar existants, leur origine, leurs structures </w:t>
            </w:r>
            <w:r w:rsidR="00D55C16">
              <w:rPr>
                <w:rFonts w:asciiTheme="majorHAnsi" w:hAnsiTheme="majorHAnsi"/>
                <w:lang w:val="fr-CA"/>
              </w:rPr>
              <w:t>hiérarchiques</w:t>
            </w:r>
            <w:r>
              <w:rPr>
                <w:rFonts w:asciiTheme="majorHAnsi" w:hAnsiTheme="majorHAnsi"/>
                <w:lang w:val="fr-CA"/>
              </w:rPr>
              <w:t>, leur composition, leurs procédures d’élection, leur</w:t>
            </w:r>
            <w:r w:rsidR="00D55C16">
              <w:rPr>
                <w:rFonts w:asciiTheme="majorHAnsi" w:hAnsiTheme="majorHAnsi"/>
                <w:lang w:val="fr-CA"/>
              </w:rPr>
              <w:t xml:space="preserve"> mandat</w:t>
            </w:r>
            <w:r>
              <w:rPr>
                <w:rFonts w:asciiTheme="majorHAnsi" w:hAnsiTheme="majorHAnsi"/>
                <w:lang w:val="fr-CA"/>
              </w:rPr>
              <w:t xml:space="preserve">, leur règlement intérieur et la mesure dans laquelle ils existent / sont connus. </w:t>
            </w:r>
            <w:r w:rsidR="00BF284D" w:rsidRPr="00FA02E1">
              <w:rPr>
                <w:rFonts w:asciiTheme="majorHAnsi" w:hAnsiTheme="majorHAnsi"/>
                <w:lang w:val="fr-CA"/>
              </w:rPr>
              <w:t xml:space="preserve"> </w:t>
            </w:r>
          </w:p>
          <w:p w14:paraId="170E06F2" w14:textId="670C48C9"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652F1C">
              <w:rPr>
                <w:rFonts w:asciiTheme="majorHAnsi" w:hAnsiTheme="majorHAnsi"/>
                <w:lang w:val="fr-CA"/>
              </w:rPr>
              <w:t xml:space="preserve">Examiner les </w:t>
            </w:r>
            <w:r w:rsidR="00AD1346">
              <w:rPr>
                <w:rFonts w:asciiTheme="majorHAnsi" w:hAnsiTheme="majorHAnsi"/>
                <w:lang w:val="fr-CA"/>
              </w:rPr>
              <w:t xml:space="preserve">conclusions </w:t>
            </w:r>
            <w:r w:rsidR="00652F1C">
              <w:rPr>
                <w:rFonts w:asciiTheme="majorHAnsi" w:hAnsiTheme="majorHAnsi"/>
                <w:lang w:val="fr-CA"/>
              </w:rPr>
              <w:t>du Secrétariat relati</w:t>
            </w:r>
            <w:r w:rsidR="00F33098">
              <w:rPr>
                <w:rFonts w:asciiTheme="majorHAnsi" w:hAnsiTheme="majorHAnsi"/>
                <w:lang w:val="fr-CA"/>
              </w:rPr>
              <w:t>ve</w:t>
            </w:r>
            <w:r w:rsidR="00652F1C">
              <w:rPr>
                <w:rFonts w:asciiTheme="majorHAnsi" w:hAnsiTheme="majorHAnsi"/>
                <w:lang w:val="fr-CA"/>
              </w:rPr>
              <w:t xml:space="preserve">s aux organes Ramsar, </w:t>
            </w:r>
            <w:r w:rsidR="00AD1346">
              <w:rPr>
                <w:rFonts w:asciiTheme="majorHAnsi" w:hAnsiTheme="majorHAnsi"/>
                <w:lang w:val="fr-CA"/>
              </w:rPr>
              <w:t>conjointement</w:t>
            </w:r>
            <w:r w:rsidR="00652F1C">
              <w:rPr>
                <w:rFonts w:asciiTheme="majorHAnsi" w:hAnsiTheme="majorHAnsi"/>
                <w:lang w:val="fr-CA"/>
              </w:rPr>
              <w:t xml:space="preserve"> avec les résultats des discussions </w:t>
            </w:r>
            <w:r w:rsidR="00AD1346">
              <w:rPr>
                <w:rFonts w:asciiTheme="majorHAnsi" w:hAnsiTheme="majorHAnsi"/>
                <w:lang w:val="fr-CA"/>
              </w:rPr>
              <w:t>à court terme</w:t>
            </w:r>
            <w:r w:rsidR="00652F1C">
              <w:rPr>
                <w:rFonts w:asciiTheme="majorHAnsi" w:hAnsiTheme="majorHAnsi"/>
                <w:lang w:val="fr-CA"/>
              </w:rPr>
              <w:t xml:space="preserve"> du GTF sur les possibilités et identifier toute possibilité de mieux aider ces groupes à déléguer des tâches complexes/ consommatrices de temps</w:t>
            </w:r>
            <w:r w:rsidR="00AD1346">
              <w:rPr>
                <w:rFonts w:asciiTheme="majorHAnsi" w:hAnsiTheme="majorHAnsi"/>
                <w:lang w:val="fr-CA"/>
              </w:rPr>
              <w:t>, en</w:t>
            </w:r>
            <w:r w:rsidR="00652F1C">
              <w:rPr>
                <w:rFonts w:asciiTheme="majorHAnsi" w:hAnsiTheme="majorHAnsi"/>
                <w:lang w:val="fr-CA"/>
              </w:rPr>
              <w:t xml:space="preserve"> </w:t>
            </w:r>
            <w:r w:rsidR="00AD1346">
              <w:rPr>
                <w:rFonts w:asciiTheme="majorHAnsi" w:hAnsiTheme="majorHAnsi"/>
                <w:lang w:val="fr-CA"/>
              </w:rPr>
              <w:t>dénouant</w:t>
            </w:r>
            <w:r w:rsidR="00652F1C">
              <w:rPr>
                <w:rFonts w:asciiTheme="majorHAnsi" w:hAnsiTheme="majorHAnsi"/>
                <w:lang w:val="fr-CA"/>
              </w:rPr>
              <w:t xml:space="preserve"> les conflits / </w:t>
            </w:r>
            <w:r w:rsidR="00AD1346">
              <w:rPr>
                <w:rFonts w:asciiTheme="majorHAnsi" w:hAnsiTheme="majorHAnsi"/>
                <w:lang w:val="fr-CA"/>
              </w:rPr>
              <w:t xml:space="preserve">supprimant </w:t>
            </w:r>
            <w:r w:rsidR="00652F1C">
              <w:rPr>
                <w:rFonts w:asciiTheme="majorHAnsi" w:hAnsiTheme="majorHAnsi"/>
                <w:lang w:val="fr-CA"/>
              </w:rPr>
              <w:t>les</w:t>
            </w:r>
            <w:r w:rsidR="00AD1346">
              <w:rPr>
                <w:rFonts w:asciiTheme="majorHAnsi" w:hAnsiTheme="majorHAnsi"/>
                <w:lang w:val="fr-CA"/>
              </w:rPr>
              <w:t xml:space="preserve"> groupes</w:t>
            </w:r>
            <w:r w:rsidR="00652F1C">
              <w:rPr>
                <w:rFonts w:asciiTheme="majorHAnsi" w:hAnsiTheme="majorHAnsi"/>
                <w:lang w:val="fr-CA"/>
              </w:rPr>
              <w:t xml:space="preserve">, </w:t>
            </w:r>
            <w:r w:rsidR="00AD1346">
              <w:rPr>
                <w:rFonts w:asciiTheme="majorHAnsi" w:hAnsiTheme="majorHAnsi"/>
                <w:lang w:val="fr-CA"/>
              </w:rPr>
              <w:t>le cas échéant</w:t>
            </w:r>
            <w:r w:rsidR="00652F1C">
              <w:rPr>
                <w:rFonts w:asciiTheme="majorHAnsi" w:hAnsiTheme="majorHAnsi"/>
                <w:lang w:val="fr-CA"/>
              </w:rPr>
              <w:t>.</w:t>
            </w:r>
          </w:p>
          <w:p w14:paraId="102D2877" w14:textId="7D5FF3D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3.  </w:t>
            </w:r>
            <w:r w:rsidR="00652F1C">
              <w:rPr>
                <w:rFonts w:asciiTheme="majorHAnsi" w:hAnsiTheme="majorHAnsi"/>
                <w:lang w:val="fr-CA"/>
              </w:rPr>
              <w:t xml:space="preserve">S’il y a lieu, rédiger un texte pour </w:t>
            </w:r>
            <w:r w:rsidR="00AD1346">
              <w:rPr>
                <w:rFonts w:asciiTheme="majorHAnsi" w:hAnsiTheme="majorHAnsi"/>
                <w:lang w:val="fr-CA"/>
              </w:rPr>
              <w:t>intégration</w:t>
            </w:r>
            <w:r w:rsidR="00652F1C">
              <w:rPr>
                <w:rFonts w:asciiTheme="majorHAnsi" w:hAnsiTheme="majorHAnsi"/>
                <w:lang w:val="fr-CA"/>
              </w:rPr>
              <w:t xml:space="preserve"> dans un projet de résolution approprié afin de rationaliser les organes de la Convention en vue </w:t>
            </w:r>
            <w:r w:rsidR="00AD1346">
              <w:rPr>
                <w:rFonts w:asciiTheme="majorHAnsi" w:hAnsiTheme="majorHAnsi"/>
                <w:lang w:val="fr-CA"/>
              </w:rPr>
              <w:t>d’utiliser</w:t>
            </w:r>
            <w:r w:rsidR="00652F1C">
              <w:rPr>
                <w:rFonts w:asciiTheme="majorHAnsi" w:hAnsiTheme="majorHAnsi"/>
                <w:lang w:val="fr-CA"/>
              </w:rPr>
              <w:t xml:space="preserve"> ces organes </w:t>
            </w:r>
            <w:r w:rsidR="00AD1346">
              <w:rPr>
                <w:rFonts w:asciiTheme="majorHAnsi" w:hAnsiTheme="majorHAnsi"/>
                <w:lang w:val="fr-CA"/>
              </w:rPr>
              <w:t>pour</w:t>
            </w:r>
            <w:r w:rsidR="00652F1C">
              <w:rPr>
                <w:rFonts w:asciiTheme="majorHAnsi" w:hAnsiTheme="majorHAnsi"/>
                <w:lang w:val="fr-CA"/>
              </w:rPr>
              <w:t xml:space="preserve"> renforcer l’efficacité de la gouvernance de la Convention, </w:t>
            </w:r>
            <w:r w:rsidR="00AD1346">
              <w:rPr>
                <w:rFonts w:asciiTheme="majorHAnsi" w:hAnsiTheme="majorHAnsi"/>
                <w:lang w:val="fr-CA"/>
              </w:rPr>
              <w:t>en dénouant les conflits et supprimant les groupes</w:t>
            </w:r>
            <w:r w:rsidR="00652F1C">
              <w:rPr>
                <w:rFonts w:asciiTheme="majorHAnsi" w:hAnsiTheme="majorHAnsi"/>
                <w:lang w:val="fr-CA"/>
              </w:rPr>
              <w:t xml:space="preserve">. </w:t>
            </w:r>
          </w:p>
        </w:tc>
      </w:tr>
      <w:tr w:rsidR="00BF284D" w:rsidRPr="00F33098" w14:paraId="57B0CC74" w14:textId="77777777" w:rsidTr="00C43150">
        <w:trPr>
          <w:trHeight w:val="1178"/>
        </w:trPr>
        <w:tc>
          <w:tcPr>
            <w:tcW w:w="2379" w:type="dxa"/>
            <w:vMerge/>
            <w:hideMark/>
          </w:tcPr>
          <w:p w14:paraId="60C4B1E8"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74E9EEDD"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2</w:t>
            </w:r>
          </w:p>
        </w:tc>
        <w:tc>
          <w:tcPr>
            <w:tcW w:w="6570" w:type="dxa"/>
            <w:hideMark/>
          </w:tcPr>
          <w:p w14:paraId="4D7D8F77" w14:textId="660B6AC4"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652F1C">
              <w:rPr>
                <w:rFonts w:asciiTheme="majorHAnsi" w:hAnsiTheme="majorHAnsi"/>
                <w:lang w:val="fr-CA"/>
              </w:rPr>
              <w:t xml:space="preserve">Examiner les </w:t>
            </w:r>
            <w:r w:rsidR="002222D9">
              <w:rPr>
                <w:rFonts w:asciiTheme="majorHAnsi" w:hAnsiTheme="majorHAnsi"/>
                <w:lang w:val="fr-CA"/>
              </w:rPr>
              <w:t>R</w:t>
            </w:r>
            <w:r w:rsidR="00652F1C">
              <w:rPr>
                <w:rFonts w:asciiTheme="majorHAnsi" w:hAnsiTheme="majorHAnsi"/>
                <w:lang w:val="fr-CA"/>
              </w:rPr>
              <w:t xml:space="preserve">ésolutions de la Conférence des Parties </w:t>
            </w:r>
            <w:r w:rsidRPr="00FA02E1">
              <w:rPr>
                <w:rFonts w:asciiTheme="majorHAnsi" w:hAnsiTheme="majorHAnsi"/>
                <w:lang w:val="fr-CA"/>
              </w:rPr>
              <w:t xml:space="preserve">(COP) </w:t>
            </w:r>
            <w:r w:rsidR="00652F1C">
              <w:rPr>
                <w:rFonts w:asciiTheme="majorHAnsi" w:hAnsiTheme="majorHAnsi"/>
                <w:lang w:val="fr-CA"/>
              </w:rPr>
              <w:t xml:space="preserve">et les </w:t>
            </w:r>
            <w:r w:rsidR="002222D9">
              <w:rPr>
                <w:rFonts w:asciiTheme="majorHAnsi" w:hAnsiTheme="majorHAnsi"/>
                <w:lang w:val="fr-CA"/>
              </w:rPr>
              <w:t>d</w:t>
            </w:r>
            <w:r w:rsidR="00652F1C">
              <w:rPr>
                <w:rFonts w:asciiTheme="majorHAnsi" w:hAnsiTheme="majorHAnsi"/>
                <w:lang w:val="fr-CA"/>
              </w:rPr>
              <w:t>écisions du Comité permanent en identifiant</w:t>
            </w:r>
            <w:r w:rsidR="00AD1346">
              <w:rPr>
                <w:rFonts w:asciiTheme="majorHAnsi" w:hAnsiTheme="majorHAnsi"/>
                <w:lang w:val="fr-CA"/>
              </w:rPr>
              <w:t>,</w:t>
            </w:r>
            <w:r w:rsidR="00652F1C">
              <w:rPr>
                <w:rFonts w:asciiTheme="majorHAnsi" w:hAnsiTheme="majorHAnsi"/>
                <w:lang w:val="fr-CA"/>
              </w:rPr>
              <w:t xml:space="preserve"> le cas échéant, </w:t>
            </w:r>
            <w:r w:rsidR="002222D9">
              <w:rPr>
                <w:rFonts w:asciiTheme="majorHAnsi" w:hAnsiTheme="majorHAnsi"/>
                <w:lang w:val="fr-CA"/>
              </w:rPr>
              <w:t xml:space="preserve">celles </w:t>
            </w:r>
            <w:r w:rsidR="00652F1C">
              <w:rPr>
                <w:rFonts w:asciiTheme="majorHAnsi" w:hAnsiTheme="majorHAnsi"/>
                <w:lang w:val="fr-CA"/>
              </w:rPr>
              <w:t xml:space="preserve">qui ont un effet sur le travail </w:t>
            </w:r>
            <w:r w:rsidR="002222D9">
              <w:rPr>
                <w:rFonts w:asciiTheme="majorHAnsi" w:hAnsiTheme="majorHAnsi"/>
                <w:lang w:val="fr-CA"/>
              </w:rPr>
              <w:t>quotidien</w:t>
            </w:r>
            <w:r w:rsidR="00652F1C">
              <w:rPr>
                <w:rFonts w:asciiTheme="majorHAnsi" w:hAnsiTheme="majorHAnsi"/>
                <w:lang w:val="fr-CA"/>
              </w:rPr>
              <w:t xml:space="preserve">, la gestion ou l’optimisation ou les ressources de l’équipe du Secrétariat. </w:t>
            </w:r>
          </w:p>
          <w:p w14:paraId="64F5B9BF" w14:textId="4F796456"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59017C">
              <w:rPr>
                <w:rFonts w:asciiTheme="majorHAnsi" w:hAnsiTheme="majorHAnsi"/>
                <w:lang w:val="fr-CA"/>
              </w:rPr>
              <w:t xml:space="preserve">Examiner les conclusions du Secrétariat relatives aux </w:t>
            </w:r>
            <w:r w:rsidR="002222D9">
              <w:rPr>
                <w:rFonts w:asciiTheme="majorHAnsi" w:hAnsiTheme="majorHAnsi"/>
                <w:lang w:val="fr-CA"/>
              </w:rPr>
              <w:t>r</w:t>
            </w:r>
            <w:r w:rsidR="0059017C">
              <w:rPr>
                <w:rFonts w:asciiTheme="majorHAnsi" w:hAnsiTheme="majorHAnsi"/>
                <w:lang w:val="fr-CA"/>
              </w:rPr>
              <w:t xml:space="preserve">ésolutions et </w:t>
            </w:r>
            <w:r w:rsidR="002222D9">
              <w:rPr>
                <w:rFonts w:asciiTheme="majorHAnsi" w:hAnsiTheme="majorHAnsi"/>
                <w:lang w:val="fr-CA"/>
              </w:rPr>
              <w:t>d</w:t>
            </w:r>
            <w:r w:rsidR="0059017C">
              <w:rPr>
                <w:rFonts w:asciiTheme="majorHAnsi" w:hAnsiTheme="majorHAnsi"/>
                <w:lang w:val="fr-CA"/>
              </w:rPr>
              <w:t xml:space="preserve">écisions qui ont un effet sur l’équipe du Secrétariat et identifier toute possibilité </w:t>
            </w:r>
            <w:r w:rsidR="002222D9">
              <w:rPr>
                <w:rFonts w:asciiTheme="majorHAnsi" w:hAnsiTheme="majorHAnsi"/>
                <w:lang w:val="fr-CA"/>
              </w:rPr>
              <w:t>de dénouer</w:t>
            </w:r>
            <w:r w:rsidR="0059017C">
              <w:rPr>
                <w:rFonts w:asciiTheme="majorHAnsi" w:hAnsiTheme="majorHAnsi"/>
                <w:lang w:val="fr-CA"/>
              </w:rPr>
              <w:t xml:space="preserve"> les conflits entre elles / de les </w:t>
            </w:r>
            <w:r w:rsidR="002222D9">
              <w:rPr>
                <w:rFonts w:asciiTheme="majorHAnsi" w:hAnsiTheme="majorHAnsi"/>
                <w:lang w:val="fr-CA"/>
              </w:rPr>
              <w:t>abroger</w:t>
            </w:r>
            <w:r w:rsidR="0059017C">
              <w:rPr>
                <w:rFonts w:asciiTheme="majorHAnsi" w:hAnsiTheme="majorHAnsi"/>
                <w:lang w:val="fr-CA"/>
              </w:rPr>
              <w:t xml:space="preserve">, </w:t>
            </w:r>
            <w:r w:rsidR="002222D9">
              <w:rPr>
                <w:rFonts w:asciiTheme="majorHAnsi" w:hAnsiTheme="majorHAnsi"/>
                <w:lang w:val="fr-CA"/>
              </w:rPr>
              <w:t>le cas échéant</w:t>
            </w:r>
            <w:r w:rsidR="0059017C">
              <w:rPr>
                <w:rFonts w:asciiTheme="majorHAnsi" w:hAnsiTheme="majorHAnsi"/>
                <w:lang w:val="fr-CA"/>
              </w:rPr>
              <w:t>.</w:t>
            </w:r>
          </w:p>
          <w:p w14:paraId="41E3B558" w14:textId="2CD7FC2F"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3.  </w:t>
            </w:r>
            <w:r w:rsidR="002222D9">
              <w:rPr>
                <w:rFonts w:asciiTheme="majorHAnsi" w:hAnsiTheme="majorHAnsi"/>
                <w:lang w:val="fr-CA"/>
              </w:rPr>
              <w:t xml:space="preserve">rédiger un texte pour intégration dans un projet de résolution approprié </w:t>
            </w:r>
            <w:r w:rsidR="0059017C">
              <w:rPr>
                <w:rFonts w:asciiTheme="majorHAnsi" w:hAnsiTheme="majorHAnsi"/>
                <w:lang w:val="fr-CA"/>
              </w:rPr>
              <w:t xml:space="preserve">afin de </w:t>
            </w:r>
            <w:r w:rsidR="002222D9">
              <w:rPr>
                <w:rFonts w:asciiTheme="majorHAnsi" w:hAnsiTheme="majorHAnsi"/>
                <w:lang w:val="fr-CA"/>
              </w:rPr>
              <w:t>dénouer</w:t>
            </w:r>
            <w:r w:rsidR="0059017C">
              <w:rPr>
                <w:rFonts w:asciiTheme="majorHAnsi" w:hAnsiTheme="majorHAnsi"/>
                <w:lang w:val="fr-CA"/>
              </w:rPr>
              <w:t xml:space="preserve"> les conflits / de restaurer des relations normales tout en maintenant la responsabilité entre les Parties et le Secrétariat concernant le fonctionnement </w:t>
            </w:r>
            <w:r w:rsidR="002222D9">
              <w:rPr>
                <w:rFonts w:asciiTheme="majorHAnsi" w:hAnsiTheme="majorHAnsi"/>
                <w:lang w:val="fr-CA"/>
              </w:rPr>
              <w:t>quotidien</w:t>
            </w:r>
            <w:r w:rsidR="0059017C">
              <w:rPr>
                <w:rFonts w:asciiTheme="majorHAnsi" w:hAnsiTheme="majorHAnsi"/>
                <w:lang w:val="fr-CA"/>
              </w:rPr>
              <w:t xml:space="preserve">, </w:t>
            </w:r>
            <w:r w:rsidR="002222D9">
              <w:rPr>
                <w:rFonts w:asciiTheme="majorHAnsi" w:hAnsiTheme="majorHAnsi"/>
                <w:lang w:val="fr-CA"/>
              </w:rPr>
              <w:t>le dénouement</w:t>
            </w:r>
            <w:r w:rsidR="0059017C">
              <w:rPr>
                <w:rFonts w:asciiTheme="majorHAnsi" w:hAnsiTheme="majorHAnsi"/>
                <w:lang w:val="fr-CA"/>
              </w:rPr>
              <w:t xml:space="preserve"> des conflits et/ou </w:t>
            </w:r>
            <w:r w:rsidR="002222D9">
              <w:rPr>
                <w:rFonts w:asciiTheme="majorHAnsi" w:hAnsiTheme="majorHAnsi"/>
                <w:lang w:val="fr-CA"/>
              </w:rPr>
              <w:t>l’abrogation</w:t>
            </w:r>
            <w:r w:rsidR="0059017C">
              <w:rPr>
                <w:rFonts w:asciiTheme="majorHAnsi" w:hAnsiTheme="majorHAnsi"/>
                <w:lang w:val="fr-CA"/>
              </w:rPr>
              <w:t xml:space="preserve"> de précédentes résolutions et décisions.</w:t>
            </w:r>
          </w:p>
        </w:tc>
      </w:tr>
      <w:tr w:rsidR="00BF284D" w:rsidRPr="00F33098" w14:paraId="463289DC" w14:textId="77777777" w:rsidTr="0059017C">
        <w:trPr>
          <w:trHeight w:val="662"/>
        </w:trPr>
        <w:tc>
          <w:tcPr>
            <w:tcW w:w="2379" w:type="dxa"/>
            <w:vMerge/>
            <w:hideMark/>
          </w:tcPr>
          <w:p w14:paraId="34A07607"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0ADCB600"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3</w:t>
            </w:r>
          </w:p>
        </w:tc>
        <w:tc>
          <w:tcPr>
            <w:tcW w:w="6570" w:type="dxa"/>
            <w:hideMark/>
          </w:tcPr>
          <w:p w14:paraId="503ECE1A" w14:textId="25F2A365"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  Identif</w:t>
            </w:r>
            <w:r w:rsidR="0059017C">
              <w:rPr>
                <w:rFonts w:asciiTheme="majorHAnsi" w:hAnsiTheme="majorHAnsi"/>
                <w:lang w:val="fr-CA"/>
              </w:rPr>
              <w:t>ier des éléments, le cas échéant, du règlement intérieur actuel qui ont un effet sur l’efficacité des travaux de la Convention ou qui pourraient uti</w:t>
            </w:r>
            <w:r w:rsidR="002222D9">
              <w:rPr>
                <w:rFonts w:asciiTheme="majorHAnsi" w:hAnsiTheme="majorHAnsi"/>
                <w:lang w:val="fr-CA"/>
              </w:rPr>
              <w:t>l</w:t>
            </w:r>
            <w:r w:rsidR="0059017C">
              <w:rPr>
                <w:rFonts w:asciiTheme="majorHAnsi" w:hAnsiTheme="majorHAnsi"/>
                <w:lang w:val="fr-CA"/>
              </w:rPr>
              <w:t xml:space="preserve">ement être modifiés pour optimiser les ressources/améliorer l’efficacité. </w:t>
            </w:r>
            <w:r w:rsidRPr="00FA02E1">
              <w:rPr>
                <w:rFonts w:asciiTheme="majorHAnsi" w:hAnsiTheme="majorHAnsi"/>
                <w:lang w:val="fr-CA"/>
              </w:rPr>
              <w:t xml:space="preserve"> </w:t>
            </w:r>
          </w:p>
          <w:p w14:paraId="1475ACD1" w14:textId="51580415" w:rsidR="00BF284D" w:rsidRPr="00FA02E1" w:rsidRDefault="0059017C" w:rsidP="00F33098">
            <w:pPr>
              <w:spacing w:line="240" w:lineRule="auto"/>
              <w:contextualSpacing/>
              <w:rPr>
                <w:rFonts w:asciiTheme="majorHAnsi" w:hAnsiTheme="majorHAnsi"/>
                <w:lang w:val="fr-CA"/>
              </w:rPr>
            </w:pPr>
            <w:r>
              <w:rPr>
                <w:rFonts w:asciiTheme="majorHAnsi" w:hAnsiTheme="majorHAnsi"/>
                <w:lang w:val="fr-CA"/>
              </w:rPr>
              <w:t>2.  Examiner les conclusions du Secrétariat concernant le règlement intérieur actuel.</w:t>
            </w:r>
          </w:p>
          <w:p w14:paraId="01737A96" w14:textId="1406358A"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3.  </w:t>
            </w:r>
            <w:r w:rsidR="0059017C">
              <w:rPr>
                <w:rFonts w:asciiTheme="majorHAnsi" w:hAnsiTheme="majorHAnsi"/>
                <w:lang w:val="fr-CA"/>
              </w:rPr>
              <w:t>S’il y a lieu, collaborer avec le Secrétariat pour recommander des modifications au texte du règlement intérieur pour examen par les Parties.</w:t>
            </w:r>
          </w:p>
        </w:tc>
      </w:tr>
      <w:tr w:rsidR="00BF284D" w:rsidRPr="00F33098" w14:paraId="4F0FE625" w14:textId="77777777" w:rsidTr="00C43150">
        <w:trPr>
          <w:trHeight w:val="1230"/>
        </w:trPr>
        <w:tc>
          <w:tcPr>
            <w:tcW w:w="2379" w:type="dxa"/>
            <w:vMerge/>
            <w:hideMark/>
          </w:tcPr>
          <w:p w14:paraId="1BDF8DB3"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6A4BC39F"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4</w:t>
            </w:r>
          </w:p>
        </w:tc>
        <w:tc>
          <w:tcPr>
            <w:tcW w:w="6570" w:type="dxa"/>
            <w:hideMark/>
          </w:tcPr>
          <w:p w14:paraId="779CA26B" w14:textId="25AC8754"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59017C">
              <w:rPr>
                <w:rFonts w:asciiTheme="majorHAnsi" w:hAnsiTheme="majorHAnsi"/>
                <w:lang w:val="fr-CA"/>
              </w:rPr>
              <w:t xml:space="preserve">Déterminer si le Secrétariat a </w:t>
            </w:r>
            <w:r w:rsidR="00A40BE3">
              <w:rPr>
                <w:rFonts w:asciiTheme="majorHAnsi" w:hAnsiTheme="majorHAnsi"/>
                <w:lang w:val="fr-CA"/>
              </w:rPr>
              <w:t xml:space="preserve">appliqué </w:t>
            </w:r>
            <w:r w:rsidR="0059017C">
              <w:rPr>
                <w:rFonts w:asciiTheme="majorHAnsi" w:hAnsiTheme="majorHAnsi"/>
                <w:lang w:val="fr-CA"/>
              </w:rPr>
              <w:t xml:space="preserve">ou envisage </w:t>
            </w:r>
            <w:r w:rsidR="00A40BE3">
              <w:rPr>
                <w:rFonts w:asciiTheme="majorHAnsi" w:hAnsiTheme="majorHAnsi"/>
                <w:lang w:val="fr-CA"/>
              </w:rPr>
              <w:t xml:space="preserve">d’appliquer des </w:t>
            </w:r>
            <w:r w:rsidR="0059017C">
              <w:rPr>
                <w:rFonts w:asciiTheme="majorHAnsi" w:hAnsiTheme="majorHAnsi"/>
                <w:lang w:val="fr-CA"/>
              </w:rPr>
              <w:t>éléments du Cadre de contrôle interne de l’</w:t>
            </w:r>
            <w:r w:rsidR="00A40BE3">
              <w:rPr>
                <w:rFonts w:asciiTheme="majorHAnsi" w:hAnsiTheme="majorHAnsi"/>
                <w:lang w:val="fr-CA"/>
              </w:rPr>
              <w:t>ONU</w:t>
            </w:r>
            <w:r w:rsidR="0059017C">
              <w:rPr>
                <w:rFonts w:asciiTheme="majorHAnsi" w:hAnsiTheme="majorHAnsi"/>
                <w:lang w:val="fr-CA"/>
              </w:rPr>
              <w:t xml:space="preserve"> aux pratiques et procédures internes du Secrétariat afin d’optimiser les ressources et d’améliorer l’efficacité. </w:t>
            </w:r>
          </w:p>
        </w:tc>
      </w:tr>
      <w:tr w:rsidR="00BF284D" w:rsidRPr="00F33098" w14:paraId="7C1DD8C1" w14:textId="77777777" w:rsidTr="00C43150">
        <w:trPr>
          <w:trHeight w:val="935"/>
        </w:trPr>
        <w:tc>
          <w:tcPr>
            <w:tcW w:w="2379" w:type="dxa"/>
            <w:vMerge/>
            <w:hideMark/>
          </w:tcPr>
          <w:p w14:paraId="2FFCFC46"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1766D350"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5</w:t>
            </w:r>
          </w:p>
        </w:tc>
        <w:tc>
          <w:tcPr>
            <w:tcW w:w="6570" w:type="dxa"/>
            <w:hideMark/>
          </w:tcPr>
          <w:p w14:paraId="5EC55B48" w14:textId="11ECA9F8"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  Identif</w:t>
            </w:r>
            <w:r w:rsidR="007142A3">
              <w:rPr>
                <w:rFonts w:asciiTheme="majorHAnsi" w:hAnsiTheme="majorHAnsi"/>
                <w:lang w:val="fr-CA"/>
              </w:rPr>
              <w:t>ier une optimisation potentielle des ressources et/ou des gains d’efficacité</w:t>
            </w:r>
            <w:r w:rsidR="00A40BE3">
              <w:rPr>
                <w:rFonts w:asciiTheme="majorHAnsi" w:hAnsiTheme="majorHAnsi"/>
                <w:lang w:val="fr-CA"/>
              </w:rPr>
              <w:t xml:space="preserve"> qui pourraient, éventuellement, être obtenus</w:t>
            </w:r>
            <w:r w:rsidR="007142A3">
              <w:rPr>
                <w:rFonts w:asciiTheme="majorHAnsi" w:hAnsiTheme="majorHAnsi"/>
                <w:lang w:val="fr-CA"/>
              </w:rPr>
              <w:t xml:space="preserve"> en </w:t>
            </w:r>
            <w:r w:rsidR="00F33098">
              <w:rPr>
                <w:rFonts w:asciiTheme="majorHAnsi" w:hAnsiTheme="majorHAnsi"/>
                <w:lang w:val="fr-CA"/>
              </w:rPr>
              <w:t>favorisant</w:t>
            </w:r>
            <w:r w:rsidR="007142A3">
              <w:rPr>
                <w:rFonts w:asciiTheme="majorHAnsi" w:hAnsiTheme="majorHAnsi"/>
                <w:lang w:val="fr-CA"/>
              </w:rPr>
              <w:t xml:space="preserve"> </w:t>
            </w:r>
            <w:r w:rsidR="00A40BE3">
              <w:rPr>
                <w:rFonts w:asciiTheme="majorHAnsi" w:hAnsiTheme="majorHAnsi"/>
                <w:lang w:val="fr-CA"/>
              </w:rPr>
              <w:t>d</w:t>
            </w:r>
            <w:r w:rsidR="007142A3">
              <w:rPr>
                <w:rFonts w:asciiTheme="majorHAnsi" w:hAnsiTheme="majorHAnsi"/>
                <w:lang w:val="fr-CA"/>
              </w:rPr>
              <w:t xml:space="preserve">es responsabilités spécialisées sur des thèmes particuliers au sein de l’équipe du Secrétariat. </w:t>
            </w:r>
            <w:r w:rsidRPr="00FA02E1">
              <w:rPr>
                <w:rFonts w:asciiTheme="majorHAnsi" w:hAnsiTheme="majorHAnsi"/>
                <w:lang w:val="fr-CA"/>
              </w:rPr>
              <w:t xml:space="preserve"> </w:t>
            </w:r>
          </w:p>
          <w:p w14:paraId="544BD456" w14:textId="466CE3A8"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7142A3">
              <w:rPr>
                <w:rFonts w:asciiTheme="majorHAnsi" w:hAnsiTheme="majorHAnsi"/>
                <w:lang w:val="fr-CA"/>
              </w:rPr>
              <w:t xml:space="preserve">Examiner les </w:t>
            </w:r>
            <w:r w:rsidR="001C140C">
              <w:rPr>
                <w:rFonts w:asciiTheme="majorHAnsi" w:hAnsiTheme="majorHAnsi"/>
                <w:lang w:val="fr-CA"/>
              </w:rPr>
              <w:t xml:space="preserve">conclusions du Secrétariat concernant l’optimisation des ressources/les gains d’efficacité </w:t>
            </w:r>
            <w:r w:rsidR="00A40BE3">
              <w:rPr>
                <w:rFonts w:asciiTheme="majorHAnsi" w:hAnsiTheme="majorHAnsi"/>
                <w:lang w:val="fr-CA"/>
              </w:rPr>
              <w:t xml:space="preserve">qui pourraient être obtenus en </w:t>
            </w:r>
            <w:r w:rsidR="00F33098">
              <w:rPr>
                <w:rFonts w:asciiTheme="majorHAnsi" w:hAnsiTheme="majorHAnsi"/>
                <w:lang w:val="fr-CA"/>
              </w:rPr>
              <w:t>favorisant</w:t>
            </w:r>
            <w:r w:rsidR="00A40BE3">
              <w:rPr>
                <w:rFonts w:asciiTheme="majorHAnsi" w:hAnsiTheme="majorHAnsi"/>
                <w:lang w:val="fr-CA"/>
              </w:rPr>
              <w:t xml:space="preserve"> des responsabilités spécialisées sur des thèmes particuliers au sein de l’équipe du Secrétariat</w:t>
            </w:r>
            <w:r w:rsidR="001C140C">
              <w:rPr>
                <w:rFonts w:asciiTheme="majorHAnsi" w:hAnsiTheme="majorHAnsi"/>
                <w:lang w:val="fr-CA"/>
              </w:rPr>
              <w:t xml:space="preserve"> et faire des recommandations</w:t>
            </w:r>
            <w:r w:rsidR="00A40BE3">
              <w:rPr>
                <w:rFonts w:asciiTheme="majorHAnsi" w:hAnsiTheme="majorHAnsi"/>
                <w:lang w:val="fr-CA"/>
              </w:rPr>
              <w:t>,</w:t>
            </w:r>
            <w:r w:rsidR="001C140C">
              <w:rPr>
                <w:rFonts w:asciiTheme="majorHAnsi" w:hAnsiTheme="majorHAnsi"/>
                <w:lang w:val="fr-CA"/>
              </w:rPr>
              <w:t xml:space="preserve"> s’il y a lieu</w:t>
            </w:r>
            <w:r w:rsidR="00A40BE3">
              <w:rPr>
                <w:rFonts w:asciiTheme="majorHAnsi" w:hAnsiTheme="majorHAnsi"/>
                <w:lang w:val="fr-CA"/>
              </w:rPr>
              <w:t>,</w:t>
            </w:r>
            <w:r w:rsidR="001C140C">
              <w:rPr>
                <w:rFonts w:asciiTheme="majorHAnsi" w:hAnsiTheme="majorHAnsi"/>
                <w:lang w:val="fr-CA"/>
              </w:rPr>
              <w:t xml:space="preserve"> concernant toute autre action.</w:t>
            </w:r>
          </w:p>
        </w:tc>
      </w:tr>
      <w:tr w:rsidR="00BF284D" w:rsidRPr="00F33098" w14:paraId="1D85103B" w14:textId="77777777" w:rsidTr="00C43150">
        <w:trPr>
          <w:trHeight w:val="962"/>
        </w:trPr>
        <w:tc>
          <w:tcPr>
            <w:tcW w:w="2379" w:type="dxa"/>
            <w:vMerge/>
            <w:hideMark/>
          </w:tcPr>
          <w:p w14:paraId="20116B70"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57535CF6"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6</w:t>
            </w:r>
          </w:p>
        </w:tc>
        <w:tc>
          <w:tcPr>
            <w:tcW w:w="6570" w:type="dxa"/>
            <w:hideMark/>
          </w:tcPr>
          <w:p w14:paraId="342228D4" w14:textId="440B51BB"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A40BE3">
              <w:rPr>
                <w:rFonts w:asciiTheme="majorHAnsi" w:hAnsiTheme="majorHAnsi"/>
                <w:lang w:val="fr-CA"/>
              </w:rPr>
              <w:t>Inviter</w:t>
            </w:r>
            <w:r w:rsidR="00E654E9">
              <w:rPr>
                <w:rFonts w:asciiTheme="majorHAnsi" w:hAnsiTheme="majorHAnsi"/>
                <w:lang w:val="fr-CA"/>
              </w:rPr>
              <w:t xml:space="preserve"> à la Directrice </w:t>
            </w:r>
            <w:r w:rsidR="00A40BE3">
              <w:rPr>
                <w:rFonts w:asciiTheme="majorHAnsi" w:hAnsiTheme="majorHAnsi"/>
                <w:lang w:val="fr-CA"/>
              </w:rPr>
              <w:t xml:space="preserve">générale </w:t>
            </w:r>
            <w:r w:rsidR="00E654E9">
              <w:rPr>
                <w:rFonts w:asciiTheme="majorHAnsi" w:hAnsiTheme="majorHAnsi"/>
                <w:lang w:val="fr-CA"/>
              </w:rPr>
              <w:t xml:space="preserve">de l’UICN </w:t>
            </w:r>
            <w:r w:rsidR="00A40BE3">
              <w:rPr>
                <w:rFonts w:asciiTheme="majorHAnsi" w:hAnsiTheme="majorHAnsi"/>
                <w:lang w:val="fr-CA"/>
              </w:rPr>
              <w:t>à demander</w:t>
            </w:r>
            <w:r w:rsidR="00E654E9">
              <w:rPr>
                <w:rFonts w:asciiTheme="majorHAnsi" w:hAnsiTheme="majorHAnsi"/>
                <w:lang w:val="fr-CA"/>
              </w:rPr>
              <w:t xml:space="preserve"> un appui de l’UICN pour faciliter la participation du Secrétariat Ramsar aux réunions des organismes des Nations Unies auprès desquels l’UICN est déjà accréditée tandis que Ramsar ne l’est pas. </w:t>
            </w:r>
          </w:p>
        </w:tc>
      </w:tr>
      <w:tr w:rsidR="00BF284D" w:rsidRPr="00F33098" w14:paraId="4BCD1334" w14:textId="77777777" w:rsidTr="00C43150">
        <w:trPr>
          <w:trHeight w:val="2600"/>
        </w:trPr>
        <w:tc>
          <w:tcPr>
            <w:tcW w:w="2379" w:type="dxa"/>
            <w:vMerge/>
            <w:hideMark/>
          </w:tcPr>
          <w:p w14:paraId="14CC584A"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7E63D2D7"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7</w:t>
            </w:r>
          </w:p>
        </w:tc>
        <w:tc>
          <w:tcPr>
            <w:tcW w:w="6570" w:type="dxa"/>
            <w:hideMark/>
          </w:tcPr>
          <w:p w14:paraId="569C78A4" w14:textId="426C880A"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E654E9">
              <w:rPr>
                <w:rFonts w:asciiTheme="majorHAnsi" w:hAnsiTheme="majorHAnsi"/>
                <w:lang w:val="fr-CA"/>
              </w:rPr>
              <w:t xml:space="preserve">Rédiger un texte pour intégration dans un projet de résolution pertinent afin de demander au Secrétariat d’examiner les résolutions, recommandations ou autres décisions, </w:t>
            </w:r>
            <w:r w:rsidR="00C26D00">
              <w:rPr>
                <w:rFonts w:asciiTheme="majorHAnsi" w:hAnsiTheme="majorHAnsi"/>
                <w:lang w:val="fr-CA"/>
              </w:rPr>
              <w:t>et d’identifier</w:t>
            </w:r>
            <w:r w:rsidR="00E654E9">
              <w:rPr>
                <w:rFonts w:asciiTheme="majorHAnsi" w:hAnsiTheme="majorHAnsi"/>
                <w:lang w:val="fr-CA"/>
              </w:rPr>
              <w:t xml:space="preserve"> celles, (n’ayant pas trait à la fonction du Secrétariat) qui </w:t>
            </w:r>
            <w:r w:rsidR="00C26D00">
              <w:rPr>
                <w:rFonts w:asciiTheme="majorHAnsi" w:hAnsiTheme="majorHAnsi"/>
                <w:lang w:val="fr-CA"/>
              </w:rPr>
              <w:t xml:space="preserve">pourraient ne plus </w:t>
            </w:r>
            <w:r w:rsidR="00E654E9">
              <w:rPr>
                <w:rFonts w:asciiTheme="majorHAnsi" w:hAnsiTheme="majorHAnsi"/>
                <w:lang w:val="fr-CA"/>
              </w:rPr>
              <w:t xml:space="preserve">être valables ou applicables, qui se contredisent ou </w:t>
            </w:r>
            <w:r w:rsidR="00C26D00">
              <w:rPr>
                <w:rFonts w:asciiTheme="majorHAnsi" w:hAnsiTheme="majorHAnsi"/>
                <w:lang w:val="fr-CA"/>
              </w:rPr>
              <w:t xml:space="preserve">ne sont pas </w:t>
            </w:r>
            <w:r w:rsidR="00E654E9">
              <w:rPr>
                <w:rFonts w:asciiTheme="majorHAnsi" w:hAnsiTheme="majorHAnsi"/>
                <w:lang w:val="fr-CA"/>
              </w:rPr>
              <w:t>cohérentes et faire rapport sur ses résultats à la 57</w:t>
            </w:r>
            <w:r w:rsidR="00E654E9" w:rsidRPr="00E654E9">
              <w:rPr>
                <w:rFonts w:asciiTheme="majorHAnsi" w:hAnsiTheme="majorHAnsi"/>
                <w:vertAlign w:val="superscript"/>
                <w:lang w:val="fr-CA"/>
              </w:rPr>
              <w:t>e</w:t>
            </w:r>
            <w:r w:rsidR="00E654E9">
              <w:rPr>
                <w:rFonts w:asciiTheme="majorHAnsi" w:hAnsiTheme="majorHAnsi"/>
                <w:lang w:val="fr-CA"/>
              </w:rPr>
              <w:t xml:space="preserve"> Réunion du Comité permanent </w:t>
            </w:r>
            <w:r w:rsidRPr="00FA02E1">
              <w:rPr>
                <w:rFonts w:asciiTheme="majorHAnsi" w:hAnsiTheme="majorHAnsi"/>
                <w:lang w:val="fr-CA"/>
              </w:rPr>
              <w:t>(</w:t>
            </w:r>
            <w:r w:rsidR="00E654E9">
              <w:rPr>
                <w:rFonts w:asciiTheme="majorHAnsi" w:hAnsiTheme="majorHAnsi"/>
                <w:lang w:val="fr-CA"/>
              </w:rPr>
              <w:t xml:space="preserve">un an après la COP), </w:t>
            </w:r>
            <w:r w:rsidR="00C26D00">
              <w:rPr>
                <w:rFonts w:asciiTheme="majorHAnsi" w:hAnsiTheme="majorHAnsi"/>
                <w:lang w:val="fr-CA"/>
              </w:rPr>
              <w:t>pour</w:t>
            </w:r>
            <w:r w:rsidR="00E654E9">
              <w:rPr>
                <w:rFonts w:asciiTheme="majorHAnsi" w:hAnsiTheme="majorHAnsi"/>
                <w:lang w:val="fr-CA"/>
              </w:rPr>
              <w:t xml:space="preserve"> faire en sorte que les Parties à la COP14 établissent</w:t>
            </w:r>
            <w:r w:rsidR="00C26D00">
              <w:rPr>
                <w:rFonts w:asciiTheme="majorHAnsi" w:hAnsiTheme="majorHAnsi"/>
                <w:lang w:val="fr-CA"/>
              </w:rPr>
              <w:t>,</w:t>
            </w:r>
            <w:r w:rsidR="00E654E9">
              <w:rPr>
                <w:rFonts w:asciiTheme="majorHAnsi" w:hAnsiTheme="majorHAnsi"/>
                <w:lang w:val="fr-CA"/>
              </w:rPr>
              <w:t xml:space="preserve"> pour la Convention</w:t>
            </w:r>
            <w:r w:rsidR="00C26D00">
              <w:rPr>
                <w:rFonts w:asciiTheme="majorHAnsi" w:hAnsiTheme="majorHAnsi"/>
                <w:lang w:val="fr-CA"/>
              </w:rPr>
              <w:t>, un</w:t>
            </w:r>
            <w:r w:rsidR="00F33098">
              <w:rPr>
                <w:rFonts w:asciiTheme="majorHAnsi" w:hAnsiTheme="majorHAnsi"/>
                <w:lang w:val="fr-CA"/>
              </w:rPr>
              <w:t>e</w:t>
            </w:r>
            <w:r w:rsidR="00C26D00">
              <w:rPr>
                <w:rFonts w:asciiTheme="majorHAnsi" w:hAnsiTheme="majorHAnsi"/>
                <w:lang w:val="fr-CA"/>
              </w:rPr>
              <w:t xml:space="preserve"> proc</w:t>
            </w:r>
            <w:r w:rsidR="00F33098">
              <w:rPr>
                <w:rFonts w:asciiTheme="majorHAnsi" w:hAnsiTheme="majorHAnsi"/>
                <w:lang w:val="fr-CA"/>
              </w:rPr>
              <w:t>édure</w:t>
            </w:r>
            <w:r w:rsidR="00E654E9">
              <w:rPr>
                <w:rFonts w:asciiTheme="majorHAnsi" w:hAnsiTheme="majorHAnsi"/>
                <w:lang w:val="fr-CA"/>
              </w:rPr>
              <w:t xml:space="preserve"> d’examen régulier et </w:t>
            </w:r>
            <w:r w:rsidR="00C26D00">
              <w:rPr>
                <w:rFonts w:asciiTheme="majorHAnsi" w:hAnsiTheme="majorHAnsi"/>
                <w:lang w:val="fr-CA"/>
              </w:rPr>
              <w:t>d’abrogation</w:t>
            </w:r>
            <w:r w:rsidR="00E654E9">
              <w:rPr>
                <w:rFonts w:asciiTheme="majorHAnsi" w:hAnsiTheme="majorHAnsi"/>
                <w:lang w:val="fr-CA"/>
              </w:rPr>
              <w:t xml:space="preserve"> de résolutions / recommandations / décisions obsolètes. </w:t>
            </w:r>
          </w:p>
        </w:tc>
      </w:tr>
      <w:tr w:rsidR="00BF284D" w:rsidRPr="00F33098" w14:paraId="2E5E93F3" w14:textId="77777777" w:rsidTr="00C43150">
        <w:trPr>
          <w:trHeight w:val="1230"/>
        </w:trPr>
        <w:tc>
          <w:tcPr>
            <w:tcW w:w="2379" w:type="dxa"/>
            <w:vMerge/>
            <w:hideMark/>
          </w:tcPr>
          <w:p w14:paraId="156693C0"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1B3EE8C5"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8</w:t>
            </w:r>
          </w:p>
        </w:tc>
        <w:tc>
          <w:tcPr>
            <w:tcW w:w="6570" w:type="dxa"/>
            <w:hideMark/>
          </w:tcPr>
          <w:p w14:paraId="577493FF" w14:textId="70908995"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  Identif</w:t>
            </w:r>
            <w:r w:rsidR="00E654E9">
              <w:rPr>
                <w:rFonts w:asciiTheme="majorHAnsi" w:hAnsiTheme="majorHAnsi"/>
                <w:lang w:val="fr-CA"/>
              </w:rPr>
              <w:t xml:space="preserve">ier les changements à la structure du budget ou à la priorisation d’éléments du budget pour traiter les défis </w:t>
            </w:r>
            <w:r w:rsidR="00EA7CEA">
              <w:rPr>
                <w:rFonts w:asciiTheme="majorHAnsi" w:hAnsiTheme="majorHAnsi"/>
                <w:lang w:val="fr-CA"/>
              </w:rPr>
              <w:t>à court terme</w:t>
            </w:r>
            <w:r w:rsidR="00E654E9">
              <w:rPr>
                <w:rFonts w:asciiTheme="majorHAnsi" w:hAnsiTheme="majorHAnsi"/>
                <w:lang w:val="fr-CA"/>
              </w:rPr>
              <w:t xml:space="preserve"> ou les possibilités, le cas échéant, qui pourraient être recommandés au Sous</w:t>
            </w:r>
            <w:r w:rsidR="00E654E9">
              <w:rPr>
                <w:rFonts w:asciiTheme="majorHAnsi" w:hAnsiTheme="majorHAnsi"/>
                <w:lang w:val="fr-CA"/>
              </w:rPr>
              <w:noBreakHyphen/>
              <w:t>groupe sur les finances pour examen à sa prochaine session.</w:t>
            </w:r>
          </w:p>
        </w:tc>
      </w:tr>
      <w:tr w:rsidR="00BF284D" w:rsidRPr="00F33098" w14:paraId="749B5E21" w14:textId="77777777" w:rsidTr="00C43150">
        <w:trPr>
          <w:trHeight w:val="980"/>
        </w:trPr>
        <w:tc>
          <w:tcPr>
            <w:tcW w:w="2379" w:type="dxa"/>
            <w:vMerge w:val="restart"/>
            <w:noWrap/>
            <w:hideMark/>
          </w:tcPr>
          <w:p w14:paraId="7D5EA3D8" w14:textId="6819702F" w:rsidR="00BF284D" w:rsidRPr="00FA02E1" w:rsidRDefault="008406EB" w:rsidP="00F33098">
            <w:pPr>
              <w:spacing w:line="240" w:lineRule="auto"/>
              <w:contextualSpacing/>
              <w:rPr>
                <w:rFonts w:asciiTheme="majorHAnsi" w:hAnsiTheme="majorHAnsi"/>
                <w:lang w:val="fr-CA"/>
              </w:rPr>
            </w:pPr>
            <w:r>
              <w:rPr>
                <w:rFonts w:asciiTheme="majorHAnsi" w:hAnsiTheme="majorHAnsi"/>
                <w:lang w:val="fr-CA"/>
              </w:rPr>
              <w:t>Questions stratégiques</w:t>
            </w:r>
          </w:p>
        </w:tc>
        <w:tc>
          <w:tcPr>
            <w:tcW w:w="591" w:type="dxa"/>
            <w:noWrap/>
            <w:hideMark/>
          </w:tcPr>
          <w:p w14:paraId="32C09C1E"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9</w:t>
            </w:r>
          </w:p>
        </w:tc>
        <w:tc>
          <w:tcPr>
            <w:tcW w:w="6570" w:type="dxa"/>
            <w:hideMark/>
          </w:tcPr>
          <w:p w14:paraId="2231EE1C" w14:textId="426040BB"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  Identif</w:t>
            </w:r>
            <w:r w:rsidR="00E654E9">
              <w:rPr>
                <w:rFonts w:asciiTheme="majorHAnsi" w:hAnsiTheme="majorHAnsi"/>
                <w:lang w:val="fr-CA"/>
              </w:rPr>
              <w:t>ier</w:t>
            </w:r>
            <w:r w:rsidRPr="00FA02E1">
              <w:rPr>
                <w:rFonts w:asciiTheme="majorHAnsi" w:hAnsiTheme="majorHAnsi"/>
                <w:lang w:val="fr-CA"/>
              </w:rPr>
              <w:t xml:space="preserve"> </w:t>
            </w:r>
            <w:r w:rsidR="00E654E9">
              <w:rPr>
                <w:rFonts w:asciiTheme="majorHAnsi" w:hAnsiTheme="majorHAnsi"/>
                <w:lang w:val="fr-CA"/>
              </w:rPr>
              <w:t>les questions stratégiques potentielles pour examen par les Parties à l’occasion des réunions du Comité permanent et/ou des COP, y compris les modalités possibles d’inscription à l’ordre du jour.</w:t>
            </w:r>
          </w:p>
          <w:p w14:paraId="70887F63" w14:textId="00B77E45"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E654E9">
              <w:rPr>
                <w:rFonts w:asciiTheme="majorHAnsi" w:hAnsiTheme="majorHAnsi"/>
                <w:lang w:val="fr-CA"/>
              </w:rPr>
              <w:t xml:space="preserve">Examiner les suggestions du Secrétariat </w:t>
            </w:r>
            <w:r w:rsidR="00EA7CEA">
              <w:rPr>
                <w:rFonts w:asciiTheme="majorHAnsi" w:hAnsiTheme="majorHAnsi"/>
                <w:lang w:val="fr-CA"/>
              </w:rPr>
              <w:t>concernant</w:t>
            </w:r>
            <w:r w:rsidR="00E654E9">
              <w:rPr>
                <w:rFonts w:asciiTheme="majorHAnsi" w:hAnsiTheme="majorHAnsi"/>
                <w:lang w:val="fr-CA"/>
              </w:rPr>
              <w:t xml:space="preserve"> les questions stratégiques. </w:t>
            </w:r>
          </w:p>
          <w:p w14:paraId="3F8BE34A" w14:textId="46949BAC"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3.  </w:t>
            </w:r>
            <w:r w:rsidR="00E654E9">
              <w:rPr>
                <w:rFonts w:asciiTheme="majorHAnsi" w:hAnsiTheme="majorHAnsi"/>
                <w:lang w:val="fr-CA"/>
              </w:rPr>
              <w:t xml:space="preserve">S’il y a lieu, rédiger un texte pour intégration dans un projet de résolution approprié définissant un moyen d’intégrer explicitement des discussions stratégiques dans les travaux du Comité permanent et/ou de la Conférence des Parties. </w:t>
            </w:r>
          </w:p>
        </w:tc>
      </w:tr>
      <w:tr w:rsidR="00BF284D" w:rsidRPr="00EA7CEA" w14:paraId="3DA1C366" w14:textId="77777777" w:rsidTr="00C43150">
        <w:trPr>
          <w:trHeight w:val="890"/>
        </w:trPr>
        <w:tc>
          <w:tcPr>
            <w:tcW w:w="2379" w:type="dxa"/>
            <w:vMerge/>
            <w:hideMark/>
          </w:tcPr>
          <w:p w14:paraId="07770670"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7C3EA045"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10</w:t>
            </w:r>
          </w:p>
        </w:tc>
        <w:tc>
          <w:tcPr>
            <w:tcW w:w="6570" w:type="dxa"/>
            <w:hideMark/>
          </w:tcPr>
          <w:p w14:paraId="09977001" w14:textId="20E7800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5A7EBE">
              <w:rPr>
                <w:rFonts w:asciiTheme="majorHAnsi" w:hAnsiTheme="majorHAnsi"/>
                <w:lang w:val="fr-CA"/>
              </w:rPr>
              <w:t xml:space="preserve">En s’appuyant sur des documents tels que </w:t>
            </w:r>
            <w:r w:rsidRPr="00FA02E1">
              <w:rPr>
                <w:rFonts w:asciiTheme="majorHAnsi" w:hAnsiTheme="majorHAnsi"/>
                <w:lang w:val="fr-CA"/>
              </w:rPr>
              <w:t>SC51 Inf.Doc.03</w:t>
            </w:r>
            <w:r w:rsidR="005A7EBE">
              <w:rPr>
                <w:rFonts w:asciiTheme="majorHAnsi" w:hAnsiTheme="majorHAnsi"/>
                <w:lang w:val="fr-CA"/>
              </w:rPr>
              <w:t>, entre autres, identifier/recommander des notes d’information/orientation</w:t>
            </w:r>
            <w:r w:rsidR="00EA7CEA">
              <w:rPr>
                <w:rFonts w:asciiTheme="majorHAnsi" w:hAnsiTheme="majorHAnsi"/>
                <w:lang w:val="fr-CA"/>
              </w:rPr>
              <w:t>s</w:t>
            </w:r>
            <w:r w:rsidR="005A7EBE">
              <w:rPr>
                <w:rFonts w:asciiTheme="majorHAnsi" w:hAnsiTheme="majorHAnsi"/>
                <w:lang w:val="fr-CA"/>
              </w:rPr>
              <w:t>/ autre</w:t>
            </w:r>
            <w:r w:rsidR="00EA7CEA">
              <w:rPr>
                <w:rFonts w:asciiTheme="majorHAnsi" w:hAnsiTheme="majorHAnsi"/>
                <w:lang w:val="fr-CA"/>
              </w:rPr>
              <w:t>s</w:t>
            </w:r>
            <w:r w:rsidR="005A7EBE">
              <w:rPr>
                <w:rFonts w:asciiTheme="majorHAnsi" w:hAnsiTheme="majorHAnsi"/>
                <w:lang w:val="fr-CA"/>
              </w:rPr>
              <w:t xml:space="preserve"> information</w:t>
            </w:r>
            <w:r w:rsidR="00EA7CEA">
              <w:rPr>
                <w:rFonts w:asciiTheme="majorHAnsi" w:hAnsiTheme="majorHAnsi"/>
                <w:lang w:val="fr-CA"/>
              </w:rPr>
              <w:t>s</w:t>
            </w:r>
            <w:r w:rsidR="005A7EBE">
              <w:rPr>
                <w:rFonts w:asciiTheme="majorHAnsi" w:hAnsiTheme="majorHAnsi"/>
                <w:lang w:val="fr-CA"/>
              </w:rPr>
              <w:t xml:space="preserve"> </w:t>
            </w:r>
            <w:r w:rsidR="00EA7CEA">
              <w:rPr>
                <w:rFonts w:asciiTheme="majorHAnsi" w:hAnsiTheme="majorHAnsi"/>
                <w:lang w:val="fr-CA"/>
              </w:rPr>
              <w:t>éventuelles</w:t>
            </w:r>
            <w:r w:rsidR="005A7EBE">
              <w:rPr>
                <w:rFonts w:asciiTheme="majorHAnsi" w:hAnsiTheme="majorHAnsi"/>
                <w:lang w:val="fr-CA"/>
              </w:rPr>
              <w:t xml:space="preserve"> </w:t>
            </w:r>
            <w:r w:rsidR="00EA7CEA">
              <w:rPr>
                <w:rFonts w:asciiTheme="majorHAnsi" w:hAnsiTheme="majorHAnsi"/>
                <w:lang w:val="fr-CA"/>
              </w:rPr>
              <w:t>pour les</w:t>
            </w:r>
            <w:r w:rsidR="005A7EBE">
              <w:rPr>
                <w:rFonts w:asciiTheme="majorHAnsi" w:hAnsiTheme="majorHAnsi"/>
                <w:lang w:val="fr-CA"/>
              </w:rPr>
              <w:t xml:space="preserve"> Parties </w:t>
            </w:r>
            <w:r w:rsidR="00EA7CEA">
              <w:rPr>
                <w:rFonts w:asciiTheme="majorHAnsi" w:hAnsiTheme="majorHAnsi"/>
                <w:lang w:val="fr-CA"/>
              </w:rPr>
              <w:t>afin de s’assurer</w:t>
            </w:r>
            <w:r w:rsidR="005A7EBE">
              <w:rPr>
                <w:rFonts w:asciiTheme="majorHAnsi" w:hAnsiTheme="majorHAnsi"/>
                <w:lang w:val="fr-CA"/>
              </w:rPr>
              <w:t xml:space="preserve"> qu’elles comprennent leurs rôles et responsabilités en tant que membres des organes de la Convention ainsi que les éléments du règlement intérieur pertinents pour leurs travaux. </w:t>
            </w:r>
            <w:r w:rsidRPr="00FA02E1">
              <w:rPr>
                <w:rFonts w:asciiTheme="majorHAnsi" w:hAnsiTheme="majorHAnsi"/>
                <w:lang w:val="fr-CA"/>
              </w:rPr>
              <w:t xml:space="preserve"> </w:t>
            </w:r>
          </w:p>
          <w:p w14:paraId="11B09070" w14:textId="4BB80C3B"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5A7EBE">
              <w:rPr>
                <w:rFonts w:asciiTheme="majorHAnsi" w:hAnsiTheme="majorHAnsi"/>
                <w:lang w:val="fr-CA"/>
              </w:rPr>
              <w:t>Examiner les suggestions du Secrétariat pour identifier/ recommander des notes d’information/orientation</w:t>
            </w:r>
            <w:r w:rsidR="00EA7CEA">
              <w:rPr>
                <w:rFonts w:asciiTheme="majorHAnsi" w:hAnsiTheme="majorHAnsi"/>
                <w:lang w:val="fr-CA"/>
              </w:rPr>
              <w:t>s</w:t>
            </w:r>
            <w:r w:rsidR="005A7EBE">
              <w:rPr>
                <w:rFonts w:asciiTheme="majorHAnsi" w:hAnsiTheme="majorHAnsi"/>
                <w:lang w:val="fr-CA"/>
              </w:rPr>
              <w:t>/ autre</w:t>
            </w:r>
            <w:r w:rsidR="00EA7CEA">
              <w:rPr>
                <w:rFonts w:asciiTheme="majorHAnsi" w:hAnsiTheme="majorHAnsi"/>
                <w:lang w:val="fr-CA"/>
              </w:rPr>
              <w:t>s</w:t>
            </w:r>
            <w:r w:rsidR="005A7EBE">
              <w:rPr>
                <w:rFonts w:asciiTheme="majorHAnsi" w:hAnsiTheme="majorHAnsi"/>
                <w:lang w:val="fr-CA"/>
              </w:rPr>
              <w:t xml:space="preserve"> information</w:t>
            </w:r>
            <w:r w:rsidR="00EA7CEA">
              <w:rPr>
                <w:rFonts w:asciiTheme="majorHAnsi" w:hAnsiTheme="majorHAnsi"/>
                <w:lang w:val="fr-CA"/>
              </w:rPr>
              <w:t>s</w:t>
            </w:r>
            <w:r w:rsidR="005A7EBE">
              <w:rPr>
                <w:rFonts w:asciiTheme="majorHAnsi" w:hAnsiTheme="majorHAnsi"/>
                <w:lang w:val="fr-CA"/>
              </w:rPr>
              <w:t xml:space="preserve"> </w:t>
            </w:r>
            <w:r w:rsidR="00EA7CEA">
              <w:rPr>
                <w:rFonts w:asciiTheme="majorHAnsi" w:hAnsiTheme="majorHAnsi"/>
                <w:lang w:val="fr-CA"/>
              </w:rPr>
              <w:t xml:space="preserve">éventuelles pour les Parties afin de s’assurer </w:t>
            </w:r>
            <w:r w:rsidR="005A7EBE">
              <w:rPr>
                <w:rFonts w:asciiTheme="majorHAnsi" w:hAnsiTheme="majorHAnsi"/>
                <w:lang w:val="fr-CA"/>
              </w:rPr>
              <w:t xml:space="preserve">qu’elles comprennent leurs rôles et responsabilités en tant que membres des organes de la Convention et </w:t>
            </w:r>
            <w:r w:rsidR="00EA7CEA">
              <w:rPr>
                <w:rFonts w:asciiTheme="majorHAnsi" w:hAnsiTheme="majorHAnsi"/>
                <w:lang w:val="fr-CA"/>
              </w:rPr>
              <w:t>le</w:t>
            </w:r>
            <w:r w:rsidR="005A7EBE">
              <w:rPr>
                <w:rFonts w:asciiTheme="majorHAnsi" w:hAnsiTheme="majorHAnsi"/>
                <w:lang w:val="fr-CA"/>
              </w:rPr>
              <w:t xml:space="preserve"> règlement intérieur et faire des recommandations, s’il y a lieu, pour toute autre action. </w:t>
            </w:r>
            <w:r w:rsidRPr="00FA02E1">
              <w:rPr>
                <w:rFonts w:asciiTheme="majorHAnsi" w:hAnsiTheme="majorHAnsi"/>
                <w:i/>
                <w:lang w:val="fr-CA"/>
              </w:rPr>
              <w:t>(Note</w:t>
            </w:r>
            <w:r w:rsidR="005A7EBE">
              <w:rPr>
                <w:rFonts w:asciiTheme="majorHAnsi" w:hAnsiTheme="majorHAnsi"/>
                <w:i/>
                <w:lang w:val="fr-CA"/>
              </w:rPr>
              <w:t> </w:t>
            </w:r>
            <w:r w:rsidRPr="00FA02E1">
              <w:rPr>
                <w:rFonts w:asciiTheme="majorHAnsi" w:hAnsiTheme="majorHAnsi"/>
                <w:i/>
                <w:lang w:val="fr-CA"/>
              </w:rPr>
              <w:t>: inclu</w:t>
            </w:r>
            <w:r w:rsidR="00F33098">
              <w:rPr>
                <w:rFonts w:asciiTheme="majorHAnsi" w:hAnsiTheme="majorHAnsi"/>
                <w:i/>
                <w:lang w:val="fr-CA"/>
              </w:rPr>
              <w:t>t</w:t>
            </w:r>
            <w:r w:rsidR="005A7EBE">
              <w:rPr>
                <w:rFonts w:asciiTheme="majorHAnsi" w:hAnsiTheme="majorHAnsi"/>
                <w:i/>
                <w:lang w:val="fr-CA"/>
              </w:rPr>
              <w:t xml:space="preserve"> la contribution de la tâche 13) </w:t>
            </w:r>
          </w:p>
        </w:tc>
      </w:tr>
      <w:tr w:rsidR="00BF284D" w:rsidRPr="0008616B" w14:paraId="1956B422" w14:textId="77777777" w:rsidTr="00C43150">
        <w:trPr>
          <w:trHeight w:val="2240"/>
        </w:trPr>
        <w:tc>
          <w:tcPr>
            <w:tcW w:w="2379" w:type="dxa"/>
            <w:vMerge/>
            <w:noWrap/>
            <w:hideMark/>
          </w:tcPr>
          <w:p w14:paraId="01D1E811"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6CC076A4"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11</w:t>
            </w:r>
          </w:p>
        </w:tc>
        <w:tc>
          <w:tcPr>
            <w:tcW w:w="6570" w:type="dxa"/>
            <w:hideMark/>
          </w:tcPr>
          <w:p w14:paraId="2E9460B3" w14:textId="03B9906E"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5A7EBE">
              <w:rPr>
                <w:rFonts w:asciiTheme="majorHAnsi" w:hAnsiTheme="majorHAnsi"/>
                <w:lang w:val="fr-CA"/>
              </w:rPr>
              <w:t xml:space="preserve">Examiner comment d’autres conventions utilisent </w:t>
            </w:r>
            <w:r w:rsidR="00CB21BE">
              <w:rPr>
                <w:rFonts w:asciiTheme="majorHAnsi" w:hAnsiTheme="majorHAnsi"/>
                <w:lang w:val="fr-CA"/>
              </w:rPr>
              <w:t>l</w:t>
            </w:r>
            <w:r w:rsidR="005A7EBE">
              <w:rPr>
                <w:rFonts w:asciiTheme="majorHAnsi" w:hAnsiTheme="majorHAnsi"/>
                <w:lang w:val="fr-CA"/>
              </w:rPr>
              <w:t xml:space="preserve">es soumissions écrites pour soutenir leurs travaux et recommander des approches, le cas échéant, qui pourraient être utiles à Ramsar, avec </w:t>
            </w:r>
            <w:r w:rsidR="00CB21BE">
              <w:rPr>
                <w:rFonts w:asciiTheme="majorHAnsi" w:hAnsiTheme="majorHAnsi"/>
                <w:lang w:val="fr-CA"/>
              </w:rPr>
              <w:t xml:space="preserve">une estimation de </w:t>
            </w:r>
            <w:r w:rsidR="002C6542">
              <w:rPr>
                <w:rFonts w:asciiTheme="majorHAnsi" w:hAnsiTheme="majorHAnsi"/>
                <w:lang w:val="fr-CA"/>
              </w:rPr>
              <w:t>tous les coûts associés.</w:t>
            </w:r>
          </w:p>
          <w:p w14:paraId="0D4E8BD2" w14:textId="4214FDD1"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2C6542">
              <w:rPr>
                <w:rFonts w:asciiTheme="majorHAnsi" w:hAnsiTheme="majorHAnsi"/>
                <w:lang w:val="fr-CA"/>
              </w:rPr>
              <w:t xml:space="preserve">Examiner les suggestions du Secrétariat concernant les moyens </w:t>
            </w:r>
            <w:r w:rsidR="00CB21BE">
              <w:rPr>
                <w:rFonts w:asciiTheme="majorHAnsi" w:hAnsiTheme="majorHAnsi"/>
                <w:lang w:val="fr-CA"/>
              </w:rPr>
              <w:t xml:space="preserve">d’utiliser la technologie </w:t>
            </w:r>
            <w:r w:rsidR="002C6542">
              <w:rPr>
                <w:rFonts w:asciiTheme="majorHAnsi" w:hAnsiTheme="majorHAnsi"/>
                <w:lang w:val="fr-CA"/>
              </w:rPr>
              <w:t xml:space="preserve">et des soumissions écrites et faire des recommandations s’il y a lieu pour toute autre action. </w:t>
            </w:r>
            <w:r w:rsidRPr="00FA02E1">
              <w:rPr>
                <w:rFonts w:asciiTheme="majorHAnsi" w:hAnsiTheme="majorHAnsi"/>
                <w:lang w:val="fr-CA"/>
              </w:rPr>
              <w:t>(</w:t>
            </w:r>
            <w:r w:rsidRPr="00FA02E1">
              <w:rPr>
                <w:rFonts w:asciiTheme="majorHAnsi" w:hAnsiTheme="majorHAnsi"/>
                <w:i/>
                <w:lang w:val="fr-CA"/>
              </w:rPr>
              <w:t>Note</w:t>
            </w:r>
            <w:r w:rsidR="002C6542">
              <w:rPr>
                <w:rFonts w:asciiTheme="majorHAnsi" w:hAnsiTheme="majorHAnsi"/>
                <w:i/>
                <w:lang w:val="fr-CA"/>
              </w:rPr>
              <w:t xml:space="preserve"> : les tâches 11 et 14 sont associées pour l’étape 2) </w:t>
            </w:r>
          </w:p>
        </w:tc>
      </w:tr>
      <w:tr w:rsidR="00BF284D" w:rsidRPr="0008616B" w14:paraId="05D3BDD7" w14:textId="77777777" w:rsidTr="00C43150">
        <w:trPr>
          <w:trHeight w:val="1502"/>
        </w:trPr>
        <w:tc>
          <w:tcPr>
            <w:tcW w:w="2379" w:type="dxa"/>
            <w:vMerge/>
            <w:hideMark/>
          </w:tcPr>
          <w:p w14:paraId="2E4942B6"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4B910919"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12</w:t>
            </w:r>
          </w:p>
        </w:tc>
        <w:tc>
          <w:tcPr>
            <w:tcW w:w="6570" w:type="dxa"/>
            <w:hideMark/>
          </w:tcPr>
          <w:p w14:paraId="1616DAC7" w14:textId="2E7F0EA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08616B">
              <w:rPr>
                <w:rFonts w:asciiTheme="majorHAnsi" w:hAnsiTheme="majorHAnsi"/>
                <w:lang w:val="fr-CA"/>
              </w:rPr>
              <w:t>Étudier</w:t>
            </w:r>
            <w:r w:rsidR="002C6542">
              <w:rPr>
                <w:rFonts w:asciiTheme="majorHAnsi" w:hAnsiTheme="majorHAnsi"/>
                <w:lang w:val="fr-CA"/>
              </w:rPr>
              <w:t xml:space="preserve"> comment les Parties pourraient systématiquement utiliser les groupes de travail et/ou d’autres groupes informels (p. ex., les « Amis du Président/de la Présidence » pour déléguer des tâches complexes afin de faciliter la gestion du temps durant les réunions </w:t>
            </w:r>
            <w:r w:rsidR="0008616B">
              <w:rPr>
                <w:rFonts w:asciiTheme="majorHAnsi" w:hAnsiTheme="majorHAnsi"/>
                <w:lang w:val="fr-CA"/>
              </w:rPr>
              <w:t>en vue</w:t>
            </w:r>
            <w:r w:rsidR="002C6542">
              <w:rPr>
                <w:rFonts w:asciiTheme="majorHAnsi" w:hAnsiTheme="majorHAnsi"/>
                <w:lang w:val="fr-CA"/>
              </w:rPr>
              <w:t xml:space="preserve"> d’augmenter les possibilités de discussions stratégiques. </w:t>
            </w:r>
            <w:r w:rsidRPr="00FA02E1">
              <w:rPr>
                <w:rFonts w:asciiTheme="majorHAnsi" w:hAnsiTheme="majorHAnsi"/>
                <w:i/>
                <w:lang w:val="fr-CA"/>
              </w:rPr>
              <w:t>(Note</w:t>
            </w:r>
            <w:r w:rsidR="002C6542">
              <w:rPr>
                <w:rFonts w:asciiTheme="majorHAnsi" w:hAnsiTheme="majorHAnsi"/>
                <w:i/>
                <w:lang w:val="fr-CA"/>
              </w:rPr>
              <w:t> </w:t>
            </w:r>
            <w:r w:rsidRPr="00FA02E1">
              <w:rPr>
                <w:rFonts w:asciiTheme="majorHAnsi" w:hAnsiTheme="majorHAnsi"/>
                <w:i/>
                <w:lang w:val="fr-CA"/>
              </w:rPr>
              <w:t>: g</w:t>
            </w:r>
            <w:r w:rsidR="002C6542">
              <w:rPr>
                <w:rFonts w:asciiTheme="majorHAnsi" w:hAnsiTheme="majorHAnsi"/>
                <w:i/>
                <w:lang w:val="fr-CA"/>
              </w:rPr>
              <w:t>én</w:t>
            </w:r>
            <w:r w:rsidR="0008616B">
              <w:rPr>
                <w:rFonts w:asciiTheme="majorHAnsi" w:hAnsiTheme="majorHAnsi"/>
                <w:i/>
                <w:lang w:val="fr-CA"/>
              </w:rPr>
              <w:t>ère</w:t>
            </w:r>
            <w:r w:rsidR="002C6542">
              <w:rPr>
                <w:rFonts w:asciiTheme="majorHAnsi" w:hAnsiTheme="majorHAnsi"/>
                <w:i/>
                <w:lang w:val="fr-CA"/>
              </w:rPr>
              <w:t xml:space="preserve"> contributions à la tâche 1) </w:t>
            </w:r>
          </w:p>
        </w:tc>
      </w:tr>
      <w:tr w:rsidR="00BF284D" w:rsidRPr="0008616B" w14:paraId="7D21BE6A" w14:textId="77777777" w:rsidTr="00C43150">
        <w:trPr>
          <w:trHeight w:val="1772"/>
        </w:trPr>
        <w:tc>
          <w:tcPr>
            <w:tcW w:w="2379" w:type="dxa"/>
            <w:vMerge/>
            <w:hideMark/>
          </w:tcPr>
          <w:p w14:paraId="2726A7C4" w14:textId="77777777" w:rsidR="00BF284D" w:rsidRPr="00FA02E1" w:rsidRDefault="00BF284D" w:rsidP="00F33098">
            <w:pPr>
              <w:spacing w:line="240" w:lineRule="auto"/>
              <w:contextualSpacing/>
              <w:rPr>
                <w:rFonts w:asciiTheme="majorHAnsi" w:hAnsiTheme="majorHAnsi"/>
                <w:lang w:val="fr-CA"/>
              </w:rPr>
            </w:pPr>
          </w:p>
        </w:tc>
        <w:tc>
          <w:tcPr>
            <w:tcW w:w="591" w:type="dxa"/>
            <w:noWrap/>
            <w:hideMark/>
          </w:tcPr>
          <w:p w14:paraId="10FEC8B2"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13</w:t>
            </w:r>
          </w:p>
        </w:tc>
        <w:tc>
          <w:tcPr>
            <w:tcW w:w="6570" w:type="dxa"/>
            <w:hideMark/>
          </w:tcPr>
          <w:p w14:paraId="19661AE0" w14:textId="7605E0C9"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1.  </w:t>
            </w:r>
            <w:r w:rsidR="0008616B">
              <w:rPr>
                <w:rFonts w:asciiTheme="majorHAnsi" w:hAnsiTheme="majorHAnsi"/>
                <w:lang w:val="fr-CA"/>
              </w:rPr>
              <w:t>Étudier comment</w:t>
            </w:r>
            <w:r w:rsidR="002C6542">
              <w:rPr>
                <w:rFonts w:asciiTheme="majorHAnsi" w:hAnsiTheme="majorHAnsi"/>
                <w:lang w:val="fr-CA"/>
              </w:rPr>
              <w:t xml:space="preserve"> les Parties pourraient être plus disciplinées dans leur utilisation du temps durant les sessions </w:t>
            </w:r>
            <w:r w:rsidR="0008616B">
              <w:rPr>
                <w:rFonts w:asciiTheme="majorHAnsi" w:hAnsiTheme="majorHAnsi"/>
                <w:lang w:val="fr-CA"/>
              </w:rPr>
              <w:t>pour faire en sorte</w:t>
            </w:r>
            <w:r w:rsidR="002C6542">
              <w:rPr>
                <w:rFonts w:asciiTheme="majorHAnsi" w:hAnsiTheme="majorHAnsi"/>
                <w:lang w:val="fr-CA"/>
              </w:rPr>
              <w:t xml:space="preserve"> que, tout en permettant une participation pleine et entière des participants, le</w:t>
            </w:r>
            <w:r w:rsidR="0008616B">
              <w:rPr>
                <w:rFonts w:asciiTheme="majorHAnsi" w:hAnsiTheme="majorHAnsi"/>
                <w:lang w:val="fr-CA"/>
              </w:rPr>
              <w:t xml:space="preserve"> débat</w:t>
            </w:r>
            <w:r w:rsidR="002C6542">
              <w:rPr>
                <w:rFonts w:asciiTheme="majorHAnsi" w:hAnsiTheme="majorHAnsi"/>
                <w:lang w:val="fr-CA"/>
              </w:rPr>
              <w:t xml:space="preserve"> reste </w:t>
            </w:r>
            <w:r w:rsidR="0008616B">
              <w:rPr>
                <w:rFonts w:asciiTheme="majorHAnsi" w:hAnsiTheme="majorHAnsi"/>
                <w:lang w:val="fr-CA"/>
              </w:rPr>
              <w:t>focalisé</w:t>
            </w:r>
            <w:r w:rsidR="002C6542">
              <w:rPr>
                <w:rFonts w:asciiTheme="majorHAnsi" w:hAnsiTheme="majorHAnsi"/>
                <w:lang w:val="fr-CA"/>
              </w:rPr>
              <w:t xml:space="preserve"> sur les points de l’ordre du jour </w:t>
            </w:r>
            <w:r w:rsidR="0008616B">
              <w:rPr>
                <w:rFonts w:asciiTheme="majorHAnsi" w:hAnsiTheme="majorHAnsi"/>
                <w:lang w:val="fr-CA"/>
              </w:rPr>
              <w:t>en discussion</w:t>
            </w:r>
            <w:r w:rsidR="002C6542">
              <w:rPr>
                <w:rFonts w:asciiTheme="majorHAnsi" w:hAnsiTheme="majorHAnsi"/>
                <w:lang w:val="fr-CA"/>
              </w:rPr>
              <w:t xml:space="preserve"> et qu’une fois que les questions sont conclues, elles le restent, et faire des recommandations s’il y a lieu. </w:t>
            </w:r>
            <w:r w:rsidRPr="00FA02E1">
              <w:rPr>
                <w:rFonts w:asciiTheme="majorHAnsi" w:hAnsiTheme="majorHAnsi"/>
                <w:i/>
                <w:lang w:val="fr-CA"/>
              </w:rPr>
              <w:t>(Note</w:t>
            </w:r>
            <w:r w:rsidR="002C6542">
              <w:rPr>
                <w:rFonts w:asciiTheme="majorHAnsi" w:hAnsiTheme="majorHAnsi"/>
                <w:i/>
                <w:lang w:val="fr-CA"/>
              </w:rPr>
              <w:t> </w:t>
            </w:r>
            <w:r w:rsidRPr="00FA02E1">
              <w:rPr>
                <w:rFonts w:asciiTheme="majorHAnsi" w:hAnsiTheme="majorHAnsi"/>
                <w:i/>
                <w:lang w:val="fr-CA"/>
              </w:rPr>
              <w:t xml:space="preserve">: </w:t>
            </w:r>
            <w:r w:rsidR="002C6542">
              <w:rPr>
                <w:rFonts w:asciiTheme="majorHAnsi" w:hAnsiTheme="majorHAnsi"/>
                <w:i/>
                <w:lang w:val="fr-CA"/>
              </w:rPr>
              <w:t>gén</w:t>
            </w:r>
            <w:r w:rsidR="00F33098">
              <w:rPr>
                <w:rFonts w:asciiTheme="majorHAnsi" w:hAnsiTheme="majorHAnsi"/>
                <w:i/>
                <w:lang w:val="fr-CA"/>
              </w:rPr>
              <w:t>ère des</w:t>
            </w:r>
            <w:r w:rsidR="002C6542">
              <w:rPr>
                <w:rFonts w:asciiTheme="majorHAnsi" w:hAnsiTheme="majorHAnsi"/>
                <w:i/>
                <w:lang w:val="fr-CA"/>
              </w:rPr>
              <w:t xml:space="preserve"> contributions à la tâche 10) </w:t>
            </w:r>
          </w:p>
        </w:tc>
      </w:tr>
      <w:tr w:rsidR="00BF284D" w:rsidRPr="009C4E5C" w14:paraId="2DAB0A94" w14:textId="77777777" w:rsidTr="00C43150">
        <w:trPr>
          <w:trHeight w:val="1255"/>
        </w:trPr>
        <w:tc>
          <w:tcPr>
            <w:tcW w:w="2379" w:type="dxa"/>
            <w:hideMark/>
          </w:tcPr>
          <w:p w14:paraId="1292EDCF" w14:textId="4FAFC843"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Participation / </w:t>
            </w:r>
            <w:r w:rsidR="008406EB" w:rsidRPr="00FA02E1">
              <w:rPr>
                <w:rFonts w:asciiTheme="majorHAnsi" w:hAnsiTheme="majorHAnsi"/>
                <w:lang w:val="fr-CA"/>
              </w:rPr>
              <w:t>Représentation</w:t>
            </w:r>
          </w:p>
        </w:tc>
        <w:tc>
          <w:tcPr>
            <w:tcW w:w="591" w:type="dxa"/>
            <w:noWrap/>
            <w:hideMark/>
          </w:tcPr>
          <w:p w14:paraId="29B9D712" w14:textId="77777777"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14</w:t>
            </w:r>
          </w:p>
        </w:tc>
        <w:tc>
          <w:tcPr>
            <w:tcW w:w="6570" w:type="dxa"/>
            <w:hideMark/>
          </w:tcPr>
          <w:p w14:paraId="597CA235" w14:textId="7D852B6C" w:rsidR="00BF284D" w:rsidRPr="00FA02E1" w:rsidRDefault="002C6542" w:rsidP="00F33098">
            <w:pPr>
              <w:spacing w:line="240" w:lineRule="auto"/>
              <w:contextualSpacing/>
              <w:rPr>
                <w:rFonts w:asciiTheme="majorHAnsi" w:hAnsiTheme="majorHAnsi"/>
                <w:lang w:val="fr-CA"/>
              </w:rPr>
            </w:pPr>
            <w:r>
              <w:rPr>
                <w:rFonts w:asciiTheme="majorHAnsi" w:hAnsiTheme="majorHAnsi"/>
                <w:lang w:val="fr-CA"/>
              </w:rPr>
              <w:t xml:space="preserve">1.  Explorer des possibilités et </w:t>
            </w:r>
            <w:r w:rsidR="00F33098">
              <w:rPr>
                <w:rFonts w:asciiTheme="majorHAnsi" w:hAnsiTheme="majorHAnsi"/>
                <w:lang w:val="fr-CA"/>
              </w:rPr>
              <w:t>l</w:t>
            </w:r>
            <w:r>
              <w:rPr>
                <w:rFonts w:asciiTheme="majorHAnsi" w:hAnsiTheme="majorHAnsi"/>
                <w:lang w:val="fr-CA"/>
              </w:rPr>
              <w:t xml:space="preserve">es coûts associés </w:t>
            </w:r>
            <w:r w:rsidR="0008616B">
              <w:rPr>
                <w:rFonts w:asciiTheme="majorHAnsi" w:hAnsiTheme="majorHAnsi"/>
                <w:lang w:val="fr-CA"/>
              </w:rPr>
              <w:t>de l’utilisation d’I</w:t>
            </w:r>
            <w:r>
              <w:rPr>
                <w:rFonts w:asciiTheme="majorHAnsi" w:hAnsiTheme="majorHAnsi"/>
                <w:lang w:val="fr-CA"/>
              </w:rPr>
              <w:t>nternet et d’autres technologies de télécommunication dans le but de renforcer la participation et la représentation des Parties</w:t>
            </w:r>
            <w:r w:rsidR="0008616B">
              <w:rPr>
                <w:rFonts w:asciiTheme="majorHAnsi" w:hAnsiTheme="majorHAnsi"/>
                <w:lang w:val="fr-CA"/>
              </w:rPr>
              <w:t>,</w:t>
            </w:r>
            <w:r>
              <w:rPr>
                <w:rFonts w:asciiTheme="majorHAnsi" w:hAnsiTheme="majorHAnsi"/>
                <w:lang w:val="fr-CA"/>
              </w:rPr>
              <w:t xml:space="preserve"> ainsi que d’optimiser les ressources. </w:t>
            </w:r>
          </w:p>
          <w:p w14:paraId="1D67AED6" w14:textId="78DFC2AB" w:rsidR="00BF284D" w:rsidRPr="00FA02E1" w:rsidRDefault="00BF284D" w:rsidP="00F33098">
            <w:pPr>
              <w:spacing w:line="240" w:lineRule="auto"/>
              <w:contextualSpacing/>
              <w:rPr>
                <w:rFonts w:asciiTheme="majorHAnsi" w:hAnsiTheme="majorHAnsi"/>
                <w:lang w:val="fr-CA"/>
              </w:rPr>
            </w:pPr>
            <w:r w:rsidRPr="00FA02E1">
              <w:rPr>
                <w:rFonts w:asciiTheme="majorHAnsi" w:hAnsiTheme="majorHAnsi"/>
                <w:lang w:val="fr-CA"/>
              </w:rPr>
              <w:t xml:space="preserve">2.  </w:t>
            </w:r>
            <w:r w:rsidR="002C6542">
              <w:rPr>
                <w:rFonts w:asciiTheme="majorHAnsi" w:hAnsiTheme="majorHAnsi"/>
                <w:lang w:val="fr-CA"/>
              </w:rPr>
              <w:t>Examiner les suggestions du Secrétariat concernant les moyens d’utiliser la technologie et les soumissions écrites et faire des recommandations s’il y a lieu, pour toute autre action.</w:t>
            </w:r>
            <w:r w:rsidRPr="00FA02E1">
              <w:rPr>
                <w:rFonts w:asciiTheme="majorHAnsi" w:hAnsiTheme="majorHAnsi"/>
                <w:lang w:val="fr-CA"/>
              </w:rPr>
              <w:t xml:space="preserve"> (</w:t>
            </w:r>
            <w:r w:rsidRPr="00FA02E1">
              <w:rPr>
                <w:rFonts w:asciiTheme="majorHAnsi" w:hAnsiTheme="majorHAnsi"/>
                <w:i/>
                <w:lang w:val="fr-CA"/>
              </w:rPr>
              <w:t>Note</w:t>
            </w:r>
            <w:r w:rsidR="002C6542">
              <w:rPr>
                <w:rFonts w:asciiTheme="majorHAnsi" w:hAnsiTheme="majorHAnsi"/>
                <w:i/>
                <w:lang w:val="fr-CA"/>
              </w:rPr>
              <w:t> </w:t>
            </w:r>
            <w:r w:rsidRPr="00FA02E1">
              <w:rPr>
                <w:rFonts w:asciiTheme="majorHAnsi" w:hAnsiTheme="majorHAnsi"/>
                <w:i/>
                <w:lang w:val="fr-CA"/>
              </w:rPr>
              <w:t xml:space="preserve">: </w:t>
            </w:r>
            <w:r w:rsidR="002C6542">
              <w:rPr>
                <w:rFonts w:asciiTheme="majorHAnsi" w:hAnsiTheme="majorHAnsi"/>
                <w:i/>
                <w:lang w:val="fr-CA"/>
              </w:rPr>
              <w:t>Les tâches</w:t>
            </w:r>
            <w:r w:rsidRPr="00FA02E1">
              <w:rPr>
                <w:rFonts w:asciiTheme="majorHAnsi" w:hAnsiTheme="majorHAnsi"/>
                <w:i/>
                <w:lang w:val="fr-CA"/>
              </w:rPr>
              <w:t xml:space="preserve"> 11 </w:t>
            </w:r>
            <w:r w:rsidR="002C6542">
              <w:rPr>
                <w:rFonts w:asciiTheme="majorHAnsi" w:hAnsiTheme="majorHAnsi"/>
                <w:i/>
                <w:lang w:val="fr-CA"/>
              </w:rPr>
              <w:t>et</w:t>
            </w:r>
            <w:r w:rsidRPr="00FA02E1">
              <w:rPr>
                <w:rFonts w:asciiTheme="majorHAnsi" w:hAnsiTheme="majorHAnsi"/>
                <w:i/>
                <w:lang w:val="fr-CA"/>
              </w:rPr>
              <w:t xml:space="preserve"> 14 </w:t>
            </w:r>
            <w:r w:rsidR="002C6542">
              <w:rPr>
                <w:rFonts w:asciiTheme="majorHAnsi" w:hAnsiTheme="majorHAnsi"/>
                <w:i/>
                <w:lang w:val="fr-CA"/>
              </w:rPr>
              <w:t>sont associées pour l’éta</w:t>
            </w:r>
            <w:r w:rsidR="0008616B">
              <w:rPr>
                <w:rFonts w:asciiTheme="majorHAnsi" w:hAnsiTheme="majorHAnsi"/>
                <w:i/>
                <w:lang w:val="fr-CA"/>
              </w:rPr>
              <w:t>p</w:t>
            </w:r>
            <w:r w:rsidR="002C6542">
              <w:rPr>
                <w:rFonts w:asciiTheme="majorHAnsi" w:hAnsiTheme="majorHAnsi"/>
                <w:i/>
                <w:lang w:val="fr-CA"/>
              </w:rPr>
              <w:t xml:space="preserve">e 2) </w:t>
            </w:r>
          </w:p>
        </w:tc>
      </w:tr>
    </w:tbl>
    <w:p w14:paraId="15C1AA82" w14:textId="77777777" w:rsidR="00BF284D" w:rsidRPr="00FA02E1" w:rsidRDefault="00BF284D" w:rsidP="00F33098">
      <w:pPr>
        <w:spacing w:after="0" w:line="240" w:lineRule="auto"/>
        <w:contextualSpacing/>
        <w:rPr>
          <w:rFonts w:ascii="Times New Roman" w:hAnsi="Times New Roman"/>
          <w:sz w:val="24"/>
          <w:szCs w:val="24"/>
          <w:lang w:val="fr-CA"/>
        </w:rPr>
      </w:pPr>
    </w:p>
    <w:p w14:paraId="0837AF21" w14:textId="77777777" w:rsidR="00BF284D" w:rsidRPr="00FA02E1" w:rsidRDefault="00BF284D" w:rsidP="00F33098">
      <w:pPr>
        <w:spacing w:after="0" w:line="240" w:lineRule="auto"/>
        <w:rPr>
          <w:rFonts w:asciiTheme="majorHAnsi" w:hAnsiTheme="majorHAnsi"/>
          <w:lang w:val="fr-CA"/>
        </w:rPr>
      </w:pPr>
    </w:p>
    <w:sectPr w:rsidR="00BF284D" w:rsidRPr="00FA02E1" w:rsidSect="009C4E5C">
      <w:headerReference w:type="default" r:id="rId9"/>
      <w:footerReference w:type="defaul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7F99F" w14:textId="77777777" w:rsidR="001F6D4B" w:rsidRDefault="001F6D4B" w:rsidP="00BB101B">
      <w:pPr>
        <w:spacing w:after="0" w:line="240" w:lineRule="auto"/>
      </w:pPr>
      <w:r>
        <w:separator/>
      </w:r>
    </w:p>
  </w:endnote>
  <w:endnote w:type="continuationSeparator" w:id="0">
    <w:p w14:paraId="6A95CD95" w14:textId="77777777" w:rsidR="001F6D4B" w:rsidRDefault="001F6D4B"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18826"/>
      <w:docPartObj>
        <w:docPartGallery w:val="Page Numbers (Bottom of Page)"/>
        <w:docPartUnique/>
      </w:docPartObj>
    </w:sdtPr>
    <w:sdtEndPr>
      <w:rPr>
        <w:noProof/>
      </w:rPr>
    </w:sdtEndPr>
    <w:sdtContent>
      <w:p w14:paraId="528159A1" w14:textId="22247879" w:rsidR="009C4E5C" w:rsidRDefault="009C4E5C">
        <w:pPr>
          <w:pStyle w:val="Footer"/>
          <w:jc w:val="center"/>
        </w:pPr>
        <w:r>
          <w:fldChar w:fldCharType="begin"/>
        </w:r>
        <w:r>
          <w:instrText xml:space="preserve"> PAGE   \* MERGEFORMAT </w:instrText>
        </w:r>
        <w:r>
          <w:fldChar w:fldCharType="separate"/>
        </w:r>
        <w:r w:rsidR="00DE1E77">
          <w:rPr>
            <w:noProof/>
          </w:rPr>
          <w:t>- 1 -</w:t>
        </w:r>
        <w:r>
          <w:rPr>
            <w:noProof/>
          </w:rPr>
          <w:fldChar w:fldCharType="end"/>
        </w:r>
      </w:p>
    </w:sdtContent>
  </w:sdt>
  <w:p w14:paraId="69894070" w14:textId="77777777" w:rsidR="009C4E5C" w:rsidRDefault="009C4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16E07315" w:rsidR="00061931" w:rsidRPr="00C21F35" w:rsidRDefault="00AE45DC" w:rsidP="00BF284D">
    <w:pPr>
      <w:pStyle w:val="Header"/>
      <w:rPr>
        <w:noProof/>
        <w:sz w:val="20"/>
        <w:szCs w:val="20"/>
        <w:lang w:val="fr-FR"/>
      </w:rPr>
    </w:pPr>
    <w:r w:rsidRPr="008406EB">
      <w:rPr>
        <w:sz w:val="20"/>
        <w:szCs w:val="20"/>
        <w:lang w:val="fr-CA"/>
      </w:rPr>
      <w:t xml:space="preserve">SC54 </w:t>
    </w:r>
    <w:r w:rsidR="008406EB" w:rsidRPr="008406EB">
      <w:rPr>
        <w:sz w:val="20"/>
        <w:szCs w:val="20"/>
        <w:lang w:val="fr-CA"/>
      </w:rPr>
      <w:t>Projet de rapport</w:t>
    </w:r>
    <w:r w:rsidR="0008616B">
      <w:rPr>
        <w:sz w:val="20"/>
        <w:szCs w:val="20"/>
        <w:lang w:val="fr-CA"/>
      </w:rPr>
      <w:t>, Jour 1</w:t>
    </w:r>
    <w:r w:rsidRPr="008406EB">
      <w:rPr>
        <w:sz w:val="20"/>
        <w:szCs w:val="20"/>
        <w:lang w:val="fr-CA"/>
      </w:rPr>
      <w:tab/>
    </w:r>
    <w:r w:rsidRPr="00C21F35">
      <w:rPr>
        <w:sz w:val="20"/>
        <w:szCs w:val="20"/>
        <w:lang w:val="fr-FR"/>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C21F35">
          <w:rPr>
            <w:sz w:val="20"/>
            <w:szCs w:val="20"/>
            <w:lang w:val="fr-FR"/>
          </w:rPr>
          <w:instrText xml:space="preserve"> PAGE   \* MERGEFORMAT </w:instrText>
        </w:r>
        <w:r w:rsidRPr="00227310">
          <w:rPr>
            <w:sz w:val="20"/>
            <w:szCs w:val="20"/>
          </w:rPr>
          <w:fldChar w:fldCharType="separate"/>
        </w:r>
        <w:r w:rsidR="00DE1E77">
          <w:rPr>
            <w:noProof/>
            <w:sz w:val="20"/>
            <w:szCs w:val="20"/>
            <w:lang w:val="fr-FR"/>
          </w:rPr>
          <w:t>7</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362E2" w14:textId="77777777" w:rsidR="001F6D4B" w:rsidRDefault="001F6D4B" w:rsidP="00BB101B">
      <w:pPr>
        <w:spacing w:after="0" w:line="240" w:lineRule="auto"/>
      </w:pPr>
      <w:r>
        <w:separator/>
      </w:r>
    </w:p>
  </w:footnote>
  <w:footnote w:type="continuationSeparator" w:id="0">
    <w:p w14:paraId="36CB72FC" w14:textId="77777777" w:rsidR="001F6D4B" w:rsidRDefault="001F6D4B"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AE45DC" w:rsidRDefault="00AE45DC">
    <w:pPr>
      <w:pStyle w:val="Header"/>
    </w:pPr>
  </w:p>
  <w:p w14:paraId="4212DDAF" w14:textId="77777777" w:rsidR="00AE45DC" w:rsidRDefault="00AE45DC">
    <w:pPr>
      <w:pStyle w:val="Header"/>
    </w:pPr>
  </w:p>
  <w:p w14:paraId="34199941" w14:textId="77777777" w:rsidR="00061931" w:rsidRDefault="000619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24"/>
  </w:num>
  <w:num w:numId="3">
    <w:abstractNumId w:val="5"/>
  </w:num>
  <w:num w:numId="4">
    <w:abstractNumId w:val="8"/>
  </w:num>
  <w:num w:numId="5">
    <w:abstractNumId w:val="14"/>
  </w:num>
  <w:num w:numId="6">
    <w:abstractNumId w:val="19"/>
  </w:num>
  <w:num w:numId="7">
    <w:abstractNumId w:val="18"/>
  </w:num>
  <w:num w:numId="8">
    <w:abstractNumId w:val="3"/>
  </w:num>
  <w:num w:numId="9">
    <w:abstractNumId w:val="7"/>
  </w:num>
  <w:num w:numId="10">
    <w:abstractNumId w:val="0"/>
  </w:num>
  <w:num w:numId="11">
    <w:abstractNumId w:val="6"/>
  </w:num>
  <w:num w:numId="12">
    <w:abstractNumId w:val="1"/>
  </w:num>
  <w:num w:numId="13">
    <w:abstractNumId w:val="11"/>
  </w:num>
  <w:num w:numId="14">
    <w:abstractNumId w:val="4"/>
  </w:num>
  <w:num w:numId="15">
    <w:abstractNumId w:val="13"/>
  </w:num>
  <w:num w:numId="16">
    <w:abstractNumId w:val="20"/>
  </w:num>
  <w:num w:numId="17">
    <w:abstractNumId w:val="10"/>
  </w:num>
  <w:num w:numId="18">
    <w:abstractNumId w:val="22"/>
  </w:num>
  <w:num w:numId="19">
    <w:abstractNumId w:val="23"/>
  </w:num>
  <w:num w:numId="20">
    <w:abstractNumId w:val="9"/>
  </w:num>
  <w:num w:numId="21">
    <w:abstractNumId w:val="21"/>
  </w:num>
  <w:num w:numId="22">
    <w:abstractNumId w:val="12"/>
  </w:num>
  <w:num w:numId="23">
    <w:abstractNumId w:val="17"/>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22ABE"/>
    <w:rsid w:val="00023D0A"/>
    <w:rsid w:val="0003083B"/>
    <w:rsid w:val="00033C95"/>
    <w:rsid w:val="00056A85"/>
    <w:rsid w:val="00061931"/>
    <w:rsid w:val="00064D66"/>
    <w:rsid w:val="00074D5C"/>
    <w:rsid w:val="000768F4"/>
    <w:rsid w:val="00082272"/>
    <w:rsid w:val="00083971"/>
    <w:rsid w:val="0008616B"/>
    <w:rsid w:val="00087ED6"/>
    <w:rsid w:val="00091754"/>
    <w:rsid w:val="0009610D"/>
    <w:rsid w:val="000A0D2B"/>
    <w:rsid w:val="000A2BB3"/>
    <w:rsid w:val="000B51A6"/>
    <w:rsid w:val="000C2AEB"/>
    <w:rsid w:val="000D5E27"/>
    <w:rsid w:val="000D6BEA"/>
    <w:rsid w:val="000E7396"/>
    <w:rsid w:val="00100356"/>
    <w:rsid w:val="00107404"/>
    <w:rsid w:val="00112790"/>
    <w:rsid w:val="00125529"/>
    <w:rsid w:val="00130EC5"/>
    <w:rsid w:val="00134369"/>
    <w:rsid w:val="00152ED8"/>
    <w:rsid w:val="00160C78"/>
    <w:rsid w:val="001648D9"/>
    <w:rsid w:val="001948FE"/>
    <w:rsid w:val="001A5DB1"/>
    <w:rsid w:val="001B04BC"/>
    <w:rsid w:val="001B740B"/>
    <w:rsid w:val="001C140C"/>
    <w:rsid w:val="001C4DAD"/>
    <w:rsid w:val="001F6D4B"/>
    <w:rsid w:val="00206F53"/>
    <w:rsid w:val="00216EB7"/>
    <w:rsid w:val="002222D9"/>
    <w:rsid w:val="00222C03"/>
    <w:rsid w:val="00241DA8"/>
    <w:rsid w:val="00261071"/>
    <w:rsid w:val="0026523B"/>
    <w:rsid w:val="00272EF2"/>
    <w:rsid w:val="00281D7C"/>
    <w:rsid w:val="0028305E"/>
    <w:rsid w:val="00297A94"/>
    <w:rsid w:val="00297E58"/>
    <w:rsid w:val="002B2360"/>
    <w:rsid w:val="002B35ED"/>
    <w:rsid w:val="002B58C5"/>
    <w:rsid w:val="002C2BC6"/>
    <w:rsid w:val="002C6542"/>
    <w:rsid w:val="002C79C3"/>
    <w:rsid w:val="002D4671"/>
    <w:rsid w:val="00301D6D"/>
    <w:rsid w:val="0030565C"/>
    <w:rsid w:val="00305DB6"/>
    <w:rsid w:val="0031445B"/>
    <w:rsid w:val="00316991"/>
    <w:rsid w:val="00324ACD"/>
    <w:rsid w:val="003259BE"/>
    <w:rsid w:val="00333428"/>
    <w:rsid w:val="00347E14"/>
    <w:rsid w:val="00353D53"/>
    <w:rsid w:val="00374202"/>
    <w:rsid w:val="003842B2"/>
    <w:rsid w:val="003978AE"/>
    <w:rsid w:val="003B54F6"/>
    <w:rsid w:val="003E31E3"/>
    <w:rsid w:val="003E498C"/>
    <w:rsid w:val="003E6B30"/>
    <w:rsid w:val="003F732C"/>
    <w:rsid w:val="003F7FFE"/>
    <w:rsid w:val="004049B8"/>
    <w:rsid w:val="00407297"/>
    <w:rsid w:val="00427CF1"/>
    <w:rsid w:val="00442BB4"/>
    <w:rsid w:val="00445516"/>
    <w:rsid w:val="00445813"/>
    <w:rsid w:val="00447668"/>
    <w:rsid w:val="00467AA0"/>
    <w:rsid w:val="00470E98"/>
    <w:rsid w:val="00492618"/>
    <w:rsid w:val="00495BA2"/>
    <w:rsid w:val="00497733"/>
    <w:rsid w:val="004A3730"/>
    <w:rsid w:val="004C73C5"/>
    <w:rsid w:val="0050658E"/>
    <w:rsid w:val="00512476"/>
    <w:rsid w:val="00517B5B"/>
    <w:rsid w:val="0052386F"/>
    <w:rsid w:val="0052614B"/>
    <w:rsid w:val="005329EF"/>
    <w:rsid w:val="0053700E"/>
    <w:rsid w:val="00537C6A"/>
    <w:rsid w:val="005401EE"/>
    <w:rsid w:val="00557F91"/>
    <w:rsid w:val="00561CA2"/>
    <w:rsid w:val="005664DB"/>
    <w:rsid w:val="00572874"/>
    <w:rsid w:val="00576B24"/>
    <w:rsid w:val="005776D9"/>
    <w:rsid w:val="00581DF8"/>
    <w:rsid w:val="0059017C"/>
    <w:rsid w:val="00592333"/>
    <w:rsid w:val="005A05B0"/>
    <w:rsid w:val="005A7EBE"/>
    <w:rsid w:val="005B44F7"/>
    <w:rsid w:val="005C202C"/>
    <w:rsid w:val="005E0FAE"/>
    <w:rsid w:val="005E37C1"/>
    <w:rsid w:val="005F75DA"/>
    <w:rsid w:val="00635351"/>
    <w:rsid w:val="00642D69"/>
    <w:rsid w:val="00647E93"/>
    <w:rsid w:val="00652F1C"/>
    <w:rsid w:val="00663657"/>
    <w:rsid w:val="00683172"/>
    <w:rsid w:val="0068619E"/>
    <w:rsid w:val="006A3042"/>
    <w:rsid w:val="006A327C"/>
    <w:rsid w:val="006A3D45"/>
    <w:rsid w:val="006F0AF1"/>
    <w:rsid w:val="006F14FF"/>
    <w:rsid w:val="006F273C"/>
    <w:rsid w:val="006F5FBA"/>
    <w:rsid w:val="00704980"/>
    <w:rsid w:val="007142A3"/>
    <w:rsid w:val="00726E94"/>
    <w:rsid w:val="007325BA"/>
    <w:rsid w:val="007544DB"/>
    <w:rsid w:val="007644BE"/>
    <w:rsid w:val="0077033F"/>
    <w:rsid w:val="007804A4"/>
    <w:rsid w:val="0079512C"/>
    <w:rsid w:val="007B0061"/>
    <w:rsid w:val="007C2E93"/>
    <w:rsid w:val="007C4BE8"/>
    <w:rsid w:val="007D70E9"/>
    <w:rsid w:val="007E485A"/>
    <w:rsid w:val="007F3322"/>
    <w:rsid w:val="007F5F3A"/>
    <w:rsid w:val="007F79CE"/>
    <w:rsid w:val="00800166"/>
    <w:rsid w:val="00811F91"/>
    <w:rsid w:val="00812B1B"/>
    <w:rsid w:val="00821DFD"/>
    <w:rsid w:val="00822296"/>
    <w:rsid w:val="00832F9D"/>
    <w:rsid w:val="008378D6"/>
    <w:rsid w:val="008406EB"/>
    <w:rsid w:val="00865551"/>
    <w:rsid w:val="0087047A"/>
    <w:rsid w:val="00896BE1"/>
    <w:rsid w:val="008A5E5C"/>
    <w:rsid w:val="008B7F8E"/>
    <w:rsid w:val="008D4924"/>
    <w:rsid w:val="008D55D8"/>
    <w:rsid w:val="008E3D56"/>
    <w:rsid w:val="008F3B79"/>
    <w:rsid w:val="008F74E4"/>
    <w:rsid w:val="00916FB8"/>
    <w:rsid w:val="00917C18"/>
    <w:rsid w:val="00932BD4"/>
    <w:rsid w:val="0094334C"/>
    <w:rsid w:val="00943DF5"/>
    <w:rsid w:val="00946170"/>
    <w:rsid w:val="009519D6"/>
    <w:rsid w:val="00974066"/>
    <w:rsid w:val="00977C24"/>
    <w:rsid w:val="00986A5A"/>
    <w:rsid w:val="009978B1"/>
    <w:rsid w:val="00997A48"/>
    <w:rsid w:val="009C1B80"/>
    <w:rsid w:val="009C4D69"/>
    <w:rsid w:val="009C4E5C"/>
    <w:rsid w:val="009C5077"/>
    <w:rsid w:val="009C688E"/>
    <w:rsid w:val="009D7F92"/>
    <w:rsid w:val="009E001E"/>
    <w:rsid w:val="009E706D"/>
    <w:rsid w:val="009F1E89"/>
    <w:rsid w:val="00A00FA5"/>
    <w:rsid w:val="00A238A9"/>
    <w:rsid w:val="00A403A6"/>
    <w:rsid w:val="00A40BE3"/>
    <w:rsid w:val="00A425A1"/>
    <w:rsid w:val="00A43462"/>
    <w:rsid w:val="00A45B60"/>
    <w:rsid w:val="00A611E7"/>
    <w:rsid w:val="00A64D7B"/>
    <w:rsid w:val="00A7388C"/>
    <w:rsid w:val="00A7563C"/>
    <w:rsid w:val="00A93F64"/>
    <w:rsid w:val="00A97FB8"/>
    <w:rsid w:val="00AA2788"/>
    <w:rsid w:val="00AC1539"/>
    <w:rsid w:val="00AD1346"/>
    <w:rsid w:val="00AD2A95"/>
    <w:rsid w:val="00AE45DC"/>
    <w:rsid w:val="00B00F1A"/>
    <w:rsid w:val="00B22F44"/>
    <w:rsid w:val="00B56B86"/>
    <w:rsid w:val="00B6110E"/>
    <w:rsid w:val="00B65D35"/>
    <w:rsid w:val="00B67D7F"/>
    <w:rsid w:val="00B7089F"/>
    <w:rsid w:val="00B73DBC"/>
    <w:rsid w:val="00B76A96"/>
    <w:rsid w:val="00BB101B"/>
    <w:rsid w:val="00BE4948"/>
    <w:rsid w:val="00BE7538"/>
    <w:rsid w:val="00BF284D"/>
    <w:rsid w:val="00BF32E6"/>
    <w:rsid w:val="00BF6972"/>
    <w:rsid w:val="00C15272"/>
    <w:rsid w:val="00C21F35"/>
    <w:rsid w:val="00C2283F"/>
    <w:rsid w:val="00C2372E"/>
    <w:rsid w:val="00C26D00"/>
    <w:rsid w:val="00C45C7F"/>
    <w:rsid w:val="00C5157E"/>
    <w:rsid w:val="00C54AA2"/>
    <w:rsid w:val="00C57F57"/>
    <w:rsid w:val="00C701E2"/>
    <w:rsid w:val="00C73E15"/>
    <w:rsid w:val="00C74A7A"/>
    <w:rsid w:val="00C805B7"/>
    <w:rsid w:val="00C86364"/>
    <w:rsid w:val="00C915FC"/>
    <w:rsid w:val="00C94F48"/>
    <w:rsid w:val="00C970A2"/>
    <w:rsid w:val="00CA2C4B"/>
    <w:rsid w:val="00CB21BE"/>
    <w:rsid w:val="00CB2474"/>
    <w:rsid w:val="00CC1558"/>
    <w:rsid w:val="00CD0502"/>
    <w:rsid w:val="00D04017"/>
    <w:rsid w:val="00D159EB"/>
    <w:rsid w:val="00D2726E"/>
    <w:rsid w:val="00D30531"/>
    <w:rsid w:val="00D37ABB"/>
    <w:rsid w:val="00D55C16"/>
    <w:rsid w:val="00D8419F"/>
    <w:rsid w:val="00D8488D"/>
    <w:rsid w:val="00D86B22"/>
    <w:rsid w:val="00D93652"/>
    <w:rsid w:val="00DA4176"/>
    <w:rsid w:val="00DA4245"/>
    <w:rsid w:val="00DA6A30"/>
    <w:rsid w:val="00DB5749"/>
    <w:rsid w:val="00DC17C2"/>
    <w:rsid w:val="00DD06CF"/>
    <w:rsid w:val="00DE1E77"/>
    <w:rsid w:val="00DE287C"/>
    <w:rsid w:val="00E01703"/>
    <w:rsid w:val="00E14C86"/>
    <w:rsid w:val="00E330A2"/>
    <w:rsid w:val="00E415CC"/>
    <w:rsid w:val="00E4250A"/>
    <w:rsid w:val="00E42CF3"/>
    <w:rsid w:val="00E5494F"/>
    <w:rsid w:val="00E65236"/>
    <w:rsid w:val="00E654E9"/>
    <w:rsid w:val="00E70327"/>
    <w:rsid w:val="00E70730"/>
    <w:rsid w:val="00E85D62"/>
    <w:rsid w:val="00E92D2C"/>
    <w:rsid w:val="00EA7A20"/>
    <w:rsid w:val="00EA7CEA"/>
    <w:rsid w:val="00EB5FE7"/>
    <w:rsid w:val="00EB6D03"/>
    <w:rsid w:val="00EC0B03"/>
    <w:rsid w:val="00EC3A02"/>
    <w:rsid w:val="00F14265"/>
    <w:rsid w:val="00F2319B"/>
    <w:rsid w:val="00F24F37"/>
    <w:rsid w:val="00F33098"/>
    <w:rsid w:val="00F3655B"/>
    <w:rsid w:val="00F43987"/>
    <w:rsid w:val="00F46264"/>
    <w:rsid w:val="00F50E6F"/>
    <w:rsid w:val="00F613BD"/>
    <w:rsid w:val="00F61608"/>
    <w:rsid w:val="00F66709"/>
    <w:rsid w:val="00F8575F"/>
    <w:rsid w:val="00F90406"/>
    <w:rsid w:val="00F916BF"/>
    <w:rsid w:val="00F929BD"/>
    <w:rsid w:val="00F95B84"/>
    <w:rsid w:val="00FA02E1"/>
    <w:rsid w:val="00FB48ED"/>
    <w:rsid w:val="00FD0DC9"/>
    <w:rsid w:val="00FD1582"/>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12861</Characters>
  <Application>Microsoft Office Word</Application>
  <DocSecurity>4</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2018-04-25T12:09:00Z</cp:lastPrinted>
  <dcterms:created xsi:type="dcterms:W3CDTF">2018-04-25T17:10:00Z</dcterms:created>
  <dcterms:modified xsi:type="dcterms:W3CDTF">2018-04-25T17:10:00Z</dcterms:modified>
</cp:coreProperties>
</file>