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35992" w14:textId="4CD309DF" w:rsidR="00557F91" w:rsidRPr="0015462E" w:rsidRDefault="00FF71D3" w:rsidP="008227E2">
      <w:pPr>
        <w:spacing w:after="0" w:line="240" w:lineRule="auto"/>
        <w:rPr>
          <w:rFonts w:asciiTheme="majorHAnsi" w:hAnsiTheme="majorHAnsi"/>
          <w:b/>
          <w:sz w:val="24"/>
          <w:szCs w:val="24"/>
          <w:lang w:val="fr-CA"/>
        </w:rPr>
      </w:pPr>
      <w:bookmarkStart w:id="0" w:name="_GoBack"/>
      <w:r w:rsidRPr="0015462E">
        <w:rPr>
          <w:rFonts w:asciiTheme="majorHAnsi" w:hAnsiTheme="majorHAnsi"/>
          <w:b/>
          <w:sz w:val="24"/>
          <w:szCs w:val="24"/>
          <w:lang w:val="fr-CA"/>
        </w:rPr>
        <w:t>Annex</w:t>
      </w:r>
      <w:r w:rsidR="00100356" w:rsidRPr="0015462E">
        <w:rPr>
          <w:rFonts w:asciiTheme="majorHAnsi" w:hAnsiTheme="majorHAnsi"/>
          <w:b/>
          <w:sz w:val="24"/>
          <w:szCs w:val="24"/>
          <w:lang w:val="fr-CA"/>
        </w:rPr>
        <w:t>e</w:t>
      </w:r>
      <w:r w:rsidRPr="0015462E">
        <w:rPr>
          <w:rFonts w:asciiTheme="majorHAnsi" w:hAnsiTheme="majorHAnsi"/>
          <w:b/>
          <w:sz w:val="24"/>
          <w:szCs w:val="24"/>
          <w:lang w:val="fr-CA"/>
        </w:rPr>
        <w:t xml:space="preserve"> 1</w:t>
      </w:r>
    </w:p>
    <w:p w14:paraId="251354BA" w14:textId="5626D65C" w:rsidR="00FF71D3" w:rsidRPr="0015462E" w:rsidRDefault="00FF71D3" w:rsidP="008227E2">
      <w:pPr>
        <w:spacing w:after="0" w:line="240" w:lineRule="auto"/>
        <w:contextualSpacing/>
        <w:rPr>
          <w:rFonts w:asciiTheme="majorHAnsi" w:hAnsiTheme="majorHAnsi"/>
          <w:b/>
          <w:bCs/>
          <w:sz w:val="24"/>
          <w:szCs w:val="24"/>
          <w:lang w:val="fr-CA"/>
        </w:rPr>
      </w:pPr>
      <w:r w:rsidRPr="0015462E">
        <w:rPr>
          <w:rFonts w:asciiTheme="majorHAnsi" w:hAnsiTheme="majorHAnsi"/>
          <w:b/>
          <w:sz w:val="24"/>
          <w:szCs w:val="24"/>
          <w:lang w:val="fr-CA"/>
        </w:rPr>
        <w:t>R</w:t>
      </w:r>
      <w:r w:rsidR="00100356" w:rsidRPr="0015462E">
        <w:rPr>
          <w:rFonts w:asciiTheme="majorHAnsi" w:hAnsiTheme="majorHAnsi"/>
          <w:b/>
          <w:sz w:val="24"/>
          <w:szCs w:val="24"/>
          <w:lang w:val="fr-CA"/>
        </w:rPr>
        <w:t>ap</w:t>
      </w:r>
      <w:r w:rsidRPr="0015462E">
        <w:rPr>
          <w:rFonts w:asciiTheme="majorHAnsi" w:hAnsiTheme="majorHAnsi"/>
          <w:b/>
          <w:sz w:val="24"/>
          <w:szCs w:val="24"/>
          <w:lang w:val="fr-CA"/>
        </w:rPr>
        <w:t xml:space="preserve">port </w:t>
      </w:r>
      <w:r w:rsidR="00100356" w:rsidRPr="0015462E">
        <w:rPr>
          <w:rFonts w:asciiTheme="majorHAnsi" w:hAnsiTheme="majorHAnsi"/>
          <w:b/>
          <w:sz w:val="24"/>
          <w:szCs w:val="24"/>
          <w:lang w:val="fr-CA"/>
        </w:rPr>
        <w:t>du Président du Groupe de travail sur la gestion</w:t>
      </w:r>
      <w:bookmarkEnd w:id="0"/>
    </w:p>
    <w:p w14:paraId="71A61BEA" w14:textId="77777777" w:rsidR="00FF71D3" w:rsidRPr="0015462E" w:rsidRDefault="00FF71D3" w:rsidP="008227E2">
      <w:pPr>
        <w:spacing w:after="0" w:line="240" w:lineRule="auto"/>
        <w:contextualSpacing/>
        <w:rPr>
          <w:rFonts w:asciiTheme="majorHAnsi" w:hAnsiTheme="majorHAnsi"/>
          <w:bCs/>
          <w:lang w:val="fr-CA"/>
        </w:rPr>
      </w:pPr>
    </w:p>
    <w:p w14:paraId="227B89DF" w14:textId="77777777" w:rsidR="009C1B80" w:rsidRPr="0015462E" w:rsidRDefault="009C1B80" w:rsidP="008227E2">
      <w:pPr>
        <w:spacing w:after="0" w:line="240" w:lineRule="auto"/>
        <w:contextualSpacing/>
        <w:rPr>
          <w:rFonts w:asciiTheme="majorHAnsi" w:hAnsiTheme="majorHAnsi"/>
          <w:bCs/>
          <w:lang w:val="fr-CA"/>
        </w:rPr>
      </w:pPr>
      <w:r w:rsidRPr="0015462E">
        <w:rPr>
          <w:rFonts w:asciiTheme="majorHAnsi" w:hAnsiTheme="majorHAnsi"/>
          <w:bCs/>
          <w:lang w:val="fr-CA"/>
        </w:rPr>
        <w:t xml:space="preserve">La Secrétaire générale souhaite la bienvenue aux participants et attire leur attention sur le document SC54-3 Rev.2 </w:t>
      </w:r>
      <w:r w:rsidRPr="0015462E">
        <w:rPr>
          <w:rFonts w:asciiTheme="majorHAnsi" w:hAnsiTheme="majorHAnsi"/>
          <w:bCs/>
          <w:i/>
          <w:lang w:val="fr-CA"/>
        </w:rPr>
        <w:t>Adoption du projet de programme de travail</w:t>
      </w:r>
      <w:r w:rsidRPr="0015462E">
        <w:rPr>
          <w:rFonts w:asciiTheme="majorHAnsi" w:hAnsiTheme="majorHAnsi"/>
          <w:bCs/>
          <w:lang w:val="fr-CA"/>
        </w:rPr>
        <w:t xml:space="preserve">. Après révision par la réunion du Comité exécutif, le jour précédent, l’ordre du jour couvre maintenant : </w:t>
      </w:r>
    </w:p>
    <w:p w14:paraId="7864EA14" w14:textId="77777777" w:rsidR="009C1B80" w:rsidRPr="0015462E" w:rsidRDefault="009C1B80" w:rsidP="008227E2">
      <w:pPr>
        <w:spacing w:after="0" w:line="240" w:lineRule="auto"/>
        <w:contextualSpacing/>
        <w:rPr>
          <w:rFonts w:asciiTheme="majorHAnsi" w:hAnsiTheme="majorHAnsi"/>
          <w:bCs/>
          <w:lang w:val="fr-CA"/>
        </w:rPr>
      </w:pPr>
    </w:p>
    <w:p w14:paraId="5274F8B3"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Groupe de travail sur l’application de la CESP</w:t>
      </w:r>
    </w:p>
    <w:p w14:paraId="6C75D98B"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Stratégie relative aux langues (Doc. SC54-13 Rev.1)</w:t>
      </w:r>
    </w:p>
    <w:p w14:paraId="0027A6A1"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Examen des accords de coopération actuels et proposés (Doc. SC54-16 Rev.1)</w:t>
      </w:r>
    </w:p>
    <w:p w14:paraId="0C302F28" w14:textId="77777777" w:rsidR="009C1B80" w:rsidRPr="0015462E" w:rsidRDefault="009C1B80" w:rsidP="008227E2">
      <w:pPr>
        <w:spacing w:after="0" w:line="240" w:lineRule="auto"/>
        <w:outlineLvl w:val="0"/>
        <w:rPr>
          <w:rFonts w:asciiTheme="majorHAnsi" w:hAnsiTheme="majorHAnsi"/>
          <w:b/>
          <w:bCs/>
          <w:lang w:val="fr-CA"/>
        </w:rPr>
      </w:pPr>
    </w:p>
    <w:p w14:paraId="2F8DBBA5" w14:textId="77777777" w:rsidR="009C1B80" w:rsidRPr="0015462E" w:rsidRDefault="009C1B80" w:rsidP="008227E2">
      <w:pPr>
        <w:spacing w:after="0" w:line="240" w:lineRule="auto"/>
        <w:outlineLvl w:val="0"/>
        <w:rPr>
          <w:rFonts w:asciiTheme="majorHAnsi" w:hAnsiTheme="majorHAnsi"/>
          <w:b/>
          <w:bCs/>
          <w:lang w:val="fr-CA"/>
        </w:rPr>
      </w:pPr>
      <w:r w:rsidRPr="0015462E">
        <w:rPr>
          <w:rFonts w:asciiTheme="majorHAnsi" w:hAnsiTheme="majorHAnsi"/>
          <w:b/>
          <w:bCs/>
          <w:lang w:val="fr-CA"/>
        </w:rPr>
        <w:t>Groupe de travail sur l’application de la CESP :</w:t>
      </w:r>
    </w:p>
    <w:p w14:paraId="6B646DF0" w14:textId="77777777" w:rsidR="009C1B80" w:rsidRPr="0015462E" w:rsidRDefault="009C1B80" w:rsidP="008227E2">
      <w:pPr>
        <w:spacing w:after="0" w:line="240" w:lineRule="auto"/>
        <w:contextualSpacing/>
        <w:rPr>
          <w:rFonts w:asciiTheme="majorHAnsi" w:hAnsiTheme="majorHAnsi"/>
          <w:bCs/>
          <w:lang w:val="fr-CA"/>
        </w:rPr>
      </w:pPr>
    </w:p>
    <w:p w14:paraId="06DA8C4F" w14:textId="77777777" w:rsidR="009C1B80" w:rsidRPr="0015462E" w:rsidRDefault="009C1B80" w:rsidP="008227E2">
      <w:pPr>
        <w:spacing w:after="0" w:line="240" w:lineRule="auto"/>
        <w:contextualSpacing/>
        <w:rPr>
          <w:rFonts w:asciiTheme="majorHAnsi" w:hAnsiTheme="majorHAnsi"/>
          <w:bCs/>
          <w:lang w:val="fr-CA"/>
        </w:rPr>
      </w:pPr>
      <w:r w:rsidRPr="0015462E">
        <w:rPr>
          <w:rFonts w:asciiTheme="majorHAnsi" w:hAnsiTheme="majorHAnsi"/>
          <w:bCs/>
          <w:lang w:val="fr-CA"/>
        </w:rPr>
        <w:t xml:space="preserve">Le Président du Groupe de travail sur l’application de la CESP (Afrique du Sud) indique que le rôle du Groupe est de soutenir l’application du Plan d’action de CESP par le Secrétariat. </w:t>
      </w:r>
    </w:p>
    <w:p w14:paraId="0945752A" w14:textId="77777777" w:rsidR="009C1B80" w:rsidRPr="0015462E" w:rsidRDefault="009C1B80" w:rsidP="008227E2">
      <w:pPr>
        <w:spacing w:after="0" w:line="240" w:lineRule="auto"/>
        <w:contextualSpacing/>
        <w:rPr>
          <w:rFonts w:asciiTheme="majorHAnsi" w:hAnsiTheme="majorHAnsi"/>
          <w:bCs/>
          <w:lang w:val="fr-CA"/>
        </w:rPr>
      </w:pPr>
    </w:p>
    <w:p w14:paraId="48AC8427" w14:textId="77777777" w:rsidR="009C1B80" w:rsidRPr="0015462E" w:rsidRDefault="009C1B80" w:rsidP="008227E2">
      <w:pPr>
        <w:spacing w:after="0" w:line="240" w:lineRule="auto"/>
        <w:contextualSpacing/>
        <w:rPr>
          <w:rFonts w:asciiTheme="majorHAnsi" w:hAnsiTheme="majorHAnsi"/>
          <w:bCs/>
          <w:lang w:val="fr-CA"/>
        </w:rPr>
      </w:pPr>
      <w:r w:rsidRPr="0015462E">
        <w:rPr>
          <w:rFonts w:asciiTheme="majorHAnsi" w:hAnsiTheme="majorHAnsi"/>
          <w:bCs/>
          <w:lang w:val="fr-CA"/>
        </w:rPr>
        <w:t>La Secrétaire générale confirme qu’après la 53</w:t>
      </w:r>
      <w:r w:rsidRPr="0015462E">
        <w:rPr>
          <w:rFonts w:asciiTheme="majorHAnsi" w:hAnsiTheme="majorHAnsi"/>
          <w:bCs/>
          <w:vertAlign w:val="superscript"/>
          <w:lang w:val="fr-CA"/>
        </w:rPr>
        <w:t>e</w:t>
      </w:r>
      <w:r w:rsidRPr="0015462E">
        <w:rPr>
          <w:rFonts w:asciiTheme="majorHAnsi" w:hAnsiTheme="majorHAnsi"/>
          <w:bCs/>
          <w:lang w:val="fr-CA"/>
        </w:rPr>
        <w:t xml:space="preserve"> Réunion du Comité permanent, le Secrétariat a intégré le Plan d’action de CESP dans son plan de travail triennal. Le Secrétariat fera rapport à ce sujet au Comité permanent sous le point 12 de l’ordre du jour </w:t>
      </w:r>
      <w:r w:rsidRPr="0015462E">
        <w:rPr>
          <w:i/>
          <w:lang w:val="fr-CA"/>
        </w:rPr>
        <w:t>Plan de travail du Secrétariat pour 2018 et modèle proposé pour 2019</w:t>
      </w:r>
      <w:r w:rsidRPr="0015462E">
        <w:rPr>
          <w:i/>
          <w:lang w:val="fr-CA"/>
        </w:rPr>
        <w:noBreakHyphen/>
        <w:t>2021</w:t>
      </w:r>
      <w:r w:rsidRPr="0015462E">
        <w:rPr>
          <w:lang w:val="fr-CA"/>
        </w:rPr>
        <w:t>.</w:t>
      </w:r>
    </w:p>
    <w:p w14:paraId="1D56B957" w14:textId="77777777" w:rsidR="009C1B80" w:rsidRPr="0015462E" w:rsidRDefault="009C1B80" w:rsidP="008227E2">
      <w:pPr>
        <w:spacing w:after="0" w:line="240" w:lineRule="auto"/>
        <w:contextualSpacing/>
        <w:rPr>
          <w:rFonts w:asciiTheme="majorHAnsi" w:hAnsiTheme="majorHAnsi"/>
          <w:bCs/>
          <w:lang w:val="fr-CA"/>
        </w:rPr>
      </w:pPr>
    </w:p>
    <w:p w14:paraId="23110B09" w14:textId="77777777" w:rsidR="009C1B80" w:rsidRPr="0015462E" w:rsidRDefault="009C1B80" w:rsidP="008227E2">
      <w:pPr>
        <w:spacing w:after="0" w:line="240" w:lineRule="auto"/>
        <w:outlineLvl w:val="0"/>
        <w:rPr>
          <w:rFonts w:asciiTheme="majorHAnsi" w:hAnsiTheme="majorHAnsi"/>
          <w:b/>
          <w:bCs/>
          <w:lang w:val="fr-CA"/>
        </w:rPr>
      </w:pPr>
      <w:r w:rsidRPr="0015462E">
        <w:rPr>
          <w:rFonts w:asciiTheme="majorHAnsi" w:hAnsiTheme="majorHAnsi"/>
          <w:b/>
          <w:bCs/>
          <w:lang w:val="fr-CA"/>
        </w:rPr>
        <w:t>Stratégie relative aux langues :</w:t>
      </w:r>
    </w:p>
    <w:p w14:paraId="5FE1163C" w14:textId="77777777" w:rsidR="009C1B80" w:rsidRPr="0015462E" w:rsidRDefault="009C1B80" w:rsidP="008227E2">
      <w:pPr>
        <w:spacing w:after="0" w:line="240" w:lineRule="auto"/>
        <w:contextualSpacing/>
        <w:rPr>
          <w:rFonts w:asciiTheme="majorHAnsi" w:hAnsiTheme="majorHAnsi"/>
          <w:bCs/>
          <w:lang w:val="fr-CA"/>
        </w:rPr>
      </w:pPr>
    </w:p>
    <w:p w14:paraId="591EDDF4" w14:textId="77777777" w:rsidR="009C1B80" w:rsidRPr="0015462E" w:rsidRDefault="009C1B80" w:rsidP="008227E2">
      <w:pPr>
        <w:spacing w:after="0" w:line="240" w:lineRule="auto"/>
        <w:contextualSpacing/>
        <w:rPr>
          <w:rFonts w:asciiTheme="majorHAnsi" w:hAnsiTheme="majorHAnsi"/>
          <w:bCs/>
          <w:lang w:val="fr-CA"/>
        </w:rPr>
      </w:pPr>
      <w:r w:rsidRPr="0015462E">
        <w:rPr>
          <w:rFonts w:asciiTheme="majorHAnsi" w:hAnsiTheme="majorHAnsi"/>
          <w:bCs/>
          <w:lang w:val="fr-CA"/>
        </w:rPr>
        <w:t>Le Secrétariat renvoie la réunion au document Doc. SC54-13 Rev.1 et décrit le processus à ce jour, respectant les décisions de la 52</w:t>
      </w:r>
      <w:r w:rsidRPr="0015462E">
        <w:rPr>
          <w:rFonts w:asciiTheme="majorHAnsi" w:hAnsiTheme="majorHAnsi"/>
          <w:bCs/>
          <w:vertAlign w:val="superscript"/>
          <w:lang w:val="fr-CA"/>
        </w:rPr>
        <w:t>e</w:t>
      </w:r>
      <w:r w:rsidRPr="0015462E">
        <w:rPr>
          <w:rFonts w:asciiTheme="majorHAnsi" w:hAnsiTheme="majorHAnsi"/>
          <w:bCs/>
          <w:lang w:val="fr-CA"/>
        </w:rPr>
        <w:t> et de la 53</w:t>
      </w:r>
      <w:r w:rsidRPr="0015462E">
        <w:rPr>
          <w:rFonts w:asciiTheme="majorHAnsi" w:hAnsiTheme="majorHAnsi"/>
          <w:bCs/>
          <w:vertAlign w:val="superscript"/>
          <w:lang w:val="fr-CA"/>
        </w:rPr>
        <w:t>e</w:t>
      </w:r>
      <w:r w:rsidRPr="0015462E">
        <w:rPr>
          <w:rFonts w:asciiTheme="majorHAnsi" w:hAnsiTheme="majorHAnsi"/>
          <w:bCs/>
          <w:lang w:val="fr-CA"/>
        </w:rPr>
        <w:t xml:space="preserve"> Réunions du Comité permanent, menant à un projet de résolution que le Comité permanent examinera sous le point 13 de l’ordre du jour. </w:t>
      </w:r>
    </w:p>
    <w:p w14:paraId="1035B189" w14:textId="77777777" w:rsidR="009C1B80" w:rsidRPr="0015462E" w:rsidRDefault="009C1B80" w:rsidP="008227E2">
      <w:pPr>
        <w:spacing w:after="0" w:line="240" w:lineRule="auto"/>
        <w:contextualSpacing/>
        <w:rPr>
          <w:rFonts w:asciiTheme="majorHAnsi" w:hAnsiTheme="majorHAnsi"/>
          <w:b/>
          <w:bCs/>
          <w:lang w:val="fr-CA"/>
        </w:rPr>
      </w:pPr>
    </w:p>
    <w:p w14:paraId="76E88AB7" w14:textId="77777777" w:rsidR="009C1B80" w:rsidRPr="0015462E" w:rsidRDefault="009C1B80" w:rsidP="008227E2">
      <w:pPr>
        <w:spacing w:after="0" w:line="240" w:lineRule="auto"/>
        <w:contextualSpacing/>
        <w:rPr>
          <w:rFonts w:asciiTheme="majorHAnsi" w:hAnsiTheme="majorHAnsi" w:cs="Arial"/>
          <w:b/>
          <w:lang w:val="fr-CA"/>
        </w:rPr>
      </w:pPr>
      <w:r w:rsidRPr="0015462E">
        <w:rPr>
          <w:rFonts w:asciiTheme="majorHAnsi" w:hAnsiTheme="majorHAnsi" w:cs="Arial"/>
          <w:b/>
          <w:lang w:val="fr-CA"/>
        </w:rPr>
        <w:t>Examen des accords de coopération actuels et proposés :</w:t>
      </w:r>
    </w:p>
    <w:p w14:paraId="521E864A" w14:textId="77777777" w:rsidR="009C1B80" w:rsidRPr="0015462E" w:rsidRDefault="009C1B80" w:rsidP="008227E2">
      <w:pPr>
        <w:spacing w:after="0" w:line="240" w:lineRule="auto"/>
        <w:contextualSpacing/>
        <w:rPr>
          <w:rFonts w:asciiTheme="majorHAnsi" w:hAnsiTheme="majorHAnsi"/>
          <w:bCs/>
          <w:lang w:val="fr-CA"/>
        </w:rPr>
      </w:pPr>
    </w:p>
    <w:p w14:paraId="7812AFCD" w14:textId="77777777" w:rsidR="009C1B80" w:rsidRPr="0015462E" w:rsidRDefault="009C1B80" w:rsidP="008227E2">
      <w:pPr>
        <w:spacing w:after="0" w:line="240" w:lineRule="auto"/>
        <w:contextualSpacing/>
        <w:rPr>
          <w:rFonts w:asciiTheme="majorHAnsi" w:hAnsiTheme="majorHAnsi"/>
          <w:bCs/>
          <w:lang w:val="fr-CA"/>
        </w:rPr>
      </w:pPr>
      <w:r w:rsidRPr="0015462E">
        <w:rPr>
          <w:rFonts w:asciiTheme="majorHAnsi" w:hAnsiTheme="majorHAnsi"/>
          <w:bCs/>
          <w:lang w:val="fr-CA"/>
        </w:rPr>
        <w:t>Le Secrétariat fait référence au document Doc. SC54-16 Rev.1 sur les mesures prises par le Secrétariat en réponse à la Décision SC53-03, qui comprend un arbre décisionnel et des critères d’établissement d’un accord de coopération officiel. Le Secrétariat demande des orientations au Comité permanent sur le bien</w:t>
      </w:r>
      <w:r w:rsidRPr="0015462E">
        <w:rPr>
          <w:rFonts w:asciiTheme="majorHAnsi" w:hAnsiTheme="majorHAnsi"/>
          <w:bCs/>
          <w:lang w:val="fr-CA"/>
        </w:rPr>
        <w:noBreakHyphen/>
        <w:t>fondé et l’utilité de l’arbre décisionnel.</w:t>
      </w:r>
    </w:p>
    <w:p w14:paraId="7FEF5364" w14:textId="77777777" w:rsidR="009C1B80" w:rsidRPr="0015462E" w:rsidRDefault="009C1B80" w:rsidP="008227E2">
      <w:pPr>
        <w:spacing w:after="0" w:line="240" w:lineRule="auto"/>
        <w:contextualSpacing/>
        <w:rPr>
          <w:rFonts w:asciiTheme="majorHAnsi" w:hAnsiTheme="majorHAnsi"/>
          <w:bCs/>
          <w:lang w:val="fr-CA"/>
        </w:rPr>
      </w:pPr>
    </w:p>
    <w:p w14:paraId="1B5F105A" w14:textId="77777777" w:rsidR="009C1B80" w:rsidRPr="0015462E" w:rsidRDefault="009C1B80" w:rsidP="008227E2">
      <w:pPr>
        <w:spacing w:after="0" w:line="240" w:lineRule="auto"/>
        <w:contextualSpacing/>
        <w:rPr>
          <w:rFonts w:asciiTheme="majorHAnsi" w:hAnsiTheme="majorHAnsi"/>
          <w:bCs/>
          <w:lang w:val="fr-CA"/>
        </w:rPr>
      </w:pPr>
      <w:r w:rsidRPr="0015462E">
        <w:rPr>
          <w:rFonts w:asciiTheme="majorHAnsi" w:hAnsiTheme="majorHAnsi"/>
          <w:bCs/>
          <w:lang w:val="fr-CA"/>
        </w:rPr>
        <w:t xml:space="preserve">Les Parties contractantes se félicitent de l’outil de prise de décisions et soulèvent plusieurs questions : </w:t>
      </w:r>
    </w:p>
    <w:p w14:paraId="29030B43" w14:textId="77777777" w:rsidR="009C1B80" w:rsidRPr="0015462E" w:rsidRDefault="009C1B80" w:rsidP="008227E2">
      <w:pPr>
        <w:spacing w:after="0" w:line="240" w:lineRule="auto"/>
        <w:contextualSpacing/>
        <w:rPr>
          <w:rFonts w:asciiTheme="majorHAnsi" w:hAnsiTheme="majorHAnsi"/>
          <w:bCs/>
          <w:lang w:val="fr-CA"/>
        </w:rPr>
      </w:pPr>
    </w:p>
    <w:p w14:paraId="74D3D683"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Intégration dans l’arbre décisionnel d’un test visant à déterminer si un accord officiel est nécessaire pour un partenariat effectif (États</w:t>
      </w:r>
      <w:r w:rsidRPr="0015462E">
        <w:rPr>
          <w:rFonts w:asciiTheme="majorHAnsi" w:hAnsiTheme="majorHAnsi" w:cs="Arial"/>
          <w:lang w:val="fr-CA"/>
        </w:rPr>
        <w:noBreakHyphen/>
        <w:t xml:space="preserve">Unis d’Amérique) </w:t>
      </w:r>
    </w:p>
    <w:p w14:paraId="7DD9633C"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Création d’un modèle plus transparent indiquant les résultats pour chaque critère (Sénégal)</w:t>
      </w:r>
    </w:p>
    <w:p w14:paraId="17C0FA8C"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Source du mandat d’application des critères (Canada); la décision finale est-elle prise par la COP ou par le Comité permanent (Afrique du Sud) ou par le Groupe de travail sur la gestion conformément à la Décision SC52-11 (Sénégal)</w:t>
      </w:r>
    </w:p>
    <w:p w14:paraId="6158892D"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Utilisation d’un modèle pour réduire la charge de travail et garantir le respect des normes, les Parties ayant une occasion d’examiner le projet de modèle (États</w:t>
      </w:r>
      <w:r w:rsidRPr="0015462E">
        <w:rPr>
          <w:rFonts w:asciiTheme="majorHAnsi" w:hAnsiTheme="majorHAnsi" w:cs="Arial"/>
          <w:lang w:val="fr-CA"/>
        </w:rPr>
        <w:noBreakHyphen/>
        <w:t>Unis d’Amérique, Sénégal)</w:t>
      </w:r>
    </w:p>
    <w:p w14:paraId="1C9365A8"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 xml:space="preserve">Processus pour mettre fin aux accords qui ne remplissent pas les critères (Canada, Sénégal, Suisse) </w:t>
      </w:r>
    </w:p>
    <w:p w14:paraId="5DAF9D7E"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Accords avec les OIP et leur normalisation (Canada)</w:t>
      </w:r>
    </w:p>
    <w:p w14:paraId="3539E535" w14:textId="1F989F80" w:rsidR="009C1B80" w:rsidRPr="0015462E" w:rsidRDefault="00C74A7A"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lastRenderedPageBreak/>
        <w:t>Accords exceptionnels qui ne remplissent pas les critères mais peuvent soutenir la mise en œuvre de la Convention (p. ex., Colombie [au nom de l’Argentine, Président de la Région], États</w:t>
      </w:r>
      <w:r w:rsidRPr="0015462E">
        <w:rPr>
          <w:rFonts w:asciiTheme="majorHAnsi" w:hAnsiTheme="majorHAnsi" w:cs="Arial"/>
          <w:lang w:val="fr-CA"/>
        </w:rPr>
        <w:noBreakHyphen/>
        <w:t>Unis d’Amérique cf Convention interaméricaine pour la protection des tortues marines, Finlande cf Society for Ecological Restoration)</w:t>
      </w:r>
      <w:r w:rsidR="009C1B80" w:rsidRPr="0015462E">
        <w:rPr>
          <w:rFonts w:asciiTheme="majorHAnsi" w:hAnsiTheme="majorHAnsi" w:cs="Arial"/>
          <w:lang w:val="fr-CA"/>
        </w:rPr>
        <w:t xml:space="preserve"> </w:t>
      </w:r>
    </w:p>
    <w:p w14:paraId="091AF474"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Intégration d’un test de gestion des risques dans l’arbre décisionnel, notamment pour traiter les risques pour la réputation de la Convention dans les partenariats avec des entreprises privées (Australie)</w:t>
      </w:r>
    </w:p>
    <w:p w14:paraId="6A20C394" w14:textId="77777777" w:rsidR="009C1B80" w:rsidRPr="0015462E" w:rsidRDefault="009C1B80" w:rsidP="008227E2">
      <w:pPr>
        <w:pStyle w:val="ListParagraph"/>
        <w:numPr>
          <w:ilvl w:val="0"/>
          <w:numId w:val="22"/>
        </w:numPr>
        <w:spacing w:after="0" w:line="240" w:lineRule="auto"/>
        <w:ind w:left="425" w:hanging="425"/>
        <w:outlineLvl w:val="0"/>
        <w:rPr>
          <w:rFonts w:asciiTheme="majorHAnsi" w:hAnsiTheme="majorHAnsi" w:cs="Arial"/>
          <w:lang w:val="fr-CA"/>
        </w:rPr>
      </w:pPr>
      <w:r w:rsidRPr="0015462E">
        <w:rPr>
          <w:rFonts w:asciiTheme="majorHAnsi" w:hAnsiTheme="majorHAnsi" w:cs="Arial"/>
          <w:lang w:val="fr-CA"/>
        </w:rPr>
        <w:t xml:space="preserve">Nécessité de maintenir le processus souple et léger. </w:t>
      </w:r>
    </w:p>
    <w:p w14:paraId="05FC02E0" w14:textId="77777777" w:rsidR="009C1B80" w:rsidRPr="0015462E" w:rsidRDefault="009C1B80" w:rsidP="008227E2">
      <w:pPr>
        <w:spacing w:after="0" w:line="240" w:lineRule="auto"/>
        <w:contextualSpacing/>
        <w:rPr>
          <w:rFonts w:asciiTheme="majorHAnsi" w:hAnsiTheme="majorHAnsi"/>
          <w:bCs/>
          <w:lang w:val="fr-CA"/>
        </w:rPr>
      </w:pPr>
    </w:p>
    <w:p w14:paraId="3006F363" w14:textId="77777777" w:rsidR="009C1B80" w:rsidRPr="0015462E" w:rsidRDefault="009C1B80" w:rsidP="008227E2">
      <w:pPr>
        <w:spacing w:after="0" w:line="240" w:lineRule="auto"/>
        <w:contextualSpacing/>
        <w:rPr>
          <w:rFonts w:asciiTheme="majorHAnsi" w:hAnsiTheme="majorHAnsi"/>
          <w:bCs/>
          <w:lang w:val="fr-CA"/>
        </w:rPr>
      </w:pPr>
      <w:r w:rsidRPr="0015462E">
        <w:rPr>
          <w:rFonts w:asciiTheme="majorHAnsi" w:hAnsiTheme="majorHAnsi"/>
          <w:bCs/>
          <w:lang w:val="fr-CA"/>
        </w:rPr>
        <w:t xml:space="preserve">Le Secrétariat indique que les préoccupations seront intégrées dans le processus proposé et confirme qu’un seul mémorandum d’accord pour toutes les OIP est maintenant en vigueur. Pour les accords actuels qui ne remplissent pas les critères, comme suggéré par les Parties, le Secrétariat contactera les partenaires concernés pour trouver la meilleure approche, que ce soit pour renégocier l’accord avec une valeur ajoutée, ou pour le laisser se terminer sans renouvellement. </w:t>
      </w:r>
    </w:p>
    <w:p w14:paraId="15B3F6A8" w14:textId="77777777" w:rsidR="009C1B80" w:rsidRPr="0015462E" w:rsidRDefault="009C1B80" w:rsidP="008227E2">
      <w:pPr>
        <w:spacing w:after="0" w:line="240" w:lineRule="auto"/>
        <w:contextualSpacing/>
        <w:rPr>
          <w:rFonts w:asciiTheme="majorHAnsi" w:hAnsiTheme="majorHAnsi"/>
          <w:bCs/>
          <w:lang w:val="fr-CA"/>
        </w:rPr>
      </w:pPr>
    </w:p>
    <w:p w14:paraId="58A7A922" w14:textId="340A4EC4" w:rsidR="00FF71D3" w:rsidRPr="0015462E" w:rsidRDefault="009C1B80" w:rsidP="008227E2">
      <w:pPr>
        <w:spacing w:after="0" w:line="240" w:lineRule="auto"/>
        <w:outlineLvl w:val="0"/>
        <w:rPr>
          <w:rFonts w:asciiTheme="majorHAnsi" w:hAnsiTheme="majorHAnsi" w:cs="Arial"/>
          <w:lang w:val="fr-CA"/>
        </w:rPr>
      </w:pPr>
      <w:r w:rsidRPr="0015462E">
        <w:rPr>
          <w:rFonts w:asciiTheme="majorHAnsi" w:hAnsiTheme="majorHAnsi"/>
          <w:bCs/>
          <w:lang w:val="fr-CA"/>
        </w:rPr>
        <w:t>La Secrétaire générale note que les accords avec les donateurs n’entrent pas dans le processus, mais incombent au Sous-groupe sur les finances. Elle demande une décision donnant instruction au Secrétariat d’appliquer les critères, en tenant compte des commentaires de l’Australie, du Canada et des États</w:t>
      </w:r>
      <w:r w:rsidRPr="0015462E">
        <w:rPr>
          <w:rFonts w:asciiTheme="majorHAnsi" w:hAnsiTheme="majorHAnsi"/>
          <w:bCs/>
          <w:lang w:val="fr-CA"/>
        </w:rPr>
        <w:softHyphen/>
      </w:r>
      <w:r w:rsidRPr="0015462E">
        <w:rPr>
          <w:rFonts w:asciiTheme="majorHAnsi" w:hAnsiTheme="majorHAnsi"/>
          <w:bCs/>
          <w:lang w:val="fr-CA"/>
        </w:rPr>
        <w:noBreakHyphen/>
        <w:t>Unis d’Amérique, puis de faire rapport sur les résultats.</w:t>
      </w:r>
    </w:p>
    <w:p w14:paraId="331075D6" w14:textId="77777777" w:rsidR="00FF71D3" w:rsidRPr="0015462E" w:rsidRDefault="00FF71D3" w:rsidP="008227E2">
      <w:pPr>
        <w:spacing w:after="0" w:line="240" w:lineRule="auto"/>
        <w:contextualSpacing/>
        <w:rPr>
          <w:rFonts w:asciiTheme="majorHAnsi" w:hAnsiTheme="majorHAnsi"/>
          <w:bCs/>
          <w:lang w:val="fr-CA"/>
        </w:rPr>
      </w:pPr>
    </w:p>
    <w:p w14:paraId="03338E1B" w14:textId="1C7C80D2" w:rsidR="00FF71D3" w:rsidRPr="0015462E" w:rsidRDefault="00100356" w:rsidP="008227E2">
      <w:pPr>
        <w:spacing w:after="0" w:line="240" w:lineRule="auto"/>
        <w:contextualSpacing/>
        <w:rPr>
          <w:rFonts w:asciiTheme="majorHAnsi" w:hAnsiTheme="majorHAnsi"/>
          <w:bCs/>
          <w:lang w:val="fr-CA"/>
        </w:rPr>
      </w:pPr>
      <w:r w:rsidRPr="0015462E">
        <w:rPr>
          <w:rFonts w:asciiTheme="majorHAnsi" w:hAnsiTheme="majorHAnsi"/>
          <w:bCs/>
          <w:lang w:val="fr-CA"/>
        </w:rPr>
        <w:t xml:space="preserve">Le Groupe de travail sur la gestion recommande au Comité permanent de prendre les </w:t>
      </w:r>
      <w:r w:rsidR="00FA02E1" w:rsidRPr="0015462E">
        <w:rPr>
          <w:rFonts w:asciiTheme="majorHAnsi" w:hAnsiTheme="majorHAnsi"/>
          <w:bCs/>
          <w:lang w:val="fr-CA"/>
        </w:rPr>
        <w:t>décisions</w:t>
      </w:r>
      <w:r w:rsidRPr="0015462E">
        <w:rPr>
          <w:rFonts w:asciiTheme="majorHAnsi" w:hAnsiTheme="majorHAnsi"/>
          <w:bCs/>
          <w:lang w:val="fr-CA"/>
        </w:rPr>
        <w:t xml:space="preserve"> suivantes </w:t>
      </w:r>
      <w:r w:rsidR="00FF71D3" w:rsidRPr="0015462E">
        <w:rPr>
          <w:rFonts w:asciiTheme="majorHAnsi" w:hAnsiTheme="majorHAnsi"/>
          <w:bCs/>
          <w:lang w:val="fr-CA"/>
        </w:rPr>
        <w:t xml:space="preserve">: </w:t>
      </w:r>
    </w:p>
    <w:p w14:paraId="6BDF5B34" w14:textId="77777777" w:rsidR="00FF71D3" w:rsidRPr="0015462E" w:rsidRDefault="00FF71D3" w:rsidP="008227E2">
      <w:pPr>
        <w:spacing w:after="0" w:line="240" w:lineRule="auto"/>
        <w:contextualSpacing/>
        <w:rPr>
          <w:rFonts w:asciiTheme="majorHAnsi" w:hAnsiTheme="majorHAnsi"/>
          <w:bCs/>
          <w:lang w:val="fr-CA"/>
        </w:rPr>
      </w:pPr>
    </w:p>
    <w:p w14:paraId="72BAB8F9" w14:textId="49A4D1C8" w:rsidR="00FF71D3" w:rsidRPr="0015462E" w:rsidRDefault="00FA02E1" w:rsidP="008227E2">
      <w:pPr>
        <w:pStyle w:val="NormalWeb"/>
        <w:numPr>
          <w:ilvl w:val="0"/>
          <w:numId w:val="23"/>
        </w:numPr>
        <w:spacing w:before="0" w:beforeAutospacing="0" w:after="0" w:afterAutospacing="0"/>
        <w:ind w:left="360"/>
        <w:rPr>
          <w:rFonts w:asciiTheme="majorHAnsi" w:hAnsiTheme="majorHAnsi" w:cstheme="majorHAnsi"/>
          <w:sz w:val="22"/>
          <w:szCs w:val="22"/>
          <w:lang w:val="fr-CA"/>
        </w:rPr>
      </w:pPr>
      <w:r w:rsidRPr="0015462E">
        <w:rPr>
          <w:rFonts w:asciiTheme="majorHAnsi" w:hAnsiTheme="majorHAnsi" w:cstheme="majorHAnsi"/>
          <w:color w:val="000000"/>
          <w:sz w:val="22"/>
          <w:szCs w:val="22"/>
          <w:lang w:val="fr-CA"/>
        </w:rPr>
        <w:t xml:space="preserve">Le Comité permanent décide d’utiliser l’arbre décisionnel, tel qu’amendé, qui se trouve dans l’annexe 2 du document </w:t>
      </w:r>
      <w:r w:rsidR="003E498C" w:rsidRPr="0015462E">
        <w:rPr>
          <w:rFonts w:asciiTheme="majorHAnsi" w:hAnsiTheme="majorHAnsi" w:cstheme="majorHAnsi"/>
          <w:color w:val="000000"/>
          <w:sz w:val="22"/>
          <w:szCs w:val="22"/>
          <w:lang w:val="fr-CA"/>
        </w:rPr>
        <w:t xml:space="preserve">Doc. </w:t>
      </w:r>
      <w:r w:rsidR="00FF71D3" w:rsidRPr="0015462E">
        <w:rPr>
          <w:rFonts w:asciiTheme="majorHAnsi" w:hAnsiTheme="majorHAnsi" w:cstheme="majorHAnsi"/>
          <w:color w:val="000000"/>
          <w:sz w:val="22"/>
          <w:szCs w:val="22"/>
          <w:lang w:val="fr-CA"/>
        </w:rPr>
        <w:t xml:space="preserve">SC54-16 </w:t>
      </w:r>
      <w:r w:rsidRPr="0015462E">
        <w:rPr>
          <w:rFonts w:asciiTheme="majorHAnsi" w:hAnsiTheme="majorHAnsi" w:cstheme="majorHAnsi"/>
          <w:color w:val="000000"/>
          <w:sz w:val="22"/>
          <w:szCs w:val="22"/>
          <w:lang w:val="fr-CA"/>
        </w:rPr>
        <w:t xml:space="preserve">comme outil </w:t>
      </w:r>
      <w:r w:rsidR="002B35ED" w:rsidRPr="0015462E">
        <w:rPr>
          <w:rFonts w:asciiTheme="majorHAnsi" w:hAnsiTheme="majorHAnsi" w:cstheme="majorHAnsi"/>
          <w:color w:val="000000"/>
          <w:sz w:val="22"/>
          <w:szCs w:val="22"/>
          <w:lang w:val="fr-CA"/>
        </w:rPr>
        <w:t>à la disposition du</w:t>
      </w:r>
      <w:r w:rsidRPr="0015462E">
        <w:rPr>
          <w:rFonts w:asciiTheme="majorHAnsi" w:hAnsiTheme="majorHAnsi" w:cstheme="majorHAnsi"/>
          <w:color w:val="000000"/>
          <w:sz w:val="22"/>
          <w:szCs w:val="22"/>
          <w:lang w:val="fr-CA"/>
        </w:rPr>
        <w:t xml:space="preserve"> Secrétariat et </w:t>
      </w:r>
      <w:r w:rsidR="002B35ED" w:rsidRPr="0015462E">
        <w:rPr>
          <w:rFonts w:asciiTheme="majorHAnsi" w:hAnsiTheme="majorHAnsi" w:cstheme="majorHAnsi"/>
          <w:color w:val="000000"/>
          <w:sz w:val="22"/>
          <w:szCs w:val="22"/>
          <w:lang w:val="fr-CA"/>
        </w:rPr>
        <w:t>du</w:t>
      </w:r>
      <w:r w:rsidRPr="0015462E">
        <w:rPr>
          <w:rFonts w:asciiTheme="majorHAnsi" w:hAnsiTheme="majorHAnsi" w:cstheme="majorHAnsi"/>
          <w:color w:val="000000"/>
          <w:sz w:val="22"/>
          <w:szCs w:val="22"/>
          <w:lang w:val="fr-CA"/>
        </w:rPr>
        <w:t xml:space="preserve"> Groupe de travail sur la gestion pour évaluer s’il convient d’envisager de conclure un accord de coopération avec une entité intéressée. </w:t>
      </w:r>
    </w:p>
    <w:p w14:paraId="00572C8F" w14:textId="77777777" w:rsidR="00FF71D3" w:rsidRPr="0015462E" w:rsidRDefault="00FF71D3" w:rsidP="008227E2">
      <w:pPr>
        <w:pStyle w:val="NormalWeb"/>
        <w:spacing w:before="0" w:beforeAutospacing="0" w:after="0" w:afterAutospacing="0"/>
        <w:ind w:left="-360" w:firstLine="45"/>
        <w:rPr>
          <w:rFonts w:asciiTheme="majorHAnsi" w:hAnsiTheme="majorHAnsi" w:cstheme="majorHAnsi"/>
          <w:sz w:val="22"/>
          <w:szCs w:val="22"/>
          <w:lang w:val="fr-CA"/>
        </w:rPr>
      </w:pPr>
    </w:p>
    <w:p w14:paraId="2B55266B" w14:textId="339A3C44" w:rsidR="00FF71D3" w:rsidRPr="0015462E" w:rsidRDefault="00FA02E1" w:rsidP="008227E2">
      <w:pPr>
        <w:pStyle w:val="NormalWeb"/>
        <w:numPr>
          <w:ilvl w:val="0"/>
          <w:numId w:val="23"/>
        </w:numPr>
        <w:spacing w:before="0" w:beforeAutospacing="0" w:after="0" w:afterAutospacing="0"/>
        <w:ind w:left="360"/>
        <w:rPr>
          <w:rFonts w:asciiTheme="majorHAnsi" w:hAnsiTheme="majorHAnsi" w:cstheme="majorHAnsi"/>
          <w:sz w:val="22"/>
          <w:szCs w:val="22"/>
          <w:lang w:val="fr-CA"/>
        </w:rPr>
      </w:pPr>
      <w:r w:rsidRPr="0015462E">
        <w:rPr>
          <w:rFonts w:asciiTheme="majorHAnsi" w:hAnsiTheme="majorHAnsi" w:cstheme="majorHAnsi"/>
          <w:color w:val="000000"/>
          <w:sz w:val="22"/>
          <w:szCs w:val="22"/>
          <w:lang w:val="fr-CA"/>
        </w:rPr>
        <w:t>Le Comité permanent décide de demande</w:t>
      </w:r>
      <w:r w:rsidR="002B35ED" w:rsidRPr="0015462E">
        <w:rPr>
          <w:rFonts w:asciiTheme="majorHAnsi" w:hAnsiTheme="majorHAnsi" w:cstheme="majorHAnsi"/>
          <w:color w:val="000000"/>
          <w:sz w:val="22"/>
          <w:szCs w:val="22"/>
          <w:lang w:val="fr-CA"/>
        </w:rPr>
        <w:t>r</w:t>
      </w:r>
      <w:r w:rsidRPr="0015462E">
        <w:rPr>
          <w:rFonts w:asciiTheme="majorHAnsi" w:hAnsiTheme="majorHAnsi" w:cstheme="majorHAnsi"/>
          <w:color w:val="000000"/>
          <w:sz w:val="22"/>
          <w:szCs w:val="22"/>
          <w:lang w:val="fr-CA"/>
        </w:rPr>
        <w:t xml:space="preserve"> au Secrétariat de contacter les six organisations énumérées dans l’annexe 1 du document </w:t>
      </w:r>
      <w:r w:rsidR="003E498C" w:rsidRPr="0015462E">
        <w:rPr>
          <w:rFonts w:asciiTheme="majorHAnsi" w:hAnsiTheme="majorHAnsi" w:cstheme="majorHAnsi"/>
          <w:color w:val="000000"/>
          <w:sz w:val="22"/>
          <w:szCs w:val="22"/>
          <w:lang w:val="fr-CA"/>
        </w:rPr>
        <w:t xml:space="preserve">Doc. </w:t>
      </w:r>
      <w:r w:rsidRPr="0015462E">
        <w:rPr>
          <w:rFonts w:asciiTheme="majorHAnsi" w:hAnsiTheme="majorHAnsi" w:cstheme="majorHAnsi"/>
          <w:color w:val="000000"/>
          <w:sz w:val="22"/>
          <w:szCs w:val="22"/>
          <w:lang w:val="fr-CA"/>
        </w:rPr>
        <w:t xml:space="preserve">SC54-16 qui ont actuellement des accords dont il a été établi qu’ils ne remplissent pas les critères </w:t>
      </w:r>
      <w:r w:rsidR="002B35ED" w:rsidRPr="0015462E">
        <w:rPr>
          <w:rFonts w:asciiTheme="majorHAnsi" w:hAnsiTheme="majorHAnsi" w:cstheme="majorHAnsi"/>
          <w:color w:val="000000"/>
          <w:sz w:val="22"/>
          <w:szCs w:val="22"/>
          <w:lang w:val="fr-CA"/>
        </w:rPr>
        <w:t>relatifs aux</w:t>
      </w:r>
      <w:r w:rsidRPr="0015462E">
        <w:rPr>
          <w:rFonts w:asciiTheme="majorHAnsi" w:hAnsiTheme="majorHAnsi" w:cstheme="majorHAnsi"/>
          <w:color w:val="000000"/>
          <w:sz w:val="22"/>
          <w:szCs w:val="22"/>
          <w:lang w:val="fr-CA"/>
        </w:rPr>
        <w:t xml:space="preserve"> mémorandums d’accord que les Parties ont convenu d’utiliser</w:t>
      </w:r>
      <w:r w:rsidR="003E498C" w:rsidRPr="0015462E">
        <w:rPr>
          <w:rFonts w:asciiTheme="majorHAnsi" w:hAnsiTheme="majorHAnsi" w:cstheme="majorHAnsi"/>
          <w:color w:val="000000"/>
          <w:sz w:val="22"/>
          <w:szCs w:val="22"/>
          <w:lang w:val="fr-CA"/>
        </w:rPr>
        <w:t>,</w:t>
      </w:r>
      <w:r w:rsidRPr="0015462E">
        <w:rPr>
          <w:rFonts w:asciiTheme="majorHAnsi" w:hAnsiTheme="majorHAnsi" w:cstheme="majorHAnsi"/>
          <w:color w:val="000000"/>
          <w:sz w:val="22"/>
          <w:szCs w:val="22"/>
          <w:lang w:val="fr-CA"/>
        </w:rPr>
        <w:t xml:space="preserve"> afin d’explorer si l</w:t>
      </w:r>
      <w:r w:rsidR="002B35ED" w:rsidRPr="0015462E">
        <w:rPr>
          <w:rFonts w:asciiTheme="majorHAnsi" w:hAnsiTheme="majorHAnsi" w:cstheme="majorHAnsi"/>
          <w:color w:val="000000"/>
          <w:sz w:val="22"/>
          <w:szCs w:val="22"/>
          <w:lang w:val="fr-CA"/>
        </w:rPr>
        <w:t xml:space="preserve">es </w:t>
      </w:r>
      <w:r w:rsidRPr="0015462E">
        <w:rPr>
          <w:rFonts w:asciiTheme="majorHAnsi" w:hAnsiTheme="majorHAnsi" w:cstheme="majorHAnsi"/>
          <w:color w:val="000000"/>
          <w:sz w:val="22"/>
          <w:szCs w:val="22"/>
          <w:lang w:val="fr-CA"/>
        </w:rPr>
        <w:t>organisation</w:t>
      </w:r>
      <w:r w:rsidR="002B35ED" w:rsidRPr="0015462E">
        <w:rPr>
          <w:rFonts w:asciiTheme="majorHAnsi" w:hAnsiTheme="majorHAnsi" w:cstheme="majorHAnsi"/>
          <w:color w:val="000000"/>
          <w:sz w:val="22"/>
          <w:szCs w:val="22"/>
          <w:lang w:val="fr-CA"/>
        </w:rPr>
        <w:t>s</w:t>
      </w:r>
      <w:r w:rsidRPr="0015462E">
        <w:rPr>
          <w:rFonts w:asciiTheme="majorHAnsi" w:hAnsiTheme="majorHAnsi" w:cstheme="majorHAnsi"/>
          <w:color w:val="000000"/>
          <w:sz w:val="22"/>
          <w:szCs w:val="22"/>
          <w:lang w:val="fr-CA"/>
        </w:rPr>
        <w:t xml:space="preserve"> en question souhaite</w:t>
      </w:r>
      <w:r w:rsidR="002B35ED" w:rsidRPr="0015462E">
        <w:rPr>
          <w:rFonts w:asciiTheme="majorHAnsi" w:hAnsiTheme="majorHAnsi" w:cstheme="majorHAnsi"/>
          <w:color w:val="000000"/>
          <w:sz w:val="22"/>
          <w:szCs w:val="22"/>
          <w:lang w:val="fr-CA"/>
        </w:rPr>
        <w:t>nt</w:t>
      </w:r>
      <w:r w:rsidRPr="0015462E">
        <w:rPr>
          <w:rFonts w:asciiTheme="majorHAnsi" w:hAnsiTheme="majorHAnsi" w:cstheme="majorHAnsi"/>
          <w:color w:val="000000"/>
          <w:sz w:val="22"/>
          <w:szCs w:val="22"/>
          <w:lang w:val="fr-CA"/>
        </w:rPr>
        <w:t xml:space="preserve"> modifier </w:t>
      </w:r>
      <w:r w:rsidR="002B35ED" w:rsidRPr="0015462E">
        <w:rPr>
          <w:rFonts w:asciiTheme="majorHAnsi" w:hAnsiTheme="majorHAnsi" w:cstheme="majorHAnsi"/>
          <w:color w:val="000000"/>
          <w:sz w:val="22"/>
          <w:szCs w:val="22"/>
          <w:lang w:val="fr-CA"/>
        </w:rPr>
        <w:t>l</w:t>
      </w:r>
      <w:r w:rsidR="003E498C" w:rsidRPr="0015462E">
        <w:rPr>
          <w:rFonts w:asciiTheme="majorHAnsi" w:hAnsiTheme="majorHAnsi" w:cstheme="majorHAnsi"/>
          <w:color w:val="000000"/>
          <w:sz w:val="22"/>
          <w:szCs w:val="22"/>
          <w:lang w:val="fr-CA"/>
        </w:rPr>
        <w:t xml:space="preserve">es </w:t>
      </w:r>
      <w:r w:rsidR="002B35ED" w:rsidRPr="0015462E">
        <w:rPr>
          <w:rFonts w:asciiTheme="majorHAnsi" w:hAnsiTheme="majorHAnsi" w:cstheme="majorHAnsi"/>
          <w:color w:val="000000"/>
          <w:sz w:val="22"/>
          <w:szCs w:val="22"/>
          <w:lang w:val="fr-CA"/>
        </w:rPr>
        <w:t>accord</w:t>
      </w:r>
      <w:r w:rsidR="003E498C" w:rsidRPr="0015462E">
        <w:rPr>
          <w:rFonts w:asciiTheme="majorHAnsi" w:hAnsiTheme="majorHAnsi" w:cstheme="majorHAnsi"/>
          <w:color w:val="000000"/>
          <w:sz w:val="22"/>
          <w:szCs w:val="22"/>
          <w:lang w:val="fr-CA"/>
        </w:rPr>
        <w:t>s</w:t>
      </w:r>
      <w:r w:rsidR="002B35ED" w:rsidRPr="0015462E">
        <w:rPr>
          <w:rFonts w:asciiTheme="majorHAnsi" w:hAnsiTheme="majorHAnsi" w:cstheme="majorHAnsi"/>
          <w:color w:val="000000"/>
          <w:sz w:val="22"/>
          <w:szCs w:val="22"/>
          <w:lang w:val="fr-CA"/>
        </w:rPr>
        <w:t xml:space="preserve"> </w:t>
      </w:r>
      <w:r w:rsidRPr="0015462E">
        <w:rPr>
          <w:rFonts w:asciiTheme="majorHAnsi" w:hAnsiTheme="majorHAnsi" w:cstheme="majorHAnsi"/>
          <w:color w:val="000000"/>
          <w:sz w:val="22"/>
          <w:szCs w:val="22"/>
          <w:lang w:val="fr-CA"/>
        </w:rPr>
        <w:t xml:space="preserve">ou </w:t>
      </w:r>
      <w:r w:rsidR="002B35ED" w:rsidRPr="0015462E">
        <w:rPr>
          <w:rFonts w:asciiTheme="majorHAnsi" w:hAnsiTheme="majorHAnsi" w:cstheme="majorHAnsi"/>
          <w:color w:val="000000"/>
          <w:sz w:val="22"/>
          <w:szCs w:val="22"/>
          <w:lang w:val="fr-CA"/>
        </w:rPr>
        <w:t>y mettre fin</w:t>
      </w:r>
      <w:r w:rsidRPr="0015462E">
        <w:rPr>
          <w:rFonts w:asciiTheme="majorHAnsi" w:hAnsiTheme="majorHAnsi" w:cstheme="majorHAnsi"/>
          <w:color w:val="000000"/>
          <w:sz w:val="22"/>
          <w:szCs w:val="22"/>
          <w:lang w:val="fr-CA"/>
        </w:rPr>
        <w:t>.</w:t>
      </w:r>
      <w:r w:rsidR="00FF71D3" w:rsidRPr="0015462E">
        <w:rPr>
          <w:rFonts w:asciiTheme="majorHAnsi" w:hAnsiTheme="majorHAnsi" w:cstheme="majorHAnsi"/>
          <w:color w:val="000000"/>
          <w:sz w:val="22"/>
          <w:szCs w:val="22"/>
          <w:lang w:val="fr-CA"/>
        </w:rPr>
        <w:t xml:space="preserve"> </w:t>
      </w:r>
    </w:p>
    <w:p w14:paraId="7CAFA0C0" w14:textId="77777777" w:rsidR="00FF71D3" w:rsidRPr="0015462E" w:rsidRDefault="00FF71D3" w:rsidP="008227E2">
      <w:pPr>
        <w:pStyle w:val="NormalWeb"/>
        <w:spacing w:before="0" w:beforeAutospacing="0" w:after="0" w:afterAutospacing="0"/>
        <w:ind w:left="-360" w:firstLine="45"/>
        <w:rPr>
          <w:rFonts w:asciiTheme="majorHAnsi" w:hAnsiTheme="majorHAnsi" w:cstheme="majorHAnsi"/>
          <w:sz w:val="22"/>
          <w:szCs w:val="22"/>
          <w:lang w:val="fr-CA"/>
        </w:rPr>
      </w:pPr>
    </w:p>
    <w:p w14:paraId="78B6D1B8" w14:textId="3F06C1A3" w:rsidR="00FF71D3" w:rsidRPr="0015462E" w:rsidRDefault="00FA02E1" w:rsidP="008227E2">
      <w:pPr>
        <w:pStyle w:val="NormalWeb"/>
        <w:numPr>
          <w:ilvl w:val="0"/>
          <w:numId w:val="23"/>
        </w:numPr>
        <w:spacing w:before="0" w:beforeAutospacing="0" w:after="0" w:afterAutospacing="0"/>
        <w:ind w:left="360"/>
        <w:rPr>
          <w:rFonts w:asciiTheme="majorHAnsi" w:hAnsiTheme="majorHAnsi" w:cstheme="majorHAnsi"/>
          <w:sz w:val="22"/>
          <w:szCs w:val="22"/>
          <w:lang w:val="fr-CA"/>
        </w:rPr>
      </w:pPr>
      <w:r w:rsidRPr="0015462E">
        <w:rPr>
          <w:rFonts w:asciiTheme="majorHAnsi" w:hAnsiTheme="majorHAnsi" w:cstheme="majorHAnsi"/>
          <w:color w:val="000000"/>
          <w:sz w:val="22"/>
          <w:szCs w:val="22"/>
          <w:lang w:val="fr-CA"/>
        </w:rPr>
        <w:t>Le Comité permanent décide d’accepter l’évaluation des accords actuels et expiré</w:t>
      </w:r>
      <w:r w:rsidR="002B35ED" w:rsidRPr="0015462E">
        <w:rPr>
          <w:rFonts w:asciiTheme="majorHAnsi" w:hAnsiTheme="majorHAnsi" w:cstheme="majorHAnsi"/>
          <w:color w:val="000000"/>
          <w:sz w:val="22"/>
          <w:szCs w:val="22"/>
          <w:lang w:val="fr-CA"/>
        </w:rPr>
        <w:t>s</w:t>
      </w:r>
      <w:r w:rsidRPr="0015462E">
        <w:rPr>
          <w:rFonts w:asciiTheme="majorHAnsi" w:hAnsiTheme="majorHAnsi" w:cstheme="majorHAnsi"/>
          <w:color w:val="000000"/>
          <w:sz w:val="22"/>
          <w:szCs w:val="22"/>
          <w:lang w:val="fr-CA"/>
        </w:rPr>
        <w:t xml:space="preserve"> qui figurent dans l’annexe 1 du document </w:t>
      </w:r>
      <w:r w:rsidR="003E498C" w:rsidRPr="0015462E">
        <w:rPr>
          <w:rFonts w:asciiTheme="majorHAnsi" w:hAnsiTheme="majorHAnsi" w:cstheme="majorHAnsi"/>
          <w:color w:val="000000"/>
          <w:sz w:val="22"/>
          <w:szCs w:val="22"/>
          <w:lang w:val="fr-CA"/>
        </w:rPr>
        <w:t xml:space="preserve">Doc. </w:t>
      </w:r>
      <w:r w:rsidR="00FF71D3" w:rsidRPr="0015462E">
        <w:rPr>
          <w:rFonts w:asciiTheme="majorHAnsi" w:hAnsiTheme="majorHAnsi" w:cstheme="majorHAnsi"/>
          <w:color w:val="000000"/>
          <w:sz w:val="22"/>
          <w:szCs w:val="22"/>
          <w:lang w:val="fr-CA"/>
        </w:rPr>
        <w:t xml:space="preserve">SC54-16 </w:t>
      </w:r>
      <w:r w:rsidRPr="0015462E">
        <w:rPr>
          <w:rFonts w:asciiTheme="majorHAnsi" w:hAnsiTheme="majorHAnsi" w:cstheme="majorHAnsi"/>
          <w:color w:val="000000"/>
          <w:sz w:val="22"/>
          <w:szCs w:val="22"/>
          <w:lang w:val="fr-CA"/>
        </w:rPr>
        <w:t xml:space="preserve">et, </w:t>
      </w:r>
      <w:r w:rsidR="002B35ED" w:rsidRPr="0015462E">
        <w:rPr>
          <w:rFonts w:asciiTheme="majorHAnsi" w:hAnsiTheme="majorHAnsi" w:cstheme="majorHAnsi"/>
          <w:color w:val="000000"/>
          <w:sz w:val="22"/>
          <w:szCs w:val="22"/>
          <w:lang w:val="fr-CA"/>
        </w:rPr>
        <w:t>sur avis du</w:t>
      </w:r>
      <w:r w:rsidRPr="0015462E">
        <w:rPr>
          <w:rFonts w:asciiTheme="majorHAnsi" w:hAnsiTheme="majorHAnsi" w:cstheme="majorHAnsi"/>
          <w:color w:val="000000"/>
          <w:sz w:val="22"/>
          <w:szCs w:val="22"/>
          <w:lang w:val="fr-CA"/>
        </w:rPr>
        <w:t xml:space="preserve"> Groupe de travail sur la gestion, demande au Secrétariat de contacter les représentants de la Convention interaméricaine pour la protection des tortues marines et de la </w:t>
      </w:r>
      <w:r w:rsidR="00FF71D3" w:rsidRPr="0015462E">
        <w:rPr>
          <w:rFonts w:asciiTheme="majorHAnsi" w:hAnsiTheme="majorHAnsi" w:cstheme="majorHAnsi"/>
          <w:color w:val="000000"/>
          <w:sz w:val="22"/>
          <w:szCs w:val="22"/>
          <w:lang w:val="fr-CA"/>
        </w:rPr>
        <w:t xml:space="preserve">Society for Ecological Restoration </w:t>
      </w:r>
      <w:r w:rsidRPr="0015462E">
        <w:rPr>
          <w:rFonts w:asciiTheme="majorHAnsi" w:hAnsiTheme="majorHAnsi" w:cstheme="majorHAnsi"/>
          <w:color w:val="000000"/>
          <w:sz w:val="22"/>
          <w:szCs w:val="22"/>
          <w:lang w:val="fr-CA"/>
        </w:rPr>
        <w:t xml:space="preserve">afin d’explorer les possibilités de relancer la collaboration et, </w:t>
      </w:r>
      <w:r w:rsidR="002B35ED" w:rsidRPr="0015462E">
        <w:rPr>
          <w:rFonts w:asciiTheme="majorHAnsi" w:hAnsiTheme="majorHAnsi" w:cstheme="majorHAnsi"/>
          <w:color w:val="000000"/>
          <w:sz w:val="22"/>
          <w:szCs w:val="22"/>
          <w:lang w:val="fr-CA"/>
        </w:rPr>
        <w:t>dans ce cas</w:t>
      </w:r>
      <w:r w:rsidRPr="0015462E">
        <w:rPr>
          <w:rFonts w:asciiTheme="majorHAnsi" w:hAnsiTheme="majorHAnsi" w:cstheme="majorHAnsi"/>
          <w:color w:val="000000"/>
          <w:sz w:val="22"/>
          <w:szCs w:val="22"/>
          <w:lang w:val="fr-CA"/>
        </w:rPr>
        <w:t xml:space="preserve">, de déterminer si un accord de coopération officiel serait nécessaire, et de faire rapport sur les résultats de ces efforts au Groupe de travail sur la gestion lors d’une réunion ultérieure. </w:t>
      </w:r>
    </w:p>
    <w:p w14:paraId="1898764F" w14:textId="77777777" w:rsidR="00FF71D3" w:rsidRPr="0015462E" w:rsidRDefault="00FF71D3" w:rsidP="008227E2">
      <w:pPr>
        <w:spacing w:after="0" w:line="240" w:lineRule="auto"/>
        <w:rPr>
          <w:rFonts w:asciiTheme="majorHAnsi" w:hAnsiTheme="majorHAnsi"/>
          <w:bCs/>
          <w:lang w:val="fr-CA"/>
        </w:rPr>
      </w:pPr>
    </w:p>
    <w:p w14:paraId="0BFD3E52" w14:textId="77777777" w:rsidR="00C57F57" w:rsidRPr="0015462E" w:rsidRDefault="00C57F57" w:rsidP="008227E2">
      <w:pPr>
        <w:spacing w:after="0" w:line="240" w:lineRule="auto"/>
        <w:rPr>
          <w:rFonts w:asciiTheme="majorHAnsi" w:hAnsiTheme="majorHAnsi"/>
          <w:b/>
          <w:bCs/>
          <w:lang w:val="fr-CA"/>
        </w:rPr>
      </w:pPr>
      <w:r w:rsidRPr="0015462E">
        <w:rPr>
          <w:rFonts w:asciiTheme="majorHAnsi" w:hAnsiTheme="majorHAnsi"/>
          <w:b/>
          <w:bCs/>
          <w:lang w:val="fr-CA"/>
        </w:rPr>
        <w:t xml:space="preserve">Autre question : évaluation à 360 degrés de la Secrétaire générale </w:t>
      </w:r>
    </w:p>
    <w:p w14:paraId="0D4C764E" w14:textId="77777777" w:rsidR="00C57F57" w:rsidRPr="0015462E" w:rsidRDefault="00C57F57" w:rsidP="008227E2">
      <w:pPr>
        <w:spacing w:after="0" w:line="240" w:lineRule="auto"/>
        <w:rPr>
          <w:rFonts w:asciiTheme="majorHAnsi" w:hAnsiTheme="majorHAnsi"/>
          <w:b/>
          <w:bCs/>
          <w:lang w:val="fr-CA"/>
        </w:rPr>
      </w:pPr>
    </w:p>
    <w:p w14:paraId="49634FC0" w14:textId="77777777" w:rsidR="00C57F57"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 xml:space="preserve">L’Autriche propose que le Comité permanent décide d’appliquer une évaluation à 360 degrés des travaux de la Secrétaire générale avant la COP, selon la pratique passée. </w:t>
      </w:r>
    </w:p>
    <w:p w14:paraId="01F7422F" w14:textId="77777777" w:rsidR="00C57F57" w:rsidRPr="0015462E" w:rsidRDefault="00C57F57" w:rsidP="008227E2">
      <w:pPr>
        <w:spacing w:after="0" w:line="240" w:lineRule="auto"/>
        <w:rPr>
          <w:rFonts w:asciiTheme="majorHAnsi" w:hAnsiTheme="majorHAnsi"/>
          <w:bCs/>
          <w:lang w:val="fr-CA"/>
        </w:rPr>
      </w:pPr>
    </w:p>
    <w:p w14:paraId="05B2B8DB" w14:textId="77777777" w:rsidR="00C57F57"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 xml:space="preserve">Le Président confirme que le Comité exécutif a traité cette question et pris des décisions conformément aux règles de l’UICN. </w:t>
      </w:r>
    </w:p>
    <w:p w14:paraId="346A4A61" w14:textId="77777777" w:rsidR="00C57F57" w:rsidRPr="0015462E" w:rsidRDefault="00C57F57" w:rsidP="008227E2">
      <w:pPr>
        <w:spacing w:after="0" w:line="240" w:lineRule="auto"/>
        <w:rPr>
          <w:rFonts w:asciiTheme="majorHAnsi" w:hAnsiTheme="majorHAnsi"/>
          <w:bCs/>
          <w:lang w:val="fr-CA"/>
        </w:rPr>
      </w:pPr>
    </w:p>
    <w:p w14:paraId="6CB44B22" w14:textId="77777777" w:rsidR="00C57F57"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 xml:space="preserve">La Secrétaire générale indique que son évaluation annuelle pour 2017 a été menée selon la politique de l’UICN. Concernant une évaluation interne à 360 degrés, elle consulte les ressources humaines de l’UICN sur la manière de l’appliquer. Toute autre question devrait leur être adressée. </w:t>
      </w:r>
    </w:p>
    <w:p w14:paraId="5BB35B7C" w14:textId="77777777" w:rsidR="00C57F57" w:rsidRPr="0015462E" w:rsidRDefault="00C57F57" w:rsidP="008227E2">
      <w:pPr>
        <w:spacing w:after="0" w:line="240" w:lineRule="auto"/>
        <w:rPr>
          <w:rFonts w:asciiTheme="majorHAnsi" w:hAnsiTheme="majorHAnsi"/>
          <w:bCs/>
          <w:lang w:val="fr-CA"/>
        </w:rPr>
      </w:pPr>
    </w:p>
    <w:p w14:paraId="0AC99D82" w14:textId="77777777" w:rsidR="00C57F57"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 xml:space="preserve">Les Parties proposent une évaluation externe à 360 degrés avant la COP13 (Afrique du Sud, Suisse).  </w:t>
      </w:r>
    </w:p>
    <w:p w14:paraId="73AC488F" w14:textId="77777777" w:rsidR="00C57F57" w:rsidRPr="0015462E" w:rsidRDefault="00C57F57" w:rsidP="008227E2">
      <w:pPr>
        <w:spacing w:after="0" w:line="240" w:lineRule="auto"/>
        <w:rPr>
          <w:rFonts w:asciiTheme="majorHAnsi" w:hAnsiTheme="majorHAnsi"/>
          <w:bCs/>
          <w:lang w:val="fr-CA"/>
        </w:rPr>
      </w:pPr>
    </w:p>
    <w:p w14:paraId="336888F7" w14:textId="77777777" w:rsidR="00C57F57"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Les États</w:t>
      </w:r>
      <w:r w:rsidRPr="0015462E">
        <w:rPr>
          <w:rFonts w:asciiTheme="majorHAnsi" w:hAnsiTheme="majorHAnsi"/>
          <w:bCs/>
          <w:lang w:val="fr-CA"/>
        </w:rPr>
        <w:noBreakHyphen/>
        <w:t>Unis d’Amérique expriment des doutes quant à la valeur de l’outil d’évaluation et soutiennent le recours aux règles et procédures de l’UICN.</w:t>
      </w:r>
    </w:p>
    <w:p w14:paraId="4C5B3EAD" w14:textId="77777777" w:rsidR="00C57F57" w:rsidRPr="0015462E" w:rsidRDefault="00C57F57" w:rsidP="008227E2">
      <w:pPr>
        <w:spacing w:after="0" w:line="240" w:lineRule="auto"/>
        <w:rPr>
          <w:rFonts w:asciiTheme="majorHAnsi" w:hAnsiTheme="majorHAnsi"/>
          <w:bCs/>
          <w:lang w:val="fr-CA"/>
        </w:rPr>
      </w:pPr>
    </w:p>
    <w:p w14:paraId="63804F9B" w14:textId="77777777" w:rsidR="00C57F57"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L’Australie rappelle l’appui du Groupe de travail sur la facilitation à la 53</w:t>
      </w:r>
      <w:r w:rsidRPr="0015462E">
        <w:rPr>
          <w:rFonts w:asciiTheme="majorHAnsi" w:hAnsiTheme="majorHAnsi"/>
          <w:bCs/>
          <w:vertAlign w:val="superscript"/>
          <w:lang w:val="fr-CA"/>
        </w:rPr>
        <w:t>e</w:t>
      </w:r>
      <w:r w:rsidRPr="0015462E">
        <w:rPr>
          <w:rFonts w:asciiTheme="majorHAnsi" w:hAnsiTheme="majorHAnsi"/>
          <w:bCs/>
          <w:lang w:val="fr-CA"/>
        </w:rPr>
        <w:t> Réunion du Comité permanent pour les travaux de la Secrétaire générale et suggère de procéder à une évaluation après la COP13.</w:t>
      </w:r>
    </w:p>
    <w:p w14:paraId="4C7AE891" w14:textId="77777777" w:rsidR="00C57F57" w:rsidRPr="0015462E" w:rsidRDefault="00C57F57" w:rsidP="008227E2">
      <w:pPr>
        <w:spacing w:after="0" w:line="240" w:lineRule="auto"/>
        <w:rPr>
          <w:rFonts w:asciiTheme="majorHAnsi" w:hAnsiTheme="majorHAnsi"/>
          <w:bCs/>
          <w:lang w:val="fr-CA"/>
        </w:rPr>
      </w:pPr>
    </w:p>
    <w:p w14:paraId="2238D4CD" w14:textId="77777777" w:rsidR="00C57F57"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Le Japon propose que les règles de l’UICN relatives au personnel soient portées sur le site web pour veiller à la transparence pleine et entière.</w:t>
      </w:r>
    </w:p>
    <w:p w14:paraId="794872F1" w14:textId="77777777" w:rsidR="00C57F57" w:rsidRPr="0015462E" w:rsidRDefault="00C57F57" w:rsidP="008227E2">
      <w:pPr>
        <w:spacing w:after="0" w:line="240" w:lineRule="auto"/>
        <w:rPr>
          <w:rFonts w:asciiTheme="majorHAnsi" w:hAnsiTheme="majorHAnsi"/>
          <w:bCs/>
          <w:lang w:val="fr-CA"/>
        </w:rPr>
      </w:pPr>
    </w:p>
    <w:p w14:paraId="6B6E89C6" w14:textId="77777777" w:rsidR="00C57F57"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La Finlande demande que le mandat, les tâches et responsabilités du Comité exécutif soient partagés.</w:t>
      </w:r>
    </w:p>
    <w:p w14:paraId="0AA86572" w14:textId="77777777" w:rsidR="00C57F57" w:rsidRPr="0015462E" w:rsidRDefault="00C57F57" w:rsidP="008227E2">
      <w:pPr>
        <w:spacing w:after="0" w:line="240" w:lineRule="auto"/>
        <w:rPr>
          <w:rFonts w:asciiTheme="majorHAnsi" w:hAnsiTheme="majorHAnsi"/>
          <w:bCs/>
          <w:lang w:val="fr-CA"/>
        </w:rPr>
      </w:pPr>
    </w:p>
    <w:p w14:paraId="1761EA1D" w14:textId="77EC2BE9" w:rsidR="00FF71D3" w:rsidRPr="0015462E" w:rsidRDefault="00C57F57" w:rsidP="008227E2">
      <w:pPr>
        <w:spacing w:after="0" w:line="240" w:lineRule="auto"/>
        <w:rPr>
          <w:rFonts w:asciiTheme="majorHAnsi" w:hAnsiTheme="majorHAnsi"/>
          <w:bCs/>
          <w:lang w:val="fr-CA"/>
        </w:rPr>
      </w:pPr>
      <w:r w:rsidRPr="0015462E">
        <w:rPr>
          <w:rFonts w:asciiTheme="majorHAnsi" w:hAnsiTheme="majorHAnsi"/>
          <w:bCs/>
          <w:lang w:val="fr-CA"/>
        </w:rPr>
        <w:t>Le Président propose de poursuivre la discussion au Comité permanent avec les ressources humaines de l’UICN qui seront présentes à une séance ultérieure.</w:t>
      </w:r>
    </w:p>
    <w:p w14:paraId="3FA6859E" w14:textId="500A3703" w:rsidR="00BF284D" w:rsidRPr="0015462E" w:rsidRDefault="00BF284D" w:rsidP="00C21F35">
      <w:pPr>
        <w:spacing w:after="0" w:line="360" w:lineRule="auto"/>
        <w:rPr>
          <w:rFonts w:asciiTheme="majorHAnsi" w:hAnsiTheme="majorHAnsi"/>
          <w:lang w:val="fr-CA"/>
        </w:rPr>
      </w:pPr>
    </w:p>
    <w:sectPr w:rsidR="00BF284D" w:rsidRPr="0015462E" w:rsidSect="008227E2">
      <w:headerReference w:type="default" r:id="rId8"/>
      <w:footerReference w:type="default" r:id="rId9"/>
      <w:type w:val="continuous"/>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061E9" w14:textId="77777777" w:rsidR="000148DA" w:rsidRDefault="000148DA" w:rsidP="00BB101B">
      <w:pPr>
        <w:spacing w:after="0" w:line="240" w:lineRule="auto"/>
      </w:pPr>
      <w:r>
        <w:separator/>
      </w:r>
    </w:p>
  </w:endnote>
  <w:endnote w:type="continuationSeparator" w:id="0">
    <w:p w14:paraId="1EE0494C" w14:textId="77777777" w:rsidR="000148DA" w:rsidRDefault="000148DA"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4DA0" w14:textId="1679E8EB" w:rsidR="00061931" w:rsidRPr="00C21F35" w:rsidRDefault="00AE45DC" w:rsidP="00BF284D">
    <w:pPr>
      <w:pStyle w:val="Header"/>
      <w:rPr>
        <w:noProof/>
        <w:sz w:val="20"/>
        <w:szCs w:val="20"/>
        <w:lang w:val="fr-FR"/>
      </w:rPr>
    </w:pPr>
    <w:r w:rsidRPr="008406EB">
      <w:rPr>
        <w:sz w:val="20"/>
        <w:szCs w:val="20"/>
        <w:lang w:val="fr-CA"/>
      </w:rPr>
      <w:t xml:space="preserve">SC54 </w:t>
    </w:r>
    <w:r w:rsidR="008406EB" w:rsidRPr="008406EB">
      <w:rPr>
        <w:sz w:val="20"/>
        <w:szCs w:val="20"/>
        <w:lang w:val="fr-CA"/>
      </w:rPr>
      <w:t>Projet de rapport de la première journée</w:t>
    </w:r>
    <w:r w:rsidRPr="008406EB">
      <w:rPr>
        <w:sz w:val="20"/>
        <w:szCs w:val="20"/>
        <w:lang w:val="fr-CA"/>
      </w:rPr>
      <w:tab/>
    </w:r>
    <w:r w:rsidRPr="00C21F35">
      <w:rPr>
        <w:sz w:val="20"/>
        <w:szCs w:val="20"/>
        <w:lang w:val="fr-FR"/>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C21F35">
          <w:rPr>
            <w:sz w:val="20"/>
            <w:szCs w:val="20"/>
            <w:lang w:val="fr-FR"/>
          </w:rPr>
          <w:instrText xml:space="preserve"> PAGE   \* MERGEFORMAT </w:instrText>
        </w:r>
        <w:r w:rsidRPr="00227310">
          <w:rPr>
            <w:sz w:val="20"/>
            <w:szCs w:val="20"/>
          </w:rPr>
          <w:fldChar w:fldCharType="separate"/>
        </w:r>
        <w:r w:rsidR="000D64EC">
          <w:rPr>
            <w:noProof/>
            <w:sz w:val="20"/>
            <w:szCs w:val="20"/>
            <w:lang w:val="fr-FR"/>
          </w:rPr>
          <w:t>- 2 -</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27834" w14:textId="77777777" w:rsidR="000148DA" w:rsidRDefault="000148DA" w:rsidP="00BB101B">
      <w:pPr>
        <w:spacing w:after="0" w:line="240" w:lineRule="auto"/>
      </w:pPr>
      <w:r>
        <w:separator/>
      </w:r>
    </w:p>
  </w:footnote>
  <w:footnote w:type="continuationSeparator" w:id="0">
    <w:p w14:paraId="6421CBE6" w14:textId="77777777" w:rsidR="000148DA" w:rsidRDefault="000148DA"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AE45DC" w:rsidRDefault="00AE45DC">
    <w:pPr>
      <w:pStyle w:val="Header"/>
    </w:pPr>
  </w:p>
  <w:p w14:paraId="4212DDAF" w14:textId="77777777" w:rsidR="00AE45DC" w:rsidRDefault="00AE45DC">
    <w:pPr>
      <w:pStyle w:val="Header"/>
    </w:pPr>
  </w:p>
  <w:p w14:paraId="34199941" w14:textId="77777777" w:rsidR="00061931" w:rsidRDefault="000619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5"/>
  </w:num>
  <w:num w:numId="2">
    <w:abstractNumId w:val="24"/>
  </w:num>
  <w:num w:numId="3">
    <w:abstractNumId w:val="5"/>
  </w:num>
  <w:num w:numId="4">
    <w:abstractNumId w:val="8"/>
  </w:num>
  <w:num w:numId="5">
    <w:abstractNumId w:val="14"/>
  </w:num>
  <w:num w:numId="6">
    <w:abstractNumId w:val="19"/>
  </w:num>
  <w:num w:numId="7">
    <w:abstractNumId w:val="18"/>
  </w:num>
  <w:num w:numId="8">
    <w:abstractNumId w:val="3"/>
  </w:num>
  <w:num w:numId="9">
    <w:abstractNumId w:val="7"/>
  </w:num>
  <w:num w:numId="10">
    <w:abstractNumId w:val="0"/>
  </w:num>
  <w:num w:numId="11">
    <w:abstractNumId w:val="6"/>
  </w:num>
  <w:num w:numId="12">
    <w:abstractNumId w:val="1"/>
  </w:num>
  <w:num w:numId="13">
    <w:abstractNumId w:val="11"/>
  </w:num>
  <w:num w:numId="14">
    <w:abstractNumId w:val="4"/>
  </w:num>
  <w:num w:numId="15">
    <w:abstractNumId w:val="13"/>
  </w:num>
  <w:num w:numId="16">
    <w:abstractNumId w:val="20"/>
  </w:num>
  <w:num w:numId="17">
    <w:abstractNumId w:val="10"/>
  </w:num>
  <w:num w:numId="18">
    <w:abstractNumId w:val="22"/>
  </w:num>
  <w:num w:numId="19">
    <w:abstractNumId w:val="23"/>
  </w:num>
  <w:num w:numId="20">
    <w:abstractNumId w:val="9"/>
  </w:num>
  <w:num w:numId="21">
    <w:abstractNumId w:val="21"/>
  </w:num>
  <w:num w:numId="22">
    <w:abstractNumId w:val="12"/>
  </w:num>
  <w:num w:numId="23">
    <w:abstractNumId w:val="17"/>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48DA"/>
    <w:rsid w:val="00022ABE"/>
    <w:rsid w:val="00023D0A"/>
    <w:rsid w:val="0003083B"/>
    <w:rsid w:val="00033C95"/>
    <w:rsid w:val="00056A85"/>
    <w:rsid w:val="00061931"/>
    <w:rsid w:val="00064D66"/>
    <w:rsid w:val="00074D5C"/>
    <w:rsid w:val="000768F4"/>
    <w:rsid w:val="00082272"/>
    <w:rsid w:val="00083971"/>
    <w:rsid w:val="00087ED6"/>
    <w:rsid w:val="00091754"/>
    <w:rsid w:val="0009610D"/>
    <w:rsid w:val="000A0D2B"/>
    <w:rsid w:val="000A2BB3"/>
    <w:rsid w:val="000B51A6"/>
    <w:rsid w:val="000C2AEB"/>
    <w:rsid w:val="000D5E27"/>
    <w:rsid w:val="000D64EC"/>
    <w:rsid w:val="000D6BEA"/>
    <w:rsid w:val="000E7396"/>
    <w:rsid w:val="00100356"/>
    <w:rsid w:val="00107404"/>
    <w:rsid w:val="00112790"/>
    <w:rsid w:val="00125529"/>
    <w:rsid w:val="00130EC5"/>
    <w:rsid w:val="00134369"/>
    <w:rsid w:val="00152ED8"/>
    <w:rsid w:val="0015462E"/>
    <w:rsid w:val="00160C78"/>
    <w:rsid w:val="001648D9"/>
    <w:rsid w:val="001948FE"/>
    <w:rsid w:val="001A5DB1"/>
    <w:rsid w:val="001B740B"/>
    <w:rsid w:val="001C140C"/>
    <w:rsid w:val="001C4DAD"/>
    <w:rsid w:val="00206F53"/>
    <w:rsid w:val="00216EB7"/>
    <w:rsid w:val="00222C03"/>
    <w:rsid w:val="00241DA8"/>
    <w:rsid w:val="00261071"/>
    <w:rsid w:val="0026523B"/>
    <w:rsid w:val="00272EF2"/>
    <w:rsid w:val="00281D7C"/>
    <w:rsid w:val="0028305E"/>
    <w:rsid w:val="00297A94"/>
    <w:rsid w:val="00297E58"/>
    <w:rsid w:val="002B2360"/>
    <w:rsid w:val="002B35ED"/>
    <w:rsid w:val="002B58C5"/>
    <w:rsid w:val="002C2BC6"/>
    <w:rsid w:val="002C6542"/>
    <w:rsid w:val="002C79C3"/>
    <w:rsid w:val="00301D6D"/>
    <w:rsid w:val="0030565C"/>
    <w:rsid w:val="00305DB6"/>
    <w:rsid w:val="0031445B"/>
    <w:rsid w:val="00316991"/>
    <w:rsid w:val="00324ACD"/>
    <w:rsid w:val="003259BE"/>
    <w:rsid w:val="00333428"/>
    <w:rsid w:val="00347E14"/>
    <w:rsid w:val="00353D53"/>
    <w:rsid w:val="00374202"/>
    <w:rsid w:val="003842B2"/>
    <w:rsid w:val="003978AE"/>
    <w:rsid w:val="003B54F6"/>
    <w:rsid w:val="003E31E3"/>
    <w:rsid w:val="003E498C"/>
    <w:rsid w:val="003E6B30"/>
    <w:rsid w:val="003F732C"/>
    <w:rsid w:val="003F7FFE"/>
    <w:rsid w:val="004049B8"/>
    <w:rsid w:val="00407297"/>
    <w:rsid w:val="00427CF1"/>
    <w:rsid w:val="00442BB4"/>
    <w:rsid w:val="00445516"/>
    <w:rsid w:val="00445813"/>
    <w:rsid w:val="00447668"/>
    <w:rsid w:val="00467AA0"/>
    <w:rsid w:val="00470E98"/>
    <w:rsid w:val="00492618"/>
    <w:rsid w:val="00495BA2"/>
    <w:rsid w:val="00497733"/>
    <w:rsid w:val="004A3730"/>
    <w:rsid w:val="004C73C5"/>
    <w:rsid w:val="0050658E"/>
    <w:rsid w:val="00512476"/>
    <w:rsid w:val="00517B5B"/>
    <w:rsid w:val="0052386F"/>
    <w:rsid w:val="0052614B"/>
    <w:rsid w:val="005329EF"/>
    <w:rsid w:val="0053700E"/>
    <w:rsid w:val="00537C6A"/>
    <w:rsid w:val="005401EE"/>
    <w:rsid w:val="00557F91"/>
    <w:rsid w:val="00561CA2"/>
    <w:rsid w:val="005664DB"/>
    <w:rsid w:val="00572874"/>
    <w:rsid w:val="00576B24"/>
    <w:rsid w:val="005776D9"/>
    <w:rsid w:val="00581DF8"/>
    <w:rsid w:val="0059017C"/>
    <w:rsid w:val="00592333"/>
    <w:rsid w:val="005A05B0"/>
    <w:rsid w:val="005A7EBE"/>
    <w:rsid w:val="005B44F7"/>
    <w:rsid w:val="005C202C"/>
    <w:rsid w:val="005E0FAE"/>
    <w:rsid w:val="005E37C1"/>
    <w:rsid w:val="005F75DA"/>
    <w:rsid w:val="00635351"/>
    <w:rsid w:val="00642D69"/>
    <w:rsid w:val="00647E93"/>
    <w:rsid w:val="00652F1C"/>
    <w:rsid w:val="00663657"/>
    <w:rsid w:val="00683172"/>
    <w:rsid w:val="0068619E"/>
    <w:rsid w:val="006A3042"/>
    <w:rsid w:val="006A327C"/>
    <w:rsid w:val="006A3D45"/>
    <w:rsid w:val="006F0AF1"/>
    <w:rsid w:val="006F14FF"/>
    <w:rsid w:val="006F273C"/>
    <w:rsid w:val="006F5FBA"/>
    <w:rsid w:val="00704980"/>
    <w:rsid w:val="007142A3"/>
    <w:rsid w:val="00726E94"/>
    <w:rsid w:val="007325BA"/>
    <w:rsid w:val="007544DB"/>
    <w:rsid w:val="007644BE"/>
    <w:rsid w:val="0077033F"/>
    <w:rsid w:val="007804A4"/>
    <w:rsid w:val="0079512C"/>
    <w:rsid w:val="007B0061"/>
    <w:rsid w:val="007C2E93"/>
    <w:rsid w:val="007C4BE8"/>
    <w:rsid w:val="007D70E9"/>
    <w:rsid w:val="007E485A"/>
    <w:rsid w:val="007F3322"/>
    <w:rsid w:val="007F5F3A"/>
    <w:rsid w:val="007F79CE"/>
    <w:rsid w:val="00800166"/>
    <w:rsid w:val="00811F91"/>
    <w:rsid w:val="00812B1B"/>
    <w:rsid w:val="00821DFD"/>
    <w:rsid w:val="00822296"/>
    <w:rsid w:val="008227E2"/>
    <w:rsid w:val="00832F9D"/>
    <w:rsid w:val="008378D6"/>
    <w:rsid w:val="008406EB"/>
    <w:rsid w:val="00865551"/>
    <w:rsid w:val="0087047A"/>
    <w:rsid w:val="00896BE1"/>
    <w:rsid w:val="008A5E5C"/>
    <w:rsid w:val="008B7F8E"/>
    <w:rsid w:val="008D4924"/>
    <w:rsid w:val="008D55D8"/>
    <w:rsid w:val="008E3D56"/>
    <w:rsid w:val="008F3B79"/>
    <w:rsid w:val="008F74E4"/>
    <w:rsid w:val="00916FB8"/>
    <w:rsid w:val="00917C18"/>
    <w:rsid w:val="00932BD4"/>
    <w:rsid w:val="0094334C"/>
    <w:rsid w:val="00943DF5"/>
    <w:rsid w:val="00946170"/>
    <w:rsid w:val="00974066"/>
    <w:rsid w:val="00977C24"/>
    <w:rsid w:val="00986A5A"/>
    <w:rsid w:val="009978B1"/>
    <w:rsid w:val="00997A48"/>
    <w:rsid w:val="009C1B80"/>
    <w:rsid w:val="009C4D69"/>
    <w:rsid w:val="009C4E5C"/>
    <w:rsid w:val="009C688E"/>
    <w:rsid w:val="009D7F92"/>
    <w:rsid w:val="009E001E"/>
    <w:rsid w:val="009E706D"/>
    <w:rsid w:val="009F1E89"/>
    <w:rsid w:val="00A00FA5"/>
    <w:rsid w:val="00A238A9"/>
    <w:rsid w:val="00A403A6"/>
    <w:rsid w:val="00A425A1"/>
    <w:rsid w:val="00A43462"/>
    <w:rsid w:val="00A45B60"/>
    <w:rsid w:val="00A611E7"/>
    <w:rsid w:val="00A64D7B"/>
    <w:rsid w:val="00A7388C"/>
    <w:rsid w:val="00A7563C"/>
    <w:rsid w:val="00A97FB8"/>
    <w:rsid w:val="00AA2788"/>
    <w:rsid w:val="00AC1539"/>
    <w:rsid w:val="00AD2A95"/>
    <w:rsid w:val="00AE45DC"/>
    <w:rsid w:val="00B00F1A"/>
    <w:rsid w:val="00B22F44"/>
    <w:rsid w:val="00B56B86"/>
    <w:rsid w:val="00B6110E"/>
    <w:rsid w:val="00B65D35"/>
    <w:rsid w:val="00B67D7F"/>
    <w:rsid w:val="00B7089F"/>
    <w:rsid w:val="00B73DBC"/>
    <w:rsid w:val="00B76A96"/>
    <w:rsid w:val="00BB101B"/>
    <w:rsid w:val="00BE4948"/>
    <w:rsid w:val="00BE7538"/>
    <w:rsid w:val="00BF284D"/>
    <w:rsid w:val="00BF32E6"/>
    <w:rsid w:val="00BF6972"/>
    <w:rsid w:val="00C15272"/>
    <w:rsid w:val="00C21F35"/>
    <w:rsid w:val="00C2283F"/>
    <w:rsid w:val="00C2372E"/>
    <w:rsid w:val="00C45C7F"/>
    <w:rsid w:val="00C5157E"/>
    <w:rsid w:val="00C54AA2"/>
    <w:rsid w:val="00C57F57"/>
    <w:rsid w:val="00C701E2"/>
    <w:rsid w:val="00C73E15"/>
    <w:rsid w:val="00C74A7A"/>
    <w:rsid w:val="00C805B7"/>
    <w:rsid w:val="00C86364"/>
    <w:rsid w:val="00C915FC"/>
    <w:rsid w:val="00C94F48"/>
    <w:rsid w:val="00C970A2"/>
    <w:rsid w:val="00CA2C4B"/>
    <w:rsid w:val="00CB2474"/>
    <w:rsid w:val="00CC1558"/>
    <w:rsid w:val="00CD0502"/>
    <w:rsid w:val="00D04017"/>
    <w:rsid w:val="00D159EB"/>
    <w:rsid w:val="00D2726E"/>
    <w:rsid w:val="00D30531"/>
    <w:rsid w:val="00D37ABB"/>
    <w:rsid w:val="00D8419F"/>
    <w:rsid w:val="00D8488D"/>
    <w:rsid w:val="00D86B22"/>
    <w:rsid w:val="00D93652"/>
    <w:rsid w:val="00DA4176"/>
    <w:rsid w:val="00DA4245"/>
    <w:rsid w:val="00DA6A30"/>
    <w:rsid w:val="00DB5749"/>
    <w:rsid w:val="00DC17C2"/>
    <w:rsid w:val="00DD06CF"/>
    <w:rsid w:val="00DE287C"/>
    <w:rsid w:val="00E01703"/>
    <w:rsid w:val="00E14C86"/>
    <w:rsid w:val="00E330A2"/>
    <w:rsid w:val="00E415CC"/>
    <w:rsid w:val="00E4250A"/>
    <w:rsid w:val="00E42CF3"/>
    <w:rsid w:val="00E5494F"/>
    <w:rsid w:val="00E65236"/>
    <w:rsid w:val="00E654E9"/>
    <w:rsid w:val="00E70327"/>
    <w:rsid w:val="00E70730"/>
    <w:rsid w:val="00E85D62"/>
    <w:rsid w:val="00E92D2C"/>
    <w:rsid w:val="00EA7A20"/>
    <w:rsid w:val="00EB5FE7"/>
    <w:rsid w:val="00EB6D03"/>
    <w:rsid w:val="00EC0B03"/>
    <w:rsid w:val="00EC3A02"/>
    <w:rsid w:val="00F14265"/>
    <w:rsid w:val="00F2319B"/>
    <w:rsid w:val="00F24F37"/>
    <w:rsid w:val="00F3655B"/>
    <w:rsid w:val="00F43987"/>
    <w:rsid w:val="00F46264"/>
    <w:rsid w:val="00F50E6F"/>
    <w:rsid w:val="00F613BD"/>
    <w:rsid w:val="00F61608"/>
    <w:rsid w:val="00F66709"/>
    <w:rsid w:val="00F8575F"/>
    <w:rsid w:val="00F90406"/>
    <w:rsid w:val="00F916BF"/>
    <w:rsid w:val="00F929BD"/>
    <w:rsid w:val="00F95B84"/>
    <w:rsid w:val="00FA02E1"/>
    <w:rsid w:val="00FB48ED"/>
    <w:rsid w:val="00FD0DC9"/>
    <w:rsid w:val="00FD1582"/>
    <w:rsid w:val="00FF0F5B"/>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513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6000</Characters>
  <Application>Microsoft Office Word</Application>
  <DocSecurity>4</DocSecurity>
  <Lines>117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2018-04-25T12:09:00Z</cp:lastPrinted>
  <dcterms:created xsi:type="dcterms:W3CDTF">2018-04-25T14:43:00Z</dcterms:created>
  <dcterms:modified xsi:type="dcterms:W3CDTF">2018-04-25T14:43:00Z</dcterms:modified>
</cp:coreProperties>
</file>