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E2ABB" w14:textId="77777777" w:rsidR="00CD234F" w:rsidRPr="000F7953" w:rsidRDefault="00CD234F" w:rsidP="00CD234F">
      <w:pPr>
        <w:jc w:val="center"/>
        <w:outlineLvl w:val="0"/>
        <w:rPr>
          <w:rFonts w:asciiTheme="minorHAnsi" w:hAnsiTheme="minorHAnsi" w:cstheme="minorHAnsi"/>
          <w:b/>
          <w:bCs/>
          <w:lang w:val="es-ES_tradnl"/>
        </w:rPr>
      </w:pPr>
      <w:r w:rsidRPr="000F7953">
        <w:rPr>
          <w:rFonts w:asciiTheme="minorHAnsi" w:hAnsiTheme="minorHAnsi" w:cstheme="minorHAnsi"/>
          <w:b/>
          <w:bCs/>
          <w:noProof/>
          <w:lang w:val="es-ES_tradnl"/>
        </w:rPr>
        <w:drawing>
          <wp:anchor distT="0" distB="0" distL="114300" distR="114300" simplePos="0" relativeHeight="251660289" behindDoc="0" locked="0" layoutInCell="1" allowOverlap="1" wp14:anchorId="35C85D07" wp14:editId="62A59348">
            <wp:simplePos x="0" y="0"/>
            <wp:positionH relativeFrom="margin">
              <wp:posOffset>0</wp:posOffset>
            </wp:positionH>
            <wp:positionV relativeFrom="margin">
              <wp:posOffset>-244313</wp:posOffset>
            </wp:positionV>
            <wp:extent cx="1733550" cy="1708150"/>
            <wp:effectExtent l="0" t="0" r="0" b="6350"/>
            <wp:wrapSquare wrapText="bothSides"/>
            <wp:docPr id="16527720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a:blip r:embed="rId11" cstate="print">
                      <a:extLst>
                        <a:ext uri="{28A0092B-C50C-407E-A947-70E740481C1C}">
                          <a14:useLocalDpi xmlns:a14="http://schemas.microsoft.com/office/drawing/2010/main" val="0"/>
                        </a:ext>
                      </a:extLst>
                    </a:blip>
                    <a:srcRect t="930" b="930"/>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9A164F" w14:textId="77777777" w:rsidR="00CD234F" w:rsidRPr="000F7953" w:rsidRDefault="00CD234F" w:rsidP="00CD234F">
      <w:pPr>
        <w:jc w:val="center"/>
        <w:outlineLvl w:val="0"/>
        <w:rPr>
          <w:rFonts w:asciiTheme="minorHAnsi" w:hAnsiTheme="minorHAnsi" w:cstheme="minorHAnsi"/>
          <w:b/>
          <w:bCs/>
          <w:lang w:val="es-ES_tradnl"/>
        </w:rPr>
      </w:pPr>
      <w:r w:rsidRPr="000F7953">
        <w:rPr>
          <w:rFonts w:asciiTheme="minorHAnsi" w:hAnsiTheme="minorHAnsi" w:cstheme="minorHAnsi"/>
          <w:b/>
          <w:bCs/>
          <w:lang w:val="es-ES_tradnl"/>
        </w:rPr>
        <w:t>15ª reunión de la Conferencia de las Partes Contratantes en la Convención sobre los Humedales</w:t>
      </w:r>
    </w:p>
    <w:p w14:paraId="3956AE64" w14:textId="77777777" w:rsidR="00CD234F" w:rsidRPr="000F7953" w:rsidRDefault="00CD234F" w:rsidP="00CD234F">
      <w:pPr>
        <w:jc w:val="center"/>
        <w:outlineLvl w:val="0"/>
        <w:rPr>
          <w:rFonts w:asciiTheme="minorHAnsi" w:hAnsiTheme="minorHAnsi" w:cstheme="minorHAnsi"/>
          <w:b/>
          <w:bCs/>
          <w:lang w:val="es-ES_tradnl"/>
        </w:rPr>
      </w:pPr>
    </w:p>
    <w:p w14:paraId="4D6CF610" w14:textId="77777777" w:rsidR="00CD234F" w:rsidRPr="000F7953" w:rsidRDefault="00CD234F" w:rsidP="00CD234F">
      <w:pPr>
        <w:jc w:val="center"/>
        <w:outlineLvl w:val="0"/>
        <w:rPr>
          <w:rFonts w:asciiTheme="minorHAnsi" w:hAnsiTheme="minorHAnsi" w:cstheme="minorHAnsi"/>
          <w:b/>
          <w:bCs/>
          <w:lang w:val="es-ES_tradnl"/>
        </w:rPr>
      </w:pPr>
      <w:r w:rsidRPr="000F7953">
        <w:rPr>
          <w:rFonts w:asciiTheme="minorHAnsi" w:hAnsiTheme="minorHAnsi" w:cstheme="minorHAnsi"/>
          <w:b/>
          <w:bCs/>
          <w:lang w:val="es-ES_tradnl"/>
        </w:rPr>
        <w:t xml:space="preserve">“Proteger los humedales para nuestro futuro común” </w:t>
      </w:r>
    </w:p>
    <w:p w14:paraId="6828A571" w14:textId="77777777" w:rsidR="00CD234F" w:rsidRPr="000F7953" w:rsidRDefault="00CD234F" w:rsidP="00CD234F">
      <w:pPr>
        <w:jc w:val="center"/>
        <w:outlineLvl w:val="0"/>
        <w:rPr>
          <w:rFonts w:asciiTheme="minorHAnsi" w:hAnsiTheme="minorHAnsi" w:cstheme="minorHAnsi"/>
          <w:b/>
          <w:bCs/>
          <w:lang w:val="es-ES_tradnl"/>
        </w:rPr>
      </w:pPr>
      <w:r w:rsidRPr="000F7953">
        <w:rPr>
          <w:rFonts w:asciiTheme="minorHAnsi" w:hAnsiTheme="minorHAnsi" w:cstheme="minorHAnsi"/>
          <w:b/>
          <w:bCs/>
          <w:lang w:val="es-ES_tradnl"/>
        </w:rPr>
        <w:t>Victoria Falls, Zimbabwe, 23 a 31 de julio de 2025</w:t>
      </w:r>
    </w:p>
    <w:p w14:paraId="7A5FD3E3" w14:textId="77777777" w:rsidR="00CD234F" w:rsidRPr="000F7953" w:rsidRDefault="00CD234F" w:rsidP="00CD234F">
      <w:pPr>
        <w:jc w:val="center"/>
        <w:outlineLvl w:val="0"/>
        <w:rPr>
          <w:rFonts w:asciiTheme="minorHAnsi" w:hAnsiTheme="minorHAnsi" w:cstheme="minorHAnsi"/>
          <w:b/>
          <w:bCs/>
          <w:lang w:val="es-ES_tradnl"/>
        </w:rPr>
      </w:pPr>
    </w:p>
    <w:p w14:paraId="4950A4A0" w14:textId="77777777" w:rsidR="00CD234F" w:rsidRPr="000F7953" w:rsidRDefault="00CD234F" w:rsidP="00CD234F">
      <w:pPr>
        <w:jc w:val="center"/>
        <w:outlineLvl w:val="0"/>
        <w:rPr>
          <w:rFonts w:asciiTheme="minorHAnsi" w:hAnsiTheme="minorHAnsi" w:cstheme="minorHAnsi"/>
          <w:b/>
          <w:bCs/>
          <w:lang w:val="es-ES_tradnl"/>
        </w:rPr>
      </w:pPr>
    </w:p>
    <w:p w14:paraId="11085E91" w14:textId="77777777" w:rsidR="000D1D8F" w:rsidRPr="000F7953" w:rsidRDefault="000D1D8F" w:rsidP="00CD3F6B">
      <w:pPr>
        <w:jc w:val="center"/>
        <w:outlineLvl w:val="0"/>
        <w:rPr>
          <w:rFonts w:asciiTheme="minorHAnsi" w:eastAsia="Calibri" w:hAnsiTheme="minorHAnsi" w:cstheme="minorHAnsi"/>
          <w:b/>
          <w:bCs/>
          <w:lang w:val="es-ES_tradnl"/>
        </w:rPr>
      </w:pPr>
    </w:p>
    <w:p w14:paraId="7C92B0BA" w14:textId="605B9836" w:rsidR="000D1D8F" w:rsidRPr="000F7953" w:rsidRDefault="00C64584" w:rsidP="00C64584">
      <w:pPr>
        <w:jc w:val="right"/>
        <w:rPr>
          <w:rFonts w:asciiTheme="minorHAnsi" w:hAnsiTheme="minorHAnsi" w:cstheme="minorHAnsi"/>
          <w:sz w:val="28"/>
          <w:szCs w:val="28"/>
        </w:rPr>
      </w:pPr>
      <w:r w:rsidRPr="000F7953">
        <w:rPr>
          <w:rFonts w:asciiTheme="minorHAnsi" w:hAnsiTheme="minorHAnsi" w:cstheme="minorHAnsi"/>
          <w:b/>
          <w:bCs/>
          <w:sz w:val="28"/>
          <w:szCs w:val="28"/>
        </w:rPr>
        <w:t>COP15 Doc.8.1</w:t>
      </w:r>
    </w:p>
    <w:p w14:paraId="2292D41F" w14:textId="77777777" w:rsidR="000D1D8F" w:rsidRPr="000F7953" w:rsidRDefault="000D1D8F" w:rsidP="00CD3F6B">
      <w:pPr>
        <w:rPr>
          <w:rFonts w:asciiTheme="minorHAnsi" w:hAnsiTheme="minorHAnsi" w:cstheme="minorHAnsi"/>
          <w:sz w:val="22"/>
          <w:szCs w:val="22"/>
          <w:lang w:eastAsia="fr-FR"/>
        </w:rPr>
      </w:pPr>
    </w:p>
    <w:p w14:paraId="04F4755D" w14:textId="77777777" w:rsidR="00C64584" w:rsidRPr="000F7953" w:rsidRDefault="00C64584" w:rsidP="00CD3F6B">
      <w:pPr>
        <w:rPr>
          <w:rFonts w:asciiTheme="minorHAnsi" w:hAnsiTheme="minorHAnsi" w:cstheme="minorHAnsi"/>
          <w:sz w:val="22"/>
          <w:szCs w:val="22"/>
          <w:lang w:eastAsia="fr-FR"/>
        </w:rPr>
      </w:pPr>
    </w:p>
    <w:p w14:paraId="75E0692C" w14:textId="6300A56C" w:rsidR="000D1D8F" w:rsidRPr="000F7953" w:rsidRDefault="000D1D8F" w:rsidP="00CD3F6B">
      <w:pPr>
        <w:jc w:val="center"/>
        <w:rPr>
          <w:rFonts w:asciiTheme="minorHAnsi" w:eastAsia="Calibri" w:hAnsiTheme="minorHAnsi" w:cstheme="minorHAnsi"/>
          <w:b/>
          <w:sz w:val="28"/>
          <w:szCs w:val="28"/>
        </w:rPr>
      </w:pPr>
      <w:r w:rsidRPr="000F7953">
        <w:rPr>
          <w:rFonts w:asciiTheme="minorHAnsi" w:hAnsiTheme="minorHAnsi" w:cstheme="minorHAnsi"/>
          <w:b/>
          <w:sz w:val="28"/>
          <w:szCs w:val="28"/>
        </w:rPr>
        <w:t xml:space="preserve">Informe de la Secretaria General </w:t>
      </w:r>
      <w:r w:rsidRPr="000F7953">
        <w:rPr>
          <w:rFonts w:asciiTheme="minorHAnsi" w:hAnsiTheme="minorHAnsi" w:cstheme="minorHAnsi"/>
          <w:b/>
          <w:sz w:val="28"/>
          <w:szCs w:val="28"/>
        </w:rPr>
        <w:br/>
        <w:t xml:space="preserve">sobre la aplicación de la Convención: </w:t>
      </w:r>
      <w:r w:rsidRPr="000F7953">
        <w:rPr>
          <w:rFonts w:asciiTheme="minorHAnsi" w:hAnsiTheme="minorHAnsi" w:cstheme="minorHAnsi"/>
          <w:b/>
          <w:sz w:val="28"/>
          <w:szCs w:val="28"/>
        </w:rPr>
        <w:br/>
        <w:t>Aplicación a escala mundial</w:t>
      </w:r>
    </w:p>
    <w:p w14:paraId="41F6F061" w14:textId="77777777" w:rsidR="00513FF5" w:rsidRPr="000F7953" w:rsidRDefault="00513FF5" w:rsidP="00CD3F6B">
      <w:pPr>
        <w:rPr>
          <w:rFonts w:asciiTheme="minorHAnsi" w:hAnsiTheme="minorHAnsi" w:cstheme="minorHAnsi"/>
          <w:sz w:val="22"/>
          <w:szCs w:val="22"/>
        </w:rPr>
      </w:pPr>
    </w:p>
    <w:p w14:paraId="6CC6CDCA" w14:textId="77777777" w:rsidR="00CD3F6B" w:rsidRPr="000F7953" w:rsidRDefault="00CD3F6B" w:rsidP="00CD3F6B">
      <w:pPr>
        <w:rPr>
          <w:rFonts w:asciiTheme="minorHAnsi" w:hAnsiTheme="minorHAnsi" w:cstheme="minorHAnsi"/>
          <w:sz w:val="22"/>
          <w:szCs w:val="22"/>
        </w:rPr>
      </w:pPr>
    </w:p>
    <w:p w14:paraId="0EFAD811" w14:textId="786D7B89" w:rsidR="00B45769" w:rsidRPr="000F7953" w:rsidRDefault="00B45769" w:rsidP="00D1463B">
      <w:pPr>
        <w:keepNext/>
        <w:rPr>
          <w:rFonts w:asciiTheme="minorHAnsi" w:hAnsiTheme="minorHAnsi" w:cstheme="minorHAnsi"/>
          <w:b/>
          <w:bCs/>
          <w:sz w:val="22"/>
          <w:szCs w:val="22"/>
        </w:rPr>
      </w:pPr>
      <w:r w:rsidRPr="000F7953">
        <w:rPr>
          <w:rFonts w:asciiTheme="minorHAnsi" w:hAnsiTheme="minorHAnsi" w:cstheme="minorHAnsi"/>
          <w:b/>
          <w:bCs/>
          <w:sz w:val="22"/>
          <w:szCs w:val="22"/>
        </w:rPr>
        <w:t>Introducción</w:t>
      </w:r>
    </w:p>
    <w:p w14:paraId="32C8D313" w14:textId="77777777" w:rsidR="00CD3F6B" w:rsidRPr="000F7953" w:rsidRDefault="00CD3F6B" w:rsidP="00D1463B">
      <w:pPr>
        <w:keepNext/>
        <w:rPr>
          <w:rFonts w:asciiTheme="minorHAnsi" w:hAnsiTheme="minorHAnsi" w:cstheme="minorHAnsi"/>
          <w:sz w:val="22"/>
          <w:szCs w:val="22"/>
        </w:rPr>
      </w:pPr>
    </w:p>
    <w:p w14:paraId="335ED7CA" w14:textId="54AFC2FA" w:rsidR="00210EB3" w:rsidRPr="000F7953" w:rsidRDefault="00515041" w:rsidP="000E3338">
      <w:pPr>
        <w:ind w:left="567" w:hanging="567"/>
        <w:rPr>
          <w:rFonts w:asciiTheme="minorHAnsi" w:hAnsiTheme="minorHAnsi" w:cstheme="minorHAnsi"/>
          <w:bCs/>
          <w:sz w:val="22"/>
          <w:szCs w:val="22"/>
        </w:rPr>
      </w:pPr>
      <w:r w:rsidRPr="000F7953">
        <w:rPr>
          <w:rFonts w:asciiTheme="minorHAnsi" w:hAnsiTheme="minorHAnsi" w:cstheme="minorHAnsi"/>
          <w:bCs/>
          <w:sz w:val="22"/>
          <w:szCs w:val="22"/>
        </w:rPr>
        <w:t>1.</w:t>
      </w:r>
      <w:r w:rsidRPr="000F7953">
        <w:rPr>
          <w:rFonts w:asciiTheme="minorHAnsi" w:hAnsiTheme="minorHAnsi" w:cstheme="minorHAnsi"/>
          <w:bCs/>
          <w:sz w:val="22"/>
          <w:szCs w:val="22"/>
        </w:rPr>
        <w:tab/>
        <w:t>En el presente informe se describe la aplicación de la Convención sobre los Humedales desde la clausura de la 14</w:t>
      </w:r>
      <w:r w:rsidRPr="000F7953">
        <w:rPr>
          <w:rFonts w:asciiTheme="minorHAnsi" w:hAnsiTheme="minorHAnsi" w:cstheme="minorHAnsi"/>
          <w:bCs/>
          <w:sz w:val="22"/>
          <w:szCs w:val="22"/>
          <w:vertAlign w:val="superscript"/>
        </w:rPr>
        <w:t>a</w:t>
      </w:r>
      <w:r w:rsidRPr="000F7953">
        <w:rPr>
          <w:rFonts w:asciiTheme="minorHAnsi" w:hAnsiTheme="minorHAnsi" w:cstheme="minorHAnsi"/>
          <w:bCs/>
          <w:sz w:val="22"/>
          <w:szCs w:val="22"/>
        </w:rPr>
        <w:t xml:space="preserve"> Reunión de la Conferencia de las Partes Contratantes (COP14), en noviembre de 2022, hasta finales de marzo de 2025. Este informe se publica de conformidad con los artículos 9.a y 26.3 del Reglamento. Las actividades de la Secretaría en el marco de su Plan de Trabajo se detallan en el documento COP15 Doc.8.2.</w:t>
      </w:r>
    </w:p>
    <w:p w14:paraId="0536C3CA" w14:textId="77777777" w:rsidR="00887B48" w:rsidRPr="000F7953" w:rsidRDefault="00887B48" w:rsidP="000E3338">
      <w:pPr>
        <w:pStyle w:val="ListParagraph"/>
        <w:spacing w:after="0" w:line="240" w:lineRule="auto"/>
        <w:ind w:left="567" w:hanging="567"/>
        <w:rPr>
          <w:rFonts w:eastAsia="Times New Roman" w:cstheme="minorHAnsi"/>
          <w:bCs/>
          <w:lang w:eastAsia="fr-FR"/>
        </w:rPr>
      </w:pPr>
    </w:p>
    <w:p w14:paraId="3306AA9C" w14:textId="38EB3450" w:rsidR="00210EB3" w:rsidRPr="000F7953" w:rsidRDefault="00515041" w:rsidP="000E3338">
      <w:pPr>
        <w:ind w:left="567" w:hanging="567"/>
        <w:rPr>
          <w:rFonts w:asciiTheme="minorHAnsi" w:hAnsiTheme="minorHAnsi" w:cstheme="minorHAnsi"/>
          <w:bCs/>
          <w:sz w:val="22"/>
          <w:szCs w:val="22"/>
        </w:rPr>
      </w:pPr>
      <w:r w:rsidRPr="000F7953">
        <w:rPr>
          <w:rFonts w:asciiTheme="minorHAnsi" w:hAnsiTheme="minorHAnsi" w:cstheme="minorHAnsi"/>
          <w:bCs/>
          <w:sz w:val="22"/>
          <w:szCs w:val="22"/>
        </w:rPr>
        <w:t>2.</w:t>
      </w:r>
      <w:r w:rsidRPr="000F7953">
        <w:rPr>
          <w:rFonts w:asciiTheme="minorHAnsi" w:hAnsiTheme="minorHAnsi" w:cstheme="minorHAnsi"/>
          <w:bCs/>
          <w:sz w:val="22"/>
          <w:szCs w:val="22"/>
        </w:rPr>
        <w:tab/>
        <w:t>La aplicación de la Convención se rige por el Cuarto Plan Estratégico 2016-2024 (PE4), que abarca cuatro objetivos y 19 metas</w:t>
      </w:r>
      <w:r w:rsidR="00F87CCE" w:rsidRPr="000F7953">
        <w:rPr>
          <w:rStyle w:val="FootnoteReference"/>
          <w:rFonts w:asciiTheme="minorHAnsi" w:hAnsiTheme="minorHAnsi" w:cstheme="minorHAnsi"/>
          <w:bCs/>
          <w:sz w:val="22"/>
          <w:szCs w:val="22"/>
          <w:lang w:eastAsia="fr-FR"/>
        </w:rPr>
        <w:footnoteReference w:id="2"/>
      </w:r>
      <w:r w:rsidRPr="000F7953">
        <w:rPr>
          <w:rFonts w:asciiTheme="minorHAnsi" w:hAnsiTheme="minorHAnsi" w:cstheme="minorHAnsi"/>
          <w:bCs/>
          <w:sz w:val="22"/>
          <w:szCs w:val="22"/>
        </w:rPr>
        <w:t>. En este informe se resumen los progresos realizados hacia la consecución de las metas, basándose principalmente en los 35 indicadores definidos en el PE4 y con información complementaria en los casos en que se disponía de ella, utilizando los datos de los informes nacionales presentados por las Partes Contratantes.</w:t>
      </w:r>
    </w:p>
    <w:p w14:paraId="21CBF9AA" w14:textId="77777777" w:rsidR="00210EB3" w:rsidRPr="000F7953" w:rsidRDefault="00210EB3" w:rsidP="000E3338">
      <w:pPr>
        <w:pStyle w:val="ListParagraph"/>
        <w:spacing w:after="0" w:line="240" w:lineRule="auto"/>
        <w:ind w:left="567" w:hanging="567"/>
        <w:rPr>
          <w:rFonts w:eastAsia="Times New Roman" w:cstheme="minorHAnsi"/>
          <w:bCs/>
          <w:lang w:eastAsia="fr-FR"/>
        </w:rPr>
      </w:pPr>
    </w:p>
    <w:p w14:paraId="7A75351C" w14:textId="3DC66776" w:rsidR="00367834" w:rsidRPr="00292349" w:rsidRDefault="00515041" w:rsidP="000E3338">
      <w:pPr>
        <w:ind w:left="567" w:hanging="567"/>
        <w:rPr>
          <w:rFonts w:asciiTheme="minorHAnsi" w:hAnsiTheme="minorHAnsi" w:cstheme="minorHAnsi"/>
          <w:bCs/>
          <w:sz w:val="22"/>
          <w:szCs w:val="22"/>
        </w:rPr>
      </w:pPr>
      <w:r w:rsidRPr="000F7953">
        <w:rPr>
          <w:rFonts w:asciiTheme="minorHAnsi" w:hAnsiTheme="minorHAnsi" w:cstheme="minorHAnsi"/>
          <w:bCs/>
          <w:sz w:val="22"/>
          <w:szCs w:val="22"/>
        </w:rPr>
        <w:t>3.</w:t>
      </w:r>
      <w:r w:rsidRPr="000F7953">
        <w:rPr>
          <w:rFonts w:asciiTheme="minorHAnsi" w:hAnsiTheme="minorHAnsi" w:cstheme="minorHAnsi"/>
          <w:bCs/>
          <w:sz w:val="22"/>
          <w:szCs w:val="22"/>
        </w:rPr>
        <w:tab/>
        <w:t xml:space="preserve">Este informe se basa en un análisis de 112 informes nacionales presentados para la COP15 a través del sistema de presentación de informes en línea hasta el final del periodo de presentación de informes, incluidos 30 informes presentados por Partes Contratantes de África, 20 por Partes de Asia, 41 por Partes de Europa, 17 por Partes de América Latina y el </w:t>
      </w:r>
      <w:r w:rsidRPr="00292349">
        <w:rPr>
          <w:rFonts w:asciiTheme="minorHAnsi" w:hAnsiTheme="minorHAnsi" w:cstheme="minorHAnsi"/>
          <w:bCs/>
          <w:sz w:val="22"/>
          <w:szCs w:val="22"/>
        </w:rPr>
        <w:t>Caribe, dos por Partes de América del Norte y dos por Partes de Oceanía. Esto constituye una tasa de respuesta global del 65</w:t>
      </w:r>
      <w:r w:rsidR="005601CD" w:rsidRPr="00292349">
        <w:rPr>
          <w:rFonts w:asciiTheme="minorHAnsi" w:hAnsiTheme="minorHAnsi" w:cstheme="minorHAnsi"/>
          <w:bCs/>
          <w:sz w:val="22"/>
          <w:szCs w:val="22"/>
        </w:rPr>
        <w:t> %</w:t>
      </w:r>
      <w:r w:rsidRPr="00292349">
        <w:rPr>
          <w:rFonts w:asciiTheme="minorHAnsi" w:hAnsiTheme="minorHAnsi" w:cstheme="minorHAnsi"/>
          <w:bCs/>
          <w:sz w:val="22"/>
          <w:szCs w:val="22"/>
        </w:rPr>
        <w:t>, lo que representa un descenso significativo respecto al 88</w:t>
      </w:r>
      <w:r w:rsidR="005601CD" w:rsidRPr="00292349">
        <w:rPr>
          <w:rFonts w:asciiTheme="minorHAnsi" w:hAnsiTheme="minorHAnsi" w:cstheme="minorHAnsi"/>
          <w:bCs/>
          <w:sz w:val="22"/>
          <w:szCs w:val="22"/>
        </w:rPr>
        <w:t> %</w:t>
      </w:r>
      <w:r w:rsidRPr="00292349">
        <w:rPr>
          <w:rFonts w:asciiTheme="minorHAnsi" w:hAnsiTheme="minorHAnsi" w:cstheme="minorHAnsi"/>
          <w:bCs/>
          <w:sz w:val="22"/>
          <w:szCs w:val="22"/>
        </w:rPr>
        <w:t xml:space="preserve"> para la COP13 y al 71</w:t>
      </w:r>
      <w:r w:rsidR="005601CD" w:rsidRPr="00292349">
        <w:rPr>
          <w:rFonts w:asciiTheme="minorHAnsi" w:hAnsiTheme="minorHAnsi" w:cstheme="minorHAnsi"/>
          <w:bCs/>
          <w:sz w:val="22"/>
          <w:szCs w:val="22"/>
        </w:rPr>
        <w:t> %</w:t>
      </w:r>
      <w:r w:rsidRPr="00292349">
        <w:rPr>
          <w:rFonts w:asciiTheme="minorHAnsi" w:hAnsiTheme="minorHAnsi" w:cstheme="minorHAnsi"/>
          <w:bCs/>
          <w:sz w:val="22"/>
          <w:szCs w:val="22"/>
        </w:rPr>
        <w:t xml:space="preserve"> para la COP14. Los informes nacionales recibidos pueden consultarse en la página web de la Convención en: </w:t>
      </w:r>
      <w:hyperlink r:id="rId12" w:history="1">
        <w:r w:rsidR="00292349" w:rsidRPr="00292349">
          <w:rPr>
            <w:rStyle w:val="Hyperlink"/>
            <w:rFonts w:asciiTheme="minorHAnsi" w:hAnsiTheme="minorHAnsi" w:cstheme="minorHAnsi"/>
            <w:sz w:val="22"/>
            <w:szCs w:val="22"/>
          </w:rPr>
          <w:t>https://www.ramsar.org/es/search?f%5B0%5D=document_type%3A2904&amp;f%5B1%5D=search_date%3A2025&amp;f%5B2%5D=search_item_type%3Adocuments</w:t>
        </w:r>
      </w:hyperlink>
      <w:r w:rsidRPr="00292349">
        <w:rPr>
          <w:rFonts w:asciiTheme="minorHAnsi" w:hAnsiTheme="minorHAnsi" w:cstheme="minorHAnsi"/>
          <w:bCs/>
          <w:sz w:val="22"/>
          <w:szCs w:val="22"/>
        </w:rPr>
        <w:t xml:space="preserve">. </w:t>
      </w:r>
    </w:p>
    <w:p w14:paraId="56969605" w14:textId="77777777" w:rsidR="00210EB3" w:rsidRPr="000F7953" w:rsidRDefault="00210EB3" w:rsidP="000E3338">
      <w:pPr>
        <w:pStyle w:val="ListParagraph"/>
        <w:spacing w:after="0" w:line="240" w:lineRule="auto"/>
        <w:ind w:left="567" w:hanging="567"/>
        <w:rPr>
          <w:rFonts w:eastAsia="Times New Roman" w:cstheme="minorHAnsi"/>
          <w:bCs/>
          <w:lang w:eastAsia="fr-FR"/>
        </w:rPr>
      </w:pPr>
    </w:p>
    <w:p w14:paraId="137FC2CE" w14:textId="21977A70" w:rsidR="000741C6" w:rsidRPr="000F7953" w:rsidRDefault="00515041" w:rsidP="000E3338">
      <w:pPr>
        <w:ind w:left="567" w:hanging="567"/>
        <w:rPr>
          <w:rFonts w:asciiTheme="minorHAnsi" w:hAnsiTheme="minorHAnsi" w:cstheme="minorHAnsi"/>
          <w:bCs/>
          <w:sz w:val="22"/>
          <w:szCs w:val="22"/>
        </w:rPr>
      </w:pPr>
      <w:r w:rsidRPr="000F7953">
        <w:rPr>
          <w:rFonts w:asciiTheme="minorHAnsi" w:hAnsiTheme="minorHAnsi" w:cstheme="minorHAnsi"/>
          <w:bCs/>
          <w:sz w:val="22"/>
          <w:szCs w:val="22"/>
        </w:rPr>
        <w:t>4.</w:t>
      </w:r>
      <w:r w:rsidRPr="000F7953">
        <w:rPr>
          <w:rFonts w:asciiTheme="minorHAnsi" w:hAnsiTheme="minorHAnsi" w:cstheme="minorHAnsi"/>
          <w:bCs/>
          <w:sz w:val="22"/>
          <w:szCs w:val="22"/>
        </w:rPr>
        <w:tab/>
        <w:t>Las tendencias en la aplicación a lo largo de la duración del PE4 se presentan utilizando los 374 informes nacionales transmitidos por las Partes Contratantes para la COP13, la COP14 y la COP15, basándose en los indicadores y con respecto a las referencias o líneas de base definidas en el PE4. Las tendencias en relación con la aplicación se ilustran mediante sencillos gráficos de tendencias:</w:t>
      </w:r>
    </w:p>
    <w:p w14:paraId="435DF4A3" w14:textId="77777777" w:rsidR="00EA2960" w:rsidRPr="000F7953" w:rsidRDefault="00EA2960" w:rsidP="000E3338">
      <w:pPr>
        <w:ind w:left="567" w:hanging="567"/>
        <w:rPr>
          <w:rFonts w:asciiTheme="minorHAnsi" w:hAnsiTheme="minorHAnsi" w:cstheme="minorHAnsi"/>
          <w:bCs/>
          <w:sz w:val="22"/>
          <w:szCs w:val="22"/>
          <w:lang w:eastAsia="fr-FR"/>
        </w:rPr>
      </w:pPr>
    </w:p>
    <w:tbl>
      <w:tblPr>
        <w:tblStyle w:val="TableGrid"/>
        <w:tblW w:w="6526" w:type="dxa"/>
        <w:tblInd w:w="562" w:type="dxa"/>
        <w:tblLook w:val="04A0" w:firstRow="1" w:lastRow="0" w:firstColumn="1" w:lastColumn="0" w:noHBand="0" w:noVBand="1"/>
      </w:tblPr>
      <w:tblGrid>
        <w:gridCol w:w="1343"/>
        <w:gridCol w:w="5183"/>
      </w:tblGrid>
      <w:tr w:rsidR="000741C6" w:rsidRPr="000F7953" w14:paraId="0541FF89" w14:textId="77777777" w:rsidTr="00EA2960">
        <w:trPr>
          <w:trHeight w:val="227"/>
        </w:trPr>
        <w:tc>
          <w:tcPr>
            <w:tcW w:w="993" w:type="dxa"/>
          </w:tcPr>
          <w:p w14:paraId="27610F29" w14:textId="190D0EA2" w:rsidR="000741C6" w:rsidRPr="000F7953" w:rsidRDefault="008D6F63" w:rsidP="00CD3F6B">
            <w:pPr>
              <w:pStyle w:val="ListParagraph"/>
              <w:spacing w:after="0" w:line="240" w:lineRule="auto"/>
              <w:ind w:left="0"/>
              <w:rPr>
                <w:rFonts w:cstheme="minorHAnsi"/>
                <w:bCs/>
              </w:rPr>
            </w:pPr>
            <w:r w:rsidRPr="000F7953">
              <w:rPr>
                <w:rFonts w:cstheme="minorHAnsi"/>
                <w:noProof/>
              </w:rPr>
              <w:drawing>
                <wp:inline distT="0" distB="0" distL="0" distR="0" wp14:anchorId="0E586B22" wp14:editId="7112A8A7">
                  <wp:extent cx="711835" cy="431800"/>
                  <wp:effectExtent l="0" t="0" r="0" b="0"/>
                  <wp:docPr id="19130920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092086" name="Picture 4"/>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1835" cy="431800"/>
                          </a:xfrm>
                          <a:prstGeom prst="rect">
                            <a:avLst/>
                          </a:prstGeom>
                          <a:noFill/>
                          <a:ln>
                            <a:noFill/>
                          </a:ln>
                        </pic:spPr>
                      </pic:pic>
                    </a:graphicData>
                  </a:graphic>
                </wp:inline>
              </w:drawing>
            </w:r>
          </w:p>
        </w:tc>
        <w:tc>
          <w:tcPr>
            <w:tcW w:w="5533" w:type="dxa"/>
          </w:tcPr>
          <w:p w14:paraId="518F65D2" w14:textId="77777777" w:rsidR="000741C6" w:rsidRPr="000F7953" w:rsidRDefault="000741C6" w:rsidP="00CD3F6B">
            <w:pPr>
              <w:pStyle w:val="ListParagraph"/>
              <w:spacing w:after="0" w:line="240" w:lineRule="auto"/>
              <w:ind w:left="0"/>
              <w:rPr>
                <w:rFonts w:cstheme="minorHAnsi"/>
                <w:bCs/>
              </w:rPr>
            </w:pPr>
            <w:r w:rsidRPr="000F7953">
              <w:rPr>
                <w:rFonts w:cstheme="minorHAnsi"/>
              </w:rPr>
              <w:t xml:space="preserve">Indica una tendencia general positiva en comparación con la línea de base.   </w:t>
            </w:r>
          </w:p>
        </w:tc>
      </w:tr>
      <w:tr w:rsidR="000741C6" w:rsidRPr="000F7953" w14:paraId="04CD0984" w14:textId="77777777" w:rsidTr="00EA2960">
        <w:trPr>
          <w:trHeight w:val="227"/>
        </w:trPr>
        <w:tc>
          <w:tcPr>
            <w:tcW w:w="993" w:type="dxa"/>
          </w:tcPr>
          <w:p w14:paraId="4FF4E0DE" w14:textId="0E496087" w:rsidR="000741C6" w:rsidRPr="000F7953" w:rsidRDefault="003D27EE" w:rsidP="00CD3F6B">
            <w:pPr>
              <w:pStyle w:val="ListParagraph"/>
              <w:spacing w:after="0" w:line="240" w:lineRule="auto"/>
              <w:ind w:left="0"/>
              <w:rPr>
                <w:rFonts w:cstheme="minorHAnsi"/>
                <w:bCs/>
              </w:rPr>
            </w:pPr>
            <w:r w:rsidRPr="000F7953">
              <w:rPr>
                <w:rFonts w:cstheme="minorHAnsi"/>
                <w:noProof/>
              </w:rPr>
              <w:drawing>
                <wp:inline distT="0" distB="0" distL="0" distR="0" wp14:anchorId="72727ED6" wp14:editId="2D78DCAB">
                  <wp:extent cx="715700" cy="432000"/>
                  <wp:effectExtent l="0" t="0" r="0" b="0"/>
                  <wp:docPr id="9786000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5700" cy="432000"/>
                          </a:xfrm>
                          <a:prstGeom prst="rect">
                            <a:avLst/>
                          </a:prstGeom>
                          <a:noFill/>
                          <a:ln>
                            <a:noFill/>
                          </a:ln>
                        </pic:spPr>
                      </pic:pic>
                    </a:graphicData>
                  </a:graphic>
                </wp:inline>
              </w:drawing>
            </w:r>
          </w:p>
        </w:tc>
        <w:tc>
          <w:tcPr>
            <w:tcW w:w="5533" w:type="dxa"/>
          </w:tcPr>
          <w:p w14:paraId="00638409" w14:textId="77777777" w:rsidR="000741C6" w:rsidRPr="000F7953" w:rsidRDefault="000741C6" w:rsidP="00CD3F6B">
            <w:pPr>
              <w:pStyle w:val="ListParagraph"/>
              <w:spacing w:after="0" w:line="240" w:lineRule="auto"/>
              <w:ind w:left="0"/>
              <w:rPr>
                <w:rFonts w:cstheme="minorHAnsi"/>
                <w:bCs/>
              </w:rPr>
            </w:pPr>
            <w:r w:rsidRPr="000F7953">
              <w:rPr>
                <w:rFonts w:cstheme="minorHAnsi"/>
              </w:rPr>
              <w:t xml:space="preserve">Indica una tendencia general negativa en comparación con la línea de base.   </w:t>
            </w:r>
          </w:p>
        </w:tc>
      </w:tr>
      <w:tr w:rsidR="000741C6" w:rsidRPr="000F7953" w14:paraId="2C387C48" w14:textId="77777777" w:rsidTr="00EA2960">
        <w:trPr>
          <w:trHeight w:val="227"/>
        </w:trPr>
        <w:tc>
          <w:tcPr>
            <w:tcW w:w="993" w:type="dxa"/>
          </w:tcPr>
          <w:p w14:paraId="48F2C1EE" w14:textId="05275FA0" w:rsidR="000741C6" w:rsidRPr="000F7953" w:rsidRDefault="00765F0C" w:rsidP="00CD3F6B">
            <w:pPr>
              <w:pStyle w:val="ListParagraph"/>
              <w:spacing w:after="0" w:line="240" w:lineRule="auto"/>
              <w:ind w:left="0"/>
              <w:rPr>
                <w:rFonts w:cstheme="minorHAnsi"/>
                <w:bCs/>
                <w:kern w:val="2"/>
                <w14:ligatures w14:val="standardContextual"/>
              </w:rPr>
            </w:pPr>
            <w:r w:rsidRPr="000F7953">
              <w:rPr>
                <w:rFonts w:cstheme="minorHAnsi"/>
                <w:noProof/>
              </w:rPr>
              <w:drawing>
                <wp:inline distT="0" distB="0" distL="0" distR="0" wp14:anchorId="71194B73" wp14:editId="72706480">
                  <wp:extent cx="712200" cy="432000"/>
                  <wp:effectExtent l="0" t="0" r="0" b="0"/>
                  <wp:docPr id="53450198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c>
          <w:tcPr>
            <w:tcW w:w="5533" w:type="dxa"/>
          </w:tcPr>
          <w:p w14:paraId="2406996C" w14:textId="0733F83C" w:rsidR="000741C6" w:rsidRPr="000F7953" w:rsidRDefault="000741C6" w:rsidP="00CD3F6B">
            <w:pPr>
              <w:pStyle w:val="ListParagraph"/>
              <w:spacing w:after="0" w:line="240" w:lineRule="auto"/>
              <w:ind w:left="0"/>
              <w:rPr>
                <w:rFonts w:cstheme="minorHAnsi"/>
                <w:bCs/>
              </w:rPr>
            </w:pPr>
            <w:r w:rsidRPr="000F7953">
              <w:rPr>
                <w:rFonts w:cstheme="minorHAnsi"/>
              </w:rPr>
              <w:t xml:space="preserve">Indica que no ha habido cambios en comparación con la línea de base o que no se constata una tendencia clara.  </w:t>
            </w:r>
          </w:p>
        </w:tc>
      </w:tr>
      <w:tr w:rsidR="00BF0809" w:rsidRPr="000F7953" w14:paraId="5E5139D9" w14:textId="77777777" w:rsidTr="00C97402">
        <w:trPr>
          <w:trHeight w:val="340"/>
        </w:trPr>
        <w:tc>
          <w:tcPr>
            <w:tcW w:w="993" w:type="dxa"/>
          </w:tcPr>
          <w:p w14:paraId="481D5430" w14:textId="69A075D3" w:rsidR="00BF0809" w:rsidRPr="000F7953" w:rsidRDefault="00C64584" w:rsidP="00CD3F6B">
            <w:pPr>
              <w:pStyle w:val="ListParagraph"/>
              <w:spacing w:after="0" w:line="240" w:lineRule="auto"/>
              <w:ind w:left="0"/>
              <w:rPr>
                <w:rFonts w:cstheme="minorHAnsi"/>
                <w:bCs/>
                <w:kern w:val="2"/>
                <w14:ligatures w14:val="standardContextual"/>
              </w:rPr>
            </w:pPr>
            <w:r w:rsidRPr="000F7953">
              <w:rPr>
                <w:rFonts w:cstheme="minorHAnsi"/>
                <w:noProof/>
              </w:rPr>
              <mc:AlternateContent>
                <mc:Choice Requires="wps">
                  <w:drawing>
                    <wp:anchor distT="0" distB="0" distL="114300" distR="114300" simplePos="0" relativeHeight="251658241" behindDoc="0" locked="0" layoutInCell="1" allowOverlap="1" wp14:anchorId="4BD51570" wp14:editId="2834E695">
                      <wp:simplePos x="0" y="0"/>
                      <wp:positionH relativeFrom="column">
                        <wp:posOffset>2540</wp:posOffset>
                      </wp:positionH>
                      <wp:positionV relativeFrom="paragraph">
                        <wp:posOffset>109058</wp:posOffset>
                      </wp:positionV>
                      <wp:extent cx="365760" cy="0"/>
                      <wp:effectExtent l="0" t="0" r="0" b="0"/>
                      <wp:wrapNone/>
                      <wp:docPr id="1849154672" name="Straight Connector 1"/>
                      <wp:cNvGraphicFramePr/>
                      <a:graphic xmlns:a="http://schemas.openxmlformats.org/drawingml/2006/main">
                        <a:graphicData uri="http://schemas.microsoft.com/office/word/2010/wordprocessingShape">
                          <wps:wsp>
                            <wps:cNvCnPr/>
                            <wps:spPr>
                              <a:xfrm>
                                <a:off x="0" y="0"/>
                                <a:ext cx="365760"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anchor>
                  </w:drawing>
                </mc:Choice>
                <mc:Fallback>
                  <w:pict>
                    <v:line w14:anchorId="7D2E7264" id="Straight Connector 1"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8.6pt" to="2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VNnQEAAJMDAAAOAAAAZHJzL2Uyb0RvYy54bWysU01P4zAQvSPtf7B8p0mLKChqygHEXhAg&#10;dvkBxhk3lmyPZXub9N8zdtt0BUhIq704/pj3Zt6byepmtIZtIUSNruXzWc0ZOImddpuWv/6+P7/m&#10;LCbhOmHQQct3EPnN+sfZavANLLBH00FgROJiM/iW9yn5pqqi7MGKOEMPjh4VBisSHcOm6oIYiN2a&#10;alHXy2rA0PmAEmKk27v9I18XfqVApielIiRmWk61pbKGsr7ltVqvRLMJwvdaHsoQ/1CFFdpR0onq&#10;TiTB/gT9icpqGTCiSjOJtkKltISigdTM6w9qfvXCQ9FC5kQ/2RT/H6183N6650A2DD420T+HrGJU&#10;weYv1cfGYtZuMgvGxCRdXiwvr5ZkqTw+VSecDzH9BLQsb1putMsyRCO2DzFRLgo9htDhlLns0s5A&#10;DjbuBRTTXc5V0GUo4NYEthXUTiEluHSRW0h8JTrDlDZmAtbfAw/xGQplYCbw4nvwhCiZ0aUJbLXD&#10;8BVBGueHktU+/ujAXne24A27XelJsYY6XxQepjSP1t/nAj/9S+t3AAAA//8DAFBLAwQUAAYACAAA&#10;ACEAM2oH2tkAAAAFAQAADwAAAGRycy9kb3ducmV2LnhtbEyPwU7DMBBE70j8g7VI3KjTipIoxKko&#10;EgckLgQOPbrxEqeN15HtNuHvWcSBHmdnNPum2sxuEGcMsfekYLnIQCC13vTUKfj8eLkrQMSkyejB&#10;Eyr4xgib+vqq0qXxE73juUmd4BKKpVZgUxpLKWNr0em48CMSe18+OJ1Yhk6aoCcud4NcZdmDdLon&#10;/mD1iM8W22NzcgrC7uBeU7feTaPdbt/yKV82RVDq9mZ+egSRcE7/YfjFZ3SomWnvT2SiGBTcc46v&#10;+QoEu+uCh+3/tKwreUlf/wAAAP//AwBQSwECLQAUAAYACAAAACEAtoM4kv4AAADhAQAAEwAAAAAA&#10;AAAAAAAAAAAAAAAAW0NvbnRlbnRfVHlwZXNdLnhtbFBLAQItABQABgAIAAAAIQA4/SH/1gAAAJQB&#10;AAALAAAAAAAAAAAAAAAAAC8BAABfcmVscy8ucmVsc1BLAQItABQABgAIAAAAIQBLeIVNnQEAAJMD&#10;AAAOAAAAAAAAAAAAAAAAAC4CAABkcnMvZTJvRG9jLnhtbFBLAQItABQABgAIAAAAIQAzagfa2QAA&#10;AAUBAAAPAAAAAAAAAAAAAAAAAPcDAABkcnMvZG93bnJldi54bWxQSwUGAAAAAAQABADzAAAA/QQA&#10;AAAA&#10;" strokecolor="#a5a5a5 [3206]" strokeweight="1.5pt">
                      <v:stroke joinstyle="miter"/>
                    </v:line>
                  </w:pict>
                </mc:Fallback>
              </mc:AlternateContent>
            </w:r>
          </w:p>
        </w:tc>
        <w:tc>
          <w:tcPr>
            <w:tcW w:w="5533" w:type="dxa"/>
          </w:tcPr>
          <w:p w14:paraId="283397BF" w14:textId="14352374" w:rsidR="00BF0809" w:rsidRPr="000F7953" w:rsidRDefault="00BF0809" w:rsidP="00CD3F6B">
            <w:pPr>
              <w:pStyle w:val="ListParagraph"/>
              <w:spacing w:after="0" w:line="240" w:lineRule="auto"/>
              <w:ind w:left="0"/>
              <w:rPr>
                <w:rFonts w:cstheme="minorHAnsi"/>
                <w:bCs/>
              </w:rPr>
            </w:pPr>
            <w:r w:rsidRPr="000F7953">
              <w:rPr>
                <w:rFonts w:cstheme="minorHAnsi"/>
              </w:rPr>
              <w:t>La línea gris indica la línea de base.</w:t>
            </w:r>
          </w:p>
        </w:tc>
      </w:tr>
    </w:tbl>
    <w:p w14:paraId="6668C5A2" w14:textId="68092386" w:rsidR="00EA2960" w:rsidRPr="000F7953" w:rsidRDefault="00EA2960">
      <w:pPr>
        <w:tabs>
          <w:tab w:val="left" w:pos="651"/>
        </w:tabs>
        <w:ind w:left="567" w:hanging="567"/>
        <w:rPr>
          <w:rFonts w:asciiTheme="minorHAnsi" w:hAnsiTheme="minorHAnsi" w:cstheme="minorHAnsi"/>
          <w:bCs/>
          <w:sz w:val="22"/>
          <w:szCs w:val="22"/>
          <w:lang w:eastAsia="fr-FR"/>
        </w:rPr>
      </w:pPr>
    </w:p>
    <w:p w14:paraId="3E90CA1E" w14:textId="77777777" w:rsidR="0087081D" w:rsidRPr="000F7953" w:rsidRDefault="0087081D" w:rsidP="0087081D">
      <w:pPr>
        <w:tabs>
          <w:tab w:val="left" w:pos="651"/>
        </w:tabs>
        <w:ind w:left="567" w:hanging="567"/>
        <w:rPr>
          <w:rFonts w:asciiTheme="minorHAnsi" w:hAnsiTheme="minorHAnsi" w:cstheme="minorHAnsi"/>
          <w:bCs/>
          <w:sz w:val="22"/>
          <w:szCs w:val="22"/>
          <w:lang w:eastAsia="fr-FR"/>
        </w:rPr>
      </w:pPr>
    </w:p>
    <w:p w14:paraId="14ED1564" w14:textId="754908F5" w:rsidR="00BF66DA" w:rsidRPr="000F7953" w:rsidRDefault="00515041" w:rsidP="000E3338">
      <w:pPr>
        <w:ind w:left="567" w:hanging="567"/>
        <w:rPr>
          <w:rFonts w:asciiTheme="minorHAnsi" w:hAnsiTheme="minorHAnsi" w:cstheme="minorHAnsi"/>
          <w:bCs/>
          <w:sz w:val="22"/>
          <w:szCs w:val="22"/>
        </w:rPr>
      </w:pPr>
      <w:r w:rsidRPr="000F7953">
        <w:rPr>
          <w:rFonts w:asciiTheme="minorHAnsi" w:hAnsiTheme="minorHAnsi" w:cstheme="minorHAnsi"/>
          <w:bCs/>
          <w:sz w:val="22"/>
          <w:szCs w:val="22"/>
        </w:rPr>
        <w:t>5.</w:t>
      </w:r>
      <w:r w:rsidRPr="000F7953">
        <w:rPr>
          <w:rFonts w:asciiTheme="minorHAnsi" w:hAnsiTheme="minorHAnsi" w:cstheme="minorHAnsi"/>
          <w:bCs/>
          <w:sz w:val="22"/>
          <w:szCs w:val="22"/>
        </w:rPr>
        <w:tab/>
        <w:t>En el caso de las metas 10 y 13 no se incluyeron indicadores en el PE4 ni se desarrollaron o adoptaron posteriormente. Para estas metas se presentan datos basados en las preguntas pertinentes del formulario de informe nacional, utilizando como línea de base las respuestas que figuran en los informes nacionales presentados para la COP12. Los porcentajes presentados fueron calculado</w:t>
      </w:r>
      <w:r w:rsidR="004F7B43" w:rsidRPr="000F7953">
        <w:rPr>
          <w:rFonts w:asciiTheme="minorHAnsi" w:hAnsiTheme="minorHAnsi" w:cstheme="minorHAnsi"/>
          <w:bCs/>
          <w:sz w:val="22"/>
          <w:szCs w:val="22"/>
        </w:rPr>
        <w:t>s</w:t>
      </w:r>
      <w:r w:rsidRPr="000F7953">
        <w:rPr>
          <w:rFonts w:asciiTheme="minorHAnsi" w:hAnsiTheme="minorHAnsi" w:cstheme="minorHAnsi"/>
          <w:bCs/>
          <w:sz w:val="22"/>
          <w:szCs w:val="22"/>
        </w:rPr>
        <w:t xml:space="preserve"> a partir de las comunicaciones recibidas, para representar así los progresos realizados en la aplicación.</w:t>
      </w:r>
    </w:p>
    <w:p w14:paraId="76E9E029" w14:textId="77777777" w:rsidR="0067026D" w:rsidRPr="000F7953" w:rsidRDefault="0067026D" w:rsidP="000E3338">
      <w:pPr>
        <w:ind w:left="567" w:hanging="567"/>
        <w:rPr>
          <w:rFonts w:asciiTheme="minorHAnsi" w:hAnsiTheme="minorHAnsi" w:cstheme="minorHAnsi"/>
          <w:bCs/>
          <w:sz w:val="22"/>
          <w:szCs w:val="22"/>
          <w:lang w:eastAsia="fr-FR"/>
        </w:rPr>
      </w:pPr>
    </w:p>
    <w:p w14:paraId="0D56BEB3" w14:textId="640AB567" w:rsidR="008440A6" w:rsidRPr="000F7953" w:rsidRDefault="00515041" w:rsidP="000E3338">
      <w:pPr>
        <w:ind w:left="567" w:hanging="567"/>
        <w:rPr>
          <w:rFonts w:asciiTheme="minorHAnsi" w:hAnsiTheme="minorHAnsi" w:cstheme="minorHAnsi"/>
          <w:bCs/>
          <w:sz w:val="22"/>
          <w:szCs w:val="22"/>
        </w:rPr>
      </w:pPr>
      <w:r w:rsidRPr="000F7953">
        <w:rPr>
          <w:rFonts w:asciiTheme="minorHAnsi" w:hAnsiTheme="minorHAnsi" w:cstheme="minorHAnsi"/>
          <w:bCs/>
          <w:sz w:val="22"/>
          <w:szCs w:val="22"/>
        </w:rPr>
        <w:t>6.</w:t>
      </w:r>
      <w:r w:rsidRPr="000F7953">
        <w:rPr>
          <w:rFonts w:asciiTheme="minorHAnsi" w:hAnsiTheme="minorHAnsi" w:cstheme="minorHAnsi"/>
          <w:bCs/>
          <w:sz w:val="22"/>
          <w:szCs w:val="22"/>
        </w:rPr>
        <w:tab/>
        <w:t>Cabe señalar que hay algunas incoherencias en los datos de los informes nacionales; esto se debe, por ejemplo, a las variaciones en el número de Partes Contratantes que presentan informes nacionales para cada COP, a los distintos niveles de detalle proporcionados en las respuestas por las Partes individuales, o es resultado de los cambios en las preguntas relativas a los indicadores en el formulario de los informes nacionales para las distintas COP. Estas incoherencias plantean algunos retos para el análisis y la interpretación de las tendencias. En la sección de conclusiones se ofrecen algunas consideraciones pertinentes para la preparación del marco de indicadores del Quinto Plan Estratégico para 2025-2034.</w:t>
      </w:r>
    </w:p>
    <w:p w14:paraId="61AB8D40" w14:textId="77777777" w:rsidR="008440A6" w:rsidRPr="000F7953" w:rsidRDefault="008440A6" w:rsidP="000E3338">
      <w:pPr>
        <w:ind w:left="567" w:hanging="567"/>
        <w:rPr>
          <w:rFonts w:asciiTheme="minorHAnsi" w:hAnsiTheme="minorHAnsi" w:cstheme="minorHAnsi"/>
          <w:bCs/>
          <w:sz w:val="22"/>
          <w:szCs w:val="22"/>
          <w:lang w:eastAsia="fr-FR"/>
        </w:rPr>
      </w:pPr>
    </w:p>
    <w:p w14:paraId="2B7D6E3B" w14:textId="1659801C" w:rsidR="00EF0B69" w:rsidRPr="000F7953" w:rsidRDefault="00515041" w:rsidP="00EF0B69">
      <w:pPr>
        <w:ind w:left="567" w:hanging="567"/>
        <w:rPr>
          <w:rFonts w:asciiTheme="minorHAnsi" w:hAnsiTheme="minorHAnsi" w:cstheme="minorHAnsi"/>
          <w:bCs/>
          <w:sz w:val="22"/>
          <w:szCs w:val="22"/>
        </w:rPr>
      </w:pPr>
      <w:bookmarkStart w:id="0" w:name="_Hlk194836485"/>
      <w:r w:rsidRPr="000F7953">
        <w:rPr>
          <w:rFonts w:asciiTheme="minorHAnsi" w:hAnsiTheme="minorHAnsi" w:cstheme="minorHAnsi"/>
          <w:bCs/>
          <w:sz w:val="22"/>
          <w:szCs w:val="22"/>
        </w:rPr>
        <w:t>7.</w:t>
      </w:r>
      <w:r w:rsidRPr="000F7953">
        <w:rPr>
          <w:rFonts w:asciiTheme="minorHAnsi" w:hAnsiTheme="minorHAnsi" w:cstheme="minorHAnsi"/>
          <w:bCs/>
          <w:sz w:val="22"/>
          <w:szCs w:val="22"/>
        </w:rPr>
        <w:tab/>
      </w:r>
      <w:bookmarkEnd w:id="0"/>
      <w:r w:rsidRPr="000F7953">
        <w:rPr>
          <w:rFonts w:asciiTheme="minorHAnsi" w:hAnsiTheme="minorHAnsi" w:cstheme="minorHAnsi"/>
          <w:sz w:val="22"/>
          <w:szCs w:val="22"/>
        </w:rPr>
        <w:t>Para cada meta se señalan las contribuciones a la aplicación del Marco Mundial de Biodiversidad de Kunming-Montreal (MMB-KM) y de la Agenda 2030 para el Desarrollo Sostenible y los Objetivos de Desarrollo Sostenible (ODS)</w:t>
      </w:r>
      <w:r w:rsidR="00140707" w:rsidRPr="000F7953">
        <w:rPr>
          <w:rStyle w:val="FootnoteReference"/>
          <w:rFonts w:asciiTheme="minorHAnsi" w:hAnsiTheme="minorHAnsi" w:cstheme="minorHAnsi"/>
          <w:bCs/>
          <w:sz w:val="22"/>
          <w:szCs w:val="22"/>
          <w:lang w:eastAsia="fr-FR"/>
        </w:rPr>
        <w:footnoteReference w:id="3"/>
      </w:r>
      <w:r w:rsidRPr="000F7953">
        <w:rPr>
          <w:rFonts w:asciiTheme="minorHAnsi" w:hAnsiTheme="minorHAnsi" w:cstheme="minorHAnsi"/>
          <w:sz w:val="22"/>
          <w:szCs w:val="22"/>
        </w:rPr>
        <w:t>.</w:t>
      </w:r>
      <w:r w:rsidRPr="000F7953">
        <w:rPr>
          <w:rFonts w:asciiTheme="minorHAnsi" w:hAnsiTheme="minorHAnsi" w:cstheme="minorHAnsi"/>
          <w:bCs/>
          <w:sz w:val="22"/>
          <w:szCs w:val="22"/>
        </w:rPr>
        <w:t xml:space="preserve"> Además, se presenta un breve resumen sobre las actividades en materia de género y juventud de conformidad con la Resolución XIII.18, </w:t>
      </w:r>
      <w:r w:rsidRPr="000F7953">
        <w:rPr>
          <w:rFonts w:asciiTheme="minorHAnsi" w:hAnsiTheme="minorHAnsi" w:cstheme="minorHAnsi"/>
          <w:bCs/>
          <w:i/>
          <w:iCs/>
          <w:sz w:val="22"/>
          <w:szCs w:val="22"/>
        </w:rPr>
        <w:t>Los humedales y el género</w:t>
      </w:r>
      <w:r w:rsidRPr="000F7953">
        <w:rPr>
          <w:rFonts w:asciiTheme="minorHAnsi" w:hAnsiTheme="minorHAnsi" w:cstheme="minorHAnsi"/>
          <w:bCs/>
          <w:sz w:val="22"/>
          <w:szCs w:val="22"/>
        </w:rPr>
        <w:t xml:space="preserve">, y la Resolución XIV.12, </w:t>
      </w:r>
      <w:r w:rsidRPr="000F7953">
        <w:rPr>
          <w:rFonts w:asciiTheme="minorHAnsi" w:hAnsiTheme="minorHAnsi" w:cstheme="minorHAnsi"/>
          <w:bCs/>
          <w:i/>
          <w:iCs/>
          <w:sz w:val="22"/>
          <w:szCs w:val="22"/>
        </w:rPr>
        <w:t>Fortalecimiento de las conexiones de Ramsar a través de la juventud</w:t>
      </w:r>
      <w:r w:rsidRPr="000F7953">
        <w:rPr>
          <w:rFonts w:asciiTheme="minorHAnsi" w:hAnsiTheme="minorHAnsi" w:cstheme="minorHAnsi"/>
          <w:bCs/>
          <w:sz w:val="22"/>
          <w:szCs w:val="22"/>
        </w:rPr>
        <w:t xml:space="preserve">. En la sección de conclusiones se ofrece un resumen de los progresos realizados en la aplicación, los retos y las prioridades para el futuro. </w:t>
      </w:r>
    </w:p>
    <w:p w14:paraId="4199FE24" w14:textId="77777777" w:rsidR="00E03246" w:rsidRPr="000F7953" w:rsidRDefault="00E03246" w:rsidP="000E3338">
      <w:pPr>
        <w:ind w:left="567" w:hanging="567"/>
        <w:rPr>
          <w:rFonts w:asciiTheme="minorHAnsi" w:hAnsiTheme="minorHAnsi" w:cstheme="minorHAnsi"/>
          <w:bCs/>
          <w:sz w:val="22"/>
          <w:szCs w:val="22"/>
          <w:lang w:eastAsia="fr-FR"/>
        </w:rPr>
      </w:pPr>
    </w:p>
    <w:p w14:paraId="6D3937FD" w14:textId="77777777" w:rsidR="00EF0B69" w:rsidRPr="000F7953" w:rsidRDefault="00515041" w:rsidP="00EF0B69">
      <w:pPr>
        <w:ind w:left="567" w:hanging="567"/>
        <w:rPr>
          <w:rFonts w:asciiTheme="minorHAnsi" w:hAnsiTheme="minorHAnsi" w:cstheme="minorHAnsi"/>
          <w:bCs/>
          <w:sz w:val="22"/>
          <w:szCs w:val="22"/>
        </w:rPr>
      </w:pPr>
      <w:r w:rsidRPr="000F7953">
        <w:rPr>
          <w:rFonts w:asciiTheme="minorHAnsi" w:hAnsiTheme="minorHAnsi" w:cstheme="minorHAnsi"/>
          <w:bCs/>
          <w:sz w:val="22"/>
          <w:szCs w:val="22"/>
        </w:rPr>
        <w:t>8.</w:t>
      </w:r>
      <w:r w:rsidRPr="000F7953">
        <w:rPr>
          <w:rFonts w:asciiTheme="minorHAnsi" w:hAnsiTheme="minorHAnsi" w:cstheme="minorHAnsi"/>
          <w:bCs/>
          <w:sz w:val="22"/>
          <w:szCs w:val="22"/>
        </w:rPr>
        <w:tab/>
        <w:t xml:space="preserve">En el anexo 1 del presente informe se presenta una síntesis de los informes voluntarios sobre las metas nacionales. </w:t>
      </w:r>
    </w:p>
    <w:p w14:paraId="458D04CB" w14:textId="44270E90" w:rsidR="00EB622F" w:rsidRPr="000F7953" w:rsidRDefault="00EB622F" w:rsidP="00D1463B">
      <w:pPr>
        <w:keepNext/>
        <w:rPr>
          <w:rFonts w:asciiTheme="minorHAnsi" w:hAnsiTheme="minorHAnsi" w:cstheme="minorHAnsi"/>
          <w:bCs/>
          <w:sz w:val="22"/>
          <w:szCs w:val="22"/>
          <w:lang w:eastAsia="fr-FR"/>
        </w:rPr>
      </w:pPr>
    </w:p>
    <w:p w14:paraId="1386F884" w14:textId="77777777" w:rsidR="00C3536E" w:rsidRPr="000F7953" w:rsidRDefault="00C3536E" w:rsidP="00D1463B">
      <w:pPr>
        <w:keepNext/>
        <w:rPr>
          <w:rFonts w:asciiTheme="minorHAnsi" w:hAnsiTheme="minorHAnsi" w:cstheme="minorHAnsi"/>
          <w:bCs/>
          <w:sz w:val="22"/>
          <w:szCs w:val="22"/>
          <w:lang w:eastAsia="fr-FR"/>
        </w:rPr>
      </w:pPr>
    </w:p>
    <w:p w14:paraId="12A1F6BC" w14:textId="0CDAFEF4" w:rsidR="00BC08B3" w:rsidRPr="000F7953" w:rsidRDefault="00BC08B3" w:rsidP="00D1463B">
      <w:pPr>
        <w:keepNext/>
        <w:rPr>
          <w:rFonts w:asciiTheme="minorHAnsi" w:hAnsiTheme="minorHAnsi" w:cstheme="minorHAnsi"/>
          <w:b/>
          <w:sz w:val="22"/>
          <w:szCs w:val="22"/>
        </w:rPr>
      </w:pPr>
      <w:r w:rsidRPr="000F7953">
        <w:rPr>
          <w:rFonts w:asciiTheme="minorHAnsi" w:hAnsiTheme="minorHAnsi" w:cstheme="minorHAnsi"/>
          <w:b/>
          <w:sz w:val="22"/>
          <w:szCs w:val="22"/>
        </w:rPr>
        <w:t>Objetivo 1: Hacer frente a los factores que impulsan la pérdida y degradación de los humedales</w:t>
      </w:r>
    </w:p>
    <w:p w14:paraId="354D1DF4" w14:textId="77777777" w:rsidR="00C3536E" w:rsidRPr="000F7953" w:rsidRDefault="00C3536E" w:rsidP="00D1463B">
      <w:pPr>
        <w:keepNext/>
        <w:rPr>
          <w:rFonts w:asciiTheme="minorHAnsi" w:hAnsiTheme="minorHAnsi" w:cstheme="minorHAnsi"/>
          <w:b/>
          <w:sz w:val="22"/>
          <w:szCs w:val="22"/>
          <w:lang w:eastAsia="fr-FR"/>
        </w:rPr>
      </w:pPr>
    </w:p>
    <w:tbl>
      <w:tblPr>
        <w:tblStyle w:val="TableGrid16"/>
        <w:tblW w:w="9351" w:type="dxa"/>
        <w:tblLook w:val="04A0" w:firstRow="1" w:lastRow="0" w:firstColumn="1" w:lastColumn="0" w:noHBand="0" w:noVBand="1"/>
      </w:tblPr>
      <w:tblGrid>
        <w:gridCol w:w="9351"/>
      </w:tblGrid>
      <w:tr w:rsidR="00BB3D72" w:rsidRPr="000F7953" w14:paraId="17D7A92B" w14:textId="77777777" w:rsidTr="004D229D">
        <w:tc>
          <w:tcPr>
            <w:tcW w:w="9351" w:type="dxa"/>
            <w:vAlign w:val="center"/>
          </w:tcPr>
          <w:p w14:paraId="33A225DF" w14:textId="77777777" w:rsidR="00C162A1" w:rsidRPr="000F7953" w:rsidRDefault="00BB3D72" w:rsidP="008A3659">
            <w:pPr>
              <w:keepNext/>
              <w:spacing w:before="120" w:after="120"/>
              <w:rPr>
                <w:rFonts w:asciiTheme="minorHAnsi" w:hAnsiTheme="minorHAnsi" w:cstheme="minorHAnsi"/>
                <w:b/>
                <w:sz w:val="22"/>
                <w:szCs w:val="22"/>
              </w:rPr>
            </w:pPr>
            <w:r w:rsidRPr="000F7953">
              <w:rPr>
                <w:rFonts w:asciiTheme="minorHAnsi" w:hAnsiTheme="minorHAnsi" w:cstheme="minorHAnsi"/>
                <w:b/>
                <w:sz w:val="22"/>
                <w:szCs w:val="22"/>
              </w:rPr>
              <w:t xml:space="preserve">Meta 1. Los beneficios de los humedales están integrados en las políticas o estrategias y planes nacionales o locales relativos a sectores clave como el agua, la energía, la minería, la agricultura, el turismo, el desarrollo urbano, las infraestructuras, la industria, la silvicultura, la acuicultura y la pesca a escala nacional y local. </w:t>
            </w:r>
          </w:p>
          <w:p w14:paraId="065F79FE" w14:textId="64403510" w:rsidR="00BB3D72" w:rsidRPr="000F7953" w:rsidRDefault="00C71667" w:rsidP="008A3659">
            <w:pPr>
              <w:keepNext/>
              <w:spacing w:before="120" w:after="120"/>
              <w:rPr>
                <w:rFonts w:asciiTheme="minorHAnsi" w:hAnsiTheme="minorHAnsi" w:cstheme="minorHAnsi"/>
                <w:bCs/>
                <w:sz w:val="22"/>
                <w:szCs w:val="22"/>
              </w:rPr>
            </w:pPr>
            <w:r w:rsidRPr="000F7953">
              <w:rPr>
                <w:rFonts w:asciiTheme="minorHAnsi" w:hAnsiTheme="minorHAnsi" w:cstheme="minorHAnsi"/>
                <w:bCs/>
                <w:sz w:val="22"/>
                <w:szCs w:val="22"/>
              </w:rPr>
              <w:t>Contribuye a la meta 14 del MMB-KM y a las metas 1.b, 2.4, 6.1, 6.2, 6.5, 8.3, 8.9, 11.3, 11.4, 11.a, 11.b, 13.2, 14.4, 14.5, 14.c y 15.9 de los ODS.</w:t>
            </w:r>
          </w:p>
        </w:tc>
      </w:tr>
    </w:tbl>
    <w:p w14:paraId="0913625A" w14:textId="77777777" w:rsidR="000F4FA6" w:rsidRPr="000F7953" w:rsidRDefault="000F4FA6" w:rsidP="00D1463B">
      <w:pPr>
        <w:keepNext/>
        <w:rPr>
          <w:rFonts w:asciiTheme="minorHAnsi" w:hAnsiTheme="minorHAnsi" w:cstheme="minorHAnsi"/>
          <w:bCs/>
          <w:sz w:val="22"/>
          <w:szCs w:val="22"/>
          <w:lang w:eastAsia="fr-FR"/>
        </w:rPr>
      </w:pPr>
    </w:p>
    <w:p w14:paraId="662A4636" w14:textId="4B1BEB01" w:rsidR="007D0E6B" w:rsidRPr="000F7953" w:rsidRDefault="008668C5" w:rsidP="00D1463B">
      <w:pPr>
        <w:keepNext/>
        <w:rPr>
          <w:rFonts w:asciiTheme="minorHAnsi" w:hAnsiTheme="minorHAnsi" w:cstheme="minorHAnsi"/>
          <w:i/>
          <w:iCs/>
          <w:sz w:val="22"/>
          <w:szCs w:val="22"/>
          <w:u w:val="single"/>
        </w:rPr>
      </w:pPr>
      <w:r w:rsidRPr="000F7953">
        <w:rPr>
          <w:rFonts w:asciiTheme="minorHAnsi" w:hAnsiTheme="minorHAnsi" w:cstheme="minorHAnsi"/>
          <w:i/>
          <w:iCs/>
          <w:sz w:val="22"/>
          <w:szCs w:val="22"/>
          <w:u w:val="single"/>
        </w:rPr>
        <w:t xml:space="preserve">Mensaje clave </w:t>
      </w:r>
    </w:p>
    <w:p w14:paraId="01ACD733" w14:textId="77777777" w:rsidR="00CD3F6B" w:rsidRPr="000F7953" w:rsidRDefault="00CD3F6B" w:rsidP="00D1463B">
      <w:pPr>
        <w:keepNext/>
        <w:ind w:left="426" w:hanging="426"/>
        <w:rPr>
          <w:rFonts w:asciiTheme="minorHAnsi" w:hAnsiTheme="minorHAnsi" w:cstheme="minorHAnsi"/>
          <w:bCs/>
          <w:sz w:val="22"/>
          <w:szCs w:val="22"/>
          <w:lang w:eastAsia="fr-FR"/>
        </w:rPr>
      </w:pPr>
    </w:p>
    <w:p w14:paraId="3870FC8B" w14:textId="375A275B" w:rsidR="00104048" w:rsidRPr="000F7953" w:rsidRDefault="00515041" w:rsidP="000E3338">
      <w:pPr>
        <w:ind w:left="567" w:hanging="567"/>
        <w:rPr>
          <w:rFonts w:asciiTheme="minorHAnsi" w:hAnsiTheme="minorHAnsi" w:cstheme="minorHAnsi"/>
          <w:bCs/>
          <w:sz w:val="22"/>
          <w:szCs w:val="22"/>
        </w:rPr>
      </w:pPr>
      <w:r w:rsidRPr="000F7953">
        <w:rPr>
          <w:rFonts w:asciiTheme="minorHAnsi" w:hAnsiTheme="minorHAnsi" w:cstheme="minorHAnsi"/>
          <w:bCs/>
          <w:sz w:val="22"/>
          <w:szCs w:val="22"/>
        </w:rPr>
        <w:t>9.</w:t>
      </w:r>
      <w:r w:rsidRPr="000F7953">
        <w:rPr>
          <w:rFonts w:asciiTheme="minorHAnsi" w:hAnsiTheme="minorHAnsi" w:cstheme="minorHAnsi"/>
          <w:bCs/>
          <w:sz w:val="22"/>
          <w:szCs w:val="22"/>
        </w:rPr>
        <w:tab/>
        <w:t xml:space="preserve">En general, se tienen cada vez más en cuenta los beneficios de los humedales en las políticas, estrategias y planes sectoriales nacionales. Se han realizado nuevos progresos en las estrategias y planes relacionados con la biodiversidad y la gestión del agua, mientras que una proporción menor de Partes Contratantes informa de la integración de consideraciones relativas a los humedales en las estrategias y planes de algunos otros sectores con un impacto significativo en los humedales. </w:t>
      </w:r>
    </w:p>
    <w:p w14:paraId="633D2C5B" w14:textId="419E7153" w:rsidR="007D0E6B" w:rsidRPr="000F7953" w:rsidRDefault="007D0E6B" w:rsidP="00CD3F6B">
      <w:pPr>
        <w:ind w:left="426" w:hanging="426"/>
        <w:rPr>
          <w:rFonts w:asciiTheme="minorHAnsi" w:hAnsiTheme="minorHAnsi" w:cstheme="minorHAnsi"/>
          <w:bCs/>
          <w:sz w:val="22"/>
          <w:szCs w:val="22"/>
          <w:lang w:eastAsia="fr-FR"/>
        </w:rPr>
      </w:pPr>
    </w:p>
    <w:tbl>
      <w:tblPr>
        <w:tblStyle w:val="TableGrid21"/>
        <w:tblW w:w="9356" w:type="dxa"/>
        <w:tblLayout w:type="fixed"/>
        <w:tblLook w:val="04A0" w:firstRow="1" w:lastRow="0" w:firstColumn="1" w:lastColumn="0" w:noHBand="0" w:noVBand="1"/>
      </w:tblPr>
      <w:tblGrid>
        <w:gridCol w:w="4261"/>
        <w:gridCol w:w="1063"/>
        <w:gridCol w:w="891"/>
        <w:gridCol w:w="891"/>
        <w:gridCol w:w="892"/>
        <w:gridCol w:w="1358"/>
      </w:tblGrid>
      <w:tr w:rsidR="00107172" w:rsidRPr="000F7953" w14:paraId="005E2CF6" w14:textId="77777777" w:rsidTr="00CE715E">
        <w:trPr>
          <w:cantSplit/>
          <w:tblHeader/>
        </w:trPr>
        <w:tc>
          <w:tcPr>
            <w:tcW w:w="4261" w:type="dxa"/>
            <w:vAlign w:val="center"/>
            <w:hideMark/>
          </w:tcPr>
          <w:p w14:paraId="45493773" w14:textId="77777777" w:rsidR="00107172" w:rsidRPr="000F7953" w:rsidRDefault="00107172" w:rsidP="0078307B">
            <w:pPr>
              <w:keepNext/>
              <w:jc w:val="center"/>
              <w:rPr>
                <w:rFonts w:asciiTheme="minorHAnsi" w:hAnsiTheme="minorHAnsi" w:cstheme="minorHAnsi"/>
                <w:b/>
                <w:sz w:val="22"/>
                <w:szCs w:val="22"/>
              </w:rPr>
            </w:pPr>
            <w:r w:rsidRPr="000F7953">
              <w:rPr>
                <w:rFonts w:asciiTheme="minorHAnsi" w:hAnsiTheme="minorHAnsi" w:cstheme="minorHAnsi"/>
                <w:b/>
                <w:sz w:val="22"/>
                <w:szCs w:val="22"/>
              </w:rPr>
              <w:t>Indicador</w:t>
            </w:r>
          </w:p>
        </w:tc>
        <w:tc>
          <w:tcPr>
            <w:tcW w:w="1063" w:type="dxa"/>
            <w:vAlign w:val="center"/>
            <w:hideMark/>
          </w:tcPr>
          <w:p w14:paraId="67560571" w14:textId="2EE4448A" w:rsidR="0007599D" w:rsidRPr="000F7953" w:rsidRDefault="0007599D" w:rsidP="0078307B">
            <w:pPr>
              <w:keepNext/>
              <w:jc w:val="center"/>
              <w:rPr>
                <w:rFonts w:asciiTheme="minorHAnsi" w:hAnsiTheme="minorHAnsi" w:cstheme="minorHAnsi"/>
                <w:b/>
                <w:sz w:val="22"/>
                <w:szCs w:val="22"/>
              </w:rPr>
            </w:pPr>
            <w:r w:rsidRPr="000F7953">
              <w:rPr>
                <w:rFonts w:asciiTheme="minorHAnsi" w:hAnsiTheme="minorHAnsi" w:cstheme="minorHAnsi"/>
                <w:b/>
                <w:sz w:val="22"/>
                <w:szCs w:val="22"/>
              </w:rPr>
              <w:t>Referencia</w:t>
            </w:r>
          </w:p>
        </w:tc>
        <w:tc>
          <w:tcPr>
            <w:tcW w:w="891" w:type="dxa"/>
            <w:vAlign w:val="center"/>
            <w:hideMark/>
          </w:tcPr>
          <w:p w14:paraId="6A1BAFD7" w14:textId="77777777" w:rsidR="00107172" w:rsidRPr="000F7953" w:rsidRDefault="00107172" w:rsidP="0078307B">
            <w:pPr>
              <w:keepNext/>
              <w:jc w:val="center"/>
              <w:rPr>
                <w:rFonts w:asciiTheme="minorHAnsi" w:hAnsiTheme="minorHAnsi" w:cstheme="minorHAnsi"/>
                <w:b/>
                <w:sz w:val="22"/>
                <w:szCs w:val="22"/>
              </w:rPr>
            </w:pPr>
            <w:r w:rsidRPr="000F7953">
              <w:rPr>
                <w:rFonts w:asciiTheme="minorHAnsi" w:hAnsiTheme="minorHAnsi" w:cstheme="minorHAnsi"/>
                <w:b/>
                <w:sz w:val="22"/>
                <w:szCs w:val="22"/>
              </w:rPr>
              <w:t>COP13</w:t>
            </w:r>
          </w:p>
        </w:tc>
        <w:tc>
          <w:tcPr>
            <w:tcW w:w="891" w:type="dxa"/>
            <w:vAlign w:val="center"/>
            <w:hideMark/>
          </w:tcPr>
          <w:p w14:paraId="4335CB9C" w14:textId="77777777" w:rsidR="00107172" w:rsidRPr="000F7953" w:rsidRDefault="00107172" w:rsidP="0078307B">
            <w:pPr>
              <w:keepNext/>
              <w:jc w:val="center"/>
              <w:rPr>
                <w:rFonts w:asciiTheme="minorHAnsi" w:hAnsiTheme="minorHAnsi" w:cstheme="minorHAnsi"/>
                <w:b/>
                <w:sz w:val="22"/>
                <w:szCs w:val="22"/>
              </w:rPr>
            </w:pPr>
            <w:r w:rsidRPr="000F7953">
              <w:rPr>
                <w:rFonts w:asciiTheme="minorHAnsi" w:hAnsiTheme="minorHAnsi" w:cstheme="minorHAnsi"/>
                <w:b/>
                <w:sz w:val="22"/>
                <w:szCs w:val="22"/>
              </w:rPr>
              <w:t>COP14</w:t>
            </w:r>
          </w:p>
        </w:tc>
        <w:tc>
          <w:tcPr>
            <w:tcW w:w="892" w:type="dxa"/>
            <w:vAlign w:val="center"/>
            <w:hideMark/>
          </w:tcPr>
          <w:p w14:paraId="01D0E6DC" w14:textId="77777777" w:rsidR="00107172" w:rsidRPr="000F7953" w:rsidRDefault="00107172" w:rsidP="0078307B">
            <w:pPr>
              <w:keepNext/>
              <w:jc w:val="center"/>
              <w:rPr>
                <w:rFonts w:asciiTheme="minorHAnsi" w:hAnsiTheme="minorHAnsi" w:cstheme="minorHAnsi"/>
                <w:b/>
                <w:sz w:val="22"/>
                <w:szCs w:val="22"/>
              </w:rPr>
            </w:pPr>
            <w:r w:rsidRPr="000F7953">
              <w:rPr>
                <w:rFonts w:asciiTheme="minorHAnsi" w:hAnsiTheme="minorHAnsi" w:cstheme="minorHAnsi"/>
                <w:b/>
                <w:sz w:val="22"/>
                <w:szCs w:val="22"/>
              </w:rPr>
              <w:t>COP15</w:t>
            </w:r>
          </w:p>
        </w:tc>
        <w:tc>
          <w:tcPr>
            <w:tcW w:w="1358" w:type="dxa"/>
            <w:vAlign w:val="center"/>
            <w:hideMark/>
          </w:tcPr>
          <w:p w14:paraId="46352877" w14:textId="77777777" w:rsidR="00107172" w:rsidRPr="000F7953" w:rsidRDefault="00107172" w:rsidP="0078307B">
            <w:pPr>
              <w:keepNext/>
              <w:jc w:val="center"/>
              <w:rPr>
                <w:rFonts w:asciiTheme="minorHAnsi" w:hAnsiTheme="minorHAnsi" w:cstheme="minorHAnsi"/>
                <w:b/>
                <w:sz w:val="22"/>
                <w:szCs w:val="22"/>
              </w:rPr>
            </w:pPr>
            <w:r w:rsidRPr="000F7953">
              <w:rPr>
                <w:rFonts w:asciiTheme="minorHAnsi" w:hAnsiTheme="minorHAnsi" w:cstheme="minorHAnsi"/>
                <w:b/>
                <w:sz w:val="22"/>
                <w:szCs w:val="22"/>
              </w:rPr>
              <w:t>Tendencia</w:t>
            </w:r>
          </w:p>
        </w:tc>
      </w:tr>
      <w:tr w:rsidR="00107172" w:rsidRPr="000F7953" w14:paraId="7285F577" w14:textId="77777777" w:rsidTr="00C3536E">
        <w:trPr>
          <w:cantSplit/>
        </w:trPr>
        <w:tc>
          <w:tcPr>
            <w:tcW w:w="4261" w:type="dxa"/>
            <w:hideMark/>
          </w:tcPr>
          <w:p w14:paraId="37EF87AC" w14:textId="1B07C266" w:rsidR="00107172" w:rsidRPr="000F7953" w:rsidRDefault="00107172" w:rsidP="00C64584">
            <w:pPr>
              <w:rPr>
                <w:rFonts w:asciiTheme="minorHAnsi" w:hAnsiTheme="minorHAnsi" w:cstheme="minorHAnsi"/>
                <w:bCs/>
                <w:sz w:val="22"/>
                <w:szCs w:val="22"/>
              </w:rPr>
            </w:pPr>
            <w:r w:rsidRPr="000F7953">
              <w:rPr>
                <w:rFonts w:asciiTheme="minorHAnsi" w:hAnsiTheme="minorHAnsi" w:cstheme="minorHAnsi"/>
                <w:bCs/>
                <w:sz w:val="22"/>
                <w:szCs w:val="22"/>
              </w:rPr>
              <w:t>Porcentaje de Partes que han realizado una evaluación de los servicios de los ecosistemas proporcionados por los Humedales de Importancia Internacional.</w:t>
            </w:r>
          </w:p>
        </w:tc>
        <w:tc>
          <w:tcPr>
            <w:tcW w:w="1063" w:type="dxa"/>
            <w:hideMark/>
          </w:tcPr>
          <w:p w14:paraId="30131E66" w14:textId="255FB3D3" w:rsidR="00107172" w:rsidRPr="000F7953" w:rsidRDefault="00107172" w:rsidP="00C64584">
            <w:pPr>
              <w:jc w:val="center"/>
              <w:rPr>
                <w:rFonts w:asciiTheme="minorHAnsi" w:hAnsiTheme="minorHAnsi" w:cstheme="minorHAnsi"/>
                <w:bCs/>
                <w:sz w:val="22"/>
                <w:szCs w:val="22"/>
              </w:rPr>
            </w:pPr>
            <w:r w:rsidRPr="000F7953">
              <w:rPr>
                <w:rFonts w:asciiTheme="minorHAnsi" w:hAnsiTheme="minorHAnsi" w:cstheme="minorHAnsi"/>
                <w:bCs/>
                <w:sz w:val="22"/>
                <w:szCs w:val="22"/>
              </w:rPr>
              <w:t>19</w:t>
            </w:r>
            <w:r w:rsidR="005601CD" w:rsidRPr="000F7953">
              <w:rPr>
                <w:rFonts w:asciiTheme="minorHAnsi" w:hAnsiTheme="minorHAnsi" w:cstheme="minorHAnsi"/>
                <w:bCs/>
                <w:sz w:val="22"/>
                <w:szCs w:val="22"/>
              </w:rPr>
              <w:t> %</w:t>
            </w:r>
          </w:p>
        </w:tc>
        <w:tc>
          <w:tcPr>
            <w:tcW w:w="891" w:type="dxa"/>
            <w:hideMark/>
          </w:tcPr>
          <w:p w14:paraId="688204FF" w14:textId="1FF77B3C" w:rsidR="00107172" w:rsidRPr="000F7953" w:rsidRDefault="00107172" w:rsidP="00C64584">
            <w:pPr>
              <w:jc w:val="center"/>
              <w:rPr>
                <w:rFonts w:asciiTheme="minorHAnsi" w:hAnsiTheme="minorHAnsi" w:cstheme="minorHAnsi"/>
                <w:bCs/>
                <w:sz w:val="22"/>
                <w:szCs w:val="22"/>
              </w:rPr>
            </w:pPr>
            <w:r w:rsidRPr="000F7953">
              <w:rPr>
                <w:rFonts w:asciiTheme="minorHAnsi" w:hAnsiTheme="minorHAnsi" w:cstheme="minorHAnsi"/>
                <w:bCs/>
                <w:sz w:val="22"/>
                <w:szCs w:val="22"/>
              </w:rPr>
              <w:t>24</w:t>
            </w:r>
            <w:r w:rsidR="005601CD" w:rsidRPr="000F7953">
              <w:rPr>
                <w:rFonts w:asciiTheme="minorHAnsi" w:hAnsiTheme="minorHAnsi" w:cstheme="minorHAnsi"/>
                <w:bCs/>
                <w:sz w:val="22"/>
                <w:szCs w:val="22"/>
              </w:rPr>
              <w:t> %</w:t>
            </w:r>
          </w:p>
        </w:tc>
        <w:tc>
          <w:tcPr>
            <w:tcW w:w="891" w:type="dxa"/>
            <w:hideMark/>
          </w:tcPr>
          <w:p w14:paraId="5F069196" w14:textId="3E26918F" w:rsidR="00107172" w:rsidRPr="000F7953" w:rsidRDefault="00107172" w:rsidP="00C64584">
            <w:pPr>
              <w:jc w:val="center"/>
              <w:rPr>
                <w:rFonts w:asciiTheme="minorHAnsi" w:hAnsiTheme="minorHAnsi" w:cstheme="minorHAnsi"/>
                <w:bCs/>
                <w:sz w:val="22"/>
                <w:szCs w:val="22"/>
              </w:rPr>
            </w:pPr>
            <w:r w:rsidRPr="000F7953">
              <w:rPr>
                <w:rFonts w:asciiTheme="minorHAnsi" w:hAnsiTheme="minorHAnsi" w:cstheme="minorHAnsi"/>
                <w:bCs/>
                <w:sz w:val="22"/>
                <w:szCs w:val="22"/>
              </w:rPr>
              <w:t>32</w:t>
            </w:r>
            <w:r w:rsidR="005601CD" w:rsidRPr="000F7953">
              <w:rPr>
                <w:rFonts w:asciiTheme="minorHAnsi" w:hAnsiTheme="minorHAnsi" w:cstheme="minorHAnsi"/>
                <w:bCs/>
                <w:sz w:val="22"/>
                <w:szCs w:val="22"/>
              </w:rPr>
              <w:t> %</w:t>
            </w:r>
          </w:p>
        </w:tc>
        <w:tc>
          <w:tcPr>
            <w:tcW w:w="892" w:type="dxa"/>
            <w:hideMark/>
          </w:tcPr>
          <w:p w14:paraId="1A0C175D" w14:textId="01ABB8FD" w:rsidR="00107172" w:rsidRPr="000F7953" w:rsidRDefault="00107172" w:rsidP="00C64584">
            <w:pPr>
              <w:jc w:val="center"/>
              <w:rPr>
                <w:rFonts w:asciiTheme="minorHAnsi" w:hAnsiTheme="minorHAnsi" w:cstheme="minorHAnsi"/>
                <w:bCs/>
                <w:sz w:val="22"/>
                <w:szCs w:val="22"/>
              </w:rPr>
            </w:pPr>
            <w:r w:rsidRPr="000F7953">
              <w:rPr>
                <w:rFonts w:asciiTheme="minorHAnsi" w:hAnsiTheme="minorHAnsi" w:cstheme="minorHAnsi"/>
                <w:bCs/>
                <w:sz w:val="22"/>
                <w:szCs w:val="22"/>
              </w:rPr>
              <w:t>22</w:t>
            </w:r>
            <w:r w:rsidR="005601CD" w:rsidRPr="000F7953">
              <w:rPr>
                <w:rFonts w:asciiTheme="minorHAnsi" w:hAnsiTheme="minorHAnsi" w:cstheme="minorHAnsi"/>
                <w:bCs/>
                <w:sz w:val="22"/>
                <w:szCs w:val="22"/>
              </w:rPr>
              <w:t> %</w:t>
            </w:r>
          </w:p>
        </w:tc>
        <w:tc>
          <w:tcPr>
            <w:tcW w:w="1358" w:type="dxa"/>
            <w:hideMark/>
          </w:tcPr>
          <w:p w14:paraId="5CE90587" w14:textId="331D5BBA" w:rsidR="00107172" w:rsidRPr="000F7953" w:rsidRDefault="00925917" w:rsidP="00C64584">
            <w:pPr>
              <w:rPr>
                <w:rFonts w:asciiTheme="minorHAnsi" w:hAnsiTheme="minorHAnsi" w:cstheme="minorHAnsi"/>
                <w:bCs/>
                <w:sz w:val="22"/>
                <w:szCs w:val="22"/>
              </w:rPr>
            </w:pPr>
            <w:r w:rsidRPr="000F7953">
              <w:rPr>
                <w:rFonts w:asciiTheme="minorHAnsi" w:hAnsiTheme="minorHAnsi" w:cstheme="minorHAnsi"/>
                <w:bCs/>
                <w:noProof/>
                <w:sz w:val="22"/>
                <w:szCs w:val="22"/>
              </w:rPr>
              <w:drawing>
                <wp:inline distT="0" distB="0" distL="0" distR="0" wp14:anchorId="13CCAEBB" wp14:editId="11112572">
                  <wp:extent cx="712200" cy="432000"/>
                  <wp:effectExtent l="0" t="0" r="0" b="0"/>
                  <wp:docPr id="9572261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107172" w:rsidRPr="000F7953" w14:paraId="7CB98E04" w14:textId="77777777" w:rsidTr="00CE715E">
        <w:trPr>
          <w:cantSplit/>
        </w:trPr>
        <w:tc>
          <w:tcPr>
            <w:tcW w:w="4261" w:type="dxa"/>
          </w:tcPr>
          <w:p w14:paraId="1826C5E0" w14:textId="77777777" w:rsidR="00107172" w:rsidRPr="000F7953" w:rsidRDefault="00107172" w:rsidP="00C64584">
            <w:pPr>
              <w:rPr>
                <w:rFonts w:asciiTheme="minorHAnsi" w:hAnsiTheme="minorHAnsi" w:cstheme="minorHAnsi"/>
                <w:bCs/>
                <w:sz w:val="22"/>
                <w:szCs w:val="22"/>
              </w:rPr>
            </w:pPr>
            <w:r w:rsidRPr="000F7953">
              <w:rPr>
                <w:rFonts w:asciiTheme="minorHAnsi" w:hAnsiTheme="minorHAnsi" w:cstheme="minorHAnsi"/>
                <w:bCs/>
                <w:sz w:val="22"/>
                <w:szCs w:val="22"/>
              </w:rPr>
              <w:t>Porcentaje de Partes que han incluido cuestiones relativas a los humedales en estrategias y procesos de planificación nacionales tales como planes de manejo de los recursos hídricos y planes de uso eficiente del agua.</w:t>
            </w:r>
          </w:p>
        </w:tc>
        <w:tc>
          <w:tcPr>
            <w:tcW w:w="1063" w:type="dxa"/>
          </w:tcPr>
          <w:p w14:paraId="6DB032EE" w14:textId="6004D6CA" w:rsidR="00107172" w:rsidRPr="000F7953" w:rsidRDefault="00107172" w:rsidP="00C64584">
            <w:pPr>
              <w:jc w:val="center"/>
              <w:rPr>
                <w:rFonts w:asciiTheme="minorHAnsi" w:hAnsiTheme="minorHAnsi" w:cstheme="minorHAnsi"/>
                <w:bCs/>
                <w:sz w:val="22"/>
                <w:szCs w:val="22"/>
              </w:rPr>
            </w:pPr>
            <w:r w:rsidRPr="000F7953">
              <w:rPr>
                <w:rFonts w:asciiTheme="minorHAnsi" w:hAnsiTheme="minorHAnsi" w:cstheme="minorHAnsi"/>
                <w:bCs/>
                <w:sz w:val="22"/>
                <w:szCs w:val="22"/>
              </w:rPr>
              <w:t>70</w:t>
            </w:r>
            <w:r w:rsidR="005601CD" w:rsidRPr="000F7953">
              <w:rPr>
                <w:rFonts w:asciiTheme="minorHAnsi" w:hAnsiTheme="minorHAnsi" w:cstheme="minorHAnsi"/>
                <w:bCs/>
                <w:sz w:val="22"/>
                <w:szCs w:val="22"/>
              </w:rPr>
              <w:t> %</w:t>
            </w:r>
          </w:p>
        </w:tc>
        <w:tc>
          <w:tcPr>
            <w:tcW w:w="891" w:type="dxa"/>
          </w:tcPr>
          <w:p w14:paraId="1B9EBABE" w14:textId="048792D1" w:rsidR="00107172" w:rsidRPr="000F7953" w:rsidRDefault="00107172" w:rsidP="00C64584">
            <w:pPr>
              <w:jc w:val="center"/>
              <w:rPr>
                <w:rFonts w:asciiTheme="minorHAnsi" w:hAnsiTheme="minorHAnsi" w:cstheme="minorHAnsi"/>
                <w:bCs/>
                <w:sz w:val="22"/>
                <w:szCs w:val="22"/>
              </w:rPr>
            </w:pPr>
            <w:r w:rsidRPr="000F7953">
              <w:rPr>
                <w:rFonts w:asciiTheme="minorHAnsi" w:hAnsiTheme="minorHAnsi" w:cstheme="minorHAnsi"/>
                <w:bCs/>
                <w:sz w:val="22"/>
                <w:szCs w:val="22"/>
              </w:rPr>
              <w:t>59</w:t>
            </w:r>
            <w:r w:rsidR="005601CD" w:rsidRPr="000F7953">
              <w:rPr>
                <w:rFonts w:asciiTheme="minorHAnsi" w:hAnsiTheme="minorHAnsi" w:cstheme="minorHAnsi"/>
                <w:bCs/>
                <w:sz w:val="22"/>
                <w:szCs w:val="22"/>
              </w:rPr>
              <w:t> %</w:t>
            </w:r>
          </w:p>
        </w:tc>
        <w:tc>
          <w:tcPr>
            <w:tcW w:w="891" w:type="dxa"/>
          </w:tcPr>
          <w:p w14:paraId="336EBC41" w14:textId="15FF94FF" w:rsidR="00107172" w:rsidRPr="000F7953" w:rsidRDefault="00107172" w:rsidP="00C64584">
            <w:pPr>
              <w:jc w:val="center"/>
              <w:rPr>
                <w:rFonts w:asciiTheme="minorHAnsi" w:hAnsiTheme="minorHAnsi" w:cstheme="minorHAnsi"/>
                <w:bCs/>
                <w:sz w:val="22"/>
                <w:szCs w:val="22"/>
              </w:rPr>
            </w:pPr>
            <w:r w:rsidRPr="000F7953">
              <w:rPr>
                <w:rFonts w:asciiTheme="minorHAnsi" w:hAnsiTheme="minorHAnsi" w:cstheme="minorHAnsi"/>
                <w:bCs/>
                <w:sz w:val="22"/>
                <w:szCs w:val="22"/>
              </w:rPr>
              <w:t>66</w:t>
            </w:r>
            <w:r w:rsidR="005601CD" w:rsidRPr="000F7953">
              <w:rPr>
                <w:rFonts w:asciiTheme="minorHAnsi" w:hAnsiTheme="minorHAnsi" w:cstheme="minorHAnsi"/>
                <w:bCs/>
                <w:sz w:val="22"/>
                <w:szCs w:val="22"/>
              </w:rPr>
              <w:t> %</w:t>
            </w:r>
          </w:p>
        </w:tc>
        <w:tc>
          <w:tcPr>
            <w:tcW w:w="892" w:type="dxa"/>
          </w:tcPr>
          <w:p w14:paraId="3A38CA0D" w14:textId="717CCF31" w:rsidR="00107172" w:rsidRPr="000F7953" w:rsidRDefault="00107172" w:rsidP="00C64584">
            <w:pPr>
              <w:jc w:val="center"/>
              <w:rPr>
                <w:rFonts w:asciiTheme="minorHAnsi" w:hAnsiTheme="minorHAnsi" w:cstheme="minorHAnsi"/>
                <w:bCs/>
                <w:sz w:val="22"/>
                <w:szCs w:val="22"/>
              </w:rPr>
            </w:pPr>
            <w:r w:rsidRPr="000F7953">
              <w:rPr>
                <w:rFonts w:asciiTheme="minorHAnsi" w:hAnsiTheme="minorHAnsi" w:cstheme="minorHAnsi"/>
                <w:bCs/>
                <w:sz w:val="22"/>
                <w:szCs w:val="22"/>
              </w:rPr>
              <w:t>71</w:t>
            </w:r>
            <w:r w:rsidR="005601CD" w:rsidRPr="000F7953">
              <w:rPr>
                <w:rFonts w:asciiTheme="minorHAnsi" w:hAnsiTheme="minorHAnsi" w:cstheme="minorHAnsi"/>
                <w:bCs/>
                <w:sz w:val="22"/>
                <w:szCs w:val="22"/>
              </w:rPr>
              <w:t> %</w:t>
            </w:r>
          </w:p>
        </w:tc>
        <w:tc>
          <w:tcPr>
            <w:tcW w:w="1358" w:type="dxa"/>
            <w:vAlign w:val="center"/>
          </w:tcPr>
          <w:p w14:paraId="2FAC36A8" w14:textId="11348E6E" w:rsidR="00107172" w:rsidRPr="000F7953" w:rsidRDefault="00B26766" w:rsidP="00CE715E">
            <w:pPr>
              <w:jc w:val="center"/>
              <w:rPr>
                <w:rFonts w:asciiTheme="minorHAnsi" w:hAnsiTheme="minorHAnsi" w:cstheme="minorHAnsi"/>
                <w:bCs/>
                <w:sz w:val="22"/>
                <w:szCs w:val="22"/>
              </w:rPr>
            </w:pPr>
            <w:r w:rsidRPr="000F7953">
              <w:rPr>
                <w:rFonts w:asciiTheme="minorHAnsi" w:hAnsiTheme="minorHAnsi" w:cstheme="minorHAnsi"/>
                <w:bCs/>
                <w:noProof/>
                <w:sz w:val="22"/>
                <w:szCs w:val="22"/>
              </w:rPr>
              <w:drawing>
                <wp:inline distT="0" distB="0" distL="0" distR="0" wp14:anchorId="0533C8AB" wp14:editId="6A493C46">
                  <wp:extent cx="712200" cy="432000"/>
                  <wp:effectExtent l="0" t="0" r="0" b="0"/>
                  <wp:docPr id="6903381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107172" w:rsidRPr="000F7953" w14:paraId="113BD779" w14:textId="77777777" w:rsidTr="00C3536E">
        <w:trPr>
          <w:cantSplit/>
        </w:trPr>
        <w:tc>
          <w:tcPr>
            <w:tcW w:w="4261" w:type="dxa"/>
          </w:tcPr>
          <w:p w14:paraId="758A1820" w14:textId="7A4FA674" w:rsidR="00107172" w:rsidRPr="000F7953" w:rsidRDefault="00107172" w:rsidP="00C64584">
            <w:pPr>
              <w:rPr>
                <w:rFonts w:asciiTheme="minorHAnsi" w:hAnsiTheme="minorHAnsi" w:cstheme="minorHAnsi"/>
                <w:bCs/>
                <w:sz w:val="22"/>
                <w:szCs w:val="22"/>
              </w:rPr>
            </w:pPr>
            <w:r w:rsidRPr="000F7953">
              <w:rPr>
                <w:rFonts w:asciiTheme="minorHAnsi" w:hAnsiTheme="minorHAnsi" w:cstheme="minorHAnsi"/>
                <w:bCs/>
                <w:sz w:val="22"/>
                <w:szCs w:val="22"/>
              </w:rPr>
              <w:t>Porcentaje de Partes que han incluido cuestiones relativas a los humedales en políticas o medidas nacionales sobre la agricultura.</w:t>
            </w:r>
          </w:p>
        </w:tc>
        <w:tc>
          <w:tcPr>
            <w:tcW w:w="1063" w:type="dxa"/>
          </w:tcPr>
          <w:p w14:paraId="387FFE0F" w14:textId="23280704" w:rsidR="00107172" w:rsidRPr="000F7953" w:rsidRDefault="00107172" w:rsidP="00C64584">
            <w:pPr>
              <w:jc w:val="center"/>
              <w:rPr>
                <w:rFonts w:asciiTheme="minorHAnsi" w:hAnsiTheme="minorHAnsi" w:cstheme="minorHAnsi"/>
                <w:bCs/>
                <w:sz w:val="22"/>
                <w:szCs w:val="22"/>
              </w:rPr>
            </w:pPr>
            <w:r w:rsidRPr="000F7953">
              <w:rPr>
                <w:rFonts w:asciiTheme="minorHAnsi" w:hAnsiTheme="minorHAnsi" w:cstheme="minorHAnsi"/>
                <w:bCs/>
                <w:sz w:val="22"/>
                <w:szCs w:val="22"/>
              </w:rPr>
              <w:t>47</w:t>
            </w:r>
            <w:r w:rsidR="005601CD" w:rsidRPr="000F7953">
              <w:rPr>
                <w:rFonts w:asciiTheme="minorHAnsi" w:hAnsiTheme="minorHAnsi" w:cstheme="minorHAnsi"/>
                <w:bCs/>
                <w:sz w:val="22"/>
                <w:szCs w:val="22"/>
              </w:rPr>
              <w:t> %</w:t>
            </w:r>
          </w:p>
        </w:tc>
        <w:tc>
          <w:tcPr>
            <w:tcW w:w="891" w:type="dxa"/>
          </w:tcPr>
          <w:p w14:paraId="214253FA" w14:textId="4DBC7F65" w:rsidR="00107172" w:rsidRPr="000F7953" w:rsidRDefault="00107172" w:rsidP="00C64584">
            <w:pPr>
              <w:jc w:val="center"/>
              <w:rPr>
                <w:rFonts w:asciiTheme="minorHAnsi" w:hAnsiTheme="minorHAnsi" w:cstheme="minorHAnsi"/>
                <w:bCs/>
                <w:sz w:val="22"/>
                <w:szCs w:val="22"/>
              </w:rPr>
            </w:pPr>
            <w:r w:rsidRPr="000F7953">
              <w:rPr>
                <w:rFonts w:asciiTheme="minorHAnsi" w:hAnsiTheme="minorHAnsi" w:cstheme="minorHAnsi"/>
                <w:bCs/>
                <w:sz w:val="22"/>
                <w:szCs w:val="22"/>
              </w:rPr>
              <w:t>48</w:t>
            </w:r>
            <w:r w:rsidR="005601CD" w:rsidRPr="000F7953">
              <w:rPr>
                <w:rFonts w:asciiTheme="minorHAnsi" w:hAnsiTheme="minorHAnsi" w:cstheme="minorHAnsi"/>
                <w:bCs/>
                <w:sz w:val="22"/>
                <w:szCs w:val="22"/>
              </w:rPr>
              <w:t> %</w:t>
            </w:r>
          </w:p>
        </w:tc>
        <w:tc>
          <w:tcPr>
            <w:tcW w:w="891" w:type="dxa"/>
          </w:tcPr>
          <w:p w14:paraId="089C5F16" w14:textId="0DAD6AA5" w:rsidR="00107172" w:rsidRPr="000F7953" w:rsidRDefault="00107172" w:rsidP="00C64584">
            <w:pPr>
              <w:jc w:val="center"/>
              <w:rPr>
                <w:rFonts w:asciiTheme="minorHAnsi" w:hAnsiTheme="minorHAnsi" w:cstheme="minorHAnsi"/>
                <w:bCs/>
                <w:sz w:val="22"/>
                <w:szCs w:val="22"/>
              </w:rPr>
            </w:pPr>
            <w:r w:rsidRPr="000F7953">
              <w:rPr>
                <w:rFonts w:asciiTheme="minorHAnsi" w:hAnsiTheme="minorHAnsi" w:cstheme="minorHAnsi"/>
                <w:bCs/>
                <w:sz w:val="22"/>
                <w:szCs w:val="22"/>
              </w:rPr>
              <w:t>44</w:t>
            </w:r>
            <w:r w:rsidR="005601CD" w:rsidRPr="000F7953">
              <w:rPr>
                <w:rFonts w:asciiTheme="minorHAnsi" w:hAnsiTheme="minorHAnsi" w:cstheme="minorHAnsi"/>
                <w:bCs/>
                <w:sz w:val="22"/>
                <w:szCs w:val="22"/>
              </w:rPr>
              <w:t> %</w:t>
            </w:r>
          </w:p>
        </w:tc>
        <w:tc>
          <w:tcPr>
            <w:tcW w:w="892" w:type="dxa"/>
          </w:tcPr>
          <w:p w14:paraId="71F88A7C" w14:textId="60B24904" w:rsidR="00107172" w:rsidRPr="000F7953" w:rsidRDefault="00107172" w:rsidP="00C64584">
            <w:pPr>
              <w:jc w:val="center"/>
              <w:rPr>
                <w:rFonts w:asciiTheme="minorHAnsi" w:hAnsiTheme="minorHAnsi" w:cstheme="minorHAnsi"/>
                <w:bCs/>
                <w:sz w:val="22"/>
                <w:szCs w:val="22"/>
              </w:rPr>
            </w:pPr>
            <w:r w:rsidRPr="000F7953">
              <w:rPr>
                <w:rFonts w:asciiTheme="minorHAnsi" w:hAnsiTheme="minorHAnsi" w:cstheme="minorHAnsi"/>
                <w:bCs/>
                <w:sz w:val="22"/>
                <w:szCs w:val="22"/>
              </w:rPr>
              <w:t>53</w:t>
            </w:r>
            <w:r w:rsidR="005601CD" w:rsidRPr="000F7953">
              <w:rPr>
                <w:rFonts w:asciiTheme="minorHAnsi" w:hAnsiTheme="minorHAnsi" w:cstheme="minorHAnsi"/>
                <w:bCs/>
                <w:sz w:val="22"/>
                <w:szCs w:val="22"/>
              </w:rPr>
              <w:t> %</w:t>
            </w:r>
          </w:p>
        </w:tc>
        <w:tc>
          <w:tcPr>
            <w:tcW w:w="1358" w:type="dxa"/>
          </w:tcPr>
          <w:p w14:paraId="66E5996D" w14:textId="5BF68669" w:rsidR="00107172" w:rsidRPr="000F7953" w:rsidRDefault="00C302D6" w:rsidP="00C64584">
            <w:pPr>
              <w:rPr>
                <w:rFonts w:asciiTheme="minorHAnsi" w:hAnsiTheme="minorHAnsi" w:cstheme="minorHAnsi"/>
                <w:bCs/>
                <w:sz w:val="22"/>
                <w:szCs w:val="22"/>
              </w:rPr>
            </w:pPr>
            <w:r w:rsidRPr="000F7953">
              <w:rPr>
                <w:rFonts w:asciiTheme="minorHAnsi" w:hAnsiTheme="minorHAnsi" w:cstheme="minorHAnsi"/>
                <w:bCs/>
                <w:noProof/>
                <w:sz w:val="22"/>
                <w:szCs w:val="22"/>
              </w:rPr>
              <w:drawing>
                <wp:inline distT="0" distB="0" distL="0" distR="0" wp14:anchorId="29B1C4F4" wp14:editId="23DD9916">
                  <wp:extent cx="712200" cy="432000"/>
                  <wp:effectExtent l="0" t="0" r="0" b="0"/>
                  <wp:docPr id="19961147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bl>
    <w:p w14:paraId="1B8D9B84" w14:textId="77777777" w:rsidR="00D1463B" w:rsidRPr="000F7953" w:rsidRDefault="00D1463B" w:rsidP="00CD3F6B">
      <w:pPr>
        <w:ind w:left="426" w:hanging="426"/>
        <w:rPr>
          <w:rFonts w:asciiTheme="minorHAnsi" w:hAnsiTheme="minorHAnsi" w:cstheme="minorHAnsi"/>
          <w:bCs/>
          <w:sz w:val="22"/>
          <w:szCs w:val="22"/>
          <w:lang w:eastAsia="fr-FR"/>
        </w:rPr>
      </w:pPr>
    </w:p>
    <w:p w14:paraId="43EB8792" w14:textId="63324BAA" w:rsidR="00532917" w:rsidRPr="000F7953" w:rsidRDefault="00526C34" w:rsidP="003E56FD">
      <w:pPr>
        <w:keepNext/>
        <w:rPr>
          <w:rFonts w:asciiTheme="minorHAnsi" w:hAnsiTheme="minorHAnsi" w:cstheme="minorHAnsi"/>
          <w:i/>
          <w:iCs/>
          <w:sz w:val="22"/>
          <w:szCs w:val="22"/>
          <w:u w:val="single"/>
        </w:rPr>
      </w:pPr>
      <w:r w:rsidRPr="000F7953">
        <w:rPr>
          <w:rFonts w:asciiTheme="minorHAnsi" w:hAnsiTheme="minorHAnsi" w:cstheme="minorHAnsi"/>
          <w:i/>
          <w:iCs/>
          <w:sz w:val="22"/>
          <w:szCs w:val="22"/>
          <w:u w:val="single"/>
        </w:rPr>
        <w:t xml:space="preserve">Resumen de los progresos realizados </w:t>
      </w:r>
    </w:p>
    <w:p w14:paraId="13279C28" w14:textId="77777777" w:rsidR="00D1463B" w:rsidRPr="000F7953" w:rsidRDefault="00D1463B" w:rsidP="00D1463B">
      <w:pPr>
        <w:keepNext/>
        <w:ind w:left="426" w:hanging="426"/>
        <w:rPr>
          <w:rFonts w:asciiTheme="minorHAnsi" w:hAnsiTheme="minorHAnsi" w:cstheme="minorHAnsi"/>
          <w:bCs/>
          <w:sz w:val="22"/>
          <w:szCs w:val="22"/>
          <w:lang w:eastAsia="fr-FR"/>
        </w:rPr>
      </w:pPr>
    </w:p>
    <w:p w14:paraId="1B600599" w14:textId="5B42674C" w:rsidR="005604EE" w:rsidRPr="000F7953" w:rsidRDefault="00515041" w:rsidP="000E3338">
      <w:pPr>
        <w:ind w:left="567" w:hanging="567"/>
        <w:rPr>
          <w:rFonts w:asciiTheme="minorHAnsi" w:hAnsiTheme="minorHAnsi" w:cstheme="minorHAnsi"/>
          <w:bCs/>
          <w:sz w:val="22"/>
          <w:szCs w:val="22"/>
        </w:rPr>
      </w:pPr>
      <w:r w:rsidRPr="000F7953">
        <w:rPr>
          <w:rFonts w:asciiTheme="minorHAnsi" w:hAnsiTheme="minorHAnsi" w:cstheme="minorHAnsi"/>
          <w:bCs/>
          <w:sz w:val="22"/>
          <w:szCs w:val="22"/>
        </w:rPr>
        <w:t>10.</w:t>
      </w:r>
      <w:r w:rsidRPr="000F7953">
        <w:rPr>
          <w:rFonts w:asciiTheme="minorHAnsi" w:hAnsiTheme="minorHAnsi" w:cstheme="minorHAnsi"/>
          <w:bCs/>
          <w:sz w:val="22"/>
          <w:szCs w:val="22"/>
        </w:rPr>
        <w:tab/>
        <w:t>Se han realizado progresos de manera más constantes en los sectores del agua y la biodiversidad, en estrecha armonía con las metas de conservación de los humedales. Más del 80</w:t>
      </w:r>
      <w:r w:rsidR="005601CD" w:rsidRPr="000F7953">
        <w:rPr>
          <w:rFonts w:asciiTheme="minorHAnsi" w:hAnsiTheme="minorHAnsi" w:cstheme="minorHAnsi"/>
          <w:bCs/>
          <w:sz w:val="22"/>
          <w:szCs w:val="22"/>
        </w:rPr>
        <w:t> %</w:t>
      </w:r>
      <w:r w:rsidRPr="000F7953">
        <w:rPr>
          <w:rFonts w:asciiTheme="minorHAnsi" w:hAnsiTheme="minorHAnsi" w:cstheme="minorHAnsi"/>
          <w:bCs/>
          <w:sz w:val="22"/>
          <w:szCs w:val="22"/>
        </w:rPr>
        <w:t xml:space="preserve"> de las Partes Contratantes informan que se ha incluido la consideración de los humedales en sus estrategias y planes de acción nacionales en materia de biodiversidad (EPANB), y más del 70</w:t>
      </w:r>
      <w:r w:rsidR="005601CD" w:rsidRPr="000F7953">
        <w:rPr>
          <w:rFonts w:asciiTheme="minorHAnsi" w:hAnsiTheme="minorHAnsi" w:cstheme="minorHAnsi"/>
          <w:bCs/>
          <w:sz w:val="22"/>
          <w:szCs w:val="22"/>
        </w:rPr>
        <w:t> %</w:t>
      </w:r>
      <w:r w:rsidRPr="000F7953">
        <w:rPr>
          <w:rFonts w:asciiTheme="minorHAnsi" w:hAnsiTheme="minorHAnsi" w:cstheme="minorHAnsi"/>
          <w:bCs/>
          <w:sz w:val="22"/>
          <w:szCs w:val="22"/>
        </w:rPr>
        <w:t xml:space="preserve"> la han incluido en los planes de gestión de los recursos hídricos y de eficiencia hídrica. El 63</w:t>
      </w:r>
      <w:r w:rsidR="005601CD" w:rsidRPr="000F7953">
        <w:rPr>
          <w:rFonts w:asciiTheme="minorHAnsi" w:hAnsiTheme="minorHAnsi" w:cstheme="minorHAnsi"/>
          <w:bCs/>
          <w:sz w:val="22"/>
          <w:szCs w:val="22"/>
        </w:rPr>
        <w:t> %</w:t>
      </w:r>
      <w:r w:rsidRPr="000F7953">
        <w:rPr>
          <w:rFonts w:asciiTheme="minorHAnsi" w:hAnsiTheme="minorHAnsi" w:cstheme="minorHAnsi"/>
          <w:bCs/>
          <w:sz w:val="22"/>
          <w:szCs w:val="22"/>
        </w:rPr>
        <w:t xml:space="preserve"> de las Partes informan que tienen en cuenta los humedales en sus planes o estrategias de gestión forestal, un aumento en relación con el 50</w:t>
      </w:r>
      <w:r w:rsidR="005601CD" w:rsidRPr="000F7953">
        <w:rPr>
          <w:rFonts w:asciiTheme="minorHAnsi" w:hAnsiTheme="minorHAnsi" w:cstheme="minorHAnsi"/>
          <w:bCs/>
          <w:sz w:val="22"/>
          <w:szCs w:val="22"/>
        </w:rPr>
        <w:t> %</w:t>
      </w:r>
      <w:r w:rsidRPr="000F7953">
        <w:rPr>
          <w:rFonts w:asciiTheme="minorHAnsi" w:hAnsiTheme="minorHAnsi" w:cstheme="minorHAnsi"/>
          <w:bCs/>
          <w:sz w:val="22"/>
          <w:szCs w:val="22"/>
        </w:rPr>
        <w:t xml:space="preserve"> para la COP13. </w:t>
      </w:r>
    </w:p>
    <w:p w14:paraId="1848A119" w14:textId="77777777" w:rsidR="00190FF0" w:rsidRPr="000F7953" w:rsidRDefault="00190FF0" w:rsidP="000E3338">
      <w:pPr>
        <w:ind w:left="567" w:hanging="567"/>
        <w:rPr>
          <w:rFonts w:asciiTheme="minorHAnsi" w:hAnsiTheme="minorHAnsi" w:cstheme="minorHAnsi"/>
          <w:bCs/>
          <w:sz w:val="22"/>
          <w:szCs w:val="22"/>
          <w:lang w:eastAsia="fr-FR"/>
        </w:rPr>
      </w:pPr>
    </w:p>
    <w:p w14:paraId="63902DA8" w14:textId="79A94293" w:rsidR="00C069FB" w:rsidRPr="000F7953" w:rsidRDefault="00515041" w:rsidP="000E3338">
      <w:pPr>
        <w:ind w:left="567" w:hanging="567"/>
        <w:rPr>
          <w:rFonts w:asciiTheme="minorHAnsi" w:hAnsiTheme="minorHAnsi" w:cstheme="minorHAnsi"/>
          <w:bCs/>
          <w:sz w:val="22"/>
          <w:szCs w:val="22"/>
        </w:rPr>
      </w:pPr>
      <w:r w:rsidRPr="000F7953">
        <w:rPr>
          <w:rFonts w:asciiTheme="minorHAnsi" w:hAnsiTheme="minorHAnsi" w:cstheme="minorHAnsi"/>
          <w:bCs/>
          <w:sz w:val="22"/>
          <w:szCs w:val="22"/>
        </w:rPr>
        <w:t>11.</w:t>
      </w:r>
      <w:r w:rsidRPr="000F7953">
        <w:rPr>
          <w:rFonts w:asciiTheme="minorHAnsi" w:hAnsiTheme="minorHAnsi" w:cstheme="minorHAnsi"/>
          <w:bCs/>
          <w:sz w:val="22"/>
          <w:szCs w:val="22"/>
        </w:rPr>
        <w:tab/>
        <w:t xml:space="preserve">La integración de la protección, el uso racional y la restauración de los humedales es menor en las estrategias, planes y medidas de los sectores que tienen un impacto significativo en los humedales. Para la COP15, algo más de la mitad de las Partes Contratantes informan de la </w:t>
      </w:r>
      <w:r w:rsidRPr="000F7953">
        <w:rPr>
          <w:rFonts w:asciiTheme="minorHAnsi" w:hAnsiTheme="minorHAnsi" w:cstheme="minorHAnsi"/>
          <w:bCs/>
          <w:sz w:val="22"/>
          <w:szCs w:val="22"/>
        </w:rPr>
        <w:lastRenderedPageBreak/>
        <w:t>integración de la consideración de los humedales en las políticas o medidas nacionales sobre agricultura y en los planes nacionales de control y gestión de la contaminación, lo que supone un ligero aumento con respecto al periodo cubierto por el PE4. La consideración de los humedales en relación con el desarrollo urbano aumentó del 31</w:t>
      </w:r>
      <w:r w:rsidR="005601CD" w:rsidRPr="000F7953">
        <w:rPr>
          <w:rFonts w:asciiTheme="minorHAnsi" w:hAnsiTheme="minorHAnsi" w:cstheme="minorHAnsi"/>
          <w:bCs/>
          <w:sz w:val="22"/>
          <w:szCs w:val="22"/>
        </w:rPr>
        <w:t> %</w:t>
      </w:r>
      <w:r w:rsidRPr="000F7953">
        <w:rPr>
          <w:rFonts w:asciiTheme="minorHAnsi" w:hAnsiTheme="minorHAnsi" w:cstheme="minorHAnsi"/>
          <w:bCs/>
          <w:sz w:val="22"/>
          <w:szCs w:val="22"/>
        </w:rPr>
        <w:t xml:space="preserve"> de las Partes que informaron a la COP13 al 41</w:t>
      </w:r>
      <w:r w:rsidR="005601CD" w:rsidRPr="000F7953">
        <w:rPr>
          <w:rFonts w:asciiTheme="minorHAnsi" w:hAnsiTheme="minorHAnsi" w:cstheme="minorHAnsi"/>
          <w:bCs/>
          <w:sz w:val="22"/>
          <w:szCs w:val="22"/>
        </w:rPr>
        <w:t> %</w:t>
      </w:r>
      <w:r w:rsidRPr="000F7953">
        <w:rPr>
          <w:rFonts w:asciiTheme="minorHAnsi" w:hAnsiTheme="minorHAnsi" w:cstheme="minorHAnsi"/>
          <w:bCs/>
          <w:sz w:val="22"/>
          <w:szCs w:val="22"/>
        </w:rPr>
        <w:t xml:space="preserve"> de las Partes que informaron a la COP15, y en relación con la gestión de las aguas residuales y la calidad del agua, del 50</w:t>
      </w:r>
      <w:r w:rsidR="005601CD" w:rsidRPr="000F7953">
        <w:rPr>
          <w:rFonts w:asciiTheme="minorHAnsi" w:hAnsiTheme="minorHAnsi" w:cstheme="minorHAnsi"/>
          <w:bCs/>
          <w:sz w:val="22"/>
          <w:szCs w:val="22"/>
        </w:rPr>
        <w:t> %</w:t>
      </w:r>
      <w:r w:rsidRPr="000F7953">
        <w:rPr>
          <w:rFonts w:asciiTheme="minorHAnsi" w:hAnsiTheme="minorHAnsi" w:cstheme="minorHAnsi"/>
          <w:bCs/>
          <w:sz w:val="22"/>
          <w:szCs w:val="22"/>
        </w:rPr>
        <w:t xml:space="preserve"> en la COP13 al 63</w:t>
      </w:r>
      <w:r w:rsidR="005601CD" w:rsidRPr="000F7953">
        <w:rPr>
          <w:rFonts w:asciiTheme="minorHAnsi" w:hAnsiTheme="minorHAnsi" w:cstheme="minorHAnsi"/>
          <w:bCs/>
          <w:sz w:val="22"/>
          <w:szCs w:val="22"/>
        </w:rPr>
        <w:t> %</w:t>
      </w:r>
      <w:r w:rsidRPr="000F7953">
        <w:rPr>
          <w:rFonts w:asciiTheme="minorHAnsi" w:hAnsiTheme="minorHAnsi" w:cstheme="minorHAnsi"/>
          <w:bCs/>
          <w:sz w:val="22"/>
          <w:szCs w:val="22"/>
        </w:rPr>
        <w:t xml:space="preserve"> en la COP15. Los avances son más variables y, en general, menores en relación con otros sectores como las infraestructuras, la industria, la energía y la minería, con alrededor de un tercio de las Partes que informan de algunas acciones para la consideración de los humedales en las políticas y planes sectoriales, y alrededor de un tercio que tienen previsto hacerlo. </w:t>
      </w:r>
    </w:p>
    <w:p w14:paraId="02939ACB" w14:textId="77777777" w:rsidR="008A7203" w:rsidRPr="000F7953" w:rsidRDefault="008A7203" w:rsidP="000E3338">
      <w:pPr>
        <w:ind w:left="567" w:hanging="567"/>
        <w:rPr>
          <w:rFonts w:asciiTheme="minorHAnsi" w:hAnsiTheme="minorHAnsi" w:cstheme="minorHAnsi"/>
          <w:bCs/>
          <w:sz w:val="22"/>
          <w:szCs w:val="22"/>
          <w:lang w:eastAsia="fr-FR"/>
        </w:rPr>
      </w:pPr>
    </w:p>
    <w:p w14:paraId="593966E8" w14:textId="382C1B9F" w:rsidR="00AE6F2F" w:rsidRPr="000F7953" w:rsidRDefault="00515041" w:rsidP="000E3338">
      <w:pPr>
        <w:ind w:left="567" w:hanging="567"/>
        <w:rPr>
          <w:rFonts w:asciiTheme="minorHAnsi" w:hAnsiTheme="minorHAnsi" w:cstheme="minorHAnsi"/>
          <w:bCs/>
          <w:sz w:val="22"/>
          <w:szCs w:val="22"/>
        </w:rPr>
      </w:pPr>
      <w:r w:rsidRPr="000F7953">
        <w:rPr>
          <w:rFonts w:asciiTheme="minorHAnsi" w:hAnsiTheme="minorHAnsi" w:cstheme="minorHAnsi"/>
          <w:bCs/>
          <w:sz w:val="22"/>
          <w:szCs w:val="22"/>
        </w:rPr>
        <w:t>12.</w:t>
      </w:r>
      <w:r w:rsidRPr="000F7953">
        <w:rPr>
          <w:rFonts w:asciiTheme="minorHAnsi" w:hAnsiTheme="minorHAnsi" w:cstheme="minorHAnsi"/>
          <w:bCs/>
          <w:sz w:val="22"/>
          <w:szCs w:val="22"/>
        </w:rPr>
        <w:tab/>
        <w:t>En lo que respecta a las medidas que pueden apoyar la integración de los humedales en las estrategias y planes sectoriales, alrededor del 60</w:t>
      </w:r>
      <w:r w:rsidR="005601CD" w:rsidRPr="000F7953">
        <w:rPr>
          <w:rFonts w:asciiTheme="minorHAnsi" w:hAnsiTheme="minorHAnsi" w:cstheme="minorHAnsi"/>
          <w:bCs/>
          <w:sz w:val="22"/>
          <w:szCs w:val="22"/>
        </w:rPr>
        <w:t> %</w:t>
      </w:r>
      <w:r w:rsidRPr="000F7953">
        <w:rPr>
          <w:rFonts w:asciiTheme="minorHAnsi" w:hAnsiTheme="minorHAnsi" w:cstheme="minorHAnsi"/>
          <w:bCs/>
          <w:sz w:val="22"/>
          <w:szCs w:val="22"/>
        </w:rPr>
        <w:t xml:space="preserve"> de las Partes Contratantes cuentan con una política nacional en relación con los humedales o un instrumento equivalente que promueve el uso racional de los humedales, una cifra que se ha mantenido relativamente estable durante el periodo cubierto por el PE4. Alrededor del 70</w:t>
      </w:r>
      <w:r w:rsidR="005601CD" w:rsidRPr="000F7953">
        <w:rPr>
          <w:rFonts w:asciiTheme="minorHAnsi" w:hAnsiTheme="minorHAnsi" w:cstheme="minorHAnsi"/>
          <w:bCs/>
          <w:sz w:val="22"/>
          <w:szCs w:val="22"/>
        </w:rPr>
        <w:t> %</w:t>
      </w:r>
      <w:r w:rsidRPr="000F7953">
        <w:rPr>
          <w:rFonts w:asciiTheme="minorHAnsi" w:hAnsiTheme="minorHAnsi" w:cstheme="minorHAnsi"/>
          <w:bCs/>
          <w:sz w:val="22"/>
          <w:szCs w:val="22"/>
        </w:rPr>
        <w:t xml:space="preserve"> de las Partes han realizado evaluaciones completas o parciales de los beneficios y servicios de los ecosistemas proporcionados por los Humedales de Importancia Internacional y otros humedales. </w:t>
      </w:r>
    </w:p>
    <w:p w14:paraId="14E889F7" w14:textId="01313182" w:rsidR="00DE31BF" w:rsidRPr="000F7953" w:rsidRDefault="00DE31BF" w:rsidP="000E3338">
      <w:pPr>
        <w:ind w:left="567" w:hanging="567"/>
        <w:rPr>
          <w:rFonts w:asciiTheme="minorHAnsi" w:hAnsiTheme="minorHAnsi" w:cstheme="minorHAnsi"/>
          <w:bCs/>
          <w:sz w:val="22"/>
          <w:szCs w:val="22"/>
          <w:lang w:eastAsia="fr-FR"/>
        </w:rPr>
      </w:pPr>
    </w:p>
    <w:p w14:paraId="3BCA1A2B" w14:textId="3F33BDD2" w:rsidR="00A80E96" w:rsidRPr="000F7953" w:rsidRDefault="00515041" w:rsidP="000E3338">
      <w:pPr>
        <w:ind w:left="567" w:hanging="567"/>
        <w:rPr>
          <w:rFonts w:asciiTheme="minorHAnsi" w:hAnsiTheme="minorHAnsi" w:cstheme="minorHAnsi"/>
          <w:bCs/>
          <w:sz w:val="22"/>
          <w:szCs w:val="22"/>
        </w:rPr>
      </w:pPr>
      <w:r w:rsidRPr="000F7953">
        <w:rPr>
          <w:rFonts w:asciiTheme="minorHAnsi" w:hAnsiTheme="minorHAnsi" w:cstheme="minorHAnsi"/>
          <w:bCs/>
          <w:sz w:val="22"/>
          <w:szCs w:val="22"/>
        </w:rPr>
        <w:t>13.</w:t>
      </w:r>
      <w:r w:rsidRPr="000F7953">
        <w:rPr>
          <w:rFonts w:asciiTheme="minorHAnsi" w:hAnsiTheme="minorHAnsi" w:cstheme="minorHAnsi"/>
          <w:bCs/>
          <w:sz w:val="22"/>
          <w:szCs w:val="22"/>
        </w:rPr>
        <w:tab/>
        <w:t xml:space="preserve">Entre los obstáculos comunes que impiden una mayor consideración de los humedales en las estrategias y planes sectoriales se encuentran los problemas de gobernanza, la escasa coordinación entre instituciones y entre sectores, y las condiciones económicas. La aplicación se ve limitada por la escasa capacidad de ejecución, especialmente a nivel subnacional. Las Partes Contratantes de África citaron con frecuencia como principales obstáculos la limitada capacidad de aplicación y la escasez de recursos. Las Partes de Asia informaron de problemas relacionados con metas de conservación y desarrollo contrapuestas o en conflicto. </w:t>
      </w:r>
    </w:p>
    <w:p w14:paraId="3CCB7A8F" w14:textId="77777777" w:rsidR="008A7203" w:rsidRPr="000F7953" w:rsidRDefault="008A7203" w:rsidP="000E3338">
      <w:pPr>
        <w:ind w:left="567" w:hanging="567"/>
        <w:rPr>
          <w:rFonts w:asciiTheme="minorHAnsi" w:hAnsiTheme="minorHAnsi" w:cstheme="minorHAnsi"/>
          <w:bCs/>
          <w:sz w:val="22"/>
          <w:szCs w:val="22"/>
          <w:lang w:eastAsia="fr-FR"/>
        </w:rPr>
      </w:pPr>
    </w:p>
    <w:p w14:paraId="38C684D7" w14:textId="605DCA55" w:rsidR="00A23526" w:rsidRPr="000F7953" w:rsidRDefault="00515041" w:rsidP="000E3338">
      <w:pPr>
        <w:ind w:left="567" w:hanging="567"/>
        <w:rPr>
          <w:rFonts w:asciiTheme="minorHAnsi" w:hAnsiTheme="minorHAnsi" w:cstheme="minorHAnsi"/>
          <w:bCs/>
          <w:sz w:val="22"/>
          <w:szCs w:val="22"/>
        </w:rPr>
      </w:pPr>
      <w:r w:rsidRPr="000F7953">
        <w:rPr>
          <w:rFonts w:asciiTheme="minorHAnsi" w:hAnsiTheme="minorHAnsi" w:cstheme="minorHAnsi"/>
          <w:bCs/>
          <w:sz w:val="22"/>
          <w:szCs w:val="22"/>
        </w:rPr>
        <w:t>14.</w:t>
      </w:r>
      <w:r w:rsidRPr="000F7953">
        <w:rPr>
          <w:rFonts w:asciiTheme="minorHAnsi" w:hAnsiTheme="minorHAnsi" w:cstheme="minorHAnsi"/>
          <w:bCs/>
          <w:sz w:val="22"/>
          <w:szCs w:val="22"/>
        </w:rPr>
        <w:tab/>
        <w:t xml:space="preserve">Entre las posibles medidas para seguir avanzando en la consideración de los humedales en las políticas sectoriales identificadas por las Partes Contratantes en los informes nacionales se incluyen una mejor valoración de los humedales y de los servicios de los ecosistemas que estos proporcionan, el fomento de la cooperación interministerial y la prestación de apoyo técnico. </w:t>
      </w:r>
    </w:p>
    <w:p w14:paraId="6C983712" w14:textId="77777777" w:rsidR="003E59AF" w:rsidRPr="000F7953" w:rsidRDefault="003E59AF" w:rsidP="00D1463B">
      <w:pPr>
        <w:pStyle w:val="ListParagraph"/>
        <w:spacing w:after="0" w:line="240" w:lineRule="auto"/>
        <w:ind w:left="0"/>
        <w:contextualSpacing w:val="0"/>
        <w:rPr>
          <w:rFonts w:eastAsia="Times New Roman" w:cstheme="minorHAnsi"/>
          <w:bCs/>
          <w:lang w:eastAsia="fr-FR"/>
        </w:rPr>
      </w:pPr>
    </w:p>
    <w:p w14:paraId="79753803" w14:textId="77777777" w:rsidR="003E56FD" w:rsidRPr="000F7953" w:rsidRDefault="003E56FD" w:rsidP="00D1463B">
      <w:pPr>
        <w:pStyle w:val="ListParagraph"/>
        <w:spacing w:after="0" w:line="240" w:lineRule="auto"/>
        <w:ind w:left="0"/>
        <w:contextualSpacing w:val="0"/>
        <w:rPr>
          <w:rFonts w:eastAsia="Times New Roman" w:cstheme="minorHAnsi"/>
          <w:bCs/>
          <w:lang w:eastAsia="fr-FR"/>
        </w:rPr>
      </w:pPr>
    </w:p>
    <w:tbl>
      <w:tblPr>
        <w:tblStyle w:val="TableGrid16"/>
        <w:tblW w:w="9354" w:type="dxa"/>
        <w:tblLook w:val="04A0" w:firstRow="1" w:lastRow="0" w:firstColumn="1" w:lastColumn="0" w:noHBand="0" w:noVBand="1"/>
      </w:tblPr>
      <w:tblGrid>
        <w:gridCol w:w="9354"/>
      </w:tblGrid>
      <w:tr w:rsidR="00513FF5" w:rsidRPr="000F7953" w14:paraId="4B8ABD74" w14:textId="77777777" w:rsidTr="00C3536E">
        <w:tc>
          <w:tcPr>
            <w:tcW w:w="9354" w:type="dxa"/>
            <w:vAlign w:val="center"/>
          </w:tcPr>
          <w:p w14:paraId="484A9E7D" w14:textId="77777777" w:rsidR="00513FF5" w:rsidRPr="000F7953" w:rsidRDefault="00513FF5" w:rsidP="008A3659">
            <w:pPr>
              <w:keepNext/>
              <w:spacing w:before="120" w:after="120"/>
              <w:rPr>
                <w:rFonts w:asciiTheme="minorHAnsi" w:hAnsiTheme="minorHAnsi" w:cstheme="minorHAnsi"/>
                <w:b/>
                <w:sz w:val="22"/>
                <w:szCs w:val="22"/>
              </w:rPr>
            </w:pPr>
            <w:r w:rsidRPr="000F7953">
              <w:rPr>
                <w:rFonts w:asciiTheme="minorHAnsi" w:hAnsiTheme="minorHAnsi" w:cstheme="minorHAnsi"/>
                <w:b/>
                <w:sz w:val="22"/>
                <w:szCs w:val="22"/>
              </w:rPr>
              <w:t>Meta 2. El uso del agua respeta las necesidades de los ecosistemas de humedales para que estos puedan cumplir sus funciones y proporcionar servicios a la escala adecuada, por ejemplo, en una cuenca hidrográfica o una zona costera.</w:t>
            </w:r>
          </w:p>
          <w:p w14:paraId="09C7A828" w14:textId="28D2833B" w:rsidR="00513FF5" w:rsidRPr="000F7953" w:rsidRDefault="00E74AA0" w:rsidP="008A3659">
            <w:pPr>
              <w:keepNext/>
              <w:spacing w:before="120" w:after="120"/>
              <w:rPr>
                <w:rFonts w:asciiTheme="minorHAnsi" w:hAnsiTheme="minorHAnsi" w:cstheme="minorHAnsi"/>
                <w:bCs/>
                <w:sz w:val="22"/>
                <w:szCs w:val="22"/>
              </w:rPr>
            </w:pPr>
            <w:r w:rsidRPr="000F7953">
              <w:rPr>
                <w:rFonts w:asciiTheme="minorHAnsi" w:hAnsiTheme="minorHAnsi" w:cstheme="minorHAnsi"/>
                <w:bCs/>
                <w:sz w:val="22"/>
                <w:szCs w:val="22"/>
              </w:rPr>
              <w:t>Contribuye a las metas 7 y 10 del MMB-KM y a las metas 6.4, 6.5 y 6.6 de los ODS.</w:t>
            </w:r>
          </w:p>
        </w:tc>
      </w:tr>
    </w:tbl>
    <w:p w14:paraId="6CBB6A35" w14:textId="77777777" w:rsidR="00C818AD" w:rsidRPr="000F7953" w:rsidRDefault="00C818AD" w:rsidP="00D1463B">
      <w:pPr>
        <w:keepNext/>
        <w:rPr>
          <w:rFonts w:asciiTheme="minorHAnsi" w:hAnsiTheme="minorHAnsi" w:cstheme="minorHAnsi"/>
          <w:b/>
          <w:bCs/>
          <w:sz w:val="22"/>
          <w:szCs w:val="22"/>
        </w:rPr>
      </w:pPr>
    </w:p>
    <w:p w14:paraId="1D038ED9" w14:textId="58987B34" w:rsidR="007D0E6B" w:rsidRPr="000F7953" w:rsidRDefault="005F6639" w:rsidP="00CD3F6B">
      <w:pPr>
        <w:keepNext/>
        <w:keepLines/>
        <w:outlineLvl w:val="1"/>
        <w:rPr>
          <w:rFonts w:asciiTheme="minorHAnsi" w:hAnsiTheme="minorHAnsi" w:cstheme="minorHAnsi"/>
          <w:i/>
          <w:iCs/>
          <w:sz w:val="22"/>
          <w:szCs w:val="22"/>
          <w:u w:val="single"/>
        </w:rPr>
      </w:pPr>
      <w:r w:rsidRPr="000F7953">
        <w:rPr>
          <w:rFonts w:asciiTheme="minorHAnsi" w:hAnsiTheme="minorHAnsi" w:cstheme="minorHAnsi"/>
          <w:i/>
          <w:iCs/>
          <w:sz w:val="22"/>
          <w:szCs w:val="22"/>
          <w:u w:val="single"/>
        </w:rPr>
        <w:t xml:space="preserve">Mensaje clave </w:t>
      </w:r>
    </w:p>
    <w:p w14:paraId="674475D9" w14:textId="77777777" w:rsidR="00351DA3" w:rsidRPr="000F7953" w:rsidRDefault="00351DA3" w:rsidP="00CD3F6B">
      <w:pPr>
        <w:keepNext/>
        <w:keepLines/>
        <w:outlineLvl w:val="1"/>
        <w:rPr>
          <w:rFonts w:asciiTheme="minorHAnsi" w:hAnsiTheme="minorHAnsi" w:cstheme="minorHAnsi"/>
          <w:sz w:val="22"/>
          <w:szCs w:val="22"/>
        </w:rPr>
      </w:pPr>
    </w:p>
    <w:p w14:paraId="21871E6B" w14:textId="59FA2F28" w:rsidR="003E59AF" w:rsidRPr="000F7953" w:rsidRDefault="00515041" w:rsidP="000E3338">
      <w:pPr>
        <w:ind w:left="567" w:hanging="567"/>
        <w:rPr>
          <w:rFonts w:asciiTheme="minorHAnsi" w:hAnsiTheme="minorHAnsi" w:cstheme="minorHAnsi"/>
          <w:sz w:val="22"/>
          <w:szCs w:val="22"/>
        </w:rPr>
      </w:pPr>
      <w:r w:rsidRPr="000F7953">
        <w:rPr>
          <w:rFonts w:asciiTheme="minorHAnsi" w:hAnsiTheme="minorHAnsi" w:cstheme="minorHAnsi"/>
          <w:sz w:val="22"/>
          <w:szCs w:val="22"/>
        </w:rPr>
        <w:t>15.</w:t>
      </w:r>
      <w:r w:rsidRPr="000F7953">
        <w:rPr>
          <w:rFonts w:asciiTheme="minorHAnsi" w:hAnsiTheme="minorHAnsi" w:cstheme="minorHAnsi"/>
          <w:sz w:val="22"/>
          <w:szCs w:val="22"/>
        </w:rPr>
        <w:tab/>
        <w:t>Las medidas para garantizar que el uso del agua respete las necesidades de los ecosistemas de humedales han aumentado ligeramente. Se han realizado progresos modestos en relación con la integración de las consideraciones relativas a los humedales en los planes de gestión de los recursos hídricos y de eficiencia hídrica y en el uso de evaluaciones de los flujos ambientales. Los lineamientos de la Convención se utilizan y difunden cada vez más, y se observa un notable aumento de las intervenciones en proyectos que demuestran buenas prácticas en la asignación y gestión del agua.</w:t>
      </w:r>
    </w:p>
    <w:p w14:paraId="6E580E38" w14:textId="77777777" w:rsidR="00A338FF" w:rsidRPr="000F7953" w:rsidRDefault="00A338FF" w:rsidP="00CD3F6B">
      <w:pPr>
        <w:ind w:left="426" w:hanging="426"/>
        <w:rPr>
          <w:rFonts w:asciiTheme="minorHAnsi" w:hAnsiTheme="minorHAnsi" w:cstheme="minorHAnsi"/>
          <w:b/>
          <w:bCs/>
          <w:sz w:val="22"/>
          <w:szCs w:val="22"/>
        </w:rPr>
      </w:pPr>
    </w:p>
    <w:tbl>
      <w:tblPr>
        <w:tblStyle w:val="TableGrid22"/>
        <w:tblW w:w="9356" w:type="dxa"/>
        <w:tblLook w:val="04A0" w:firstRow="1" w:lastRow="0" w:firstColumn="1" w:lastColumn="0" w:noHBand="0" w:noVBand="1"/>
      </w:tblPr>
      <w:tblGrid>
        <w:gridCol w:w="4377"/>
        <w:gridCol w:w="1182"/>
        <w:gridCol w:w="820"/>
        <w:gridCol w:w="820"/>
        <w:gridCol w:w="820"/>
        <w:gridCol w:w="1337"/>
      </w:tblGrid>
      <w:tr w:rsidR="00107172" w:rsidRPr="000F7953" w14:paraId="34A6A76B" w14:textId="77777777" w:rsidTr="00C3536E">
        <w:trPr>
          <w:cantSplit/>
        </w:trPr>
        <w:tc>
          <w:tcPr>
            <w:tcW w:w="0" w:type="auto"/>
            <w:vAlign w:val="center"/>
            <w:hideMark/>
          </w:tcPr>
          <w:p w14:paraId="79043DF2" w14:textId="77777777" w:rsidR="00107172" w:rsidRPr="000F7953" w:rsidRDefault="00107172"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lastRenderedPageBreak/>
              <w:t>Indicador</w:t>
            </w:r>
          </w:p>
        </w:tc>
        <w:tc>
          <w:tcPr>
            <w:tcW w:w="0" w:type="auto"/>
            <w:vAlign w:val="center"/>
            <w:hideMark/>
          </w:tcPr>
          <w:p w14:paraId="730A5979" w14:textId="0E7FB906" w:rsidR="0007599D" w:rsidRPr="000F7953" w:rsidRDefault="0007599D"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Referencia</w:t>
            </w:r>
          </w:p>
        </w:tc>
        <w:tc>
          <w:tcPr>
            <w:tcW w:w="0" w:type="auto"/>
            <w:vAlign w:val="center"/>
            <w:hideMark/>
          </w:tcPr>
          <w:p w14:paraId="6F177EE0" w14:textId="77777777" w:rsidR="00107172" w:rsidRPr="000F7953" w:rsidRDefault="00107172"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COP13</w:t>
            </w:r>
          </w:p>
        </w:tc>
        <w:tc>
          <w:tcPr>
            <w:tcW w:w="0" w:type="auto"/>
            <w:vAlign w:val="center"/>
            <w:hideMark/>
          </w:tcPr>
          <w:p w14:paraId="736B4465" w14:textId="77777777" w:rsidR="00107172" w:rsidRPr="000F7953" w:rsidRDefault="00107172"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COP14</w:t>
            </w:r>
          </w:p>
        </w:tc>
        <w:tc>
          <w:tcPr>
            <w:tcW w:w="0" w:type="auto"/>
            <w:vAlign w:val="center"/>
            <w:hideMark/>
          </w:tcPr>
          <w:p w14:paraId="752BBB9E" w14:textId="77777777" w:rsidR="00107172" w:rsidRPr="000F7953" w:rsidRDefault="00107172"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COP15</w:t>
            </w:r>
          </w:p>
        </w:tc>
        <w:tc>
          <w:tcPr>
            <w:tcW w:w="0" w:type="auto"/>
            <w:vAlign w:val="center"/>
            <w:hideMark/>
          </w:tcPr>
          <w:p w14:paraId="29C99004" w14:textId="77777777" w:rsidR="00107172" w:rsidRPr="000F7953" w:rsidRDefault="00107172"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Tendencia</w:t>
            </w:r>
          </w:p>
        </w:tc>
      </w:tr>
      <w:tr w:rsidR="00107172" w:rsidRPr="000F7953" w14:paraId="1B2E34B6" w14:textId="77777777" w:rsidTr="00C3536E">
        <w:trPr>
          <w:cantSplit/>
        </w:trPr>
        <w:tc>
          <w:tcPr>
            <w:tcW w:w="0" w:type="auto"/>
          </w:tcPr>
          <w:p w14:paraId="78719606" w14:textId="77777777" w:rsidR="00107172" w:rsidRPr="000F7953" w:rsidRDefault="00107172" w:rsidP="00CD3F6B">
            <w:pPr>
              <w:rPr>
                <w:rFonts w:asciiTheme="minorHAnsi" w:eastAsia="Aptos" w:hAnsiTheme="minorHAnsi" w:cstheme="minorHAnsi"/>
                <w:sz w:val="22"/>
                <w:szCs w:val="22"/>
              </w:rPr>
            </w:pPr>
            <w:r w:rsidRPr="000F7953">
              <w:rPr>
                <w:rFonts w:asciiTheme="minorHAnsi" w:hAnsiTheme="minorHAnsi" w:cstheme="minorHAnsi"/>
                <w:sz w:val="22"/>
                <w:szCs w:val="22"/>
              </w:rPr>
              <w:t>Porcentaje de Partes que han incluido cuestiones relativas a los humedales en estrategias y procesos de planificación nacionales tales como planes de manejo de los recursos hídricos y planes de uso eficiente del agua.</w:t>
            </w:r>
          </w:p>
        </w:tc>
        <w:tc>
          <w:tcPr>
            <w:tcW w:w="0" w:type="auto"/>
          </w:tcPr>
          <w:p w14:paraId="55EE18B6" w14:textId="35849659" w:rsidR="00107172" w:rsidRPr="000F7953" w:rsidRDefault="00107172" w:rsidP="00195D2D">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70</w:t>
            </w:r>
            <w:r w:rsidR="005601CD" w:rsidRPr="000F7953">
              <w:rPr>
                <w:rFonts w:asciiTheme="minorHAnsi" w:hAnsiTheme="minorHAnsi" w:cstheme="minorHAnsi"/>
                <w:b/>
                <w:bCs/>
                <w:sz w:val="22"/>
                <w:szCs w:val="22"/>
              </w:rPr>
              <w:t> %</w:t>
            </w:r>
          </w:p>
        </w:tc>
        <w:tc>
          <w:tcPr>
            <w:tcW w:w="0" w:type="auto"/>
          </w:tcPr>
          <w:p w14:paraId="2A36D689" w14:textId="25A90106" w:rsidR="00107172" w:rsidRPr="000F7953" w:rsidRDefault="00107172" w:rsidP="00195D2D">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59</w:t>
            </w:r>
            <w:r w:rsidR="005601CD" w:rsidRPr="000F7953">
              <w:rPr>
                <w:rFonts w:asciiTheme="minorHAnsi" w:hAnsiTheme="minorHAnsi" w:cstheme="minorHAnsi"/>
                <w:b/>
                <w:bCs/>
                <w:sz w:val="22"/>
                <w:szCs w:val="22"/>
              </w:rPr>
              <w:t> %</w:t>
            </w:r>
          </w:p>
        </w:tc>
        <w:tc>
          <w:tcPr>
            <w:tcW w:w="0" w:type="auto"/>
          </w:tcPr>
          <w:p w14:paraId="14D10623" w14:textId="0E462E26" w:rsidR="00107172" w:rsidRPr="000F7953" w:rsidRDefault="00107172" w:rsidP="00195D2D">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66</w:t>
            </w:r>
            <w:r w:rsidR="005601CD" w:rsidRPr="000F7953">
              <w:rPr>
                <w:rFonts w:asciiTheme="minorHAnsi" w:hAnsiTheme="minorHAnsi" w:cstheme="minorHAnsi"/>
                <w:b/>
                <w:bCs/>
                <w:sz w:val="22"/>
                <w:szCs w:val="22"/>
              </w:rPr>
              <w:t> %</w:t>
            </w:r>
          </w:p>
        </w:tc>
        <w:tc>
          <w:tcPr>
            <w:tcW w:w="0" w:type="auto"/>
          </w:tcPr>
          <w:p w14:paraId="31E52151" w14:textId="04A615E2" w:rsidR="00107172" w:rsidRPr="000F7953" w:rsidRDefault="00107172" w:rsidP="00195D2D">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71</w:t>
            </w:r>
            <w:r w:rsidR="005601CD" w:rsidRPr="000F7953">
              <w:rPr>
                <w:rFonts w:asciiTheme="minorHAnsi" w:hAnsiTheme="minorHAnsi" w:cstheme="minorHAnsi"/>
                <w:b/>
                <w:bCs/>
                <w:sz w:val="22"/>
                <w:szCs w:val="22"/>
              </w:rPr>
              <w:t> %</w:t>
            </w:r>
          </w:p>
        </w:tc>
        <w:tc>
          <w:tcPr>
            <w:tcW w:w="0" w:type="auto"/>
          </w:tcPr>
          <w:p w14:paraId="3E3BE788" w14:textId="68D1F12A" w:rsidR="00107172" w:rsidRPr="000F7953" w:rsidRDefault="00C9076E" w:rsidP="00CD3F6B">
            <w:pPr>
              <w:rPr>
                <w:rFonts w:asciiTheme="minorHAnsi" w:eastAsia="Aptos" w:hAnsiTheme="minorHAnsi" w:cstheme="minorHAnsi"/>
                <w:sz w:val="22"/>
                <w:szCs w:val="22"/>
              </w:rPr>
            </w:pPr>
            <w:r w:rsidRPr="000F7953">
              <w:rPr>
                <w:rFonts w:asciiTheme="minorHAnsi" w:hAnsiTheme="minorHAnsi" w:cstheme="minorHAnsi"/>
                <w:noProof/>
                <w:sz w:val="22"/>
                <w:szCs w:val="22"/>
              </w:rPr>
              <w:drawing>
                <wp:inline distT="0" distB="0" distL="0" distR="0" wp14:anchorId="414FC3F6" wp14:editId="2C1D812C">
                  <wp:extent cx="712200" cy="432000"/>
                  <wp:effectExtent l="0" t="0" r="0" b="0"/>
                  <wp:docPr id="6611099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bl>
    <w:p w14:paraId="4A18DF2C" w14:textId="77777777" w:rsidR="00D1463B" w:rsidRPr="000F7953" w:rsidRDefault="00D1463B" w:rsidP="00CD3F6B">
      <w:pPr>
        <w:rPr>
          <w:rFonts w:asciiTheme="minorHAnsi" w:hAnsiTheme="minorHAnsi" w:cstheme="minorHAnsi"/>
          <w:i/>
          <w:iCs/>
          <w:sz w:val="22"/>
          <w:szCs w:val="22"/>
          <w:u w:val="single"/>
        </w:rPr>
      </w:pPr>
    </w:p>
    <w:p w14:paraId="11F00F2A" w14:textId="63F68B20" w:rsidR="00785AB8" w:rsidRPr="000F7953" w:rsidRDefault="00C818AD" w:rsidP="00D1463B">
      <w:pPr>
        <w:keepNext/>
        <w:rPr>
          <w:rFonts w:asciiTheme="minorHAnsi" w:hAnsiTheme="minorHAnsi" w:cstheme="minorHAnsi"/>
          <w:i/>
          <w:iCs/>
          <w:sz w:val="22"/>
          <w:szCs w:val="22"/>
          <w:u w:val="single"/>
        </w:rPr>
      </w:pPr>
      <w:r w:rsidRPr="000F7953">
        <w:rPr>
          <w:rFonts w:asciiTheme="minorHAnsi" w:hAnsiTheme="minorHAnsi" w:cstheme="minorHAnsi"/>
          <w:i/>
          <w:iCs/>
          <w:sz w:val="22"/>
          <w:szCs w:val="22"/>
          <w:u w:val="single"/>
        </w:rPr>
        <w:t xml:space="preserve">Resumen de los progresos realizados </w:t>
      </w:r>
    </w:p>
    <w:p w14:paraId="19FD2873" w14:textId="77777777" w:rsidR="00D1463B" w:rsidRPr="000F7953" w:rsidRDefault="00D1463B" w:rsidP="00D1463B">
      <w:pPr>
        <w:keepNext/>
        <w:ind w:left="426" w:hanging="426"/>
        <w:rPr>
          <w:rFonts w:asciiTheme="minorHAnsi" w:hAnsiTheme="minorHAnsi" w:cstheme="minorHAnsi"/>
          <w:sz w:val="22"/>
          <w:szCs w:val="22"/>
        </w:rPr>
      </w:pPr>
    </w:p>
    <w:p w14:paraId="2440FFDB" w14:textId="212AB043" w:rsidR="004B3B2E" w:rsidRPr="000F7953" w:rsidRDefault="00515041" w:rsidP="000E3338">
      <w:pPr>
        <w:ind w:left="567" w:hanging="567"/>
        <w:rPr>
          <w:rFonts w:asciiTheme="minorHAnsi" w:hAnsiTheme="minorHAnsi" w:cstheme="minorHAnsi"/>
          <w:sz w:val="22"/>
          <w:szCs w:val="22"/>
        </w:rPr>
      </w:pPr>
      <w:r w:rsidRPr="000F7953">
        <w:rPr>
          <w:rFonts w:asciiTheme="minorHAnsi" w:hAnsiTheme="minorHAnsi" w:cstheme="minorHAnsi"/>
          <w:sz w:val="22"/>
          <w:szCs w:val="22"/>
        </w:rPr>
        <w:t>16.</w:t>
      </w:r>
      <w:r w:rsidRPr="000F7953">
        <w:rPr>
          <w:rFonts w:asciiTheme="minorHAnsi" w:hAnsiTheme="minorHAnsi" w:cstheme="minorHAnsi"/>
          <w:sz w:val="22"/>
          <w:szCs w:val="22"/>
        </w:rPr>
        <w:tab/>
      </w:r>
      <w:r w:rsidRPr="000F7953">
        <w:rPr>
          <w:rFonts w:asciiTheme="minorHAnsi" w:hAnsiTheme="minorHAnsi" w:cstheme="minorHAnsi"/>
        </w:rPr>
        <w:t>Para la COP15, el 33</w:t>
      </w:r>
      <w:r w:rsidR="005601CD" w:rsidRPr="000F7953">
        <w:rPr>
          <w:rFonts w:asciiTheme="minorHAnsi" w:hAnsiTheme="minorHAnsi" w:cstheme="minorHAnsi"/>
        </w:rPr>
        <w:t> %</w:t>
      </w:r>
      <w:r w:rsidRPr="000F7953">
        <w:rPr>
          <w:rFonts w:asciiTheme="minorHAnsi" w:hAnsiTheme="minorHAnsi" w:cstheme="minorHAnsi"/>
        </w:rPr>
        <w:t xml:space="preserve"> de las Partes Contratantes informan que han utilizado los lineamientos de la Convención para la asignación y el manejo del agua a fin de mantener las funciones ecológicas de los humedales en los procesos de toma de decisiones, y un 38</w:t>
      </w:r>
      <w:r w:rsidR="005601CD" w:rsidRPr="000F7953">
        <w:rPr>
          <w:rFonts w:asciiTheme="minorHAnsi" w:hAnsiTheme="minorHAnsi" w:cstheme="minorHAnsi"/>
        </w:rPr>
        <w:t> %</w:t>
      </w:r>
      <w:r w:rsidRPr="000F7953">
        <w:rPr>
          <w:rFonts w:asciiTheme="minorHAnsi" w:hAnsiTheme="minorHAnsi" w:cstheme="minorHAnsi"/>
        </w:rPr>
        <w:t xml:space="preserve"> informa de un uso parcial de dichos lineamientos.</w:t>
      </w:r>
      <w:r w:rsidRPr="000F7953">
        <w:rPr>
          <w:rFonts w:asciiTheme="minorHAnsi" w:hAnsiTheme="minorHAnsi" w:cstheme="minorHAnsi"/>
          <w:sz w:val="22"/>
          <w:szCs w:val="22"/>
        </w:rPr>
        <w:t xml:space="preserve"> Esta cifra es notablemente inferior en África y Oceanía que en otras regiones. Más del 80</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de las Partes han señalado estos lineamientos a la atención de al menos algunos ministerios y organismos pertinentes. </w:t>
      </w:r>
    </w:p>
    <w:p w14:paraId="58A88D17" w14:textId="77777777" w:rsidR="009904B3" w:rsidRPr="000F7953" w:rsidRDefault="009904B3" w:rsidP="000E3338">
      <w:pPr>
        <w:ind w:left="567" w:hanging="567"/>
        <w:rPr>
          <w:rFonts w:asciiTheme="minorHAnsi" w:hAnsiTheme="minorHAnsi" w:cstheme="minorHAnsi"/>
          <w:sz w:val="22"/>
          <w:szCs w:val="22"/>
        </w:rPr>
      </w:pPr>
    </w:p>
    <w:p w14:paraId="1728B730" w14:textId="68D4ABBD" w:rsidR="00CC156A" w:rsidRPr="000F7953" w:rsidRDefault="00515041" w:rsidP="000E3338">
      <w:pPr>
        <w:ind w:left="567" w:hanging="567"/>
        <w:rPr>
          <w:rFonts w:asciiTheme="minorHAnsi" w:hAnsiTheme="minorHAnsi" w:cstheme="minorHAnsi"/>
          <w:sz w:val="22"/>
          <w:szCs w:val="22"/>
        </w:rPr>
      </w:pPr>
      <w:r w:rsidRPr="000F7953">
        <w:rPr>
          <w:rFonts w:asciiTheme="minorHAnsi" w:hAnsiTheme="minorHAnsi" w:cstheme="minorHAnsi"/>
          <w:sz w:val="22"/>
          <w:szCs w:val="22"/>
        </w:rPr>
        <w:t>17.</w:t>
      </w:r>
      <w:r w:rsidRPr="000F7953">
        <w:rPr>
          <w:rFonts w:asciiTheme="minorHAnsi" w:hAnsiTheme="minorHAnsi" w:cstheme="minorHAnsi"/>
          <w:sz w:val="22"/>
          <w:szCs w:val="22"/>
        </w:rPr>
        <w:tab/>
        <w:t>El 30</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de las Partes Contratantes informan que han llevado a cabo una evaluación de los flujos ambientales en relación con la mitigación de los impactos en las características ecológicas de los humedales, y un 45</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lo ha hecho parcialmente, lo que supone un modesto aumento en relación con los últimos tres trienios. </w:t>
      </w:r>
    </w:p>
    <w:p w14:paraId="231D6707" w14:textId="77777777" w:rsidR="009904B3" w:rsidRPr="000F7953" w:rsidRDefault="009904B3" w:rsidP="000E3338">
      <w:pPr>
        <w:ind w:left="567" w:hanging="567"/>
        <w:rPr>
          <w:rFonts w:asciiTheme="minorHAnsi" w:hAnsiTheme="minorHAnsi" w:cstheme="minorHAnsi"/>
          <w:sz w:val="22"/>
          <w:szCs w:val="22"/>
        </w:rPr>
      </w:pPr>
    </w:p>
    <w:p w14:paraId="6B0955D3" w14:textId="725AB6D5" w:rsidR="00785AB8" w:rsidRPr="000F7953" w:rsidRDefault="00515041" w:rsidP="000E3338">
      <w:pPr>
        <w:ind w:left="567" w:hanging="567"/>
        <w:rPr>
          <w:rFonts w:asciiTheme="minorHAnsi" w:hAnsiTheme="minorHAnsi" w:cstheme="minorHAnsi"/>
          <w:sz w:val="22"/>
          <w:szCs w:val="22"/>
        </w:rPr>
      </w:pPr>
      <w:r w:rsidRPr="000F7953">
        <w:rPr>
          <w:rFonts w:asciiTheme="minorHAnsi" w:hAnsiTheme="minorHAnsi" w:cstheme="minorHAnsi"/>
          <w:sz w:val="22"/>
          <w:szCs w:val="22"/>
        </w:rPr>
        <w:t>18.</w:t>
      </w:r>
      <w:r w:rsidRPr="000F7953">
        <w:rPr>
          <w:rFonts w:asciiTheme="minorHAnsi" w:hAnsiTheme="minorHAnsi" w:cstheme="minorHAnsi"/>
          <w:sz w:val="22"/>
          <w:szCs w:val="22"/>
        </w:rPr>
        <w:tab/>
        <w:t>Hay un aumento significativo de proyectos que demuestran buenas prácticas en la asignación y gestión del agua, notificados por el 44</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de las Partes Contratantes para la COP13 y el 65</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de las Partes para la COP15. También se utilizan cada vez más los humedales artificiales para el tratamiento de aguas residuales, aunque su adopción varía según el país y depende de factores como los costes, los requisitos en materia de infraestructura y la viabilidad. </w:t>
      </w:r>
    </w:p>
    <w:p w14:paraId="06476143" w14:textId="77777777" w:rsidR="00785AB8" w:rsidRPr="000F7953" w:rsidRDefault="00785AB8" w:rsidP="000E3338">
      <w:pPr>
        <w:ind w:left="567" w:hanging="567"/>
        <w:rPr>
          <w:rFonts w:asciiTheme="minorHAnsi" w:hAnsiTheme="minorHAnsi" w:cstheme="minorHAnsi"/>
          <w:sz w:val="22"/>
          <w:szCs w:val="22"/>
        </w:rPr>
      </w:pPr>
    </w:p>
    <w:p w14:paraId="35F8C5F0" w14:textId="6DDB265C" w:rsidR="001C426D" w:rsidRPr="000F7953" w:rsidRDefault="00515041" w:rsidP="000E3338">
      <w:pPr>
        <w:ind w:left="567" w:hanging="567"/>
        <w:rPr>
          <w:rFonts w:asciiTheme="minorHAnsi" w:hAnsiTheme="minorHAnsi" w:cstheme="minorHAnsi"/>
          <w:sz w:val="22"/>
          <w:szCs w:val="22"/>
        </w:rPr>
      </w:pPr>
      <w:r w:rsidRPr="000F7953">
        <w:rPr>
          <w:rFonts w:asciiTheme="minorHAnsi" w:hAnsiTheme="minorHAnsi" w:cstheme="minorHAnsi"/>
          <w:sz w:val="22"/>
          <w:szCs w:val="22"/>
        </w:rPr>
        <w:t>19.</w:t>
      </w:r>
      <w:r w:rsidRPr="000F7953">
        <w:rPr>
          <w:rFonts w:asciiTheme="minorHAnsi" w:hAnsiTheme="minorHAnsi" w:cstheme="minorHAnsi"/>
          <w:sz w:val="22"/>
          <w:szCs w:val="22"/>
        </w:rPr>
        <w:tab/>
        <w:t xml:space="preserve">Entre los obstáculos identificados figuran la limitada capacidad técnica, las restricciones para la financiación y la escasa coordinación intersectorial. Se identificó la necesidad de más ayuda financiera y de fomento de capacidades específicas, por ejemplo, en relación con las evaluaciones de los flujos ambientales y los humedales artificiales. Varias Partes Contratantes señalaron que los lineamientos existentes no se aplican de forma coherente a nivel local, e identificaron la necesidad de seguir desarrollando sistemas de seguimiento de la aplicación de las políticas sobre el terreno. </w:t>
      </w:r>
    </w:p>
    <w:p w14:paraId="5213F829" w14:textId="03B47BB5" w:rsidR="0012795C" w:rsidRPr="000F7953" w:rsidRDefault="0012795C" w:rsidP="00CD3F6B">
      <w:pPr>
        <w:rPr>
          <w:rFonts w:asciiTheme="minorHAnsi" w:hAnsiTheme="minorHAnsi" w:cstheme="minorHAnsi"/>
          <w:bCs/>
          <w:sz w:val="22"/>
          <w:szCs w:val="22"/>
          <w:lang w:eastAsia="fr-FR"/>
        </w:rPr>
      </w:pPr>
    </w:p>
    <w:p w14:paraId="3138AB2E" w14:textId="77777777" w:rsidR="003E56FD" w:rsidRPr="000F7953" w:rsidRDefault="003E56FD" w:rsidP="00CD3F6B">
      <w:pPr>
        <w:rPr>
          <w:rFonts w:asciiTheme="minorHAnsi" w:hAnsiTheme="minorHAnsi" w:cstheme="minorHAnsi"/>
          <w:bCs/>
          <w:sz w:val="22"/>
          <w:szCs w:val="22"/>
          <w:lang w:eastAsia="fr-FR"/>
        </w:rPr>
      </w:pPr>
    </w:p>
    <w:tbl>
      <w:tblPr>
        <w:tblStyle w:val="TableGrid16"/>
        <w:tblW w:w="9356" w:type="dxa"/>
        <w:tblLook w:val="04A0" w:firstRow="1" w:lastRow="0" w:firstColumn="1" w:lastColumn="0" w:noHBand="0" w:noVBand="1"/>
      </w:tblPr>
      <w:tblGrid>
        <w:gridCol w:w="9356"/>
      </w:tblGrid>
      <w:tr w:rsidR="00BB3D72" w:rsidRPr="000F7953" w14:paraId="43498D06" w14:textId="77777777" w:rsidTr="00C3536E">
        <w:tc>
          <w:tcPr>
            <w:tcW w:w="0" w:type="auto"/>
            <w:vAlign w:val="center"/>
          </w:tcPr>
          <w:p w14:paraId="5C5E8C49" w14:textId="77777777" w:rsidR="00647E2C" w:rsidRPr="000F7953" w:rsidRDefault="00BB3D72" w:rsidP="008A3659">
            <w:pPr>
              <w:keepNext/>
              <w:spacing w:before="120" w:after="120"/>
              <w:rPr>
                <w:rFonts w:asciiTheme="minorHAnsi" w:hAnsiTheme="minorHAnsi" w:cstheme="minorHAnsi"/>
                <w:b/>
                <w:sz w:val="22"/>
                <w:szCs w:val="22"/>
              </w:rPr>
            </w:pPr>
            <w:r w:rsidRPr="000F7953">
              <w:rPr>
                <w:rFonts w:asciiTheme="minorHAnsi" w:hAnsiTheme="minorHAnsi" w:cstheme="minorHAnsi"/>
                <w:b/>
                <w:sz w:val="22"/>
                <w:szCs w:val="22"/>
              </w:rPr>
              <w:t xml:space="preserve">Meta 3. </w:t>
            </w:r>
            <w:r w:rsidRPr="000F7953">
              <w:rPr>
                <w:rFonts w:asciiTheme="minorHAnsi" w:hAnsiTheme="minorHAnsi" w:cstheme="minorHAnsi"/>
                <w:b/>
                <w:bCs/>
              </w:rPr>
              <w:t>Los sectores público y privado han aumentado sus esfuerzos para aplicar lineamientos y buenas prácticas para el uso racional del agua y de los humedales.</w:t>
            </w:r>
            <w:r w:rsidRPr="000F7953">
              <w:rPr>
                <w:rFonts w:asciiTheme="minorHAnsi" w:hAnsiTheme="minorHAnsi" w:cstheme="minorHAnsi"/>
                <w:b/>
                <w:sz w:val="22"/>
                <w:szCs w:val="22"/>
              </w:rPr>
              <w:t xml:space="preserve"> </w:t>
            </w:r>
          </w:p>
          <w:p w14:paraId="08DDE291" w14:textId="2E9B84D0" w:rsidR="00BB3D72" w:rsidRPr="000F7953" w:rsidRDefault="00CE7B4B" w:rsidP="008A3659">
            <w:pPr>
              <w:keepNext/>
              <w:spacing w:before="120" w:after="120"/>
              <w:rPr>
                <w:rFonts w:asciiTheme="minorHAnsi" w:hAnsiTheme="minorHAnsi" w:cstheme="minorHAnsi"/>
                <w:bCs/>
                <w:sz w:val="22"/>
                <w:szCs w:val="22"/>
              </w:rPr>
            </w:pPr>
            <w:r w:rsidRPr="000F7953">
              <w:rPr>
                <w:rFonts w:asciiTheme="minorHAnsi" w:hAnsiTheme="minorHAnsi" w:cstheme="minorHAnsi"/>
                <w:bCs/>
                <w:sz w:val="22"/>
                <w:szCs w:val="22"/>
              </w:rPr>
              <w:t>Contribuye a las metas 7, 10, 15, 16 y 18 del MMB-KM; y a las metas 2.3, 2.5, 3.9, 6.3, 6.4, 6.5, 6.6, 6.a, 6.b, 8.4, 9.1, 9.5, 11.4, 11.5, 11.6, 11.7, 12.2, 12.6, 14.1, 14.2, 14.3, 14.4, 14.5, 14.7, 14.b, 15.1, 15.2, 15.3, 15.4, 15.5, 15.6 y 15.7.</w:t>
            </w:r>
          </w:p>
        </w:tc>
      </w:tr>
    </w:tbl>
    <w:p w14:paraId="0F07E54B" w14:textId="77777777" w:rsidR="00EC3B50" w:rsidRPr="000F7953" w:rsidRDefault="00EC3B50" w:rsidP="00D1463B">
      <w:pPr>
        <w:keepNext/>
        <w:rPr>
          <w:rFonts w:asciiTheme="minorHAnsi" w:hAnsiTheme="minorHAnsi" w:cstheme="minorHAnsi"/>
          <w:sz w:val="22"/>
          <w:szCs w:val="22"/>
        </w:rPr>
      </w:pPr>
    </w:p>
    <w:p w14:paraId="515433B3" w14:textId="2A580D6D" w:rsidR="0012795C" w:rsidRPr="000F7953" w:rsidRDefault="0012795C" w:rsidP="00D1463B">
      <w:pPr>
        <w:keepNext/>
        <w:rPr>
          <w:rFonts w:asciiTheme="minorHAnsi" w:hAnsiTheme="minorHAnsi" w:cstheme="minorHAnsi"/>
          <w:i/>
          <w:iCs/>
          <w:sz w:val="22"/>
          <w:szCs w:val="22"/>
          <w:u w:val="single"/>
        </w:rPr>
      </w:pPr>
      <w:r w:rsidRPr="000F7953">
        <w:rPr>
          <w:rFonts w:asciiTheme="minorHAnsi" w:hAnsiTheme="minorHAnsi" w:cstheme="minorHAnsi"/>
          <w:i/>
          <w:iCs/>
          <w:sz w:val="22"/>
          <w:szCs w:val="22"/>
          <w:u w:val="single"/>
        </w:rPr>
        <w:t xml:space="preserve">Mensaje clave </w:t>
      </w:r>
    </w:p>
    <w:p w14:paraId="76546A34" w14:textId="77777777" w:rsidR="00745BD7" w:rsidRPr="000F7953" w:rsidRDefault="00745BD7" w:rsidP="00D1463B">
      <w:pPr>
        <w:keepNext/>
        <w:rPr>
          <w:rFonts w:asciiTheme="minorHAnsi" w:hAnsiTheme="minorHAnsi" w:cstheme="minorHAnsi"/>
          <w:sz w:val="22"/>
          <w:szCs w:val="22"/>
        </w:rPr>
      </w:pPr>
    </w:p>
    <w:p w14:paraId="448463EA" w14:textId="2F1FE1AA" w:rsidR="001B3523" w:rsidRPr="000F7953" w:rsidRDefault="00515041" w:rsidP="000E3338">
      <w:pPr>
        <w:ind w:left="567" w:hanging="567"/>
        <w:rPr>
          <w:rFonts w:asciiTheme="minorHAnsi" w:hAnsiTheme="minorHAnsi" w:cstheme="minorHAnsi"/>
          <w:sz w:val="22"/>
          <w:szCs w:val="22"/>
        </w:rPr>
      </w:pPr>
      <w:r w:rsidRPr="000F7953">
        <w:rPr>
          <w:rFonts w:asciiTheme="minorHAnsi" w:hAnsiTheme="minorHAnsi" w:cstheme="minorHAnsi"/>
          <w:sz w:val="22"/>
          <w:szCs w:val="22"/>
        </w:rPr>
        <w:t>20.</w:t>
      </w:r>
      <w:r w:rsidRPr="000F7953">
        <w:rPr>
          <w:rFonts w:asciiTheme="minorHAnsi" w:hAnsiTheme="minorHAnsi" w:cstheme="minorHAnsi"/>
          <w:sz w:val="22"/>
          <w:szCs w:val="22"/>
        </w:rPr>
        <w:tab/>
        <w:t>Más del 75</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de las Partes Contratantes cuentan con comités nacionales de humedales intersectoriales en funcionamiento u órganos equivalentes. Se observan algunos avances en la eliminación de los incentivos que conducen a la degradación y pérdida de humedales en favor </w:t>
      </w:r>
      <w:r w:rsidRPr="000F7953">
        <w:rPr>
          <w:rFonts w:asciiTheme="minorHAnsi" w:hAnsiTheme="minorHAnsi" w:cstheme="minorHAnsi"/>
          <w:sz w:val="22"/>
          <w:szCs w:val="22"/>
        </w:rPr>
        <w:lastRenderedPageBreak/>
        <w:t xml:space="preserve">de incentivos y políticas para alentar al sector privado a aplicar principios de uso racional, pero muchas Partes señalan problemas relacionados con la gobernanza, la coordinación y los intereses económicos. </w:t>
      </w:r>
    </w:p>
    <w:p w14:paraId="1D75FBD5" w14:textId="77777777" w:rsidR="00A338FF" w:rsidRPr="000F7953" w:rsidRDefault="00A338FF" w:rsidP="00CD3F6B">
      <w:pPr>
        <w:ind w:left="426" w:hanging="426"/>
        <w:rPr>
          <w:rFonts w:asciiTheme="minorHAnsi" w:hAnsiTheme="minorHAnsi" w:cstheme="minorHAnsi"/>
          <w:sz w:val="22"/>
          <w:szCs w:val="22"/>
        </w:rPr>
      </w:pPr>
    </w:p>
    <w:tbl>
      <w:tblPr>
        <w:tblStyle w:val="TableGrid23"/>
        <w:tblW w:w="9356" w:type="dxa"/>
        <w:tblInd w:w="-5" w:type="dxa"/>
        <w:tblLayout w:type="fixed"/>
        <w:tblLook w:val="04A0" w:firstRow="1" w:lastRow="0" w:firstColumn="1" w:lastColumn="0" w:noHBand="0" w:noVBand="1"/>
      </w:tblPr>
      <w:tblGrid>
        <w:gridCol w:w="4253"/>
        <w:gridCol w:w="992"/>
        <w:gridCol w:w="850"/>
        <w:gridCol w:w="851"/>
        <w:gridCol w:w="851"/>
        <w:gridCol w:w="1559"/>
      </w:tblGrid>
      <w:tr w:rsidR="00107172" w:rsidRPr="000F7953" w14:paraId="6C47AFF7" w14:textId="77777777" w:rsidTr="00506589">
        <w:trPr>
          <w:cantSplit/>
        </w:trPr>
        <w:tc>
          <w:tcPr>
            <w:tcW w:w="4253" w:type="dxa"/>
            <w:vAlign w:val="center"/>
            <w:hideMark/>
          </w:tcPr>
          <w:p w14:paraId="356C4422" w14:textId="77777777" w:rsidR="00107172" w:rsidRPr="000F7953" w:rsidRDefault="00107172" w:rsidP="0078307B">
            <w:pPr>
              <w:keepNext/>
              <w:jc w:val="center"/>
              <w:rPr>
                <w:rFonts w:asciiTheme="minorHAnsi" w:eastAsia="Aptos" w:hAnsiTheme="minorHAnsi" w:cstheme="minorHAnsi"/>
                <w:b/>
                <w:bCs/>
                <w:sz w:val="22"/>
                <w:szCs w:val="22"/>
              </w:rPr>
            </w:pPr>
            <w:bookmarkStart w:id="1" w:name="_Hlk193298771"/>
            <w:r w:rsidRPr="000F7953">
              <w:rPr>
                <w:rFonts w:asciiTheme="minorHAnsi" w:hAnsiTheme="minorHAnsi" w:cstheme="minorHAnsi"/>
                <w:b/>
                <w:bCs/>
                <w:sz w:val="22"/>
                <w:szCs w:val="22"/>
              </w:rPr>
              <w:t>Indicador</w:t>
            </w:r>
          </w:p>
        </w:tc>
        <w:tc>
          <w:tcPr>
            <w:tcW w:w="992" w:type="dxa"/>
            <w:vAlign w:val="center"/>
            <w:hideMark/>
          </w:tcPr>
          <w:p w14:paraId="342DF4D5" w14:textId="21BFEF22" w:rsidR="0091225F" w:rsidRPr="000F7953" w:rsidRDefault="0091225F"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Referencia</w:t>
            </w:r>
          </w:p>
        </w:tc>
        <w:tc>
          <w:tcPr>
            <w:tcW w:w="850" w:type="dxa"/>
            <w:vAlign w:val="center"/>
            <w:hideMark/>
          </w:tcPr>
          <w:p w14:paraId="6216512A" w14:textId="77777777" w:rsidR="00107172" w:rsidRPr="000F7953" w:rsidRDefault="00107172"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COP13</w:t>
            </w:r>
          </w:p>
        </w:tc>
        <w:tc>
          <w:tcPr>
            <w:tcW w:w="851" w:type="dxa"/>
            <w:vAlign w:val="center"/>
            <w:hideMark/>
          </w:tcPr>
          <w:p w14:paraId="0D34A488" w14:textId="77777777" w:rsidR="00107172" w:rsidRPr="000F7953" w:rsidRDefault="00107172"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COP14</w:t>
            </w:r>
          </w:p>
        </w:tc>
        <w:tc>
          <w:tcPr>
            <w:tcW w:w="851" w:type="dxa"/>
            <w:vAlign w:val="center"/>
            <w:hideMark/>
          </w:tcPr>
          <w:p w14:paraId="3798BAF1" w14:textId="77777777" w:rsidR="00107172" w:rsidRPr="000F7953" w:rsidRDefault="00107172"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COP15</w:t>
            </w:r>
          </w:p>
        </w:tc>
        <w:tc>
          <w:tcPr>
            <w:tcW w:w="1559" w:type="dxa"/>
            <w:vAlign w:val="center"/>
            <w:hideMark/>
          </w:tcPr>
          <w:p w14:paraId="7948789A" w14:textId="77777777" w:rsidR="00107172" w:rsidRPr="000F7953" w:rsidRDefault="00107172"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Tendencia</w:t>
            </w:r>
          </w:p>
        </w:tc>
      </w:tr>
      <w:tr w:rsidR="00107172" w:rsidRPr="000F7953" w14:paraId="5F49FA03" w14:textId="77777777" w:rsidTr="00506589">
        <w:trPr>
          <w:trHeight w:val="770"/>
        </w:trPr>
        <w:tc>
          <w:tcPr>
            <w:tcW w:w="4253" w:type="dxa"/>
          </w:tcPr>
          <w:p w14:paraId="15369909" w14:textId="77777777" w:rsidR="00107172" w:rsidRPr="000F7953" w:rsidRDefault="00107172" w:rsidP="00CD3F6B">
            <w:pPr>
              <w:rPr>
                <w:rFonts w:asciiTheme="minorHAnsi" w:eastAsia="Aptos" w:hAnsiTheme="minorHAnsi" w:cstheme="minorHAnsi"/>
                <w:sz w:val="22"/>
                <w:szCs w:val="22"/>
              </w:rPr>
            </w:pPr>
            <w:r w:rsidRPr="000F7953">
              <w:rPr>
                <w:rFonts w:asciiTheme="minorHAnsi" w:hAnsiTheme="minorHAnsi" w:cstheme="minorHAnsi"/>
                <w:sz w:val="22"/>
                <w:szCs w:val="22"/>
              </w:rPr>
              <w:t>Porcentaje de Partes que afirman haber tomado medidas para aplicar incentivos que fomenten la conservación y el uso racional de los humedales.</w:t>
            </w:r>
          </w:p>
        </w:tc>
        <w:tc>
          <w:tcPr>
            <w:tcW w:w="992" w:type="dxa"/>
          </w:tcPr>
          <w:p w14:paraId="2226F656" w14:textId="106130F0" w:rsidR="00107172" w:rsidRPr="000F7953" w:rsidRDefault="00107172" w:rsidP="00506589">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50</w:t>
            </w:r>
            <w:r w:rsidR="005601CD" w:rsidRPr="000F7953">
              <w:rPr>
                <w:rFonts w:asciiTheme="minorHAnsi" w:hAnsiTheme="minorHAnsi" w:cstheme="minorHAnsi"/>
                <w:b/>
                <w:bCs/>
                <w:sz w:val="22"/>
                <w:szCs w:val="22"/>
              </w:rPr>
              <w:t> %</w:t>
            </w:r>
          </w:p>
        </w:tc>
        <w:tc>
          <w:tcPr>
            <w:tcW w:w="850" w:type="dxa"/>
          </w:tcPr>
          <w:p w14:paraId="4BC515D6" w14:textId="2407E3D3" w:rsidR="00107172" w:rsidRPr="000F7953" w:rsidRDefault="00107172" w:rsidP="00506589">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52</w:t>
            </w:r>
            <w:r w:rsidR="005601CD" w:rsidRPr="000F7953">
              <w:rPr>
                <w:rFonts w:asciiTheme="minorHAnsi" w:hAnsiTheme="minorHAnsi" w:cstheme="minorHAnsi"/>
                <w:b/>
                <w:bCs/>
                <w:sz w:val="22"/>
                <w:szCs w:val="22"/>
              </w:rPr>
              <w:t> %</w:t>
            </w:r>
          </w:p>
        </w:tc>
        <w:tc>
          <w:tcPr>
            <w:tcW w:w="851" w:type="dxa"/>
          </w:tcPr>
          <w:p w14:paraId="62E38F5A" w14:textId="0C419912" w:rsidR="00107172" w:rsidRPr="000F7953" w:rsidRDefault="00107172" w:rsidP="00506589">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54</w:t>
            </w:r>
            <w:r w:rsidR="005601CD" w:rsidRPr="000F7953">
              <w:rPr>
                <w:rFonts w:asciiTheme="minorHAnsi" w:hAnsiTheme="minorHAnsi" w:cstheme="minorHAnsi"/>
                <w:b/>
                <w:bCs/>
                <w:sz w:val="22"/>
                <w:szCs w:val="22"/>
              </w:rPr>
              <w:t> %</w:t>
            </w:r>
          </w:p>
        </w:tc>
        <w:tc>
          <w:tcPr>
            <w:tcW w:w="851" w:type="dxa"/>
          </w:tcPr>
          <w:p w14:paraId="4EFF5D04" w14:textId="6FE03BDC" w:rsidR="00107172" w:rsidRPr="000F7953" w:rsidRDefault="00107172" w:rsidP="00506589">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54</w:t>
            </w:r>
            <w:r w:rsidR="005601CD" w:rsidRPr="000F7953">
              <w:rPr>
                <w:rFonts w:asciiTheme="minorHAnsi" w:hAnsiTheme="minorHAnsi" w:cstheme="minorHAnsi"/>
                <w:b/>
                <w:bCs/>
                <w:sz w:val="22"/>
                <w:szCs w:val="22"/>
              </w:rPr>
              <w:t> %</w:t>
            </w:r>
          </w:p>
        </w:tc>
        <w:tc>
          <w:tcPr>
            <w:tcW w:w="1559" w:type="dxa"/>
          </w:tcPr>
          <w:p w14:paraId="35A03CD1" w14:textId="3947E687" w:rsidR="00107172" w:rsidRPr="000F7953" w:rsidRDefault="006F463D" w:rsidP="00CD3F6B">
            <w:pPr>
              <w:rPr>
                <w:rFonts w:asciiTheme="minorHAnsi" w:eastAsia="Aptos" w:hAnsiTheme="minorHAnsi" w:cstheme="minorHAnsi"/>
                <w:sz w:val="22"/>
                <w:szCs w:val="22"/>
              </w:rPr>
            </w:pPr>
            <w:r w:rsidRPr="000F7953">
              <w:rPr>
                <w:rFonts w:asciiTheme="minorHAnsi" w:hAnsiTheme="minorHAnsi" w:cstheme="minorHAnsi"/>
                <w:noProof/>
                <w:sz w:val="22"/>
                <w:szCs w:val="22"/>
              </w:rPr>
              <w:drawing>
                <wp:inline distT="0" distB="0" distL="0" distR="0" wp14:anchorId="6FF9165C" wp14:editId="5EF7C4FF">
                  <wp:extent cx="712200" cy="432000"/>
                  <wp:effectExtent l="0" t="0" r="0" b="0"/>
                  <wp:docPr id="148325529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107172" w:rsidRPr="000F7953" w14:paraId="7EA3E49F" w14:textId="77777777" w:rsidTr="00506589">
        <w:trPr>
          <w:trHeight w:val="778"/>
        </w:trPr>
        <w:tc>
          <w:tcPr>
            <w:tcW w:w="4253" w:type="dxa"/>
          </w:tcPr>
          <w:p w14:paraId="340927FF" w14:textId="5DA419DA" w:rsidR="00107172" w:rsidRPr="000F7953" w:rsidRDefault="00107172" w:rsidP="00CD3F6B">
            <w:pPr>
              <w:rPr>
                <w:rFonts w:asciiTheme="minorHAnsi" w:eastAsia="Aptos" w:hAnsiTheme="minorHAnsi" w:cstheme="minorHAnsi"/>
                <w:sz w:val="22"/>
                <w:szCs w:val="22"/>
              </w:rPr>
            </w:pPr>
            <w:r w:rsidRPr="000F7953">
              <w:rPr>
                <w:rFonts w:asciiTheme="minorHAnsi" w:hAnsiTheme="minorHAnsi" w:cstheme="minorHAnsi"/>
                <w:sz w:val="22"/>
                <w:szCs w:val="22"/>
              </w:rPr>
              <w:t>Porcentaje de Partes que afirman haber tomado medidas para eliminar los incentivos perjudiciales que promueven actuaciones contrarias a la conservación y el uso racional de los humedales.</w:t>
            </w:r>
          </w:p>
        </w:tc>
        <w:tc>
          <w:tcPr>
            <w:tcW w:w="992" w:type="dxa"/>
          </w:tcPr>
          <w:p w14:paraId="45AD9883" w14:textId="34579234" w:rsidR="00107172" w:rsidRPr="000F7953" w:rsidRDefault="00107172" w:rsidP="00CD3F6B">
            <w:pPr>
              <w:rPr>
                <w:rFonts w:asciiTheme="minorHAnsi" w:eastAsia="Aptos" w:hAnsiTheme="minorHAnsi" w:cstheme="minorHAnsi"/>
                <w:b/>
                <w:bCs/>
                <w:sz w:val="22"/>
                <w:szCs w:val="22"/>
              </w:rPr>
            </w:pPr>
            <w:r w:rsidRPr="000F7953">
              <w:rPr>
                <w:rFonts w:asciiTheme="minorHAnsi" w:hAnsiTheme="minorHAnsi" w:cstheme="minorHAnsi"/>
                <w:b/>
                <w:bCs/>
                <w:sz w:val="22"/>
                <w:szCs w:val="22"/>
              </w:rPr>
              <w:t>37</w:t>
            </w:r>
            <w:r w:rsidR="005601CD" w:rsidRPr="000F7953">
              <w:rPr>
                <w:rFonts w:asciiTheme="minorHAnsi" w:hAnsiTheme="minorHAnsi" w:cstheme="minorHAnsi"/>
                <w:b/>
                <w:bCs/>
                <w:sz w:val="22"/>
                <w:szCs w:val="22"/>
              </w:rPr>
              <w:t> %</w:t>
            </w:r>
          </w:p>
        </w:tc>
        <w:tc>
          <w:tcPr>
            <w:tcW w:w="850" w:type="dxa"/>
          </w:tcPr>
          <w:p w14:paraId="2FC0AEC9" w14:textId="2BB7D9B5" w:rsidR="00107172" w:rsidRPr="000F7953" w:rsidRDefault="00107172" w:rsidP="00CD3F6B">
            <w:pPr>
              <w:rPr>
                <w:rFonts w:asciiTheme="minorHAnsi" w:eastAsia="Aptos" w:hAnsiTheme="minorHAnsi" w:cstheme="minorHAnsi"/>
                <w:b/>
                <w:bCs/>
                <w:sz w:val="22"/>
                <w:szCs w:val="22"/>
              </w:rPr>
            </w:pPr>
            <w:r w:rsidRPr="000F7953">
              <w:rPr>
                <w:rFonts w:asciiTheme="minorHAnsi" w:hAnsiTheme="minorHAnsi" w:cstheme="minorHAnsi"/>
                <w:b/>
                <w:bCs/>
                <w:sz w:val="22"/>
                <w:szCs w:val="22"/>
              </w:rPr>
              <w:t>37</w:t>
            </w:r>
            <w:r w:rsidR="005601CD" w:rsidRPr="000F7953">
              <w:rPr>
                <w:rFonts w:asciiTheme="minorHAnsi" w:hAnsiTheme="minorHAnsi" w:cstheme="minorHAnsi"/>
                <w:b/>
                <w:bCs/>
                <w:sz w:val="22"/>
                <w:szCs w:val="22"/>
              </w:rPr>
              <w:t> %</w:t>
            </w:r>
          </w:p>
        </w:tc>
        <w:tc>
          <w:tcPr>
            <w:tcW w:w="851" w:type="dxa"/>
          </w:tcPr>
          <w:p w14:paraId="0DFE1CA8" w14:textId="5AFCE81C" w:rsidR="00107172" w:rsidRPr="000F7953" w:rsidRDefault="00107172" w:rsidP="00CD3F6B">
            <w:pPr>
              <w:rPr>
                <w:rFonts w:asciiTheme="minorHAnsi" w:eastAsia="Aptos" w:hAnsiTheme="minorHAnsi" w:cstheme="minorHAnsi"/>
                <w:b/>
                <w:bCs/>
                <w:sz w:val="22"/>
                <w:szCs w:val="22"/>
              </w:rPr>
            </w:pPr>
            <w:r w:rsidRPr="000F7953">
              <w:rPr>
                <w:rFonts w:asciiTheme="minorHAnsi" w:hAnsiTheme="minorHAnsi" w:cstheme="minorHAnsi"/>
                <w:b/>
                <w:bCs/>
                <w:sz w:val="22"/>
                <w:szCs w:val="22"/>
              </w:rPr>
              <w:t>38</w:t>
            </w:r>
            <w:r w:rsidR="005601CD" w:rsidRPr="000F7953">
              <w:rPr>
                <w:rFonts w:asciiTheme="minorHAnsi" w:hAnsiTheme="minorHAnsi" w:cstheme="minorHAnsi"/>
                <w:b/>
                <w:bCs/>
                <w:sz w:val="22"/>
                <w:szCs w:val="22"/>
              </w:rPr>
              <w:t> %</w:t>
            </w:r>
          </w:p>
        </w:tc>
        <w:tc>
          <w:tcPr>
            <w:tcW w:w="851" w:type="dxa"/>
          </w:tcPr>
          <w:p w14:paraId="689DFF05" w14:textId="3781ED08" w:rsidR="00107172" w:rsidRPr="000F7953" w:rsidRDefault="00107172" w:rsidP="00CD3F6B">
            <w:pPr>
              <w:rPr>
                <w:rFonts w:asciiTheme="minorHAnsi" w:eastAsia="Aptos" w:hAnsiTheme="minorHAnsi" w:cstheme="minorHAnsi"/>
                <w:b/>
                <w:bCs/>
                <w:sz w:val="22"/>
                <w:szCs w:val="22"/>
              </w:rPr>
            </w:pPr>
            <w:r w:rsidRPr="000F7953">
              <w:rPr>
                <w:rFonts w:asciiTheme="minorHAnsi" w:hAnsiTheme="minorHAnsi" w:cstheme="minorHAnsi"/>
                <w:b/>
                <w:bCs/>
                <w:sz w:val="22"/>
                <w:szCs w:val="22"/>
              </w:rPr>
              <w:t>43</w:t>
            </w:r>
            <w:r w:rsidR="005601CD" w:rsidRPr="000F7953">
              <w:rPr>
                <w:rFonts w:asciiTheme="minorHAnsi" w:hAnsiTheme="minorHAnsi" w:cstheme="minorHAnsi"/>
                <w:b/>
                <w:bCs/>
                <w:sz w:val="22"/>
                <w:szCs w:val="22"/>
              </w:rPr>
              <w:t> %</w:t>
            </w:r>
          </w:p>
        </w:tc>
        <w:tc>
          <w:tcPr>
            <w:tcW w:w="1559" w:type="dxa"/>
          </w:tcPr>
          <w:p w14:paraId="104D402E" w14:textId="16639BFE" w:rsidR="00107172" w:rsidRPr="000F7953" w:rsidRDefault="00717B49" w:rsidP="00CD3F6B">
            <w:pPr>
              <w:rPr>
                <w:rFonts w:asciiTheme="minorHAnsi" w:eastAsia="Aptos" w:hAnsiTheme="minorHAnsi" w:cstheme="minorHAnsi"/>
                <w:sz w:val="22"/>
                <w:szCs w:val="22"/>
              </w:rPr>
            </w:pPr>
            <w:r w:rsidRPr="000F7953">
              <w:rPr>
                <w:rFonts w:asciiTheme="minorHAnsi" w:hAnsiTheme="minorHAnsi" w:cstheme="minorHAnsi"/>
                <w:noProof/>
                <w:sz w:val="22"/>
                <w:szCs w:val="22"/>
              </w:rPr>
              <w:drawing>
                <wp:inline distT="0" distB="0" distL="0" distR="0" wp14:anchorId="0E753260" wp14:editId="629F3B1F">
                  <wp:extent cx="712200" cy="432000"/>
                  <wp:effectExtent l="0" t="0" r="0" b="0"/>
                  <wp:docPr id="136596566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107172" w:rsidRPr="000F7953" w14:paraId="65753745" w14:textId="77777777" w:rsidTr="00506589">
        <w:trPr>
          <w:trHeight w:val="778"/>
        </w:trPr>
        <w:tc>
          <w:tcPr>
            <w:tcW w:w="4253" w:type="dxa"/>
          </w:tcPr>
          <w:p w14:paraId="7086A5A3" w14:textId="77777777" w:rsidR="00107172" w:rsidRPr="000F7953" w:rsidRDefault="00107172" w:rsidP="00CD3F6B">
            <w:pPr>
              <w:rPr>
                <w:rFonts w:asciiTheme="minorHAnsi" w:eastAsia="Aptos" w:hAnsiTheme="minorHAnsi" w:cstheme="minorHAnsi"/>
                <w:sz w:val="22"/>
                <w:szCs w:val="22"/>
              </w:rPr>
            </w:pPr>
            <w:r w:rsidRPr="000F7953">
              <w:rPr>
                <w:rFonts w:asciiTheme="minorHAnsi" w:hAnsiTheme="minorHAnsi" w:cstheme="minorHAnsi"/>
                <w:sz w:val="22"/>
                <w:szCs w:val="22"/>
              </w:rPr>
              <w:t>Porcentaje de Partes que afirman que el sector privado realiza actividades en favor de la conservación, el uso racional y el manejo de los humedales en general.</w:t>
            </w:r>
          </w:p>
        </w:tc>
        <w:tc>
          <w:tcPr>
            <w:tcW w:w="992" w:type="dxa"/>
          </w:tcPr>
          <w:p w14:paraId="6351F645" w14:textId="5658E0F7" w:rsidR="00107172" w:rsidRPr="000F7953" w:rsidRDefault="00107172" w:rsidP="00CD3F6B">
            <w:pPr>
              <w:rPr>
                <w:rFonts w:asciiTheme="minorHAnsi" w:eastAsia="Aptos" w:hAnsiTheme="minorHAnsi" w:cstheme="minorHAnsi"/>
                <w:b/>
                <w:bCs/>
                <w:sz w:val="22"/>
                <w:szCs w:val="22"/>
              </w:rPr>
            </w:pPr>
            <w:r w:rsidRPr="000F7953">
              <w:rPr>
                <w:rFonts w:asciiTheme="minorHAnsi" w:hAnsiTheme="minorHAnsi" w:cstheme="minorHAnsi"/>
                <w:b/>
                <w:bCs/>
                <w:sz w:val="22"/>
                <w:szCs w:val="22"/>
              </w:rPr>
              <w:t>60</w:t>
            </w:r>
            <w:r w:rsidR="005601CD" w:rsidRPr="000F7953">
              <w:rPr>
                <w:rFonts w:asciiTheme="minorHAnsi" w:hAnsiTheme="minorHAnsi" w:cstheme="minorHAnsi"/>
                <w:b/>
                <w:bCs/>
                <w:sz w:val="22"/>
                <w:szCs w:val="22"/>
              </w:rPr>
              <w:t> %</w:t>
            </w:r>
          </w:p>
        </w:tc>
        <w:tc>
          <w:tcPr>
            <w:tcW w:w="850" w:type="dxa"/>
          </w:tcPr>
          <w:p w14:paraId="5A61A515" w14:textId="70044FDE" w:rsidR="00107172" w:rsidRPr="000F7953" w:rsidRDefault="00107172" w:rsidP="00CD3F6B">
            <w:pPr>
              <w:rPr>
                <w:rFonts w:asciiTheme="minorHAnsi" w:eastAsia="Aptos" w:hAnsiTheme="minorHAnsi" w:cstheme="minorHAnsi"/>
                <w:b/>
                <w:bCs/>
                <w:sz w:val="22"/>
                <w:szCs w:val="22"/>
              </w:rPr>
            </w:pPr>
            <w:r w:rsidRPr="000F7953">
              <w:rPr>
                <w:rFonts w:asciiTheme="minorHAnsi" w:hAnsiTheme="minorHAnsi" w:cstheme="minorHAnsi"/>
                <w:b/>
                <w:bCs/>
                <w:sz w:val="22"/>
                <w:szCs w:val="22"/>
              </w:rPr>
              <w:t>41</w:t>
            </w:r>
            <w:r w:rsidR="005601CD" w:rsidRPr="000F7953">
              <w:rPr>
                <w:rFonts w:asciiTheme="minorHAnsi" w:hAnsiTheme="minorHAnsi" w:cstheme="minorHAnsi"/>
                <w:b/>
                <w:bCs/>
                <w:sz w:val="22"/>
                <w:szCs w:val="22"/>
              </w:rPr>
              <w:t> %</w:t>
            </w:r>
          </w:p>
        </w:tc>
        <w:tc>
          <w:tcPr>
            <w:tcW w:w="851" w:type="dxa"/>
          </w:tcPr>
          <w:p w14:paraId="6F0705AC" w14:textId="6953B430" w:rsidR="00107172" w:rsidRPr="000F7953" w:rsidRDefault="00107172" w:rsidP="00CD3F6B">
            <w:pPr>
              <w:rPr>
                <w:rFonts w:asciiTheme="minorHAnsi" w:eastAsia="Aptos" w:hAnsiTheme="minorHAnsi" w:cstheme="minorHAnsi"/>
                <w:b/>
                <w:bCs/>
                <w:sz w:val="22"/>
                <w:szCs w:val="22"/>
              </w:rPr>
            </w:pPr>
            <w:r w:rsidRPr="000F7953">
              <w:rPr>
                <w:rFonts w:asciiTheme="minorHAnsi" w:hAnsiTheme="minorHAnsi" w:cstheme="minorHAnsi"/>
                <w:b/>
                <w:bCs/>
                <w:sz w:val="22"/>
                <w:szCs w:val="22"/>
              </w:rPr>
              <w:t>45</w:t>
            </w:r>
            <w:r w:rsidR="005601CD" w:rsidRPr="000F7953">
              <w:rPr>
                <w:rFonts w:asciiTheme="minorHAnsi" w:hAnsiTheme="minorHAnsi" w:cstheme="minorHAnsi"/>
                <w:b/>
                <w:bCs/>
                <w:sz w:val="22"/>
                <w:szCs w:val="22"/>
              </w:rPr>
              <w:t> %</w:t>
            </w:r>
          </w:p>
        </w:tc>
        <w:tc>
          <w:tcPr>
            <w:tcW w:w="851" w:type="dxa"/>
          </w:tcPr>
          <w:p w14:paraId="7B7178AA" w14:textId="3894A653" w:rsidR="00107172" w:rsidRPr="000F7953" w:rsidRDefault="00107172" w:rsidP="00CD3F6B">
            <w:pPr>
              <w:rPr>
                <w:rFonts w:asciiTheme="minorHAnsi" w:eastAsia="Aptos" w:hAnsiTheme="minorHAnsi" w:cstheme="minorHAnsi"/>
                <w:b/>
                <w:bCs/>
                <w:sz w:val="22"/>
                <w:szCs w:val="22"/>
              </w:rPr>
            </w:pPr>
            <w:r w:rsidRPr="000F7953">
              <w:rPr>
                <w:rFonts w:asciiTheme="minorHAnsi" w:hAnsiTheme="minorHAnsi" w:cstheme="minorHAnsi"/>
                <w:b/>
                <w:bCs/>
                <w:sz w:val="22"/>
                <w:szCs w:val="22"/>
              </w:rPr>
              <w:t>45</w:t>
            </w:r>
            <w:r w:rsidR="005601CD" w:rsidRPr="000F7953">
              <w:rPr>
                <w:rFonts w:asciiTheme="minorHAnsi" w:hAnsiTheme="minorHAnsi" w:cstheme="minorHAnsi"/>
                <w:b/>
                <w:bCs/>
                <w:sz w:val="22"/>
                <w:szCs w:val="22"/>
              </w:rPr>
              <w:t> %</w:t>
            </w:r>
          </w:p>
        </w:tc>
        <w:tc>
          <w:tcPr>
            <w:tcW w:w="1559" w:type="dxa"/>
          </w:tcPr>
          <w:p w14:paraId="4B2F023A" w14:textId="066415AD" w:rsidR="00107172" w:rsidRPr="000F7953" w:rsidRDefault="006117D4" w:rsidP="00CD3F6B">
            <w:pPr>
              <w:rPr>
                <w:rFonts w:asciiTheme="minorHAnsi" w:eastAsia="Aptos" w:hAnsiTheme="minorHAnsi" w:cstheme="minorHAnsi"/>
                <w:sz w:val="22"/>
                <w:szCs w:val="22"/>
              </w:rPr>
            </w:pPr>
            <w:r w:rsidRPr="000F7953">
              <w:rPr>
                <w:rFonts w:asciiTheme="minorHAnsi" w:hAnsiTheme="minorHAnsi" w:cstheme="minorHAnsi"/>
                <w:noProof/>
                <w:sz w:val="22"/>
                <w:szCs w:val="22"/>
              </w:rPr>
              <w:drawing>
                <wp:inline distT="0" distB="0" distL="0" distR="0" wp14:anchorId="5D1DCE34" wp14:editId="230D4C52">
                  <wp:extent cx="712200" cy="432000"/>
                  <wp:effectExtent l="0" t="0" r="0" b="0"/>
                  <wp:docPr id="10211424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3C7B86" w:rsidRPr="000F7953" w14:paraId="27A0BDD6" w14:textId="77777777" w:rsidTr="00506589">
        <w:trPr>
          <w:trHeight w:val="778"/>
        </w:trPr>
        <w:tc>
          <w:tcPr>
            <w:tcW w:w="4253" w:type="dxa"/>
          </w:tcPr>
          <w:p w14:paraId="646D2816" w14:textId="3F1C121E" w:rsidR="003C7B86" w:rsidRPr="000F7953" w:rsidRDefault="00394702" w:rsidP="00CD3F6B">
            <w:pPr>
              <w:pStyle w:val="p1"/>
              <w:rPr>
                <w:rFonts w:asciiTheme="minorHAnsi" w:hAnsiTheme="minorHAnsi" w:cstheme="minorHAnsi"/>
                <w:sz w:val="22"/>
                <w:szCs w:val="22"/>
              </w:rPr>
            </w:pPr>
            <w:r w:rsidRPr="000F7953">
              <w:rPr>
                <w:rFonts w:asciiTheme="minorHAnsi" w:hAnsiTheme="minorHAnsi" w:cstheme="minorHAnsi"/>
                <w:sz w:val="22"/>
                <w:szCs w:val="22"/>
              </w:rPr>
              <w:t>Porcentaje de Partes que cuentan con comités nacionales Ramsar con representación gubernamental y no gubernamental*.</w:t>
            </w:r>
          </w:p>
        </w:tc>
        <w:tc>
          <w:tcPr>
            <w:tcW w:w="992" w:type="dxa"/>
          </w:tcPr>
          <w:p w14:paraId="4AA7AD62" w14:textId="375A9585" w:rsidR="003C7B86" w:rsidRPr="000F7953" w:rsidRDefault="00CA014B" w:rsidP="00CD3F6B">
            <w:pPr>
              <w:rPr>
                <w:rFonts w:asciiTheme="minorHAnsi" w:eastAsia="Aptos" w:hAnsiTheme="minorHAnsi" w:cstheme="minorHAnsi"/>
                <w:b/>
                <w:bCs/>
                <w:sz w:val="22"/>
                <w:szCs w:val="22"/>
              </w:rPr>
            </w:pPr>
            <w:r w:rsidRPr="000F7953">
              <w:rPr>
                <w:rFonts w:asciiTheme="minorHAnsi" w:hAnsiTheme="minorHAnsi" w:cstheme="minorHAnsi"/>
                <w:b/>
                <w:bCs/>
                <w:sz w:val="22"/>
                <w:szCs w:val="22"/>
              </w:rPr>
              <w:t>63</w:t>
            </w:r>
            <w:r w:rsidR="005601CD" w:rsidRPr="000F7953">
              <w:rPr>
                <w:rFonts w:asciiTheme="minorHAnsi" w:hAnsiTheme="minorHAnsi" w:cstheme="minorHAnsi"/>
                <w:b/>
                <w:bCs/>
                <w:sz w:val="22"/>
                <w:szCs w:val="22"/>
              </w:rPr>
              <w:t> %</w:t>
            </w:r>
          </w:p>
        </w:tc>
        <w:tc>
          <w:tcPr>
            <w:tcW w:w="850" w:type="dxa"/>
          </w:tcPr>
          <w:p w14:paraId="1DB356D4" w14:textId="51561D09" w:rsidR="003C7B86" w:rsidRPr="000F7953" w:rsidRDefault="002E1396" w:rsidP="00CD3F6B">
            <w:pPr>
              <w:rPr>
                <w:rFonts w:asciiTheme="minorHAnsi" w:eastAsia="Aptos" w:hAnsiTheme="minorHAnsi" w:cstheme="minorHAnsi"/>
                <w:b/>
                <w:bCs/>
                <w:sz w:val="22"/>
                <w:szCs w:val="22"/>
              </w:rPr>
            </w:pPr>
            <w:r w:rsidRPr="000F7953">
              <w:rPr>
                <w:rFonts w:asciiTheme="minorHAnsi" w:hAnsiTheme="minorHAnsi" w:cstheme="minorHAnsi"/>
                <w:b/>
                <w:bCs/>
                <w:sz w:val="22"/>
                <w:szCs w:val="22"/>
              </w:rPr>
              <w:t>49</w:t>
            </w:r>
            <w:r w:rsidR="005601CD" w:rsidRPr="000F7953">
              <w:rPr>
                <w:rFonts w:asciiTheme="minorHAnsi" w:hAnsiTheme="minorHAnsi" w:cstheme="minorHAnsi"/>
                <w:b/>
                <w:bCs/>
                <w:sz w:val="22"/>
                <w:szCs w:val="22"/>
              </w:rPr>
              <w:t> %</w:t>
            </w:r>
          </w:p>
        </w:tc>
        <w:tc>
          <w:tcPr>
            <w:tcW w:w="851" w:type="dxa"/>
          </w:tcPr>
          <w:p w14:paraId="0416CEC6" w14:textId="1E3E8AEF" w:rsidR="003C7B86" w:rsidRPr="000F7953" w:rsidRDefault="00F03A78" w:rsidP="00CD3F6B">
            <w:pPr>
              <w:rPr>
                <w:rFonts w:asciiTheme="minorHAnsi" w:eastAsia="Aptos" w:hAnsiTheme="minorHAnsi" w:cstheme="minorHAnsi"/>
                <w:b/>
                <w:bCs/>
                <w:sz w:val="22"/>
                <w:szCs w:val="22"/>
              </w:rPr>
            </w:pPr>
            <w:r w:rsidRPr="000F7953">
              <w:rPr>
                <w:rFonts w:asciiTheme="minorHAnsi" w:hAnsiTheme="minorHAnsi" w:cstheme="minorHAnsi"/>
                <w:b/>
                <w:bCs/>
                <w:sz w:val="22"/>
                <w:szCs w:val="22"/>
              </w:rPr>
              <w:t>46</w:t>
            </w:r>
            <w:r w:rsidR="005601CD" w:rsidRPr="000F7953">
              <w:rPr>
                <w:rFonts w:asciiTheme="minorHAnsi" w:hAnsiTheme="minorHAnsi" w:cstheme="minorHAnsi"/>
                <w:b/>
                <w:bCs/>
                <w:sz w:val="22"/>
                <w:szCs w:val="22"/>
              </w:rPr>
              <w:t> %</w:t>
            </w:r>
          </w:p>
        </w:tc>
        <w:tc>
          <w:tcPr>
            <w:tcW w:w="851" w:type="dxa"/>
          </w:tcPr>
          <w:p w14:paraId="7A07278A" w14:textId="0FC2AFDB" w:rsidR="003C7B86" w:rsidRPr="000F7953" w:rsidRDefault="00F03A78" w:rsidP="00CD3F6B">
            <w:pPr>
              <w:rPr>
                <w:rFonts w:asciiTheme="minorHAnsi" w:eastAsia="Aptos" w:hAnsiTheme="minorHAnsi" w:cstheme="minorHAnsi"/>
                <w:b/>
                <w:bCs/>
                <w:sz w:val="22"/>
                <w:szCs w:val="22"/>
              </w:rPr>
            </w:pPr>
            <w:r w:rsidRPr="000F7953">
              <w:rPr>
                <w:rFonts w:asciiTheme="minorHAnsi" w:hAnsiTheme="minorHAnsi" w:cstheme="minorHAnsi"/>
                <w:b/>
                <w:bCs/>
                <w:sz w:val="22"/>
                <w:szCs w:val="22"/>
              </w:rPr>
              <w:t>46</w:t>
            </w:r>
            <w:r w:rsidR="005601CD" w:rsidRPr="000F7953">
              <w:rPr>
                <w:rFonts w:asciiTheme="minorHAnsi" w:hAnsiTheme="minorHAnsi" w:cstheme="minorHAnsi"/>
                <w:b/>
                <w:bCs/>
                <w:sz w:val="22"/>
                <w:szCs w:val="22"/>
              </w:rPr>
              <w:t> %</w:t>
            </w:r>
          </w:p>
        </w:tc>
        <w:tc>
          <w:tcPr>
            <w:tcW w:w="1559" w:type="dxa"/>
          </w:tcPr>
          <w:p w14:paraId="7F84E060" w14:textId="7D807D86" w:rsidR="003C7B86" w:rsidRPr="000F7953" w:rsidRDefault="00C31696" w:rsidP="00CD3F6B">
            <w:pPr>
              <w:rPr>
                <w:rFonts w:asciiTheme="minorHAnsi" w:eastAsia="Aptos" w:hAnsiTheme="minorHAnsi" w:cstheme="minorHAnsi"/>
                <w:sz w:val="22"/>
                <w:szCs w:val="22"/>
              </w:rPr>
            </w:pPr>
            <w:r w:rsidRPr="000F7953">
              <w:rPr>
                <w:rFonts w:asciiTheme="minorHAnsi" w:hAnsiTheme="minorHAnsi" w:cstheme="minorHAnsi"/>
                <w:noProof/>
                <w:sz w:val="22"/>
                <w:szCs w:val="22"/>
              </w:rPr>
              <w:drawing>
                <wp:inline distT="0" distB="0" distL="0" distR="0" wp14:anchorId="1924714D" wp14:editId="74027E5A">
                  <wp:extent cx="712200" cy="432000"/>
                  <wp:effectExtent l="0" t="0" r="0" b="0"/>
                  <wp:docPr id="640914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bl>
    <w:p w14:paraId="00D1404F" w14:textId="14700C1A" w:rsidR="00B0362C" w:rsidRPr="000F7953" w:rsidRDefault="00B0362C" w:rsidP="00CD3F6B">
      <w:pPr>
        <w:rPr>
          <w:rFonts w:asciiTheme="minorHAnsi" w:hAnsiTheme="minorHAnsi" w:cstheme="minorHAnsi"/>
          <w:sz w:val="22"/>
          <w:szCs w:val="22"/>
        </w:rPr>
      </w:pPr>
      <w:r w:rsidRPr="000F7953">
        <w:rPr>
          <w:rFonts w:asciiTheme="minorHAnsi" w:hAnsiTheme="minorHAnsi" w:cstheme="minorHAnsi"/>
          <w:sz w:val="22"/>
          <w:szCs w:val="22"/>
        </w:rPr>
        <w:t xml:space="preserve">* no hay ninguna pregunta que aborde específicamente este indicador en el formulario del informe nacional. Los datos presentados son el porcentaje de Partes Contratantes que disponen de un comité nacional intersectorial Ramsar / sobre humedales en funcionamiento o un órgano equivalente. </w:t>
      </w:r>
    </w:p>
    <w:p w14:paraId="16B3C4A7" w14:textId="77777777" w:rsidR="00D1463B" w:rsidRPr="000F7953" w:rsidRDefault="00D1463B" w:rsidP="00CD3F6B">
      <w:pPr>
        <w:rPr>
          <w:rFonts w:asciiTheme="minorHAnsi" w:hAnsiTheme="minorHAnsi" w:cstheme="minorHAnsi"/>
          <w:i/>
          <w:iCs/>
          <w:sz w:val="22"/>
          <w:szCs w:val="22"/>
          <w:u w:val="single"/>
        </w:rPr>
      </w:pPr>
    </w:p>
    <w:p w14:paraId="0CD5DC0D" w14:textId="52E16260" w:rsidR="00E2275E" w:rsidRPr="000F7953" w:rsidRDefault="00B95156" w:rsidP="00D1463B">
      <w:pPr>
        <w:keepNext/>
        <w:rPr>
          <w:rFonts w:asciiTheme="minorHAnsi" w:hAnsiTheme="minorHAnsi" w:cstheme="minorHAnsi"/>
          <w:i/>
          <w:iCs/>
          <w:sz w:val="22"/>
          <w:szCs w:val="22"/>
          <w:u w:val="single"/>
        </w:rPr>
      </w:pPr>
      <w:r w:rsidRPr="000F7953">
        <w:rPr>
          <w:rFonts w:asciiTheme="minorHAnsi" w:hAnsiTheme="minorHAnsi" w:cstheme="minorHAnsi"/>
          <w:i/>
          <w:iCs/>
          <w:sz w:val="22"/>
          <w:szCs w:val="22"/>
          <w:u w:val="single"/>
        </w:rPr>
        <w:t xml:space="preserve">Resumen de los progresos realizados </w:t>
      </w:r>
    </w:p>
    <w:p w14:paraId="09ED1C8F" w14:textId="77777777" w:rsidR="00D1463B" w:rsidRPr="000F7953" w:rsidRDefault="00D1463B" w:rsidP="00D1463B">
      <w:pPr>
        <w:keepNext/>
        <w:ind w:left="426" w:hanging="426"/>
        <w:rPr>
          <w:rFonts w:asciiTheme="minorHAnsi" w:hAnsiTheme="minorHAnsi" w:cstheme="minorHAnsi"/>
          <w:sz w:val="22"/>
          <w:szCs w:val="22"/>
        </w:rPr>
      </w:pPr>
    </w:p>
    <w:p w14:paraId="6121521E" w14:textId="06D3EAC9" w:rsidR="0030701E" w:rsidRPr="000F7953" w:rsidRDefault="00515041" w:rsidP="000E3338">
      <w:pPr>
        <w:ind w:left="567" w:hanging="567"/>
        <w:rPr>
          <w:rFonts w:asciiTheme="minorHAnsi" w:hAnsiTheme="minorHAnsi" w:cstheme="minorHAnsi"/>
          <w:sz w:val="22"/>
          <w:szCs w:val="22"/>
        </w:rPr>
      </w:pPr>
      <w:r w:rsidRPr="000F7953">
        <w:rPr>
          <w:rFonts w:asciiTheme="minorHAnsi" w:hAnsiTheme="minorHAnsi" w:cstheme="minorHAnsi"/>
          <w:sz w:val="22"/>
          <w:szCs w:val="22"/>
        </w:rPr>
        <w:t>21.</w:t>
      </w:r>
      <w:r w:rsidRPr="000F7953">
        <w:rPr>
          <w:rFonts w:asciiTheme="minorHAnsi" w:hAnsiTheme="minorHAnsi" w:cstheme="minorHAnsi"/>
          <w:sz w:val="22"/>
          <w:szCs w:val="22"/>
        </w:rPr>
        <w:tab/>
        <w:t>El 46</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de las Partes Contratantes cuenta con un comité nacional intersectorial Ramsar / sobre humedales en funcionamiento, y otro 31</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dispone de un órgano equivalente, lo que supone un ligero aumento en relación con los últimos tres trienios. </w:t>
      </w:r>
    </w:p>
    <w:p w14:paraId="12FD268B" w14:textId="77777777" w:rsidR="00CA6DA7" w:rsidRPr="000F7953" w:rsidRDefault="00CA6DA7" w:rsidP="000E3338">
      <w:pPr>
        <w:ind w:left="567" w:hanging="567"/>
        <w:rPr>
          <w:rFonts w:asciiTheme="minorHAnsi" w:hAnsiTheme="minorHAnsi" w:cstheme="minorHAnsi"/>
          <w:sz w:val="22"/>
          <w:szCs w:val="22"/>
        </w:rPr>
      </w:pPr>
    </w:p>
    <w:p w14:paraId="247020EB" w14:textId="79A4A41F" w:rsidR="00804F28" w:rsidRPr="000F7953" w:rsidRDefault="00515041" w:rsidP="000E3338">
      <w:pPr>
        <w:ind w:left="567" w:hanging="567"/>
        <w:rPr>
          <w:rFonts w:asciiTheme="minorHAnsi" w:hAnsiTheme="minorHAnsi" w:cstheme="minorHAnsi"/>
          <w:sz w:val="22"/>
          <w:szCs w:val="22"/>
        </w:rPr>
      </w:pPr>
      <w:r w:rsidRPr="000F7953">
        <w:rPr>
          <w:rFonts w:asciiTheme="minorHAnsi" w:hAnsiTheme="minorHAnsi" w:cstheme="minorHAnsi"/>
          <w:sz w:val="22"/>
          <w:szCs w:val="22"/>
        </w:rPr>
        <w:t>22.</w:t>
      </w:r>
      <w:r w:rsidRPr="000F7953">
        <w:rPr>
          <w:rFonts w:asciiTheme="minorHAnsi" w:hAnsiTheme="minorHAnsi" w:cstheme="minorHAnsi"/>
          <w:sz w:val="22"/>
          <w:szCs w:val="22"/>
        </w:rPr>
        <w:tab/>
        <w:t>Para la COP15, el 54</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de las Partes Contratantes informan que han emprendido acciones para aplicar medidas de incentivación que alienten al sector privado a aplicar los principios del uso racional. Esta cifra es ligeramente superior al valor de referencia del 50</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y las Partes de Europa y América Latina y el Caribe registran tasas más elevadas que las de otras regiones. Hay un aumento del 9</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en las Partes que declaran una realización parcial, y relativamente más en África y Asia. Las acciones para eliminar los incentivos perjudiciales que conducen a la degradación y pérdida de humedales han aumentado hasta el 43</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de las Partes, desde el valor de referencia del 37</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pero hay una reducción de las Partes que informan de planes para hacerlo, del 21</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al 15</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Sin embargo, se observa un descenso general en el porcentaje de Partes Contratantes que aplican políticas, incluidos incentivos, lineamientos u otros instrumentos, para alentar al sector privado a aplicar los principios del uso racional, el cual ha pasado del 45</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para la COP12 al 36</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para la COP15. </w:t>
      </w:r>
    </w:p>
    <w:p w14:paraId="4E3B1BE8" w14:textId="77777777" w:rsidR="00CA6DA7" w:rsidRPr="000F7953" w:rsidRDefault="00CA6DA7" w:rsidP="000E3338">
      <w:pPr>
        <w:ind w:left="567" w:hanging="567"/>
        <w:rPr>
          <w:rFonts w:asciiTheme="minorHAnsi" w:hAnsiTheme="minorHAnsi" w:cstheme="minorHAnsi"/>
          <w:sz w:val="22"/>
          <w:szCs w:val="22"/>
        </w:rPr>
      </w:pPr>
    </w:p>
    <w:p w14:paraId="6E1BB45A" w14:textId="21136933" w:rsidR="006A5EAC" w:rsidRPr="000F7953" w:rsidRDefault="00515041" w:rsidP="000E3338">
      <w:pPr>
        <w:ind w:left="567" w:hanging="567"/>
        <w:rPr>
          <w:rFonts w:asciiTheme="minorHAnsi" w:hAnsiTheme="minorHAnsi" w:cstheme="minorHAnsi"/>
          <w:sz w:val="22"/>
          <w:szCs w:val="22"/>
        </w:rPr>
      </w:pPr>
      <w:r w:rsidRPr="000F7953">
        <w:rPr>
          <w:rFonts w:asciiTheme="minorHAnsi" w:hAnsiTheme="minorHAnsi" w:cstheme="minorHAnsi"/>
          <w:sz w:val="22"/>
          <w:szCs w:val="22"/>
        </w:rPr>
        <w:t>23.</w:t>
      </w:r>
      <w:r w:rsidRPr="000F7953">
        <w:rPr>
          <w:rFonts w:asciiTheme="minorHAnsi" w:hAnsiTheme="minorHAnsi" w:cstheme="minorHAnsi"/>
          <w:sz w:val="22"/>
          <w:szCs w:val="22"/>
        </w:rPr>
        <w:tab/>
        <w:t>Para la COP15, el 45</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de las Partes Contratantes informan que el sector privado ha llevado a cabo acciones para aplicar los principios del uso racional de los humedales en general, lo que no representa ningún cambio desde la COP13 y está muy por debajo del valor de referencia </w:t>
      </w:r>
      <w:r w:rsidRPr="000F7953">
        <w:rPr>
          <w:rFonts w:asciiTheme="minorHAnsi" w:hAnsiTheme="minorHAnsi" w:cstheme="minorHAnsi"/>
          <w:sz w:val="22"/>
          <w:szCs w:val="22"/>
        </w:rPr>
        <w:lastRenderedPageBreak/>
        <w:t>del 60</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En el caso de los Humedales de Importancia Internacional el porcentaje, en un 50</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es ligeramente superior. </w:t>
      </w:r>
    </w:p>
    <w:p w14:paraId="13D6D4A0" w14:textId="77777777" w:rsidR="00CA6DA7" w:rsidRPr="000F7953" w:rsidRDefault="00CA6DA7" w:rsidP="000E3338">
      <w:pPr>
        <w:ind w:left="567" w:hanging="567"/>
        <w:rPr>
          <w:rFonts w:asciiTheme="minorHAnsi" w:hAnsiTheme="minorHAnsi" w:cstheme="minorHAnsi"/>
          <w:sz w:val="22"/>
          <w:szCs w:val="22"/>
        </w:rPr>
      </w:pPr>
    </w:p>
    <w:p w14:paraId="1EABBC49" w14:textId="0B5B8BB7" w:rsidR="00D55DD7" w:rsidRPr="000F7953" w:rsidRDefault="00515041" w:rsidP="000E3338">
      <w:pPr>
        <w:ind w:left="567" w:hanging="567"/>
        <w:rPr>
          <w:rFonts w:asciiTheme="minorHAnsi" w:hAnsiTheme="minorHAnsi" w:cstheme="minorHAnsi"/>
          <w:sz w:val="22"/>
          <w:szCs w:val="22"/>
        </w:rPr>
      </w:pPr>
      <w:r w:rsidRPr="000F7953">
        <w:rPr>
          <w:rFonts w:asciiTheme="minorHAnsi" w:hAnsiTheme="minorHAnsi" w:cstheme="minorHAnsi"/>
          <w:sz w:val="22"/>
          <w:szCs w:val="22"/>
        </w:rPr>
        <w:t>24.</w:t>
      </w:r>
      <w:r w:rsidRPr="000F7953">
        <w:rPr>
          <w:rFonts w:asciiTheme="minorHAnsi" w:hAnsiTheme="minorHAnsi" w:cstheme="minorHAnsi"/>
          <w:sz w:val="22"/>
          <w:szCs w:val="22"/>
        </w:rPr>
        <w:tab/>
        <w:t xml:space="preserve">Las respuestas descriptivas en los informes nacionales se han vuelto más detalladas con el tiempo, y se centran cada vez más en la ejecución de una serie de actividades que incluyen proyectos piloto, reformas legales, formación y participación de las partes interesadas. En lo que respecta la financiación de la protección y gestión de los humedales se está pasando de las contribuciones filantrópicas a modelos más estructurados de asociación de colaboración y cogestión. Los numerosos ejemplos concretos proporcionados por las Partes sugieren un papel cada vez más importante del sector privado, aunque se necesita un apoyo más amplio para ampliar estos modelos. </w:t>
      </w:r>
    </w:p>
    <w:bookmarkEnd w:id="1"/>
    <w:p w14:paraId="2AC94DC7" w14:textId="77777777" w:rsidR="00556B84" w:rsidRPr="000F7953" w:rsidRDefault="00556B84" w:rsidP="000E3338">
      <w:pPr>
        <w:ind w:left="567" w:hanging="567"/>
        <w:rPr>
          <w:rFonts w:asciiTheme="minorHAnsi" w:hAnsiTheme="minorHAnsi" w:cstheme="minorHAnsi"/>
          <w:sz w:val="22"/>
          <w:szCs w:val="22"/>
        </w:rPr>
      </w:pPr>
    </w:p>
    <w:p w14:paraId="1151CE58" w14:textId="64F4908E" w:rsidR="00513FF5" w:rsidRPr="000F7953" w:rsidRDefault="00515041" w:rsidP="000E3338">
      <w:pPr>
        <w:ind w:left="567" w:hanging="567"/>
        <w:rPr>
          <w:rFonts w:asciiTheme="minorHAnsi" w:hAnsiTheme="minorHAnsi" w:cstheme="minorHAnsi"/>
          <w:sz w:val="22"/>
          <w:szCs w:val="22"/>
        </w:rPr>
      </w:pPr>
      <w:r w:rsidRPr="000F7953">
        <w:rPr>
          <w:rFonts w:asciiTheme="minorHAnsi" w:hAnsiTheme="minorHAnsi" w:cstheme="minorHAnsi"/>
          <w:sz w:val="22"/>
          <w:szCs w:val="22"/>
        </w:rPr>
        <w:t>25.</w:t>
      </w:r>
      <w:r w:rsidRPr="000F7953">
        <w:rPr>
          <w:rFonts w:asciiTheme="minorHAnsi" w:hAnsiTheme="minorHAnsi" w:cstheme="minorHAnsi"/>
          <w:sz w:val="22"/>
          <w:szCs w:val="22"/>
        </w:rPr>
        <w:tab/>
        <w:t xml:space="preserve">Aunque se han emprendido algunas reformas, muchas Partes Contratantes se enfrentan a obstáculos persistentes, entre otras cosas, en relación con una capacidad técnica limitada. La necesidad de enfrentar los incentivos perjudiciales es un reto sistémico que requiere cambios normativos e institucionales frente a la fragmentación de la gobernanza, la escasa coordinación y la existencia de intereses económicos arraigados. Las Partes indican que para avanzar en la aplicación será necesario reforzar la capacidad técnica y administrativa, prestar apoyo financiero específico, establecer mecanismos claros para supervisar y hacer cumplir las políticas, promover enfoques integrados que combinen la regulación, los incentivos y la sensibilización de la comunidad, y elaborar orientaciones adecuadas. </w:t>
      </w:r>
    </w:p>
    <w:p w14:paraId="052234CE" w14:textId="77777777" w:rsidR="00513FF5" w:rsidRPr="000F7953" w:rsidRDefault="00513FF5" w:rsidP="00A338FF">
      <w:pPr>
        <w:rPr>
          <w:rFonts w:asciiTheme="minorHAnsi" w:hAnsiTheme="minorHAnsi" w:cstheme="minorHAnsi"/>
        </w:rPr>
      </w:pPr>
    </w:p>
    <w:p w14:paraId="4909AC0A" w14:textId="77777777" w:rsidR="003E56FD" w:rsidRPr="000F7953" w:rsidRDefault="003E56FD" w:rsidP="00A338FF">
      <w:pPr>
        <w:rPr>
          <w:rFonts w:asciiTheme="minorHAnsi" w:hAnsiTheme="minorHAnsi" w:cstheme="minorHAnsi"/>
        </w:rPr>
      </w:pPr>
    </w:p>
    <w:tbl>
      <w:tblPr>
        <w:tblStyle w:val="TableGrid16"/>
        <w:tblW w:w="9356" w:type="dxa"/>
        <w:tblLook w:val="04A0" w:firstRow="1" w:lastRow="0" w:firstColumn="1" w:lastColumn="0" w:noHBand="0" w:noVBand="1"/>
      </w:tblPr>
      <w:tblGrid>
        <w:gridCol w:w="9356"/>
      </w:tblGrid>
      <w:tr w:rsidR="00BB3D72" w:rsidRPr="000F7953" w14:paraId="109FA6FC" w14:textId="77777777" w:rsidTr="00C3536E">
        <w:tc>
          <w:tcPr>
            <w:tcW w:w="9356" w:type="dxa"/>
            <w:vAlign w:val="center"/>
          </w:tcPr>
          <w:p w14:paraId="67689BEE" w14:textId="77777777" w:rsidR="00BB3D72" w:rsidRPr="000F7953" w:rsidRDefault="00BB3D72" w:rsidP="008A3659">
            <w:pPr>
              <w:keepNext/>
              <w:spacing w:before="120" w:after="120"/>
              <w:rPr>
                <w:rFonts w:asciiTheme="minorHAnsi" w:hAnsiTheme="minorHAnsi" w:cstheme="minorHAnsi"/>
                <w:b/>
                <w:sz w:val="22"/>
                <w:szCs w:val="22"/>
              </w:rPr>
            </w:pPr>
            <w:r w:rsidRPr="000F7953">
              <w:rPr>
                <w:rFonts w:asciiTheme="minorHAnsi" w:hAnsiTheme="minorHAnsi" w:cstheme="minorHAnsi"/>
                <w:b/>
                <w:sz w:val="22"/>
                <w:szCs w:val="22"/>
              </w:rPr>
              <w:t>Meta 4. Se identifican y priorizan especies exóticas invasoras y sus vías de entrada y expansión, se controlan o erradican las especies exóticas invasoras prioritarias y se preparan y aplican medidas de manejo para evitar su introducción y establecimiento.</w:t>
            </w:r>
          </w:p>
          <w:p w14:paraId="1E8AAB48" w14:textId="799BE687" w:rsidR="00BB3D72" w:rsidRPr="000F7953" w:rsidRDefault="00070705" w:rsidP="008A3659">
            <w:pPr>
              <w:keepNext/>
              <w:spacing w:before="120" w:after="120"/>
              <w:rPr>
                <w:rFonts w:asciiTheme="minorHAnsi" w:hAnsiTheme="minorHAnsi" w:cstheme="minorHAnsi"/>
                <w:sz w:val="22"/>
                <w:szCs w:val="22"/>
              </w:rPr>
            </w:pPr>
            <w:r w:rsidRPr="000F7953">
              <w:rPr>
                <w:rFonts w:asciiTheme="minorHAnsi" w:hAnsiTheme="minorHAnsi" w:cstheme="minorHAnsi"/>
                <w:sz w:val="22"/>
                <w:szCs w:val="22"/>
              </w:rPr>
              <w:t>Contribuye a la meta 6 del MMB-KM y a la meta 15.8 de los ODS.</w:t>
            </w:r>
          </w:p>
        </w:tc>
      </w:tr>
    </w:tbl>
    <w:p w14:paraId="0B1B66E2" w14:textId="77777777" w:rsidR="003B312A" w:rsidRPr="000F7953" w:rsidRDefault="003B312A" w:rsidP="00D1463B">
      <w:pPr>
        <w:keepNext/>
        <w:rPr>
          <w:rFonts w:asciiTheme="minorHAnsi" w:hAnsiTheme="minorHAnsi" w:cstheme="minorHAnsi"/>
          <w:b/>
          <w:bCs/>
          <w:sz w:val="22"/>
          <w:szCs w:val="22"/>
        </w:rPr>
      </w:pPr>
    </w:p>
    <w:p w14:paraId="4C7D2729" w14:textId="31A9D056" w:rsidR="00601D2B" w:rsidRPr="000F7953" w:rsidRDefault="00601D2B" w:rsidP="00D1463B">
      <w:pPr>
        <w:keepNext/>
        <w:rPr>
          <w:rFonts w:asciiTheme="minorHAnsi" w:hAnsiTheme="minorHAnsi" w:cstheme="minorHAnsi"/>
          <w:i/>
          <w:iCs/>
          <w:sz w:val="22"/>
          <w:szCs w:val="22"/>
          <w:u w:val="single"/>
        </w:rPr>
      </w:pPr>
      <w:r w:rsidRPr="000F7953">
        <w:rPr>
          <w:rFonts w:asciiTheme="minorHAnsi" w:hAnsiTheme="minorHAnsi" w:cstheme="minorHAnsi"/>
          <w:i/>
          <w:iCs/>
          <w:sz w:val="22"/>
          <w:szCs w:val="22"/>
          <w:u w:val="single"/>
        </w:rPr>
        <w:t xml:space="preserve">Mensaje clave </w:t>
      </w:r>
    </w:p>
    <w:p w14:paraId="3B6EDC93" w14:textId="77777777" w:rsidR="00745BD7" w:rsidRPr="000F7953" w:rsidRDefault="00745BD7" w:rsidP="00D1463B">
      <w:pPr>
        <w:keepNext/>
        <w:rPr>
          <w:rFonts w:asciiTheme="minorHAnsi" w:hAnsiTheme="minorHAnsi" w:cstheme="minorHAnsi"/>
          <w:sz w:val="22"/>
          <w:szCs w:val="22"/>
        </w:rPr>
      </w:pPr>
    </w:p>
    <w:p w14:paraId="3FC4AD0C" w14:textId="0E1661B6" w:rsidR="00D66FC5" w:rsidRPr="000F7953" w:rsidRDefault="00515041" w:rsidP="000E3338">
      <w:pPr>
        <w:ind w:left="567" w:hanging="567"/>
        <w:rPr>
          <w:rFonts w:asciiTheme="minorHAnsi" w:hAnsiTheme="minorHAnsi" w:cstheme="minorHAnsi"/>
          <w:sz w:val="22"/>
          <w:szCs w:val="22"/>
        </w:rPr>
      </w:pPr>
      <w:r w:rsidRPr="000F7953">
        <w:rPr>
          <w:rFonts w:asciiTheme="minorHAnsi" w:hAnsiTheme="minorHAnsi" w:cstheme="minorHAnsi"/>
          <w:sz w:val="22"/>
          <w:szCs w:val="22"/>
        </w:rPr>
        <w:t>26.</w:t>
      </w:r>
      <w:r w:rsidRPr="000F7953">
        <w:rPr>
          <w:rFonts w:asciiTheme="minorHAnsi" w:hAnsiTheme="minorHAnsi" w:cstheme="minorHAnsi"/>
          <w:sz w:val="22"/>
          <w:szCs w:val="22"/>
        </w:rPr>
        <w:tab/>
        <w:t>Se han realizado progresos significativos en la elaboración de políticas y directrices nacionales de control y gestión de especies exóticas invasoras (EEI), así como en la creación de inventarios nacionales de EEI que puedan afectar a los humedales. El seguimiento y la evaluación de la eficacia de los programas de control de las especies exóticas invasoras siguen siendo escasos, aunque van en aumento.</w:t>
      </w:r>
    </w:p>
    <w:p w14:paraId="6C248B0C" w14:textId="77777777" w:rsidR="00461A6A" w:rsidRPr="000F7953" w:rsidRDefault="00461A6A" w:rsidP="00A338FF">
      <w:pPr>
        <w:rPr>
          <w:rFonts w:asciiTheme="minorHAnsi" w:hAnsiTheme="minorHAnsi" w:cstheme="minorHAnsi"/>
        </w:rPr>
      </w:pPr>
    </w:p>
    <w:tbl>
      <w:tblPr>
        <w:tblStyle w:val="TableGrid24"/>
        <w:tblW w:w="9370" w:type="dxa"/>
        <w:tblLook w:val="04A0" w:firstRow="1" w:lastRow="0" w:firstColumn="1" w:lastColumn="0" w:noHBand="0" w:noVBand="1"/>
      </w:tblPr>
      <w:tblGrid>
        <w:gridCol w:w="3977"/>
        <w:gridCol w:w="1182"/>
        <w:gridCol w:w="888"/>
        <w:gridCol w:w="889"/>
        <w:gridCol w:w="889"/>
        <w:gridCol w:w="1545"/>
      </w:tblGrid>
      <w:tr w:rsidR="00107172" w:rsidRPr="000F7953" w14:paraId="5F66793B" w14:textId="77777777" w:rsidTr="00195D2D">
        <w:trPr>
          <w:cantSplit/>
        </w:trPr>
        <w:tc>
          <w:tcPr>
            <w:tcW w:w="4141" w:type="dxa"/>
            <w:vAlign w:val="center"/>
            <w:hideMark/>
          </w:tcPr>
          <w:p w14:paraId="51FFCB88" w14:textId="77777777" w:rsidR="00107172" w:rsidRPr="000F7953" w:rsidRDefault="00107172"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Indicador</w:t>
            </w:r>
          </w:p>
        </w:tc>
        <w:tc>
          <w:tcPr>
            <w:tcW w:w="992" w:type="dxa"/>
            <w:vAlign w:val="center"/>
            <w:hideMark/>
          </w:tcPr>
          <w:p w14:paraId="15D96677" w14:textId="770CD261" w:rsidR="0091225F" w:rsidRPr="000F7953" w:rsidRDefault="0091225F"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Referencia</w:t>
            </w:r>
          </w:p>
        </w:tc>
        <w:tc>
          <w:tcPr>
            <w:tcW w:w="892" w:type="dxa"/>
            <w:vAlign w:val="center"/>
            <w:hideMark/>
          </w:tcPr>
          <w:p w14:paraId="503CA16C" w14:textId="77777777" w:rsidR="00107172" w:rsidRPr="000F7953" w:rsidRDefault="00107172"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COP13</w:t>
            </w:r>
          </w:p>
        </w:tc>
        <w:tc>
          <w:tcPr>
            <w:tcW w:w="893" w:type="dxa"/>
            <w:vAlign w:val="center"/>
            <w:hideMark/>
          </w:tcPr>
          <w:p w14:paraId="41097CEF" w14:textId="77777777" w:rsidR="00107172" w:rsidRPr="000F7953" w:rsidRDefault="00107172"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COP14</w:t>
            </w:r>
          </w:p>
        </w:tc>
        <w:tc>
          <w:tcPr>
            <w:tcW w:w="893" w:type="dxa"/>
            <w:vAlign w:val="center"/>
            <w:hideMark/>
          </w:tcPr>
          <w:p w14:paraId="240AA85B" w14:textId="77777777" w:rsidR="00107172" w:rsidRPr="000F7953" w:rsidRDefault="00107172"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COP15</w:t>
            </w:r>
          </w:p>
        </w:tc>
        <w:tc>
          <w:tcPr>
            <w:tcW w:w="1559" w:type="dxa"/>
            <w:vAlign w:val="center"/>
            <w:hideMark/>
          </w:tcPr>
          <w:p w14:paraId="47E96221" w14:textId="77777777" w:rsidR="00107172" w:rsidRPr="000F7953" w:rsidRDefault="00107172"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Tendencia</w:t>
            </w:r>
          </w:p>
        </w:tc>
      </w:tr>
      <w:tr w:rsidR="00107172" w:rsidRPr="000F7953" w14:paraId="7A529647" w14:textId="77777777" w:rsidTr="00195D2D">
        <w:trPr>
          <w:cantSplit/>
        </w:trPr>
        <w:tc>
          <w:tcPr>
            <w:tcW w:w="4141" w:type="dxa"/>
          </w:tcPr>
          <w:p w14:paraId="7945C630" w14:textId="77777777" w:rsidR="00107172" w:rsidRPr="000F7953" w:rsidRDefault="00107172" w:rsidP="00CD3F6B">
            <w:pPr>
              <w:rPr>
                <w:rFonts w:asciiTheme="minorHAnsi" w:eastAsia="Aptos" w:hAnsiTheme="minorHAnsi" w:cstheme="minorHAnsi"/>
                <w:sz w:val="22"/>
                <w:szCs w:val="22"/>
              </w:rPr>
            </w:pPr>
            <w:r w:rsidRPr="000F7953">
              <w:rPr>
                <w:rFonts w:asciiTheme="minorHAnsi" w:hAnsiTheme="minorHAnsi" w:cstheme="minorHAnsi"/>
                <w:sz w:val="22"/>
                <w:szCs w:val="22"/>
              </w:rPr>
              <w:t>Porcentaje de Partes que han establecido políticas o lineamientos nacionales sobre el control y el manejo de las especies invasoras.</w:t>
            </w:r>
          </w:p>
        </w:tc>
        <w:tc>
          <w:tcPr>
            <w:tcW w:w="992" w:type="dxa"/>
          </w:tcPr>
          <w:p w14:paraId="66ABFD41" w14:textId="0F687666" w:rsidR="00107172" w:rsidRPr="000F7953" w:rsidRDefault="00107172" w:rsidP="00506589">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36</w:t>
            </w:r>
            <w:r w:rsidR="005601CD" w:rsidRPr="000F7953">
              <w:rPr>
                <w:rFonts w:asciiTheme="minorHAnsi" w:hAnsiTheme="minorHAnsi" w:cstheme="minorHAnsi"/>
                <w:b/>
                <w:bCs/>
                <w:sz w:val="22"/>
                <w:szCs w:val="22"/>
              </w:rPr>
              <w:t> %</w:t>
            </w:r>
          </w:p>
        </w:tc>
        <w:tc>
          <w:tcPr>
            <w:tcW w:w="892" w:type="dxa"/>
          </w:tcPr>
          <w:p w14:paraId="6F1FA158" w14:textId="40BF0191" w:rsidR="00107172" w:rsidRPr="000F7953" w:rsidRDefault="00107172" w:rsidP="00506589">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26</w:t>
            </w:r>
            <w:r w:rsidR="005601CD" w:rsidRPr="000F7953">
              <w:rPr>
                <w:rFonts w:asciiTheme="minorHAnsi" w:hAnsiTheme="minorHAnsi" w:cstheme="minorHAnsi"/>
                <w:b/>
                <w:bCs/>
                <w:sz w:val="22"/>
                <w:szCs w:val="22"/>
              </w:rPr>
              <w:t> %</w:t>
            </w:r>
          </w:p>
        </w:tc>
        <w:tc>
          <w:tcPr>
            <w:tcW w:w="893" w:type="dxa"/>
          </w:tcPr>
          <w:p w14:paraId="2B7D9B0A" w14:textId="7AABF8DB" w:rsidR="00107172" w:rsidRPr="000F7953" w:rsidRDefault="00107172" w:rsidP="00506589">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42</w:t>
            </w:r>
            <w:r w:rsidR="005601CD" w:rsidRPr="000F7953">
              <w:rPr>
                <w:rFonts w:asciiTheme="minorHAnsi" w:hAnsiTheme="minorHAnsi" w:cstheme="minorHAnsi"/>
                <w:b/>
                <w:bCs/>
                <w:sz w:val="22"/>
                <w:szCs w:val="22"/>
              </w:rPr>
              <w:t> %</w:t>
            </w:r>
          </w:p>
        </w:tc>
        <w:tc>
          <w:tcPr>
            <w:tcW w:w="893" w:type="dxa"/>
          </w:tcPr>
          <w:p w14:paraId="0CB1A208" w14:textId="133AC70D" w:rsidR="00107172" w:rsidRPr="000F7953" w:rsidRDefault="00107172" w:rsidP="00506589">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54</w:t>
            </w:r>
            <w:r w:rsidR="005601CD" w:rsidRPr="000F7953">
              <w:rPr>
                <w:rFonts w:asciiTheme="minorHAnsi" w:hAnsiTheme="minorHAnsi" w:cstheme="minorHAnsi"/>
                <w:b/>
                <w:bCs/>
                <w:sz w:val="22"/>
                <w:szCs w:val="22"/>
              </w:rPr>
              <w:t> %</w:t>
            </w:r>
          </w:p>
        </w:tc>
        <w:tc>
          <w:tcPr>
            <w:tcW w:w="1559" w:type="dxa"/>
          </w:tcPr>
          <w:p w14:paraId="15A1C6C1" w14:textId="46A3CABA" w:rsidR="00107172" w:rsidRPr="000F7953" w:rsidRDefault="00DB74EA" w:rsidP="00CD3F6B">
            <w:pPr>
              <w:rPr>
                <w:rFonts w:asciiTheme="minorHAnsi" w:eastAsia="Aptos" w:hAnsiTheme="minorHAnsi" w:cstheme="minorHAnsi"/>
                <w:sz w:val="22"/>
                <w:szCs w:val="22"/>
              </w:rPr>
            </w:pPr>
            <w:r w:rsidRPr="000F7953">
              <w:rPr>
                <w:rFonts w:asciiTheme="minorHAnsi" w:hAnsiTheme="minorHAnsi" w:cstheme="minorHAnsi"/>
                <w:noProof/>
                <w:sz w:val="22"/>
                <w:szCs w:val="22"/>
              </w:rPr>
              <w:drawing>
                <wp:inline distT="0" distB="0" distL="0" distR="0" wp14:anchorId="13FA3754" wp14:editId="595B2D1E">
                  <wp:extent cx="712200" cy="432000"/>
                  <wp:effectExtent l="0" t="0" r="0" b="6350"/>
                  <wp:docPr id="74939045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107172" w:rsidRPr="000F7953" w14:paraId="097A2974" w14:textId="77777777" w:rsidTr="00195D2D">
        <w:trPr>
          <w:cantSplit/>
        </w:trPr>
        <w:tc>
          <w:tcPr>
            <w:tcW w:w="4141" w:type="dxa"/>
          </w:tcPr>
          <w:p w14:paraId="4D5C1C86" w14:textId="77777777" w:rsidR="00107172" w:rsidRPr="000F7953" w:rsidRDefault="00107172" w:rsidP="00CD3F6B">
            <w:pPr>
              <w:rPr>
                <w:rFonts w:asciiTheme="minorHAnsi" w:eastAsia="Aptos" w:hAnsiTheme="minorHAnsi" w:cstheme="minorHAnsi"/>
                <w:sz w:val="22"/>
                <w:szCs w:val="22"/>
              </w:rPr>
            </w:pPr>
            <w:r w:rsidRPr="000F7953">
              <w:rPr>
                <w:rFonts w:asciiTheme="minorHAnsi" w:hAnsiTheme="minorHAnsi" w:cstheme="minorHAnsi"/>
                <w:sz w:val="22"/>
                <w:szCs w:val="22"/>
              </w:rPr>
              <w:t>Porcentaje de Partes que disponen de un inventario nacional de las especies exóticas invasoras que afectan o podrían afectar a las características ecológicas de los humedales.</w:t>
            </w:r>
          </w:p>
        </w:tc>
        <w:tc>
          <w:tcPr>
            <w:tcW w:w="992" w:type="dxa"/>
            <w:shd w:val="clear" w:color="auto" w:fill="auto"/>
          </w:tcPr>
          <w:p w14:paraId="7E770ECF" w14:textId="37C12183" w:rsidR="00107172" w:rsidRPr="000F7953" w:rsidRDefault="00107172" w:rsidP="00506589">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34</w:t>
            </w:r>
            <w:r w:rsidR="005601CD" w:rsidRPr="000F7953">
              <w:rPr>
                <w:rFonts w:asciiTheme="minorHAnsi" w:hAnsiTheme="minorHAnsi" w:cstheme="minorHAnsi"/>
                <w:b/>
                <w:bCs/>
                <w:sz w:val="22"/>
                <w:szCs w:val="22"/>
              </w:rPr>
              <w:t> %</w:t>
            </w:r>
          </w:p>
        </w:tc>
        <w:tc>
          <w:tcPr>
            <w:tcW w:w="892" w:type="dxa"/>
          </w:tcPr>
          <w:p w14:paraId="38801290" w14:textId="072F6840" w:rsidR="00107172" w:rsidRPr="000F7953" w:rsidRDefault="00107172" w:rsidP="00506589">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40</w:t>
            </w:r>
            <w:r w:rsidR="005601CD" w:rsidRPr="000F7953">
              <w:rPr>
                <w:rFonts w:asciiTheme="minorHAnsi" w:hAnsiTheme="minorHAnsi" w:cstheme="minorHAnsi"/>
                <w:b/>
                <w:bCs/>
                <w:sz w:val="22"/>
                <w:szCs w:val="22"/>
              </w:rPr>
              <w:t> %</w:t>
            </w:r>
          </w:p>
        </w:tc>
        <w:tc>
          <w:tcPr>
            <w:tcW w:w="893" w:type="dxa"/>
          </w:tcPr>
          <w:p w14:paraId="2454DF6D" w14:textId="3276D9F4" w:rsidR="00107172" w:rsidRPr="000F7953" w:rsidRDefault="00107172" w:rsidP="00506589">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42</w:t>
            </w:r>
            <w:r w:rsidR="005601CD" w:rsidRPr="000F7953">
              <w:rPr>
                <w:rFonts w:asciiTheme="minorHAnsi" w:hAnsiTheme="minorHAnsi" w:cstheme="minorHAnsi"/>
                <w:b/>
                <w:bCs/>
                <w:sz w:val="22"/>
                <w:szCs w:val="22"/>
              </w:rPr>
              <w:t> %</w:t>
            </w:r>
          </w:p>
        </w:tc>
        <w:tc>
          <w:tcPr>
            <w:tcW w:w="893" w:type="dxa"/>
          </w:tcPr>
          <w:p w14:paraId="670C2C84" w14:textId="14942ACD" w:rsidR="00107172" w:rsidRPr="000F7953" w:rsidRDefault="00107172" w:rsidP="00506589">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52</w:t>
            </w:r>
            <w:r w:rsidR="005601CD" w:rsidRPr="000F7953">
              <w:rPr>
                <w:rFonts w:asciiTheme="minorHAnsi" w:hAnsiTheme="minorHAnsi" w:cstheme="minorHAnsi"/>
                <w:b/>
                <w:bCs/>
                <w:sz w:val="22"/>
                <w:szCs w:val="22"/>
              </w:rPr>
              <w:t> %</w:t>
            </w:r>
          </w:p>
        </w:tc>
        <w:tc>
          <w:tcPr>
            <w:tcW w:w="1559" w:type="dxa"/>
          </w:tcPr>
          <w:p w14:paraId="5914AE93" w14:textId="77829975" w:rsidR="00107172" w:rsidRPr="000F7953" w:rsidRDefault="003054D4" w:rsidP="00CD3F6B">
            <w:pPr>
              <w:rPr>
                <w:rFonts w:asciiTheme="minorHAnsi" w:eastAsia="Aptos" w:hAnsiTheme="minorHAnsi" w:cstheme="minorHAnsi"/>
                <w:sz w:val="22"/>
                <w:szCs w:val="22"/>
              </w:rPr>
            </w:pPr>
            <w:r w:rsidRPr="000F7953">
              <w:rPr>
                <w:rFonts w:asciiTheme="minorHAnsi" w:hAnsiTheme="minorHAnsi" w:cstheme="minorHAnsi"/>
                <w:noProof/>
                <w:sz w:val="22"/>
                <w:szCs w:val="22"/>
              </w:rPr>
              <w:drawing>
                <wp:inline distT="0" distB="0" distL="0" distR="0" wp14:anchorId="6C6F422C" wp14:editId="43657FE9">
                  <wp:extent cx="712200" cy="432000"/>
                  <wp:effectExtent l="0" t="0" r="0" b="0"/>
                  <wp:docPr id="182010705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bl>
    <w:p w14:paraId="0D1CCB4B" w14:textId="77777777" w:rsidR="00FC26A0" w:rsidRPr="000F7953" w:rsidRDefault="00FC26A0" w:rsidP="00CD3F6B">
      <w:pPr>
        <w:rPr>
          <w:rFonts w:asciiTheme="minorHAnsi" w:hAnsiTheme="minorHAnsi" w:cstheme="minorHAnsi"/>
          <w:sz w:val="22"/>
          <w:szCs w:val="22"/>
        </w:rPr>
      </w:pPr>
    </w:p>
    <w:p w14:paraId="369E5A1B" w14:textId="427C60D2" w:rsidR="000D57BE" w:rsidRPr="000F7953" w:rsidRDefault="006E34BF" w:rsidP="00D1463B">
      <w:pPr>
        <w:keepNext/>
        <w:rPr>
          <w:rFonts w:asciiTheme="minorHAnsi" w:hAnsiTheme="minorHAnsi" w:cstheme="minorHAnsi"/>
          <w:i/>
          <w:iCs/>
          <w:sz w:val="22"/>
          <w:szCs w:val="22"/>
          <w:u w:val="single"/>
        </w:rPr>
      </w:pPr>
      <w:r w:rsidRPr="000F7953">
        <w:rPr>
          <w:rFonts w:asciiTheme="minorHAnsi" w:hAnsiTheme="minorHAnsi" w:cstheme="minorHAnsi"/>
          <w:i/>
          <w:iCs/>
          <w:sz w:val="22"/>
          <w:szCs w:val="22"/>
          <w:u w:val="single"/>
        </w:rPr>
        <w:lastRenderedPageBreak/>
        <w:t xml:space="preserve">Resumen de los progresos realizados </w:t>
      </w:r>
    </w:p>
    <w:p w14:paraId="53808436" w14:textId="77777777" w:rsidR="00D1463B" w:rsidRPr="000F7953" w:rsidRDefault="00D1463B" w:rsidP="00D1463B">
      <w:pPr>
        <w:keepNext/>
        <w:rPr>
          <w:rFonts w:asciiTheme="minorHAnsi" w:hAnsiTheme="minorHAnsi" w:cstheme="minorHAnsi"/>
          <w:i/>
          <w:iCs/>
          <w:sz w:val="22"/>
          <w:szCs w:val="22"/>
          <w:u w:val="single"/>
        </w:rPr>
      </w:pPr>
    </w:p>
    <w:p w14:paraId="23E535CC" w14:textId="53983CF2" w:rsidR="009549EA" w:rsidRPr="000F7953" w:rsidRDefault="00515041" w:rsidP="000E3338">
      <w:pPr>
        <w:ind w:left="567" w:hanging="567"/>
        <w:rPr>
          <w:rFonts w:asciiTheme="minorHAnsi" w:hAnsiTheme="minorHAnsi" w:cstheme="minorHAnsi"/>
          <w:sz w:val="22"/>
          <w:szCs w:val="22"/>
        </w:rPr>
      </w:pPr>
      <w:r w:rsidRPr="000F7953">
        <w:rPr>
          <w:rFonts w:asciiTheme="minorHAnsi" w:hAnsiTheme="minorHAnsi" w:cstheme="minorHAnsi"/>
          <w:sz w:val="22"/>
          <w:szCs w:val="22"/>
        </w:rPr>
        <w:t>27.</w:t>
      </w:r>
      <w:r w:rsidRPr="000F7953">
        <w:rPr>
          <w:rFonts w:asciiTheme="minorHAnsi" w:hAnsiTheme="minorHAnsi" w:cstheme="minorHAnsi"/>
          <w:sz w:val="22"/>
          <w:szCs w:val="22"/>
        </w:rPr>
        <w:tab/>
        <w:t>Para la COP15, el 52</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de las Partes Contratantes informan que disponen de inventarios nacionales de especies exóticas invasoras y el 54</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han establecido políticas o directrices sobre el control y la gestión de las especies exóticas invasoras relacionadas con los humedales, lo que supone un aumento significativo con respecto a los valores de referencia respectivos del 20</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y el 36</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w:t>
      </w:r>
    </w:p>
    <w:p w14:paraId="39D56634" w14:textId="77777777" w:rsidR="003578B9" w:rsidRPr="000F7953" w:rsidRDefault="003578B9" w:rsidP="000E3338">
      <w:pPr>
        <w:ind w:left="567" w:hanging="567"/>
        <w:rPr>
          <w:rFonts w:asciiTheme="minorHAnsi" w:hAnsiTheme="minorHAnsi" w:cstheme="minorHAnsi"/>
          <w:sz w:val="22"/>
          <w:szCs w:val="22"/>
        </w:rPr>
      </w:pPr>
    </w:p>
    <w:p w14:paraId="7EE6E5AA" w14:textId="1E37FFF9" w:rsidR="000D57BE" w:rsidRPr="000F7953" w:rsidRDefault="00515041" w:rsidP="000E3338">
      <w:pPr>
        <w:ind w:left="567" w:hanging="567"/>
        <w:rPr>
          <w:rFonts w:asciiTheme="minorHAnsi" w:hAnsiTheme="minorHAnsi" w:cstheme="minorHAnsi"/>
          <w:sz w:val="22"/>
          <w:szCs w:val="22"/>
        </w:rPr>
      </w:pPr>
      <w:r w:rsidRPr="000F7953">
        <w:rPr>
          <w:rFonts w:asciiTheme="minorHAnsi" w:hAnsiTheme="minorHAnsi" w:cstheme="minorHAnsi"/>
          <w:sz w:val="22"/>
          <w:szCs w:val="22"/>
        </w:rPr>
        <w:t>28.</w:t>
      </w:r>
      <w:r w:rsidRPr="000F7953">
        <w:rPr>
          <w:rFonts w:asciiTheme="minorHAnsi" w:hAnsiTheme="minorHAnsi" w:cstheme="minorHAnsi"/>
          <w:sz w:val="22"/>
          <w:szCs w:val="22"/>
        </w:rPr>
        <w:tab/>
        <w:t>Ninguna Parte Contratante ha comunicado haber controlado con éxito las especies exóticas invasoras de alto riesgo mediante acciones de gestión. Sólo el 18</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ha evaluado la eficacia de sus programas de control de especies exóticas invasoras en humedales, aunque esto representa un aumento significativo desde la COP13. </w:t>
      </w:r>
    </w:p>
    <w:p w14:paraId="7B05B1C6" w14:textId="77777777" w:rsidR="000D57BE" w:rsidRPr="000F7953" w:rsidRDefault="000D57BE" w:rsidP="000E3338">
      <w:pPr>
        <w:ind w:left="567" w:hanging="567"/>
        <w:rPr>
          <w:rFonts w:asciiTheme="minorHAnsi" w:hAnsiTheme="minorHAnsi" w:cstheme="minorHAnsi"/>
          <w:sz w:val="22"/>
          <w:szCs w:val="22"/>
        </w:rPr>
      </w:pPr>
    </w:p>
    <w:p w14:paraId="4C82E331" w14:textId="3F941C1F" w:rsidR="003302CB" w:rsidRPr="000F7953" w:rsidRDefault="002E1E29" w:rsidP="000E3338">
      <w:pPr>
        <w:ind w:left="567" w:hanging="567"/>
        <w:rPr>
          <w:rFonts w:asciiTheme="minorHAnsi" w:hAnsiTheme="minorHAnsi" w:cstheme="minorHAnsi"/>
          <w:sz w:val="22"/>
          <w:szCs w:val="22"/>
        </w:rPr>
      </w:pPr>
      <w:r w:rsidRPr="000F7953">
        <w:rPr>
          <w:rFonts w:asciiTheme="minorHAnsi" w:hAnsiTheme="minorHAnsi" w:cstheme="minorHAnsi"/>
          <w:sz w:val="22"/>
          <w:szCs w:val="22"/>
        </w:rPr>
        <w:t>29.</w:t>
      </w:r>
      <w:r w:rsidRPr="000F7953">
        <w:rPr>
          <w:rFonts w:asciiTheme="minorHAnsi" w:hAnsiTheme="minorHAnsi" w:cstheme="minorHAnsi"/>
          <w:sz w:val="22"/>
          <w:szCs w:val="22"/>
        </w:rPr>
        <w:tab/>
        <w:t>Los progresos realizados varían según las regiones. Más del 60</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de las Partes Contratantes afirman disponer de políticas para las especies exóticas invasoras y de inventarios de las mismas en Oceanía, Asia y Europa. Son menos las Partes de África y América Latina y el Caribe que disponen de inventarios de especies exóticas invasoras, y las políticas o lineamientos sobre control y gestión de las especies exóticas invasoras son limitadas, especialmente en África. </w:t>
      </w:r>
    </w:p>
    <w:p w14:paraId="7A745D0B" w14:textId="2CDDEF61" w:rsidR="00923930" w:rsidRPr="000F7953" w:rsidRDefault="00923930" w:rsidP="000E3338">
      <w:pPr>
        <w:ind w:left="567" w:hanging="567"/>
        <w:rPr>
          <w:rFonts w:asciiTheme="minorHAnsi" w:hAnsiTheme="minorHAnsi" w:cstheme="minorHAnsi"/>
          <w:sz w:val="22"/>
          <w:szCs w:val="22"/>
        </w:rPr>
      </w:pPr>
    </w:p>
    <w:p w14:paraId="54E4EBF7" w14:textId="2E421864" w:rsidR="0084460A" w:rsidRPr="000F7953" w:rsidRDefault="00515041" w:rsidP="000E3338">
      <w:pPr>
        <w:ind w:left="567" w:hanging="567"/>
        <w:rPr>
          <w:rFonts w:asciiTheme="minorHAnsi" w:hAnsiTheme="minorHAnsi" w:cstheme="minorHAnsi"/>
          <w:sz w:val="22"/>
          <w:szCs w:val="22"/>
        </w:rPr>
      </w:pPr>
      <w:r w:rsidRPr="000F7953">
        <w:rPr>
          <w:rFonts w:asciiTheme="minorHAnsi" w:hAnsiTheme="minorHAnsi" w:cstheme="minorHAnsi"/>
          <w:sz w:val="22"/>
          <w:szCs w:val="22"/>
        </w:rPr>
        <w:t>30.</w:t>
      </w:r>
      <w:r w:rsidRPr="000F7953">
        <w:rPr>
          <w:rFonts w:asciiTheme="minorHAnsi" w:hAnsiTheme="minorHAnsi" w:cstheme="minorHAnsi"/>
          <w:sz w:val="22"/>
          <w:szCs w:val="22"/>
        </w:rPr>
        <w:tab/>
        <w:t>En todas las regiones sigue habiendo problemas para evaluar los resultados ecológicos. Más del 80</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de las Partes Contratantes que facilitaron información descriptiva en los informes nacionales señalan la necesidad de mejorar los marcos de seguimiento y evaluación, completar los inventarios nacionales de especies exóticas invasoras y seguir desarrollando los sistemas de datos. Más de un tercio de las Partes de África y América Latina y el Caribe destacan la necesidad de aumentar el apoyo técnico y financiero. </w:t>
      </w:r>
    </w:p>
    <w:p w14:paraId="2E6DAC63" w14:textId="77777777" w:rsidR="0084460A" w:rsidRPr="000F7953" w:rsidRDefault="0084460A" w:rsidP="00CD3F6B">
      <w:pPr>
        <w:rPr>
          <w:rFonts w:asciiTheme="minorHAnsi" w:hAnsiTheme="minorHAnsi" w:cstheme="minorHAnsi"/>
          <w:sz w:val="22"/>
          <w:szCs w:val="22"/>
        </w:rPr>
      </w:pPr>
    </w:p>
    <w:p w14:paraId="009CB705" w14:textId="77777777" w:rsidR="00C3536E" w:rsidRPr="000F7953" w:rsidRDefault="00C3536E" w:rsidP="00CD3F6B">
      <w:pPr>
        <w:rPr>
          <w:rFonts w:asciiTheme="minorHAnsi" w:hAnsiTheme="minorHAnsi" w:cstheme="minorHAnsi"/>
          <w:sz w:val="22"/>
          <w:szCs w:val="22"/>
        </w:rPr>
      </w:pPr>
    </w:p>
    <w:p w14:paraId="3A9342A7" w14:textId="0C76344B" w:rsidR="002A6998" w:rsidRPr="000F7953" w:rsidRDefault="002A6998" w:rsidP="00D1463B">
      <w:pPr>
        <w:keepNext/>
        <w:rPr>
          <w:rFonts w:asciiTheme="minorHAnsi" w:hAnsiTheme="minorHAnsi" w:cstheme="minorHAnsi"/>
          <w:b/>
          <w:sz w:val="22"/>
          <w:szCs w:val="22"/>
        </w:rPr>
      </w:pPr>
      <w:r w:rsidRPr="000F7953">
        <w:rPr>
          <w:rFonts w:asciiTheme="minorHAnsi" w:hAnsiTheme="minorHAnsi" w:cstheme="minorHAnsi"/>
          <w:b/>
          <w:sz w:val="22"/>
          <w:szCs w:val="22"/>
        </w:rPr>
        <w:t xml:space="preserve">Objetivo 2: Llevar a cabo una conservación y un manejo eficaces de la red de sitios Ramsar </w:t>
      </w:r>
    </w:p>
    <w:p w14:paraId="5D1A5638" w14:textId="77777777" w:rsidR="00D51D34" w:rsidRPr="000F7953" w:rsidRDefault="00D51D34" w:rsidP="00D1463B">
      <w:pPr>
        <w:keepNext/>
        <w:rPr>
          <w:rFonts w:asciiTheme="minorHAnsi" w:hAnsiTheme="minorHAnsi" w:cstheme="minorHAnsi"/>
          <w:sz w:val="22"/>
          <w:szCs w:val="22"/>
          <w:u w:val="single"/>
          <w:lang w:eastAsia="fr-FR"/>
        </w:rPr>
      </w:pPr>
    </w:p>
    <w:tbl>
      <w:tblPr>
        <w:tblStyle w:val="TableGrid16"/>
        <w:tblW w:w="9351" w:type="dxa"/>
        <w:tblLook w:val="04A0" w:firstRow="1" w:lastRow="0" w:firstColumn="1" w:lastColumn="0" w:noHBand="0" w:noVBand="1"/>
      </w:tblPr>
      <w:tblGrid>
        <w:gridCol w:w="9351"/>
      </w:tblGrid>
      <w:tr w:rsidR="002F4351" w:rsidRPr="000F7953" w14:paraId="2E692FE9" w14:textId="77777777" w:rsidTr="004D229D">
        <w:tc>
          <w:tcPr>
            <w:tcW w:w="9351" w:type="dxa"/>
            <w:vAlign w:val="center"/>
          </w:tcPr>
          <w:p w14:paraId="367D1F4B" w14:textId="520B9B5C" w:rsidR="00504C93" w:rsidRPr="000F7953" w:rsidRDefault="002F4351" w:rsidP="008A3659">
            <w:pPr>
              <w:keepNext/>
              <w:spacing w:before="120" w:after="120"/>
              <w:rPr>
                <w:rFonts w:asciiTheme="minorHAnsi" w:eastAsia="MS Gothic" w:hAnsiTheme="minorHAnsi" w:cstheme="minorHAnsi"/>
                <w:b/>
                <w:sz w:val="22"/>
                <w:szCs w:val="22"/>
              </w:rPr>
            </w:pPr>
            <w:bookmarkStart w:id="2" w:name="_Hlk193174937"/>
            <w:r w:rsidRPr="000F7953">
              <w:rPr>
                <w:rFonts w:asciiTheme="minorHAnsi" w:hAnsiTheme="minorHAnsi" w:cstheme="minorHAnsi"/>
                <w:b/>
                <w:sz w:val="22"/>
                <w:szCs w:val="22"/>
              </w:rPr>
              <w:t>Meta 5. Se mantienen o restauran las características ecológicas de los Humedales de Importancia Internacional a través de una planificación eficaz y un manejo integrado.</w:t>
            </w:r>
          </w:p>
          <w:p w14:paraId="0E1A9F98" w14:textId="2253F4E3" w:rsidR="002F4351" w:rsidRPr="000F7953" w:rsidRDefault="001B1C1A" w:rsidP="008A3659">
            <w:pPr>
              <w:keepNext/>
              <w:spacing w:before="120" w:after="120"/>
              <w:rPr>
                <w:rFonts w:asciiTheme="minorHAnsi" w:hAnsiTheme="minorHAnsi" w:cstheme="minorHAnsi"/>
                <w:bCs/>
                <w:sz w:val="22"/>
                <w:szCs w:val="22"/>
              </w:rPr>
            </w:pPr>
            <w:r w:rsidRPr="000F7953">
              <w:rPr>
                <w:rFonts w:asciiTheme="minorHAnsi" w:hAnsiTheme="minorHAnsi" w:cstheme="minorHAnsi"/>
                <w:bCs/>
                <w:sz w:val="22"/>
                <w:szCs w:val="22"/>
              </w:rPr>
              <w:t>Contribuye a las metas 3, 4 y 5 del MMB-KM y a las metas 6.3, 6.4, 6.5, 6.6, 11.3, 11.4, 11.a, 11.b, 13.1, 14.2, 15.1, 15.2, 15.3 y 15.4 de los ODS.</w:t>
            </w:r>
          </w:p>
        </w:tc>
      </w:tr>
      <w:bookmarkEnd w:id="2"/>
    </w:tbl>
    <w:p w14:paraId="0AD434E1" w14:textId="77777777" w:rsidR="00CE057A" w:rsidRPr="000F7953" w:rsidRDefault="00CE057A" w:rsidP="00D1463B">
      <w:pPr>
        <w:keepNext/>
        <w:rPr>
          <w:rFonts w:asciiTheme="minorHAnsi" w:hAnsiTheme="minorHAnsi" w:cstheme="minorHAnsi"/>
          <w:sz w:val="22"/>
          <w:szCs w:val="22"/>
        </w:rPr>
      </w:pPr>
    </w:p>
    <w:p w14:paraId="17DA40BB" w14:textId="6D4F0087" w:rsidR="004D1B26" w:rsidRPr="000F7953" w:rsidRDefault="004D1B26" w:rsidP="00D1463B">
      <w:pPr>
        <w:keepNext/>
        <w:rPr>
          <w:rFonts w:asciiTheme="minorHAnsi" w:hAnsiTheme="minorHAnsi" w:cstheme="minorHAnsi"/>
          <w:i/>
          <w:iCs/>
          <w:sz w:val="22"/>
          <w:szCs w:val="22"/>
          <w:u w:val="single"/>
        </w:rPr>
      </w:pPr>
      <w:r w:rsidRPr="000F7953">
        <w:rPr>
          <w:rFonts w:asciiTheme="minorHAnsi" w:hAnsiTheme="minorHAnsi" w:cstheme="minorHAnsi"/>
          <w:i/>
          <w:iCs/>
          <w:sz w:val="22"/>
          <w:szCs w:val="22"/>
          <w:u w:val="single"/>
        </w:rPr>
        <w:t>Mensaje clave</w:t>
      </w:r>
    </w:p>
    <w:p w14:paraId="002F35CC" w14:textId="77777777" w:rsidR="00745BD7" w:rsidRPr="000F7953" w:rsidRDefault="00745BD7" w:rsidP="00D1463B">
      <w:pPr>
        <w:keepNext/>
        <w:rPr>
          <w:rFonts w:asciiTheme="minorHAnsi" w:hAnsiTheme="minorHAnsi" w:cstheme="minorHAnsi"/>
          <w:sz w:val="22"/>
          <w:szCs w:val="22"/>
        </w:rPr>
      </w:pPr>
    </w:p>
    <w:p w14:paraId="42D9DD3C" w14:textId="187CFC37" w:rsidR="00363F1A" w:rsidRPr="000F7953" w:rsidRDefault="00515041" w:rsidP="000E3338">
      <w:pPr>
        <w:ind w:left="567" w:hanging="567"/>
        <w:rPr>
          <w:rFonts w:asciiTheme="minorHAnsi" w:hAnsiTheme="minorHAnsi" w:cstheme="minorHAnsi"/>
          <w:sz w:val="22"/>
          <w:szCs w:val="22"/>
        </w:rPr>
      </w:pPr>
      <w:r w:rsidRPr="000F7953">
        <w:rPr>
          <w:rFonts w:asciiTheme="minorHAnsi" w:hAnsiTheme="minorHAnsi" w:cstheme="minorHAnsi"/>
          <w:sz w:val="22"/>
          <w:szCs w:val="22"/>
        </w:rPr>
        <w:t>31.</w:t>
      </w:r>
      <w:r w:rsidRPr="000F7953">
        <w:rPr>
          <w:rFonts w:asciiTheme="minorHAnsi" w:hAnsiTheme="minorHAnsi" w:cstheme="minorHAnsi"/>
          <w:sz w:val="22"/>
          <w:szCs w:val="22"/>
        </w:rPr>
        <w:tab/>
        <w:t xml:space="preserve">En general, el estado de las características ecológicas de los Humedales de Importancia Internacional ha permanecido relativamente inalterado durante el período cubierto por el PE4. Los informes nacionales sugieren que hay un aumento en el número de Humedales de Importancia Internacional que son objeto de gestión eficaz, pero solo en algunos sitios se realizan evaluaciones de la eficacia de la gestión. Una gran parte de las Fichas Informativas de Ramsar (FIR) están obsoletas. </w:t>
      </w:r>
    </w:p>
    <w:p w14:paraId="6708D36B" w14:textId="285D9B8F" w:rsidR="00367834" w:rsidRPr="000F7953" w:rsidRDefault="00367834" w:rsidP="00CD3F6B">
      <w:pPr>
        <w:rPr>
          <w:rFonts w:asciiTheme="minorHAnsi" w:hAnsiTheme="minorHAnsi" w:cstheme="minorHAnsi"/>
          <w:sz w:val="22"/>
          <w:szCs w:val="22"/>
        </w:rPr>
      </w:pPr>
    </w:p>
    <w:tbl>
      <w:tblPr>
        <w:tblStyle w:val="TableGrid25"/>
        <w:tblW w:w="9356" w:type="dxa"/>
        <w:tblInd w:w="-5" w:type="dxa"/>
        <w:tblLayout w:type="fixed"/>
        <w:tblCellMar>
          <w:left w:w="85" w:type="dxa"/>
          <w:right w:w="85" w:type="dxa"/>
        </w:tblCellMar>
        <w:tblLook w:val="04A0" w:firstRow="1" w:lastRow="0" w:firstColumn="1" w:lastColumn="0" w:noHBand="0" w:noVBand="1"/>
      </w:tblPr>
      <w:tblGrid>
        <w:gridCol w:w="3969"/>
        <w:gridCol w:w="1276"/>
        <w:gridCol w:w="850"/>
        <w:gridCol w:w="851"/>
        <w:gridCol w:w="851"/>
        <w:gridCol w:w="1559"/>
      </w:tblGrid>
      <w:tr w:rsidR="004F6EE6" w:rsidRPr="000F7953" w14:paraId="7EEE76D6" w14:textId="77777777" w:rsidTr="004F7B43">
        <w:trPr>
          <w:cantSplit/>
        </w:trPr>
        <w:tc>
          <w:tcPr>
            <w:tcW w:w="3969" w:type="dxa"/>
            <w:shd w:val="clear" w:color="auto" w:fill="auto"/>
            <w:vAlign w:val="center"/>
            <w:hideMark/>
          </w:tcPr>
          <w:p w14:paraId="381E9C10" w14:textId="77777777" w:rsidR="00367834" w:rsidRPr="000F7953" w:rsidRDefault="00367834"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Indicador</w:t>
            </w:r>
          </w:p>
        </w:tc>
        <w:tc>
          <w:tcPr>
            <w:tcW w:w="1276" w:type="dxa"/>
            <w:shd w:val="clear" w:color="auto" w:fill="auto"/>
            <w:vAlign w:val="center"/>
            <w:hideMark/>
          </w:tcPr>
          <w:p w14:paraId="3FE51B59" w14:textId="51957B14" w:rsidR="00367834" w:rsidRPr="000F7953" w:rsidRDefault="00367834"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Referencia</w:t>
            </w:r>
          </w:p>
        </w:tc>
        <w:tc>
          <w:tcPr>
            <w:tcW w:w="850" w:type="dxa"/>
            <w:shd w:val="clear" w:color="auto" w:fill="auto"/>
            <w:vAlign w:val="center"/>
            <w:hideMark/>
          </w:tcPr>
          <w:p w14:paraId="53570B62" w14:textId="77777777" w:rsidR="00367834" w:rsidRPr="000F7953" w:rsidRDefault="00367834"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COP13</w:t>
            </w:r>
          </w:p>
        </w:tc>
        <w:tc>
          <w:tcPr>
            <w:tcW w:w="851" w:type="dxa"/>
            <w:shd w:val="clear" w:color="auto" w:fill="auto"/>
            <w:vAlign w:val="center"/>
            <w:hideMark/>
          </w:tcPr>
          <w:p w14:paraId="4D5C9793" w14:textId="77777777" w:rsidR="00367834" w:rsidRPr="000F7953" w:rsidRDefault="00367834"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COP14</w:t>
            </w:r>
          </w:p>
        </w:tc>
        <w:tc>
          <w:tcPr>
            <w:tcW w:w="851" w:type="dxa"/>
            <w:shd w:val="clear" w:color="auto" w:fill="auto"/>
            <w:vAlign w:val="center"/>
            <w:hideMark/>
          </w:tcPr>
          <w:p w14:paraId="742FCE99" w14:textId="77777777" w:rsidR="00367834" w:rsidRPr="000F7953" w:rsidRDefault="00367834"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COP15</w:t>
            </w:r>
          </w:p>
        </w:tc>
        <w:tc>
          <w:tcPr>
            <w:tcW w:w="1559" w:type="dxa"/>
            <w:shd w:val="clear" w:color="auto" w:fill="auto"/>
            <w:vAlign w:val="center"/>
            <w:hideMark/>
          </w:tcPr>
          <w:p w14:paraId="6915A882" w14:textId="77777777" w:rsidR="00367834" w:rsidRPr="000F7953" w:rsidRDefault="00367834"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Tendencia</w:t>
            </w:r>
          </w:p>
        </w:tc>
      </w:tr>
      <w:tr w:rsidR="004F6EE6" w:rsidRPr="000F7953" w14:paraId="0DEEEDE6" w14:textId="77777777" w:rsidTr="004F7B43">
        <w:trPr>
          <w:cantSplit/>
        </w:trPr>
        <w:tc>
          <w:tcPr>
            <w:tcW w:w="3969" w:type="dxa"/>
            <w:shd w:val="clear" w:color="auto" w:fill="auto"/>
          </w:tcPr>
          <w:p w14:paraId="0A262C15" w14:textId="516F5F2F" w:rsidR="00752883" w:rsidRPr="000F7953" w:rsidRDefault="00367834" w:rsidP="00CD3F6B">
            <w:pPr>
              <w:rPr>
                <w:rFonts w:asciiTheme="minorHAnsi" w:eastAsia="Aptos" w:hAnsiTheme="minorHAnsi" w:cstheme="minorHAnsi"/>
                <w:sz w:val="22"/>
                <w:szCs w:val="22"/>
              </w:rPr>
            </w:pPr>
            <w:r w:rsidRPr="000F7953">
              <w:rPr>
                <w:rFonts w:asciiTheme="minorHAnsi" w:hAnsiTheme="minorHAnsi" w:cstheme="minorHAnsi"/>
                <w:sz w:val="22"/>
                <w:szCs w:val="22"/>
              </w:rPr>
              <w:t xml:space="preserve">Número de sitios Ramsar que disponen de planes de manejo eficaces que se están aplicando. </w:t>
            </w:r>
          </w:p>
          <w:p w14:paraId="1D51FA5D" w14:textId="6F1AC6C0" w:rsidR="00E44196" w:rsidRPr="000F7953" w:rsidRDefault="00E44196" w:rsidP="00CD3F6B">
            <w:pPr>
              <w:rPr>
                <w:rFonts w:asciiTheme="minorHAnsi" w:eastAsia="Aptos" w:hAnsiTheme="minorHAnsi" w:cstheme="minorHAnsi"/>
                <w:sz w:val="22"/>
                <w:szCs w:val="22"/>
              </w:rPr>
            </w:pPr>
          </w:p>
        </w:tc>
        <w:tc>
          <w:tcPr>
            <w:tcW w:w="1276" w:type="dxa"/>
            <w:shd w:val="clear" w:color="auto" w:fill="auto"/>
          </w:tcPr>
          <w:p w14:paraId="791EDA6C" w14:textId="186EDD61" w:rsidR="00367834" w:rsidRPr="000F7953" w:rsidRDefault="00106FBF" w:rsidP="004F6EE6">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57</w:t>
            </w:r>
            <w:r w:rsidR="005601CD" w:rsidRPr="000F7953">
              <w:rPr>
                <w:rFonts w:asciiTheme="minorHAnsi" w:hAnsiTheme="minorHAnsi" w:cstheme="minorHAnsi"/>
                <w:b/>
                <w:bCs/>
                <w:sz w:val="22"/>
                <w:szCs w:val="22"/>
              </w:rPr>
              <w:t> %</w:t>
            </w:r>
          </w:p>
        </w:tc>
        <w:tc>
          <w:tcPr>
            <w:tcW w:w="850" w:type="dxa"/>
            <w:shd w:val="clear" w:color="auto" w:fill="auto"/>
          </w:tcPr>
          <w:p w14:paraId="2FAE5B72" w14:textId="69ED31DE" w:rsidR="00367834" w:rsidRPr="000F7953" w:rsidRDefault="00106FBF" w:rsidP="004F6EE6">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63</w:t>
            </w:r>
            <w:r w:rsidR="005601CD" w:rsidRPr="000F7953">
              <w:rPr>
                <w:rFonts w:asciiTheme="minorHAnsi" w:hAnsiTheme="minorHAnsi" w:cstheme="minorHAnsi"/>
                <w:b/>
                <w:bCs/>
                <w:sz w:val="22"/>
                <w:szCs w:val="22"/>
              </w:rPr>
              <w:t> %</w:t>
            </w:r>
          </w:p>
        </w:tc>
        <w:tc>
          <w:tcPr>
            <w:tcW w:w="851" w:type="dxa"/>
            <w:shd w:val="clear" w:color="auto" w:fill="auto"/>
          </w:tcPr>
          <w:p w14:paraId="4EF6E1C8" w14:textId="2C271BCA" w:rsidR="00367834" w:rsidRPr="000F7953" w:rsidRDefault="00470026" w:rsidP="004F6EE6">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79</w:t>
            </w:r>
            <w:r w:rsidR="005601CD" w:rsidRPr="000F7953">
              <w:rPr>
                <w:rFonts w:asciiTheme="minorHAnsi" w:hAnsiTheme="minorHAnsi" w:cstheme="minorHAnsi"/>
                <w:b/>
                <w:bCs/>
                <w:sz w:val="22"/>
                <w:szCs w:val="22"/>
              </w:rPr>
              <w:t> %</w:t>
            </w:r>
          </w:p>
        </w:tc>
        <w:tc>
          <w:tcPr>
            <w:tcW w:w="851" w:type="dxa"/>
            <w:shd w:val="clear" w:color="auto" w:fill="auto"/>
          </w:tcPr>
          <w:p w14:paraId="7040866D" w14:textId="0BD7F698" w:rsidR="00367834" w:rsidRPr="000F7953" w:rsidRDefault="00470026" w:rsidP="004F6EE6">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73</w:t>
            </w:r>
            <w:r w:rsidR="005601CD" w:rsidRPr="000F7953">
              <w:rPr>
                <w:rFonts w:asciiTheme="minorHAnsi" w:hAnsiTheme="minorHAnsi" w:cstheme="minorHAnsi"/>
                <w:b/>
                <w:bCs/>
                <w:sz w:val="22"/>
                <w:szCs w:val="22"/>
              </w:rPr>
              <w:t> %</w:t>
            </w:r>
          </w:p>
        </w:tc>
        <w:tc>
          <w:tcPr>
            <w:tcW w:w="1559" w:type="dxa"/>
            <w:shd w:val="clear" w:color="auto" w:fill="auto"/>
          </w:tcPr>
          <w:p w14:paraId="7671FC74" w14:textId="756C1187" w:rsidR="00367834" w:rsidRPr="000F7953" w:rsidRDefault="00E13DC9" w:rsidP="00CD3F6B">
            <w:pPr>
              <w:rPr>
                <w:rFonts w:asciiTheme="minorHAnsi" w:eastAsia="Aptos" w:hAnsiTheme="minorHAnsi" w:cstheme="minorHAnsi"/>
                <w:sz w:val="22"/>
                <w:szCs w:val="22"/>
              </w:rPr>
            </w:pPr>
            <w:r w:rsidRPr="000F7953">
              <w:rPr>
                <w:rFonts w:asciiTheme="minorHAnsi" w:hAnsiTheme="minorHAnsi" w:cstheme="minorHAnsi"/>
                <w:noProof/>
                <w:sz w:val="22"/>
                <w:szCs w:val="22"/>
              </w:rPr>
              <w:drawing>
                <wp:inline distT="0" distB="0" distL="0" distR="0" wp14:anchorId="595729C2" wp14:editId="5213884E">
                  <wp:extent cx="712200" cy="432000"/>
                  <wp:effectExtent l="0" t="0" r="0" b="0"/>
                  <wp:docPr id="129659278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4F6EE6" w:rsidRPr="000F7953" w14:paraId="07E333E8" w14:textId="77777777" w:rsidTr="004F7B43">
        <w:trPr>
          <w:cantSplit/>
        </w:trPr>
        <w:tc>
          <w:tcPr>
            <w:tcW w:w="3969" w:type="dxa"/>
            <w:shd w:val="clear" w:color="auto" w:fill="auto"/>
          </w:tcPr>
          <w:p w14:paraId="2229387E" w14:textId="23C286C2" w:rsidR="00367834" w:rsidRPr="000F7953" w:rsidRDefault="00367834" w:rsidP="00E30A93">
            <w:pPr>
              <w:rPr>
                <w:rFonts w:asciiTheme="minorHAnsi" w:eastAsia="Aptos" w:hAnsiTheme="minorHAnsi" w:cstheme="minorHAnsi"/>
                <w:sz w:val="22"/>
                <w:szCs w:val="22"/>
              </w:rPr>
            </w:pPr>
            <w:r w:rsidRPr="000F7953">
              <w:rPr>
                <w:rFonts w:asciiTheme="minorHAnsi" w:hAnsiTheme="minorHAnsi" w:cstheme="minorHAnsi"/>
              </w:rPr>
              <w:lastRenderedPageBreak/>
              <w:t>Número de sitios Ramsar que cuentan con una planificación del manejo eficaz que está siendo aplicada (no en el contexto de un plan de manejo formal)*</w:t>
            </w:r>
            <w:r w:rsidRPr="000F7953">
              <w:rPr>
                <w:rStyle w:val="FootnoteReference"/>
                <w:rFonts w:asciiTheme="minorHAnsi" w:eastAsia="Aptos" w:hAnsiTheme="minorHAnsi" w:cstheme="minorHAnsi"/>
                <w:sz w:val="22"/>
                <w:szCs w:val="22"/>
              </w:rPr>
              <w:footnoteReference w:id="4"/>
            </w:r>
            <w:r w:rsidRPr="000F7953">
              <w:rPr>
                <w:rFonts w:asciiTheme="minorHAnsi" w:hAnsiTheme="minorHAnsi" w:cstheme="minorHAnsi"/>
              </w:rPr>
              <w:t>.</w:t>
            </w:r>
            <w:r w:rsidRPr="000F7953">
              <w:rPr>
                <w:rFonts w:asciiTheme="minorHAnsi" w:hAnsiTheme="minorHAnsi" w:cstheme="minorHAnsi"/>
                <w:sz w:val="22"/>
                <w:szCs w:val="22"/>
              </w:rPr>
              <w:t xml:space="preserve"> </w:t>
            </w:r>
          </w:p>
        </w:tc>
        <w:tc>
          <w:tcPr>
            <w:tcW w:w="1276" w:type="dxa"/>
            <w:shd w:val="clear" w:color="auto" w:fill="auto"/>
          </w:tcPr>
          <w:p w14:paraId="33112BFE" w14:textId="28C0D181" w:rsidR="00367834" w:rsidRPr="000F7953" w:rsidRDefault="00367834" w:rsidP="004F6EE6">
            <w:pPr>
              <w:jc w:val="center"/>
              <w:rPr>
                <w:rFonts w:asciiTheme="minorHAnsi" w:eastAsia="Aptos" w:hAnsiTheme="minorHAnsi" w:cstheme="minorHAnsi"/>
                <w:b/>
                <w:bCs/>
                <w:spacing w:val="-4"/>
                <w:sz w:val="22"/>
                <w:szCs w:val="22"/>
              </w:rPr>
            </w:pPr>
            <w:r w:rsidRPr="000F7953">
              <w:rPr>
                <w:rFonts w:asciiTheme="minorHAnsi" w:hAnsiTheme="minorHAnsi" w:cstheme="minorHAnsi"/>
                <w:b/>
                <w:bCs/>
                <w:sz w:val="22"/>
                <w:szCs w:val="22"/>
              </w:rPr>
              <w:t>No disponible</w:t>
            </w:r>
          </w:p>
        </w:tc>
        <w:tc>
          <w:tcPr>
            <w:tcW w:w="850" w:type="dxa"/>
            <w:shd w:val="clear" w:color="auto" w:fill="auto"/>
          </w:tcPr>
          <w:p w14:paraId="34D19088" w14:textId="02BC71AF" w:rsidR="00367834" w:rsidRPr="000F7953" w:rsidRDefault="00470026" w:rsidP="004F6EE6">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23</w:t>
            </w:r>
            <w:r w:rsidR="005601CD" w:rsidRPr="000F7953">
              <w:rPr>
                <w:rFonts w:asciiTheme="minorHAnsi" w:hAnsiTheme="minorHAnsi" w:cstheme="minorHAnsi"/>
                <w:b/>
                <w:bCs/>
                <w:sz w:val="22"/>
                <w:szCs w:val="22"/>
              </w:rPr>
              <w:t> %</w:t>
            </w:r>
          </w:p>
        </w:tc>
        <w:tc>
          <w:tcPr>
            <w:tcW w:w="851" w:type="dxa"/>
            <w:shd w:val="clear" w:color="auto" w:fill="auto"/>
          </w:tcPr>
          <w:p w14:paraId="66A28267" w14:textId="547A8E1E" w:rsidR="00367834" w:rsidRPr="000F7953" w:rsidRDefault="00DA61C4" w:rsidP="004F6EE6">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21</w:t>
            </w:r>
            <w:r w:rsidR="005601CD" w:rsidRPr="000F7953">
              <w:rPr>
                <w:rFonts w:asciiTheme="minorHAnsi" w:hAnsiTheme="minorHAnsi" w:cstheme="minorHAnsi"/>
                <w:b/>
                <w:bCs/>
                <w:sz w:val="22"/>
                <w:szCs w:val="22"/>
              </w:rPr>
              <w:t> %</w:t>
            </w:r>
          </w:p>
        </w:tc>
        <w:tc>
          <w:tcPr>
            <w:tcW w:w="851" w:type="dxa"/>
            <w:shd w:val="clear" w:color="auto" w:fill="auto"/>
          </w:tcPr>
          <w:p w14:paraId="037190D3" w14:textId="48AECB21" w:rsidR="00367834" w:rsidRPr="000F7953" w:rsidRDefault="00DA61C4" w:rsidP="004F6EE6">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26</w:t>
            </w:r>
            <w:r w:rsidR="005601CD" w:rsidRPr="000F7953">
              <w:rPr>
                <w:rFonts w:asciiTheme="minorHAnsi" w:hAnsiTheme="minorHAnsi" w:cstheme="minorHAnsi"/>
                <w:b/>
                <w:bCs/>
                <w:sz w:val="22"/>
                <w:szCs w:val="22"/>
              </w:rPr>
              <w:t> %</w:t>
            </w:r>
          </w:p>
        </w:tc>
        <w:tc>
          <w:tcPr>
            <w:tcW w:w="1559" w:type="dxa"/>
            <w:shd w:val="clear" w:color="auto" w:fill="auto"/>
            <w:vAlign w:val="center"/>
          </w:tcPr>
          <w:p w14:paraId="36CD953E" w14:textId="0B4865C2" w:rsidR="00367834" w:rsidRPr="000F7953" w:rsidRDefault="00B10215" w:rsidP="00E30A93">
            <w:pPr>
              <w:jc w:val="center"/>
              <w:rPr>
                <w:rFonts w:asciiTheme="minorHAnsi" w:eastAsia="Aptos" w:hAnsiTheme="minorHAnsi" w:cstheme="minorHAnsi"/>
                <w:sz w:val="22"/>
                <w:szCs w:val="22"/>
              </w:rPr>
            </w:pPr>
            <w:r w:rsidRPr="000F7953">
              <w:rPr>
                <w:rFonts w:asciiTheme="minorHAnsi" w:hAnsiTheme="minorHAnsi" w:cstheme="minorHAnsi"/>
                <w:noProof/>
                <w:sz w:val="22"/>
                <w:szCs w:val="22"/>
              </w:rPr>
              <w:drawing>
                <wp:inline distT="0" distB="0" distL="0" distR="0" wp14:anchorId="543A05F4" wp14:editId="648FCD72">
                  <wp:extent cx="415800" cy="432000"/>
                  <wp:effectExtent l="0" t="0" r="3810" b="0"/>
                  <wp:docPr id="91537801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5800" cy="432000"/>
                          </a:xfrm>
                          <a:prstGeom prst="rect">
                            <a:avLst/>
                          </a:prstGeom>
                          <a:noFill/>
                          <a:ln>
                            <a:noFill/>
                          </a:ln>
                        </pic:spPr>
                      </pic:pic>
                    </a:graphicData>
                  </a:graphic>
                </wp:inline>
              </w:drawing>
            </w:r>
          </w:p>
        </w:tc>
      </w:tr>
      <w:tr w:rsidR="004F6EE6" w:rsidRPr="000F7953" w14:paraId="5A47B504" w14:textId="77777777" w:rsidTr="004F7B43">
        <w:trPr>
          <w:cantSplit/>
        </w:trPr>
        <w:tc>
          <w:tcPr>
            <w:tcW w:w="3969" w:type="dxa"/>
            <w:shd w:val="clear" w:color="auto" w:fill="auto"/>
          </w:tcPr>
          <w:p w14:paraId="324B1097" w14:textId="1B0AAEC1" w:rsidR="0073601F" w:rsidRPr="000F7953" w:rsidRDefault="00367834" w:rsidP="00CD3F6B">
            <w:pPr>
              <w:rPr>
                <w:rFonts w:asciiTheme="minorHAnsi" w:eastAsia="Aptos" w:hAnsiTheme="minorHAnsi" w:cstheme="minorHAnsi"/>
                <w:sz w:val="22"/>
                <w:szCs w:val="22"/>
              </w:rPr>
            </w:pPr>
            <w:r w:rsidRPr="000F7953">
              <w:rPr>
                <w:rFonts w:asciiTheme="minorHAnsi" w:hAnsiTheme="minorHAnsi" w:cstheme="minorHAnsi"/>
                <w:sz w:val="22"/>
                <w:szCs w:val="22"/>
              </w:rPr>
              <w:t>Porcentaje de Partes que han realizado evaluaciones de la eficacia del manejo de los sitios Ramsar</w:t>
            </w:r>
            <w:r w:rsidR="000A6378" w:rsidRPr="000F7953">
              <w:rPr>
                <w:rStyle w:val="FootnoteReference"/>
                <w:rFonts w:asciiTheme="minorHAnsi" w:eastAsia="Aptos" w:hAnsiTheme="minorHAnsi" w:cstheme="minorHAnsi"/>
                <w:sz w:val="22"/>
                <w:szCs w:val="22"/>
              </w:rPr>
              <w:footnoteReference w:id="5"/>
            </w:r>
            <w:r w:rsidRPr="000F7953">
              <w:rPr>
                <w:rFonts w:asciiTheme="minorHAnsi" w:hAnsiTheme="minorHAnsi" w:cstheme="minorHAnsi"/>
                <w:sz w:val="22"/>
                <w:szCs w:val="22"/>
              </w:rPr>
              <w:t>.</w:t>
            </w:r>
          </w:p>
        </w:tc>
        <w:tc>
          <w:tcPr>
            <w:tcW w:w="1276" w:type="dxa"/>
            <w:shd w:val="clear" w:color="auto" w:fill="auto"/>
          </w:tcPr>
          <w:p w14:paraId="13003F2D" w14:textId="259FC72D" w:rsidR="00367834" w:rsidRPr="000F7953" w:rsidRDefault="00367834" w:rsidP="004F6EE6">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27</w:t>
            </w:r>
            <w:r w:rsidR="005601CD" w:rsidRPr="000F7953">
              <w:rPr>
                <w:rFonts w:asciiTheme="minorHAnsi" w:hAnsiTheme="minorHAnsi" w:cstheme="minorHAnsi"/>
                <w:b/>
                <w:bCs/>
                <w:sz w:val="22"/>
                <w:szCs w:val="22"/>
              </w:rPr>
              <w:t> %</w:t>
            </w:r>
          </w:p>
        </w:tc>
        <w:tc>
          <w:tcPr>
            <w:tcW w:w="850" w:type="dxa"/>
            <w:shd w:val="clear" w:color="auto" w:fill="auto"/>
          </w:tcPr>
          <w:p w14:paraId="0B8455A7" w14:textId="4D833AC6" w:rsidR="00367834" w:rsidRPr="000F7953" w:rsidRDefault="00DD202B" w:rsidP="004F6EE6">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29</w:t>
            </w:r>
            <w:r w:rsidR="005601CD" w:rsidRPr="000F7953">
              <w:rPr>
                <w:rFonts w:asciiTheme="minorHAnsi" w:hAnsiTheme="minorHAnsi" w:cstheme="minorHAnsi"/>
                <w:b/>
                <w:bCs/>
                <w:sz w:val="22"/>
                <w:szCs w:val="22"/>
              </w:rPr>
              <w:t> %</w:t>
            </w:r>
          </w:p>
        </w:tc>
        <w:tc>
          <w:tcPr>
            <w:tcW w:w="851" w:type="dxa"/>
            <w:shd w:val="clear" w:color="auto" w:fill="auto"/>
          </w:tcPr>
          <w:p w14:paraId="6ED692E6" w14:textId="4B8045E5" w:rsidR="00367834" w:rsidRPr="000F7953" w:rsidRDefault="00563AF8" w:rsidP="004F6EE6">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30</w:t>
            </w:r>
            <w:r w:rsidR="005601CD" w:rsidRPr="000F7953">
              <w:rPr>
                <w:rFonts w:asciiTheme="minorHAnsi" w:hAnsiTheme="minorHAnsi" w:cstheme="minorHAnsi"/>
                <w:b/>
                <w:bCs/>
                <w:sz w:val="22"/>
                <w:szCs w:val="22"/>
              </w:rPr>
              <w:t> %</w:t>
            </w:r>
          </w:p>
        </w:tc>
        <w:tc>
          <w:tcPr>
            <w:tcW w:w="851" w:type="dxa"/>
            <w:shd w:val="clear" w:color="auto" w:fill="auto"/>
          </w:tcPr>
          <w:p w14:paraId="38CE7A57" w14:textId="730B7BA0" w:rsidR="00367834" w:rsidRPr="000F7953" w:rsidRDefault="00563AF8" w:rsidP="004F6EE6">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29</w:t>
            </w:r>
            <w:r w:rsidR="005601CD" w:rsidRPr="000F7953">
              <w:rPr>
                <w:rFonts w:asciiTheme="minorHAnsi" w:hAnsiTheme="minorHAnsi" w:cstheme="minorHAnsi"/>
                <w:b/>
                <w:bCs/>
                <w:sz w:val="22"/>
                <w:szCs w:val="22"/>
              </w:rPr>
              <w:t> %</w:t>
            </w:r>
          </w:p>
        </w:tc>
        <w:tc>
          <w:tcPr>
            <w:tcW w:w="1559" w:type="dxa"/>
            <w:shd w:val="clear" w:color="auto" w:fill="auto"/>
          </w:tcPr>
          <w:p w14:paraId="64382DF3" w14:textId="13EC32DF" w:rsidR="00367834" w:rsidRPr="000F7953" w:rsidRDefault="007257C8" w:rsidP="00CD3F6B">
            <w:pPr>
              <w:rPr>
                <w:rFonts w:asciiTheme="minorHAnsi" w:eastAsia="Aptos" w:hAnsiTheme="minorHAnsi" w:cstheme="minorHAnsi"/>
                <w:sz w:val="22"/>
                <w:szCs w:val="22"/>
              </w:rPr>
            </w:pPr>
            <w:r w:rsidRPr="000F7953">
              <w:rPr>
                <w:rFonts w:asciiTheme="minorHAnsi" w:hAnsiTheme="minorHAnsi" w:cstheme="minorHAnsi"/>
                <w:noProof/>
                <w:sz w:val="22"/>
                <w:szCs w:val="22"/>
              </w:rPr>
              <w:drawing>
                <wp:inline distT="0" distB="0" distL="0" distR="0" wp14:anchorId="035AB24A" wp14:editId="18C5FEE7">
                  <wp:extent cx="712200" cy="432000"/>
                  <wp:effectExtent l="0" t="0" r="0" b="0"/>
                  <wp:docPr id="52277936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4F6EE6" w:rsidRPr="000F7953" w14:paraId="3ED63DCD" w14:textId="77777777" w:rsidTr="004F7B43">
        <w:trPr>
          <w:cantSplit/>
        </w:trPr>
        <w:tc>
          <w:tcPr>
            <w:tcW w:w="3969" w:type="dxa"/>
            <w:shd w:val="clear" w:color="auto" w:fill="auto"/>
          </w:tcPr>
          <w:p w14:paraId="0BF85052" w14:textId="77777777" w:rsidR="00367834" w:rsidRPr="000F7953" w:rsidRDefault="00367834" w:rsidP="00CD3F6B">
            <w:pPr>
              <w:rPr>
                <w:rFonts w:asciiTheme="minorHAnsi" w:eastAsia="Aptos" w:hAnsiTheme="minorHAnsi" w:cstheme="minorHAnsi"/>
                <w:sz w:val="22"/>
                <w:szCs w:val="22"/>
              </w:rPr>
            </w:pPr>
            <w:r w:rsidRPr="000F7953">
              <w:rPr>
                <w:rFonts w:asciiTheme="minorHAnsi" w:hAnsiTheme="minorHAnsi" w:cstheme="minorHAnsi"/>
                <w:sz w:val="22"/>
                <w:szCs w:val="22"/>
              </w:rPr>
              <w:t>Porcentaje de sitios Ramsar que dispone de Fichas Informativas de Ramsar (FIR) actualizadas.</w:t>
            </w:r>
          </w:p>
        </w:tc>
        <w:tc>
          <w:tcPr>
            <w:tcW w:w="1276" w:type="dxa"/>
            <w:shd w:val="clear" w:color="auto" w:fill="auto"/>
          </w:tcPr>
          <w:p w14:paraId="1024ADDF" w14:textId="051568AF" w:rsidR="00367834" w:rsidRPr="000F7953" w:rsidRDefault="00367834" w:rsidP="004F6EE6">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43</w:t>
            </w:r>
            <w:r w:rsidR="005601CD" w:rsidRPr="000F7953">
              <w:rPr>
                <w:rFonts w:asciiTheme="minorHAnsi" w:hAnsiTheme="minorHAnsi" w:cstheme="minorHAnsi"/>
                <w:b/>
                <w:bCs/>
                <w:sz w:val="22"/>
                <w:szCs w:val="22"/>
              </w:rPr>
              <w:t> %</w:t>
            </w:r>
          </w:p>
        </w:tc>
        <w:tc>
          <w:tcPr>
            <w:tcW w:w="850" w:type="dxa"/>
            <w:shd w:val="clear" w:color="auto" w:fill="auto"/>
          </w:tcPr>
          <w:p w14:paraId="6A2F04E6" w14:textId="22A42926" w:rsidR="00367834" w:rsidRPr="000F7953" w:rsidRDefault="00367834" w:rsidP="004F6EE6">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31</w:t>
            </w:r>
            <w:r w:rsidR="005601CD" w:rsidRPr="000F7953">
              <w:rPr>
                <w:rFonts w:asciiTheme="minorHAnsi" w:hAnsiTheme="minorHAnsi" w:cstheme="minorHAnsi"/>
                <w:b/>
                <w:bCs/>
                <w:sz w:val="22"/>
                <w:szCs w:val="22"/>
              </w:rPr>
              <w:t> %</w:t>
            </w:r>
          </w:p>
        </w:tc>
        <w:tc>
          <w:tcPr>
            <w:tcW w:w="851" w:type="dxa"/>
            <w:shd w:val="clear" w:color="auto" w:fill="auto"/>
          </w:tcPr>
          <w:p w14:paraId="28DBD0EF" w14:textId="2885D6FA" w:rsidR="00367834" w:rsidRPr="000F7953" w:rsidRDefault="00367834" w:rsidP="004F6EE6">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25</w:t>
            </w:r>
            <w:r w:rsidR="005601CD" w:rsidRPr="000F7953">
              <w:rPr>
                <w:rFonts w:asciiTheme="minorHAnsi" w:hAnsiTheme="minorHAnsi" w:cstheme="minorHAnsi"/>
                <w:b/>
                <w:bCs/>
                <w:sz w:val="22"/>
                <w:szCs w:val="22"/>
              </w:rPr>
              <w:t> %</w:t>
            </w:r>
          </w:p>
        </w:tc>
        <w:tc>
          <w:tcPr>
            <w:tcW w:w="851" w:type="dxa"/>
            <w:shd w:val="clear" w:color="auto" w:fill="auto"/>
          </w:tcPr>
          <w:p w14:paraId="13EB3173" w14:textId="3A5289C1" w:rsidR="00367834" w:rsidRPr="000F7953" w:rsidRDefault="00367834" w:rsidP="004F6EE6">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26</w:t>
            </w:r>
            <w:r w:rsidR="005601CD" w:rsidRPr="000F7953">
              <w:rPr>
                <w:rFonts w:asciiTheme="minorHAnsi" w:hAnsiTheme="minorHAnsi" w:cstheme="minorHAnsi"/>
                <w:b/>
                <w:bCs/>
                <w:sz w:val="22"/>
                <w:szCs w:val="22"/>
              </w:rPr>
              <w:t> %</w:t>
            </w:r>
          </w:p>
        </w:tc>
        <w:tc>
          <w:tcPr>
            <w:tcW w:w="1559" w:type="dxa"/>
            <w:shd w:val="clear" w:color="auto" w:fill="auto"/>
          </w:tcPr>
          <w:p w14:paraId="40D4CD56" w14:textId="1A048E3E" w:rsidR="00367834" w:rsidRPr="000F7953" w:rsidRDefault="008E7DDF" w:rsidP="00CD3F6B">
            <w:pPr>
              <w:rPr>
                <w:rFonts w:asciiTheme="minorHAnsi" w:eastAsia="Aptos" w:hAnsiTheme="minorHAnsi" w:cstheme="minorHAnsi"/>
                <w:sz w:val="22"/>
                <w:szCs w:val="22"/>
              </w:rPr>
            </w:pPr>
            <w:r w:rsidRPr="000F7953">
              <w:rPr>
                <w:rFonts w:asciiTheme="minorHAnsi" w:hAnsiTheme="minorHAnsi" w:cstheme="minorHAnsi"/>
                <w:noProof/>
                <w:sz w:val="22"/>
                <w:szCs w:val="22"/>
              </w:rPr>
              <w:drawing>
                <wp:inline distT="0" distB="0" distL="0" distR="0" wp14:anchorId="6858D241" wp14:editId="57F8E226">
                  <wp:extent cx="712200" cy="432000"/>
                  <wp:effectExtent l="0" t="0" r="0" b="0"/>
                  <wp:docPr id="62625983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bl>
    <w:p w14:paraId="1A983B39" w14:textId="7F3DDC6B" w:rsidR="00367834" w:rsidRPr="000F7953" w:rsidRDefault="00C1233A" w:rsidP="00CD3F6B">
      <w:pPr>
        <w:rPr>
          <w:rFonts w:asciiTheme="minorHAnsi" w:hAnsiTheme="minorHAnsi" w:cstheme="minorHAnsi"/>
          <w:sz w:val="22"/>
          <w:szCs w:val="22"/>
        </w:rPr>
      </w:pPr>
      <w:r w:rsidRPr="000F7953">
        <w:rPr>
          <w:rFonts w:asciiTheme="minorHAnsi" w:hAnsiTheme="minorHAnsi" w:cstheme="minorHAnsi"/>
        </w:rPr>
        <w:t>*presentado como porcentaje en lugar de como número absoluto, teniendo en cuenta las diferencias en la tasa de presentación de informes y el diferente número total de sitios en las diferentes COP.</w:t>
      </w:r>
    </w:p>
    <w:p w14:paraId="458C5426" w14:textId="77777777" w:rsidR="00C1233A" w:rsidRPr="000F7953" w:rsidRDefault="00C1233A" w:rsidP="00CD3F6B">
      <w:pPr>
        <w:pStyle w:val="ListParagraph"/>
        <w:spacing w:after="0" w:line="240" w:lineRule="auto"/>
        <w:rPr>
          <w:rFonts w:cstheme="minorHAnsi"/>
        </w:rPr>
      </w:pPr>
    </w:p>
    <w:p w14:paraId="799E6F86" w14:textId="09F1FFD5" w:rsidR="000D57BE" w:rsidRPr="000F7953" w:rsidRDefault="00FA738D" w:rsidP="00D1463B">
      <w:pPr>
        <w:keepNext/>
        <w:rPr>
          <w:rFonts w:asciiTheme="minorHAnsi" w:hAnsiTheme="minorHAnsi" w:cstheme="minorHAnsi"/>
          <w:bCs/>
          <w:i/>
          <w:iCs/>
          <w:sz w:val="22"/>
          <w:szCs w:val="22"/>
          <w:u w:val="single"/>
        </w:rPr>
      </w:pPr>
      <w:r w:rsidRPr="000F7953">
        <w:rPr>
          <w:rFonts w:asciiTheme="minorHAnsi" w:hAnsiTheme="minorHAnsi" w:cstheme="minorHAnsi"/>
          <w:bCs/>
          <w:i/>
          <w:iCs/>
          <w:sz w:val="22"/>
          <w:szCs w:val="22"/>
          <w:u w:val="single"/>
        </w:rPr>
        <w:t xml:space="preserve">Resumen de los progresos realizados </w:t>
      </w:r>
    </w:p>
    <w:p w14:paraId="1E3D34E4" w14:textId="77777777" w:rsidR="00FA738D" w:rsidRPr="000F7953" w:rsidRDefault="00FA738D" w:rsidP="00D1463B">
      <w:pPr>
        <w:pStyle w:val="ListParagraph"/>
        <w:keepNext/>
        <w:spacing w:after="0" w:line="240" w:lineRule="auto"/>
        <w:ind w:left="0"/>
        <w:contextualSpacing w:val="0"/>
        <w:rPr>
          <w:rFonts w:cstheme="minorHAnsi"/>
          <w:b/>
          <w:bCs/>
        </w:rPr>
      </w:pPr>
    </w:p>
    <w:p w14:paraId="380DC586" w14:textId="254E48B6" w:rsidR="00D57B4A" w:rsidRPr="000F7953" w:rsidRDefault="00515041" w:rsidP="000E3338">
      <w:pPr>
        <w:ind w:left="567" w:hanging="567"/>
        <w:rPr>
          <w:rFonts w:asciiTheme="minorHAnsi" w:hAnsiTheme="minorHAnsi" w:cstheme="minorHAnsi"/>
          <w:sz w:val="22"/>
          <w:szCs w:val="22"/>
        </w:rPr>
      </w:pPr>
      <w:r w:rsidRPr="000F7953">
        <w:rPr>
          <w:rFonts w:asciiTheme="minorHAnsi" w:hAnsiTheme="minorHAnsi" w:cstheme="minorHAnsi"/>
          <w:sz w:val="22"/>
          <w:szCs w:val="22"/>
        </w:rPr>
        <w:t>32.</w:t>
      </w:r>
      <w:r w:rsidRPr="000F7953">
        <w:rPr>
          <w:rFonts w:asciiTheme="minorHAnsi" w:hAnsiTheme="minorHAnsi" w:cstheme="minorHAnsi"/>
          <w:sz w:val="22"/>
          <w:szCs w:val="22"/>
        </w:rPr>
        <w:tab/>
        <w:t xml:space="preserve">El número de humedales de importancia internacional que cuentan con planes de manejos eficaces que han sido aplicados ha aumentado significativamente con respecto a los valores de referencias. Teniendo en cuenta las diferencias en la tasa de presentación de informes y el diferente número total de sitios en las distintas COP, se estima que, para la COP15, tres cuartas partes de los sitios cuentan con planes de manejo que han sido aplicados. En lo que respecta a los sitios sin un plan de manejo formal, se observa un ligero aumento de la proporción de sitios que son objeto de un manejo eficaz, aunque el número absoluto ha experimentado un descenso moderado. </w:t>
      </w:r>
    </w:p>
    <w:p w14:paraId="3894BCD0" w14:textId="77777777" w:rsidR="00E904F5" w:rsidRPr="000F7953" w:rsidRDefault="00E904F5" w:rsidP="000E3338">
      <w:pPr>
        <w:ind w:left="567" w:hanging="567"/>
        <w:rPr>
          <w:rFonts w:asciiTheme="minorHAnsi" w:hAnsiTheme="minorHAnsi" w:cstheme="minorHAnsi"/>
          <w:sz w:val="22"/>
          <w:szCs w:val="22"/>
        </w:rPr>
      </w:pPr>
    </w:p>
    <w:p w14:paraId="0F6822DE" w14:textId="1C3873B4" w:rsidR="00D940AC" w:rsidRPr="000F7953" w:rsidRDefault="00515041" w:rsidP="000E3338">
      <w:pPr>
        <w:ind w:left="567" w:hanging="567"/>
        <w:rPr>
          <w:rFonts w:asciiTheme="minorHAnsi" w:hAnsiTheme="minorHAnsi" w:cstheme="minorHAnsi"/>
          <w:sz w:val="22"/>
          <w:szCs w:val="22"/>
        </w:rPr>
      </w:pPr>
      <w:r w:rsidRPr="000F7953">
        <w:rPr>
          <w:rFonts w:asciiTheme="minorHAnsi" w:hAnsiTheme="minorHAnsi" w:cstheme="minorHAnsi"/>
          <w:sz w:val="22"/>
          <w:szCs w:val="22"/>
        </w:rPr>
        <w:t>33.</w:t>
      </w:r>
      <w:r w:rsidRPr="000F7953">
        <w:rPr>
          <w:rFonts w:asciiTheme="minorHAnsi" w:hAnsiTheme="minorHAnsi" w:cstheme="minorHAnsi"/>
          <w:sz w:val="22"/>
          <w:szCs w:val="22"/>
        </w:rPr>
        <w:tab/>
        <w:t>Sin embargo, menos de un tercio de las Partes Contratantes han evaluado la eficacia del manejo de todos sus Humedales de Importancia Internacional. Alrededor del 40</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de las Partes han realizado evaluaciones parciales y muchas informan de la planificación de evaluaciones de la eficacia del manejo. A escala mundial, estas cifras han variado apenas en los últimos tres trienios, pero la proporción de Partes que han evaluado la eficacia del manejo de los Humedales de Importancia Internacional ha aumentado en Asia y Oceanía, mientras que ha disminuido en otras regiones durante el mismo periodo. </w:t>
      </w:r>
    </w:p>
    <w:p w14:paraId="36E4B288" w14:textId="77777777" w:rsidR="00AB739E" w:rsidRPr="000F7953" w:rsidRDefault="00AB739E" w:rsidP="000E3338">
      <w:pPr>
        <w:ind w:left="567" w:hanging="567"/>
        <w:rPr>
          <w:rFonts w:asciiTheme="minorHAnsi" w:hAnsiTheme="minorHAnsi" w:cstheme="minorHAnsi"/>
          <w:sz w:val="22"/>
          <w:szCs w:val="22"/>
        </w:rPr>
      </w:pPr>
    </w:p>
    <w:p w14:paraId="2EA1AD3D" w14:textId="02C84A3E" w:rsidR="009D058C" w:rsidRPr="000F7953" w:rsidRDefault="00515041" w:rsidP="000E3338">
      <w:pPr>
        <w:ind w:left="567" w:hanging="567"/>
        <w:rPr>
          <w:rFonts w:asciiTheme="minorHAnsi" w:hAnsiTheme="minorHAnsi" w:cstheme="minorHAnsi"/>
          <w:sz w:val="22"/>
          <w:szCs w:val="22"/>
        </w:rPr>
      </w:pPr>
      <w:r w:rsidRPr="000F7953">
        <w:rPr>
          <w:rFonts w:asciiTheme="minorHAnsi" w:hAnsiTheme="minorHAnsi" w:cstheme="minorHAnsi"/>
          <w:sz w:val="22"/>
          <w:szCs w:val="22"/>
        </w:rPr>
        <w:t>34.</w:t>
      </w:r>
      <w:r w:rsidRPr="000F7953">
        <w:rPr>
          <w:rFonts w:asciiTheme="minorHAnsi" w:hAnsiTheme="minorHAnsi" w:cstheme="minorHAnsi"/>
          <w:sz w:val="22"/>
          <w:szCs w:val="22"/>
        </w:rPr>
        <w:tab/>
        <w:t>Las partes interesadas locales participan cada vez más en la selección de los Humedales de Importancia Internacional y en el manejo de los sitios. Más del 70</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de las Partes Contratantes informan de este tipo de participación para la COP15, en contraposición con un poco más de la mitad al inicio del periodo cubierto por el PE4. Las Partes de África y Asia, en particular, destacaron un fuerte compromiso a nivel comunitario en sus respuestas descriptivas en los informes nacionales para la COP15.</w:t>
      </w:r>
    </w:p>
    <w:p w14:paraId="4B9E939C" w14:textId="77777777" w:rsidR="00591693" w:rsidRPr="000F7953" w:rsidRDefault="00591693" w:rsidP="000E3338">
      <w:pPr>
        <w:ind w:left="567" w:hanging="567"/>
        <w:rPr>
          <w:rFonts w:asciiTheme="minorHAnsi" w:hAnsiTheme="minorHAnsi" w:cstheme="minorHAnsi"/>
          <w:sz w:val="22"/>
          <w:szCs w:val="22"/>
        </w:rPr>
      </w:pPr>
    </w:p>
    <w:p w14:paraId="3F8BC6E5" w14:textId="5F0C9962" w:rsidR="00913ECC" w:rsidRPr="000F7953" w:rsidRDefault="00515041" w:rsidP="000E3338">
      <w:pPr>
        <w:ind w:left="567" w:hanging="567"/>
        <w:rPr>
          <w:rFonts w:asciiTheme="minorHAnsi" w:hAnsiTheme="minorHAnsi" w:cstheme="minorHAnsi"/>
          <w:sz w:val="22"/>
          <w:szCs w:val="22"/>
        </w:rPr>
      </w:pPr>
      <w:r w:rsidRPr="000F7953">
        <w:rPr>
          <w:rFonts w:asciiTheme="minorHAnsi" w:hAnsiTheme="minorHAnsi" w:cstheme="minorHAnsi"/>
          <w:sz w:val="22"/>
          <w:szCs w:val="22"/>
        </w:rPr>
        <w:t>35.</w:t>
      </w:r>
      <w:r w:rsidRPr="000F7953">
        <w:rPr>
          <w:rFonts w:asciiTheme="minorHAnsi" w:hAnsiTheme="minorHAnsi" w:cstheme="minorHAnsi"/>
          <w:sz w:val="22"/>
          <w:szCs w:val="22"/>
        </w:rPr>
        <w:tab/>
        <w:t>Para la COP15, alrededor del 60</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de las Partes Contratantes informan que no se ha producido ningún cambio en las características ecológicas de los Humedales de Importancia </w:t>
      </w:r>
      <w:r w:rsidRPr="000F7953">
        <w:rPr>
          <w:rFonts w:asciiTheme="minorHAnsi" w:hAnsiTheme="minorHAnsi" w:cstheme="minorHAnsi"/>
          <w:sz w:val="22"/>
          <w:szCs w:val="22"/>
        </w:rPr>
        <w:lastRenderedPageBreak/>
        <w:t>Internacional y el 16</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informa de un deterioro. Estas cifras han permanecido relativamente invariables en los últimos trienios. Sin embargo, se observa una reducción en el número de Partes que informan que su situación ha mejorado; estas representan el 13</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para la COP15. </w:t>
      </w:r>
    </w:p>
    <w:p w14:paraId="0F437ADC" w14:textId="77777777" w:rsidR="00913ECC" w:rsidRPr="000F7953" w:rsidRDefault="00913ECC" w:rsidP="000E3338">
      <w:pPr>
        <w:ind w:left="567" w:hanging="567"/>
        <w:rPr>
          <w:rFonts w:asciiTheme="minorHAnsi" w:hAnsiTheme="minorHAnsi" w:cstheme="minorHAnsi"/>
          <w:sz w:val="22"/>
          <w:szCs w:val="22"/>
        </w:rPr>
      </w:pPr>
    </w:p>
    <w:p w14:paraId="64538D4F" w14:textId="1EE34B83" w:rsidR="00C26D66" w:rsidRPr="000F7953" w:rsidRDefault="00515041" w:rsidP="000E3338">
      <w:pPr>
        <w:ind w:left="567" w:hanging="567"/>
        <w:rPr>
          <w:rFonts w:asciiTheme="minorHAnsi" w:hAnsiTheme="minorHAnsi" w:cstheme="minorHAnsi"/>
          <w:sz w:val="22"/>
          <w:szCs w:val="22"/>
        </w:rPr>
      </w:pPr>
      <w:r w:rsidRPr="000F7953">
        <w:rPr>
          <w:rFonts w:asciiTheme="minorHAnsi" w:hAnsiTheme="minorHAnsi" w:cstheme="minorHAnsi"/>
          <w:sz w:val="22"/>
          <w:szCs w:val="22"/>
        </w:rPr>
        <w:t>36.</w:t>
      </w:r>
      <w:r w:rsidRPr="000F7953">
        <w:rPr>
          <w:rFonts w:asciiTheme="minorHAnsi" w:hAnsiTheme="minorHAnsi" w:cstheme="minorHAnsi"/>
          <w:sz w:val="22"/>
          <w:szCs w:val="22"/>
        </w:rPr>
        <w:tab/>
        <w:t>Los progresos realizados en la actualización de las FIR siguen siendo limitados. Entre la COP12 y la COP15 se completaron 505 actualizaciones. Al final del periodo cubiertos por los informes para la COP15, el 74</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de los sitios (1 872 de 2 535) no habían sido objeto de actualizaciones en más de seis años</w:t>
      </w:r>
      <w:r w:rsidR="007820FE" w:rsidRPr="000F7953">
        <w:rPr>
          <w:rStyle w:val="FootnoteReference"/>
          <w:rFonts w:asciiTheme="minorHAnsi" w:hAnsiTheme="minorHAnsi" w:cstheme="minorHAnsi"/>
          <w:sz w:val="22"/>
          <w:szCs w:val="22"/>
        </w:rPr>
        <w:footnoteReference w:id="6"/>
      </w:r>
      <w:r w:rsidRPr="000F7953">
        <w:rPr>
          <w:rFonts w:asciiTheme="minorHAnsi" w:hAnsiTheme="minorHAnsi" w:cstheme="minorHAnsi"/>
          <w:sz w:val="22"/>
          <w:szCs w:val="22"/>
        </w:rPr>
        <w:t xml:space="preserve">. </w:t>
      </w:r>
    </w:p>
    <w:p w14:paraId="4ECFA9C0" w14:textId="77777777" w:rsidR="00F54581" w:rsidRPr="000F7953" w:rsidRDefault="00F54581" w:rsidP="000E3338">
      <w:pPr>
        <w:ind w:left="567" w:hanging="567"/>
        <w:rPr>
          <w:rFonts w:asciiTheme="minorHAnsi" w:hAnsiTheme="minorHAnsi" w:cstheme="minorHAnsi"/>
          <w:sz w:val="22"/>
          <w:szCs w:val="22"/>
        </w:rPr>
      </w:pPr>
    </w:p>
    <w:p w14:paraId="3DB3F123" w14:textId="2B1B2419" w:rsidR="00A24E62" w:rsidRPr="000F7953" w:rsidRDefault="00515041" w:rsidP="000E3338">
      <w:pPr>
        <w:ind w:left="567" w:hanging="567"/>
        <w:rPr>
          <w:rFonts w:asciiTheme="minorHAnsi" w:hAnsiTheme="minorHAnsi" w:cstheme="minorHAnsi"/>
          <w:sz w:val="22"/>
          <w:szCs w:val="22"/>
        </w:rPr>
      </w:pPr>
      <w:r w:rsidRPr="000F7953">
        <w:rPr>
          <w:rFonts w:asciiTheme="minorHAnsi" w:hAnsiTheme="minorHAnsi" w:cstheme="minorHAnsi"/>
          <w:sz w:val="22"/>
          <w:szCs w:val="22"/>
        </w:rPr>
        <w:t>37.</w:t>
      </w:r>
      <w:r w:rsidRPr="000F7953">
        <w:rPr>
          <w:rFonts w:asciiTheme="minorHAnsi" w:hAnsiTheme="minorHAnsi" w:cstheme="minorHAnsi"/>
          <w:sz w:val="22"/>
          <w:szCs w:val="22"/>
        </w:rPr>
        <w:tab/>
        <w:t xml:space="preserve">Las Partes Contratantes citan sistemáticamente la falta de capacidad financiera y técnica, junto con la fragmentación de la gobernanza, como obstáculos fundamentales. Entre las recomendaciones clave para reforzar la eficacia de la gestión de los Humedales de Importancia Internacional figuran: un mayor apoyo financiero, especialmente para las regiones con importantes déficits de financiación; el fomento de capacidad específica mediante formación y asistencia técnica; el refuerzo de la gobernanza y la mejora de la coordinación entre sectores y niveles administrativos; la promoción de la gestión participativa y comunitaria; y el desarrollo de estrategias de adaptación para hacer frente a las presiones ecológicas, y especialmente al cambio climático. </w:t>
      </w:r>
    </w:p>
    <w:p w14:paraId="7B205AA8" w14:textId="77777777" w:rsidR="00A338FF" w:rsidRPr="000F7953" w:rsidRDefault="00A338FF" w:rsidP="00CD3F6B">
      <w:pPr>
        <w:ind w:left="426" w:hanging="426"/>
        <w:rPr>
          <w:rFonts w:asciiTheme="minorHAnsi" w:hAnsiTheme="minorHAnsi" w:cstheme="minorHAnsi"/>
          <w:sz w:val="22"/>
          <w:szCs w:val="22"/>
        </w:rPr>
      </w:pPr>
    </w:p>
    <w:p w14:paraId="553CBAD7" w14:textId="77777777" w:rsidR="00A338FF" w:rsidRPr="000F7953" w:rsidRDefault="00A338FF" w:rsidP="00CD3F6B">
      <w:pPr>
        <w:ind w:left="426" w:hanging="426"/>
        <w:rPr>
          <w:rFonts w:asciiTheme="minorHAnsi" w:hAnsiTheme="minorHAnsi" w:cstheme="minorHAnsi"/>
          <w:sz w:val="22"/>
          <w:szCs w:val="22"/>
        </w:rPr>
      </w:pPr>
    </w:p>
    <w:tbl>
      <w:tblPr>
        <w:tblStyle w:val="TableGrid16"/>
        <w:tblW w:w="9351" w:type="dxa"/>
        <w:tblLook w:val="04A0" w:firstRow="1" w:lastRow="0" w:firstColumn="1" w:lastColumn="0" w:noHBand="0" w:noVBand="1"/>
      </w:tblPr>
      <w:tblGrid>
        <w:gridCol w:w="9351"/>
      </w:tblGrid>
      <w:tr w:rsidR="002F4351" w:rsidRPr="000F7953" w14:paraId="564B7AF8" w14:textId="77777777" w:rsidTr="004D229D">
        <w:tc>
          <w:tcPr>
            <w:tcW w:w="9351" w:type="dxa"/>
            <w:vAlign w:val="center"/>
          </w:tcPr>
          <w:p w14:paraId="37541921" w14:textId="77777777" w:rsidR="002F4351" w:rsidRPr="000F7953" w:rsidRDefault="002F4351" w:rsidP="008A3659">
            <w:pPr>
              <w:keepNext/>
              <w:spacing w:before="120" w:after="120"/>
              <w:rPr>
                <w:rFonts w:asciiTheme="minorHAnsi" w:hAnsiTheme="minorHAnsi" w:cstheme="minorHAnsi"/>
                <w:b/>
                <w:sz w:val="22"/>
                <w:szCs w:val="22"/>
              </w:rPr>
            </w:pPr>
            <w:r w:rsidRPr="000F7953">
              <w:rPr>
                <w:rFonts w:asciiTheme="minorHAnsi" w:hAnsiTheme="minorHAnsi" w:cstheme="minorHAnsi"/>
                <w:b/>
                <w:sz w:val="22"/>
                <w:szCs w:val="22"/>
              </w:rPr>
              <w:t>Meta 6: Se produce un aumento considerable de la superficie, la cantidad y conectividad ecológica de la red de sitios Ramsar, particularmente en lo que se refiere a tipos de humedales insuficientemente representados, inclusive en ecorregiones insuficientemente representadas y sitios transfronterizos.</w:t>
            </w:r>
          </w:p>
          <w:p w14:paraId="406DFB38" w14:textId="3B3E4B23" w:rsidR="00193B49" w:rsidRPr="000F7953" w:rsidRDefault="00193B49" w:rsidP="008A3659">
            <w:pPr>
              <w:keepNext/>
              <w:spacing w:before="120" w:after="120"/>
              <w:rPr>
                <w:rFonts w:asciiTheme="minorHAnsi" w:eastAsia="MS Gothic" w:hAnsiTheme="minorHAnsi" w:cstheme="minorHAnsi"/>
                <w:bCs/>
                <w:sz w:val="22"/>
                <w:szCs w:val="22"/>
              </w:rPr>
            </w:pPr>
            <w:r w:rsidRPr="000F7953">
              <w:rPr>
                <w:rFonts w:asciiTheme="minorHAnsi" w:hAnsiTheme="minorHAnsi" w:cstheme="minorHAnsi"/>
                <w:bCs/>
                <w:sz w:val="22"/>
                <w:szCs w:val="22"/>
              </w:rPr>
              <w:t>Contribuye a las metas 3, 4 y 12 del MMB-KM y a las metas 6.5, 6.6, 11.3, 11.4, 11.a, 11.b, 13.1, 14.2, 15.1, 15.2, 15.3 y 15.4 de los ODS.</w:t>
            </w:r>
          </w:p>
        </w:tc>
      </w:tr>
    </w:tbl>
    <w:p w14:paraId="52487DAC" w14:textId="77777777" w:rsidR="00F54581" w:rsidRPr="000F7953" w:rsidRDefault="00F54581" w:rsidP="00D1463B">
      <w:pPr>
        <w:keepNext/>
        <w:rPr>
          <w:rFonts w:asciiTheme="minorHAnsi" w:hAnsiTheme="minorHAnsi" w:cstheme="minorHAnsi"/>
          <w:b/>
          <w:bCs/>
          <w:sz w:val="22"/>
          <w:szCs w:val="22"/>
        </w:rPr>
      </w:pPr>
    </w:p>
    <w:p w14:paraId="29AF6982" w14:textId="40ECAA27" w:rsidR="005A4B95" w:rsidRPr="000F7953" w:rsidRDefault="005A4B95" w:rsidP="00D1463B">
      <w:pPr>
        <w:keepNext/>
        <w:rPr>
          <w:rFonts w:asciiTheme="minorHAnsi" w:hAnsiTheme="minorHAnsi" w:cstheme="minorHAnsi"/>
          <w:i/>
          <w:iCs/>
          <w:sz w:val="22"/>
          <w:szCs w:val="22"/>
          <w:u w:val="single"/>
        </w:rPr>
      </w:pPr>
      <w:r w:rsidRPr="000F7953">
        <w:rPr>
          <w:rFonts w:asciiTheme="minorHAnsi" w:hAnsiTheme="minorHAnsi" w:cstheme="minorHAnsi"/>
          <w:i/>
          <w:iCs/>
          <w:sz w:val="22"/>
          <w:szCs w:val="22"/>
          <w:u w:val="single"/>
        </w:rPr>
        <w:t>Mensaje clave</w:t>
      </w:r>
    </w:p>
    <w:p w14:paraId="055129F9" w14:textId="77777777" w:rsidR="00C61079" w:rsidRPr="000F7953" w:rsidRDefault="00C61079" w:rsidP="00D1463B">
      <w:pPr>
        <w:keepNext/>
        <w:rPr>
          <w:rFonts w:asciiTheme="minorHAnsi" w:hAnsiTheme="minorHAnsi" w:cstheme="minorHAnsi"/>
          <w:sz w:val="22"/>
          <w:szCs w:val="22"/>
        </w:rPr>
      </w:pPr>
    </w:p>
    <w:p w14:paraId="20E72C28" w14:textId="263555E2" w:rsidR="00D0021D" w:rsidRPr="000F7953" w:rsidRDefault="00515041" w:rsidP="000E3338">
      <w:pPr>
        <w:ind w:left="567" w:hanging="567"/>
        <w:rPr>
          <w:rFonts w:asciiTheme="minorHAnsi" w:hAnsiTheme="minorHAnsi" w:cstheme="minorHAnsi"/>
          <w:sz w:val="22"/>
          <w:szCs w:val="22"/>
        </w:rPr>
      </w:pPr>
      <w:r w:rsidRPr="000F7953">
        <w:rPr>
          <w:rFonts w:asciiTheme="minorHAnsi" w:hAnsiTheme="minorHAnsi" w:cstheme="minorHAnsi"/>
          <w:sz w:val="22"/>
          <w:szCs w:val="22"/>
        </w:rPr>
        <w:t>38.</w:t>
      </w:r>
      <w:r w:rsidRPr="000F7953">
        <w:rPr>
          <w:rFonts w:asciiTheme="minorHAnsi" w:hAnsiTheme="minorHAnsi" w:cstheme="minorHAnsi"/>
          <w:sz w:val="22"/>
          <w:szCs w:val="22"/>
        </w:rPr>
        <w:tab/>
        <w:t xml:space="preserve">La red de Humedales de Importancia Internacional ha crecido tanto en número de sitios como en superficie total, aunque el ritmo de crecimiento parece ser más lento desde la COP14. Muchas designaciones recientes incluyen tipos de humedales subrepresentados. </w:t>
      </w:r>
    </w:p>
    <w:p w14:paraId="7DF3C693" w14:textId="77777777" w:rsidR="00387C57" w:rsidRPr="000F7953" w:rsidRDefault="00387C57" w:rsidP="00CD3F6B">
      <w:pPr>
        <w:rPr>
          <w:rFonts w:asciiTheme="minorHAnsi" w:hAnsiTheme="minorHAnsi" w:cstheme="minorHAnsi"/>
          <w:sz w:val="22"/>
          <w:szCs w:val="22"/>
        </w:rPr>
      </w:pPr>
    </w:p>
    <w:tbl>
      <w:tblPr>
        <w:tblStyle w:val="TableGrid25"/>
        <w:tblW w:w="9072" w:type="dxa"/>
        <w:tblLook w:val="04A0" w:firstRow="1" w:lastRow="0" w:firstColumn="1" w:lastColumn="0" w:noHBand="0" w:noVBand="1"/>
      </w:tblPr>
      <w:tblGrid>
        <w:gridCol w:w="1958"/>
        <w:gridCol w:w="1420"/>
        <w:gridCol w:w="1362"/>
        <w:gridCol w:w="1362"/>
        <w:gridCol w:w="1362"/>
        <w:gridCol w:w="1608"/>
      </w:tblGrid>
      <w:tr w:rsidR="00D9073B" w:rsidRPr="000F7953" w14:paraId="68E0F67A" w14:textId="635BB89B" w:rsidTr="00C063DD">
        <w:trPr>
          <w:cantSplit/>
        </w:trPr>
        <w:tc>
          <w:tcPr>
            <w:tcW w:w="1550" w:type="dxa"/>
            <w:shd w:val="clear" w:color="auto" w:fill="auto"/>
            <w:vAlign w:val="center"/>
            <w:hideMark/>
          </w:tcPr>
          <w:p w14:paraId="027417CE" w14:textId="77777777" w:rsidR="00D9073B" w:rsidRPr="000F7953" w:rsidRDefault="00D9073B" w:rsidP="0078307B">
            <w:pPr>
              <w:keepNext/>
              <w:jc w:val="center"/>
              <w:rPr>
                <w:rFonts w:asciiTheme="minorHAnsi" w:eastAsia="Aptos" w:hAnsiTheme="minorHAnsi" w:cstheme="minorHAnsi"/>
                <w:b/>
                <w:sz w:val="22"/>
                <w:szCs w:val="22"/>
              </w:rPr>
            </w:pPr>
            <w:r w:rsidRPr="000F7953">
              <w:rPr>
                <w:rFonts w:asciiTheme="minorHAnsi" w:hAnsiTheme="minorHAnsi" w:cstheme="minorHAnsi"/>
                <w:b/>
                <w:sz w:val="22"/>
                <w:szCs w:val="22"/>
              </w:rPr>
              <w:t>Indicador</w:t>
            </w:r>
          </w:p>
        </w:tc>
        <w:tc>
          <w:tcPr>
            <w:tcW w:w="1134" w:type="dxa"/>
            <w:shd w:val="clear" w:color="auto" w:fill="auto"/>
            <w:vAlign w:val="center"/>
            <w:hideMark/>
          </w:tcPr>
          <w:p w14:paraId="3AC1EAD7" w14:textId="453629C2" w:rsidR="00D9073B" w:rsidRPr="000F7953" w:rsidRDefault="00D9073B" w:rsidP="0078307B">
            <w:pPr>
              <w:keepNext/>
              <w:jc w:val="center"/>
              <w:rPr>
                <w:rFonts w:asciiTheme="minorHAnsi" w:eastAsia="Aptos" w:hAnsiTheme="minorHAnsi" w:cstheme="minorHAnsi"/>
                <w:b/>
                <w:sz w:val="22"/>
                <w:szCs w:val="22"/>
              </w:rPr>
            </w:pPr>
            <w:r w:rsidRPr="000F7953">
              <w:rPr>
                <w:rFonts w:asciiTheme="minorHAnsi" w:hAnsiTheme="minorHAnsi" w:cstheme="minorHAnsi"/>
                <w:b/>
                <w:sz w:val="22"/>
                <w:szCs w:val="22"/>
              </w:rPr>
              <w:t>Referencia</w:t>
            </w:r>
          </w:p>
        </w:tc>
        <w:tc>
          <w:tcPr>
            <w:tcW w:w="1134" w:type="dxa"/>
            <w:shd w:val="clear" w:color="auto" w:fill="auto"/>
            <w:vAlign w:val="center"/>
            <w:hideMark/>
          </w:tcPr>
          <w:p w14:paraId="3C5B0C01" w14:textId="77777777" w:rsidR="00D9073B" w:rsidRPr="000F7953" w:rsidRDefault="00D9073B" w:rsidP="0078307B">
            <w:pPr>
              <w:keepNext/>
              <w:jc w:val="center"/>
              <w:rPr>
                <w:rFonts w:asciiTheme="minorHAnsi" w:eastAsia="Aptos" w:hAnsiTheme="minorHAnsi" w:cstheme="minorHAnsi"/>
                <w:b/>
                <w:sz w:val="22"/>
                <w:szCs w:val="22"/>
              </w:rPr>
            </w:pPr>
            <w:r w:rsidRPr="000F7953">
              <w:rPr>
                <w:rFonts w:asciiTheme="minorHAnsi" w:hAnsiTheme="minorHAnsi" w:cstheme="minorHAnsi"/>
                <w:b/>
                <w:sz w:val="22"/>
                <w:szCs w:val="22"/>
              </w:rPr>
              <w:t>COP13</w:t>
            </w:r>
          </w:p>
        </w:tc>
        <w:tc>
          <w:tcPr>
            <w:tcW w:w="1134" w:type="dxa"/>
            <w:shd w:val="clear" w:color="auto" w:fill="auto"/>
            <w:vAlign w:val="center"/>
            <w:hideMark/>
          </w:tcPr>
          <w:p w14:paraId="0BE8614D" w14:textId="77777777" w:rsidR="00D9073B" w:rsidRPr="000F7953" w:rsidRDefault="00D9073B" w:rsidP="0078307B">
            <w:pPr>
              <w:keepNext/>
              <w:jc w:val="center"/>
              <w:rPr>
                <w:rFonts w:asciiTheme="minorHAnsi" w:eastAsia="Aptos" w:hAnsiTheme="minorHAnsi" w:cstheme="minorHAnsi"/>
                <w:b/>
                <w:sz w:val="22"/>
                <w:szCs w:val="22"/>
              </w:rPr>
            </w:pPr>
            <w:r w:rsidRPr="000F7953">
              <w:rPr>
                <w:rFonts w:asciiTheme="minorHAnsi" w:hAnsiTheme="minorHAnsi" w:cstheme="minorHAnsi"/>
                <w:b/>
                <w:sz w:val="22"/>
                <w:szCs w:val="22"/>
              </w:rPr>
              <w:t>COP14</w:t>
            </w:r>
          </w:p>
        </w:tc>
        <w:tc>
          <w:tcPr>
            <w:tcW w:w="1134" w:type="dxa"/>
            <w:shd w:val="clear" w:color="auto" w:fill="auto"/>
            <w:vAlign w:val="center"/>
            <w:hideMark/>
          </w:tcPr>
          <w:p w14:paraId="6CE97FC4" w14:textId="77777777" w:rsidR="00D9073B" w:rsidRPr="000F7953" w:rsidRDefault="00D9073B" w:rsidP="0078307B">
            <w:pPr>
              <w:keepNext/>
              <w:jc w:val="center"/>
              <w:rPr>
                <w:rFonts w:asciiTheme="minorHAnsi" w:eastAsia="Aptos" w:hAnsiTheme="minorHAnsi" w:cstheme="minorHAnsi"/>
                <w:b/>
                <w:sz w:val="22"/>
                <w:szCs w:val="22"/>
              </w:rPr>
            </w:pPr>
            <w:r w:rsidRPr="000F7953">
              <w:rPr>
                <w:rFonts w:asciiTheme="minorHAnsi" w:hAnsiTheme="minorHAnsi" w:cstheme="minorHAnsi"/>
                <w:b/>
                <w:sz w:val="22"/>
                <w:szCs w:val="22"/>
              </w:rPr>
              <w:t>COP15</w:t>
            </w:r>
          </w:p>
        </w:tc>
        <w:tc>
          <w:tcPr>
            <w:tcW w:w="1338" w:type="dxa"/>
          </w:tcPr>
          <w:p w14:paraId="50C6076C" w14:textId="77777777" w:rsidR="00D9073B" w:rsidRPr="000F7953" w:rsidRDefault="00D9073B" w:rsidP="0078307B">
            <w:pPr>
              <w:keepNext/>
              <w:jc w:val="center"/>
              <w:rPr>
                <w:rFonts w:asciiTheme="minorHAnsi" w:eastAsia="Aptos" w:hAnsiTheme="minorHAnsi" w:cstheme="minorHAnsi"/>
                <w:b/>
                <w:sz w:val="22"/>
                <w:szCs w:val="22"/>
              </w:rPr>
            </w:pPr>
          </w:p>
        </w:tc>
      </w:tr>
      <w:tr w:rsidR="00D9073B" w:rsidRPr="000F7953" w14:paraId="4A1F6438" w14:textId="58179067" w:rsidTr="00C063DD">
        <w:trPr>
          <w:cantSplit/>
        </w:trPr>
        <w:tc>
          <w:tcPr>
            <w:tcW w:w="1550" w:type="dxa"/>
            <w:shd w:val="clear" w:color="auto" w:fill="auto"/>
          </w:tcPr>
          <w:p w14:paraId="0FF7B0AD" w14:textId="0340A29F" w:rsidR="00D9073B" w:rsidRPr="000F7953" w:rsidRDefault="00D9073B" w:rsidP="00CD3F6B">
            <w:pPr>
              <w:rPr>
                <w:rFonts w:asciiTheme="minorHAnsi" w:eastAsia="Aptos" w:hAnsiTheme="minorHAnsi" w:cstheme="minorHAnsi"/>
                <w:sz w:val="22"/>
                <w:szCs w:val="22"/>
              </w:rPr>
            </w:pPr>
            <w:r w:rsidRPr="000F7953">
              <w:rPr>
                <w:rFonts w:asciiTheme="minorHAnsi" w:hAnsiTheme="minorHAnsi" w:cstheme="minorHAnsi"/>
                <w:sz w:val="22"/>
                <w:szCs w:val="22"/>
              </w:rPr>
              <w:t>Número de sitios Ramsar que han sido designados.</w:t>
            </w:r>
          </w:p>
        </w:tc>
        <w:tc>
          <w:tcPr>
            <w:tcW w:w="1134" w:type="dxa"/>
            <w:shd w:val="clear" w:color="auto" w:fill="auto"/>
          </w:tcPr>
          <w:p w14:paraId="141FEE4A" w14:textId="16C5190B" w:rsidR="00D9073B" w:rsidRPr="000F7953" w:rsidRDefault="00D9073B" w:rsidP="00AD1260">
            <w:pPr>
              <w:jc w:val="center"/>
              <w:rPr>
                <w:rFonts w:asciiTheme="minorHAnsi" w:eastAsia="Aptos" w:hAnsiTheme="minorHAnsi" w:cstheme="minorHAnsi"/>
                <w:b/>
                <w:sz w:val="22"/>
                <w:szCs w:val="22"/>
              </w:rPr>
            </w:pPr>
            <w:r w:rsidRPr="000F7953">
              <w:rPr>
                <w:rFonts w:asciiTheme="minorHAnsi" w:hAnsiTheme="minorHAnsi" w:cstheme="minorHAnsi"/>
                <w:sz w:val="22"/>
                <w:szCs w:val="22"/>
              </w:rPr>
              <w:t>2</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188</w:t>
            </w:r>
          </w:p>
        </w:tc>
        <w:tc>
          <w:tcPr>
            <w:tcW w:w="1134" w:type="dxa"/>
            <w:shd w:val="clear" w:color="auto" w:fill="auto"/>
          </w:tcPr>
          <w:p w14:paraId="0884423E" w14:textId="1B92EBB3" w:rsidR="00D9073B" w:rsidRPr="000F7953" w:rsidRDefault="00D9073B" w:rsidP="00AD1260">
            <w:pPr>
              <w:jc w:val="center"/>
              <w:rPr>
                <w:rFonts w:asciiTheme="minorHAnsi" w:eastAsia="Aptos" w:hAnsiTheme="minorHAnsi" w:cstheme="minorHAnsi"/>
                <w:b/>
                <w:sz w:val="22"/>
                <w:szCs w:val="22"/>
              </w:rPr>
            </w:pPr>
            <w:r w:rsidRPr="000F7953">
              <w:rPr>
                <w:rFonts w:asciiTheme="minorHAnsi" w:hAnsiTheme="minorHAnsi" w:cstheme="minorHAnsi"/>
                <w:sz w:val="22"/>
                <w:szCs w:val="22"/>
              </w:rPr>
              <w:t>2</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314</w:t>
            </w:r>
          </w:p>
        </w:tc>
        <w:tc>
          <w:tcPr>
            <w:tcW w:w="1134" w:type="dxa"/>
            <w:shd w:val="clear" w:color="auto" w:fill="auto"/>
          </w:tcPr>
          <w:p w14:paraId="449E0F58" w14:textId="4D49E8B8" w:rsidR="00D9073B" w:rsidRPr="000F7953" w:rsidRDefault="00D9073B" w:rsidP="00AD1260">
            <w:pPr>
              <w:jc w:val="center"/>
              <w:rPr>
                <w:rFonts w:asciiTheme="minorHAnsi" w:eastAsia="Aptos" w:hAnsiTheme="minorHAnsi" w:cstheme="minorHAnsi"/>
                <w:b/>
                <w:sz w:val="22"/>
                <w:szCs w:val="22"/>
              </w:rPr>
            </w:pPr>
            <w:r w:rsidRPr="000F7953">
              <w:rPr>
                <w:rFonts w:asciiTheme="minorHAnsi" w:hAnsiTheme="minorHAnsi" w:cstheme="minorHAnsi"/>
                <w:sz w:val="22"/>
                <w:szCs w:val="22"/>
              </w:rPr>
              <w:t>2</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439</w:t>
            </w:r>
          </w:p>
        </w:tc>
        <w:tc>
          <w:tcPr>
            <w:tcW w:w="1134" w:type="dxa"/>
            <w:shd w:val="clear" w:color="auto" w:fill="auto"/>
          </w:tcPr>
          <w:p w14:paraId="456235C5" w14:textId="50C2E885" w:rsidR="00D9073B" w:rsidRPr="000F7953" w:rsidRDefault="00D9073B" w:rsidP="00AD1260">
            <w:pPr>
              <w:jc w:val="center"/>
              <w:rPr>
                <w:rFonts w:asciiTheme="minorHAnsi" w:eastAsia="Aptos" w:hAnsiTheme="minorHAnsi" w:cstheme="minorHAnsi"/>
                <w:b/>
                <w:sz w:val="22"/>
                <w:szCs w:val="22"/>
              </w:rPr>
            </w:pPr>
            <w:r w:rsidRPr="000F7953">
              <w:rPr>
                <w:rFonts w:asciiTheme="minorHAnsi" w:hAnsiTheme="minorHAnsi" w:cstheme="minorHAnsi"/>
                <w:sz w:val="22"/>
                <w:szCs w:val="22"/>
              </w:rPr>
              <w:t>2</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535</w:t>
            </w:r>
          </w:p>
        </w:tc>
        <w:tc>
          <w:tcPr>
            <w:tcW w:w="1338" w:type="dxa"/>
          </w:tcPr>
          <w:p w14:paraId="1B0B94EA" w14:textId="39C2B9DD" w:rsidR="00D9073B" w:rsidRPr="000F7953" w:rsidRDefault="00D9073B" w:rsidP="00AD1260">
            <w:pPr>
              <w:jc w:val="center"/>
              <w:rPr>
                <w:rFonts w:asciiTheme="minorHAnsi" w:hAnsiTheme="minorHAnsi" w:cstheme="minorHAnsi"/>
                <w:sz w:val="22"/>
                <w:szCs w:val="22"/>
              </w:rPr>
            </w:pPr>
            <w:r w:rsidRPr="000F7953">
              <w:rPr>
                <w:rFonts w:asciiTheme="minorHAnsi" w:hAnsiTheme="minorHAnsi" w:cstheme="minorHAnsi"/>
                <w:noProof/>
              </w:rPr>
              <w:drawing>
                <wp:inline distT="0" distB="0" distL="0" distR="0" wp14:anchorId="3F3E8463" wp14:editId="6DC87BEE">
                  <wp:extent cx="712800" cy="432000"/>
                  <wp:effectExtent l="0" t="0" r="0" b="0"/>
                  <wp:docPr id="94532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12800" cy="432000"/>
                          </a:xfrm>
                          <a:prstGeom prst="rect">
                            <a:avLst/>
                          </a:prstGeom>
                          <a:noFill/>
                          <a:ln>
                            <a:noFill/>
                          </a:ln>
                        </pic:spPr>
                      </pic:pic>
                    </a:graphicData>
                  </a:graphic>
                </wp:inline>
              </w:drawing>
            </w:r>
          </w:p>
        </w:tc>
      </w:tr>
      <w:tr w:rsidR="00D9073B" w:rsidRPr="000F7953" w14:paraId="2A8F0449" w14:textId="265C9227" w:rsidTr="00C063DD">
        <w:trPr>
          <w:cantSplit/>
        </w:trPr>
        <w:tc>
          <w:tcPr>
            <w:tcW w:w="1550" w:type="dxa"/>
            <w:shd w:val="clear" w:color="auto" w:fill="auto"/>
          </w:tcPr>
          <w:p w14:paraId="59DBA160" w14:textId="357E5C01" w:rsidR="00D9073B" w:rsidRPr="000F7953" w:rsidRDefault="00D9073B" w:rsidP="00CD3F6B">
            <w:pPr>
              <w:rPr>
                <w:rFonts w:asciiTheme="minorHAnsi" w:hAnsiTheme="minorHAnsi" w:cstheme="minorHAnsi"/>
                <w:sz w:val="22"/>
                <w:szCs w:val="22"/>
              </w:rPr>
            </w:pPr>
            <w:r w:rsidRPr="000F7953">
              <w:rPr>
                <w:rFonts w:asciiTheme="minorHAnsi" w:hAnsiTheme="minorHAnsi" w:cstheme="minorHAnsi"/>
                <w:sz w:val="22"/>
                <w:szCs w:val="22"/>
              </w:rPr>
              <w:t>Número total de hectáreas de los sitios Ramsar designados.</w:t>
            </w:r>
          </w:p>
        </w:tc>
        <w:tc>
          <w:tcPr>
            <w:tcW w:w="1134" w:type="dxa"/>
            <w:shd w:val="clear" w:color="auto" w:fill="auto"/>
          </w:tcPr>
          <w:p w14:paraId="59CAC03B" w14:textId="4AB520C3" w:rsidR="00D9073B" w:rsidRPr="000F7953" w:rsidRDefault="00D9073B" w:rsidP="00AD1260">
            <w:pPr>
              <w:jc w:val="center"/>
              <w:rPr>
                <w:rFonts w:asciiTheme="minorHAnsi" w:hAnsiTheme="minorHAnsi" w:cstheme="minorHAnsi"/>
                <w:sz w:val="22"/>
                <w:szCs w:val="22"/>
              </w:rPr>
            </w:pPr>
            <w:r w:rsidRPr="000F7953">
              <w:rPr>
                <w:rFonts w:asciiTheme="minorHAnsi" w:hAnsiTheme="minorHAnsi" w:cstheme="minorHAnsi"/>
                <w:color w:val="000000"/>
                <w:sz w:val="22"/>
                <w:szCs w:val="22"/>
              </w:rPr>
              <w:t>208</w:t>
            </w:r>
            <w:r w:rsidR="005601CD" w:rsidRPr="000F7953">
              <w:rPr>
                <w:rFonts w:asciiTheme="minorHAnsi" w:hAnsiTheme="minorHAnsi" w:cstheme="minorHAnsi"/>
                <w:color w:val="000000"/>
                <w:sz w:val="22"/>
                <w:szCs w:val="22"/>
              </w:rPr>
              <w:t>,</w:t>
            </w:r>
            <w:r w:rsidRPr="000F7953">
              <w:rPr>
                <w:rFonts w:asciiTheme="minorHAnsi" w:hAnsiTheme="minorHAnsi" w:cstheme="minorHAnsi"/>
                <w:color w:val="000000"/>
                <w:sz w:val="22"/>
                <w:szCs w:val="22"/>
              </w:rPr>
              <w:t xml:space="preserve">4 </w:t>
            </w:r>
            <w:r w:rsidRPr="000F7953">
              <w:rPr>
                <w:rFonts w:asciiTheme="minorHAnsi" w:hAnsiTheme="minorHAnsi" w:cstheme="minorHAnsi"/>
                <w:color w:val="000000"/>
                <w:sz w:val="22"/>
                <w:szCs w:val="22"/>
              </w:rPr>
              <w:br/>
              <w:t>millones de hectáreas</w:t>
            </w:r>
          </w:p>
        </w:tc>
        <w:tc>
          <w:tcPr>
            <w:tcW w:w="1134" w:type="dxa"/>
            <w:shd w:val="clear" w:color="auto" w:fill="auto"/>
          </w:tcPr>
          <w:p w14:paraId="523D87E6" w14:textId="7A55FED8" w:rsidR="00D9073B" w:rsidRPr="000F7953" w:rsidRDefault="00D9073B" w:rsidP="00AD1260">
            <w:pPr>
              <w:jc w:val="center"/>
              <w:rPr>
                <w:rFonts w:asciiTheme="minorHAnsi" w:hAnsiTheme="minorHAnsi" w:cstheme="minorHAnsi"/>
                <w:sz w:val="22"/>
                <w:szCs w:val="22"/>
              </w:rPr>
            </w:pPr>
            <w:r w:rsidRPr="000F7953">
              <w:rPr>
                <w:rFonts w:asciiTheme="minorHAnsi" w:hAnsiTheme="minorHAnsi" w:cstheme="minorHAnsi"/>
                <w:color w:val="000000"/>
                <w:sz w:val="22"/>
                <w:szCs w:val="22"/>
              </w:rPr>
              <w:t>242</w:t>
            </w:r>
            <w:r w:rsidR="005601CD" w:rsidRPr="000F7953">
              <w:rPr>
                <w:rFonts w:asciiTheme="minorHAnsi" w:hAnsiTheme="minorHAnsi" w:cstheme="minorHAnsi"/>
                <w:color w:val="000000"/>
                <w:sz w:val="22"/>
                <w:szCs w:val="22"/>
              </w:rPr>
              <w:t>,</w:t>
            </w:r>
            <w:r w:rsidRPr="000F7953">
              <w:rPr>
                <w:rFonts w:asciiTheme="minorHAnsi" w:hAnsiTheme="minorHAnsi" w:cstheme="minorHAnsi"/>
                <w:color w:val="000000"/>
                <w:sz w:val="22"/>
                <w:szCs w:val="22"/>
              </w:rPr>
              <w:t xml:space="preserve">4 </w:t>
            </w:r>
            <w:r w:rsidRPr="000F7953">
              <w:rPr>
                <w:rFonts w:asciiTheme="minorHAnsi" w:hAnsiTheme="minorHAnsi" w:cstheme="minorHAnsi"/>
                <w:color w:val="000000"/>
                <w:sz w:val="22"/>
                <w:szCs w:val="22"/>
              </w:rPr>
              <w:br/>
              <w:t>millones de hectáreas</w:t>
            </w:r>
          </w:p>
        </w:tc>
        <w:tc>
          <w:tcPr>
            <w:tcW w:w="1134" w:type="dxa"/>
            <w:shd w:val="clear" w:color="auto" w:fill="auto"/>
          </w:tcPr>
          <w:p w14:paraId="1D93750C" w14:textId="40B78238" w:rsidR="00D9073B" w:rsidRPr="000F7953" w:rsidRDefault="00D9073B" w:rsidP="00AD1260">
            <w:pPr>
              <w:jc w:val="center"/>
              <w:rPr>
                <w:rFonts w:asciiTheme="minorHAnsi" w:hAnsiTheme="minorHAnsi" w:cstheme="minorHAnsi"/>
                <w:sz w:val="22"/>
                <w:szCs w:val="22"/>
              </w:rPr>
            </w:pPr>
            <w:r w:rsidRPr="000F7953">
              <w:rPr>
                <w:rFonts w:asciiTheme="minorHAnsi" w:hAnsiTheme="minorHAnsi" w:cstheme="minorHAnsi"/>
                <w:color w:val="000000"/>
                <w:sz w:val="22"/>
                <w:szCs w:val="22"/>
              </w:rPr>
              <w:t>254</w:t>
            </w:r>
            <w:r w:rsidR="005601CD" w:rsidRPr="000F7953">
              <w:rPr>
                <w:rFonts w:asciiTheme="minorHAnsi" w:hAnsiTheme="minorHAnsi" w:cstheme="minorHAnsi"/>
                <w:color w:val="000000"/>
                <w:sz w:val="22"/>
                <w:szCs w:val="22"/>
              </w:rPr>
              <w:t>,</w:t>
            </w:r>
            <w:r w:rsidRPr="000F7953">
              <w:rPr>
                <w:rFonts w:asciiTheme="minorHAnsi" w:hAnsiTheme="minorHAnsi" w:cstheme="minorHAnsi"/>
                <w:color w:val="000000"/>
                <w:sz w:val="22"/>
                <w:szCs w:val="22"/>
              </w:rPr>
              <w:t xml:space="preserve">7 </w:t>
            </w:r>
            <w:r w:rsidRPr="000F7953">
              <w:rPr>
                <w:rFonts w:asciiTheme="minorHAnsi" w:hAnsiTheme="minorHAnsi" w:cstheme="minorHAnsi"/>
                <w:color w:val="000000"/>
                <w:sz w:val="22"/>
                <w:szCs w:val="22"/>
              </w:rPr>
              <w:br/>
              <w:t>millones de hectáreas</w:t>
            </w:r>
          </w:p>
        </w:tc>
        <w:tc>
          <w:tcPr>
            <w:tcW w:w="1134" w:type="dxa"/>
            <w:shd w:val="clear" w:color="auto" w:fill="auto"/>
          </w:tcPr>
          <w:p w14:paraId="3CFE15D1" w14:textId="5EC9FA61" w:rsidR="00D9073B" w:rsidRPr="000F7953" w:rsidRDefault="00D9073B" w:rsidP="00C063DD">
            <w:pPr>
              <w:jc w:val="center"/>
              <w:rPr>
                <w:rFonts w:asciiTheme="minorHAnsi" w:hAnsiTheme="minorHAnsi" w:cstheme="minorHAnsi"/>
                <w:sz w:val="22"/>
                <w:szCs w:val="22"/>
              </w:rPr>
            </w:pPr>
            <w:r w:rsidRPr="000F7953">
              <w:rPr>
                <w:rFonts w:asciiTheme="minorHAnsi" w:hAnsiTheme="minorHAnsi" w:cstheme="minorHAnsi"/>
                <w:color w:val="000000"/>
                <w:sz w:val="22"/>
                <w:szCs w:val="22"/>
              </w:rPr>
              <w:t>257</w:t>
            </w:r>
            <w:r w:rsidR="005601CD" w:rsidRPr="000F7953">
              <w:rPr>
                <w:rFonts w:asciiTheme="minorHAnsi" w:hAnsiTheme="minorHAnsi" w:cstheme="minorHAnsi"/>
                <w:color w:val="000000"/>
                <w:sz w:val="22"/>
                <w:szCs w:val="22"/>
              </w:rPr>
              <w:t>,</w:t>
            </w:r>
            <w:r w:rsidRPr="000F7953">
              <w:rPr>
                <w:rFonts w:asciiTheme="minorHAnsi" w:hAnsiTheme="minorHAnsi" w:cstheme="minorHAnsi"/>
                <w:color w:val="000000"/>
                <w:sz w:val="22"/>
                <w:szCs w:val="22"/>
              </w:rPr>
              <w:t xml:space="preserve">9 </w:t>
            </w:r>
            <w:r w:rsidRPr="000F7953">
              <w:rPr>
                <w:rFonts w:asciiTheme="minorHAnsi" w:hAnsiTheme="minorHAnsi" w:cstheme="minorHAnsi"/>
                <w:color w:val="000000"/>
                <w:sz w:val="22"/>
                <w:szCs w:val="22"/>
              </w:rPr>
              <w:br/>
              <w:t>millones de hectáreas</w:t>
            </w:r>
          </w:p>
        </w:tc>
        <w:tc>
          <w:tcPr>
            <w:tcW w:w="1338" w:type="dxa"/>
          </w:tcPr>
          <w:p w14:paraId="485F9E09" w14:textId="3BE57FD1" w:rsidR="00D9073B" w:rsidRPr="000F7953" w:rsidRDefault="00D9073B" w:rsidP="00AD1260">
            <w:pPr>
              <w:jc w:val="center"/>
              <w:rPr>
                <w:rFonts w:asciiTheme="minorHAnsi" w:hAnsiTheme="minorHAnsi" w:cstheme="minorHAnsi"/>
                <w:color w:val="000000"/>
                <w:sz w:val="22"/>
                <w:szCs w:val="22"/>
              </w:rPr>
            </w:pPr>
            <w:r w:rsidRPr="000F7953">
              <w:rPr>
                <w:rFonts w:asciiTheme="minorHAnsi" w:hAnsiTheme="minorHAnsi" w:cstheme="minorHAnsi"/>
                <w:noProof/>
              </w:rPr>
              <w:drawing>
                <wp:inline distT="0" distB="0" distL="0" distR="0" wp14:anchorId="36D6C70B" wp14:editId="1D709884">
                  <wp:extent cx="712800" cy="432000"/>
                  <wp:effectExtent l="0" t="0" r="0" b="0"/>
                  <wp:docPr id="7110847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12800" cy="432000"/>
                          </a:xfrm>
                          <a:prstGeom prst="rect">
                            <a:avLst/>
                          </a:prstGeom>
                          <a:noFill/>
                          <a:ln>
                            <a:noFill/>
                          </a:ln>
                        </pic:spPr>
                      </pic:pic>
                    </a:graphicData>
                  </a:graphic>
                </wp:inline>
              </w:drawing>
            </w:r>
          </w:p>
        </w:tc>
      </w:tr>
      <w:tr w:rsidR="00D9073B" w:rsidRPr="000F7953" w14:paraId="70D42AB7" w14:textId="173E9E22" w:rsidTr="00C063DD">
        <w:trPr>
          <w:cantSplit/>
        </w:trPr>
        <w:tc>
          <w:tcPr>
            <w:tcW w:w="1550" w:type="dxa"/>
            <w:shd w:val="clear" w:color="auto" w:fill="auto"/>
          </w:tcPr>
          <w:p w14:paraId="4C083001" w14:textId="128F0FE2" w:rsidR="00D9073B" w:rsidRPr="000F7953" w:rsidRDefault="00D9073B" w:rsidP="00CD3F6B">
            <w:pPr>
              <w:rPr>
                <w:rFonts w:asciiTheme="minorHAnsi" w:hAnsiTheme="minorHAnsi" w:cstheme="minorHAnsi"/>
                <w:sz w:val="22"/>
                <w:szCs w:val="22"/>
              </w:rPr>
            </w:pPr>
            <w:r w:rsidRPr="000F7953">
              <w:rPr>
                <w:rFonts w:asciiTheme="minorHAnsi" w:hAnsiTheme="minorHAnsi" w:cstheme="minorHAnsi"/>
                <w:sz w:val="22"/>
                <w:szCs w:val="22"/>
              </w:rPr>
              <w:t>Número de sitios Ramsar transfronterizos designados.</w:t>
            </w:r>
          </w:p>
        </w:tc>
        <w:tc>
          <w:tcPr>
            <w:tcW w:w="1134" w:type="dxa"/>
            <w:shd w:val="clear" w:color="auto" w:fill="auto"/>
          </w:tcPr>
          <w:p w14:paraId="7126749F" w14:textId="3FF2FB3E" w:rsidR="00D9073B" w:rsidRPr="000F7953" w:rsidRDefault="00D9073B" w:rsidP="00AD1260">
            <w:pPr>
              <w:jc w:val="center"/>
              <w:rPr>
                <w:rFonts w:asciiTheme="minorHAnsi" w:hAnsiTheme="minorHAnsi" w:cstheme="minorHAnsi"/>
                <w:color w:val="000000"/>
                <w:sz w:val="22"/>
                <w:szCs w:val="22"/>
              </w:rPr>
            </w:pPr>
            <w:r w:rsidRPr="000F7953">
              <w:rPr>
                <w:rFonts w:asciiTheme="minorHAnsi" w:hAnsiTheme="minorHAnsi" w:cstheme="minorHAnsi"/>
                <w:color w:val="000000"/>
                <w:sz w:val="22"/>
                <w:szCs w:val="22"/>
              </w:rPr>
              <w:t>16</w:t>
            </w:r>
          </w:p>
        </w:tc>
        <w:tc>
          <w:tcPr>
            <w:tcW w:w="1134" w:type="dxa"/>
            <w:shd w:val="clear" w:color="auto" w:fill="auto"/>
          </w:tcPr>
          <w:p w14:paraId="6B54E4EE" w14:textId="1E3EA30D" w:rsidR="00D9073B" w:rsidRPr="000F7953" w:rsidRDefault="00D9073B" w:rsidP="00AD1260">
            <w:pPr>
              <w:jc w:val="center"/>
              <w:rPr>
                <w:rFonts w:asciiTheme="minorHAnsi" w:hAnsiTheme="minorHAnsi" w:cstheme="minorHAnsi"/>
                <w:color w:val="000000"/>
                <w:sz w:val="22"/>
                <w:szCs w:val="22"/>
              </w:rPr>
            </w:pPr>
            <w:r w:rsidRPr="000F7953">
              <w:rPr>
                <w:rFonts w:asciiTheme="minorHAnsi" w:hAnsiTheme="minorHAnsi" w:cstheme="minorHAnsi"/>
                <w:color w:val="000000"/>
                <w:sz w:val="22"/>
                <w:szCs w:val="22"/>
              </w:rPr>
              <w:t>20</w:t>
            </w:r>
          </w:p>
        </w:tc>
        <w:tc>
          <w:tcPr>
            <w:tcW w:w="1134" w:type="dxa"/>
            <w:shd w:val="clear" w:color="auto" w:fill="auto"/>
          </w:tcPr>
          <w:p w14:paraId="32DF7154" w14:textId="58EAD81A" w:rsidR="00D9073B" w:rsidRPr="000F7953" w:rsidRDefault="00D9073B" w:rsidP="00AD1260">
            <w:pPr>
              <w:jc w:val="center"/>
              <w:rPr>
                <w:rFonts w:asciiTheme="minorHAnsi" w:hAnsiTheme="minorHAnsi" w:cstheme="minorHAnsi"/>
                <w:color w:val="000000"/>
                <w:sz w:val="22"/>
                <w:szCs w:val="22"/>
              </w:rPr>
            </w:pPr>
            <w:r w:rsidRPr="000F7953">
              <w:rPr>
                <w:rFonts w:asciiTheme="minorHAnsi" w:hAnsiTheme="minorHAnsi" w:cstheme="minorHAnsi"/>
                <w:color w:val="000000"/>
                <w:sz w:val="22"/>
                <w:szCs w:val="22"/>
              </w:rPr>
              <w:t>22</w:t>
            </w:r>
          </w:p>
        </w:tc>
        <w:tc>
          <w:tcPr>
            <w:tcW w:w="1134" w:type="dxa"/>
            <w:shd w:val="clear" w:color="auto" w:fill="auto"/>
          </w:tcPr>
          <w:p w14:paraId="410B6886" w14:textId="6ECFBD83" w:rsidR="00D9073B" w:rsidRPr="000F7953" w:rsidRDefault="00D9073B" w:rsidP="00AD1260">
            <w:pPr>
              <w:jc w:val="center"/>
              <w:rPr>
                <w:rFonts w:asciiTheme="minorHAnsi" w:hAnsiTheme="minorHAnsi" w:cstheme="minorHAnsi"/>
                <w:color w:val="000000"/>
                <w:sz w:val="22"/>
                <w:szCs w:val="22"/>
              </w:rPr>
            </w:pPr>
            <w:r w:rsidRPr="000F7953">
              <w:rPr>
                <w:rFonts w:asciiTheme="minorHAnsi" w:hAnsiTheme="minorHAnsi" w:cstheme="minorHAnsi"/>
                <w:color w:val="000000"/>
                <w:sz w:val="22"/>
                <w:szCs w:val="22"/>
              </w:rPr>
              <w:t>23</w:t>
            </w:r>
          </w:p>
        </w:tc>
        <w:tc>
          <w:tcPr>
            <w:tcW w:w="1338" w:type="dxa"/>
          </w:tcPr>
          <w:p w14:paraId="5845302D" w14:textId="4E35146E" w:rsidR="00D9073B" w:rsidRPr="000F7953" w:rsidRDefault="00D9073B" w:rsidP="00AD1260">
            <w:pPr>
              <w:jc w:val="center"/>
              <w:rPr>
                <w:rFonts w:asciiTheme="minorHAnsi" w:hAnsiTheme="minorHAnsi" w:cstheme="minorHAnsi"/>
                <w:color w:val="000000"/>
                <w:sz w:val="22"/>
                <w:szCs w:val="22"/>
              </w:rPr>
            </w:pPr>
            <w:r w:rsidRPr="000F7953">
              <w:rPr>
                <w:rFonts w:asciiTheme="minorHAnsi" w:hAnsiTheme="minorHAnsi" w:cstheme="minorHAnsi"/>
                <w:noProof/>
              </w:rPr>
              <w:drawing>
                <wp:inline distT="0" distB="0" distL="0" distR="0" wp14:anchorId="6E5F31F2" wp14:editId="55C1FE09">
                  <wp:extent cx="712800" cy="432000"/>
                  <wp:effectExtent l="0" t="0" r="0" b="0"/>
                  <wp:docPr id="15707648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12800" cy="432000"/>
                          </a:xfrm>
                          <a:prstGeom prst="rect">
                            <a:avLst/>
                          </a:prstGeom>
                          <a:noFill/>
                          <a:ln>
                            <a:noFill/>
                          </a:ln>
                        </pic:spPr>
                      </pic:pic>
                    </a:graphicData>
                  </a:graphic>
                </wp:inline>
              </w:drawing>
            </w:r>
          </w:p>
        </w:tc>
      </w:tr>
    </w:tbl>
    <w:p w14:paraId="21BE24E8" w14:textId="015AE937" w:rsidR="00C61079" w:rsidRPr="000F7953" w:rsidRDefault="00890833" w:rsidP="00CD3F6B">
      <w:pPr>
        <w:rPr>
          <w:rFonts w:asciiTheme="minorHAnsi" w:hAnsiTheme="minorHAnsi" w:cstheme="minorHAnsi"/>
          <w:sz w:val="22"/>
          <w:szCs w:val="22"/>
        </w:rPr>
      </w:pPr>
      <w:r w:rsidRPr="000F7953">
        <w:rPr>
          <w:rFonts w:asciiTheme="minorHAnsi" w:hAnsiTheme="minorHAnsi" w:cstheme="minorHAnsi"/>
          <w:sz w:val="22"/>
          <w:szCs w:val="22"/>
        </w:rPr>
        <w:lastRenderedPageBreak/>
        <w:t>Nota: Datos extraídos de los informes nacionales y del Servicio de Información sobre Sitios Ramsar (SISR)</w:t>
      </w:r>
    </w:p>
    <w:p w14:paraId="6127D324" w14:textId="77777777" w:rsidR="001477C5" w:rsidRPr="000F7953" w:rsidRDefault="001477C5" w:rsidP="00CD3F6B">
      <w:pPr>
        <w:rPr>
          <w:rFonts w:asciiTheme="minorHAnsi" w:hAnsiTheme="minorHAnsi" w:cstheme="minorHAnsi"/>
          <w:sz w:val="22"/>
          <w:szCs w:val="22"/>
        </w:rPr>
      </w:pPr>
    </w:p>
    <w:p w14:paraId="17567858" w14:textId="465A0DFB" w:rsidR="00F54581" w:rsidRPr="000F7953" w:rsidRDefault="00C61079" w:rsidP="00D1463B">
      <w:pPr>
        <w:keepNext/>
        <w:rPr>
          <w:rFonts w:asciiTheme="minorHAnsi" w:hAnsiTheme="minorHAnsi" w:cstheme="minorHAnsi"/>
          <w:i/>
          <w:iCs/>
          <w:sz w:val="22"/>
          <w:szCs w:val="22"/>
          <w:u w:val="single"/>
        </w:rPr>
      </w:pPr>
      <w:r w:rsidRPr="000F7953">
        <w:rPr>
          <w:rFonts w:asciiTheme="minorHAnsi" w:hAnsiTheme="minorHAnsi" w:cstheme="minorHAnsi"/>
          <w:i/>
          <w:iCs/>
          <w:sz w:val="22"/>
          <w:szCs w:val="22"/>
          <w:u w:val="single"/>
        </w:rPr>
        <w:t xml:space="preserve">Resumen de los progresos realizados </w:t>
      </w:r>
    </w:p>
    <w:p w14:paraId="56C998C0" w14:textId="77777777" w:rsidR="00F1468E" w:rsidRPr="000F7953" w:rsidRDefault="00F1468E" w:rsidP="00D1463B">
      <w:pPr>
        <w:keepNext/>
        <w:rPr>
          <w:rFonts w:asciiTheme="minorHAnsi" w:hAnsiTheme="minorHAnsi" w:cstheme="minorHAnsi"/>
          <w:sz w:val="22"/>
          <w:szCs w:val="22"/>
        </w:rPr>
      </w:pPr>
    </w:p>
    <w:p w14:paraId="3C6F4DF6" w14:textId="7492F242" w:rsidR="00705DDB" w:rsidRPr="000F7953" w:rsidRDefault="002E1E29" w:rsidP="000E3338">
      <w:pPr>
        <w:ind w:left="567" w:hanging="567"/>
        <w:rPr>
          <w:rFonts w:asciiTheme="minorHAnsi" w:hAnsiTheme="minorHAnsi" w:cstheme="minorHAnsi"/>
          <w:sz w:val="22"/>
          <w:szCs w:val="22"/>
        </w:rPr>
      </w:pPr>
      <w:r w:rsidRPr="000F7953">
        <w:rPr>
          <w:rFonts w:asciiTheme="minorHAnsi" w:hAnsiTheme="minorHAnsi" w:cstheme="minorHAnsi"/>
          <w:sz w:val="22"/>
          <w:szCs w:val="22"/>
        </w:rPr>
        <w:t>39.</w:t>
      </w:r>
      <w:r w:rsidRPr="000F7953">
        <w:rPr>
          <w:rFonts w:asciiTheme="minorHAnsi" w:hAnsiTheme="minorHAnsi" w:cstheme="minorHAnsi"/>
          <w:sz w:val="22"/>
          <w:szCs w:val="22"/>
        </w:rPr>
        <w:tab/>
        <w:t>Desde la COP12, se han añadido 221 nuevos Humedales de Importancia Internacional a la Lista, y al final del periodo cubierto por los informes para la COP15 el número total de Sitios a nivel mundial es de 2 535, para un total de 257 924 380 hectáreas. Esto representa un aumento del 16</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en número y del 24</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en superficie desde la COP12. El índice de nuevas designaciones ha disminuido gradualmente durante el período cubierto por el PE4. </w:t>
      </w:r>
    </w:p>
    <w:p w14:paraId="2D627654" w14:textId="77777777" w:rsidR="00185397" w:rsidRPr="000F7953" w:rsidRDefault="00185397" w:rsidP="000E3338">
      <w:pPr>
        <w:ind w:left="567" w:hanging="567"/>
        <w:rPr>
          <w:rFonts w:asciiTheme="minorHAnsi" w:hAnsiTheme="minorHAnsi" w:cstheme="minorHAnsi"/>
          <w:sz w:val="22"/>
          <w:szCs w:val="22"/>
        </w:rPr>
      </w:pPr>
    </w:p>
    <w:p w14:paraId="3A6329F1" w14:textId="6977013C" w:rsidR="00D11F65" w:rsidRPr="000F7953" w:rsidRDefault="00515041" w:rsidP="000E3338">
      <w:pPr>
        <w:ind w:left="567" w:hanging="567"/>
        <w:rPr>
          <w:rFonts w:asciiTheme="minorHAnsi" w:hAnsiTheme="minorHAnsi" w:cstheme="minorHAnsi"/>
          <w:sz w:val="22"/>
          <w:szCs w:val="22"/>
        </w:rPr>
      </w:pPr>
      <w:r w:rsidRPr="000F7953">
        <w:rPr>
          <w:rFonts w:asciiTheme="minorHAnsi" w:hAnsiTheme="minorHAnsi" w:cstheme="minorHAnsi"/>
          <w:sz w:val="22"/>
          <w:szCs w:val="22"/>
        </w:rPr>
        <w:t>40.</w:t>
      </w:r>
      <w:r w:rsidRPr="000F7953">
        <w:rPr>
          <w:rFonts w:asciiTheme="minorHAnsi" w:hAnsiTheme="minorHAnsi" w:cstheme="minorHAnsi"/>
          <w:sz w:val="22"/>
          <w:szCs w:val="22"/>
        </w:rPr>
        <w:tab/>
        <w:t>Según los datos del Servicio de Información sobre Sitios Ramsar (SISR), el desglose regional del número de sitios y la superficie cubierta es el siguiente:</w:t>
      </w:r>
    </w:p>
    <w:p w14:paraId="094CDE57" w14:textId="3C4EF22D" w:rsidR="00D11F65" w:rsidRPr="000F7953" w:rsidRDefault="006917A4" w:rsidP="000E3338">
      <w:pPr>
        <w:numPr>
          <w:ilvl w:val="0"/>
          <w:numId w:val="108"/>
        </w:numPr>
        <w:tabs>
          <w:tab w:val="clear" w:pos="1154"/>
        </w:tabs>
        <w:ind w:left="993" w:hanging="426"/>
        <w:rPr>
          <w:rFonts w:asciiTheme="minorHAnsi" w:hAnsiTheme="minorHAnsi" w:cstheme="minorHAnsi"/>
          <w:sz w:val="22"/>
          <w:szCs w:val="22"/>
        </w:rPr>
      </w:pPr>
      <w:r w:rsidRPr="000F7953">
        <w:rPr>
          <w:rFonts w:asciiTheme="minorHAnsi" w:hAnsiTheme="minorHAnsi" w:cstheme="minorHAnsi"/>
          <w:sz w:val="22"/>
          <w:szCs w:val="22"/>
        </w:rPr>
        <w:t>África: un 17</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del número total de sitios, que cubren el 43</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de la superficie total;</w:t>
      </w:r>
    </w:p>
    <w:p w14:paraId="64FA76A3" w14:textId="3180CF7B" w:rsidR="00D11F65" w:rsidRPr="000F7953" w:rsidRDefault="00D11F65" w:rsidP="000E3338">
      <w:pPr>
        <w:numPr>
          <w:ilvl w:val="0"/>
          <w:numId w:val="108"/>
        </w:numPr>
        <w:tabs>
          <w:tab w:val="clear" w:pos="1154"/>
        </w:tabs>
        <w:ind w:left="993" w:hanging="426"/>
        <w:rPr>
          <w:rFonts w:asciiTheme="minorHAnsi" w:hAnsiTheme="minorHAnsi" w:cstheme="minorHAnsi"/>
          <w:sz w:val="22"/>
          <w:szCs w:val="22"/>
        </w:rPr>
      </w:pPr>
      <w:r w:rsidRPr="000F7953">
        <w:rPr>
          <w:rFonts w:asciiTheme="minorHAnsi" w:hAnsiTheme="minorHAnsi" w:cstheme="minorHAnsi"/>
          <w:sz w:val="22"/>
          <w:szCs w:val="22"/>
        </w:rPr>
        <w:t>Asia: un 18</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del número total de sitios, que cubren el 9</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de la superficie total;</w:t>
      </w:r>
    </w:p>
    <w:p w14:paraId="77A62C8B" w14:textId="22E0C0E3" w:rsidR="00D11F65" w:rsidRPr="000F7953" w:rsidRDefault="00D11F65" w:rsidP="000E3338">
      <w:pPr>
        <w:numPr>
          <w:ilvl w:val="0"/>
          <w:numId w:val="108"/>
        </w:numPr>
        <w:tabs>
          <w:tab w:val="clear" w:pos="1154"/>
        </w:tabs>
        <w:ind w:left="993" w:hanging="426"/>
        <w:rPr>
          <w:rFonts w:asciiTheme="minorHAnsi" w:hAnsiTheme="minorHAnsi" w:cstheme="minorHAnsi"/>
          <w:sz w:val="22"/>
          <w:szCs w:val="22"/>
        </w:rPr>
      </w:pPr>
      <w:r w:rsidRPr="000F7953">
        <w:rPr>
          <w:rFonts w:asciiTheme="minorHAnsi" w:hAnsiTheme="minorHAnsi" w:cstheme="minorHAnsi"/>
          <w:sz w:val="22"/>
          <w:szCs w:val="22"/>
        </w:rPr>
        <w:t>Europa: un 45</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del número total de sitios, que cubren el 11</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de la superficie total;</w:t>
      </w:r>
    </w:p>
    <w:p w14:paraId="3D07CED3" w14:textId="6F365696" w:rsidR="00D11F65" w:rsidRPr="000F7953" w:rsidRDefault="00D11F65" w:rsidP="000E3338">
      <w:pPr>
        <w:numPr>
          <w:ilvl w:val="0"/>
          <w:numId w:val="108"/>
        </w:numPr>
        <w:tabs>
          <w:tab w:val="clear" w:pos="1154"/>
        </w:tabs>
        <w:ind w:left="993" w:hanging="426"/>
        <w:rPr>
          <w:rFonts w:asciiTheme="minorHAnsi" w:hAnsiTheme="minorHAnsi" w:cstheme="minorHAnsi"/>
          <w:sz w:val="22"/>
          <w:szCs w:val="22"/>
        </w:rPr>
      </w:pPr>
      <w:r w:rsidRPr="000F7953">
        <w:rPr>
          <w:rFonts w:asciiTheme="minorHAnsi" w:hAnsiTheme="minorHAnsi" w:cstheme="minorHAnsi"/>
          <w:sz w:val="22"/>
          <w:szCs w:val="22"/>
        </w:rPr>
        <w:t>América Latina y el Caribe: un 9</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del número total de sitios, que cubren el 24</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de la superficie total; </w:t>
      </w:r>
    </w:p>
    <w:p w14:paraId="6F965814" w14:textId="06E37818" w:rsidR="00D11F65" w:rsidRPr="000F7953" w:rsidRDefault="00D11F65" w:rsidP="000E3338">
      <w:pPr>
        <w:numPr>
          <w:ilvl w:val="0"/>
          <w:numId w:val="108"/>
        </w:numPr>
        <w:tabs>
          <w:tab w:val="clear" w:pos="1154"/>
        </w:tabs>
        <w:ind w:left="993" w:hanging="426"/>
        <w:rPr>
          <w:rFonts w:asciiTheme="minorHAnsi" w:hAnsiTheme="minorHAnsi" w:cstheme="minorHAnsi"/>
          <w:sz w:val="22"/>
          <w:szCs w:val="22"/>
        </w:rPr>
      </w:pPr>
      <w:r w:rsidRPr="000F7953">
        <w:rPr>
          <w:rFonts w:asciiTheme="minorHAnsi" w:hAnsiTheme="minorHAnsi" w:cstheme="minorHAnsi"/>
          <w:sz w:val="22"/>
          <w:szCs w:val="22"/>
        </w:rPr>
        <w:t>América del Norte: un 9</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del número total de sitios, que cubren el 9</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de la superficie total;</w:t>
      </w:r>
    </w:p>
    <w:p w14:paraId="75BDF8E3" w14:textId="08C0A2A0" w:rsidR="00D11F65" w:rsidRPr="000F7953" w:rsidRDefault="00D11F65" w:rsidP="000E3338">
      <w:pPr>
        <w:numPr>
          <w:ilvl w:val="0"/>
          <w:numId w:val="108"/>
        </w:numPr>
        <w:tabs>
          <w:tab w:val="clear" w:pos="1154"/>
        </w:tabs>
        <w:ind w:left="993" w:hanging="426"/>
        <w:rPr>
          <w:rFonts w:asciiTheme="minorHAnsi" w:hAnsiTheme="minorHAnsi" w:cstheme="minorHAnsi"/>
          <w:sz w:val="22"/>
          <w:szCs w:val="22"/>
        </w:rPr>
      </w:pPr>
      <w:r w:rsidRPr="000F7953">
        <w:rPr>
          <w:rFonts w:asciiTheme="minorHAnsi" w:hAnsiTheme="minorHAnsi" w:cstheme="minorHAnsi"/>
          <w:sz w:val="22"/>
          <w:szCs w:val="22"/>
        </w:rPr>
        <w:t>Oceanía: un 3</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del número total de sitios, que cubren el 4</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de la superficie total;</w:t>
      </w:r>
    </w:p>
    <w:p w14:paraId="5DD98C47" w14:textId="77777777" w:rsidR="00CD3F6B" w:rsidRPr="000F7953" w:rsidRDefault="00CD3F6B" w:rsidP="00CD3F6B">
      <w:pPr>
        <w:ind w:left="426" w:hanging="426"/>
        <w:rPr>
          <w:rFonts w:asciiTheme="minorHAnsi" w:hAnsiTheme="minorHAnsi" w:cstheme="minorHAnsi"/>
          <w:sz w:val="22"/>
          <w:szCs w:val="22"/>
        </w:rPr>
      </w:pPr>
    </w:p>
    <w:p w14:paraId="290F2C14" w14:textId="2332F1DF" w:rsidR="00B249AC" w:rsidRPr="000F7953" w:rsidRDefault="00515041" w:rsidP="000E3338">
      <w:pPr>
        <w:ind w:left="567" w:hanging="567"/>
        <w:rPr>
          <w:rFonts w:asciiTheme="minorHAnsi" w:hAnsiTheme="minorHAnsi" w:cstheme="minorHAnsi"/>
          <w:sz w:val="22"/>
          <w:szCs w:val="22"/>
        </w:rPr>
      </w:pPr>
      <w:r w:rsidRPr="000F7953">
        <w:rPr>
          <w:rFonts w:asciiTheme="minorHAnsi" w:hAnsiTheme="minorHAnsi" w:cstheme="minorHAnsi"/>
          <w:sz w:val="22"/>
          <w:szCs w:val="22"/>
        </w:rPr>
        <w:t>41.</w:t>
      </w:r>
      <w:r w:rsidRPr="000F7953">
        <w:rPr>
          <w:rFonts w:asciiTheme="minorHAnsi" w:hAnsiTheme="minorHAnsi" w:cstheme="minorHAnsi"/>
          <w:sz w:val="22"/>
          <w:szCs w:val="22"/>
        </w:rPr>
        <w:tab/>
        <w:t xml:space="preserve">Muchos Humedales de Importancia Internacional añadidos a la Lista durante el período cubierto por el PE4 incluyen tipos de humedales subrepresentados entre los ocho tipos identificados en la Resolución VIII.11, </w:t>
      </w:r>
      <w:r w:rsidRPr="000F7953">
        <w:rPr>
          <w:rFonts w:asciiTheme="minorHAnsi" w:hAnsiTheme="minorHAnsi" w:cstheme="minorHAnsi"/>
          <w:i/>
          <w:iCs/>
          <w:sz w:val="22"/>
          <w:szCs w:val="22"/>
        </w:rPr>
        <w:t>Orientación adicional para identificar y determinar tipos de humedales insuficientemente representados como Humedales de Importancia Internacional</w:t>
      </w:r>
      <w:r w:rsidRPr="000F7953">
        <w:rPr>
          <w:rFonts w:asciiTheme="minorHAnsi" w:hAnsiTheme="minorHAnsi" w:cstheme="minorHAnsi"/>
          <w:sz w:val="22"/>
          <w:szCs w:val="22"/>
        </w:rPr>
        <w:t>, tal y como se resume en el cuadro 1 que figura a continuación.</w:t>
      </w:r>
    </w:p>
    <w:p w14:paraId="1EC253C6" w14:textId="77777777" w:rsidR="0053206B" w:rsidRPr="000F7953" w:rsidRDefault="0053206B" w:rsidP="00CD3F6B">
      <w:pPr>
        <w:ind w:left="426" w:hanging="426"/>
        <w:rPr>
          <w:rFonts w:asciiTheme="minorHAnsi" w:hAnsiTheme="minorHAnsi" w:cstheme="minorHAnsi"/>
          <w:sz w:val="22"/>
          <w:szCs w:val="22"/>
        </w:rPr>
      </w:pPr>
    </w:p>
    <w:p w14:paraId="4CAF285E" w14:textId="73058188" w:rsidR="0053206B" w:rsidRPr="000F7953" w:rsidRDefault="0053206B" w:rsidP="00AD1260">
      <w:pPr>
        <w:keepNext/>
        <w:rPr>
          <w:rFonts w:asciiTheme="minorHAnsi" w:hAnsiTheme="minorHAnsi" w:cstheme="minorHAnsi"/>
          <w:i/>
          <w:iCs/>
          <w:sz w:val="22"/>
          <w:szCs w:val="22"/>
        </w:rPr>
      </w:pPr>
      <w:r w:rsidRPr="000F7953">
        <w:rPr>
          <w:rFonts w:asciiTheme="minorHAnsi" w:hAnsiTheme="minorHAnsi" w:cstheme="minorHAnsi"/>
          <w:i/>
          <w:iCs/>
          <w:sz w:val="22"/>
          <w:szCs w:val="22"/>
        </w:rPr>
        <w:t xml:space="preserve">Cuadro 1. Tipos de humedales subrepresentados designados como Humedales de Importancia Internacional durante el período cubierto por el Cuarto Plan Estratégico. </w:t>
      </w:r>
    </w:p>
    <w:tbl>
      <w:tblPr>
        <w:tblStyle w:val="TableGrid"/>
        <w:tblW w:w="9072" w:type="dxa"/>
        <w:tblLook w:val="04A0" w:firstRow="1" w:lastRow="0" w:firstColumn="1" w:lastColumn="0" w:noHBand="0" w:noVBand="1"/>
      </w:tblPr>
      <w:tblGrid>
        <w:gridCol w:w="5326"/>
        <w:gridCol w:w="1729"/>
        <w:gridCol w:w="2017"/>
      </w:tblGrid>
      <w:tr w:rsidR="0053206B" w:rsidRPr="000F7953" w14:paraId="01890940" w14:textId="77777777" w:rsidTr="0053206B">
        <w:tc>
          <w:tcPr>
            <w:tcW w:w="5326" w:type="dxa"/>
            <w:vAlign w:val="center"/>
          </w:tcPr>
          <w:p w14:paraId="2F56330D" w14:textId="77777777" w:rsidR="0053206B" w:rsidRPr="000F7953" w:rsidRDefault="0053206B" w:rsidP="0053206B">
            <w:pPr>
              <w:jc w:val="center"/>
              <w:rPr>
                <w:rFonts w:asciiTheme="minorHAnsi" w:hAnsiTheme="minorHAnsi" w:cstheme="minorHAnsi"/>
                <w:b/>
                <w:bCs/>
                <w:sz w:val="22"/>
                <w:szCs w:val="22"/>
              </w:rPr>
            </w:pPr>
            <w:r w:rsidRPr="000F7953">
              <w:rPr>
                <w:rFonts w:asciiTheme="minorHAnsi" w:hAnsiTheme="minorHAnsi" w:cstheme="minorHAnsi"/>
                <w:b/>
                <w:bCs/>
                <w:sz w:val="22"/>
                <w:szCs w:val="22"/>
              </w:rPr>
              <w:t>Tipo de humedal</w:t>
            </w:r>
          </w:p>
        </w:tc>
        <w:tc>
          <w:tcPr>
            <w:tcW w:w="1729" w:type="dxa"/>
            <w:vAlign w:val="center"/>
          </w:tcPr>
          <w:p w14:paraId="18F14DDF" w14:textId="35472E5A" w:rsidR="0053206B" w:rsidRPr="000F7953" w:rsidRDefault="0053206B" w:rsidP="0053206B">
            <w:pPr>
              <w:jc w:val="center"/>
              <w:rPr>
                <w:rFonts w:asciiTheme="minorHAnsi" w:hAnsiTheme="minorHAnsi" w:cstheme="minorHAnsi"/>
                <w:b/>
                <w:bCs/>
                <w:sz w:val="22"/>
                <w:szCs w:val="22"/>
              </w:rPr>
            </w:pPr>
            <w:r w:rsidRPr="000F7953">
              <w:rPr>
                <w:rFonts w:asciiTheme="minorHAnsi" w:hAnsiTheme="minorHAnsi" w:cstheme="minorHAnsi"/>
                <w:b/>
                <w:bCs/>
                <w:sz w:val="22"/>
                <w:szCs w:val="22"/>
              </w:rPr>
              <w:t xml:space="preserve">Referencia </w:t>
            </w:r>
          </w:p>
        </w:tc>
        <w:tc>
          <w:tcPr>
            <w:tcW w:w="2017" w:type="dxa"/>
            <w:vAlign w:val="center"/>
          </w:tcPr>
          <w:p w14:paraId="7C4516CF" w14:textId="77777777" w:rsidR="0053206B" w:rsidRPr="000F7953" w:rsidRDefault="0053206B" w:rsidP="0053206B">
            <w:pPr>
              <w:jc w:val="center"/>
              <w:rPr>
                <w:rFonts w:asciiTheme="minorHAnsi" w:hAnsiTheme="minorHAnsi" w:cstheme="minorHAnsi"/>
                <w:b/>
                <w:bCs/>
                <w:sz w:val="22"/>
                <w:szCs w:val="22"/>
              </w:rPr>
            </w:pPr>
            <w:r w:rsidRPr="000F7953">
              <w:rPr>
                <w:rFonts w:asciiTheme="minorHAnsi" w:hAnsiTheme="minorHAnsi" w:cstheme="minorHAnsi"/>
                <w:b/>
                <w:bCs/>
                <w:sz w:val="22"/>
                <w:szCs w:val="22"/>
              </w:rPr>
              <w:t>COP15</w:t>
            </w:r>
          </w:p>
        </w:tc>
      </w:tr>
      <w:tr w:rsidR="0053206B" w:rsidRPr="000F7953" w14:paraId="53F59AF4" w14:textId="77777777" w:rsidTr="0053206B">
        <w:tc>
          <w:tcPr>
            <w:tcW w:w="5326" w:type="dxa"/>
          </w:tcPr>
          <w:p w14:paraId="01348E15" w14:textId="77777777" w:rsidR="0053206B" w:rsidRPr="000F7953" w:rsidRDefault="0053206B" w:rsidP="0053206B">
            <w:pPr>
              <w:rPr>
                <w:rFonts w:asciiTheme="minorHAnsi" w:hAnsiTheme="minorHAnsi" w:cstheme="minorHAnsi"/>
                <w:sz w:val="22"/>
                <w:szCs w:val="22"/>
              </w:rPr>
            </w:pPr>
            <w:r w:rsidRPr="000F7953">
              <w:rPr>
                <w:rFonts w:asciiTheme="minorHAnsi" w:hAnsiTheme="minorHAnsi" w:cstheme="minorHAnsi"/>
                <w:sz w:val="22"/>
                <w:szCs w:val="22"/>
              </w:rPr>
              <w:t xml:space="preserve">Sistemas kársticos y otros sistemas hídricos subterráneos </w:t>
            </w:r>
          </w:p>
        </w:tc>
        <w:tc>
          <w:tcPr>
            <w:tcW w:w="1729" w:type="dxa"/>
          </w:tcPr>
          <w:p w14:paraId="583B6716" w14:textId="77777777" w:rsidR="0053206B" w:rsidRPr="000F7953" w:rsidRDefault="0053206B" w:rsidP="0053206B">
            <w:pPr>
              <w:jc w:val="right"/>
              <w:rPr>
                <w:rFonts w:asciiTheme="minorHAnsi" w:hAnsiTheme="minorHAnsi" w:cstheme="minorHAnsi"/>
                <w:sz w:val="22"/>
                <w:szCs w:val="22"/>
              </w:rPr>
            </w:pPr>
            <w:r w:rsidRPr="000F7953">
              <w:rPr>
                <w:rFonts w:asciiTheme="minorHAnsi" w:hAnsiTheme="minorHAnsi" w:cstheme="minorHAnsi"/>
                <w:sz w:val="22"/>
                <w:szCs w:val="22"/>
              </w:rPr>
              <w:t xml:space="preserve">110 </w:t>
            </w:r>
          </w:p>
        </w:tc>
        <w:tc>
          <w:tcPr>
            <w:tcW w:w="2017" w:type="dxa"/>
          </w:tcPr>
          <w:p w14:paraId="79EEA9D0" w14:textId="77777777" w:rsidR="0053206B" w:rsidRPr="000F7953" w:rsidRDefault="0053206B" w:rsidP="0053206B">
            <w:pPr>
              <w:jc w:val="right"/>
              <w:rPr>
                <w:rFonts w:asciiTheme="minorHAnsi" w:hAnsiTheme="minorHAnsi" w:cstheme="minorHAnsi"/>
                <w:sz w:val="22"/>
                <w:szCs w:val="22"/>
              </w:rPr>
            </w:pPr>
            <w:r w:rsidRPr="000F7953">
              <w:rPr>
                <w:rFonts w:asciiTheme="minorHAnsi" w:hAnsiTheme="minorHAnsi" w:cstheme="minorHAnsi"/>
                <w:sz w:val="22"/>
                <w:szCs w:val="22"/>
              </w:rPr>
              <w:t>150</w:t>
            </w:r>
          </w:p>
        </w:tc>
      </w:tr>
      <w:tr w:rsidR="0053206B" w:rsidRPr="000F7953" w14:paraId="5C4D152C" w14:textId="77777777" w:rsidTr="0053206B">
        <w:tc>
          <w:tcPr>
            <w:tcW w:w="5326" w:type="dxa"/>
          </w:tcPr>
          <w:p w14:paraId="10466F5D" w14:textId="77777777" w:rsidR="0053206B" w:rsidRPr="000F7953" w:rsidRDefault="0053206B" w:rsidP="0053206B">
            <w:pPr>
              <w:rPr>
                <w:rFonts w:asciiTheme="minorHAnsi" w:hAnsiTheme="minorHAnsi" w:cstheme="minorHAnsi"/>
                <w:sz w:val="22"/>
                <w:szCs w:val="22"/>
              </w:rPr>
            </w:pPr>
            <w:r w:rsidRPr="000F7953">
              <w:rPr>
                <w:rFonts w:asciiTheme="minorHAnsi" w:hAnsiTheme="minorHAnsi" w:cstheme="minorHAnsi"/>
                <w:sz w:val="22"/>
                <w:szCs w:val="22"/>
              </w:rPr>
              <w:t xml:space="preserve">Arrecifes de coral </w:t>
            </w:r>
          </w:p>
        </w:tc>
        <w:tc>
          <w:tcPr>
            <w:tcW w:w="1729" w:type="dxa"/>
          </w:tcPr>
          <w:p w14:paraId="792B0BC3" w14:textId="77777777" w:rsidR="0053206B" w:rsidRPr="000F7953" w:rsidRDefault="0053206B" w:rsidP="0053206B">
            <w:pPr>
              <w:jc w:val="right"/>
              <w:rPr>
                <w:rFonts w:asciiTheme="minorHAnsi" w:hAnsiTheme="minorHAnsi" w:cstheme="minorHAnsi"/>
                <w:sz w:val="22"/>
                <w:szCs w:val="22"/>
              </w:rPr>
            </w:pPr>
            <w:r w:rsidRPr="000F7953">
              <w:rPr>
                <w:rFonts w:asciiTheme="minorHAnsi" w:hAnsiTheme="minorHAnsi" w:cstheme="minorHAnsi"/>
                <w:sz w:val="22"/>
                <w:szCs w:val="22"/>
              </w:rPr>
              <w:t xml:space="preserve">96 </w:t>
            </w:r>
          </w:p>
        </w:tc>
        <w:tc>
          <w:tcPr>
            <w:tcW w:w="2017" w:type="dxa"/>
          </w:tcPr>
          <w:p w14:paraId="036F34E6" w14:textId="77777777" w:rsidR="0053206B" w:rsidRPr="000F7953" w:rsidRDefault="0053206B" w:rsidP="0053206B">
            <w:pPr>
              <w:jc w:val="right"/>
              <w:rPr>
                <w:rFonts w:asciiTheme="minorHAnsi" w:hAnsiTheme="minorHAnsi" w:cstheme="minorHAnsi"/>
                <w:sz w:val="22"/>
                <w:szCs w:val="22"/>
              </w:rPr>
            </w:pPr>
            <w:r w:rsidRPr="000F7953">
              <w:rPr>
                <w:rFonts w:asciiTheme="minorHAnsi" w:hAnsiTheme="minorHAnsi" w:cstheme="minorHAnsi"/>
                <w:sz w:val="22"/>
                <w:szCs w:val="22"/>
              </w:rPr>
              <w:t>116</w:t>
            </w:r>
          </w:p>
        </w:tc>
      </w:tr>
      <w:tr w:rsidR="0053206B" w:rsidRPr="000F7953" w14:paraId="40CEC87D" w14:textId="77777777" w:rsidTr="0053206B">
        <w:tc>
          <w:tcPr>
            <w:tcW w:w="5326" w:type="dxa"/>
          </w:tcPr>
          <w:p w14:paraId="14322CFA" w14:textId="77777777" w:rsidR="0053206B" w:rsidRPr="000F7953" w:rsidRDefault="0053206B" w:rsidP="0053206B">
            <w:pPr>
              <w:rPr>
                <w:rFonts w:asciiTheme="minorHAnsi" w:hAnsiTheme="minorHAnsi" w:cstheme="minorHAnsi"/>
                <w:sz w:val="22"/>
                <w:szCs w:val="22"/>
              </w:rPr>
            </w:pPr>
            <w:r w:rsidRPr="000F7953">
              <w:rPr>
                <w:rFonts w:asciiTheme="minorHAnsi" w:hAnsiTheme="minorHAnsi" w:cstheme="minorHAnsi"/>
                <w:sz w:val="22"/>
                <w:szCs w:val="22"/>
              </w:rPr>
              <w:t xml:space="preserve">Pastizales húmedos* </w:t>
            </w:r>
          </w:p>
        </w:tc>
        <w:tc>
          <w:tcPr>
            <w:tcW w:w="1729" w:type="dxa"/>
          </w:tcPr>
          <w:p w14:paraId="63F42D30" w14:textId="77777777" w:rsidR="0053206B" w:rsidRPr="000F7953" w:rsidRDefault="0053206B" w:rsidP="0053206B">
            <w:pPr>
              <w:jc w:val="right"/>
              <w:rPr>
                <w:rFonts w:asciiTheme="minorHAnsi" w:hAnsiTheme="minorHAnsi" w:cstheme="minorHAnsi"/>
                <w:sz w:val="22"/>
                <w:szCs w:val="22"/>
              </w:rPr>
            </w:pPr>
            <w:r w:rsidRPr="000F7953">
              <w:rPr>
                <w:rFonts w:asciiTheme="minorHAnsi" w:hAnsiTheme="minorHAnsi" w:cstheme="minorHAnsi"/>
                <w:sz w:val="22"/>
                <w:szCs w:val="22"/>
              </w:rPr>
              <w:t xml:space="preserve">517 </w:t>
            </w:r>
          </w:p>
        </w:tc>
        <w:tc>
          <w:tcPr>
            <w:tcW w:w="2017" w:type="dxa"/>
          </w:tcPr>
          <w:p w14:paraId="29767763" w14:textId="6D2E1A6E" w:rsidR="0053206B" w:rsidRPr="000F7953" w:rsidRDefault="00976FD0" w:rsidP="0053206B">
            <w:pPr>
              <w:jc w:val="right"/>
              <w:rPr>
                <w:rFonts w:asciiTheme="minorHAnsi" w:hAnsiTheme="minorHAnsi" w:cstheme="minorHAnsi"/>
                <w:sz w:val="22"/>
                <w:szCs w:val="22"/>
              </w:rPr>
            </w:pPr>
            <w:r w:rsidRPr="000F7953">
              <w:rPr>
                <w:rFonts w:asciiTheme="minorHAnsi" w:hAnsiTheme="minorHAnsi" w:cstheme="minorHAnsi"/>
                <w:sz w:val="22"/>
                <w:szCs w:val="22"/>
              </w:rPr>
              <w:t>-</w:t>
            </w:r>
          </w:p>
        </w:tc>
      </w:tr>
      <w:tr w:rsidR="0053206B" w:rsidRPr="000F7953" w14:paraId="7EB993E0" w14:textId="77777777" w:rsidTr="0053206B">
        <w:tc>
          <w:tcPr>
            <w:tcW w:w="5326" w:type="dxa"/>
          </w:tcPr>
          <w:p w14:paraId="57EE2DBD" w14:textId="77777777" w:rsidR="0053206B" w:rsidRPr="000F7953" w:rsidRDefault="0053206B" w:rsidP="0053206B">
            <w:pPr>
              <w:rPr>
                <w:rFonts w:asciiTheme="minorHAnsi" w:hAnsiTheme="minorHAnsi" w:cstheme="minorHAnsi"/>
                <w:sz w:val="22"/>
                <w:szCs w:val="22"/>
              </w:rPr>
            </w:pPr>
            <w:r w:rsidRPr="000F7953">
              <w:rPr>
                <w:rFonts w:asciiTheme="minorHAnsi" w:hAnsiTheme="minorHAnsi" w:cstheme="minorHAnsi"/>
                <w:sz w:val="22"/>
                <w:szCs w:val="22"/>
              </w:rPr>
              <w:t>Turberas (incluidas las turberas arboladas)</w:t>
            </w:r>
          </w:p>
        </w:tc>
        <w:tc>
          <w:tcPr>
            <w:tcW w:w="1729" w:type="dxa"/>
          </w:tcPr>
          <w:p w14:paraId="675D8CB1" w14:textId="77777777" w:rsidR="0053206B" w:rsidRPr="000F7953" w:rsidRDefault="0053206B" w:rsidP="0053206B">
            <w:pPr>
              <w:jc w:val="right"/>
              <w:rPr>
                <w:rFonts w:asciiTheme="minorHAnsi" w:hAnsiTheme="minorHAnsi" w:cstheme="minorHAnsi"/>
                <w:sz w:val="22"/>
                <w:szCs w:val="22"/>
              </w:rPr>
            </w:pPr>
            <w:r w:rsidRPr="000F7953">
              <w:rPr>
                <w:rFonts w:asciiTheme="minorHAnsi" w:hAnsiTheme="minorHAnsi" w:cstheme="minorHAnsi"/>
                <w:sz w:val="22"/>
                <w:szCs w:val="22"/>
              </w:rPr>
              <w:t>564</w:t>
            </w:r>
          </w:p>
        </w:tc>
        <w:tc>
          <w:tcPr>
            <w:tcW w:w="2017" w:type="dxa"/>
          </w:tcPr>
          <w:p w14:paraId="0AEB44C3" w14:textId="19C09EA0" w:rsidR="0053206B" w:rsidRPr="000F7953" w:rsidRDefault="0053206B" w:rsidP="0053206B">
            <w:pPr>
              <w:jc w:val="right"/>
              <w:rPr>
                <w:rFonts w:asciiTheme="minorHAnsi" w:hAnsiTheme="minorHAnsi" w:cstheme="minorHAnsi"/>
                <w:sz w:val="22"/>
                <w:szCs w:val="22"/>
              </w:rPr>
            </w:pPr>
            <w:r w:rsidRPr="000F7953">
              <w:rPr>
                <w:rFonts w:asciiTheme="minorHAnsi" w:hAnsiTheme="minorHAnsi" w:cstheme="minorHAnsi"/>
                <w:sz w:val="22"/>
                <w:szCs w:val="22"/>
              </w:rPr>
              <w:t>880</w:t>
            </w:r>
          </w:p>
        </w:tc>
      </w:tr>
      <w:tr w:rsidR="0053206B" w:rsidRPr="000F7953" w14:paraId="43B52093" w14:textId="77777777" w:rsidTr="0053206B">
        <w:tc>
          <w:tcPr>
            <w:tcW w:w="5326" w:type="dxa"/>
          </w:tcPr>
          <w:p w14:paraId="306AEA91" w14:textId="77777777" w:rsidR="0053206B" w:rsidRPr="000F7953" w:rsidRDefault="0053206B" w:rsidP="0053206B">
            <w:pPr>
              <w:rPr>
                <w:rFonts w:asciiTheme="minorHAnsi" w:hAnsiTheme="minorHAnsi" w:cstheme="minorHAnsi"/>
                <w:sz w:val="22"/>
                <w:szCs w:val="22"/>
              </w:rPr>
            </w:pPr>
            <w:r w:rsidRPr="000F7953">
              <w:rPr>
                <w:rFonts w:asciiTheme="minorHAnsi" w:hAnsiTheme="minorHAnsi" w:cstheme="minorHAnsi"/>
                <w:sz w:val="22"/>
                <w:szCs w:val="22"/>
              </w:rPr>
              <w:t xml:space="preserve">Praderas de pastos marinos </w:t>
            </w:r>
          </w:p>
        </w:tc>
        <w:tc>
          <w:tcPr>
            <w:tcW w:w="1729" w:type="dxa"/>
          </w:tcPr>
          <w:p w14:paraId="10B58FA0" w14:textId="77777777" w:rsidR="0053206B" w:rsidRPr="000F7953" w:rsidRDefault="0053206B" w:rsidP="0053206B">
            <w:pPr>
              <w:jc w:val="right"/>
              <w:rPr>
                <w:rFonts w:asciiTheme="minorHAnsi" w:hAnsiTheme="minorHAnsi" w:cstheme="minorHAnsi"/>
                <w:sz w:val="22"/>
                <w:szCs w:val="22"/>
              </w:rPr>
            </w:pPr>
            <w:r w:rsidRPr="000F7953">
              <w:rPr>
                <w:rFonts w:asciiTheme="minorHAnsi" w:hAnsiTheme="minorHAnsi" w:cstheme="minorHAnsi"/>
                <w:sz w:val="22"/>
                <w:szCs w:val="22"/>
              </w:rPr>
              <w:t>249</w:t>
            </w:r>
          </w:p>
        </w:tc>
        <w:tc>
          <w:tcPr>
            <w:tcW w:w="2017" w:type="dxa"/>
          </w:tcPr>
          <w:p w14:paraId="2053A386" w14:textId="77777777" w:rsidR="0053206B" w:rsidRPr="000F7953" w:rsidRDefault="0053206B" w:rsidP="0053206B">
            <w:pPr>
              <w:jc w:val="right"/>
              <w:rPr>
                <w:rFonts w:asciiTheme="minorHAnsi" w:hAnsiTheme="minorHAnsi" w:cstheme="minorHAnsi"/>
                <w:sz w:val="22"/>
                <w:szCs w:val="22"/>
              </w:rPr>
            </w:pPr>
            <w:r w:rsidRPr="000F7953">
              <w:rPr>
                <w:rFonts w:asciiTheme="minorHAnsi" w:hAnsiTheme="minorHAnsi" w:cstheme="minorHAnsi"/>
                <w:sz w:val="22"/>
                <w:szCs w:val="22"/>
              </w:rPr>
              <w:t>301</w:t>
            </w:r>
          </w:p>
        </w:tc>
      </w:tr>
      <w:tr w:rsidR="0053206B" w:rsidRPr="000F7953" w14:paraId="7EF8ECEC" w14:textId="77777777" w:rsidTr="0053206B">
        <w:tc>
          <w:tcPr>
            <w:tcW w:w="5326" w:type="dxa"/>
          </w:tcPr>
          <w:p w14:paraId="16AF7987" w14:textId="77777777" w:rsidR="0053206B" w:rsidRPr="000F7953" w:rsidRDefault="0053206B" w:rsidP="0053206B">
            <w:pPr>
              <w:rPr>
                <w:rFonts w:asciiTheme="minorHAnsi" w:hAnsiTheme="minorHAnsi" w:cstheme="minorHAnsi"/>
                <w:sz w:val="22"/>
                <w:szCs w:val="22"/>
              </w:rPr>
            </w:pPr>
            <w:r w:rsidRPr="000F7953">
              <w:rPr>
                <w:rFonts w:asciiTheme="minorHAnsi" w:hAnsiTheme="minorHAnsi" w:cstheme="minorHAnsi"/>
                <w:sz w:val="22"/>
                <w:szCs w:val="22"/>
              </w:rPr>
              <w:t xml:space="preserve">Manglares </w:t>
            </w:r>
          </w:p>
        </w:tc>
        <w:tc>
          <w:tcPr>
            <w:tcW w:w="1729" w:type="dxa"/>
          </w:tcPr>
          <w:p w14:paraId="64D5E684" w14:textId="77777777" w:rsidR="0053206B" w:rsidRPr="000F7953" w:rsidRDefault="0053206B" w:rsidP="0053206B">
            <w:pPr>
              <w:jc w:val="right"/>
              <w:rPr>
                <w:rFonts w:asciiTheme="minorHAnsi" w:hAnsiTheme="minorHAnsi" w:cstheme="minorHAnsi"/>
                <w:sz w:val="22"/>
                <w:szCs w:val="22"/>
              </w:rPr>
            </w:pPr>
            <w:r w:rsidRPr="000F7953">
              <w:rPr>
                <w:rFonts w:asciiTheme="minorHAnsi" w:hAnsiTheme="minorHAnsi" w:cstheme="minorHAnsi"/>
                <w:sz w:val="22"/>
                <w:szCs w:val="22"/>
              </w:rPr>
              <w:t xml:space="preserve">280 </w:t>
            </w:r>
          </w:p>
        </w:tc>
        <w:tc>
          <w:tcPr>
            <w:tcW w:w="2017" w:type="dxa"/>
          </w:tcPr>
          <w:p w14:paraId="7CF931D0" w14:textId="77777777" w:rsidR="0053206B" w:rsidRPr="000F7953" w:rsidRDefault="0053206B" w:rsidP="0053206B">
            <w:pPr>
              <w:jc w:val="right"/>
              <w:rPr>
                <w:rFonts w:asciiTheme="minorHAnsi" w:hAnsiTheme="minorHAnsi" w:cstheme="minorHAnsi"/>
                <w:sz w:val="22"/>
                <w:szCs w:val="22"/>
              </w:rPr>
            </w:pPr>
            <w:r w:rsidRPr="000F7953">
              <w:rPr>
                <w:rFonts w:asciiTheme="minorHAnsi" w:hAnsiTheme="minorHAnsi" w:cstheme="minorHAnsi"/>
                <w:sz w:val="22"/>
                <w:szCs w:val="22"/>
              </w:rPr>
              <w:t>317</w:t>
            </w:r>
          </w:p>
        </w:tc>
      </w:tr>
      <w:tr w:rsidR="0053206B" w:rsidRPr="000F7953" w14:paraId="2A7C1082" w14:textId="77777777" w:rsidTr="0053206B">
        <w:tc>
          <w:tcPr>
            <w:tcW w:w="5326" w:type="dxa"/>
          </w:tcPr>
          <w:p w14:paraId="2EA61D63" w14:textId="0D922463" w:rsidR="0053206B" w:rsidRPr="000F7953" w:rsidRDefault="0053206B" w:rsidP="0053206B">
            <w:pPr>
              <w:rPr>
                <w:rFonts w:asciiTheme="minorHAnsi" w:hAnsiTheme="minorHAnsi" w:cstheme="minorHAnsi"/>
                <w:sz w:val="22"/>
                <w:szCs w:val="22"/>
              </w:rPr>
            </w:pPr>
            <w:r w:rsidRPr="000F7953">
              <w:rPr>
                <w:rFonts w:asciiTheme="minorHAnsi" w:hAnsiTheme="minorHAnsi" w:cstheme="minorHAnsi"/>
                <w:sz w:val="22"/>
                <w:szCs w:val="22"/>
              </w:rPr>
              <w:t>Lagunas temporales*</w:t>
            </w:r>
          </w:p>
        </w:tc>
        <w:tc>
          <w:tcPr>
            <w:tcW w:w="1729" w:type="dxa"/>
          </w:tcPr>
          <w:p w14:paraId="35C217FC" w14:textId="3A8AAFA6" w:rsidR="0053206B" w:rsidRPr="000F7953" w:rsidRDefault="0053206B" w:rsidP="0053206B">
            <w:pPr>
              <w:jc w:val="right"/>
              <w:rPr>
                <w:rFonts w:asciiTheme="minorHAnsi" w:hAnsiTheme="minorHAnsi" w:cstheme="minorHAnsi"/>
                <w:sz w:val="22"/>
                <w:szCs w:val="22"/>
              </w:rPr>
            </w:pPr>
            <w:r w:rsidRPr="000F7953">
              <w:rPr>
                <w:rFonts w:asciiTheme="minorHAnsi" w:hAnsiTheme="minorHAnsi" w:cstheme="minorHAnsi"/>
                <w:sz w:val="22"/>
                <w:szCs w:val="22"/>
              </w:rPr>
              <w:t>729</w:t>
            </w:r>
          </w:p>
        </w:tc>
        <w:tc>
          <w:tcPr>
            <w:tcW w:w="2017" w:type="dxa"/>
          </w:tcPr>
          <w:p w14:paraId="721F0126" w14:textId="7A23BDB0" w:rsidR="0053206B" w:rsidRPr="000F7953" w:rsidRDefault="00976FD0" w:rsidP="0053206B">
            <w:pPr>
              <w:jc w:val="right"/>
              <w:rPr>
                <w:rFonts w:asciiTheme="minorHAnsi" w:hAnsiTheme="minorHAnsi" w:cstheme="minorHAnsi"/>
                <w:sz w:val="22"/>
                <w:szCs w:val="22"/>
              </w:rPr>
            </w:pPr>
            <w:r w:rsidRPr="000F7953">
              <w:rPr>
                <w:rFonts w:asciiTheme="minorHAnsi" w:hAnsiTheme="minorHAnsi" w:cstheme="minorHAnsi"/>
                <w:strike/>
                <w:sz w:val="22"/>
                <w:szCs w:val="22"/>
              </w:rPr>
              <w:t>-</w:t>
            </w:r>
          </w:p>
        </w:tc>
      </w:tr>
      <w:tr w:rsidR="0053206B" w:rsidRPr="000F7953" w14:paraId="52C940A7" w14:textId="77777777" w:rsidTr="0053206B">
        <w:tc>
          <w:tcPr>
            <w:tcW w:w="5326" w:type="dxa"/>
          </w:tcPr>
          <w:p w14:paraId="74920EE2" w14:textId="7F25D2BE" w:rsidR="0053206B" w:rsidRPr="000F7953" w:rsidRDefault="0053206B" w:rsidP="0053206B">
            <w:pPr>
              <w:rPr>
                <w:rFonts w:asciiTheme="minorHAnsi" w:hAnsiTheme="minorHAnsi" w:cstheme="minorHAnsi"/>
                <w:sz w:val="22"/>
                <w:szCs w:val="22"/>
              </w:rPr>
            </w:pPr>
            <w:r w:rsidRPr="000F7953">
              <w:rPr>
                <w:rFonts w:asciiTheme="minorHAnsi" w:hAnsiTheme="minorHAnsi" w:cstheme="minorHAnsi"/>
                <w:sz w:val="22"/>
                <w:szCs w:val="22"/>
              </w:rPr>
              <w:t>Arrecifes de (moluscos) bivalvos **</w:t>
            </w:r>
          </w:p>
        </w:tc>
        <w:tc>
          <w:tcPr>
            <w:tcW w:w="1729" w:type="dxa"/>
          </w:tcPr>
          <w:p w14:paraId="2251F521" w14:textId="55E889D9" w:rsidR="0053206B" w:rsidRPr="000F7953" w:rsidRDefault="0053206B" w:rsidP="0053206B">
            <w:pPr>
              <w:jc w:val="right"/>
              <w:rPr>
                <w:rFonts w:asciiTheme="minorHAnsi" w:hAnsiTheme="minorHAnsi" w:cstheme="minorHAnsi"/>
                <w:sz w:val="22"/>
                <w:szCs w:val="22"/>
              </w:rPr>
            </w:pPr>
            <w:r w:rsidRPr="000F7953">
              <w:rPr>
                <w:rFonts w:asciiTheme="minorHAnsi" w:hAnsiTheme="minorHAnsi" w:cstheme="minorHAnsi"/>
                <w:sz w:val="22"/>
                <w:szCs w:val="22"/>
              </w:rPr>
              <w:t>99</w:t>
            </w:r>
          </w:p>
        </w:tc>
        <w:tc>
          <w:tcPr>
            <w:tcW w:w="2017" w:type="dxa"/>
          </w:tcPr>
          <w:p w14:paraId="3D35C4BC" w14:textId="77777777" w:rsidR="0053206B" w:rsidRPr="000F7953" w:rsidRDefault="0053206B" w:rsidP="0053206B">
            <w:pPr>
              <w:jc w:val="right"/>
              <w:rPr>
                <w:rFonts w:asciiTheme="minorHAnsi" w:hAnsiTheme="minorHAnsi" w:cstheme="minorHAnsi"/>
                <w:sz w:val="22"/>
                <w:szCs w:val="22"/>
              </w:rPr>
            </w:pPr>
            <w:r w:rsidRPr="000F7953">
              <w:rPr>
                <w:rFonts w:asciiTheme="minorHAnsi" w:hAnsiTheme="minorHAnsi" w:cstheme="minorHAnsi"/>
                <w:sz w:val="22"/>
                <w:szCs w:val="22"/>
              </w:rPr>
              <w:t>11</w:t>
            </w:r>
          </w:p>
        </w:tc>
      </w:tr>
    </w:tbl>
    <w:p w14:paraId="04E19C9B" w14:textId="05D0ED44" w:rsidR="00136A9D" w:rsidRPr="000F7953" w:rsidRDefault="005276AD" w:rsidP="00AD4CA2">
      <w:pPr>
        <w:rPr>
          <w:rFonts w:asciiTheme="minorHAnsi" w:hAnsiTheme="minorHAnsi" w:cstheme="minorHAnsi"/>
          <w:sz w:val="22"/>
          <w:szCs w:val="22"/>
        </w:rPr>
      </w:pPr>
      <w:r w:rsidRPr="000F7953">
        <w:rPr>
          <w:rFonts w:asciiTheme="minorHAnsi" w:hAnsiTheme="minorHAnsi" w:cstheme="minorHAnsi"/>
          <w:sz w:val="22"/>
          <w:szCs w:val="22"/>
        </w:rPr>
        <w:t xml:space="preserve">* Los </w:t>
      </w:r>
      <w:r w:rsidR="005601CD" w:rsidRPr="000F7953">
        <w:rPr>
          <w:rFonts w:asciiTheme="minorHAnsi" w:hAnsiTheme="minorHAnsi" w:cstheme="minorHAnsi"/>
          <w:sz w:val="22"/>
          <w:szCs w:val="22"/>
        </w:rPr>
        <w:t>“</w:t>
      </w:r>
      <w:r w:rsidRPr="000F7953">
        <w:rPr>
          <w:rFonts w:asciiTheme="minorHAnsi" w:hAnsiTheme="minorHAnsi" w:cstheme="minorHAnsi"/>
          <w:sz w:val="22"/>
          <w:szCs w:val="22"/>
        </w:rPr>
        <w:t>pastizales húmedos</w:t>
      </w:r>
      <w:r w:rsidR="005601CD" w:rsidRPr="000F7953">
        <w:rPr>
          <w:rFonts w:asciiTheme="minorHAnsi" w:hAnsiTheme="minorHAnsi" w:cstheme="minorHAnsi"/>
          <w:sz w:val="22"/>
          <w:szCs w:val="22"/>
        </w:rPr>
        <w:t>”</w:t>
      </w:r>
      <w:r w:rsidRPr="000F7953">
        <w:rPr>
          <w:rFonts w:asciiTheme="minorHAnsi" w:hAnsiTheme="minorHAnsi" w:cstheme="minorHAnsi"/>
          <w:sz w:val="22"/>
          <w:szCs w:val="22"/>
        </w:rPr>
        <w:t xml:space="preserve"> y las </w:t>
      </w:r>
      <w:r w:rsidR="005601CD" w:rsidRPr="000F7953">
        <w:rPr>
          <w:rFonts w:asciiTheme="minorHAnsi" w:hAnsiTheme="minorHAnsi" w:cstheme="minorHAnsi"/>
          <w:sz w:val="22"/>
          <w:szCs w:val="22"/>
        </w:rPr>
        <w:t>“</w:t>
      </w:r>
      <w:r w:rsidRPr="000F7953">
        <w:rPr>
          <w:rFonts w:asciiTheme="minorHAnsi" w:hAnsiTheme="minorHAnsi" w:cstheme="minorHAnsi"/>
          <w:sz w:val="22"/>
          <w:szCs w:val="22"/>
        </w:rPr>
        <w:t>lagunas temporales</w:t>
      </w:r>
      <w:r w:rsidR="005601CD" w:rsidRPr="000F7953">
        <w:rPr>
          <w:rFonts w:asciiTheme="minorHAnsi" w:hAnsiTheme="minorHAnsi" w:cstheme="minorHAnsi"/>
          <w:sz w:val="22"/>
          <w:szCs w:val="22"/>
        </w:rPr>
        <w:t>”</w:t>
      </w:r>
      <w:r w:rsidRPr="000F7953">
        <w:rPr>
          <w:rFonts w:asciiTheme="minorHAnsi" w:hAnsiTheme="minorHAnsi" w:cstheme="minorHAnsi"/>
          <w:sz w:val="22"/>
          <w:szCs w:val="22"/>
        </w:rPr>
        <w:t xml:space="preserve"> no corresponden a tipos específicos de humedales según el Sistema de Clasificación de Tipos de Humedales de la Convención y no está claro qué tipos de humedales se tuvieron en cuenta al calcular los valores de referencia que figuran en el PE4. Por consiguiente, no se puede proporcionar una cifra actual que se pueda comparar con los valores de referencia. Cabe señalar que una proporción muy elevada de Humedales de Importancia Internacional contiene al menos uno y a menudo varios de los tipos de humedales que suelen englobar los </w:t>
      </w:r>
      <w:r w:rsidR="005601CD" w:rsidRPr="000F7953">
        <w:rPr>
          <w:rFonts w:asciiTheme="minorHAnsi" w:hAnsiTheme="minorHAnsi" w:cstheme="minorHAnsi"/>
          <w:sz w:val="22"/>
          <w:szCs w:val="22"/>
        </w:rPr>
        <w:t>“</w:t>
      </w:r>
      <w:r w:rsidRPr="000F7953">
        <w:rPr>
          <w:rFonts w:asciiTheme="minorHAnsi" w:hAnsiTheme="minorHAnsi" w:cstheme="minorHAnsi"/>
          <w:sz w:val="22"/>
          <w:szCs w:val="22"/>
        </w:rPr>
        <w:t>pastizales húmedos</w:t>
      </w:r>
      <w:r w:rsidR="005601CD" w:rsidRPr="000F7953">
        <w:rPr>
          <w:rFonts w:asciiTheme="minorHAnsi" w:hAnsiTheme="minorHAnsi" w:cstheme="minorHAnsi"/>
          <w:sz w:val="22"/>
          <w:szCs w:val="22"/>
        </w:rPr>
        <w:t>”</w:t>
      </w:r>
      <w:r w:rsidRPr="000F7953">
        <w:rPr>
          <w:rFonts w:asciiTheme="minorHAnsi" w:hAnsiTheme="minorHAnsi" w:cstheme="minorHAnsi"/>
          <w:sz w:val="22"/>
          <w:szCs w:val="22"/>
        </w:rPr>
        <w:t xml:space="preserve"> y las </w:t>
      </w:r>
      <w:r w:rsidR="005601CD" w:rsidRPr="000F7953">
        <w:rPr>
          <w:rFonts w:asciiTheme="minorHAnsi" w:hAnsiTheme="minorHAnsi" w:cstheme="minorHAnsi"/>
          <w:sz w:val="22"/>
          <w:szCs w:val="22"/>
        </w:rPr>
        <w:t>“</w:t>
      </w:r>
      <w:r w:rsidRPr="000F7953">
        <w:rPr>
          <w:rFonts w:asciiTheme="minorHAnsi" w:hAnsiTheme="minorHAnsi" w:cstheme="minorHAnsi"/>
          <w:sz w:val="22"/>
          <w:szCs w:val="22"/>
        </w:rPr>
        <w:t>lagunas temporales</w:t>
      </w:r>
      <w:r w:rsidR="005601CD" w:rsidRPr="000F7953">
        <w:rPr>
          <w:rFonts w:asciiTheme="minorHAnsi" w:hAnsiTheme="minorHAnsi" w:cstheme="minorHAnsi"/>
          <w:sz w:val="22"/>
          <w:szCs w:val="22"/>
        </w:rPr>
        <w:t>”</w:t>
      </w:r>
      <w:r w:rsidRPr="000F7953">
        <w:rPr>
          <w:rFonts w:asciiTheme="minorHAnsi" w:hAnsiTheme="minorHAnsi" w:cstheme="minorHAnsi"/>
          <w:sz w:val="22"/>
          <w:szCs w:val="22"/>
        </w:rPr>
        <w:t xml:space="preserve"> identificados en la Resolución VIII.11. </w:t>
      </w:r>
    </w:p>
    <w:p w14:paraId="28A2F961" w14:textId="5AE67377" w:rsidR="005276AD" w:rsidRPr="000F7953" w:rsidRDefault="005276AD" w:rsidP="00AD1260">
      <w:pPr>
        <w:rPr>
          <w:rFonts w:asciiTheme="minorHAnsi" w:hAnsiTheme="minorHAnsi" w:cstheme="minorHAnsi"/>
          <w:sz w:val="22"/>
          <w:szCs w:val="22"/>
        </w:rPr>
      </w:pPr>
      <w:r w:rsidRPr="000F7953">
        <w:rPr>
          <w:rFonts w:asciiTheme="minorHAnsi" w:hAnsiTheme="minorHAnsi" w:cstheme="minorHAnsi"/>
          <w:sz w:val="22"/>
          <w:szCs w:val="22"/>
        </w:rPr>
        <w:t xml:space="preserve">** Los arrecifes de (moluscos) bivalvos son un tipo específico de humedal (Ga). Actualmente hay 11 Humedales de Importancia Internacional con este tipo de humedal. En el caso de los valores de referencia definidos en el PE4 podría tratarse un error, ya que es poco probable que este tipo de humedal haya sido eliminado de las FIR para muchos sitios individuales durante las actualizaciones de las mismas.  </w:t>
      </w:r>
    </w:p>
    <w:p w14:paraId="5199FED3" w14:textId="77777777" w:rsidR="001E5422" w:rsidRPr="000F7953" w:rsidRDefault="001E5422" w:rsidP="00CD3F6B">
      <w:pPr>
        <w:ind w:left="397"/>
        <w:rPr>
          <w:rFonts w:asciiTheme="minorHAnsi" w:hAnsiTheme="minorHAnsi" w:cstheme="minorHAnsi"/>
          <w:sz w:val="22"/>
          <w:szCs w:val="22"/>
        </w:rPr>
      </w:pPr>
    </w:p>
    <w:p w14:paraId="43DD2217" w14:textId="478B71AA" w:rsidR="00F6176F" w:rsidRPr="000F7953" w:rsidRDefault="00515041" w:rsidP="000E3338">
      <w:pPr>
        <w:ind w:left="567" w:hanging="567"/>
        <w:rPr>
          <w:rFonts w:asciiTheme="minorHAnsi" w:hAnsiTheme="minorHAnsi" w:cstheme="minorHAnsi"/>
          <w:sz w:val="22"/>
          <w:szCs w:val="22"/>
        </w:rPr>
      </w:pPr>
      <w:r w:rsidRPr="000F7953">
        <w:rPr>
          <w:rFonts w:asciiTheme="minorHAnsi" w:hAnsiTheme="minorHAnsi" w:cstheme="minorHAnsi"/>
          <w:sz w:val="22"/>
          <w:szCs w:val="22"/>
        </w:rPr>
        <w:t>42.</w:t>
      </w:r>
      <w:r w:rsidRPr="000F7953">
        <w:rPr>
          <w:rFonts w:asciiTheme="minorHAnsi" w:hAnsiTheme="minorHAnsi" w:cstheme="minorHAnsi"/>
          <w:sz w:val="22"/>
          <w:szCs w:val="22"/>
        </w:rPr>
        <w:tab/>
        <w:t>Aunque se han realizado notables progresos en la designación de Humedales de Importancia Internacional, incluidos los sitios con tipos de humedales subrepresentados, para la COP15 solo el 39</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de las Partes Contratantes cuentan con una estrategia nacional y prioridades para seguir designando Humedales de Importancia Internacional, lo que supone un ligero descenso desde la COP13. Un 39</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de Partes Contratantes afirman que lo están haciendo parcialmente o tiene previsto hacerlo. </w:t>
      </w:r>
    </w:p>
    <w:p w14:paraId="34D64155" w14:textId="77777777" w:rsidR="00B249AC" w:rsidRPr="000F7953" w:rsidRDefault="00B249AC" w:rsidP="003E56FD">
      <w:pPr>
        <w:rPr>
          <w:rFonts w:asciiTheme="minorHAnsi" w:hAnsiTheme="minorHAnsi" w:cstheme="minorHAnsi"/>
          <w:sz w:val="22"/>
          <w:szCs w:val="22"/>
        </w:rPr>
      </w:pPr>
    </w:p>
    <w:p w14:paraId="3AD01D02" w14:textId="77777777" w:rsidR="00A24E62" w:rsidRPr="000F7953" w:rsidRDefault="00A24E62" w:rsidP="00CD3F6B">
      <w:pPr>
        <w:rPr>
          <w:rFonts w:asciiTheme="minorHAnsi" w:hAnsiTheme="minorHAnsi" w:cstheme="minorHAnsi"/>
          <w:sz w:val="22"/>
          <w:szCs w:val="22"/>
        </w:rPr>
      </w:pPr>
    </w:p>
    <w:tbl>
      <w:tblPr>
        <w:tblStyle w:val="TableGrid16"/>
        <w:tblW w:w="9356" w:type="dxa"/>
        <w:tblLook w:val="04A0" w:firstRow="1" w:lastRow="0" w:firstColumn="1" w:lastColumn="0" w:noHBand="0" w:noVBand="1"/>
      </w:tblPr>
      <w:tblGrid>
        <w:gridCol w:w="9356"/>
      </w:tblGrid>
      <w:tr w:rsidR="002F4351" w:rsidRPr="000F7953" w14:paraId="69A5E029" w14:textId="77777777" w:rsidTr="003E56FD">
        <w:tc>
          <w:tcPr>
            <w:tcW w:w="9634" w:type="dxa"/>
            <w:vAlign w:val="center"/>
          </w:tcPr>
          <w:p w14:paraId="77A9163A" w14:textId="1D0A13AA" w:rsidR="002F4351" w:rsidRPr="000F7953" w:rsidRDefault="002F4351" w:rsidP="008A3659">
            <w:pPr>
              <w:keepNext/>
              <w:spacing w:before="120" w:after="120"/>
              <w:rPr>
                <w:rFonts w:asciiTheme="minorHAnsi" w:hAnsiTheme="minorHAnsi" w:cstheme="minorHAnsi"/>
                <w:b/>
                <w:sz w:val="22"/>
                <w:szCs w:val="22"/>
              </w:rPr>
            </w:pPr>
            <w:r w:rsidRPr="000F7953">
              <w:rPr>
                <w:rFonts w:asciiTheme="minorHAnsi" w:hAnsiTheme="minorHAnsi" w:cstheme="minorHAnsi"/>
                <w:b/>
                <w:sz w:val="22"/>
                <w:szCs w:val="22"/>
              </w:rPr>
              <w:t xml:space="preserve">Meta 7. Se hace frente a las amenazas de los sitios con riesgo de cambios en sus características ecológicas. </w:t>
            </w:r>
          </w:p>
          <w:p w14:paraId="4AF30F7C" w14:textId="128FBE25" w:rsidR="002F4351" w:rsidRPr="000F7953" w:rsidRDefault="00C61079" w:rsidP="008A3659">
            <w:pPr>
              <w:keepNext/>
              <w:spacing w:before="120" w:after="120"/>
              <w:rPr>
                <w:rFonts w:asciiTheme="minorHAnsi" w:hAnsiTheme="minorHAnsi" w:cstheme="minorHAnsi"/>
                <w:bCs/>
                <w:sz w:val="22"/>
                <w:szCs w:val="22"/>
              </w:rPr>
            </w:pPr>
            <w:r w:rsidRPr="000F7953">
              <w:rPr>
                <w:rFonts w:asciiTheme="minorHAnsi" w:hAnsiTheme="minorHAnsi" w:cstheme="minorHAnsi"/>
                <w:bCs/>
                <w:sz w:val="22"/>
                <w:szCs w:val="22"/>
              </w:rPr>
              <w:t>Contribuye a las metas 3, 4 y 10 del MMB-KM y a las metas 6.5, 6.6, 11.3, 11.4, 11.a, 11.b, 12.4, 13.1, 14.2, 15.1, 15.2, 15.3 y 15.4 de los ODS.</w:t>
            </w:r>
          </w:p>
        </w:tc>
      </w:tr>
    </w:tbl>
    <w:p w14:paraId="3D234B2B" w14:textId="77777777" w:rsidR="00C61079" w:rsidRPr="000F7953" w:rsidRDefault="00C61079" w:rsidP="00D1463B">
      <w:pPr>
        <w:keepNext/>
        <w:rPr>
          <w:rFonts w:asciiTheme="minorHAnsi" w:hAnsiTheme="minorHAnsi" w:cstheme="minorHAnsi"/>
          <w:sz w:val="22"/>
          <w:szCs w:val="22"/>
        </w:rPr>
      </w:pPr>
    </w:p>
    <w:p w14:paraId="47682472" w14:textId="14272781" w:rsidR="004D1B26" w:rsidRPr="000F7953" w:rsidRDefault="004D1B26" w:rsidP="00D1463B">
      <w:pPr>
        <w:keepNext/>
        <w:rPr>
          <w:rFonts w:asciiTheme="minorHAnsi" w:hAnsiTheme="minorHAnsi" w:cstheme="minorHAnsi"/>
          <w:i/>
          <w:iCs/>
          <w:sz w:val="22"/>
          <w:szCs w:val="22"/>
          <w:u w:val="single"/>
        </w:rPr>
      </w:pPr>
      <w:r w:rsidRPr="000F7953">
        <w:rPr>
          <w:rFonts w:asciiTheme="minorHAnsi" w:hAnsiTheme="minorHAnsi" w:cstheme="minorHAnsi"/>
          <w:i/>
          <w:iCs/>
          <w:sz w:val="22"/>
          <w:szCs w:val="22"/>
          <w:u w:val="single"/>
        </w:rPr>
        <w:t xml:space="preserve">Mensaje clave </w:t>
      </w:r>
    </w:p>
    <w:p w14:paraId="39CAE046" w14:textId="77777777" w:rsidR="00C61079" w:rsidRPr="000F7953" w:rsidRDefault="00C61079" w:rsidP="00D1463B">
      <w:pPr>
        <w:keepNext/>
        <w:rPr>
          <w:rFonts w:asciiTheme="minorHAnsi" w:hAnsiTheme="minorHAnsi" w:cstheme="minorHAnsi"/>
          <w:sz w:val="22"/>
          <w:szCs w:val="22"/>
        </w:rPr>
      </w:pPr>
    </w:p>
    <w:p w14:paraId="36364C43" w14:textId="430FF59E" w:rsidR="00714BC5" w:rsidRPr="000F7953" w:rsidRDefault="00515041" w:rsidP="000E3338">
      <w:pPr>
        <w:ind w:left="567" w:hanging="567"/>
        <w:rPr>
          <w:rFonts w:asciiTheme="minorHAnsi" w:hAnsiTheme="minorHAnsi" w:cstheme="minorHAnsi"/>
          <w:sz w:val="22"/>
          <w:szCs w:val="22"/>
        </w:rPr>
      </w:pPr>
      <w:r w:rsidRPr="000F7953">
        <w:rPr>
          <w:rFonts w:asciiTheme="minorHAnsi" w:hAnsiTheme="minorHAnsi" w:cstheme="minorHAnsi"/>
          <w:sz w:val="22"/>
          <w:szCs w:val="22"/>
        </w:rPr>
        <w:t>43.</w:t>
      </w:r>
      <w:r w:rsidRPr="000F7953">
        <w:rPr>
          <w:rFonts w:asciiTheme="minorHAnsi" w:hAnsiTheme="minorHAnsi" w:cstheme="minorHAnsi"/>
          <w:sz w:val="22"/>
          <w:szCs w:val="22"/>
        </w:rPr>
        <w:tab/>
        <w:t xml:space="preserve">La mayoría de las Partes Contratantes disponen de mecanismos para ser informadas de los cambios negativos en las características ecológicas de los Humedales de Importancia Internacional, de conformidad con el Artículo 3.2 de la Convención. Sin embargo, los informes sobre los avances en la resolución de estos casos son limitados y el Registro de Montreux está subutilizado. </w:t>
      </w:r>
    </w:p>
    <w:p w14:paraId="209DE0F4" w14:textId="77777777" w:rsidR="008B1D7A" w:rsidRPr="000F7953" w:rsidRDefault="008B1D7A" w:rsidP="000E3338">
      <w:pPr>
        <w:ind w:left="567" w:hanging="567"/>
        <w:rPr>
          <w:rFonts w:asciiTheme="minorHAnsi" w:hAnsiTheme="minorHAnsi" w:cstheme="minorHAnsi"/>
          <w:sz w:val="22"/>
          <w:szCs w:val="22"/>
        </w:rPr>
      </w:pPr>
    </w:p>
    <w:tbl>
      <w:tblPr>
        <w:tblStyle w:val="TableGrid26"/>
        <w:tblW w:w="9353" w:type="dxa"/>
        <w:tblLook w:val="04A0" w:firstRow="1" w:lastRow="0" w:firstColumn="1" w:lastColumn="0" w:noHBand="0" w:noVBand="1"/>
      </w:tblPr>
      <w:tblGrid>
        <w:gridCol w:w="4081"/>
        <w:gridCol w:w="1182"/>
        <w:gridCol w:w="848"/>
        <w:gridCol w:w="848"/>
        <w:gridCol w:w="848"/>
        <w:gridCol w:w="1546"/>
      </w:tblGrid>
      <w:tr w:rsidR="008B1D7A" w:rsidRPr="000F7953" w14:paraId="2DC92DAC" w14:textId="77777777" w:rsidTr="00110144">
        <w:trPr>
          <w:cantSplit/>
        </w:trPr>
        <w:tc>
          <w:tcPr>
            <w:tcW w:w="4252" w:type="dxa"/>
            <w:shd w:val="clear" w:color="auto" w:fill="auto"/>
            <w:vAlign w:val="center"/>
            <w:hideMark/>
          </w:tcPr>
          <w:p w14:paraId="3B8827DD" w14:textId="77777777" w:rsidR="008B1D7A" w:rsidRPr="000F7953" w:rsidRDefault="008B1D7A" w:rsidP="00110144">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Indicador</w:t>
            </w:r>
          </w:p>
        </w:tc>
        <w:tc>
          <w:tcPr>
            <w:tcW w:w="992" w:type="dxa"/>
            <w:shd w:val="clear" w:color="auto" w:fill="auto"/>
            <w:vAlign w:val="center"/>
            <w:hideMark/>
          </w:tcPr>
          <w:p w14:paraId="716E2E5C" w14:textId="77777777" w:rsidR="008B1D7A" w:rsidRPr="000F7953" w:rsidRDefault="008B1D7A" w:rsidP="00110144">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Referencia</w:t>
            </w:r>
          </w:p>
        </w:tc>
        <w:tc>
          <w:tcPr>
            <w:tcW w:w="850" w:type="dxa"/>
            <w:shd w:val="clear" w:color="auto" w:fill="auto"/>
            <w:vAlign w:val="center"/>
            <w:hideMark/>
          </w:tcPr>
          <w:p w14:paraId="2AF580E6" w14:textId="77777777" w:rsidR="008B1D7A" w:rsidRPr="000F7953" w:rsidRDefault="008B1D7A" w:rsidP="00110144">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COP13</w:t>
            </w:r>
          </w:p>
        </w:tc>
        <w:tc>
          <w:tcPr>
            <w:tcW w:w="850" w:type="dxa"/>
            <w:shd w:val="clear" w:color="auto" w:fill="auto"/>
            <w:vAlign w:val="center"/>
            <w:hideMark/>
          </w:tcPr>
          <w:p w14:paraId="275ECC9A" w14:textId="77777777" w:rsidR="008B1D7A" w:rsidRPr="000F7953" w:rsidRDefault="008B1D7A" w:rsidP="00110144">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COP14</w:t>
            </w:r>
          </w:p>
        </w:tc>
        <w:tc>
          <w:tcPr>
            <w:tcW w:w="850" w:type="dxa"/>
            <w:shd w:val="clear" w:color="auto" w:fill="auto"/>
            <w:vAlign w:val="center"/>
            <w:hideMark/>
          </w:tcPr>
          <w:p w14:paraId="7ADBE9A3" w14:textId="77777777" w:rsidR="008B1D7A" w:rsidRPr="000F7953" w:rsidRDefault="008B1D7A" w:rsidP="00110144">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COP15</w:t>
            </w:r>
          </w:p>
        </w:tc>
        <w:tc>
          <w:tcPr>
            <w:tcW w:w="1559" w:type="dxa"/>
            <w:shd w:val="clear" w:color="auto" w:fill="auto"/>
            <w:vAlign w:val="center"/>
            <w:hideMark/>
          </w:tcPr>
          <w:p w14:paraId="619F0D2C" w14:textId="77777777" w:rsidR="008B1D7A" w:rsidRPr="000F7953" w:rsidRDefault="008B1D7A" w:rsidP="00110144">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Tendencia</w:t>
            </w:r>
          </w:p>
        </w:tc>
      </w:tr>
      <w:tr w:rsidR="008B1D7A" w:rsidRPr="000F7953" w14:paraId="087B78CC" w14:textId="77777777" w:rsidTr="00110144">
        <w:trPr>
          <w:cantSplit/>
        </w:trPr>
        <w:tc>
          <w:tcPr>
            <w:tcW w:w="4252" w:type="dxa"/>
            <w:shd w:val="clear" w:color="auto" w:fill="auto"/>
          </w:tcPr>
          <w:p w14:paraId="19E9ED6A" w14:textId="77777777" w:rsidR="008B1D7A" w:rsidRPr="000F7953" w:rsidRDefault="008B1D7A" w:rsidP="00110144">
            <w:pPr>
              <w:rPr>
                <w:rFonts w:asciiTheme="minorHAnsi" w:eastAsia="Aptos" w:hAnsiTheme="minorHAnsi" w:cstheme="minorHAnsi"/>
                <w:sz w:val="22"/>
                <w:szCs w:val="22"/>
              </w:rPr>
            </w:pPr>
            <w:r w:rsidRPr="000F7953">
              <w:rPr>
                <w:rFonts w:asciiTheme="minorHAnsi" w:hAnsiTheme="minorHAnsi" w:cstheme="minorHAnsi"/>
                <w:sz w:val="22"/>
                <w:szCs w:val="22"/>
              </w:rPr>
              <w:t>Número de sitios Ramsar eliminados del Registro de Montreux (presentado como número total de sitios del Registro).</w:t>
            </w:r>
          </w:p>
        </w:tc>
        <w:tc>
          <w:tcPr>
            <w:tcW w:w="992" w:type="dxa"/>
            <w:shd w:val="clear" w:color="auto" w:fill="auto"/>
          </w:tcPr>
          <w:p w14:paraId="3E45AB63" w14:textId="77777777" w:rsidR="008B1D7A" w:rsidRPr="000F7953" w:rsidRDefault="008B1D7A" w:rsidP="00110144">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47</w:t>
            </w:r>
          </w:p>
        </w:tc>
        <w:tc>
          <w:tcPr>
            <w:tcW w:w="850" w:type="dxa"/>
            <w:shd w:val="clear" w:color="auto" w:fill="auto"/>
          </w:tcPr>
          <w:p w14:paraId="11CCD16E" w14:textId="77777777" w:rsidR="008B1D7A" w:rsidRPr="000F7953" w:rsidRDefault="008B1D7A" w:rsidP="00110144">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47</w:t>
            </w:r>
          </w:p>
        </w:tc>
        <w:tc>
          <w:tcPr>
            <w:tcW w:w="850" w:type="dxa"/>
            <w:shd w:val="clear" w:color="auto" w:fill="auto"/>
          </w:tcPr>
          <w:p w14:paraId="798B21FA" w14:textId="77777777" w:rsidR="008B1D7A" w:rsidRPr="000F7953" w:rsidRDefault="008B1D7A" w:rsidP="00110144">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46</w:t>
            </w:r>
          </w:p>
        </w:tc>
        <w:tc>
          <w:tcPr>
            <w:tcW w:w="850" w:type="dxa"/>
            <w:shd w:val="clear" w:color="auto" w:fill="auto"/>
          </w:tcPr>
          <w:p w14:paraId="69A37CC9" w14:textId="77777777" w:rsidR="008B1D7A" w:rsidRPr="000F7953" w:rsidRDefault="008B1D7A" w:rsidP="00110144">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46</w:t>
            </w:r>
          </w:p>
        </w:tc>
        <w:tc>
          <w:tcPr>
            <w:tcW w:w="1559" w:type="dxa"/>
            <w:shd w:val="clear" w:color="auto" w:fill="auto"/>
          </w:tcPr>
          <w:p w14:paraId="3FF72CB9" w14:textId="77777777" w:rsidR="008B1D7A" w:rsidRPr="000F7953" w:rsidRDefault="008B1D7A" w:rsidP="00110144">
            <w:pPr>
              <w:rPr>
                <w:rFonts w:asciiTheme="minorHAnsi" w:eastAsia="Aptos" w:hAnsiTheme="minorHAnsi" w:cstheme="minorHAnsi"/>
                <w:sz w:val="22"/>
                <w:szCs w:val="22"/>
              </w:rPr>
            </w:pPr>
            <w:r w:rsidRPr="000F7953">
              <w:rPr>
                <w:rFonts w:asciiTheme="minorHAnsi" w:hAnsiTheme="minorHAnsi" w:cstheme="minorHAnsi"/>
                <w:noProof/>
                <w:sz w:val="22"/>
                <w:szCs w:val="22"/>
              </w:rPr>
              <w:drawing>
                <wp:inline distT="0" distB="0" distL="0" distR="0" wp14:anchorId="5DEFAF64" wp14:editId="4F286D96">
                  <wp:extent cx="712200" cy="432000"/>
                  <wp:effectExtent l="0" t="0" r="0" b="0"/>
                  <wp:docPr id="11835118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8B1D7A" w:rsidRPr="000F7953" w14:paraId="0A07FF3B" w14:textId="77777777" w:rsidTr="00110144">
        <w:trPr>
          <w:cantSplit/>
        </w:trPr>
        <w:tc>
          <w:tcPr>
            <w:tcW w:w="4252" w:type="dxa"/>
            <w:shd w:val="clear" w:color="auto" w:fill="auto"/>
          </w:tcPr>
          <w:p w14:paraId="03D5D772" w14:textId="77777777" w:rsidR="008B1D7A" w:rsidRPr="000F7953" w:rsidRDefault="008B1D7A" w:rsidP="00110144">
            <w:pPr>
              <w:rPr>
                <w:rFonts w:asciiTheme="minorHAnsi" w:eastAsia="Aptos" w:hAnsiTheme="minorHAnsi" w:cstheme="minorHAnsi"/>
                <w:sz w:val="22"/>
                <w:szCs w:val="22"/>
              </w:rPr>
            </w:pPr>
            <w:r w:rsidRPr="000F7953">
              <w:rPr>
                <w:rFonts w:asciiTheme="minorHAnsi" w:hAnsiTheme="minorHAnsi" w:cstheme="minorHAnsi"/>
                <w:sz w:val="22"/>
                <w:szCs w:val="22"/>
              </w:rPr>
              <w:t>Porcentaje de Partes que han comunicado a la Secretaría todos los casos de cambios o cambios probables adversos inducidos por la acción humana en las características ecológicas de los sitios Ramsar de conformidad con el Artículo 3.2.</w:t>
            </w:r>
          </w:p>
        </w:tc>
        <w:tc>
          <w:tcPr>
            <w:tcW w:w="992" w:type="dxa"/>
            <w:shd w:val="clear" w:color="auto" w:fill="auto"/>
          </w:tcPr>
          <w:p w14:paraId="3DB6DFC5" w14:textId="15958768" w:rsidR="008B1D7A" w:rsidRPr="000F7953" w:rsidRDefault="008B1D7A" w:rsidP="00110144">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21</w:t>
            </w:r>
            <w:r w:rsidR="005601CD" w:rsidRPr="000F7953">
              <w:rPr>
                <w:rFonts w:asciiTheme="minorHAnsi" w:hAnsiTheme="minorHAnsi" w:cstheme="minorHAnsi"/>
                <w:b/>
                <w:bCs/>
                <w:sz w:val="22"/>
                <w:szCs w:val="22"/>
              </w:rPr>
              <w:t> %</w:t>
            </w:r>
          </w:p>
        </w:tc>
        <w:tc>
          <w:tcPr>
            <w:tcW w:w="850" w:type="dxa"/>
            <w:shd w:val="clear" w:color="auto" w:fill="auto"/>
          </w:tcPr>
          <w:p w14:paraId="2BB35A9D" w14:textId="35DDE9D1" w:rsidR="008B1D7A" w:rsidRPr="000F7953" w:rsidRDefault="008B1D7A" w:rsidP="00110144">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21</w:t>
            </w:r>
            <w:r w:rsidR="005601CD" w:rsidRPr="000F7953">
              <w:rPr>
                <w:rFonts w:asciiTheme="minorHAnsi" w:hAnsiTheme="minorHAnsi" w:cstheme="minorHAnsi"/>
                <w:b/>
                <w:bCs/>
                <w:sz w:val="22"/>
                <w:szCs w:val="22"/>
              </w:rPr>
              <w:t> %</w:t>
            </w:r>
          </w:p>
        </w:tc>
        <w:tc>
          <w:tcPr>
            <w:tcW w:w="850" w:type="dxa"/>
            <w:shd w:val="clear" w:color="auto" w:fill="auto"/>
          </w:tcPr>
          <w:p w14:paraId="1AA80EE8" w14:textId="7C7D478A" w:rsidR="008B1D7A" w:rsidRPr="000F7953" w:rsidRDefault="008B1D7A" w:rsidP="00110144">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23</w:t>
            </w:r>
            <w:r w:rsidR="005601CD" w:rsidRPr="000F7953">
              <w:rPr>
                <w:rFonts w:asciiTheme="minorHAnsi" w:hAnsiTheme="minorHAnsi" w:cstheme="minorHAnsi"/>
                <w:b/>
                <w:bCs/>
                <w:sz w:val="22"/>
                <w:szCs w:val="22"/>
              </w:rPr>
              <w:t> %</w:t>
            </w:r>
          </w:p>
        </w:tc>
        <w:tc>
          <w:tcPr>
            <w:tcW w:w="850" w:type="dxa"/>
            <w:shd w:val="clear" w:color="auto" w:fill="auto"/>
          </w:tcPr>
          <w:p w14:paraId="3C5093E7" w14:textId="2B8FC2F4" w:rsidR="008B1D7A" w:rsidRPr="000F7953" w:rsidRDefault="008B1D7A" w:rsidP="00110144">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19</w:t>
            </w:r>
            <w:r w:rsidR="005601CD" w:rsidRPr="000F7953">
              <w:rPr>
                <w:rFonts w:asciiTheme="minorHAnsi" w:hAnsiTheme="minorHAnsi" w:cstheme="minorHAnsi"/>
                <w:b/>
                <w:bCs/>
                <w:sz w:val="22"/>
                <w:szCs w:val="22"/>
              </w:rPr>
              <w:t> %</w:t>
            </w:r>
          </w:p>
        </w:tc>
        <w:tc>
          <w:tcPr>
            <w:tcW w:w="1559" w:type="dxa"/>
            <w:shd w:val="clear" w:color="auto" w:fill="auto"/>
          </w:tcPr>
          <w:p w14:paraId="7A46D28A" w14:textId="77777777" w:rsidR="008B1D7A" w:rsidRPr="000F7953" w:rsidRDefault="008B1D7A" w:rsidP="00110144">
            <w:pPr>
              <w:rPr>
                <w:rFonts w:asciiTheme="minorHAnsi" w:eastAsia="Aptos" w:hAnsiTheme="minorHAnsi" w:cstheme="minorHAnsi"/>
                <w:sz w:val="22"/>
                <w:szCs w:val="22"/>
              </w:rPr>
            </w:pPr>
            <w:r w:rsidRPr="000F7953">
              <w:rPr>
                <w:rFonts w:asciiTheme="minorHAnsi" w:hAnsiTheme="minorHAnsi" w:cstheme="minorHAnsi"/>
                <w:noProof/>
              </w:rPr>
              <w:drawing>
                <wp:inline distT="0" distB="0" distL="0" distR="0" wp14:anchorId="5D0100A9" wp14:editId="6A8C8E1A">
                  <wp:extent cx="715700" cy="432000"/>
                  <wp:effectExtent l="0" t="0" r="0" b="0"/>
                  <wp:docPr id="520580593" name="Picture 3" descr="A red and black line with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580593" name="Picture 3" descr="A red and black line with circles&#10;&#10;AI-generated content may be incorrec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15700" cy="432000"/>
                          </a:xfrm>
                          <a:prstGeom prst="rect">
                            <a:avLst/>
                          </a:prstGeom>
                          <a:noFill/>
                          <a:ln>
                            <a:noFill/>
                          </a:ln>
                        </pic:spPr>
                      </pic:pic>
                    </a:graphicData>
                  </a:graphic>
                </wp:inline>
              </w:drawing>
            </w:r>
          </w:p>
        </w:tc>
      </w:tr>
      <w:tr w:rsidR="008B1D7A" w:rsidRPr="000F7953" w14:paraId="1532AA48" w14:textId="77777777" w:rsidTr="00110144">
        <w:trPr>
          <w:cantSplit/>
        </w:trPr>
        <w:tc>
          <w:tcPr>
            <w:tcW w:w="4252" w:type="dxa"/>
            <w:shd w:val="clear" w:color="auto" w:fill="auto"/>
          </w:tcPr>
          <w:p w14:paraId="6FD74117" w14:textId="77777777" w:rsidR="008B1D7A" w:rsidRPr="000F7953" w:rsidRDefault="008B1D7A" w:rsidP="00110144">
            <w:pPr>
              <w:rPr>
                <w:rFonts w:asciiTheme="minorHAnsi" w:eastAsia="Aptos" w:hAnsiTheme="minorHAnsi" w:cstheme="minorHAnsi"/>
                <w:sz w:val="22"/>
                <w:szCs w:val="22"/>
              </w:rPr>
            </w:pPr>
            <w:r w:rsidRPr="000F7953">
              <w:rPr>
                <w:rFonts w:asciiTheme="minorHAnsi" w:hAnsiTheme="minorHAnsi" w:cstheme="minorHAnsi"/>
                <w:sz w:val="22"/>
                <w:szCs w:val="22"/>
              </w:rPr>
              <w:t>Número de sitios Ramsar sobre los cuales las Partes han comunicado a la Secretaría casos de cambios o cambios probables adversos inducidos por la acción humana en las características ecológicas, de conformidad con el Artículo 3.2.</w:t>
            </w:r>
          </w:p>
        </w:tc>
        <w:tc>
          <w:tcPr>
            <w:tcW w:w="992" w:type="dxa"/>
            <w:shd w:val="clear" w:color="auto" w:fill="auto"/>
          </w:tcPr>
          <w:p w14:paraId="2FE8F436" w14:textId="77777777" w:rsidR="008B1D7A" w:rsidRPr="000F7953" w:rsidRDefault="008B1D7A" w:rsidP="00110144">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144</w:t>
            </w:r>
          </w:p>
        </w:tc>
        <w:tc>
          <w:tcPr>
            <w:tcW w:w="850" w:type="dxa"/>
            <w:shd w:val="clear" w:color="auto" w:fill="auto"/>
          </w:tcPr>
          <w:p w14:paraId="16ED81FA" w14:textId="77777777" w:rsidR="008B1D7A" w:rsidRPr="000F7953" w:rsidRDefault="008B1D7A" w:rsidP="00110144">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168</w:t>
            </w:r>
          </w:p>
        </w:tc>
        <w:tc>
          <w:tcPr>
            <w:tcW w:w="850" w:type="dxa"/>
            <w:shd w:val="clear" w:color="auto" w:fill="auto"/>
          </w:tcPr>
          <w:p w14:paraId="30A01CCD" w14:textId="77777777" w:rsidR="008B1D7A" w:rsidRPr="000F7953" w:rsidRDefault="008B1D7A" w:rsidP="00110144">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151</w:t>
            </w:r>
          </w:p>
        </w:tc>
        <w:tc>
          <w:tcPr>
            <w:tcW w:w="850" w:type="dxa"/>
            <w:shd w:val="clear" w:color="auto" w:fill="auto"/>
          </w:tcPr>
          <w:p w14:paraId="097DBB2B" w14:textId="77777777" w:rsidR="008B1D7A" w:rsidRPr="000F7953" w:rsidRDefault="008B1D7A" w:rsidP="00110144">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177</w:t>
            </w:r>
          </w:p>
        </w:tc>
        <w:tc>
          <w:tcPr>
            <w:tcW w:w="1559" w:type="dxa"/>
            <w:shd w:val="clear" w:color="auto" w:fill="auto"/>
          </w:tcPr>
          <w:p w14:paraId="37821A2B" w14:textId="77777777" w:rsidR="008B1D7A" w:rsidRPr="000F7953" w:rsidRDefault="008B1D7A" w:rsidP="00110144">
            <w:pPr>
              <w:rPr>
                <w:rFonts w:asciiTheme="minorHAnsi" w:eastAsia="Aptos" w:hAnsiTheme="minorHAnsi" w:cstheme="minorHAnsi"/>
                <w:sz w:val="22"/>
                <w:szCs w:val="22"/>
              </w:rPr>
            </w:pPr>
            <w:r w:rsidRPr="000F7953">
              <w:rPr>
                <w:rFonts w:asciiTheme="minorHAnsi" w:hAnsiTheme="minorHAnsi" w:cstheme="minorHAnsi"/>
                <w:noProof/>
                <w:sz w:val="22"/>
                <w:szCs w:val="22"/>
              </w:rPr>
              <w:drawing>
                <wp:inline distT="0" distB="0" distL="0" distR="0" wp14:anchorId="69285D67" wp14:editId="4C941A93">
                  <wp:extent cx="712200" cy="432000"/>
                  <wp:effectExtent l="0" t="0" r="0" b="0"/>
                  <wp:docPr id="88287758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8B1D7A" w:rsidRPr="000F7953" w14:paraId="50E435C5" w14:textId="77777777" w:rsidTr="00110144">
        <w:trPr>
          <w:cantSplit/>
        </w:trPr>
        <w:tc>
          <w:tcPr>
            <w:tcW w:w="4252" w:type="dxa"/>
            <w:shd w:val="clear" w:color="auto" w:fill="auto"/>
          </w:tcPr>
          <w:p w14:paraId="53BB4AA5" w14:textId="77777777" w:rsidR="008B1D7A" w:rsidRPr="000F7953" w:rsidRDefault="008B1D7A" w:rsidP="00110144">
            <w:pPr>
              <w:rPr>
                <w:rFonts w:asciiTheme="minorHAnsi" w:eastAsia="Aptos" w:hAnsiTheme="minorHAnsi" w:cstheme="minorHAnsi"/>
                <w:sz w:val="22"/>
                <w:szCs w:val="22"/>
              </w:rPr>
            </w:pPr>
            <w:r w:rsidRPr="000F7953">
              <w:rPr>
                <w:rFonts w:asciiTheme="minorHAnsi" w:hAnsiTheme="minorHAnsi" w:cstheme="minorHAnsi"/>
                <w:sz w:val="22"/>
                <w:szCs w:val="22"/>
              </w:rPr>
              <w:t>Porcentaje de Partes que han tomado medidas para hacer frente a los problemas por los cuales los sitios Ramsar fueron incluidos en el Registro de Montreux.</w:t>
            </w:r>
          </w:p>
        </w:tc>
        <w:tc>
          <w:tcPr>
            <w:tcW w:w="992" w:type="dxa"/>
            <w:shd w:val="clear" w:color="auto" w:fill="auto"/>
          </w:tcPr>
          <w:p w14:paraId="532B8883" w14:textId="62B7B915" w:rsidR="008B1D7A" w:rsidRPr="000F7953" w:rsidRDefault="008B1D7A" w:rsidP="00110144">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16</w:t>
            </w:r>
            <w:r w:rsidR="005601CD" w:rsidRPr="000F7953">
              <w:rPr>
                <w:rFonts w:asciiTheme="minorHAnsi" w:hAnsiTheme="minorHAnsi" w:cstheme="minorHAnsi"/>
                <w:b/>
                <w:bCs/>
                <w:sz w:val="22"/>
                <w:szCs w:val="22"/>
              </w:rPr>
              <w:t> %</w:t>
            </w:r>
          </w:p>
        </w:tc>
        <w:tc>
          <w:tcPr>
            <w:tcW w:w="850" w:type="dxa"/>
            <w:shd w:val="clear" w:color="auto" w:fill="auto"/>
          </w:tcPr>
          <w:p w14:paraId="4820EAFF" w14:textId="7F77D06A" w:rsidR="008B1D7A" w:rsidRPr="000F7953" w:rsidRDefault="008B1D7A" w:rsidP="00110144">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16</w:t>
            </w:r>
            <w:r w:rsidR="005601CD" w:rsidRPr="000F7953">
              <w:rPr>
                <w:rFonts w:asciiTheme="minorHAnsi" w:hAnsiTheme="minorHAnsi" w:cstheme="minorHAnsi"/>
                <w:b/>
                <w:bCs/>
                <w:sz w:val="22"/>
                <w:szCs w:val="22"/>
              </w:rPr>
              <w:t> %</w:t>
            </w:r>
          </w:p>
        </w:tc>
        <w:tc>
          <w:tcPr>
            <w:tcW w:w="850" w:type="dxa"/>
            <w:shd w:val="clear" w:color="auto" w:fill="auto"/>
          </w:tcPr>
          <w:p w14:paraId="31E41792" w14:textId="761F9585" w:rsidR="008B1D7A" w:rsidRPr="000F7953" w:rsidRDefault="008B1D7A" w:rsidP="00110144">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21</w:t>
            </w:r>
            <w:r w:rsidR="005601CD" w:rsidRPr="000F7953">
              <w:rPr>
                <w:rFonts w:asciiTheme="minorHAnsi" w:hAnsiTheme="minorHAnsi" w:cstheme="minorHAnsi"/>
                <w:b/>
                <w:bCs/>
                <w:sz w:val="22"/>
                <w:szCs w:val="22"/>
              </w:rPr>
              <w:t> %</w:t>
            </w:r>
          </w:p>
        </w:tc>
        <w:tc>
          <w:tcPr>
            <w:tcW w:w="850" w:type="dxa"/>
            <w:shd w:val="clear" w:color="auto" w:fill="auto"/>
          </w:tcPr>
          <w:p w14:paraId="16691B33" w14:textId="77777777" w:rsidR="008B1D7A" w:rsidRPr="000F7953" w:rsidRDefault="008B1D7A" w:rsidP="00110144">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w:t>
            </w:r>
          </w:p>
        </w:tc>
        <w:tc>
          <w:tcPr>
            <w:tcW w:w="1559" w:type="dxa"/>
            <w:shd w:val="clear" w:color="auto" w:fill="auto"/>
          </w:tcPr>
          <w:p w14:paraId="5945413A" w14:textId="77777777" w:rsidR="008B1D7A" w:rsidRPr="000F7953" w:rsidRDefault="008B1D7A" w:rsidP="00110144">
            <w:pPr>
              <w:rPr>
                <w:rFonts w:asciiTheme="minorHAnsi" w:eastAsia="Aptos" w:hAnsiTheme="minorHAnsi" w:cstheme="minorHAnsi"/>
                <w:sz w:val="22"/>
                <w:szCs w:val="22"/>
              </w:rPr>
            </w:pPr>
            <w:r w:rsidRPr="000F7953">
              <w:rPr>
                <w:rFonts w:asciiTheme="minorHAnsi" w:hAnsiTheme="minorHAnsi" w:cstheme="minorHAnsi"/>
                <w:noProof/>
                <w:sz w:val="22"/>
                <w:szCs w:val="22"/>
              </w:rPr>
              <w:drawing>
                <wp:inline distT="0" distB="0" distL="0" distR="0" wp14:anchorId="68CC514B" wp14:editId="01578690">
                  <wp:extent cx="568200" cy="432000"/>
                  <wp:effectExtent l="0" t="0" r="0" b="0"/>
                  <wp:docPr id="49037839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8200" cy="432000"/>
                          </a:xfrm>
                          <a:prstGeom prst="rect">
                            <a:avLst/>
                          </a:prstGeom>
                          <a:noFill/>
                          <a:ln>
                            <a:noFill/>
                          </a:ln>
                        </pic:spPr>
                      </pic:pic>
                    </a:graphicData>
                  </a:graphic>
                </wp:inline>
              </w:drawing>
            </w:r>
          </w:p>
        </w:tc>
      </w:tr>
    </w:tbl>
    <w:p w14:paraId="612C73F0" w14:textId="448A6B87" w:rsidR="008B1D7A" w:rsidRPr="000F7953" w:rsidRDefault="008B1D7A" w:rsidP="00CD3F6B">
      <w:pPr>
        <w:rPr>
          <w:rFonts w:asciiTheme="minorHAnsi" w:hAnsiTheme="minorHAnsi" w:cstheme="minorHAnsi"/>
          <w:sz w:val="22"/>
          <w:szCs w:val="22"/>
        </w:rPr>
      </w:pPr>
    </w:p>
    <w:p w14:paraId="50EE6037" w14:textId="568FE649" w:rsidR="00CC35AC" w:rsidRPr="000F7953" w:rsidRDefault="007F61D5" w:rsidP="00D1463B">
      <w:pPr>
        <w:keepNext/>
        <w:rPr>
          <w:rFonts w:asciiTheme="minorHAnsi" w:hAnsiTheme="minorHAnsi" w:cstheme="minorHAnsi"/>
          <w:i/>
          <w:iCs/>
          <w:sz w:val="22"/>
          <w:szCs w:val="22"/>
          <w:u w:val="single"/>
        </w:rPr>
      </w:pPr>
      <w:r w:rsidRPr="000F7953">
        <w:rPr>
          <w:rFonts w:asciiTheme="minorHAnsi" w:hAnsiTheme="minorHAnsi" w:cstheme="minorHAnsi"/>
          <w:i/>
          <w:iCs/>
          <w:sz w:val="22"/>
          <w:szCs w:val="22"/>
          <w:u w:val="single"/>
        </w:rPr>
        <w:t xml:space="preserve">Resumen de los progresos realizados </w:t>
      </w:r>
    </w:p>
    <w:p w14:paraId="3EA9D639" w14:textId="77777777" w:rsidR="00A24E62" w:rsidRPr="000F7953" w:rsidRDefault="00A24E62" w:rsidP="00D1463B">
      <w:pPr>
        <w:keepNext/>
        <w:rPr>
          <w:rFonts w:asciiTheme="minorHAnsi" w:hAnsiTheme="minorHAnsi" w:cstheme="minorHAnsi"/>
          <w:b/>
          <w:bCs/>
          <w:sz w:val="22"/>
          <w:szCs w:val="22"/>
        </w:rPr>
      </w:pPr>
    </w:p>
    <w:p w14:paraId="02F94147" w14:textId="214EA92F" w:rsidR="00FA070B" w:rsidRPr="000F7953" w:rsidRDefault="00515041" w:rsidP="000E3338">
      <w:pPr>
        <w:ind w:left="567" w:hanging="567"/>
        <w:rPr>
          <w:rFonts w:asciiTheme="minorHAnsi" w:hAnsiTheme="minorHAnsi" w:cstheme="minorHAnsi"/>
          <w:sz w:val="22"/>
          <w:szCs w:val="22"/>
        </w:rPr>
      </w:pPr>
      <w:r w:rsidRPr="000F7953">
        <w:rPr>
          <w:rFonts w:asciiTheme="minorHAnsi" w:hAnsiTheme="minorHAnsi" w:cstheme="minorHAnsi"/>
          <w:sz w:val="22"/>
          <w:szCs w:val="22"/>
        </w:rPr>
        <w:t>44.</w:t>
      </w:r>
      <w:r w:rsidRPr="000F7953">
        <w:rPr>
          <w:rFonts w:asciiTheme="minorHAnsi" w:hAnsiTheme="minorHAnsi" w:cstheme="minorHAnsi"/>
          <w:sz w:val="22"/>
          <w:szCs w:val="22"/>
        </w:rPr>
        <w:tab/>
        <w:t xml:space="preserve">Todos los Humedales de Importancia Internacional están afectados por al menos una de las diez amenazas identificadas. </w:t>
      </w:r>
      <w:r w:rsidR="004F7B43" w:rsidRPr="000F7953">
        <w:rPr>
          <w:rFonts w:asciiTheme="minorHAnsi" w:hAnsiTheme="minorHAnsi" w:cstheme="minorHAnsi"/>
          <w:sz w:val="22"/>
          <w:szCs w:val="22"/>
        </w:rPr>
        <w:t>Las amenazas más frecuentemente señaladas</w:t>
      </w:r>
      <w:r w:rsidRPr="000F7953">
        <w:rPr>
          <w:rFonts w:asciiTheme="minorHAnsi" w:hAnsiTheme="minorHAnsi" w:cstheme="minorHAnsi"/>
          <w:sz w:val="22"/>
          <w:szCs w:val="22"/>
        </w:rPr>
        <w:t xml:space="preserve"> son la contaminación (15</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el uso de recursos biológicos (14</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la agricultura (12</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y la invasión debida a asentamientos humanos (10</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Estas amenazas interactúan con frecuencia, agravando sus efectos.</w:t>
      </w:r>
    </w:p>
    <w:p w14:paraId="1D86E1A3" w14:textId="77777777" w:rsidR="00A446A1" w:rsidRPr="000F7953" w:rsidRDefault="00A446A1" w:rsidP="000E3338">
      <w:pPr>
        <w:pStyle w:val="ListParagraph"/>
        <w:spacing w:after="0" w:line="240" w:lineRule="auto"/>
        <w:ind w:left="567" w:hanging="567"/>
        <w:rPr>
          <w:rFonts w:eastAsia="Times New Roman" w:cstheme="minorHAnsi"/>
          <w:lang w:eastAsia="en-GB"/>
        </w:rPr>
      </w:pPr>
    </w:p>
    <w:p w14:paraId="293A8500" w14:textId="1DB31400" w:rsidR="00D369BE" w:rsidRPr="000F7953" w:rsidRDefault="00515041" w:rsidP="000E3338">
      <w:pPr>
        <w:ind w:left="567" w:hanging="567"/>
        <w:rPr>
          <w:rFonts w:asciiTheme="minorHAnsi" w:hAnsiTheme="minorHAnsi" w:cstheme="minorHAnsi"/>
          <w:sz w:val="22"/>
          <w:szCs w:val="22"/>
        </w:rPr>
      </w:pPr>
      <w:r w:rsidRPr="000F7953">
        <w:rPr>
          <w:rFonts w:asciiTheme="minorHAnsi" w:hAnsiTheme="minorHAnsi" w:cstheme="minorHAnsi"/>
          <w:sz w:val="22"/>
          <w:szCs w:val="22"/>
        </w:rPr>
        <w:t>45.</w:t>
      </w:r>
      <w:r w:rsidRPr="000F7953">
        <w:rPr>
          <w:rFonts w:asciiTheme="minorHAnsi" w:hAnsiTheme="minorHAnsi" w:cstheme="minorHAnsi"/>
          <w:sz w:val="22"/>
          <w:szCs w:val="22"/>
        </w:rPr>
        <w:tab/>
        <w:t>Para la COP15, el 79</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de las Partes Contratantes informan que disponen de mecanismos para que las Autoridades Administrativas sean informadas de los cambios negativos inducidos por el hombre o de los cambios probables en las características ecológicas de los Humedales de Importancia Internacional. Se trata de un modesto aumento con respecto al valor de referencia. En Europa, más del 90</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de las Partes cuentan con este tipo de mecanismos, y en otras regiones entre el 70</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y el 80</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w:t>
      </w:r>
    </w:p>
    <w:p w14:paraId="2F49FE4F" w14:textId="18849613" w:rsidR="00FA070B" w:rsidRPr="000F7953" w:rsidRDefault="00FA070B" w:rsidP="000E3338">
      <w:pPr>
        <w:pStyle w:val="ListParagraph"/>
        <w:spacing w:after="0" w:line="240" w:lineRule="auto"/>
        <w:ind w:left="567" w:hanging="567"/>
        <w:rPr>
          <w:rFonts w:cstheme="minorHAnsi"/>
        </w:rPr>
      </w:pPr>
    </w:p>
    <w:p w14:paraId="7CED0119" w14:textId="3ADD794C" w:rsidR="002943D2" w:rsidRPr="000F7953" w:rsidRDefault="00515041" w:rsidP="000E3338">
      <w:pPr>
        <w:ind w:left="567" w:hanging="567"/>
        <w:rPr>
          <w:rFonts w:asciiTheme="minorHAnsi" w:hAnsiTheme="minorHAnsi" w:cstheme="minorHAnsi"/>
          <w:sz w:val="22"/>
          <w:szCs w:val="22"/>
        </w:rPr>
      </w:pPr>
      <w:r w:rsidRPr="000F7953">
        <w:rPr>
          <w:rFonts w:asciiTheme="minorHAnsi" w:hAnsiTheme="minorHAnsi" w:cstheme="minorHAnsi"/>
          <w:sz w:val="22"/>
          <w:szCs w:val="22"/>
        </w:rPr>
        <w:t>46.</w:t>
      </w:r>
      <w:r w:rsidRPr="000F7953">
        <w:rPr>
          <w:rFonts w:asciiTheme="minorHAnsi" w:hAnsiTheme="minorHAnsi" w:cstheme="minorHAnsi"/>
          <w:sz w:val="22"/>
          <w:szCs w:val="22"/>
        </w:rPr>
        <w:tab/>
        <w:t>Durante los tres últimos trienios se han cerrado los expedientes en aplicación del Artículo 3.2 correspondientes a 71 sitios. Para la COP15 hay 177 expedientes en aplicación del Artículo 3.2 que permanecen abiertos, lo que supone un aumento respecto a los 151 en el momento de la COP14. Para 88 de ellos, no ha habido actualizaciones desde 2019, y otros 35 no han sido actualizados desde 2023</w:t>
      </w:r>
      <w:r w:rsidR="003325CD" w:rsidRPr="000F7953">
        <w:rPr>
          <w:rStyle w:val="FootnoteReference"/>
          <w:rFonts w:asciiTheme="minorHAnsi" w:hAnsiTheme="minorHAnsi" w:cstheme="minorHAnsi"/>
          <w:sz w:val="22"/>
          <w:szCs w:val="22"/>
        </w:rPr>
        <w:footnoteReference w:id="7"/>
      </w:r>
      <w:r w:rsidRPr="000F7953">
        <w:rPr>
          <w:rFonts w:asciiTheme="minorHAnsi" w:hAnsiTheme="minorHAnsi" w:cstheme="minorHAnsi"/>
          <w:sz w:val="22"/>
          <w:szCs w:val="22"/>
        </w:rPr>
        <w:t xml:space="preserve">. </w:t>
      </w:r>
    </w:p>
    <w:p w14:paraId="122E01A3" w14:textId="77777777" w:rsidR="0064784D" w:rsidRPr="000F7953" w:rsidRDefault="0064784D" w:rsidP="000E3338">
      <w:pPr>
        <w:pStyle w:val="ListParagraph"/>
        <w:spacing w:after="0" w:line="240" w:lineRule="auto"/>
        <w:ind w:left="567" w:hanging="567"/>
        <w:rPr>
          <w:rFonts w:cstheme="minorHAnsi"/>
        </w:rPr>
      </w:pPr>
    </w:p>
    <w:p w14:paraId="073685F8" w14:textId="683E1C1E" w:rsidR="00641F4C" w:rsidRPr="000F7953" w:rsidRDefault="00515041" w:rsidP="000E3338">
      <w:pPr>
        <w:ind w:left="567" w:hanging="567"/>
        <w:rPr>
          <w:rFonts w:asciiTheme="minorHAnsi" w:hAnsiTheme="minorHAnsi" w:cstheme="minorHAnsi"/>
          <w:sz w:val="22"/>
          <w:szCs w:val="22"/>
        </w:rPr>
      </w:pPr>
      <w:r w:rsidRPr="000F7953">
        <w:rPr>
          <w:rFonts w:asciiTheme="minorHAnsi" w:hAnsiTheme="minorHAnsi" w:cstheme="minorHAnsi"/>
          <w:sz w:val="22"/>
          <w:szCs w:val="22"/>
        </w:rPr>
        <w:t>47.</w:t>
      </w:r>
      <w:r w:rsidRPr="000F7953">
        <w:rPr>
          <w:rFonts w:asciiTheme="minorHAnsi" w:hAnsiTheme="minorHAnsi" w:cstheme="minorHAnsi"/>
          <w:sz w:val="22"/>
          <w:szCs w:val="22"/>
        </w:rPr>
        <w:tab/>
        <w:t xml:space="preserve">El número de informes de terceros sobre cambios en las características ecológicas de Humedales de Importancia Internacional recibidos durante cada trienio ha variado entre 56 y 74, y se ha producido un ligero aumento en el nivel de confirmación de los informes de terceros por las Partes Contratantes. </w:t>
      </w:r>
    </w:p>
    <w:p w14:paraId="4D7758DA" w14:textId="77777777" w:rsidR="00C37594" w:rsidRPr="000F7953" w:rsidRDefault="00C37594" w:rsidP="000E3338">
      <w:pPr>
        <w:pStyle w:val="ListParagraph"/>
        <w:spacing w:after="0" w:line="240" w:lineRule="auto"/>
        <w:ind w:left="567" w:hanging="567"/>
        <w:rPr>
          <w:rFonts w:eastAsia="Times New Roman" w:cstheme="minorHAnsi"/>
          <w:lang w:eastAsia="en-GB"/>
        </w:rPr>
      </w:pPr>
    </w:p>
    <w:p w14:paraId="091D8CF8" w14:textId="0F11630B" w:rsidR="00247638" w:rsidRPr="000F7953" w:rsidRDefault="00515041" w:rsidP="000E3338">
      <w:pPr>
        <w:ind w:left="567" w:hanging="567"/>
        <w:rPr>
          <w:rFonts w:asciiTheme="minorHAnsi" w:hAnsiTheme="minorHAnsi" w:cstheme="minorHAnsi"/>
          <w:sz w:val="22"/>
          <w:szCs w:val="22"/>
        </w:rPr>
      </w:pPr>
      <w:r w:rsidRPr="000F7953">
        <w:rPr>
          <w:rFonts w:asciiTheme="minorHAnsi" w:hAnsiTheme="minorHAnsi" w:cstheme="minorHAnsi"/>
          <w:sz w:val="22"/>
          <w:szCs w:val="22"/>
        </w:rPr>
        <w:t>48.</w:t>
      </w:r>
      <w:r w:rsidRPr="000F7953">
        <w:rPr>
          <w:rFonts w:asciiTheme="minorHAnsi" w:hAnsiTheme="minorHAnsi" w:cstheme="minorHAnsi"/>
          <w:sz w:val="22"/>
          <w:szCs w:val="22"/>
        </w:rPr>
        <w:tab/>
        <w:t xml:space="preserve">En los últimos tres trienios solo se ha retirado un Humedal de Importancia Internacional del Registro de Montreux, que ahora incluye 46 Sitios. Pocas Partes Contratantes han informado de la adopción de medidas para hacer frente a los problemas por los cuales los sitios fueron incluidos en el Registro. </w:t>
      </w:r>
    </w:p>
    <w:p w14:paraId="76F6062C" w14:textId="77777777" w:rsidR="00A24E62" w:rsidRPr="000F7953" w:rsidRDefault="00A24E62" w:rsidP="00A338FF">
      <w:pPr>
        <w:rPr>
          <w:rFonts w:asciiTheme="minorHAnsi" w:hAnsiTheme="minorHAnsi" w:cstheme="minorHAnsi"/>
        </w:rPr>
      </w:pPr>
    </w:p>
    <w:p w14:paraId="1DE63E81" w14:textId="77777777" w:rsidR="00461A6A" w:rsidRPr="000F7953" w:rsidRDefault="00461A6A" w:rsidP="00A338FF">
      <w:pPr>
        <w:rPr>
          <w:rFonts w:asciiTheme="minorHAnsi" w:hAnsiTheme="minorHAnsi" w:cstheme="minorHAnsi"/>
        </w:rPr>
      </w:pPr>
    </w:p>
    <w:p w14:paraId="03CE4D13" w14:textId="77777777" w:rsidR="002A6998" w:rsidRPr="000F7953" w:rsidRDefault="002A6998" w:rsidP="00D1463B">
      <w:pPr>
        <w:keepNext/>
        <w:rPr>
          <w:rFonts w:asciiTheme="minorHAnsi" w:hAnsiTheme="minorHAnsi" w:cstheme="minorHAnsi"/>
          <w:b/>
          <w:sz w:val="22"/>
          <w:szCs w:val="22"/>
        </w:rPr>
      </w:pPr>
      <w:r w:rsidRPr="000F7953">
        <w:rPr>
          <w:rFonts w:asciiTheme="minorHAnsi" w:hAnsiTheme="minorHAnsi" w:cstheme="minorHAnsi"/>
          <w:b/>
          <w:sz w:val="22"/>
          <w:szCs w:val="22"/>
        </w:rPr>
        <w:t>Objetivo 3: Realizar un uso racional de todos los humedales</w:t>
      </w:r>
    </w:p>
    <w:p w14:paraId="1D44224F" w14:textId="77777777" w:rsidR="00AF4F64" w:rsidRPr="000F7953" w:rsidRDefault="00AF4F64" w:rsidP="00D1463B">
      <w:pPr>
        <w:keepNext/>
        <w:rPr>
          <w:rFonts w:asciiTheme="minorHAnsi" w:hAnsiTheme="minorHAnsi" w:cstheme="minorHAnsi"/>
          <w:sz w:val="22"/>
          <w:szCs w:val="22"/>
          <w:u w:val="single"/>
          <w:lang w:eastAsia="fr-FR"/>
        </w:rPr>
      </w:pPr>
    </w:p>
    <w:tbl>
      <w:tblPr>
        <w:tblStyle w:val="TableGrid16"/>
        <w:tblW w:w="9354" w:type="dxa"/>
        <w:tblLook w:val="04A0" w:firstRow="1" w:lastRow="0" w:firstColumn="1" w:lastColumn="0" w:noHBand="0" w:noVBand="1"/>
      </w:tblPr>
      <w:tblGrid>
        <w:gridCol w:w="9354"/>
      </w:tblGrid>
      <w:tr w:rsidR="002F4351" w:rsidRPr="000F7953" w14:paraId="4A353156" w14:textId="77777777" w:rsidTr="003E56FD">
        <w:tc>
          <w:tcPr>
            <w:tcW w:w="9354" w:type="dxa"/>
            <w:vAlign w:val="center"/>
          </w:tcPr>
          <w:p w14:paraId="1E8BE9BC" w14:textId="2F7E4F7C" w:rsidR="002F4351" w:rsidRPr="000F7953" w:rsidRDefault="002F4351" w:rsidP="008A3659">
            <w:pPr>
              <w:keepNext/>
              <w:spacing w:before="120" w:after="120"/>
              <w:rPr>
                <w:rFonts w:asciiTheme="minorHAnsi" w:hAnsiTheme="minorHAnsi" w:cstheme="minorHAnsi"/>
                <w:b/>
                <w:sz w:val="22"/>
                <w:szCs w:val="22"/>
              </w:rPr>
            </w:pPr>
            <w:r w:rsidRPr="000F7953">
              <w:rPr>
                <w:rFonts w:asciiTheme="minorHAnsi" w:hAnsiTheme="minorHAnsi" w:cstheme="minorHAnsi"/>
                <w:b/>
                <w:sz w:val="22"/>
                <w:szCs w:val="22"/>
              </w:rPr>
              <w:t>Meta 8. Se han iniciado, completado o actualizado, divulgado y utilizado inventarios nacionales de humedales para promover la conservación y el manejo eficaz de todos los humedales.</w:t>
            </w:r>
          </w:p>
          <w:p w14:paraId="0158E426" w14:textId="1BBC0ACF" w:rsidR="002F4351" w:rsidRPr="000F7953" w:rsidRDefault="00AB605D" w:rsidP="008A3659">
            <w:pPr>
              <w:keepNext/>
              <w:spacing w:before="120" w:after="120"/>
              <w:rPr>
                <w:rFonts w:asciiTheme="minorHAnsi" w:hAnsiTheme="minorHAnsi" w:cstheme="minorHAnsi"/>
                <w:bCs/>
                <w:sz w:val="22"/>
                <w:szCs w:val="22"/>
              </w:rPr>
            </w:pPr>
            <w:r w:rsidRPr="000F7953">
              <w:rPr>
                <w:rFonts w:asciiTheme="minorHAnsi" w:hAnsiTheme="minorHAnsi" w:cstheme="minorHAnsi"/>
                <w:bCs/>
                <w:sz w:val="22"/>
                <w:szCs w:val="22"/>
              </w:rPr>
              <w:t>Contribuye a las metas 1, 2, 3, 4, 6 y 21 del MMB-KM; y a las metas 6.6, 11.4, 14.5 y 15.1 de los ODS.</w:t>
            </w:r>
          </w:p>
        </w:tc>
      </w:tr>
    </w:tbl>
    <w:p w14:paraId="77212BF1" w14:textId="77777777" w:rsidR="00AE5163" w:rsidRPr="000F7953" w:rsidRDefault="00AE5163" w:rsidP="00D1463B">
      <w:pPr>
        <w:keepNext/>
        <w:rPr>
          <w:rFonts w:asciiTheme="minorHAnsi" w:hAnsiTheme="minorHAnsi" w:cstheme="minorHAnsi"/>
          <w:b/>
          <w:bCs/>
          <w:sz w:val="22"/>
          <w:szCs w:val="22"/>
        </w:rPr>
      </w:pPr>
    </w:p>
    <w:p w14:paraId="4D015C14" w14:textId="0993689E" w:rsidR="004504BD" w:rsidRPr="000F7953" w:rsidRDefault="004504BD" w:rsidP="00D1463B">
      <w:pPr>
        <w:keepNext/>
        <w:rPr>
          <w:rFonts w:asciiTheme="minorHAnsi" w:hAnsiTheme="minorHAnsi" w:cstheme="minorHAnsi"/>
          <w:i/>
          <w:iCs/>
          <w:sz w:val="22"/>
          <w:szCs w:val="22"/>
          <w:u w:val="single"/>
        </w:rPr>
      </w:pPr>
      <w:r w:rsidRPr="000F7953">
        <w:rPr>
          <w:rFonts w:asciiTheme="minorHAnsi" w:hAnsiTheme="minorHAnsi" w:cstheme="minorHAnsi"/>
          <w:i/>
          <w:iCs/>
          <w:sz w:val="22"/>
          <w:szCs w:val="22"/>
          <w:u w:val="single"/>
        </w:rPr>
        <w:t xml:space="preserve">Mensaje clave </w:t>
      </w:r>
    </w:p>
    <w:p w14:paraId="1B0A7A60" w14:textId="77777777" w:rsidR="00F207B9" w:rsidRPr="000F7953" w:rsidRDefault="00F207B9" w:rsidP="00D1463B">
      <w:pPr>
        <w:keepNext/>
        <w:rPr>
          <w:rFonts w:asciiTheme="minorHAnsi" w:hAnsiTheme="minorHAnsi" w:cstheme="minorHAnsi"/>
          <w:sz w:val="22"/>
          <w:szCs w:val="22"/>
        </w:rPr>
      </w:pPr>
    </w:p>
    <w:p w14:paraId="5E7A2148" w14:textId="6A5D33C9" w:rsidR="00ED731D" w:rsidRPr="000F7953" w:rsidRDefault="002E1E29" w:rsidP="000E3338">
      <w:pPr>
        <w:ind w:left="567" w:hanging="567"/>
        <w:rPr>
          <w:rFonts w:asciiTheme="minorHAnsi" w:hAnsiTheme="minorHAnsi" w:cstheme="minorHAnsi"/>
          <w:sz w:val="22"/>
          <w:szCs w:val="22"/>
        </w:rPr>
      </w:pPr>
      <w:r w:rsidRPr="000F7953">
        <w:rPr>
          <w:rFonts w:asciiTheme="minorHAnsi" w:hAnsiTheme="minorHAnsi" w:cstheme="minorHAnsi"/>
          <w:sz w:val="22"/>
          <w:szCs w:val="22"/>
        </w:rPr>
        <w:t>49.</w:t>
      </w:r>
      <w:r w:rsidRPr="000F7953">
        <w:rPr>
          <w:rFonts w:asciiTheme="minorHAnsi" w:hAnsiTheme="minorHAnsi" w:cstheme="minorHAnsi"/>
          <w:sz w:val="22"/>
          <w:szCs w:val="22"/>
        </w:rPr>
        <w:tab/>
        <w:t xml:space="preserve">Aunque cada vez son más las Partes Contratantes que proporcionan datos sobre la extensión de los humedales en los informes nacionales, se ha avanzado poco en la elaboración y actualización de los inventarios nacionales de humedales (INH). Muchas Partes informan de inventarios incompletos, actualizaciones poco frecuentes y acceso público limitado a los datos sobre humedales. Esto limita el uso de los INH en la promoción de la conservación y la gestión eficaz de los humedales, así como en la presentación de informes en el marco de la Convención y en relación con otros objetivos y metas mundiales.  </w:t>
      </w:r>
    </w:p>
    <w:p w14:paraId="3F0C59A5" w14:textId="77777777" w:rsidR="00FB380C" w:rsidRPr="000F7953" w:rsidRDefault="00FB380C" w:rsidP="00CD3F6B">
      <w:pPr>
        <w:rPr>
          <w:rFonts w:asciiTheme="minorHAnsi" w:hAnsiTheme="minorHAnsi" w:cstheme="minorHAnsi"/>
          <w:b/>
          <w:bCs/>
          <w:sz w:val="22"/>
          <w:szCs w:val="22"/>
        </w:rPr>
      </w:pPr>
    </w:p>
    <w:tbl>
      <w:tblPr>
        <w:tblStyle w:val="TableGrid27"/>
        <w:tblW w:w="9353" w:type="dxa"/>
        <w:tblLook w:val="04A0" w:firstRow="1" w:lastRow="0" w:firstColumn="1" w:lastColumn="0" w:noHBand="0" w:noVBand="1"/>
      </w:tblPr>
      <w:tblGrid>
        <w:gridCol w:w="3982"/>
        <w:gridCol w:w="1277"/>
        <w:gridCol w:w="848"/>
        <w:gridCol w:w="848"/>
        <w:gridCol w:w="848"/>
        <w:gridCol w:w="1550"/>
      </w:tblGrid>
      <w:tr w:rsidR="00107172" w:rsidRPr="000F7953" w14:paraId="7FB92E61" w14:textId="77777777" w:rsidTr="00195D2D">
        <w:trPr>
          <w:cantSplit/>
        </w:trPr>
        <w:tc>
          <w:tcPr>
            <w:tcW w:w="4106" w:type="dxa"/>
            <w:vAlign w:val="center"/>
            <w:hideMark/>
          </w:tcPr>
          <w:p w14:paraId="2C4B916E" w14:textId="77777777" w:rsidR="00107172" w:rsidRPr="000F7953" w:rsidRDefault="00107172"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Indicador</w:t>
            </w:r>
          </w:p>
        </w:tc>
        <w:tc>
          <w:tcPr>
            <w:tcW w:w="1141" w:type="dxa"/>
            <w:vAlign w:val="center"/>
            <w:hideMark/>
          </w:tcPr>
          <w:p w14:paraId="0C582C3D" w14:textId="566B6F66" w:rsidR="0091225F" w:rsidRPr="000F7953" w:rsidRDefault="0091225F"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Referencia</w:t>
            </w:r>
          </w:p>
        </w:tc>
        <w:tc>
          <w:tcPr>
            <w:tcW w:w="849" w:type="dxa"/>
            <w:vAlign w:val="center"/>
            <w:hideMark/>
          </w:tcPr>
          <w:p w14:paraId="2DA5DEBA" w14:textId="77777777" w:rsidR="00107172" w:rsidRPr="000F7953" w:rsidRDefault="00107172"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COP13</w:t>
            </w:r>
          </w:p>
        </w:tc>
        <w:tc>
          <w:tcPr>
            <w:tcW w:w="849" w:type="dxa"/>
            <w:vAlign w:val="center"/>
            <w:hideMark/>
          </w:tcPr>
          <w:p w14:paraId="4F5E52BF" w14:textId="77777777" w:rsidR="00107172" w:rsidRPr="000F7953" w:rsidRDefault="00107172"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COP14</w:t>
            </w:r>
          </w:p>
        </w:tc>
        <w:tc>
          <w:tcPr>
            <w:tcW w:w="849" w:type="dxa"/>
            <w:vAlign w:val="center"/>
            <w:hideMark/>
          </w:tcPr>
          <w:p w14:paraId="709946AB" w14:textId="77777777" w:rsidR="00107172" w:rsidRPr="000F7953" w:rsidRDefault="00107172"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COP15</w:t>
            </w:r>
          </w:p>
        </w:tc>
        <w:tc>
          <w:tcPr>
            <w:tcW w:w="1559" w:type="dxa"/>
            <w:vAlign w:val="center"/>
            <w:hideMark/>
          </w:tcPr>
          <w:p w14:paraId="433913CB" w14:textId="77777777" w:rsidR="00107172" w:rsidRPr="000F7953" w:rsidRDefault="00107172"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Tendencia</w:t>
            </w:r>
          </w:p>
        </w:tc>
      </w:tr>
      <w:tr w:rsidR="00107172" w:rsidRPr="000F7953" w14:paraId="3089AD20" w14:textId="77777777" w:rsidTr="00195D2D">
        <w:trPr>
          <w:cantSplit/>
        </w:trPr>
        <w:tc>
          <w:tcPr>
            <w:tcW w:w="4106" w:type="dxa"/>
          </w:tcPr>
          <w:p w14:paraId="7E35450F" w14:textId="77777777" w:rsidR="00107172" w:rsidRPr="000F7953" w:rsidRDefault="00107172" w:rsidP="00CD3F6B">
            <w:pPr>
              <w:rPr>
                <w:rFonts w:asciiTheme="minorHAnsi" w:eastAsia="Aptos" w:hAnsiTheme="minorHAnsi" w:cstheme="minorHAnsi"/>
                <w:sz w:val="22"/>
                <w:szCs w:val="22"/>
              </w:rPr>
            </w:pPr>
            <w:r w:rsidRPr="000F7953">
              <w:rPr>
                <w:rFonts w:asciiTheme="minorHAnsi" w:hAnsiTheme="minorHAnsi" w:cstheme="minorHAnsi"/>
                <w:sz w:val="22"/>
                <w:szCs w:val="22"/>
              </w:rPr>
              <w:t>Porcentaje de Partes que disponen de inventarios nacionales de humedales completos.</w:t>
            </w:r>
          </w:p>
        </w:tc>
        <w:tc>
          <w:tcPr>
            <w:tcW w:w="1141" w:type="dxa"/>
          </w:tcPr>
          <w:p w14:paraId="166F8F37" w14:textId="488F683F" w:rsidR="00107172" w:rsidRPr="000F7953" w:rsidRDefault="00107172" w:rsidP="00195D2D">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47</w:t>
            </w:r>
            <w:r w:rsidR="005601CD" w:rsidRPr="000F7953">
              <w:rPr>
                <w:rFonts w:asciiTheme="minorHAnsi" w:hAnsiTheme="minorHAnsi" w:cstheme="minorHAnsi"/>
                <w:b/>
                <w:bCs/>
                <w:sz w:val="22"/>
                <w:szCs w:val="22"/>
              </w:rPr>
              <w:t> %</w:t>
            </w:r>
          </w:p>
        </w:tc>
        <w:tc>
          <w:tcPr>
            <w:tcW w:w="849" w:type="dxa"/>
          </w:tcPr>
          <w:p w14:paraId="50D5F3AA" w14:textId="3095C724" w:rsidR="00107172" w:rsidRPr="000F7953" w:rsidRDefault="00107172" w:rsidP="00195D2D">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44</w:t>
            </w:r>
            <w:r w:rsidR="005601CD" w:rsidRPr="000F7953">
              <w:rPr>
                <w:rFonts w:asciiTheme="minorHAnsi" w:hAnsiTheme="minorHAnsi" w:cstheme="minorHAnsi"/>
                <w:b/>
                <w:bCs/>
                <w:sz w:val="22"/>
                <w:szCs w:val="22"/>
              </w:rPr>
              <w:t> %</w:t>
            </w:r>
          </w:p>
        </w:tc>
        <w:tc>
          <w:tcPr>
            <w:tcW w:w="849" w:type="dxa"/>
          </w:tcPr>
          <w:p w14:paraId="3AF1B3EC" w14:textId="57CB1694" w:rsidR="00107172" w:rsidRPr="000F7953" w:rsidRDefault="00107172" w:rsidP="00195D2D">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46</w:t>
            </w:r>
            <w:r w:rsidR="005601CD" w:rsidRPr="000F7953">
              <w:rPr>
                <w:rFonts w:asciiTheme="minorHAnsi" w:hAnsiTheme="minorHAnsi" w:cstheme="minorHAnsi"/>
                <w:b/>
                <w:bCs/>
                <w:sz w:val="22"/>
                <w:szCs w:val="22"/>
              </w:rPr>
              <w:t> %</w:t>
            </w:r>
          </w:p>
        </w:tc>
        <w:tc>
          <w:tcPr>
            <w:tcW w:w="849" w:type="dxa"/>
          </w:tcPr>
          <w:p w14:paraId="6590458A" w14:textId="720CD7CE" w:rsidR="00107172" w:rsidRPr="000F7953" w:rsidRDefault="00107172" w:rsidP="00195D2D">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47</w:t>
            </w:r>
            <w:r w:rsidR="005601CD" w:rsidRPr="000F7953">
              <w:rPr>
                <w:rFonts w:asciiTheme="minorHAnsi" w:hAnsiTheme="minorHAnsi" w:cstheme="minorHAnsi"/>
                <w:b/>
                <w:bCs/>
                <w:sz w:val="22"/>
                <w:szCs w:val="22"/>
              </w:rPr>
              <w:t> %</w:t>
            </w:r>
          </w:p>
        </w:tc>
        <w:tc>
          <w:tcPr>
            <w:tcW w:w="1559" w:type="dxa"/>
          </w:tcPr>
          <w:p w14:paraId="6AC8B30B" w14:textId="1365A360" w:rsidR="00107172" w:rsidRPr="000F7953" w:rsidRDefault="00103ABA" w:rsidP="00CD3F6B">
            <w:pPr>
              <w:rPr>
                <w:rFonts w:asciiTheme="minorHAnsi" w:eastAsia="Aptos" w:hAnsiTheme="minorHAnsi" w:cstheme="minorHAnsi"/>
                <w:sz w:val="22"/>
                <w:szCs w:val="22"/>
              </w:rPr>
            </w:pPr>
            <w:r w:rsidRPr="000F7953">
              <w:rPr>
                <w:rFonts w:asciiTheme="minorHAnsi" w:hAnsiTheme="minorHAnsi" w:cstheme="minorHAnsi"/>
                <w:noProof/>
                <w:sz w:val="22"/>
                <w:szCs w:val="22"/>
              </w:rPr>
              <w:drawing>
                <wp:inline distT="0" distB="0" distL="0" distR="0" wp14:anchorId="4F713C47" wp14:editId="493E2176">
                  <wp:extent cx="712200" cy="432000"/>
                  <wp:effectExtent l="0" t="0" r="0" b="0"/>
                  <wp:docPr id="188432922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107172" w:rsidRPr="000F7953" w14:paraId="00412DA0" w14:textId="77777777" w:rsidTr="00195D2D">
        <w:trPr>
          <w:cantSplit/>
        </w:trPr>
        <w:tc>
          <w:tcPr>
            <w:tcW w:w="4106" w:type="dxa"/>
          </w:tcPr>
          <w:p w14:paraId="2CC36F7B" w14:textId="77777777" w:rsidR="00107172" w:rsidRPr="000F7953" w:rsidRDefault="00107172" w:rsidP="00CD3F6B">
            <w:pPr>
              <w:rPr>
                <w:rFonts w:asciiTheme="minorHAnsi" w:eastAsia="Aptos" w:hAnsiTheme="minorHAnsi" w:cstheme="minorHAnsi"/>
                <w:sz w:val="22"/>
                <w:szCs w:val="22"/>
              </w:rPr>
            </w:pPr>
            <w:r w:rsidRPr="000F7953">
              <w:rPr>
                <w:rFonts w:asciiTheme="minorHAnsi" w:hAnsiTheme="minorHAnsi" w:cstheme="minorHAnsi"/>
                <w:sz w:val="22"/>
                <w:szCs w:val="22"/>
              </w:rPr>
              <w:lastRenderedPageBreak/>
              <w:t>Porcentaje de Partes que han actualizado sus inventarios nacionales en el último decenio.</w:t>
            </w:r>
          </w:p>
        </w:tc>
        <w:tc>
          <w:tcPr>
            <w:tcW w:w="1141" w:type="dxa"/>
          </w:tcPr>
          <w:p w14:paraId="5676F92C" w14:textId="42FDFF59" w:rsidR="00107172" w:rsidRPr="000F7953" w:rsidRDefault="006F4821" w:rsidP="00195D2D">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No disponible*</w:t>
            </w:r>
          </w:p>
        </w:tc>
        <w:tc>
          <w:tcPr>
            <w:tcW w:w="849" w:type="dxa"/>
          </w:tcPr>
          <w:p w14:paraId="2D42035F" w14:textId="6B21F7D0" w:rsidR="00107172" w:rsidRPr="000F7953" w:rsidRDefault="00107172" w:rsidP="00195D2D">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29</w:t>
            </w:r>
            <w:r w:rsidR="005601CD" w:rsidRPr="000F7953">
              <w:rPr>
                <w:rFonts w:asciiTheme="minorHAnsi" w:hAnsiTheme="minorHAnsi" w:cstheme="minorHAnsi"/>
                <w:b/>
                <w:bCs/>
                <w:sz w:val="22"/>
                <w:szCs w:val="22"/>
              </w:rPr>
              <w:t> %</w:t>
            </w:r>
          </w:p>
        </w:tc>
        <w:tc>
          <w:tcPr>
            <w:tcW w:w="849" w:type="dxa"/>
          </w:tcPr>
          <w:p w14:paraId="58882D0D" w14:textId="7DB2B797" w:rsidR="00107172" w:rsidRPr="000F7953" w:rsidRDefault="00107172" w:rsidP="00195D2D">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33</w:t>
            </w:r>
            <w:r w:rsidR="005601CD" w:rsidRPr="000F7953">
              <w:rPr>
                <w:rFonts w:asciiTheme="minorHAnsi" w:hAnsiTheme="minorHAnsi" w:cstheme="minorHAnsi"/>
                <w:b/>
                <w:bCs/>
                <w:sz w:val="22"/>
                <w:szCs w:val="22"/>
              </w:rPr>
              <w:t> %</w:t>
            </w:r>
          </w:p>
        </w:tc>
        <w:tc>
          <w:tcPr>
            <w:tcW w:w="849" w:type="dxa"/>
          </w:tcPr>
          <w:p w14:paraId="7B3527E2" w14:textId="6D980E81" w:rsidR="00107172" w:rsidRPr="000F7953" w:rsidRDefault="00107172" w:rsidP="00195D2D">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32</w:t>
            </w:r>
            <w:r w:rsidR="005601CD" w:rsidRPr="000F7953">
              <w:rPr>
                <w:rFonts w:asciiTheme="minorHAnsi" w:hAnsiTheme="minorHAnsi" w:cstheme="minorHAnsi"/>
                <w:b/>
                <w:bCs/>
                <w:sz w:val="22"/>
                <w:szCs w:val="22"/>
              </w:rPr>
              <w:t> %</w:t>
            </w:r>
          </w:p>
        </w:tc>
        <w:tc>
          <w:tcPr>
            <w:tcW w:w="1559" w:type="dxa"/>
          </w:tcPr>
          <w:p w14:paraId="4147F2FA" w14:textId="5372CB7D" w:rsidR="00107172" w:rsidRPr="000F7953" w:rsidRDefault="005A512C" w:rsidP="00CD3F6B">
            <w:pPr>
              <w:rPr>
                <w:rFonts w:asciiTheme="minorHAnsi" w:eastAsia="Aptos" w:hAnsiTheme="minorHAnsi" w:cstheme="minorHAnsi"/>
                <w:sz w:val="22"/>
                <w:szCs w:val="22"/>
              </w:rPr>
            </w:pPr>
            <w:r w:rsidRPr="000F7953">
              <w:rPr>
                <w:rFonts w:asciiTheme="minorHAnsi" w:hAnsiTheme="minorHAnsi" w:cstheme="minorHAnsi"/>
                <w:sz w:val="22"/>
                <w:szCs w:val="22"/>
              </w:rPr>
              <w:t xml:space="preserve">     </w:t>
            </w:r>
            <w:r w:rsidRPr="000F7953">
              <w:rPr>
                <w:rFonts w:asciiTheme="minorHAnsi" w:hAnsiTheme="minorHAnsi" w:cstheme="minorHAnsi"/>
                <w:noProof/>
              </w:rPr>
              <w:drawing>
                <wp:inline distT="0" distB="0" distL="0" distR="0" wp14:anchorId="28864414" wp14:editId="3F81562C">
                  <wp:extent cx="415800" cy="432000"/>
                  <wp:effectExtent l="0" t="0" r="3810" b="0"/>
                  <wp:docPr id="50725692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15800" cy="432000"/>
                          </a:xfrm>
                          <a:prstGeom prst="rect">
                            <a:avLst/>
                          </a:prstGeom>
                          <a:noFill/>
                          <a:ln>
                            <a:noFill/>
                          </a:ln>
                        </pic:spPr>
                      </pic:pic>
                    </a:graphicData>
                  </a:graphic>
                </wp:inline>
              </w:drawing>
            </w:r>
          </w:p>
        </w:tc>
      </w:tr>
    </w:tbl>
    <w:p w14:paraId="324C9AC4" w14:textId="3D8E2FAD" w:rsidR="00BC742A" w:rsidRPr="000F7953" w:rsidRDefault="00664D9F" w:rsidP="00CD3F6B">
      <w:pPr>
        <w:rPr>
          <w:rFonts w:asciiTheme="minorHAnsi" w:hAnsiTheme="minorHAnsi" w:cstheme="minorHAnsi"/>
          <w:sz w:val="22"/>
          <w:szCs w:val="22"/>
        </w:rPr>
      </w:pPr>
      <w:r w:rsidRPr="000F7953">
        <w:rPr>
          <w:rFonts w:asciiTheme="minorHAnsi" w:hAnsiTheme="minorHAnsi" w:cstheme="minorHAnsi"/>
          <w:sz w:val="22"/>
          <w:szCs w:val="22"/>
        </w:rPr>
        <w:t>* Valores de referencia no definidos en PE4, pregunta añadida al formulario de informe nacional a partir de la COP13.</w:t>
      </w:r>
    </w:p>
    <w:p w14:paraId="2AD65E82" w14:textId="77777777" w:rsidR="00664D9F" w:rsidRPr="000F7953" w:rsidRDefault="00664D9F" w:rsidP="00CD3F6B">
      <w:pPr>
        <w:rPr>
          <w:rFonts w:asciiTheme="minorHAnsi" w:hAnsiTheme="minorHAnsi" w:cstheme="minorHAnsi"/>
          <w:b/>
          <w:bCs/>
          <w:sz w:val="22"/>
          <w:szCs w:val="22"/>
        </w:rPr>
      </w:pPr>
    </w:p>
    <w:p w14:paraId="2B9CFCB8" w14:textId="051D7A82" w:rsidR="007354A9" w:rsidRPr="000F7953" w:rsidRDefault="00616B5C" w:rsidP="00D1463B">
      <w:pPr>
        <w:keepNext/>
        <w:rPr>
          <w:rFonts w:asciiTheme="minorHAnsi" w:hAnsiTheme="minorHAnsi" w:cstheme="minorHAnsi"/>
          <w:i/>
          <w:iCs/>
          <w:sz w:val="22"/>
          <w:szCs w:val="22"/>
          <w:u w:val="single"/>
        </w:rPr>
      </w:pPr>
      <w:r w:rsidRPr="000F7953">
        <w:rPr>
          <w:rFonts w:asciiTheme="minorHAnsi" w:hAnsiTheme="minorHAnsi" w:cstheme="minorHAnsi"/>
          <w:i/>
          <w:iCs/>
          <w:sz w:val="22"/>
          <w:szCs w:val="22"/>
          <w:u w:val="single"/>
        </w:rPr>
        <w:t xml:space="preserve">Resumen de los progresos realizados </w:t>
      </w:r>
    </w:p>
    <w:p w14:paraId="7260CA7B" w14:textId="77777777" w:rsidR="00461A6A" w:rsidRPr="000F7953" w:rsidRDefault="00461A6A" w:rsidP="00D1463B">
      <w:pPr>
        <w:keepNext/>
        <w:rPr>
          <w:rFonts w:asciiTheme="minorHAnsi" w:hAnsiTheme="minorHAnsi" w:cstheme="minorHAnsi"/>
          <w:b/>
          <w:bCs/>
          <w:sz w:val="22"/>
          <w:szCs w:val="22"/>
        </w:rPr>
      </w:pPr>
    </w:p>
    <w:p w14:paraId="64C931F6" w14:textId="05252331" w:rsidR="00F30BE2" w:rsidRPr="000F7953" w:rsidRDefault="00515041" w:rsidP="000E3338">
      <w:pPr>
        <w:ind w:left="567" w:hanging="567"/>
        <w:rPr>
          <w:rFonts w:asciiTheme="minorHAnsi" w:hAnsiTheme="minorHAnsi" w:cstheme="minorHAnsi"/>
          <w:sz w:val="22"/>
          <w:szCs w:val="22"/>
        </w:rPr>
      </w:pPr>
      <w:r w:rsidRPr="000F7953">
        <w:rPr>
          <w:rFonts w:asciiTheme="minorHAnsi" w:hAnsiTheme="minorHAnsi" w:cstheme="minorHAnsi"/>
          <w:sz w:val="22"/>
          <w:szCs w:val="22"/>
        </w:rPr>
        <w:t>50.</w:t>
      </w:r>
      <w:r w:rsidRPr="000F7953">
        <w:rPr>
          <w:rFonts w:asciiTheme="minorHAnsi" w:hAnsiTheme="minorHAnsi" w:cstheme="minorHAnsi"/>
          <w:sz w:val="22"/>
          <w:szCs w:val="22"/>
        </w:rPr>
        <w:tab/>
        <w:t>Para la COP15, el 47</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de las Partes Contratantes declararan tener un INH, el mismo nivel que la referencia establecida en el PE4. Del mismo modo, el porcentaje de Partes que declaran estar elaborando un INH se ha mantenido prácticamente invariable, ligeramente por debajo del 30</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Sin embargo, se observa un aumento de las Partes que tienen previsto desarrollar un INH, con un 11</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en el momento de la COP15, frente al 5</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al inicio del periodo cubierto por el PE4. Un tercio de las Partes que disponen de un INM informan que lo han actualizado en el último decenio, y una quinta parte informa que se está realizando una actualización. Poco más de la mitad de las Partes ponen a disposición del público los datos y la información de los INH, y una quinta parte lo hace parcialmente. </w:t>
      </w:r>
    </w:p>
    <w:p w14:paraId="158E8735" w14:textId="77777777" w:rsidR="00F30BE2" w:rsidRPr="000F7953" w:rsidRDefault="00F30BE2" w:rsidP="000E3338">
      <w:pPr>
        <w:ind w:left="567" w:hanging="567"/>
        <w:rPr>
          <w:rFonts w:asciiTheme="minorHAnsi" w:hAnsiTheme="minorHAnsi" w:cstheme="minorHAnsi"/>
          <w:sz w:val="22"/>
          <w:szCs w:val="22"/>
        </w:rPr>
      </w:pPr>
    </w:p>
    <w:p w14:paraId="26F24A40" w14:textId="21CBC3B3" w:rsidR="0042042A" w:rsidRPr="000F7953" w:rsidRDefault="00515041" w:rsidP="000E3338">
      <w:pPr>
        <w:ind w:left="567" w:hanging="567"/>
        <w:rPr>
          <w:rFonts w:asciiTheme="minorHAnsi" w:hAnsiTheme="minorHAnsi" w:cstheme="minorHAnsi"/>
          <w:sz w:val="22"/>
          <w:szCs w:val="22"/>
        </w:rPr>
      </w:pPr>
      <w:r w:rsidRPr="000F7953">
        <w:rPr>
          <w:rFonts w:asciiTheme="minorHAnsi" w:hAnsiTheme="minorHAnsi" w:cstheme="minorHAnsi"/>
          <w:sz w:val="22"/>
          <w:szCs w:val="22"/>
        </w:rPr>
        <w:t>51.</w:t>
      </w:r>
      <w:r w:rsidRPr="000F7953">
        <w:rPr>
          <w:rFonts w:asciiTheme="minorHAnsi" w:hAnsiTheme="minorHAnsi" w:cstheme="minorHAnsi"/>
          <w:sz w:val="22"/>
          <w:szCs w:val="22"/>
        </w:rPr>
        <w:tab/>
        <w:t>Existen notables diferencias entre regiones. La proporción de Partes Contratantes con INH es mayor en Asia (65</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en la mayoría de las demás regiones se sitúa alrededor del 50</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y es notablemente inferior en África (33</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w:t>
      </w:r>
    </w:p>
    <w:p w14:paraId="1C78A16D" w14:textId="75838E45" w:rsidR="003F1DE0" w:rsidRPr="000F7953" w:rsidRDefault="003F1DE0" w:rsidP="000E3338">
      <w:pPr>
        <w:ind w:left="567" w:hanging="567"/>
        <w:rPr>
          <w:rFonts w:asciiTheme="minorHAnsi" w:hAnsiTheme="minorHAnsi" w:cstheme="minorHAnsi"/>
          <w:sz w:val="22"/>
          <w:szCs w:val="22"/>
        </w:rPr>
      </w:pPr>
    </w:p>
    <w:p w14:paraId="5AC58ECE" w14:textId="2554034A" w:rsidR="00AB47AE" w:rsidRPr="000F7953" w:rsidRDefault="00515041" w:rsidP="000E3338">
      <w:pPr>
        <w:ind w:left="567" w:hanging="567"/>
        <w:rPr>
          <w:rFonts w:asciiTheme="minorHAnsi" w:hAnsiTheme="minorHAnsi" w:cstheme="minorHAnsi"/>
          <w:sz w:val="22"/>
          <w:szCs w:val="22"/>
        </w:rPr>
      </w:pPr>
      <w:r w:rsidRPr="000F7953">
        <w:rPr>
          <w:rFonts w:asciiTheme="minorHAnsi" w:hAnsiTheme="minorHAnsi" w:cstheme="minorHAnsi"/>
          <w:sz w:val="22"/>
          <w:szCs w:val="22"/>
        </w:rPr>
        <w:t>52.</w:t>
      </w:r>
      <w:r w:rsidRPr="000F7953">
        <w:rPr>
          <w:rFonts w:asciiTheme="minorHAnsi" w:hAnsiTheme="minorHAnsi" w:cstheme="minorHAnsi"/>
          <w:sz w:val="22"/>
          <w:szCs w:val="22"/>
        </w:rPr>
        <w:tab/>
        <w:t>La proporción de Partes Contratantes que comunican una cifra específica de la extensión de los humedales en kilómetros cuadrados basada en los INH ha aumentado notablemente, pasando del 31</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para la COP13 al 56</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para la COP15. Sin embargo, el 30</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de las Partes señalan que desconocen la extensión del área de humedales; esta proporción se ha mantenido prácticamente igual a lo largo de tres trienios. Para la COP15, solo 31 Partes proporcionan datos sobre la extensión de los humedales para los dos tipos principales de humedales (continentales y artificiales) que se solicitan para el indicador 6.6.1 de los ODS. Cinco Partes informan que utilizan la superficie de sus Humedales de Importancia Internacional como valor de sustitución para la extensión de los humedales.</w:t>
      </w:r>
    </w:p>
    <w:p w14:paraId="68044AA0" w14:textId="77777777" w:rsidR="00AB47AE" w:rsidRPr="000F7953" w:rsidRDefault="00AB47AE" w:rsidP="000E3338">
      <w:pPr>
        <w:ind w:left="567" w:hanging="567"/>
        <w:rPr>
          <w:rFonts w:asciiTheme="minorHAnsi" w:hAnsiTheme="minorHAnsi" w:cstheme="minorHAnsi"/>
          <w:sz w:val="22"/>
          <w:szCs w:val="22"/>
        </w:rPr>
      </w:pPr>
    </w:p>
    <w:p w14:paraId="526A4138" w14:textId="52D3D5EC" w:rsidR="009C6380" w:rsidRPr="000F7953" w:rsidRDefault="00515041" w:rsidP="000E3338">
      <w:pPr>
        <w:ind w:left="567" w:hanging="567"/>
        <w:rPr>
          <w:rFonts w:asciiTheme="minorHAnsi" w:hAnsiTheme="minorHAnsi" w:cstheme="minorHAnsi"/>
          <w:sz w:val="22"/>
          <w:szCs w:val="22"/>
        </w:rPr>
      </w:pPr>
      <w:r w:rsidRPr="000F7953">
        <w:rPr>
          <w:rFonts w:asciiTheme="minorHAnsi" w:hAnsiTheme="minorHAnsi" w:cstheme="minorHAnsi"/>
          <w:sz w:val="22"/>
          <w:szCs w:val="22"/>
        </w:rPr>
        <w:t>53.</w:t>
      </w:r>
      <w:r w:rsidRPr="000F7953">
        <w:rPr>
          <w:rFonts w:asciiTheme="minorHAnsi" w:hAnsiTheme="minorHAnsi" w:cstheme="minorHAnsi"/>
          <w:sz w:val="22"/>
          <w:szCs w:val="22"/>
        </w:rPr>
        <w:tab/>
        <w:t>Los limitados avances en el desarrollo de los INH tienen varias implicaciones. La variación en el detalle y la precisión de los informes sobre la extensión de los humedales limita la capacidad para hacer un seguimiento de la aplicación de la Convención, así como para la medición del cambio en la extensión de los ecosistemas relacionados con el agua a lo largo del tiempo para el indicador 6.6.1 de los ODS, del que la Convención es cocustodio</w:t>
      </w:r>
      <w:r w:rsidR="00FE4641" w:rsidRPr="000F7953">
        <w:rPr>
          <w:rStyle w:val="FootnoteReference"/>
          <w:rFonts w:asciiTheme="minorHAnsi" w:hAnsiTheme="minorHAnsi" w:cstheme="minorHAnsi"/>
          <w:sz w:val="22"/>
          <w:szCs w:val="22"/>
        </w:rPr>
        <w:footnoteReference w:id="8"/>
      </w:r>
      <w:r w:rsidRPr="000F7953">
        <w:rPr>
          <w:rFonts w:asciiTheme="minorHAnsi" w:hAnsiTheme="minorHAnsi" w:cstheme="minorHAnsi"/>
          <w:sz w:val="22"/>
          <w:szCs w:val="22"/>
        </w:rPr>
        <w:t xml:space="preserve">. Además, no se aprovechan los beneficios que pueden aportar los INH para el seguimiento y la evaluación, la planificación y la toma de decisiones a nivel nacional sobre los humedales, así como para la aplicación y el seguimiento de los avances en la consecución de otras metas a escala mundial como las del MMB-KM. </w:t>
      </w:r>
    </w:p>
    <w:p w14:paraId="1AB95122" w14:textId="77777777" w:rsidR="009C6380" w:rsidRPr="000F7953" w:rsidRDefault="009C6380" w:rsidP="000E3338">
      <w:pPr>
        <w:ind w:left="567" w:hanging="567"/>
        <w:rPr>
          <w:rFonts w:asciiTheme="minorHAnsi" w:hAnsiTheme="minorHAnsi" w:cstheme="minorHAnsi"/>
          <w:sz w:val="22"/>
          <w:szCs w:val="22"/>
        </w:rPr>
      </w:pPr>
    </w:p>
    <w:p w14:paraId="2278C03A" w14:textId="3F36D138" w:rsidR="00D91A79" w:rsidRPr="000F7953" w:rsidRDefault="00515041" w:rsidP="000E3338">
      <w:pPr>
        <w:ind w:left="567" w:hanging="567"/>
        <w:rPr>
          <w:rFonts w:asciiTheme="minorHAnsi" w:hAnsiTheme="minorHAnsi" w:cstheme="minorHAnsi"/>
          <w:sz w:val="22"/>
          <w:szCs w:val="22"/>
        </w:rPr>
      </w:pPr>
      <w:r w:rsidRPr="000F7953">
        <w:rPr>
          <w:rFonts w:asciiTheme="minorHAnsi" w:hAnsiTheme="minorHAnsi" w:cstheme="minorHAnsi"/>
          <w:sz w:val="22"/>
          <w:szCs w:val="22"/>
        </w:rPr>
        <w:t>54.</w:t>
      </w:r>
      <w:r w:rsidRPr="000F7953">
        <w:rPr>
          <w:rFonts w:asciiTheme="minorHAnsi" w:hAnsiTheme="minorHAnsi" w:cstheme="minorHAnsi"/>
          <w:sz w:val="22"/>
          <w:szCs w:val="22"/>
        </w:rPr>
        <w:tab/>
        <w:t xml:space="preserve">Muchas Partes Contratantes aún carecen de la capacidad necesaria para desarrollar, mantener o actualizar periódicamente los INH. Entre los retos más citados se encuentran la escasez o desactualización de los datos, la limitación de la capacidad técnica, las restricciones normativas o institucionales y la escasez de medios financieros. Las Partes identificaron la necesidad de recomendar formatos de inventario normalizados a fin de reducir la complejidad </w:t>
      </w:r>
      <w:r w:rsidRPr="000F7953">
        <w:rPr>
          <w:rFonts w:asciiTheme="minorHAnsi" w:hAnsiTheme="minorHAnsi" w:cstheme="minorHAnsi"/>
          <w:sz w:val="22"/>
          <w:szCs w:val="22"/>
        </w:rPr>
        <w:lastRenderedPageBreak/>
        <w:t xml:space="preserve">inicial de los INH y mejorar la calidad de los datos, el establecimiento de mecanismos para actualizaciones periódicas, incluido un mejor acceso a los datos, el fortalecimiento de la infraestructura digital que permita, entre otras cosas, mejorar el acceso del público, y una ampliación significativa del apoyo técnico. </w:t>
      </w:r>
    </w:p>
    <w:p w14:paraId="4D4841E8" w14:textId="77777777" w:rsidR="008742E3" w:rsidRPr="000F7953" w:rsidRDefault="008742E3" w:rsidP="000E3338">
      <w:pPr>
        <w:ind w:left="567" w:hanging="567"/>
        <w:rPr>
          <w:rFonts w:asciiTheme="minorHAnsi" w:hAnsiTheme="minorHAnsi" w:cstheme="minorHAnsi"/>
          <w:sz w:val="22"/>
          <w:szCs w:val="22"/>
        </w:rPr>
      </w:pPr>
    </w:p>
    <w:p w14:paraId="2F2E4AE8" w14:textId="3FCE4900" w:rsidR="008742E3" w:rsidRPr="000F7953" w:rsidRDefault="00515041" w:rsidP="000E3338">
      <w:pPr>
        <w:ind w:left="567" w:hanging="567"/>
        <w:rPr>
          <w:rFonts w:asciiTheme="minorHAnsi" w:hAnsiTheme="minorHAnsi" w:cstheme="minorHAnsi"/>
          <w:sz w:val="22"/>
          <w:szCs w:val="22"/>
        </w:rPr>
      </w:pPr>
      <w:r w:rsidRPr="000F7953">
        <w:rPr>
          <w:rFonts w:asciiTheme="minorHAnsi" w:hAnsiTheme="minorHAnsi" w:cstheme="minorHAnsi"/>
          <w:sz w:val="22"/>
          <w:szCs w:val="22"/>
        </w:rPr>
        <w:t>55.</w:t>
      </w:r>
      <w:r w:rsidRPr="000F7953">
        <w:rPr>
          <w:rFonts w:asciiTheme="minorHAnsi" w:hAnsiTheme="minorHAnsi" w:cstheme="minorHAnsi"/>
          <w:sz w:val="22"/>
          <w:szCs w:val="22"/>
        </w:rPr>
        <w:tab/>
        <w:t>El mecanismo de apoyo de la Secretaría a las Partes Contratantes</w:t>
      </w:r>
      <w:r w:rsidR="00F67C48" w:rsidRPr="000F7953">
        <w:rPr>
          <w:rStyle w:val="FootnoteReference"/>
          <w:rFonts w:asciiTheme="minorHAnsi" w:hAnsiTheme="minorHAnsi" w:cstheme="minorHAnsi"/>
          <w:sz w:val="22"/>
          <w:szCs w:val="22"/>
        </w:rPr>
        <w:footnoteReference w:id="9"/>
      </w:r>
      <w:r w:rsidRPr="000F7953">
        <w:rPr>
          <w:rFonts w:asciiTheme="minorHAnsi" w:hAnsiTheme="minorHAnsi" w:cstheme="minorHAnsi"/>
          <w:sz w:val="22"/>
          <w:szCs w:val="22"/>
        </w:rPr>
        <w:t xml:space="preserve"> en relación con los INH contribuye a superar algunos de estos obstáculos. En la Decisión SC64-19, el Comité Permanente encargó a la Secretaría que ampliara este apoyo mediante asociaciones de colaboración adicionales, formación y movilización de recursos.</w:t>
      </w:r>
    </w:p>
    <w:p w14:paraId="1004EF5A" w14:textId="77777777" w:rsidR="008742E3" w:rsidRPr="000F7953" w:rsidRDefault="008742E3" w:rsidP="00A338FF">
      <w:pPr>
        <w:rPr>
          <w:rFonts w:asciiTheme="minorHAnsi" w:hAnsiTheme="minorHAnsi" w:cstheme="minorHAnsi"/>
        </w:rPr>
      </w:pPr>
    </w:p>
    <w:p w14:paraId="58AE50A7" w14:textId="77777777" w:rsidR="00461A6A" w:rsidRPr="000F7953" w:rsidRDefault="00461A6A" w:rsidP="00A338FF">
      <w:pPr>
        <w:rPr>
          <w:rFonts w:asciiTheme="minorHAnsi" w:hAnsiTheme="minorHAnsi" w:cstheme="minorHAnsi"/>
        </w:rPr>
      </w:pPr>
    </w:p>
    <w:tbl>
      <w:tblPr>
        <w:tblStyle w:val="TableGrid16"/>
        <w:tblW w:w="9351" w:type="dxa"/>
        <w:tblLook w:val="04A0" w:firstRow="1" w:lastRow="0" w:firstColumn="1" w:lastColumn="0" w:noHBand="0" w:noVBand="1"/>
      </w:tblPr>
      <w:tblGrid>
        <w:gridCol w:w="9351"/>
      </w:tblGrid>
      <w:tr w:rsidR="002F4351" w:rsidRPr="000F7953" w14:paraId="66B54A79" w14:textId="77777777" w:rsidTr="004D229D">
        <w:tc>
          <w:tcPr>
            <w:tcW w:w="9351" w:type="dxa"/>
            <w:vAlign w:val="center"/>
          </w:tcPr>
          <w:p w14:paraId="19E4C660" w14:textId="094FB605" w:rsidR="002F4351" w:rsidRPr="000F7953" w:rsidRDefault="002F4351" w:rsidP="008A3659">
            <w:pPr>
              <w:keepNext/>
              <w:spacing w:before="120" w:after="120"/>
              <w:rPr>
                <w:rFonts w:asciiTheme="minorHAnsi" w:hAnsiTheme="minorHAnsi" w:cstheme="minorHAnsi"/>
                <w:b/>
                <w:sz w:val="22"/>
                <w:szCs w:val="22"/>
              </w:rPr>
            </w:pPr>
            <w:r w:rsidRPr="000F7953">
              <w:rPr>
                <w:rFonts w:asciiTheme="minorHAnsi" w:hAnsiTheme="minorHAnsi" w:cstheme="minorHAnsi"/>
                <w:b/>
                <w:sz w:val="22"/>
                <w:szCs w:val="22"/>
              </w:rPr>
              <w:t>Meta 9. El uso racional de los humedales se refuerza a través del manejo integrado de los recursos a la escala adecuada, por ejemplo, en una cuenca hidrográfica o una zona costera.</w:t>
            </w:r>
          </w:p>
          <w:p w14:paraId="48CC751A" w14:textId="747108F8" w:rsidR="002F4351" w:rsidRPr="000F7953" w:rsidRDefault="00595282" w:rsidP="008A3659">
            <w:pPr>
              <w:keepNext/>
              <w:spacing w:before="120" w:after="120"/>
              <w:rPr>
                <w:rFonts w:asciiTheme="minorHAnsi" w:hAnsiTheme="minorHAnsi" w:cstheme="minorHAnsi"/>
                <w:bCs/>
                <w:sz w:val="22"/>
                <w:szCs w:val="22"/>
              </w:rPr>
            </w:pPr>
            <w:r w:rsidRPr="000F7953">
              <w:rPr>
                <w:rFonts w:asciiTheme="minorHAnsi" w:hAnsiTheme="minorHAnsi" w:cstheme="minorHAnsi"/>
              </w:rPr>
              <w:t>Contribuye a las metas 1, 9, 10 y 15 del MMB-KM; y a las metas 1.4, 5.a, 6.5, 8.4, 11.b, 14.7 y 14.c de los ODS.</w:t>
            </w:r>
          </w:p>
        </w:tc>
      </w:tr>
    </w:tbl>
    <w:p w14:paraId="0974B0FB" w14:textId="77777777" w:rsidR="00F207B9" w:rsidRPr="000F7953" w:rsidRDefault="00F207B9" w:rsidP="00D1463B">
      <w:pPr>
        <w:keepNext/>
        <w:rPr>
          <w:rFonts w:asciiTheme="minorHAnsi" w:hAnsiTheme="minorHAnsi" w:cstheme="minorHAnsi"/>
          <w:b/>
          <w:sz w:val="22"/>
          <w:szCs w:val="22"/>
          <w:lang w:eastAsia="fr-FR"/>
        </w:rPr>
      </w:pPr>
    </w:p>
    <w:p w14:paraId="0EDBEFAF" w14:textId="55E691D0" w:rsidR="00B831AF" w:rsidRPr="000F7953" w:rsidRDefault="00B831AF" w:rsidP="00D1463B">
      <w:pPr>
        <w:keepNext/>
        <w:rPr>
          <w:rFonts w:asciiTheme="minorHAnsi" w:hAnsiTheme="minorHAnsi" w:cstheme="minorHAnsi"/>
          <w:bCs/>
          <w:i/>
          <w:iCs/>
          <w:sz w:val="22"/>
          <w:szCs w:val="22"/>
          <w:u w:val="single"/>
        </w:rPr>
      </w:pPr>
      <w:r w:rsidRPr="000F7953">
        <w:rPr>
          <w:rFonts w:asciiTheme="minorHAnsi" w:hAnsiTheme="minorHAnsi" w:cstheme="minorHAnsi"/>
          <w:bCs/>
          <w:i/>
          <w:iCs/>
          <w:sz w:val="22"/>
          <w:szCs w:val="22"/>
          <w:u w:val="single"/>
        </w:rPr>
        <w:t xml:space="preserve">Mensaje clave </w:t>
      </w:r>
    </w:p>
    <w:p w14:paraId="49FE34E1" w14:textId="77777777" w:rsidR="00F207B9" w:rsidRPr="000F7953" w:rsidRDefault="00F207B9" w:rsidP="00D1463B">
      <w:pPr>
        <w:keepNext/>
        <w:rPr>
          <w:rFonts w:asciiTheme="minorHAnsi" w:hAnsiTheme="minorHAnsi" w:cstheme="minorHAnsi"/>
          <w:sz w:val="22"/>
          <w:szCs w:val="22"/>
          <w:lang w:eastAsia="fr-FR"/>
        </w:rPr>
      </w:pPr>
    </w:p>
    <w:p w14:paraId="52DBB8A3" w14:textId="4956304E" w:rsidR="00337200" w:rsidRPr="000F7953" w:rsidRDefault="00515041" w:rsidP="000E3338">
      <w:pPr>
        <w:ind w:left="567" w:hanging="567"/>
        <w:rPr>
          <w:rFonts w:asciiTheme="minorHAnsi" w:hAnsiTheme="minorHAnsi" w:cstheme="minorHAnsi"/>
          <w:sz w:val="22"/>
          <w:szCs w:val="22"/>
        </w:rPr>
      </w:pPr>
      <w:r w:rsidRPr="000F7953">
        <w:rPr>
          <w:rFonts w:asciiTheme="minorHAnsi" w:hAnsiTheme="minorHAnsi" w:cstheme="minorHAnsi"/>
          <w:sz w:val="22"/>
          <w:szCs w:val="22"/>
        </w:rPr>
        <w:t>56.</w:t>
      </w:r>
      <w:r w:rsidRPr="000F7953">
        <w:rPr>
          <w:rFonts w:asciiTheme="minorHAnsi" w:hAnsiTheme="minorHAnsi" w:cstheme="minorHAnsi"/>
          <w:sz w:val="22"/>
          <w:szCs w:val="22"/>
        </w:rPr>
        <w:tab/>
        <w:t xml:space="preserve">Se están realizando progresos constantes en la promoción del uso racional de los humedales a través de la gestión integrada de los recursos, mediante, entre otras cosas, políticas sobre humedales o instrumentos equivalentes, la modificación de la legislación o las políticas, y nuevos planes y proyectos. </w:t>
      </w:r>
    </w:p>
    <w:p w14:paraId="488377E9" w14:textId="77777777" w:rsidR="00461A6A" w:rsidRPr="000F7953" w:rsidRDefault="00461A6A" w:rsidP="00A338FF">
      <w:pPr>
        <w:rPr>
          <w:rFonts w:asciiTheme="minorHAnsi" w:hAnsiTheme="minorHAnsi" w:cstheme="minorHAnsi"/>
          <w:lang w:eastAsia="fr-FR"/>
        </w:rPr>
      </w:pPr>
    </w:p>
    <w:tbl>
      <w:tblPr>
        <w:tblStyle w:val="TableGrid28"/>
        <w:tblW w:w="9353" w:type="dxa"/>
        <w:tblLook w:val="04A0" w:firstRow="1" w:lastRow="0" w:firstColumn="1" w:lastColumn="0" w:noHBand="0" w:noVBand="1"/>
      </w:tblPr>
      <w:tblGrid>
        <w:gridCol w:w="4374"/>
        <w:gridCol w:w="1182"/>
        <w:gridCol w:w="820"/>
        <w:gridCol w:w="820"/>
        <w:gridCol w:w="820"/>
        <w:gridCol w:w="1337"/>
      </w:tblGrid>
      <w:tr w:rsidR="00107172" w:rsidRPr="000F7953" w14:paraId="2FF392A8" w14:textId="77777777" w:rsidTr="00567061">
        <w:trPr>
          <w:cantSplit/>
        </w:trPr>
        <w:tc>
          <w:tcPr>
            <w:tcW w:w="0" w:type="auto"/>
            <w:vAlign w:val="center"/>
            <w:hideMark/>
          </w:tcPr>
          <w:p w14:paraId="433A063B" w14:textId="77777777" w:rsidR="00107172" w:rsidRPr="000F7953" w:rsidRDefault="00107172"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Indicador</w:t>
            </w:r>
          </w:p>
        </w:tc>
        <w:tc>
          <w:tcPr>
            <w:tcW w:w="0" w:type="auto"/>
            <w:vAlign w:val="center"/>
            <w:hideMark/>
          </w:tcPr>
          <w:p w14:paraId="454F1A2D" w14:textId="381977DA" w:rsidR="00107172" w:rsidRPr="000F7953" w:rsidRDefault="00833AF9"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Referencia</w:t>
            </w:r>
          </w:p>
        </w:tc>
        <w:tc>
          <w:tcPr>
            <w:tcW w:w="0" w:type="auto"/>
            <w:vAlign w:val="center"/>
            <w:hideMark/>
          </w:tcPr>
          <w:p w14:paraId="06AC0E9C" w14:textId="77777777" w:rsidR="00107172" w:rsidRPr="000F7953" w:rsidRDefault="00107172"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COP13</w:t>
            </w:r>
          </w:p>
        </w:tc>
        <w:tc>
          <w:tcPr>
            <w:tcW w:w="0" w:type="auto"/>
            <w:vAlign w:val="center"/>
            <w:hideMark/>
          </w:tcPr>
          <w:p w14:paraId="11B93D7B" w14:textId="77777777" w:rsidR="00107172" w:rsidRPr="000F7953" w:rsidRDefault="00107172"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COP14</w:t>
            </w:r>
          </w:p>
        </w:tc>
        <w:tc>
          <w:tcPr>
            <w:tcW w:w="0" w:type="auto"/>
            <w:vAlign w:val="center"/>
            <w:hideMark/>
          </w:tcPr>
          <w:p w14:paraId="0A78641D" w14:textId="77777777" w:rsidR="00107172" w:rsidRPr="000F7953" w:rsidRDefault="00107172"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COP15</w:t>
            </w:r>
          </w:p>
        </w:tc>
        <w:tc>
          <w:tcPr>
            <w:tcW w:w="0" w:type="auto"/>
            <w:vAlign w:val="center"/>
            <w:hideMark/>
          </w:tcPr>
          <w:p w14:paraId="47A56A80" w14:textId="77777777" w:rsidR="00107172" w:rsidRPr="000F7953" w:rsidRDefault="00107172"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Tendencia</w:t>
            </w:r>
          </w:p>
        </w:tc>
      </w:tr>
      <w:tr w:rsidR="00107172" w:rsidRPr="000F7953" w14:paraId="4474D0B3" w14:textId="77777777" w:rsidTr="00567061">
        <w:trPr>
          <w:cantSplit/>
        </w:trPr>
        <w:tc>
          <w:tcPr>
            <w:tcW w:w="0" w:type="auto"/>
          </w:tcPr>
          <w:p w14:paraId="2E4E0EEC" w14:textId="7DB3AFA0" w:rsidR="00107172" w:rsidRPr="000F7953" w:rsidRDefault="00107172" w:rsidP="00CD3F6B">
            <w:pPr>
              <w:rPr>
                <w:rFonts w:asciiTheme="minorHAnsi" w:eastAsia="Aptos" w:hAnsiTheme="minorHAnsi" w:cstheme="minorHAnsi"/>
                <w:sz w:val="22"/>
                <w:szCs w:val="22"/>
              </w:rPr>
            </w:pPr>
            <w:r w:rsidRPr="000F7953">
              <w:rPr>
                <w:rFonts w:asciiTheme="minorHAnsi" w:hAnsiTheme="minorHAnsi" w:cstheme="minorHAnsi"/>
                <w:sz w:val="22"/>
                <w:szCs w:val="22"/>
              </w:rPr>
              <w:t>Porcentaje de Partes que han adoptado políticas o instrumentos equivalentes relativos a los humedales que promueven su uso racional.</w:t>
            </w:r>
          </w:p>
        </w:tc>
        <w:tc>
          <w:tcPr>
            <w:tcW w:w="0" w:type="auto"/>
          </w:tcPr>
          <w:p w14:paraId="11CEADCF" w14:textId="102CD277" w:rsidR="00107172" w:rsidRPr="000F7953" w:rsidRDefault="00107172"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55</w:t>
            </w:r>
            <w:r w:rsidR="005601CD" w:rsidRPr="000F7953">
              <w:rPr>
                <w:rFonts w:asciiTheme="minorHAnsi" w:hAnsiTheme="minorHAnsi" w:cstheme="minorHAnsi"/>
                <w:b/>
                <w:bCs/>
                <w:sz w:val="22"/>
                <w:szCs w:val="22"/>
              </w:rPr>
              <w:t> %</w:t>
            </w:r>
          </w:p>
        </w:tc>
        <w:tc>
          <w:tcPr>
            <w:tcW w:w="0" w:type="auto"/>
          </w:tcPr>
          <w:p w14:paraId="40EEA2AF" w14:textId="741AAD66" w:rsidR="00107172" w:rsidRPr="000F7953" w:rsidRDefault="00107172"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52</w:t>
            </w:r>
            <w:r w:rsidR="005601CD" w:rsidRPr="000F7953">
              <w:rPr>
                <w:rFonts w:asciiTheme="minorHAnsi" w:hAnsiTheme="minorHAnsi" w:cstheme="minorHAnsi"/>
                <w:b/>
                <w:bCs/>
                <w:sz w:val="22"/>
                <w:szCs w:val="22"/>
              </w:rPr>
              <w:t> %</w:t>
            </w:r>
          </w:p>
        </w:tc>
        <w:tc>
          <w:tcPr>
            <w:tcW w:w="0" w:type="auto"/>
          </w:tcPr>
          <w:p w14:paraId="1DE3EE2A" w14:textId="1468351B" w:rsidR="00107172" w:rsidRPr="000F7953" w:rsidRDefault="00107172"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68</w:t>
            </w:r>
            <w:r w:rsidR="005601CD" w:rsidRPr="000F7953">
              <w:rPr>
                <w:rFonts w:asciiTheme="minorHAnsi" w:hAnsiTheme="minorHAnsi" w:cstheme="minorHAnsi"/>
                <w:b/>
                <w:bCs/>
                <w:sz w:val="22"/>
                <w:szCs w:val="22"/>
              </w:rPr>
              <w:t> %</w:t>
            </w:r>
          </w:p>
        </w:tc>
        <w:tc>
          <w:tcPr>
            <w:tcW w:w="0" w:type="auto"/>
          </w:tcPr>
          <w:p w14:paraId="4C348BE3" w14:textId="6B12725B" w:rsidR="00107172" w:rsidRPr="000F7953" w:rsidRDefault="00107172"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61</w:t>
            </w:r>
            <w:r w:rsidR="005601CD" w:rsidRPr="000F7953">
              <w:rPr>
                <w:rFonts w:asciiTheme="minorHAnsi" w:hAnsiTheme="minorHAnsi" w:cstheme="minorHAnsi"/>
                <w:b/>
                <w:bCs/>
                <w:sz w:val="22"/>
                <w:szCs w:val="22"/>
              </w:rPr>
              <w:t> %</w:t>
            </w:r>
          </w:p>
        </w:tc>
        <w:tc>
          <w:tcPr>
            <w:tcW w:w="0" w:type="auto"/>
          </w:tcPr>
          <w:p w14:paraId="16E75A03" w14:textId="4603385C" w:rsidR="00107172" w:rsidRPr="000F7953" w:rsidRDefault="00567061" w:rsidP="00CD3F6B">
            <w:pPr>
              <w:rPr>
                <w:rFonts w:asciiTheme="minorHAnsi" w:eastAsia="Aptos" w:hAnsiTheme="minorHAnsi" w:cstheme="minorHAnsi"/>
                <w:sz w:val="22"/>
                <w:szCs w:val="22"/>
              </w:rPr>
            </w:pPr>
            <w:r w:rsidRPr="000F7953">
              <w:rPr>
                <w:rFonts w:asciiTheme="minorHAnsi" w:hAnsiTheme="minorHAnsi" w:cstheme="minorHAnsi"/>
                <w:noProof/>
                <w:sz w:val="22"/>
                <w:szCs w:val="22"/>
              </w:rPr>
              <w:drawing>
                <wp:inline distT="0" distB="0" distL="0" distR="0" wp14:anchorId="47ACF1C1" wp14:editId="50C365D5">
                  <wp:extent cx="712200" cy="432000"/>
                  <wp:effectExtent l="0" t="0" r="0" b="0"/>
                  <wp:docPr id="64759544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107172" w:rsidRPr="000F7953" w14:paraId="6D900ED7" w14:textId="77777777" w:rsidTr="00567061">
        <w:trPr>
          <w:cantSplit/>
        </w:trPr>
        <w:tc>
          <w:tcPr>
            <w:tcW w:w="0" w:type="auto"/>
          </w:tcPr>
          <w:p w14:paraId="507731ED" w14:textId="49F0C607" w:rsidR="00107172" w:rsidRPr="000F7953" w:rsidRDefault="00107172" w:rsidP="00CD3F6B">
            <w:pPr>
              <w:rPr>
                <w:rFonts w:asciiTheme="minorHAnsi" w:eastAsia="Aptos" w:hAnsiTheme="minorHAnsi" w:cstheme="minorHAnsi"/>
                <w:sz w:val="22"/>
                <w:szCs w:val="22"/>
              </w:rPr>
            </w:pPr>
            <w:r w:rsidRPr="000F7953">
              <w:rPr>
                <w:rFonts w:asciiTheme="minorHAnsi" w:hAnsiTheme="minorHAnsi" w:cstheme="minorHAnsi"/>
                <w:sz w:val="22"/>
                <w:szCs w:val="22"/>
              </w:rPr>
              <w:t>Porcentaje de Partes que consideran a los humedales como infraestructuras naturales esenciales para el manejo de los recursos hídricos a escala de la cuenca hidrográfica.</w:t>
            </w:r>
          </w:p>
        </w:tc>
        <w:tc>
          <w:tcPr>
            <w:tcW w:w="0" w:type="auto"/>
          </w:tcPr>
          <w:p w14:paraId="66DCD924" w14:textId="2242FBA1" w:rsidR="00107172" w:rsidRPr="000F7953" w:rsidRDefault="00107172"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71</w:t>
            </w:r>
            <w:r w:rsidR="005601CD" w:rsidRPr="000F7953">
              <w:rPr>
                <w:rFonts w:asciiTheme="minorHAnsi" w:hAnsiTheme="minorHAnsi" w:cstheme="minorHAnsi"/>
                <w:b/>
                <w:bCs/>
                <w:sz w:val="22"/>
                <w:szCs w:val="22"/>
              </w:rPr>
              <w:t> %</w:t>
            </w:r>
          </w:p>
        </w:tc>
        <w:tc>
          <w:tcPr>
            <w:tcW w:w="0" w:type="auto"/>
          </w:tcPr>
          <w:p w14:paraId="41831E55" w14:textId="0ED5E361" w:rsidR="00107172" w:rsidRPr="000F7953" w:rsidRDefault="00107172"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63</w:t>
            </w:r>
            <w:r w:rsidR="005601CD" w:rsidRPr="000F7953">
              <w:rPr>
                <w:rFonts w:asciiTheme="minorHAnsi" w:hAnsiTheme="minorHAnsi" w:cstheme="minorHAnsi"/>
                <w:b/>
                <w:bCs/>
                <w:sz w:val="22"/>
                <w:szCs w:val="22"/>
              </w:rPr>
              <w:t> %</w:t>
            </w:r>
          </w:p>
        </w:tc>
        <w:tc>
          <w:tcPr>
            <w:tcW w:w="0" w:type="auto"/>
          </w:tcPr>
          <w:p w14:paraId="5E2F7E11" w14:textId="6A7B4526" w:rsidR="00107172" w:rsidRPr="000F7953" w:rsidRDefault="00107172"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75</w:t>
            </w:r>
            <w:r w:rsidR="005601CD" w:rsidRPr="000F7953">
              <w:rPr>
                <w:rFonts w:asciiTheme="minorHAnsi" w:hAnsiTheme="minorHAnsi" w:cstheme="minorHAnsi"/>
                <w:b/>
                <w:bCs/>
                <w:sz w:val="22"/>
                <w:szCs w:val="22"/>
              </w:rPr>
              <w:t> %</w:t>
            </w:r>
          </w:p>
        </w:tc>
        <w:tc>
          <w:tcPr>
            <w:tcW w:w="0" w:type="auto"/>
          </w:tcPr>
          <w:p w14:paraId="5F042E30" w14:textId="4EECB62C" w:rsidR="00107172" w:rsidRPr="000F7953" w:rsidRDefault="00107172"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80</w:t>
            </w:r>
            <w:r w:rsidR="005601CD" w:rsidRPr="000F7953">
              <w:rPr>
                <w:rFonts w:asciiTheme="minorHAnsi" w:hAnsiTheme="minorHAnsi" w:cstheme="minorHAnsi"/>
                <w:b/>
                <w:bCs/>
                <w:sz w:val="22"/>
                <w:szCs w:val="22"/>
              </w:rPr>
              <w:t> %</w:t>
            </w:r>
          </w:p>
        </w:tc>
        <w:tc>
          <w:tcPr>
            <w:tcW w:w="0" w:type="auto"/>
          </w:tcPr>
          <w:p w14:paraId="3E6CC360" w14:textId="49EE4D00" w:rsidR="00107172" w:rsidRPr="000F7953" w:rsidRDefault="0094316A" w:rsidP="00CD3F6B">
            <w:pPr>
              <w:rPr>
                <w:rFonts w:asciiTheme="minorHAnsi" w:eastAsia="Aptos" w:hAnsiTheme="minorHAnsi" w:cstheme="minorHAnsi"/>
                <w:sz w:val="22"/>
                <w:szCs w:val="22"/>
              </w:rPr>
            </w:pPr>
            <w:r w:rsidRPr="000F7953">
              <w:rPr>
                <w:rFonts w:asciiTheme="minorHAnsi" w:hAnsiTheme="minorHAnsi" w:cstheme="minorHAnsi"/>
                <w:noProof/>
                <w:sz w:val="22"/>
                <w:szCs w:val="22"/>
              </w:rPr>
              <w:drawing>
                <wp:inline distT="0" distB="0" distL="0" distR="0" wp14:anchorId="61844900" wp14:editId="53EDF791">
                  <wp:extent cx="712200" cy="432000"/>
                  <wp:effectExtent l="0" t="0" r="0" b="0"/>
                  <wp:docPr id="202725034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bl>
    <w:p w14:paraId="6DBF17A7" w14:textId="77777777" w:rsidR="00FB380C" w:rsidRPr="000F7953" w:rsidRDefault="00FB380C" w:rsidP="00CD3F6B">
      <w:pPr>
        <w:rPr>
          <w:rFonts w:asciiTheme="minorHAnsi" w:hAnsiTheme="minorHAnsi" w:cstheme="minorHAnsi"/>
          <w:b/>
          <w:bCs/>
          <w:sz w:val="22"/>
          <w:szCs w:val="22"/>
        </w:rPr>
      </w:pPr>
    </w:p>
    <w:p w14:paraId="13C39302" w14:textId="53722C8B" w:rsidR="000037C1" w:rsidRPr="000F7953" w:rsidRDefault="00735EC3" w:rsidP="00D1463B">
      <w:pPr>
        <w:keepNext/>
        <w:rPr>
          <w:rFonts w:asciiTheme="minorHAnsi" w:hAnsiTheme="minorHAnsi" w:cstheme="minorHAnsi"/>
          <w:i/>
          <w:iCs/>
          <w:sz w:val="22"/>
          <w:szCs w:val="22"/>
          <w:u w:val="single"/>
        </w:rPr>
      </w:pPr>
      <w:r w:rsidRPr="000F7953">
        <w:rPr>
          <w:rFonts w:asciiTheme="minorHAnsi" w:hAnsiTheme="minorHAnsi" w:cstheme="minorHAnsi"/>
          <w:i/>
          <w:iCs/>
          <w:sz w:val="22"/>
          <w:szCs w:val="22"/>
          <w:u w:val="single"/>
        </w:rPr>
        <w:t xml:space="preserve">Resumen de los progresos realizados </w:t>
      </w:r>
    </w:p>
    <w:p w14:paraId="026A0805" w14:textId="77777777" w:rsidR="00461A6A" w:rsidRPr="000F7953" w:rsidRDefault="00461A6A" w:rsidP="00D1463B">
      <w:pPr>
        <w:keepNext/>
        <w:rPr>
          <w:rFonts w:asciiTheme="minorHAnsi" w:hAnsiTheme="minorHAnsi" w:cstheme="minorHAnsi"/>
          <w:b/>
          <w:bCs/>
          <w:sz w:val="22"/>
          <w:szCs w:val="22"/>
        </w:rPr>
      </w:pPr>
    </w:p>
    <w:p w14:paraId="41057860" w14:textId="200DCB9B" w:rsidR="00824137" w:rsidRPr="000F7953" w:rsidRDefault="00515041" w:rsidP="000E3338">
      <w:pPr>
        <w:ind w:left="567" w:hanging="567"/>
        <w:rPr>
          <w:rFonts w:asciiTheme="minorHAnsi" w:hAnsiTheme="minorHAnsi" w:cstheme="minorHAnsi"/>
          <w:sz w:val="22"/>
          <w:szCs w:val="22"/>
        </w:rPr>
      </w:pPr>
      <w:r w:rsidRPr="000F7953">
        <w:rPr>
          <w:rFonts w:asciiTheme="minorHAnsi" w:hAnsiTheme="minorHAnsi" w:cstheme="minorHAnsi"/>
          <w:sz w:val="22"/>
          <w:szCs w:val="22"/>
        </w:rPr>
        <w:t>57.</w:t>
      </w:r>
      <w:r w:rsidRPr="000F7953">
        <w:rPr>
          <w:rFonts w:asciiTheme="minorHAnsi" w:hAnsiTheme="minorHAnsi" w:cstheme="minorHAnsi"/>
          <w:sz w:val="22"/>
          <w:szCs w:val="22"/>
        </w:rPr>
        <w:tab/>
        <w:t>A lo largo de tres trienios ha aumentado tanto la proporción de Partes Contratantes que han adoptado políticas sobre humedales o instrumentos equivalentes que promueven el uso racional de estos, como la proporción de Partes que consideran los humedales como infraestructuras hídricas naturales integrantes del manejo de los recursos hídricos a escala de la cuenca hidrográfica. La variación entre regiones es relativamente moderada.</w:t>
      </w:r>
    </w:p>
    <w:p w14:paraId="5736DFB7" w14:textId="77777777" w:rsidR="00824137" w:rsidRPr="000F7953" w:rsidRDefault="00824137" w:rsidP="000E3338">
      <w:pPr>
        <w:ind w:left="567" w:hanging="567"/>
        <w:rPr>
          <w:rFonts w:asciiTheme="minorHAnsi" w:hAnsiTheme="minorHAnsi" w:cstheme="minorHAnsi"/>
          <w:sz w:val="22"/>
          <w:szCs w:val="22"/>
        </w:rPr>
      </w:pPr>
    </w:p>
    <w:p w14:paraId="7DC1A9EF" w14:textId="5C74646B" w:rsidR="002B3103" w:rsidRPr="000F7953" w:rsidRDefault="00515041" w:rsidP="000E3338">
      <w:pPr>
        <w:ind w:left="567" w:hanging="567"/>
        <w:rPr>
          <w:rFonts w:asciiTheme="minorHAnsi" w:hAnsiTheme="minorHAnsi" w:cstheme="minorHAnsi"/>
          <w:sz w:val="22"/>
          <w:szCs w:val="22"/>
        </w:rPr>
      </w:pPr>
      <w:r w:rsidRPr="000F7953">
        <w:rPr>
          <w:rFonts w:asciiTheme="minorHAnsi" w:hAnsiTheme="minorHAnsi" w:cstheme="minorHAnsi"/>
          <w:sz w:val="22"/>
          <w:szCs w:val="22"/>
        </w:rPr>
        <w:t>58.</w:t>
      </w:r>
      <w:r w:rsidRPr="000F7953">
        <w:rPr>
          <w:rFonts w:asciiTheme="minorHAnsi" w:hAnsiTheme="minorHAnsi" w:cstheme="minorHAnsi"/>
          <w:sz w:val="22"/>
          <w:szCs w:val="22"/>
        </w:rPr>
        <w:tab/>
        <w:t>Ha habido un aumento significativo de las Partes Contratantes que informan de la modificación de la legislación o de las políticas existentes para reflejar los compromisos contraídos en virtud de la Convención, la cuales han pasado del 36</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en el momento de la COP13 al 47</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en el momento de la COP15. Las Partes también informan de un aumento de la investigación para fundamentar las políticas y planes sobre humedales, centrándose en la valoración de los servicios de los ecosistemas. </w:t>
      </w:r>
    </w:p>
    <w:p w14:paraId="3208A7B8" w14:textId="77777777" w:rsidR="002B3103" w:rsidRPr="000F7953" w:rsidRDefault="002B3103" w:rsidP="000E3338">
      <w:pPr>
        <w:ind w:left="567" w:hanging="567"/>
        <w:rPr>
          <w:rFonts w:asciiTheme="minorHAnsi" w:hAnsiTheme="minorHAnsi" w:cstheme="minorHAnsi"/>
          <w:sz w:val="22"/>
          <w:szCs w:val="22"/>
        </w:rPr>
      </w:pPr>
    </w:p>
    <w:p w14:paraId="53D068FE" w14:textId="1DC3ACD7" w:rsidR="00AA4896" w:rsidRPr="000F7953" w:rsidRDefault="002E1E29" w:rsidP="000E3338">
      <w:pPr>
        <w:ind w:left="567" w:hanging="567"/>
        <w:rPr>
          <w:rFonts w:asciiTheme="minorHAnsi" w:hAnsiTheme="minorHAnsi" w:cstheme="minorHAnsi"/>
          <w:sz w:val="22"/>
          <w:szCs w:val="22"/>
        </w:rPr>
      </w:pPr>
      <w:r w:rsidRPr="000F7953">
        <w:rPr>
          <w:rFonts w:asciiTheme="minorHAnsi" w:hAnsiTheme="minorHAnsi" w:cstheme="minorHAnsi"/>
          <w:sz w:val="22"/>
          <w:szCs w:val="22"/>
        </w:rPr>
        <w:t>59.</w:t>
      </w:r>
      <w:r w:rsidRPr="000F7953">
        <w:rPr>
          <w:rFonts w:asciiTheme="minorHAnsi" w:hAnsiTheme="minorHAnsi" w:cstheme="minorHAnsi"/>
          <w:sz w:val="22"/>
          <w:szCs w:val="22"/>
        </w:rPr>
        <w:tab/>
        <w:t>Para la COP15, el 46</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de las Partes Contratantes informan que han formulado políticas, planes o proyectos para mantener y reforzar el papel de los humedales en el sustento y mantenimiento de sistemas agrícolas viables, en comparación con un 37</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para la COP13. Un 28</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afirma haber formulado parcialmente políticas, planes o proyectos de este tipo, y un 58</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señala haber realizado investigaciones para fundamentar políticas y planes sobre humedales centrados en las interacciones entre la agricultura y los humedales. Hay un aumento muy significativo de las Partes que informan que han realizado esfuerzos para conservar y utilizar racionalmente los humedales periurbanos, con un porcentaje que ha pasado del 5</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en la COP13 al 44</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para la COP15. Se observa un aumento constante de la proporción de las Partes que han establecido políticas o lineamientos para reforzar el papel de los humedales en la mitigación del cambio climático y la adaptación al mismo, pero se ha avanzado muy poco en la inclusión de acciones relativas a los humedales en las contribuciones determinadas a nivel nacional y otras estrategias y planes para la mitigación del cambio climático y la adaptación al mismo. Está aumentando el número de Partes que informan que están realizando esfuerzos para conservar los humedales pequeños. </w:t>
      </w:r>
    </w:p>
    <w:p w14:paraId="29A26417" w14:textId="77777777" w:rsidR="00221EE7" w:rsidRPr="000F7953" w:rsidRDefault="00221EE7" w:rsidP="000E3338">
      <w:pPr>
        <w:ind w:left="567" w:hanging="567"/>
        <w:rPr>
          <w:rFonts w:asciiTheme="minorHAnsi" w:hAnsiTheme="minorHAnsi" w:cstheme="minorHAnsi"/>
          <w:sz w:val="22"/>
          <w:szCs w:val="22"/>
        </w:rPr>
      </w:pPr>
    </w:p>
    <w:p w14:paraId="59B2546F" w14:textId="74DA959E" w:rsidR="00461A6A" w:rsidRPr="000F7953" w:rsidRDefault="00515041" w:rsidP="000E3338">
      <w:pPr>
        <w:ind w:left="567" w:hanging="567"/>
        <w:rPr>
          <w:rFonts w:asciiTheme="minorHAnsi" w:hAnsiTheme="minorHAnsi" w:cstheme="minorHAnsi"/>
          <w:sz w:val="22"/>
          <w:szCs w:val="22"/>
        </w:rPr>
      </w:pPr>
      <w:r w:rsidRPr="000F7953">
        <w:rPr>
          <w:rFonts w:asciiTheme="minorHAnsi" w:hAnsiTheme="minorHAnsi" w:cstheme="minorHAnsi"/>
          <w:sz w:val="22"/>
          <w:szCs w:val="22"/>
        </w:rPr>
        <w:t>60.</w:t>
      </w:r>
      <w:r w:rsidRPr="000F7953">
        <w:rPr>
          <w:rFonts w:asciiTheme="minorHAnsi" w:hAnsiTheme="minorHAnsi" w:cstheme="minorHAnsi"/>
          <w:sz w:val="22"/>
          <w:szCs w:val="22"/>
        </w:rPr>
        <w:tab/>
        <w:t>Los obstáculos persistentes que impiden el progreso identificados por las Partes Contratantes en las respuestas descriptivas de los informes nacionales incluyen recursos financieros limitados, marcos institucionales débiles y capacidad técnica insuficiente. Las recomendaciones para superarlos incluyen la prestación de apoyo técnico y financiero específico, y la promoción del aprendizaje entre pares para compartir estrategias eficaces entre países.</w:t>
      </w:r>
    </w:p>
    <w:p w14:paraId="2D2C56B5" w14:textId="77777777" w:rsidR="00221EE7" w:rsidRPr="000F7953" w:rsidRDefault="00221EE7" w:rsidP="00A338FF">
      <w:pPr>
        <w:rPr>
          <w:rFonts w:asciiTheme="minorHAnsi" w:hAnsiTheme="minorHAnsi" w:cstheme="minorHAnsi"/>
        </w:rPr>
      </w:pPr>
    </w:p>
    <w:p w14:paraId="666D747E" w14:textId="1849D1EC" w:rsidR="002F4351" w:rsidRPr="000F7953" w:rsidRDefault="002F4351" w:rsidP="00CD3F6B">
      <w:pPr>
        <w:rPr>
          <w:rFonts w:asciiTheme="minorHAnsi" w:hAnsiTheme="minorHAnsi" w:cstheme="minorHAnsi"/>
          <w:b/>
          <w:sz w:val="22"/>
          <w:szCs w:val="22"/>
          <w:highlight w:val="yellow"/>
          <w:lang w:eastAsia="fr-FR"/>
        </w:rPr>
      </w:pPr>
    </w:p>
    <w:tbl>
      <w:tblPr>
        <w:tblStyle w:val="TableGrid16"/>
        <w:tblW w:w="9351" w:type="dxa"/>
        <w:tblLook w:val="04A0" w:firstRow="1" w:lastRow="0" w:firstColumn="1" w:lastColumn="0" w:noHBand="0" w:noVBand="1"/>
      </w:tblPr>
      <w:tblGrid>
        <w:gridCol w:w="9351"/>
      </w:tblGrid>
      <w:tr w:rsidR="002F4351" w:rsidRPr="000F7953" w14:paraId="4E520F0F" w14:textId="77777777" w:rsidTr="004D229D">
        <w:tc>
          <w:tcPr>
            <w:tcW w:w="9351" w:type="dxa"/>
            <w:vAlign w:val="center"/>
          </w:tcPr>
          <w:p w14:paraId="630717AF" w14:textId="54B6F8A3" w:rsidR="002F4351" w:rsidRPr="000F7953" w:rsidRDefault="002F4351" w:rsidP="008A3659">
            <w:pPr>
              <w:keepNext/>
              <w:spacing w:before="120" w:after="120"/>
              <w:rPr>
                <w:rFonts w:asciiTheme="minorHAnsi" w:hAnsiTheme="minorHAnsi" w:cstheme="minorHAnsi"/>
                <w:b/>
                <w:sz w:val="22"/>
                <w:szCs w:val="22"/>
              </w:rPr>
            </w:pPr>
            <w:r w:rsidRPr="000F7953">
              <w:rPr>
                <w:rFonts w:asciiTheme="minorHAnsi" w:hAnsiTheme="minorHAnsi" w:cstheme="minorHAnsi"/>
                <w:b/>
                <w:sz w:val="22"/>
                <w:szCs w:val="22"/>
              </w:rPr>
              <w:t>Meta 10. El conocimiento tradicional, las innovaciones y las prácticas de los Pueblos Indígenas y las comunidades locales relevantes para el uso racional de los humedales y su uso consuetudinario de los recursos de los humedales son documentados y respetados, están sujetos a la legislación nacional y las obligaciones internacionales y están plenamente integrados y reflejados en la aplicación de la Convención, con la participación plena y real de los Pueblos Indígenas y las comunidades locales a todos los niveles pertinentes.</w:t>
            </w:r>
          </w:p>
          <w:p w14:paraId="74FDF94E" w14:textId="62012D03" w:rsidR="002F4351" w:rsidRPr="000F7953" w:rsidRDefault="00565A9D" w:rsidP="008A3659">
            <w:pPr>
              <w:keepNext/>
              <w:spacing w:before="120" w:after="120"/>
              <w:rPr>
                <w:rFonts w:asciiTheme="minorHAnsi" w:hAnsiTheme="minorHAnsi" w:cstheme="minorHAnsi"/>
                <w:bCs/>
                <w:sz w:val="22"/>
                <w:szCs w:val="22"/>
              </w:rPr>
            </w:pPr>
            <w:r w:rsidRPr="000F7953">
              <w:rPr>
                <w:rFonts w:asciiTheme="minorHAnsi" w:hAnsiTheme="minorHAnsi" w:cstheme="minorHAnsi"/>
              </w:rPr>
              <w:t>Contribuye a la meta 22 del MMB-KM y a las metas 2.3, 2.5, 5.5, 5.a, 6.b, 12.8 y 15.c de los ODS.</w:t>
            </w:r>
          </w:p>
        </w:tc>
      </w:tr>
    </w:tbl>
    <w:p w14:paraId="1923574C" w14:textId="69B4BC78" w:rsidR="00C15C1D" w:rsidRPr="000F7953" w:rsidRDefault="00C15C1D" w:rsidP="00D1463B">
      <w:pPr>
        <w:keepNext/>
        <w:rPr>
          <w:rFonts w:asciiTheme="minorHAnsi" w:hAnsiTheme="minorHAnsi" w:cstheme="minorHAnsi"/>
          <w:b/>
          <w:sz w:val="22"/>
          <w:szCs w:val="22"/>
          <w:lang w:eastAsia="fr-FR"/>
        </w:rPr>
      </w:pPr>
    </w:p>
    <w:p w14:paraId="35D3BA16" w14:textId="73BAC847" w:rsidR="00E75373" w:rsidRPr="000F7953" w:rsidRDefault="00E75373" w:rsidP="00D1463B">
      <w:pPr>
        <w:keepNext/>
        <w:rPr>
          <w:rFonts w:asciiTheme="minorHAnsi" w:hAnsiTheme="minorHAnsi" w:cstheme="minorHAnsi"/>
          <w:i/>
          <w:iCs/>
          <w:sz w:val="22"/>
          <w:szCs w:val="22"/>
          <w:u w:val="single"/>
        </w:rPr>
      </w:pPr>
      <w:r w:rsidRPr="000F7953">
        <w:rPr>
          <w:rFonts w:asciiTheme="minorHAnsi" w:hAnsiTheme="minorHAnsi" w:cstheme="minorHAnsi"/>
          <w:i/>
          <w:iCs/>
          <w:sz w:val="22"/>
          <w:szCs w:val="22"/>
          <w:u w:val="single"/>
        </w:rPr>
        <w:t xml:space="preserve">Mensaje clave </w:t>
      </w:r>
    </w:p>
    <w:p w14:paraId="6473DA89" w14:textId="77777777" w:rsidR="00F207B9" w:rsidRPr="000F7953" w:rsidRDefault="00F207B9" w:rsidP="00D1463B">
      <w:pPr>
        <w:keepNext/>
        <w:rPr>
          <w:rFonts w:asciiTheme="minorHAnsi" w:hAnsiTheme="minorHAnsi" w:cstheme="minorHAnsi"/>
          <w:sz w:val="22"/>
          <w:szCs w:val="22"/>
        </w:rPr>
      </w:pPr>
    </w:p>
    <w:p w14:paraId="4FA0ECE2" w14:textId="00D03430" w:rsidR="008B4619" w:rsidRPr="000F7953" w:rsidRDefault="00515041" w:rsidP="000E3338">
      <w:pPr>
        <w:ind w:left="567" w:hanging="567"/>
        <w:rPr>
          <w:rFonts w:asciiTheme="minorHAnsi" w:hAnsiTheme="minorHAnsi" w:cstheme="minorHAnsi"/>
          <w:sz w:val="22"/>
          <w:szCs w:val="22"/>
        </w:rPr>
      </w:pPr>
      <w:r w:rsidRPr="000F7953">
        <w:rPr>
          <w:rFonts w:asciiTheme="minorHAnsi" w:hAnsiTheme="minorHAnsi" w:cstheme="minorHAnsi"/>
          <w:sz w:val="22"/>
          <w:szCs w:val="22"/>
        </w:rPr>
        <w:t>61.</w:t>
      </w:r>
      <w:r w:rsidRPr="000F7953">
        <w:rPr>
          <w:rFonts w:asciiTheme="minorHAnsi" w:hAnsiTheme="minorHAnsi" w:cstheme="minorHAnsi"/>
          <w:sz w:val="22"/>
          <w:szCs w:val="22"/>
        </w:rPr>
        <w:tab/>
        <w:t xml:space="preserve">La integración de los conocimientos tradicionales en la gestión de los humedales y la participación de los Pueblos Indígenas y las comunidades locales en la aplicación de la Convención está aumentando en general, y muchas Partes Contratantes utilizan los lineamientos de la Convención. En la mayoría de los casos, los marcos legislativos siguen siendo parciales y están en fase de desarrollo. </w:t>
      </w:r>
    </w:p>
    <w:p w14:paraId="297069D7" w14:textId="554DEAED" w:rsidR="0079009B" w:rsidRPr="000F7953" w:rsidRDefault="0079009B" w:rsidP="00CD3F6B">
      <w:pPr>
        <w:rPr>
          <w:rFonts w:asciiTheme="minorHAnsi" w:hAnsiTheme="minorHAnsi" w:cstheme="minorHAnsi"/>
          <w:b/>
          <w:bCs/>
          <w:color w:val="000000" w:themeColor="text1"/>
          <w:kern w:val="2"/>
          <w:sz w:val="22"/>
          <w:szCs w:val="22"/>
          <w14:ligatures w14:val="standardContextual"/>
        </w:rPr>
      </w:pPr>
    </w:p>
    <w:tbl>
      <w:tblPr>
        <w:tblStyle w:val="TableGrid12"/>
        <w:tblW w:w="9356" w:type="dxa"/>
        <w:tblLook w:val="04A0" w:firstRow="1" w:lastRow="0" w:firstColumn="1" w:lastColumn="0" w:noHBand="0" w:noVBand="1"/>
      </w:tblPr>
      <w:tblGrid>
        <w:gridCol w:w="4528"/>
        <w:gridCol w:w="1231"/>
        <w:gridCol w:w="820"/>
        <w:gridCol w:w="820"/>
        <w:gridCol w:w="820"/>
        <w:gridCol w:w="1137"/>
      </w:tblGrid>
      <w:tr w:rsidR="006221EE" w:rsidRPr="000F7953" w14:paraId="695615BA" w14:textId="77777777" w:rsidTr="00567061">
        <w:trPr>
          <w:cantSplit/>
        </w:trPr>
        <w:tc>
          <w:tcPr>
            <w:tcW w:w="0" w:type="auto"/>
            <w:vAlign w:val="center"/>
          </w:tcPr>
          <w:p w14:paraId="58B9F910" w14:textId="3DB38596" w:rsidR="006221EE" w:rsidRPr="000F7953" w:rsidRDefault="00567061" w:rsidP="0078307B">
            <w:pPr>
              <w:keepNext/>
              <w:jc w:val="center"/>
              <w:rPr>
                <w:rFonts w:asciiTheme="minorHAnsi" w:eastAsia="Aptos" w:hAnsiTheme="minorHAnsi" w:cstheme="minorHAnsi"/>
                <w:sz w:val="22"/>
                <w:szCs w:val="22"/>
              </w:rPr>
            </w:pPr>
            <w:r w:rsidRPr="000F7953">
              <w:rPr>
                <w:rFonts w:asciiTheme="minorHAnsi" w:hAnsiTheme="minorHAnsi" w:cstheme="minorHAnsi"/>
                <w:b/>
                <w:bCs/>
                <w:sz w:val="22"/>
                <w:szCs w:val="22"/>
              </w:rPr>
              <w:t>Indicador</w:t>
            </w:r>
          </w:p>
        </w:tc>
        <w:tc>
          <w:tcPr>
            <w:tcW w:w="0" w:type="auto"/>
            <w:vAlign w:val="center"/>
          </w:tcPr>
          <w:p w14:paraId="538619FD" w14:textId="2CECA6F0" w:rsidR="006221EE" w:rsidRPr="000F7953" w:rsidRDefault="00E45FC6"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Referencia</w:t>
            </w:r>
          </w:p>
        </w:tc>
        <w:tc>
          <w:tcPr>
            <w:tcW w:w="0" w:type="auto"/>
            <w:vAlign w:val="center"/>
          </w:tcPr>
          <w:p w14:paraId="7194C67B" w14:textId="1FE29BF7" w:rsidR="006221EE" w:rsidRPr="000F7953" w:rsidRDefault="006221EE"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COP13</w:t>
            </w:r>
          </w:p>
        </w:tc>
        <w:tc>
          <w:tcPr>
            <w:tcW w:w="0" w:type="auto"/>
            <w:vAlign w:val="center"/>
          </w:tcPr>
          <w:p w14:paraId="738F5D8F" w14:textId="55D6CA90" w:rsidR="006221EE" w:rsidRPr="000F7953" w:rsidRDefault="006221EE"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COP14</w:t>
            </w:r>
          </w:p>
        </w:tc>
        <w:tc>
          <w:tcPr>
            <w:tcW w:w="0" w:type="auto"/>
            <w:vAlign w:val="center"/>
          </w:tcPr>
          <w:p w14:paraId="5E0520F9" w14:textId="3B50F02E" w:rsidR="006221EE" w:rsidRPr="000F7953" w:rsidRDefault="006221EE"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COP15</w:t>
            </w:r>
          </w:p>
        </w:tc>
        <w:tc>
          <w:tcPr>
            <w:tcW w:w="0" w:type="auto"/>
            <w:vAlign w:val="center"/>
          </w:tcPr>
          <w:p w14:paraId="05CECB33" w14:textId="0DCD0854" w:rsidR="006221EE" w:rsidRPr="000F7953" w:rsidRDefault="006221EE"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Tendencia</w:t>
            </w:r>
          </w:p>
        </w:tc>
      </w:tr>
      <w:tr w:rsidR="006221EE" w:rsidRPr="000F7953" w14:paraId="4BC8479C" w14:textId="77777777" w:rsidTr="00567061">
        <w:trPr>
          <w:cantSplit/>
        </w:trPr>
        <w:tc>
          <w:tcPr>
            <w:tcW w:w="0" w:type="auto"/>
            <w:vAlign w:val="center"/>
            <w:hideMark/>
          </w:tcPr>
          <w:p w14:paraId="6E58D608" w14:textId="16093FDC" w:rsidR="006221EE" w:rsidRPr="000F7953" w:rsidRDefault="006221EE" w:rsidP="00CD3F6B">
            <w:pPr>
              <w:rPr>
                <w:rFonts w:asciiTheme="minorHAnsi" w:eastAsia="Aptos" w:hAnsiTheme="minorHAnsi" w:cstheme="minorHAnsi"/>
                <w:sz w:val="22"/>
                <w:szCs w:val="22"/>
              </w:rPr>
            </w:pPr>
            <w:r w:rsidRPr="000F7953">
              <w:rPr>
                <w:rFonts w:asciiTheme="minorHAnsi" w:hAnsiTheme="minorHAnsi" w:cstheme="minorHAnsi"/>
                <w:sz w:val="22"/>
                <w:szCs w:val="22"/>
              </w:rPr>
              <w:t>10.3 ¿Se han recopilado estudios de caso sobre la participación de los Pueblos Indígenas en proyectos u otras experiencias de éxito en relación con los aspectos culturales de los humedales? (Resoluciones VIII.19 y IX.21)*</w:t>
            </w:r>
          </w:p>
        </w:tc>
        <w:tc>
          <w:tcPr>
            <w:tcW w:w="0" w:type="auto"/>
          </w:tcPr>
          <w:p w14:paraId="6C3CCC61" w14:textId="181C7EE6" w:rsidR="006221EE" w:rsidRPr="000F7953" w:rsidRDefault="00BD6015"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No disponible</w:t>
            </w:r>
          </w:p>
        </w:tc>
        <w:tc>
          <w:tcPr>
            <w:tcW w:w="0" w:type="auto"/>
            <w:hideMark/>
          </w:tcPr>
          <w:p w14:paraId="6117D6E2" w14:textId="52B759F7" w:rsidR="006221EE" w:rsidRPr="000F7953" w:rsidRDefault="006221EE"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32</w:t>
            </w:r>
            <w:r w:rsidR="005601CD" w:rsidRPr="000F7953">
              <w:rPr>
                <w:rFonts w:asciiTheme="minorHAnsi" w:hAnsiTheme="minorHAnsi" w:cstheme="minorHAnsi"/>
                <w:b/>
                <w:bCs/>
                <w:sz w:val="22"/>
                <w:szCs w:val="22"/>
              </w:rPr>
              <w:t> %</w:t>
            </w:r>
          </w:p>
        </w:tc>
        <w:tc>
          <w:tcPr>
            <w:tcW w:w="0" w:type="auto"/>
            <w:hideMark/>
          </w:tcPr>
          <w:p w14:paraId="6A9B7E2E" w14:textId="1B473F3A" w:rsidR="006221EE" w:rsidRPr="000F7953" w:rsidRDefault="006221EE"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45</w:t>
            </w:r>
            <w:r w:rsidR="005601CD" w:rsidRPr="000F7953">
              <w:rPr>
                <w:rFonts w:asciiTheme="minorHAnsi" w:hAnsiTheme="minorHAnsi" w:cstheme="minorHAnsi"/>
                <w:b/>
                <w:bCs/>
                <w:sz w:val="22"/>
                <w:szCs w:val="22"/>
              </w:rPr>
              <w:t> %</w:t>
            </w:r>
          </w:p>
        </w:tc>
        <w:tc>
          <w:tcPr>
            <w:tcW w:w="0" w:type="auto"/>
            <w:hideMark/>
          </w:tcPr>
          <w:p w14:paraId="6A44A1FF" w14:textId="270CB6AF" w:rsidR="006221EE" w:rsidRPr="000F7953" w:rsidRDefault="006221EE"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40</w:t>
            </w:r>
            <w:r w:rsidR="005601CD" w:rsidRPr="000F7953">
              <w:rPr>
                <w:rFonts w:asciiTheme="minorHAnsi" w:hAnsiTheme="minorHAnsi" w:cstheme="minorHAnsi"/>
                <w:b/>
                <w:bCs/>
                <w:sz w:val="22"/>
                <w:szCs w:val="22"/>
              </w:rPr>
              <w:t> %</w:t>
            </w:r>
          </w:p>
        </w:tc>
        <w:tc>
          <w:tcPr>
            <w:tcW w:w="0" w:type="auto"/>
            <w:vAlign w:val="center"/>
            <w:hideMark/>
          </w:tcPr>
          <w:p w14:paraId="66079411" w14:textId="21294A55" w:rsidR="006221EE" w:rsidRPr="000F7953" w:rsidRDefault="00F47A72" w:rsidP="00567061">
            <w:pPr>
              <w:jc w:val="center"/>
              <w:rPr>
                <w:rFonts w:asciiTheme="minorHAnsi" w:eastAsia="Aptos" w:hAnsiTheme="minorHAnsi" w:cstheme="minorHAnsi"/>
                <w:b/>
                <w:bCs/>
                <w:sz w:val="22"/>
                <w:szCs w:val="22"/>
              </w:rPr>
            </w:pPr>
            <w:r w:rsidRPr="000F7953">
              <w:rPr>
                <w:rFonts w:asciiTheme="minorHAnsi" w:hAnsiTheme="minorHAnsi" w:cstheme="minorHAnsi"/>
                <w:noProof/>
                <w:sz w:val="22"/>
                <w:szCs w:val="22"/>
              </w:rPr>
              <w:drawing>
                <wp:inline distT="0" distB="0" distL="0" distR="0" wp14:anchorId="135322BD" wp14:editId="0B488A9B">
                  <wp:extent cx="415800" cy="432000"/>
                  <wp:effectExtent l="0" t="0" r="3810" b="0"/>
                  <wp:docPr id="159944075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15800" cy="432000"/>
                          </a:xfrm>
                          <a:prstGeom prst="rect">
                            <a:avLst/>
                          </a:prstGeom>
                          <a:noFill/>
                          <a:ln>
                            <a:noFill/>
                          </a:ln>
                        </pic:spPr>
                      </pic:pic>
                    </a:graphicData>
                  </a:graphic>
                </wp:inline>
              </w:drawing>
            </w:r>
          </w:p>
        </w:tc>
      </w:tr>
      <w:tr w:rsidR="006221EE" w:rsidRPr="000F7953" w14:paraId="219ADFA6" w14:textId="77777777" w:rsidTr="00567061">
        <w:trPr>
          <w:cantSplit/>
        </w:trPr>
        <w:tc>
          <w:tcPr>
            <w:tcW w:w="0" w:type="auto"/>
            <w:vAlign w:val="center"/>
          </w:tcPr>
          <w:p w14:paraId="5D701A0A" w14:textId="456F3124" w:rsidR="006221EE" w:rsidRPr="000F7953" w:rsidRDefault="006221EE" w:rsidP="00CD3F6B">
            <w:pPr>
              <w:rPr>
                <w:rFonts w:asciiTheme="minorHAnsi" w:eastAsia="Aptos" w:hAnsiTheme="minorHAnsi" w:cstheme="minorHAnsi"/>
                <w:sz w:val="22"/>
                <w:szCs w:val="22"/>
              </w:rPr>
            </w:pPr>
            <w:r w:rsidRPr="000F7953">
              <w:rPr>
                <w:rFonts w:asciiTheme="minorHAnsi" w:hAnsiTheme="minorHAnsi" w:cstheme="minorHAnsi"/>
                <w:sz w:val="22"/>
                <w:szCs w:val="22"/>
              </w:rPr>
              <w:lastRenderedPageBreak/>
              <w:t>10.5 ¿Se han documentado los conocimientos tradicionales y las prácticas de manejo relevantes para el uso racional de los humedales y se ha fomentado su aplicación?</w:t>
            </w:r>
          </w:p>
        </w:tc>
        <w:tc>
          <w:tcPr>
            <w:tcW w:w="0" w:type="auto"/>
          </w:tcPr>
          <w:p w14:paraId="3DCE3E41" w14:textId="67AC9979" w:rsidR="006221EE" w:rsidRPr="000F7953" w:rsidRDefault="00BD6015"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No disponible</w:t>
            </w:r>
          </w:p>
        </w:tc>
        <w:tc>
          <w:tcPr>
            <w:tcW w:w="0" w:type="auto"/>
          </w:tcPr>
          <w:p w14:paraId="30A3E0D4" w14:textId="18C494D7" w:rsidR="006221EE" w:rsidRPr="000F7953" w:rsidRDefault="006221EE"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37</w:t>
            </w:r>
            <w:r w:rsidR="005601CD" w:rsidRPr="000F7953">
              <w:rPr>
                <w:rFonts w:asciiTheme="minorHAnsi" w:hAnsiTheme="minorHAnsi" w:cstheme="minorHAnsi"/>
                <w:b/>
                <w:bCs/>
                <w:sz w:val="22"/>
                <w:szCs w:val="22"/>
              </w:rPr>
              <w:t> %</w:t>
            </w:r>
          </w:p>
        </w:tc>
        <w:tc>
          <w:tcPr>
            <w:tcW w:w="0" w:type="auto"/>
          </w:tcPr>
          <w:p w14:paraId="19F4EDC6" w14:textId="26C463DA" w:rsidR="006221EE" w:rsidRPr="000F7953" w:rsidRDefault="006221EE"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50</w:t>
            </w:r>
            <w:r w:rsidR="005601CD" w:rsidRPr="000F7953">
              <w:rPr>
                <w:rFonts w:asciiTheme="minorHAnsi" w:hAnsiTheme="minorHAnsi" w:cstheme="minorHAnsi"/>
                <w:b/>
                <w:bCs/>
                <w:sz w:val="22"/>
                <w:szCs w:val="22"/>
              </w:rPr>
              <w:t> %</w:t>
            </w:r>
          </w:p>
        </w:tc>
        <w:tc>
          <w:tcPr>
            <w:tcW w:w="0" w:type="auto"/>
          </w:tcPr>
          <w:p w14:paraId="645286B7" w14:textId="043CD25D" w:rsidR="006221EE" w:rsidRPr="000F7953" w:rsidRDefault="006221EE"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44</w:t>
            </w:r>
            <w:r w:rsidR="005601CD" w:rsidRPr="000F7953">
              <w:rPr>
                <w:rFonts w:asciiTheme="minorHAnsi" w:hAnsiTheme="minorHAnsi" w:cstheme="minorHAnsi"/>
                <w:b/>
                <w:bCs/>
                <w:sz w:val="22"/>
                <w:szCs w:val="22"/>
              </w:rPr>
              <w:t> %</w:t>
            </w:r>
          </w:p>
        </w:tc>
        <w:tc>
          <w:tcPr>
            <w:tcW w:w="0" w:type="auto"/>
            <w:vAlign w:val="center"/>
          </w:tcPr>
          <w:p w14:paraId="4D0706C0" w14:textId="421663B0" w:rsidR="006221EE" w:rsidRPr="000F7953" w:rsidRDefault="00DC6297" w:rsidP="00567061">
            <w:pPr>
              <w:jc w:val="center"/>
              <w:rPr>
                <w:rFonts w:asciiTheme="minorHAnsi" w:eastAsia="Aptos" w:hAnsiTheme="minorHAnsi" w:cstheme="minorHAnsi"/>
                <w:sz w:val="22"/>
                <w:szCs w:val="22"/>
              </w:rPr>
            </w:pPr>
            <w:r w:rsidRPr="000F7953">
              <w:rPr>
                <w:rFonts w:asciiTheme="minorHAnsi" w:hAnsiTheme="minorHAnsi" w:cstheme="minorHAnsi"/>
                <w:noProof/>
                <w:sz w:val="22"/>
                <w:szCs w:val="22"/>
              </w:rPr>
              <w:drawing>
                <wp:inline distT="0" distB="0" distL="0" distR="0" wp14:anchorId="093CBCC7" wp14:editId="69EBC761">
                  <wp:extent cx="415800" cy="432000"/>
                  <wp:effectExtent l="0" t="0" r="3810" b="0"/>
                  <wp:docPr id="3960017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15800" cy="432000"/>
                          </a:xfrm>
                          <a:prstGeom prst="rect">
                            <a:avLst/>
                          </a:prstGeom>
                          <a:noFill/>
                          <a:ln>
                            <a:noFill/>
                          </a:ln>
                        </pic:spPr>
                      </pic:pic>
                    </a:graphicData>
                  </a:graphic>
                </wp:inline>
              </w:drawing>
            </w:r>
          </w:p>
        </w:tc>
      </w:tr>
    </w:tbl>
    <w:p w14:paraId="70E310C4" w14:textId="515AED5A" w:rsidR="00477AF4" w:rsidRPr="000F7953" w:rsidRDefault="00B77878" w:rsidP="00CD3F6B">
      <w:pPr>
        <w:rPr>
          <w:rFonts w:asciiTheme="minorHAnsi" w:hAnsiTheme="minorHAnsi" w:cstheme="minorHAnsi"/>
          <w:sz w:val="22"/>
          <w:szCs w:val="22"/>
        </w:rPr>
      </w:pPr>
      <w:r w:rsidRPr="000F7953">
        <w:rPr>
          <w:rFonts w:asciiTheme="minorHAnsi" w:hAnsiTheme="minorHAnsi" w:cstheme="minorHAnsi"/>
          <w:sz w:val="22"/>
          <w:szCs w:val="22"/>
        </w:rPr>
        <w:t>* No se definieron indicadores para la meta 10 en el PE4. Se facilitan datos sobre dos preguntas del formulario del informe nacional pertinentes para las meta</w:t>
      </w:r>
      <w:r w:rsidR="00AF53D9" w:rsidRPr="000F7953">
        <w:rPr>
          <w:rFonts w:asciiTheme="minorHAnsi" w:hAnsiTheme="minorHAnsi" w:cstheme="minorHAnsi"/>
          <w:sz w:val="22"/>
          <w:szCs w:val="22"/>
        </w:rPr>
        <w:t>s</w:t>
      </w:r>
      <w:r w:rsidRPr="000F7953">
        <w:rPr>
          <w:rFonts w:asciiTheme="minorHAnsi" w:hAnsiTheme="minorHAnsi" w:cstheme="minorHAnsi"/>
          <w:sz w:val="22"/>
          <w:szCs w:val="22"/>
        </w:rPr>
        <w:t xml:space="preserve"> con respecto a las cuales se dispone de una serie cronológica. No se dispone de valores de referencia anteriores a la COP13.  </w:t>
      </w:r>
    </w:p>
    <w:p w14:paraId="6E46EBBF" w14:textId="77777777" w:rsidR="00B77878" w:rsidRPr="000F7953" w:rsidRDefault="00B77878" w:rsidP="00CD3F6B">
      <w:pPr>
        <w:rPr>
          <w:rFonts w:asciiTheme="minorHAnsi" w:hAnsiTheme="minorHAnsi" w:cstheme="minorHAnsi"/>
          <w:b/>
          <w:bCs/>
          <w:sz w:val="22"/>
          <w:szCs w:val="22"/>
        </w:rPr>
      </w:pPr>
    </w:p>
    <w:p w14:paraId="7E4CB5BF" w14:textId="61FB41DA" w:rsidR="00B21DA2" w:rsidRPr="000F7953" w:rsidRDefault="0036082E" w:rsidP="00D1463B">
      <w:pPr>
        <w:keepNext/>
        <w:rPr>
          <w:rFonts w:asciiTheme="minorHAnsi" w:hAnsiTheme="minorHAnsi" w:cstheme="minorHAnsi"/>
          <w:i/>
          <w:iCs/>
          <w:sz w:val="22"/>
          <w:szCs w:val="22"/>
          <w:u w:val="single"/>
        </w:rPr>
      </w:pPr>
      <w:r w:rsidRPr="000F7953">
        <w:rPr>
          <w:rFonts w:asciiTheme="minorHAnsi" w:hAnsiTheme="minorHAnsi" w:cstheme="minorHAnsi"/>
          <w:i/>
          <w:iCs/>
          <w:sz w:val="22"/>
          <w:szCs w:val="22"/>
          <w:u w:val="single"/>
        </w:rPr>
        <w:t xml:space="preserve">Resumen de los progresos realizados </w:t>
      </w:r>
    </w:p>
    <w:p w14:paraId="6A1F75BF" w14:textId="77777777" w:rsidR="008A5E8C" w:rsidRPr="000F7953" w:rsidRDefault="008A5E8C" w:rsidP="00D1463B">
      <w:pPr>
        <w:keepNext/>
        <w:rPr>
          <w:rFonts w:asciiTheme="minorHAnsi" w:hAnsiTheme="minorHAnsi" w:cstheme="minorHAnsi"/>
          <w:b/>
          <w:bCs/>
          <w:sz w:val="22"/>
          <w:szCs w:val="22"/>
        </w:rPr>
      </w:pPr>
    </w:p>
    <w:p w14:paraId="3DF2CEF6" w14:textId="7D3EFD2B" w:rsidR="00637946" w:rsidRPr="000F7953" w:rsidRDefault="00515041" w:rsidP="000E3338">
      <w:pPr>
        <w:ind w:left="567" w:hanging="567"/>
        <w:rPr>
          <w:rFonts w:asciiTheme="minorHAnsi" w:hAnsiTheme="minorHAnsi" w:cstheme="minorHAnsi"/>
          <w:sz w:val="22"/>
          <w:szCs w:val="22"/>
        </w:rPr>
      </w:pPr>
      <w:r w:rsidRPr="000F7953">
        <w:rPr>
          <w:rFonts w:asciiTheme="minorHAnsi" w:hAnsiTheme="minorHAnsi" w:cstheme="minorHAnsi"/>
          <w:sz w:val="22"/>
          <w:szCs w:val="22"/>
        </w:rPr>
        <w:t>62.</w:t>
      </w:r>
      <w:r w:rsidRPr="000F7953">
        <w:rPr>
          <w:rFonts w:asciiTheme="minorHAnsi" w:hAnsiTheme="minorHAnsi" w:cstheme="minorHAnsi"/>
          <w:sz w:val="22"/>
          <w:szCs w:val="22"/>
        </w:rPr>
        <w:tab/>
        <w:t>Los informes nacionales indican avances graduales en la integración de los conocimientos de las comunidades indígenas y locales en el manejo de los humedales. Para la COP15, el 19</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de las Partes Contratantes dispone de legislación nacional sobre los Pueblos Indígenas y las comunidades locales pertinentes para la gestión de los humedales o los Humedales de Importancia Internacional, y un 28</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cuenta con legislación parcial. Los niveles son notablemente más altos en Oceanía, América Latina y el Caribe, y América del Norte. </w:t>
      </w:r>
    </w:p>
    <w:p w14:paraId="009C79EE" w14:textId="77777777" w:rsidR="00637946" w:rsidRPr="000F7953" w:rsidRDefault="00637946" w:rsidP="000E3338">
      <w:pPr>
        <w:ind w:left="567" w:hanging="567"/>
        <w:rPr>
          <w:rFonts w:asciiTheme="minorHAnsi" w:hAnsiTheme="minorHAnsi" w:cstheme="minorHAnsi"/>
          <w:sz w:val="22"/>
          <w:szCs w:val="22"/>
        </w:rPr>
      </w:pPr>
    </w:p>
    <w:p w14:paraId="5E99224F" w14:textId="4E42321E" w:rsidR="0011203E" w:rsidRPr="000F7953" w:rsidRDefault="00515041" w:rsidP="000E3338">
      <w:pPr>
        <w:ind w:left="567" w:hanging="567"/>
        <w:rPr>
          <w:rFonts w:asciiTheme="minorHAnsi" w:hAnsiTheme="minorHAnsi" w:cstheme="minorHAnsi"/>
          <w:sz w:val="22"/>
          <w:szCs w:val="22"/>
        </w:rPr>
      </w:pPr>
      <w:r w:rsidRPr="000F7953">
        <w:rPr>
          <w:rFonts w:asciiTheme="minorHAnsi" w:hAnsiTheme="minorHAnsi" w:cstheme="minorHAnsi"/>
          <w:sz w:val="22"/>
          <w:szCs w:val="22"/>
        </w:rPr>
        <w:t>63.</w:t>
      </w:r>
      <w:r w:rsidRPr="000F7953">
        <w:rPr>
          <w:rFonts w:asciiTheme="minorHAnsi" w:hAnsiTheme="minorHAnsi" w:cstheme="minorHAnsi"/>
          <w:sz w:val="22"/>
          <w:szCs w:val="22"/>
        </w:rPr>
        <w:tab/>
        <w:t>La mayoría de las Partes Contratantes que cuentan con este tipo de legislación nacional también informan que utilizan los principios orientadores para tener en cuenta los valores culturales de los humedales, incluidos los conocimientos tradicionales, para el manejo eficaz de los sitios (Resolución VIII.19). El 43</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de las Partes han aplicado los lineamientos para establecer y fortalecer la participación de las comunidades locales y los Pueblos Indígenas en el manejo de los humedales, y el 12</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tienen previsto hacerlo. </w:t>
      </w:r>
    </w:p>
    <w:p w14:paraId="12D121F9" w14:textId="77777777" w:rsidR="00FE0490" w:rsidRPr="000F7953" w:rsidRDefault="00FE0490" w:rsidP="000E3338">
      <w:pPr>
        <w:ind w:left="567" w:hanging="567"/>
        <w:rPr>
          <w:rFonts w:asciiTheme="minorHAnsi" w:hAnsiTheme="minorHAnsi" w:cstheme="minorHAnsi"/>
          <w:sz w:val="22"/>
          <w:szCs w:val="22"/>
        </w:rPr>
      </w:pPr>
    </w:p>
    <w:p w14:paraId="7C111097" w14:textId="369EE908" w:rsidR="00FE0490" w:rsidRPr="000F7953" w:rsidRDefault="00515041" w:rsidP="000E3338">
      <w:pPr>
        <w:ind w:left="567" w:hanging="567"/>
        <w:rPr>
          <w:rFonts w:asciiTheme="minorHAnsi" w:hAnsiTheme="minorHAnsi" w:cstheme="minorHAnsi"/>
          <w:sz w:val="22"/>
          <w:szCs w:val="22"/>
        </w:rPr>
      </w:pPr>
      <w:r w:rsidRPr="000F7953">
        <w:rPr>
          <w:rFonts w:asciiTheme="minorHAnsi" w:hAnsiTheme="minorHAnsi" w:cstheme="minorHAnsi"/>
          <w:sz w:val="22"/>
          <w:szCs w:val="22"/>
        </w:rPr>
        <w:t>64.</w:t>
      </w:r>
      <w:r w:rsidRPr="000F7953">
        <w:rPr>
          <w:rFonts w:asciiTheme="minorHAnsi" w:hAnsiTheme="minorHAnsi" w:cstheme="minorHAnsi"/>
          <w:sz w:val="22"/>
          <w:szCs w:val="22"/>
        </w:rPr>
        <w:tab/>
        <w:t>De la COP13 a la COP15, se ha producido un aumento general de la proporción de Partes Contratantes que documentan y fomentan la aplicación de conocimientos y prácticas de manejo tradicionales, y que han recopilado estudios de casos sobre la participación de los Pueblos Indígenas. Los informes nacionales hacen referencia con mayor frecuencia a estrategias de implicación, esfuerzos de documentación y prácticas participativas, lo que refleja la creciente integración de los conocimientos tradicionales y la participación de los Pueblos Indígenas y las comunidades locales en la aplicación de la Convención.</w:t>
      </w:r>
    </w:p>
    <w:p w14:paraId="35B66778" w14:textId="77777777" w:rsidR="00FE0490" w:rsidRPr="000F7953" w:rsidRDefault="00FE0490" w:rsidP="000E3338">
      <w:pPr>
        <w:ind w:left="567" w:hanging="567"/>
        <w:rPr>
          <w:rFonts w:asciiTheme="minorHAnsi" w:hAnsiTheme="minorHAnsi" w:cstheme="minorHAnsi"/>
          <w:sz w:val="22"/>
          <w:szCs w:val="22"/>
        </w:rPr>
      </w:pPr>
    </w:p>
    <w:p w14:paraId="168C78D5" w14:textId="015182D6" w:rsidR="00FE0490" w:rsidRPr="000F7953" w:rsidRDefault="00515041" w:rsidP="000E3338">
      <w:pPr>
        <w:ind w:left="567" w:hanging="567"/>
        <w:rPr>
          <w:rFonts w:asciiTheme="minorHAnsi" w:hAnsiTheme="minorHAnsi" w:cstheme="minorHAnsi"/>
          <w:sz w:val="22"/>
          <w:szCs w:val="22"/>
        </w:rPr>
      </w:pPr>
      <w:r w:rsidRPr="000F7953">
        <w:rPr>
          <w:rFonts w:asciiTheme="minorHAnsi" w:hAnsiTheme="minorHAnsi" w:cstheme="minorHAnsi"/>
          <w:sz w:val="22"/>
          <w:szCs w:val="22"/>
        </w:rPr>
        <w:t>65.</w:t>
      </w:r>
      <w:r w:rsidRPr="000F7953">
        <w:rPr>
          <w:rFonts w:asciiTheme="minorHAnsi" w:hAnsiTheme="minorHAnsi" w:cstheme="minorHAnsi"/>
          <w:sz w:val="22"/>
          <w:szCs w:val="22"/>
        </w:rPr>
        <w:tab/>
        <w:t xml:space="preserve">Los progresos realizados son específicos para cada contexto, varían en cierta medida entre regiones, dependen de los acuerdos jurídicos e institucionales y de la capacidad técnica, y en general sugieren que la implicación local activa aumenta la eficacia. Las Partes Contratantes de Europa citaron con frecuencia sistemas de documentación, pero señalaron lagunas en la integración jurídica formal, mientras que las Partes de África hicieron hincapié en la fuerte implicación de las comunidades, aunque señalaron limitaciones en relación con los recursos y la capacidad, y las Partes de América Latina y el Caribe describieron enfoques prácticos basados en las asociaciones de colaboración, a menudo sin marcos políticos de apoyo. </w:t>
      </w:r>
    </w:p>
    <w:p w14:paraId="260445EB" w14:textId="77777777" w:rsidR="00FE0490" w:rsidRPr="000F7953" w:rsidRDefault="00FE0490" w:rsidP="000E3338">
      <w:pPr>
        <w:ind w:left="567" w:hanging="567"/>
        <w:rPr>
          <w:rFonts w:asciiTheme="minorHAnsi" w:hAnsiTheme="minorHAnsi" w:cstheme="minorHAnsi"/>
          <w:sz w:val="22"/>
          <w:szCs w:val="22"/>
        </w:rPr>
      </w:pPr>
    </w:p>
    <w:p w14:paraId="0887BE7A" w14:textId="4DB1897B" w:rsidR="008A5E8C" w:rsidRPr="000F7953" w:rsidRDefault="00515041" w:rsidP="000E3338">
      <w:pPr>
        <w:ind w:left="567" w:hanging="567"/>
        <w:rPr>
          <w:rFonts w:asciiTheme="minorHAnsi" w:hAnsiTheme="minorHAnsi" w:cstheme="minorHAnsi"/>
          <w:sz w:val="22"/>
          <w:szCs w:val="22"/>
        </w:rPr>
      </w:pPr>
      <w:r w:rsidRPr="000F7953">
        <w:rPr>
          <w:rFonts w:asciiTheme="minorHAnsi" w:hAnsiTheme="minorHAnsi" w:cstheme="minorHAnsi"/>
          <w:sz w:val="22"/>
          <w:szCs w:val="22"/>
        </w:rPr>
        <w:t>66.</w:t>
      </w:r>
      <w:r w:rsidRPr="000F7953">
        <w:rPr>
          <w:rFonts w:asciiTheme="minorHAnsi" w:hAnsiTheme="minorHAnsi" w:cstheme="minorHAnsi"/>
          <w:sz w:val="22"/>
          <w:szCs w:val="22"/>
        </w:rPr>
        <w:tab/>
        <w:t xml:space="preserve">Entre las recomendaciones para acelerar aún más los avances identificadas en los informes nacionales figuran el fomento de la capacidad institucional y el refuerzo de los marcos jurídicos, la prestación de apoyo específico a cada región, incluido el apoyo financiero, y el fomento del intercambio de conocimientos. </w:t>
      </w:r>
    </w:p>
    <w:p w14:paraId="2F13CDCE" w14:textId="77777777" w:rsidR="00F00E08" w:rsidRPr="000F7953" w:rsidRDefault="00F00E08" w:rsidP="00A338FF">
      <w:pPr>
        <w:rPr>
          <w:rFonts w:asciiTheme="minorHAnsi" w:hAnsiTheme="minorHAnsi" w:cstheme="minorHAnsi"/>
        </w:rPr>
      </w:pPr>
    </w:p>
    <w:p w14:paraId="67A4E0DE" w14:textId="77777777" w:rsidR="008A5E8C" w:rsidRPr="000F7953" w:rsidRDefault="008A5E8C" w:rsidP="00A338FF">
      <w:pPr>
        <w:rPr>
          <w:rFonts w:asciiTheme="minorHAnsi" w:hAnsiTheme="minorHAnsi" w:cstheme="minorHAnsi"/>
        </w:rPr>
      </w:pPr>
    </w:p>
    <w:tbl>
      <w:tblPr>
        <w:tblStyle w:val="TableGrid16"/>
        <w:tblW w:w="9351" w:type="dxa"/>
        <w:tblLook w:val="04A0" w:firstRow="1" w:lastRow="0" w:firstColumn="1" w:lastColumn="0" w:noHBand="0" w:noVBand="1"/>
      </w:tblPr>
      <w:tblGrid>
        <w:gridCol w:w="9351"/>
      </w:tblGrid>
      <w:tr w:rsidR="00C76214" w:rsidRPr="000F7953" w14:paraId="643DC710" w14:textId="77777777" w:rsidTr="004D229D">
        <w:tc>
          <w:tcPr>
            <w:tcW w:w="9351" w:type="dxa"/>
            <w:vAlign w:val="center"/>
          </w:tcPr>
          <w:p w14:paraId="01A34EE4" w14:textId="77777777" w:rsidR="00AA52A8" w:rsidRPr="000F7953" w:rsidRDefault="00C76214" w:rsidP="008A3659">
            <w:pPr>
              <w:keepNext/>
              <w:spacing w:before="120" w:after="120"/>
              <w:rPr>
                <w:rFonts w:asciiTheme="minorHAnsi" w:hAnsiTheme="minorHAnsi" w:cstheme="minorHAnsi"/>
                <w:b/>
                <w:sz w:val="22"/>
                <w:szCs w:val="22"/>
              </w:rPr>
            </w:pPr>
            <w:r w:rsidRPr="000F7953">
              <w:rPr>
                <w:rFonts w:asciiTheme="minorHAnsi" w:hAnsiTheme="minorHAnsi" w:cstheme="minorHAnsi"/>
                <w:b/>
                <w:sz w:val="22"/>
                <w:szCs w:val="22"/>
              </w:rPr>
              <w:lastRenderedPageBreak/>
              <w:t xml:space="preserve">Meta 11. Se demuestran, documentan y divulgan ampliamente las funciones, los servicios y los beneficios de los humedales. </w:t>
            </w:r>
          </w:p>
          <w:p w14:paraId="47C4CEC9" w14:textId="13F2206B" w:rsidR="00C76214" w:rsidRPr="000F7953" w:rsidRDefault="00836A2E" w:rsidP="008A3659">
            <w:pPr>
              <w:keepNext/>
              <w:spacing w:before="120" w:after="120"/>
              <w:rPr>
                <w:rFonts w:asciiTheme="minorHAnsi" w:hAnsiTheme="minorHAnsi" w:cstheme="minorHAnsi"/>
                <w:bCs/>
                <w:sz w:val="22"/>
                <w:szCs w:val="22"/>
              </w:rPr>
            </w:pPr>
            <w:r w:rsidRPr="000F7953">
              <w:rPr>
                <w:rFonts w:asciiTheme="minorHAnsi" w:hAnsiTheme="minorHAnsi" w:cstheme="minorHAnsi"/>
                <w:bCs/>
                <w:sz w:val="22"/>
                <w:szCs w:val="22"/>
              </w:rPr>
              <w:t>Contribuye a las metas 11, 12 y 13 del MMB-KM y a las metas 1.5, 14.7 y 15.9 de los ODS.</w:t>
            </w:r>
          </w:p>
        </w:tc>
      </w:tr>
    </w:tbl>
    <w:p w14:paraId="707ECC0B" w14:textId="77777777" w:rsidR="00197523" w:rsidRPr="000F7953" w:rsidRDefault="00197523" w:rsidP="008A4C62">
      <w:pPr>
        <w:keepNext/>
        <w:rPr>
          <w:rFonts w:asciiTheme="minorHAnsi" w:hAnsiTheme="minorHAnsi" w:cstheme="minorHAnsi"/>
          <w:b/>
          <w:sz w:val="22"/>
          <w:szCs w:val="22"/>
          <w:lang w:eastAsia="fr-FR"/>
        </w:rPr>
      </w:pPr>
    </w:p>
    <w:p w14:paraId="351C13FE" w14:textId="3AC69CEC" w:rsidR="007C785B" w:rsidRPr="000F7953" w:rsidRDefault="007C785B" w:rsidP="008A4C62">
      <w:pPr>
        <w:keepNext/>
        <w:rPr>
          <w:rFonts w:asciiTheme="minorHAnsi" w:hAnsiTheme="minorHAnsi" w:cstheme="minorHAnsi"/>
          <w:bCs/>
          <w:i/>
          <w:iCs/>
          <w:sz w:val="22"/>
          <w:szCs w:val="22"/>
          <w:u w:val="single"/>
        </w:rPr>
      </w:pPr>
      <w:r w:rsidRPr="000F7953">
        <w:rPr>
          <w:rFonts w:asciiTheme="minorHAnsi" w:hAnsiTheme="minorHAnsi" w:cstheme="minorHAnsi"/>
          <w:bCs/>
          <w:i/>
          <w:iCs/>
          <w:sz w:val="22"/>
          <w:szCs w:val="22"/>
          <w:u w:val="single"/>
        </w:rPr>
        <w:t xml:space="preserve">Mensaje clave </w:t>
      </w:r>
    </w:p>
    <w:p w14:paraId="1AF5300E" w14:textId="77777777" w:rsidR="00D1463B" w:rsidRPr="000F7953" w:rsidRDefault="00D1463B" w:rsidP="008A4C62">
      <w:pPr>
        <w:keepNext/>
        <w:ind w:left="426" w:hanging="426"/>
        <w:rPr>
          <w:rFonts w:asciiTheme="minorHAnsi" w:hAnsiTheme="minorHAnsi" w:cstheme="minorHAnsi"/>
          <w:sz w:val="22"/>
          <w:szCs w:val="22"/>
        </w:rPr>
      </w:pPr>
    </w:p>
    <w:p w14:paraId="00EA440F" w14:textId="0DC05B83" w:rsidR="000D6D30" w:rsidRPr="000F7953" w:rsidRDefault="00515041" w:rsidP="000E3338">
      <w:pPr>
        <w:ind w:left="567" w:hanging="567"/>
        <w:rPr>
          <w:rFonts w:asciiTheme="minorHAnsi" w:hAnsiTheme="minorHAnsi" w:cstheme="minorHAnsi"/>
          <w:sz w:val="22"/>
          <w:szCs w:val="22"/>
        </w:rPr>
      </w:pPr>
      <w:r w:rsidRPr="000F7953">
        <w:rPr>
          <w:rFonts w:asciiTheme="minorHAnsi" w:hAnsiTheme="minorHAnsi" w:cstheme="minorHAnsi"/>
          <w:sz w:val="22"/>
          <w:szCs w:val="22"/>
        </w:rPr>
        <w:t>67.</w:t>
      </w:r>
      <w:r w:rsidRPr="000F7953">
        <w:rPr>
          <w:rFonts w:asciiTheme="minorHAnsi" w:hAnsiTheme="minorHAnsi" w:cstheme="minorHAnsi"/>
          <w:sz w:val="22"/>
          <w:szCs w:val="22"/>
        </w:rPr>
        <w:tab/>
        <w:t xml:space="preserve">La evaluación de los servicios ecosistémicos y la integración de los valores socioeconómicos y culturales en la gestión de los humedales avanza a un ritmo moderado, y muchas Partes Contratantes informan de una aplicación parcial. La incorporación de las cuestiones relativas a los humedales en las estrategias de erradicación de la pobreza y la aplicación de medidas relativas a los humedales que contribuyan a la mitigación de la pobreza y a la seguridad alimentaria e hídrica no ha aumentado durante el periodo cubierto por el PE4 y se mantiene por debajo de la línea de base. </w:t>
      </w:r>
    </w:p>
    <w:p w14:paraId="4552E3C7" w14:textId="77777777" w:rsidR="008A5E8C" w:rsidRPr="000F7953" w:rsidRDefault="008A5E8C" w:rsidP="00A338FF">
      <w:pPr>
        <w:rPr>
          <w:rFonts w:asciiTheme="minorHAnsi" w:hAnsiTheme="minorHAnsi" w:cstheme="minorHAnsi"/>
        </w:rPr>
      </w:pPr>
    </w:p>
    <w:tbl>
      <w:tblPr>
        <w:tblStyle w:val="TableGrid29"/>
        <w:tblW w:w="9354" w:type="dxa"/>
        <w:tblLayout w:type="fixed"/>
        <w:tblLook w:val="04A0" w:firstRow="1" w:lastRow="0" w:firstColumn="1" w:lastColumn="0" w:noHBand="0" w:noVBand="1"/>
      </w:tblPr>
      <w:tblGrid>
        <w:gridCol w:w="4573"/>
        <w:gridCol w:w="984"/>
        <w:gridCol w:w="820"/>
        <w:gridCol w:w="820"/>
        <w:gridCol w:w="820"/>
        <w:gridCol w:w="1337"/>
      </w:tblGrid>
      <w:tr w:rsidR="00107172" w:rsidRPr="000F7953" w14:paraId="25C1576B" w14:textId="77777777" w:rsidTr="00567061">
        <w:trPr>
          <w:cantSplit/>
        </w:trPr>
        <w:tc>
          <w:tcPr>
            <w:tcW w:w="4573" w:type="dxa"/>
            <w:vAlign w:val="center"/>
            <w:hideMark/>
          </w:tcPr>
          <w:p w14:paraId="164F4AA0" w14:textId="77777777" w:rsidR="00107172" w:rsidRPr="000F7953" w:rsidRDefault="00107172"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Indicador</w:t>
            </w:r>
          </w:p>
        </w:tc>
        <w:tc>
          <w:tcPr>
            <w:tcW w:w="984" w:type="dxa"/>
            <w:vAlign w:val="center"/>
            <w:hideMark/>
          </w:tcPr>
          <w:p w14:paraId="2E5269BF" w14:textId="3650C996" w:rsidR="00107172" w:rsidRPr="000F7953" w:rsidRDefault="00FA25A6"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Referencia</w:t>
            </w:r>
          </w:p>
        </w:tc>
        <w:tc>
          <w:tcPr>
            <w:tcW w:w="820" w:type="dxa"/>
            <w:vAlign w:val="center"/>
            <w:hideMark/>
          </w:tcPr>
          <w:p w14:paraId="2AAF904A" w14:textId="77777777" w:rsidR="00107172" w:rsidRPr="000F7953" w:rsidRDefault="00107172"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COP13</w:t>
            </w:r>
          </w:p>
        </w:tc>
        <w:tc>
          <w:tcPr>
            <w:tcW w:w="820" w:type="dxa"/>
            <w:vAlign w:val="center"/>
            <w:hideMark/>
          </w:tcPr>
          <w:p w14:paraId="2C3F40CC" w14:textId="77777777" w:rsidR="00107172" w:rsidRPr="000F7953" w:rsidRDefault="00107172"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COP14</w:t>
            </w:r>
          </w:p>
        </w:tc>
        <w:tc>
          <w:tcPr>
            <w:tcW w:w="820" w:type="dxa"/>
            <w:vAlign w:val="center"/>
            <w:hideMark/>
          </w:tcPr>
          <w:p w14:paraId="11A5AAC1" w14:textId="77777777" w:rsidR="00107172" w:rsidRPr="000F7953" w:rsidRDefault="00107172"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COP15</w:t>
            </w:r>
          </w:p>
        </w:tc>
        <w:tc>
          <w:tcPr>
            <w:tcW w:w="1337" w:type="dxa"/>
            <w:vAlign w:val="center"/>
            <w:hideMark/>
          </w:tcPr>
          <w:p w14:paraId="1B945D05" w14:textId="77777777" w:rsidR="00107172" w:rsidRPr="000F7953" w:rsidRDefault="00107172"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Tendencia</w:t>
            </w:r>
          </w:p>
        </w:tc>
      </w:tr>
      <w:tr w:rsidR="00107172" w:rsidRPr="000F7953" w14:paraId="35E0EA8F" w14:textId="77777777" w:rsidTr="00567061">
        <w:trPr>
          <w:cantSplit/>
        </w:trPr>
        <w:tc>
          <w:tcPr>
            <w:tcW w:w="4573" w:type="dxa"/>
            <w:hideMark/>
          </w:tcPr>
          <w:p w14:paraId="05436C1B" w14:textId="278356BB" w:rsidR="00107172" w:rsidRPr="000F7953" w:rsidRDefault="00107172" w:rsidP="00CD3F6B">
            <w:pPr>
              <w:rPr>
                <w:rFonts w:asciiTheme="minorHAnsi" w:eastAsia="Aptos" w:hAnsiTheme="minorHAnsi" w:cstheme="minorHAnsi"/>
                <w:sz w:val="22"/>
                <w:szCs w:val="22"/>
              </w:rPr>
            </w:pPr>
            <w:r w:rsidRPr="000F7953">
              <w:rPr>
                <w:rFonts w:asciiTheme="minorHAnsi" w:hAnsiTheme="minorHAnsi" w:cstheme="minorHAnsi"/>
                <w:sz w:val="22"/>
                <w:szCs w:val="22"/>
              </w:rPr>
              <w:t>Porcentaje de Partes que han realizado una evaluación de los servicios de los ecosistemas proporcionados por los Humedales de Importancia Internacional.</w:t>
            </w:r>
          </w:p>
        </w:tc>
        <w:tc>
          <w:tcPr>
            <w:tcW w:w="984" w:type="dxa"/>
            <w:hideMark/>
          </w:tcPr>
          <w:p w14:paraId="69C86A77" w14:textId="25ED15DB" w:rsidR="00107172" w:rsidRPr="000F7953" w:rsidRDefault="00107172"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19</w:t>
            </w:r>
            <w:r w:rsidR="005601CD" w:rsidRPr="000F7953">
              <w:rPr>
                <w:rFonts w:asciiTheme="minorHAnsi" w:hAnsiTheme="minorHAnsi" w:cstheme="minorHAnsi"/>
                <w:b/>
                <w:bCs/>
                <w:sz w:val="22"/>
                <w:szCs w:val="22"/>
              </w:rPr>
              <w:t> %</w:t>
            </w:r>
          </w:p>
        </w:tc>
        <w:tc>
          <w:tcPr>
            <w:tcW w:w="820" w:type="dxa"/>
            <w:hideMark/>
          </w:tcPr>
          <w:p w14:paraId="48A94081" w14:textId="391580C2" w:rsidR="00107172" w:rsidRPr="000F7953" w:rsidRDefault="00107172"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24</w:t>
            </w:r>
            <w:r w:rsidR="005601CD" w:rsidRPr="000F7953">
              <w:rPr>
                <w:rFonts w:asciiTheme="minorHAnsi" w:hAnsiTheme="minorHAnsi" w:cstheme="minorHAnsi"/>
                <w:b/>
                <w:bCs/>
                <w:sz w:val="22"/>
                <w:szCs w:val="22"/>
              </w:rPr>
              <w:t> %</w:t>
            </w:r>
          </w:p>
        </w:tc>
        <w:tc>
          <w:tcPr>
            <w:tcW w:w="820" w:type="dxa"/>
            <w:hideMark/>
          </w:tcPr>
          <w:p w14:paraId="201C7692" w14:textId="632A97B1" w:rsidR="00107172" w:rsidRPr="000F7953" w:rsidRDefault="00107172"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32</w:t>
            </w:r>
            <w:r w:rsidR="005601CD" w:rsidRPr="000F7953">
              <w:rPr>
                <w:rFonts w:asciiTheme="minorHAnsi" w:hAnsiTheme="minorHAnsi" w:cstheme="minorHAnsi"/>
                <w:b/>
                <w:bCs/>
                <w:sz w:val="22"/>
                <w:szCs w:val="22"/>
              </w:rPr>
              <w:t> %</w:t>
            </w:r>
          </w:p>
        </w:tc>
        <w:tc>
          <w:tcPr>
            <w:tcW w:w="820" w:type="dxa"/>
            <w:hideMark/>
          </w:tcPr>
          <w:p w14:paraId="7EFD937B" w14:textId="4A3AA6D7" w:rsidR="00107172" w:rsidRPr="000F7953" w:rsidRDefault="00107172"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22</w:t>
            </w:r>
            <w:r w:rsidR="005601CD" w:rsidRPr="000F7953">
              <w:rPr>
                <w:rFonts w:asciiTheme="minorHAnsi" w:hAnsiTheme="minorHAnsi" w:cstheme="minorHAnsi"/>
                <w:b/>
                <w:bCs/>
                <w:sz w:val="22"/>
                <w:szCs w:val="22"/>
              </w:rPr>
              <w:t> %</w:t>
            </w:r>
          </w:p>
        </w:tc>
        <w:tc>
          <w:tcPr>
            <w:tcW w:w="1337" w:type="dxa"/>
            <w:vAlign w:val="center"/>
            <w:hideMark/>
          </w:tcPr>
          <w:p w14:paraId="610FCAB8" w14:textId="614CF767" w:rsidR="00107172" w:rsidRPr="000F7953" w:rsidRDefault="0056495A" w:rsidP="00567061">
            <w:pPr>
              <w:jc w:val="center"/>
              <w:rPr>
                <w:rFonts w:asciiTheme="minorHAnsi" w:eastAsia="Aptos" w:hAnsiTheme="minorHAnsi" w:cstheme="minorHAnsi"/>
                <w:b/>
                <w:bCs/>
                <w:sz w:val="22"/>
                <w:szCs w:val="22"/>
              </w:rPr>
            </w:pPr>
            <w:r w:rsidRPr="000F7953">
              <w:rPr>
                <w:rFonts w:asciiTheme="minorHAnsi" w:hAnsiTheme="minorHAnsi" w:cstheme="minorHAnsi"/>
                <w:noProof/>
                <w:sz w:val="22"/>
                <w:szCs w:val="22"/>
              </w:rPr>
              <w:drawing>
                <wp:inline distT="0" distB="0" distL="0" distR="0" wp14:anchorId="608DE4FB" wp14:editId="2150D0EB">
                  <wp:extent cx="712200" cy="432000"/>
                  <wp:effectExtent l="0" t="0" r="0" b="0"/>
                  <wp:docPr id="129269508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107172" w:rsidRPr="000F7953" w14:paraId="71A83525" w14:textId="77777777" w:rsidTr="00567061">
        <w:trPr>
          <w:cantSplit/>
        </w:trPr>
        <w:tc>
          <w:tcPr>
            <w:tcW w:w="4573" w:type="dxa"/>
          </w:tcPr>
          <w:p w14:paraId="10933124" w14:textId="74A308DD" w:rsidR="00107172" w:rsidRPr="000F7953" w:rsidRDefault="00107172" w:rsidP="00CD3F6B">
            <w:pPr>
              <w:rPr>
                <w:rFonts w:asciiTheme="minorHAnsi" w:eastAsia="Aptos" w:hAnsiTheme="minorHAnsi" w:cstheme="minorHAnsi"/>
                <w:sz w:val="22"/>
                <w:szCs w:val="22"/>
              </w:rPr>
            </w:pPr>
            <w:r w:rsidRPr="000F7953">
              <w:rPr>
                <w:rFonts w:asciiTheme="minorHAnsi" w:hAnsiTheme="minorHAnsi" w:cstheme="minorHAnsi"/>
                <w:sz w:val="22"/>
                <w:szCs w:val="22"/>
              </w:rPr>
              <w:t>Porcentaje de Partes que han incorporado cuestiones relativas a los humedales en sus estrategias para la erradicación de la pobreza.</w:t>
            </w:r>
          </w:p>
        </w:tc>
        <w:tc>
          <w:tcPr>
            <w:tcW w:w="984" w:type="dxa"/>
          </w:tcPr>
          <w:p w14:paraId="5E2B8872" w14:textId="1B8243A3" w:rsidR="00107172" w:rsidRPr="000F7953" w:rsidRDefault="00107172"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39</w:t>
            </w:r>
            <w:r w:rsidR="005601CD" w:rsidRPr="000F7953">
              <w:rPr>
                <w:rFonts w:asciiTheme="minorHAnsi" w:hAnsiTheme="minorHAnsi" w:cstheme="minorHAnsi"/>
                <w:b/>
                <w:bCs/>
                <w:sz w:val="22"/>
                <w:szCs w:val="22"/>
              </w:rPr>
              <w:t> %</w:t>
            </w:r>
          </w:p>
        </w:tc>
        <w:tc>
          <w:tcPr>
            <w:tcW w:w="820" w:type="dxa"/>
          </w:tcPr>
          <w:p w14:paraId="471E69D6" w14:textId="3F7FEC2D" w:rsidR="00107172" w:rsidRPr="000F7953" w:rsidRDefault="00107172"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30</w:t>
            </w:r>
            <w:r w:rsidR="005601CD" w:rsidRPr="000F7953">
              <w:rPr>
                <w:rFonts w:asciiTheme="minorHAnsi" w:hAnsiTheme="minorHAnsi" w:cstheme="minorHAnsi"/>
                <w:b/>
                <w:bCs/>
                <w:sz w:val="22"/>
                <w:szCs w:val="22"/>
              </w:rPr>
              <w:t> %</w:t>
            </w:r>
          </w:p>
        </w:tc>
        <w:tc>
          <w:tcPr>
            <w:tcW w:w="820" w:type="dxa"/>
          </w:tcPr>
          <w:p w14:paraId="74CF0A36" w14:textId="391596A1" w:rsidR="00107172" w:rsidRPr="000F7953" w:rsidRDefault="00107172"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31</w:t>
            </w:r>
            <w:r w:rsidR="005601CD" w:rsidRPr="000F7953">
              <w:rPr>
                <w:rFonts w:asciiTheme="minorHAnsi" w:hAnsiTheme="minorHAnsi" w:cstheme="minorHAnsi"/>
                <w:b/>
                <w:bCs/>
                <w:sz w:val="22"/>
                <w:szCs w:val="22"/>
              </w:rPr>
              <w:t> %</w:t>
            </w:r>
          </w:p>
        </w:tc>
        <w:tc>
          <w:tcPr>
            <w:tcW w:w="820" w:type="dxa"/>
          </w:tcPr>
          <w:p w14:paraId="45C7A0CB" w14:textId="1FA2C835" w:rsidR="00107172" w:rsidRPr="000F7953" w:rsidRDefault="00107172"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32</w:t>
            </w:r>
            <w:r w:rsidR="005601CD" w:rsidRPr="000F7953">
              <w:rPr>
                <w:rFonts w:asciiTheme="minorHAnsi" w:hAnsiTheme="minorHAnsi" w:cstheme="minorHAnsi"/>
                <w:b/>
                <w:bCs/>
                <w:sz w:val="22"/>
                <w:szCs w:val="22"/>
              </w:rPr>
              <w:t> %</w:t>
            </w:r>
          </w:p>
        </w:tc>
        <w:tc>
          <w:tcPr>
            <w:tcW w:w="1337" w:type="dxa"/>
            <w:vAlign w:val="center"/>
          </w:tcPr>
          <w:p w14:paraId="16706A3C" w14:textId="215FECCC" w:rsidR="00107172" w:rsidRPr="000F7953" w:rsidRDefault="00BD0DBC" w:rsidP="00567061">
            <w:pPr>
              <w:jc w:val="center"/>
              <w:rPr>
                <w:rFonts w:asciiTheme="minorHAnsi" w:eastAsia="Aptos" w:hAnsiTheme="minorHAnsi" w:cstheme="minorHAnsi"/>
                <w:sz w:val="22"/>
                <w:szCs w:val="22"/>
              </w:rPr>
            </w:pPr>
            <w:r w:rsidRPr="000F7953">
              <w:rPr>
                <w:rFonts w:asciiTheme="minorHAnsi" w:hAnsiTheme="minorHAnsi" w:cstheme="minorHAnsi"/>
                <w:noProof/>
                <w:sz w:val="22"/>
                <w:szCs w:val="22"/>
              </w:rPr>
              <w:drawing>
                <wp:inline distT="0" distB="0" distL="0" distR="0" wp14:anchorId="6BD1AC76" wp14:editId="72CC18EB">
                  <wp:extent cx="712200" cy="432000"/>
                  <wp:effectExtent l="0" t="0" r="0" b="0"/>
                  <wp:docPr id="159282511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107172" w:rsidRPr="000F7953" w14:paraId="7D93448B" w14:textId="77777777" w:rsidTr="00567061">
        <w:trPr>
          <w:cantSplit/>
        </w:trPr>
        <w:tc>
          <w:tcPr>
            <w:tcW w:w="4573" w:type="dxa"/>
          </w:tcPr>
          <w:p w14:paraId="5D0BB2DE" w14:textId="2D980AAF" w:rsidR="00107172" w:rsidRPr="000F7953" w:rsidRDefault="00107172" w:rsidP="00CD3F6B">
            <w:pPr>
              <w:rPr>
                <w:rFonts w:asciiTheme="minorHAnsi" w:eastAsia="Aptos" w:hAnsiTheme="minorHAnsi" w:cstheme="minorHAnsi"/>
                <w:sz w:val="22"/>
                <w:szCs w:val="22"/>
              </w:rPr>
            </w:pPr>
            <w:r w:rsidRPr="000F7953">
              <w:rPr>
                <w:rFonts w:asciiTheme="minorHAnsi" w:hAnsiTheme="minorHAnsi" w:cstheme="minorHAnsi"/>
                <w:sz w:val="22"/>
                <w:szCs w:val="22"/>
              </w:rPr>
              <w:t>Porcentaje de Partes que han aplicado programas o proyectos que contribuyen a objetivos de reducción de la pobreza o planes de seguridad alimentaria y del agua.</w:t>
            </w:r>
          </w:p>
        </w:tc>
        <w:tc>
          <w:tcPr>
            <w:tcW w:w="984" w:type="dxa"/>
          </w:tcPr>
          <w:p w14:paraId="53ADA0E8" w14:textId="4231C8AB" w:rsidR="00107172" w:rsidRPr="000F7953" w:rsidRDefault="00107172"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42</w:t>
            </w:r>
            <w:r w:rsidR="005601CD" w:rsidRPr="000F7953">
              <w:rPr>
                <w:rFonts w:asciiTheme="minorHAnsi" w:hAnsiTheme="minorHAnsi" w:cstheme="minorHAnsi"/>
                <w:b/>
                <w:bCs/>
                <w:sz w:val="22"/>
                <w:szCs w:val="22"/>
              </w:rPr>
              <w:t> %</w:t>
            </w:r>
          </w:p>
        </w:tc>
        <w:tc>
          <w:tcPr>
            <w:tcW w:w="820" w:type="dxa"/>
          </w:tcPr>
          <w:p w14:paraId="4702C6F6" w14:textId="21BCD693" w:rsidR="00107172" w:rsidRPr="000F7953" w:rsidRDefault="00107172"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33</w:t>
            </w:r>
            <w:r w:rsidR="005601CD" w:rsidRPr="000F7953">
              <w:rPr>
                <w:rFonts w:asciiTheme="minorHAnsi" w:hAnsiTheme="minorHAnsi" w:cstheme="minorHAnsi"/>
                <w:b/>
                <w:bCs/>
                <w:sz w:val="22"/>
                <w:szCs w:val="22"/>
              </w:rPr>
              <w:t> %</w:t>
            </w:r>
          </w:p>
        </w:tc>
        <w:tc>
          <w:tcPr>
            <w:tcW w:w="820" w:type="dxa"/>
          </w:tcPr>
          <w:p w14:paraId="5097ADAC" w14:textId="30901711" w:rsidR="00107172" w:rsidRPr="000F7953" w:rsidRDefault="00107172"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32</w:t>
            </w:r>
            <w:r w:rsidR="005601CD" w:rsidRPr="000F7953">
              <w:rPr>
                <w:rFonts w:asciiTheme="minorHAnsi" w:hAnsiTheme="minorHAnsi" w:cstheme="minorHAnsi"/>
                <w:b/>
                <w:bCs/>
                <w:sz w:val="22"/>
                <w:szCs w:val="22"/>
              </w:rPr>
              <w:t> %</w:t>
            </w:r>
          </w:p>
        </w:tc>
        <w:tc>
          <w:tcPr>
            <w:tcW w:w="820" w:type="dxa"/>
          </w:tcPr>
          <w:p w14:paraId="65EE854F" w14:textId="606B7037" w:rsidR="00107172" w:rsidRPr="000F7953" w:rsidRDefault="00107172"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30</w:t>
            </w:r>
            <w:r w:rsidR="005601CD" w:rsidRPr="000F7953">
              <w:rPr>
                <w:rFonts w:asciiTheme="minorHAnsi" w:hAnsiTheme="minorHAnsi" w:cstheme="minorHAnsi"/>
                <w:b/>
                <w:bCs/>
                <w:sz w:val="22"/>
                <w:szCs w:val="22"/>
              </w:rPr>
              <w:t> %</w:t>
            </w:r>
          </w:p>
        </w:tc>
        <w:tc>
          <w:tcPr>
            <w:tcW w:w="1337" w:type="dxa"/>
            <w:vAlign w:val="center"/>
          </w:tcPr>
          <w:p w14:paraId="0A7D2223" w14:textId="7FEE4DC9" w:rsidR="00107172" w:rsidRPr="000F7953" w:rsidRDefault="00AE459F" w:rsidP="00567061">
            <w:pPr>
              <w:jc w:val="center"/>
              <w:rPr>
                <w:rFonts w:asciiTheme="minorHAnsi" w:eastAsia="Aptos" w:hAnsiTheme="minorHAnsi" w:cstheme="minorHAnsi"/>
                <w:sz w:val="22"/>
                <w:szCs w:val="22"/>
              </w:rPr>
            </w:pPr>
            <w:r w:rsidRPr="000F7953">
              <w:rPr>
                <w:rFonts w:asciiTheme="minorHAnsi" w:hAnsiTheme="minorHAnsi" w:cstheme="minorHAnsi"/>
                <w:noProof/>
                <w:sz w:val="22"/>
                <w:szCs w:val="22"/>
              </w:rPr>
              <w:drawing>
                <wp:inline distT="0" distB="0" distL="0" distR="0" wp14:anchorId="6F72B572" wp14:editId="4F09AFF1">
                  <wp:extent cx="712200" cy="432000"/>
                  <wp:effectExtent l="0" t="0" r="0" b="0"/>
                  <wp:docPr id="194599671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bl>
    <w:p w14:paraId="5D1323AF" w14:textId="77777777" w:rsidR="00FB380C" w:rsidRPr="000F7953" w:rsidRDefault="00FB380C" w:rsidP="00CD3F6B">
      <w:pPr>
        <w:rPr>
          <w:rFonts w:asciiTheme="minorHAnsi" w:hAnsiTheme="minorHAnsi" w:cstheme="minorHAnsi"/>
          <w:b/>
          <w:bCs/>
          <w:sz w:val="22"/>
          <w:szCs w:val="22"/>
        </w:rPr>
      </w:pPr>
    </w:p>
    <w:p w14:paraId="0800B93E" w14:textId="1CC8A88C" w:rsidR="00FE0490" w:rsidRPr="000F7953" w:rsidRDefault="00D20CE6" w:rsidP="00D1463B">
      <w:pPr>
        <w:keepNext/>
        <w:rPr>
          <w:rFonts w:asciiTheme="minorHAnsi" w:hAnsiTheme="minorHAnsi" w:cstheme="minorHAnsi"/>
          <w:i/>
          <w:iCs/>
          <w:sz w:val="22"/>
          <w:szCs w:val="22"/>
          <w:u w:val="single"/>
        </w:rPr>
      </w:pPr>
      <w:r w:rsidRPr="000F7953">
        <w:rPr>
          <w:rFonts w:asciiTheme="minorHAnsi" w:hAnsiTheme="minorHAnsi" w:cstheme="minorHAnsi"/>
          <w:i/>
          <w:iCs/>
          <w:sz w:val="22"/>
          <w:szCs w:val="22"/>
          <w:u w:val="single"/>
        </w:rPr>
        <w:t xml:space="preserve">Resumen de los progresos realizados </w:t>
      </w:r>
    </w:p>
    <w:p w14:paraId="3069E236" w14:textId="77777777" w:rsidR="00384926" w:rsidRPr="000F7953" w:rsidRDefault="00384926" w:rsidP="00D1463B">
      <w:pPr>
        <w:keepNext/>
        <w:ind w:left="426" w:hanging="426"/>
        <w:rPr>
          <w:rFonts w:asciiTheme="minorHAnsi" w:hAnsiTheme="minorHAnsi" w:cstheme="minorHAnsi"/>
          <w:sz w:val="22"/>
          <w:szCs w:val="22"/>
        </w:rPr>
      </w:pPr>
    </w:p>
    <w:p w14:paraId="797F79FF" w14:textId="2C2D90B6" w:rsidR="00A837AD" w:rsidRPr="000F7953" w:rsidRDefault="00515041"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t>68.</w:t>
      </w:r>
      <w:r w:rsidRPr="000F7953">
        <w:rPr>
          <w:rFonts w:asciiTheme="minorHAnsi" w:hAnsiTheme="minorHAnsi" w:cstheme="minorHAnsi"/>
          <w:sz w:val="22"/>
          <w:szCs w:val="22"/>
        </w:rPr>
        <w:tab/>
        <w:t>Los informes nacionales indican se ha avanzado de manera general en el reconocimiento y la comunicación de las funciones, los servicios y los beneficios de los humedales. La proporción de Partes Contratantes que afirman haber llevado a cabo evaluaciones de los servicios de los ecosistemas proporcionados por los Humedales de Importancia Internacional u otros humedales ha aumentado ligeramente a lo largo de la duración del PE4, aunque con una reducción desde la COP14. Ha habido un aumento de la proporción de Partes que comunican evaluaciones parciales, las cuales pasaron del 37</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en la COP13 al 49</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en la COP15. Aproximadamente la mitad de las Partes también afirman haber tenido en cuenta los valores socioeconómicos y culturales de los humedales en la planificación del manejo de los Humedales de Importancia Internacional, así como de otros humedales. </w:t>
      </w:r>
    </w:p>
    <w:p w14:paraId="0D733C25" w14:textId="77777777" w:rsidR="00D96908" w:rsidRPr="000F7953" w:rsidRDefault="00D96908" w:rsidP="00257025">
      <w:pPr>
        <w:ind w:left="567" w:hanging="567"/>
        <w:rPr>
          <w:rFonts w:asciiTheme="minorHAnsi" w:hAnsiTheme="minorHAnsi" w:cstheme="minorHAnsi"/>
          <w:sz w:val="22"/>
          <w:szCs w:val="22"/>
        </w:rPr>
      </w:pPr>
    </w:p>
    <w:p w14:paraId="3A581F88" w14:textId="6871B9B4" w:rsidR="00D96908" w:rsidRPr="000F7953" w:rsidRDefault="002E1E29"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t>69.</w:t>
      </w:r>
      <w:r w:rsidRPr="000F7953">
        <w:rPr>
          <w:rFonts w:asciiTheme="minorHAnsi" w:hAnsiTheme="minorHAnsi" w:cstheme="minorHAnsi"/>
          <w:sz w:val="22"/>
          <w:szCs w:val="22"/>
        </w:rPr>
        <w:tab/>
        <w:t>En las respuestas descriptivas, las Partes Contratantes de África citan con frecuencia limitaciones financieras y técnicas; las de América Latina y el Caribe destacan el papel de los conocimientos culturales y tradicionales, pero señalan problemas de gobernanza. Los informes nacionales de las Partes de Asia reflejan una creciente innovación en materia de políticas, mientras que las de Oceanía destacan la importancia de los conocimientos indígenas, pero señalan una aplicación poco sistemática. Las partes de Europa suelen hacer referencia a marcos y metodologías establecidos.</w:t>
      </w:r>
    </w:p>
    <w:p w14:paraId="422A47C8" w14:textId="77777777" w:rsidR="00DC4E6E" w:rsidRPr="000F7953" w:rsidRDefault="00DC4E6E" w:rsidP="00257025">
      <w:pPr>
        <w:ind w:left="567" w:hanging="567"/>
        <w:rPr>
          <w:rFonts w:asciiTheme="minorHAnsi" w:hAnsiTheme="minorHAnsi" w:cstheme="minorHAnsi"/>
          <w:sz w:val="22"/>
          <w:szCs w:val="22"/>
        </w:rPr>
      </w:pPr>
    </w:p>
    <w:p w14:paraId="478ACFFC" w14:textId="3F2C17FE" w:rsidR="00D96908" w:rsidRPr="000F7953" w:rsidRDefault="000E3338"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lastRenderedPageBreak/>
        <w:t>70.</w:t>
      </w:r>
      <w:r w:rsidRPr="000F7953">
        <w:rPr>
          <w:rFonts w:asciiTheme="minorHAnsi" w:hAnsiTheme="minorHAnsi" w:cstheme="minorHAnsi"/>
          <w:sz w:val="22"/>
          <w:szCs w:val="22"/>
        </w:rPr>
        <w:tab/>
        <w:t>Sin embargo, en los últimos tres trienios se ha avanzado poco en la incorporación de las cuestiones relativas a los humedales en las estrategias de erradicación de la pobreza y en la ejecución de programas o proyectos sobre humedales que contribuyan a la seguridad alimentaria e hídrica. Aunque los humedales se valoran cada vez más, la integración de estos valores en las políticas y la planificación a nivel nacional sigue siendo limitada. Una proporción significativamente mayor de Partes Contratantes (47</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informa de la ejecución de programas o proyectos sobre humedales que contribuyen a otros beneficios para el bienestar humano, mientras que un 21</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lo ha hecho parcialmente. </w:t>
      </w:r>
    </w:p>
    <w:p w14:paraId="2944ACE4" w14:textId="77777777" w:rsidR="008A5E8C" w:rsidRPr="000F7953" w:rsidRDefault="008A5E8C" w:rsidP="00257025">
      <w:pPr>
        <w:ind w:left="567" w:hanging="567"/>
        <w:rPr>
          <w:rFonts w:asciiTheme="minorHAnsi" w:hAnsiTheme="minorHAnsi" w:cstheme="minorHAnsi"/>
          <w:sz w:val="22"/>
          <w:szCs w:val="22"/>
        </w:rPr>
      </w:pPr>
    </w:p>
    <w:p w14:paraId="1C9278C7" w14:textId="0F4EEDD4" w:rsidR="008A5E8C" w:rsidRPr="000F7953" w:rsidRDefault="000E3338"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t>71.</w:t>
      </w:r>
      <w:r w:rsidRPr="000F7953">
        <w:rPr>
          <w:rFonts w:asciiTheme="minorHAnsi" w:hAnsiTheme="minorHAnsi" w:cstheme="minorHAnsi"/>
          <w:sz w:val="22"/>
          <w:szCs w:val="22"/>
        </w:rPr>
        <w:tab/>
        <w:t xml:space="preserve">Entre las prioridades para reforzar la aplicación de la Convención en el futuro que se ponen de manifiesto en los informes nacionales figuran la mejora de la capacitación y la movilización de recursos. Más de la mitad de las Partes Contratantes mencionan la escasez de recursos financieros y técnicos, especialmente en África y América Latina y el Caribe, y la mejora de la gobernanza y la coordinación intersectorial. Las Partes de Oceanía y América Latina y el Caribe hacen especial hincapié en que la integración de los conocimientos indígenas y locales puede garantizar un manejo más inclusivo y eficaz de los humedales. </w:t>
      </w:r>
    </w:p>
    <w:p w14:paraId="3A3018C0" w14:textId="77777777" w:rsidR="008A5E8C" w:rsidRPr="000F7953" w:rsidRDefault="008A5E8C" w:rsidP="00A338FF">
      <w:pPr>
        <w:rPr>
          <w:rFonts w:asciiTheme="minorHAnsi" w:hAnsiTheme="minorHAnsi" w:cstheme="minorHAnsi"/>
        </w:rPr>
      </w:pPr>
    </w:p>
    <w:p w14:paraId="1997DBD7" w14:textId="77777777" w:rsidR="00C76214" w:rsidRPr="000F7953" w:rsidRDefault="00C76214" w:rsidP="00CD3F6B">
      <w:pPr>
        <w:rPr>
          <w:rFonts w:asciiTheme="minorHAnsi" w:hAnsiTheme="minorHAnsi" w:cstheme="minorHAnsi"/>
          <w:sz w:val="22"/>
          <w:szCs w:val="22"/>
        </w:rPr>
      </w:pPr>
    </w:p>
    <w:tbl>
      <w:tblPr>
        <w:tblStyle w:val="TableGrid16"/>
        <w:tblW w:w="9354" w:type="dxa"/>
        <w:tblLook w:val="04A0" w:firstRow="1" w:lastRow="0" w:firstColumn="1" w:lastColumn="0" w:noHBand="0" w:noVBand="1"/>
      </w:tblPr>
      <w:tblGrid>
        <w:gridCol w:w="9354"/>
      </w:tblGrid>
      <w:tr w:rsidR="00C76214" w:rsidRPr="000F7953" w14:paraId="078AA56B" w14:textId="77777777" w:rsidTr="003E56FD">
        <w:tc>
          <w:tcPr>
            <w:tcW w:w="9354" w:type="dxa"/>
            <w:vAlign w:val="center"/>
          </w:tcPr>
          <w:p w14:paraId="1FAEF86B" w14:textId="77777777" w:rsidR="00E30BE2" w:rsidRPr="000F7953" w:rsidRDefault="00C76214" w:rsidP="008A3659">
            <w:pPr>
              <w:keepNext/>
              <w:spacing w:before="120" w:after="120"/>
              <w:rPr>
                <w:rFonts w:asciiTheme="minorHAnsi" w:hAnsiTheme="minorHAnsi" w:cstheme="minorHAnsi"/>
                <w:b/>
                <w:sz w:val="22"/>
                <w:szCs w:val="22"/>
              </w:rPr>
            </w:pPr>
            <w:r w:rsidRPr="000F7953">
              <w:rPr>
                <w:rFonts w:asciiTheme="minorHAnsi" w:hAnsiTheme="minorHAnsi" w:cstheme="minorHAnsi"/>
                <w:b/>
                <w:sz w:val="22"/>
                <w:szCs w:val="22"/>
              </w:rPr>
              <w:t xml:space="preserve">Meta 12. La restauración está en curso en los humedales degradados, dando prioridad a los humedales importantes para la conservación de la biodiversidad, la reducción del riesgo de desastres, los medios de vida y/o la mitigación del cambio climático y la adaptación a este. </w:t>
            </w:r>
          </w:p>
          <w:p w14:paraId="2C745FC4" w14:textId="58AAD366" w:rsidR="00C76214" w:rsidRPr="000F7953" w:rsidRDefault="00C41757" w:rsidP="008A3659">
            <w:pPr>
              <w:keepNext/>
              <w:spacing w:before="120" w:after="120"/>
              <w:rPr>
                <w:rFonts w:asciiTheme="minorHAnsi" w:hAnsiTheme="minorHAnsi" w:cstheme="minorHAnsi"/>
                <w:bCs/>
                <w:sz w:val="22"/>
                <w:szCs w:val="22"/>
              </w:rPr>
            </w:pPr>
            <w:r w:rsidRPr="000F7953">
              <w:rPr>
                <w:rFonts w:asciiTheme="minorHAnsi" w:hAnsiTheme="minorHAnsi" w:cstheme="minorHAnsi"/>
                <w:bCs/>
                <w:sz w:val="22"/>
                <w:szCs w:val="22"/>
              </w:rPr>
              <w:t>Contribuye a las metas 2, 8 y 11 del MMB-KM y a las metas 6.6, 14.2, 14.4, 15.1, 15.2 y 15.3 de los ODS.</w:t>
            </w:r>
          </w:p>
        </w:tc>
      </w:tr>
    </w:tbl>
    <w:p w14:paraId="478CCDC3" w14:textId="77777777" w:rsidR="00197523" w:rsidRPr="000F7953" w:rsidRDefault="00197523" w:rsidP="00D1463B">
      <w:pPr>
        <w:keepNext/>
        <w:rPr>
          <w:rFonts w:asciiTheme="minorHAnsi" w:hAnsiTheme="minorHAnsi" w:cstheme="minorHAnsi"/>
          <w:sz w:val="22"/>
          <w:szCs w:val="22"/>
        </w:rPr>
      </w:pPr>
    </w:p>
    <w:p w14:paraId="5450CD9A" w14:textId="7B068B0C" w:rsidR="00330EC9" w:rsidRPr="000F7953" w:rsidRDefault="00330EC9" w:rsidP="00D1463B">
      <w:pPr>
        <w:keepNext/>
        <w:rPr>
          <w:rFonts w:asciiTheme="minorHAnsi" w:hAnsiTheme="minorHAnsi" w:cstheme="minorHAnsi"/>
          <w:i/>
          <w:iCs/>
          <w:sz w:val="22"/>
          <w:szCs w:val="22"/>
          <w:u w:val="single"/>
        </w:rPr>
      </w:pPr>
      <w:r w:rsidRPr="000F7953">
        <w:rPr>
          <w:rFonts w:asciiTheme="minorHAnsi" w:hAnsiTheme="minorHAnsi" w:cstheme="minorHAnsi"/>
          <w:i/>
          <w:iCs/>
          <w:sz w:val="22"/>
          <w:szCs w:val="22"/>
          <w:u w:val="single"/>
        </w:rPr>
        <w:t>Mensaje clave</w:t>
      </w:r>
    </w:p>
    <w:p w14:paraId="376E852F" w14:textId="77777777" w:rsidR="00197523" w:rsidRPr="000F7953" w:rsidRDefault="00197523" w:rsidP="00D1463B">
      <w:pPr>
        <w:keepNext/>
        <w:rPr>
          <w:rFonts w:asciiTheme="minorHAnsi" w:hAnsiTheme="minorHAnsi" w:cstheme="minorHAnsi"/>
          <w:sz w:val="22"/>
          <w:szCs w:val="22"/>
        </w:rPr>
      </w:pPr>
    </w:p>
    <w:p w14:paraId="7D59296E" w14:textId="7138ED7C" w:rsidR="00180DAC" w:rsidRPr="000F7953" w:rsidRDefault="000E3338"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t>72.</w:t>
      </w:r>
      <w:r w:rsidRPr="000F7953">
        <w:rPr>
          <w:rFonts w:asciiTheme="minorHAnsi" w:hAnsiTheme="minorHAnsi" w:cstheme="minorHAnsi"/>
          <w:sz w:val="22"/>
          <w:szCs w:val="22"/>
        </w:rPr>
        <w:tab/>
        <w:t xml:space="preserve">Aunque muchas Partes Contratantes están tomando medidas para la restauración de humedales, la información sobre sitios prioritarios, metas de restauración y avances en la aplicación, incluida la superficie que está siendo restaurada, es variable y a menudo limitada. </w:t>
      </w:r>
    </w:p>
    <w:p w14:paraId="69AFF4CC" w14:textId="77777777" w:rsidR="008A5E8C" w:rsidRPr="000F7953" w:rsidRDefault="008A5E8C" w:rsidP="00A338FF">
      <w:pPr>
        <w:rPr>
          <w:rFonts w:asciiTheme="minorHAnsi" w:hAnsiTheme="minorHAnsi" w:cstheme="minorHAnsi"/>
        </w:rPr>
      </w:pPr>
    </w:p>
    <w:tbl>
      <w:tblPr>
        <w:tblStyle w:val="TableGrid30"/>
        <w:tblW w:w="9353" w:type="dxa"/>
        <w:tblLook w:val="04A0" w:firstRow="1" w:lastRow="0" w:firstColumn="1" w:lastColumn="0" w:noHBand="0" w:noVBand="1"/>
      </w:tblPr>
      <w:tblGrid>
        <w:gridCol w:w="4081"/>
        <w:gridCol w:w="1182"/>
        <w:gridCol w:w="848"/>
        <w:gridCol w:w="848"/>
        <w:gridCol w:w="848"/>
        <w:gridCol w:w="1546"/>
      </w:tblGrid>
      <w:tr w:rsidR="00107172" w:rsidRPr="000F7953" w14:paraId="542B336B" w14:textId="77777777" w:rsidTr="00567061">
        <w:trPr>
          <w:trHeight w:val="454"/>
        </w:trPr>
        <w:tc>
          <w:tcPr>
            <w:tcW w:w="4252" w:type="dxa"/>
            <w:vAlign w:val="center"/>
            <w:hideMark/>
          </w:tcPr>
          <w:p w14:paraId="635AAFEC" w14:textId="77777777" w:rsidR="00107172" w:rsidRPr="000F7953" w:rsidRDefault="00107172"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Indicador</w:t>
            </w:r>
          </w:p>
        </w:tc>
        <w:tc>
          <w:tcPr>
            <w:tcW w:w="992" w:type="dxa"/>
            <w:vAlign w:val="center"/>
            <w:hideMark/>
          </w:tcPr>
          <w:p w14:paraId="2DE8F087" w14:textId="36EC5AC0" w:rsidR="00107172" w:rsidRPr="000F7953" w:rsidRDefault="00107172"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Referencia</w:t>
            </w:r>
          </w:p>
        </w:tc>
        <w:tc>
          <w:tcPr>
            <w:tcW w:w="850" w:type="dxa"/>
            <w:vAlign w:val="center"/>
            <w:hideMark/>
          </w:tcPr>
          <w:p w14:paraId="5C603752" w14:textId="77777777" w:rsidR="00107172" w:rsidRPr="000F7953" w:rsidRDefault="00107172"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COP13</w:t>
            </w:r>
          </w:p>
        </w:tc>
        <w:tc>
          <w:tcPr>
            <w:tcW w:w="850" w:type="dxa"/>
            <w:vAlign w:val="center"/>
            <w:hideMark/>
          </w:tcPr>
          <w:p w14:paraId="72371B2E" w14:textId="77777777" w:rsidR="00107172" w:rsidRPr="000F7953" w:rsidRDefault="00107172"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COP14</w:t>
            </w:r>
          </w:p>
        </w:tc>
        <w:tc>
          <w:tcPr>
            <w:tcW w:w="850" w:type="dxa"/>
            <w:vAlign w:val="center"/>
            <w:hideMark/>
          </w:tcPr>
          <w:p w14:paraId="471A9E1C" w14:textId="77777777" w:rsidR="00107172" w:rsidRPr="000F7953" w:rsidRDefault="00107172"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COP15</w:t>
            </w:r>
          </w:p>
        </w:tc>
        <w:tc>
          <w:tcPr>
            <w:tcW w:w="1559" w:type="dxa"/>
            <w:vAlign w:val="center"/>
            <w:hideMark/>
          </w:tcPr>
          <w:p w14:paraId="63306F50" w14:textId="77777777" w:rsidR="00107172" w:rsidRPr="000F7953" w:rsidRDefault="00107172"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Tendencia</w:t>
            </w:r>
          </w:p>
        </w:tc>
      </w:tr>
      <w:tr w:rsidR="00107172" w:rsidRPr="000F7953" w14:paraId="68F00706" w14:textId="77777777" w:rsidTr="00567061">
        <w:trPr>
          <w:trHeight w:val="630"/>
        </w:trPr>
        <w:tc>
          <w:tcPr>
            <w:tcW w:w="4252" w:type="dxa"/>
          </w:tcPr>
          <w:p w14:paraId="1860642B" w14:textId="6A9FF719" w:rsidR="00107172" w:rsidRPr="000F7953" w:rsidRDefault="00107172" w:rsidP="00CD3F6B">
            <w:pPr>
              <w:rPr>
                <w:rFonts w:asciiTheme="minorHAnsi" w:eastAsia="Aptos" w:hAnsiTheme="minorHAnsi" w:cstheme="minorHAnsi"/>
                <w:sz w:val="22"/>
                <w:szCs w:val="22"/>
              </w:rPr>
            </w:pPr>
            <w:r w:rsidRPr="000F7953">
              <w:rPr>
                <w:rFonts w:asciiTheme="minorHAnsi" w:hAnsiTheme="minorHAnsi" w:cstheme="minorHAnsi"/>
                <w:sz w:val="22"/>
                <w:szCs w:val="22"/>
              </w:rPr>
              <w:t>Porcentaje de Partes que han establecido planes (o actividades) de restauración para los sitios*.</w:t>
            </w:r>
          </w:p>
        </w:tc>
        <w:tc>
          <w:tcPr>
            <w:tcW w:w="992" w:type="dxa"/>
          </w:tcPr>
          <w:p w14:paraId="34024EDD" w14:textId="5C216CFB" w:rsidR="00107172" w:rsidRPr="000F7953" w:rsidRDefault="00107172"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68</w:t>
            </w:r>
            <w:r w:rsidR="005601CD" w:rsidRPr="000F7953">
              <w:rPr>
                <w:rFonts w:asciiTheme="minorHAnsi" w:hAnsiTheme="minorHAnsi" w:cstheme="minorHAnsi"/>
                <w:b/>
                <w:bCs/>
                <w:sz w:val="22"/>
                <w:szCs w:val="22"/>
              </w:rPr>
              <w:t> %</w:t>
            </w:r>
          </w:p>
        </w:tc>
        <w:tc>
          <w:tcPr>
            <w:tcW w:w="850" w:type="dxa"/>
          </w:tcPr>
          <w:p w14:paraId="57984D26" w14:textId="1203B379" w:rsidR="00107172" w:rsidRPr="000F7953" w:rsidRDefault="00107172"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54</w:t>
            </w:r>
            <w:r w:rsidR="005601CD" w:rsidRPr="000F7953">
              <w:rPr>
                <w:rFonts w:asciiTheme="minorHAnsi" w:hAnsiTheme="minorHAnsi" w:cstheme="minorHAnsi"/>
                <w:b/>
                <w:bCs/>
                <w:sz w:val="22"/>
                <w:szCs w:val="22"/>
              </w:rPr>
              <w:t> %</w:t>
            </w:r>
          </w:p>
        </w:tc>
        <w:tc>
          <w:tcPr>
            <w:tcW w:w="850" w:type="dxa"/>
          </w:tcPr>
          <w:p w14:paraId="08D494FB" w14:textId="7910FC8F" w:rsidR="00107172" w:rsidRPr="000F7953" w:rsidRDefault="00107172"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60</w:t>
            </w:r>
            <w:r w:rsidR="005601CD" w:rsidRPr="000F7953">
              <w:rPr>
                <w:rFonts w:asciiTheme="minorHAnsi" w:hAnsiTheme="minorHAnsi" w:cstheme="minorHAnsi"/>
                <w:b/>
                <w:bCs/>
                <w:sz w:val="22"/>
                <w:szCs w:val="22"/>
              </w:rPr>
              <w:t> %</w:t>
            </w:r>
          </w:p>
        </w:tc>
        <w:tc>
          <w:tcPr>
            <w:tcW w:w="850" w:type="dxa"/>
          </w:tcPr>
          <w:p w14:paraId="5E64236B" w14:textId="2CBB1967" w:rsidR="00107172" w:rsidRPr="000F7953" w:rsidRDefault="00107172"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44</w:t>
            </w:r>
            <w:r w:rsidR="005601CD" w:rsidRPr="000F7953">
              <w:rPr>
                <w:rFonts w:asciiTheme="minorHAnsi" w:hAnsiTheme="minorHAnsi" w:cstheme="minorHAnsi"/>
                <w:b/>
                <w:bCs/>
                <w:sz w:val="22"/>
                <w:szCs w:val="22"/>
              </w:rPr>
              <w:t> %</w:t>
            </w:r>
          </w:p>
        </w:tc>
        <w:tc>
          <w:tcPr>
            <w:tcW w:w="1559" w:type="dxa"/>
          </w:tcPr>
          <w:p w14:paraId="42AFAF97" w14:textId="184F6E10" w:rsidR="00107172" w:rsidRPr="000F7953" w:rsidRDefault="00465883" w:rsidP="00CD3F6B">
            <w:pPr>
              <w:rPr>
                <w:rFonts w:asciiTheme="minorHAnsi" w:eastAsia="Aptos" w:hAnsiTheme="minorHAnsi" w:cstheme="minorHAnsi"/>
                <w:b/>
                <w:bCs/>
                <w:sz w:val="22"/>
                <w:szCs w:val="22"/>
              </w:rPr>
            </w:pPr>
            <w:r w:rsidRPr="000F7953">
              <w:rPr>
                <w:rFonts w:asciiTheme="minorHAnsi" w:hAnsiTheme="minorHAnsi" w:cstheme="minorHAnsi"/>
                <w:noProof/>
                <w:sz w:val="22"/>
                <w:szCs w:val="22"/>
              </w:rPr>
              <w:drawing>
                <wp:inline distT="0" distB="0" distL="0" distR="0" wp14:anchorId="2968208C" wp14:editId="6B4753F8">
                  <wp:extent cx="712200" cy="432000"/>
                  <wp:effectExtent l="0" t="0" r="0" b="0"/>
                  <wp:docPr id="151739904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107172" w:rsidRPr="000F7953" w14:paraId="5127AD5D" w14:textId="77777777" w:rsidTr="00567061">
        <w:trPr>
          <w:trHeight w:val="480"/>
        </w:trPr>
        <w:tc>
          <w:tcPr>
            <w:tcW w:w="4252" w:type="dxa"/>
          </w:tcPr>
          <w:p w14:paraId="5B4A62D8" w14:textId="15D758CB" w:rsidR="00107172" w:rsidRPr="000F7953" w:rsidRDefault="00107172" w:rsidP="00CD3F6B">
            <w:pPr>
              <w:rPr>
                <w:rFonts w:asciiTheme="minorHAnsi" w:eastAsia="Aptos" w:hAnsiTheme="minorHAnsi" w:cstheme="minorHAnsi"/>
                <w:sz w:val="22"/>
                <w:szCs w:val="22"/>
              </w:rPr>
            </w:pPr>
            <w:r w:rsidRPr="000F7953">
              <w:rPr>
                <w:rFonts w:asciiTheme="minorHAnsi" w:hAnsiTheme="minorHAnsi" w:cstheme="minorHAnsi"/>
                <w:sz w:val="22"/>
                <w:szCs w:val="22"/>
              </w:rPr>
              <w:t>Porcentaje de Partes que han aplicado programas de restauración o de rehabilitación eficaces.</w:t>
            </w:r>
          </w:p>
        </w:tc>
        <w:tc>
          <w:tcPr>
            <w:tcW w:w="992" w:type="dxa"/>
          </w:tcPr>
          <w:p w14:paraId="69BEAE07" w14:textId="0C9D9206" w:rsidR="00107172" w:rsidRPr="000F7953" w:rsidRDefault="00107172"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70</w:t>
            </w:r>
            <w:r w:rsidR="005601CD" w:rsidRPr="000F7953">
              <w:rPr>
                <w:rFonts w:asciiTheme="minorHAnsi" w:hAnsiTheme="minorHAnsi" w:cstheme="minorHAnsi"/>
                <w:b/>
                <w:bCs/>
                <w:sz w:val="22"/>
                <w:szCs w:val="22"/>
              </w:rPr>
              <w:t> %</w:t>
            </w:r>
          </w:p>
        </w:tc>
        <w:tc>
          <w:tcPr>
            <w:tcW w:w="850" w:type="dxa"/>
          </w:tcPr>
          <w:p w14:paraId="53273B2D" w14:textId="21986FD0" w:rsidR="00107172" w:rsidRPr="000F7953" w:rsidRDefault="00107172"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43</w:t>
            </w:r>
            <w:r w:rsidR="005601CD" w:rsidRPr="000F7953">
              <w:rPr>
                <w:rFonts w:asciiTheme="minorHAnsi" w:hAnsiTheme="minorHAnsi" w:cstheme="minorHAnsi"/>
                <w:b/>
                <w:bCs/>
                <w:sz w:val="22"/>
                <w:szCs w:val="22"/>
              </w:rPr>
              <w:t> %</w:t>
            </w:r>
          </w:p>
        </w:tc>
        <w:tc>
          <w:tcPr>
            <w:tcW w:w="850" w:type="dxa"/>
          </w:tcPr>
          <w:p w14:paraId="2316181F" w14:textId="3BAE794B" w:rsidR="00107172" w:rsidRPr="000F7953" w:rsidRDefault="00107172"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53</w:t>
            </w:r>
            <w:r w:rsidR="005601CD" w:rsidRPr="000F7953">
              <w:rPr>
                <w:rFonts w:asciiTheme="minorHAnsi" w:hAnsiTheme="minorHAnsi" w:cstheme="minorHAnsi"/>
                <w:b/>
                <w:bCs/>
                <w:sz w:val="22"/>
                <w:szCs w:val="22"/>
              </w:rPr>
              <w:t> %</w:t>
            </w:r>
          </w:p>
        </w:tc>
        <w:tc>
          <w:tcPr>
            <w:tcW w:w="850" w:type="dxa"/>
          </w:tcPr>
          <w:p w14:paraId="21A830E2" w14:textId="770B4AFE" w:rsidR="00107172" w:rsidRPr="000F7953" w:rsidRDefault="00107172"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54</w:t>
            </w:r>
            <w:r w:rsidR="005601CD" w:rsidRPr="000F7953">
              <w:rPr>
                <w:rFonts w:asciiTheme="minorHAnsi" w:hAnsiTheme="minorHAnsi" w:cstheme="minorHAnsi"/>
                <w:b/>
                <w:bCs/>
                <w:sz w:val="22"/>
                <w:szCs w:val="22"/>
              </w:rPr>
              <w:t> %</w:t>
            </w:r>
          </w:p>
        </w:tc>
        <w:tc>
          <w:tcPr>
            <w:tcW w:w="1559" w:type="dxa"/>
          </w:tcPr>
          <w:p w14:paraId="4C681CDA" w14:textId="46CC9428" w:rsidR="00107172" w:rsidRPr="000F7953" w:rsidRDefault="00F60809" w:rsidP="00CD3F6B">
            <w:pPr>
              <w:rPr>
                <w:rFonts w:asciiTheme="minorHAnsi" w:eastAsia="Aptos" w:hAnsiTheme="minorHAnsi" w:cstheme="minorHAnsi"/>
                <w:sz w:val="22"/>
                <w:szCs w:val="22"/>
              </w:rPr>
            </w:pPr>
            <w:r w:rsidRPr="000F7953">
              <w:rPr>
                <w:rFonts w:asciiTheme="minorHAnsi" w:hAnsiTheme="minorHAnsi" w:cstheme="minorHAnsi"/>
                <w:noProof/>
                <w:sz w:val="22"/>
                <w:szCs w:val="22"/>
              </w:rPr>
              <w:drawing>
                <wp:inline distT="0" distB="0" distL="0" distR="0" wp14:anchorId="3408F499" wp14:editId="53F6087B">
                  <wp:extent cx="712200" cy="432000"/>
                  <wp:effectExtent l="0" t="0" r="0" b="0"/>
                  <wp:docPr id="205439294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bl>
    <w:p w14:paraId="11506202" w14:textId="0ABFA956" w:rsidR="00FB380C" w:rsidRPr="000F7953" w:rsidRDefault="002629ED" w:rsidP="00CD3F6B">
      <w:pPr>
        <w:rPr>
          <w:rFonts w:asciiTheme="minorHAnsi" w:hAnsiTheme="minorHAnsi" w:cstheme="minorHAnsi"/>
          <w:sz w:val="22"/>
          <w:szCs w:val="22"/>
        </w:rPr>
      </w:pPr>
      <w:r w:rsidRPr="000F7953">
        <w:rPr>
          <w:rFonts w:asciiTheme="minorHAnsi" w:hAnsiTheme="minorHAnsi" w:cstheme="minorHAnsi"/>
          <w:sz w:val="22"/>
          <w:szCs w:val="22"/>
        </w:rPr>
        <w:t xml:space="preserve">* Los datos presentados son el porcentaje de Partes Contratantes que han identificado sitios prioritarios para la restauración de humedales. </w:t>
      </w:r>
    </w:p>
    <w:p w14:paraId="590B8C42" w14:textId="77777777" w:rsidR="002629ED" w:rsidRPr="000F7953" w:rsidRDefault="002629ED" w:rsidP="00CD3F6B">
      <w:pPr>
        <w:rPr>
          <w:rFonts w:asciiTheme="minorHAnsi" w:hAnsiTheme="minorHAnsi" w:cstheme="minorHAnsi"/>
          <w:sz w:val="22"/>
          <w:szCs w:val="22"/>
        </w:rPr>
      </w:pPr>
    </w:p>
    <w:p w14:paraId="6DA02C2F" w14:textId="063D313B" w:rsidR="00B858B6" w:rsidRPr="000F7953" w:rsidRDefault="00C2577B" w:rsidP="00D1463B">
      <w:pPr>
        <w:keepNext/>
        <w:rPr>
          <w:rFonts w:asciiTheme="minorHAnsi" w:hAnsiTheme="minorHAnsi" w:cstheme="minorHAnsi"/>
          <w:i/>
          <w:iCs/>
          <w:sz w:val="22"/>
          <w:szCs w:val="22"/>
          <w:u w:val="single"/>
        </w:rPr>
      </w:pPr>
      <w:r w:rsidRPr="000F7953">
        <w:rPr>
          <w:rFonts w:asciiTheme="minorHAnsi" w:hAnsiTheme="minorHAnsi" w:cstheme="minorHAnsi"/>
          <w:i/>
          <w:iCs/>
          <w:sz w:val="22"/>
          <w:szCs w:val="22"/>
          <w:u w:val="single"/>
        </w:rPr>
        <w:t xml:space="preserve">Resumen de los progresos realizados </w:t>
      </w:r>
    </w:p>
    <w:p w14:paraId="5A8B2A4B" w14:textId="77777777" w:rsidR="008A5E8C" w:rsidRPr="000F7953" w:rsidRDefault="008A5E8C" w:rsidP="00D1463B">
      <w:pPr>
        <w:keepNext/>
        <w:rPr>
          <w:rFonts w:asciiTheme="minorHAnsi" w:hAnsiTheme="minorHAnsi" w:cstheme="minorHAnsi"/>
          <w:sz w:val="22"/>
          <w:szCs w:val="22"/>
        </w:rPr>
      </w:pPr>
    </w:p>
    <w:p w14:paraId="4C3DE9E9" w14:textId="1F4848E3" w:rsidR="00865C39" w:rsidRPr="000F7953" w:rsidRDefault="000E3338"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t>73.</w:t>
      </w:r>
      <w:r w:rsidRPr="000F7953">
        <w:rPr>
          <w:rFonts w:asciiTheme="minorHAnsi" w:hAnsiTheme="minorHAnsi" w:cstheme="minorHAnsi"/>
          <w:sz w:val="22"/>
          <w:szCs w:val="22"/>
        </w:rPr>
        <w:tab/>
        <w:t>Para la COP15, el 45</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de las Partes Contratantes han establecido metas nacionales de restauración de humedales. Esto es similar en la mayoría de las regiones, con un porcentaje ligeramente inferior de Partes en África. Todas las Partes de América del Norte han establecido objetivos nacionales de restauración. El 21</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de las Partes informan del establecimiento parcial de objetivos nacionales de restauración, y el 16</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se encuentran en fase de planificación. </w:t>
      </w:r>
    </w:p>
    <w:p w14:paraId="59D2A3B4" w14:textId="77777777" w:rsidR="00865C39" w:rsidRPr="000F7953" w:rsidRDefault="00865C39" w:rsidP="00257025">
      <w:pPr>
        <w:ind w:left="567" w:hanging="567"/>
        <w:rPr>
          <w:rFonts w:asciiTheme="minorHAnsi" w:hAnsiTheme="minorHAnsi" w:cstheme="minorHAnsi"/>
          <w:sz w:val="22"/>
          <w:szCs w:val="22"/>
        </w:rPr>
      </w:pPr>
    </w:p>
    <w:p w14:paraId="25E023B9" w14:textId="0ED30741" w:rsidR="00E44C0B" w:rsidRPr="000F7953" w:rsidRDefault="000E3338"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lastRenderedPageBreak/>
        <w:t>74.</w:t>
      </w:r>
      <w:r w:rsidRPr="000F7953">
        <w:rPr>
          <w:rFonts w:asciiTheme="minorHAnsi" w:hAnsiTheme="minorHAnsi" w:cstheme="minorHAnsi"/>
          <w:sz w:val="22"/>
          <w:szCs w:val="22"/>
        </w:rPr>
        <w:tab/>
        <w:t xml:space="preserve">Las Partes Contratantes han notificado compromisos cuantificados de superficies de restauración en dos regiones, principalmente en Europa, pero también en Asia. La superficie total que cubren estos compromisos es de 789 638 km². Las Partes de África y América del Norte han informado sobre actividades de restauración sin aportar datos cuantitativos sobre metas o compromisos. </w:t>
      </w:r>
    </w:p>
    <w:p w14:paraId="4347D631" w14:textId="77777777" w:rsidR="00732979" w:rsidRPr="000F7953" w:rsidRDefault="00732979" w:rsidP="00257025">
      <w:pPr>
        <w:ind w:left="567" w:hanging="567"/>
        <w:rPr>
          <w:rFonts w:asciiTheme="minorHAnsi" w:hAnsiTheme="minorHAnsi" w:cstheme="minorHAnsi"/>
          <w:sz w:val="22"/>
          <w:szCs w:val="22"/>
        </w:rPr>
      </w:pPr>
    </w:p>
    <w:p w14:paraId="46CFEBCB" w14:textId="4E09E5A4" w:rsidR="001249C9" w:rsidRPr="000F7953" w:rsidRDefault="000E3338"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t>75.</w:t>
      </w:r>
      <w:r w:rsidRPr="000F7953">
        <w:rPr>
          <w:rFonts w:asciiTheme="minorHAnsi" w:hAnsiTheme="minorHAnsi" w:cstheme="minorHAnsi"/>
          <w:sz w:val="22"/>
          <w:szCs w:val="22"/>
        </w:rPr>
        <w:tab/>
        <w:t>Sin embargo, la proporción de Partes Contratantes que han identificado sitios prioritarios para la restauración de humedales ha disminuido en los últimos tres trienios y, para la COP15, se sitúa significativamente por debajo del valor de referencia (un 44</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en comparación con el 68</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La proporción de Partes que informan de la identificación parcial de sitios prioritarios ha aumentado, alcanzando el 30</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para la COP15. Poco más de la mitad de las Partes han implementado proyectos de restauración o rehabilitación, con un ligero aumento desde la COP13, pero muy por debajo del valor de referencia del 70</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establecido en el PE4. </w:t>
      </w:r>
    </w:p>
    <w:p w14:paraId="163263E4" w14:textId="77777777" w:rsidR="00ED3E2D" w:rsidRPr="000F7953" w:rsidRDefault="00ED3E2D" w:rsidP="00257025">
      <w:pPr>
        <w:ind w:left="567" w:hanging="567"/>
        <w:rPr>
          <w:rFonts w:asciiTheme="minorHAnsi" w:hAnsiTheme="minorHAnsi" w:cstheme="minorHAnsi"/>
          <w:sz w:val="22"/>
          <w:szCs w:val="22"/>
        </w:rPr>
      </w:pPr>
    </w:p>
    <w:p w14:paraId="1F95478E" w14:textId="738B6E1F" w:rsidR="00772D31" w:rsidRPr="000F7953" w:rsidRDefault="000E3338"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t>76.</w:t>
      </w:r>
      <w:r w:rsidRPr="000F7953">
        <w:rPr>
          <w:rFonts w:asciiTheme="minorHAnsi" w:hAnsiTheme="minorHAnsi" w:cstheme="minorHAnsi"/>
          <w:sz w:val="22"/>
          <w:szCs w:val="22"/>
        </w:rPr>
        <w:tab/>
        <w:t>Los informes nacionales incluyen abundante información descriptiva sobre los esfuerzos de restauración. Las Partes Contratantes de Asia suelen citar el mapeo mediante sistemas de información geográfica (SIG) y la selección de sitios basada en las contribuciones de las partes interesadas. Las Partes Contratantes de América Latina y el Caribe y de Oceanía informan de iniciativas piloto que han tenido éxito, pero señalan problemas para la ampliación del alcance, incluida la falta de capacidad para la plena ejecución. Las partes de África mencionan con frecuencia la escasez de recursos, la debilidad de los sistemas de supervisión y la coordinación limitada. El 76</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de las Partes que informan de acciones de restauración previstas proporcionan descripciones detalladas. Sin embargo, las Partes que no informan sobre los avances en la restauración no suelen facilitar información sobre los posibles retos.</w:t>
      </w:r>
    </w:p>
    <w:p w14:paraId="7B857401" w14:textId="77777777" w:rsidR="00B169F7" w:rsidRPr="000F7953" w:rsidRDefault="00B169F7" w:rsidP="00257025">
      <w:pPr>
        <w:ind w:left="567" w:hanging="567"/>
        <w:rPr>
          <w:rFonts w:asciiTheme="minorHAnsi" w:hAnsiTheme="minorHAnsi" w:cstheme="minorHAnsi"/>
          <w:sz w:val="22"/>
          <w:szCs w:val="22"/>
        </w:rPr>
      </w:pPr>
    </w:p>
    <w:p w14:paraId="02F035C0" w14:textId="03982A87" w:rsidR="00217302" w:rsidRPr="000F7953" w:rsidRDefault="000E3338"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t>77.</w:t>
      </w:r>
      <w:r w:rsidRPr="000F7953">
        <w:rPr>
          <w:rFonts w:asciiTheme="minorHAnsi" w:hAnsiTheme="minorHAnsi" w:cstheme="minorHAnsi"/>
          <w:sz w:val="22"/>
          <w:szCs w:val="22"/>
        </w:rPr>
        <w:tab/>
        <w:t xml:space="preserve">Es necesario acelerar la fijación de metas, la planificación y la puesta en práctica de la restauración de los humedales para cumplir eficazmente el importante papel de la Convención en relación con el cumplimiento de la meta 2 del MMB-KM sobre restauración, centrándose en las zonas de aguas continentales degradadas y en los ecosistemas costeros y marinos. Las acciones clave para mejorar la futura restauración de humedales que se despejan de las respuestas descriptivas de las Partes Contratantes en los informes nacionales incluyen: aumentar el apoyo técnico y financiero para las regiones donde persisten las deficiencias de capacidad; promover el aprendizaje entre pares a partir de iniciativas exitosas; normalizar aún más la presentación de informes, incluyendo el aumento de las respuestas descriptivas obligatorias para mejorar la comprensión de las barreras que impiden la aplicación; invertir en un mayor desarrollo de los sistemas de supervisión, tomando en cuenta que muchas Partes citan desafíos de supervisión y evaluación; y fortalecer la financiación a largo plazo a través de mecanismos específicos. En el informe del Programa de las Naciones Unidas para el Medio Ambiente (PNUMA) y la Organización de las Naciones Unidas para la Alimentación y la Agricultura (FAO) titulado </w:t>
      </w:r>
      <w:r w:rsidRPr="000F7953">
        <w:rPr>
          <w:rFonts w:asciiTheme="minorHAnsi" w:hAnsiTheme="minorHAnsi" w:cstheme="minorHAnsi"/>
          <w:i/>
          <w:iCs/>
          <w:sz w:val="22"/>
          <w:szCs w:val="22"/>
        </w:rPr>
        <w:t>Progress of the United Nations Decade on Ecosystem Restoration 2021–2030</w:t>
      </w:r>
      <w:r w:rsidRPr="000F7953">
        <w:rPr>
          <w:rFonts w:asciiTheme="minorHAnsi" w:hAnsiTheme="minorHAnsi" w:cstheme="minorHAnsi"/>
          <w:sz w:val="22"/>
          <w:szCs w:val="22"/>
        </w:rPr>
        <w:t xml:space="preserve"> (Progresos Realizados en el Decenio de las Naciones Unidas sobre la Restauración de los Ecosistemas 2021-2030)</w:t>
      </w:r>
      <w:r w:rsidR="009049EA" w:rsidRPr="000F7953">
        <w:rPr>
          <w:rFonts w:asciiTheme="minorHAnsi" w:hAnsiTheme="minorHAnsi" w:cstheme="minorHAnsi"/>
          <w:sz w:val="22"/>
          <w:szCs w:val="22"/>
          <w:vertAlign w:val="superscript"/>
        </w:rPr>
        <w:footnoteReference w:id="10"/>
      </w:r>
      <w:r w:rsidRPr="000F7953">
        <w:rPr>
          <w:rFonts w:asciiTheme="minorHAnsi" w:hAnsiTheme="minorHAnsi" w:cstheme="minorHAnsi"/>
          <w:sz w:val="22"/>
          <w:szCs w:val="22"/>
        </w:rPr>
        <w:t xml:space="preserve"> se identifican retos similares y se subraya la necesidad de marcos de gobernanza más sólidos, una mayor inversión financiera y un compromiso más amplio de las partes interesadas para alcanzar eficazmente las metas de restauración. </w:t>
      </w:r>
    </w:p>
    <w:p w14:paraId="63821FB5" w14:textId="77777777" w:rsidR="00CD3F6B" w:rsidRPr="000F7953" w:rsidRDefault="00CD3F6B" w:rsidP="00257025">
      <w:pPr>
        <w:ind w:left="567" w:hanging="567"/>
        <w:rPr>
          <w:rFonts w:asciiTheme="minorHAnsi" w:hAnsiTheme="minorHAnsi" w:cstheme="minorHAnsi"/>
          <w:sz w:val="22"/>
          <w:szCs w:val="22"/>
        </w:rPr>
      </w:pPr>
    </w:p>
    <w:p w14:paraId="4CE83080" w14:textId="0D901985" w:rsidR="008A5E8C" w:rsidRPr="000F7953" w:rsidRDefault="000E3338"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t>78.</w:t>
      </w:r>
      <w:r w:rsidRPr="000F7953">
        <w:rPr>
          <w:rFonts w:asciiTheme="minorHAnsi" w:hAnsiTheme="minorHAnsi" w:cstheme="minorHAnsi"/>
          <w:sz w:val="22"/>
          <w:szCs w:val="22"/>
        </w:rPr>
        <w:tab/>
        <w:t>Para más información, consúltese el informe de la Secretaría a la COP15 sobre la evaluación de los progresos realizados en la restauración de humedales, que figura en el documento COP15 Doc.14 y el documento informativo COP15 Inf.3.</w:t>
      </w:r>
    </w:p>
    <w:p w14:paraId="3B565242" w14:textId="77777777" w:rsidR="008A5E8C" w:rsidRPr="000F7953" w:rsidRDefault="008A5E8C" w:rsidP="00A338FF">
      <w:pPr>
        <w:rPr>
          <w:rFonts w:asciiTheme="minorHAnsi" w:hAnsiTheme="minorHAnsi" w:cstheme="minorHAnsi"/>
        </w:rPr>
      </w:pPr>
    </w:p>
    <w:p w14:paraId="37193E74" w14:textId="77777777" w:rsidR="00C76214" w:rsidRPr="000F7953" w:rsidRDefault="00C76214" w:rsidP="00CD3F6B">
      <w:pPr>
        <w:rPr>
          <w:rFonts w:asciiTheme="minorHAnsi" w:hAnsiTheme="minorHAnsi" w:cstheme="minorHAnsi"/>
          <w:bCs/>
          <w:sz w:val="22"/>
          <w:szCs w:val="22"/>
          <w:lang w:eastAsia="fr-FR"/>
        </w:rPr>
      </w:pPr>
    </w:p>
    <w:tbl>
      <w:tblPr>
        <w:tblStyle w:val="TableGrid16"/>
        <w:tblW w:w="9351" w:type="dxa"/>
        <w:tblLook w:val="04A0" w:firstRow="1" w:lastRow="0" w:firstColumn="1" w:lastColumn="0" w:noHBand="0" w:noVBand="1"/>
      </w:tblPr>
      <w:tblGrid>
        <w:gridCol w:w="9351"/>
      </w:tblGrid>
      <w:tr w:rsidR="00C76214" w:rsidRPr="000F7953" w14:paraId="0DA022CA" w14:textId="77777777" w:rsidTr="00FB474E">
        <w:tc>
          <w:tcPr>
            <w:tcW w:w="9351" w:type="dxa"/>
            <w:shd w:val="clear" w:color="auto" w:fill="auto"/>
            <w:vAlign w:val="center"/>
          </w:tcPr>
          <w:p w14:paraId="5401EC25" w14:textId="77777777" w:rsidR="00C76214" w:rsidRPr="000F7953" w:rsidRDefault="00C76214" w:rsidP="008A3659">
            <w:pPr>
              <w:keepNext/>
              <w:spacing w:before="120" w:after="120"/>
              <w:rPr>
                <w:rFonts w:asciiTheme="minorHAnsi" w:hAnsiTheme="minorHAnsi" w:cstheme="minorHAnsi"/>
                <w:b/>
                <w:sz w:val="22"/>
                <w:szCs w:val="22"/>
              </w:rPr>
            </w:pPr>
            <w:r w:rsidRPr="000F7953">
              <w:rPr>
                <w:rFonts w:asciiTheme="minorHAnsi" w:hAnsiTheme="minorHAnsi" w:cstheme="minorHAnsi"/>
                <w:b/>
                <w:sz w:val="22"/>
                <w:szCs w:val="22"/>
              </w:rPr>
              <w:t>Meta 13. Mayor sostenibilidad de sectores clave como el agua, la energía, la minería, la agricultura, el turismo, el desarrollo urbano, las infraestructuras, la industria, la silvicultura, la acuicultura y la pesca cuando estos afectan a los humedales, contribuyendo a la conservación de la biodiversidad y a los medios de vida de las personas.</w:t>
            </w:r>
          </w:p>
          <w:p w14:paraId="353A035F" w14:textId="7F368BC4" w:rsidR="00C76214" w:rsidRPr="000F7953" w:rsidRDefault="003B6DB1" w:rsidP="008A3659">
            <w:pPr>
              <w:keepNext/>
              <w:spacing w:before="120" w:after="120"/>
              <w:rPr>
                <w:rFonts w:asciiTheme="minorHAnsi" w:hAnsiTheme="minorHAnsi" w:cstheme="minorHAnsi"/>
                <w:bCs/>
                <w:sz w:val="22"/>
                <w:szCs w:val="22"/>
              </w:rPr>
            </w:pPr>
            <w:r w:rsidRPr="000F7953">
              <w:rPr>
                <w:rFonts w:asciiTheme="minorHAnsi" w:hAnsiTheme="minorHAnsi" w:cstheme="minorHAnsi"/>
                <w:bCs/>
                <w:sz w:val="22"/>
                <w:szCs w:val="22"/>
              </w:rPr>
              <w:t>Contribuye a las metas 10, 14 y 15 del MMB-KM; y a las metas 1.b, 2.4, 6.5, 8.3, 8.9, 11.3, 11.4, 11.a, 11.b, 12b, 13.2, 14.4, 14.5, 14.c y 15.9 de los ODS.</w:t>
            </w:r>
          </w:p>
        </w:tc>
      </w:tr>
    </w:tbl>
    <w:p w14:paraId="18B5B54D" w14:textId="77777777" w:rsidR="00C76214" w:rsidRPr="000F7953" w:rsidRDefault="00C76214" w:rsidP="000D551C">
      <w:pPr>
        <w:keepNext/>
        <w:rPr>
          <w:rFonts w:asciiTheme="minorHAnsi" w:hAnsiTheme="minorHAnsi" w:cstheme="minorHAnsi"/>
          <w:b/>
          <w:sz w:val="22"/>
          <w:szCs w:val="22"/>
          <w:lang w:eastAsia="fr-FR"/>
        </w:rPr>
      </w:pPr>
    </w:p>
    <w:p w14:paraId="0DF86C1F" w14:textId="3D4D0FDE" w:rsidR="00B71E1C" w:rsidRPr="000F7953" w:rsidRDefault="00033D4D" w:rsidP="000D551C">
      <w:pPr>
        <w:keepNext/>
        <w:rPr>
          <w:rFonts w:asciiTheme="minorHAnsi" w:hAnsiTheme="minorHAnsi" w:cstheme="minorHAnsi"/>
          <w:i/>
          <w:iCs/>
          <w:sz w:val="22"/>
          <w:szCs w:val="22"/>
          <w:u w:val="single"/>
        </w:rPr>
      </w:pPr>
      <w:r w:rsidRPr="000F7953">
        <w:rPr>
          <w:rFonts w:asciiTheme="minorHAnsi" w:hAnsiTheme="minorHAnsi" w:cstheme="minorHAnsi"/>
          <w:i/>
          <w:iCs/>
          <w:sz w:val="22"/>
          <w:szCs w:val="22"/>
          <w:u w:val="single"/>
        </w:rPr>
        <w:t xml:space="preserve">Mensaje clave </w:t>
      </w:r>
    </w:p>
    <w:p w14:paraId="5F23C7B7" w14:textId="77777777" w:rsidR="00197523" w:rsidRPr="000F7953" w:rsidRDefault="00197523" w:rsidP="000D551C">
      <w:pPr>
        <w:keepNext/>
        <w:rPr>
          <w:rFonts w:asciiTheme="minorHAnsi" w:hAnsiTheme="minorHAnsi" w:cstheme="minorHAnsi"/>
          <w:sz w:val="22"/>
          <w:szCs w:val="22"/>
        </w:rPr>
      </w:pPr>
    </w:p>
    <w:p w14:paraId="5B2E9FF5" w14:textId="0F905699" w:rsidR="002E28E1" w:rsidRPr="000F7953" w:rsidRDefault="002E1E29"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t>79.</w:t>
      </w:r>
      <w:r w:rsidRPr="000F7953">
        <w:rPr>
          <w:rFonts w:asciiTheme="minorHAnsi" w:hAnsiTheme="minorHAnsi" w:cstheme="minorHAnsi"/>
          <w:sz w:val="22"/>
          <w:szCs w:val="22"/>
        </w:rPr>
        <w:tab/>
        <w:t>Se utilizan muy ampliamente las herramientas clave de planificación y apoyo a la toma de decisiones, como la evaluación del impacto ambiental (EIA) y la evaluación ambiental estratégica (EAE), apoyando medidas de sostenibilidad en sectores que afectan a los humedales. La mayoría de las Partes Contratantes están tomando medidas para mejorar la sostenibilidad de los humedales afectados por sectores clave como la agricultura, el turismo, el desarrollo urbano y las infraestructuras.</w:t>
      </w:r>
    </w:p>
    <w:p w14:paraId="0B9E068C" w14:textId="6E6D7273" w:rsidR="00305888" w:rsidRPr="000F7953" w:rsidRDefault="00305888" w:rsidP="00CD3F6B">
      <w:pPr>
        <w:keepNext/>
        <w:keepLines/>
        <w:tabs>
          <w:tab w:val="right" w:pos="9026"/>
        </w:tabs>
        <w:outlineLvl w:val="2"/>
        <w:rPr>
          <w:rFonts w:asciiTheme="minorHAnsi" w:hAnsiTheme="minorHAnsi" w:cstheme="minorHAnsi"/>
          <w:b/>
          <w:bCs/>
          <w:color w:val="000000" w:themeColor="text1"/>
          <w:kern w:val="2"/>
          <w:sz w:val="22"/>
          <w:szCs w:val="22"/>
          <w14:ligatures w14:val="standardContextual"/>
        </w:rPr>
      </w:pPr>
    </w:p>
    <w:tbl>
      <w:tblPr>
        <w:tblStyle w:val="TableGrid11"/>
        <w:tblW w:w="9353" w:type="dxa"/>
        <w:tblLook w:val="04A0" w:firstRow="1" w:lastRow="0" w:firstColumn="1" w:lastColumn="0" w:noHBand="0" w:noVBand="1"/>
      </w:tblPr>
      <w:tblGrid>
        <w:gridCol w:w="4374"/>
        <w:gridCol w:w="1182"/>
        <w:gridCol w:w="820"/>
        <w:gridCol w:w="820"/>
        <w:gridCol w:w="820"/>
        <w:gridCol w:w="1337"/>
      </w:tblGrid>
      <w:tr w:rsidR="00DC193E" w:rsidRPr="000F7953" w14:paraId="082FF4BE" w14:textId="77777777" w:rsidTr="00567061">
        <w:trPr>
          <w:cantSplit/>
        </w:trPr>
        <w:tc>
          <w:tcPr>
            <w:tcW w:w="0" w:type="auto"/>
            <w:vAlign w:val="center"/>
          </w:tcPr>
          <w:p w14:paraId="5D9A2EF0" w14:textId="69181C3F" w:rsidR="00DC193E" w:rsidRPr="000F7953" w:rsidRDefault="00567061" w:rsidP="0078307B">
            <w:pPr>
              <w:keepNext/>
              <w:jc w:val="center"/>
              <w:rPr>
                <w:rFonts w:asciiTheme="minorHAnsi" w:eastAsia="Aptos" w:hAnsiTheme="minorHAnsi" w:cstheme="minorHAnsi"/>
                <w:sz w:val="22"/>
                <w:szCs w:val="22"/>
              </w:rPr>
            </w:pPr>
            <w:r w:rsidRPr="000F7953">
              <w:rPr>
                <w:rFonts w:asciiTheme="minorHAnsi" w:hAnsiTheme="minorHAnsi" w:cstheme="minorHAnsi"/>
                <w:b/>
                <w:bCs/>
                <w:sz w:val="22"/>
                <w:szCs w:val="22"/>
              </w:rPr>
              <w:t>Indicador</w:t>
            </w:r>
          </w:p>
        </w:tc>
        <w:tc>
          <w:tcPr>
            <w:tcW w:w="0" w:type="auto"/>
            <w:vAlign w:val="center"/>
          </w:tcPr>
          <w:p w14:paraId="2893C71C" w14:textId="13472CFF" w:rsidR="00DC193E" w:rsidRPr="000F7953" w:rsidRDefault="00DC193E" w:rsidP="0078307B">
            <w:pPr>
              <w:keepNext/>
              <w:jc w:val="center"/>
              <w:rPr>
                <w:rFonts w:asciiTheme="minorHAnsi" w:hAnsiTheme="minorHAnsi" w:cstheme="minorHAnsi"/>
                <w:b/>
                <w:bCs/>
                <w:sz w:val="22"/>
                <w:szCs w:val="22"/>
              </w:rPr>
            </w:pPr>
            <w:r w:rsidRPr="000F7953">
              <w:rPr>
                <w:rFonts w:asciiTheme="minorHAnsi" w:hAnsiTheme="minorHAnsi" w:cstheme="minorHAnsi"/>
                <w:b/>
                <w:bCs/>
                <w:sz w:val="22"/>
                <w:szCs w:val="22"/>
              </w:rPr>
              <w:t>Referencia</w:t>
            </w:r>
          </w:p>
        </w:tc>
        <w:tc>
          <w:tcPr>
            <w:tcW w:w="0" w:type="auto"/>
            <w:vAlign w:val="center"/>
          </w:tcPr>
          <w:p w14:paraId="7F078423" w14:textId="6C7A3D6F" w:rsidR="00DC193E" w:rsidRPr="000F7953" w:rsidRDefault="00DC193E"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COP13</w:t>
            </w:r>
          </w:p>
        </w:tc>
        <w:tc>
          <w:tcPr>
            <w:tcW w:w="0" w:type="auto"/>
            <w:vAlign w:val="center"/>
          </w:tcPr>
          <w:p w14:paraId="5E653E3B" w14:textId="77777777" w:rsidR="00DC193E" w:rsidRPr="000F7953" w:rsidRDefault="00DC193E"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COP14</w:t>
            </w:r>
          </w:p>
        </w:tc>
        <w:tc>
          <w:tcPr>
            <w:tcW w:w="0" w:type="auto"/>
            <w:vAlign w:val="center"/>
          </w:tcPr>
          <w:p w14:paraId="6D113FAA" w14:textId="77777777" w:rsidR="00DC193E" w:rsidRPr="000F7953" w:rsidRDefault="00DC193E"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COP15</w:t>
            </w:r>
          </w:p>
        </w:tc>
        <w:tc>
          <w:tcPr>
            <w:tcW w:w="0" w:type="auto"/>
            <w:vAlign w:val="center"/>
          </w:tcPr>
          <w:p w14:paraId="49C43B9E" w14:textId="31B559CA" w:rsidR="00DC193E" w:rsidRPr="000F7953" w:rsidRDefault="00DC193E"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Tendencia</w:t>
            </w:r>
          </w:p>
        </w:tc>
      </w:tr>
      <w:tr w:rsidR="00DC193E" w:rsidRPr="000F7953" w14:paraId="5CA5A11D" w14:textId="77777777" w:rsidTr="00567061">
        <w:trPr>
          <w:cantSplit/>
        </w:trPr>
        <w:tc>
          <w:tcPr>
            <w:tcW w:w="0" w:type="auto"/>
            <w:vAlign w:val="center"/>
          </w:tcPr>
          <w:p w14:paraId="32CCD66B" w14:textId="17F77AF9" w:rsidR="00DC193E" w:rsidRPr="000F7953" w:rsidRDefault="00DC193E" w:rsidP="00CD3F6B">
            <w:pPr>
              <w:rPr>
                <w:rFonts w:asciiTheme="minorHAnsi" w:eastAsia="Aptos" w:hAnsiTheme="minorHAnsi" w:cstheme="minorHAnsi"/>
                <w:sz w:val="22"/>
                <w:szCs w:val="22"/>
              </w:rPr>
            </w:pPr>
            <w:r w:rsidRPr="000F7953">
              <w:rPr>
                <w:rFonts w:asciiTheme="minorHAnsi" w:hAnsiTheme="minorHAnsi" w:cstheme="minorHAnsi"/>
                <w:sz w:val="22"/>
                <w:szCs w:val="22"/>
              </w:rPr>
              <w:t>Porcentaje de Partes que disponen de una obligación legal de realizar evaluaciones de impacto ambiental de los proyectos de desarrollo que puedan afectar a los humedales.</w:t>
            </w:r>
          </w:p>
        </w:tc>
        <w:tc>
          <w:tcPr>
            <w:tcW w:w="0" w:type="auto"/>
          </w:tcPr>
          <w:p w14:paraId="0D2F2625" w14:textId="2A463E29" w:rsidR="00DC193E" w:rsidRPr="000F7953" w:rsidRDefault="00BF1F29"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86</w:t>
            </w:r>
            <w:r w:rsidR="00AF53D9" w:rsidRPr="000F7953">
              <w:rPr>
                <w:rFonts w:asciiTheme="minorHAnsi" w:hAnsiTheme="minorHAnsi" w:cstheme="minorHAnsi"/>
                <w:b/>
                <w:bCs/>
                <w:sz w:val="22"/>
                <w:szCs w:val="22"/>
              </w:rPr>
              <w:t> %</w:t>
            </w:r>
          </w:p>
        </w:tc>
        <w:tc>
          <w:tcPr>
            <w:tcW w:w="0" w:type="auto"/>
          </w:tcPr>
          <w:p w14:paraId="774AA5F4" w14:textId="0D434835" w:rsidR="00DC193E" w:rsidRPr="000F7953" w:rsidRDefault="00BF1F29"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81</w:t>
            </w:r>
            <w:r w:rsidR="00AF53D9" w:rsidRPr="000F7953">
              <w:rPr>
                <w:rFonts w:asciiTheme="minorHAnsi" w:hAnsiTheme="minorHAnsi" w:cstheme="minorHAnsi"/>
                <w:b/>
                <w:bCs/>
                <w:sz w:val="22"/>
                <w:szCs w:val="22"/>
              </w:rPr>
              <w:t> %</w:t>
            </w:r>
          </w:p>
        </w:tc>
        <w:tc>
          <w:tcPr>
            <w:tcW w:w="0" w:type="auto"/>
          </w:tcPr>
          <w:p w14:paraId="05CD6EBD" w14:textId="6935D592" w:rsidR="00DC193E" w:rsidRPr="000F7953" w:rsidRDefault="00BF1F29"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89</w:t>
            </w:r>
            <w:r w:rsidR="00AF53D9" w:rsidRPr="000F7953">
              <w:rPr>
                <w:rFonts w:asciiTheme="minorHAnsi" w:hAnsiTheme="minorHAnsi" w:cstheme="minorHAnsi"/>
                <w:b/>
                <w:bCs/>
                <w:sz w:val="22"/>
                <w:szCs w:val="22"/>
              </w:rPr>
              <w:t> %</w:t>
            </w:r>
          </w:p>
        </w:tc>
        <w:tc>
          <w:tcPr>
            <w:tcW w:w="0" w:type="auto"/>
          </w:tcPr>
          <w:p w14:paraId="351E0E1F" w14:textId="643229CB" w:rsidR="00DC193E" w:rsidRPr="000F7953" w:rsidRDefault="00BF1F29"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91</w:t>
            </w:r>
            <w:r w:rsidR="00AF53D9" w:rsidRPr="000F7953">
              <w:rPr>
                <w:rFonts w:asciiTheme="minorHAnsi" w:hAnsiTheme="minorHAnsi" w:cstheme="minorHAnsi"/>
                <w:b/>
                <w:bCs/>
                <w:sz w:val="22"/>
                <w:szCs w:val="22"/>
              </w:rPr>
              <w:t> %</w:t>
            </w:r>
          </w:p>
        </w:tc>
        <w:tc>
          <w:tcPr>
            <w:tcW w:w="0" w:type="auto"/>
            <w:vAlign w:val="center"/>
          </w:tcPr>
          <w:p w14:paraId="5D107D59" w14:textId="6D40E621" w:rsidR="00DC193E" w:rsidRPr="000F7953" w:rsidRDefault="00D2275B" w:rsidP="00CD3F6B">
            <w:pPr>
              <w:rPr>
                <w:rFonts w:asciiTheme="minorHAnsi" w:eastAsia="Aptos" w:hAnsiTheme="minorHAnsi" w:cstheme="minorHAnsi"/>
                <w:b/>
                <w:bCs/>
                <w:sz w:val="22"/>
                <w:szCs w:val="22"/>
              </w:rPr>
            </w:pPr>
            <w:r w:rsidRPr="000F7953">
              <w:rPr>
                <w:rFonts w:asciiTheme="minorHAnsi" w:hAnsiTheme="minorHAnsi" w:cstheme="minorHAnsi"/>
                <w:noProof/>
                <w:sz w:val="22"/>
                <w:szCs w:val="22"/>
              </w:rPr>
              <w:drawing>
                <wp:inline distT="0" distB="0" distL="0" distR="0" wp14:anchorId="773D82EA" wp14:editId="142A1852">
                  <wp:extent cx="712200" cy="432000"/>
                  <wp:effectExtent l="0" t="0" r="0" b="0"/>
                  <wp:docPr id="9937049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6B755D" w:rsidRPr="000F7953" w14:paraId="5EE64DEA" w14:textId="77777777" w:rsidTr="00567061">
        <w:trPr>
          <w:cantSplit/>
        </w:trPr>
        <w:tc>
          <w:tcPr>
            <w:tcW w:w="0" w:type="auto"/>
            <w:vAlign w:val="center"/>
          </w:tcPr>
          <w:p w14:paraId="5922B0F2" w14:textId="0C3558C9" w:rsidR="006B755D" w:rsidRPr="000F7953" w:rsidRDefault="006B755D" w:rsidP="00CD3F6B">
            <w:pPr>
              <w:rPr>
                <w:rFonts w:asciiTheme="minorHAnsi" w:eastAsia="Aptos" w:hAnsiTheme="minorHAnsi" w:cstheme="minorHAnsi"/>
                <w:sz w:val="22"/>
                <w:szCs w:val="22"/>
              </w:rPr>
            </w:pPr>
            <w:r w:rsidRPr="000F7953">
              <w:rPr>
                <w:rFonts w:asciiTheme="minorHAnsi" w:hAnsiTheme="minorHAnsi" w:cstheme="minorHAnsi"/>
                <w:sz w:val="22"/>
                <w:szCs w:val="22"/>
              </w:rPr>
              <w:t>Porcentaje de Partes que aplican la evaluación ambiental estratégica al examinar políticas, programas y planes que puedan afectar a los humedales.</w:t>
            </w:r>
          </w:p>
        </w:tc>
        <w:tc>
          <w:tcPr>
            <w:tcW w:w="0" w:type="auto"/>
          </w:tcPr>
          <w:p w14:paraId="243DB642" w14:textId="04564855" w:rsidR="006B755D" w:rsidRPr="000F7953" w:rsidRDefault="006B755D"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55</w:t>
            </w:r>
            <w:r w:rsidR="00AF53D9" w:rsidRPr="000F7953">
              <w:rPr>
                <w:rFonts w:asciiTheme="minorHAnsi" w:hAnsiTheme="minorHAnsi" w:cstheme="minorHAnsi"/>
                <w:b/>
                <w:bCs/>
                <w:sz w:val="22"/>
                <w:szCs w:val="22"/>
              </w:rPr>
              <w:t> %</w:t>
            </w:r>
          </w:p>
        </w:tc>
        <w:tc>
          <w:tcPr>
            <w:tcW w:w="0" w:type="auto"/>
          </w:tcPr>
          <w:p w14:paraId="22EB24D5" w14:textId="7D219AF9" w:rsidR="006B755D" w:rsidRPr="000F7953" w:rsidRDefault="006B755D"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51</w:t>
            </w:r>
            <w:r w:rsidR="00AF53D9" w:rsidRPr="000F7953">
              <w:rPr>
                <w:rFonts w:asciiTheme="minorHAnsi" w:hAnsiTheme="minorHAnsi" w:cstheme="minorHAnsi"/>
                <w:b/>
                <w:bCs/>
                <w:sz w:val="22"/>
                <w:szCs w:val="22"/>
              </w:rPr>
              <w:t> %</w:t>
            </w:r>
          </w:p>
        </w:tc>
        <w:tc>
          <w:tcPr>
            <w:tcW w:w="0" w:type="auto"/>
          </w:tcPr>
          <w:p w14:paraId="31F0CEF4" w14:textId="514F2458" w:rsidR="006B755D" w:rsidRPr="000F7953" w:rsidRDefault="006B755D"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62</w:t>
            </w:r>
            <w:r w:rsidR="00AF53D9" w:rsidRPr="000F7953">
              <w:rPr>
                <w:rFonts w:asciiTheme="minorHAnsi" w:hAnsiTheme="minorHAnsi" w:cstheme="minorHAnsi"/>
                <w:b/>
                <w:bCs/>
                <w:sz w:val="22"/>
                <w:szCs w:val="22"/>
              </w:rPr>
              <w:t> %</w:t>
            </w:r>
          </w:p>
        </w:tc>
        <w:tc>
          <w:tcPr>
            <w:tcW w:w="0" w:type="auto"/>
          </w:tcPr>
          <w:p w14:paraId="7E403CBB" w14:textId="737A4B2D" w:rsidR="006B755D" w:rsidRPr="000F7953" w:rsidRDefault="006B755D"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69</w:t>
            </w:r>
            <w:r w:rsidR="00AF53D9" w:rsidRPr="000F7953">
              <w:rPr>
                <w:rFonts w:asciiTheme="minorHAnsi" w:hAnsiTheme="minorHAnsi" w:cstheme="minorHAnsi"/>
                <w:b/>
                <w:bCs/>
                <w:sz w:val="22"/>
                <w:szCs w:val="22"/>
              </w:rPr>
              <w:t> %</w:t>
            </w:r>
          </w:p>
        </w:tc>
        <w:tc>
          <w:tcPr>
            <w:tcW w:w="0" w:type="auto"/>
            <w:vAlign w:val="center"/>
          </w:tcPr>
          <w:p w14:paraId="0166C6D3" w14:textId="703264A3" w:rsidR="006B755D" w:rsidRPr="000F7953" w:rsidRDefault="00D2275B" w:rsidP="00CD3F6B">
            <w:pPr>
              <w:rPr>
                <w:rFonts w:asciiTheme="minorHAnsi" w:eastAsia="Aptos" w:hAnsiTheme="minorHAnsi" w:cstheme="minorHAnsi"/>
                <w:b/>
                <w:bCs/>
                <w:sz w:val="22"/>
                <w:szCs w:val="22"/>
              </w:rPr>
            </w:pPr>
            <w:r w:rsidRPr="000F7953">
              <w:rPr>
                <w:rFonts w:asciiTheme="minorHAnsi" w:hAnsiTheme="minorHAnsi" w:cstheme="minorHAnsi"/>
                <w:noProof/>
                <w:sz w:val="22"/>
                <w:szCs w:val="22"/>
              </w:rPr>
              <w:drawing>
                <wp:inline distT="0" distB="0" distL="0" distR="0" wp14:anchorId="7C19E49C" wp14:editId="6AC1B129">
                  <wp:extent cx="712200" cy="432000"/>
                  <wp:effectExtent l="0" t="0" r="0" b="0"/>
                  <wp:docPr id="123716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bl>
    <w:p w14:paraId="0F76A2C4" w14:textId="709461E4" w:rsidR="000661AE" w:rsidRPr="000F7953" w:rsidRDefault="000661AE" w:rsidP="00CD3F6B">
      <w:pPr>
        <w:rPr>
          <w:rFonts w:asciiTheme="minorHAnsi" w:hAnsiTheme="minorHAnsi" w:cstheme="minorHAnsi"/>
          <w:sz w:val="22"/>
          <w:szCs w:val="22"/>
        </w:rPr>
      </w:pPr>
      <w:r w:rsidRPr="000F7953">
        <w:rPr>
          <w:rFonts w:asciiTheme="minorHAnsi" w:hAnsiTheme="minorHAnsi" w:cstheme="minorHAnsi"/>
          <w:sz w:val="22"/>
          <w:szCs w:val="22"/>
        </w:rPr>
        <w:t xml:space="preserve">*No se definieron indicadores para la meta 13 en el PE4. Se facilitan datos sobre dos preguntas del formulario del informe nacional para la COP15 en relación con las metas con respecto a las cuales se dispone de una serie cronológica (13.2 y 13.3), con la COP12 como línea de base. </w:t>
      </w:r>
    </w:p>
    <w:p w14:paraId="7BA6EDB3" w14:textId="77777777" w:rsidR="00CD7EBD" w:rsidRPr="000F7953" w:rsidRDefault="00CD7EBD" w:rsidP="00CD3F6B">
      <w:pPr>
        <w:rPr>
          <w:rFonts w:asciiTheme="minorHAnsi" w:hAnsiTheme="minorHAnsi" w:cstheme="minorHAnsi"/>
          <w:b/>
          <w:bCs/>
          <w:sz w:val="22"/>
          <w:szCs w:val="22"/>
        </w:rPr>
      </w:pPr>
    </w:p>
    <w:p w14:paraId="3D20FCC9" w14:textId="4BC2FD11" w:rsidR="00ED3E2D" w:rsidRPr="000F7953" w:rsidRDefault="00E41B6A" w:rsidP="000D551C">
      <w:pPr>
        <w:keepNext/>
        <w:rPr>
          <w:rFonts w:asciiTheme="minorHAnsi" w:hAnsiTheme="minorHAnsi" w:cstheme="minorHAnsi"/>
          <w:i/>
          <w:iCs/>
          <w:sz w:val="22"/>
          <w:szCs w:val="22"/>
          <w:u w:val="single"/>
        </w:rPr>
      </w:pPr>
      <w:r w:rsidRPr="000F7953">
        <w:rPr>
          <w:rFonts w:asciiTheme="minorHAnsi" w:hAnsiTheme="minorHAnsi" w:cstheme="minorHAnsi"/>
          <w:i/>
          <w:iCs/>
          <w:sz w:val="22"/>
          <w:szCs w:val="22"/>
          <w:u w:val="single"/>
        </w:rPr>
        <w:t xml:space="preserve">Resumen de los progresos realizados </w:t>
      </w:r>
    </w:p>
    <w:p w14:paraId="25157025" w14:textId="77777777" w:rsidR="00C76214" w:rsidRPr="000F7953" w:rsidRDefault="00C76214" w:rsidP="000D551C">
      <w:pPr>
        <w:keepNext/>
        <w:rPr>
          <w:rFonts w:asciiTheme="minorHAnsi" w:hAnsiTheme="minorHAnsi" w:cstheme="minorHAnsi"/>
          <w:sz w:val="22"/>
          <w:szCs w:val="22"/>
        </w:rPr>
      </w:pPr>
    </w:p>
    <w:p w14:paraId="7A2CD05E" w14:textId="6725A90E" w:rsidR="005A5DB7" w:rsidRPr="000F7953" w:rsidRDefault="000E3338"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t>80.</w:t>
      </w:r>
      <w:r w:rsidRPr="000F7953">
        <w:rPr>
          <w:rFonts w:asciiTheme="minorHAnsi" w:hAnsiTheme="minorHAnsi" w:cstheme="minorHAnsi"/>
          <w:sz w:val="22"/>
          <w:szCs w:val="22"/>
        </w:rPr>
        <w:tab/>
        <w:t>En la COP15, más del 90</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de las Partes Contratantes tenían la obligación legal de realizar EIA para proyectos de desarrollo en sectores clave que pudieran afectar a los humedales. Esto representa un aumento desde la COP13 (81</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El 69</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de las Partes aplica la EAE al examinar políticas, programas y planes que pueden afectar a los humedales, lo que también supone un aumento en los últimos tres trienios, en relación del 51</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para la COP13. El 16</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de las Partes afirma que lo están haciendo parcialmente. Aunque los requisitos en materia de EIA suelen ser elevados en todas las regiones, existen variaciones en relación con la aplicación de la EAE, siendo los porcentajes más elevados en Europa (88</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que en otras regiones (entre el 50</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y el 70</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w:t>
      </w:r>
    </w:p>
    <w:p w14:paraId="08AF3C8B" w14:textId="77777777" w:rsidR="005A5DB7" w:rsidRPr="000F7953" w:rsidRDefault="005A5DB7" w:rsidP="00257025">
      <w:pPr>
        <w:ind w:left="567" w:hanging="567"/>
        <w:rPr>
          <w:rFonts w:asciiTheme="minorHAnsi" w:hAnsiTheme="minorHAnsi" w:cstheme="minorHAnsi"/>
          <w:sz w:val="22"/>
          <w:szCs w:val="22"/>
        </w:rPr>
      </w:pPr>
    </w:p>
    <w:p w14:paraId="39EE4DE4" w14:textId="44A908AB" w:rsidR="0009645F" w:rsidRPr="000F7953" w:rsidRDefault="000E3338"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t>81.</w:t>
      </w:r>
      <w:r w:rsidRPr="000F7953">
        <w:rPr>
          <w:rFonts w:asciiTheme="minorHAnsi" w:hAnsiTheme="minorHAnsi" w:cstheme="minorHAnsi"/>
          <w:sz w:val="22"/>
          <w:szCs w:val="22"/>
        </w:rPr>
        <w:tab/>
        <w:t>Muchas Partes Contratantes también informan de medidas adoptadas o previstas para mejorar la sostenibilidad de los humedales cuando se ven afectados por sectores clave: más del 75</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de las Partes en relación con la pesca, el turismo y el desarrollo urbano; más del 65</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en relación con la agricultura, la acuicultura, la silvicultura y las infraestructuras, y porcentajes ligeramente inferiores en relación con la industria, la energía y la minería. Las respuestas descriptivas atribuyen estos avances a las reformas jurídicas, la creciente adecuación de la </w:t>
      </w:r>
      <w:r w:rsidRPr="000F7953">
        <w:rPr>
          <w:rFonts w:asciiTheme="minorHAnsi" w:hAnsiTheme="minorHAnsi" w:cstheme="minorHAnsi"/>
          <w:sz w:val="22"/>
          <w:szCs w:val="22"/>
        </w:rPr>
        <w:lastRenderedPageBreak/>
        <w:t xml:space="preserve">normativa con las metas de desarrollo sostenible, la concienciación institucional y la coordinación intersectorial, y los progresos realizados en la ejecución de los proyectos.  </w:t>
      </w:r>
    </w:p>
    <w:p w14:paraId="61D399F6" w14:textId="77777777" w:rsidR="00767014" w:rsidRPr="000F7953" w:rsidRDefault="00767014" w:rsidP="00257025">
      <w:pPr>
        <w:ind w:left="567" w:hanging="567"/>
        <w:rPr>
          <w:rFonts w:asciiTheme="minorHAnsi" w:hAnsiTheme="minorHAnsi" w:cstheme="minorHAnsi"/>
          <w:sz w:val="22"/>
          <w:szCs w:val="22"/>
        </w:rPr>
      </w:pPr>
    </w:p>
    <w:p w14:paraId="7516342B" w14:textId="67133C98" w:rsidR="00371313" w:rsidRPr="000F7953" w:rsidRDefault="000E3338"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t>82.</w:t>
      </w:r>
      <w:r w:rsidRPr="000F7953">
        <w:rPr>
          <w:rFonts w:asciiTheme="minorHAnsi" w:hAnsiTheme="minorHAnsi" w:cstheme="minorHAnsi"/>
          <w:sz w:val="22"/>
          <w:szCs w:val="22"/>
        </w:rPr>
        <w:tab/>
        <w:t xml:space="preserve">Entre los obstáculos comunes identificados por las Partes Contratantes se encuentran la debilidad de los marcos jurídicos y las lagunas de financiación (especialmente en África y Oceanía), los retos normativos y técnicos (en Asia), la necesidad de mejorar el seguimiento y la coordinación (en Europa) y la limitada capacidad técnica (en América Latina y el Caribe). Entre las medidas recomendadas para superar los obstáculos se encuentran un mayor desarrollo de los marcos jurídicos, el aumento de la financiación, especialmente en las regiones en desarrollo, el fomento de capacidad técnica e institucional y el fomento de la coordinación intersectorial. </w:t>
      </w:r>
    </w:p>
    <w:p w14:paraId="76720EB4" w14:textId="77777777" w:rsidR="00C76214" w:rsidRPr="000F7953" w:rsidRDefault="00C76214" w:rsidP="00CD3F6B">
      <w:pPr>
        <w:rPr>
          <w:rFonts w:asciiTheme="minorHAnsi" w:hAnsiTheme="minorHAnsi" w:cstheme="minorHAnsi"/>
          <w:sz w:val="22"/>
          <w:szCs w:val="22"/>
        </w:rPr>
      </w:pPr>
    </w:p>
    <w:p w14:paraId="1B3903E5" w14:textId="77777777" w:rsidR="00C3536E" w:rsidRPr="000F7953" w:rsidRDefault="00C3536E" w:rsidP="00CD3F6B">
      <w:pPr>
        <w:rPr>
          <w:rFonts w:asciiTheme="minorHAnsi" w:hAnsiTheme="minorHAnsi" w:cstheme="minorHAnsi"/>
          <w:sz w:val="22"/>
          <w:szCs w:val="22"/>
        </w:rPr>
      </w:pPr>
    </w:p>
    <w:p w14:paraId="2FF5609F" w14:textId="77777777" w:rsidR="00AD0A3E" w:rsidRPr="000F7953" w:rsidRDefault="00AD0A3E" w:rsidP="000D551C">
      <w:pPr>
        <w:keepNext/>
        <w:rPr>
          <w:rFonts w:asciiTheme="minorHAnsi" w:hAnsiTheme="minorHAnsi" w:cstheme="minorHAnsi"/>
          <w:b/>
          <w:sz w:val="22"/>
          <w:szCs w:val="22"/>
        </w:rPr>
      </w:pPr>
      <w:r w:rsidRPr="000F7953">
        <w:rPr>
          <w:rFonts w:asciiTheme="minorHAnsi" w:hAnsiTheme="minorHAnsi" w:cstheme="minorHAnsi"/>
          <w:b/>
          <w:sz w:val="22"/>
          <w:szCs w:val="22"/>
        </w:rPr>
        <w:t>Objetivo 4: Mejorar la aplicación</w:t>
      </w:r>
    </w:p>
    <w:p w14:paraId="61EEF491" w14:textId="77777777" w:rsidR="00C76214" w:rsidRPr="000F7953" w:rsidRDefault="00C76214" w:rsidP="000D551C">
      <w:pPr>
        <w:keepNext/>
        <w:rPr>
          <w:rFonts w:asciiTheme="minorHAnsi" w:hAnsiTheme="minorHAnsi" w:cstheme="minorHAnsi"/>
          <w:sz w:val="22"/>
          <w:szCs w:val="22"/>
          <w:u w:val="single"/>
          <w:lang w:eastAsia="fr-FR"/>
        </w:rPr>
      </w:pPr>
    </w:p>
    <w:tbl>
      <w:tblPr>
        <w:tblStyle w:val="TableGrid16"/>
        <w:tblW w:w="9351" w:type="dxa"/>
        <w:tblLook w:val="04A0" w:firstRow="1" w:lastRow="0" w:firstColumn="1" w:lastColumn="0" w:noHBand="0" w:noVBand="1"/>
      </w:tblPr>
      <w:tblGrid>
        <w:gridCol w:w="9351"/>
      </w:tblGrid>
      <w:tr w:rsidR="00C76214" w:rsidRPr="000F7953" w14:paraId="5561667F" w14:textId="77777777" w:rsidTr="004D229D">
        <w:tc>
          <w:tcPr>
            <w:tcW w:w="9351" w:type="dxa"/>
            <w:vAlign w:val="center"/>
          </w:tcPr>
          <w:p w14:paraId="5701D030" w14:textId="77777777" w:rsidR="00C76214" w:rsidRPr="000F7953" w:rsidRDefault="00C76214" w:rsidP="008A3659">
            <w:pPr>
              <w:keepNext/>
              <w:spacing w:before="120" w:after="120"/>
              <w:rPr>
                <w:rFonts w:asciiTheme="minorHAnsi" w:hAnsiTheme="minorHAnsi" w:cstheme="minorHAnsi"/>
                <w:b/>
                <w:bCs/>
                <w:sz w:val="22"/>
                <w:szCs w:val="22"/>
              </w:rPr>
            </w:pPr>
            <w:r w:rsidRPr="000F7953">
              <w:rPr>
                <w:rFonts w:asciiTheme="minorHAnsi" w:hAnsiTheme="minorHAnsi" w:cstheme="minorHAnsi"/>
                <w:b/>
                <w:bCs/>
                <w:sz w:val="22"/>
                <w:szCs w:val="22"/>
              </w:rPr>
              <w:t>Meta 14: Se desarrollan orientaciones científicas y metodologías técnicas a escala mundial y regional sobre temas relevantes que están disponibles para los responsables de políticas y los profesionales en un formato y un lenguaje apropiados.</w:t>
            </w:r>
          </w:p>
          <w:p w14:paraId="11F093C3" w14:textId="4B54CD9D" w:rsidR="00991441" w:rsidRPr="000F7953" w:rsidRDefault="00991441" w:rsidP="008A3659">
            <w:pPr>
              <w:keepNext/>
              <w:spacing w:before="120" w:after="120"/>
              <w:rPr>
                <w:rFonts w:asciiTheme="minorHAnsi" w:hAnsiTheme="minorHAnsi" w:cstheme="minorHAnsi"/>
                <w:sz w:val="22"/>
                <w:szCs w:val="22"/>
                <w:highlight w:val="yellow"/>
              </w:rPr>
            </w:pPr>
            <w:r w:rsidRPr="000F7953">
              <w:rPr>
                <w:rFonts w:asciiTheme="minorHAnsi" w:hAnsiTheme="minorHAnsi" w:cstheme="minorHAnsi"/>
                <w:bCs/>
                <w:sz w:val="22"/>
                <w:szCs w:val="22"/>
              </w:rPr>
              <w:t>Contribución a las metas 20 y 21 del MMB-KM y a las metas 9.5, 9.a, 14.3, 14.4, 14.5 y 17.6 de los ODS.</w:t>
            </w:r>
          </w:p>
        </w:tc>
      </w:tr>
    </w:tbl>
    <w:p w14:paraId="578D0BF4" w14:textId="77777777" w:rsidR="002D18E5" w:rsidRPr="000F7953" w:rsidRDefault="002D18E5" w:rsidP="000D551C">
      <w:pPr>
        <w:keepNext/>
        <w:rPr>
          <w:rFonts w:asciiTheme="minorHAnsi" w:hAnsiTheme="minorHAnsi" w:cstheme="minorHAnsi"/>
          <w:b/>
          <w:sz w:val="22"/>
          <w:szCs w:val="22"/>
          <w:lang w:eastAsia="fr-FR"/>
        </w:rPr>
      </w:pPr>
    </w:p>
    <w:p w14:paraId="24C3207A" w14:textId="39EB83E8" w:rsidR="0071600E" w:rsidRPr="000F7953" w:rsidRDefault="00FB380C" w:rsidP="000D551C">
      <w:pPr>
        <w:keepNext/>
        <w:rPr>
          <w:rFonts w:asciiTheme="minorHAnsi" w:hAnsiTheme="minorHAnsi" w:cstheme="minorHAnsi"/>
          <w:bCs/>
          <w:i/>
          <w:iCs/>
          <w:sz w:val="22"/>
          <w:szCs w:val="22"/>
          <w:u w:val="single"/>
        </w:rPr>
      </w:pPr>
      <w:r w:rsidRPr="000F7953">
        <w:rPr>
          <w:rFonts w:asciiTheme="minorHAnsi" w:hAnsiTheme="minorHAnsi" w:cstheme="minorHAnsi"/>
          <w:bCs/>
          <w:i/>
          <w:iCs/>
          <w:sz w:val="22"/>
          <w:szCs w:val="22"/>
          <w:u w:val="single"/>
        </w:rPr>
        <w:t>Mensaje clave</w:t>
      </w:r>
    </w:p>
    <w:p w14:paraId="111D801A" w14:textId="77777777" w:rsidR="004921BD" w:rsidRPr="000F7953" w:rsidRDefault="004921BD" w:rsidP="00257025">
      <w:pPr>
        <w:keepNext/>
        <w:ind w:left="567" w:hanging="567"/>
        <w:rPr>
          <w:rFonts w:asciiTheme="minorHAnsi" w:hAnsiTheme="minorHAnsi" w:cstheme="minorHAnsi"/>
          <w:sz w:val="22"/>
          <w:szCs w:val="22"/>
        </w:rPr>
      </w:pPr>
    </w:p>
    <w:p w14:paraId="33C82489" w14:textId="2E509964" w:rsidR="004921BD" w:rsidRPr="000F7953" w:rsidRDefault="000E3338"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t>83.</w:t>
      </w:r>
      <w:r w:rsidRPr="000F7953">
        <w:rPr>
          <w:rFonts w:asciiTheme="minorHAnsi" w:hAnsiTheme="minorHAnsi" w:cstheme="minorHAnsi"/>
          <w:sz w:val="22"/>
          <w:szCs w:val="22"/>
        </w:rPr>
        <w:tab/>
        <w:t>El Grupo de Examen Científico y Técnico (GECT) ha elaborado un importante número de productos científicos y técnicos en consonancia con las prioridades del Plan Estratégico, apoyando la aplicación de la Convención a nivel nacional y contribuyendo a otros objetivos y metas mundiales. Los productos del GECT están a disposición del público en las tres lenguas oficiales de la Convención y se difunden ampliamente, pero es difícil evaluar su utilización.</w:t>
      </w:r>
    </w:p>
    <w:p w14:paraId="379D4DBC" w14:textId="77777777" w:rsidR="00024353" w:rsidRPr="000F7953" w:rsidRDefault="00024353" w:rsidP="00257025">
      <w:pPr>
        <w:ind w:left="567" w:hanging="567"/>
        <w:rPr>
          <w:rFonts w:asciiTheme="minorHAnsi" w:hAnsiTheme="minorHAnsi" w:cstheme="minorHAnsi"/>
          <w:sz w:val="22"/>
          <w:szCs w:val="22"/>
        </w:rPr>
      </w:pPr>
    </w:p>
    <w:tbl>
      <w:tblPr>
        <w:tblStyle w:val="TableGrid31"/>
        <w:tblW w:w="9353" w:type="dxa"/>
        <w:tblLook w:val="04A0" w:firstRow="1" w:lastRow="0" w:firstColumn="1" w:lastColumn="0" w:noHBand="0" w:noVBand="1"/>
      </w:tblPr>
      <w:tblGrid>
        <w:gridCol w:w="4058"/>
        <w:gridCol w:w="1373"/>
        <w:gridCol w:w="824"/>
        <w:gridCol w:w="824"/>
        <w:gridCol w:w="931"/>
        <w:gridCol w:w="1343"/>
      </w:tblGrid>
      <w:tr w:rsidR="00024353" w:rsidRPr="000F7953" w14:paraId="46D1FBEF" w14:textId="77777777" w:rsidTr="00110144">
        <w:trPr>
          <w:cantSplit/>
        </w:trPr>
        <w:tc>
          <w:tcPr>
            <w:tcW w:w="0" w:type="auto"/>
            <w:vAlign w:val="center"/>
            <w:hideMark/>
          </w:tcPr>
          <w:p w14:paraId="0B09DB64" w14:textId="77777777" w:rsidR="00024353" w:rsidRPr="000F7953" w:rsidRDefault="00024353" w:rsidP="00110144">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Indicador</w:t>
            </w:r>
          </w:p>
        </w:tc>
        <w:tc>
          <w:tcPr>
            <w:tcW w:w="0" w:type="auto"/>
            <w:vAlign w:val="center"/>
            <w:hideMark/>
          </w:tcPr>
          <w:p w14:paraId="14323DD5" w14:textId="77777777" w:rsidR="00024353" w:rsidRPr="000F7953" w:rsidRDefault="00024353" w:rsidP="00110144">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Referencia</w:t>
            </w:r>
          </w:p>
        </w:tc>
        <w:tc>
          <w:tcPr>
            <w:tcW w:w="0" w:type="auto"/>
            <w:vAlign w:val="center"/>
            <w:hideMark/>
          </w:tcPr>
          <w:p w14:paraId="667AD830" w14:textId="77777777" w:rsidR="00024353" w:rsidRPr="000F7953" w:rsidRDefault="00024353" w:rsidP="00110144">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COP13</w:t>
            </w:r>
          </w:p>
        </w:tc>
        <w:tc>
          <w:tcPr>
            <w:tcW w:w="0" w:type="auto"/>
            <w:vAlign w:val="center"/>
            <w:hideMark/>
          </w:tcPr>
          <w:p w14:paraId="11C4920A" w14:textId="77777777" w:rsidR="00024353" w:rsidRPr="000F7953" w:rsidRDefault="00024353" w:rsidP="00110144">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COP14</w:t>
            </w:r>
          </w:p>
        </w:tc>
        <w:tc>
          <w:tcPr>
            <w:tcW w:w="0" w:type="auto"/>
            <w:vAlign w:val="center"/>
            <w:hideMark/>
          </w:tcPr>
          <w:p w14:paraId="3D2352FD" w14:textId="77777777" w:rsidR="00024353" w:rsidRPr="000F7953" w:rsidRDefault="00024353" w:rsidP="00110144">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COP15</w:t>
            </w:r>
          </w:p>
        </w:tc>
        <w:tc>
          <w:tcPr>
            <w:tcW w:w="0" w:type="auto"/>
            <w:vAlign w:val="center"/>
            <w:hideMark/>
          </w:tcPr>
          <w:p w14:paraId="0F338715" w14:textId="77777777" w:rsidR="00024353" w:rsidRPr="000F7953" w:rsidRDefault="00024353" w:rsidP="00110144">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Tendencia</w:t>
            </w:r>
          </w:p>
        </w:tc>
      </w:tr>
      <w:tr w:rsidR="00024353" w:rsidRPr="000F7953" w14:paraId="46C5AD5B" w14:textId="77777777" w:rsidTr="00110144">
        <w:trPr>
          <w:cantSplit/>
        </w:trPr>
        <w:tc>
          <w:tcPr>
            <w:tcW w:w="0" w:type="auto"/>
          </w:tcPr>
          <w:p w14:paraId="00BAC85C" w14:textId="575C0D3A" w:rsidR="00024353" w:rsidRPr="000F7953" w:rsidRDefault="00024353" w:rsidP="00110144">
            <w:pPr>
              <w:rPr>
                <w:rFonts w:asciiTheme="minorHAnsi" w:eastAsia="Aptos" w:hAnsiTheme="minorHAnsi" w:cstheme="minorHAnsi"/>
                <w:sz w:val="22"/>
                <w:szCs w:val="22"/>
              </w:rPr>
            </w:pPr>
            <w:r w:rsidRPr="000F7953">
              <w:rPr>
                <w:rFonts w:asciiTheme="minorHAnsi" w:hAnsiTheme="minorHAnsi" w:cstheme="minorHAnsi"/>
                <w:sz w:val="22"/>
                <w:szCs w:val="22"/>
              </w:rPr>
              <w:t>Número de visitas a las páginas de orientación científica y técnica del sitio web de la Convención y subtotales correspondientes por país y región de procedencia de estas visitas*.</w:t>
            </w:r>
          </w:p>
        </w:tc>
        <w:tc>
          <w:tcPr>
            <w:tcW w:w="0" w:type="auto"/>
          </w:tcPr>
          <w:p w14:paraId="18A51E4F" w14:textId="77777777" w:rsidR="00024353" w:rsidRPr="000F7953" w:rsidRDefault="00024353" w:rsidP="00110144">
            <w:pPr>
              <w:jc w:val="center"/>
              <w:rPr>
                <w:rFonts w:asciiTheme="minorHAnsi" w:eastAsia="Aptos" w:hAnsiTheme="minorHAnsi" w:cstheme="minorHAnsi"/>
                <w:sz w:val="22"/>
                <w:szCs w:val="22"/>
              </w:rPr>
            </w:pPr>
            <w:r w:rsidRPr="000F7953">
              <w:rPr>
                <w:rFonts w:asciiTheme="minorHAnsi" w:hAnsiTheme="minorHAnsi" w:cstheme="minorHAnsi"/>
                <w:sz w:val="22"/>
                <w:szCs w:val="22"/>
              </w:rPr>
              <w:t>No corresponde</w:t>
            </w:r>
          </w:p>
        </w:tc>
        <w:tc>
          <w:tcPr>
            <w:tcW w:w="0" w:type="auto"/>
          </w:tcPr>
          <w:p w14:paraId="1188689D" w14:textId="47C0A929" w:rsidR="00024353" w:rsidRPr="000F7953" w:rsidRDefault="00024353" w:rsidP="00110144">
            <w:pPr>
              <w:jc w:val="center"/>
              <w:rPr>
                <w:rFonts w:asciiTheme="minorHAnsi" w:eastAsia="Aptos" w:hAnsiTheme="minorHAnsi" w:cstheme="minorHAnsi"/>
                <w:sz w:val="22"/>
                <w:szCs w:val="22"/>
              </w:rPr>
            </w:pPr>
            <w:r w:rsidRPr="000F7953">
              <w:rPr>
                <w:rFonts w:asciiTheme="minorHAnsi" w:hAnsiTheme="minorHAnsi" w:cstheme="minorHAnsi"/>
                <w:sz w:val="22"/>
                <w:szCs w:val="22"/>
              </w:rPr>
              <w:t>13</w:t>
            </w:r>
            <w:r w:rsidR="00AF53D9" w:rsidRPr="000F7953">
              <w:rPr>
                <w:rFonts w:asciiTheme="minorHAnsi" w:hAnsiTheme="minorHAnsi" w:cstheme="minorHAnsi"/>
                <w:sz w:val="22"/>
                <w:szCs w:val="22"/>
              </w:rPr>
              <w:t> </w:t>
            </w:r>
            <w:r w:rsidRPr="000F7953">
              <w:rPr>
                <w:rFonts w:asciiTheme="minorHAnsi" w:hAnsiTheme="minorHAnsi" w:cstheme="minorHAnsi"/>
                <w:sz w:val="22"/>
                <w:szCs w:val="22"/>
              </w:rPr>
              <w:t>234</w:t>
            </w:r>
          </w:p>
        </w:tc>
        <w:tc>
          <w:tcPr>
            <w:tcW w:w="0" w:type="auto"/>
          </w:tcPr>
          <w:p w14:paraId="3921F895" w14:textId="6D87CC8F" w:rsidR="00024353" w:rsidRPr="000F7953" w:rsidRDefault="00024353" w:rsidP="00110144">
            <w:pPr>
              <w:jc w:val="center"/>
              <w:rPr>
                <w:rFonts w:asciiTheme="minorHAnsi" w:eastAsia="Aptos" w:hAnsiTheme="minorHAnsi" w:cstheme="minorHAnsi"/>
                <w:sz w:val="22"/>
                <w:szCs w:val="22"/>
              </w:rPr>
            </w:pPr>
            <w:r w:rsidRPr="000F7953">
              <w:rPr>
                <w:rFonts w:asciiTheme="minorHAnsi" w:hAnsiTheme="minorHAnsi" w:cstheme="minorHAnsi"/>
                <w:sz w:val="22"/>
                <w:szCs w:val="22"/>
              </w:rPr>
              <w:t>22</w:t>
            </w:r>
            <w:r w:rsidR="00AF53D9" w:rsidRPr="000F7953">
              <w:rPr>
                <w:rFonts w:asciiTheme="minorHAnsi" w:hAnsiTheme="minorHAnsi" w:cstheme="minorHAnsi"/>
                <w:sz w:val="22"/>
                <w:szCs w:val="22"/>
              </w:rPr>
              <w:t> </w:t>
            </w:r>
            <w:r w:rsidRPr="000F7953">
              <w:rPr>
                <w:rFonts w:asciiTheme="minorHAnsi" w:hAnsiTheme="minorHAnsi" w:cstheme="minorHAnsi"/>
                <w:sz w:val="22"/>
                <w:szCs w:val="22"/>
              </w:rPr>
              <w:t>772</w:t>
            </w:r>
          </w:p>
        </w:tc>
        <w:tc>
          <w:tcPr>
            <w:tcW w:w="0" w:type="auto"/>
          </w:tcPr>
          <w:p w14:paraId="674A4E65" w14:textId="082C6B9B" w:rsidR="00024353" w:rsidRPr="000F7953" w:rsidRDefault="00024353" w:rsidP="00110144">
            <w:pPr>
              <w:jc w:val="center"/>
              <w:rPr>
                <w:rFonts w:asciiTheme="minorHAnsi" w:eastAsia="Aptos" w:hAnsiTheme="minorHAnsi" w:cstheme="minorHAnsi"/>
                <w:sz w:val="22"/>
                <w:szCs w:val="22"/>
              </w:rPr>
            </w:pPr>
            <w:r w:rsidRPr="000F7953">
              <w:rPr>
                <w:rFonts w:asciiTheme="minorHAnsi" w:hAnsiTheme="minorHAnsi" w:cstheme="minorHAnsi"/>
                <w:sz w:val="22"/>
                <w:szCs w:val="22"/>
              </w:rPr>
              <w:t>4</w:t>
            </w:r>
            <w:r w:rsidR="00AF53D9" w:rsidRPr="000F7953">
              <w:rPr>
                <w:rFonts w:asciiTheme="minorHAnsi" w:hAnsiTheme="minorHAnsi" w:cstheme="minorHAnsi"/>
                <w:sz w:val="22"/>
                <w:szCs w:val="22"/>
              </w:rPr>
              <w:t> </w:t>
            </w:r>
            <w:r w:rsidRPr="000F7953">
              <w:rPr>
                <w:rFonts w:asciiTheme="minorHAnsi" w:hAnsiTheme="minorHAnsi" w:cstheme="minorHAnsi"/>
                <w:sz w:val="22"/>
                <w:szCs w:val="22"/>
              </w:rPr>
              <w:t>240*</w:t>
            </w:r>
            <w:r w:rsidRPr="000F7953">
              <w:rPr>
                <w:rFonts w:asciiTheme="minorHAnsi" w:hAnsiTheme="minorHAnsi" w:cstheme="minorHAnsi"/>
                <w:b/>
                <w:bCs/>
                <w:sz w:val="22"/>
                <w:szCs w:val="22"/>
              </w:rPr>
              <w:t>*</w:t>
            </w:r>
          </w:p>
        </w:tc>
        <w:tc>
          <w:tcPr>
            <w:tcW w:w="0" w:type="auto"/>
            <w:vAlign w:val="center"/>
          </w:tcPr>
          <w:p w14:paraId="28AE6E2E" w14:textId="77777777" w:rsidR="00024353" w:rsidRPr="000F7953" w:rsidRDefault="00024353" w:rsidP="00110144">
            <w:pPr>
              <w:jc w:val="center"/>
              <w:rPr>
                <w:rFonts w:asciiTheme="minorHAnsi" w:eastAsia="Aptos" w:hAnsiTheme="minorHAnsi" w:cstheme="minorHAnsi"/>
                <w:sz w:val="22"/>
                <w:szCs w:val="22"/>
              </w:rPr>
            </w:pPr>
            <w:r w:rsidRPr="000F7953">
              <w:rPr>
                <w:rFonts w:asciiTheme="minorHAnsi" w:hAnsiTheme="minorHAnsi" w:cstheme="minorHAnsi"/>
                <w:noProof/>
              </w:rPr>
              <w:drawing>
                <wp:inline distT="0" distB="0" distL="0" distR="0" wp14:anchorId="13B10BC6" wp14:editId="0A1D612E">
                  <wp:extent cx="277254" cy="432000"/>
                  <wp:effectExtent l="0" t="0" r="8890" b="0"/>
                  <wp:docPr id="6022789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77254" cy="432000"/>
                          </a:xfrm>
                          <a:prstGeom prst="rect">
                            <a:avLst/>
                          </a:prstGeom>
                          <a:noFill/>
                          <a:ln>
                            <a:noFill/>
                          </a:ln>
                        </pic:spPr>
                      </pic:pic>
                    </a:graphicData>
                  </a:graphic>
                </wp:inline>
              </w:drawing>
            </w:r>
          </w:p>
        </w:tc>
      </w:tr>
      <w:tr w:rsidR="00024353" w:rsidRPr="000F7953" w14:paraId="607EA76D" w14:textId="77777777" w:rsidTr="00110144">
        <w:trPr>
          <w:cantSplit/>
        </w:trPr>
        <w:tc>
          <w:tcPr>
            <w:tcW w:w="0" w:type="auto"/>
          </w:tcPr>
          <w:p w14:paraId="28986350" w14:textId="322D2B76" w:rsidR="00024353" w:rsidRPr="000F7953" w:rsidRDefault="00024353" w:rsidP="00110144">
            <w:pPr>
              <w:rPr>
                <w:rFonts w:asciiTheme="minorHAnsi" w:eastAsia="Aptos" w:hAnsiTheme="minorHAnsi" w:cstheme="minorHAnsi"/>
                <w:sz w:val="22"/>
                <w:szCs w:val="22"/>
              </w:rPr>
            </w:pPr>
            <w:r w:rsidRPr="000F7953">
              <w:rPr>
                <w:rFonts w:asciiTheme="minorHAnsi" w:hAnsiTheme="minorHAnsi" w:cstheme="minorHAnsi"/>
                <w:sz w:val="22"/>
                <w:szCs w:val="22"/>
              </w:rPr>
              <w:t>Número de documentos informativos del GECT descargados del sitio web de la Convención y subtotales por país y región de origen de estas descargas*.</w:t>
            </w:r>
          </w:p>
        </w:tc>
        <w:tc>
          <w:tcPr>
            <w:tcW w:w="0" w:type="auto"/>
          </w:tcPr>
          <w:p w14:paraId="7926B313" w14:textId="77777777" w:rsidR="00024353" w:rsidRPr="000F7953" w:rsidRDefault="00024353" w:rsidP="00110144">
            <w:pPr>
              <w:jc w:val="center"/>
              <w:rPr>
                <w:rFonts w:asciiTheme="minorHAnsi" w:eastAsia="Aptos" w:hAnsiTheme="minorHAnsi" w:cstheme="minorHAnsi"/>
                <w:sz w:val="22"/>
                <w:szCs w:val="22"/>
              </w:rPr>
            </w:pPr>
            <w:r w:rsidRPr="000F7953">
              <w:rPr>
                <w:rFonts w:asciiTheme="minorHAnsi" w:hAnsiTheme="minorHAnsi" w:cstheme="minorHAnsi"/>
                <w:sz w:val="22"/>
                <w:szCs w:val="22"/>
              </w:rPr>
              <w:t>No corresponde</w:t>
            </w:r>
          </w:p>
        </w:tc>
        <w:tc>
          <w:tcPr>
            <w:tcW w:w="0" w:type="auto"/>
          </w:tcPr>
          <w:p w14:paraId="5CB0D6E3" w14:textId="57702AC0" w:rsidR="00024353" w:rsidRPr="000F7953" w:rsidRDefault="00024353" w:rsidP="00110144">
            <w:pPr>
              <w:jc w:val="center"/>
              <w:rPr>
                <w:rFonts w:asciiTheme="minorHAnsi" w:eastAsia="Aptos" w:hAnsiTheme="minorHAnsi" w:cstheme="minorHAnsi"/>
                <w:sz w:val="22"/>
                <w:szCs w:val="22"/>
              </w:rPr>
            </w:pPr>
            <w:r w:rsidRPr="000F7953">
              <w:rPr>
                <w:rFonts w:asciiTheme="minorHAnsi" w:hAnsiTheme="minorHAnsi" w:cstheme="minorHAnsi"/>
                <w:sz w:val="22"/>
                <w:szCs w:val="22"/>
              </w:rPr>
              <w:t>11</w:t>
            </w:r>
            <w:r w:rsidR="00AF53D9" w:rsidRPr="000F7953">
              <w:rPr>
                <w:rFonts w:asciiTheme="minorHAnsi" w:hAnsiTheme="minorHAnsi" w:cstheme="minorHAnsi"/>
                <w:sz w:val="22"/>
                <w:szCs w:val="22"/>
              </w:rPr>
              <w:t> </w:t>
            </w:r>
            <w:r w:rsidRPr="000F7953">
              <w:rPr>
                <w:rFonts w:asciiTheme="minorHAnsi" w:hAnsiTheme="minorHAnsi" w:cstheme="minorHAnsi"/>
                <w:sz w:val="22"/>
                <w:szCs w:val="22"/>
              </w:rPr>
              <w:t>337</w:t>
            </w:r>
          </w:p>
        </w:tc>
        <w:tc>
          <w:tcPr>
            <w:tcW w:w="0" w:type="auto"/>
          </w:tcPr>
          <w:p w14:paraId="0730AD64" w14:textId="7519F691" w:rsidR="00024353" w:rsidRPr="000F7953" w:rsidRDefault="00024353" w:rsidP="00110144">
            <w:pPr>
              <w:jc w:val="center"/>
              <w:rPr>
                <w:rFonts w:asciiTheme="minorHAnsi" w:eastAsia="Aptos" w:hAnsiTheme="minorHAnsi" w:cstheme="minorHAnsi"/>
                <w:sz w:val="22"/>
                <w:szCs w:val="22"/>
              </w:rPr>
            </w:pPr>
            <w:r w:rsidRPr="000F7953">
              <w:rPr>
                <w:rFonts w:asciiTheme="minorHAnsi" w:hAnsiTheme="minorHAnsi" w:cstheme="minorHAnsi"/>
                <w:sz w:val="22"/>
                <w:szCs w:val="22"/>
              </w:rPr>
              <w:t>14</w:t>
            </w:r>
            <w:r w:rsidR="00AF53D9" w:rsidRPr="000F7953">
              <w:rPr>
                <w:rFonts w:asciiTheme="minorHAnsi" w:hAnsiTheme="minorHAnsi" w:cstheme="minorHAnsi"/>
                <w:sz w:val="22"/>
                <w:szCs w:val="22"/>
              </w:rPr>
              <w:t> </w:t>
            </w:r>
            <w:r w:rsidRPr="000F7953">
              <w:rPr>
                <w:rFonts w:asciiTheme="minorHAnsi" w:hAnsiTheme="minorHAnsi" w:cstheme="minorHAnsi"/>
                <w:sz w:val="22"/>
                <w:szCs w:val="22"/>
              </w:rPr>
              <w:t>198</w:t>
            </w:r>
          </w:p>
        </w:tc>
        <w:tc>
          <w:tcPr>
            <w:tcW w:w="0" w:type="auto"/>
          </w:tcPr>
          <w:p w14:paraId="71789085" w14:textId="402112D5" w:rsidR="00024353" w:rsidRPr="000F7953" w:rsidRDefault="00024353" w:rsidP="00110144">
            <w:pPr>
              <w:jc w:val="center"/>
              <w:rPr>
                <w:rFonts w:asciiTheme="minorHAnsi" w:eastAsia="Aptos" w:hAnsiTheme="minorHAnsi" w:cstheme="minorHAnsi"/>
                <w:sz w:val="22"/>
                <w:szCs w:val="22"/>
              </w:rPr>
            </w:pPr>
            <w:r w:rsidRPr="000F7953">
              <w:rPr>
                <w:rFonts w:asciiTheme="minorHAnsi" w:hAnsiTheme="minorHAnsi" w:cstheme="minorHAnsi"/>
                <w:sz w:val="22"/>
                <w:szCs w:val="22"/>
              </w:rPr>
              <w:t>1</w:t>
            </w:r>
            <w:r w:rsidR="00AF53D9" w:rsidRPr="000F7953">
              <w:rPr>
                <w:rFonts w:asciiTheme="minorHAnsi" w:hAnsiTheme="minorHAnsi" w:cstheme="minorHAnsi"/>
                <w:sz w:val="22"/>
                <w:szCs w:val="22"/>
              </w:rPr>
              <w:t> </w:t>
            </w:r>
            <w:r w:rsidRPr="000F7953">
              <w:rPr>
                <w:rFonts w:asciiTheme="minorHAnsi" w:hAnsiTheme="minorHAnsi" w:cstheme="minorHAnsi"/>
                <w:sz w:val="22"/>
                <w:szCs w:val="22"/>
              </w:rPr>
              <w:t>954</w:t>
            </w:r>
            <w:r w:rsidRPr="000F7953">
              <w:rPr>
                <w:rFonts w:asciiTheme="minorHAnsi" w:hAnsiTheme="minorHAnsi" w:cstheme="minorHAnsi"/>
                <w:b/>
                <w:bCs/>
                <w:sz w:val="22"/>
                <w:szCs w:val="22"/>
              </w:rPr>
              <w:t>**</w:t>
            </w:r>
          </w:p>
        </w:tc>
        <w:tc>
          <w:tcPr>
            <w:tcW w:w="0" w:type="auto"/>
            <w:vAlign w:val="center"/>
          </w:tcPr>
          <w:p w14:paraId="394D2B30" w14:textId="77777777" w:rsidR="00024353" w:rsidRPr="000F7953" w:rsidRDefault="00024353" w:rsidP="00110144">
            <w:pPr>
              <w:jc w:val="center"/>
              <w:rPr>
                <w:rFonts w:asciiTheme="minorHAnsi" w:eastAsia="Aptos" w:hAnsiTheme="minorHAnsi" w:cstheme="minorHAnsi"/>
                <w:sz w:val="22"/>
                <w:szCs w:val="22"/>
                <w:highlight w:val="yellow"/>
              </w:rPr>
            </w:pPr>
            <w:r w:rsidRPr="000F7953">
              <w:rPr>
                <w:rFonts w:asciiTheme="minorHAnsi" w:hAnsiTheme="minorHAnsi" w:cstheme="minorHAnsi"/>
                <w:noProof/>
              </w:rPr>
              <w:drawing>
                <wp:inline distT="0" distB="0" distL="0" distR="0" wp14:anchorId="2425E8AC" wp14:editId="5D5BC27C">
                  <wp:extent cx="277254" cy="432000"/>
                  <wp:effectExtent l="0" t="0" r="8890" b="0"/>
                  <wp:docPr id="194943368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77254" cy="432000"/>
                          </a:xfrm>
                          <a:prstGeom prst="rect">
                            <a:avLst/>
                          </a:prstGeom>
                          <a:noFill/>
                          <a:ln>
                            <a:noFill/>
                          </a:ln>
                        </pic:spPr>
                      </pic:pic>
                    </a:graphicData>
                  </a:graphic>
                </wp:inline>
              </w:drawing>
            </w:r>
          </w:p>
        </w:tc>
      </w:tr>
      <w:tr w:rsidR="00024353" w:rsidRPr="000F7953" w14:paraId="3FB01A64" w14:textId="77777777" w:rsidTr="00110144">
        <w:trPr>
          <w:cantSplit/>
        </w:trPr>
        <w:tc>
          <w:tcPr>
            <w:tcW w:w="0" w:type="auto"/>
          </w:tcPr>
          <w:p w14:paraId="75E9FC60" w14:textId="36306F38" w:rsidR="00024353" w:rsidRPr="000F7953" w:rsidRDefault="00024353" w:rsidP="00110144">
            <w:pPr>
              <w:rPr>
                <w:rFonts w:asciiTheme="minorHAnsi" w:eastAsia="Aptos" w:hAnsiTheme="minorHAnsi" w:cstheme="minorHAnsi"/>
                <w:sz w:val="22"/>
                <w:szCs w:val="22"/>
              </w:rPr>
            </w:pPr>
            <w:r w:rsidRPr="000F7953">
              <w:rPr>
                <w:rFonts w:asciiTheme="minorHAnsi" w:hAnsiTheme="minorHAnsi" w:cstheme="minorHAnsi"/>
                <w:sz w:val="22"/>
                <w:szCs w:val="22"/>
              </w:rPr>
              <w:t>Número de manuales pertinentes descargados del sitio web de la Convención y subtotales por país y región de origen de estas descargas.</w:t>
            </w:r>
          </w:p>
        </w:tc>
        <w:tc>
          <w:tcPr>
            <w:tcW w:w="0" w:type="auto"/>
          </w:tcPr>
          <w:p w14:paraId="2C83F1C7" w14:textId="77777777" w:rsidR="00024353" w:rsidRPr="000F7953" w:rsidRDefault="00024353" w:rsidP="00110144">
            <w:pPr>
              <w:jc w:val="center"/>
              <w:rPr>
                <w:rFonts w:asciiTheme="minorHAnsi" w:eastAsia="Aptos" w:hAnsiTheme="minorHAnsi" w:cstheme="minorHAnsi"/>
                <w:sz w:val="22"/>
                <w:szCs w:val="22"/>
              </w:rPr>
            </w:pPr>
            <w:r w:rsidRPr="000F7953">
              <w:rPr>
                <w:rFonts w:asciiTheme="minorHAnsi" w:hAnsiTheme="minorHAnsi" w:cstheme="minorHAnsi"/>
                <w:sz w:val="22"/>
                <w:szCs w:val="22"/>
              </w:rPr>
              <w:t>No corresponde</w:t>
            </w:r>
          </w:p>
        </w:tc>
        <w:tc>
          <w:tcPr>
            <w:tcW w:w="0" w:type="auto"/>
          </w:tcPr>
          <w:p w14:paraId="5CDF1F5B" w14:textId="53730428" w:rsidR="00024353" w:rsidRPr="000F7953" w:rsidRDefault="00024353" w:rsidP="00110144">
            <w:pPr>
              <w:jc w:val="center"/>
              <w:rPr>
                <w:rFonts w:asciiTheme="minorHAnsi" w:eastAsia="Aptos" w:hAnsiTheme="minorHAnsi" w:cstheme="minorHAnsi"/>
                <w:sz w:val="22"/>
                <w:szCs w:val="22"/>
              </w:rPr>
            </w:pPr>
            <w:r w:rsidRPr="000F7953">
              <w:rPr>
                <w:rFonts w:asciiTheme="minorHAnsi" w:hAnsiTheme="minorHAnsi" w:cstheme="minorHAnsi"/>
                <w:sz w:val="22"/>
                <w:szCs w:val="22"/>
              </w:rPr>
              <w:t>32</w:t>
            </w:r>
            <w:r w:rsidR="00AF53D9" w:rsidRPr="000F7953">
              <w:rPr>
                <w:rFonts w:asciiTheme="minorHAnsi" w:hAnsiTheme="minorHAnsi" w:cstheme="minorHAnsi"/>
                <w:sz w:val="22"/>
                <w:szCs w:val="22"/>
              </w:rPr>
              <w:t> </w:t>
            </w:r>
            <w:r w:rsidRPr="000F7953">
              <w:rPr>
                <w:rFonts w:asciiTheme="minorHAnsi" w:hAnsiTheme="minorHAnsi" w:cstheme="minorHAnsi"/>
                <w:sz w:val="22"/>
                <w:szCs w:val="22"/>
              </w:rPr>
              <w:t>074</w:t>
            </w:r>
          </w:p>
        </w:tc>
        <w:tc>
          <w:tcPr>
            <w:tcW w:w="0" w:type="auto"/>
          </w:tcPr>
          <w:p w14:paraId="76C2CB82" w14:textId="2C369CCB" w:rsidR="00024353" w:rsidRPr="000F7953" w:rsidRDefault="00024353" w:rsidP="00110144">
            <w:pPr>
              <w:jc w:val="center"/>
              <w:rPr>
                <w:rFonts w:asciiTheme="minorHAnsi" w:eastAsia="Aptos" w:hAnsiTheme="minorHAnsi" w:cstheme="minorHAnsi"/>
                <w:sz w:val="22"/>
                <w:szCs w:val="22"/>
              </w:rPr>
            </w:pPr>
            <w:r w:rsidRPr="000F7953">
              <w:rPr>
                <w:rFonts w:asciiTheme="minorHAnsi" w:hAnsiTheme="minorHAnsi" w:cstheme="minorHAnsi"/>
                <w:sz w:val="22"/>
                <w:szCs w:val="22"/>
              </w:rPr>
              <w:t>42</w:t>
            </w:r>
            <w:r w:rsidR="00AF53D9" w:rsidRPr="000F7953">
              <w:rPr>
                <w:rFonts w:asciiTheme="minorHAnsi" w:hAnsiTheme="minorHAnsi" w:cstheme="minorHAnsi"/>
                <w:sz w:val="22"/>
                <w:szCs w:val="22"/>
              </w:rPr>
              <w:t> </w:t>
            </w:r>
            <w:r w:rsidRPr="000F7953">
              <w:rPr>
                <w:rFonts w:asciiTheme="minorHAnsi" w:hAnsiTheme="minorHAnsi" w:cstheme="minorHAnsi"/>
                <w:sz w:val="22"/>
                <w:szCs w:val="22"/>
              </w:rPr>
              <w:t>954</w:t>
            </w:r>
          </w:p>
        </w:tc>
        <w:tc>
          <w:tcPr>
            <w:tcW w:w="0" w:type="auto"/>
          </w:tcPr>
          <w:p w14:paraId="2A06382F" w14:textId="4E09C87F" w:rsidR="00024353" w:rsidRPr="000F7953" w:rsidRDefault="00024353" w:rsidP="00110144">
            <w:pPr>
              <w:jc w:val="center"/>
              <w:rPr>
                <w:rFonts w:asciiTheme="minorHAnsi" w:eastAsia="Aptos" w:hAnsiTheme="minorHAnsi" w:cstheme="minorHAnsi"/>
                <w:sz w:val="22"/>
                <w:szCs w:val="22"/>
              </w:rPr>
            </w:pPr>
            <w:r w:rsidRPr="000F7953">
              <w:rPr>
                <w:rFonts w:asciiTheme="minorHAnsi" w:hAnsiTheme="minorHAnsi" w:cstheme="minorHAnsi"/>
                <w:sz w:val="22"/>
                <w:szCs w:val="22"/>
              </w:rPr>
              <w:t>8</w:t>
            </w:r>
            <w:r w:rsidR="00AF53D9" w:rsidRPr="000F7953">
              <w:rPr>
                <w:rFonts w:asciiTheme="minorHAnsi" w:hAnsiTheme="minorHAnsi" w:cstheme="minorHAnsi"/>
                <w:sz w:val="22"/>
                <w:szCs w:val="22"/>
              </w:rPr>
              <w:t> </w:t>
            </w:r>
            <w:r w:rsidRPr="000F7953">
              <w:rPr>
                <w:rFonts w:asciiTheme="minorHAnsi" w:hAnsiTheme="minorHAnsi" w:cstheme="minorHAnsi"/>
                <w:sz w:val="22"/>
                <w:szCs w:val="22"/>
              </w:rPr>
              <w:t>022</w:t>
            </w:r>
            <w:r w:rsidRPr="000F7953">
              <w:rPr>
                <w:rFonts w:asciiTheme="minorHAnsi" w:hAnsiTheme="minorHAnsi" w:cstheme="minorHAnsi"/>
                <w:b/>
                <w:bCs/>
                <w:sz w:val="22"/>
                <w:szCs w:val="22"/>
              </w:rPr>
              <w:t>**</w:t>
            </w:r>
          </w:p>
        </w:tc>
        <w:tc>
          <w:tcPr>
            <w:tcW w:w="0" w:type="auto"/>
            <w:vAlign w:val="center"/>
          </w:tcPr>
          <w:p w14:paraId="4BA62396" w14:textId="77777777" w:rsidR="00024353" w:rsidRPr="000F7953" w:rsidRDefault="00024353" w:rsidP="00110144">
            <w:pPr>
              <w:jc w:val="center"/>
              <w:rPr>
                <w:rFonts w:asciiTheme="minorHAnsi" w:hAnsiTheme="minorHAnsi" w:cstheme="minorHAnsi"/>
                <w:sz w:val="22"/>
                <w:szCs w:val="22"/>
              </w:rPr>
            </w:pPr>
            <w:r w:rsidRPr="000F7953">
              <w:rPr>
                <w:rFonts w:asciiTheme="minorHAnsi" w:hAnsiTheme="minorHAnsi" w:cstheme="minorHAnsi"/>
                <w:noProof/>
              </w:rPr>
              <w:drawing>
                <wp:inline distT="0" distB="0" distL="0" distR="0" wp14:anchorId="2440EB23" wp14:editId="69895A41">
                  <wp:extent cx="277254" cy="432000"/>
                  <wp:effectExtent l="0" t="0" r="8890" b="0"/>
                  <wp:docPr id="116597820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77254" cy="432000"/>
                          </a:xfrm>
                          <a:prstGeom prst="rect">
                            <a:avLst/>
                          </a:prstGeom>
                          <a:noFill/>
                          <a:ln>
                            <a:noFill/>
                          </a:ln>
                        </pic:spPr>
                      </pic:pic>
                    </a:graphicData>
                  </a:graphic>
                </wp:inline>
              </w:drawing>
            </w:r>
          </w:p>
        </w:tc>
      </w:tr>
      <w:tr w:rsidR="00024353" w:rsidRPr="000F7953" w14:paraId="4E57A711" w14:textId="77777777" w:rsidTr="00110144">
        <w:trPr>
          <w:cantSplit/>
        </w:trPr>
        <w:tc>
          <w:tcPr>
            <w:tcW w:w="0" w:type="auto"/>
          </w:tcPr>
          <w:p w14:paraId="61F1538E" w14:textId="4BB80194" w:rsidR="00024353" w:rsidRPr="000F7953" w:rsidRDefault="00024353" w:rsidP="00110144">
            <w:pPr>
              <w:rPr>
                <w:rFonts w:asciiTheme="minorHAnsi" w:eastAsia="Aptos" w:hAnsiTheme="minorHAnsi" w:cstheme="minorHAnsi"/>
                <w:sz w:val="22"/>
                <w:szCs w:val="22"/>
              </w:rPr>
            </w:pPr>
            <w:r w:rsidRPr="000F7953">
              <w:rPr>
                <w:rFonts w:asciiTheme="minorHAnsi" w:hAnsiTheme="minorHAnsi" w:cstheme="minorHAnsi"/>
                <w:sz w:val="22"/>
                <w:szCs w:val="22"/>
              </w:rPr>
              <w:lastRenderedPageBreak/>
              <w:t>Número de herramientas prácticas y documentos de orientación para la conservación y el uso racional de los humedales, y otra documentación científica esencial, que han sido elaborados por el GECT, las Partes u otros, y que están disponibles en el sitio web de la Convención.</w:t>
            </w:r>
          </w:p>
        </w:tc>
        <w:tc>
          <w:tcPr>
            <w:tcW w:w="0" w:type="auto"/>
          </w:tcPr>
          <w:p w14:paraId="021F57A4" w14:textId="77777777" w:rsidR="00024353" w:rsidRPr="000F7953" w:rsidRDefault="00024353" w:rsidP="00110144">
            <w:pPr>
              <w:jc w:val="center"/>
              <w:rPr>
                <w:rFonts w:asciiTheme="minorHAnsi" w:eastAsia="Aptos" w:hAnsiTheme="minorHAnsi" w:cstheme="minorHAnsi"/>
                <w:sz w:val="22"/>
                <w:szCs w:val="22"/>
              </w:rPr>
            </w:pPr>
            <w:r w:rsidRPr="000F7953">
              <w:rPr>
                <w:rFonts w:asciiTheme="minorHAnsi" w:hAnsiTheme="minorHAnsi" w:cstheme="minorHAnsi"/>
                <w:sz w:val="22"/>
                <w:szCs w:val="22"/>
              </w:rPr>
              <w:t>19</w:t>
            </w:r>
          </w:p>
        </w:tc>
        <w:tc>
          <w:tcPr>
            <w:tcW w:w="0" w:type="auto"/>
          </w:tcPr>
          <w:p w14:paraId="0771D505" w14:textId="77777777" w:rsidR="00024353" w:rsidRPr="000F7953" w:rsidRDefault="00024353" w:rsidP="00110144">
            <w:pPr>
              <w:jc w:val="center"/>
              <w:rPr>
                <w:rFonts w:asciiTheme="minorHAnsi" w:eastAsia="Aptos" w:hAnsiTheme="minorHAnsi" w:cstheme="minorHAnsi"/>
                <w:sz w:val="22"/>
                <w:szCs w:val="22"/>
              </w:rPr>
            </w:pPr>
            <w:r w:rsidRPr="000F7953">
              <w:rPr>
                <w:rFonts w:asciiTheme="minorHAnsi" w:hAnsiTheme="minorHAnsi" w:cstheme="minorHAnsi"/>
                <w:sz w:val="22"/>
                <w:szCs w:val="22"/>
              </w:rPr>
              <w:t>29</w:t>
            </w:r>
          </w:p>
        </w:tc>
        <w:tc>
          <w:tcPr>
            <w:tcW w:w="0" w:type="auto"/>
          </w:tcPr>
          <w:p w14:paraId="3505DB44" w14:textId="77777777" w:rsidR="00024353" w:rsidRPr="000F7953" w:rsidRDefault="00024353" w:rsidP="00110144">
            <w:pPr>
              <w:jc w:val="center"/>
              <w:rPr>
                <w:rFonts w:asciiTheme="minorHAnsi" w:eastAsia="Aptos" w:hAnsiTheme="minorHAnsi" w:cstheme="minorHAnsi"/>
                <w:sz w:val="22"/>
                <w:szCs w:val="22"/>
              </w:rPr>
            </w:pPr>
            <w:r w:rsidRPr="000F7953">
              <w:rPr>
                <w:rFonts w:asciiTheme="minorHAnsi" w:hAnsiTheme="minorHAnsi" w:cstheme="minorHAnsi"/>
                <w:sz w:val="22"/>
                <w:szCs w:val="22"/>
              </w:rPr>
              <w:t>37</w:t>
            </w:r>
          </w:p>
        </w:tc>
        <w:tc>
          <w:tcPr>
            <w:tcW w:w="0" w:type="auto"/>
          </w:tcPr>
          <w:p w14:paraId="3CB97DE3" w14:textId="77777777" w:rsidR="00024353" w:rsidRPr="000F7953" w:rsidRDefault="00024353" w:rsidP="00110144">
            <w:pPr>
              <w:jc w:val="center"/>
              <w:rPr>
                <w:rFonts w:asciiTheme="minorHAnsi" w:eastAsia="Aptos" w:hAnsiTheme="minorHAnsi" w:cstheme="minorHAnsi"/>
                <w:sz w:val="22"/>
                <w:szCs w:val="22"/>
              </w:rPr>
            </w:pPr>
            <w:r w:rsidRPr="000F7953">
              <w:rPr>
                <w:rFonts w:asciiTheme="minorHAnsi" w:hAnsiTheme="minorHAnsi" w:cstheme="minorHAnsi"/>
                <w:sz w:val="22"/>
                <w:szCs w:val="22"/>
              </w:rPr>
              <w:t>42</w:t>
            </w:r>
          </w:p>
        </w:tc>
        <w:tc>
          <w:tcPr>
            <w:tcW w:w="0" w:type="auto"/>
            <w:vAlign w:val="center"/>
          </w:tcPr>
          <w:p w14:paraId="331F2EEA" w14:textId="77777777" w:rsidR="00024353" w:rsidRPr="000F7953" w:rsidRDefault="00024353" w:rsidP="00110144">
            <w:pPr>
              <w:jc w:val="center"/>
              <w:rPr>
                <w:rFonts w:asciiTheme="minorHAnsi" w:hAnsiTheme="minorHAnsi" w:cstheme="minorHAnsi"/>
                <w:sz w:val="22"/>
                <w:szCs w:val="22"/>
              </w:rPr>
            </w:pPr>
            <w:r w:rsidRPr="000F7953">
              <w:rPr>
                <w:rFonts w:asciiTheme="minorHAnsi" w:hAnsiTheme="minorHAnsi" w:cstheme="minorHAnsi"/>
                <w:noProof/>
              </w:rPr>
              <w:drawing>
                <wp:inline distT="0" distB="0" distL="0" distR="0" wp14:anchorId="555866D3" wp14:editId="51BD79A8">
                  <wp:extent cx="715700" cy="432000"/>
                  <wp:effectExtent l="0" t="0" r="0" b="0"/>
                  <wp:docPr id="709668380" name="Picture 4" descr="A green line with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668380" name="Picture 4" descr="A green line with circles&#10;&#10;AI-generated content may be incorrect."/>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15700" cy="432000"/>
                          </a:xfrm>
                          <a:prstGeom prst="rect">
                            <a:avLst/>
                          </a:prstGeom>
                          <a:noFill/>
                          <a:ln>
                            <a:noFill/>
                          </a:ln>
                        </pic:spPr>
                      </pic:pic>
                    </a:graphicData>
                  </a:graphic>
                </wp:inline>
              </w:drawing>
            </w:r>
          </w:p>
        </w:tc>
      </w:tr>
    </w:tbl>
    <w:p w14:paraId="77ACEE06" w14:textId="77777777" w:rsidR="00024353" w:rsidRPr="000F7953" w:rsidRDefault="00024353" w:rsidP="00024353">
      <w:pPr>
        <w:rPr>
          <w:rFonts w:asciiTheme="minorHAnsi" w:hAnsiTheme="minorHAnsi" w:cstheme="minorHAnsi"/>
          <w:sz w:val="22"/>
          <w:szCs w:val="22"/>
        </w:rPr>
      </w:pPr>
      <w:r w:rsidRPr="000F7953">
        <w:rPr>
          <w:rFonts w:asciiTheme="minorHAnsi" w:hAnsiTheme="minorHAnsi" w:cstheme="minorHAnsi"/>
          <w:sz w:val="22"/>
          <w:szCs w:val="22"/>
        </w:rPr>
        <w:t>* Datos por país y región no disponibles.</w:t>
      </w:r>
    </w:p>
    <w:p w14:paraId="4034532B" w14:textId="77777777" w:rsidR="00024353" w:rsidRPr="000F7953" w:rsidRDefault="00024353" w:rsidP="00024353">
      <w:pPr>
        <w:rPr>
          <w:rFonts w:asciiTheme="minorHAnsi" w:hAnsiTheme="minorHAnsi" w:cstheme="minorHAnsi"/>
          <w:sz w:val="22"/>
          <w:szCs w:val="22"/>
        </w:rPr>
      </w:pPr>
      <w:r w:rsidRPr="000F7953">
        <w:rPr>
          <w:rFonts w:asciiTheme="minorHAnsi" w:hAnsiTheme="minorHAnsi" w:cstheme="minorHAnsi"/>
          <w:sz w:val="22"/>
          <w:szCs w:val="22"/>
        </w:rPr>
        <w:t xml:space="preserve">** Los datos sobre descargas y visitas a las páginas para 2023-2025 no son directamente comparables con trienios anteriores debido a cambios en los métodos de seguimiento por parte de Google analytics y al lanzamiento de un nuevo sitio web de la Convención a mediados de 2023, lo que limitó la continuidad para el análisis de las tendencias. Los gráficos de tendencias se basan en los datos para la COP13 y la COP14. </w:t>
      </w:r>
    </w:p>
    <w:p w14:paraId="7700A912" w14:textId="77777777" w:rsidR="00AD5385" w:rsidRPr="000F7953" w:rsidRDefault="00AD5385" w:rsidP="00CD3F6B">
      <w:pPr>
        <w:rPr>
          <w:rFonts w:asciiTheme="minorHAnsi" w:eastAsia="Calibri" w:hAnsiTheme="minorHAnsi" w:cstheme="minorHAnsi"/>
          <w:sz w:val="22"/>
          <w:szCs w:val="22"/>
        </w:rPr>
      </w:pPr>
    </w:p>
    <w:p w14:paraId="7B1A7776" w14:textId="77777777" w:rsidR="0078307B" w:rsidRPr="000F7953" w:rsidRDefault="0078307B" w:rsidP="0078307B">
      <w:pPr>
        <w:keepNext/>
        <w:rPr>
          <w:rFonts w:asciiTheme="minorHAnsi" w:hAnsiTheme="minorHAnsi" w:cstheme="minorHAnsi"/>
          <w:i/>
          <w:iCs/>
          <w:sz w:val="22"/>
          <w:szCs w:val="22"/>
          <w:u w:val="single"/>
        </w:rPr>
      </w:pPr>
      <w:r w:rsidRPr="000F7953">
        <w:rPr>
          <w:rFonts w:asciiTheme="minorHAnsi" w:hAnsiTheme="minorHAnsi" w:cstheme="minorHAnsi"/>
          <w:i/>
          <w:iCs/>
          <w:sz w:val="22"/>
          <w:szCs w:val="22"/>
          <w:u w:val="single"/>
        </w:rPr>
        <w:t xml:space="preserve">Resumen de los progresos realizados </w:t>
      </w:r>
    </w:p>
    <w:p w14:paraId="5627419B" w14:textId="77777777" w:rsidR="0078307B" w:rsidRPr="000F7953" w:rsidRDefault="0078307B" w:rsidP="00A338FF">
      <w:pPr>
        <w:keepNext/>
        <w:ind w:left="425" w:hanging="425"/>
        <w:rPr>
          <w:rFonts w:asciiTheme="minorHAnsi" w:hAnsiTheme="minorHAnsi" w:cstheme="minorHAnsi"/>
          <w:sz w:val="22"/>
          <w:szCs w:val="22"/>
          <w:lang w:eastAsia="fr-FR"/>
        </w:rPr>
      </w:pPr>
    </w:p>
    <w:p w14:paraId="0BC09CD6" w14:textId="429399AB" w:rsidR="003A0EDF" w:rsidRPr="000F7953" w:rsidRDefault="000E3338"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t>84.</w:t>
      </w:r>
      <w:r w:rsidRPr="000F7953">
        <w:rPr>
          <w:rFonts w:asciiTheme="minorHAnsi" w:hAnsiTheme="minorHAnsi" w:cstheme="minorHAnsi"/>
          <w:sz w:val="22"/>
          <w:szCs w:val="22"/>
        </w:rPr>
        <w:tab/>
        <w:t>El GECT prepara orientaciones científicas y metodologías técnicas de acuerdo con su plan de trabajo trienal aprobado por el Comité Permanente. Hasta la fecha se han finalizado un total de diez productos durante el trienio 2023-2025, y otros ocho productos están en preparación para su publicación en el periodo previo a la COP15. Esta cifra contrasta con los siete productos finalizados entre 2019 y 2022, y los 15 productos entre 2016 y 2018.</w:t>
      </w:r>
      <w:r w:rsidRPr="000F7953">
        <w:rPr>
          <w:rFonts w:asciiTheme="minorHAnsi" w:hAnsiTheme="minorHAnsi" w:cstheme="minorHAnsi"/>
        </w:rPr>
        <w:t xml:space="preserve"> </w:t>
      </w:r>
    </w:p>
    <w:p w14:paraId="774D62D4" w14:textId="77777777" w:rsidR="003A0EDF" w:rsidRPr="000F7953" w:rsidRDefault="003A0EDF" w:rsidP="00257025">
      <w:pPr>
        <w:ind w:left="567" w:hanging="567"/>
        <w:rPr>
          <w:rFonts w:asciiTheme="minorHAnsi" w:hAnsiTheme="minorHAnsi" w:cstheme="minorHAnsi"/>
          <w:sz w:val="22"/>
          <w:szCs w:val="22"/>
          <w:lang w:eastAsia="fr-FR"/>
        </w:rPr>
      </w:pPr>
    </w:p>
    <w:p w14:paraId="6DDE40DE" w14:textId="55198B34" w:rsidR="00A13B80" w:rsidRPr="000F7953" w:rsidRDefault="000E3338"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t>85.</w:t>
      </w:r>
      <w:r w:rsidRPr="000F7953">
        <w:rPr>
          <w:rFonts w:asciiTheme="minorHAnsi" w:hAnsiTheme="minorHAnsi" w:cstheme="minorHAnsi"/>
          <w:sz w:val="22"/>
          <w:szCs w:val="22"/>
        </w:rPr>
        <w:tab/>
        <w:t xml:space="preserve">Entre la COP13 y la COP14 se produjo un aumento general del número de visitas a las páginas y de descargas de los productos del GECT. Sin embargo, no se dispone de datos comparables para el presente trienio debido a los cambios en los métodos de seguimiento y al lanzamiento de un nuevo sitio web de la Convención a mediados de 2023. </w:t>
      </w:r>
    </w:p>
    <w:p w14:paraId="0035370C" w14:textId="77777777" w:rsidR="006309EB" w:rsidRPr="000F7953" w:rsidRDefault="006309EB" w:rsidP="00257025">
      <w:pPr>
        <w:ind w:left="567" w:hanging="567"/>
        <w:rPr>
          <w:rFonts w:asciiTheme="minorHAnsi" w:hAnsiTheme="minorHAnsi" w:cstheme="minorHAnsi"/>
          <w:sz w:val="22"/>
          <w:szCs w:val="22"/>
          <w:lang w:eastAsia="fr-FR"/>
        </w:rPr>
      </w:pPr>
    </w:p>
    <w:p w14:paraId="11F56F2E" w14:textId="5C958C64" w:rsidR="00A13B80" w:rsidRPr="000F7953" w:rsidRDefault="000E3338"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t>86.</w:t>
      </w:r>
      <w:r w:rsidRPr="000F7953">
        <w:rPr>
          <w:rFonts w:asciiTheme="minorHAnsi" w:hAnsiTheme="minorHAnsi" w:cstheme="minorHAnsi"/>
          <w:sz w:val="22"/>
          <w:szCs w:val="22"/>
        </w:rPr>
        <w:tab/>
        <w:t xml:space="preserve">Entre los productos más descargados durante el periodo 2023-2025 se encuentran la </w:t>
      </w:r>
      <w:r w:rsidRPr="000F7953">
        <w:rPr>
          <w:rFonts w:asciiTheme="minorHAnsi" w:hAnsiTheme="minorHAnsi" w:cstheme="minorHAnsi"/>
          <w:i/>
          <w:iCs/>
          <w:sz w:val="22"/>
          <w:szCs w:val="22"/>
        </w:rPr>
        <w:t>Perspectiva mundial sobre los humedales</w:t>
      </w:r>
      <w:r w:rsidRPr="000F7953">
        <w:rPr>
          <w:rFonts w:asciiTheme="minorHAnsi" w:hAnsiTheme="minorHAnsi" w:cstheme="minorHAnsi"/>
          <w:sz w:val="22"/>
          <w:szCs w:val="22"/>
        </w:rPr>
        <w:t xml:space="preserve"> y los manuales (véase el cuadro 2). El documento informativo </w:t>
      </w:r>
      <w:r w:rsidRPr="000F7953">
        <w:rPr>
          <w:rFonts w:asciiTheme="minorHAnsi" w:hAnsiTheme="minorHAnsi" w:cstheme="minorHAnsi"/>
          <w:i/>
          <w:iCs/>
          <w:sz w:val="22"/>
          <w:szCs w:val="22"/>
        </w:rPr>
        <w:t>Marco Mundial de Biodiversidad de Kunming-Montreal: Ampliación de la escala de conservación, restauración y uso racional de los humedales a través de estrategias y planes de acción nacionales de biodiversidad (EPANB)</w:t>
      </w:r>
      <w:r w:rsidRPr="000F7953">
        <w:rPr>
          <w:rFonts w:asciiTheme="minorHAnsi" w:hAnsiTheme="minorHAnsi" w:cstheme="minorHAnsi"/>
          <w:sz w:val="22"/>
          <w:szCs w:val="22"/>
        </w:rPr>
        <w:t xml:space="preserve"> ha sido descargado más de 700 veces en el relativamente corto periodo de tiempo transcurrido desde su publicación en 2024, y el Informe Técnico n.° 12 conexo: </w:t>
      </w:r>
      <w:r w:rsidRPr="000F7953">
        <w:rPr>
          <w:rFonts w:asciiTheme="minorHAnsi" w:hAnsiTheme="minorHAnsi" w:cstheme="minorHAnsi"/>
          <w:i/>
          <w:iCs/>
          <w:sz w:val="22"/>
          <w:szCs w:val="22"/>
        </w:rPr>
        <w:t>Potenciar la conservación y restauración de humedales para la ejecución del Marco Mundial de Biodiversidad de Kunming-Montreal: Orientaciones sobre la inclusión de los humedales en las estrategias y planes de acción nacionales en materia de biodiversidad (EPANB) para impulsar la biodiversidad y detener la pérdida y degradación de los humedales</w:t>
      </w:r>
      <w:r w:rsidRPr="000F7953">
        <w:rPr>
          <w:rFonts w:asciiTheme="minorHAnsi" w:hAnsiTheme="minorHAnsi" w:cstheme="minorHAnsi"/>
          <w:sz w:val="22"/>
          <w:szCs w:val="22"/>
        </w:rPr>
        <w:t xml:space="preserve"> ha sido descargado más de 350 veces.</w:t>
      </w:r>
      <w:r w:rsidRPr="000F7953">
        <w:rPr>
          <w:rFonts w:asciiTheme="minorHAnsi" w:hAnsiTheme="minorHAnsi" w:cstheme="minorHAnsi"/>
          <w:color w:val="000000"/>
          <w:sz w:val="22"/>
          <w:szCs w:val="22"/>
        </w:rPr>
        <w:t xml:space="preserve"> </w:t>
      </w:r>
      <w:r w:rsidRPr="000F7953">
        <w:rPr>
          <w:rFonts w:asciiTheme="minorHAnsi" w:hAnsiTheme="minorHAnsi" w:cstheme="minorHAnsi"/>
          <w:sz w:val="22"/>
          <w:szCs w:val="22"/>
        </w:rPr>
        <w:t>La página de inicio del GECT recibió un total de 4 240 visitas únicas durante el periodo comprendido entre el 15 de junio de 2023 y el 9 de abril de 2025, incluidas 3 536 visitas a las páginas en inglés, 403 a las páginas en español y 301 a las páginas en francés.</w:t>
      </w:r>
    </w:p>
    <w:p w14:paraId="0FB6F2AF" w14:textId="77777777" w:rsidR="00A13B80" w:rsidRPr="000F7953" w:rsidRDefault="00A13B80" w:rsidP="00CD3F6B">
      <w:pPr>
        <w:rPr>
          <w:rFonts w:asciiTheme="minorHAnsi" w:hAnsiTheme="minorHAnsi" w:cstheme="minorHAnsi"/>
          <w:iCs/>
          <w:sz w:val="22"/>
          <w:szCs w:val="22"/>
          <w:highlight w:val="yellow"/>
        </w:rPr>
      </w:pPr>
    </w:p>
    <w:p w14:paraId="7888D52C" w14:textId="1CA9EB99" w:rsidR="00A13B80" w:rsidRPr="000F7953" w:rsidRDefault="00A13B80" w:rsidP="0078307B">
      <w:pPr>
        <w:keepNext/>
        <w:jc w:val="center"/>
        <w:rPr>
          <w:rFonts w:asciiTheme="minorHAnsi" w:hAnsiTheme="minorHAnsi" w:cstheme="minorHAnsi"/>
          <w:i/>
          <w:sz w:val="22"/>
          <w:szCs w:val="22"/>
        </w:rPr>
      </w:pPr>
      <w:r w:rsidRPr="000F7953">
        <w:rPr>
          <w:rFonts w:asciiTheme="minorHAnsi" w:hAnsiTheme="minorHAnsi" w:cstheme="minorHAnsi"/>
          <w:i/>
          <w:sz w:val="22"/>
          <w:szCs w:val="22"/>
        </w:rPr>
        <w:t>Cuadro 2. Número total de descargas únicas en todos los tipos de productos del GECT: del 15 de junio de 2023 al 9 de abril de 2025.</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gridCol w:w="1520"/>
        <w:gridCol w:w="1519"/>
        <w:gridCol w:w="1520"/>
        <w:gridCol w:w="1235"/>
      </w:tblGrid>
      <w:tr w:rsidR="00567061" w:rsidRPr="000F7953" w14:paraId="3745AC2C" w14:textId="4B989D2F" w:rsidTr="0078307B">
        <w:trPr>
          <w:trHeight w:val="280"/>
        </w:trPr>
        <w:tc>
          <w:tcPr>
            <w:tcW w:w="3278" w:type="dxa"/>
            <w:shd w:val="clear" w:color="auto" w:fill="auto"/>
            <w:noWrap/>
            <w:vAlign w:val="center"/>
            <w:hideMark/>
          </w:tcPr>
          <w:p w14:paraId="346702A1" w14:textId="77777777" w:rsidR="00567061" w:rsidRPr="000F7953" w:rsidRDefault="00567061" w:rsidP="0078307B">
            <w:pPr>
              <w:keepNext/>
              <w:jc w:val="center"/>
              <w:rPr>
                <w:rFonts w:asciiTheme="minorHAnsi" w:hAnsiTheme="minorHAnsi" w:cstheme="minorHAnsi"/>
                <w:b/>
                <w:sz w:val="22"/>
                <w:szCs w:val="22"/>
              </w:rPr>
            </w:pPr>
            <w:r w:rsidRPr="000F7953">
              <w:rPr>
                <w:rFonts w:asciiTheme="minorHAnsi" w:hAnsiTheme="minorHAnsi" w:cstheme="minorHAnsi"/>
                <w:b/>
                <w:sz w:val="22"/>
                <w:szCs w:val="22"/>
              </w:rPr>
              <w:t>Tipo</w:t>
            </w:r>
          </w:p>
        </w:tc>
        <w:tc>
          <w:tcPr>
            <w:tcW w:w="1520" w:type="dxa"/>
            <w:shd w:val="clear" w:color="auto" w:fill="auto"/>
            <w:noWrap/>
            <w:vAlign w:val="center"/>
            <w:hideMark/>
          </w:tcPr>
          <w:p w14:paraId="2221A1A8" w14:textId="77777777" w:rsidR="00567061" w:rsidRPr="000F7953" w:rsidRDefault="00567061" w:rsidP="0078307B">
            <w:pPr>
              <w:keepNext/>
              <w:jc w:val="center"/>
              <w:rPr>
                <w:rFonts w:asciiTheme="minorHAnsi" w:hAnsiTheme="minorHAnsi" w:cstheme="minorHAnsi"/>
                <w:b/>
                <w:color w:val="000000"/>
                <w:sz w:val="22"/>
                <w:szCs w:val="22"/>
              </w:rPr>
            </w:pPr>
            <w:r w:rsidRPr="000F7953">
              <w:rPr>
                <w:rFonts w:asciiTheme="minorHAnsi" w:hAnsiTheme="minorHAnsi" w:cstheme="minorHAnsi"/>
                <w:b/>
                <w:color w:val="000000"/>
                <w:sz w:val="22"/>
                <w:szCs w:val="22"/>
              </w:rPr>
              <w:t>Inglés</w:t>
            </w:r>
          </w:p>
        </w:tc>
        <w:tc>
          <w:tcPr>
            <w:tcW w:w="1519" w:type="dxa"/>
            <w:shd w:val="clear" w:color="auto" w:fill="auto"/>
            <w:noWrap/>
            <w:vAlign w:val="center"/>
            <w:hideMark/>
          </w:tcPr>
          <w:p w14:paraId="7F437CF9" w14:textId="77777777" w:rsidR="00567061" w:rsidRPr="000F7953" w:rsidRDefault="00567061" w:rsidP="0078307B">
            <w:pPr>
              <w:keepNext/>
              <w:jc w:val="center"/>
              <w:rPr>
                <w:rFonts w:asciiTheme="minorHAnsi" w:hAnsiTheme="minorHAnsi" w:cstheme="minorHAnsi"/>
                <w:b/>
                <w:color w:val="000000"/>
                <w:sz w:val="22"/>
                <w:szCs w:val="22"/>
              </w:rPr>
            </w:pPr>
            <w:r w:rsidRPr="000F7953">
              <w:rPr>
                <w:rFonts w:asciiTheme="minorHAnsi" w:hAnsiTheme="minorHAnsi" w:cstheme="minorHAnsi"/>
                <w:b/>
                <w:color w:val="000000"/>
                <w:sz w:val="22"/>
                <w:szCs w:val="22"/>
              </w:rPr>
              <w:t>Francés</w:t>
            </w:r>
          </w:p>
        </w:tc>
        <w:tc>
          <w:tcPr>
            <w:tcW w:w="1520" w:type="dxa"/>
            <w:shd w:val="clear" w:color="auto" w:fill="auto"/>
            <w:noWrap/>
            <w:vAlign w:val="center"/>
            <w:hideMark/>
          </w:tcPr>
          <w:p w14:paraId="5B1E5F95" w14:textId="77777777" w:rsidR="00567061" w:rsidRPr="000F7953" w:rsidRDefault="00567061" w:rsidP="0078307B">
            <w:pPr>
              <w:keepNext/>
              <w:jc w:val="center"/>
              <w:rPr>
                <w:rFonts w:asciiTheme="minorHAnsi" w:hAnsiTheme="minorHAnsi" w:cstheme="minorHAnsi"/>
                <w:b/>
                <w:color w:val="000000"/>
                <w:sz w:val="22"/>
                <w:szCs w:val="22"/>
              </w:rPr>
            </w:pPr>
            <w:r w:rsidRPr="000F7953">
              <w:rPr>
                <w:rFonts w:asciiTheme="minorHAnsi" w:hAnsiTheme="minorHAnsi" w:cstheme="minorHAnsi"/>
                <w:b/>
                <w:color w:val="000000"/>
                <w:sz w:val="22"/>
                <w:szCs w:val="22"/>
              </w:rPr>
              <w:t>Español</w:t>
            </w:r>
          </w:p>
        </w:tc>
        <w:tc>
          <w:tcPr>
            <w:tcW w:w="1520" w:type="dxa"/>
            <w:vAlign w:val="center"/>
          </w:tcPr>
          <w:p w14:paraId="38D2E8D2" w14:textId="7E8D8F9D" w:rsidR="00567061" w:rsidRPr="000F7953" w:rsidRDefault="00567061" w:rsidP="0078307B">
            <w:pPr>
              <w:keepNext/>
              <w:jc w:val="center"/>
              <w:rPr>
                <w:rFonts w:asciiTheme="minorHAnsi" w:hAnsiTheme="minorHAnsi" w:cstheme="minorHAnsi"/>
                <w:b/>
                <w:color w:val="000000"/>
                <w:sz w:val="22"/>
                <w:szCs w:val="22"/>
              </w:rPr>
            </w:pPr>
            <w:r w:rsidRPr="000F7953">
              <w:rPr>
                <w:rFonts w:asciiTheme="minorHAnsi" w:hAnsiTheme="minorHAnsi" w:cstheme="minorHAnsi"/>
                <w:b/>
                <w:color w:val="000000"/>
                <w:sz w:val="22"/>
                <w:szCs w:val="22"/>
              </w:rPr>
              <w:t>Total</w:t>
            </w:r>
          </w:p>
        </w:tc>
      </w:tr>
      <w:tr w:rsidR="00567061" w:rsidRPr="000F7953" w14:paraId="7D12C6BA" w14:textId="0E3A847A" w:rsidTr="0078307B">
        <w:trPr>
          <w:trHeight w:val="310"/>
        </w:trPr>
        <w:tc>
          <w:tcPr>
            <w:tcW w:w="3278" w:type="dxa"/>
            <w:shd w:val="clear" w:color="auto" w:fill="auto"/>
            <w:noWrap/>
            <w:vAlign w:val="center"/>
          </w:tcPr>
          <w:p w14:paraId="06EAF40C" w14:textId="77777777" w:rsidR="00567061" w:rsidRPr="000F7953" w:rsidRDefault="00567061" w:rsidP="00567061">
            <w:pPr>
              <w:rPr>
                <w:rFonts w:asciiTheme="minorHAnsi" w:hAnsiTheme="minorHAnsi" w:cstheme="minorHAnsi"/>
                <w:color w:val="000000"/>
                <w:sz w:val="22"/>
                <w:szCs w:val="22"/>
              </w:rPr>
            </w:pPr>
            <w:r w:rsidRPr="000F7953">
              <w:rPr>
                <w:rFonts w:asciiTheme="minorHAnsi" w:hAnsiTheme="minorHAnsi" w:cstheme="minorHAnsi"/>
                <w:i/>
                <w:iCs/>
                <w:color w:val="000000"/>
                <w:sz w:val="22"/>
                <w:szCs w:val="22"/>
              </w:rPr>
              <w:t>Perspectiva mundial sobre los humedales</w:t>
            </w:r>
          </w:p>
        </w:tc>
        <w:tc>
          <w:tcPr>
            <w:tcW w:w="1520" w:type="dxa"/>
            <w:shd w:val="clear" w:color="auto" w:fill="auto"/>
            <w:noWrap/>
            <w:vAlign w:val="center"/>
          </w:tcPr>
          <w:p w14:paraId="061F6378" w14:textId="69437951" w:rsidR="00567061" w:rsidRPr="000F7953" w:rsidRDefault="00567061" w:rsidP="00567061">
            <w:pPr>
              <w:jc w:val="right"/>
              <w:rPr>
                <w:rFonts w:asciiTheme="minorHAnsi" w:hAnsiTheme="minorHAnsi" w:cstheme="minorHAnsi"/>
                <w:sz w:val="22"/>
                <w:szCs w:val="22"/>
              </w:rPr>
            </w:pPr>
            <w:r w:rsidRPr="000F7953">
              <w:rPr>
                <w:rFonts w:asciiTheme="minorHAnsi" w:hAnsiTheme="minorHAnsi" w:cstheme="minorHAnsi"/>
                <w:sz w:val="22"/>
                <w:szCs w:val="22"/>
              </w:rPr>
              <w:t>3</w:t>
            </w:r>
            <w:r w:rsidR="00AF53D9" w:rsidRPr="000F7953">
              <w:rPr>
                <w:rFonts w:asciiTheme="minorHAnsi" w:hAnsiTheme="minorHAnsi" w:cstheme="minorHAnsi"/>
                <w:sz w:val="22"/>
                <w:szCs w:val="22"/>
              </w:rPr>
              <w:t> </w:t>
            </w:r>
            <w:r w:rsidRPr="000F7953">
              <w:rPr>
                <w:rFonts w:asciiTheme="minorHAnsi" w:hAnsiTheme="minorHAnsi" w:cstheme="minorHAnsi"/>
                <w:sz w:val="22"/>
                <w:szCs w:val="22"/>
              </w:rPr>
              <w:t>824</w:t>
            </w:r>
          </w:p>
        </w:tc>
        <w:tc>
          <w:tcPr>
            <w:tcW w:w="1519" w:type="dxa"/>
            <w:shd w:val="clear" w:color="auto" w:fill="auto"/>
            <w:noWrap/>
            <w:vAlign w:val="center"/>
          </w:tcPr>
          <w:p w14:paraId="7D37B98C" w14:textId="77777777" w:rsidR="00567061" w:rsidRPr="000F7953" w:rsidRDefault="00567061" w:rsidP="00567061">
            <w:pPr>
              <w:jc w:val="right"/>
              <w:rPr>
                <w:rFonts w:asciiTheme="minorHAnsi" w:hAnsiTheme="minorHAnsi" w:cstheme="minorHAnsi"/>
                <w:sz w:val="22"/>
                <w:szCs w:val="22"/>
              </w:rPr>
            </w:pPr>
            <w:r w:rsidRPr="000F7953">
              <w:rPr>
                <w:rFonts w:asciiTheme="minorHAnsi" w:hAnsiTheme="minorHAnsi" w:cstheme="minorHAnsi"/>
                <w:sz w:val="22"/>
                <w:szCs w:val="22"/>
              </w:rPr>
              <w:t>861</w:t>
            </w:r>
          </w:p>
        </w:tc>
        <w:tc>
          <w:tcPr>
            <w:tcW w:w="1520" w:type="dxa"/>
            <w:shd w:val="clear" w:color="auto" w:fill="auto"/>
            <w:noWrap/>
            <w:vAlign w:val="center"/>
          </w:tcPr>
          <w:p w14:paraId="5DD63096" w14:textId="675B1D1D" w:rsidR="00567061" w:rsidRPr="000F7953" w:rsidRDefault="00567061" w:rsidP="00567061">
            <w:pPr>
              <w:jc w:val="right"/>
              <w:rPr>
                <w:rFonts w:asciiTheme="minorHAnsi" w:hAnsiTheme="minorHAnsi" w:cstheme="minorHAnsi"/>
                <w:sz w:val="22"/>
                <w:szCs w:val="22"/>
              </w:rPr>
            </w:pPr>
            <w:r w:rsidRPr="000F7953">
              <w:rPr>
                <w:rFonts w:asciiTheme="minorHAnsi" w:hAnsiTheme="minorHAnsi" w:cstheme="minorHAnsi"/>
                <w:sz w:val="22"/>
                <w:szCs w:val="22"/>
              </w:rPr>
              <w:t>2</w:t>
            </w:r>
            <w:r w:rsidR="00AF53D9" w:rsidRPr="000F7953">
              <w:rPr>
                <w:rFonts w:asciiTheme="minorHAnsi" w:hAnsiTheme="minorHAnsi" w:cstheme="minorHAnsi"/>
                <w:sz w:val="22"/>
                <w:szCs w:val="22"/>
              </w:rPr>
              <w:t> </w:t>
            </w:r>
            <w:r w:rsidRPr="000F7953">
              <w:rPr>
                <w:rFonts w:asciiTheme="minorHAnsi" w:hAnsiTheme="minorHAnsi" w:cstheme="minorHAnsi"/>
                <w:sz w:val="22"/>
                <w:szCs w:val="22"/>
              </w:rPr>
              <w:t>068</w:t>
            </w:r>
          </w:p>
        </w:tc>
        <w:tc>
          <w:tcPr>
            <w:tcW w:w="1520" w:type="dxa"/>
            <w:vAlign w:val="center"/>
          </w:tcPr>
          <w:p w14:paraId="75F8FB08" w14:textId="0D850EDC" w:rsidR="00567061" w:rsidRPr="000F7953" w:rsidRDefault="00567061" w:rsidP="00567061">
            <w:pPr>
              <w:jc w:val="right"/>
              <w:rPr>
                <w:rFonts w:asciiTheme="minorHAnsi" w:hAnsiTheme="minorHAnsi" w:cstheme="minorHAnsi"/>
                <w:sz w:val="22"/>
                <w:szCs w:val="22"/>
              </w:rPr>
            </w:pPr>
            <w:r w:rsidRPr="000F7953">
              <w:rPr>
                <w:rFonts w:asciiTheme="minorHAnsi" w:hAnsiTheme="minorHAnsi" w:cstheme="minorHAnsi"/>
                <w:b/>
                <w:sz w:val="22"/>
                <w:szCs w:val="22"/>
              </w:rPr>
              <w:t>6</w:t>
            </w:r>
            <w:r w:rsidR="00AF53D9" w:rsidRPr="000F7953">
              <w:rPr>
                <w:rFonts w:asciiTheme="minorHAnsi" w:hAnsiTheme="minorHAnsi" w:cstheme="minorHAnsi"/>
                <w:b/>
                <w:sz w:val="22"/>
                <w:szCs w:val="22"/>
              </w:rPr>
              <w:t> </w:t>
            </w:r>
            <w:r w:rsidRPr="000F7953">
              <w:rPr>
                <w:rFonts w:asciiTheme="minorHAnsi" w:hAnsiTheme="minorHAnsi" w:cstheme="minorHAnsi"/>
                <w:b/>
                <w:sz w:val="22"/>
                <w:szCs w:val="22"/>
              </w:rPr>
              <w:t>753</w:t>
            </w:r>
          </w:p>
        </w:tc>
      </w:tr>
      <w:tr w:rsidR="00567061" w:rsidRPr="000F7953" w14:paraId="4E2FF83A" w14:textId="6BC36361" w:rsidTr="0078307B">
        <w:trPr>
          <w:trHeight w:val="310"/>
        </w:trPr>
        <w:tc>
          <w:tcPr>
            <w:tcW w:w="3278" w:type="dxa"/>
            <w:shd w:val="clear" w:color="auto" w:fill="auto"/>
            <w:noWrap/>
            <w:vAlign w:val="center"/>
          </w:tcPr>
          <w:p w14:paraId="545EBE69" w14:textId="77777777" w:rsidR="00567061" w:rsidRPr="000F7953" w:rsidRDefault="00567061" w:rsidP="00567061">
            <w:pPr>
              <w:rPr>
                <w:rFonts w:asciiTheme="minorHAnsi" w:hAnsiTheme="minorHAnsi" w:cstheme="minorHAnsi"/>
                <w:color w:val="000000"/>
                <w:sz w:val="22"/>
                <w:szCs w:val="22"/>
              </w:rPr>
            </w:pPr>
            <w:r w:rsidRPr="000F7953">
              <w:rPr>
                <w:rFonts w:asciiTheme="minorHAnsi" w:hAnsiTheme="minorHAnsi" w:cstheme="minorHAnsi"/>
                <w:sz w:val="22"/>
                <w:szCs w:val="22"/>
              </w:rPr>
              <w:t>Notas sobre Políticas</w:t>
            </w:r>
          </w:p>
        </w:tc>
        <w:tc>
          <w:tcPr>
            <w:tcW w:w="1520" w:type="dxa"/>
            <w:shd w:val="clear" w:color="auto" w:fill="auto"/>
            <w:noWrap/>
            <w:vAlign w:val="center"/>
          </w:tcPr>
          <w:p w14:paraId="288C3F7E" w14:textId="77777777" w:rsidR="00567061" w:rsidRPr="000F7953" w:rsidRDefault="00567061" w:rsidP="00567061">
            <w:pPr>
              <w:jc w:val="right"/>
              <w:rPr>
                <w:rFonts w:asciiTheme="minorHAnsi" w:hAnsiTheme="minorHAnsi" w:cstheme="minorHAnsi"/>
                <w:sz w:val="22"/>
                <w:szCs w:val="22"/>
              </w:rPr>
            </w:pPr>
            <w:r w:rsidRPr="000F7953">
              <w:rPr>
                <w:rFonts w:asciiTheme="minorHAnsi" w:hAnsiTheme="minorHAnsi" w:cstheme="minorHAnsi"/>
                <w:sz w:val="22"/>
                <w:szCs w:val="22"/>
              </w:rPr>
              <w:t>908</w:t>
            </w:r>
          </w:p>
        </w:tc>
        <w:tc>
          <w:tcPr>
            <w:tcW w:w="1519" w:type="dxa"/>
            <w:shd w:val="clear" w:color="auto" w:fill="auto"/>
            <w:noWrap/>
            <w:vAlign w:val="center"/>
          </w:tcPr>
          <w:p w14:paraId="276C8AAF" w14:textId="77777777" w:rsidR="00567061" w:rsidRPr="000F7953" w:rsidRDefault="00567061" w:rsidP="00567061">
            <w:pPr>
              <w:jc w:val="right"/>
              <w:rPr>
                <w:rFonts w:asciiTheme="minorHAnsi" w:hAnsiTheme="minorHAnsi" w:cstheme="minorHAnsi"/>
                <w:sz w:val="22"/>
                <w:szCs w:val="22"/>
              </w:rPr>
            </w:pPr>
            <w:r w:rsidRPr="000F7953">
              <w:rPr>
                <w:rFonts w:asciiTheme="minorHAnsi" w:hAnsiTheme="minorHAnsi" w:cstheme="minorHAnsi"/>
                <w:sz w:val="22"/>
                <w:szCs w:val="22"/>
              </w:rPr>
              <w:t>106</w:t>
            </w:r>
          </w:p>
        </w:tc>
        <w:tc>
          <w:tcPr>
            <w:tcW w:w="1520" w:type="dxa"/>
            <w:shd w:val="clear" w:color="auto" w:fill="auto"/>
            <w:noWrap/>
            <w:vAlign w:val="center"/>
          </w:tcPr>
          <w:p w14:paraId="0A11211C" w14:textId="77777777" w:rsidR="00567061" w:rsidRPr="000F7953" w:rsidRDefault="00567061" w:rsidP="00567061">
            <w:pPr>
              <w:jc w:val="right"/>
              <w:rPr>
                <w:rFonts w:asciiTheme="minorHAnsi" w:hAnsiTheme="minorHAnsi" w:cstheme="minorHAnsi"/>
                <w:sz w:val="22"/>
                <w:szCs w:val="22"/>
              </w:rPr>
            </w:pPr>
            <w:r w:rsidRPr="000F7953">
              <w:rPr>
                <w:rFonts w:asciiTheme="minorHAnsi" w:hAnsiTheme="minorHAnsi" w:cstheme="minorHAnsi"/>
                <w:sz w:val="22"/>
                <w:szCs w:val="22"/>
              </w:rPr>
              <w:t>139</w:t>
            </w:r>
          </w:p>
        </w:tc>
        <w:tc>
          <w:tcPr>
            <w:tcW w:w="1520" w:type="dxa"/>
            <w:vAlign w:val="center"/>
          </w:tcPr>
          <w:p w14:paraId="41C87BA5" w14:textId="0BBE04EC" w:rsidR="00567061" w:rsidRPr="000F7953" w:rsidRDefault="00567061" w:rsidP="00567061">
            <w:pPr>
              <w:jc w:val="right"/>
              <w:rPr>
                <w:rFonts w:asciiTheme="minorHAnsi" w:hAnsiTheme="minorHAnsi" w:cstheme="minorHAnsi"/>
                <w:sz w:val="22"/>
                <w:szCs w:val="22"/>
              </w:rPr>
            </w:pPr>
            <w:r w:rsidRPr="000F7953">
              <w:rPr>
                <w:rFonts w:asciiTheme="minorHAnsi" w:hAnsiTheme="minorHAnsi" w:cstheme="minorHAnsi"/>
                <w:b/>
                <w:sz w:val="22"/>
                <w:szCs w:val="22"/>
              </w:rPr>
              <w:t>1</w:t>
            </w:r>
            <w:r w:rsidR="00AF53D9" w:rsidRPr="000F7953">
              <w:rPr>
                <w:rFonts w:asciiTheme="minorHAnsi" w:hAnsiTheme="minorHAnsi" w:cstheme="minorHAnsi"/>
                <w:b/>
                <w:sz w:val="22"/>
                <w:szCs w:val="22"/>
              </w:rPr>
              <w:t> </w:t>
            </w:r>
            <w:r w:rsidRPr="000F7953">
              <w:rPr>
                <w:rFonts w:asciiTheme="minorHAnsi" w:hAnsiTheme="minorHAnsi" w:cstheme="minorHAnsi"/>
                <w:b/>
                <w:sz w:val="22"/>
                <w:szCs w:val="22"/>
              </w:rPr>
              <w:t>153</w:t>
            </w:r>
          </w:p>
        </w:tc>
      </w:tr>
      <w:tr w:rsidR="00567061" w:rsidRPr="000F7953" w14:paraId="363D36F1" w14:textId="433C4913" w:rsidTr="0078307B">
        <w:trPr>
          <w:trHeight w:val="310"/>
        </w:trPr>
        <w:tc>
          <w:tcPr>
            <w:tcW w:w="3278" w:type="dxa"/>
            <w:shd w:val="clear" w:color="auto" w:fill="auto"/>
            <w:noWrap/>
            <w:vAlign w:val="center"/>
          </w:tcPr>
          <w:p w14:paraId="2152A6BC" w14:textId="77777777" w:rsidR="00567061" w:rsidRPr="000F7953" w:rsidRDefault="00567061" w:rsidP="00567061">
            <w:pPr>
              <w:rPr>
                <w:rFonts w:asciiTheme="minorHAnsi" w:hAnsiTheme="minorHAnsi" w:cstheme="minorHAnsi"/>
                <w:sz w:val="22"/>
                <w:szCs w:val="22"/>
              </w:rPr>
            </w:pPr>
            <w:r w:rsidRPr="000F7953">
              <w:rPr>
                <w:rFonts w:asciiTheme="minorHAnsi" w:hAnsiTheme="minorHAnsi" w:cstheme="minorHAnsi"/>
                <w:sz w:val="22"/>
                <w:szCs w:val="22"/>
              </w:rPr>
              <w:t>Notas Informativas</w:t>
            </w:r>
          </w:p>
        </w:tc>
        <w:tc>
          <w:tcPr>
            <w:tcW w:w="1520" w:type="dxa"/>
            <w:shd w:val="clear" w:color="auto" w:fill="auto"/>
            <w:noWrap/>
            <w:vAlign w:val="center"/>
          </w:tcPr>
          <w:p w14:paraId="12DA933E" w14:textId="1AE5BDEA" w:rsidR="00567061" w:rsidRPr="000F7953" w:rsidRDefault="00567061" w:rsidP="00567061">
            <w:pPr>
              <w:jc w:val="right"/>
              <w:rPr>
                <w:rFonts w:asciiTheme="minorHAnsi" w:hAnsiTheme="minorHAnsi" w:cstheme="minorHAnsi"/>
                <w:sz w:val="22"/>
                <w:szCs w:val="22"/>
              </w:rPr>
            </w:pPr>
            <w:r w:rsidRPr="000F7953">
              <w:rPr>
                <w:rFonts w:asciiTheme="minorHAnsi" w:hAnsiTheme="minorHAnsi" w:cstheme="minorHAnsi"/>
                <w:sz w:val="22"/>
                <w:szCs w:val="22"/>
              </w:rPr>
              <w:t>1</w:t>
            </w:r>
            <w:r w:rsidR="00AF53D9" w:rsidRPr="000F7953">
              <w:rPr>
                <w:rFonts w:asciiTheme="minorHAnsi" w:hAnsiTheme="minorHAnsi" w:cstheme="minorHAnsi"/>
                <w:sz w:val="22"/>
                <w:szCs w:val="22"/>
              </w:rPr>
              <w:t> </w:t>
            </w:r>
            <w:r w:rsidRPr="000F7953">
              <w:rPr>
                <w:rFonts w:asciiTheme="minorHAnsi" w:hAnsiTheme="minorHAnsi" w:cstheme="minorHAnsi"/>
                <w:sz w:val="22"/>
                <w:szCs w:val="22"/>
              </w:rPr>
              <w:t>417</w:t>
            </w:r>
          </w:p>
        </w:tc>
        <w:tc>
          <w:tcPr>
            <w:tcW w:w="1519" w:type="dxa"/>
            <w:shd w:val="clear" w:color="auto" w:fill="auto"/>
            <w:noWrap/>
            <w:vAlign w:val="center"/>
          </w:tcPr>
          <w:p w14:paraId="664F6C7D" w14:textId="77777777" w:rsidR="00567061" w:rsidRPr="000F7953" w:rsidRDefault="00567061" w:rsidP="00567061">
            <w:pPr>
              <w:jc w:val="right"/>
              <w:rPr>
                <w:rFonts w:asciiTheme="minorHAnsi" w:hAnsiTheme="minorHAnsi" w:cstheme="minorHAnsi"/>
                <w:sz w:val="22"/>
                <w:szCs w:val="22"/>
              </w:rPr>
            </w:pPr>
            <w:r w:rsidRPr="000F7953">
              <w:rPr>
                <w:rFonts w:asciiTheme="minorHAnsi" w:hAnsiTheme="minorHAnsi" w:cstheme="minorHAnsi"/>
                <w:sz w:val="22"/>
                <w:szCs w:val="22"/>
              </w:rPr>
              <w:t>206</w:t>
            </w:r>
          </w:p>
        </w:tc>
        <w:tc>
          <w:tcPr>
            <w:tcW w:w="1520" w:type="dxa"/>
            <w:shd w:val="clear" w:color="auto" w:fill="auto"/>
            <w:noWrap/>
            <w:vAlign w:val="center"/>
          </w:tcPr>
          <w:p w14:paraId="1001F5BE" w14:textId="77777777" w:rsidR="00567061" w:rsidRPr="000F7953" w:rsidRDefault="00567061" w:rsidP="00567061">
            <w:pPr>
              <w:jc w:val="right"/>
              <w:rPr>
                <w:rFonts w:asciiTheme="minorHAnsi" w:hAnsiTheme="minorHAnsi" w:cstheme="minorHAnsi"/>
                <w:sz w:val="22"/>
                <w:szCs w:val="22"/>
              </w:rPr>
            </w:pPr>
            <w:r w:rsidRPr="000F7953">
              <w:rPr>
                <w:rFonts w:asciiTheme="minorHAnsi" w:hAnsiTheme="minorHAnsi" w:cstheme="minorHAnsi"/>
                <w:sz w:val="22"/>
                <w:szCs w:val="22"/>
              </w:rPr>
              <w:t>331</w:t>
            </w:r>
          </w:p>
        </w:tc>
        <w:tc>
          <w:tcPr>
            <w:tcW w:w="1520" w:type="dxa"/>
            <w:vAlign w:val="center"/>
          </w:tcPr>
          <w:p w14:paraId="7ACC3976" w14:textId="50763FFA" w:rsidR="00567061" w:rsidRPr="000F7953" w:rsidRDefault="00567061" w:rsidP="00567061">
            <w:pPr>
              <w:jc w:val="right"/>
              <w:rPr>
                <w:rFonts w:asciiTheme="minorHAnsi" w:hAnsiTheme="minorHAnsi" w:cstheme="minorHAnsi"/>
                <w:sz w:val="22"/>
                <w:szCs w:val="22"/>
              </w:rPr>
            </w:pPr>
            <w:r w:rsidRPr="000F7953">
              <w:rPr>
                <w:rFonts w:asciiTheme="minorHAnsi" w:hAnsiTheme="minorHAnsi" w:cstheme="minorHAnsi"/>
                <w:b/>
                <w:sz w:val="22"/>
                <w:szCs w:val="22"/>
              </w:rPr>
              <w:t>1</w:t>
            </w:r>
            <w:r w:rsidR="00AF53D9" w:rsidRPr="000F7953">
              <w:rPr>
                <w:rFonts w:asciiTheme="minorHAnsi" w:hAnsiTheme="minorHAnsi" w:cstheme="minorHAnsi"/>
                <w:b/>
                <w:sz w:val="22"/>
                <w:szCs w:val="22"/>
              </w:rPr>
              <w:t> </w:t>
            </w:r>
            <w:r w:rsidRPr="000F7953">
              <w:rPr>
                <w:rFonts w:asciiTheme="minorHAnsi" w:hAnsiTheme="minorHAnsi" w:cstheme="minorHAnsi"/>
                <w:b/>
                <w:sz w:val="22"/>
                <w:szCs w:val="22"/>
              </w:rPr>
              <w:t>954</w:t>
            </w:r>
          </w:p>
        </w:tc>
      </w:tr>
      <w:tr w:rsidR="00567061" w:rsidRPr="000F7953" w14:paraId="647B0D35" w14:textId="07C562B9" w:rsidTr="0078307B">
        <w:trPr>
          <w:trHeight w:val="310"/>
        </w:trPr>
        <w:tc>
          <w:tcPr>
            <w:tcW w:w="3278" w:type="dxa"/>
            <w:shd w:val="clear" w:color="auto" w:fill="auto"/>
            <w:noWrap/>
            <w:vAlign w:val="center"/>
            <w:hideMark/>
          </w:tcPr>
          <w:p w14:paraId="657188E0" w14:textId="77777777" w:rsidR="00567061" w:rsidRPr="000F7953" w:rsidRDefault="00567061" w:rsidP="00567061">
            <w:pPr>
              <w:rPr>
                <w:rFonts w:asciiTheme="minorHAnsi" w:hAnsiTheme="minorHAnsi" w:cstheme="minorHAnsi"/>
                <w:color w:val="000000"/>
                <w:sz w:val="22"/>
                <w:szCs w:val="22"/>
              </w:rPr>
            </w:pPr>
            <w:r w:rsidRPr="000F7953">
              <w:rPr>
                <w:rFonts w:asciiTheme="minorHAnsi" w:hAnsiTheme="minorHAnsi" w:cstheme="minorHAnsi"/>
                <w:sz w:val="22"/>
                <w:szCs w:val="22"/>
              </w:rPr>
              <w:t>Informes Técnicos</w:t>
            </w:r>
          </w:p>
        </w:tc>
        <w:tc>
          <w:tcPr>
            <w:tcW w:w="1520" w:type="dxa"/>
            <w:shd w:val="clear" w:color="auto" w:fill="auto"/>
            <w:noWrap/>
            <w:vAlign w:val="center"/>
          </w:tcPr>
          <w:p w14:paraId="50FA98A6" w14:textId="6FD29E9D" w:rsidR="00567061" w:rsidRPr="000F7953" w:rsidRDefault="00567061" w:rsidP="00567061">
            <w:pPr>
              <w:jc w:val="right"/>
              <w:rPr>
                <w:rFonts w:asciiTheme="minorHAnsi" w:hAnsiTheme="minorHAnsi" w:cstheme="minorHAnsi"/>
                <w:sz w:val="22"/>
                <w:szCs w:val="22"/>
              </w:rPr>
            </w:pPr>
            <w:r w:rsidRPr="000F7953">
              <w:rPr>
                <w:rFonts w:asciiTheme="minorHAnsi" w:hAnsiTheme="minorHAnsi" w:cstheme="minorHAnsi"/>
                <w:sz w:val="22"/>
                <w:szCs w:val="22"/>
              </w:rPr>
              <w:t>1</w:t>
            </w:r>
            <w:r w:rsidR="00AF53D9" w:rsidRPr="000F7953">
              <w:rPr>
                <w:rFonts w:asciiTheme="minorHAnsi" w:hAnsiTheme="minorHAnsi" w:cstheme="minorHAnsi"/>
                <w:sz w:val="22"/>
                <w:szCs w:val="22"/>
              </w:rPr>
              <w:t> </w:t>
            </w:r>
            <w:r w:rsidRPr="000F7953">
              <w:rPr>
                <w:rFonts w:asciiTheme="minorHAnsi" w:hAnsiTheme="minorHAnsi" w:cstheme="minorHAnsi"/>
                <w:sz w:val="22"/>
                <w:szCs w:val="22"/>
              </w:rPr>
              <w:t>658</w:t>
            </w:r>
          </w:p>
        </w:tc>
        <w:tc>
          <w:tcPr>
            <w:tcW w:w="1519" w:type="dxa"/>
            <w:shd w:val="clear" w:color="auto" w:fill="auto"/>
            <w:noWrap/>
            <w:vAlign w:val="center"/>
          </w:tcPr>
          <w:p w14:paraId="38BEF4B1" w14:textId="77777777" w:rsidR="00567061" w:rsidRPr="000F7953" w:rsidRDefault="00567061" w:rsidP="00567061">
            <w:pPr>
              <w:jc w:val="right"/>
              <w:rPr>
                <w:rFonts w:asciiTheme="minorHAnsi" w:hAnsiTheme="minorHAnsi" w:cstheme="minorHAnsi"/>
                <w:sz w:val="22"/>
                <w:szCs w:val="22"/>
              </w:rPr>
            </w:pPr>
            <w:r w:rsidRPr="000F7953">
              <w:rPr>
                <w:rFonts w:asciiTheme="minorHAnsi" w:hAnsiTheme="minorHAnsi" w:cstheme="minorHAnsi"/>
                <w:sz w:val="22"/>
                <w:szCs w:val="22"/>
              </w:rPr>
              <w:t>166</w:t>
            </w:r>
          </w:p>
        </w:tc>
        <w:tc>
          <w:tcPr>
            <w:tcW w:w="1520" w:type="dxa"/>
            <w:shd w:val="clear" w:color="auto" w:fill="auto"/>
            <w:noWrap/>
            <w:vAlign w:val="center"/>
          </w:tcPr>
          <w:p w14:paraId="10BE02B8" w14:textId="77777777" w:rsidR="00567061" w:rsidRPr="000F7953" w:rsidRDefault="00567061" w:rsidP="00567061">
            <w:pPr>
              <w:jc w:val="right"/>
              <w:rPr>
                <w:rFonts w:asciiTheme="minorHAnsi" w:hAnsiTheme="minorHAnsi" w:cstheme="minorHAnsi"/>
                <w:sz w:val="22"/>
                <w:szCs w:val="22"/>
              </w:rPr>
            </w:pPr>
            <w:r w:rsidRPr="000F7953">
              <w:rPr>
                <w:rFonts w:asciiTheme="minorHAnsi" w:hAnsiTheme="minorHAnsi" w:cstheme="minorHAnsi"/>
                <w:sz w:val="22"/>
                <w:szCs w:val="22"/>
              </w:rPr>
              <w:t>343</w:t>
            </w:r>
          </w:p>
        </w:tc>
        <w:tc>
          <w:tcPr>
            <w:tcW w:w="1520" w:type="dxa"/>
            <w:vAlign w:val="center"/>
          </w:tcPr>
          <w:p w14:paraId="3A691A9D" w14:textId="0F5ADB11" w:rsidR="00567061" w:rsidRPr="000F7953" w:rsidRDefault="00567061" w:rsidP="00567061">
            <w:pPr>
              <w:jc w:val="right"/>
              <w:rPr>
                <w:rFonts w:asciiTheme="minorHAnsi" w:hAnsiTheme="minorHAnsi" w:cstheme="minorHAnsi"/>
                <w:sz w:val="22"/>
                <w:szCs w:val="22"/>
              </w:rPr>
            </w:pPr>
            <w:r w:rsidRPr="000F7953">
              <w:rPr>
                <w:rFonts w:asciiTheme="minorHAnsi" w:hAnsiTheme="minorHAnsi" w:cstheme="minorHAnsi"/>
                <w:b/>
                <w:sz w:val="22"/>
                <w:szCs w:val="22"/>
              </w:rPr>
              <w:t>2</w:t>
            </w:r>
            <w:r w:rsidR="00AF53D9" w:rsidRPr="000F7953">
              <w:rPr>
                <w:rFonts w:asciiTheme="minorHAnsi" w:hAnsiTheme="minorHAnsi" w:cstheme="minorHAnsi"/>
                <w:b/>
                <w:sz w:val="22"/>
                <w:szCs w:val="22"/>
              </w:rPr>
              <w:t> </w:t>
            </w:r>
            <w:r w:rsidRPr="000F7953">
              <w:rPr>
                <w:rFonts w:asciiTheme="minorHAnsi" w:hAnsiTheme="minorHAnsi" w:cstheme="minorHAnsi"/>
                <w:b/>
                <w:sz w:val="22"/>
                <w:szCs w:val="22"/>
              </w:rPr>
              <w:t>167</w:t>
            </w:r>
          </w:p>
        </w:tc>
      </w:tr>
      <w:tr w:rsidR="00567061" w:rsidRPr="000F7953" w14:paraId="20A3CAF9" w14:textId="6D2ED6D8" w:rsidTr="0078307B">
        <w:trPr>
          <w:trHeight w:val="310"/>
        </w:trPr>
        <w:tc>
          <w:tcPr>
            <w:tcW w:w="3278" w:type="dxa"/>
            <w:shd w:val="clear" w:color="auto" w:fill="auto"/>
            <w:noWrap/>
            <w:vAlign w:val="center"/>
          </w:tcPr>
          <w:p w14:paraId="5FB68537" w14:textId="77777777" w:rsidR="00567061" w:rsidRPr="000F7953" w:rsidRDefault="00567061" w:rsidP="00567061">
            <w:pPr>
              <w:rPr>
                <w:rFonts w:asciiTheme="minorHAnsi" w:hAnsiTheme="minorHAnsi" w:cstheme="minorHAnsi"/>
                <w:sz w:val="22"/>
                <w:szCs w:val="22"/>
              </w:rPr>
            </w:pPr>
            <w:r w:rsidRPr="000F7953">
              <w:rPr>
                <w:rFonts w:asciiTheme="minorHAnsi" w:hAnsiTheme="minorHAnsi" w:cstheme="minorHAnsi"/>
                <w:sz w:val="22"/>
                <w:szCs w:val="22"/>
              </w:rPr>
              <w:lastRenderedPageBreak/>
              <w:t>Manuales</w:t>
            </w:r>
          </w:p>
        </w:tc>
        <w:tc>
          <w:tcPr>
            <w:tcW w:w="1520" w:type="dxa"/>
            <w:shd w:val="clear" w:color="auto" w:fill="auto"/>
            <w:noWrap/>
            <w:vAlign w:val="center"/>
          </w:tcPr>
          <w:p w14:paraId="37B03014" w14:textId="3B9B5C7E" w:rsidR="00567061" w:rsidRPr="000F7953" w:rsidRDefault="00567061" w:rsidP="00567061">
            <w:pPr>
              <w:jc w:val="right"/>
              <w:rPr>
                <w:rFonts w:asciiTheme="minorHAnsi" w:hAnsiTheme="minorHAnsi" w:cstheme="minorHAnsi"/>
                <w:sz w:val="22"/>
                <w:szCs w:val="22"/>
              </w:rPr>
            </w:pPr>
            <w:r w:rsidRPr="000F7953">
              <w:rPr>
                <w:rFonts w:asciiTheme="minorHAnsi" w:hAnsiTheme="minorHAnsi" w:cstheme="minorHAnsi"/>
                <w:sz w:val="22"/>
                <w:szCs w:val="22"/>
              </w:rPr>
              <w:t>4</w:t>
            </w:r>
            <w:r w:rsidR="00AF53D9" w:rsidRPr="000F7953">
              <w:rPr>
                <w:rFonts w:asciiTheme="minorHAnsi" w:hAnsiTheme="minorHAnsi" w:cstheme="minorHAnsi"/>
                <w:sz w:val="22"/>
                <w:szCs w:val="22"/>
              </w:rPr>
              <w:t> </w:t>
            </w:r>
            <w:r w:rsidRPr="000F7953">
              <w:rPr>
                <w:rFonts w:asciiTheme="minorHAnsi" w:hAnsiTheme="minorHAnsi" w:cstheme="minorHAnsi"/>
                <w:sz w:val="22"/>
                <w:szCs w:val="22"/>
              </w:rPr>
              <w:t>497</w:t>
            </w:r>
          </w:p>
        </w:tc>
        <w:tc>
          <w:tcPr>
            <w:tcW w:w="1519" w:type="dxa"/>
            <w:shd w:val="clear" w:color="auto" w:fill="auto"/>
            <w:noWrap/>
            <w:vAlign w:val="center"/>
          </w:tcPr>
          <w:p w14:paraId="7D31431B" w14:textId="77777777" w:rsidR="00567061" w:rsidRPr="000F7953" w:rsidRDefault="00567061" w:rsidP="00567061">
            <w:pPr>
              <w:jc w:val="right"/>
              <w:rPr>
                <w:rFonts w:asciiTheme="minorHAnsi" w:hAnsiTheme="minorHAnsi" w:cstheme="minorHAnsi"/>
                <w:sz w:val="22"/>
                <w:szCs w:val="22"/>
              </w:rPr>
            </w:pPr>
            <w:r w:rsidRPr="000F7953">
              <w:rPr>
                <w:rFonts w:asciiTheme="minorHAnsi" w:hAnsiTheme="minorHAnsi" w:cstheme="minorHAnsi"/>
                <w:sz w:val="22"/>
                <w:szCs w:val="22"/>
              </w:rPr>
              <w:t>747</w:t>
            </w:r>
          </w:p>
        </w:tc>
        <w:tc>
          <w:tcPr>
            <w:tcW w:w="1520" w:type="dxa"/>
            <w:shd w:val="clear" w:color="auto" w:fill="auto"/>
            <w:noWrap/>
            <w:vAlign w:val="center"/>
          </w:tcPr>
          <w:p w14:paraId="65E86CD3" w14:textId="5045F8D8" w:rsidR="00567061" w:rsidRPr="000F7953" w:rsidRDefault="00567061" w:rsidP="00567061">
            <w:pPr>
              <w:jc w:val="right"/>
              <w:rPr>
                <w:rFonts w:asciiTheme="minorHAnsi" w:hAnsiTheme="minorHAnsi" w:cstheme="minorHAnsi"/>
                <w:sz w:val="22"/>
                <w:szCs w:val="22"/>
              </w:rPr>
            </w:pPr>
            <w:r w:rsidRPr="000F7953">
              <w:rPr>
                <w:rFonts w:asciiTheme="minorHAnsi" w:hAnsiTheme="minorHAnsi" w:cstheme="minorHAnsi"/>
                <w:sz w:val="22"/>
                <w:szCs w:val="22"/>
              </w:rPr>
              <w:t>2</w:t>
            </w:r>
            <w:r w:rsidR="00AF53D9" w:rsidRPr="000F7953">
              <w:rPr>
                <w:rFonts w:asciiTheme="minorHAnsi" w:hAnsiTheme="minorHAnsi" w:cstheme="minorHAnsi"/>
                <w:sz w:val="22"/>
                <w:szCs w:val="22"/>
              </w:rPr>
              <w:t> </w:t>
            </w:r>
            <w:r w:rsidRPr="000F7953">
              <w:rPr>
                <w:rFonts w:asciiTheme="minorHAnsi" w:hAnsiTheme="minorHAnsi" w:cstheme="minorHAnsi"/>
                <w:sz w:val="22"/>
                <w:szCs w:val="22"/>
              </w:rPr>
              <w:t>778</w:t>
            </w:r>
          </w:p>
        </w:tc>
        <w:tc>
          <w:tcPr>
            <w:tcW w:w="1520" w:type="dxa"/>
            <w:vAlign w:val="center"/>
          </w:tcPr>
          <w:p w14:paraId="38F50631" w14:textId="67A9FAB2" w:rsidR="00567061" w:rsidRPr="000F7953" w:rsidRDefault="00567061" w:rsidP="00567061">
            <w:pPr>
              <w:jc w:val="right"/>
              <w:rPr>
                <w:rFonts w:asciiTheme="minorHAnsi" w:hAnsiTheme="minorHAnsi" w:cstheme="minorHAnsi"/>
                <w:sz w:val="22"/>
                <w:szCs w:val="22"/>
              </w:rPr>
            </w:pPr>
            <w:r w:rsidRPr="000F7953">
              <w:rPr>
                <w:rFonts w:asciiTheme="minorHAnsi" w:hAnsiTheme="minorHAnsi" w:cstheme="minorHAnsi"/>
                <w:b/>
                <w:sz w:val="22"/>
                <w:szCs w:val="22"/>
              </w:rPr>
              <w:t>8</w:t>
            </w:r>
            <w:r w:rsidR="00AF53D9" w:rsidRPr="000F7953">
              <w:rPr>
                <w:rFonts w:asciiTheme="minorHAnsi" w:hAnsiTheme="minorHAnsi" w:cstheme="minorHAnsi"/>
                <w:b/>
                <w:sz w:val="22"/>
                <w:szCs w:val="22"/>
              </w:rPr>
              <w:t> </w:t>
            </w:r>
            <w:r w:rsidRPr="000F7953">
              <w:rPr>
                <w:rFonts w:asciiTheme="minorHAnsi" w:hAnsiTheme="minorHAnsi" w:cstheme="minorHAnsi"/>
                <w:b/>
                <w:sz w:val="22"/>
                <w:szCs w:val="22"/>
              </w:rPr>
              <w:t>022</w:t>
            </w:r>
          </w:p>
        </w:tc>
      </w:tr>
      <w:tr w:rsidR="00567061" w:rsidRPr="000F7953" w14:paraId="483D36E3" w14:textId="2AFB6B08" w:rsidTr="0078307B">
        <w:trPr>
          <w:trHeight w:val="310"/>
        </w:trPr>
        <w:tc>
          <w:tcPr>
            <w:tcW w:w="3278" w:type="dxa"/>
            <w:shd w:val="clear" w:color="auto" w:fill="auto"/>
            <w:noWrap/>
            <w:vAlign w:val="center"/>
          </w:tcPr>
          <w:p w14:paraId="46AE70A6" w14:textId="77777777" w:rsidR="00567061" w:rsidRPr="000F7953" w:rsidRDefault="00567061" w:rsidP="00567061">
            <w:pPr>
              <w:rPr>
                <w:rFonts w:asciiTheme="minorHAnsi" w:hAnsiTheme="minorHAnsi" w:cstheme="minorHAnsi"/>
                <w:b/>
                <w:color w:val="000000"/>
                <w:sz w:val="22"/>
                <w:szCs w:val="22"/>
              </w:rPr>
            </w:pPr>
            <w:r w:rsidRPr="000F7953">
              <w:rPr>
                <w:rFonts w:asciiTheme="minorHAnsi" w:hAnsiTheme="minorHAnsi" w:cstheme="minorHAnsi"/>
                <w:b/>
                <w:color w:val="000000"/>
                <w:sz w:val="22"/>
                <w:szCs w:val="22"/>
              </w:rPr>
              <w:t>Total</w:t>
            </w:r>
          </w:p>
        </w:tc>
        <w:tc>
          <w:tcPr>
            <w:tcW w:w="1520" w:type="dxa"/>
            <w:shd w:val="clear" w:color="auto" w:fill="auto"/>
            <w:noWrap/>
            <w:vAlign w:val="bottom"/>
          </w:tcPr>
          <w:p w14:paraId="67AA2EE4" w14:textId="43B3E17E" w:rsidR="00567061" w:rsidRPr="000F7953" w:rsidRDefault="00567061" w:rsidP="00567061">
            <w:pPr>
              <w:jc w:val="right"/>
              <w:rPr>
                <w:rFonts w:asciiTheme="minorHAnsi" w:hAnsiTheme="minorHAnsi" w:cstheme="minorHAnsi"/>
                <w:b/>
                <w:sz w:val="22"/>
                <w:szCs w:val="22"/>
              </w:rPr>
            </w:pPr>
            <w:r w:rsidRPr="000F7953">
              <w:rPr>
                <w:rFonts w:asciiTheme="minorHAnsi" w:hAnsiTheme="minorHAnsi" w:cstheme="minorHAnsi"/>
                <w:b/>
                <w:sz w:val="22"/>
                <w:szCs w:val="22"/>
              </w:rPr>
              <w:t>12</w:t>
            </w:r>
            <w:r w:rsidR="00AF53D9" w:rsidRPr="000F7953">
              <w:rPr>
                <w:rFonts w:asciiTheme="minorHAnsi" w:hAnsiTheme="minorHAnsi" w:cstheme="minorHAnsi"/>
                <w:b/>
                <w:sz w:val="22"/>
                <w:szCs w:val="22"/>
              </w:rPr>
              <w:t> </w:t>
            </w:r>
            <w:r w:rsidRPr="000F7953">
              <w:rPr>
                <w:rFonts w:asciiTheme="minorHAnsi" w:hAnsiTheme="minorHAnsi" w:cstheme="minorHAnsi"/>
                <w:b/>
                <w:sz w:val="22"/>
                <w:szCs w:val="22"/>
              </w:rPr>
              <w:t>304</w:t>
            </w:r>
          </w:p>
        </w:tc>
        <w:tc>
          <w:tcPr>
            <w:tcW w:w="1519" w:type="dxa"/>
            <w:shd w:val="clear" w:color="auto" w:fill="auto"/>
            <w:noWrap/>
            <w:vAlign w:val="bottom"/>
          </w:tcPr>
          <w:p w14:paraId="06D5BE44" w14:textId="016F5D92" w:rsidR="00567061" w:rsidRPr="000F7953" w:rsidRDefault="00567061" w:rsidP="00567061">
            <w:pPr>
              <w:jc w:val="right"/>
              <w:rPr>
                <w:rFonts w:asciiTheme="minorHAnsi" w:hAnsiTheme="minorHAnsi" w:cstheme="minorHAnsi"/>
                <w:b/>
                <w:sz w:val="22"/>
                <w:szCs w:val="22"/>
              </w:rPr>
            </w:pPr>
            <w:r w:rsidRPr="000F7953">
              <w:rPr>
                <w:rFonts w:asciiTheme="minorHAnsi" w:hAnsiTheme="minorHAnsi" w:cstheme="minorHAnsi"/>
                <w:b/>
                <w:sz w:val="22"/>
                <w:szCs w:val="22"/>
              </w:rPr>
              <w:t>2</w:t>
            </w:r>
            <w:r w:rsidR="00AF53D9" w:rsidRPr="000F7953">
              <w:rPr>
                <w:rFonts w:asciiTheme="minorHAnsi" w:hAnsiTheme="minorHAnsi" w:cstheme="minorHAnsi"/>
                <w:b/>
                <w:sz w:val="22"/>
                <w:szCs w:val="22"/>
              </w:rPr>
              <w:t> </w:t>
            </w:r>
            <w:r w:rsidRPr="000F7953">
              <w:rPr>
                <w:rFonts w:asciiTheme="minorHAnsi" w:hAnsiTheme="minorHAnsi" w:cstheme="minorHAnsi"/>
                <w:b/>
                <w:sz w:val="22"/>
                <w:szCs w:val="22"/>
              </w:rPr>
              <w:t>086</w:t>
            </w:r>
          </w:p>
        </w:tc>
        <w:tc>
          <w:tcPr>
            <w:tcW w:w="1520" w:type="dxa"/>
            <w:shd w:val="clear" w:color="auto" w:fill="auto"/>
            <w:noWrap/>
            <w:vAlign w:val="bottom"/>
          </w:tcPr>
          <w:p w14:paraId="50F0FD96" w14:textId="54459CAD" w:rsidR="00567061" w:rsidRPr="000F7953" w:rsidRDefault="00567061" w:rsidP="00567061">
            <w:pPr>
              <w:jc w:val="right"/>
              <w:rPr>
                <w:rFonts w:asciiTheme="minorHAnsi" w:hAnsiTheme="minorHAnsi" w:cstheme="minorHAnsi"/>
                <w:b/>
                <w:sz w:val="22"/>
                <w:szCs w:val="22"/>
              </w:rPr>
            </w:pPr>
            <w:r w:rsidRPr="000F7953">
              <w:rPr>
                <w:rFonts w:asciiTheme="minorHAnsi" w:hAnsiTheme="minorHAnsi" w:cstheme="minorHAnsi"/>
                <w:b/>
                <w:sz w:val="22"/>
                <w:szCs w:val="22"/>
              </w:rPr>
              <w:t>5</w:t>
            </w:r>
            <w:r w:rsidR="00AF53D9" w:rsidRPr="000F7953">
              <w:rPr>
                <w:rFonts w:asciiTheme="minorHAnsi" w:hAnsiTheme="minorHAnsi" w:cstheme="minorHAnsi"/>
                <w:b/>
                <w:sz w:val="22"/>
                <w:szCs w:val="22"/>
              </w:rPr>
              <w:t> </w:t>
            </w:r>
            <w:r w:rsidRPr="000F7953">
              <w:rPr>
                <w:rFonts w:asciiTheme="minorHAnsi" w:hAnsiTheme="minorHAnsi" w:cstheme="minorHAnsi"/>
                <w:b/>
                <w:sz w:val="22"/>
                <w:szCs w:val="22"/>
              </w:rPr>
              <w:t>659</w:t>
            </w:r>
          </w:p>
        </w:tc>
        <w:tc>
          <w:tcPr>
            <w:tcW w:w="1520" w:type="dxa"/>
            <w:vAlign w:val="bottom"/>
          </w:tcPr>
          <w:p w14:paraId="0A45D499" w14:textId="2E72D4B1" w:rsidR="00567061" w:rsidRPr="000F7953" w:rsidRDefault="00567061" w:rsidP="00567061">
            <w:pPr>
              <w:jc w:val="right"/>
              <w:rPr>
                <w:rFonts w:asciiTheme="minorHAnsi" w:hAnsiTheme="minorHAnsi" w:cstheme="minorHAnsi"/>
                <w:b/>
                <w:sz w:val="22"/>
                <w:szCs w:val="22"/>
              </w:rPr>
            </w:pPr>
            <w:r w:rsidRPr="000F7953">
              <w:rPr>
                <w:rFonts w:asciiTheme="minorHAnsi" w:hAnsiTheme="minorHAnsi" w:cstheme="minorHAnsi"/>
                <w:b/>
                <w:sz w:val="22"/>
                <w:szCs w:val="22"/>
              </w:rPr>
              <w:t>20</w:t>
            </w:r>
            <w:r w:rsidR="00AF53D9" w:rsidRPr="000F7953">
              <w:rPr>
                <w:rFonts w:asciiTheme="minorHAnsi" w:hAnsiTheme="minorHAnsi" w:cstheme="minorHAnsi"/>
                <w:b/>
                <w:sz w:val="22"/>
                <w:szCs w:val="22"/>
              </w:rPr>
              <w:t> </w:t>
            </w:r>
            <w:r w:rsidRPr="000F7953">
              <w:rPr>
                <w:rFonts w:asciiTheme="minorHAnsi" w:hAnsiTheme="minorHAnsi" w:cstheme="minorHAnsi"/>
                <w:b/>
                <w:sz w:val="22"/>
                <w:szCs w:val="22"/>
              </w:rPr>
              <w:t>049</w:t>
            </w:r>
          </w:p>
        </w:tc>
      </w:tr>
    </w:tbl>
    <w:p w14:paraId="6AA1A2BF" w14:textId="77777777" w:rsidR="003A0EDF" w:rsidRPr="000F7953" w:rsidRDefault="003A0EDF" w:rsidP="00CD3F6B">
      <w:pPr>
        <w:ind w:left="426" w:hanging="426"/>
        <w:rPr>
          <w:rFonts w:asciiTheme="minorHAnsi" w:hAnsiTheme="minorHAnsi" w:cstheme="minorHAnsi"/>
          <w:sz w:val="22"/>
          <w:szCs w:val="22"/>
          <w:lang w:eastAsia="fr-FR"/>
        </w:rPr>
      </w:pPr>
    </w:p>
    <w:p w14:paraId="55ED7B9C" w14:textId="7D45081A" w:rsidR="003A0EDF" w:rsidRPr="000F7953" w:rsidRDefault="002E1E29"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t>87.</w:t>
      </w:r>
      <w:r w:rsidRPr="000F7953">
        <w:rPr>
          <w:rFonts w:asciiTheme="minorHAnsi" w:hAnsiTheme="minorHAnsi" w:cstheme="minorHAnsi"/>
          <w:sz w:val="22"/>
          <w:szCs w:val="22"/>
        </w:rPr>
        <w:tab/>
        <w:t xml:space="preserve">Para promover el reconocimiento de estos productos, el GECT apoyó actividades de difusión y capacitación, tales como seminarios web. Por ejemplo, se organizó un curso en línea conjunto con la FAO (titulado </w:t>
      </w:r>
      <w:r w:rsidR="005601CD" w:rsidRPr="000F7953">
        <w:rPr>
          <w:rFonts w:asciiTheme="minorHAnsi" w:hAnsiTheme="minorHAnsi" w:cstheme="minorHAnsi"/>
          <w:sz w:val="22"/>
          <w:szCs w:val="22"/>
        </w:rPr>
        <w:t>“</w:t>
      </w:r>
      <w:r w:rsidRPr="000F7953">
        <w:rPr>
          <w:rFonts w:asciiTheme="minorHAnsi" w:hAnsiTheme="minorHAnsi" w:cstheme="minorHAnsi"/>
          <w:sz w:val="22"/>
          <w:szCs w:val="22"/>
        </w:rPr>
        <w:t>Humedales y agricultura: caminos hacia la sostenibilidad</w:t>
      </w:r>
      <w:r w:rsidR="005601CD" w:rsidRPr="000F7953">
        <w:rPr>
          <w:rFonts w:asciiTheme="minorHAnsi" w:hAnsiTheme="minorHAnsi" w:cstheme="minorHAnsi"/>
          <w:sz w:val="22"/>
          <w:szCs w:val="22"/>
        </w:rPr>
        <w:t>”</w:t>
      </w:r>
      <w:r w:rsidRPr="000F7953">
        <w:rPr>
          <w:rFonts w:asciiTheme="minorHAnsi" w:hAnsiTheme="minorHAnsi" w:cstheme="minorHAnsi"/>
          <w:sz w:val="22"/>
          <w:szCs w:val="22"/>
        </w:rPr>
        <w:t>) en la Academia de aprendizaje electrónico de la FAO, el cual ha sido completado por 649 personas hasta la fecha. También se puso a disposición del público un curso introductorio sobre el GECT en la plataforma InforMEA. En 2024 se celebraron dos seminarios web sobre la integración de los humedales en las EPANB, con 545 participantes y 215 visitas en YouTube en abril de 2025.</w:t>
      </w:r>
    </w:p>
    <w:p w14:paraId="12AC040A" w14:textId="77777777" w:rsidR="003A0EDF" w:rsidRPr="000F7953" w:rsidRDefault="003A0EDF" w:rsidP="00257025">
      <w:pPr>
        <w:ind w:left="567" w:hanging="567"/>
        <w:rPr>
          <w:rFonts w:asciiTheme="minorHAnsi" w:hAnsiTheme="minorHAnsi" w:cstheme="minorHAnsi"/>
          <w:sz w:val="22"/>
          <w:szCs w:val="22"/>
          <w:lang w:eastAsia="fr-FR"/>
        </w:rPr>
      </w:pPr>
    </w:p>
    <w:p w14:paraId="6C23AA7A" w14:textId="425E66D2" w:rsidR="003A0EDF" w:rsidRPr="000F7953" w:rsidRDefault="000E3338"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t>88.</w:t>
      </w:r>
      <w:r w:rsidRPr="000F7953">
        <w:rPr>
          <w:rFonts w:asciiTheme="minorHAnsi" w:hAnsiTheme="minorHAnsi" w:cstheme="minorHAnsi"/>
          <w:sz w:val="22"/>
          <w:szCs w:val="22"/>
        </w:rPr>
        <w:tab/>
        <w:t xml:space="preserve">El desarrollo de los productos del GECT ha contado con el apoyo de una serie de expertos que representan a las organizaciones internacionales asociadas a la Convención (OIA) y a otros observadores, así como a los coordinadores nacionales del GECT, lo que ha implicado a un amplio grupo de interesados en la preparación de orientaciones científicas y metodologías técnicas. La reactivación del Espacio de Trabajo del GECT ha reforzado la colaboración en el desarrollo de los productos del GECT, proporcionando una plataforma en línea para compartir documentos e información y hacer un seguimiento de los progresos. La introducción de </w:t>
      </w:r>
      <w:r w:rsidRPr="000F7953">
        <w:rPr>
          <w:rFonts w:asciiTheme="minorHAnsi" w:hAnsiTheme="minorHAnsi" w:cstheme="minorHAnsi"/>
          <w:i/>
          <w:iCs/>
          <w:sz w:val="22"/>
          <w:szCs w:val="22"/>
        </w:rPr>
        <w:t>STRP Communiqué</w:t>
      </w:r>
      <w:r w:rsidRPr="000F7953">
        <w:rPr>
          <w:rFonts w:asciiTheme="minorHAnsi" w:hAnsiTheme="minorHAnsi" w:cstheme="minorHAnsi"/>
          <w:sz w:val="22"/>
          <w:szCs w:val="22"/>
        </w:rPr>
        <w:t>, un boletín semestral, ha mejorado aún más la comunicación, la publicación de informaciones actualizadas y la participación de las partes interesadas.</w:t>
      </w:r>
    </w:p>
    <w:p w14:paraId="25555814" w14:textId="77777777" w:rsidR="003A0EDF" w:rsidRPr="000F7953" w:rsidRDefault="003A0EDF" w:rsidP="00257025">
      <w:pPr>
        <w:ind w:left="567" w:hanging="567"/>
        <w:rPr>
          <w:rFonts w:asciiTheme="minorHAnsi" w:hAnsiTheme="minorHAnsi" w:cstheme="minorHAnsi"/>
          <w:sz w:val="22"/>
          <w:szCs w:val="22"/>
          <w:lang w:eastAsia="fr-FR"/>
        </w:rPr>
      </w:pPr>
    </w:p>
    <w:p w14:paraId="246E88F3" w14:textId="68FEE640" w:rsidR="0035467F" w:rsidRPr="000F7953" w:rsidRDefault="002E1E29"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t>89.</w:t>
      </w:r>
      <w:r w:rsidRPr="000F7953">
        <w:rPr>
          <w:rFonts w:asciiTheme="minorHAnsi" w:hAnsiTheme="minorHAnsi" w:cstheme="minorHAnsi"/>
          <w:sz w:val="22"/>
          <w:szCs w:val="22"/>
        </w:rPr>
        <w:tab/>
        <w:t>Aunque el número de productos del GECT ha aumentado, es necesario reforzar el seguimiento de su uso, por ejemplo, en el contexto de los procesos normativos nacionales, en las actividades de formación y en actividades o documentos de otros acuerdos ambientales multilaterales (AAM). Los indicadores existentes proporcionan una medida parcial de la difusión, pero ofrecen una visión limitada del alcance, la pertinencia o el reconocimiento de los productos. En el seguimiento futuro podrían utilizarse métricas adicionales o alternativas, que pueden incluir referencias en los informes nacionales o documentación de otros AAM.</w:t>
      </w:r>
    </w:p>
    <w:p w14:paraId="5034FA8D" w14:textId="77777777" w:rsidR="00667ED5" w:rsidRPr="000F7953" w:rsidRDefault="00667ED5" w:rsidP="00CD3F6B">
      <w:pPr>
        <w:rPr>
          <w:rFonts w:asciiTheme="minorHAnsi" w:eastAsia="Aptos" w:hAnsiTheme="minorHAnsi" w:cstheme="minorHAnsi"/>
          <w:sz w:val="22"/>
          <w:szCs w:val="22"/>
          <w14:ligatures w14:val="standardContextual"/>
        </w:rPr>
      </w:pPr>
    </w:p>
    <w:p w14:paraId="071A8006" w14:textId="77777777" w:rsidR="003E56FD" w:rsidRPr="000F7953" w:rsidRDefault="003E56FD" w:rsidP="00CD3F6B">
      <w:pPr>
        <w:rPr>
          <w:rFonts w:asciiTheme="minorHAnsi" w:eastAsia="Aptos" w:hAnsiTheme="minorHAnsi" w:cstheme="minorHAnsi"/>
          <w:sz w:val="22"/>
          <w:szCs w:val="22"/>
          <w14:ligatures w14:val="standardContextual"/>
        </w:rPr>
      </w:pPr>
    </w:p>
    <w:tbl>
      <w:tblPr>
        <w:tblStyle w:val="TableGrid16"/>
        <w:tblW w:w="9351" w:type="dxa"/>
        <w:tblLook w:val="04A0" w:firstRow="1" w:lastRow="0" w:firstColumn="1" w:lastColumn="0" w:noHBand="0" w:noVBand="1"/>
      </w:tblPr>
      <w:tblGrid>
        <w:gridCol w:w="9351"/>
      </w:tblGrid>
      <w:tr w:rsidR="00C76214" w:rsidRPr="000F7953" w14:paraId="5EF8F4D9" w14:textId="77777777" w:rsidTr="004D229D">
        <w:tc>
          <w:tcPr>
            <w:tcW w:w="9351" w:type="dxa"/>
            <w:vAlign w:val="center"/>
          </w:tcPr>
          <w:p w14:paraId="4A81DC06" w14:textId="77777777" w:rsidR="00C76214" w:rsidRPr="000F7953" w:rsidRDefault="00C76214" w:rsidP="008A3659">
            <w:pPr>
              <w:keepNext/>
              <w:spacing w:before="120" w:after="120"/>
              <w:rPr>
                <w:rFonts w:asciiTheme="minorHAnsi" w:hAnsiTheme="minorHAnsi" w:cstheme="minorHAnsi"/>
                <w:b/>
                <w:sz w:val="22"/>
                <w:szCs w:val="22"/>
              </w:rPr>
            </w:pPr>
            <w:r w:rsidRPr="000F7953">
              <w:rPr>
                <w:rFonts w:asciiTheme="minorHAnsi" w:hAnsiTheme="minorHAnsi" w:cstheme="minorHAnsi"/>
                <w:b/>
                <w:sz w:val="22"/>
                <w:szCs w:val="22"/>
              </w:rPr>
              <w:t>Meta 15. Con la participación activa y el apoyo de las Partes Contratantes de cada región, se refuerzan las Iniciativas Regionales de Ramsar y se convierten en herramientas eficaces para contribuir a la aplicación plena de la Convención.</w:t>
            </w:r>
          </w:p>
          <w:p w14:paraId="41E08FC9" w14:textId="3BCC33DC" w:rsidR="00CA1EAE" w:rsidRPr="000F7953" w:rsidRDefault="00CA1EAE" w:rsidP="008A3659">
            <w:pPr>
              <w:keepNext/>
              <w:spacing w:before="120" w:after="120"/>
              <w:rPr>
                <w:rFonts w:asciiTheme="minorHAnsi" w:hAnsiTheme="minorHAnsi" w:cstheme="minorHAnsi"/>
                <w:bCs/>
                <w:sz w:val="22"/>
                <w:szCs w:val="22"/>
                <w:highlight w:val="yellow"/>
              </w:rPr>
            </w:pPr>
            <w:r w:rsidRPr="000F7953">
              <w:rPr>
                <w:rFonts w:asciiTheme="minorHAnsi" w:hAnsiTheme="minorHAnsi" w:cstheme="minorHAnsi"/>
                <w:bCs/>
                <w:sz w:val="22"/>
                <w:szCs w:val="22"/>
              </w:rPr>
              <w:t xml:space="preserve">Contribuye a las metas 1.b, 2.5, 6.5, 6.6, 9.1, 11.a, 14.2, 15.1, 17.6, 17.7 y 17.9 de los ODS. </w:t>
            </w:r>
          </w:p>
        </w:tc>
      </w:tr>
    </w:tbl>
    <w:p w14:paraId="6BCDCEFD" w14:textId="77777777" w:rsidR="0064738E" w:rsidRPr="000F7953" w:rsidRDefault="0064738E" w:rsidP="000D551C">
      <w:pPr>
        <w:keepNext/>
        <w:rPr>
          <w:rFonts w:asciiTheme="minorHAnsi" w:hAnsiTheme="minorHAnsi" w:cstheme="minorHAnsi"/>
          <w:b/>
          <w:bCs/>
          <w:sz w:val="22"/>
          <w:szCs w:val="22"/>
        </w:rPr>
      </w:pPr>
    </w:p>
    <w:p w14:paraId="15B913E4" w14:textId="552B8BB1" w:rsidR="002B138C" w:rsidRPr="000F7953" w:rsidRDefault="000F08CC" w:rsidP="000D551C">
      <w:pPr>
        <w:keepNext/>
        <w:rPr>
          <w:rFonts w:asciiTheme="minorHAnsi" w:hAnsiTheme="minorHAnsi" w:cstheme="minorHAnsi"/>
          <w:i/>
          <w:iCs/>
          <w:sz w:val="22"/>
          <w:szCs w:val="22"/>
          <w:u w:val="single"/>
        </w:rPr>
      </w:pPr>
      <w:r w:rsidRPr="000F7953">
        <w:rPr>
          <w:rFonts w:asciiTheme="minorHAnsi" w:hAnsiTheme="minorHAnsi" w:cstheme="minorHAnsi"/>
          <w:i/>
          <w:iCs/>
          <w:sz w:val="22"/>
          <w:szCs w:val="22"/>
          <w:u w:val="single"/>
        </w:rPr>
        <w:t>Mensaje clave</w:t>
      </w:r>
    </w:p>
    <w:p w14:paraId="7BA264D9" w14:textId="77777777" w:rsidR="0064738E" w:rsidRPr="000F7953" w:rsidRDefault="0064738E" w:rsidP="000D551C">
      <w:pPr>
        <w:keepNext/>
        <w:rPr>
          <w:rFonts w:asciiTheme="minorHAnsi" w:hAnsiTheme="minorHAnsi" w:cstheme="minorHAnsi"/>
          <w:sz w:val="22"/>
          <w:szCs w:val="22"/>
          <w:lang w:eastAsia="fr-FR"/>
        </w:rPr>
      </w:pPr>
    </w:p>
    <w:p w14:paraId="22912972" w14:textId="58C37BF1" w:rsidR="00D877CE" w:rsidRPr="000F7953" w:rsidRDefault="000E3338"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t>90.</w:t>
      </w:r>
      <w:r w:rsidRPr="000F7953">
        <w:rPr>
          <w:rFonts w:asciiTheme="minorHAnsi" w:hAnsiTheme="minorHAnsi" w:cstheme="minorHAnsi"/>
          <w:sz w:val="22"/>
          <w:szCs w:val="22"/>
        </w:rPr>
        <w:tab/>
        <w:t>El número de iniciativas regionales de Ramsar ha aumentado, mientras que la participación de las Partes Contratantes en las IRR se mantiene estable en general. Un mayor índice de gasto total global en las iniciativas regionales implica un notable crecimiento de las actividades, pero los avances en la ejecución varían según las iniciativas regionales y algunas han encontrado dificultades para mantener sus actividades.</w:t>
      </w:r>
    </w:p>
    <w:p w14:paraId="318272EE" w14:textId="77777777" w:rsidR="00F14FD8" w:rsidRPr="000F7953" w:rsidRDefault="00F14FD8" w:rsidP="00CD3F6B">
      <w:pPr>
        <w:pStyle w:val="ListParagraph"/>
        <w:spacing w:after="0" w:line="240" w:lineRule="auto"/>
        <w:rPr>
          <w:rFonts w:cstheme="minorHAnsi"/>
        </w:rPr>
      </w:pPr>
    </w:p>
    <w:tbl>
      <w:tblPr>
        <w:tblStyle w:val="TableGrid31"/>
        <w:tblW w:w="9353" w:type="dxa"/>
        <w:tblLook w:val="04A0" w:firstRow="1" w:lastRow="0" w:firstColumn="1" w:lastColumn="0" w:noHBand="0" w:noVBand="1"/>
      </w:tblPr>
      <w:tblGrid>
        <w:gridCol w:w="4374"/>
        <w:gridCol w:w="1182"/>
        <w:gridCol w:w="820"/>
        <w:gridCol w:w="820"/>
        <w:gridCol w:w="820"/>
        <w:gridCol w:w="1337"/>
      </w:tblGrid>
      <w:tr w:rsidR="00107172" w:rsidRPr="000F7953" w14:paraId="7F0F8514" w14:textId="77777777" w:rsidTr="00567061">
        <w:trPr>
          <w:cantSplit/>
        </w:trPr>
        <w:tc>
          <w:tcPr>
            <w:tcW w:w="0" w:type="auto"/>
            <w:vAlign w:val="center"/>
            <w:hideMark/>
          </w:tcPr>
          <w:p w14:paraId="54C1C8A6" w14:textId="77777777" w:rsidR="00107172" w:rsidRPr="000F7953" w:rsidRDefault="00107172"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Indicador</w:t>
            </w:r>
          </w:p>
        </w:tc>
        <w:tc>
          <w:tcPr>
            <w:tcW w:w="0" w:type="auto"/>
            <w:vAlign w:val="center"/>
            <w:hideMark/>
          </w:tcPr>
          <w:p w14:paraId="6CEE6A1A" w14:textId="77777777" w:rsidR="00107172" w:rsidRPr="000F7953" w:rsidRDefault="00107172"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COP12</w:t>
            </w:r>
          </w:p>
          <w:p w14:paraId="658FFE5B" w14:textId="216E2721" w:rsidR="00107172" w:rsidRPr="000F7953" w:rsidRDefault="00107172"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Referencia</w:t>
            </w:r>
          </w:p>
        </w:tc>
        <w:tc>
          <w:tcPr>
            <w:tcW w:w="0" w:type="auto"/>
            <w:vAlign w:val="center"/>
            <w:hideMark/>
          </w:tcPr>
          <w:p w14:paraId="601DC30C" w14:textId="77777777" w:rsidR="00107172" w:rsidRPr="000F7953" w:rsidRDefault="00107172"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COP13</w:t>
            </w:r>
          </w:p>
        </w:tc>
        <w:tc>
          <w:tcPr>
            <w:tcW w:w="0" w:type="auto"/>
            <w:vAlign w:val="center"/>
            <w:hideMark/>
          </w:tcPr>
          <w:p w14:paraId="70D082F7" w14:textId="77777777" w:rsidR="00107172" w:rsidRPr="000F7953" w:rsidRDefault="00107172"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COP14</w:t>
            </w:r>
          </w:p>
        </w:tc>
        <w:tc>
          <w:tcPr>
            <w:tcW w:w="0" w:type="auto"/>
            <w:vAlign w:val="center"/>
            <w:hideMark/>
          </w:tcPr>
          <w:p w14:paraId="0A3D353F" w14:textId="77777777" w:rsidR="00107172" w:rsidRPr="000F7953" w:rsidRDefault="00107172"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COP15</w:t>
            </w:r>
          </w:p>
        </w:tc>
        <w:tc>
          <w:tcPr>
            <w:tcW w:w="0" w:type="auto"/>
            <w:vAlign w:val="center"/>
            <w:hideMark/>
          </w:tcPr>
          <w:p w14:paraId="69305A92" w14:textId="77777777" w:rsidR="00107172" w:rsidRPr="000F7953" w:rsidRDefault="00107172"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Tendencia</w:t>
            </w:r>
          </w:p>
        </w:tc>
      </w:tr>
      <w:tr w:rsidR="00107172" w:rsidRPr="000F7953" w14:paraId="42BF2386" w14:textId="77777777" w:rsidTr="00567061">
        <w:trPr>
          <w:cantSplit/>
        </w:trPr>
        <w:tc>
          <w:tcPr>
            <w:tcW w:w="0" w:type="auto"/>
          </w:tcPr>
          <w:p w14:paraId="422F0A4B" w14:textId="019AC757" w:rsidR="00107172" w:rsidRPr="000F7953" w:rsidRDefault="00107172" w:rsidP="00CD3F6B">
            <w:pPr>
              <w:rPr>
                <w:rFonts w:asciiTheme="minorHAnsi" w:eastAsia="Aptos" w:hAnsiTheme="minorHAnsi" w:cstheme="minorHAnsi"/>
                <w:sz w:val="22"/>
                <w:szCs w:val="22"/>
              </w:rPr>
            </w:pPr>
            <w:r w:rsidRPr="000F7953">
              <w:rPr>
                <w:rFonts w:asciiTheme="minorHAnsi" w:hAnsiTheme="minorHAnsi" w:cstheme="minorHAnsi"/>
                <w:sz w:val="22"/>
                <w:szCs w:val="22"/>
              </w:rPr>
              <w:t>Porcentaje de Partes que han participado en el desarrollo y la puesta en práctica de una iniciativa regional en el marco de la Convención.</w:t>
            </w:r>
          </w:p>
        </w:tc>
        <w:tc>
          <w:tcPr>
            <w:tcW w:w="0" w:type="auto"/>
          </w:tcPr>
          <w:p w14:paraId="2AF91048" w14:textId="58B59811" w:rsidR="00107172" w:rsidRPr="000F7953" w:rsidRDefault="00107172"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68</w:t>
            </w:r>
            <w:r w:rsidR="005601CD" w:rsidRPr="000F7953">
              <w:rPr>
                <w:rFonts w:asciiTheme="minorHAnsi" w:hAnsiTheme="minorHAnsi" w:cstheme="minorHAnsi"/>
                <w:b/>
                <w:bCs/>
                <w:sz w:val="22"/>
                <w:szCs w:val="22"/>
              </w:rPr>
              <w:t> %</w:t>
            </w:r>
          </w:p>
        </w:tc>
        <w:tc>
          <w:tcPr>
            <w:tcW w:w="0" w:type="auto"/>
          </w:tcPr>
          <w:p w14:paraId="2FF26430" w14:textId="5876328C" w:rsidR="00107172" w:rsidRPr="000F7953" w:rsidRDefault="00107172"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59</w:t>
            </w:r>
            <w:r w:rsidR="005601CD" w:rsidRPr="000F7953">
              <w:rPr>
                <w:rFonts w:asciiTheme="minorHAnsi" w:hAnsiTheme="minorHAnsi" w:cstheme="minorHAnsi"/>
                <w:b/>
                <w:bCs/>
                <w:sz w:val="22"/>
                <w:szCs w:val="22"/>
              </w:rPr>
              <w:t> %</w:t>
            </w:r>
          </w:p>
        </w:tc>
        <w:tc>
          <w:tcPr>
            <w:tcW w:w="0" w:type="auto"/>
          </w:tcPr>
          <w:p w14:paraId="00FA4A9A" w14:textId="029AFF74" w:rsidR="00107172" w:rsidRPr="000F7953" w:rsidRDefault="00107172"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66</w:t>
            </w:r>
            <w:r w:rsidR="005601CD" w:rsidRPr="000F7953">
              <w:rPr>
                <w:rFonts w:asciiTheme="minorHAnsi" w:hAnsiTheme="minorHAnsi" w:cstheme="minorHAnsi"/>
                <w:b/>
                <w:bCs/>
                <w:sz w:val="22"/>
                <w:szCs w:val="22"/>
              </w:rPr>
              <w:t> %</w:t>
            </w:r>
          </w:p>
        </w:tc>
        <w:tc>
          <w:tcPr>
            <w:tcW w:w="0" w:type="auto"/>
          </w:tcPr>
          <w:p w14:paraId="1D0C9C29" w14:textId="25174EBE" w:rsidR="00107172" w:rsidRPr="000F7953" w:rsidRDefault="00107172"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67</w:t>
            </w:r>
            <w:r w:rsidR="005601CD" w:rsidRPr="000F7953">
              <w:rPr>
                <w:rFonts w:asciiTheme="minorHAnsi" w:hAnsiTheme="minorHAnsi" w:cstheme="minorHAnsi"/>
                <w:b/>
                <w:bCs/>
                <w:sz w:val="22"/>
                <w:szCs w:val="22"/>
              </w:rPr>
              <w:t> %</w:t>
            </w:r>
          </w:p>
        </w:tc>
        <w:tc>
          <w:tcPr>
            <w:tcW w:w="0" w:type="auto"/>
            <w:vAlign w:val="center"/>
          </w:tcPr>
          <w:p w14:paraId="07CF9CCD" w14:textId="4E77954D" w:rsidR="00107172" w:rsidRPr="000F7953" w:rsidRDefault="00137552" w:rsidP="00567061">
            <w:pPr>
              <w:jc w:val="center"/>
              <w:rPr>
                <w:rFonts w:asciiTheme="minorHAnsi" w:eastAsia="Aptos" w:hAnsiTheme="minorHAnsi" w:cstheme="minorHAnsi"/>
                <w:sz w:val="22"/>
                <w:szCs w:val="22"/>
              </w:rPr>
            </w:pPr>
            <w:r w:rsidRPr="000F7953">
              <w:rPr>
                <w:rFonts w:asciiTheme="minorHAnsi" w:hAnsiTheme="minorHAnsi" w:cstheme="minorHAnsi"/>
                <w:noProof/>
                <w:sz w:val="22"/>
                <w:szCs w:val="22"/>
              </w:rPr>
              <w:drawing>
                <wp:inline distT="0" distB="0" distL="0" distR="0" wp14:anchorId="30EA5EFB" wp14:editId="173E7AD2">
                  <wp:extent cx="712200" cy="432000"/>
                  <wp:effectExtent l="0" t="0" r="0" b="0"/>
                  <wp:docPr id="115535990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030AB5" w:rsidRPr="000F7953" w14:paraId="702871CA" w14:textId="77777777" w:rsidTr="00567061">
        <w:trPr>
          <w:cantSplit/>
        </w:trPr>
        <w:tc>
          <w:tcPr>
            <w:tcW w:w="0" w:type="auto"/>
          </w:tcPr>
          <w:p w14:paraId="75B59B6C" w14:textId="77777777" w:rsidR="00030AB5" w:rsidRPr="000F7953" w:rsidRDefault="00030AB5" w:rsidP="00CD3F6B">
            <w:pPr>
              <w:rPr>
                <w:rFonts w:asciiTheme="minorHAnsi" w:eastAsia="Aptos" w:hAnsiTheme="minorHAnsi" w:cstheme="minorHAnsi"/>
                <w:sz w:val="22"/>
                <w:szCs w:val="22"/>
              </w:rPr>
            </w:pPr>
            <w:r w:rsidRPr="000F7953">
              <w:rPr>
                <w:rFonts w:asciiTheme="minorHAnsi" w:hAnsiTheme="minorHAnsi" w:cstheme="minorHAnsi"/>
                <w:sz w:val="22"/>
                <w:szCs w:val="22"/>
              </w:rPr>
              <w:lastRenderedPageBreak/>
              <w:t>Número de iniciativas regionales aplicadas con éxito.</w:t>
            </w:r>
          </w:p>
        </w:tc>
        <w:tc>
          <w:tcPr>
            <w:tcW w:w="0" w:type="auto"/>
          </w:tcPr>
          <w:p w14:paraId="2247BD64" w14:textId="6611AABC" w:rsidR="00030AB5" w:rsidRPr="000F7953" w:rsidRDefault="00030AB5" w:rsidP="00567061">
            <w:pPr>
              <w:jc w:val="center"/>
              <w:rPr>
                <w:rFonts w:asciiTheme="minorHAnsi" w:eastAsia="Aptos" w:hAnsiTheme="minorHAnsi" w:cstheme="minorHAnsi"/>
                <w:sz w:val="22"/>
                <w:szCs w:val="22"/>
              </w:rPr>
            </w:pPr>
            <w:r w:rsidRPr="000F7953">
              <w:rPr>
                <w:rFonts w:asciiTheme="minorHAnsi" w:hAnsiTheme="minorHAnsi" w:cstheme="minorHAnsi"/>
                <w:b/>
                <w:sz w:val="22"/>
                <w:szCs w:val="22"/>
              </w:rPr>
              <w:t>15</w:t>
            </w:r>
          </w:p>
        </w:tc>
        <w:tc>
          <w:tcPr>
            <w:tcW w:w="0" w:type="auto"/>
          </w:tcPr>
          <w:p w14:paraId="35395A27" w14:textId="1482C84C" w:rsidR="00030AB5" w:rsidRPr="000F7953" w:rsidRDefault="00EB6EAA" w:rsidP="00567061">
            <w:pPr>
              <w:jc w:val="center"/>
              <w:rPr>
                <w:rFonts w:asciiTheme="minorHAnsi" w:eastAsia="Aptos" w:hAnsiTheme="minorHAnsi" w:cstheme="minorHAnsi"/>
                <w:b/>
                <w:sz w:val="22"/>
                <w:szCs w:val="22"/>
              </w:rPr>
            </w:pPr>
            <w:r w:rsidRPr="000F7953">
              <w:rPr>
                <w:rFonts w:asciiTheme="minorHAnsi" w:hAnsiTheme="minorHAnsi" w:cstheme="minorHAnsi"/>
                <w:b/>
                <w:sz w:val="22"/>
                <w:szCs w:val="22"/>
              </w:rPr>
              <w:t>19</w:t>
            </w:r>
          </w:p>
        </w:tc>
        <w:tc>
          <w:tcPr>
            <w:tcW w:w="0" w:type="auto"/>
          </w:tcPr>
          <w:p w14:paraId="7444662D" w14:textId="72F7D01E" w:rsidR="00030AB5" w:rsidRPr="000F7953" w:rsidRDefault="0051463A" w:rsidP="00567061">
            <w:pPr>
              <w:jc w:val="center"/>
              <w:rPr>
                <w:rFonts w:asciiTheme="minorHAnsi" w:eastAsia="Aptos" w:hAnsiTheme="minorHAnsi" w:cstheme="minorHAnsi"/>
                <w:b/>
                <w:sz w:val="22"/>
                <w:szCs w:val="22"/>
              </w:rPr>
            </w:pPr>
            <w:r w:rsidRPr="000F7953">
              <w:rPr>
                <w:rFonts w:asciiTheme="minorHAnsi" w:hAnsiTheme="minorHAnsi" w:cstheme="minorHAnsi"/>
                <w:b/>
                <w:sz w:val="22"/>
                <w:szCs w:val="22"/>
              </w:rPr>
              <w:t>20</w:t>
            </w:r>
          </w:p>
        </w:tc>
        <w:tc>
          <w:tcPr>
            <w:tcW w:w="0" w:type="auto"/>
          </w:tcPr>
          <w:p w14:paraId="42D48B59" w14:textId="6EDC2ACC" w:rsidR="00030AB5" w:rsidRPr="000F7953" w:rsidRDefault="008C5DAD" w:rsidP="00567061">
            <w:pPr>
              <w:jc w:val="center"/>
              <w:rPr>
                <w:rFonts w:asciiTheme="minorHAnsi" w:eastAsia="Aptos" w:hAnsiTheme="minorHAnsi" w:cstheme="minorHAnsi"/>
                <w:b/>
                <w:sz w:val="22"/>
                <w:szCs w:val="22"/>
              </w:rPr>
            </w:pPr>
            <w:r w:rsidRPr="000F7953">
              <w:rPr>
                <w:rFonts w:asciiTheme="minorHAnsi" w:hAnsiTheme="minorHAnsi" w:cstheme="minorHAnsi"/>
                <w:b/>
                <w:sz w:val="22"/>
                <w:szCs w:val="22"/>
              </w:rPr>
              <w:t>22</w:t>
            </w:r>
          </w:p>
        </w:tc>
        <w:tc>
          <w:tcPr>
            <w:tcW w:w="0" w:type="auto"/>
          </w:tcPr>
          <w:p w14:paraId="6EF2B576" w14:textId="3A9CA0B1" w:rsidR="00030AB5" w:rsidRPr="000F7953" w:rsidRDefault="002839A4" w:rsidP="00CD3F6B">
            <w:pPr>
              <w:rPr>
                <w:rFonts w:asciiTheme="minorHAnsi" w:eastAsia="Aptos" w:hAnsiTheme="minorHAnsi" w:cstheme="minorHAnsi"/>
                <w:sz w:val="22"/>
                <w:szCs w:val="22"/>
                <w:highlight w:val="yellow"/>
              </w:rPr>
            </w:pPr>
            <w:r w:rsidRPr="000F7953">
              <w:rPr>
                <w:rFonts w:asciiTheme="minorHAnsi" w:hAnsiTheme="minorHAnsi" w:cstheme="minorHAnsi"/>
                <w:noProof/>
                <w:sz w:val="22"/>
                <w:szCs w:val="22"/>
              </w:rPr>
              <w:drawing>
                <wp:inline distT="0" distB="0" distL="0" distR="0" wp14:anchorId="184645AC" wp14:editId="7B629D98">
                  <wp:extent cx="712200" cy="432000"/>
                  <wp:effectExtent l="0" t="0" r="0" b="0"/>
                  <wp:docPr id="13944588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bl>
    <w:p w14:paraId="5855FA70" w14:textId="77777777" w:rsidR="00F14FD8" w:rsidRPr="000F7953" w:rsidRDefault="00F14FD8" w:rsidP="00CD3F6B">
      <w:pPr>
        <w:rPr>
          <w:rFonts w:asciiTheme="minorHAnsi" w:hAnsiTheme="minorHAnsi" w:cstheme="minorHAnsi"/>
          <w:b/>
          <w:bCs/>
          <w:sz w:val="22"/>
          <w:szCs w:val="22"/>
        </w:rPr>
      </w:pPr>
    </w:p>
    <w:p w14:paraId="1EB55609" w14:textId="1C020785" w:rsidR="0009645F" w:rsidRPr="000F7953" w:rsidRDefault="0064738E" w:rsidP="000D551C">
      <w:pPr>
        <w:keepNext/>
        <w:rPr>
          <w:rFonts w:asciiTheme="minorHAnsi" w:hAnsiTheme="minorHAnsi" w:cstheme="minorHAnsi"/>
          <w:i/>
          <w:iCs/>
          <w:sz w:val="22"/>
          <w:szCs w:val="22"/>
          <w:u w:val="single"/>
        </w:rPr>
      </w:pPr>
      <w:r w:rsidRPr="000F7953">
        <w:rPr>
          <w:rFonts w:asciiTheme="minorHAnsi" w:hAnsiTheme="minorHAnsi" w:cstheme="minorHAnsi"/>
          <w:i/>
          <w:iCs/>
          <w:sz w:val="22"/>
          <w:szCs w:val="22"/>
          <w:u w:val="single"/>
        </w:rPr>
        <w:t xml:space="preserve">Resumen de los progresos realizados </w:t>
      </w:r>
    </w:p>
    <w:p w14:paraId="6BA6FEFB" w14:textId="77777777" w:rsidR="00BA6EF2" w:rsidRPr="000F7953" w:rsidRDefault="00BA6EF2" w:rsidP="000D551C">
      <w:pPr>
        <w:keepNext/>
        <w:rPr>
          <w:rFonts w:asciiTheme="minorHAnsi" w:hAnsiTheme="minorHAnsi" w:cstheme="minorHAnsi"/>
          <w:sz w:val="22"/>
          <w:szCs w:val="22"/>
          <w:lang w:eastAsia="fr-FR"/>
        </w:rPr>
      </w:pPr>
    </w:p>
    <w:p w14:paraId="71056524" w14:textId="679B46C3" w:rsidR="00D04F25" w:rsidRPr="000F7953" w:rsidRDefault="000E3338"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t>91.</w:t>
      </w:r>
      <w:r w:rsidRPr="000F7953">
        <w:rPr>
          <w:rFonts w:asciiTheme="minorHAnsi" w:hAnsiTheme="minorHAnsi" w:cstheme="minorHAnsi"/>
          <w:sz w:val="22"/>
          <w:szCs w:val="22"/>
        </w:rPr>
        <w:tab/>
        <w:t>El número de IRR aumentó de 15 a 22 durante el período cubierto por el PE4. Se crearon nuevas IRR en África, Asia, Europa y América Latina y el Caribe, centradas en humedales de gran altitud, ríos/cuencas fluviales y manglares.</w:t>
      </w:r>
    </w:p>
    <w:p w14:paraId="4A64D886" w14:textId="014D15BA" w:rsidR="00CB5B9A" w:rsidRPr="000F7953" w:rsidRDefault="00CB5B9A" w:rsidP="00257025">
      <w:pPr>
        <w:ind w:left="567" w:hanging="567"/>
        <w:rPr>
          <w:rFonts w:asciiTheme="minorHAnsi" w:hAnsiTheme="minorHAnsi" w:cstheme="minorHAnsi"/>
          <w:sz w:val="22"/>
          <w:szCs w:val="22"/>
          <w:lang w:eastAsia="fr-FR"/>
        </w:rPr>
      </w:pPr>
    </w:p>
    <w:p w14:paraId="39389D2A" w14:textId="163B7E38" w:rsidR="00A0156D" w:rsidRPr="000F7953" w:rsidRDefault="000E3338"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t>92.</w:t>
      </w:r>
      <w:r w:rsidRPr="000F7953">
        <w:rPr>
          <w:rFonts w:asciiTheme="minorHAnsi" w:hAnsiTheme="minorHAnsi" w:cstheme="minorHAnsi"/>
          <w:sz w:val="22"/>
          <w:szCs w:val="22"/>
        </w:rPr>
        <w:tab/>
        <w:t>Para la COP15, el 67</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de las Partes Contratantes afirman haber participado en el desarrollo y la implementación de IRR. Esto representa un ligero aumento en los últimos tres trienios, y se ajusta a los valores de referencia establecidos en el PE4. Los índices de participación en las IRR notificados varían de una región a otra, y son más elevados en América Latina y el Caribe (76</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pero en descenso en los tres últimos trienios) que en África, Asia y Europa (generalmente entre el 60</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y el 70</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y Oceanía y América del Norte (donde no hay tendencias claras debido al número relativamente bajo de Partes y/o a la variación de los índices de presentación de informes). </w:t>
      </w:r>
    </w:p>
    <w:p w14:paraId="0AB243A6" w14:textId="77777777" w:rsidR="00A0156D" w:rsidRPr="000F7953" w:rsidRDefault="00A0156D" w:rsidP="00257025">
      <w:pPr>
        <w:ind w:left="567" w:hanging="567"/>
        <w:rPr>
          <w:rFonts w:asciiTheme="minorHAnsi" w:hAnsiTheme="minorHAnsi" w:cstheme="minorHAnsi"/>
          <w:sz w:val="22"/>
          <w:szCs w:val="22"/>
          <w:lang w:eastAsia="fr-FR"/>
        </w:rPr>
      </w:pPr>
    </w:p>
    <w:p w14:paraId="2F694ACB" w14:textId="78ECB113" w:rsidR="00942B2B" w:rsidRPr="000F7953" w:rsidRDefault="000E3338"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t>93.</w:t>
      </w:r>
      <w:r w:rsidRPr="000F7953">
        <w:rPr>
          <w:rFonts w:asciiTheme="minorHAnsi" w:hAnsiTheme="minorHAnsi" w:cstheme="minorHAnsi"/>
          <w:sz w:val="22"/>
          <w:szCs w:val="22"/>
        </w:rPr>
        <w:tab/>
        <w:t>Ha habido muy poco cambio en la proporción de Partes Contratantes que han apoyado el desarrollo de otros centros regionales de formación e investigación sobre humedales o que han participado en el mismo; esta proporción, que para la COP15 es del 35</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es más alta en Asia, cercana a la media mundial en África y Europa, y más baja en América Latina y el Caribe. </w:t>
      </w:r>
    </w:p>
    <w:p w14:paraId="1F114E17" w14:textId="77777777" w:rsidR="00355408" w:rsidRPr="000F7953" w:rsidRDefault="00355408" w:rsidP="00257025">
      <w:pPr>
        <w:ind w:left="567" w:hanging="567"/>
        <w:rPr>
          <w:rFonts w:asciiTheme="minorHAnsi" w:hAnsiTheme="minorHAnsi" w:cstheme="minorHAnsi"/>
          <w:sz w:val="22"/>
          <w:szCs w:val="22"/>
          <w:lang w:eastAsia="fr-FR"/>
        </w:rPr>
      </w:pPr>
    </w:p>
    <w:p w14:paraId="65B34E18" w14:textId="78DBAA6A" w:rsidR="0045278A" w:rsidRPr="000F7953" w:rsidRDefault="000E3338"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t>94.</w:t>
      </w:r>
      <w:r w:rsidRPr="000F7953">
        <w:rPr>
          <w:rFonts w:asciiTheme="minorHAnsi" w:hAnsiTheme="minorHAnsi" w:cstheme="minorHAnsi"/>
          <w:sz w:val="22"/>
          <w:szCs w:val="22"/>
        </w:rPr>
        <w:tab/>
        <w:t>Aunque las tendencias generales desde la COP13 a la COP15 muestran un crecimiento en el número de iniciativas regionales y niveles constantes de implicación regional, el progreso en la implementación de las iniciativas regionales individuales varía considerablemente, entre otras cosas debido a las diferencias en la capacidad institucional y las disposiciones de gobernanza, las limitaciones en la coordinación entre los países participantes y los limitados recursos financieros de algunas iniciativas regionales</w:t>
      </w:r>
      <w:r w:rsidR="004466BD" w:rsidRPr="000F7953">
        <w:rPr>
          <w:rStyle w:val="FootnoteReference"/>
          <w:rFonts w:asciiTheme="minorHAnsi" w:hAnsiTheme="minorHAnsi" w:cstheme="minorHAnsi"/>
          <w:sz w:val="22"/>
          <w:szCs w:val="22"/>
          <w:lang w:eastAsia="fr-FR"/>
        </w:rPr>
        <w:footnoteReference w:id="11"/>
      </w:r>
      <w:r w:rsidRPr="000F7953">
        <w:rPr>
          <w:rFonts w:asciiTheme="minorHAnsi" w:hAnsiTheme="minorHAnsi" w:cstheme="minorHAnsi"/>
          <w:sz w:val="22"/>
          <w:szCs w:val="22"/>
        </w:rPr>
        <w:t xml:space="preserve">. </w:t>
      </w:r>
    </w:p>
    <w:p w14:paraId="5D4A42ED" w14:textId="77777777" w:rsidR="00811F0F" w:rsidRPr="000F7953" w:rsidRDefault="00811F0F" w:rsidP="00257025">
      <w:pPr>
        <w:ind w:left="567" w:hanging="567"/>
        <w:rPr>
          <w:rFonts w:asciiTheme="minorHAnsi" w:hAnsiTheme="minorHAnsi" w:cstheme="minorHAnsi"/>
          <w:sz w:val="22"/>
          <w:szCs w:val="22"/>
          <w:lang w:eastAsia="fr-FR"/>
        </w:rPr>
      </w:pPr>
    </w:p>
    <w:p w14:paraId="417D2565" w14:textId="1601A0EE" w:rsidR="00DE7708" w:rsidRPr="000F7953" w:rsidRDefault="000E3338"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t>95.</w:t>
      </w:r>
      <w:r w:rsidRPr="000F7953">
        <w:rPr>
          <w:rFonts w:asciiTheme="minorHAnsi" w:hAnsiTheme="minorHAnsi" w:cstheme="minorHAnsi"/>
          <w:sz w:val="22"/>
          <w:szCs w:val="22"/>
        </w:rPr>
        <w:tab/>
        <w:t xml:space="preserve">Entre las recomendaciones para seguir reforzando las IRR se incluyen las inversiones específicas en centros regionales a fin de mejorar la formación y el intercambio técnico, y el uso de canales flexibles de fomento de capacidad, como las plataformas digitales y el aprendizaje entre pares, que pueden ofrecer opciones rentables ante las limitaciones de financiación. </w:t>
      </w:r>
    </w:p>
    <w:p w14:paraId="79106A4E" w14:textId="77777777" w:rsidR="00DE7708" w:rsidRPr="000F7953" w:rsidRDefault="00DE7708" w:rsidP="00A338FF">
      <w:pPr>
        <w:rPr>
          <w:rFonts w:asciiTheme="minorHAnsi" w:hAnsiTheme="minorHAnsi" w:cstheme="minorHAnsi"/>
          <w:sz w:val="22"/>
          <w:szCs w:val="22"/>
        </w:rPr>
      </w:pPr>
    </w:p>
    <w:p w14:paraId="206BFE08" w14:textId="77777777" w:rsidR="00F14FD8" w:rsidRPr="000F7953" w:rsidRDefault="00F14FD8" w:rsidP="00CD3F6B">
      <w:pPr>
        <w:rPr>
          <w:rFonts w:asciiTheme="minorHAnsi" w:hAnsiTheme="minorHAnsi" w:cstheme="minorHAnsi"/>
          <w:sz w:val="22"/>
          <w:szCs w:val="22"/>
        </w:rPr>
      </w:pPr>
    </w:p>
    <w:tbl>
      <w:tblPr>
        <w:tblStyle w:val="TableGrid16"/>
        <w:tblW w:w="9354" w:type="dxa"/>
        <w:tblLook w:val="04A0" w:firstRow="1" w:lastRow="0" w:firstColumn="1" w:lastColumn="0" w:noHBand="0" w:noVBand="1"/>
      </w:tblPr>
      <w:tblGrid>
        <w:gridCol w:w="9354"/>
      </w:tblGrid>
      <w:tr w:rsidR="00180A86" w:rsidRPr="000F7953" w14:paraId="618D74E8" w14:textId="77777777" w:rsidTr="003E56FD">
        <w:tc>
          <w:tcPr>
            <w:tcW w:w="9354" w:type="dxa"/>
            <w:shd w:val="clear" w:color="auto" w:fill="auto"/>
            <w:vAlign w:val="center"/>
          </w:tcPr>
          <w:p w14:paraId="3657FBFE" w14:textId="77777777" w:rsidR="00180A86" w:rsidRPr="000F7953" w:rsidRDefault="00180A86" w:rsidP="008A3659">
            <w:pPr>
              <w:keepNext/>
              <w:spacing w:before="120" w:after="120"/>
              <w:rPr>
                <w:rFonts w:asciiTheme="minorHAnsi" w:hAnsiTheme="minorHAnsi" w:cstheme="minorHAnsi"/>
                <w:b/>
                <w:sz w:val="22"/>
                <w:szCs w:val="22"/>
              </w:rPr>
            </w:pPr>
            <w:r w:rsidRPr="000F7953">
              <w:rPr>
                <w:rFonts w:asciiTheme="minorHAnsi" w:hAnsiTheme="minorHAnsi" w:cstheme="minorHAnsi"/>
                <w:b/>
                <w:sz w:val="22"/>
                <w:szCs w:val="22"/>
              </w:rPr>
              <w:t xml:space="preserve">Meta 16. La conservación y el uso racional de los humedales se integran a través de la comunicación, el desarrollo de capacidad, la educación, concienciación y participación. </w:t>
            </w:r>
          </w:p>
          <w:p w14:paraId="67D13FE7" w14:textId="76DCD6B2" w:rsidR="00180A86" w:rsidRPr="000F7953" w:rsidRDefault="00897E78" w:rsidP="008A3659">
            <w:pPr>
              <w:keepNext/>
              <w:spacing w:before="120" w:after="120"/>
              <w:rPr>
                <w:rFonts w:asciiTheme="minorHAnsi" w:hAnsiTheme="minorHAnsi" w:cstheme="minorHAnsi"/>
                <w:bCs/>
                <w:sz w:val="22"/>
                <w:szCs w:val="22"/>
              </w:rPr>
            </w:pPr>
            <w:r w:rsidRPr="000F7953">
              <w:rPr>
                <w:rFonts w:asciiTheme="minorHAnsi" w:hAnsiTheme="minorHAnsi" w:cstheme="minorHAnsi"/>
                <w:bCs/>
                <w:sz w:val="22"/>
                <w:szCs w:val="22"/>
              </w:rPr>
              <w:t>Contribuye a la meta 21 del MMB-KM y a las metas 2.4, 4.7, 4.a, 6.a, 11.3, 13.1, 13.3, 15.7 y 17.9 de los ODS.</w:t>
            </w:r>
          </w:p>
        </w:tc>
      </w:tr>
    </w:tbl>
    <w:p w14:paraId="512A88DC" w14:textId="77777777" w:rsidR="00180A86" w:rsidRPr="000F7953" w:rsidRDefault="00180A86" w:rsidP="000D551C">
      <w:pPr>
        <w:keepNext/>
        <w:rPr>
          <w:rFonts w:asciiTheme="minorHAnsi" w:hAnsiTheme="minorHAnsi" w:cstheme="minorHAnsi"/>
          <w:b/>
          <w:bCs/>
          <w:sz w:val="22"/>
          <w:szCs w:val="22"/>
        </w:rPr>
      </w:pPr>
    </w:p>
    <w:p w14:paraId="3F255667" w14:textId="2475BFF6" w:rsidR="00FA0B43" w:rsidRPr="000F7953" w:rsidRDefault="00FA0B43" w:rsidP="000D551C">
      <w:pPr>
        <w:keepNext/>
        <w:rPr>
          <w:rFonts w:asciiTheme="minorHAnsi" w:hAnsiTheme="minorHAnsi" w:cstheme="minorHAnsi"/>
          <w:i/>
          <w:iCs/>
          <w:sz w:val="22"/>
          <w:szCs w:val="22"/>
          <w:u w:val="single"/>
        </w:rPr>
      </w:pPr>
      <w:r w:rsidRPr="000F7953">
        <w:rPr>
          <w:rFonts w:asciiTheme="minorHAnsi" w:hAnsiTheme="minorHAnsi" w:cstheme="minorHAnsi"/>
          <w:i/>
          <w:iCs/>
          <w:sz w:val="22"/>
          <w:szCs w:val="22"/>
          <w:u w:val="single"/>
        </w:rPr>
        <w:t xml:space="preserve">Mensaje clave </w:t>
      </w:r>
    </w:p>
    <w:p w14:paraId="77015AD7" w14:textId="77777777" w:rsidR="002833B0" w:rsidRPr="000F7953" w:rsidRDefault="002833B0" w:rsidP="000D551C">
      <w:pPr>
        <w:keepNext/>
        <w:rPr>
          <w:rFonts w:asciiTheme="minorHAnsi" w:hAnsiTheme="minorHAnsi" w:cstheme="minorHAnsi"/>
          <w:sz w:val="22"/>
          <w:szCs w:val="22"/>
          <w:lang w:eastAsia="fr-FR"/>
        </w:rPr>
      </w:pPr>
    </w:p>
    <w:p w14:paraId="6D306D37" w14:textId="7DA0AE66" w:rsidR="00354732" w:rsidRPr="000F7953" w:rsidRDefault="000E3338"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t>96.</w:t>
      </w:r>
      <w:r w:rsidRPr="000F7953">
        <w:rPr>
          <w:rFonts w:asciiTheme="minorHAnsi" w:hAnsiTheme="minorHAnsi" w:cstheme="minorHAnsi"/>
          <w:sz w:val="22"/>
          <w:szCs w:val="22"/>
        </w:rPr>
        <w:tab/>
        <w:t xml:space="preserve">El alcance y la repercusión del Día Mundial de los Humedales siguen creciendo y la implicación de las Partes Contratantes se sitúa de manera constante en niveles elevados. Un número cada </w:t>
      </w:r>
      <w:r w:rsidRPr="000F7953">
        <w:rPr>
          <w:rFonts w:asciiTheme="minorHAnsi" w:hAnsiTheme="minorHAnsi" w:cstheme="minorHAnsi"/>
          <w:sz w:val="22"/>
          <w:szCs w:val="22"/>
        </w:rPr>
        <w:lastRenderedPageBreak/>
        <w:t>vez mayor de centros educativos y para visitantes de humedales también apoya la divulgación. Sin embargo, el escaso desarrollo de planes de acción nacionales de comunicación, educación, concienciación y participación (CECoP) puede limitar la sensibilización y el fomento de capacidad en apoyo de la adhesión generalizada a la misión de la Convención.</w:t>
      </w:r>
    </w:p>
    <w:p w14:paraId="76DF16B0" w14:textId="2D0B05D9" w:rsidR="00FA0B43" w:rsidRPr="000F7953" w:rsidRDefault="00FA0B43" w:rsidP="00A338FF">
      <w:pPr>
        <w:rPr>
          <w:rFonts w:asciiTheme="minorHAnsi" w:hAnsiTheme="minorHAnsi" w:cstheme="minorHAnsi"/>
        </w:rPr>
      </w:pPr>
    </w:p>
    <w:tbl>
      <w:tblPr>
        <w:tblStyle w:val="TableGrid32"/>
        <w:tblW w:w="9365" w:type="dxa"/>
        <w:tblInd w:w="-5" w:type="dxa"/>
        <w:tblLook w:val="04A0" w:firstRow="1" w:lastRow="0" w:firstColumn="1" w:lastColumn="0" w:noHBand="0" w:noVBand="1"/>
      </w:tblPr>
      <w:tblGrid>
        <w:gridCol w:w="3418"/>
        <w:gridCol w:w="1273"/>
        <w:gridCol w:w="935"/>
        <w:gridCol w:w="1168"/>
        <w:gridCol w:w="1168"/>
        <w:gridCol w:w="1403"/>
      </w:tblGrid>
      <w:tr w:rsidR="00107172" w:rsidRPr="000F7953" w14:paraId="78900219" w14:textId="77777777" w:rsidTr="00C32CF1">
        <w:trPr>
          <w:cantSplit/>
          <w:tblHeader/>
        </w:trPr>
        <w:tc>
          <w:tcPr>
            <w:tcW w:w="3417" w:type="dxa"/>
            <w:shd w:val="clear" w:color="auto" w:fill="auto"/>
            <w:vAlign w:val="center"/>
            <w:hideMark/>
          </w:tcPr>
          <w:p w14:paraId="29D55664" w14:textId="75081054" w:rsidR="00107172" w:rsidRPr="000F7953" w:rsidRDefault="00107172" w:rsidP="0078307B">
            <w:pPr>
              <w:keepNext/>
              <w:jc w:val="center"/>
              <w:rPr>
                <w:rFonts w:asciiTheme="minorHAnsi" w:eastAsia="Aptos" w:hAnsiTheme="minorHAnsi" w:cstheme="minorHAnsi"/>
                <w:b/>
                <w:bCs/>
                <w:sz w:val="22"/>
                <w:szCs w:val="22"/>
              </w:rPr>
            </w:pPr>
            <w:bookmarkStart w:id="3" w:name="_Hlk196928619"/>
            <w:r w:rsidRPr="000F7953">
              <w:rPr>
                <w:rFonts w:asciiTheme="minorHAnsi" w:hAnsiTheme="minorHAnsi" w:cstheme="minorHAnsi"/>
                <w:b/>
                <w:bCs/>
                <w:sz w:val="22"/>
                <w:szCs w:val="22"/>
              </w:rPr>
              <w:t>Indicador</w:t>
            </w:r>
          </w:p>
        </w:tc>
        <w:tc>
          <w:tcPr>
            <w:tcW w:w="0" w:type="auto"/>
            <w:shd w:val="clear" w:color="auto" w:fill="auto"/>
            <w:vAlign w:val="center"/>
            <w:hideMark/>
          </w:tcPr>
          <w:p w14:paraId="18882C15" w14:textId="5DC571DF" w:rsidR="00107172" w:rsidRPr="000F7953" w:rsidRDefault="00107172"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Referencia</w:t>
            </w:r>
          </w:p>
        </w:tc>
        <w:tc>
          <w:tcPr>
            <w:tcW w:w="0" w:type="auto"/>
            <w:shd w:val="clear" w:color="auto" w:fill="auto"/>
            <w:vAlign w:val="center"/>
            <w:hideMark/>
          </w:tcPr>
          <w:p w14:paraId="3B0FD3C2" w14:textId="77777777" w:rsidR="00107172" w:rsidRPr="000F7953" w:rsidRDefault="00107172"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COP13</w:t>
            </w:r>
          </w:p>
        </w:tc>
        <w:tc>
          <w:tcPr>
            <w:tcW w:w="0" w:type="auto"/>
            <w:shd w:val="clear" w:color="auto" w:fill="auto"/>
            <w:vAlign w:val="center"/>
            <w:hideMark/>
          </w:tcPr>
          <w:p w14:paraId="693B80CE" w14:textId="77777777" w:rsidR="00107172" w:rsidRPr="000F7953" w:rsidRDefault="00107172"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COP14</w:t>
            </w:r>
          </w:p>
        </w:tc>
        <w:tc>
          <w:tcPr>
            <w:tcW w:w="0" w:type="auto"/>
            <w:shd w:val="clear" w:color="auto" w:fill="auto"/>
            <w:vAlign w:val="center"/>
            <w:hideMark/>
          </w:tcPr>
          <w:p w14:paraId="2AC95C0B" w14:textId="77777777" w:rsidR="00107172" w:rsidRPr="000F7953" w:rsidRDefault="00107172"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COP15</w:t>
            </w:r>
          </w:p>
        </w:tc>
        <w:tc>
          <w:tcPr>
            <w:tcW w:w="0" w:type="auto"/>
            <w:shd w:val="clear" w:color="auto" w:fill="auto"/>
            <w:vAlign w:val="center"/>
            <w:hideMark/>
          </w:tcPr>
          <w:p w14:paraId="09DCD97B" w14:textId="77777777" w:rsidR="00107172" w:rsidRPr="000F7953" w:rsidRDefault="00107172"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Tendencia</w:t>
            </w:r>
          </w:p>
        </w:tc>
      </w:tr>
      <w:tr w:rsidR="00107172" w:rsidRPr="000F7953" w14:paraId="025BDBB2" w14:textId="77777777" w:rsidTr="00770E5B">
        <w:trPr>
          <w:cantSplit/>
        </w:trPr>
        <w:tc>
          <w:tcPr>
            <w:tcW w:w="3417" w:type="dxa"/>
            <w:shd w:val="clear" w:color="auto" w:fill="auto"/>
          </w:tcPr>
          <w:p w14:paraId="47AD5EAF" w14:textId="77777777" w:rsidR="00107172" w:rsidRPr="000F7953" w:rsidRDefault="00107172" w:rsidP="00567061">
            <w:pPr>
              <w:rPr>
                <w:rFonts w:asciiTheme="minorHAnsi" w:eastAsia="Aptos" w:hAnsiTheme="minorHAnsi" w:cstheme="minorHAnsi"/>
                <w:sz w:val="22"/>
                <w:szCs w:val="22"/>
              </w:rPr>
            </w:pPr>
            <w:r w:rsidRPr="000F7953">
              <w:rPr>
                <w:rFonts w:asciiTheme="minorHAnsi" w:hAnsiTheme="minorHAnsi" w:cstheme="minorHAnsi"/>
                <w:sz w:val="22"/>
                <w:szCs w:val="22"/>
              </w:rPr>
              <w:t>Porcentaje de Partes que realizan actividades en relación con el Día Mundial de los Humedales.</w:t>
            </w:r>
          </w:p>
        </w:tc>
        <w:tc>
          <w:tcPr>
            <w:tcW w:w="0" w:type="auto"/>
            <w:shd w:val="clear" w:color="auto" w:fill="auto"/>
          </w:tcPr>
          <w:p w14:paraId="2E65D502" w14:textId="08A6B5E8" w:rsidR="00107172" w:rsidRPr="000F7953" w:rsidRDefault="00107172"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89</w:t>
            </w:r>
            <w:r w:rsidR="005601CD" w:rsidRPr="000F7953">
              <w:rPr>
                <w:rFonts w:asciiTheme="minorHAnsi" w:hAnsiTheme="minorHAnsi" w:cstheme="minorHAnsi"/>
                <w:b/>
                <w:bCs/>
                <w:sz w:val="22"/>
                <w:szCs w:val="22"/>
              </w:rPr>
              <w:t> %</w:t>
            </w:r>
          </w:p>
        </w:tc>
        <w:tc>
          <w:tcPr>
            <w:tcW w:w="0" w:type="auto"/>
            <w:shd w:val="clear" w:color="auto" w:fill="auto"/>
          </w:tcPr>
          <w:p w14:paraId="13A96A0C" w14:textId="6F3B6BCB" w:rsidR="00107172" w:rsidRPr="000F7953" w:rsidRDefault="00107172"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87</w:t>
            </w:r>
            <w:r w:rsidR="005601CD" w:rsidRPr="000F7953">
              <w:rPr>
                <w:rFonts w:asciiTheme="minorHAnsi" w:hAnsiTheme="minorHAnsi" w:cstheme="minorHAnsi"/>
                <w:b/>
                <w:bCs/>
                <w:sz w:val="22"/>
                <w:szCs w:val="22"/>
              </w:rPr>
              <w:t> %</w:t>
            </w:r>
          </w:p>
        </w:tc>
        <w:tc>
          <w:tcPr>
            <w:tcW w:w="0" w:type="auto"/>
            <w:shd w:val="clear" w:color="auto" w:fill="auto"/>
          </w:tcPr>
          <w:p w14:paraId="65560A4D" w14:textId="746DDECC" w:rsidR="00107172" w:rsidRPr="000F7953" w:rsidRDefault="00107172"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91</w:t>
            </w:r>
            <w:r w:rsidR="005601CD" w:rsidRPr="000F7953">
              <w:rPr>
                <w:rFonts w:asciiTheme="minorHAnsi" w:hAnsiTheme="minorHAnsi" w:cstheme="minorHAnsi"/>
                <w:b/>
                <w:bCs/>
                <w:sz w:val="22"/>
                <w:szCs w:val="22"/>
              </w:rPr>
              <w:t> %</w:t>
            </w:r>
          </w:p>
        </w:tc>
        <w:tc>
          <w:tcPr>
            <w:tcW w:w="0" w:type="auto"/>
            <w:shd w:val="clear" w:color="auto" w:fill="auto"/>
          </w:tcPr>
          <w:p w14:paraId="30D611CD" w14:textId="19B11306" w:rsidR="00107172" w:rsidRPr="000F7953" w:rsidRDefault="22B9F450"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88</w:t>
            </w:r>
            <w:r w:rsidR="005601CD" w:rsidRPr="000F7953">
              <w:rPr>
                <w:rFonts w:asciiTheme="minorHAnsi" w:hAnsiTheme="minorHAnsi" w:cstheme="minorHAnsi"/>
                <w:b/>
                <w:bCs/>
                <w:sz w:val="22"/>
                <w:szCs w:val="22"/>
              </w:rPr>
              <w:t> %</w:t>
            </w:r>
          </w:p>
        </w:tc>
        <w:tc>
          <w:tcPr>
            <w:tcW w:w="0" w:type="auto"/>
            <w:shd w:val="clear" w:color="auto" w:fill="auto"/>
          </w:tcPr>
          <w:p w14:paraId="1F75B98B" w14:textId="1F6C3702" w:rsidR="00107172" w:rsidRPr="000F7953" w:rsidRDefault="006849D1" w:rsidP="00567061">
            <w:pPr>
              <w:rPr>
                <w:rFonts w:asciiTheme="minorHAnsi" w:eastAsia="Aptos" w:hAnsiTheme="minorHAnsi" w:cstheme="minorHAnsi"/>
                <w:b/>
                <w:bCs/>
                <w:sz w:val="22"/>
                <w:szCs w:val="22"/>
              </w:rPr>
            </w:pPr>
            <w:r w:rsidRPr="000F7953">
              <w:rPr>
                <w:rFonts w:asciiTheme="minorHAnsi" w:hAnsiTheme="minorHAnsi" w:cstheme="minorHAnsi"/>
                <w:noProof/>
                <w:sz w:val="22"/>
                <w:szCs w:val="22"/>
              </w:rPr>
              <w:drawing>
                <wp:inline distT="0" distB="0" distL="0" distR="0" wp14:anchorId="781ADAD1" wp14:editId="454D216A">
                  <wp:extent cx="712200" cy="432000"/>
                  <wp:effectExtent l="0" t="0" r="0" b="0"/>
                  <wp:docPr id="165960015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107172" w:rsidRPr="000F7953" w14:paraId="1F785C99" w14:textId="77777777" w:rsidTr="00770E5B">
        <w:trPr>
          <w:cantSplit/>
        </w:trPr>
        <w:tc>
          <w:tcPr>
            <w:tcW w:w="3417" w:type="dxa"/>
            <w:shd w:val="clear" w:color="auto" w:fill="auto"/>
          </w:tcPr>
          <w:p w14:paraId="1907F91C" w14:textId="382FF3D2" w:rsidR="00107172" w:rsidRPr="000F7953" w:rsidRDefault="00107172" w:rsidP="00567061">
            <w:pPr>
              <w:rPr>
                <w:rFonts w:asciiTheme="minorHAnsi" w:eastAsia="Aptos" w:hAnsiTheme="minorHAnsi" w:cstheme="minorHAnsi"/>
                <w:sz w:val="22"/>
                <w:szCs w:val="22"/>
              </w:rPr>
            </w:pPr>
            <w:r w:rsidRPr="000F7953">
              <w:rPr>
                <w:rFonts w:asciiTheme="minorHAnsi" w:hAnsiTheme="minorHAnsi" w:cstheme="minorHAnsi"/>
                <w:sz w:val="22"/>
                <w:szCs w:val="22"/>
              </w:rPr>
              <w:t>Porcentaje de Partes que cuentan con un coordinador nacional de CECoP gubernamental.</w:t>
            </w:r>
          </w:p>
        </w:tc>
        <w:tc>
          <w:tcPr>
            <w:tcW w:w="0" w:type="auto"/>
            <w:shd w:val="clear" w:color="auto" w:fill="auto"/>
          </w:tcPr>
          <w:p w14:paraId="430DFE9A" w14:textId="08F811E7" w:rsidR="00107172" w:rsidRPr="000F7953" w:rsidRDefault="00107172"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80</w:t>
            </w:r>
            <w:r w:rsidR="005601CD" w:rsidRPr="000F7953">
              <w:rPr>
                <w:rFonts w:asciiTheme="minorHAnsi" w:hAnsiTheme="minorHAnsi" w:cstheme="minorHAnsi"/>
                <w:b/>
                <w:bCs/>
                <w:sz w:val="22"/>
                <w:szCs w:val="22"/>
              </w:rPr>
              <w:t> %</w:t>
            </w:r>
          </w:p>
        </w:tc>
        <w:tc>
          <w:tcPr>
            <w:tcW w:w="0" w:type="auto"/>
            <w:shd w:val="clear" w:color="auto" w:fill="auto"/>
          </w:tcPr>
          <w:p w14:paraId="0AED2A92" w14:textId="61AD02F4" w:rsidR="00107172" w:rsidRPr="000F7953" w:rsidRDefault="00107172"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74</w:t>
            </w:r>
            <w:r w:rsidR="005601CD" w:rsidRPr="000F7953">
              <w:rPr>
                <w:rFonts w:asciiTheme="minorHAnsi" w:hAnsiTheme="minorHAnsi" w:cstheme="minorHAnsi"/>
                <w:b/>
                <w:bCs/>
                <w:sz w:val="22"/>
                <w:szCs w:val="22"/>
              </w:rPr>
              <w:t> %</w:t>
            </w:r>
          </w:p>
        </w:tc>
        <w:tc>
          <w:tcPr>
            <w:tcW w:w="0" w:type="auto"/>
            <w:shd w:val="clear" w:color="auto" w:fill="auto"/>
          </w:tcPr>
          <w:p w14:paraId="4786E799" w14:textId="3E415046" w:rsidR="00107172" w:rsidRPr="000F7953" w:rsidRDefault="00107172"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76</w:t>
            </w:r>
            <w:r w:rsidR="005601CD" w:rsidRPr="000F7953">
              <w:rPr>
                <w:rFonts w:asciiTheme="minorHAnsi" w:hAnsiTheme="minorHAnsi" w:cstheme="minorHAnsi"/>
                <w:b/>
                <w:bCs/>
                <w:sz w:val="22"/>
                <w:szCs w:val="22"/>
              </w:rPr>
              <w:t> %</w:t>
            </w:r>
          </w:p>
        </w:tc>
        <w:tc>
          <w:tcPr>
            <w:tcW w:w="0" w:type="auto"/>
            <w:shd w:val="clear" w:color="auto" w:fill="auto"/>
          </w:tcPr>
          <w:p w14:paraId="6244BD95" w14:textId="32ED7293" w:rsidR="00107172" w:rsidRPr="000F7953" w:rsidRDefault="00107172"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79</w:t>
            </w:r>
            <w:r w:rsidR="005601CD" w:rsidRPr="000F7953">
              <w:rPr>
                <w:rFonts w:asciiTheme="minorHAnsi" w:hAnsiTheme="minorHAnsi" w:cstheme="minorHAnsi"/>
                <w:b/>
                <w:bCs/>
                <w:sz w:val="22"/>
                <w:szCs w:val="22"/>
              </w:rPr>
              <w:t> %</w:t>
            </w:r>
          </w:p>
        </w:tc>
        <w:tc>
          <w:tcPr>
            <w:tcW w:w="0" w:type="auto"/>
            <w:shd w:val="clear" w:color="auto" w:fill="auto"/>
          </w:tcPr>
          <w:p w14:paraId="0229FA6A" w14:textId="00C959DC" w:rsidR="00107172" w:rsidRPr="000F7953" w:rsidRDefault="00E631CF" w:rsidP="00567061">
            <w:pPr>
              <w:rPr>
                <w:rFonts w:asciiTheme="minorHAnsi" w:eastAsia="Aptos" w:hAnsiTheme="minorHAnsi" w:cstheme="minorHAnsi"/>
                <w:sz w:val="22"/>
                <w:szCs w:val="22"/>
              </w:rPr>
            </w:pPr>
            <w:r w:rsidRPr="000F7953">
              <w:rPr>
                <w:rFonts w:asciiTheme="minorHAnsi" w:hAnsiTheme="minorHAnsi" w:cstheme="minorHAnsi"/>
                <w:noProof/>
                <w:sz w:val="22"/>
                <w:szCs w:val="22"/>
              </w:rPr>
              <w:drawing>
                <wp:inline distT="0" distB="0" distL="0" distR="0" wp14:anchorId="685342E1" wp14:editId="7AE0C811">
                  <wp:extent cx="753745" cy="457200"/>
                  <wp:effectExtent l="0" t="0" r="0" b="0"/>
                  <wp:docPr id="96728814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53745" cy="457200"/>
                          </a:xfrm>
                          <a:prstGeom prst="rect">
                            <a:avLst/>
                          </a:prstGeom>
                          <a:noFill/>
                          <a:ln>
                            <a:noFill/>
                          </a:ln>
                        </pic:spPr>
                      </pic:pic>
                    </a:graphicData>
                  </a:graphic>
                </wp:inline>
              </w:drawing>
            </w:r>
          </w:p>
        </w:tc>
      </w:tr>
      <w:tr w:rsidR="00107172" w:rsidRPr="000F7953" w14:paraId="24779F6E" w14:textId="77777777" w:rsidTr="00770E5B">
        <w:trPr>
          <w:cantSplit/>
        </w:trPr>
        <w:tc>
          <w:tcPr>
            <w:tcW w:w="3417" w:type="dxa"/>
            <w:shd w:val="clear" w:color="auto" w:fill="auto"/>
          </w:tcPr>
          <w:p w14:paraId="678513E0" w14:textId="158972E6" w:rsidR="00107172" w:rsidRPr="000F7953" w:rsidRDefault="00107172" w:rsidP="00567061">
            <w:pPr>
              <w:rPr>
                <w:rFonts w:asciiTheme="minorHAnsi" w:eastAsia="Aptos" w:hAnsiTheme="minorHAnsi" w:cstheme="minorHAnsi"/>
                <w:sz w:val="22"/>
                <w:szCs w:val="22"/>
              </w:rPr>
            </w:pPr>
            <w:r w:rsidRPr="000F7953">
              <w:rPr>
                <w:rFonts w:asciiTheme="minorHAnsi" w:hAnsiTheme="minorHAnsi" w:cstheme="minorHAnsi"/>
                <w:sz w:val="22"/>
                <w:szCs w:val="22"/>
              </w:rPr>
              <w:t>Porcentaje de Partes que cuentan con un coordinador nacional no gubernamental.</w:t>
            </w:r>
          </w:p>
        </w:tc>
        <w:tc>
          <w:tcPr>
            <w:tcW w:w="0" w:type="auto"/>
            <w:shd w:val="clear" w:color="auto" w:fill="auto"/>
          </w:tcPr>
          <w:p w14:paraId="179AFD00" w14:textId="7BDFF9C5" w:rsidR="00107172" w:rsidRPr="000F7953" w:rsidRDefault="00107172"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69</w:t>
            </w:r>
            <w:r w:rsidR="005601CD" w:rsidRPr="000F7953">
              <w:rPr>
                <w:rFonts w:asciiTheme="minorHAnsi" w:hAnsiTheme="minorHAnsi" w:cstheme="minorHAnsi"/>
                <w:b/>
                <w:bCs/>
                <w:sz w:val="22"/>
                <w:szCs w:val="22"/>
              </w:rPr>
              <w:t> %</w:t>
            </w:r>
          </w:p>
        </w:tc>
        <w:tc>
          <w:tcPr>
            <w:tcW w:w="0" w:type="auto"/>
            <w:shd w:val="clear" w:color="auto" w:fill="auto"/>
          </w:tcPr>
          <w:p w14:paraId="2FE8B3DB" w14:textId="2CED960B" w:rsidR="00107172" w:rsidRPr="000F7953" w:rsidRDefault="00107172"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64</w:t>
            </w:r>
            <w:r w:rsidR="005601CD" w:rsidRPr="000F7953">
              <w:rPr>
                <w:rFonts w:asciiTheme="minorHAnsi" w:hAnsiTheme="minorHAnsi" w:cstheme="minorHAnsi"/>
                <w:b/>
                <w:bCs/>
                <w:sz w:val="22"/>
                <w:szCs w:val="22"/>
              </w:rPr>
              <w:t> %</w:t>
            </w:r>
          </w:p>
        </w:tc>
        <w:tc>
          <w:tcPr>
            <w:tcW w:w="0" w:type="auto"/>
            <w:shd w:val="clear" w:color="auto" w:fill="auto"/>
          </w:tcPr>
          <w:p w14:paraId="0D489DA5" w14:textId="2C690560" w:rsidR="00107172" w:rsidRPr="000F7953" w:rsidRDefault="00107172"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69</w:t>
            </w:r>
            <w:r w:rsidR="005601CD" w:rsidRPr="000F7953">
              <w:rPr>
                <w:rFonts w:asciiTheme="minorHAnsi" w:hAnsiTheme="minorHAnsi" w:cstheme="minorHAnsi"/>
                <w:b/>
                <w:bCs/>
                <w:sz w:val="22"/>
                <w:szCs w:val="22"/>
              </w:rPr>
              <w:t> %</w:t>
            </w:r>
          </w:p>
        </w:tc>
        <w:tc>
          <w:tcPr>
            <w:tcW w:w="0" w:type="auto"/>
            <w:shd w:val="clear" w:color="auto" w:fill="auto"/>
          </w:tcPr>
          <w:p w14:paraId="35D4888D" w14:textId="1F7FE9A6" w:rsidR="00107172" w:rsidRPr="000F7953" w:rsidRDefault="00107172"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68</w:t>
            </w:r>
            <w:r w:rsidR="005601CD" w:rsidRPr="000F7953">
              <w:rPr>
                <w:rFonts w:asciiTheme="minorHAnsi" w:hAnsiTheme="minorHAnsi" w:cstheme="minorHAnsi"/>
                <w:b/>
                <w:bCs/>
                <w:sz w:val="22"/>
                <w:szCs w:val="22"/>
              </w:rPr>
              <w:t> %</w:t>
            </w:r>
          </w:p>
        </w:tc>
        <w:tc>
          <w:tcPr>
            <w:tcW w:w="0" w:type="auto"/>
            <w:shd w:val="clear" w:color="auto" w:fill="auto"/>
          </w:tcPr>
          <w:p w14:paraId="3587593F" w14:textId="734EE181" w:rsidR="00107172" w:rsidRPr="000F7953" w:rsidRDefault="00CC756D" w:rsidP="00567061">
            <w:pPr>
              <w:rPr>
                <w:rFonts w:asciiTheme="minorHAnsi" w:eastAsia="Aptos" w:hAnsiTheme="minorHAnsi" w:cstheme="minorHAnsi"/>
                <w:sz w:val="22"/>
                <w:szCs w:val="22"/>
              </w:rPr>
            </w:pPr>
            <w:r w:rsidRPr="000F7953">
              <w:rPr>
                <w:rFonts w:asciiTheme="minorHAnsi" w:hAnsiTheme="minorHAnsi" w:cstheme="minorHAnsi"/>
                <w:noProof/>
                <w:sz w:val="22"/>
                <w:szCs w:val="22"/>
              </w:rPr>
              <w:drawing>
                <wp:inline distT="0" distB="0" distL="0" distR="0" wp14:anchorId="530D979E" wp14:editId="32F13EDD">
                  <wp:extent cx="712200" cy="432000"/>
                  <wp:effectExtent l="0" t="0" r="0" b="0"/>
                  <wp:docPr id="55473271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107172" w:rsidRPr="000F7953" w14:paraId="78419135" w14:textId="77777777" w:rsidTr="00770E5B">
        <w:trPr>
          <w:cantSplit/>
        </w:trPr>
        <w:tc>
          <w:tcPr>
            <w:tcW w:w="3417" w:type="dxa"/>
            <w:shd w:val="clear" w:color="auto" w:fill="auto"/>
          </w:tcPr>
          <w:p w14:paraId="1C2BF4C3" w14:textId="77777777" w:rsidR="00107172" w:rsidRPr="000F7953" w:rsidRDefault="00107172" w:rsidP="00567061">
            <w:pPr>
              <w:rPr>
                <w:rFonts w:asciiTheme="minorHAnsi" w:eastAsia="Aptos" w:hAnsiTheme="minorHAnsi" w:cstheme="minorHAnsi"/>
                <w:sz w:val="22"/>
                <w:szCs w:val="22"/>
              </w:rPr>
            </w:pPr>
            <w:r w:rsidRPr="000F7953">
              <w:rPr>
                <w:rFonts w:asciiTheme="minorHAnsi" w:hAnsiTheme="minorHAnsi" w:cstheme="minorHAnsi"/>
                <w:sz w:val="22"/>
                <w:szCs w:val="22"/>
              </w:rPr>
              <w:t>Porcentaje de Partes que han establecido planes de acción para la labor de CECoP en materia de humedales a escala nacional.</w:t>
            </w:r>
          </w:p>
        </w:tc>
        <w:tc>
          <w:tcPr>
            <w:tcW w:w="0" w:type="auto"/>
            <w:shd w:val="clear" w:color="auto" w:fill="auto"/>
          </w:tcPr>
          <w:p w14:paraId="5269696C" w14:textId="0F18AB2F" w:rsidR="00107172" w:rsidRPr="000F7953" w:rsidRDefault="00107172"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27</w:t>
            </w:r>
            <w:r w:rsidR="005601CD" w:rsidRPr="000F7953">
              <w:rPr>
                <w:rFonts w:asciiTheme="minorHAnsi" w:hAnsiTheme="minorHAnsi" w:cstheme="minorHAnsi"/>
                <w:b/>
                <w:bCs/>
                <w:sz w:val="22"/>
                <w:szCs w:val="22"/>
              </w:rPr>
              <w:t> %</w:t>
            </w:r>
          </w:p>
        </w:tc>
        <w:tc>
          <w:tcPr>
            <w:tcW w:w="0" w:type="auto"/>
            <w:shd w:val="clear" w:color="auto" w:fill="auto"/>
          </w:tcPr>
          <w:p w14:paraId="30FE2E13" w14:textId="03BDABCE" w:rsidR="00107172" w:rsidRPr="000F7953" w:rsidRDefault="00107172"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24</w:t>
            </w:r>
            <w:r w:rsidR="005601CD" w:rsidRPr="000F7953">
              <w:rPr>
                <w:rFonts w:asciiTheme="minorHAnsi" w:hAnsiTheme="minorHAnsi" w:cstheme="minorHAnsi"/>
                <w:b/>
                <w:bCs/>
                <w:sz w:val="22"/>
                <w:szCs w:val="22"/>
              </w:rPr>
              <w:t> %</w:t>
            </w:r>
          </w:p>
        </w:tc>
        <w:tc>
          <w:tcPr>
            <w:tcW w:w="0" w:type="auto"/>
            <w:shd w:val="clear" w:color="auto" w:fill="auto"/>
          </w:tcPr>
          <w:p w14:paraId="223A6094" w14:textId="7EEB2E69" w:rsidR="00107172" w:rsidRPr="000F7953" w:rsidRDefault="00107172"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35</w:t>
            </w:r>
            <w:r w:rsidR="005601CD" w:rsidRPr="000F7953">
              <w:rPr>
                <w:rFonts w:asciiTheme="minorHAnsi" w:hAnsiTheme="minorHAnsi" w:cstheme="minorHAnsi"/>
                <w:b/>
                <w:bCs/>
                <w:sz w:val="22"/>
                <w:szCs w:val="22"/>
              </w:rPr>
              <w:t> %</w:t>
            </w:r>
          </w:p>
        </w:tc>
        <w:tc>
          <w:tcPr>
            <w:tcW w:w="0" w:type="auto"/>
            <w:shd w:val="clear" w:color="auto" w:fill="auto"/>
          </w:tcPr>
          <w:p w14:paraId="3497C0CB" w14:textId="519F770C" w:rsidR="00107172" w:rsidRPr="000F7953" w:rsidRDefault="00107172"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32</w:t>
            </w:r>
            <w:r w:rsidR="005601CD" w:rsidRPr="000F7953">
              <w:rPr>
                <w:rFonts w:asciiTheme="minorHAnsi" w:hAnsiTheme="minorHAnsi" w:cstheme="minorHAnsi"/>
                <w:b/>
                <w:bCs/>
                <w:sz w:val="22"/>
                <w:szCs w:val="22"/>
              </w:rPr>
              <w:t> %</w:t>
            </w:r>
          </w:p>
        </w:tc>
        <w:tc>
          <w:tcPr>
            <w:tcW w:w="0" w:type="auto"/>
            <w:shd w:val="clear" w:color="auto" w:fill="auto"/>
          </w:tcPr>
          <w:p w14:paraId="3CCBF9F9" w14:textId="2C439912" w:rsidR="00107172" w:rsidRPr="000F7953" w:rsidRDefault="00D26562" w:rsidP="00567061">
            <w:pPr>
              <w:rPr>
                <w:rFonts w:asciiTheme="minorHAnsi" w:eastAsia="Aptos" w:hAnsiTheme="minorHAnsi" w:cstheme="minorHAnsi"/>
                <w:sz w:val="22"/>
                <w:szCs w:val="22"/>
              </w:rPr>
            </w:pPr>
            <w:r w:rsidRPr="000F7953">
              <w:rPr>
                <w:rFonts w:asciiTheme="minorHAnsi" w:hAnsiTheme="minorHAnsi" w:cstheme="minorHAnsi"/>
                <w:noProof/>
                <w:sz w:val="22"/>
                <w:szCs w:val="22"/>
              </w:rPr>
              <w:drawing>
                <wp:inline distT="0" distB="0" distL="0" distR="0" wp14:anchorId="73E3C1F8" wp14:editId="51169ED7">
                  <wp:extent cx="712200" cy="432000"/>
                  <wp:effectExtent l="0" t="0" r="0" b="0"/>
                  <wp:docPr id="190303359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107172" w:rsidRPr="000F7953" w14:paraId="1514D18B" w14:textId="77777777" w:rsidTr="00770E5B">
        <w:trPr>
          <w:cantSplit/>
        </w:trPr>
        <w:tc>
          <w:tcPr>
            <w:tcW w:w="3417" w:type="dxa"/>
            <w:shd w:val="clear" w:color="auto" w:fill="auto"/>
          </w:tcPr>
          <w:p w14:paraId="066C9099" w14:textId="52269311" w:rsidR="00107172" w:rsidRPr="000F7953" w:rsidRDefault="00107172" w:rsidP="00567061">
            <w:pPr>
              <w:rPr>
                <w:rFonts w:asciiTheme="minorHAnsi" w:eastAsia="Aptos" w:hAnsiTheme="minorHAnsi" w:cstheme="minorHAnsi"/>
                <w:sz w:val="22"/>
                <w:szCs w:val="22"/>
              </w:rPr>
            </w:pPr>
            <w:r w:rsidRPr="000F7953">
              <w:rPr>
                <w:rFonts w:asciiTheme="minorHAnsi" w:hAnsiTheme="minorHAnsi" w:cstheme="minorHAnsi"/>
                <w:sz w:val="22"/>
                <w:szCs w:val="22"/>
              </w:rPr>
              <w:t>Número de centros (centros para visitantes, centros de interpretación, centros educativos) establecidos en Humedales de Importancia Internacional.</w:t>
            </w:r>
          </w:p>
        </w:tc>
        <w:tc>
          <w:tcPr>
            <w:tcW w:w="0" w:type="auto"/>
            <w:shd w:val="clear" w:color="auto" w:fill="auto"/>
          </w:tcPr>
          <w:p w14:paraId="638791B4" w14:textId="77777777" w:rsidR="00107172" w:rsidRPr="000F7953" w:rsidRDefault="00107172"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636</w:t>
            </w:r>
          </w:p>
        </w:tc>
        <w:tc>
          <w:tcPr>
            <w:tcW w:w="0" w:type="auto"/>
            <w:shd w:val="clear" w:color="auto" w:fill="auto"/>
          </w:tcPr>
          <w:p w14:paraId="62ED9A27" w14:textId="49DE32DD" w:rsidR="00107172" w:rsidRPr="000F7953" w:rsidRDefault="00971D63"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747</w:t>
            </w:r>
          </w:p>
        </w:tc>
        <w:tc>
          <w:tcPr>
            <w:tcW w:w="0" w:type="auto"/>
            <w:shd w:val="clear" w:color="auto" w:fill="auto"/>
          </w:tcPr>
          <w:p w14:paraId="503FBC5C" w14:textId="6C52312F" w:rsidR="00107172" w:rsidRPr="000F7953" w:rsidRDefault="003657C9"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951</w:t>
            </w:r>
          </w:p>
        </w:tc>
        <w:tc>
          <w:tcPr>
            <w:tcW w:w="0" w:type="auto"/>
            <w:shd w:val="clear" w:color="auto" w:fill="auto"/>
          </w:tcPr>
          <w:p w14:paraId="3829E85E" w14:textId="2835BD4E" w:rsidR="00107172" w:rsidRPr="000F7953" w:rsidRDefault="00207F40"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968</w:t>
            </w:r>
          </w:p>
        </w:tc>
        <w:tc>
          <w:tcPr>
            <w:tcW w:w="0" w:type="auto"/>
            <w:shd w:val="clear" w:color="auto" w:fill="auto"/>
          </w:tcPr>
          <w:p w14:paraId="3AC43AE9" w14:textId="16AF7D9A" w:rsidR="00107172" w:rsidRPr="000F7953" w:rsidRDefault="00806C5F" w:rsidP="00567061">
            <w:pPr>
              <w:rPr>
                <w:rFonts w:asciiTheme="minorHAnsi" w:eastAsia="Aptos" w:hAnsiTheme="minorHAnsi" w:cstheme="minorHAnsi"/>
                <w:sz w:val="22"/>
                <w:szCs w:val="22"/>
              </w:rPr>
            </w:pPr>
            <w:r w:rsidRPr="000F7953">
              <w:rPr>
                <w:rFonts w:asciiTheme="minorHAnsi" w:hAnsiTheme="minorHAnsi" w:cstheme="minorHAnsi"/>
                <w:noProof/>
                <w:sz w:val="22"/>
                <w:szCs w:val="22"/>
              </w:rPr>
              <w:drawing>
                <wp:inline distT="0" distB="0" distL="0" distR="0" wp14:anchorId="471655BA" wp14:editId="5F24306F">
                  <wp:extent cx="712200" cy="432000"/>
                  <wp:effectExtent l="0" t="0" r="0" b="0"/>
                  <wp:docPr id="180730718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107172" w:rsidRPr="000F7953" w14:paraId="124709C1" w14:textId="77777777" w:rsidTr="00770E5B">
        <w:trPr>
          <w:cantSplit/>
        </w:trPr>
        <w:tc>
          <w:tcPr>
            <w:tcW w:w="3417" w:type="dxa"/>
            <w:shd w:val="clear" w:color="auto" w:fill="auto"/>
          </w:tcPr>
          <w:p w14:paraId="5AB76D41" w14:textId="623C951A" w:rsidR="00107172" w:rsidRPr="000F7953" w:rsidRDefault="00107172" w:rsidP="00567061">
            <w:pPr>
              <w:rPr>
                <w:rFonts w:asciiTheme="minorHAnsi" w:eastAsia="Aptos" w:hAnsiTheme="minorHAnsi" w:cstheme="minorHAnsi"/>
                <w:sz w:val="22"/>
                <w:szCs w:val="22"/>
              </w:rPr>
            </w:pPr>
            <w:r w:rsidRPr="000F7953">
              <w:rPr>
                <w:rFonts w:asciiTheme="minorHAnsi" w:hAnsiTheme="minorHAnsi" w:cstheme="minorHAnsi"/>
                <w:sz w:val="22"/>
                <w:szCs w:val="22"/>
              </w:rPr>
              <w:t>Número de centros establecidos en otros humedales.</w:t>
            </w:r>
          </w:p>
        </w:tc>
        <w:tc>
          <w:tcPr>
            <w:tcW w:w="0" w:type="auto"/>
            <w:shd w:val="clear" w:color="auto" w:fill="auto"/>
          </w:tcPr>
          <w:p w14:paraId="45AD9EA4" w14:textId="77777777" w:rsidR="00107172" w:rsidRPr="000F7953" w:rsidRDefault="00107172"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309</w:t>
            </w:r>
          </w:p>
        </w:tc>
        <w:tc>
          <w:tcPr>
            <w:tcW w:w="0" w:type="auto"/>
            <w:shd w:val="clear" w:color="auto" w:fill="auto"/>
          </w:tcPr>
          <w:p w14:paraId="30ABC794" w14:textId="3FF8897B" w:rsidR="00107172" w:rsidRPr="000F7953" w:rsidRDefault="00AB7E63"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349</w:t>
            </w:r>
          </w:p>
        </w:tc>
        <w:tc>
          <w:tcPr>
            <w:tcW w:w="0" w:type="auto"/>
            <w:shd w:val="clear" w:color="auto" w:fill="auto"/>
          </w:tcPr>
          <w:p w14:paraId="491455FA" w14:textId="3CBF19D0" w:rsidR="00107172" w:rsidRPr="000F7953" w:rsidRDefault="008B05D7"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520</w:t>
            </w:r>
          </w:p>
        </w:tc>
        <w:tc>
          <w:tcPr>
            <w:tcW w:w="0" w:type="auto"/>
            <w:shd w:val="clear" w:color="auto" w:fill="auto"/>
          </w:tcPr>
          <w:p w14:paraId="2C33302A" w14:textId="0A4E0A25" w:rsidR="00107172" w:rsidRPr="000F7953" w:rsidRDefault="00E222B5"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537</w:t>
            </w:r>
          </w:p>
        </w:tc>
        <w:tc>
          <w:tcPr>
            <w:tcW w:w="0" w:type="auto"/>
            <w:shd w:val="clear" w:color="auto" w:fill="auto"/>
          </w:tcPr>
          <w:p w14:paraId="42CB74A7" w14:textId="595A2338" w:rsidR="00107172" w:rsidRPr="000F7953" w:rsidRDefault="004C3E9C" w:rsidP="00567061">
            <w:pPr>
              <w:rPr>
                <w:rFonts w:asciiTheme="minorHAnsi" w:eastAsia="Aptos" w:hAnsiTheme="minorHAnsi" w:cstheme="minorHAnsi"/>
                <w:sz w:val="22"/>
                <w:szCs w:val="22"/>
              </w:rPr>
            </w:pPr>
            <w:r w:rsidRPr="000F7953">
              <w:rPr>
                <w:rFonts w:asciiTheme="minorHAnsi" w:hAnsiTheme="minorHAnsi" w:cstheme="minorHAnsi"/>
                <w:noProof/>
                <w:sz w:val="22"/>
                <w:szCs w:val="22"/>
              </w:rPr>
              <w:drawing>
                <wp:inline distT="0" distB="0" distL="0" distR="0" wp14:anchorId="165A203A" wp14:editId="4148DD99">
                  <wp:extent cx="712200" cy="432000"/>
                  <wp:effectExtent l="0" t="0" r="0" b="0"/>
                  <wp:docPr id="49546797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770E5B" w:rsidRPr="000F7953" w14:paraId="06A6F599" w14:textId="77777777" w:rsidTr="00770E5B">
        <w:trPr>
          <w:cantSplit/>
        </w:trPr>
        <w:tc>
          <w:tcPr>
            <w:tcW w:w="3417" w:type="dxa"/>
            <w:shd w:val="clear" w:color="auto" w:fill="auto"/>
          </w:tcPr>
          <w:p w14:paraId="0B448CCB" w14:textId="3A25BC06" w:rsidR="0057784F" w:rsidRPr="000F7953" w:rsidRDefault="00025814" w:rsidP="00025814">
            <w:pPr>
              <w:rPr>
                <w:rFonts w:asciiTheme="minorHAnsi" w:eastAsia="Aptos" w:hAnsiTheme="minorHAnsi" w:cstheme="minorHAnsi"/>
                <w:sz w:val="22"/>
                <w:szCs w:val="22"/>
              </w:rPr>
            </w:pPr>
            <w:r w:rsidRPr="000F7953">
              <w:rPr>
                <w:rFonts w:asciiTheme="minorHAnsi" w:hAnsiTheme="minorHAnsi" w:cstheme="minorHAnsi"/>
                <w:sz w:val="22"/>
                <w:szCs w:val="22"/>
              </w:rPr>
              <w:t>Número de actividades en relación con el Día Mundial de los Humedales comunicadas a la Secretaría.</w:t>
            </w:r>
          </w:p>
          <w:p w14:paraId="037B18C5" w14:textId="5FD9FA2C" w:rsidR="009A65AF" w:rsidRPr="000F7953" w:rsidRDefault="0057784F" w:rsidP="0057784F">
            <w:pPr>
              <w:rPr>
                <w:rFonts w:asciiTheme="minorHAnsi" w:eastAsia="Aptos" w:hAnsiTheme="minorHAnsi" w:cstheme="minorHAnsi"/>
                <w:sz w:val="22"/>
                <w:szCs w:val="22"/>
              </w:rPr>
            </w:pPr>
            <w:r w:rsidRPr="000F7953">
              <w:rPr>
                <w:rFonts w:asciiTheme="minorHAnsi" w:hAnsiTheme="minorHAnsi" w:cstheme="minorHAnsi"/>
                <w:sz w:val="22"/>
                <w:szCs w:val="22"/>
              </w:rPr>
              <w:t xml:space="preserve">Fuente: Sitio web del Día Mundial de los Humedales  </w:t>
            </w:r>
          </w:p>
        </w:tc>
        <w:tc>
          <w:tcPr>
            <w:tcW w:w="0" w:type="auto"/>
            <w:shd w:val="clear" w:color="auto" w:fill="auto"/>
          </w:tcPr>
          <w:p w14:paraId="2471FCBC" w14:textId="3B5DC9FA" w:rsidR="009A65AF" w:rsidRPr="000F7953" w:rsidRDefault="001F0D25"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1</w:t>
            </w:r>
            <w:r w:rsidR="00AF53D9" w:rsidRPr="000F7953">
              <w:rPr>
                <w:rFonts w:asciiTheme="minorHAnsi" w:hAnsiTheme="minorHAnsi" w:cstheme="minorHAnsi"/>
                <w:b/>
                <w:bCs/>
                <w:sz w:val="22"/>
                <w:szCs w:val="22"/>
              </w:rPr>
              <w:t> </w:t>
            </w:r>
            <w:r w:rsidRPr="000F7953">
              <w:rPr>
                <w:rFonts w:asciiTheme="minorHAnsi" w:hAnsiTheme="minorHAnsi" w:cstheme="minorHAnsi"/>
                <w:b/>
                <w:bCs/>
                <w:sz w:val="22"/>
                <w:szCs w:val="22"/>
              </w:rPr>
              <w:t>349</w:t>
            </w:r>
          </w:p>
        </w:tc>
        <w:tc>
          <w:tcPr>
            <w:tcW w:w="0" w:type="auto"/>
            <w:shd w:val="clear" w:color="auto" w:fill="auto"/>
          </w:tcPr>
          <w:p w14:paraId="43F9707E" w14:textId="418F3185" w:rsidR="009A65AF" w:rsidRPr="000F7953" w:rsidRDefault="005B4428"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1</w:t>
            </w:r>
            <w:r w:rsidR="00AF53D9" w:rsidRPr="000F7953">
              <w:rPr>
                <w:rFonts w:asciiTheme="minorHAnsi" w:hAnsiTheme="minorHAnsi" w:cstheme="minorHAnsi"/>
                <w:b/>
                <w:bCs/>
                <w:sz w:val="22"/>
                <w:szCs w:val="22"/>
              </w:rPr>
              <w:t> </w:t>
            </w:r>
            <w:r w:rsidRPr="000F7953">
              <w:rPr>
                <w:rFonts w:asciiTheme="minorHAnsi" w:hAnsiTheme="minorHAnsi" w:cstheme="minorHAnsi"/>
                <w:b/>
                <w:bCs/>
                <w:sz w:val="22"/>
                <w:szCs w:val="22"/>
              </w:rPr>
              <w:t>507</w:t>
            </w:r>
          </w:p>
        </w:tc>
        <w:tc>
          <w:tcPr>
            <w:tcW w:w="0" w:type="auto"/>
            <w:shd w:val="clear" w:color="auto" w:fill="auto"/>
          </w:tcPr>
          <w:p w14:paraId="535D7474" w14:textId="13BEABC6" w:rsidR="009A65AF" w:rsidRPr="000F7953" w:rsidRDefault="005C46D3"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1</w:t>
            </w:r>
            <w:r w:rsidR="00AF53D9" w:rsidRPr="000F7953">
              <w:rPr>
                <w:rFonts w:asciiTheme="minorHAnsi" w:hAnsiTheme="minorHAnsi" w:cstheme="minorHAnsi"/>
                <w:b/>
                <w:bCs/>
                <w:sz w:val="22"/>
                <w:szCs w:val="22"/>
              </w:rPr>
              <w:t> </w:t>
            </w:r>
            <w:r w:rsidRPr="000F7953">
              <w:rPr>
                <w:rFonts w:asciiTheme="minorHAnsi" w:hAnsiTheme="minorHAnsi" w:cstheme="minorHAnsi"/>
                <w:b/>
                <w:bCs/>
                <w:sz w:val="22"/>
                <w:szCs w:val="22"/>
              </w:rPr>
              <w:t>591</w:t>
            </w:r>
          </w:p>
        </w:tc>
        <w:tc>
          <w:tcPr>
            <w:tcW w:w="0" w:type="auto"/>
            <w:shd w:val="clear" w:color="auto" w:fill="auto"/>
          </w:tcPr>
          <w:p w14:paraId="43496872" w14:textId="204B8DE6" w:rsidR="009A65AF" w:rsidRPr="000F7953" w:rsidRDefault="00777F9A"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1</w:t>
            </w:r>
            <w:r w:rsidR="00AF53D9" w:rsidRPr="000F7953">
              <w:rPr>
                <w:rFonts w:asciiTheme="minorHAnsi" w:hAnsiTheme="minorHAnsi" w:cstheme="minorHAnsi"/>
                <w:b/>
                <w:bCs/>
                <w:sz w:val="22"/>
                <w:szCs w:val="22"/>
              </w:rPr>
              <w:t> </w:t>
            </w:r>
            <w:r w:rsidRPr="000F7953">
              <w:rPr>
                <w:rFonts w:asciiTheme="minorHAnsi" w:hAnsiTheme="minorHAnsi" w:cstheme="minorHAnsi"/>
                <w:b/>
                <w:bCs/>
                <w:sz w:val="22"/>
                <w:szCs w:val="22"/>
              </w:rPr>
              <w:t>975</w:t>
            </w:r>
          </w:p>
        </w:tc>
        <w:tc>
          <w:tcPr>
            <w:tcW w:w="0" w:type="auto"/>
            <w:shd w:val="clear" w:color="auto" w:fill="auto"/>
          </w:tcPr>
          <w:p w14:paraId="7238C33D" w14:textId="42D80EC9" w:rsidR="009A65AF" w:rsidRPr="000F7953" w:rsidRDefault="00FD2206" w:rsidP="00567061">
            <w:pPr>
              <w:rPr>
                <w:rFonts w:asciiTheme="minorHAnsi" w:hAnsiTheme="minorHAnsi" w:cstheme="minorHAnsi"/>
                <w:sz w:val="22"/>
                <w:szCs w:val="22"/>
              </w:rPr>
            </w:pPr>
            <w:r w:rsidRPr="000F7953">
              <w:rPr>
                <w:rFonts w:asciiTheme="minorHAnsi" w:hAnsiTheme="minorHAnsi" w:cstheme="minorHAnsi"/>
                <w:noProof/>
                <w:sz w:val="22"/>
                <w:szCs w:val="22"/>
              </w:rPr>
              <w:drawing>
                <wp:inline distT="0" distB="0" distL="0" distR="0" wp14:anchorId="360E0150" wp14:editId="110C7518">
                  <wp:extent cx="712800" cy="432000"/>
                  <wp:effectExtent l="0" t="0" r="0" b="0"/>
                  <wp:docPr id="10193129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712800" cy="432000"/>
                          </a:xfrm>
                          <a:prstGeom prst="rect">
                            <a:avLst/>
                          </a:prstGeom>
                          <a:noFill/>
                          <a:ln>
                            <a:noFill/>
                          </a:ln>
                        </pic:spPr>
                      </pic:pic>
                    </a:graphicData>
                  </a:graphic>
                </wp:inline>
              </w:drawing>
            </w:r>
          </w:p>
        </w:tc>
      </w:tr>
      <w:tr w:rsidR="00770E5B" w:rsidRPr="000F7953" w14:paraId="2F5D7A4A" w14:textId="77777777" w:rsidTr="00770E5B">
        <w:trPr>
          <w:cantSplit/>
        </w:trPr>
        <w:tc>
          <w:tcPr>
            <w:tcW w:w="3417" w:type="dxa"/>
            <w:shd w:val="clear" w:color="auto" w:fill="auto"/>
          </w:tcPr>
          <w:p w14:paraId="4778ED6E" w14:textId="77AEE56F" w:rsidR="00595358" w:rsidRPr="000F7953" w:rsidRDefault="002560B3" w:rsidP="002560B3">
            <w:pPr>
              <w:rPr>
                <w:rFonts w:asciiTheme="minorHAnsi" w:eastAsia="Aptos" w:hAnsiTheme="minorHAnsi" w:cstheme="minorHAnsi"/>
                <w:sz w:val="22"/>
                <w:szCs w:val="22"/>
              </w:rPr>
            </w:pPr>
            <w:r w:rsidRPr="000F7953">
              <w:rPr>
                <w:rFonts w:asciiTheme="minorHAnsi" w:hAnsiTheme="minorHAnsi" w:cstheme="minorHAnsi"/>
                <w:sz w:val="22"/>
                <w:szCs w:val="22"/>
              </w:rPr>
              <w:t>Número de visitas al sitio web del Día Mundial de los Humedales (solo para los años en que se celebra la COP, no para todo el trienio)</w:t>
            </w:r>
          </w:p>
          <w:p w14:paraId="5E2B1E6E" w14:textId="10953758" w:rsidR="002560B3" w:rsidRPr="000F7953" w:rsidRDefault="002560B3" w:rsidP="002560B3">
            <w:pPr>
              <w:rPr>
                <w:rFonts w:asciiTheme="minorHAnsi" w:eastAsia="Aptos" w:hAnsiTheme="minorHAnsi" w:cstheme="minorHAnsi"/>
                <w:sz w:val="22"/>
                <w:szCs w:val="22"/>
              </w:rPr>
            </w:pPr>
            <w:r w:rsidRPr="000F7953">
              <w:rPr>
                <w:rFonts w:asciiTheme="minorHAnsi" w:hAnsiTheme="minorHAnsi" w:cstheme="minorHAnsi"/>
                <w:sz w:val="22"/>
                <w:szCs w:val="22"/>
              </w:rPr>
              <w:t xml:space="preserve">Fuente: Google analytics  </w:t>
            </w:r>
          </w:p>
        </w:tc>
        <w:tc>
          <w:tcPr>
            <w:tcW w:w="0" w:type="auto"/>
            <w:shd w:val="clear" w:color="auto" w:fill="auto"/>
          </w:tcPr>
          <w:p w14:paraId="373B48EA" w14:textId="5575651B" w:rsidR="002560B3" w:rsidRPr="000F7953" w:rsidRDefault="00B76434" w:rsidP="00567061">
            <w:pPr>
              <w:jc w:val="center"/>
              <w:rPr>
                <w:rFonts w:asciiTheme="minorHAnsi" w:eastAsia="Aptos" w:hAnsiTheme="minorHAnsi" w:cstheme="minorHAnsi"/>
                <w:sz w:val="22"/>
                <w:szCs w:val="22"/>
              </w:rPr>
            </w:pPr>
            <w:r w:rsidRPr="000F7953">
              <w:rPr>
                <w:rFonts w:asciiTheme="minorHAnsi" w:hAnsiTheme="minorHAnsi" w:cstheme="minorHAnsi"/>
                <w:sz w:val="22"/>
                <w:szCs w:val="22"/>
              </w:rPr>
              <w:t>58</w:t>
            </w:r>
            <w:r w:rsidR="00AF53D9" w:rsidRPr="000F7953">
              <w:rPr>
                <w:rFonts w:asciiTheme="minorHAnsi" w:hAnsiTheme="minorHAnsi" w:cstheme="minorHAnsi"/>
                <w:sz w:val="22"/>
                <w:szCs w:val="22"/>
              </w:rPr>
              <w:t> </w:t>
            </w:r>
            <w:r w:rsidRPr="000F7953">
              <w:rPr>
                <w:rFonts w:asciiTheme="minorHAnsi" w:hAnsiTheme="minorHAnsi" w:cstheme="minorHAnsi"/>
                <w:sz w:val="22"/>
                <w:szCs w:val="22"/>
              </w:rPr>
              <w:t>566</w:t>
            </w:r>
          </w:p>
        </w:tc>
        <w:tc>
          <w:tcPr>
            <w:tcW w:w="0" w:type="auto"/>
            <w:shd w:val="clear" w:color="auto" w:fill="auto"/>
          </w:tcPr>
          <w:p w14:paraId="78690282" w14:textId="135D2076" w:rsidR="002560B3" w:rsidRPr="000F7953" w:rsidRDefault="00FA355F"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200</w:t>
            </w:r>
            <w:r w:rsidR="00AF53D9" w:rsidRPr="000F7953">
              <w:rPr>
                <w:rFonts w:asciiTheme="minorHAnsi" w:hAnsiTheme="minorHAnsi" w:cstheme="minorHAnsi"/>
                <w:b/>
                <w:bCs/>
                <w:sz w:val="22"/>
                <w:szCs w:val="22"/>
              </w:rPr>
              <w:t> </w:t>
            </w:r>
            <w:r w:rsidRPr="000F7953">
              <w:rPr>
                <w:rFonts w:asciiTheme="minorHAnsi" w:hAnsiTheme="minorHAnsi" w:cstheme="minorHAnsi"/>
                <w:b/>
                <w:bCs/>
                <w:sz w:val="22"/>
                <w:szCs w:val="22"/>
              </w:rPr>
              <w:t>000</w:t>
            </w:r>
          </w:p>
        </w:tc>
        <w:tc>
          <w:tcPr>
            <w:tcW w:w="0" w:type="auto"/>
            <w:shd w:val="clear" w:color="auto" w:fill="auto"/>
          </w:tcPr>
          <w:p w14:paraId="6F923CB2" w14:textId="4CFD752D" w:rsidR="002560B3" w:rsidRPr="000F7953" w:rsidRDefault="00CB17FB"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73</w:t>
            </w:r>
            <w:r w:rsidR="00AF53D9" w:rsidRPr="000F7953">
              <w:rPr>
                <w:rFonts w:asciiTheme="minorHAnsi" w:hAnsiTheme="minorHAnsi" w:cstheme="minorHAnsi"/>
                <w:b/>
                <w:bCs/>
                <w:sz w:val="22"/>
                <w:szCs w:val="22"/>
              </w:rPr>
              <w:t> </w:t>
            </w:r>
            <w:r w:rsidRPr="000F7953">
              <w:rPr>
                <w:rFonts w:asciiTheme="minorHAnsi" w:hAnsiTheme="minorHAnsi" w:cstheme="minorHAnsi"/>
                <w:b/>
                <w:bCs/>
                <w:sz w:val="22"/>
                <w:szCs w:val="22"/>
              </w:rPr>
              <w:t>000</w:t>
            </w:r>
          </w:p>
        </w:tc>
        <w:tc>
          <w:tcPr>
            <w:tcW w:w="0" w:type="auto"/>
            <w:shd w:val="clear" w:color="auto" w:fill="auto"/>
          </w:tcPr>
          <w:p w14:paraId="582F6216" w14:textId="34F0B175" w:rsidR="002560B3" w:rsidRPr="000F7953" w:rsidRDefault="004B776F"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90</w:t>
            </w:r>
            <w:r w:rsidR="00AF53D9" w:rsidRPr="000F7953">
              <w:rPr>
                <w:rFonts w:asciiTheme="minorHAnsi" w:hAnsiTheme="minorHAnsi" w:cstheme="minorHAnsi"/>
                <w:b/>
                <w:bCs/>
                <w:sz w:val="22"/>
                <w:szCs w:val="22"/>
              </w:rPr>
              <w:t> </w:t>
            </w:r>
            <w:r w:rsidRPr="000F7953">
              <w:rPr>
                <w:rFonts w:asciiTheme="minorHAnsi" w:hAnsiTheme="minorHAnsi" w:cstheme="minorHAnsi"/>
                <w:b/>
                <w:bCs/>
                <w:sz w:val="22"/>
                <w:szCs w:val="22"/>
              </w:rPr>
              <w:t>000</w:t>
            </w:r>
          </w:p>
        </w:tc>
        <w:tc>
          <w:tcPr>
            <w:tcW w:w="0" w:type="auto"/>
            <w:shd w:val="clear" w:color="auto" w:fill="auto"/>
          </w:tcPr>
          <w:p w14:paraId="2CD2D5B6" w14:textId="63C9DFCC" w:rsidR="002560B3" w:rsidRPr="000F7953" w:rsidRDefault="00A73807" w:rsidP="00567061">
            <w:pPr>
              <w:rPr>
                <w:rFonts w:asciiTheme="minorHAnsi" w:hAnsiTheme="minorHAnsi" w:cstheme="minorHAnsi"/>
                <w:sz w:val="22"/>
                <w:szCs w:val="22"/>
              </w:rPr>
            </w:pPr>
            <w:r w:rsidRPr="000F7953">
              <w:rPr>
                <w:rFonts w:asciiTheme="minorHAnsi" w:hAnsiTheme="minorHAnsi" w:cstheme="minorHAnsi"/>
                <w:noProof/>
                <w:sz w:val="22"/>
                <w:szCs w:val="22"/>
              </w:rPr>
              <w:drawing>
                <wp:inline distT="0" distB="0" distL="0" distR="0" wp14:anchorId="276F9DEF" wp14:editId="008A4216">
                  <wp:extent cx="712800" cy="432000"/>
                  <wp:effectExtent l="0" t="0" r="0" b="0"/>
                  <wp:docPr id="2610498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12800" cy="432000"/>
                          </a:xfrm>
                          <a:prstGeom prst="rect">
                            <a:avLst/>
                          </a:prstGeom>
                          <a:noFill/>
                          <a:ln>
                            <a:noFill/>
                          </a:ln>
                        </pic:spPr>
                      </pic:pic>
                    </a:graphicData>
                  </a:graphic>
                </wp:inline>
              </w:drawing>
            </w:r>
          </w:p>
        </w:tc>
      </w:tr>
      <w:tr w:rsidR="00823E4E" w:rsidRPr="000F7953" w14:paraId="03E3B1A9" w14:textId="77777777" w:rsidTr="00770E5B">
        <w:trPr>
          <w:cantSplit/>
        </w:trPr>
        <w:tc>
          <w:tcPr>
            <w:tcW w:w="3417" w:type="dxa"/>
            <w:shd w:val="clear" w:color="auto" w:fill="auto"/>
          </w:tcPr>
          <w:p w14:paraId="379C3695" w14:textId="77777777" w:rsidR="003D1648" w:rsidRPr="000F7953" w:rsidRDefault="003D1648" w:rsidP="00D203EE">
            <w:pPr>
              <w:textAlignment w:val="baseline"/>
              <w:rPr>
                <w:rFonts w:asciiTheme="minorHAnsi" w:hAnsiTheme="minorHAnsi" w:cstheme="minorHAnsi"/>
                <w:sz w:val="22"/>
                <w:szCs w:val="22"/>
              </w:rPr>
            </w:pPr>
            <w:r w:rsidRPr="000F7953">
              <w:rPr>
                <w:rFonts w:asciiTheme="minorHAnsi" w:hAnsiTheme="minorHAnsi" w:cstheme="minorHAnsi"/>
                <w:sz w:val="22"/>
                <w:szCs w:val="22"/>
              </w:rPr>
              <w:t>Número de enlaces al Día Mundial de los Humedales en las redes sociales.</w:t>
            </w:r>
          </w:p>
          <w:p w14:paraId="0CFBA17A" w14:textId="0984474F" w:rsidR="00823E4E" w:rsidRPr="000F7953" w:rsidRDefault="003D1648" w:rsidP="00770E5B">
            <w:pPr>
              <w:textAlignment w:val="baseline"/>
              <w:rPr>
                <w:rFonts w:asciiTheme="minorHAnsi" w:eastAsia="Aptos" w:hAnsiTheme="minorHAnsi" w:cstheme="minorHAnsi"/>
                <w:sz w:val="22"/>
                <w:szCs w:val="22"/>
              </w:rPr>
            </w:pPr>
            <w:r w:rsidRPr="000F7953">
              <w:rPr>
                <w:rFonts w:asciiTheme="minorHAnsi" w:hAnsiTheme="minorHAnsi" w:cstheme="minorHAnsi"/>
                <w:sz w:val="22"/>
                <w:szCs w:val="22"/>
              </w:rPr>
              <w:t>(los datos presentados corresponden a la presencia en las redes sociales (Facebook, Twitter/X, Instagram y YouTube) según Meltwater)</w:t>
            </w:r>
          </w:p>
        </w:tc>
        <w:tc>
          <w:tcPr>
            <w:tcW w:w="0" w:type="auto"/>
            <w:shd w:val="clear" w:color="auto" w:fill="auto"/>
          </w:tcPr>
          <w:p w14:paraId="2C6E6C36" w14:textId="21C9193A" w:rsidR="00823E4E" w:rsidRPr="000F7953" w:rsidRDefault="00E54763" w:rsidP="00567061">
            <w:pPr>
              <w:jc w:val="center"/>
              <w:rPr>
                <w:rFonts w:asciiTheme="minorHAnsi" w:eastAsia="Aptos" w:hAnsiTheme="minorHAnsi" w:cstheme="minorHAnsi"/>
                <w:b/>
                <w:bCs/>
                <w:sz w:val="22"/>
                <w:szCs w:val="22"/>
              </w:rPr>
            </w:pPr>
            <w:r w:rsidRPr="000F7953">
              <w:rPr>
                <w:rFonts w:asciiTheme="minorHAnsi" w:hAnsiTheme="minorHAnsi" w:cstheme="minorHAnsi"/>
                <w:sz w:val="22"/>
                <w:szCs w:val="22"/>
              </w:rPr>
              <w:t>496 millones*</w:t>
            </w:r>
          </w:p>
        </w:tc>
        <w:tc>
          <w:tcPr>
            <w:tcW w:w="0" w:type="auto"/>
            <w:shd w:val="clear" w:color="auto" w:fill="auto"/>
          </w:tcPr>
          <w:p w14:paraId="233A1183" w14:textId="71BF8CC2" w:rsidR="00823E4E" w:rsidRPr="000F7953" w:rsidRDefault="000F7182"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w:t>
            </w:r>
          </w:p>
        </w:tc>
        <w:tc>
          <w:tcPr>
            <w:tcW w:w="0" w:type="auto"/>
            <w:shd w:val="clear" w:color="auto" w:fill="auto"/>
          </w:tcPr>
          <w:p w14:paraId="05BE836B" w14:textId="03CF7E3E" w:rsidR="00823E4E" w:rsidRPr="000F7953" w:rsidRDefault="00550FCA"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3 500 millones</w:t>
            </w:r>
          </w:p>
        </w:tc>
        <w:tc>
          <w:tcPr>
            <w:tcW w:w="0" w:type="auto"/>
            <w:shd w:val="clear" w:color="auto" w:fill="auto"/>
          </w:tcPr>
          <w:p w14:paraId="78C45584" w14:textId="6C5D855E" w:rsidR="00823E4E" w:rsidRPr="000F7953" w:rsidRDefault="00597226" w:rsidP="00567061">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6 720 millones</w:t>
            </w:r>
          </w:p>
        </w:tc>
        <w:tc>
          <w:tcPr>
            <w:tcW w:w="0" w:type="auto"/>
            <w:shd w:val="clear" w:color="auto" w:fill="auto"/>
          </w:tcPr>
          <w:p w14:paraId="1F11AB41" w14:textId="2D3D6516" w:rsidR="00823E4E" w:rsidRPr="000F7953" w:rsidRDefault="00A76BCC" w:rsidP="00567061">
            <w:pPr>
              <w:rPr>
                <w:rFonts w:asciiTheme="minorHAnsi" w:hAnsiTheme="minorHAnsi" w:cstheme="minorHAnsi"/>
                <w:sz w:val="22"/>
                <w:szCs w:val="22"/>
              </w:rPr>
            </w:pPr>
            <w:r w:rsidRPr="000F7953">
              <w:rPr>
                <w:rFonts w:asciiTheme="minorHAnsi" w:hAnsiTheme="minorHAnsi" w:cstheme="minorHAnsi"/>
                <w:noProof/>
                <w:sz w:val="22"/>
                <w:szCs w:val="22"/>
              </w:rPr>
              <w:drawing>
                <wp:inline distT="0" distB="0" distL="0" distR="0" wp14:anchorId="778263C0" wp14:editId="0D12A8AA">
                  <wp:extent cx="568800" cy="432000"/>
                  <wp:effectExtent l="0" t="0" r="0" b="0"/>
                  <wp:docPr id="13374833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68800" cy="432000"/>
                          </a:xfrm>
                          <a:prstGeom prst="rect">
                            <a:avLst/>
                          </a:prstGeom>
                          <a:noFill/>
                          <a:ln>
                            <a:noFill/>
                          </a:ln>
                        </pic:spPr>
                      </pic:pic>
                    </a:graphicData>
                  </a:graphic>
                </wp:inline>
              </w:drawing>
            </w:r>
          </w:p>
        </w:tc>
      </w:tr>
    </w:tbl>
    <w:bookmarkEnd w:id="3"/>
    <w:p w14:paraId="119C0674" w14:textId="37B92EE8" w:rsidR="00266990" w:rsidRPr="000F7953" w:rsidRDefault="00266990" w:rsidP="006C3109">
      <w:pPr>
        <w:rPr>
          <w:rFonts w:asciiTheme="minorHAnsi" w:hAnsiTheme="minorHAnsi" w:cstheme="minorHAnsi"/>
          <w:sz w:val="22"/>
          <w:szCs w:val="22"/>
        </w:rPr>
      </w:pPr>
      <w:r w:rsidRPr="000F7953">
        <w:rPr>
          <w:rFonts w:asciiTheme="minorHAnsi" w:hAnsiTheme="minorHAnsi" w:cstheme="minorHAnsi"/>
          <w:sz w:val="22"/>
          <w:szCs w:val="22"/>
        </w:rPr>
        <w:t xml:space="preserve">* el método para garantizar la trazabilidad de la presencia en las redes sociales cambió a partir de 2019. Se presentan los datos para COP14 y COP15 con respecto a una línea de base de 2019, utilizando Meltwater. </w:t>
      </w:r>
    </w:p>
    <w:p w14:paraId="615A6658" w14:textId="4F8795A4" w:rsidR="006C3109" w:rsidRPr="000F7953" w:rsidRDefault="00C32CF1" w:rsidP="006C3109">
      <w:pPr>
        <w:rPr>
          <w:rFonts w:asciiTheme="minorHAnsi" w:hAnsiTheme="minorHAnsi" w:cstheme="minorHAnsi"/>
          <w:sz w:val="22"/>
          <w:szCs w:val="22"/>
        </w:rPr>
      </w:pPr>
      <w:r w:rsidRPr="000F7953">
        <w:rPr>
          <w:rFonts w:asciiTheme="minorHAnsi" w:hAnsiTheme="minorHAnsi" w:cstheme="minorHAnsi"/>
          <w:sz w:val="22"/>
          <w:szCs w:val="22"/>
        </w:rPr>
        <w:lastRenderedPageBreak/>
        <w:t>Nota:</w:t>
      </w:r>
      <w:r w:rsidRPr="000F7953">
        <w:rPr>
          <w:rFonts w:asciiTheme="minorHAnsi" w:hAnsiTheme="minorHAnsi" w:cstheme="minorHAnsi"/>
          <w:b/>
          <w:bCs/>
          <w:sz w:val="22"/>
          <w:szCs w:val="22"/>
        </w:rPr>
        <w:t xml:space="preserve"> </w:t>
      </w:r>
      <w:r w:rsidRPr="000F7953">
        <w:rPr>
          <w:rFonts w:asciiTheme="minorHAnsi" w:hAnsiTheme="minorHAnsi" w:cstheme="minorHAnsi"/>
          <w:sz w:val="22"/>
          <w:szCs w:val="22"/>
        </w:rPr>
        <w:t xml:space="preserve">No se dispone de datos sistemáticos para dos indicadores del PE4: </w:t>
      </w:r>
      <w:r w:rsidR="005601CD" w:rsidRPr="000F7953">
        <w:rPr>
          <w:rFonts w:asciiTheme="minorHAnsi" w:hAnsiTheme="minorHAnsi" w:cstheme="minorHAnsi"/>
          <w:sz w:val="22"/>
          <w:szCs w:val="22"/>
        </w:rPr>
        <w:t>“</w:t>
      </w:r>
      <w:r w:rsidRPr="000F7953">
        <w:rPr>
          <w:rFonts w:asciiTheme="minorHAnsi" w:hAnsiTheme="minorHAnsi" w:cstheme="minorHAnsi"/>
          <w:sz w:val="22"/>
          <w:szCs w:val="22"/>
        </w:rPr>
        <w:t>Número de referencias a actividades del Día Mundial de los Humedales en Internet.</w:t>
      </w:r>
      <w:r w:rsidR="005601CD" w:rsidRPr="000F7953">
        <w:rPr>
          <w:rFonts w:asciiTheme="minorHAnsi" w:hAnsiTheme="minorHAnsi" w:cstheme="minorHAnsi"/>
          <w:sz w:val="22"/>
          <w:szCs w:val="22"/>
        </w:rPr>
        <w:t>”</w:t>
      </w:r>
      <w:r w:rsidRPr="000F7953">
        <w:rPr>
          <w:rFonts w:asciiTheme="minorHAnsi" w:hAnsiTheme="minorHAnsi" w:cstheme="minorHAnsi"/>
          <w:sz w:val="22"/>
          <w:szCs w:val="22"/>
        </w:rPr>
        <w:t xml:space="preserve"> y </w:t>
      </w:r>
      <w:r w:rsidR="005601CD" w:rsidRPr="000F7953">
        <w:rPr>
          <w:rFonts w:asciiTheme="minorHAnsi" w:hAnsiTheme="minorHAnsi" w:cstheme="minorHAnsi"/>
          <w:sz w:val="22"/>
          <w:szCs w:val="22"/>
        </w:rPr>
        <w:t>“</w:t>
      </w:r>
      <w:r w:rsidRPr="000F7953">
        <w:rPr>
          <w:rFonts w:asciiTheme="minorHAnsi" w:hAnsiTheme="minorHAnsi" w:cstheme="minorHAnsi"/>
          <w:sz w:val="22"/>
          <w:szCs w:val="22"/>
        </w:rPr>
        <w:t>Número de referencias a la Convención de Ramsar en Internet</w:t>
      </w:r>
      <w:r w:rsidR="005601CD" w:rsidRPr="000F7953">
        <w:rPr>
          <w:rFonts w:asciiTheme="minorHAnsi" w:hAnsiTheme="minorHAnsi" w:cstheme="minorHAnsi"/>
          <w:sz w:val="22"/>
          <w:szCs w:val="22"/>
        </w:rPr>
        <w:t>”</w:t>
      </w:r>
      <w:r w:rsidRPr="000F7953">
        <w:rPr>
          <w:rFonts w:asciiTheme="minorHAnsi" w:hAnsiTheme="minorHAnsi" w:cstheme="minorHAnsi"/>
          <w:sz w:val="22"/>
          <w:szCs w:val="22"/>
        </w:rPr>
        <w:t xml:space="preserve">. </w:t>
      </w:r>
    </w:p>
    <w:p w14:paraId="50513641" w14:textId="77777777" w:rsidR="00F20EE6" w:rsidRPr="000F7953" w:rsidRDefault="00F20EE6" w:rsidP="00CD3F6B">
      <w:pPr>
        <w:rPr>
          <w:rFonts w:asciiTheme="minorHAnsi" w:hAnsiTheme="minorHAnsi" w:cstheme="minorHAnsi"/>
          <w:b/>
          <w:sz w:val="22"/>
          <w:szCs w:val="22"/>
        </w:rPr>
      </w:pPr>
    </w:p>
    <w:p w14:paraId="4F8CD88C" w14:textId="07AFC9EE" w:rsidR="00811F0F" w:rsidRPr="000F7953" w:rsidRDefault="00BB616A" w:rsidP="000D551C">
      <w:pPr>
        <w:keepNext/>
        <w:rPr>
          <w:rFonts w:asciiTheme="minorHAnsi" w:hAnsiTheme="minorHAnsi" w:cstheme="minorHAnsi"/>
          <w:i/>
          <w:iCs/>
          <w:sz w:val="22"/>
          <w:szCs w:val="22"/>
          <w:u w:val="single"/>
        </w:rPr>
      </w:pPr>
      <w:r w:rsidRPr="000F7953">
        <w:rPr>
          <w:rFonts w:asciiTheme="minorHAnsi" w:hAnsiTheme="minorHAnsi" w:cstheme="minorHAnsi"/>
          <w:i/>
          <w:iCs/>
          <w:sz w:val="22"/>
          <w:szCs w:val="22"/>
          <w:u w:val="single"/>
        </w:rPr>
        <w:t xml:space="preserve">Resumen de los progresos realizados </w:t>
      </w:r>
    </w:p>
    <w:p w14:paraId="0B76D96D" w14:textId="77777777" w:rsidR="00FF5E09" w:rsidRPr="000F7953" w:rsidRDefault="00FF5E09" w:rsidP="000D551C">
      <w:pPr>
        <w:keepNext/>
        <w:rPr>
          <w:rFonts w:asciiTheme="minorHAnsi" w:hAnsiTheme="minorHAnsi" w:cstheme="minorHAnsi"/>
          <w:sz w:val="22"/>
          <w:szCs w:val="22"/>
          <w:lang w:eastAsia="fr-FR"/>
        </w:rPr>
      </w:pPr>
    </w:p>
    <w:p w14:paraId="1EAD01E7" w14:textId="48EEDF36" w:rsidR="004D0B62" w:rsidRPr="000F7953" w:rsidRDefault="000E3338"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t>97.</w:t>
      </w:r>
      <w:r w:rsidRPr="000F7953">
        <w:rPr>
          <w:rFonts w:asciiTheme="minorHAnsi" w:hAnsiTheme="minorHAnsi" w:cstheme="minorHAnsi"/>
          <w:sz w:val="22"/>
          <w:szCs w:val="22"/>
        </w:rPr>
        <w:tab/>
        <w:t>El Día Mundial de los Humedales (DMH) sigue siendo ampliamente celebrado por cerca del 90</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de las Partes Contratantes, y es una oportunidad esencial para aumentar la concienciación nacional sobre los humedales. Sin embargo, no todas las Partes Contratantes registran en el sitio web del DMH sus actividades por este día. La puesta en práctica de la campaña por el DMH en todas las plataformas de redes sociales ha permitido lograr resultados sólidos, llegando a 3 500 millones de usuarios potenciales en 2022, 3 130 millones en 2023 y 2 500 millones en 2024. En 2025, la cifra se elevó a 6 720 millones, lo que representa un aumento significativo del alcance y la participación en la campaña. El 2 de febrero de 2025, el DMH también fue tendencia en plataformas como X e Instagram, lo que aumentó su visibilidad.</w:t>
      </w:r>
    </w:p>
    <w:p w14:paraId="2949247F" w14:textId="77777777" w:rsidR="002B7E51" w:rsidRPr="000F7953" w:rsidRDefault="002B7E51" w:rsidP="00257025">
      <w:pPr>
        <w:ind w:left="567" w:hanging="567"/>
        <w:rPr>
          <w:rFonts w:asciiTheme="minorHAnsi" w:hAnsiTheme="minorHAnsi" w:cstheme="minorHAnsi"/>
          <w:sz w:val="22"/>
          <w:szCs w:val="22"/>
          <w:lang w:eastAsia="fr-FR"/>
        </w:rPr>
      </w:pPr>
    </w:p>
    <w:p w14:paraId="34F6DEFE" w14:textId="6877A596" w:rsidR="00F07DF8" w:rsidRPr="000F7953" w:rsidRDefault="000E3338"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t>98.</w:t>
      </w:r>
      <w:r w:rsidRPr="000F7953">
        <w:rPr>
          <w:rFonts w:asciiTheme="minorHAnsi" w:hAnsiTheme="minorHAnsi" w:cstheme="minorHAnsi"/>
          <w:sz w:val="22"/>
          <w:szCs w:val="22"/>
        </w:rPr>
        <w:tab/>
        <w:t>La gran mayoría de las Partes Contratantes se implican sistemáticamente en el DMH, organizando eventos bajo el estandarte de este día y emprendiendo otras actividades que refuerzan su alcance e impacto.</w:t>
      </w:r>
    </w:p>
    <w:p w14:paraId="28F7CB0F" w14:textId="77777777" w:rsidR="00F07DF8" w:rsidRPr="000F7953" w:rsidRDefault="00F07DF8" w:rsidP="00257025">
      <w:pPr>
        <w:ind w:left="567" w:hanging="567"/>
        <w:rPr>
          <w:rFonts w:asciiTheme="minorHAnsi" w:hAnsiTheme="minorHAnsi" w:cstheme="minorHAnsi"/>
          <w:sz w:val="22"/>
          <w:szCs w:val="22"/>
          <w:lang w:eastAsia="fr-FR"/>
        </w:rPr>
      </w:pPr>
    </w:p>
    <w:p w14:paraId="64602273" w14:textId="35504340" w:rsidR="002B7E51" w:rsidRPr="000F7953" w:rsidRDefault="00C32CF1"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t>99.</w:t>
      </w:r>
      <w:r w:rsidRPr="000F7953">
        <w:rPr>
          <w:rFonts w:asciiTheme="minorHAnsi" w:hAnsiTheme="minorHAnsi" w:cstheme="minorHAnsi"/>
          <w:sz w:val="22"/>
          <w:szCs w:val="22"/>
        </w:rPr>
        <w:tab/>
        <w:t>Está teniendo lugar un fuerte crecimiento en la creación de centros educativos y para visitantes en los Humedales de Importancia Internacional, así como en otros humedales. Sin embargo, a menudo, los centros se enfrentan a continuos problemas de mantenimiento y funcionamiento.</w:t>
      </w:r>
    </w:p>
    <w:p w14:paraId="399145A8" w14:textId="77777777" w:rsidR="006E6CC3" w:rsidRPr="000F7953" w:rsidRDefault="006E6CC3" w:rsidP="00257025">
      <w:pPr>
        <w:ind w:left="567" w:hanging="567"/>
        <w:rPr>
          <w:rFonts w:asciiTheme="minorHAnsi" w:hAnsiTheme="minorHAnsi" w:cstheme="minorHAnsi"/>
          <w:sz w:val="22"/>
          <w:szCs w:val="22"/>
          <w:lang w:eastAsia="fr-FR"/>
        </w:rPr>
      </w:pPr>
    </w:p>
    <w:p w14:paraId="205D0EE2" w14:textId="61608BE9" w:rsidR="00A33C59" w:rsidRPr="000F7953" w:rsidRDefault="00C32CF1"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t>100.</w:t>
      </w:r>
      <w:r w:rsidRPr="000F7953">
        <w:rPr>
          <w:rFonts w:asciiTheme="minorHAnsi" w:hAnsiTheme="minorHAnsi" w:cstheme="minorHAnsi"/>
          <w:sz w:val="22"/>
          <w:szCs w:val="22"/>
        </w:rPr>
        <w:tab/>
        <w:t>Desde la COP13, la mayoría de las Partes Contratantes han mantenido coordinadores de CECoP, con un 80</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que informan disponer de un coordinador gubernamental y un 69</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que informan disponer de un coordinador no gubernamental. Más de la mitad de las Partes disponen de mecanismos de comunicación (distintos de un comité nacional) para compartir información con los administradores de los sitios, los coordinadores de los AAM y otros ministerios y organismos. </w:t>
      </w:r>
    </w:p>
    <w:p w14:paraId="3E19E1F1" w14:textId="72166A13" w:rsidR="5B6B0E19" w:rsidRPr="000F7953" w:rsidRDefault="5B6B0E19" w:rsidP="00257025">
      <w:pPr>
        <w:ind w:left="567" w:hanging="567"/>
        <w:rPr>
          <w:rFonts w:asciiTheme="minorHAnsi" w:hAnsiTheme="minorHAnsi" w:cstheme="minorHAnsi"/>
          <w:sz w:val="22"/>
          <w:szCs w:val="22"/>
          <w:lang w:eastAsia="fr-FR"/>
        </w:rPr>
      </w:pPr>
    </w:p>
    <w:p w14:paraId="718B3BFA" w14:textId="3D837C4D" w:rsidR="00622C27" w:rsidRPr="000F7953" w:rsidRDefault="000E3338"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t>101.</w:t>
      </w:r>
      <w:r w:rsidRPr="000F7953">
        <w:rPr>
          <w:rFonts w:asciiTheme="minorHAnsi" w:hAnsiTheme="minorHAnsi" w:cstheme="minorHAnsi"/>
          <w:sz w:val="22"/>
          <w:szCs w:val="22"/>
        </w:rPr>
        <w:tab/>
        <w:t>Sin embargo, a fecha de la COP15, menos de un tercio de las Partes Contratantes han establecido planes de acción nacionales de CECoP, con avances relativamente limitados durante el período cubierto por el PE4. Un tercio de las partes tiene planes de acción nacionales de CECoP en curso. Los planes de CECoP a escala local o de sitio están más extendidos. Un número creciente de Partes indica que los elementos de CECoP se incorporan cada vez más a estrategias más amplias sobre humedales o biodiversidad, en lugar de desarrollarse como planes independientes.</w:t>
      </w:r>
    </w:p>
    <w:p w14:paraId="22C6BB95" w14:textId="6DB4027A" w:rsidR="3112C721" w:rsidRPr="000F7953" w:rsidRDefault="3112C721" w:rsidP="00257025">
      <w:pPr>
        <w:ind w:left="567" w:hanging="567"/>
        <w:rPr>
          <w:rFonts w:asciiTheme="minorHAnsi" w:hAnsiTheme="minorHAnsi" w:cstheme="minorHAnsi"/>
          <w:sz w:val="22"/>
          <w:szCs w:val="22"/>
          <w:lang w:eastAsia="fr-FR"/>
        </w:rPr>
      </w:pPr>
    </w:p>
    <w:p w14:paraId="0B92602F" w14:textId="42B3DDBE" w:rsidR="3645A722" w:rsidRPr="000F7953" w:rsidRDefault="000E3338"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t>102.</w:t>
      </w:r>
      <w:r w:rsidRPr="000F7953">
        <w:rPr>
          <w:rFonts w:asciiTheme="minorHAnsi" w:hAnsiTheme="minorHAnsi" w:cstheme="minorHAnsi"/>
          <w:sz w:val="22"/>
          <w:szCs w:val="22"/>
        </w:rPr>
        <w:tab/>
        <w:t>Entre el 15 de junio de 2023 y el 15 de abril de 2025, las páginas web relacionadas con la CECoP registraron la siguiente participación: la página principal de actividades del Programa de CECoP recibió 2 295 visitas, la página de recursos y actividades de CECoP, 489 visitas y la nueva página de recursos de CECoP, 132 visitas.</w:t>
      </w:r>
    </w:p>
    <w:p w14:paraId="79EFF4C4" w14:textId="77777777" w:rsidR="00DE7708" w:rsidRPr="000F7953" w:rsidRDefault="00DE7708" w:rsidP="00257025">
      <w:pPr>
        <w:ind w:left="567" w:hanging="567"/>
        <w:rPr>
          <w:rFonts w:asciiTheme="minorHAnsi" w:hAnsiTheme="minorHAnsi" w:cstheme="minorHAnsi"/>
          <w:sz w:val="22"/>
          <w:szCs w:val="22"/>
          <w:lang w:eastAsia="fr-FR"/>
        </w:rPr>
      </w:pPr>
    </w:p>
    <w:p w14:paraId="4969A548" w14:textId="3C9D5D00" w:rsidR="00DE7708" w:rsidRPr="000F7953" w:rsidRDefault="000E3338"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t>103.</w:t>
      </w:r>
      <w:r w:rsidRPr="000F7953">
        <w:rPr>
          <w:rFonts w:asciiTheme="minorHAnsi" w:hAnsiTheme="minorHAnsi" w:cstheme="minorHAnsi"/>
          <w:sz w:val="22"/>
          <w:szCs w:val="22"/>
        </w:rPr>
        <w:tab/>
        <w:t xml:space="preserve">Las respuestas descriptivas sugieren que la realización de la labor de CECoP sigue estando fragmentada debido a la ausencia de planes de acción o a su escaso desarrollo, y a unas actividades de divulgación generalizadas, pero de corta duración. Si bien iniciativas como los programas escolares y las campañas públicas son habituales, a menudo funcionan de forma aislada y carecen de mecanismos para evaluar el impacto en la conservación a largo plazo. </w:t>
      </w:r>
      <w:r w:rsidRPr="000F7953">
        <w:rPr>
          <w:rFonts w:asciiTheme="minorHAnsi" w:hAnsiTheme="minorHAnsi" w:cstheme="minorHAnsi"/>
          <w:sz w:val="22"/>
          <w:szCs w:val="22"/>
        </w:rPr>
        <w:lastRenderedPageBreak/>
        <w:t>Entre los obstáculos más comunes se encuentran la escasez de recursos financieros y técnicos y la débil coordinación institucional. Algunas Partes Contratantes indican un cambio gradual hacia la integración de la CECoP en otros planes y estrategias. La implicación sostenida del público dependerá de la institucionalización de la CECoP en los sistemas nacionales de gobernanza medioambiental y de los humedales.</w:t>
      </w:r>
    </w:p>
    <w:p w14:paraId="1BEBB3A0" w14:textId="77777777" w:rsidR="003E56FD" w:rsidRPr="000F7953" w:rsidRDefault="003E56FD" w:rsidP="00CD3F6B">
      <w:pPr>
        <w:textAlignment w:val="baseline"/>
        <w:rPr>
          <w:rFonts w:asciiTheme="minorHAnsi" w:hAnsiTheme="minorHAnsi" w:cstheme="minorHAnsi"/>
          <w:sz w:val="22"/>
          <w:szCs w:val="22"/>
        </w:rPr>
      </w:pPr>
    </w:p>
    <w:p w14:paraId="6111FB39" w14:textId="3056FF7F" w:rsidR="00FF5E09" w:rsidRPr="000F7953" w:rsidRDefault="00FF5E09" w:rsidP="00CD3F6B">
      <w:pPr>
        <w:textAlignment w:val="baseline"/>
        <w:rPr>
          <w:rFonts w:asciiTheme="minorHAnsi" w:hAnsiTheme="minorHAnsi" w:cstheme="minorHAnsi"/>
          <w:sz w:val="22"/>
          <w:szCs w:val="22"/>
        </w:rPr>
      </w:pPr>
    </w:p>
    <w:tbl>
      <w:tblPr>
        <w:tblStyle w:val="TableGrid16"/>
        <w:tblW w:w="9354" w:type="dxa"/>
        <w:tblInd w:w="-147" w:type="dxa"/>
        <w:tblLook w:val="04A0" w:firstRow="1" w:lastRow="0" w:firstColumn="1" w:lastColumn="0" w:noHBand="0" w:noVBand="1"/>
      </w:tblPr>
      <w:tblGrid>
        <w:gridCol w:w="9354"/>
      </w:tblGrid>
      <w:tr w:rsidR="0025562A" w:rsidRPr="000F7953" w14:paraId="546084B1" w14:textId="77777777" w:rsidTr="003E56FD">
        <w:tc>
          <w:tcPr>
            <w:tcW w:w="9354" w:type="dxa"/>
            <w:vAlign w:val="center"/>
          </w:tcPr>
          <w:p w14:paraId="68FB70D5" w14:textId="217FABE5" w:rsidR="00180A86" w:rsidRPr="000F7953" w:rsidRDefault="00180A86" w:rsidP="008A3659">
            <w:pPr>
              <w:keepNext/>
              <w:spacing w:before="120" w:after="120"/>
              <w:rPr>
                <w:rFonts w:asciiTheme="minorHAnsi" w:hAnsiTheme="minorHAnsi" w:cstheme="minorHAnsi"/>
                <w:b/>
                <w:sz w:val="22"/>
                <w:szCs w:val="22"/>
              </w:rPr>
            </w:pPr>
            <w:r w:rsidRPr="000F7953">
              <w:rPr>
                <w:rFonts w:asciiTheme="minorHAnsi" w:hAnsiTheme="minorHAnsi" w:cstheme="minorHAnsi"/>
                <w:b/>
                <w:sz w:val="22"/>
                <w:szCs w:val="22"/>
              </w:rPr>
              <w:t xml:space="preserve">Meta 17. Se facilitan recursos financieros y de otro tipo procedentes de todas las fuentes para ejecutar de forma efectiva el Cuarto Plan Estratégico de Ramsar para 2016-2024. </w:t>
            </w:r>
          </w:p>
          <w:p w14:paraId="706E5930" w14:textId="19238BE9" w:rsidR="00180A86" w:rsidRPr="000F7953" w:rsidRDefault="00F04D0D" w:rsidP="008A3659">
            <w:pPr>
              <w:keepNext/>
              <w:spacing w:before="120" w:after="120"/>
              <w:rPr>
                <w:rFonts w:asciiTheme="minorHAnsi" w:hAnsiTheme="minorHAnsi" w:cstheme="minorHAnsi"/>
                <w:bCs/>
                <w:sz w:val="22"/>
                <w:szCs w:val="22"/>
              </w:rPr>
            </w:pPr>
            <w:r w:rsidRPr="000F7953">
              <w:rPr>
                <w:rFonts w:asciiTheme="minorHAnsi" w:hAnsiTheme="minorHAnsi" w:cstheme="minorHAnsi"/>
              </w:rPr>
              <w:t>Contribuye a la meta 19 del MMB-KM y a las metas 9.a, 10.6, 15.a, 15.b y 17.3 de los ODS.</w:t>
            </w:r>
          </w:p>
        </w:tc>
      </w:tr>
    </w:tbl>
    <w:p w14:paraId="59DEED91" w14:textId="77777777" w:rsidR="00AC0EBD" w:rsidRPr="000F7953" w:rsidRDefault="00AC0EBD" w:rsidP="000D551C">
      <w:pPr>
        <w:keepNext/>
        <w:rPr>
          <w:rFonts w:asciiTheme="minorHAnsi" w:hAnsiTheme="minorHAnsi" w:cstheme="minorHAnsi"/>
          <w:b/>
          <w:bCs/>
          <w:sz w:val="22"/>
          <w:szCs w:val="22"/>
        </w:rPr>
      </w:pPr>
    </w:p>
    <w:p w14:paraId="655DAA87" w14:textId="11CF543A" w:rsidR="006E3DD3" w:rsidRPr="000F7953" w:rsidRDefault="00AD0A3E" w:rsidP="000D551C">
      <w:pPr>
        <w:keepNext/>
        <w:rPr>
          <w:rFonts w:asciiTheme="minorHAnsi" w:hAnsiTheme="minorHAnsi" w:cstheme="minorHAnsi"/>
          <w:i/>
          <w:iCs/>
          <w:sz w:val="22"/>
          <w:szCs w:val="22"/>
          <w:u w:val="single"/>
        </w:rPr>
      </w:pPr>
      <w:r w:rsidRPr="000F7953">
        <w:rPr>
          <w:rFonts w:asciiTheme="minorHAnsi" w:hAnsiTheme="minorHAnsi" w:cstheme="minorHAnsi"/>
          <w:i/>
          <w:iCs/>
          <w:sz w:val="22"/>
          <w:szCs w:val="22"/>
          <w:u w:val="single"/>
        </w:rPr>
        <w:t>Mensaje clave</w:t>
      </w:r>
    </w:p>
    <w:p w14:paraId="3A53B77B" w14:textId="77777777" w:rsidR="00AC0EBD" w:rsidRPr="000F7953" w:rsidRDefault="00AC0EBD" w:rsidP="000D551C">
      <w:pPr>
        <w:keepNext/>
        <w:rPr>
          <w:rFonts w:asciiTheme="minorHAnsi" w:hAnsiTheme="minorHAnsi" w:cstheme="minorHAnsi"/>
          <w:sz w:val="22"/>
          <w:szCs w:val="22"/>
          <w:lang w:eastAsia="fr-FR"/>
        </w:rPr>
      </w:pPr>
    </w:p>
    <w:p w14:paraId="273E822C" w14:textId="65A3C3E0" w:rsidR="00354732" w:rsidRPr="000F7953" w:rsidRDefault="000E3338"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t>104.</w:t>
      </w:r>
      <w:r w:rsidRPr="000F7953">
        <w:rPr>
          <w:rFonts w:asciiTheme="minorHAnsi" w:hAnsiTheme="minorHAnsi" w:cstheme="minorHAnsi"/>
          <w:sz w:val="22"/>
          <w:szCs w:val="22"/>
        </w:rPr>
        <w:tab/>
        <w:t>Cada vez son más las Partes Contratantes que informan de asignaciones presupuestarias nacionales destinadas a la aplicación de la Convención. La mayoría de las Partes que cuentan con un organismo de ayuda al desarrollo aportan fondos para proyectos de humedales en otros países, pero la proporción de Partes que reciben ayuda al desarrollo para la conservación y el manejo de humedales ha disminuido y se sitúa por debajo de la línea de base. Se observa un aumento general del valor total de las contribuciones voluntarias complementarias proporcionadas a la Secretaría.</w:t>
      </w:r>
    </w:p>
    <w:p w14:paraId="67719FA4" w14:textId="77777777" w:rsidR="00FF5E09" w:rsidRPr="000F7953" w:rsidRDefault="00FF5E09" w:rsidP="00CD3F6B">
      <w:pPr>
        <w:pStyle w:val="ListParagraph"/>
        <w:spacing w:after="0" w:line="240" w:lineRule="auto"/>
        <w:rPr>
          <w:rFonts w:cstheme="minorHAnsi"/>
        </w:rPr>
      </w:pPr>
    </w:p>
    <w:tbl>
      <w:tblPr>
        <w:tblStyle w:val="TableGrid33"/>
        <w:tblW w:w="9353" w:type="dxa"/>
        <w:tblInd w:w="-147" w:type="dxa"/>
        <w:tblLook w:val="04A0" w:firstRow="1" w:lastRow="0" w:firstColumn="1" w:lastColumn="0" w:noHBand="0" w:noVBand="1"/>
      </w:tblPr>
      <w:tblGrid>
        <w:gridCol w:w="4374"/>
        <w:gridCol w:w="1182"/>
        <w:gridCol w:w="820"/>
        <w:gridCol w:w="820"/>
        <w:gridCol w:w="820"/>
        <w:gridCol w:w="1337"/>
      </w:tblGrid>
      <w:tr w:rsidR="0091225F" w:rsidRPr="000F7953" w14:paraId="06D7778A" w14:textId="77777777" w:rsidTr="00FE33C7">
        <w:trPr>
          <w:cantSplit/>
        </w:trPr>
        <w:tc>
          <w:tcPr>
            <w:tcW w:w="0" w:type="auto"/>
            <w:vAlign w:val="center"/>
            <w:hideMark/>
          </w:tcPr>
          <w:p w14:paraId="7575F444" w14:textId="77777777" w:rsidR="0091225F" w:rsidRPr="000F7953" w:rsidRDefault="0091225F"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Indicador</w:t>
            </w:r>
          </w:p>
        </w:tc>
        <w:tc>
          <w:tcPr>
            <w:tcW w:w="0" w:type="auto"/>
            <w:vAlign w:val="center"/>
            <w:hideMark/>
          </w:tcPr>
          <w:p w14:paraId="3C493360" w14:textId="744E5A82" w:rsidR="0091225F" w:rsidRPr="000F7953" w:rsidRDefault="0091225F" w:rsidP="00FE33C7">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Referencia</w:t>
            </w:r>
          </w:p>
        </w:tc>
        <w:tc>
          <w:tcPr>
            <w:tcW w:w="0" w:type="auto"/>
            <w:vAlign w:val="center"/>
            <w:hideMark/>
          </w:tcPr>
          <w:p w14:paraId="5F44CC54" w14:textId="77777777" w:rsidR="0091225F" w:rsidRPr="000F7953" w:rsidRDefault="0091225F" w:rsidP="00FE33C7">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COP13</w:t>
            </w:r>
          </w:p>
        </w:tc>
        <w:tc>
          <w:tcPr>
            <w:tcW w:w="0" w:type="auto"/>
            <w:vAlign w:val="center"/>
            <w:hideMark/>
          </w:tcPr>
          <w:p w14:paraId="6D5FA647" w14:textId="77777777" w:rsidR="0091225F" w:rsidRPr="000F7953" w:rsidRDefault="0091225F" w:rsidP="00FE33C7">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COP14</w:t>
            </w:r>
          </w:p>
        </w:tc>
        <w:tc>
          <w:tcPr>
            <w:tcW w:w="0" w:type="auto"/>
            <w:vAlign w:val="center"/>
            <w:hideMark/>
          </w:tcPr>
          <w:p w14:paraId="097AE3FD" w14:textId="77777777" w:rsidR="0091225F" w:rsidRPr="000F7953" w:rsidRDefault="0091225F" w:rsidP="00FE33C7">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COP15</w:t>
            </w:r>
          </w:p>
        </w:tc>
        <w:tc>
          <w:tcPr>
            <w:tcW w:w="0" w:type="auto"/>
            <w:vAlign w:val="center"/>
            <w:hideMark/>
          </w:tcPr>
          <w:p w14:paraId="4A890D7E" w14:textId="77777777" w:rsidR="0091225F" w:rsidRPr="000F7953" w:rsidRDefault="0091225F" w:rsidP="00FE33C7">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Tendencia</w:t>
            </w:r>
          </w:p>
        </w:tc>
      </w:tr>
      <w:tr w:rsidR="0091225F" w:rsidRPr="000F7953" w14:paraId="4D1E0D93" w14:textId="77777777" w:rsidTr="00FE33C7">
        <w:trPr>
          <w:cantSplit/>
        </w:trPr>
        <w:tc>
          <w:tcPr>
            <w:tcW w:w="0" w:type="auto"/>
          </w:tcPr>
          <w:p w14:paraId="131197AB" w14:textId="37EB737F" w:rsidR="00372A5E" w:rsidRPr="000F7953" w:rsidRDefault="0091225F" w:rsidP="00CD3F6B">
            <w:pPr>
              <w:rPr>
                <w:rFonts w:asciiTheme="minorHAnsi" w:eastAsia="Aptos" w:hAnsiTheme="minorHAnsi" w:cstheme="minorHAnsi"/>
                <w:sz w:val="22"/>
                <w:szCs w:val="22"/>
              </w:rPr>
            </w:pPr>
            <w:r w:rsidRPr="000F7953">
              <w:rPr>
                <w:rFonts w:asciiTheme="minorHAnsi" w:hAnsiTheme="minorHAnsi" w:cstheme="minorHAnsi"/>
                <w:sz w:val="22"/>
                <w:szCs w:val="22"/>
              </w:rPr>
              <w:t xml:space="preserve">Porcentaje de Partes que han proporcionado apoyo financiero adicional a través de contribuciones voluntarias a actividades de la Convención financiadas con cargo a fondos complementarios. </w:t>
            </w:r>
          </w:p>
        </w:tc>
        <w:tc>
          <w:tcPr>
            <w:tcW w:w="0" w:type="auto"/>
          </w:tcPr>
          <w:p w14:paraId="45846293" w14:textId="0719CE64" w:rsidR="0091225F" w:rsidRPr="000F7953" w:rsidRDefault="0091225F" w:rsidP="00FE33C7">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21</w:t>
            </w:r>
            <w:r w:rsidR="005601CD" w:rsidRPr="000F7953">
              <w:rPr>
                <w:rFonts w:asciiTheme="minorHAnsi" w:hAnsiTheme="minorHAnsi" w:cstheme="minorHAnsi"/>
                <w:b/>
                <w:bCs/>
                <w:sz w:val="22"/>
                <w:szCs w:val="22"/>
              </w:rPr>
              <w:t> %</w:t>
            </w:r>
          </w:p>
        </w:tc>
        <w:tc>
          <w:tcPr>
            <w:tcW w:w="0" w:type="auto"/>
          </w:tcPr>
          <w:p w14:paraId="02C67D45" w14:textId="60AA173C" w:rsidR="0091225F" w:rsidRPr="000F7953" w:rsidRDefault="0091225F" w:rsidP="00FE33C7">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19</w:t>
            </w:r>
            <w:r w:rsidR="005601CD" w:rsidRPr="000F7953">
              <w:rPr>
                <w:rFonts w:asciiTheme="minorHAnsi" w:hAnsiTheme="minorHAnsi" w:cstheme="minorHAnsi"/>
                <w:b/>
                <w:bCs/>
                <w:sz w:val="22"/>
                <w:szCs w:val="22"/>
              </w:rPr>
              <w:t> %</w:t>
            </w:r>
          </w:p>
        </w:tc>
        <w:tc>
          <w:tcPr>
            <w:tcW w:w="0" w:type="auto"/>
          </w:tcPr>
          <w:p w14:paraId="13C067B5" w14:textId="51B9268F" w:rsidR="0091225F" w:rsidRPr="000F7953" w:rsidRDefault="0091225F" w:rsidP="00FE33C7">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16</w:t>
            </w:r>
            <w:r w:rsidR="005601CD" w:rsidRPr="000F7953">
              <w:rPr>
                <w:rFonts w:asciiTheme="minorHAnsi" w:hAnsiTheme="minorHAnsi" w:cstheme="minorHAnsi"/>
                <w:b/>
                <w:bCs/>
                <w:sz w:val="22"/>
                <w:szCs w:val="22"/>
              </w:rPr>
              <w:t> %</w:t>
            </w:r>
          </w:p>
        </w:tc>
        <w:tc>
          <w:tcPr>
            <w:tcW w:w="0" w:type="auto"/>
          </w:tcPr>
          <w:p w14:paraId="5757419A" w14:textId="5AF3775D" w:rsidR="0091225F" w:rsidRPr="000F7953" w:rsidRDefault="002D0833" w:rsidP="00FE33C7">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w:t>
            </w:r>
          </w:p>
        </w:tc>
        <w:tc>
          <w:tcPr>
            <w:tcW w:w="0" w:type="auto"/>
            <w:vAlign w:val="center"/>
          </w:tcPr>
          <w:p w14:paraId="497CA04A" w14:textId="22E2BD49" w:rsidR="0091225F" w:rsidRPr="000F7953" w:rsidRDefault="00C67DDD" w:rsidP="00FE33C7">
            <w:pPr>
              <w:jc w:val="center"/>
              <w:rPr>
                <w:rFonts w:asciiTheme="minorHAnsi" w:eastAsia="Aptos" w:hAnsiTheme="minorHAnsi" w:cstheme="minorHAnsi"/>
                <w:b/>
                <w:bCs/>
                <w:sz w:val="22"/>
                <w:szCs w:val="22"/>
              </w:rPr>
            </w:pPr>
            <w:r w:rsidRPr="000F7953">
              <w:rPr>
                <w:rFonts w:asciiTheme="minorHAnsi" w:hAnsiTheme="minorHAnsi" w:cstheme="minorHAnsi"/>
                <w:noProof/>
                <w:sz w:val="22"/>
                <w:szCs w:val="22"/>
              </w:rPr>
              <w:drawing>
                <wp:inline distT="0" distB="0" distL="0" distR="0" wp14:anchorId="3A4BC393" wp14:editId="02E805D1">
                  <wp:extent cx="568200" cy="432000"/>
                  <wp:effectExtent l="0" t="0" r="0" b="0"/>
                  <wp:docPr id="728925447"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68200" cy="432000"/>
                          </a:xfrm>
                          <a:prstGeom prst="rect">
                            <a:avLst/>
                          </a:prstGeom>
                          <a:noFill/>
                          <a:ln>
                            <a:noFill/>
                          </a:ln>
                        </pic:spPr>
                      </pic:pic>
                    </a:graphicData>
                  </a:graphic>
                </wp:inline>
              </w:drawing>
            </w:r>
          </w:p>
        </w:tc>
      </w:tr>
      <w:tr w:rsidR="0091225F" w:rsidRPr="000F7953" w14:paraId="0422AD44" w14:textId="77777777" w:rsidTr="00FE33C7">
        <w:trPr>
          <w:cantSplit/>
        </w:trPr>
        <w:tc>
          <w:tcPr>
            <w:tcW w:w="0" w:type="auto"/>
          </w:tcPr>
          <w:p w14:paraId="14FBA050" w14:textId="46A4E1B8" w:rsidR="0091225F" w:rsidRPr="000F7953" w:rsidRDefault="0091225F" w:rsidP="00CD3F6B">
            <w:pPr>
              <w:rPr>
                <w:rFonts w:asciiTheme="minorHAnsi" w:eastAsia="Aptos" w:hAnsiTheme="minorHAnsi" w:cstheme="minorHAnsi"/>
                <w:sz w:val="22"/>
                <w:szCs w:val="22"/>
              </w:rPr>
            </w:pPr>
            <w:r w:rsidRPr="000F7953">
              <w:rPr>
                <w:rFonts w:asciiTheme="minorHAnsi" w:hAnsiTheme="minorHAnsi" w:cstheme="minorHAnsi"/>
                <w:sz w:val="22"/>
                <w:szCs w:val="22"/>
              </w:rPr>
              <w:t>Porcentaje de Partes que han recibido apoyo financiero de organismos de ayuda al desarrollo para la conservación y el manejo de humedales nacionales.</w:t>
            </w:r>
          </w:p>
        </w:tc>
        <w:tc>
          <w:tcPr>
            <w:tcW w:w="0" w:type="auto"/>
          </w:tcPr>
          <w:p w14:paraId="3EC9EEB3" w14:textId="42E6346F" w:rsidR="0091225F" w:rsidRPr="000F7953" w:rsidRDefault="0091225F" w:rsidP="00FE33C7">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40</w:t>
            </w:r>
            <w:r w:rsidR="005601CD" w:rsidRPr="000F7953">
              <w:rPr>
                <w:rFonts w:asciiTheme="minorHAnsi" w:hAnsiTheme="minorHAnsi" w:cstheme="minorHAnsi"/>
                <w:b/>
                <w:bCs/>
                <w:sz w:val="22"/>
                <w:szCs w:val="22"/>
              </w:rPr>
              <w:t> %</w:t>
            </w:r>
          </w:p>
        </w:tc>
        <w:tc>
          <w:tcPr>
            <w:tcW w:w="0" w:type="auto"/>
          </w:tcPr>
          <w:p w14:paraId="63D70F3C" w14:textId="1C373E3A" w:rsidR="0091225F" w:rsidRPr="000F7953" w:rsidRDefault="0091225F" w:rsidP="00FE33C7">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28</w:t>
            </w:r>
            <w:r w:rsidR="005601CD" w:rsidRPr="000F7953">
              <w:rPr>
                <w:rFonts w:asciiTheme="minorHAnsi" w:hAnsiTheme="minorHAnsi" w:cstheme="minorHAnsi"/>
                <w:b/>
                <w:bCs/>
                <w:sz w:val="22"/>
                <w:szCs w:val="22"/>
              </w:rPr>
              <w:t> %</w:t>
            </w:r>
          </w:p>
        </w:tc>
        <w:tc>
          <w:tcPr>
            <w:tcW w:w="0" w:type="auto"/>
          </w:tcPr>
          <w:p w14:paraId="4C705234" w14:textId="5140CA64" w:rsidR="0091225F" w:rsidRPr="000F7953" w:rsidRDefault="0091225F" w:rsidP="00FE33C7">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29</w:t>
            </w:r>
            <w:r w:rsidR="005601CD" w:rsidRPr="000F7953">
              <w:rPr>
                <w:rFonts w:asciiTheme="minorHAnsi" w:hAnsiTheme="minorHAnsi" w:cstheme="minorHAnsi"/>
                <w:b/>
                <w:bCs/>
                <w:sz w:val="22"/>
                <w:szCs w:val="22"/>
              </w:rPr>
              <w:t> %</w:t>
            </w:r>
          </w:p>
        </w:tc>
        <w:tc>
          <w:tcPr>
            <w:tcW w:w="0" w:type="auto"/>
          </w:tcPr>
          <w:p w14:paraId="0C0E73D4" w14:textId="701F36D2" w:rsidR="0091225F" w:rsidRPr="000F7953" w:rsidRDefault="0091225F" w:rsidP="00FE33C7">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26</w:t>
            </w:r>
            <w:r w:rsidR="005601CD" w:rsidRPr="000F7953">
              <w:rPr>
                <w:rFonts w:asciiTheme="minorHAnsi" w:hAnsiTheme="minorHAnsi" w:cstheme="minorHAnsi"/>
                <w:b/>
                <w:bCs/>
                <w:sz w:val="22"/>
                <w:szCs w:val="22"/>
              </w:rPr>
              <w:t> %</w:t>
            </w:r>
          </w:p>
        </w:tc>
        <w:tc>
          <w:tcPr>
            <w:tcW w:w="0" w:type="auto"/>
            <w:vAlign w:val="center"/>
          </w:tcPr>
          <w:p w14:paraId="217E44D0" w14:textId="2BEF1AB9" w:rsidR="0091225F" w:rsidRPr="000F7953" w:rsidRDefault="00373FE0" w:rsidP="00FE33C7">
            <w:pPr>
              <w:jc w:val="center"/>
              <w:rPr>
                <w:rFonts w:asciiTheme="minorHAnsi" w:eastAsia="Aptos" w:hAnsiTheme="minorHAnsi" w:cstheme="minorHAnsi"/>
                <w:sz w:val="22"/>
                <w:szCs w:val="22"/>
              </w:rPr>
            </w:pPr>
            <w:r w:rsidRPr="000F7953">
              <w:rPr>
                <w:rFonts w:asciiTheme="minorHAnsi" w:hAnsiTheme="minorHAnsi" w:cstheme="minorHAnsi"/>
                <w:noProof/>
                <w:sz w:val="22"/>
                <w:szCs w:val="22"/>
              </w:rPr>
              <w:drawing>
                <wp:inline distT="0" distB="0" distL="0" distR="0" wp14:anchorId="470310B2" wp14:editId="11442D71">
                  <wp:extent cx="712200" cy="432000"/>
                  <wp:effectExtent l="0" t="0" r="0" b="0"/>
                  <wp:docPr id="145448437"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bl>
    <w:p w14:paraId="083FE556" w14:textId="29CCD9E6" w:rsidR="002D0833" w:rsidRPr="000F7953" w:rsidRDefault="00981F40" w:rsidP="00CD3F6B">
      <w:pPr>
        <w:rPr>
          <w:rFonts w:asciiTheme="minorHAnsi" w:hAnsiTheme="minorHAnsi" w:cstheme="minorHAnsi"/>
          <w:sz w:val="22"/>
          <w:szCs w:val="22"/>
        </w:rPr>
      </w:pPr>
      <w:r w:rsidRPr="000F7953">
        <w:rPr>
          <w:rFonts w:asciiTheme="minorHAnsi" w:hAnsiTheme="minorHAnsi" w:cstheme="minorHAnsi"/>
          <w:sz w:val="22"/>
          <w:szCs w:val="22"/>
        </w:rPr>
        <w:t xml:space="preserve">*datos no disponibles; pregunta no incluida en el cuestionario de los informes nacionales para la COP15 </w:t>
      </w:r>
    </w:p>
    <w:p w14:paraId="143B6BE7" w14:textId="77777777" w:rsidR="00016373" w:rsidRPr="000F7953" w:rsidRDefault="00016373" w:rsidP="00CD3F6B">
      <w:pPr>
        <w:rPr>
          <w:rFonts w:asciiTheme="minorHAnsi" w:hAnsiTheme="minorHAnsi" w:cstheme="minorHAnsi"/>
          <w:b/>
          <w:bCs/>
          <w:sz w:val="22"/>
          <w:szCs w:val="22"/>
        </w:rPr>
      </w:pPr>
    </w:p>
    <w:p w14:paraId="6EAFFDD8" w14:textId="2E46AE6C" w:rsidR="00D2049E" w:rsidRPr="000F7953" w:rsidRDefault="00F94CCD" w:rsidP="000D551C">
      <w:pPr>
        <w:keepNext/>
        <w:rPr>
          <w:rFonts w:asciiTheme="minorHAnsi" w:hAnsiTheme="minorHAnsi" w:cstheme="minorHAnsi"/>
          <w:i/>
          <w:iCs/>
          <w:sz w:val="22"/>
          <w:szCs w:val="22"/>
          <w:u w:val="single"/>
        </w:rPr>
      </w:pPr>
      <w:r w:rsidRPr="000F7953">
        <w:rPr>
          <w:rFonts w:asciiTheme="minorHAnsi" w:hAnsiTheme="minorHAnsi" w:cstheme="minorHAnsi"/>
          <w:i/>
          <w:iCs/>
          <w:sz w:val="22"/>
          <w:szCs w:val="22"/>
          <w:u w:val="single"/>
        </w:rPr>
        <w:t xml:space="preserve">Resumen de los progresos realizados </w:t>
      </w:r>
    </w:p>
    <w:p w14:paraId="074F914C" w14:textId="77777777" w:rsidR="00FF5E09" w:rsidRPr="000F7953" w:rsidRDefault="00FF5E09" w:rsidP="000D551C">
      <w:pPr>
        <w:keepNext/>
        <w:rPr>
          <w:rFonts w:asciiTheme="minorHAnsi" w:hAnsiTheme="minorHAnsi" w:cstheme="minorHAnsi"/>
          <w:sz w:val="22"/>
          <w:szCs w:val="22"/>
          <w:lang w:eastAsia="fr-FR"/>
        </w:rPr>
      </w:pPr>
    </w:p>
    <w:p w14:paraId="76E00A60" w14:textId="48771BB6" w:rsidR="00F367F2" w:rsidRPr="000F7953" w:rsidRDefault="000E3338"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t>105.</w:t>
      </w:r>
      <w:r w:rsidRPr="000F7953">
        <w:rPr>
          <w:rFonts w:asciiTheme="minorHAnsi" w:hAnsiTheme="minorHAnsi" w:cstheme="minorHAnsi"/>
          <w:sz w:val="22"/>
          <w:szCs w:val="22"/>
        </w:rPr>
        <w:tab/>
        <w:t>Los informes nacionales presentados para la COP15 muestran un aumento sumamente elevado de las Partes Contratantes que informan que se está proporcionando apoyo financiero con cargo a los presupuestos nacionales para facilitar la aplicación de la Convención y su Plan Estratégico: del 23</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para la COP13 y el 26</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para la COP14 al 70</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para la COP15. Si bien se trata de una tendencia positiva, es posible que se deba en parte a un cambio de las Partes en la forma de presentar los informes debido a una formulación diferente de la pregunta en el formulario del informe nacional para la COP15. </w:t>
      </w:r>
    </w:p>
    <w:p w14:paraId="41478E60" w14:textId="77777777" w:rsidR="00F367F2" w:rsidRPr="000F7953" w:rsidRDefault="00F367F2" w:rsidP="00257025">
      <w:pPr>
        <w:ind w:left="567" w:hanging="567"/>
        <w:rPr>
          <w:rFonts w:asciiTheme="minorHAnsi" w:hAnsiTheme="minorHAnsi" w:cstheme="minorHAnsi"/>
          <w:sz w:val="22"/>
          <w:szCs w:val="22"/>
          <w:lang w:eastAsia="fr-FR"/>
        </w:rPr>
      </w:pPr>
    </w:p>
    <w:p w14:paraId="4CD7F1BB" w14:textId="3AEC75C8" w:rsidR="00F93F94" w:rsidRPr="000F7953" w:rsidRDefault="000E3338"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t>106.</w:t>
      </w:r>
      <w:r w:rsidRPr="000F7953">
        <w:rPr>
          <w:rFonts w:asciiTheme="minorHAnsi" w:hAnsiTheme="minorHAnsi" w:cstheme="minorHAnsi"/>
          <w:sz w:val="22"/>
          <w:szCs w:val="22"/>
        </w:rPr>
        <w:tab/>
        <w:t>Se ha producido un aumento significativo de la proporción de Partes Contratantes que aportan financiación para apoyar la conservación y el manejo de humedales en otros países, que ha pasado a ser del 27</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en la COP15, en comparación con el 11</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en la COP13 y el 14</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en la COP14, es decir, alrededor del 95</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de las Partes que cuentan con un organismo de ayuda al desarrollo y que son Partes en la Convención. La mayoría de ellas también informan </w:t>
      </w:r>
      <w:r w:rsidRPr="000F7953">
        <w:rPr>
          <w:rFonts w:asciiTheme="minorHAnsi" w:hAnsiTheme="minorHAnsi" w:cstheme="minorHAnsi"/>
          <w:sz w:val="22"/>
          <w:szCs w:val="22"/>
        </w:rPr>
        <w:lastRenderedPageBreak/>
        <w:t xml:space="preserve">que las propuestas de desarrollo están sujetas a salvaguardias y evaluaciones medioambientales. </w:t>
      </w:r>
    </w:p>
    <w:p w14:paraId="1E22CC23" w14:textId="77777777" w:rsidR="00F93F94" w:rsidRPr="000F7953" w:rsidRDefault="00F93F94" w:rsidP="00257025">
      <w:pPr>
        <w:ind w:left="567" w:hanging="567"/>
        <w:rPr>
          <w:rFonts w:asciiTheme="minorHAnsi" w:hAnsiTheme="minorHAnsi" w:cstheme="minorHAnsi"/>
          <w:sz w:val="22"/>
          <w:szCs w:val="22"/>
          <w:lang w:eastAsia="fr-FR"/>
        </w:rPr>
      </w:pPr>
    </w:p>
    <w:p w14:paraId="426920EA" w14:textId="7AA3C90A" w:rsidR="00945D52" w:rsidRPr="000F7953" w:rsidRDefault="000E3338"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t>107.</w:t>
      </w:r>
      <w:r w:rsidRPr="000F7953">
        <w:rPr>
          <w:rFonts w:asciiTheme="minorHAnsi" w:hAnsiTheme="minorHAnsi" w:cstheme="minorHAnsi"/>
          <w:sz w:val="22"/>
          <w:szCs w:val="22"/>
        </w:rPr>
        <w:tab/>
        <w:t>Sin embargo, la proporción de Partes Contratantes que declaran haber recibido financiación de ayuda al desarrollo específicamente para la conservación y gestión de humedales en el país ha disminuido ligeramente, situándose en el 26</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para la COP15. Esta cifra está muy por debajo del valor de referencia del 40</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definido en PE4. Algo menos del 40</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de las Partes de Asia y África afirman haber recibido este tipo de financiación, seguidas de América Latina y el Caribe (en torno al 30</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y menos en otras regiones. </w:t>
      </w:r>
    </w:p>
    <w:p w14:paraId="6BE0D16A" w14:textId="77777777" w:rsidR="008E4BBC" w:rsidRPr="000F7953" w:rsidRDefault="008E4BBC" w:rsidP="00257025">
      <w:pPr>
        <w:ind w:left="567" w:hanging="567"/>
        <w:rPr>
          <w:rFonts w:asciiTheme="minorHAnsi" w:hAnsiTheme="minorHAnsi" w:cstheme="minorHAnsi"/>
          <w:sz w:val="22"/>
          <w:szCs w:val="22"/>
          <w:lang w:eastAsia="fr-FR"/>
        </w:rPr>
      </w:pPr>
    </w:p>
    <w:p w14:paraId="1198857B" w14:textId="438254E7" w:rsidR="0043351A" w:rsidRPr="000F7953" w:rsidRDefault="000E3338"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t>108.</w:t>
      </w:r>
      <w:r w:rsidRPr="000F7953">
        <w:rPr>
          <w:rFonts w:asciiTheme="minorHAnsi" w:hAnsiTheme="minorHAnsi" w:cstheme="minorHAnsi"/>
          <w:sz w:val="22"/>
          <w:szCs w:val="22"/>
        </w:rPr>
        <w:tab/>
        <w:t>Para la COP15, el 30</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de las Partes Contratantes declaran haber recibido financiación para los humedales de organismos de ayuda al desarrollo no nacionales o multilaterales. </w:t>
      </w:r>
    </w:p>
    <w:p w14:paraId="63A73AB3" w14:textId="77777777" w:rsidR="00A16A05" w:rsidRPr="000F7953" w:rsidRDefault="00A16A05" w:rsidP="00257025">
      <w:pPr>
        <w:ind w:left="567" w:hanging="567"/>
        <w:rPr>
          <w:rFonts w:asciiTheme="minorHAnsi" w:hAnsiTheme="minorHAnsi" w:cstheme="minorHAnsi"/>
          <w:sz w:val="22"/>
          <w:szCs w:val="22"/>
          <w:lang w:eastAsia="fr-FR"/>
        </w:rPr>
      </w:pPr>
    </w:p>
    <w:p w14:paraId="338E1802" w14:textId="43410FA8" w:rsidR="00D2049E" w:rsidRPr="000F7953" w:rsidRDefault="000E3338"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t>109.</w:t>
      </w:r>
      <w:r w:rsidRPr="000F7953">
        <w:rPr>
          <w:rFonts w:asciiTheme="minorHAnsi" w:hAnsiTheme="minorHAnsi" w:cstheme="minorHAnsi"/>
          <w:sz w:val="22"/>
          <w:szCs w:val="22"/>
        </w:rPr>
        <w:tab/>
        <w:t>Los países en desarrollo encuentran dificultades para acceder a la financiación exterior debido a limitaciones de capacidad institucional, así como a trabas administrativas y requisitos rígidos de los donantes. Algunos también señalan retrasos en el desembolso de fondos y desajustes entre las oportunidades de financiación y las prioridades nacionales.</w:t>
      </w:r>
    </w:p>
    <w:p w14:paraId="2CF8B0CC" w14:textId="77777777" w:rsidR="00D2049E" w:rsidRPr="000F7953" w:rsidRDefault="00D2049E" w:rsidP="00257025">
      <w:pPr>
        <w:ind w:left="567" w:hanging="567"/>
        <w:rPr>
          <w:rFonts w:asciiTheme="minorHAnsi" w:hAnsiTheme="minorHAnsi" w:cstheme="minorHAnsi"/>
          <w:sz w:val="22"/>
          <w:szCs w:val="22"/>
          <w:lang w:eastAsia="fr-FR"/>
        </w:rPr>
      </w:pPr>
    </w:p>
    <w:p w14:paraId="5BA3508F" w14:textId="75540041" w:rsidR="00D2049E" w:rsidRPr="000F7953" w:rsidRDefault="000E3338"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t>110.</w:t>
      </w:r>
      <w:r w:rsidRPr="000F7953">
        <w:rPr>
          <w:rFonts w:asciiTheme="minorHAnsi" w:hAnsiTheme="minorHAnsi" w:cstheme="minorHAnsi"/>
          <w:sz w:val="22"/>
          <w:szCs w:val="22"/>
        </w:rPr>
        <w:tab/>
        <w:t>Desde la COP14, la Secretaría ha movilizado 5,2 millones de francos suizos para actividades sufragadas con cargo a fondos complementarios de 2022 a 2024 en virtud de las Resoluciones ExCOP3.2 y XIV.1. Las Partes Contratantes aportaron el 93</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de est</w:t>
      </w:r>
      <w:r w:rsidR="009A3F54" w:rsidRPr="000F7953">
        <w:rPr>
          <w:rFonts w:asciiTheme="minorHAnsi" w:hAnsiTheme="minorHAnsi" w:cstheme="minorHAnsi"/>
          <w:sz w:val="22"/>
          <w:szCs w:val="22"/>
        </w:rPr>
        <w:t>e</w:t>
      </w:r>
      <w:r w:rsidRPr="000F7953">
        <w:rPr>
          <w:rFonts w:asciiTheme="minorHAnsi" w:hAnsiTheme="minorHAnsi" w:cstheme="minorHAnsi"/>
          <w:sz w:val="22"/>
          <w:szCs w:val="22"/>
        </w:rPr>
        <w:t xml:space="preserve"> monto, y entre los donantes se encontraban Alemania, Australia, Austria, Bélgica, Canadá, China, Estados Unidos, Finlandia, Japón, Noruega, Reino Unido de Gran Bretaña e Irlanda del Norte, República de Corea, Suiza y Zimbabwe. El sector privado (Danone) y las fundaciones (Nagao Wetland Foundation) contribuyeron con un 5</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y un 2</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respectivamente.</w:t>
      </w:r>
    </w:p>
    <w:p w14:paraId="5A643D20" w14:textId="77777777" w:rsidR="00D2049E" w:rsidRPr="000F7953" w:rsidRDefault="00D2049E" w:rsidP="00257025">
      <w:pPr>
        <w:ind w:left="567" w:hanging="567"/>
        <w:rPr>
          <w:rFonts w:asciiTheme="minorHAnsi" w:hAnsiTheme="minorHAnsi" w:cstheme="minorHAnsi"/>
          <w:sz w:val="22"/>
          <w:szCs w:val="22"/>
          <w:lang w:eastAsia="fr-FR"/>
        </w:rPr>
      </w:pPr>
    </w:p>
    <w:p w14:paraId="133B35E6" w14:textId="4B3DAA51" w:rsidR="00B05B0E" w:rsidRPr="000F7953" w:rsidRDefault="000E3338"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t>111.</w:t>
      </w:r>
      <w:r w:rsidRPr="000F7953">
        <w:rPr>
          <w:rFonts w:asciiTheme="minorHAnsi" w:hAnsiTheme="minorHAnsi" w:cstheme="minorHAnsi"/>
          <w:sz w:val="22"/>
          <w:szCs w:val="22"/>
        </w:rPr>
        <w:tab/>
        <w:t>Entre la COP12 y la COP15 (2016-2024), la Secretaría consiguió 8,89 millones de francos suizos en fondos complementarios en aplicación de las Resoluciones XII.1, XIII.2, ExCOP3.2 y XIV.1. De este monto, el 79</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procedía de las Partes Contratantes, el 12</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del sector privado, el 8</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de fundaciones y el 1</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de otras fuentes; el 58</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de esta suma se recaudó durante el último trienio. El número de Partes que aportaron contribuciones voluntarias directamente a la Secretaría fue significativamente inferior para el trienio anterior a la COP14 (cinco Partes) que para el trienio anterior a la COP13 (12 Partes) y para el trienio anterior a la COP15 (14 Partes; incluido el año 2022), debido principalmente a una menor ejecución de actividades durante la pandemia de Covid-19. </w:t>
      </w:r>
    </w:p>
    <w:p w14:paraId="54E4DF99" w14:textId="77777777" w:rsidR="00375762" w:rsidRPr="000F7953" w:rsidRDefault="00375762" w:rsidP="003E56FD">
      <w:pPr>
        <w:rPr>
          <w:rFonts w:asciiTheme="minorHAnsi" w:hAnsiTheme="minorHAnsi" w:cstheme="minorHAnsi"/>
          <w:sz w:val="22"/>
          <w:szCs w:val="22"/>
        </w:rPr>
      </w:pPr>
    </w:p>
    <w:p w14:paraId="2C13148A" w14:textId="77777777" w:rsidR="003E56FD" w:rsidRPr="000F7953" w:rsidRDefault="003E56FD" w:rsidP="003E56FD">
      <w:pPr>
        <w:rPr>
          <w:rFonts w:asciiTheme="minorHAnsi" w:hAnsiTheme="minorHAnsi" w:cstheme="minorHAnsi"/>
          <w:sz w:val="22"/>
          <w:szCs w:val="22"/>
        </w:rPr>
      </w:pPr>
    </w:p>
    <w:tbl>
      <w:tblPr>
        <w:tblStyle w:val="TableGrid16"/>
        <w:tblW w:w="9354" w:type="dxa"/>
        <w:tblLook w:val="04A0" w:firstRow="1" w:lastRow="0" w:firstColumn="1" w:lastColumn="0" w:noHBand="0" w:noVBand="1"/>
      </w:tblPr>
      <w:tblGrid>
        <w:gridCol w:w="9354"/>
      </w:tblGrid>
      <w:tr w:rsidR="00180A86" w:rsidRPr="000F7953" w14:paraId="3CB5C024" w14:textId="77777777" w:rsidTr="003E56FD">
        <w:tc>
          <w:tcPr>
            <w:tcW w:w="9354" w:type="dxa"/>
            <w:vAlign w:val="center"/>
          </w:tcPr>
          <w:p w14:paraId="1A354306" w14:textId="77777777" w:rsidR="00180A86" w:rsidRPr="000F7953" w:rsidRDefault="00180A86" w:rsidP="008A3659">
            <w:pPr>
              <w:keepNext/>
              <w:spacing w:before="120" w:after="120"/>
              <w:rPr>
                <w:rFonts w:asciiTheme="minorHAnsi" w:hAnsiTheme="minorHAnsi" w:cstheme="minorHAnsi"/>
                <w:b/>
                <w:sz w:val="22"/>
                <w:szCs w:val="22"/>
              </w:rPr>
            </w:pPr>
            <w:r w:rsidRPr="000F7953">
              <w:rPr>
                <w:rFonts w:asciiTheme="minorHAnsi" w:hAnsiTheme="minorHAnsi" w:cstheme="minorHAnsi"/>
                <w:b/>
                <w:sz w:val="22"/>
                <w:szCs w:val="22"/>
              </w:rPr>
              <w:t>Meta 18: Se refuerza la cooperación internacional a todos los niveles.</w:t>
            </w:r>
          </w:p>
          <w:p w14:paraId="691DF10F" w14:textId="38C23A28" w:rsidR="00180A86" w:rsidRPr="000F7953" w:rsidRDefault="00F65637" w:rsidP="008A3659">
            <w:pPr>
              <w:keepNext/>
              <w:spacing w:before="120" w:after="120"/>
              <w:rPr>
                <w:rFonts w:asciiTheme="minorHAnsi" w:hAnsiTheme="minorHAnsi" w:cstheme="minorHAnsi"/>
                <w:bCs/>
                <w:sz w:val="22"/>
                <w:szCs w:val="22"/>
              </w:rPr>
            </w:pPr>
            <w:r w:rsidRPr="000F7953">
              <w:rPr>
                <w:rFonts w:asciiTheme="minorHAnsi" w:hAnsiTheme="minorHAnsi" w:cstheme="minorHAnsi"/>
                <w:bCs/>
                <w:sz w:val="22"/>
                <w:szCs w:val="22"/>
              </w:rPr>
              <w:t>Contribuye a las metas 1.b, 2.5, 6.5, 6.6, 6.a, 10.6, 12.4, 14.5, 14.c, 15.1, 15.6, 16.8, 17.6, 17.7 y 17.9 de los ODS.</w:t>
            </w:r>
          </w:p>
        </w:tc>
      </w:tr>
    </w:tbl>
    <w:p w14:paraId="24A91848" w14:textId="77777777" w:rsidR="00FB380C" w:rsidRPr="000F7953" w:rsidRDefault="00FB380C" w:rsidP="000D551C">
      <w:pPr>
        <w:keepNext/>
        <w:rPr>
          <w:rFonts w:asciiTheme="minorHAnsi" w:hAnsiTheme="minorHAnsi" w:cstheme="minorHAnsi"/>
          <w:b/>
          <w:bCs/>
          <w:sz w:val="22"/>
          <w:szCs w:val="22"/>
        </w:rPr>
      </w:pPr>
    </w:p>
    <w:p w14:paraId="174EE12E" w14:textId="67D9AC05" w:rsidR="005F5BCE" w:rsidRPr="000F7953" w:rsidRDefault="00503B21" w:rsidP="000D551C">
      <w:pPr>
        <w:keepNext/>
        <w:rPr>
          <w:rFonts w:asciiTheme="minorHAnsi" w:hAnsiTheme="minorHAnsi" w:cstheme="minorHAnsi"/>
          <w:i/>
          <w:iCs/>
          <w:sz w:val="22"/>
          <w:szCs w:val="22"/>
          <w:u w:val="single"/>
        </w:rPr>
      </w:pPr>
      <w:r w:rsidRPr="000F7953">
        <w:rPr>
          <w:rFonts w:asciiTheme="minorHAnsi" w:hAnsiTheme="minorHAnsi" w:cstheme="minorHAnsi"/>
          <w:i/>
          <w:iCs/>
          <w:sz w:val="22"/>
          <w:szCs w:val="22"/>
          <w:u w:val="single"/>
        </w:rPr>
        <w:t xml:space="preserve">Mensaje clave </w:t>
      </w:r>
    </w:p>
    <w:p w14:paraId="32090E25" w14:textId="77777777" w:rsidR="00AC0EBD" w:rsidRPr="000F7953" w:rsidRDefault="00AC0EBD" w:rsidP="000D551C">
      <w:pPr>
        <w:keepNext/>
        <w:rPr>
          <w:rFonts w:asciiTheme="minorHAnsi" w:hAnsiTheme="minorHAnsi" w:cstheme="minorHAnsi"/>
          <w:sz w:val="22"/>
          <w:szCs w:val="22"/>
        </w:rPr>
      </w:pPr>
    </w:p>
    <w:p w14:paraId="2E151043" w14:textId="4EDAC469" w:rsidR="0095024B" w:rsidRPr="000F7953" w:rsidRDefault="000E3338"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t>112.</w:t>
      </w:r>
      <w:r w:rsidRPr="000F7953">
        <w:rPr>
          <w:rFonts w:asciiTheme="minorHAnsi" w:hAnsiTheme="minorHAnsi" w:cstheme="minorHAnsi"/>
          <w:sz w:val="22"/>
          <w:szCs w:val="22"/>
        </w:rPr>
        <w:tab/>
        <w:t>En general, la cooperación internacional se ha reforzado a un ritmo constante, mediante el establecimiento de IRR, la cooperación en materia de especies migratorias y sistemas de humedales compartidos, y acuerdos de hermanamiento para el intercambio de conocimientos y la realización de formaciones.</w:t>
      </w:r>
    </w:p>
    <w:p w14:paraId="57697408" w14:textId="77777777" w:rsidR="00FB474E" w:rsidRPr="000F7953" w:rsidRDefault="00FB474E" w:rsidP="00A338FF">
      <w:pPr>
        <w:rPr>
          <w:rFonts w:asciiTheme="minorHAnsi" w:hAnsiTheme="minorHAnsi" w:cstheme="minorHAnsi"/>
        </w:rPr>
      </w:pPr>
    </w:p>
    <w:tbl>
      <w:tblPr>
        <w:tblStyle w:val="TableGrid34"/>
        <w:tblW w:w="9353" w:type="dxa"/>
        <w:tblLook w:val="04A0" w:firstRow="1" w:lastRow="0" w:firstColumn="1" w:lastColumn="0" w:noHBand="0" w:noVBand="1"/>
      </w:tblPr>
      <w:tblGrid>
        <w:gridCol w:w="4299"/>
        <w:gridCol w:w="1257"/>
        <w:gridCol w:w="820"/>
        <w:gridCol w:w="820"/>
        <w:gridCol w:w="820"/>
        <w:gridCol w:w="1337"/>
      </w:tblGrid>
      <w:tr w:rsidR="0091225F" w:rsidRPr="000F7953" w14:paraId="317A9FE9" w14:textId="77777777" w:rsidTr="00FE33C7">
        <w:trPr>
          <w:cantSplit/>
        </w:trPr>
        <w:tc>
          <w:tcPr>
            <w:tcW w:w="0" w:type="auto"/>
            <w:shd w:val="clear" w:color="auto" w:fill="auto"/>
            <w:vAlign w:val="center"/>
            <w:hideMark/>
          </w:tcPr>
          <w:p w14:paraId="4A285208" w14:textId="77777777" w:rsidR="0091225F" w:rsidRPr="000F7953" w:rsidRDefault="0091225F"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lastRenderedPageBreak/>
              <w:t>Indicador</w:t>
            </w:r>
          </w:p>
        </w:tc>
        <w:tc>
          <w:tcPr>
            <w:tcW w:w="0" w:type="auto"/>
            <w:shd w:val="clear" w:color="auto" w:fill="auto"/>
            <w:vAlign w:val="center"/>
            <w:hideMark/>
          </w:tcPr>
          <w:p w14:paraId="3001FD49" w14:textId="2242971E" w:rsidR="0091225F" w:rsidRPr="000F7953" w:rsidRDefault="0091225F"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COP12 Referencia</w:t>
            </w:r>
          </w:p>
        </w:tc>
        <w:tc>
          <w:tcPr>
            <w:tcW w:w="0" w:type="auto"/>
            <w:shd w:val="clear" w:color="auto" w:fill="auto"/>
            <w:vAlign w:val="center"/>
            <w:hideMark/>
          </w:tcPr>
          <w:p w14:paraId="575EABDD" w14:textId="77777777" w:rsidR="0091225F" w:rsidRPr="000F7953" w:rsidRDefault="0091225F"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COP13</w:t>
            </w:r>
          </w:p>
        </w:tc>
        <w:tc>
          <w:tcPr>
            <w:tcW w:w="0" w:type="auto"/>
            <w:shd w:val="clear" w:color="auto" w:fill="auto"/>
            <w:vAlign w:val="center"/>
            <w:hideMark/>
          </w:tcPr>
          <w:p w14:paraId="65F42F06" w14:textId="77777777" w:rsidR="0091225F" w:rsidRPr="000F7953" w:rsidRDefault="0091225F"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COP14</w:t>
            </w:r>
          </w:p>
        </w:tc>
        <w:tc>
          <w:tcPr>
            <w:tcW w:w="0" w:type="auto"/>
            <w:shd w:val="clear" w:color="auto" w:fill="auto"/>
            <w:vAlign w:val="center"/>
            <w:hideMark/>
          </w:tcPr>
          <w:p w14:paraId="63BCEF0A" w14:textId="77777777" w:rsidR="0091225F" w:rsidRPr="000F7953" w:rsidRDefault="0091225F"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COP15</w:t>
            </w:r>
          </w:p>
        </w:tc>
        <w:tc>
          <w:tcPr>
            <w:tcW w:w="0" w:type="auto"/>
            <w:shd w:val="clear" w:color="auto" w:fill="auto"/>
            <w:vAlign w:val="center"/>
            <w:hideMark/>
          </w:tcPr>
          <w:p w14:paraId="622B481E" w14:textId="77777777" w:rsidR="0091225F" w:rsidRPr="000F7953" w:rsidRDefault="0091225F"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Tendencia</w:t>
            </w:r>
          </w:p>
        </w:tc>
      </w:tr>
      <w:tr w:rsidR="0091225F" w:rsidRPr="000F7953" w14:paraId="245F9F30" w14:textId="77777777" w:rsidTr="00FE33C7">
        <w:trPr>
          <w:cantSplit/>
        </w:trPr>
        <w:tc>
          <w:tcPr>
            <w:tcW w:w="0" w:type="auto"/>
            <w:shd w:val="clear" w:color="auto" w:fill="auto"/>
          </w:tcPr>
          <w:p w14:paraId="48556E88" w14:textId="77777777" w:rsidR="0091225F" w:rsidRPr="000F7953" w:rsidRDefault="0091225F" w:rsidP="00CD3F6B">
            <w:pPr>
              <w:rPr>
                <w:rFonts w:asciiTheme="minorHAnsi" w:eastAsia="Aptos" w:hAnsiTheme="minorHAnsi" w:cstheme="minorHAnsi"/>
                <w:sz w:val="22"/>
                <w:szCs w:val="22"/>
              </w:rPr>
            </w:pPr>
            <w:r w:rsidRPr="000F7953">
              <w:rPr>
                <w:rFonts w:asciiTheme="minorHAnsi" w:hAnsiTheme="minorHAnsi" w:cstheme="minorHAnsi"/>
                <w:sz w:val="22"/>
                <w:szCs w:val="22"/>
              </w:rPr>
              <w:t>Número de iniciativas regionales aplicadas con éxito.</w:t>
            </w:r>
          </w:p>
        </w:tc>
        <w:tc>
          <w:tcPr>
            <w:tcW w:w="0" w:type="auto"/>
            <w:shd w:val="clear" w:color="auto" w:fill="auto"/>
          </w:tcPr>
          <w:p w14:paraId="55EEBBA4" w14:textId="77777777" w:rsidR="0091225F" w:rsidRPr="000F7953" w:rsidRDefault="0091225F" w:rsidP="00FE33C7">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15</w:t>
            </w:r>
          </w:p>
        </w:tc>
        <w:tc>
          <w:tcPr>
            <w:tcW w:w="0" w:type="auto"/>
            <w:shd w:val="clear" w:color="auto" w:fill="auto"/>
          </w:tcPr>
          <w:p w14:paraId="42A16D80" w14:textId="77777777" w:rsidR="0091225F" w:rsidRPr="000F7953" w:rsidRDefault="0091225F" w:rsidP="00FE33C7">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19</w:t>
            </w:r>
          </w:p>
        </w:tc>
        <w:tc>
          <w:tcPr>
            <w:tcW w:w="0" w:type="auto"/>
            <w:shd w:val="clear" w:color="auto" w:fill="auto"/>
          </w:tcPr>
          <w:p w14:paraId="45F2A90E" w14:textId="77777777" w:rsidR="0091225F" w:rsidRPr="000F7953" w:rsidRDefault="0091225F" w:rsidP="00FE33C7">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20</w:t>
            </w:r>
          </w:p>
        </w:tc>
        <w:tc>
          <w:tcPr>
            <w:tcW w:w="0" w:type="auto"/>
            <w:shd w:val="clear" w:color="auto" w:fill="auto"/>
          </w:tcPr>
          <w:p w14:paraId="094C6AF6" w14:textId="77777777" w:rsidR="0091225F" w:rsidRPr="000F7953" w:rsidRDefault="0091225F" w:rsidP="00FE33C7">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22</w:t>
            </w:r>
          </w:p>
        </w:tc>
        <w:tc>
          <w:tcPr>
            <w:tcW w:w="0" w:type="auto"/>
            <w:shd w:val="clear" w:color="auto" w:fill="auto"/>
          </w:tcPr>
          <w:p w14:paraId="53B00FEB" w14:textId="0999A399" w:rsidR="0091225F" w:rsidRPr="000F7953" w:rsidRDefault="00D73A62" w:rsidP="00CD3F6B">
            <w:pPr>
              <w:rPr>
                <w:rFonts w:asciiTheme="minorHAnsi" w:eastAsia="Aptos" w:hAnsiTheme="minorHAnsi" w:cstheme="minorHAnsi"/>
                <w:sz w:val="22"/>
                <w:szCs w:val="22"/>
              </w:rPr>
            </w:pPr>
            <w:r w:rsidRPr="000F7953">
              <w:rPr>
                <w:rFonts w:asciiTheme="minorHAnsi" w:hAnsiTheme="minorHAnsi" w:cstheme="minorHAnsi"/>
                <w:noProof/>
                <w:sz w:val="22"/>
                <w:szCs w:val="22"/>
              </w:rPr>
              <w:drawing>
                <wp:inline distT="0" distB="0" distL="0" distR="0" wp14:anchorId="32757E19" wp14:editId="2C2EA7F8">
                  <wp:extent cx="712200" cy="432000"/>
                  <wp:effectExtent l="0" t="0" r="0" b="0"/>
                  <wp:docPr id="210981591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91225F" w:rsidRPr="000F7953" w14:paraId="2913A19B" w14:textId="77777777" w:rsidTr="00FE33C7">
        <w:trPr>
          <w:cantSplit/>
        </w:trPr>
        <w:tc>
          <w:tcPr>
            <w:tcW w:w="0" w:type="auto"/>
            <w:shd w:val="clear" w:color="auto" w:fill="auto"/>
          </w:tcPr>
          <w:p w14:paraId="036AAEBC" w14:textId="77777777" w:rsidR="0091225F" w:rsidRPr="000F7953" w:rsidRDefault="0091225F" w:rsidP="00CD3F6B">
            <w:pPr>
              <w:rPr>
                <w:rFonts w:asciiTheme="minorHAnsi" w:eastAsia="Aptos" w:hAnsiTheme="minorHAnsi" w:cstheme="minorHAnsi"/>
                <w:sz w:val="22"/>
                <w:szCs w:val="22"/>
              </w:rPr>
            </w:pPr>
            <w:r w:rsidRPr="000F7953">
              <w:rPr>
                <w:rFonts w:asciiTheme="minorHAnsi" w:hAnsiTheme="minorHAnsi" w:cstheme="minorHAnsi"/>
                <w:sz w:val="22"/>
                <w:szCs w:val="22"/>
              </w:rPr>
              <w:t>Porcentaje de Partes que han participado en el desarrollo y la aplicación de una iniciativa regional en el marco de la Convención.</w:t>
            </w:r>
          </w:p>
        </w:tc>
        <w:tc>
          <w:tcPr>
            <w:tcW w:w="0" w:type="auto"/>
            <w:shd w:val="clear" w:color="auto" w:fill="auto"/>
          </w:tcPr>
          <w:p w14:paraId="4F27C9A6" w14:textId="16975D0B" w:rsidR="0091225F" w:rsidRPr="000F7953" w:rsidRDefault="0091225F" w:rsidP="00FE33C7">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68</w:t>
            </w:r>
            <w:r w:rsidR="005601CD" w:rsidRPr="000F7953">
              <w:rPr>
                <w:rFonts w:asciiTheme="minorHAnsi" w:hAnsiTheme="minorHAnsi" w:cstheme="minorHAnsi"/>
                <w:b/>
                <w:bCs/>
                <w:sz w:val="22"/>
                <w:szCs w:val="22"/>
              </w:rPr>
              <w:t> %</w:t>
            </w:r>
          </w:p>
        </w:tc>
        <w:tc>
          <w:tcPr>
            <w:tcW w:w="0" w:type="auto"/>
            <w:shd w:val="clear" w:color="auto" w:fill="auto"/>
          </w:tcPr>
          <w:p w14:paraId="446FD59F" w14:textId="73C3C2D2" w:rsidR="0091225F" w:rsidRPr="000F7953" w:rsidRDefault="0091225F" w:rsidP="00FE33C7">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59</w:t>
            </w:r>
            <w:r w:rsidR="005601CD" w:rsidRPr="000F7953">
              <w:rPr>
                <w:rFonts w:asciiTheme="minorHAnsi" w:hAnsiTheme="minorHAnsi" w:cstheme="minorHAnsi"/>
                <w:b/>
                <w:bCs/>
                <w:sz w:val="22"/>
                <w:szCs w:val="22"/>
              </w:rPr>
              <w:t> %</w:t>
            </w:r>
          </w:p>
        </w:tc>
        <w:tc>
          <w:tcPr>
            <w:tcW w:w="0" w:type="auto"/>
            <w:shd w:val="clear" w:color="auto" w:fill="auto"/>
          </w:tcPr>
          <w:p w14:paraId="11631952" w14:textId="39C02314" w:rsidR="0091225F" w:rsidRPr="000F7953" w:rsidRDefault="0091225F" w:rsidP="00FE33C7">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66</w:t>
            </w:r>
            <w:r w:rsidR="005601CD" w:rsidRPr="000F7953">
              <w:rPr>
                <w:rFonts w:asciiTheme="minorHAnsi" w:hAnsiTheme="minorHAnsi" w:cstheme="minorHAnsi"/>
                <w:b/>
                <w:bCs/>
                <w:sz w:val="22"/>
                <w:szCs w:val="22"/>
              </w:rPr>
              <w:t> %</w:t>
            </w:r>
          </w:p>
        </w:tc>
        <w:tc>
          <w:tcPr>
            <w:tcW w:w="0" w:type="auto"/>
            <w:shd w:val="clear" w:color="auto" w:fill="auto"/>
          </w:tcPr>
          <w:p w14:paraId="21CF0920" w14:textId="1A283D0F" w:rsidR="0091225F" w:rsidRPr="000F7953" w:rsidRDefault="0091225F" w:rsidP="00FE33C7">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67</w:t>
            </w:r>
            <w:r w:rsidR="005601CD" w:rsidRPr="000F7953">
              <w:rPr>
                <w:rFonts w:asciiTheme="minorHAnsi" w:hAnsiTheme="minorHAnsi" w:cstheme="minorHAnsi"/>
                <w:b/>
                <w:bCs/>
                <w:sz w:val="22"/>
                <w:szCs w:val="22"/>
              </w:rPr>
              <w:t> %</w:t>
            </w:r>
          </w:p>
        </w:tc>
        <w:tc>
          <w:tcPr>
            <w:tcW w:w="0" w:type="auto"/>
            <w:shd w:val="clear" w:color="auto" w:fill="auto"/>
          </w:tcPr>
          <w:p w14:paraId="1E9DDC28" w14:textId="3E1C2AEA" w:rsidR="0091225F" w:rsidRPr="000F7953" w:rsidRDefault="00456211" w:rsidP="00CD3F6B">
            <w:pPr>
              <w:rPr>
                <w:rFonts w:asciiTheme="minorHAnsi" w:eastAsia="Aptos" w:hAnsiTheme="minorHAnsi" w:cstheme="minorHAnsi"/>
                <w:b/>
                <w:bCs/>
                <w:sz w:val="22"/>
                <w:szCs w:val="22"/>
              </w:rPr>
            </w:pPr>
            <w:r w:rsidRPr="000F7953">
              <w:rPr>
                <w:rFonts w:asciiTheme="minorHAnsi" w:hAnsiTheme="minorHAnsi" w:cstheme="minorHAnsi"/>
                <w:noProof/>
                <w:sz w:val="22"/>
                <w:szCs w:val="22"/>
              </w:rPr>
              <w:drawing>
                <wp:inline distT="0" distB="0" distL="0" distR="0" wp14:anchorId="6E88B888" wp14:editId="54C0C5C7">
                  <wp:extent cx="712200" cy="432000"/>
                  <wp:effectExtent l="0" t="0" r="0" b="0"/>
                  <wp:docPr id="15550932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91225F" w:rsidRPr="000F7953" w14:paraId="57362CE2" w14:textId="77777777" w:rsidTr="00FE33C7">
        <w:trPr>
          <w:cantSplit/>
        </w:trPr>
        <w:tc>
          <w:tcPr>
            <w:tcW w:w="0" w:type="auto"/>
            <w:shd w:val="clear" w:color="auto" w:fill="auto"/>
          </w:tcPr>
          <w:p w14:paraId="712B7E30" w14:textId="77777777" w:rsidR="0091225F" w:rsidRPr="000F7953" w:rsidRDefault="0091225F" w:rsidP="00CD3F6B">
            <w:pPr>
              <w:rPr>
                <w:rFonts w:asciiTheme="minorHAnsi" w:eastAsia="Aptos" w:hAnsiTheme="minorHAnsi" w:cstheme="minorHAnsi"/>
                <w:sz w:val="22"/>
                <w:szCs w:val="22"/>
              </w:rPr>
            </w:pPr>
            <w:r w:rsidRPr="000F7953">
              <w:rPr>
                <w:rFonts w:asciiTheme="minorHAnsi" w:hAnsiTheme="minorHAnsi" w:cstheme="minorHAnsi"/>
                <w:sz w:val="22"/>
                <w:szCs w:val="22"/>
              </w:rPr>
              <w:t>Porcentaje de Partes que han establecido redes entre las que se incluyen medidas de hermanamiento a escala nacional o internacional para el intercambio de conocimientos y la realización de formaciones en el caso de humedales que comparten características comunes.</w:t>
            </w:r>
          </w:p>
        </w:tc>
        <w:tc>
          <w:tcPr>
            <w:tcW w:w="0" w:type="auto"/>
            <w:shd w:val="clear" w:color="auto" w:fill="auto"/>
          </w:tcPr>
          <w:p w14:paraId="68F5EB72" w14:textId="6B27EDE0" w:rsidR="0091225F" w:rsidRPr="000F7953" w:rsidRDefault="0091225F" w:rsidP="00FE33C7">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35</w:t>
            </w:r>
            <w:r w:rsidR="005601CD" w:rsidRPr="000F7953">
              <w:rPr>
                <w:rFonts w:asciiTheme="minorHAnsi" w:hAnsiTheme="minorHAnsi" w:cstheme="minorHAnsi"/>
                <w:b/>
                <w:bCs/>
                <w:sz w:val="22"/>
                <w:szCs w:val="22"/>
              </w:rPr>
              <w:t> %</w:t>
            </w:r>
          </w:p>
        </w:tc>
        <w:tc>
          <w:tcPr>
            <w:tcW w:w="0" w:type="auto"/>
            <w:shd w:val="clear" w:color="auto" w:fill="auto"/>
          </w:tcPr>
          <w:p w14:paraId="3D565DEA" w14:textId="53C06345" w:rsidR="0091225F" w:rsidRPr="000F7953" w:rsidRDefault="0091225F" w:rsidP="00FE33C7">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29</w:t>
            </w:r>
            <w:r w:rsidR="005601CD" w:rsidRPr="000F7953">
              <w:rPr>
                <w:rFonts w:asciiTheme="minorHAnsi" w:hAnsiTheme="minorHAnsi" w:cstheme="minorHAnsi"/>
                <w:b/>
                <w:bCs/>
                <w:sz w:val="22"/>
                <w:szCs w:val="22"/>
              </w:rPr>
              <w:t> %</w:t>
            </w:r>
          </w:p>
        </w:tc>
        <w:tc>
          <w:tcPr>
            <w:tcW w:w="0" w:type="auto"/>
            <w:shd w:val="clear" w:color="auto" w:fill="auto"/>
          </w:tcPr>
          <w:p w14:paraId="355DAA42" w14:textId="0A70D183" w:rsidR="0091225F" w:rsidRPr="000F7953" w:rsidRDefault="0091225F" w:rsidP="00FE33C7">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39</w:t>
            </w:r>
            <w:r w:rsidR="005601CD" w:rsidRPr="000F7953">
              <w:rPr>
                <w:rFonts w:asciiTheme="minorHAnsi" w:hAnsiTheme="minorHAnsi" w:cstheme="minorHAnsi"/>
                <w:b/>
                <w:bCs/>
                <w:sz w:val="22"/>
                <w:szCs w:val="22"/>
              </w:rPr>
              <w:t> %</w:t>
            </w:r>
          </w:p>
        </w:tc>
        <w:tc>
          <w:tcPr>
            <w:tcW w:w="0" w:type="auto"/>
            <w:shd w:val="clear" w:color="auto" w:fill="auto"/>
          </w:tcPr>
          <w:p w14:paraId="65596E0E" w14:textId="2CCC292E" w:rsidR="0091225F" w:rsidRPr="000F7953" w:rsidRDefault="0091225F" w:rsidP="00FE33C7">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37</w:t>
            </w:r>
            <w:r w:rsidR="005601CD" w:rsidRPr="000F7953">
              <w:rPr>
                <w:rFonts w:asciiTheme="minorHAnsi" w:hAnsiTheme="minorHAnsi" w:cstheme="minorHAnsi"/>
                <w:b/>
                <w:bCs/>
                <w:sz w:val="22"/>
                <w:szCs w:val="22"/>
              </w:rPr>
              <w:t> %</w:t>
            </w:r>
          </w:p>
        </w:tc>
        <w:tc>
          <w:tcPr>
            <w:tcW w:w="0" w:type="auto"/>
            <w:shd w:val="clear" w:color="auto" w:fill="auto"/>
          </w:tcPr>
          <w:p w14:paraId="32E00540" w14:textId="37C7BA34" w:rsidR="0091225F" w:rsidRPr="000F7953" w:rsidRDefault="00960D21" w:rsidP="00CD3F6B">
            <w:pPr>
              <w:rPr>
                <w:rFonts w:asciiTheme="minorHAnsi" w:eastAsia="Aptos" w:hAnsiTheme="minorHAnsi" w:cstheme="minorHAnsi"/>
                <w:b/>
                <w:bCs/>
                <w:sz w:val="22"/>
                <w:szCs w:val="22"/>
              </w:rPr>
            </w:pPr>
            <w:r w:rsidRPr="000F7953">
              <w:rPr>
                <w:rFonts w:asciiTheme="minorHAnsi" w:hAnsiTheme="minorHAnsi" w:cstheme="minorHAnsi"/>
                <w:noProof/>
                <w:sz w:val="22"/>
                <w:szCs w:val="22"/>
              </w:rPr>
              <w:drawing>
                <wp:inline distT="0" distB="0" distL="0" distR="0" wp14:anchorId="075E0912" wp14:editId="0095FC05">
                  <wp:extent cx="712200" cy="432000"/>
                  <wp:effectExtent l="0" t="0" r="0" b="0"/>
                  <wp:docPr id="1065206257"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91225F" w:rsidRPr="000F7953" w14:paraId="633AB41A" w14:textId="77777777" w:rsidTr="00FE33C7">
        <w:trPr>
          <w:cantSplit/>
        </w:trPr>
        <w:tc>
          <w:tcPr>
            <w:tcW w:w="0" w:type="auto"/>
            <w:shd w:val="clear" w:color="auto" w:fill="auto"/>
          </w:tcPr>
          <w:p w14:paraId="5464C2A0" w14:textId="77777777" w:rsidR="0091225F" w:rsidRPr="000F7953" w:rsidRDefault="0091225F" w:rsidP="00CD3F6B">
            <w:pPr>
              <w:rPr>
                <w:rFonts w:asciiTheme="minorHAnsi" w:eastAsia="Aptos" w:hAnsiTheme="minorHAnsi" w:cstheme="minorHAnsi"/>
                <w:sz w:val="22"/>
                <w:szCs w:val="22"/>
              </w:rPr>
            </w:pPr>
            <w:r w:rsidRPr="000F7953">
              <w:rPr>
                <w:rFonts w:asciiTheme="minorHAnsi" w:hAnsiTheme="minorHAnsi" w:cstheme="minorHAnsi"/>
                <w:sz w:val="22"/>
                <w:szCs w:val="22"/>
              </w:rPr>
              <w:t>Porcentaje de Partes que ha establecido un manejo cooperativo efectivo para los sistemas de humedales compartidos (por ejemplo, en las cuencas hidrográficas y zonas costeras compartidas).</w:t>
            </w:r>
          </w:p>
        </w:tc>
        <w:tc>
          <w:tcPr>
            <w:tcW w:w="0" w:type="auto"/>
            <w:shd w:val="clear" w:color="auto" w:fill="auto"/>
          </w:tcPr>
          <w:p w14:paraId="5576D4AA" w14:textId="5986D2C3" w:rsidR="0091225F" w:rsidRPr="000F7953" w:rsidRDefault="0091225F" w:rsidP="00FE33C7">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33</w:t>
            </w:r>
            <w:r w:rsidR="005601CD" w:rsidRPr="000F7953">
              <w:rPr>
                <w:rFonts w:asciiTheme="minorHAnsi" w:hAnsiTheme="minorHAnsi" w:cstheme="minorHAnsi"/>
                <w:b/>
                <w:bCs/>
                <w:sz w:val="22"/>
                <w:szCs w:val="22"/>
              </w:rPr>
              <w:t> %</w:t>
            </w:r>
          </w:p>
        </w:tc>
        <w:tc>
          <w:tcPr>
            <w:tcW w:w="0" w:type="auto"/>
            <w:shd w:val="clear" w:color="auto" w:fill="auto"/>
          </w:tcPr>
          <w:p w14:paraId="4AC96F0D" w14:textId="399E9548" w:rsidR="0091225F" w:rsidRPr="000F7953" w:rsidRDefault="0091225F" w:rsidP="00FE33C7">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32</w:t>
            </w:r>
            <w:r w:rsidR="005601CD" w:rsidRPr="000F7953">
              <w:rPr>
                <w:rFonts w:asciiTheme="minorHAnsi" w:hAnsiTheme="minorHAnsi" w:cstheme="minorHAnsi"/>
                <w:b/>
                <w:bCs/>
                <w:sz w:val="22"/>
                <w:szCs w:val="22"/>
              </w:rPr>
              <w:t> %</w:t>
            </w:r>
          </w:p>
        </w:tc>
        <w:tc>
          <w:tcPr>
            <w:tcW w:w="0" w:type="auto"/>
            <w:shd w:val="clear" w:color="auto" w:fill="auto"/>
          </w:tcPr>
          <w:p w14:paraId="2CB611C7" w14:textId="6F6E541A" w:rsidR="0091225F" w:rsidRPr="000F7953" w:rsidRDefault="0091225F" w:rsidP="00FE33C7">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39</w:t>
            </w:r>
            <w:r w:rsidR="005601CD" w:rsidRPr="000F7953">
              <w:rPr>
                <w:rFonts w:asciiTheme="minorHAnsi" w:hAnsiTheme="minorHAnsi" w:cstheme="minorHAnsi"/>
                <w:b/>
                <w:bCs/>
                <w:sz w:val="22"/>
                <w:szCs w:val="22"/>
              </w:rPr>
              <w:t> %</w:t>
            </w:r>
          </w:p>
        </w:tc>
        <w:tc>
          <w:tcPr>
            <w:tcW w:w="0" w:type="auto"/>
            <w:shd w:val="clear" w:color="auto" w:fill="auto"/>
          </w:tcPr>
          <w:p w14:paraId="5FD4C0C7" w14:textId="0E80A75A" w:rsidR="0091225F" w:rsidRPr="000F7953" w:rsidRDefault="0091225F" w:rsidP="00FE33C7">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38</w:t>
            </w:r>
            <w:r w:rsidR="005601CD" w:rsidRPr="000F7953">
              <w:rPr>
                <w:rFonts w:asciiTheme="minorHAnsi" w:hAnsiTheme="minorHAnsi" w:cstheme="minorHAnsi"/>
                <w:b/>
                <w:bCs/>
                <w:sz w:val="22"/>
                <w:szCs w:val="22"/>
              </w:rPr>
              <w:t> %</w:t>
            </w:r>
          </w:p>
        </w:tc>
        <w:tc>
          <w:tcPr>
            <w:tcW w:w="0" w:type="auto"/>
            <w:shd w:val="clear" w:color="auto" w:fill="auto"/>
          </w:tcPr>
          <w:p w14:paraId="7FF4890D" w14:textId="5EEF61DA" w:rsidR="0091225F" w:rsidRPr="000F7953" w:rsidRDefault="000C7C46" w:rsidP="00CD3F6B">
            <w:pPr>
              <w:rPr>
                <w:rFonts w:asciiTheme="minorHAnsi" w:eastAsia="Aptos" w:hAnsiTheme="minorHAnsi" w:cstheme="minorHAnsi"/>
                <w:sz w:val="22"/>
                <w:szCs w:val="22"/>
              </w:rPr>
            </w:pPr>
            <w:r w:rsidRPr="000F7953">
              <w:rPr>
                <w:rFonts w:asciiTheme="minorHAnsi" w:hAnsiTheme="minorHAnsi" w:cstheme="minorHAnsi"/>
                <w:noProof/>
                <w:sz w:val="22"/>
                <w:szCs w:val="22"/>
              </w:rPr>
              <w:drawing>
                <wp:inline distT="0" distB="0" distL="0" distR="0" wp14:anchorId="2379274A" wp14:editId="5CFB7DC0">
                  <wp:extent cx="712200" cy="432000"/>
                  <wp:effectExtent l="0" t="0" r="0" b="0"/>
                  <wp:docPr id="74830842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91225F" w:rsidRPr="000F7953" w14:paraId="31AC7828" w14:textId="77777777" w:rsidTr="00FE33C7">
        <w:trPr>
          <w:cantSplit/>
        </w:trPr>
        <w:tc>
          <w:tcPr>
            <w:tcW w:w="0" w:type="auto"/>
            <w:shd w:val="clear" w:color="auto" w:fill="auto"/>
          </w:tcPr>
          <w:p w14:paraId="5E1C375D" w14:textId="221F38DB" w:rsidR="0091225F" w:rsidRPr="000F7953" w:rsidRDefault="0091225F" w:rsidP="00CD3F6B">
            <w:pPr>
              <w:rPr>
                <w:rFonts w:asciiTheme="minorHAnsi" w:eastAsia="Aptos" w:hAnsiTheme="minorHAnsi" w:cstheme="minorHAnsi"/>
                <w:sz w:val="22"/>
                <w:szCs w:val="22"/>
              </w:rPr>
            </w:pPr>
            <w:r w:rsidRPr="000F7953">
              <w:rPr>
                <w:rFonts w:asciiTheme="minorHAnsi" w:hAnsiTheme="minorHAnsi" w:cstheme="minorHAnsi"/>
                <w:sz w:val="22"/>
                <w:szCs w:val="22"/>
              </w:rPr>
              <w:t>Porcentaje de Partes en las que existen mecanismos de coordinación para la aplicación de los AAM a escala nacional*.</w:t>
            </w:r>
          </w:p>
        </w:tc>
        <w:tc>
          <w:tcPr>
            <w:tcW w:w="0" w:type="auto"/>
            <w:shd w:val="clear" w:color="auto" w:fill="auto"/>
          </w:tcPr>
          <w:p w14:paraId="322700E4" w14:textId="4C55CC0E" w:rsidR="0091225F" w:rsidRPr="000F7953" w:rsidRDefault="007D00C1" w:rsidP="00FE33C7">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46</w:t>
            </w:r>
            <w:r w:rsidR="005601CD" w:rsidRPr="000F7953">
              <w:rPr>
                <w:rFonts w:asciiTheme="minorHAnsi" w:hAnsiTheme="minorHAnsi" w:cstheme="minorHAnsi"/>
                <w:b/>
                <w:bCs/>
                <w:sz w:val="22"/>
                <w:szCs w:val="22"/>
              </w:rPr>
              <w:t> %</w:t>
            </w:r>
          </w:p>
        </w:tc>
        <w:tc>
          <w:tcPr>
            <w:tcW w:w="0" w:type="auto"/>
            <w:shd w:val="clear" w:color="auto" w:fill="auto"/>
          </w:tcPr>
          <w:p w14:paraId="1D59EA72" w14:textId="2318E50C" w:rsidR="0091225F" w:rsidRPr="000F7953" w:rsidRDefault="0091225F" w:rsidP="00FE33C7">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42</w:t>
            </w:r>
            <w:r w:rsidR="005601CD" w:rsidRPr="000F7953">
              <w:rPr>
                <w:rFonts w:asciiTheme="minorHAnsi" w:hAnsiTheme="minorHAnsi" w:cstheme="minorHAnsi"/>
                <w:b/>
                <w:bCs/>
                <w:sz w:val="22"/>
                <w:szCs w:val="22"/>
              </w:rPr>
              <w:t> %</w:t>
            </w:r>
          </w:p>
        </w:tc>
        <w:tc>
          <w:tcPr>
            <w:tcW w:w="0" w:type="auto"/>
            <w:shd w:val="clear" w:color="auto" w:fill="auto"/>
          </w:tcPr>
          <w:p w14:paraId="1D83D30F" w14:textId="6337F8C5" w:rsidR="0091225F" w:rsidRPr="000F7953" w:rsidRDefault="0091225F" w:rsidP="00FE33C7">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45</w:t>
            </w:r>
            <w:r w:rsidR="005601CD" w:rsidRPr="000F7953">
              <w:rPr>
                <w:rFonts w:asciiTheme="minorHAnsi" w:hAnsiTheme="minorHAnsi" w:cstheme="minorHAnsi"/>
                <w:b/>
                <w:bCs/>
                <w:sz w:val="22"/>
                <w:szCs w:val="22"/>
              </w:rPr>
              <w:t> %</w:t>
            </w:r>
          </w:p>
        </w:tc>
        <w:tc>
          <w:tcPr>
            <w:tcW w:w="0" w:type="auto"/>
            <w:shd w:val="clear" w:color="auto" w:fill="auto"/>
          </w:tcPr>
          <w:p w14:paraId="6544B067" w14:textId="0995698E" w:rsidR="0091225F" w:rsidRPr="000F7953" w:rsidRDefault="0091225F" w:rsidP="00FE33C7">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52</w:t>
            </w:r>
            <w:r w:rsidR="005601CD" w:rsidRPr="000F7953">
              <w:rPr>
                <w:rFonts w:asciiTheme="minorHAnsi" w:hAnsiTheme="minorHAnsi" w:cstheme="minorHAnsi"/>
                <w:b/>
                <w:bCs/>
                <w:sz w:val="22"/>
                <w:szCs w:val="22"/>
              </w:rPr>
              <w:t> %</w:t>
            </w:r>
          </w:p>
        </w:tc>
        <w:tc>
          <w:tcPr>
            <w:tcW w:w="0" w:type="auto"/>
            <w:shd w:val="clear" w:color="auto" w:fill="auto"/>
          </w:tcPr>
          <w:p w14:paraId="173043F9" w14:textId="1121AD06" w:rsidR="0091225F" w:rsidRPr="000F7953" w:rsidRDefault="00FD7078" w:rsidP="00CD3F6B">
            <w:pPr>
              <w:rPr>
                <w:rFonts w:asciiTheme="minorHAnsi" w:eastAsia="Aptos" w:hAnsiTheme="minorHAnsi" w:cstheme="minorHAnsi"/>
                <w:sz w:val="22"/>
                <w:szCs w:val="22"/>
              </w:rPr>
            </w:pPr>
            <w:r w:rsidRPr="000F7953">
              <w:rPr>
                <w:rFonts w:asciiTheme="minorHAnsi" w:hAnsiTheme="minorHAnsi" w:cstheme="minorHAnsi"/>
                <w:noProof/>
                <w:sz w:val="22"/>
                <w:szCs w:val="22"/>
              </w:rPr>
              <w:drawing>
                <wp:inline distT="0" distB="0" distL="0" distR="0" wp14:anchorId="3756E7F4" wp14:editId="1C2A6496">
                  <wp:extent cx="712200" cy="432000"/>
                  <wp:effectExtent l="0" t="0" r="0" b="0"/>
                  <wp:docPr id="836732519"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91225F" w:rsidRPr="000F7953" w14:paraId="43C6B1E3" w14:textId="77777777" w:rsidTr="00FE33C7">
        <w:trPr>
          <w:cantSplit/>
        </w:trPr>
        <w:tc>
          <w:tcPr>
            <w:tcW w:w="0" w:type="auto"/>
            <w:shd w:val="clear" w:color="auto" w:fill="auto"/>
          </w:tcPr>
          <w:p w14:paraId="408A620F" w14:textId="16027677" w:rsidR="0091225F" w:rsidRPr="000F7953" w:rsidRDefault="0091225F" w:rsidP="00CD3F6B">
            <w:pPr>
              <w:rPr>
                <w:rFonts w:asciiTheme="minorHAnsi" w:eastAsia="Aptos" w:hAnsiTheme="minorHAnsi" w:cstheme="minorHAnsi"/>
                <w:sz w:val="22"/>
                <w:szCs w:val="22"/>
              </w:rPr>
            </w:pPr>
            <w:r w:rsidRPr="000F7953">
              <w:rPr>
                <w:rFonts w:asciiTheme="minorHAnsi" w:hAnsiTheme="minorHAnsi" w:cstheme="minorHAnsi"/>
                <w:sz w:val="22"/>
                <w:szCs w:val="22"/>
              </w:rPr>
              <w:t>Número de Partes que se han adherido a la Convención.</w:t>
            </w:r>
          </w:p>
        </w:tc>
        <w:tc>
          <w:tcPr>
            <w:tcW w:w="0" w:type="auto"/>
            <w:shd w:val="clear" w:color="auto" w:fill="auto"/>
          </w:tcPr>
          <w:p w14:paraId="22D4E959" w14:textId="77777777" w:rsidR="0091225F" w:rsidRPr="000F7953" w:rsidRDefault="0091225F" w:rsidP="00FE33C7">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168</w:t>
            </w:r>
          </w:p>
        </w:tc>
        <w:tc>
          <w:tcPr>
            <w:tcW w:w="0" w:type="auto"/>
            <w:shd w:val="clear" w:color="auto" w:fill="auto"/>
          </w:tcPr>
          <w:p w14:paraId="5D08CEBA" w14:textId="77777777" w:rsidR="0091225F" w:rsidRPr="000F7953" w:rsidRDefault="0091225F" w:rsidP="00FE33C7">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+2</w:t>
            </w:r>
          </w:p>
        </w:tc>
        <w:tc>
          <w:tcPr>
            <w:tcW w:w="0" w:type="auto"/>
            <w:shd w:val="clear" w:color="auto" w:fill="auto"/>
          </w:tcPr>
          <w:p w14:paraId="35EF95C7" w14:textId="77777777" w:rsidR="0091225F" w:rsidRPr="000F7953" w:rsidRDefault="0091225F" w:rsidP="00FE33C7">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+2</w:t>
            </w:r>
          </w:p>
        </w:tc>
        <w:tc>
          <w:tcPr>
            <w:tcW w:w="0" w:type="auto"/>
            <w:shd w:val="clear" w:color="auto" w:fill="auto"/>
          </w:tcPr>
          <w:p w14:paraId="4351D5D3" w14:textId="77777777" w:rsidR="0091225F" w:rsidRPr="000F7953" w:rsidRDefault="0091225F" w:rsidP="00FE33C7">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0</w:t>
            </w:r>
          </w:p>
        </w:tc>
        <w:tc>
          <w:tcPr>
            <w:tcW w:w="0" w:type="auto"/>
            <w:shd w:val="clear" w:color="auto" w:fill="auto"/>
          </w:tcPr>
          <w:p w14:paraId="3584D406" w14:textId="72474A26" w:rsidR="0091225F" w:rsidRPr="000F7953" w:rsidRDefault="00341DDD" w:rsidP="00CD3F6B">
            <w:pPr>
              <w:rPr>
                <w:rFonts w:asciiTheme="minorHAnsi" w:eastAsia="Aptos" w:hAnsiTheme="minorHAnsi" w:cstheme="minorHAnsi"/>
                <w:sz w:val="22"/>
                <w:szCs w:val="22"/>
              </w:rPr>
            </w:pPr>
            <w:r w:rsidRPr="000F7953">
              <w:rPr>
                <w:rFonts w:asciiTheme="minorHAnsi" w:hAnsiTheme="minorHAnsi" w:cstheme="minorHAnsi"/>
                <w:noProof/>
                <w:sz w:val="22"/>
                <w:szCs w:val="22"/>
              </w:rPr>
              <w:drawing>
                <wp:inline distT="0" distB="0" distL="0" distR="0" wp14:anchorId="53B0EA36" wp14:editId="7167AB96">
                  <wp:extent cx="712200" cy="432000"/>
                  <wp:effectExtent l="0" t="0" r="0" b="0"/>
                  <wp:docPr id="1455364551"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91225F" w:rsidRPr="000F7953" w14:paraId="7C5C087E" w14:textId="77777777" w:rsidTr="00FE33C7">
        <w:trPr>
          <w:cantSplit/>
        </w:trPr>
        <w:tc>
          <w:tcPr>
            <w:tcW w:w="0" w:type="auto"/>
            <w:shd w:val="clear" w:color="auto" w:fill="auto"/>
          </w:tcPr>
          <w:p w14:paraId="38A324C9" w14:textId="2C137402" w:rsidR="0091225F" w:rsidRPr="000F7953" w:rsidRDefault="0091225F" w:rsidP="00CD3F6B">
            <w:pPr>
              <w:rPr>
                <w:rFonts w:asciiTheme="minorHAnsi" w:eastAsia="Aptos" w:hAnsiTheme="minorHAnsi" w:cstheme="minorHAnsi"/>
                <w:sz w:val="22"/>
                <w:szCs w:val="22"/>
              </w:rPr>
            </w:pPr>
            <w:r w:rsidRPr="000F7953">
              <w:rPr>
                <w:rFonts w:asciiTheme="minorHAnsi" w:hAnsiTheme="minorHAnsi" w:cstheme="minorHAnsi"/>
                <w:sz w:val="22"/>
                <w:szCs w:val="22"/>
              </w:rPr>
              <w:t>Número total de sitios Ramsar transfronterizos.</w:t>
            </w:r>
          </w:p>
        </w:tc>
        <w:tc>
          <w:tcPr>
            <w:tcW w:w="0" w:type="auto"/>
            <w:shd w:val="clear" w:color="auto" w:fill="auto"/>
          </w:tcPr>
          <w:p w14:paraId="202E26A1" w14:textId="77777777" w:rsidR="0091225F" w:rsidRPr="000F7953" w:rsidRDefault="0091225F" w:rsidP="00FE33C7">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16</w:t>
            </w:r>
          </w:p>
        </w:tc>
        <w:tc>
          <w:tcPr>
            <w:tcW w:w="0" w:type="auto"/>
            <w:shd w:val="clear" w:color="auto" w:fill="auto"/>
          </w:tcPr>
          <w:p w14:paraId="258CC27C" w14:textId="77777777" w:rsidR="0091225F" w:rsidRPr="000F7953" w:rsidRDefault="0091225F" w:rsidP="00FE33C7">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23</w:t>
            </w:r>
          </w:p>
        </w:tc>
        <w:tc>
          <w:tcPr>
            <w:tcW w:w="0" w:type="auto"/>
            <w:shd w:val="clear" w:color="auto" w:fill="auto"/>
          </w:tcPr>
          <w:p w14:paraId="240DDA47" w14:textId="77777777" w:rsidR="0091225F" w:rsidRPr="000F7953" w:rsidRDefault="0091225F" w:rsidP="00FE33C7">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25</w:t>
            </w:r>
          </w:p>
        </w:tc>
        <w:tc>
          <w:tcPr>
            <w:tcW w:w="0" w:type="auto"/>
            <w:shd w:val="clear" w:color="auto" w:fill="auto"/>
          </w:tcPr>
          <w:p w14:paraId="427B975B" w14:textId="77777777" w:rsidR="0091225F" w:rsidRPr="000F7953" w:rsidRDefault="0091225F" w:rsidP="00FE33C7">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26</w:t>
            </w:r>
          </w:p>
        </w:tc>
        <w:tc>
          <w:tcPr>
            <w:tcW w:w="0" w:type="auto"/>
            <w:shd w:val="clear" w:color="auto" w:fill="auto"/>
          </w:tcPr>
          <w:p w14:paraId="1A6A556D" w14:textId="2596A7B0" w:rsidR="0091225F" w:rsidRPr="000F7953" w:rsidRDefault="00654E7A" w:rsidP="00CD3F6B">
            <w:pPr>
              <w:rPr>
                <w:rFonts w:asciiTheme="minorHAnsi" w:eastAsia="Aptos" w:hAnsiTheme="minorHAnsi" w:cstheme="minorHAnsi"/>
                <w:sz w:val="22"/>
                <w:szCs w:val="22"/>
              </w:rPr>
            </w:pPr>
            <w:r w:rsidRPr="000F7953">
              <w:rPr>
                <w:rFonts w:asciiTheme="minorHAnsi" w:hAnsiTheme="minorHAnsi" w:cstheme="minorHAnsi"/>
                <w:noProof/>
                <w:sz w:val="22"/>
                <w:szCs w:val="22"/>
              </w:rPr>
              <w:drawing>
                <wp:inline distT="0" distB="0" distL="0" distR="0" wp14:anchorId="0E0FC025" wp14:editId="2145D875">
                  <wp:extent cx="712200" cy="432000"/>
                  <wp:effectExtent l="0" t="0" r="0" b="0"/>
                  <wp:docPr id="210890413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bl>
    <w:p w14:paraId="243A7647" w14:textId="7DAD06DD" w:rsidR="00DF29D0" w:rsidRPr="000F7953" w:rsidRDefault="00C97984" w:rsidP="00CD3F6B">
      <w:pPr>
        <w:rPr>
          <w:rFonts w:asciiTheme="minorHAnsi" w:hAnsiTheme="minorHAnsi" w:cstheme="minorHAnsi"/>
          <w:sz w:val="22"/>
          <w:szCs w:val="22"/>
        </w:rPr>
      </w:pPr>
      <w:r w:rsidRPr="000F7953">
        <w:rPr>
          <w:rFonts w:asciiTheme="minorHAnsi" w:hAnsiTheme="minorHAnsi" w:cstheme="minorHAnsi"/>
          <w:sz w:val="22"/>
          <w:szCs w:val="22"/>
        </w:rPr>
        <w:t xml:space="preserve">* Muestra el porcentaje de Partes Contratantes que disponen de mecanismos de colaboración entre la Autoridad Administrativa para la Convención y los coordinadores para las Naciones Unidas y otros órganos y organismos regionales y mundiales. Los valores de referencia se basan en los informes nacionales presentados a la COP12. </w:t>
      </w:r>
    </w:p>
    <w:p w14:paraId="7EF28EA0" w14:textId="77777777" w:rsidR="00C97984" w:rsidRPr="000F7953" w:rsidRDefault="00C97984" w:rsidP="00CD3F6B">
      <w:pPr>
        <w:rPr>
          <w:rFonts w:asciiTheme="minorHAnsi" w:hAnsiTheme="minorHAnsi" w:cstheme="minorHAnsi"/>
          <w:b/>
          <w:bCs/>
          <w:sz w:val="22"/>
          <w:szCs w:val="22"/>
        </w:rPr>
      </w:pPr>
    </w:p>
    <w:p w14:paraId="2A2D124B" w14:textId="38393BD8" w:rsidR="00D2049E" w:rsidRPr="000F7953" w:rsidRDefault="004C033F" w:rsidP="000D551C">
      <w:pPr>
        <w:keepNext/>
        <w:rPr>
          <w:rFonts w:asciiTheme="minorHAnsi" w:hAnsiTheme="minorHAnsi" w:cstheme="minorHAnsi"/>
          <w:i/>
          <w:iCs/>
          <w:sz w:val="22"/>
          <w:szCs w:val="22"/>
          <w:u w:val="single"/>
        </w:rPr>
      </w:pPr>
      <w:r w:rsidRPr="000F7953">
        <w:rPr>
          <w:rFonts w:asciiTheme="minorHAnsi" w:hAnsiTheme="minorHAnsi" w:cstheme="minorHAnsi"/>
          <w:i/>
          <w:iCs/>
          <w:sz w:val="22"/>
          <w:szCs w:val="22"/>
          <w:u w:val="single"/>
        </w:rPr>
        <w:t xml:space="preserve">Resumen de los progresos realizados </w:t>
      </w:r>
    </w:p>
    <w:p w14:paraId="12FAD6F8" w14:textId="77777777" w:rsidR="004C033F" w:rsidRPr="000F7953" w:rsidRDefault="004C033F" w:rsidP="000D551C">
      <w:pPr>
        <w:keepNext/>
        <w:rPr>
          <w:rFonts w:asciiTheme="minorHAnsi" w:hAnsiTheme="minorHAnsi" w:cstheme="minorHAnsi"/>
          <w:b/>
          <w:bCs/>
          <w:sz w:val="22"/>
          <w:szCs w:val="22"/>
        </w:rPr>
      </w:pPr>
    </w:p>
    <w:p w14:paraId="6A44E0FF" w14:textId="5AA97F86" w:rsidR="004C033F" w:rsidRPr="000F7953" w:rsidRDefault="000E3338"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t>113.</w:t>
      </w:r>
      <w:r w:rsidRPr="000F7953">
        <w:rPr>
          <w:rFonts w:asciiTheme="minorHAnsi" w:hAnsiTheme="minorHAnsi" w:cstheme="minorHAnsi"/>
          <w:sz w:val="22"/>
          <w:szCs w:val="22"/>
        </w:rPr>
        <w:tab/>
        <w:t>El número de IRR ha aumentado, mientras que la participación de las Partes Contratantes en las IRR se ha mantenido relativamente estable. Se observa un modesto aumento en la creación de redes, incluidos los acuerdos de hermanamiento para el intercambio de conocimientos y la realización de formaciones, así como la gestión cooperativa para los sistemas de humedales compartidos. La participación en las redes o en las iniciativas regionales para especies migratorias que dependen de los humedales es particularmente alta, aumentando gradualmente desde un valor de referencia del 73</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de las Partes hasta el 83</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para la COP15.</w:t>
      </w:r>
    </w:p>
    <w:p w14:paraId="3E34934B" w14:textId="77777777" w:rsidR="00C83DD4" w:rsidRPr="000F7953" w:rsidRDefault="00C83DD4" w:rsidP="00257025">
      <w:pPr>
        <w:ind w:left="567" w:hanging="567"/>
        <w:rPr>
          <w:rFonts w:asciiTheme="minorHAnsi" w:hAnsiTheme="minorHAnsi" w:cstheme="minorHAnsi"/>
          <w:sz w:val="22"/>
          <w:szCs w:val="22"/>
          <w:lang w:eastAsia="fr-FR"/>
        </w:rPr>
      </w:pPr>
    </w:p>
    <w:p w14:paraId="6F78915E" w14:textId="0BB7B794" w:rsidR="004C033F" w:rsidRPr="000F7953" w:rsidRDefault="000E3338"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t>114.</w:t>
      </w:r>
      <w:r w:rsidRPr="000F7953">
        <w:rPr>
          <w:rFonts w:asciiTheme="minorHAnsi" w:hAnsiTheme="minorHAnsi" w:cstheme="minorHAnsi"/>
          <w:sz w:val="22"/>
          <w:szCs w:val="22"/>
        </w:rPr>
        <w:tab/>
        <w:t>Más de un tercio de las Partes Contratantes afirman que cuentan con una gestión eficaz de los sistemas de humedales compartidos, como las cuencas fluviales y las zonas costeras compartidas. Se trata de un ligero aumento durante el período cubierto por el PE4. Más de la mitad de las Partes han identificado todos sus sistemas de humedales transfronterizos.</w:t>
      </w:r>
    </w:p>
    <w:p w14:paraId="02523CD8" w14:textId="77777777" w:rsidR="00676AE5" w:rsidRPr="000F7953" w:rsidRDefault="00676AE5" w:rsidP="00257025">
      <w:pPr>
        <w:ind w:left="567" w:hanging="567"/>
        <w:rPr>
          <w:rFonts w:asciiTheme="minorHAnsi" w:hAnsiTheme="minorHAnsi" w:cstheme="minorHAnsi"/>
          <w:sz w:val="22"/>
          <w:szCs w:val="22"/>
          <w:lang w:eastAsia="fr-FR"/>
        </w:rPr>
      </w:pPr>
    </w:p>
    <w:p w14:paraId="7F6DB137" w14:textId="0FE4352C" w:rsidR="004C033F" w:rsidRPr="000F7953" w:rsidRDefault="000E3338"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t>115.</w:t>
      </w:r>
      <w:r w:rsidRPr="000F7953">
        <w:rPr>
          <w:rFonts w:asciiTheme="minorHAnsi" w:hAnsiTheme="minorHAnsi" w:cstheme="minorHAnsi"/>
          <w:sz w:val="22"/>
          <w:szCs w:val="22"/>
        </w:rPr>
        <w:tab/>
        <w:t xml:space="preserve">A la fecha de la COP15, más de la mitad de las Partes Contratantes disponen de mecanismos de colaboración entre la Autoridad Administrativa para la Convención y los coordinadores para las Naciones Unidas y otros órganos y organismos regionales y mundiales. Esto supone </w:t>
      </w:r>
      <w:r w:rsidRPr="000F7953">
        <w:rPr>
          <w:rFonts w:asciiTheme="minorHAnsi" w:hAnsiTheme="minorHAnsi" w:cstheme="minorHAnsi"/>
          <w:sz w:val="22"/>
          <w:szCs w:val="22"/>
        </w:rPr>
        <w:lastRenderedPageBreak/>
        <w:t>un aumento de diez puntos porcentuales desde la COP13. Un 24</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indican que disponen parcialmente de dichos mecanismos. Sin embargo, hay un ligero descenso en la proporción de Partes que informan que se invita a los coordinadores nacionales de otros AAM a participar en los comités nacionales Ramsar / sobre humedales, del 42</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para la COP13 al 37</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para la COP15. El descenso es relativamente grande en África, atribuido a deficiencias de capacidad y financiación, mientras que en Asia se registra un aumento significativo. </w:t>
      </w:r>
    </w:p>
    <w:p w14:paraId="668616C3" w14:textId="77777777" w:rsidR="00D2049E" w:rsidRPr="000F7953" w:rsidRDefault="00D2049E" w:rsidP="00257025">
      <w:pPr>
        <w:ind w:left="567" w:hanging="567"/>
        <w:rPr>
          <w:rFonts w:asciiTheme="minorHAnsi" w:hAnsiTheme="minorHAnsi" w:cstheme="minorHAnsi"/>
          <w:sz w:val="22"/>
          <w:szCs w:val="22"/>
          <w:lang w:eastAsia="fr-FR"/>
        </w:rPr>
      </w:pPr>
    </w:p>
    <w:p w14:paraId="4C992847" w14:textId="31F731D1" w:rsidR="002601E4" w:rsidRPr="000F7953" w:rsidRDefault="000E3338"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t>116.</w:t>
      </w:r>
      <w:r w:rsidRPr="000F7953">
        <w:rPr>
          <w:rFonts w:asciiTheme="minorHAnsi" w:hAnsiTheme="minorHAnsi" w:cstheme="minorHAnsi"/>
          <w:sz w:val="22"/>
          <w:szCs w:val="22"/>
        </w:rPr>
        <w:tab/>
        <w:t xml:space="preserve">La proporción de Partes Contratantes que proporcionan respuestas descriptivas en los informes nacionales ha aumentado en general, proporcionando más información cualitativa tanto sobre los progresos realizados como sobre los retos. Las recomendaciones para reforzar la aplicación incluyen hacer más hincapié en la comunicación entre los coordinadores de los AAM, lo que incluye promover el aprendizaje entre pares (Suecia y Canadá, entre otros, han proporcionado modelos exitosos) y abordar las persistentes deficiencias de capacidad y financiación. </w:t>
      </w:r>
    </w:p>
    <w:p w14:paraId="41622B12" w14:textId="77777777" w:rsidR="00375762" w:rsidRPr="000F7953" w:rsidRDefault="00375762" w:rsidP="003E56FD">
      <w:pPr>
        <w:rPr>
          <w:rFonts w:asciiTheme="minorHAnsi" w:hAnsiTheme="minorHAnsi" w:cstheme="minorHAnsi"/>
        </w:rPr>
      </w:pPr>
    </w:p>
    <w:p w14:paraId="2452EF50" w14:textId="77777777" w:rsidR="003E56FD" w:rsidRPr="000F7953" w:rsidRDefault="003E56FD" w:rsidP="003E56FD">
      <w:pPr>
        <w:rPr>
          <w:rFonts w:asciiTheme="minorHAnsi" w:hAnsiTheme="minorHAnsi" w:cstheme="minorHAnsi"/>
        </w:rPr>
      </w:pPr>
    </w:p>
    <w:tbl>
      <w:tblPr>
        <w:tblStyle w:val="TableGrid16"/>
        <w:tblW w:w="9354" w:type="dxa"/>
        <w:tblLook w:val="04A0" w:firstRow="1" w:lastRow="0" w:firstColumn="1" w:lastColumn="0" w:noHBand="0" w:noVBand="1"/>
      </w:tblPr>
      <w:tblGrid>
        <w:gridCol w:w="9354"/>
      </w:tblGrid>
      <w:tr w:rsidR="00180A86" w:rsidRPr="000F7953" w14:paraId="5DF2711B" w14:textId="77777777" w:rsidTr="003E56FD">
        <w:tc>
          <w:tcPr>
            <w:tcW w:w="9354" w:type="dxa"/>
            <w:vAlign w:val="center"/>
          </w:tcPr>
          <w:p w14:paraId="1153BD7C" w14:textId="0C38BEBD" w:rsidR="00A42A86" w:rsidRPr="000F7953" w:rsidRDefault="00180A86" w:rsidP="008A3659">
            <w:pPr>
              <w:keepNext/>
              <w:spacing w:before="120" w:after="120"/>
              <w:rPr>
                <w:rFonts w:asciiTheme="minorHAnsi" w:hAnsiTheme="minorHAnsi" w:cstheme="minorHAnsi"/>
                <w:b/>
                <w:sz w:val="22"/>
                <w:szCs w:val="22"/>
              </w:rPr>
            </w:pPr>
            <w:r w:rsidRPr="000F7953">
              <w:rPr>
                <w:rFonts w:asciiTheme="minorHAnsi" w:hAnsiTheme="minorHAnsi" w:cstheme="minorHAnsi"/>
                <w:b/>
                <w:sz w:val="22"/>
                <w:szCs w:val="22"/>
              </w:rPr>
              <w:t xml:space="preserve">Meta 19. Se potencia la creación de capacidad para la aplicación de la Convención y su Cuarto Plan Estratégico 2016-2024. </w:t>
            </w:r>
          </w:p>
          <w:p w14:paraId="26CE9337" w14:textId="1587CD8F" w:rsidR="00180A86" w:rsidRPr="000F7953" w:rsidRDefault="003E7D5D" w:rsidP="008A3659">
            <w:pPr>
              <w:keepNext/>
              <w:spacing w:before="120" w:after="120"/>
              <w:rPr>
                <w:rFonts w:asciiTheme="minorHAnsi" w:hAnsiTheme="minorHAnsi" w:cstheme="minorHAnsi"/>
                <w:bCs/>
                <w:sz w:val="22"/>
                <w:szCs w:val="22"/>
              </w:rPr>
            </w:pPr>
            <w:r w:rsidRPr="000F7953">
              <w:rPr>
                <w:rFonts w:asciiTheme="minorHAnsi" w:hAnsiTheme="minorHAnsi" w:cstheme="minorHAnsi"/>
                <w:bCs/>
                <w:sz w:val="22"/>
                <w:szCs w:val="22"/>
              </w:rPr>
              <w:t>Contribuye a la meta 20 del MMB-KM y a las metas 2.4, 6.a, 11.3, 13.1, 13.3, 15.c y 17.9 de los ODS.</w:t>
            </w:r>
          </w:p>
        </w:tc>
      </w:tr>
    </w:tbl>
    <w:p w14:paraId="01308249" w14:textId="77777777" w:rsidR="003E7D5D" w:rsidRPr="000F7953" w:rsidRDefault="003E7D5D" w:rsidP="000D551C">
      <w:pPr>
        <w:keepNext/>
        <w:rPr>
          <w:rFonts w:asciiTheme="minorHAnsi" w:hAnsiTheme="minorHAnsi" w:cstheme="minorHAnsi"/>
          <w:b/>
          <w:sz w:val="22"/>
          <w:szCs w:val="22"/>
          <w:lang w:eastAsia="fr-FR"/>
        </w:rPr>
      </w:pPr>
    </w:p>
    <w:p w14:paraId="1908DDF9" w14:textId="22DFDD10" w:rsidR="00503B21" w:rsidRPr="000F7953" w:rsidRDefault="00503B21" w:rsidP="000D551C">
      <w:pPr>
        <w:keepNext/>
        <w:rPr>
          <w:rFonts w:asciiTheme="minorHAnsi" w:hAnsiTheme="minorHAnsi" w:cstheme="minorHAnsi"/>
          <w:bCs/>
          <w:i/>
          <w:iCs/>
          <w:sz w:val="22"/>
          <w:szCs w:val="22"/>
          <w:u w:val="single"/>
        </w:rPr>
      </w:pPr>
      <w:r w:rsidRPr="000F7953">
        <w:rPr>
          <w:rFonts w:asciiTheme="minorHAnsi" w:hAnsiTheme="minorHAnsi" w:cstheme="minorHAnsi"/>
          <w:bCs/>
          <w:i/>
          <w:iCs/>
          <w:sz w:val="22"/>
          <w:szCs w:val="22"/>
          <w:u w:val="single"/>
        </w:rPr>
        <w:t xml:space="preserve">Mensaje clave </w:t>
      </w:r>
    </w:p>
    <w:p w14:paraId="4928D665" w14:textId="77777777" w:rsidR="00717C74" w:rsidRPr="000F7953" w:rsidRDefault="00717C74" w:rsidP="000D551C">
      <w:pPr>
        <w:keepNext/>
        <w:rPr>
          <w:rFonts w:asciiTheme="minorHAnsi" w:hAnsiTheme="minorHAnsi" w:cstheme="minorHAnsi"/>
          <w:bCs/>
          <w:sz w:val="22"/>
          <w:szCs w:val="22"/>
          <w:lang w:eastAsia="fr-FR"/>
        </w:rPr>
      </w:pPr>
    </w:p>
    <w:p w14:paraId="5E38CBED" w14:textId="20B2E159" w:rsidR="0095024B" w:rsidRPr="000F7953" w:rsidRDefault="000E3338"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t>117.</w:t>
      </w:r>
      <w:r w:rsidRPr="000F7953">
        <w:rPr>
          <w:rFonts w:asciiTheme="minorHAnsi" w:hAnsiTheme="minorHAnsi" w:cstheme="minorHAnsi"/>
          <w:sz w:val="22"/>
          <w:szCs w:val="22"/>
        </w:rPr>
        <w:tab/>
        <w:t>Aunque muchas Partes Contratantes y ONG llevan a cabo una labor de fomento de capacidad para la aplicación de la Convención, son relativamente pocas las Partes que han realizado evaluaciones de las necesidades nacionales.</w:t>
      </w:r>
    </w:p>
    <w:p w14:paraId="3AE8CE6A" w14:textId="4B93CC66" w:rsidR="00503B21" w:rsidRPr="000F7953" w:rsidRDefault="00503B21" w:rsidP="00A338FF">
      <w:pPr>
        <w:rPr>
          <w:rFonts w:asciiTheme="minorHAnsi" w:hAnsiTheme="minorHAnsi" w:cstheme="minorHAnsi"/>
          <w:bCs/>
          <w:lang w:eastAsia="fr-FR"/>
        </w:rPr>
      </w:pPr>
    </w:p>
    <w:tbl>
      <w:tblPr>
        <w:tblStyle w:val="TableGrid35"/>
        <w:tblW w:w="9353" w:type="dxa"/>
        <w:tblLayout w:type="fixed"/>
        <w:tblLook w:val="04A0" w:firstRow="1" w:lastRow="0" w:firstColumn="1" w:lastColumn="0" w:noHBand="0" w:noVBand="1"/>
      </w:tblPr>
      <w:tblGrid>
        <w:gridCol w:w="4252"/>
        <w:gridCol w:w="992"/>
        <w:gridCol w:w="850"/>
        <w:gridCol w:w="850"/>
        <w:gridCol w:w="850"/>
        <w:gridCol w:w="1559"/>
      </w:tblGrid>
      <w:tr w:rsidR="0091225F" w:rsidRPr="000F7953" w14:paraId="0DA3C2D8" w14:textId="77777777" w:rsidTr="00FE33C7">
        <w:trPr>
          <w:cantSplit/>
        </w:trPr>
        <w:tc>
          <w:tcPr>
            <w:tcW w:w="4252" w:type="dxa"/>
            <w:vAlign w:val="center"/>
            <w:hideMark/>
          </w:tcPr>
          <w:p w14:paraId="143C531B" w14:textId="77777777" w:rsidR="0091225F" w:rsidRPr="000F7953" w:rsidRDefault="0091225F"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Indicador</w:t>
            </w:r>
          </w:p>
        </w:tc>
        <w:tc>
          <w:tcPr>
            <w:tcW w:w="992" w:type="dxa"/>
            <w:vAlign w:val="center"/>
            <w:hideMark/>
          </w:tcPr>
          <w:p w14:paraId="49902BB4" w14:textId="77777777" w:rsidR="0091225F" w:rsidRPr="000F7953" w:rsidRDefault="0091225F"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COP12</w:t>
            </w:r>
          </w:p>
          <w:p w14:paraId="44D25FB6" w14:textId="18D13A5D" w:rsidR="0091225F" w:rsidRPr="000F7953" w:rsidRDefault="0091225F"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Referencia</w:t>
            </w:r>
          </w:p>
        </w:tc>
        <w:tc>
          <w:tcPr>
            <w:tcW w:w="850" w:type="dxa"/>
            <w:vAlign w:val="center"/>
            <w:hideMark/>
          </w:tcPr>
          <w:p w14:paraId="55AE9E4F" w14:textId="77777777" w:rsidR="0091225F" w:rsidRPr="000F7953" w:rsidRDefault="0091225F"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COP13</w:t>
            </w:r>
          </w:p>
        </w:tc>
        <w:tc>
          <w:tcPr>
            <w:tcW w:w="850" w:type="dxa"/>
            <w:vAlign w:val="center"/>
            <w:hideMark/>
          </w:tcPr>
          <w:p w14:paraId="26FC2AB2" w14:textId="77777777" w:rsidR="0091225F" w:rsidRPr="000F7953" w:rsidRDefault="0091225F"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COP14</w:t>
            </w:r>
          </w:p>
        </w:tc>
        <w:tc>
          <w:tcPr>
            <w:tcW w:w="850" w:type="dxa"/>
            <w:vAlign w:val="center"/>
            <w:hideMark/>
          </w:tcPr>
          <w:p w14:paraId="32FEBB04" w14:textId="77777777" w:rsidR="0091225F" w:rsidRPr="000F7953" w:rsidRDefault="0091225F"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COP15</w:t>
            </w:r>
          </w:p>
        </w:tc>
        <w:tc>
          <w:tcPr>
            <w:tcW w:w="1559" w:type="dxa"/>
            <w:vAlign w:val="center"/>
            <w:hideMark/>
          </w:tcPr>
          <w:p w14:paraId="715965D0" w14:textId="77777777" w:rsidR="0091225F" w:rsidRPr="000F7953" w:rsidRDefault="0091225F" w:rsidP="0078307B">
            <w:pPr>
              <w:keepNext/>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Tendencia</w:t>
            </w:r>
          </w:p>
        </w:tc>
      </w:tr>
      <w:tr w:rsidR="0091225F" w:rsidRPr="000F7953" w14:paraId="1E0312A4" w14:textId="77777777" w:rsidTr="00FE33C7">
        <w:trPr>
          <w:cantSplit/>
        </w:trPr>
        <w:tc>
          <w:tcPr>
            <w:tcW w:w="4252" w:type="dxa"/>
          </w:tcPr>
          <w:p w14:paraId="5E7689B2" w14:textId="064CD677" w:rsidR="0091225F" w:rsidRPr="000F7953" w:rsidRDefault="0091225F" w:rsidP="00CD3F6B">
            <w:pPr>
              <w:rPr>
                <w:rFonts w:asciiTheme="minorHAnsi" w:eastAsia="Aptos" w:hAnsiTheme="minorHAnsi" w:cstheme="minorHAnsi"/>
                <w:sz w:val="22"/>
                <w:szCs w:val="22"/>
              </w:rPr>
            </w:pPr>
            <w:r w:rsidRPr="000F7953">
              <w:rPr>
                <w:rFonts w:asciiTheme="minorHAnsi" w:hAnsiTheme="minorHAnsi" w:cstheme="minorHAnsi"/>
                <w:sz w:val="22"/>
                <w:szCs w:val="22"/>
              </w:rPr>
              <w:t>Porcentaje de Partes han realizado una evaluación de las necesidades de capacitación a escala nacional y local para la aplicación de la Convención.</w:t>
            </w:r>
          </w:p>
        </w:tc>
        <w:tc>
          <w:tcPr>
            <w:tcW w:w="992" w:type="dxa"/>
          </w:tcPr>
          <w:p w14:paraId="3D87AF2A" w14:textId="4F57B39D" w:rsidR="0091225F" w:rsidRPr="000F7953" w:rsidRDefault="0091225F" w:rsidP="00FE33C7">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20</w:t>
            </w:r>
            <w:r w:rsidR="005601CD" w:rsidRPr="000F7953">
              <w:rPr>
                <w:rFonts w:asciiTheme="minorHAnsi" w:hAnsiTheme="minorHAnsi" w:cstheme="minorHAnsi"/>
                <w:b/>
                <w:bCs/>
                <w:sz w:val="22"/>
                <w:szCs w:val="22"/>
              </w:rPr>
              <w:t> %</w:t>
            </w:r>
          </w:p>
        </w:tc>
        <w:tc>
          <w:tcPr>
            <w:tcW w:w="850" w:type="dxa"/>
          </w:tcPr>
          <w:p w14:paraId="1957A13F" w14:textId="78F7C7E4" w:rsidR="0091225F" w:rsidRPr="000F7953" w:rsidRDefault="0091225F" w:rsidP="00FE33C7">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17</w:t>
            </w:r>
            <w:r w:rsidR="005601CD" w:rsidRPr="000F7953">
              <w:rPr>
                <w:rFonts w:asciiTheme="minorHAnsi" w:hAnsiTheme="minorHAnsi" w:cstheme="minorHAnsi"/>
                <w:b/>
                <w:bCs/>
                <w:sz w:val="22"/>
                <w:szCs w:val="22"/>
              </w:rPr>
              <w:t> %</w:t>
            </w:r>
          </w:p>
        </w:tc>
        <w:tc>
          <w:tcPr>
            <w:tcW w:w="850" w:type="dxa"/>
          </w:tcPr>
          <w:p w14:paraId="51D1B033" w14:textId="5EC38EBC" w:rsidR="0091225F" w:rsidRPr="000F7953" w:rsidRDefault="0091225F" w:rsidP="00FE33C7">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18</w:t>
            </w:r>
            <w:r w:rsidR="005601CD" w:rsidRPr="000F7953">
              <w:rPr>
                <w:rFonts w:asciiTheme="minorHAnsi" w:hAnsiTheme="minorHAnsi" w:cstheme="minorHAnsi"/>
                <w:b/>
                <w:bCs/>
                <w:sz w:val="22"/>
                <w:szCs w:val="22"/>
              </w:rPr>
              <w:t> %</w:t>
            </w:r>
          </w:p>
        </w:tc>
        <w:tc>
          <w:tcPr>
            <w:tcW w:w="850" w:type="dxa"/>
          </w:tcPr>
          <w:p w14:paraId="746164D9" w14:textId="4CD872DF" w:rsidR="0091225F" w:rsidRPr="000F7953" w:rsidRDefault="0091225F" w:rsidP="00FE33C7">
            <w:pPr>
              <w:jc w:val="center"/>
              <w:rPr>
                <w:rFonts w:asciiTheme="minorHAnsi" w:eastAsia="Aptos" w:hAnsiTheme="minorHAnsi" w:cstheme="minorHAnsi"/>
                <w:b/>
                <w:bCs/>
                <w:sz w:val="22"/>
                <w:szCs w:val="22"/>
              </w:rPr>
            </w:pPr>
            <w:r w:rsidRPr="000F7953">
              <w:rPr>
                <w:rFonts w:asciiTheme="minorHAnsi" w:hAnsiTheme="minorHAnsi" w:cstheme="minorHAnsi"/>
                <w:b/>
                <w:bCs/>
                <w:sz w:val="22"/>
                <w:szCs w:val="22"/>
              </w:rPr>
              <w:t>17</w:t>
            </w:r>
            <w:r w:rsidR="005601CD" w:rsidRPr="000F7953">
              <w:rPr>
                <w:rFonts w:asciiTheme="minorHAnsi" w:hAnsiTheme="minorHAnsi" w:cstheme="minorHAnsi"/>
                <w:b/>
                <w:bCs/>
                <w:sz w:val="22"/>
                <w:szCs w:val="22"/>
              </w:rPr>
              <w:t> %</w:t>
            </w:r>
          </w:p>
        </w:tc>
        <w:tc>
          <w:tcPr>
            <w:tcW w:w="1559" w:type="dxa"/>
          </w:tcPr>
          <w:p w14:paraId="5766CE3E" w14:textId="71ED46A4" w:rsidR="0091225F" w:rsidRPr="000F7953" w:rsidRDefault="0001477F" w:rsidP="00CD3F6B">
            <w:pPr>
              <w:rPr>
                <w:rFonts w:asciiTheme="minorHAnsi" w:eastAsia="Aptos" w:hAnsiTheme="minorHAnsi" w:cstheme="minorHAnsi"/>
                <w:b/>
                <w:bCs/>
                <w:sz w:val="22"/>
                <w:szCs w:val="22"/>
              </w:rPr>
            </w:pPr>
            <w:r w:rsidRPr="000F7953">
              <w:rPr>
                <w:rFonts w:asciiTheme="minorHAnsi" w:hAnsiTheme="minorHAnsi" w:cstheme="minorHAnsi"/>
                <w:noProof/>
                <w:sz w:val="22"/>
                <w:szCs w:val="22"/>
              </w:rPr>
              <w:drawing>
                <wp:inline distT="0" distB="0" distL="0" distR="0" wp14:anchorId="6BC9577E" wp14:editId="1E390E2C">
                  <wp:extent cx="712200" cy="432000"/>
                  <wp:effectExtent l="0" t="0" r="0" b="0"/>
                  <wp:docPr id="1416010148"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bl>
    <w:p w14:paraId="01DBB8CE" w14:textId="69682094" w:rsidR="005F6C5D" w:rsidRPr="000F7953" w:rsidRDefault="005F6C5D" w:rsidP="00CD3F6B">
      <w:pPr>
        <w:rPr>
          <w:rFonts w:asciiTheme="minorHAnsi" w:hAnsiTheme="minorHAnsi" w:cstheme="minorHAnsi"/>
          <w:bCs/>
          <w:sz w:val="22"/>
          <w:szCs w:val="22"/>
          <w:lang w:eastAsia="fr-FR"/>
        </w:rPr>
      </w:pPr>
    </w:p>
    <w:p w14:paraId="2A684128" w14:textId="30F00B4D" w:rsidR="00D2049E" w:rsidRPr="000F7953" w:rsidRDefault="00404826" w:rsidP="000D551C">
      <w:pPr>
        <w:keepNext/>
        <w:rPr>
          <w:rFonts w:asciiTheme="minorHAnsi" w:hAnsiTheme="minorHAnsi" w:cstheme="minorHAnsi"/>
          <w:i/>
          <w:iCs/>
          <w:sz w:val="22"/>
          <w:szCs w:val="22"/>
          <w:u w:val="single"/>
        </w:rPr>
      </w:pPr>
      <w:r w:rsidRPr="000F7953">
        <w:rPr>
          <w:rFonts w:asciiTheme="minorHAnsi" w:hAnsiTheme="minorHAnsi" w:cstheme="minorHAnsi"/>
          <w:i/>
          <w:iCs/>
          <w:sz w:val="22"/>
          <w:szCs w:val="22"/>
          <w:u w:val="single"/>
        </w:rPr>
        <w:t xml:space="preserve">Resumen de los progresos realizados </w:t>
      </w:r>
    </w:p>
    <w:p w14:paraId="1797A3D7" w14:textId="77777777" w:rsidR="00375762" w:rsidRPr="000F7953" w:rsidRDefault="00375762" w:rsidP="000D551C">
      <w:pPr>
        <w:keepNext/>
        <w:rPr>
          <w:rFonts w:asciiTheme="minorHAnsi" w:hAnsiTheme="minorHAnsi" w:cstheme="minorHAnsi"/>
          <w:b/>
          <w:bCs/>
          <w:sz w:val="22"/>
          <w:szCs w:val="22"/>
        </w:rPr>
      </w:pPr>
    </w:p>
    <w:p w14:paraId="1C573274" w14:textId="10EB9554" w:rsidR="00404826" w:rsidRPr="000F7953" w:rsidRDefault="000E3338"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t>118.</w:t>
      </w:r>
      <w:r w:rsidRPr="000F7953">
        <w:rPr>
          <w:rFonts w:asciiTheme="minorHAnsi" w:hAnsiTheme="minorHAnsi" w:cstheme="minorHAnsi"/>
          <w:sz w:val="22"/>
          <w:szCs w:val="22"/>
        </w:rPr>
        <w:tab/>
        <w:t>La proporción de Partes Contratantes que han realizado una evaluación de las necesidades de formación nacionales y locales para la aplicación de la Convención ha permanecido invariable durante el periodo cubierto por el PE4, y ligeramente por debajo del valor de referencia del 20</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Algo más de un 20</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de las Partes afirman haber realizado evaluaciones parciales, y alrededor del 10</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se encuentran en fase de planificación. Para la COP15, el 29</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de las Partes informa que han llevado a cabo acciones de fomento de capacidad en relación c</w:t>
      </w:r>
      <w:r w:rsidR="004F7B43" w:rsidRPr="000F7953">
        <w:rPr>
          <w:rFonts w:asciiTheme="minorHAnsi" w:hAnsiTheme="minorHAnsi" w:cstheme="minorHAnsi"/>
          <w:sz w:val="22"/>
          <w:szCs w:val="22"/>
        </w:rPr>
        <w:t>o</w:t>
      </w:r>
      <w:r w:rsidRPr="000F7953">
        <w:rPr>
          <w:rFonts w:asciiTheme="minorHAnsi" w:hAnsiTheme="minorHAnsi" w:cstheme="minorHAnsi"/>
          <w:sz w:val="22"/>
          <w:szCs w:val="22"/>
        </w:rPr>
        <w:t>n el plan estratégico de la Convención, y el 24</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lo ha hecho parcialmente. </w:t>
      </w:r>
    </w:p>
    <w:p w14:paraId="62874DBA" w14:textId="77777777" w:rsidR="00925C3B" w:rsidRPr="000F7953" w:rsidRDefault="00925C3B" w:rsidP="00257025">
      <w:pPr>
        <w:ind w:left="567" w:hanging="567"/>
        <w:rPr>
          <w:rFonts w:asciiTheme="minorHAnsi" w:hAnsiTheme="minorHAnsi" w:cstheme="minorHAnsi"/>
          <w:sz w:val="22"/>
          <w:szCs w:val="22"/>
          <w:lang w:eastAsia="fr-FR"/>
        </w:rPr>
      </w:pPr>
    </w:p>
    <w:p w14:paraId="39D0BC88" w14:textId="51CABE09" w:rsidR="00925C3B" w:rsidRPr="000F7953" w:rsidRDefault="000E3338"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t>119.</w:t>
      </w:r>
      <w:r w:rsidRPr="000F7953">
        <w:rPr>
          <w:rFonts w:asciiTheme="minorHAnsi" w:hAnsiTheme="minorHAnsi" w:cstheme="minorHAnsi"/>
          <w:sz w:val="22"/>
          <w:szCs w:val="22"/>
        </w:rPr>
        <w:tab/>
      </w:r>
      <w:r w:rsidRPr="000F7953">
        <w:rPr>
          <w:rFonts w:asciiTheme="minorHAnsi" w:hAnsiTheme="minorHAnsi" w:cstheme="minorHAnsi"/>
        </w:rPr>
        <w:t>El 39</w:t>
      </w:r>
      <w:r w:rsidR="005601CD" w:rsidRPr="000F7953">
        <w:rPr>
          <w:rFonts w:asciiTheme="minorHAnsi" w:hAnsiTheme="minorHAnsi" w:cstheme="minorHAnsi"/>
        </w:rPr>
        <w:t> %</w:t>
      </w:r>
      <w:r w:rsidRPr="000F7953">
        <w:rPr>
          <w:rFonts w:asciiTheme="minorHAnsi" w:hAnsiTheme="minorHAnsi" w:cstheme="minorHAnsi"/>
        </w:rPr>
        <w:t xml:space="preserve"> de las Partes Contratantes que presentaron informes para la COP15 han incluido temas relacionados con la conservación y el uso racional de los humedales en los programas de educación formal, lo que supone un aumento significativo respecto al 26</w:t>
      </w:r>
      <w:r w:rsidR="005601CD" w:rsidRPr="000F7953">
        <w:rPr>
          <w:rFonts w:asciiTheme="minorHAnsi" w:hAnsiTheme="minorHAnsi" w:cstheme="minorHAnsi"/>
        </w:rPr>
        <w:t> %</w:t>
      </w:r>
      <w:r w:rsidRPr="000F7953">
        <w:rPr>
          <w:rFonts w:asciiTheme="minorHAnsi" w:hAnsiTheme="minorHAnsi" w:cstheme="minorHAnsi"/>
        </w:rPr>
        <w:t xml:space="preserve"> para la COP13.</w:t>
      </w:r>
      <w:r w:rsidRPr="000F7953">
        <w:rPr>
          <w:rFonts w:asciiTheme="minorHAnsi" w:hAnsiTheme="minorHAnsi" w:cstheme="minorHAnsi"/>
          <w:sz w:val="22"/>
          <w:szCs w:val="22"/>
        </w:rPr>
        <w:t xml:space="preserve"> Un 38</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ha incluido parcialmente temas relacionados con la conservación y el uso racional de los humedales en los programas de educación formal. Los </w:t>
      </w:r>
      <w:r w:rsidRPr="000F7953">
        <w:rPr>
          <w:rFonts w:asciiTheme="minorHAnsi" w:hAnsiTheme="minorHAnsi" w:cstheme="minorHAnsi"/>
          <w:sz w:val="22"/>
          <w:szCs w:val="22"/>
        </w:rPr>
        <w:lastRenderedPageBreak/>
        <w:t>avances más notables han tenido lugar en Asia, donde el número de Partes pasó del 26</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para la COP13 al 63</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para la COP15. </w:t>
      </w:r>
    </w:p>
    <w:p w14:paraId="06497943" w14:textId="0F6CD7C2" w:rsidR="00925C3B" w:rsidRPr="000F7953" w:rsidRDefault="00925C3B" w:rsidP="00257025">
      <w:pPr>
        <w:ind w:left="567" w:hanging="567"/>
        <w:rPr>
          <w:rFonts w:asciiTheme="minorHAnsi" w:hAnsiTheme="minorHAnsi" w:cstheme="minorHAnsi"/>
          <w:sz w:val="22"/>
          <w:szCs w:val="22"/>
          <w:lang w:eastAsia="fr-FR"/>
        </w:rPr>
      </w:pPr>
    </w:p>
    <w:p w14:paraId="76A0C02E" w14:textId="3B417194" w:rsidR="0065775E" w:rsidRPr="000F7953" w:rsidRDefault="000E3338"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t>120.</w:t>
      </w:r>
      <w:r w:rsidRPr="000F7953">
        <w:rPr>
          <w:rFonts w:asciiTheme="minorHAnsi" w:hAnsiTheme="minorHAnsi" w:cstheme="minorHAnsi"/>
          <w:sz w:val="22"/>
          <w:szCs w:val="22"/>
        </w:rPr>
        <w:tab/>
        <w:t xml:space="preserve">Se ofrecen con más frecuencia oportunidades de formación para los administradores de sitios de humedales en los Humedales de Importancia Internacional que en otros sitios, pero no hay tendencias claras en el número de oportunidades de formación comunicadas, y alrededor de un tercio de las Partes Contratantes responden </w:t>
      </w:r>
      <w:r w:rsidR="005601CD" w:rsidRPr="000F7953">
        <w:rPr>
          <w:rFonts w:asciiTheme="minorHAnsi" w:hAnsiTheme="minorHAnsi" w:cstheme="minorHAnsi"/>
          <w:sz w:val="22"/>
          <w:szCs w:val="22"/>
        </w:rPr>
        <w:t>“</w:t>
      </w:r>
      <w:r w:rsidRPr="000F7953">
        <w:rPr>
          <w:rFonts w:asciiTheme="minorHAnsi" w:hAnsiTheme="minorHAnsi" w:cstheme="minorHAnsi"/>
          <w:sz w:val="22"/>
          <w:szCs w:val="22"/>
        </w:rPr>
        <w:t>desconocido</w:t>
      </w:r>
      <w:r w:rsidR="005601CD" w:rsidRPr="000F7953">
        <w:rPr>
          <w:rFonts w:asciiTheme="minorHAnsi" w:hAnsiTheme="minorHAnsi" w:cstheme="minorHAnsi"/>
          <w:sz w:val="22"/>
          <w:szCs w:val="22"/>
        </w:rPr>
        <w:t>”</w:t>
      </w:r>
      <w:r w:rsidRPr="000F7953">
        <w:rPr>
          <w:rFonts w:asciiTheme="minorHAnsi" w:hAnsiTheme="minorHAnsi" w:cstheme="minorHAnsi"/>
          <w:sz w:val="22"/>
          <w:szCs w:val="22"/>
        </w:rPr>
        <w:t xml:space="preserve">. </w:t>
      </w:r>
    </w:p>
    <w:p w14:paraId="1B0DD160" w14:textId="77777777" w:rsidR="0065775E" w:rsidRPr="000F7953" w:rsidRDefault="0065775E" w:rsidP="00257025">
      <w:pPr>
        <w:ind w:left="567" w:hanging="567"/>
        <w:rPr>
          <w:rFonts w:asciiTheme="minorHAnsi" w:hAnsiTheme="minorHAnsi" w:cstheme="minorHAnsi"/>
          <w:sz w:val="22"/>
          <w:szCs w:val="22"/>
          <w:lang w:eastAsia="fr-FR"/>
        </w:rPr>
      </w:pPr>
    </w:p>
    <w:p w14:paraId="3AA436B0" w14:textId="627253BF" w:rsidR="009078AA" w:rsidRPr="000F7953" w:rsidRDefault="000E3338"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t>121.</w:t>
      </w:r>
      <w:r w:rsidRPr="000F7953">
        <w:rPr>
          <w:rFonts w:asciiTheme="minorHAnsi" w:hAnsiTheme="minorHAnsi" w:cstheme="minorHAnsi"/>
          <w:sz w:val="22"/>
          <w:szCs w:val="22"/>
        </w:rPr>
        <w:tab/>
        <w:t xml:space="preserve">Muchas Partes Contratantes optan por la formación adaptada al contexto local o </w:t>
      </w:r>
      <w:r w:rsidRPr="000F7953">
        <w:rPr>
          <w:rFonts w:asciiTheme="minorHAnsi" w:hAnsiTheme="minorHAnsi" w:cstheme="minorHAnsi"/>
          <w:i/>
          <w:iCs/>
          <w:sz w:val="22"/>
          <w:szCs w:val="22"/>
        </w:rPr>
        <w:t>ad hoc</w:t>
      </w:r>
      <w:r w:rsidRPr="000F7953">
        <w:rPr>
          <w:rFonts w:asciiTheme="minorHAnsi" w:hAnsiTheme="minorHAnsi" w:cstheme="minorHAnsi"/>
          <w:sz w:val="22"/>
          <w:szCs w:val="22"/>
        </w:rPr>
        <w:t xml:space="preserve"> en lugar de por programas nacionales, y recurren cada vez más a plataformas en línea, por ejemplo. Aunque los programas dirigidos por el gobierno siguen siendo fundamentales, las ONG y los asociados internacionales desempeñan un papel clave. Varias Partes señalan dificultades para mantener los programas, entre otras cosas debido a las limitaciones de financiación y a la elevada rotación del personal, que socava los resultados de la formación a largo plazo. Las Partes subrayan la necesidad de dar prioridad a las evaluaciones de las necesidades nacionales como base para una mejor aplicación, y de garantizar que el desarrollo de los esfuerzos de capacitación para apoyar la aplicación de la Convención se adapte al contexto. Se recomienda adoptar o ampliar las buenas prácticas, como las redes nacionales e internacionales de escuelas sobre humedales, en las que las escuelas colaboran para formar a los profesores, desarrollar programas basados en planes de estudio y compartir experiencias y casos de éxito. Se necesitan mejores herramientas de seguimiento para evaluar el impacto de la formación. </w:t>
      </w:r>
    </w:p>
    <w:p w14:paraId="570581BB" w14:textId="77777777" w:rsidR="007C199A" w:rsidRPr="000F7953" w:rsidRDefault="007C199A" w:rsidP="00CD3F6B">
      <w:pPr>
        <w:rPr>
          <w:rFonts w:asciiTheme="minorHAnsi" w:hAnsiTheme="minorHAnsi" w:cstheme="minorHAnsi"/>
          <w:sz w:val="22"/>
          <w:szCs w:val="22"/>
        </w:rPr>
      </w:pPr>
    </w:p>
    <w:p w14:paraId="578DB823" w14:textId="77777777" w:rsidR="003E56FD" w:rsidRPr="000F7953" w:rsidRDefault="003E56FD" w:rsidP="00CD3F6B">
      <w:pPr>
        <w:rPr>
          <w:rFonts w:asciiTheme="minorHAnsi" w:hAnsiTheme="minorHAnsi" w:cstheme="minorHAnsi"/>
          <w:sz w:val="22"/>
          <w:szCs w:val="22"/>
        </w:rPr>
      </w:pPr>
    </w:p>
    <w:tbl>
      <w:tblPr>
        <w:tblStyle w:val="TableGrid16"/>
        <w:tblW w:w="9354" w:type="dxa"/>
        <w:tblLook w:val="04A0" w:firstRow="1" w:lastRow="0" w:firstColumn="1" w:lastColumn="0" w:noHBand="0" w:noVBand="1"/>
      </w:tblPr>
      <w:tblGrid>
        <w:gridCol w:w="9354"/>
      </w:tblGrid>
      <w:tr w:rsidR="007C199A" w:rsidRPr="000F7953" w14:paraId="49373DE8" w14:textId="77777777" w:rsidTr="003E56FD">
        <w:tc>
          <w:tcPr>
            <w:tcW w:w="9354" w:type="dxa"/>
            <w:vAlign w:val="center"/>
          </w:tcPr>
          <w:p w14:paraId="6F2EEEF3" w14:textId="3C555CE8" w:rsidR="007C199A" w:rsidRPr="000F7953" w:rsidRDefault="007C199A" w:rsidP="008A3659">
            <w:pPr>
              <w:keepNext/>
              <w:spacing w:before="120" w:after="120"/>
              <w:rPr>
                <w:rFonts w:asciiTheme="minorHAnsi" w:eastAsia="Calibri" w:hAnsiTheme="minorHAnsi" w:cstheme="minorHAnsi"/>
                <w:b/>
                <w:sz w:val="22"/>
                <w:szCs w:val="22"/>
              </w:rPr>
            </w:pPr>
            <w:r w:rsidRPr="000F7953">
              <w:rPr>
                <w:rFonts w:asciiTheme="minorHAnsi" w:hAnsiTheme="minorHAnsi" w:cstheme="minorHAnsi"/>
                <w:b/>
                <w:sz w:val="22"/>
                <w:szCs w:val="22"/>
              </w:rPr>
              <w:t xml:space="preserve">Género y juventud </w:t>
            </w:r>
          </w:p>
          <w:p w14:paraId="698C5F77" w14:textId="7F467E54" w:rsidR="00A74B29" w:rsidRPr="000F7953" w:rsidRDefault="00A74B29" w:rsidP="008A3659">
            <w:pPr>
              <w:keepNext/>
              <w:spacing w:before="120" w:after="120"/>
              <w:rPr>
                <w:rFonts w:asciiTheme="minorHAnsi" w:eastAsiaTheme="minorHAnsi" w:hAnsiTheme="minorHAnsi" w:cstheme="minorHAnsi"/>
                <w:sz w:val="22"/>
                <w:szCs w:val="22"/>
              </w:rPr>
            </w:pPr>
            <w:r w:rsidRPr="000F7953">
              <w:rPr>
                <w:rFonts w:asciiTheme="minorHAnsi" w:hAnsiTheme="minorHAnsi" w:cstheme="minorHAnsi"/>
                <w:sz w:val="22"/>
                <w:szCs w:val="22"/>
              </w:rPr>
              <w:t>Contribución a las metas 22 y 23 del MMB-KM y a las metas 4 y 5 de los ODS.</w:t>
            </w:r>
          </w:p>
        </w:tc>
      </w:tr>
    </w:tbl>
    <w:p w14:paraId="693126BA" w14:textId="77777777" w:rsidR="007C199A" w:rsidRPr="000F7953" w:rsidRDefault="007C199A" w:rsidP="000D551C">
      <w:pPr>
        <w:keepNext/>
        <w:rPr>
          <w:rFonts w:asciiTheme="minorHAnsi" w:hAnsiTheme="minorHAnsi" w:cstheme="minorHAnsi"/>
          <w:sz w:val="22"/>
          <w:szCs w:val="22"/>
        </w:rPr>
      </w:pPr>
    </w:p>
    <w:p w14:paraId="44855726" w14:textId="71B4011F" w:rsidR="00375762" w:rsidRPr="000F7953" w:rsidRDefault="000E3338" w:rsidP="00257025">
      <w:pPr>
        <w:ind w:left="567" w:hanging="567"/>
        <w:rPr>
          <w:rFonts w:asciiTheme="minorHAnsi" w:hAnsiTheme="minorHAnsi" w:cstheme="minorHAnsi"/>
          <w:sz w:val="22"/>
          <w:szCs w:val="22"/>
        </w:rPr>
      </w:pPr>
      <w:bookmarkStart w:id="4" w:name="_Hlk194574492"/>
      <w:r w:rsidRPr="000F7953">
        <w:rPr>
          <w:rFonts w:asciiTheme="minorHAnsi" w:hAnsiTheme="minorHAnsi" w:cstheme="minorHAnsi"/>
          <w:sz w:val="22"/>
          <w:szCs w:val="22"/>
        </w:rPr>
        <w:t>122.</w:t>
      </w:r>
      <w:r w:rsidRPr="000F7953">
        <w:rPr>
          <w:rFonts w:asciiTheme="minorHAnsi" w:hAnsiTheme="minorHAnsi" w:cstheme="minorHAnsi"/>
          <w:sz w:val="22"/>
          <w:szCs w:val="22"/>
        </w:rPr>
        <w:tab/>
        <w:t xml:space="preserve">De conformidad con el párrafo 21 de la Resolución XIII.18 sobre </w:t>
      </w:r>
      <w:r w:rsidRPr="000F7953">
        <w:rPr>
          <w:rFonts w:asciiTheme="minorHAnsi" w:hAnsiTheme="minorHAnsi" w:cstheme="minorHAnsi"/>
          <w:i/>
          <w:iCs/>
          <w:sz w:val="22"/>
          <w:szCs w:val="22"/>
        </w:rPr>
        <w:t>Los humedales y el género</w:t>
      </w:r>
      <w:r w:rsidRPr="000F7953">
        <w:rPr>
          <w:rFonts w:asciiTheme="minorHAnsi" w:hAnsiTheme="minorHAnsi" w:cstheme="minorHAnsi"/>
          <w:sz w:val="22"/>
          <w:szCs w:val="22"/>
        </w:rPr>
        <w:t>, el 94</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de las Partes Contratantes que presentaron informes para la COP15 citan acciones que promueven la paridad de género en las decisiones o investigaciones relacionadas con los humedales. Esto supone un aumento respecto al 79</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para la COP14. Solo el 11</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afirma recopilar datos desglosados por sexo en relación con la participación en decisiones, programas e investigación relacionados con los humedales.</w:t>
      </w:r>
    </w:p>
    <w:p w14:paraId="581A1D7E" w14:textId="77777777" w:rsidR="00375762" w:rsidRPr="000F7953" w:rsidRDefault="00375762" w:rsidP="00257025">
      <w:pPr>
        <w:ind w:left="567" w:hanging="567"/>
        <w:rPr>
          <w:rFonts w:asciiTheme="minorHAnsi" w:hAnsiTheme="minorHAnsi" w:cstheme="minorHAnsi"/>
          <w:sz w:val="22"/>
          <w:szCs w:val="22"/>
          <w:lang w:eastAsia="fr-FR"/>
        </w:rPr>
      </w:pPr>
    </w:p>
    <w:p w14:paraId="5C0E83DE" w14:textId="1D143201" w:rsidR="00ED41D3" w:rsidRPr="000F7953" w:rsidRDefault="000E3338"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t>123.</w:t>
      </w:r>
      <w:r w:rsidRPr="000F7953">
        <w:rPr>
          <w:rFonts w:asciiTheme="minorHAnsi" w:hAnsiTheme="minorHAnsi" w:cstheme="minorHAnsi"/>
          <w:sz w:val="22"/>
          <w:szCs w:val="22"/>
        </w:rPr>
        <w:tab/>
        <w:t>El 83</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de las Partes Contratantes que presentaron informes para la COP15 describen una planificación sensible a las cuestiones de género, la integración de políticas y el apoyo al papel de la mujer en el manejo de los humedales, la investigación sobre los mismos y la labor de divulgación al respecto. Esto incluye planes o programas de acción nacionales (mencionados por el 31</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de las Partes), políticas medioambientales o específicas para los humedales (23</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convenios o acuerdos internacionales (21</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políticas o estrategias de igualdad de género (15</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y disposiciones jurídicas y constitucionales (10</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w:t>
      </w:r>
    </w:p>
    <w:p w14:paraId="599D6A44" w14:textId="77777777" w:rsidR="00375762" w:rsidRPr="000F7953" w:rsidRDefault="00375762" w:rsidP="00257025">
      <w:pPr>
        <w:ind w:left="567" w:hanging="567"/>
        <w:rPr>
          <w:rFonts w:asciiTheme="minorHAnsi" w:hAnsiTheme="minorHAnsi" w:cstheme="minorHAnsi"/>
          <w:sz w:val="22"/>
          <w:szCs w:val="22"/>
          <w:lang w:eastAsia="fr-FR"/>
        </w:rPr>
      </w:pPr>
    </w:p>
    <w:p w14:paraId="6FEF6FD5" w14:textId="41467AFC" w:rsidR="003E4B85" w:rsidRPr="000F7953" w:rsidRDefault="000E3338"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t>124.</w:t>
      </w:r>
      <w:r w:rsidRPr="000F7953">
        <w:rPr>
          <w:rFonts w:asciiTheme="minorHAnsi" w:hAnsiTheme="minorHAnsi" w:cstheme="minorHAnsi"/>
          <w:sz w:val="22"/>
          <w:szCs w:val="22"/>
        </w:rPr>
        <w:tab/>
        <w:t>Las áreas en las que es necesario un cambio para lograr la igualdad de género, tal y como lo sugieren las Partes Contratantes que presentaron informes para la COP15, incluyen la reforma jurídica y normativa, así como la implicación de la comunidad y la participación local (mencionados por más del 20</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de las Partes); la planificación y gestión medioambiental, el fomento de capacidad y la formación y el liderazgo y la toma de decisiones (del 10 al 20</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y la recopilación de datos y el seguimiento, el cambio climático y la reducción del riesgo de desastres (menos del 10</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w:t>
      </w:r>
    </w:p>
    <w:p w14:paraId="7CE54D5E" w14:textId="5B173ACA" w:rsidR="00CD656B" w:rsidRPr="000F7953" w:rsidRDefault="00CD656B" w:rsidP="00257025">
      <w:pPr>
        <w:ind w:left="567" w:hanging="567"/>
        <w:rPr>
          <w:rFonts w:asciiTheme="minorHAnsi" w:hAnsiTheme="minorHAnsi" w:cstheme="minorHAnsi"/>
          <w:sz w:val="22"/>
          <w:szCs w:val="22"/>
          <w:lang w:eastAsia="fr-FR"/>
        </w:rPr>
      </w:pPr>
    </w:p>
    <w:p w14:paraId="5F1A9DA5" w14:textId="4ED61A11" w:rsidR="00375762" w:rsidRPr="000F7953" w:rsidRDefault="000E3338"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lastRenderedPageBreak/>
        <w:t>125.</w:t>
      </w:r>
      <w:r w:rsidRPr="000F7953">
        <w:rPr>
          <w:rFonts w:asciiTheme="minorHAnsi" w:hAnsiTheme="minorHAnsi" w:cstheme="minorHAnsi"/>
          <w:sz w:val="22"/>
          <w:szCs w:val="22"/>
        </w:rPr>
        <w:tab/>
        <w:t>Las actividades para avanzar en la integración de la perspectiva de género en la conservación de los humedales llevadas a cabo por la Secretaría desde la COP13 incluyen directrices para ayudar a las Partes Contratantes a integrar las consideraciones de género en su trabajo, publicadas en 2021 y disponibles en tres idiomas en el sitio web de la Convención</w:t>
      </w:r>
      <w:r w:rsidR="008B7E13" w:rsidRPr="000F7953">
        <w:rPr>
          <w:rFonts w:asciiTheme="minorHAnsi" w:hAnsiTheme="minorHAnsi" w:cstheme="minorHAnsi"/>
          <w:sz w:val="22"/>
          <w:szCs w:val="22"/>
          <w:vertAlign w:val="superscript"/>
          <w:lang w:eastAsia="fr-FR"/>
        </w:rPr>
        <w:footnoteReference w:id="12"/>
      </w:r>
      <w:r w:rsidRPr="000F7953">
        <w:rPr>
          <w:rFonts w:asciiTheme="minorHAnsi" w:hAnsiTheme="minorHAnsi" w:cstheme="minorHAnsi"/>
          <w:sz w:val="22"/>
          <w:szCs w:val="22"/>
        </w:rPr>
        <w:t xml:space="preserve">. Con financiación del Gobierno de Canadá, se lanzó la iniciativa </w:t>
      </w:r>
      <w:r w:rsidR="005601CD" w:rsidRPr="000F7953">
        <w:rPr>
          <w:rFonts w:asciiTheme="minorHAnsi" w:hAnsiTheme="minorHAnsi" w:cstheme="minorHAnsi"/>
          <w:sz w:val="22"/>
          <w:szCs w:val="22"/>
        </w:rPr>
        <w:t>“</w:t>
      </w:r>
      <w:r w:rsidRPr="000F7953">
        <w:rPr>
          <w:rFonts w:asciiTheme="minorHAnsi" w:hAnsiTheme="minorHAnsi" w:cstheme="minorHAnsi"/>
          <w:sz w:val="22"/>
          <w:szCs w:val="22"/>
        </w:rPr>
        <w:t>Mujeres artífices del cambio en el ámbito de los humedales</w:t>
      </w:r>
      <w:r w:rsidR="005601CD" w:rsidRPr="000F7953">
        <w:rPr>
          <w:rFonts w:asciiTheme="minorHAnsi" w:hAnsiTheme="minorHAnsi" w:cstheme="minorHAnsi"/>
          <w:sz w:val="22"/>
          <w:szCs w:val="22"/>
        </w:rPr>
        <w:t>”</w:t>
      </w:r>
      <w:r w:rsidRPr="000F7953">
        <w:rPr>
          <w:rFonts w:asciiTheme="minorHAnsi" w:hAnsiTheme="minorHAnsi" w:cstheme="minorHAnsi"/>
          <w:sz w:val="22"/>
          <w:szCs w:val="22"/>
        </w:rPr>
        <w:t xml:space="preserve"> para concienciar sobre la contribución de las mujeres a la conservación de los humedales y que se reconozca dicha contribución</w:t>
      </w:r>
      <w:r w:rsidR="00C931CD" w:rsidRPr="000F7953">
        <w:rPr>
          <w:rStyle w:val="FootnoteReference"/>
          <w:rFonts w:asciiTheme="minorHAnsi" w:hAnsiTheme="minorHAnsi" w:cstheme="minorHAnsi"/>
          <w:sz w:val="22"/>
          <w:szCs w:val="22"/>
          <w:lang w:eastAsia="fr-FR"/>
        </w:rPr>
        <w:footnoteReference w:id="13"/>
      </w:r>
      <w:r w:rsidRPr="000F7953">
        <w:rPr>
          <w:rFonts w:asciiTheme="minorHAnsi" w:hAnsiTheme="minorHAnsi" w:cstheme="minorHAnsi"/>
          <w:sz w:val="22"/>
          <w:szCs w:val="22"/>
        </w:rPr>
        <w:t xml:space="preserve">. </w:t>
      </w:r>
    </w:p>
    <w:p w14:paraId="1B1EA9F8" w14:textId="77777777" w:rsidR="00375762" w:rsidRPr="000F7953" w:rsidRDefault="00375762" w:rsidP="00257025">
      <w:pPr>
        <w:ind w:left="567" w:hanging="567"/>
        <w:rPr>
          <w:rFonts w:asciiTheme="minorHAnsi" w:hAnsiTheme="minorHAnsi" w:cstheme="minorHAnsi"/>
          <w:sz w:val="22"/>
          <w:szCs w:val="22"/>
          <w:lang w:eastAsia="fr-FR"/>
        </w:rPr>
      </w:pPr>
    </w:p>
    <w:p w14:paraId="349FE730" w14:textId="41467A3C" w:rsidR="006226B4" w:rsidRPr="000F7953" w:rsidRDefault="000E3338"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t>126.</w:t>
      </w:r>
      <w:r w:rsidRPr="000F7953">
        <w:rPr>
          <w:rFonts w:asciiTheme="minorHAnsi" w:hAnsiTheme="minorHAnsi" w:cstheme="minorHAnsi"/>
          <w:sz w:val="22"/>
          <w:szCs w:val="22"/>
        </w:rPr>
        <w:tab/>
        <w:t>En el cuadro 4 se presenta el equilibrio entre hombre y mujeres de los participantes inscritos en las reuniones de la Convención, a partir de los datos desglosados por género recopilados por la Secretaría tras la COP13.</w:t>
      </w:r>
    </w:p>
    <w:p w14:paraId="2CAB2BA5" w14:textId="656F0BBC" w:rsidR="00812F93" w:rsidRPr="000F7953" w:rsidRDefault="00812F93" w:rsidP="00CD3F6B">
      <w:pPr>
        <w:rPr>
          <w:rFonts w:asciiTheme="minorHAnsi" w:hAnsiTheme="minorHAnsi" w:cstheme="minorHAnsi"/>
          <w:b/>
          <w:bCs/>
          <w:sz w:val="22"/>
          <w:szCs w:val="22"/>
        </w:rPr>
      </w:pPr>
    </w:p>
    <w:p w14:paraId="31755B12" w14:textId="54F91B72" w:rsidR="0053206B" w:rsidRPr="000F7953" w:rsidRDefault="0053206B" w:rsidP="0053206B">
      <w:pPr>
        <w:ind w:left="426" w:hanging="426"/>
        <w:rPr>
          <w:rFonts w:asciiTheme="minorHAnsi" w:hAnsiTheme="minorHAnsi" w:cstheme="minorHAnsi"/>
          <w:i/>
          <w:iCs/>
          <w:sz w:val="22"/>
          <w:szCs w:val="22"/>
        </w:rPr>
      </w:pPr>
      <w:r w:rsidRPr="000F7953">
        <w:rPr>
          <w:rFonts w:asciiTheme="minorHAnsi" w:hAnsiTheme="minorHAnsi" w:cstheme="minorHAnsi"/>
          <w:i/>
          <w:iCs/>
          <w:sz w:val="22"/>
          <w:szCs w:val="22"/>
        </w:rPr>
        <w:t>Cuadro 4. Equilibrio entre hombres y mujeres de los participantes inscritos en las reuniones de la Convención</w:t>
      </w:r>
    </w:p>
    <w:tbl>
      <w:tblPr>
        <w:tblStyle w:val="TableGrid"/>
        <w:tblW w:w="9072" w:type="dxa"/>
        <w:tblLook w:val="04A0" w:firstRow="1" w:lastRow="0" w:firstColumn="1" w:lastColumn="0" w:noHBand="0" w:noVBand="1"/>
      </w:tblPr>
      <w:tblGrid>
        <w:gridCol w:w="5665"/>
        <w:gridCol w:w="1703"/>
        <w:gridCol w:w="1704"/>
      </w:tblGrid>
      <w:tr w:rsidR="004A747C" w:rsidRPr="000F7953" w14:paraId="3A89C647" w14:textId="77777777" w:rsidTr="00FE33C7">
        <w:tc>
          <w:tcPr>
            <w:tcW w:w="5665" w:type="dxa"/>
            <w:vAlign w:val="center"/>
          </w:tcPr>
          <w:p w14:paraId="3D7DF99B" w14:textId="01FD315A" w:rsidR="004A747C" w:rsidRPr="000F7953" w:rsidRDefault="004A747C" w:rsidP="0078307B">
            <w:pPr>
              <w:keepNext/>
              <w:jc w:val="center"/>
              <w:rPr>
                <w:rFonts w:asciiTheme="minorHAnsi" w:hAnsiTheme="minorHAnsi" w:cstheme="minorHAnsi"/>
                <w:b/>
                <w:sz w:val="22"/>
                <w:szCs w:val="22"/>
              </w:rPr>
            </w:pPr>
            <w:r w:rsidRPr="000F7953">
              <w:rPr>
                <w:rFonts w:asciiTheme="minorHAnsi" w:hAnsiTheme="minorHAnsi" w:cstheme="minorHAnsi"/>
                <w:b/>
                <w:sz w:val="22"/>
                <w:szCs w:val="22"/>
              </w:rPr>
              <w:t>Reunión</w:t>
            </w:r>
          </w:p>
        </w:tc>
        <w:tc>
          <w:tcPr>
            <w:tcW w:w="1703" w:type="dxa"/>
            <w:vAlign w:val="center"/>
          </w:tcPr>
          <w:p w14:paraId="24DD76F1" w14:textId="6B0ABE98" w:rsidR="004A747C" w:rsidRPr="000F7953" w:rsidRDefault="004A747C" w:rsidP="0078307B">
            <w:pPr>
              <w:keepNext/>
              <w:jc w:val="center"/>
              <w:rPr>
                <w:rFonts w:asciiTheme="minorHAnsi" w:hAnsiTheme="minorHAnsi" w:cstheme="minorHAnsi"/>
                <w:b/>
                <w:sz w:val="22"/>
                <w:szCs w:val="22"/>
              </w:rPr>
            </w:pPr>
            <w:r w:rsidRPr="000F7953">
              <w:rPr>
                <w:rFonts w:asciiTheme="minorHAnsi" w:hAnsiTheme="minorHAnsi" w:cstheme="minorHAnsi"/>
                <w:b/>
                <w:sz w:val="22"/>
                <w:szCs w:val="22"/>
              </w:rPr>
              <w:t>Mujeres</w:t>
            </w:r>
          </w:p>
        </w:tc>
        <w:tc>
          <w:tcPr>
            <w:tcW w:w="1704" w:type="dxa"/>
            <w:vAlign w:val="center"/>
          </w:tcPr>
          <w:p w14:paraId="5F28C7E7" w14:textId="7C062BAE" w:rsidR="004A747C" w:rsidRPr="000F7953" w:rsidRDefault="004A747C" w:rsidP="0078307B">
            <w:pPr>
              <w:keepNext/>
              <w:jc w:val="center"/>
              <w:rPr>
                <w:rFonts w:asciiTheme="minorHAnsi" w:hAnsiTheme="minorHAnsi" w:cstheme="minorHAnsi"/>
                <w:b/>
                <w:sz w:val="22"/>
                <w:szCs w:val="22"/>
              </w:rPr>
            </w:pPr>
            <w:r w:rsidRPr="000F7953">
              <w:rPr>
                <w:rFonts w:asciiTheme="minorHAnsi" w:hAnsiTheme="minorHAnsi" w:cstheme="minorHAnsi"/>
                <w:b/>
                <w:sz w:val="22"/>
                <w:szCs w:val="22"/>
              </w:rPr>
              <w:t>Hombres</w:t>
            </w:r>
          </w:p>
        </w:tc>
      </w:tr>
      <w:tr w:rsidR="004A747C" w:rsidRPr="000F7953" w14:paraId="78EFE76C" w14:textId="77777777" w:rsidTr="00FE33C7">
        <w:tc>
          <w:tcPr>
            <w:tcW w:w="5665" w:type="dxa"/>
          </w:tcPr>
          <w:p w14:paraId="52887812" w14:textId="68A9DFCE" w:rsidR="004A747C" w:rsidRPr="000F7953" w:rsidRDefault="00454512" w:rsidP="00CD3F6B">
            <w:pPr>
              <w:rPr>
                <w:rFonts w:asciiTheme="minorHAnsi" w:hAnsiTheme="minorHAnsi" w:cstheme="minorHAnsi"/>
                <w:sz w:val="22"/>
                <w:szCs w:val="22"/>
              </w:rPr>
            </w:pPr>
            <w:r w:rsidRPr="000F7953">
              <w:rPr>
                <w:rFonts w:asciiTheme="minorHAnsi" w:hAnsiTheme="minorHAnsi" w:cstheme="minorHAnsi"/>
                <w:sz w:val="22"/>
                <w:szCs w:val="22"/>
              </w:rPr>
              <w:t>COP14</w:t>
            </w:r>
          </w:p>
        </w:tc>
        <w:tc>
          <w:tcPr>
            <w:tcW w:w="1703" w:type="dxa"/>
          </w:tcPr>
          <w:p w14:paraId="5873220E" w14:textId="4E7697A9" w:rsidR="004A747C" w:rsidRPr="000F7953" w:rsidRDefault="008C13C0" w:rsidP="00FE33C7">
            <w:pPr>
              <w:jc w:val="center"/>
              <w:rPr>
                <w:rFonts w:asciiTheme="minorHAnsi" w:hAnsiTheme="minorHAnsi" w:cstheme="minorHAnsi"/>
                <w:sz w:val="22"/>
                <w:szCs w:val="22"/>
              </w:rPr>
            </w:pPr>
            <w:r w:rsidRPr="000F7953">
              <w:rPr>
                <w:rFonts w:asciiTheme="minorHAnsi" w:hAnsiTheme="minorHAnsi" w:cstheme="minorHAnsi"/>
                <w:sz w:val="22"/>
                <w:szCs w:val="22"/>
              </w:rPr>
              <w:t>41</w:t>
            </w:r>
            <w:r w:rsidR="005601CD" w:rsidRPr="000F7953">
              <w:rPr>
                <w:rFonts w:asciiTheme="minorHAnsi" w:hAnsiTheme="minorHAnsi" w:cstheme="minorHAnsi"/>
                <w:sz w:val="22"/>
                <w:szCs w:val="22"/>
              </w:rPr>
              <w:t> %</w:t>
            </w:r>
          </w:p>
        </w:tc>
        <w:tc>
          <w:tcPr>
            <w:tcW w:w="1704" w:type="dxa"/>
          </w:tcPr>
          <w:p w14:paraId="53EE52EB" w14:textId="77337532" w:rsidR="004A747C" w:rsidRPr="000F7953" w:rsidRDefault="008C13C0" w:rsidP="00FE33C7">
            <w:pPr>
              <w:jc w:val="center"/>
              <w:rPr>
                <w:rFonts w:asciiTheme="minorHAnsi" w:hAnsiTheme="minorHAnsi" w:cstheme="minorHAnsi"/>
                <w:sz w:val="22"/>
                <w:szCs w:val="22"/>
              </w:rPr>
            </w:pPr>
            <w:r w:rsidRPr="000F7953">
              <w:rPr>
                <w:rFonts w:asciiTheme="minorHAnsi" w:hAnsiTheme="minorHAnsi" w:cstheme="minorHAnsi"/>
                <w:sz w:val="22"/>
                <w:szCs w:val="22"/>
              </w:rPr>
              <w:t>59</w:t>
            </w:r>
            <w:r w:rsidR="005601CD" w:rsidRPr="000F7953">
              <w:rPr>
                <w:rFonts w:asciiTheme="minorHAnsi" w:hAnsiTheme="minorHAnsi" w:cstheme="minorHAnsi"/>
                <w:sz w:val="22"/>
                <w:szCs w:val="22"/>
              </w:rPr>
              <w:t> %</w:t>
            </w:r>
          </w:p>
        </w:tc>
      </w:tr>
      <w:tr w:rsidR="008B2CB6" w:rsidRPr="000F7953" w14:paraId="15C88AD3" w14:textId="77777777" w:rsidTr="00FE33C7">
        <w:tc>
          <w:tcPr>
            <w:tcW w:w="5665" w:type="dxa"/>
          </w:tcPr>
          <w:p w14:paraId="268E0336" w14:textId="6EE5A6B5" w:rsidR="008B2CB6" w:rsidRPr="000F7953" w:rsidRDefault="008B2CB6" w:rsidP="00CD3F6B">
            <w:pPr>
              <w:rPr>
                <w:rFonts w:asciiTheme="minorHAnsi" w:hAnsiTheme="minorHAnsi" w:cstheme="minorHAnsi"/>
                <w:sz w:val="22"/>
                <w:szCs w:val="22"/>
              </w:rPr>
            </w:pPr>
            <w:r w:rsidRPr="000F7953">
              <w:rPr>
                <w:rFonts w:asciiTheme="minorHAnsi" w:hAnsiTheme="minorHAnsi" w:cstheme="minorHAnsi"/>
                <w:sz w:val="22"/>
                <w:szCs w:val="22"/>
              </w:rPr>
              <w:t>Tercera COP Extraordinaria 2021</w:t>
            </w:r>
          </w:p>
        </w:tc>
        <w:tc>
          <w:tcPr>
            <w:tcW w:w="1703" w:type="dxa"/>
          </w:tcPr>
          <w:p w14:paraId="311DF487" w14:textId="59484AA7" w:rsidR="008B2CB6" w:rsidRPr="000F7953" w:rsidRDefault="00F1440B" w:rsidP="00FE33C7">
            <w:pPr>
              <w:jc w:val="center"/>
              <w:rPr>
                <w:rFonts w:asciiTheme="minorHAnsi" w:hAnsiTheme="minorHAnsi" w:cstheme="minorHAnsi"/>
                <w:sz w:val="22"/>
                <w:szCs w:val="22"/>
              </w:rPr>
            </w:pPr>
            <w:r w:rsidRPr="000F7953">
              <w:rPr>
                <w:rFonts w:asciiTheme="minorHAnsi" w:hAnsiTheme="minorHAnsi" w:cstheme="minorHAnsi"/>
                <w:sz w:val="22"/>
                <w:szCs w:val="22"/>
              </w:rPr>
              <w:t>44</w:t>
            </w:r>
            <w:r w:rsidR="005601CD" w:rsidRPr="000F7953">
              <w:rPr>
                <w:rFonts w:asciiTheme="minorHAnsi" w:hAnsiTheme="minorHAnsi" w:cstheme="minorHAnsi"/>
                <w:sz w:val="22"/>
                <w:szCs w:val="22"/>
              </w:rPr>
              <w:t> %</w:t>
            </w:r>
          </w:p>
        </w:tc>
        <w:tc>
          <w:tcPr>
            <w:tcW w:w="1704" w:type="dxa"/>
          </w:tcPr>
          <w:p w14:paraId="653AA493" w14:textId="4960BA8A" w:rsidR="008B2CB6" w:rsidRPr="000F7953" w:rsidRDefault="00F1440B" w:rsidP="00FE33C7">
            <w:pPr>
              <w:jc w:val="center"/>
              <w:rPr>
                <w:rFonts w:asciiTheme="minorHAnsi" w:hAnsiTheme="minorHAnsi" w:cstheme="minorHAnsi"/>
                <w:sz w:val="22"/>
                <w:szCs w:val="22"/>
              </w:rPr>
            </w:pPr>
            <w:r w:rsidRPr="000F7953">
              <w:rPr>
                <w:rFonts w:asciiTheme="minorHAnsi" w:hAnsiTheme="minorHAnsi" w:cstheme="minorHAnsi"/>
                <w:sz w:val="22"/>
                <w:szCs w:val="22"/>
              </w:rPr>
              <w:t>56</w:t>
            </w:r>
            <w:r w:rsidR="005601CD" w:rsidRPr="000F7953">
              <w:rPr>
                <w:rFonts w:asciiTheme="minorHAnsi" w:hAnsiTheme="minorHAnsi" w:cstheme="minorHAnsi"/>
                <w:sz w:val="22"/>
                <w:szCs w:val="22"/>
              </w:rPr>
              <w:t> %</w:t>
            </w:r>
          </w:p>
        </w:tc>
      </w:tr>
      <w:tr w:rsidR="008B2CB6" w:rsidRPr="000F7953" w14:paraId="1BDA4297" w14:textId="77777777" w:rsidTr="00FE33C7">
        <w:tc>
          <w:tcPr>
            <w:tcW w:w="5665" w:type="dxa"/>
          </w:tcPr>
          <w:p w14:paraId="498277F3" w14:textId="6D9CFEE6" w:rsidR="008B2CB6" w:rsidRPr="000F7953" w:rsidRDefault="00FF3085" w:rsidP="00CD3F6B">
            <w:pPr>
              <w:rPr>
                <w:rFonts w:asciiTheme="minorHAnsi" w:hAnsiTheme="minorHAnsi" w:cstheme="minorHAnsi"/>
                <w:sz w:val="22"/>
                <w:szCs w:val="22"/>
              </w:rPr>
            </w:pPr>
            <w:r w:rsidRPr="000F7953">
              <w:rPr>
                <w:rFonts w:asciiTheme="minorHAnsi" w:hAnsiTheme="minorHAnsi" w:cstheme="minorHAnsi"/>
                <w:sz w:val="22"/>
                <w:szCs w:val="22"/>
              </w:rPr>
              <w:t>59</w:t>
            </w:r>
            <w:r w:rsidRPr="000F7953">
              <w:rPr>
                <w:rFonts w:asciiTheme="minorHAnsi" w:hAnsiTheme="minorHAnsi" w:cstheme="minorHAnsi"/>
                <w:sz w:val="22"/>
                <w:szCs w:val="22"/>
                <w:vertAlign w:val="superscript"/>
              </w:rPr>
              <w:t>a</w:t>
            </w:r>
            <w:r w:rsidRPr="000F7953">
              <w:rPr>
                <w:rFonts w:asciiTheme="minorHAnsi" w:hAnsiTheme="minorHAnsi" w:cstheme="minorHAnsi"/>
                <w:sz w:val="22"/>
                <w:szCs w:val="22"/>
              </w:rPr>
              <w:t xml:space="preserve"> a 64</w:t>
            </w:r>
            <w:r w:rsidRPr="000F7953">
              <w:rPr>
                <w:rFonts w:asciiTheme="minorHAnsi" w:hAnsiTheme="minorHAnsi" w:cstheme="minorHAnsi"/>
                <w:sz w:val="22"/>
                <w:szCs w:val="22"/>
                <w:vertAlign w:val="superscript"/>
              </w:rPr>
              <w:t>a</w:t>
            </w:r>
            <w:r w:rsidRPr="000F7953">
              <w:rPr>
                <w:rFonts w:asciiTheme="minorHAnsi" w:hAnsiTheme="minorHAnsi" w:cstheme="minorHAnsi"/>
                <w:sz w:val="22"/>
                <w:szCs w:val="22"/>
              </w:rPr>
              <w:t xml:space="preserve"> reunión del Comité Permanente</w:t>
            </w:r>
          </w:p>
        </w:tc>
        <w:tc>
          <w:tcPr>
            <w:tcW w:w="1703" w:type="dxa"/>
          </w:tcPr>
          <w:p w14:paraId="2D408111" w14:textId="3D800DB0" w:rsidR="008B2CB6" w:rsidRPr="000F7953" w:rsidRDefault="00C21EA0" w:rsidP="00FE33C7">
            <w:pPr>
              <w:jc w:val="center"/>
              <w:rPr>
                <w:rFonts w:asciiTheme="minorHAnsi" w:hAnsiTheme="minorHAnsi" w:cstheme="minorHAnsi"/>
                <w:sz w:val="22"/>
                <w:szCs w:val="22"/>
              </w:rPr>
            </w:pPr>
            <w:r w:rsidRPr="000F7953">
              <w:rPr>
                <w:rFonts w:asciiTheme="minorHAnsi" w:hAnsiTheme="minorHAnsi" w:cstheme="minorHAnsi"/>
                <w:sz w:val="22"/>
                <w:szCs w:val="22"/>
              </w:rPr>
              <w:t>44</w:t>
            </w:r>
            <w:r w:rsidR="005601CD" w:rsidRPr="000F7953">
              <w:rPr>
                <w:rFonts w:asciiTheme="minorHAnsi" w:hAnsiTheme="minorHAnsi" w:cstheme="minorHAnsi"/>
                <w:sz w:val="22"/>
                <w:szCs w:val="22"/>
              </w:rPr>
              <w:t> %</w:t>
            </w:r>
          </w:p>
        </w:tc>
        <w:tc>
          <w:tcPr>
            <w:tcW w:w="1704" w:type="dxa"/>
          </w:tcPr>
          <w:p w14:paraId="1EA43036" w14:textId="51DB2444" w:rsidR="008B2CB6" w:rsidRPr="000F7953" w:rsidRDefault="00C21EA0" w:rsidP="00FE33C7">
            <w:pPr>
              <w:jc w:val="center"/>
              <w:rPr>
                <w:rFonts w:asciiTheme="minorHAnsi" w:hAnsiTheme="minorHAnsi" w:cstheme="minorHAnsi"/>
                <w:sz w:val="22"/>
                <w:szCs w:val="22"/>
              </w:rPr>
            </w:pPr>
            <w:r w:rsidRPr="000F7953">
              <w:rPr>
                <w:rFonts w:asciiTheme="minorHAnsi" w:hAnsiTheme="minorHAnsi" w:cstheme="minorHAnsi"/>
                <w:sz w:val="22"/>
                <w:szCs w:val="22"/>
              </w:rPr>
              <w:t>56</w:t>
            </w:r>
            <w:r w:rsidR="005601CD" w:rsidRPr="000F7953">
              <w:rPr>
                <w:rFonts w:asciiTheme="minorHAnsi" w:hAnsiTheme="minorHAnsi" w:cstheme="minorHAnsi"/>
                <w:sz w:val="22"/>
                <w:szCs w:val="22"/>
              </w:rPr>
              <w:t> %</w:t>
            </w:r>
          </w:p>
        </w:tc>
      </w:tr>
      <w:tr w:rsidR="008B2CB6" w:rsidRPr="000F7953" w14:paraId="71195630" w14:textId="77777777" w:rsidTr="00FE33C7">
        <w:tc>
          <w:tcPr>
            <w:tcW w:w="5665" w:type="dxa"/>
          </w:tcPr>
          <w:p w14:paraId="1F394C76" w14:textId="5B4B12E9" w:rsidR="008B2CB6" w:rsidRPr="000F7953" w:rsidRDefault="00A27062" w:rsidP="00CD3F6B">
            <w:pPr>
              <w:rPr>
                <w:rFonts w:asciiTheme="minorHAnsi" w:hAnsiTheme="minorHAnsi" w:cstheme="minorHAnsi"/>
                <w:sz w:val="22"/>
                <w:szCs w:val="22"/>
              </w:rPr>
            </w:pPr>
            <w:r w:rsidRPr="000F7953">
              <w:rPr>
                <w:rFonts w:asciiTheme="minorHAnsi" w:hAnsiTheme="minorHAnsi" w:cstheme="minorHAnsi"/>
                <w:sz w:val="22"/>
                <w:szCs w:val="22"/>
              </w:rPr>
              <w:t>24</w:t>
            </w:r>
            <w:r w:rsidRPr="000F7953">
              <w:rPr>
                <w:rFonts w:asciiTheme="minorHAnsi" w:hAnsiTheme="minorHAnsi" w:cstheme="minorHAnsi"/>
                <w:sz w:val="22"/>
                <w:szCs w:val="22"/>
                <w:vertAlign w:val="superscript"/>
              </w:rPr>
              <w:t>a</w:t>
            </w:r>
            <w:r w:rsidRPr="000F7953">
              <w:rPr>
                <w:rFonts w:asciiTheme="minorHAnsi" w:hAnsiTheme="minorHAnsi" w:cstheme="minorHAnsi"/>
                <w:sz w:val="22"/>
                <w:szCs w:val="22"/>
              </w:rPr>
              <w:t xml:space="preserve"> a 27</w:t>
            </w:r>
            <w:r w:rsidRPr="000F7953">
              <w:rPr>
                <w:rFonts w:asciiTheme="minorHAnsi" w:hAnsiTheme="minorHAnsi" w:cstheme="minorHAnsi"/>
                <w:sz w:val="22"/>
                <w:szCs w:val="22"/>
                <w:vertAlign w:val="superscript"/>
              </w:rPr>
              <w:t>a</w:t>
            </w:r>
            <w:r w:rsidRPr="000F7953">
              <w:rPr>
                <w:rFonts w:asciiTheme="minorHAnsi" w:hAnsiTheme="minorHAnsi" w:cstheme="minorHAnsi"/>
                <w:sz w:val="22"/>
                <w:szCs w:val="22"/>
              </w:rPr>
              <w:t xml:space="preserve"> reunión del GECT</w:t>
            </w:r>
          </w:p>
        </w:tc>
        <w:tc>
          <w:tcPr>
            <w:tcW w:w="1703" w:type="dxa"/>
          </w:tcPr>
          <w:p w14:paraId="743707C8" w14:textId="483DD091" w:rsidR="008B2CB6" w:rsidRPr="000F7953" w:rsidRDefault="009A32E6" w:rsidP="00FE33C7">
            <w:pPr>
              <w:jc w:val="center"/>
              <w:rPr>
                <w:rFonts w:asciiTheme="minorHAnsi" w:hAnsiTheme="minorHAnsi" w:cstheme="minorHAnsi"/>
                <w:sz w:val="22"/>
                <w:szCs w:val="22"/>
              </w:rPr>
            </w:pPr>
            <w:r w:rsidRPr="000F7953">
              <w:rPr>
                <w:rFonts w:asciiTheme="minorHAnsi" w:hAnsiTheme="minorHAnsi" w:cstheme="minorHAnsi"/>
                <w:sz w:val="22"/>
                <w:szCs w:val="22"/>
              </w:rPr>
              <w:t>40</w:t>
            </w:r>
            <w:r w:rsidR="005601CD" w:rsidRPr="000F7953">
              <w:rPr>
                <w:rFonts w:asciiTheme="minorHAnsi" w:hAnsiTheme="minorHAnsi" w:cstheme="minorHAnsi"/>
                <w:sz w:val="22"/>
                <w:szCs w:val="22"/>
              </w:rPr>
              <w:t> %</w:t>
            </w:r>
          </w:p>
        </w:tc>
        <w:tc>
          <w:tcPr>
            <w:tcW w:w="1704" w:type="dxa"/>
          </w:tcPr>
          <w:p w14:paraId="7E327758" w14:textId="21AFC56C" w:rsidR="008B2CB6" w:rsidRPr="000F7953" w:rsidRDefault="009A32E6" w:rsidP="00FE33C7">
            <w:pPr>
              <w:jc w:val="center"/>
              <w:rPr>
                <w:rFonts w:asciiTheme="minorHAnsi" w:hAnsiTheme="minorHAnsi" w:cstheme="minorHAnsi"/>
                <w:sz w:val="22"/>
                <w:szCs w:val="22"/>
              </w:rPr>
            </w:pPr>
            <w:r w:rsidRPr="000F7953">
              <w:rPr>
                <w:rFonts w:asciiTheme="minorHAnsi" w:hAnsiTheme="minorHAnsi" w:cstheme="minorHAnsi"/>
                <w:sz w:val="22"/>
                <w:szCs w:val="22"/>
              </w:rPr>
              <w:t>60</w:t>
            </w:r>
            <w:r w:rsidR="005601CD" w:rsidRPr="000F7953">
              <w:rPr>
                <w:rFonts w:asciiTheme="minorHAnsi" w:hAnsiTheme="minorHAnsi" w:cstheme="minorHAnsi"/>
                <w:sz w:val="22"/>
                <w:szCs w:val="22"/>
              </w:rPr>
              <w:t> %</w:t>
            </w:r>
          </w:p>
        </w:tc>
      </w:tr>
      <w:tr w:rsidR="009A32E6" w:rsidRPr="000F7953" w14:paraId="5E5043A4" w14:textId="77777777" w:rsidTr="00FE33C7">
        <w:tc>
          <w:tcPr>
            <w:tcW w:w="5665" w:type="dxa"/>
          </w:tcPr>
          <w:p w14:paraId="1A9EC44D" w14:textId="0F0C5CB3" w:rsidR="009A32E6" w:rsidRPr="000F7953" w:rsidRDefault="00AC2C90" w:rsidP="00CD3F6B">
            <w:pPr>
              <w:rPr>
                <w:rFonts w:asciiTheme="minorHAnsi" w:hAnsiTheme="minorHAnsi" w:cstheme="minorHAnsi"/>
                <w:sz w:val="22"/>
                <w:szCs w:val="22"/>
              </w:rPr>
            </w:pPr>
            <w:r w:rsidRPr="000F7953">
              <w:rPr>
                <w:rFonts w:asciiTheme="minorHAnsi" w:hAnsiTheme="minorHAnsi" w:cstheme="minorHAnsi"/>
                <w:sz w:val="22"/>
                <w:szCs w:val="22"/>
              </w:rPr>
              <w:t>Reuniones regionales previas a la COP</w:t>
            </w:r>
          </w:p>
        </w:tc>
        <w:tc>
          <w:tcPr>
            <w:tcW w:w="1703" w:type="dxa"/>
          </w:tcPr>
          <w:p w14:paraId="57DD7C16" w14:textId="74FA6CDE" w:rsidR="009A32E6" w:rsidRPr="000F7953" w:rsidRDefault="00076641" w:rsidP="00FE33C7">
            <w:pPr>
              <w:jc w:val="center"/>
              <w:rPr>
                <w:rFonts w:asciiTheme="minorHAnsi" w:hAnsiTheme="minorHAnsi" w:cstheme="minorHAnsi"/>
                <w:sz w:val="22"/>
                <w:szCs w:val="22"/>
              </w:rPr>
            </w:pPr>
            <w:r w:rsidRPr="000F7953">
              <w:rPr>
                <w:rFonts w:asciiTheme="minorHAnsi" w:hAnsiTheme="minorHAnsi" w:cstheme="minorHAnsi"/>
                <w:sz w:val="22"/>
                <w:szCs w:val="22"/>
              </w:rPr>
              <w:t>46</w:t>
            </w:r>
            <w:r w:rsidR="005601CD" w:rsidRPr="000F7953">
              <w:rPr>
                <w:rFonts w:asciiTheme="minorHAnsi" w:hAnsiTheme="minorHAnsi" w:cstheme="minorHAnsi"/>
                <w:sz w:val="22"/>
                <w:szCs w:val="22"/>
              </w:rPr>
              <w:t> %</w:t>
            </w:r>
          </w:p>
        </w:tc>
        <w:tc>
          <w:tcPr>
            <w:tcW w:w="1704" w:type="dxa"/>
          </w:tcPr>
          <w:p w14:paraId="66EE4815" w14:textId="24B19C80" w:rsidR="009A32E6" w:rsidRPr="000F7953" w:rsidRDefault="00076641" w:rsidP="00FE33C7">
            <w:pPr>
              <w:jc w:val="center"/>
              <w:rPr>
                <w:rFonts w:asciiTheme="minorHAnsi" w:hAnsiTheme="minorHAnsi" w:cstheme="minorHAnsi"/>
                <w:sz w:val="22"/>
                <w:szCs w:val="22"/>
              </w:rPr>
            </w:pPr>
            <w:r w:rsidRPr="000F7953">
              <w:rPr>
                <w:rFonts w:asciiTheme="minorHAnsi" w:hAnsiTheme="minorHAnsi" w:cstheme="minorHAnsi"/>
                <w:sz w:val="22"/>
                <w:szCs w:val="22"/>
              </w:rPr>
              <w:t>54</w:t>
            </w:r>
            <w:r w:rsidR="005601CD" w:rsidRPr="000F7953">
              <w:rPr>
                <w:rFonts w:asciiTheme="minorHAnsi" w:hAnsiTheme="minorHAnsi" w:cstheme="minorHAnsi"/>
                <w:sz w:val="22"/>
                <w:szCs w:val="22"/>
              </w:rPr>
              <w:t> %</w:t>
            </w:r>
          </w:p>
        </w:tc>
      </w:tr>
    </w:tbl>
    <w:p w14:paraId="03F9D6D0" w14:textId="77777777" w:rsidR="00A561BC" w:rsidRPr="000F7953" w:rsidRDefault="00A561BC" w:rsidP="00CD3F6B">
      <w:pPr>
        <w:rPr>
          <w:rFonts w:asciiTheme="minorHAnsi" w:hAnsiTheme="minorHAnsi" w:cstheme="minorHAnsi"/>
          <w:sz w:val="22"/>
          <w:szCs w:val="22"/>
        </w:rPr>
      </w:pPr>
    </w:p>
    <w:p w14:paraId="7B2399B3" w14:textId="77777777" w:rsidR="00B34291" w:rsidRPr="000F7953" w:rsidRDefault="00B34291" w:rsidP="00CD3F6B">
      <w:pPr>
        <w:rPr>
          <w:rFonts w:asciiTheme="minorHAnsi" w:hAnsiTheme="minorHAnsi" w:cstheme="minorHAnsi"/>
          <w:sz w:val="22"/>
          <w:szCs w:val="22"/>
        </w:rPr>
      </w:pPr>
    </w:p>
    <w:p w14:paraId="5FBCB658" w14:textId="072DF5E5" w:rsidR="00B471E8" w:rsidRPr="000F7953" w:rsidRDefault="000E3338"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t>127.</w:t>
      </w:r>
      <w:r w:rsidRPr="000F7953">
        <w:rPr>
          <w:rFonts w:asciiTheme="minorHAnsi" w:hAnsiTheme="minorHAnsi" w:cstheme="minorHAnsi"/>
          <w:sz w:val="22"/>
          <w:szCs w:val="22"/>
        </w:rPr>
        <w:tab/>
        <w:t>El 80</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de las Partes Contratantes facilitó información sobre las estrategias de apoyo a la participación de los jóvenes en la aplicación de la Convención, de conformidad con el párrafo 21 de la Resolución XIV.12 sobre la implicación de los jóvenes. Las áreas clave son la conservación o restauración de humedales (28</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la educación medioambiental (20</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los programas específicos para los jóvenes (16</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la inclusión en la toma de decisiones (15</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las asociaciones de colaboración (12</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y la capacitación y formación (9</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w:t>
      </w:r>
    </w:p>
    <w:p w14:paraId="2D472CE7" w14:textId="77777777" w:rsidR="00746EAC" w:rsidRPr="000F7953" w:rsidRDefault="00746EAC" w:rsidP="00257025">
      <w:pPr>
        <w:ind w:left="567" w:hanging="567"/>
        <w:rPr>
          <w:rFonts w:asciiTheme="minorHAnsi" w:hAnsiTheme="minorHAnsi" w:cstheme="minorHAnsi"/>
          <w:sz w:val="22"/>
          <w:szCs w:val="22"/>
          <w:lang w:eastAsia="fr-FR"/>
        </w:rPr>
      </w:pPr>
    </w:p>
    <w:p w14:paraId="009CA884" w14:textId="759B2EA7" w:rsidR="006226B4" w:rsidRPr="000F7953" w:rsidRDefault="000E3338"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t>128.</w:t>
      </w:r>
      <w:r w:rsidRPr="000F7953">
        <w:rPr>
          <w:rFonts w:asciiTheme="minorHAnsi" w:hAnsiTheme="minorHAnsi" w:cstheme="minorHAnsi"/>
          <w:sz w:val="22"/>
          <w:szCs w:val="22"/>
        </w:rPr>
        <w:tab/>
        <w:t>A la fecha de la COP15, 49 Partes Contratantes han designado coordinadores nacionales para la juventud, de los cuales 25 son mujeres.</w:t>
      </w:r>
    </w:p>
    <w:bookmarkEnd w:id="4"/>
    <w:p w14:paraId="41335564" w14:textId="77777777" w:rsidR="00ED0CDC" w:rsidRPr="000F7953" w:rsidRDefault="00ED0CDC" w:rsidP="00CD3F6B">
      <w:pPr>
        <w:rPr>
          <w:rFonts w:asciiTheme="minorHAnsi" w:eastAsia="Calibri" w:hAnsiTheme="minorHAnsi" w:cstheme="minorHAnsi"/>
          <w:sz w:val="22"/>
          <w:szCs w:val="22"/>
        </w:rPr>
      </w:pPr>
    </w:p>
    <w:p w14:paraId="4CCFCE84" w14:textId="77777777" w:rsidR="003E56FD" w:rsidRPr="000F7953" w:rsidRDefault="003E56FD" w:rsidP="00CD3F6B">
      <w:pPr>
        <w:rPr>
          <w:rFonts w:asciiTheme="minorHAnsi" w:eastAsia="Calibri" w:hAnsiTheme="minorHAnsi" w:cstheme="minorHAnsi"/>
          <w:sz w:val="22"/>
          <w:szCs w:val="22"/>
        </w:rPr>
      </w:pPr>
    </w:p>
    <w:p w14:paraId="039E8F24" w14:textId="43EEF0F5" w:rsidR="00981F20" w:rsidRPr="000F7953" w:rsidRDefault="00832265" w:rsidP="000D551C">
      <w:pPr>
        <w:keepNext/>
        <w:rPr>
          <w:rFonts w:asciiTheme="minorHAnsi" w:eastAsia="Calibri" w:hAnsiTheme="minorHAnsi" w:cstheme="minorHAnsi"/>
          <w:b/>
          <w:bCs/>
          <w:sz w:val="22"/>
          <w:szCs w:val="22"/>
        </w:rPr>
      </w:pPr>
      <w:r w:rsidRPr="000F7953">
        <w:rPr>
          <w:rFonts w:asciiTheme="minorHAnsi" w:hAnsiTheme="minorHAnsi" w:cstheme="minorHAnsi"/>
          <w:b/>
          <w:bCs/>
          <w:sz w:val="22"/>
          <w:szCs w:val="22"/>
        </w:rPr>
        <w:t xml:space="preserve">Resumen de los progresos realizados en la aplicación y de los retos y prioridades para el futuro </w:t>
      </w:r>
    </w:p>
    <w:p w14:paraId="132297D4" w14:textId="77777777" w:rsidR="00C478E5" w:rsidRPr="000F7953" w:rsidRDefault="00C478E5" w:rsidP="000D551C">
      <w:pPr>
        <w:keepNext/>
        <w:rPr>
          <w:rFonts w:asciiTheme="minorHAnsi" w:hAnsiTheme="minorHAnsi" w:cstheme="minorHAnsi"/>
          <w:sz w:val="22"/>
          <w:szCs w:val="22"/>
          <w:lang w:eastAsia="fr-FR"/>
        </w:rPr>
      </w:pPr>
    </w:p>
    <w:p w14:paraId="76442B61" w14:textId="72780D41" w:rsidR="007A342A" w:rsidRPr="000F7953" w:rsidRDefault="000E3338"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t>129.</w:t>
      </w:r>
      <w:r w:rsidRPr="000F7953">
        <w:rPr>
          <w:rFonts w:asciiTheme="minorHAnsi" w:hAnsiTheme="minorHAnsi" w:cstheme="minorHAnsi"/>
          <w:sz w:val="22"/>
          <w:szCs w:val="22"/>
        </w:rPr>
        <w:tab/>
        <w:t xml:space="preserve">En esta sección se proporciona un resumen general de los progresos realizados en la aplicación y de los retos y prioridades para futuro, basándose en los informes nacionales presentados para la COP15 (incluida la información facilitada por las Partes Contratantes en respuesta a las preguntas que figuran en la sección 2 del formulario de informe nacional). </w:t>
      </w:r>
    </w:p>
    <w:p w14:paraId="69BCCE96" w14:textId="77777777" w:rsidR="008C1BAB" w:rsidRPr="000F7953" w:rsidRDefault="008C1BAB" w:rsidP="00CD3F6B">
      <w:pPr>
        <w:rPr>
          <w:rFonts w:asciiTheme="minorHAnsi" w:eastAsia="Calibri" w:hAnsiTheme="minorHAnsi" w:cstheme="minorHAnsi"/>
          <w:sz w:val="22"/>
          <w:szCs w:val="22"/>
          <w:highlight w:val="yellow"/>
        </w:rPr>
      </w:pPr>
    </w:p>
    <w:p w14:paraId="5947EDE5" w14:textId="63F2EC03" w:rsidR="00224C95" w:rsidRPr="000F7953" w:rsidRDefault="00B23A78" w:rsidP="000D551C">
      <w:pPr>
        <w:keepNext/>
        <w:rPr>
          <w:rFonts w:asciiTheme="minorHAnsi" w:eastAsia="Calibri" w:hAnsiTheme="minorHAnsi" w:cstheme="minorHAnsi"/>
          <w:i/>
          <w:iCs/>
          <w:sz w:val="22"/>
          <w:szCs w:val="22"/>
          <w:u w:val="single"/>
        </w:rPr>
      </w:pPr>
      <w:r w:rsidRPr="000F7953">
        <w:rPr>
          <w:rFonts w:asciiTheme="minorHAnsi" w:hAnsiTheme="minorHAnsi" w:cstheme="minorHAnsi"/>
          <w:i/>
          <w:iCs/>
          <w:sz w:val="22"/>
          <w:szCs w:val="22"/>
          <w:u w:val="single"/>
        </w:rPr>
        <w:t xml:space="preserve">Progresos realizados en la aplicación </w:t>
      </w:r>
    </w:p>
    <w:p w14:paraId="5E721F38" w14:textId="77777777" w:rsidR="000D551C" w:rsidRPr="000F7953" w:rsidRDefault="000D551C" w:rsidP="000D551C">
      <w:pPr>
        <w:keepNext/>
        <w:rPr>
          <w:rFonts w:asciiTheme="minorHAnsi" w:eastAsia="Calibri" w:hAnsiTheme="minorHAnsi" w:cstheme="minorHAnsi"/>
          <w:sz w:val="22"/>
          <w:szCs w:val="22"/>
          <w:u w:val="single"/>
        </w:rPr>
      </w:pPr>
    </w:p>
    <w:p w14:paraId="5B46A1AB" w14:textId="1C1ACCDA" w:rsidR="00E575CB" w:rsidRPr="000F7953" w:rsidRDefault="000E3338" w:rsidP="00257025">
      <w:pPr>
        <w:ind w:left="567" w:hanging="567"/>
        <w:rPr>
          <w:rFonts w:asciiTheme="minorHAnsi" w:eastAsia="Calibri" w:hAnsiTheme="minorHAnsi" w:cstheme="minorHAnsi"/>
          <w:sz w:val="22"/>
          <w:szCs w:val="22"/>
        </w:rPr>
      </w:pPr>
      <w:r w:rsidRPr="000F7953">
        <w:rPr>
          <w:rFonts w:asciiTheme="minorHAnsi" w:hAnsiTheme="minorHAnsi" w:cstheme="minorHAnsi"/>
          <w:sz w:val="22"/>
          <w:szCs w:val="22"/>
        </w:rPr>
        <w:t>130.</w:t>
      </w:r>
      <w:r w:rsidRPr="000F7953">
        <w:rPr>
          <w:rFonts w:asciiTheme="minorHAnsi" w:hAnsiTheme="minorHAnsi" w:cstheme="minorHAnsi"/>
          <w:sz w:val="22"/>
          <w:szCs w:val="22"/>
        </w:rPr>
        <w:tab/>
        <w:t xml:space="preserve">El PE4 incluye cuatro objetivos, tres estratégicos y uno operativo o de apoyo. Se han realizado progresos significativos, aunque en su mayoría graduales, hacia la consecución de los cuatro objetivos. Sin embargo, los avances siguen siendo limitados en relación con algunos aspectos de cada objetivo, como se indica a continuación. En lo que respecta al estado de las </w:t>
      </w:r>
      <w:r w:rsidRPr="000F7953">
        <w:rPr>
          <w:rFonts w:asciiTheme="minorHAnsi" w:hAnsiTheme="minorHAnsi" w:cstheme="minorHAnsi"/>
          <w:sz w:val="22"/>
          <w:szCs w:val="22"/>
        </w:rPr>
        <w:lastRenderedPageBreak/>
        <w:t>características ecológicas de los humedales, la proporción de Partes Contratantes que señalan que no se han producido cambios se ha mantenido relativamente estable tanto para los Humedales de Importancia Internacional como para los humedales en general, y se ha reducido la proporción de Partes que señalan un deterioro. En la</w:t>
      </w:r>
      <w:r w:rsidRPr="000F7953">
        <w:rPr>
          <w:rFonts w:asciiTheme="minorHAnsi" w:hAnsiTheme="minorHAnsi" w:cstheme="minorHAnsi"/>
          <w:i/>
          <w:iCs/>
          <w:sz w:val="22"/>
          <w:szCs w:val="22"/>
        </w:rPr>
        <w:t xml:space="preserve"> Perspectiva Mundial de los Humedales</w:t>
      </w:r>
      <w:r w:rsidRPr="000F7953">
        <w:rPr>
          <w:rFonts w:asciiTheme="minorHAnsi" w:hAnsiTheme="minorHAnsi" w:cstheme="minorHAnsi"/>
          <w:sz w:val="22"/>
          <w:szCs w:val="22"/>
        </w:rPr>
        <w:t xml:space="preserve"> se estima que se están perdiendo entre un 0,5</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y un 1,0</w:t>
      </w:r>
      <w:r w:rsidR="005601CD" w:rsidRPr="000F7953">
        <w:rPr>
          <w:rFonts w:asciiTheme="minorHAnsi" w:hAnsiTheme="minorHAnsi" w:cstheme="minorHAnsi"/>
          <w:sz w:val="22"/>
          <w:szCs w:val="22"/>
        </w:rPr>
        <w:t> %</w:t>
      </w:r>
      <w:r w:rsidRPr="000F7953">
        <w:rPr>
          <w:rFonts w:asciiTheme="minorHAnsi" w:hAnsiTheme="minorHAnsi" w:cstheme="minorHAnsi"/>
          <w:sz w:val="22"/>
          <w:szCs w:val="22"/>
        </w:rPr>
        <w:t xml:space="preserve"> de humedales al año en todo el mundo.</w:t>
      </w:r>
    </w:p>
    <w:p w14:paraId="28E36BCD" w14:textId="77777777" w:rsidR="00AF4EE0" w:rsidRPr="000F7953" w:rsidRDefault="00AF4EE0" w:rsidP="00257025">
      <w:pPr>
        <w:ind w:left="567" w:hanging="567"/>
        <w:rPr>
          <w:rFonts w:asciiTheme="minorHAnsi" w:eastAsia="Calibri" w:hAnsiTheme="minorHAnsi" w:cstheme="minorHAnsi"/>
          <w:sz w:val="22"/>
          <w:szCs w:val="22"/>
        </w:rPr>
      </w:pPr>
    </w:p>
    <w:p w14:paraId="78E7AC71" w14:textId="51DCBE16" w:rsidR="006A2995" w:rsidRPr="000F7953" w:rsidRDefault="000E3338" w:rsidP="00257025">
      <w:pPr>
        <w:ind w:left="567" w:hanging="567"/>
        <w:rPr>
          <w:rFonts w:asciiTheme="minorHAnsi" w:hAnsiTheme="minorHAnsi" w:cstheme="minorHAnsi"/>
          <w:sz w:val="22"/>
          <w:szCs w:val="22"/>
        </w:rPr>
      </w:pPr>
      <w:r w:rsidRPr="000F7953">
        <w:rPr>
          <w:rFonts w:asciiTheme="minorHAnsi" w:hAnsiTheme="minorHAnsi" w:cstheme="minorHAnsi"/>
          <w:bCs/>
          <w:sz w:val="22"/>
          <w:szCs w:val="22"/>
        </w:rPr>
        <w:t>131.</w:t>
      </w:r>
      <w:r w:rsidRPr="000F7953">
        <w:rPr>
          <w:rFonts w:asciiTheme="minorHAnsi" w:hAnsiTheme="minorHAnsi" w:cstheme="minorHAnsi"/>
          <w:bCs/>
          <w:i/>
          <w:iCs/>
          <w:sz w:val="22"/>
          <w:szCs w:val="22"/>
        </w:rPr>
        <w:tab/>
        <w:t xml:space="preserve">Objetivo 1: Hacer frente a los factores que impulsan la pérdida y degradación de los humedales: </w:t>
      </w:r>
      <w:r w:rsidRPr="000F7953">
        <w:rPr>
          <w:rFonts w:asciiTheme="minorHAnsi" w:hAnsiTheme="minorHAnsi" w:cstheme="minorHAnsi"/>
          <w:sz w:val="22"/>
          <w:szCs w:val="22"/>
        </w:rPr>
        <w:t xml:space="preserve">De manera general, se ha avanzado gradualmente en la respuesta a los factores que impulsan la pérdida y degradación de los humedales a lo largo del período cubierto por el PE4. Se ha avanzado especialmente en la integración de los humedales en las estrategias y planes relacionados con la biodiversidad y el agua, y también, aunque en menor medida, en los planes de gestión de los recursos hídricos y de eficiencia hídrica y en algunos sectores con un impacto significativo en los humedales. Si bien se ha avanzado en cierta medida en la reforma de los sistemas de subvenciones e incentivos para reducir las presiones y fomentar el uso racional de los humedales, los esfuerzos se ven limitados por problemas de gobernanza, de coordinación y económicos. Hay avances notables en las medidas normativas de control y manejo de las especies exóticas invasoras, pero la evaluación de la eficacia de los programas de control de dichas especies es limitada. </w:t>
      </w:r>
    </w:p>
    <w:p w14:paraId="688C1F65" w14:textId="77777777" w:rsidR="005A1274" w:rsidRPr="000F7953" w:rsidRDefault="005A1274" w:rsidP="00257025">
      <w:pPr>
        <w:ind w:left="567" w:hanging="567"/>
        <w:rPr>
          <w:rFonts w:asciiTheme="minorHAnsi" w:hAnsiTheme="minorHAnsi" w:cstheme="minorHAnsi"/>
          <w:sz w:val="22"/>
          <w:szCs w:val="22"/>
        </w:rPr>
      </w:pPr>
    </w:p>
    <w:p w14:paraId="463F05B6" w14:textId="21E0D091" w:rsidR="005A1274" w:rsidRPr="000F7953" w:rsidRDefault="000E3338" w:rsidP="00257025">
      <w:pPr>
        <w:ind w:left="567" w:hanging="567"/>
        <w:rPr>
          <w:rFonts w:asciiTheme="minorHAnsi" w:hAnsiTheme="minorHAnsi" w:cstheme="minorHAnsi"/>
          <w:sz w:val="22"/>
          <w:szCs w:val="22"/>
        </w:rPr>
      </w:pPr>
      <w:r w:rsidRPr="000F7953">
        <w:rPr>
          <w:rFonts w:asciiTheme="minorHAnsi" w:hAnsiTheme="minorHAnsi" w:cstheme="minorHAnsi"/>
          <w:bCs/>
          <w:sz w:val="22"/>
          <w:szCs w:val="22"/>
        </w:rPr>
        <w:t>132.</w:t>
      </w:r>
      <w:r w:rsidRPr="000F7953">
        <w:rPr>
          <w:rFonts w:asciiTheme="minorHAnsi" w:hAnsiTheme="minorHAnsi" w:cstheme="minorHAnsi"/>
          <w:bCs/>
          <w:sz w:val="22"/>
          <w:szCs w:val="22"/>
        </w:rPr>
        <w:tab/>
      </w:r>
      <w:r w:rsidRPr="000F7953">
        <w:rPr>
          <w:rFonts w:asciiTheme="minorHAnsi" w:hAnsiTheme="minorHAnsi" w:cstheme="minorHAnsi"/>
          <w:bCs/>
          <w:i/>
          <w:iCs/>
          <w:sz w:val="22"/>
          <w:szCs w:val="22"/>
        </w:rPr>
        <w:t xml:space="preserve">Objetivo 2: Llevar a cabo una conservación y un manejo eficaces de la red de sitios Ramsar: </w:t>
      </w:r>
      <w:r w:rsidRPr="000F7953">
        <w:rPr>
          <w:rFonts w:asciiTheme="minorHAnsi" w:hAnsiTheme="minorHAnsi" w:cstheme="minorHAnsi"/>
          <w:sz w:val="22"/>
          <w:szCs w:val="22"/>
        </w:rPr>
        <w:t xml:space="preserve">La red de Humedales de Importancia Internacional ha crecido tanto en número de sitios como en superficie, y muchas designaciones recientes incluyen tipos de humedales subrepresentados. De manera general, las características ecológicas de los Humedales de Importancia Internacional se han mantenido relativamente inalteradas durante el periodo cubierto por el PE4, pero se ha reducido el número de Partes Contratantes que informan que el estado de los sitios ha mejorado. Se ha registrado un aumento del número de Humedales de Importancia Internacional que son objeto de gestión eficaz, pero solo en algunos sitios se realizan evaluaciones de la eficacia de la gestión. Una amplia proporción de las Fichas Informativas de Ramsar están obsoletas y se hace un uso limitado de los procesos clave para responder a los cambios negativos en las características ecológicas de los Humedales de Importancia Internacional, incluido el Registro de Montreux. </w:t>
      </w:r>
    </w:p>
    <w:p w14:paraId="7ACAE2B7" w14:textId="77777777" w:rsidR="005A1274" w:rsidRPr="000F7953" w:rsidRDefault="005A1274" w:rsidP="00257025">
      <w:pPr>
        <w:ind w:left="567" w:hanging="567"/>
        <w:rPr>
          <w:rFonts w:asciiTheme="minorHAnsi" w:hAnsiTheme="minorHAnsi" w:cstheme="minorHAnsi"/>
          <w:sz w:val="22"/>
          <w:szCs w:val="22"/>
        </w:rPr>
      </w:pPr>
    </w:p>
    <w:p w14:paraId="4A990703" w14:textId="11009CAD" w:rsidR="005A1274" w:rsidRPr="000F7953" w:rsidRDefault="000E3338" w:rsidP="00257025">
      <w:pPr>
        <w:ind w:left="567" w:hanging="567"/>
        <w:rPr>
          <w:rFonts w:asciiTheme="minorHAnsi" w:hAnsiTheme="minorHAnsi" w:cstheme="minorHAnsi"/>
          <w:sz w:val="22"/>
          <w:szCs w:val="22"/>
        </w:rPr>
      </w:pPr>
      <w:r w:rsidRPr="000F7953">
        <w:rPr>
          <w:rFonts w:asciiTheme="minorHAnsi" w:hAnsiTheme="minorHAnsi" w:cstheme="minorHAnsi"/>
          <w:bCs/>
          <w:sz w:val="22"/>
          <w:szCs w:val="22"/>
        </w:rPr>
        <w:t>133.</w:t>
      </w:r>
      <w:r w:rsidRPr="000F7953">
        <w:rPr>
          <w:rFonts w:asciiTheme="minorHAnsi" w:hAnsiTheme="minorHAnsi" w:cstheme="minorHAnsi"/>
          <w:bCs/>
          <w:i/>
          <w:iCs/>
          <w:sz w:val="22"/>
          <w:szCs w:val="22"/>
        </w:rPr>
        <w:tab/>
        <w:t xml:space="preserve">Objetivo 3: Realizar un uso racional de todos los humedales: </w:t>
      </w:r>
      <w:r w:rsidRPr="000F7953">
        <w:rPr>
          <w:rFonts w:asciiTheme="minorHAnsi" w:hAnsiTheme="minorHAnsi" w:cstheme="minorHAnsi"/>
          <w:sz w:val="22"/>
          <w:szCs w:val="22"/>
        </w:rPr>
        <w:t xml:space="preserve">Se han realizado progresos constantes en la promoción del uso racional de los humedales a través de la gestión integrada de los recursos, entre otras cosas, a través de políticas en materia de humedales o instrumentos equivalentes. Se utilizan muy ampliamente las herramientas clave de planificación y apoyo a la toma de decisiones, como la evaluación del impacto ambiental (EIA) y la evaluación ambiental estratégica (EAE), apoyando medidas de sostenibilidad en sectores que afectan a los humedales. Sin embargo, los avances en la evaluación de los servicios de los ecosistemas que proporcionan los humedales para apoyar la consideración de sus valores socioeconómicos y culturales en las políticas, planes y otras medidas pertinentes son relativamente limitados. Además, se ha avanzado poco en la elaboración y actualización de los inventarios nacionales de humedales, lo que supone una limitación importante para apoyar la gestión y el uso racional de los humedales basado en datos objetivos, así como para la presentación de informes en el marco de la Convención y en relación con otros objetivos y metas mundiales. </w:t>
      </w:r>
    </w:p>
    <w:p w14:paraId="6BAED1DB" w14:textId="77777777" w:rsidR="005A1274" w:rsidRPr="000F7953" w:rsidRDefault="005A1274" w:rsidP="00257025">
      <w:pPr>
        <w:ind w:left="567" w:hanging="567"/>
        <w:rPr>
          <w:rFonts w:asciiTheme="minorHAnsi" w:hAnsiTheme="minorHAnsi" w:cstheme="minorHAnsi"/>
          <w:sz w:val="22"/>
          <w:szCs w:val="22"/>
        </w:rPr>
      </w:pPr>
    </w:p>
    <w:p w14:paraId="53D14BAC" w14:textId="64FAD8A6" w:rsidR="005A1274" w:rsidRPr="000F7953" w:rsidRDefault="000E3338" w:rsidP="00257025">
      <w:pPr>
        <w:ind w:left="567" w:hanging="567"/>
        <w:rPr>
          <w:rFonts w:asciiTheme="minorHAnsi" w:hAnsiTheme="minorHAnsi" w:cstheme="minorHAnsi"/>
          <w:sz w:val="22"/>
          <w:szCs w:val="22"/>
        </w:rPr>
      </w:pPr>
      <w:r w:rsidRPr="000F7953">
        <w:rPr>
          <w:rFonts w:asciiTheme="minorHAnsi" w:hAnsiTheme="minorHAnsi" w:cstheme="minorHAnsi"/>
          <w:bCs/>
          <w:sz w:val="22"/>
          <w:szCs w:val="22"/>
        </w:rPr>
        <w:t>134.</w:t>
      </w:r>
      <w:r w:rsidRPr="000F7953">
        <w:rPr>
          <w:rFonts w:asciiTheme="minorHAnsi" w:hAnsiTheme="minorHAnsi" w:cstheme="minorHAnsi"/>
          <w:bCs/>
          <w:sz w:val="22"/>
          <w:szCs w:val="22"/>
        </w:rPr>
        <w:tab/>
      </w:r>
      <w:r w:rsidRPr="000F7953">
        <w:rPr>
          <w:rFonts w:asciiTheme="minorHAnsi" w:hAnsiTheme="minorHAnsi" w:cstheme="minorHAnsi"/>
          <w:bCs/>
          <w:i/>
          <w:iCs/>
          <w:sz w:val="22"/>
          <w:szCs w:val="22"/>
        </w:rPr>
        <w:t xml:space="preserve">Objetivo 4: Mejorar la aplicación: </w:t>
      </w:r>
      <w:r w:rsidRPr="000F7953">
        <w:rPr>
          <w:rFonts w:asciiTheme="minorHAnsi" w:hAnsiTheme="minorHAnsi" w:cstheme="minorHAnsi"/>
          <w:sz w:val="22"/>
          <w:szCs w:val="22"/>
        </w:rPr>
        <w:t xml:space="preserve">La cooperación internacional está aumentando en general, entre otras cosas, mediante el establecimiento de iniciativas regionales de Ramsar y la cooperación sobre especies migratorias y sistemas de humedales compartidos. Sin embargo, </w:t>
      </w:r>
      <w:r w:rsidRPr="000F7953">
        <w:rPr>
          <w:rFonts w:asciiTheme="minorHAnsi" w:hAnsiTheme="minorHAnsi" w:cstheme="minorHAnsi"/>
          <w:sz w:val="22"/>
          <w:szCs w:val="22"/>
        </w:rPr>
        <w:lastRenderedPageBreak/>
        <w:t xml:space="preserve">el progreso en la aplicación varía según las iniciativas regionales y algunas han tenido dificultades para mantener sus actividades. El Día Mundial de los Humedales contribuye significativamente a aumentar la visibilidad de la Convención, y la implicación de las Partes Contratantes es sistemáticamente alta. Sin embargo, el impacto de la divulgación, la concienciación y el fomento de capacidad puede verse limitado por el escaso desarrollo de planes de acción nacionales de CECoP. Si bien se han realizado algunos progresos en relación con la financiación de la aplicación de la Convención a través de asignaciones presupuestarias nacionales, así como de subvenciones de los países donantes, muchas Partes identifican la financiación inadecuada como un obstáculo clave para la aplicación de la Convención. </w:t>
      </w:r>
    </w:p>
    <w:p w14:paraId="241F6BBB" w14:textId="77777777" w:rsidR="000944F7" w:rsidRPr="000F7953" w:rsidRDefault="000944F7" w:rsidP="00257025">
      <w:pPr>
        <w:ind w:left="567" w:hanging="567"/>
        <w:rPr>
          <w:rFonts w:asciiTheme="minorHAnsi" w:hAnsiTheme="minorHAnsi" w:cstheme="minorHAnsi"/>
          <w:sz w:val="22"/>
          <w:szCs w:val="22"/>
        </w:rPr>
      </w:pPr>
    </w:p>
    <w:p w14:paraId="5F8DB9DB" w14:textId="1E9D3480" w:rsidR="00FC4C4B" w:rsidRPr="000F7953" w:rsidRDefault="000E3338"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t>135.</w:t>
      </w:r>
      <w:r w:rsidRPr="000F7953">
        <w:rPr>
          <w:rFonts w:asciiTheme="minorHAnsi" w:hAnsiTheme="minorHAnsi" w:cstheme="minorHAnsi"/>
          <w:sz w:val="22"/>
          <w:szCs w:val="22"/>
        </w:rPr>
        <w:tab/>
        <w:t>Las</w:t>
      </w:r>
      <w:r w:rsidRPr="000F7953">
        <w:rPr>
          <w:rFonts w:asciiTheme="minorHAnsi" w:hAnsiTheme="minorHAnsi" w:cstheme="minorHAnsi"/>
          <w:i/>
          <w:iCs/>
          <w:sz w:val="22"/>
          <w:szCs w:val="22"/>
        </w:rPr>
        <w:t xml:space="preserve"> áreas clave en las que es necesario progresar</w:t>
      </w:r>
      <w:r w:rsidRPr="000F7953">
        <w:rPr>
          <w:rFonts w:asciiTheme="minorHAnsi" w:hAnsiTheme="minorHAnsi" w:cstheme="minorHAnsi"/>
          <w:sz w:val="22"/>
          <w:szCs w:val="22"/>
        </w:rPr>
        <w:t xml:space="preserve"> destacadas por las Partes Contratantes en las respuestas descriptivas incluyen: </w:t>
      </w:r>
    </w:p>
    <w:p w14:paraId="067AFC33" w14:textId="06564CAC" w:rsidR="009E6604" w:rsidRPr="000F7953" w:rsidRDefault="009B4471" w:rsidP="00257025">
      <w:pPr>
        <w:pStyle w:val="ListParagraph"/>
        <w:numPr>
          <w:ilvl w:val="0"/>
          <w:numId w:val="108"/>
        </w:numPr>
        <w:tabs>
          <w:tab w:val="clear" w:pos="1154"/>
        </w:tabs>
        <w:spacing w:after="0" w:line="240" w:lineRule="auto"/>
        <w:ind w:left="993" w:hanging="425"/>
        <w:rPr>
          <w:rFonts w:eastAsia="Times New Roman" w:cstheme="minorHAnsi"/>
        </w:rPr>
      </w:pPr>
      <w:r w:rsidRPr="000F7953">
        <w:rPr>
          <w:rFonts w:cstheme="minorHAnsi"/>
        </w:rPr>
        <w:t>el fortalecimiento de los marcos jurídicos y normativos, incluyendo: la adopción de estrategias nacionales sobre humedales; mejoras en el desarrollo institucional y la gobernanza, por ejemplo, mediante la creación de observatorios de humedales, organismos de coordinación y unidades especializadas en conservación; y avances en la integración de los humedales en las políticas medioambientales o sectoriales más amplias;</w:t>
      </w:r>
    </w:p>
    <w:p w14:paraId="7FC373AF" w14:textId="1280AA39" w:rsidR="002F17EE" w:rsidRPr="000F7953" w:rsidRDefault="00E5064D" w:rsidP="00257025">
      <w:pPr>
        <w:pStyle w:val="ListParagraph"/>
        <w:numPr>
          <w:ilvl w:val="0"/>
          <w:numId w:val="108"/>
        </w:numPr>
        <w:tabs>
          <w:tab w:val="clear" w:pos="1154"/>
        </w:tabs>
        <w:spacing w:after="0" w:line="240" w:lineRule="auto"/>
        <w:ind w:left="993" w:hanging="425"/>
        <w:rPr>
          <w:rFonts w:cstheme="minorHAnsi"/>
        </w:rPr>
      </w:pPr>
      <w:r w:rsidRPr="000F7953">
        <w:rPr>
          <w:rFonts w:cstheme="minorHAnsi"/>
        </w:rPr>
        <w:t>avances en el seguimiento, incluida la capacidad técnica, por ejemplo, para la realización de censos de humedales y el uso de datos geoespaciales, y avances en la modernización de los sistemas de datos;</w:t>
      </w:r>
    </w:p>
    <w:p w14:paraId="40EB26CE" w14:textId="6D0F061A" w:rsidR="00E67A1C" w:rsidRPr="000F7953" w:rsidRDefault="009B4471" w:rsidP="00257025">
      <w:pPr>
        <w:pStyle w:val="ListParagraph"/>
        <w:numPr>
          <w:ilvl w:val="0"/>
          <w:numId w:val="108"/>
        </w:numPr>
        <w:tabs>
          <w:tab w:val="clear" w:pos="1154"/>
        </w:tabs>
        <w:spacing w:after="0" w:line="240" w:lineRule="auto"/>
        <w:ind w:left="993" w:hanging="425"/>
        <w:rPr>
          <w:rFonts w:cstheme="minorHAnsi"/>
        </w:rPr>
      </w:pPr>
      <w:r w:rsidRPr="000F7953">
        <w:rPr>
          <w:rFonts w:cstheme="minorHAnsi"/>
        </w:rPr>
        <w:t xml:space="preserve">avances en la participación de los Pueblos Indígenas y las comunidades locales en la planificación de la conservación; y </w:t>
      </w:r>
    </w:p>
    <w:p w14:paraId="096035B1" w14:textId="0D4B5B58" w:rsidR="009B4471" w:rsidRPr="000F7953" w:rsidRDefault="00A06B2B" w:rsidP="00257025">
      <w:pPr>
        <w:pStyle w:val="ListParagraph"/>
        <w:numPr>
          <w:ilvl w:val="0"/>
          <w:numId w:val="108"/>
        </w:numPr>
        <w:tabs>
          <w:tab w:val="clear" w:pos="1154"/>
        </w:tabs>
        <w:spacing w:after="0" w:line="240" w:lineRule="auto"/>
        <w:ind w:left="993" w:hanging="425"/>
        <w:rPr>
          <w:rFonts w:cstheme="minorHAnsi"/>
        </w:rPr>
      </w:pPr>
      <w:r w:rsidRPr="000F7953">
        <w:rPr>
          <w:rFonts w:cstheme="minorHAnsi"/>
        </w:rPr>
        <w:t>el desarrollo y la ejecución de proyectos innovadores de restauración.</w:t>
      </w:r>
    </w:p>
    <w:p w14:paraId="1D205803" w14:textId="77777777" w:rsidR="00F809BE" w:rsidRPr="000F7953" w:rsidRDefault="00F809BE" w:rsidP="00D1463B">
      <w:pPr>
        <w:pStyle w:val="ListParagraph"/>
        <w:spacing w:after="0" w:line="240" w:lineRule="auto"/>
        <w:ind w:left="426" w:hanging="426"/>
        <w:rPr>
          <w:rFonts w:eastAsia="Times New Roman" w:cstheme="minorHAnsi"/>
          <w:lang w:eastAsia="en-GB"/>
        </w:rPr>
      </w:pPr>
    </w:p>
    <w:p w14:paraId="2B31EE6B" w14:textId="43077D45" w:rsidR="002D3968" w:rsidRPr="000F7953" w:rsidRDefault="000E3338" w:rsidP="00257025">
      <w:pPr>
        <w:ind w:left="567" w:hanging="567"/>
        <w:outlineLvl w:val="2"/>
        <w:rPr>
          <w:rFonts w:asciiTheme="minorHAnsi" w:hAnsiTheme="minorHAnsi" w:cstheme="minorHAnsi"/>
          <w:sz w:val="22"/>
          <w:szCs w:val="22"/>
        </w:rPr>
      </w:pPr>
      <w:r w:rsidRPr="000F7953">
        <w:rPr>
          <w:rFonts w:asciiTheme="minorHAnsi" w:hAnsiTheme="minorHAnsi" w:cstheme="minorHAnsi"/>
          <w:sz w:val="22"/>
          <w:szCs w:val="22"/>
        </w:rPr>
        <w:t>136.</w:t>
      </w:r>
      <w:r w:rsidRPr="000F7953">
        <w:rPr>
          <w:rFonts w:asciiTheme="minorHAnsi" w:hAnsiTheme="minorHAnsi" w:cstheme="minorHAnsi"/>
          <w:i/>
          <w:iCs/>
          <w:sz w:val="22"/>
          <w:szCs w:val="22"/>
        </w:rPr>
        <w:tab/>
      </w:r>
      <w:r w:rsidRPr="000F7953">
        <w:rPr>
          <w:rFonts w:asciiTheme="minorHAnsi" w:hAnsiTheme="minorHAnsi" w:cstheme="minorHAnsi"/>
          <w:sz w:val="22"/>
          <w:szCs w:val="22"/>
        </w:rPr>
        <w:t xml:space="preserve">Los </w:t>
      </w:r>
      <w:r w:rsidRPr="000F7953">
        <w:rPr>
          <w:rFonts w:asciiTheme="minorHAnsi" w:hAnsiTheme="minorHAnsi" w:cstheme="minorHAnsi"/>
          <w:i/>
          <w:iCs/>
          <w:sz w:val="22"/>
          <w:szCs w:val="22"/>
        </w:rPr>
        <w:t>principales retos que obstaculizan la aplicación</w:t>
      </w:r>
      <w:r w:rsidRPr="000F7953">
        <w:rPr>
          <w:rFonts w:asciiTheme="minorHAnsi" w:hAnsiTheme="minorHAnsi" w:cstheme="minorHAnsi"/>
          <w:sz w:val="22"/>
          <w:szCs w:val="22"/>
        </w:rPr>
        <w:t xml:space="preserve"> destacados por las Partes Contratantes en las respuestas descriptivas incluyen: </w:t>
      </w:r>
    </w:p>
    <w:p w14:paraId="026FCD27" w14:textId="1F8A1237" w:rsidR="00167E17" w:rsidRPr="000F7953" w:rsidRDefault="007F00BF" w:rsidP="00257025">
      <w:pPr>
        <w:pStyle w:val="ListParagraph"/>
        <w:numPr>
          <w:ilvl w:val="0"/>
          <w:numId w:val="108"/>
        </w:numPr>
        <w:tabs>
          <w:tab w:val="clear" w:pos="1154"/>
        </w:tabs>
        <w:spacing w:after="0" w:line="240" w:lineRule="auto"/>
        <w:ind w:left="993" w:hanging="425"/>
        <w:rPr>
          <w:rFonts w:eastAsia="Times New Roman" w:cstheme="minorHAnsi"/>
        </w:rPr>
      </w:pPr>
      <w:r w:rsidRPr="000F7953">
        <w:rPr>
          <w:rFonts w:cstheme="minorHAnsi"/>
        </w:rPr>
        <w:t>metas de conservación y de desarrollo en conflicto, con presiones en los ecosistemas de humedales derivadas de las infraestructuras, la urbanización y el crecimiento industrial;</w:t>
      </w:r>
    </w:p>
    <w:p w14:paraId="68144BF4" w14:textId="30750438" w:rsidR="00EC57EB" w:rsidRPr="000F7953" w:rsidRDefault="00853FA6" w:rsidP="00257025">
      <w:pPr>
        <w:pStyle w:val="ListParagraph"/>
        <w:numPr>
          <w:ilvl w:val="0"/>
          <w:numId w:val="108"/>
        </w:numPr>
        <w:tabs>
          <w:tab w:val="clear" w:pos="1154"/>
        </w:tabs>
        <w:spacing w:after="0" w:line="240" w:lineRule="auto"/>
        <w:ind w:left="993" w:hanging="425"/>
        <w:rPr>
          <w:rFonts w:cstheme="minorHAnsi"/>
        </w:rPr>
      </w:pPr>
      <w:r w:rsidRPr="000F7953">
        <w:rPr>
          <w:rFonts w:cstheme="minorHAnsi"/>
        </w:rPr>
        <w:t>limitaciones de recursos financieros, ya que la falta de presupuestos públicos adecuados o de acceso a financiación internacional limita la capacidad para apoyar los esfuerzos de conservación de los humedales;</w:t>
      </w:r>
    </w:p>
    <w:p w14:paraId="4A9E4E53" w14:textId="142FB09D" w:rsidR="0030122E" w:rsidRPr="000F7953" w:rsidRDefault="00853FA6" w:rsidP="00257025">
      <w:pPr>
        <w:pStyle w:val="ListParagraph"/>
        <w:numPr>
          <w:ilvl w:val="0"/>
          <w:numId w:val="96"/>
        </w:numPr>
        <w:tabs>
          <w:tab w:val="clear" w:pos="1154"/>
        </w:tabs>
        <w:spacing w:after="0" w:line="240" w:lineRule="auto"/>
        <w:ind w:left="993" w:hanging="425"/>
        <w:rPr>
          <w:rFonts w:cstheme="minorHAnsi"/>
        </w:rPr>
      </w:pPr>
      <w:r w:rsidRPr="000F7953">
        <w:rPr>
          <w:rFonts w:cstheme="minorHAnsi"/>
        </w:rPr>
        <w:t xml:space="preserve">lagunas normativas y legislativas y debilidad de los mecanismos de aplicación, incluida la escasa coordinación entre organismos, la fragmentación administrativa y el solapamiento de mandatos; escasa integración de los humedales en políticas sectoriales o de desarrollo más amplias; y </w:t>
      </w:r>
    </w:p>
    <w:p w14:paraId="2CC46671" w14:textId="36A89B6E" w:rsidR="007F00BF" w:rsidRPr="000F7953" w:rsidRDefault="00A758CE" w:rsidP="00257025">
      <w:pPr>
        <w:pStyle w:val="ListParagraph"/>
        <w:numPr>
          <w:ilvl w:val="0"/>
          <w:numId w:val="96"/>
        </w:numPr>
        <w:tabs>
          <w:tab w:val="clear" w:pos="1154"/>
        </w:tabs>
        <w:spacing w:after="0" w:line="240" w:lineRule="auto"/>
        <w:ind w:left="993" w:hanging="425"/>
        <w:rPr>
          <w:rFonts w:cstheme="minorHAnsi"/>
        </w:rPr>
      </w:pPr>
      <w:r w:rsidRPr="000F7953">
        <w:rPr>
          <w:rFonts w:cstheme="minorHAnsi"/>
        </w:rPr>
        <w:t>sistemas de seguimiento insuficientes, falta de datos fiables, dificultades para realizar estudios sobre los humedales y utilizar nuevas tecnologías, y escasa participación de las partes interesadas.</w:t>
      </w:r>
    </w:p>
    <w:p w14:paraId="247A32CD" w14:textId="77777777" w:rsidR="0001560A" w:rsidRPr="000F7953" w:rsidRDefault="0001560A" w:rsidP="00CD3F6B">
      <w:pPr>
        <w:rPr>
          <w:rFonts w:asciiTheme="minorHAnsi" w:hAnsiTheme="minorHAnsi" w:cstheme="minorHAnsi"/>
          <w:sz w:val="22"/>
          <w:szCs w:val="22"/>
        </w:rPr>
      </w:pPr>
    </w:p>
    <w:p w14:paraId="521D9FA5" w14:textId="323F160E" w:rsidR="00FF6F60" w:rsidRPr="000F7953" w:rsidRDefault="0089616D" w:rsidP="00257025">
      <w:pPr>
        <w:keepNext/>
        <w:ind w:left="567" w:hanging="567"/>
        <w:rPr>
          <w:rFonts w:asciiTheme="minorHAnsi" w:hAnsiTheme="minorHAnsi" w:cstheme="minorHAnsi"/>
          <w:i/>
          <w:iCs/>
          <w:sz w:val="22"/>
          <w:szCs w:val="22"/>
          <w:u w:val="single"/>
        </w:rPr>
      </w:pPr>
      <w:r w:rsidRPr="000F7953">
        <w:rPr>
          <w:rFonts w:asciiTheme="minorHAnsi" w:hAnsiTheme="minorHAnsi" w:cstheme="minorHAnsi"/>
          <w:i/>
          <w:iCs/>
          <w:sz w:val="22"/>
          <w:szCs w:val="22"/>
          <w:u w:val="single"/>
        </w:rPr>
        <w:t>Prioridades para la aplicación de la Convención en el futuro</w:t>
      </w:r>
    </w:p>
    <w:p w14:paraId="3CB96234" w14:textId="77777777" w:rsidR="00395175" w:rsidRPr="000F7953" w:rsidRDefault="00395175" w:rsidP="00257025">
      <w:pPr>
        <w:keepNext/>
        <w:ind w:left="567" w:hanging="567"/>
        <w:rPr>
          <w:rFonts w:asciiTheme="minorHAnsi" w:hAnsiTheme="minorHAnsi" w:cstheme="minorHAnsi"/>
          <w:sz w:val="22"/>
          <w:szCs w:val="22"/>
          <w:u w:val="single"/>
        </w:rPr>
      </w:pPr>
    </w:p>
    <w:p w14:paraId="09991E52" w14:textId="0098BA31" w:rsidR="00041012" w:rsidRPr="000F7953" w:rsidRDefault="00B52C1D"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t>137.</w:t>
      </w:r>
      <w:r w:rsidRPr="000F7953">
        <w:rPr>
          <w:rFonts w:asciiTheme="minorHAnsi" w:hAnsiTheme="minorHAnsi" w:cstheme="minorHAnsi"/>
          <w:sz w:val="22"/>
          <w:szCs w:val="22"/>
        </w:rPr>
        <w:tab/>
        <w:t>Las prioridades para la aplicación de la Convención en el futuro identificadas con mayor frecuencia por las Partes Contratantes en los informes nacionales incluyen:</w:t>
      </w:r>
    </w:p>
    <w:p w14:paraId="522CE776" w14:textId="3E503F60" w:rsidR="00041012" w:rsidRPr="000F7953" w:rsidRDefault="00041012" w:rsidP="00257025">
      <w:pPr>
        <w:numPr>
          <w:ilvl w:val="0"/>
          <w:numId w:val="111"/>
        </w:numPr>
        <w:tabs>
          <w:tab w:val="clear" w:pos="720"/>
        </w:tabs>
        <w:ind w:left="993" w:hanging="425"/>
        <w:rPr>
          <w:rFonts w:asciiTheme="minorHAnsi" w:hAnsiTheme="minorHAnsi" w:cstheme="minorHAnsi"/>
          <w:sz w:val="22"/>
          <w:szCs w:val="22"/>
        </w:rPr>
      </w:pPr>
      <w:r w:rsidRPr="000F7953">
        <w:rPr>
          <w:rFonts w:asciiTheme="minorHAnsi" w:hAnsiTheme="minorHAnsi" w:cstheme="minorHAnsi"/>
          <w:i/>
          <w:iCs/>
          <w:sz w:val="22"/>
          <w:szCs w:val="22"/>
        </w:rPr>
        <w:t>las</w:t>
      </w:r>
      <w:r w:rsidRPr="000F7953">
        <w:rPr>
          <w:rFonts w:asciiTheme="minorHAnsi" w:hAnsiTheme="minorHAnsi" w:cstheme="minorHAnsi"/>
          <w:sz w:val="22"/>
          <w:szCs w:val="22"/>
        </w:rPr>
        <w:t xml:space="preserve"> </w:t>
      </w:r>
      <w:r w:rsidRPr="000F7953">
        <w:rPr>
          <w:rFonts w:asciiTheme="minorHAnsi" w:hAnsiTheme="minorHAnsi" w:cstheme="minorHAnsi"/>
          <w:i/>
          <w:iCs/>
          <w:sz w:val="22"/>
          <w:szCs w:val="22"/>
        </w:rPr>
        <w:t>reformas jurídicas y de gobernanza</w:t>
      </w:r>
      <w:r w:rsidRPr="000F7953">
        <w:rPr>
          <w:rFonts w:asciiTheme="minorHAnsi" w:hAnsiTheme="minorHAnsi" w:cstheme="minorHAnsi"/>
          <w:sz w:val="22"/>
          <w:szCs w:val="22"/>
        </w:rPr>
        <w:t>, incluidos el refuerzo y la actualización de los marcos jurídicos nacionales y la formalización de políticas estratégicas para los humedales y la biodiversidad;</w:t>
      </w:r>
    </w:p>
    <w:p w14:paraId="1FB87223" w14:textId="79ECFDDB" w:rsidR="00041012" w:rsidRPr="000F7953" w:rsidRDefault="00041012" w:rsidP="00257025">
      <w:pPr>
        <w:numPr>
          <w:ilvl w:val="0"/>
          <w:numId w:val="111"/>
        </w:numPr>
        <w:tabs>
          <w:tab w:val="clear" w:pos="720"/>
        </w:tabs>
        <w:ind w:left="993" w:hanging="425"/>
        <w:rPr>
          <w:rFonts w:asciiTheme="minorHAnsi" w:hAnsiTheme="minorHAnsi" w:cstheme="minorHAnsi"/>
          <w:sz w:val="22"/>
          <w:szCs w:val="22"/>
        </w:rPr>
      </w:pPr>
      <w:r w:rsidRPr="000F7953">
        <w:rPr>
          <w:rFonts w:asciiTheme="minorHAnsi" w:hAnsiTheme="minorHAnsi" w:cstheme="minorHAnsi"/>
          <w:i/>
          <w:iCs/>
          <w:sz w:val="22"/>
          <w:szCs w:val="22"/>
        </w:rPr>
        <w:t>la incorporación e integración</w:t>
      </w:r>
      <w:r w:rsidRPr="000F7953">
        <w:rPr>
          <w:rFonts w:asciiTheme="minorHAnsi" w:hAnsiTheme="minorHAnsi" w:cstheme="minorHAnsi"/>
          <w:sz w:val="22"/>
          <w:szCs w:val="22"/>
        </w:rPr>
        <w:t>, incluida la integración de la conservación, la restauración y el uso racional de los humedales en otras políticas o en políticas sectoriales como las de desarrollo, uso del suelo y clima; y fomento de la coordinación intersectorial en todos los niveles de gobernanza;</w:t>
      </w:r>
    </w:p>
    <w:p w14:paraId="01FF5B25" w14:textId="3748D6E1" w:rsidR="00041012" w:rsidRPr="000F7953" w:rsidRDefault="00041012" w:rsidP="00257025">
      <w:pPr>
        <w:numPr>
          <w:ilvl w:val="0"/>
          <w:numId w:val="111"/>
        </w:numPr>
        <w:tabs>
          <w:tab w:val="clear" w:pos="720"/>
        </w:tabs>
        <w:ind w:left="993" w:hanging="425"/>
        <w:rPr>
          <w:rFonts w:asciiTheme="minorHAnsi" w:hAnsiTheme="minorHAnsi" w:cstheme="minorHAnsi"/>
          <w:sz w:val="22"/>
          <w:szCs w:val="22"/>
        </w:rPr>
      </w:pPr>
      <w:r w:rsidRPr="000F7953">
        <w:rPr>
          <w:rFonts w:asciiTheme="minorHAnsi" w:hAnsiTheme="minorHAnsi" w:cstheme="minorHAnsi"/>
          <w:i/>
          <w:iCs/>
          <w:sz w:val="22"/>
          <w:szCs w:val="22"/>
        </w:rPr>
        <w:lastRenderedPageBreak/>
        <w:t>los</w:t>
      </w:r>
      <w:r w:rsidRPr="000F7953">
        <w:rPr>
          <w:rFonts w:asciiTheme="minorHAnsi" w:hAnsiTheme="minorHAnsi" w:cstheme="minorHAnsi"/>
          <w:sz w:val="22"/>
          <w:szCs w:val="22"/>
        </w:rPr>
        <w:t xml:space="preserve"> </w:t>
      </w:r>
      <w:r w:rsidRPr="000F7953">
        <w:rPr>
          <w:rFonts w:asciiTheme="minorHAnsi" w:hAnsiTheme="minorHAnsi" w:cstheme="minorHAnsi"/>
          <w:i/>
          <w:iCs/>
          <w:sz w:val="22"/>
          <w:szCs w:val="22"/>
        </w:rPr>
        <w:t>datos, la investigación y el seguimiento</w:t>
      </w:r>
      <w:r w:rsidRPr="000F7953">
        <w:rPr>
          <w:rFonts w:asciiTheme="minorHAnsi" w:hAnsiTheme="minorHAnsi" w:cstheme="minorHAnsi"/>
          <w:sz w:val="22"/>
          <w:szCs w:val="22"/>
        </w:rPr>
        <w:t>, incluidas la elaboración y la actualización de los inventarios de humedales, el refuerzo de la supervisión de los humedales, incluidos los Humedales de Importancia Internacional, y el desarrollo de herramientas y metodologías pertinentes;</w:t>
      </w:r>
    </w:p>
    <w:p w14:paraId="6DAE8379" w14:textId="6F923AA7" w:rsidR="00C17491" w:rsidRPr="000F7953" w:rsidRDefault="00041012" w:rsidP="00257025">
      <w:pPr>
        <w:numPr>
          <w:ilvl w:val="0"/>
          <w:numId w:val="111"/>
        </w:numPr>
        <w:tabs>
          <w:tab w:val="clear" w:pos="720"/>
        </w:tabs>
        <w:ind w:left="993" w:hanging="425"/>
        <w:rPr>
          <w:rFonts w:asciiTheme="minorHAnsi" w:hAnsiTheme="minorHAnsi" w:cstheme="minorHAnsi"/>
          <w:sz w:val="22"/>
          <w:szCs w:val="22"/>
        </w:rPr>
      </w:pPr>
      <w:r w:rsidRPr="000F7953">
        <w:rPr>
          <w:rFonts w:asciiTheme="minorHAnsi" w:hAnsiTheme="minorHAnsi" w:cstheme="minorHAnsi"/>
          <w:i/>
          <w:iCs/>
          <w:sz w:val="22"/>
          <w:szCs w:val="22"/>
        </w:rPr>
        <w:t>el</w:t>
      </w:r>
      <w:r w:rsidRPr="000F7953">
        <w:rPr>
          <w:rFonts w:asciiTheme="minorHAnsi" w:hAnsiTheme="minorHAnsi" w:cstheme="minorHAnsi"/>
          <w:sz w:val="22"/>
          <w:szCs w:val="22"/>
        </w:rPr>
        <w:t xml:space="preserve"> </w:t>
      </w:r>
      <w:r w:rsidRPr="000F7953">
        <w:rPr>
          <w:rFonts w:asciiTheme="minorHAnsi" w:hAnsiTheme="minorHAnsi" w:cstheme="minorHAnsi"/>
          <w:i/>
          <w:iCs/>
          <w:sz w:val="22"/>
          <w:szCs w:val="22"/>
        </w:rPr>
        <w:t>fomento de capacidad y el fortalecimiento institucional</w:t>
      </w:r>
      <w:r w:rsidRPr="000F7953">
        <w:rPr>
          <w:rFonts w:asciiTheme="minorHAnsi" w:hAnsiTheme="minorHAnsi" w:cstheme="minorHAnsi"/>
          <w:sz w:val="22"/>
          <w:szCs w:val="22"/>
        </w:rPr>
        <w:t>, entre otras cosas, mediante la inversión en formación técnica, el aumento de la plantilla de las instituciones pertinentes y el refuerzo de la colaboración entre organismos.</w:t>
      </w:r>
    </w:p>
    <w:p w14:paraId="241951E2" w14:textId="1A377425" w:rsidR="00041012" w:rsidRPr="000F7953" w:rsidRDefault="00041012" w:rsidP="00257025">
      <w:pPr>
        <w:numPr>
          <w:ilvl w:val="0"/>
          <w:numId w:val="111"/>
        </w:numPr>
        <w:tabs>
          <w:tab w:val="clear" w:pos="720"/>
        </w:tabs>
        <w:ind w:left="993" w:hanging="425"/>
        <w:rPr>
          <w:rFonts w:asciiTheme="minorHAnsi" w:hAnsiTheme="minorHAnsi" w:cstheme="minorHAnsi"/>
          <w:sz w:val="22"/>
          <w:szCs w:val="22"/>
        </w:rPr>
      </w:pPr>
      <w:r w:rsidRPr="000F7953">
        <w:rPr>
          <w:rFonts w:asciiTheme="minorHAnsi" w:hAnsiTheme="minorHAnsi" w:cstheme="minorHAnsi"/>
          <w:i/>
          <w:iCs/>
          <w:sz w:val="22"/>
          <w:szCs w:val="22"/>
        </w:rPr>
        <w:t>la</w:t>
      </w:r>
      <w:r w:rsidRPr="000F7953">
        <w:rPr>
          <w:rFonts w:asciiTheme="minorHAnsi" w:hAnsiTheme="minorHAnsi" w:cstheme="minorHAnsi"/>
          <w:sz w:val="22"/>
          <w:szCs w:val="22"/>
        </w:rPr>
        <w:t xml:space="preserve"> </w:t>
      </w:r>
      <w:r w:rsidRPr="000F7953">
        <w:rPr>
          <w:rFonts w:asciiTheme="minorHAnsi" w:hAnsiTheme="minorHAnsi" w:cstheme="minorHAnsi"/>
          <w:i/>
          <w:iCs/>
          <w:sz w:val="22"/>
          <w:szCs w:val="22"/>
        </w:rPr>
        <w:t>movilización de recursos financieros</w:t>
      </w:r>
      <w:r w:rsidRPr="000F7953">
        <w:rPr>
          <w:rFonts w:asciiTheme="minorHAnsi" w:hAnsiTheme="minorHAnsi" w:cstheme="minorHAnsi"/>
          <w:sz w:val="22"/>
          <w:szCs w:val="22"/>
        </w:rPr>
        <w:t>, entre otras cosas, mediante la resolución de la insuficiencia de los presupuestos nacionales para la aplicación de la Convención, y el aumento significativo de la financiación internacional procedente de múltiples fuentes, incluido el desarrollo de nuevos mecanismos para ello.</w:t>
      </w:r>
    </w:p>
    <w:p w14:paraId="4A7EFDD2" w14:textId="77777777" w:rsidR="0064616A" w:rsidRPr="000F7953" w:rsidRDefault="0064616A" w:rsidP="00CD3F6B">
      <w:pPr>
        <w:rPr>
          <w:rFonts w:asciiTheme="minorHAnsi" w:hAnsiTheme="minorHAnsi" w:cstheme="minorHAnsi"/>
          <w:iCs/>
          <w:sz w:val="22"/>
          <w:szCs w:val="22"/>
        </w:rPr>
      </w:pPr>
    </w:p>
    <w:p w14:paraId="1B4A7716" w14:textId="1CC2BF95" w:rsidR="006E28CC" w:rsidRPr="000F7953" w:rsidRDefault="000E3338"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t>138.</w:t>
      </w:r>
      <w:r w:rsidRPr="000F7953">
        <w:rPr>
          <w:rFonts w:asciiTheme="minorHAnsi" w:hAnsiTheme="minorHAnsi" w:cstheme="minorHAnsi"/>
          <w:sz w:val="22"/>
          <w:szCs w:val="22"/>
        </w:rPr>
        <w:tab/>
        <w:t>Entre las recomendaciones para la asistencia por parte de la Secretaría formuladas por las Partes Contratantes figuran las siguientes:</w:t>
      </w:r>
    </w:p>
    <w:p w14:paraId="5AA578F6" w14:textId="5931E6D2" w:rsidR="009C659C" w:rsidRPr="000F7953" w:rsidRDefault="006E28CC" w:rsidP="00257025">
      <w:pPr>
        <w:pStyle w:val="ListParagraph"/>
        <w:numPr>
          <w:ilvl w:val="0"/>
          <w:numId w:val="108"/>
        </w:numPr>
        <w:tabs>
          <w:tab w:val="clear" w:pos="1154"/>
        </w:tabs>
        <w:spacing w:after="0" w:line="240" w:lineRule="auto"/>
        <w:ind w:left="993" w:hanging="425"/>
        <w:rPr>
          <w:rFonts w:cstheme="minorHAnsi"/>
        </w:rPr>
      </w:pPr>
      <w:r w:rsidRPr="000F7953">
        <w:rPr>
          <w:rFonts w:cstheme="minorHAnsi"/>
          <w:i/>
          <w:iCs/>
        </w:rPr>
        <w:t>el</w:t>
      </w:r>
      <w:r w:rsidRPr="000F7953">
        <w:rPr>
          <w:rFonts w:cstheme="minorHAnsi"/>
        </w:rPr>
        <w:t xml:space="preserve"> </w:t>
      </w:r>
      <w:r w:rsidRPr="000F7953">
        <w:rPr>
          <w:rFonts w:cstheme="minorHAnsi"/>
          <w:i/>
          <w:iCs/>
        </w:rPr>
        <w:t>apoyo técnico y consultivo</w:t>
      </w:r>
      <w:r w:rsidRPr="000F7953">
        <w:rPr>
          <w:rFonts w:cstheme="minorHAnsi"/>
        </w:rPr>
        <w:t>, incluido el relacionado con las reformas jurídicas, la formulación de planes estratégicos y evaluaciones, y el asesoramiento en relación con herramientas, manuales técnicos y plantillas;</w:t>
      </w:r>
    </w:p>
    <w:p w14:paraId="04A75C9D" w14:textId="08501848" w:rsidR="009C659C" w:rsidRPr="000F7953" w:rsidRDefault="006E28CC" w:rsidP="00257025">
      <w:pPr>
        <w:pStyle w:val="ListParagraph"/>
        <w:numPr>
          <w:ilvl w:val="0"/>
          <w:numId w:val="108"/>
        </w:numPr>
        <w:tabs>
          <w:tab w:val="clear" w:pos="1154"/>
        </w:tabs>
        <w:spacing w:after="0" w:line="240" w:lineRule="auto"/>
        <w:ind w:left="993" w:hanging="425"/>
        <w:rPr>
          <w:rFonts w:cstheme="minorHAnsi"/>
        </w:rPr>
      </w:pPr>
      <w:r w:rsidRPr="000F7953">
        <w:rPr>
          <w:rFonts w:cstheme="minorHAnsi"/>
          <w:i/>
          <w:iCs/>
        </w:rPr>
        <w:t>el desarrollo de capacidades</w:t>
      </w:r>
      <w:r w:rsidRPr="000F7953">
        <w:rPr>
          <w:rFonts w:cstheme="minorHAnsi"/>
        </w:rPr>
        <w:t>, incluida una mayor oferta de formación, talleres técnicos e intercambios profesionales, y un mayor énfasis en el aprendizaje Sur-Sur y el intercambio de capacidades;</w:t>
      </w:r>
    </w:p>
    <w:p w14:paraId="19B679BB" w14:textId="03C04A2B" w:rsidR="009C659C" w:rsidRPr="000F7953" w:rsidRDefault="006E28CC" w:rsidP="00257025">
      <w:pPr>
        <w:pStyle w:val="ListParagraph"/>
        <w:numPr>
          <w:ilvl w:val="0"/>
          <w:numId w:val="108"/>
        </w:numPr>
        <w:tabs>
          <w:tab w:val="clear" w:pos="1154"/>
        </w:tabs>
        <w:spacing w:after="0" w:line="240" w:lineRule="auto"/>
        <w:ind w:left="993" w:hanging="425"/>
        <w:rPr>
          <w:rFonts w:cstheme="minorHAnsi"/>
        </w:rPr>
      </w:pPr>
      <w:r w:rsidRPr="000F7953">
        <w:rPr>
          <w:rFonts w:cstheme="minorHAnsi"/>
          <w:i/>
          <w:iCs/>
        </w:rPr>
        <w:t>la</w:t>
      </w:r>
      <w:r w:rsidRPr="000F7953">
        <w:rPr>
          <w:rFonts w:cstheme="minorHAnsi"/>
        </w:rPr>
        <w:t xml:space="preserve"> </w:t>
      </w:r>
      <w:r w:rsidRPr="000F7953">
        <w:rPr>
          <w:rFonts w:cstheme="minorHAnsi"/>
          <w:i/>
          <w:iCs/>
        </w:rPr>
        <w:t>facilitación</w:t>
      </w:r>
      <w:r w:rsidRPr="000F7953">
        <w:rPr>
          <w:rFonts w:cstheme="minorHAnsi"/>
        </w:rPr>
        <w:t>, incluso en relación con iniciativas regionales o transfronterizas, y planificación colaborativa entre las Partes Contratantes y con las partes interesadas.</w:t>
      </w:r>
    </w:p>
    <w:p w14:paraId="6CA8688C" w14:textId="6492991C" w:rsidR="006E28CC" w:rsidRPr="000F7953" w:rsidRDefault="006E28CC" w:rsidP="00257025">
      <w:pPr>
        <w:pStyle w:val="ListParagraph"/>
        <w:numPr>
          <w:ilvl w:val="1"/>
          <w:numId w:val="121"/>
        </w:numPr>
        <w:spacing w:after="0" w:line="240" w:lineRule="auto"/>
        <w:ind w:left="993" w:hanging="426"/>
        <w:rPr>
          <w:rFonts w:cstheme="minorHAnsi"/>
          <w:b/>
          <w:bCs/>
        </w:rPr>
      </w:pPr>
      <w:r w:rsidRPr="000F7953">
        <w:rPr>
          <w:rFonts w:cstheme="minorHAnsi"/>
          <w:i/>
          <w:iCs/>
        </w:rPr>
        <w:t>el</w:t>
      </w:r>
      <w:r w:rsidRPr="000F7953">
        <w:rPr>
          <w:rFonts w:cstheme="minorHAnsi"/>
        </w:rPr>
        <w:t xml:space="preserve"> </w:t>
      </w:r>
      <w:r w:rsidRPr="000F7953">
        <w:rPr>
          <w:rFonts w:cstheme="minorHAnsi"/>
          <w:i/>
          <w:iCs/>
        </w:rPr>
        <w:t>intercambio de información y la visibilidad</w:t>
      </w:r>
      <w:r w:rsidRPr="000F7953">
        <w:rPr>
          <w:rFonts w:cstheme="minorHAnsi"/>
        </w:rPr>
        <w:t>, incluida la difusión de buenas prácticas, innovaciones y casos de éxito, y promoción de campañas mundiales para aumentar la visibilidad de los humedales y el compromiso al respecto.</w:t>
      </w:r>
    </w:p>
    <w:p w14:paraId="077DCC34" w14:textId="77777777" w:rsidR="00395175" w:rsidRPr="000F7953" w:rsidRDefault="00395175" w:rsidP="00CD3F6B">
      <w:pPr>
        <w:rPr>
          <w:rFonts w:asciiTheme="minorHAnsi" w:hAnsiTheme="minorHAnsi" w:cstheme="minorHAnsi"/>
          <w:sz w:val="22"/>
          <w:szCs w:val="22"/>
          <w:u w:val="single"/>
        </w:rPr>
      </w:pPr>
    </w:p>
    <w:p w14:paraId="741B1030" w14:textId="1B8C69E5" w:rsidR="000C73B7" w:rsidRPr="000F7953" w:rsidRDefault="000E3338" w:rsidP="00257025">
      <w:pPr>
        <w:ind w:left="567" w:hanging="567"/>
        <w:rPr>
          <w:rFonts w:asciiTheme="minorHAnsi" w:eastAsiaTheme="minorHAnsi" w:hAnsiTheme="minorHAnsi" w:cstheme="minorHAnsi"/>
          <w:sz w:val="22"/>
          <w:szCs w:val="22"/>
        </w:rPr>
      </w:pPr>
      <w:r w:rsidRPr="000F7953">
        <w:rPr>
          <w:rFonts w:asciiTheme="minorHAnsi" w:hAnsiTheme="minorHAnsi" w:cstheme="minorHAnsi"/>
          <w:sz w:val="22"/>
          <w:szCs w:val="22"/>
        </w:rPr>
        <w:t>139.</w:t>
      </w:r>
      <w:r w:rsidRPr="000F7953">
        <w:rPr>
          <w:rFonts w:asciiTheme="minorHAnsi" w:hAnsiTheme="minorHAnsi" w:cstheme="minorHAnsi"/>
          <w:sz w:val="22"/>
          <w:szCs w:val="22"/>
        </w:rPr>
        <w:tab/>
        <w:t>Entre las recomendaciones para la asistencia por parte de las organizaciones internacionales asociadas (OIA) figuran las siguientes:</w:t>
      </w:r>
    </w:p>
    <w:p w14:paraId="5BE3368A" w14:textId="76E4E273" w:rsidR="00E0147B" w:rsidRPr="000F7953" w:rsidRDefault="000C73B7" w:rsidP="00257025">
      <w:pPr>
        <w:pStyle w:val="ListParagraph"/>
        <w:numPr>
          <w:ilvl w:val="0"/>
          <w:numId w:val="108"/>
        </w:numPr>
        <w:tabs>
          <w:tab w:val="clear" w:pos="1154"/>
        </w:tabs>
        <w:spacing w:after="0" w:line="240" w:lineRule="auto"/>
        <w:ind w:left="993" w:hanging="425"/>
        <w:outlineLvl w:val="3"/>
        <w:rPr>
          <w:rFonts w:cstheme="minorHAnsi"/>
          <w:bCs/>
        </w:rPr>
      </w:pPr>
      <w:r w:rsidRPr="000F7953">
        <w:rPr>
          <w:rFonts w:cstheme="minorHAnsi"/>
          <w:i/>
          <w:iCs/>
        </w:rPr>
        <w:t>el</w:t>
      </w:r>
      <w:r w:rsidRPr="000F7953">
        <w:rPr>
          <w:rFonts w:cstheme="minorHAnsi"/>
        </w:rPr>
        <w:t xml:space="preserve"> </w:t>
      </w:r>
      <w:r w:rsidRPr="000F7953">
        <w:rPr>
          <w:rFonts w:cstheme="minorHAnsi"/>
          <w:i/>
          <w:iCs/>
        </w:rPr>
        <w:t>apoyo, y específicamente la prestación de apoyo financiero y logístico</w:t>
      </w:r>
      <w:r w:rsidRPr="000F7953">
        <w:rPr>
          <w:rFonts w:cstheme="minorHAnsi"/>
        </w:rPr>
        <w:t>, incluida la financiación para la ejecución de proyectos de gestión y restauración de humedales, así como la movilización de financiación nueva y adicional procedente de múltiples fuentes para la protección, la restauración y el uso racional de los humedales;</w:t>
      </w:r>
    </w:p>
    <w:p w14:paraId="0D59B3FF" w14:textId="38CC812C" w:rsidR="00FF2A6F" w:rsidRPr="000F7953" w:rsidRDefault="00FF2A6F" w:rsidP="00257025">
      <w:pPr>
        <w:pStyle w:val="ListParagraph"/>
        <w:numPr>
          <w:ilvl w:val="0"/>
          <w:numId w:val="108"/>
        </w:numPr>
        <w:tabs>
          <w:tab w:val="clear" w:pos="1154"/>
        </w:tabs>
        <w:spacing w:after="0" w:line="240" w:lineRule="auto"/>
        <w:ind w:left="993" w:hanging="425"/>
        <w:outlineLvl w:val="3"/>
        <w:rPr>
          <w:rFonts w:cstheme="minorHAnsi"/>
          <w:bCs/>
        </w:rPr>
      </w:pPr>
      <w:r w:rsidRPr="000F7953">
        <w:rPr>
          <w:rFonts w:cstheme="minorHAnsi"/>
          <w:i/>
          <w:iCs/>
        </w:rPr>
        <w:t>la</w:t>
      </w:r>
      <w:r w:rsidR="004F7B43" w:rsidRPr="000F7953">
        <w:rPr>
          <w:rFonts w:cstheme="minorHAnsi"/>
          <w:i/>
          <w:iCs/>
        </w:rPr>
        <w:t>s</w:t>
      </w:r>
      <w:r w:rsidRPr="000F7953">
        <w:rPr>
          <w:rFonts w:cstheme="minorHAnsi"/>
        </w:rPr>
        <w:t xml:space="preserve"> </w:t>
      </w:r>
      <w:r w:rsidRPr="000F7953">
        <w:rPr>
          <w:rFonts w:cstheme="minorHAnsi"/>
          <w:i/>
          <w:iCs/>
        </w:rPr>
        <w:t>asociaciones de colaboración para la aplicación</w:t>
      </w:r>
      <w:r w:rsidRPr="000F7953">
        <w:rPr>
          <w:rFonts w:cstheme="minorHAnsi"/>
        </w:rPr>
        <w:t>, por ejemplo, la colaboración en el desarrollo y la ejecución de proyectos cofinanciados, el apoyo y el fomento de la inclusión de ONG y de la sociedad civil en los esfuerzos de conservación de los humedales sobre el terreno, y el suministro de equipos e infraestructuras, por ejemplo, para la recogida de datos y la protección de sitios;</w:t>
      </w:r>
    </w:p>
    <w:p w14:paraId="2891CBBF" w14:textId="140C979D" w:rsidR="00FF2A6F" w:rsidRPr="000F7953" w:rsidRDefault="000C73B7" w:rsidP="00257025">
      <w:pPr>
        <w:pStyle w:val="ListParagraph"/>
        <w:numPr>
          <w:ilvl w:val="0"/>
          <w:numId w:val="108"/>
        </w:numPr>
        <w:tabs>
          <w:tab w:val="clear" w:pos="1154"/>
        </w:tabs>
        <w:spacing w:after="0" w:line="240" w:lineRule="auto"/>
        <w:ind w:left="993" w:hanging="425"/>
        <w:outlineLvl w:val="3"/>
        <w:rPr>
          <w:rFonts w:cstheme="minorHAnsi"/>
          <w:bCs/>
        </w:rPr>
      </w:pPr>
      <w:r w:rsidRPr="000F7953">
        <w:rPr>
          <w:rFonts w:cstheme="minorHAnsi"/>
          <w:i/>
          <w:iCs/>
        </w:rPr>
        <w:t>la</w:t>
      </w:r>
      <w:r w:rsidRPr="000F7953">
        <w:rPr>
          <w:rFonts w:cstheme="minorHAnsi"/>
        </w:rPr>
        <w:t xml:space="preserve"> </w:t>
      </w:r>
      <w:r w:rsidRPr="000F7953">
        <w:rPr>
          <w:rFonts w:cstheme="minorHAnsi"/>
          <w:i/>
          <w:iCs/>
        </w:rPr>
        <w:t>investigación científica y la innovación</w:t>
      </w:r>
      <w:r w:rsidRPr="000F7953">
        <w:rPr>
          <w:rFonts w:cstheme="minorHAnsi"/>
        </w:rPr>
        <w:t>, incluida la colaboración para desarrollar soluciones basadas en datos objetivos, ciencia de la restauración, innovación en la valoración de los servicios de los ecosistemas y herramientas de apoyo a la toma de decisiones, y fortalecimiento de los sistemas de datos.</w:t>
      </w:r>
    </w:p>
    <w:p w14:paraId="5DACC962" w14:textId="0E0608F1" w:rsidR="00FF2A6F" w:rsidRPr="000F7953" w:rsidRDefault="000C73B7" w:rsidP="00257025">
      <w:pPr>
        <w:pStyle w:val="ListParagraph"/>
        <w:numPr>
          <w:ilvl w:val="0"/>
          <w:numId w:val="108"/>
        </w:numPr>
        <w:tabs>
          <w:tab w:val="clear" w:pos="1154"/>
        </w:tabs>
        <w:spacing w:after="0" w:line="240" w:lineRule="auto"/>
        <w:ind w:left="993" w:hanging="425"/>
        <w:outlineLvl w:val="3"/>
        <w:rPr>
          <w:rFonts w:cstheme="minorHAnsi"/>
        </w:rPr>
      </w:pPr>
      <w:r w:rsidRPr="000F7953">
        <w:rPr>
          <w:rFonts w:cstheme="minorHAnsi"/>
          <w:i/>
          <w:iCs/>
        </w:rPr>
        <w:t>la</w:t>
      </w:r>
      <w:r w:rsidRPr="000F7953">
        <w:rPr>
          <w:rFonts w:cstheme="minorHAnsi"/>
        </w:rPr>
        <w:t xml:space="preserve"> </w:t>
      </w:r>
      <w:r w:rsidRPr="000F7953">
        <w:rPr>
          <w:rFonts w:cstheme="minorHAnsi"/>
          <w:i/>
          <w:iCs/>
        </w:rPr>
        <w:t>promoción y la divulgación</w:t>
      </w:r>
      <w:r w:rsidRPr="000F7953">
        <w:rPr>
          <w:rFonts w:cstheme="minorHAnsi"/>
        </w:rPr>
        <w:t>, incluido el uso de las plataformas de las OIA para aumentar la visibilidad de las cuestiones relativas a los humedales a escala mundial, y esfuerzos conjuntos para promover la integración de los humedales en los diálogos sobre el clima y la biodiversidad.</w:t>
      </w:r>
    </w:p>
    <w:p w14:paraId="2B827F73" w14:textId="77777777" w:rsidR="000C73B7" w:rsidRPr="000F7953" w:rsidRDefault="000C73B7" w:rsidP="00CD3F6B">
      <w:pPr>
        <w:rPr>
          <w:rFonts w:asciiTheme="minorHAnsi" w:hAnsiTheme="minorHAnsi" w:cstheme="minorHAnsi"/>
          <w:sz w:val="22"/>
          <w:szCs w:val="22"/>
        </w:rPr>
      </w:pPr>
    </w:p>
    <w:p w14:paraId="32D5FA36" w14:textId="17419B31" w:rsidR="008D3554" w:rsidRPr="000F7953" w:rsidRDefault="008D3554" w:rsidP="000D551C">
      <w:pPr>
        <w:keepNext/>
        <w:rPr>
          <w:rFonts w:asciiTheme="minorHAnsi" w:eastAsia="Calibri" w:hAnsiTheme="minorHAnsi" w:cstheme="minorHAnsi"/>
          <w:i/>
          <w:iCs/>
          <w:sz w:val="22"/>
          <w:szCs w:val="22"/>
          <w:u w:val="single"/>
        </w:rPr>
      </w:pPr>
      <w:r w:rsidRPr="000F7953">
        <w:rPr>
          <w:rFonts w:asciiTheme="minorHAnsi" w:hAnsiTheme="minorHAnsi" w:cstheme="minorHAnsi"/>
          <w:i/>
          <w:iCs/>
          <w:sz w:val="22"/>
          <w:szCs w:val="22"/>
          <w:u w:val="single"/>
        </w:rPr>
        <w:t xml:space="preserve">Fortalecimiento de la presentación de informes </w:t>
      </w:r>
    </w:p>
    <w:p w14:paraId="55ECA82E" w14:textId="77777777" w:rsidR="008D3554" w:rsidRPr="000F7953" w:rsidRDefault="008D3554" w:rsidP="000D551C">
      <w:pPr>
        <w:pStyle w:val="ListParagraph"/>
        <w:keepNext/>
        <w:spacing w:after="0" w:line="240" w:lineRule="auto"/>
        <w:ind w:left="0"/>
        <w:contextualSpacing w:val="0"/>
        <w:rPr>
          <w:rFonts w:eastAsia="Times New Roman" w:cstheme="minorHAnsi"/>
          <w:bCs/>
          <w:lang w:eastAsia="fr-FR"/>
        </w:rPr>
      </w:pPr>
    </w:p>
    <w:p w14:paraId="4E5CBCC9" w14:textId="6B8E5CE2" w:rsidR="00CE1C94" w:rsidRPr="000F7953" w:rsidRDefault="000E3338"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t>140.</w:t>
      </w:r>
      <w:r w:rsidRPr="000F7953">
        <w:rPr>
          <w:rFonts w:asciiTheme="minorHAnsi" w:hAnsiTheme="minorHAnsi" w:cstheme="minorHAnsi"/>
          <w:sz w:val="22"/>
          <w:szCs w:val="22"/>
        </w:rPr>
        <w:tab/>
        <w:t xml:space="preserve">Si bien el número de Partes Contratantes que presentan informes nacionales ha disminuido a lo largo del trienio, la proporción de Partes que proporcionan respuestas descriptivas en sus </w:t>
      </w:r>
      <w:r w:rsidRPr="000F7953">
        <w:rPr>
          <w:rFonts w:asciiTheme="minorHAnsi" w:hAnsiTheme="minorHAnsi" w:cstheme="minorHAnsi"/>
          <w:sz w:val="22"/>
          <w:szCs w:val="22"/>
        </w:rPr>
        <w:lastRenderedPageBreak/>
        <w:t xml:space="preserve">informes ha aumentado en general, proporcionando más información cualitativa tanto sobre los progresos realizados como sobre los retos y las prioridades. </w:t>
      </w:r>
    </w:p>
    <w:p w14:paraId="00A0DEE5" w14:textId="77777777" w:rsidR="00CE1C94" w:rsidRPr="000F7953" w:rsidRDefault="00CE1C94" w:rsidP="00257025">
      <w:pPr>
        <w:pStyle w:val="ListParagraph"/>
        <w:spacing w:after="0" w:line="240" w:lineRule="auto"/>
        <w:ind w:left="567" w:hanging="567"/>
        <w:rPr>
          <w:rFonts w:eastAsia="Times New Roman" w:cstheme="minorHAnsi"/>
          <w:bCs/>
          <w:lang w:eastAsia="fr-FR"/>
        </w:rPr>
      </w:pPr>
    </w:p>
    <w:p w14:paraId="72FCE03F" w14:textId="57E9C0E5" w:rsidR="008D3554" w:rsidRPr="000F7953" w:rsidRDefault="000E3338" w:rsidP="00257025">
      <w:pPr>
        <w:ind w:left="567" w:hanging="567"/>
        <w:rPr>
          <w:rFonts w:asciiTheme="minorHAnsi" w:hAnsiTheme="minorHAnsi" w:cstheme="minorHAnsi"/>
          <w:bCs/>
          <w:sz w:val="22"/>
          <w:szCs w:val="22"/>
        </w:rPr>
      </w:pPr>
      <w:r w:rsidRPr="000F7953">
        <w:rPr>
          <w:rFonts w:asciiTheme="minorHAnsi" w:hAnsiTheme="minorHAnsi" w:cstheme="minorHAnsi"/>
          <w:bCs/>
          <w:sz w:val="22"/>
          <w:szCs w:val="22"/>
        </w:rPr>
        <w:t>141.</w:t>
      </w:r>
      <w:r w:rsidRPr="000F7953">
        <w:rPr>
          <w:rFonts w:asciiTheme="minorHAnsi" w:hAnsiTheme="minorHAnsi" w:cstheme="minorHAnsi"/>
          <w:bCs/>
          <w:sz w:val="22"/>
          <w:szCs w:val="22"/>
        </w:rPr>
        <w:tab/>
        <w:t xml:space="preserve">Hay una serie de factores que dificultan el análisis de los datos contenidos en los informes nacionales, la identificación de tendencias y las comparaciones entre regiones: </w:t>
      </w:r>
    </w:p>
    <w:p w14:paraId="6A33D489" w14:textId="6B8C6322" w:rsidR="008D3554" w:rsidRPr="000F7953" w:rsidRDefault="008D3554" w:rsidP="00257025">
      <w:pPr>
        <w:pStyle w:val="ListParagraph"/>
        <w:numPr>
          <w:ilvl w:val="0"/>
          <w:numId w:val="120"/>
        </w:numPr>
        <w:spacing w:after="0" w:line="240" w:lineRule="auto"/>
        <w:ind w:left="993" w:hanging="425"/>
        <w:rPr>
          <w:rFonts w:cstheme="minorHAnsi"/>
        </w:rPr>
      </w:pPr>
      <w:r w:rsidRPr="000F7953">
        <w:rPr>
          <w:rFonts w:cstheme="minorHAnsi"/>
        </w:rPr>
        <w:t>El número de indicadores varía significativamente entre las metas del PE4, siendo la mayoría indicadores de procesos y de resultados. Los indicadores para dos metas (metas 10 y 13) no se incluyeron en el PE4 ni se desarrollaron o adoptaron posteriormente.</w:t>
      </w:r>
    </w:p>
    <w:p w14:paraId="616D6B27" w14:textId="77777777" w:rsidR="008D3554" w:rsidRPr="000F7953" w:rsidRDefault="008D3554" w:rsidP="00257025">
      <w:pPr>
        <w:pStyle w:val="ListParagraph"/>
        <w:numPr>
          <w:ilvl w:val="0"/>
          <w:numId w:val="120"/>
        </w:numPr>
        <w:spacing w:after="0" w:line="240" w:lineRule="auto"/>
        <w:ind w:left="993" w:hanging="425"/>
        <w:rPr>
          <w:rFonts w:cstheme="minorHAnsi"/>
        </w:rPr>
      </w:pPr>
      <w:r w:rsidRPr="000F7953">
        <w:rPr>
          <w:rFonts w:cstheme="minorHAnsi"/>
        </w:rPr>
        <w:t xml:space="preserve">Entre una COP y otra se introdujeron varios cambios en las preguntas sobre los indicadores en los formularios del informe nacional. Aunque en la mayoría de los casos se han conservado las series temporales, en al menos uno no ha sido así, y en algunos casos esto puede haber repercutido en la respuesta de las Partes Contratantes, sesgando así los resultados. </w:t>
      </w:r>
    </w:p>
    <w:p w14:paraId="3DB499C6" w14:textId="5C02FDC3" w:rsidR="008D3554" w:rsidRPr="000F7953" w:rsidRDefault="008D3554" w:rsidP="00257025">
      <w:pPr>
        <w:pStyle w:val="ListParagraph"/>
        <w:numPr>
          <w:ilvl w:val="0"/>
          <w:numId w:val="120"/>
        </w:numPr>
        <w:spacing w:after="0" w:line="240" w:lineRule="auto"/>
        <w:ind w:left="993" w:hanging="425"/>
        <w:rPr>
          <w:rFonts w:cstheme="minorHAnsi"/>
        </w:rPr>
      </w:pPr>
      <w:r w:rsidRPr="000F7953">
        <w:rPr>
          <w:rFonts w:cstheme="minorHAnsi"/>
        </w:rPr>
        <w:t>La presentación de informes es, en cierta medida, poco sistemática, tanto en lo que se refiere al número de Partes Contratantes que presentan informes nacionales como a los datos facilitados en los informes.</w:t>
      </w:r>
    </w:p>
    <w:p w14:paraId="547C1C44" w14:textId="77777777" w:rsidR="008D3554" w:rsidRPr="000F7953" w:rsidRDefault="008D3554" w:rsidP="00CD3F6B">
      <w:pPr>
        <w:rPr>
          <w:rFonts w:asciiTheme="minorHAnsi" w:hAnsiTheme="minorHAnsi" w:cstheme="minorHAnsi"/>
          <w:bCs/>
          <w:sz w:val="22"/>
          <w:szCs w:val="22"/>
          <w:lang w:eastAsia="fr-FR"/>
        </w:rPr>
      </w:pPr>
    </w:p>
    <w:p w14:paraId="385546A7" w14:textId="4218F2A9" w:rsidR="008D3554" w:rsidRPr="000F7953" w:rsidRDefault="000E3338" w:rsidP="00257025">
      <w:pPr>
        <w:ind w:left="567" w:hanging="567"/>
        <w:rPr>
          <w:rFonts w:asciiTheme="minorHAnsi" w:hAnsiTheme="minorHAnsi" w:cstheme="minorHAnsi"/>
          <w:sz w:val="22"/>
          <w:szCs w:val="22"/>
        </w:rPr>
      </w:pPr>
      <w:r w:rsidRPr="000F7953">
        <w:rPr>
          <w:rFonts w:asciiTheme="minorHAnsi" w:hAnsiTheme="minorHAnsi" w:cstheme="minorHAnsi"/>
          <w:sz w:val="22"/>
          <w:szCs w:val="22"/>
        </w:rPr>
        <w:t>142.</w:t>
      </w:r>
      <w:r w:rsidRPr="000F7953">
        <w:rPr>
          <w:rFonts w:asciiTheme="minorHAnsi" w:hAnsiTheme="minorHAnsi" w:cstheme="minorHAnsi"/>
          <w:sz w:val="22"/>
          <w:szCs w:val="22"/>
        </w:rPr>
        <w:tab/>
        <w:t xml:space="preserve">Subsanar estas deficiencias permitirá reforzar el seguimiento de los avances en la consecución de los objetivos y las metas y apoyará la toma de decisiones basada en datos objetivos en el marco de la Convención. Al establecer el marco de indicadores para PE5 se recomienda: </w:t>
      </w:r>
    </w:p>
    <w:p w14:paraId="3A84485D" w14:textId="77777777" w:rsidR="008D3554" w:rsidRPr="000F7953" w:rsidRDefault="008D3554" w:rsidP="00257025">
      <w:pPr>
        <w:pStyle w:val="ListParagraph"/>
        <w:numPr>
          <w:ilvl w:val="0"/>
          <w:numId w:val="120"/>
        </w:numPr>
        <w:spacing w:after="0" w:line="240" w:lineRule="auto"/>
        <w:ind w:left="993" w:hanging="425"/>
        <w:rPr>
          <w:rFonts w:cstheme="minorHAnsi"/>
        </w:rPr>
      </w:pPr>
      <w:r w:rsidRPr="000F7953">
        <w:rPr>
          <w:rFonts w:cstheme="minorHAnsi"/>
        </w:rPr>
        <w:t xml:space="preserve">Establecer un número limitado de indicadores bien definidos para cada meta, manteniendo en el PE5 los indicadores pertinentes del PE4. </w:t>
      </w:r>
    </w:p>
    <w:p w14:paraId="7FD8ED80" w14:textId="77777777" w:rsidR="008D3554" w:rsidRPr="000F7953" w:rsidRDefault="008D3554" w:rsidP="00257025">
      <w:pPr>
        <w:pStyle w:val="ListParagraph"/>
        <w:numPr>
          <w:ilvl w:val="0"/>
          <w:numId w:val="120"/>
        </w:numPr>
        <w:spacing w:after="0" w:line="240" w:lineRule="auto"/>
        <w:ind w:left="993" w:hanging="425"/>
        <w:rPr>
          <w:rFonts w:cstheme="minorHAnsi"/>
        </w:rPr>
      </w:pPr>
      <w:r w:rsidRPr="000F7953">
        <w:rPr>
          <w:rFonts w:cstheme="minorHAnsi"/>
        </w:rPr>
        <w:t xml:space="preserve">Conservar/mantener las series temporales en la medida de lo posible, tanto para los indicadores como para otras preguntas del formulario del informe nacional.  </w:t>
      </w:r>
    </w:p>
    <w:p w14:paraId="401C3FE9" w14:textId="5EF3FC71" w:rsidR="008D3554" w:rsidRPr="000F7953" w:rsidRDefault="008D3554" w:rsidP="00257025">
      <w:pPr>
        <w:pStyle w:val="ListParagraph"/>
        <w:numPr>
          <w:ilvl w:val="0"/>
          <w:numId w:val="120"/>
        </w:numPr>
        <w:spacing w:after="0" w:line="240" w:lineRule="auto"/>
        <w:ind w:left="993" w:hanging="425"/>
        <w:rPr>
          <w:rFonts w:cstheme="minorHAnsi"/>
        </w:rPr>
      </w:pPr>
      <w:r w:rsidRPr="000F7953">
        <w:rPr>
          <w:rFonts w:cstheme="minorHAnsi"/>
        </w:rPr>
        <w:t>Velar por la coherencia en la formulación de las preguntas utilizadas para medir los indicadores en los informes nacionales a lo largo de los trienios.</w:t>
      </w:r>
    </w:p>
    <w:p w14:paraId="16CCA397" w14:textId="26AD484A" w:rsidR="008D3554" w:rsidRPr="000F7953" w:rsidRDefault="008D3554" w:rsidP="00257025">
      <w:pPr>
        <w:pStyle w:val="ListParagraph"/>
        <w:numPr>
          <w:ilvl w:val="0"/>
          <w:numId w:val="120"/>
        </w:numPr>
        <w:spacing w:after="0" w:line="240" w:lineRule="auto"/>
        <w:ind w:left="993" w:hanging="425"/>
        <w:rPr>
          <w:rFonts w:cstheme="minorHAnsi"/>
        </w:rPr>
      </w:pPr>
      <w:r w:rsidRPr="000F7953">
        <w:rPr>
          <w:rFonts w:cstheme="minorHAnsi"/>
        </w:rPr>
        <w:t xml:space="preserve">Combinar los indicadores de resultados para la consecución de los objetivos generales del PE a largo plazo con indicadores de procesos y resultados para metas individuales, lo que permitirá evaluar los progresos realizados entre trienios. </w:t>
      </w:r>
    </w:p>
    <w:p w14:paraId="43AC9872" w14:textId="77777777" w:rsidR="008D3554" w:rsidRPr="000F7953" w:rsidRDefault="008D3554" w:rsidP="00257025">
      <w:pPr>
        <w:pStyle w:val="ListParagraph"/>
        <w:numPr>
          <w:ilvl w:val="0"/>
          <w:numId w:val="120"/>
        </w:numPr>
        <w:spacing w:after="0" w:line="240" w:lineRule="auto"/>
        <w:ind w:left="993" w:hanging="425"/>
        <w:rPr>
          <w:rFonts w:cstheme="minorHAnsi"/>
        </w:rPr>
      </w:pPr>
      <w:r w:rsidRPr="000F7953">
        <w:rPr>
          <w:rFonts w:cstheme="minorHAnsi"/>
        </w:rPr>
        <w:t xml:space="preserve">Desarrollar orientaciones breves y claras para los indicadores y las preguntas de los indicadores con el fin de promover la armonización en la recopilación de datos, así como en la presentación de informes. Esto puede incluir simples fichas de metadatos para los indicadores. </w:t>
      </w:r>
    </w:p>
    <w:p w14:paraId="4F6116EB" w14:textId="77777777" w:rsidR="008D3554" w:rsidRPr="000F7953" w:rsidRDefault="008D3554" w:rsidP="00CD3F6B">
      <w:pPr>
        <w:rPr>
          <w:rFonts w:asciiTheme="minorHAnsi" w:hAnsiTheme="minorHAnsi" w:cstheme="minorHAnsi"/>
          <w:b/>
          <w:bCs/>
          <w:sz w:val="22"/>
          <w:szCs w:val="22"/>
        </w:rPr>
      </w:pPr>
    </w:p>
    <w:p w14:paraId="5433FF8B" w14:textId="77777777" w:rsidR="00B52C1D" w:rsidRPr="000F7953" w:rsidRDefault="00B52C1D">
      <w:pPr>
        <w:spacing w:after="160" w:line="259" w:lineRule="auto"/>
        <w:rPr>
          <w:rFonts w:asciiTheme="minorHAnsi" w:eastAsia="Calibri" w:hAnsiTheme="minorHAnsi" w:cstheme="minorHAnsi"/>
          <w:b/>
          <w:bCs/>
          <w:color w:val="000000"/>
        </w:rPr>
      </w:pPr>
      <w:r w:rsidRPr="000F7953">
        <w:rPr>
          <w:rFonts w:asciiTheme="minorHAnsi" w:hAnsiTheme="minorHAnsi" w:cstheme="minorHAnsi"/>
        </w:rPr>
        <w:br w:type="page"/>
      </w:r>
    </w:p>
    <w:p w14:paraId="7F22CDC7" w14:textId="1BC44912" w:rsidR="008A3659" w:rsidRPr="000F7953" w:rsidRDefault="006B4580" w:rsidP="00CD3F6B">
      <w:pPr>
        <w:autoSpaceDE w:val="0"/>
        <w:autoSpaceDN w:val="0"/>
        <w:adjustRightInd w:val="0"/>
        <w:rPr>
          <w:rFonts w:asciiTheme="minorHAnsi" w:eastAsia="Calibri" w:hAnsiTheme="minorHAnsi" w:cstheme="minorHAnsi"/>
          <w:b/>
          <w:bCs/>
          <w:color w:val="000000"/>
        </w:rPr>
      </w:pPr>
      <w:r w:rsidRPr="000F7953">
        <w:rPr>
          <w:rFonts w:asciiTheme="minorHAnsi" w:hAnsiTheme="minorHAnsi" w:cstheme="minorHAnsi"/>
          <w:b/>
          <w:bCs/>
          <w:color w:val="000000"/>
        </w:rPr>
        <w:lastRenderedPageBreak/>
        <w:t>Anexo 1</w:t>
      </w:r>
    </w:p>
    <w:p w14:paraId="07689708" w14:textId="14E0622B" w:rsidR="008F5054" w:rsidRPr="000F7953" w:rsidRDefault="008F5054" w:rsidP="00CD3F6B">
      <w:pPr>
        <w:autoSpaceDE w:val="0"/>
        <w:autoSpaceDN w:val="0"/>
        <w:adjustRightInd w:val="0"/>
        <w:rPr>
          <w:rFonts w:asciiTheme="minorHAnsi" w:eastAsia="Calibri" w:hAnsiTheme="minorHAnsi" w:cstheme="minorHAnsi"/>
          <w:b/>
          <w:bCs/>
          <w:color w:val="000000"/>
        </w:rPr>
      </w:pPr>
      <w:r w:rsidRPr="000F7953">
        <w:rPr>
          <w:rFonts w:asciiTheme="minorHAnsi" w:hAnsiTheme="minorHAnsi" w:cstheme="minorHAnsi"/>
          <w:b/>
          <w:bCs/>
          <w:color w:val="000000"/>
        </w:rPr>
        <w:t xml:space="preserve">Resumen de los informes voluntarios sobre el establecimiento de metas nacionales </w:t>
      </w:r>
    </w:p>
    <w:p w14:paraId="0815073D" w14:textId="77777777" w:rsidR="00597EE8" w:rsidRPr="000F7953" w:rsidRDefault="00597EE8" w:rsidP="00CD3F6B">
      <w:pPr>
        <w:rPr>
          <w:rFonts w:asciiTheme="minorHAnsi" w:hAnsiTheme="minorHAnsi" w:cstheme="minorHAnsi"/>
          <w:sz w:val="22"/>
          <w:szCs w:val="22"/>
        </w:rPr>
      </w:pPr>
    </w:p>
    <w:p w14:paraId="29423959" w14:textId="77777777" w:rsidR="008A3659" w:rsidRPr="000F7953" w:rsidRDefault="008A3659" w:rsidP="00CD3F6B">
      <w:pPr>
        <w:rPr>
          <w:rFonts w:asciiTheme="minorHAnsi" w:hAnsiTheme="minorHAnsi" w:cstheme="minorHAnsi"/>
          <w:sz w:val="22"/>
          <w:szCs w:val="22"/>
        </w:rPr>
      </w:pPr>
    </w:p>
    <w:p w14:paraId="2E219C44" w14:textId="1625C857" w:rsidR="00D57DC5" w:rsidRPr="000F7953" w:rsidRDefault="000E3338" w:rsidP="000E3338">
      <w:pPr>
        <w:ind w:left="567" w:hanging="567"/>
        <w:rPr>
          <w:rFonts w:asciiTheme="minorHAnsi" w:hAnsiTheme="minorHAnsi" w:cstheme="minorHAnsi"/>
          <w:sz w:val="22"/>
          <w:szCs w:val="22"/>
        </w:rPr>
      </w:pPr>
      <w:r w:rsidRPr="000F7953">
        <w:rPr>
          <w:rFonts w:asciiTheme="minorHAnsi" w:hAnsiTheme="minorHAnsi" w:cstheme="minorHAnsi"/>
          <w:sz w:val="22"/>
          <w:szCs w:val="22"/>
        </w:rPr>
        <w:t>1.</w:t>
      </w:r>
      <w:r w:rsidRPr="000F7953">
        <w:rPr>
          <w:rFonts w:asciiTheme="minorHAnsi" w:hAnsiTheme="minorHAnsi" w:cstheme="minorHAnsi"/>
          <w:sz w:val="22"/>
          <w:szCs w:val="22"/>
        </w:rPr>
        <w:tab/>
        <w:t xml:space="preserve">De las 112 Partes Contratantes que presentaron informes nacionales para la COP15, 48 Partes (en África, Asia, Europa y América Latina y el Caribe) han proporcionado al menos alguna información sobre las metas nacionales establecidas para apoyar la aplicación del PE4. </w:t>
      </w:r>
    </w:p>
    <w:p w14:paraId="1E576C19" w14:textId="77777777" w:rsidR="00D1463B" w:rsidRPr="000F7953" w:rsidRDefault="00D1463B" w:rsidP="000E3338">
      <w:pPr>
        <w:ind w:left="567" w:hanging="567"/>
        <w:rPr>
          <w:rFonts w:asciiTheme="minorHAnsi" w:hAnsiTheme="minorHAnsi" w:cstheme="minorHAnsi"/>
          <w:sz w:val="22"/>
          <w:szCs w:val="22"/>
        </w:rPr>
      </w:pPr>
    </w:p>
    <w:p w14:paraId="2A38F63E" w14:textId="142A6450" w:rsidR="00187580" w:rsidRPr="000F7953" w:rsidRDefault="000E3338" w:rsidP="000E3338">
      <w:pPr>
        <w:ind w:left="567" w:hanging="567"/>
        <w:rPr>
          <w:rFonts w:asciiTheme="minorHAnsi" w:hAnsiTheme="minorHAnsi" w:cstheme="minorHAnsi"/>
          <w:sz w:val="22"/>
          <w:szCs w:val="22"/>
        </w:rPr>
      </w:pPr>
      <w:r w:rsidRPr="000F7953">
        <w:rPr>
          <w:rFonts w:asciiTheme="minorHAnsi" w:hAnsiTheme="minorHAnsi" w:cstheme="minorHAnsi"/>
          <w:sz w:val="22"/>
          <w:szCs w:val="22"/>
        </w:rPr>
        <w:t>2.</w:t>
      </w:r>
      <w:r w:rsidRPr="000F7953">
        <w:rPr>
          <w:rFonts w:asciiTheme="minorHAnsi" w:hAnsiTheme="minorHAnsi" w:cstheme="minorHAnsi"/>
          <w:sz w:val="22"/>
          <w:szCs w:val="22"/>
        </w:rPr>
        <w:tab/>
        <w:t xml:space="preserve">El cuadro que figura a continuación muestra el número de metas nacionales identificadas para cada meta del PE4, cuántas de ellas se identifican como de alta prioridad, para cuales de ellas se considera que se dispone de los recursos adecuados y para cuales de ellas la falta de recursos constituye un factor limitante o muy limitante. </w:t>
      </w:r>
    </w:p>
    <w:p w14:paraId="20248539" w14:textId="77777777" w:rsidR="00D1463B" w:rsidRPr="000F7953" w:rsidRDefault="00D1463B" w:rsidP="000E3338">
      <w:pPr>
        <w:ind w:left="567" w:hanging="567"/>
        <w:rPr>
          <w:rFonts w:asciiTheme="minorHAnsi" w:hAnsiTheme="minorHAnsi" w:cstheme="minorHAnsi"/>
          <w:sz w:val="22"/>
          <w:szCs w:val="22"/>
        </w:rPr>
      </w:pPr>
    </w:p>
    <w:p w14:paraId="53474E6A" w14:textId="7C432557" w:rsidR="00E22800" w:rsidRPr="000F7953" w:rsidRDefault="000E3338" w:rsidP="000E3338">
      <w:pPr>
        <w:ind w:left="567" w:hanging="567"/>
        <w:rPr>
          <w:rFonts w:asciiTheme="minorHAnsi" w:hAnsiTheme="minorHAnsi" w:cstheme="minorHAnsi"/>
          <w:sz w:val="22"/>
          <w:szCs w:val="22"/>
        </w:rPr>
      </w:pPr>
      <w:r w:rsidRPr="000F7953">
        <w:rPr>
          <w:rFonts w:asciiTheme="minorHAnsi" w:hAnsiTheme="minorHAnsi" w:cstheme="minorHAnsi"/>
          <w:sz w:val="22"/>
          <w:szCs w:val="22"/>
        </w:rPr>
        <w:t>3.</w:t>
      </w:r>
      <w:r w:rsidRPr="000F7953">
        <w:rPr>
          <w:rFonts w:asciiTheme="minorHAnsi" w:hAnsiTheme="minorHAnsi" w:cstheme="minorHAnsi"/>
          <w:sz w:val="22"/>
          <w:szCs w:val="22"/>
        </w:rPr>
        <w:tab/>
        <w:t xml:space="preserve">Cabe señalar que la información facilitada por las Partes Contratantes es muy variable e incluye una serie de metas cuantitativas bien definidas, así como información que expresa una aspiración general en lugar de una meta específica. Por tanto, debe considerarse que la información presentada es indicativa. </w:t>
      </w:r>
    </w:p>
    <w:p w14:paraId="1D764538" w14:textId="77777777" w:rsidR="0088477B" w:rsidRPr="000F7953" w:rsidRDefault="0088477B" w:rsidP="0078307B">
      <w:pPr>
        <w:keepNext/>
        <w:rPr>
          <w:rFonts w:asciiTheme="minorHAnsi" w:hAnsiTheme="minorHAnsi" w:cstheme="minorHAnsi"/>
          <w:b/>
          <w:bCs/>
          <w:sz w:val="22"/>
          <w:szCs w:val="22"/>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145"/>
        <w:gridCol w:w="1481"/>
        <w:gridCol w:w="1482"/>
        <w:gridCol w:w="1482"/>
        <w:gridCol w:w="1482"/>
      </w:tblGrid>
      <w:tr w:rsidR="0078307B" w:rsidRPr="000F7953" w14:paraId="0FD1C58B" w14:textId="77777777" w:rsidTr="00C97402">
        <w:trPr>
          <w:trHeight w:val="280"/>
          <w:tblHeader/>
        </w:trPr>
        <w:tc>
          <w:tcPr>
            <w:tcW w:w="3145" w:type="dxa"/>
            <w:shd w:val="clear" w:color="auto" w:fill="auto"/>
            <w:noWrap/>
            <w:vAlign w:val="center"/>
            <w:hideMark/>
          </w:tcPr>
          <w:p w14:paraId="153FC9D9" w14:textId="7BF0A5A4" w:rsidR="00577BF2" w:rsidRPr="000F7953" w:rsidRDefault="00B47456" w:rsidP="0078307B">
            <w:pPr>
              <w:keepNext/>
              <w:jc w:val="center"/>
              <w:rPr>
                <w:rFonts w:asciiTheme="minorHAnsi" w:hAnsiTheme="minorHAnsi" w:cstheme="minorHAnsi"/>
                <w:b/>
                <w:bCs/>
                <w:sz w:val="20"/>
                <w:szCs w:val="20"/>
              </w:rPr>
            </w:pPr>
            <w:r w:rsidRPr="000F7953">
              <w:rPr>
                <w:rFonts w:asciiTheme="minorHAnsi" w:hAnsiTheme="minorHAnsi" w:cstheme="minorHAnsi"/>
                <w:b/>
                <w:bCs/>
                <w:sz w:val="20"/>
                <w:szCs w:val="20"/>
              </w:rPr>
              <w:t>Objetivos y metas del EP4</w:t>
            </w:r>
          </w:p>
        </w:tc>
        <w:tc>
          <w:tcPr>
            <w:tcW w:w="1481" w:type="dxa"/>
            <w:shd w:val="clear" w:color="auto" w:fill="auto"/>
            <w:noWrap/>
            <w:vAlign w:val="center"/>
            <w:hideMark/>
          </w:tcPr>
          <w:p w14:paraId="010DFF65" w14:textId="50833BA6" w:rsidR="00577BF2" w:rsidRPr="000F7953" w:rsidRDefault="00EA4A30" w:rsidP="0078307B">
            <w:pPr>
              <w:keepNext/>
              <w:jc w:val="center"/>
              <w:rPr>
                <w:rFonts w:asciiTheme="minorHAnsi" w:hAnsiTheme="minorHAnsi" w:cstheme="minorHAnsi"/>
                <w:b/>
                <w:bCs/>
                <w:color w:val="000000"/>
                <w:sz w:val="20"/>
                <w:szCs w:val="20"/>
              </w:rPr>
            </w:pPr>
            <w:r w:rsidRPr="000F7953">
              <w:rPr>
                <w:rFonts w:asciiTheme="minorHAnsi" w:hAnsiTheme="minorHAnsi" w:cstheme="minorHAnsi"/>
                <w:b/>
                <w:bCs/>
                <w:color w:val="000000"/>
                <w:sz w:val="20"/>
                <w:szCs w:val="20"/>
              </w:rPr>
              <w:t>Número total de metas nacionales</w:t>
            </w:r>
          </w:p>
        </w:tc>
        <w:tc>
          <w:tcPr>
            <w:tcW w:w="1482" w:type="dxa"/>
            <w:shd w:val="clear" w:color="auto" w:fill="auto"/>
            <w:noWrap/>
            <w:vAlign w:val="center"/>
            <w:hideMark/>
          </w:tcPr>
          <w:p w14:paraId="110B67C9" w14:textId="2F06ED1B" w:rsidR="00577BF2" w:rsidRPr="000F7953" w:rsidRDefault="009D1D1F" w:rsidP="0078307B">
            <w:pPr>
              <w:keepNext/>
              <w:jc w:val="center"/>
              <w:rPr>
                <w:rFonts w:asciiTheme="minorHAnsi" w:hAnsiTheme="minorHAnsi" w:cstheme="minorHAnsi"/>
                <w:b/>
                <w:bCs/>
                <w:color w:val="000000"/>
                <w:sz w:val="20"/>
                <w:szCs w:val="20"/>
              </w:rPr>
            </w:pPr>
            <w:r w:rsidRPr="000F7953">
              <w:rPr>
                <w:rFonts w:asciiTheme="minorHAnsi" w:hAnsiTheme="minorHAnsi" w:cstheme="minorHAnsi"/>
                <w:b/>
                <w:bCs/>
                <w:color w:val="000000"/>
                <w:sz w:val="20"/>
                <w:szCs w:val="20"/>
              </w:rPr>
              <w:t>Número de metas de alta prioridad</w:t>
            </w:r>
          </w:p>
        </w:tc>
        <w:tc>
          <w:tcPr>
            <w:tcW w:w="1482" w:type="dxa"/>
            <w:shd w:val="clear" w:color="auto" w:fill="auto"/>
            <w:noWrap/>
            <w:vAlign w:val="center"/>
            <w:hideMark/>
          </w:tcPr>
          <w:p w14:paraId="7D99564B" w14:textId="36F18344" w:rsidR="00577BF2" w:rsidRPr="000F7953" w:rsidRDefault="00EA4A30" w:rsidP="0078307B">
            <w:pPr>
              <w:keepNext/>
              <w:jc w:val="center"/>
              <w:rPr>
                <w:rFonts w:asciiTheme="minorHAnsi" w:hAnsiTheme="minorHAnsi" w:cstheme="minorHAnsi"/>
                <w:b/>
                <w:bCs/>
                <w:color w:val="000000"/>
                <w:sz w:val="20"/>
                <w:szCs w:val="20"/>
              </w:rPr>
            </w:pPr>
            <w:r w:rsidRPr="000F7953">
              <w:rPr>
                <w:rFonts w:asciiTheme="minorHAnsi" w:hAnsiTheme="minorHAnsi" w:cstheme="minorHAnsi"/>
                <w:b/>
                <w:bCs/>
                <w:color w:val="000000"/>
                <w:sz w:val="20"/>
                <w:szCs w:val="20"/>
              </w:rPr>
              <w:t>Metas con un buen nivel de financiación o con financiación adecuada</w:t>
            </w:r>
          </w:p>
        </w:tc>
        <w:tc>
          <w:tcPr>
            <w:tcW w:w="1482" w:type="dxa"/>
            <w:shd w:val="clear" w:color="auto" w:fill="auto"/>
            <w:noWrap/>
            <w:vAlign w:val="center"/>
            <w:hideMark/>
          </w:tcPr>
          <w:p w14:paraId="7E908380" w14:textId="796E9496" w:rsidR="00577BF2" w:rsidRPr="000F7953" w:rsidRDefault="00EA4A30" w:rsidP="0078307B">
            <w:pPr>
              <w:keepNext/>
              <w:jc w:val="center"/>
              <w:rPr>
                <w:rFonts w:asciiTheme="minorHAnsi" w:hAnsiTheme="minorHAnsi" w:cstheme="minorHAnsi"/>
                <w:b/>
                <w:bCs/>
                <w:color w:val="000000"/>
                <w:sz w:val="20"/>
                <w:szCs w:val="20"/>
              </w:rPr>
            </w:pPr>
            <w:r w:rsidRPr="000F7953">
              <w:rPr>
                <w:rFonts w:asciiTheme="minorHAnsi" w:hAnsiTheme="minorHAnsi" w:cstheme="minorHAnsi"/>
                <w:b/>
                <w:bCs/>
                <w:color w:val="000000"/>
                <w:sz w:val="20"/>
                <w:szCs w:val="20"/>
              </w:rPr>
              <w:t>Metas para las que la falta de recursos constituye un factor limitante o muy limitante</w:t>
            </w:r>
          </w:p>
        </w:tc>
      </w:tr>
      <w:tr w:rsidR="004C1163" w:rsidRPr="000F7953" w14:paraId="6F228EA4" w14:textId="77777777" w:rsidTr="00D9452F">
        <w:trPr>
          <w:trHeight w:val="280"/>
        </w:trPr>
        <w:tc>
          <w:tcPr>
            <w:tcW w:w="9072" w:type="dxa"/>
            <w:gridSpan w:val="5"/>
            <w:shd w:val="clear" w:color="auto" w:fill="auto"/>
            <w:noWrap/>
          </w:tcPr>
          <w:p w14:paraId="296F0978" w14:textId="5683AD7B" w:rsidR="004C1163" w:rsidRPr="000F7953" w:rsidRDefault="004C1163" w:rsidP="004C1163">
            <w:pPr>
              <w:keepNext/>
              <w:spacing w:before="120" w:after="120"/>
              <w:rPr>
                <w:rFonts w:asciiTheme="minorHAnsi" w:hAnsiTheme="minorHAnsi" w:cstheme="minorHAnsi"/>
                <w:color w:val="000000"/>
                <w:sz w:val="20"/>
                <w:szCs w:val="20"/>
              </w:rPr>
            </w:pPr>
            <w:r w:rsidRPr="000F7953">
              <w:rPr>
                <w:rFonts w:asciiTheme="minorHAnsi" w:hAnsiTheme="minorHAnsi" w:cstheme="minorHAnsi"/>
                <w:b/>
                <w:bCs/>
                <w:color w:val="000000"/>
                <w:sz w:val="20"/>
                <w:szCs w:val="20"/>
              </w:rPr>
              <w:t>Objetivo 1: Hacer frente a los factores que impulsan la pérdida y degradación de los humedales</w:t>
            </w:r>
          </w:p>
        </w:tc>
      </w:tr>
      <w:tr w:rsidR="00D1463B" w:rsidRPr="000F7953" w14:paraId="554D53C1" w14:textId="77777777" w:rsidTr="00D9452F">
        <w:trPr>
          <w:trHeight w:val="280"/>
        </w:trPr>
        <w:tc>
          <w:tcPr>
            <w:tcW w:w="3145" w:type="dxa"/>
            <w:shd w:val="clear" w:color="auto" w:fill="auto"/>
            <w:noWrap/>
            <w:vAlign w:val="bottom"/>
            <w:hideMark/>
          </w:tcPr>
          <w:p w14:paraId="08C6688E" w14:textId="7B86FF33" w:rsidR="00D1463B" w:rsidRPr="000F7953" w:rsidRDefault="00D1463B" w:rsidP="00CD3F6B">
            <w:pPr>
              <w:rPr>
                <w:rFonts w:asciiTheme="minorHAnsi" w:hAnsiTheme="minorHAnsi" w:cstheme="minorHAnsi"/>
                <w:color w:val="000000"/>
                <w:sz w:val="20"/>
                <w:szCs w:val="20"/>
              </w:rPr>
            </w:pPr>
            <w:r w:rsidRPr="000F7953">
              <w:rPr>
                <w:rFonts w:asciiTheme="minorHAnsi" w:hAnsiTheme="minorHAnsi" w:cstheme="minorHAnsi"/>
                <w:color w:val="000000"/>
                <w:sz w:val="20"/>
                <w:szCs w:val="20"/>
              </w:rPr>
              <w:t xml:space="preserve">Meta 1: Integrar los beneficios de los humedales </w:t>
            </w:r>
          </w:p>
        </w:tc>
        <w:tc>
          <w:tcPr>
            <w:tcW w:w="1481" w:type="dxa"/>
            <w:shd w:val="clear" w:color="auto" w:fill="auto"/>
            <w:noWrap/>
            <w:vAlign w:val="bottom"/>
            <w:hideMark/>
          </w:tcPr>
          <w:p w14:paraId="25DDAF6F"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28</w:t>
            </w:r>
          </w:p>
        </w:tc>
        <w:tc>
          <w:tcPr>
            <w:tcW w:w="1482" w:type="dxa"/>
            <w:shd w:val="clear" w:color="auto" w:fill="auto"/>
            <w:noWrap/>
            <w:vAlign w:val="bottom"/>
            <w:hideMark/>
          </w:tcPr>
          <w:p w14:paraId="449FECFF"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18</w:t>
            </w:r>
          </w:p>
        </w:tc>
        <w:tc>
          <w:tcPr>
            <w:tcW w:w="1482" w:type="dxa"/>
            <w:shd w:val="clear" w:color="auto" w:fill="auto"/>
            <w:noWrap/>
            <w:vAlign w:val="bottom"/>
            <w:hideMark/>
          </w:tcPr>
          <w:p w14:paraId="4653CAE7"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14</w:t>
            </w:r>
          </w:p>
        </w:tc>
        <w:tc>
          <w:tcPr>
            <w:tcW w:w="1482" w:type="dxa"/>
            <w:shd w:val="clear" w:color="auto" w:fill="auto"/>
            <w:noWrap/>
            <w:vAlign w:val="bottom"/>
            <w:hideMark/>
          </w:tcPr>
          <w:p w14:paraId="179BD8B6"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13</w:t>
            </w:r>
          </w:p>
        </w:tc>
      </w:tr>
      <w:tr w:rsidR="00D1463B" w:rsidRPr="000F7953" w14:paraId="280DC22A" w14:textId="77777777" w:rsidTr="00D9452F">
        <w:trPr>
          <w:trHeight w:val="280"/>
        </w:trPr>
        <w:tc>
          <w:tcPr>
            <w:tcW w:w="3145" w:type="dxa"/>
            <w:shd w:val="clear" w:color="auto" w:fill="auto"/>
            <w:noWrap/>
            <w:vAlign w:val="bottom"/>
            <w:hideMark/>
          </w:tcPr>
          <w:p w14:paraId="7311A98C" w14:textId="09042389" w:rsidR="00D1463B" w:rsidRPr="000F7953" w:rsidRDefault="00D1463B" w:rsidP="00CD3F6B">
            <w:pPr>
              <w:rPr>
                <w:rFonts w:asciiTheme="minorHAnsi" w:hAnsiTheme="minorHAnsi" w:cstheme="minorHAnsi"/>
                <w:color w:val="000000"/>
                <w:sz w:val="20"/>
                <w:szCs w:val="20"/>
              </w:rPr>
            </w:pPr>
            <w:r w:rsidRPr="000F7953">
              <w:rPr>
                <w:rFonts w:asciiTheme="minorHAnsi" w:hAnsiTheme="minorHAnsi" w:cstheme="minorHAnsi"/>
                <w:color w:val="000000"/>
                <w:sz w:val="20"/>
                <w:szCs w:val="20"/>
              </w:rPr>
              <w:t xml:space="preserve">Meta 2: Uso del agua </w:t>
            </w:r>
          </w:p>
        </w:tc>
        <w:tc>
          <w:tcPr>
            <w:tcW w:w="1481" w:type="dxa"/>
            <w:shd w:val="clear" w:color="auto" w:fill="auto"/>
            <w:noWrap/>
            <w:vAlign w:val="bottom"/>
            <w:hideMark/>
          </w:tcPr>
          <w:p w14:paraId="19A349E7"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28</w:t>
            </w:r>
          </w:p>
        </w:tc>
        <w:tc>
          <w:tcPr>
            <w:tcW w:w="1482" w:type="dxa"/>
            <w:shd w:val="clear" w:color="auto" w:fill="auto"/>
            <w:noWrap/>
            <w:vAlign w:val="bottom"/>
            <w:hideMark/>
          </w:tcPr>
          <w:p w14:paraId="2856DD4A"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19</w:t>
            </w:r>
          </w:p>
        </w:tc>
        <w:tc>
          <w:tcPr>
            <w:tcW w:w="1482" w:type="dxa"/>
            <w:shd w:val="clear" w:color="auto" w:fill="auto"/>
            <w:noWrap/>
            <w:vAlign w:val="bottom"/>
            <w:hideMark/>
          </w:tcPr>
          <w:p w14:paraId="27742678"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15</w:t>
            </w:r>
          </w:p>
        </w:tc>
        <w:tc>
          <w:tcPr>
            <w:tcW w:w="1482" w:type="dxa"/>
            <w:shd w:val="clear" w:color="auto" w:fill="auto"/>
            <w:noWrap/>
            <w:vAlign w:val="bottom"/>
            <w:hideMark/>
          </w:tcPr>
          <w:p w14:paraId="2DF4811E"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11</w:t>
            </w:r>
          </w:p>
        </w:tc>
      </w:tr>
      <w:tr w:rsidR="00D1463B" w:rsidRPr="000F7953" w14:paraId="34BB8465" w14:textId="77777777" w:rsidTr="00D9452F">
        <w:trPr>
          <w:trHeight w:val="280"/>
        </w:trPr>
        <w:tc>
          <w:tcPr>
            <w:tcW w:w="3145" w:type="dxa"/>
            <w:shd w:val="clear" w:color="auto" w:fill="auto"/>
            <w:noWrap/>
            <w:vAlign w:val="bottom"/>
            <w:hideMark/>
          </w:tcPr>
          <w:p w14:paraId="5D98A7E6" w14:textId="7ED3F9CF" w:rsidR="00D1463B" w:rsidRPr="000F7953" w:rsidRDefault="00D1463B" w:rsidP="00CD3F6B">
            <w:pPr>
              <w:rPr>
                <w:rFonts w:asciiTheme="minorHAnsi" w:hAnsiTheme="minorHAnsi" w:cstheme="minorHAnsi"/>
                <w:color w:val="000000"/>
                <w:sz w:val="20"/>
                <w:szCs w:val="20"/>
              </w:rPr>
            </w:pPr>
            <w:r w:rsidRPr="000F7953">
              <w:rPr>
                <w:rFonts w:asciiTheme="minorHAnsi" w:hAnsiTheme="minorHAnsi" w:cstheme="minorHAnsi"/>
                <w:color w:val="000000"/>
                <w:sz w:val="20"/>
                <w:szCs w:val="20"/>
              </w:rPr>
              <w:t xml:space="preserve">Meta 3: Sectores público y privado </w:t>
            </w:r>
          </w:p>
        </w:tc>
        <w:tc>
          <w:tcPr>
            <w:tcW w:w="1481" w:type="dxa"/>
            <w:shd w:val="clear" w:color="auto" w:fill="auto"/>
            <w:noWrap/>
            <w:vAlign w:val="bottom"/>
            <w:hideMark/>
          </w:tcPr>
          <w:p w14:paraId="170C6759"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22</w:t>
            </w:r>
          </w:p>
        </w:tc>
        <w:tc>
          <w:tcPr>
            <w:tcW w:w="1482" w:type="dxa"/>
            <w:shd w:val="clear" w:color="auto" w:fill="auto"/>
            <w:noWrap/>
            <w:vAlign w:val="bottom"/>
            <w:hideMark/>
          </w:tcPr>
          <w:p w14:paraId="51E577BB"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8</w:t>
            </w:r>
          </w:p>
        </w:tc>
        <w:tc>
          <w:tcPr>
            <w:tcW w:w="1482" w:type="dxa"/>
            <w:shd w:val="clear" w:color="auto" w:fill="auto"/>
            <w:noWrap/>
            <w:vAlign w:val="bottom"/>
            <w:hideMark/>
          </w:tcPr>
          <w:p w14:paraId="6B2F15D3"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8</w:t>
            </w:r>
          </w:p>
        </w:tc>
        <w:tc>
          <w:tcPr>
            <w:tcW w:w="1482" w:type="dxa"/>
            <w:shd w:val="clear" w:color="auto" w:fill="auto"/>
            <w:noWrap/>
            <w:vAlign w:val="bottom"/>
            <w:hideMark/>
          </w:tcPr>
          <w:p w14:paraId="08653824"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12</w:t>
            </w:r>
          </w:p>
        </w:tc>
      </w:tr>
      <w:tr w:rsidR="00D1463B" w:rsidRPr="000F7953" w14:paraId="11D21902" w14:textId="77777777" w:rsidTr="00D9452F">
        <w:trPr>
          <w:trHeight w:val="280"/>
        </w:trPr>
        <w:tc>
          <w:tcPr>
            <w:tcW w:w="3145" w:type="dxa"/>
            <w:shd w:val="clear" w:color="auto" w:fill="auto"/>
            <w:noWrap/>
            <w:vAlign w:val="bottom"/>
            <w:hideMark/>
          </w:tcPr>
          <w:p w14:paraId="2BD74DFE" w14:textId="25237F80" w:rsidR="00D1463B" w:rsidRPr="000F7953" w:rsidRDefault="00D1463B" w:rsidP="00CD3F6B">
            <w:pPr>
              <w:rPr>
                <w:rFonts w:asciiTheme="minorHAnsi" w:hAnsiTheme="minorHAnsi" w:cstheme="minorHAnsi"/>
                <w:color w:val="000000"/>
                <w:sz w:val="20"/>
                <w:szCs w:val="20"/>
              </w:rPr>
            </w:pPr>
            <w:r w:rsidRPr="000F7953">
              <w:rPr>
                <w:rFonts w:asciiTheme="minorHAnsi" w:hAnsiTheme="minorHAnsi" w:cstheme="minorHAnsi"/>
                <w:color w:val="000000"/>
                <w:sz w:val="20"/>
                <w:szCs w:val="20"/>
              </w:rPr>
              <w:t xml:space="preserve">Meta 4: Especies exóticas invasoras </w:t>
            </w:r>
          </w:p>
        </w:tc>
        <w:tc>
          <w:tcPr>
            <w:tcW w:w="1481" w:type="dxa"/>
            <w:shd w:val="clear" w:color="auto" w:fill="auto"/>
            <w:noWrap/>
            <w:vAlign w:val="bottom"/>
            <w:hideMark/>
          </w:tcPr>
          <w:p w14:paraId="6D05E4CC"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28</w:t>
            </w:r>
          </w:p>
        </w:tc>
        <w:tc>
          <w:tcPr>
            <w:tcW w:w="1482" w:type="dxa"/>
            <w:shd w:val="clear" w:color="auto" w:fill="auto"/>
            <w:noWrap/>
            <w:vAlign w:val="bottom"/>
            <w:hideMark/>
          </w:tcPr>
          <w:p w14:paraId="16274C2A"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17</w:t>
            </w:r>
          </w:p>
        </w:tc>
        <w:tc>
          <w:tcPr>
            <w:tcW w:w="1482" w:type="dxa"/>
            <w:shd w:val="clear" w:color="auto" w:fill="auto"/>
            <w:noWrap/>
            <w:vAlign w:val="bottom"/>
            <w:hideMark/>
          </w:tcPr>
          <w:p w14:paraId="7CA1A9DE"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11</w:t>
            </w:r>
          </w:p>
        </w:tc>
        <w:tc>
          <w:tcPr>
            <w:tcW w:w="1482" w:type="dxa"/>
            <w:shd w:val="clear" w:color="auto" w:fill="auto"/>
            <w:noWrap/>
            <w:vAlign w:val="bottom"/>
            <w:hideMark/>
          </w:tcPr>
          <w:p w14:paraId="60FE95D8"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13</w:t>
            </w:r>
          </w:p>
        </w:tc>
      </w:tr>
      <w:tr w:rsidR="00D1463B" w:rsidRPr="000F7953" w14:paraId="6CFA6C28" w14:textId="77777777" w:rsidTr="00D9452F">
        <w:trPr>
          <w:trHeight w:val="280"/>
        </w:trPr>
        <w:tc>
          <w:tcPr>
            <w:tcW w:w="3145" w:type="dxa"/>
            <w:shd w:val="clear" w:color="auto" w:fill="auto"/>
            <w:noWrap/>
            <w:vAlign w:val="bottom"/>
          </w:tcPr>
          <w:p w14:paraId="6879D90F" w14:textId="1B7248CB" w:rsidR="00D1463B" w:rsidRPr="000F7953" w:rsidRDefault="00D1463B" w:rsidP="00CD3F6B">
            <w:pPr>
              <w:rPr>
                <w:rFonts w:asciiTheme="minorHAnsi" w:hAnsiTheme="minorHAnsi" w:cstheme="minorHAnsi"/>
                <w:i/>
                <w:iCs/>
                <w:color w:val="000000"/>
                <w:sz w:val="20"/>
                <w:szCs w:val="20"/>
              </w:rPr>
            </w:pPr>
            <w:r w:rsidRPr="000F7953">
              <w:rPr>
                <w:rFonts w:asciiTheme="minorHAnsi" w:hAnsiTheme="minorHAnsi" w:cstheme="minorHAnsi"/>
                <w:i/>
                <w:iCs/>
                <w:color w:val="000000"/>
                <w:sz w:val="20"/>
                <w:szCs w:val="20"/>
              </w:rPr>
              <w:t>Subtotal, objetivo 1</w:t>
            </w:r>
          </w:p>
        </w:tc>
        <w:tc>
          <w:tcPr>
            <w:tcW w:w="1481" w:type="dxa"/>
            <w:shd w:val="clear" w:color="auto" w:fill="auto"/>
            <w:noWrap/>
            <w:vAlign w:val="bottom"/>
          </w:tcPr>
          <w:p w14:paraId="25890F69" w14:textId="6BF5DEA1" w:rsidR="00D1463B" w:rsidRPr="000F7953" w:rsidRDefault="00D1463B" w:rsidP="00CD3F6B">
            <w:pPr>
              <w:jc w:val="right"/>
              <w:rPr>
                <w:rFonts w:asciiTheme="minorHAnsi" w:hAnsiTheme="minorHAnsi" w:cstheme="minorHAnsi"/>
                <w:i/>
                <w:iCs/>
                <w:color w:val="000000"/>
                <w:sz w:val="20"/>
                <w:szCs w:val="20"/>
              </w:rPr>
            </w:pPr>
            <w:r w:rsidRPr="000F7953">
              <w:rPr>
                <w:rFonts w:asciiTheme="minorHAnsi" w:hAnsiTheme="minorHAnsi" w:cstheme="minorHAnsi"/>
                <w:i/>
                <w:iCs/>
                <w:color w:val="000000"/>
                <w:sz w:val="20"/>
                <w:szCs w:val="20"/>
              </w:rPr>
              <w:t>106</w:t>
            </w:r>
          </w:p>
        </w:tc>
        <w:tc>
          <w:tcPr>
            <w:tcW w:w="1482" w:type="dxa"/>
            <w:shd w:val="clear" w:color="auto" w:fill="auto"/>
            <w:noWrap/>
            <w:vAlign w:val="bottom"/>
          </w:tcPr>
          <w:p w14:paraId="1620E565" w14:textId="526AB30F" w:rsidR="00D1463B" w:rsidRPr="000F7953" w:rsidRDefault="00D1463B" w:rsidP="00CD3F6B">
            <w:pPr>
              <w:jc w:val="right"/>
              <w:rPr>
                <w:rFonts w:asciiTheme="minorHAnsi" w:hAnsiTheme="minorHAnsi" w:cstheme="minorHAnsi"/>
                <w:i/>
                <w:iCs/>
                <w:color w:val="000000"/>
                <w:sz w:val="20"/>
                <w:szCs w:val="20"/>
              </w:rPr>
            </w:pPr>
            <w:r w:rsidRPr="000F7953">
              <w:rPr>
                <w:rFonts w:asciiTheme="minorHAnsi" w:hAnsiTheme="minorHAnsi" w:cstheme="minorHAnsi"/>
                <w:i/>
                <w:iCs/>
                <w:color w:val="000000"/>
                <w:sz w:val="20"/>
                <w:szCs w:val="20"/>
              </w:rPr>
              <w:t>62</w:t>
            </w:r>
          </w:p>
        </w:tc>
        <w:tc>
          <w:tcPr>
            <w:tcW w:w="1482" w:type="dxa"/>
            <w:shd w:val="clear" w:color="auto" w:fill="auto"/>
            <w:noWrap/>
            <w:vAlign w:val="bottom"/>
          </w:tcPr>
          <w:p w14:paraId="070D1AA7" w14:textId="626427EE" w:rsidR="00D1463B" w:rsidRPr="000F7953" w:rsidRDefault="00D1463B" w:rsidP="00CD3F6B">
            <w:pPr>
              <w:jc w:val="right"/>
              <w:rPr>
                <w:rFonts w:asciiTheme="minorHAnsi" w:hAnsiTheme="minorHAnsi" w:cstheme="minorHAnsi"/>
                <w:i/>
                <w:iCs/>
                <w:color w:val="000000"/>
                <w:sz w:val="20"/>
                <w:szCs w:val="20"/>
              </w:rPr>
            </w:pPr>
            <w:r w:rsidRPr="000F7953">
              <w:rPr>
                <w:rFonts w:asciiTheme="minorHAnsi" w:hAnsiTheme="minorHAnsi" w:cstheme="minorHAnsi"/>
                <w:i/>
                <w:iCs/>
                <w:color w:val="000000"/>
                <w:sz w:val="20"/>
                <w:szCs w:val="20"/>
              </w:rPr>
              <w:t>48</w:t>
            </w:r>
          </w:p>
        </w:tc>
        <w:tc>
          <w:tcPr>
            <w:tcW w:w="1482" w:type="dxa"/>
            <w:shd w:val="clear" w:color="auto" w:fill="auto"/>
            <w:noWrap/>
            <w:vAlign w:val="bottom"/>
          </w:tcPr>
          <w:p w14:paraId="1CC42CAC" w14:textId="375CBB5D" w:rsidR="00D1463B" w:rsidRPr="000F7953" w:rsidRDefault="00D1463B" w:rsidP="00CD3F6B">
            <w:pPr>
              <w:jc w:val="right"/>
              <w:rPr>
                <w:rFonts w:asciiTheme="minorHAnsi" w:hAnsiTheme="minorHAnsi" w:cstheme="minorHAnsi"/>
                <w:i/>
                <w:iCs/>
                <w:color w:val="000000"/>
                <w:sz w:val="20"/>
                <w:szCs w:val="20"/>
              </w:rPr>
            </w:pPr>
            <w:r w:rsidRPr="000F7953">
              <w:rPr>
                <w:rFonts w:asciiTheme="minorHAnsi" w:hAnsiTheme="minorHAnsi" w:cstheme="minorHAnsi"/>
                <w:i/>
                <w:iCs/>
                <w:color w:val="000000"/>
                <w:sz w:val="20"/>
                <w:szCs w:val="20"/>
              </w:rPr>
              <w:t>49</w:t>
            </w:r>
          </w:p>
        </w:tc>
      </w:tr>
      <w:tr w:rsidR="004C1163" w:rsidRPr="000F7953" w14:paraId="27DEA2BD" w14:textId="77777777" w:rsidTr="00D9452F">
        <w:trPr>
          <w:trHeight w:val="280"/>
        </w:trPr>
        <w:tc>
          <w:tcPr>
            <w:tcW w:w="9072" w:type="dxa"/>
            <w:gridSpan w:val="5"/>
            <w:shd w:val="clear" w:color="auto" w:fill="auto"/>
            <w:noWrap/>
          </w:tcPr>
          <w:p w14:paraId="2C9F6930" w14:textId="104A7215" w:rsidR="004C1163" w:rsidRPr="000F7953" w:rsidRDefault="004C1163" w:rsidP="004C1163">
            <w:pPr>
              <w:keepNext/>
              <w:spacing w:before="120" w:after="120"/>
              <w:rPr>
                <w:rFonts w:asciiTheme="minorHAnsi" w:hAnsiTheme="minorHAnsi" w:cstheme="minorHAnsi"/>
                <w:color w:val="000000"/>
                <w:sz w:val="20"/>
                <w:szCs w:val="20"/>
              </w:rPr>
            </w:pPr>
            <w:r w:rsidRPr="000F7953">
              <w:rPr>
                <w:rFonts w:asciiTheme="minorHAnsi" w:hAnsiTheme="minorHAnsi" w:cstheme="minorHAnsi"/>
                <w:b/>
                <w:bCs/>
                <w:color w:val="000000"/>
                <w:sz w:val="20"/>
                <w:szCs w:val="20"/>
              </w:rPr>
              <w:t>Objetivo 2: Llevar a cabo una conservación y un manejo eficaces de la red de sitios Ramsar</w:t>
            </w:r>
          </w:p>
        </w:tc>
      </w:tr>
      <w:tr w:rsidR="00D1463B" w:rsidRPr="000F7953" w14:paraId="570097BC" w14:textId="77777777" w:rsidTr="00D9452F">
        <w:trPr>
          <w:trHeight w:val="280"/>
        </w:trPr>
        <w:tc>
          <w:tcPr>
            <w:tcW w:w="3145" w:type="dxa"/>
            <w:shd w:val="clear" w:color="auto" w:fill="auto"/>
            <w:noWrap/>
            <w:vAlign w:val="bottom"/>
            <w:hideMark/>
          </w:tcPr>
          <w:p w14:paraId="75EF36B7" w14:textId="38EE0B49" w:rsidR="00D1463B" w:rsidRPr="000F7953" w:rsidRDefault="00D1463B" w:rsidP="00CD3F6B">
            <w:pPr>
              <w:rPr>
                <w:rFonts w:asciiTheme="minorHAnsi" w:hAnsiTheme="minorHAnsi" w:cstheme="minorHAnsi"/>
                <w:color w:val="000000"/>
                <w:sz w:val="20"/>
                <w:szCs w:val="20"/>
              </w:rPr>
            </w:pPr>
            <w:r w:rsidRPr="000F7953">
              <w:rPr>
                <w:rFonts w:asciiTheme="minorHAnsi" w:hAnsiTheme="minorHAnsi" w:cstheme="minorHAnsi"/>
                <w:color w:val="000000"/>
                <w:sz w:val="20"/>
                <w:szCs w:val="20"/>
              </w:rPr>
              <w:t xml:space="preserve">Meta 5: Características ecológicas de los sitios </w:t>
            </w:r>
          </w:p>
        </w:tc>
        <w:tc>
          <w:tcPr>
            <w:tcW w:w="1481" w:type="dxa"/>
            <w:shd w:val="clear" w:color="auto" w:fill="auto"/>
            <w:noWrap/>
            <w:vAlign w:val="bottom"/>
            <w:hideMark/>
          </w:tcPr>
          <w:p w14:paraId="14999F22"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23</w:t>
            </w:r>
          </w:p>
        </w:tc>
        <w:tc>
          <w:tcPr>
            <w:tcW w:w="1482" w:type="dxa"/>
            <w:shd w:val="clear" w:color="auto" w:fill="auto"/>
            <w:noWrap/>
            <w:vAlign w:val="bottom"/>
            <w:hideMark/>
          </w:tcPr>
          <w:p w14:paraId="647AA1DB"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16</w:t>
            </w:r>
          </w:p>
        </w:tc>
        <w:tc>
          <w:tcPr>
            <w:tcW w:w="1482" w:type="dxa"/>
            <w:shd w:val="clear" w:color="auto" w:fill="auto"/>
            <w:noWrap/>
            <w:vAlign w:val="bottom"/>
            <w:hideMark/>
          </w:tcPr>
          <w:p w14:paraId="4FA04BD7"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8</w:t>
            </w:r>
          </w:p>
        </w:tc>
        <w:tc>
          <w:tcPr>
            <w:tcW w:w="1482" w:type="dxa"/>
            <w:shd w:val="clear" w:color="auto" w:fill="auto"/>
            <w:noWrap/>
            <w:vAlign w:val="bottom"/>
            <w:hideMark/>
          </w:tcPr>
          <w:p w14:paraId="538A458E"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14</w:t>
            </w:r>
          </w:p>
        </w:tc>
      </w:tr>
      <w:tr w:rsidR="00D1463B" w:rsidRPr="000F7953" w14:paraId="2606ABDD" w14:textId="77777777" w:rsidTr="00D9452F">
        <w:trPr>
          <w:trHeight w:val="280"/>
        </w:trPr>
        <w:tc>
          <w:tcPr>
            <w:tcW w:w="3145" w:type="dxa"/>
            <w:shd w:val="clear" w:color="auto" w:fill="auto"/>
            <w:noWrap/>
            <w:vAlign w:val="bottom"/>
            <w:hideMark/>
          </w:tcPr>
          <w:p w14:paraId="21444195" w14:textId="26F8355A" w:rsidR="00D1463B" w:rsidRPr="000F7953" w:rsidRDefault="00D1463B" w:rsidP="00CD3F6B">
            <w:pPr>
              <w:rPr>
                <w:rFonts w:asciiTheme="minorHAnsi" w:hAnsiTheme="minorHAnsi" w:cstheme="minorHAnsi"/>
                <w:sz w:val="20"/>
                <w:szCs w:val="20"/>
              </w:rPr>
            </w:pPr>
            <w:r w:rsidRPr="000F7953">
              <w:rPr>
                <w:rFonts w:asciiTheme="minorHAnsi" w:hAnsiTheme="minorHAnsi" w:cstheme="minorHAnsi"/>
                <w:sz w:val="20"/>
                <w:szCs w:val="20"/>
              </w:rPr>
              <w:t xml:space="preserve">Meta 6: Superficie, número y conectividad de los sitios </w:t>
            </w:r>
          </w:p>
        </w:tc>
        <w:tc>
          <w:tcPr>
            <w:tcW w:w="1481" w:type="dxa"/>
            <w:shd w:val="clear" w:color="auto" w:fill="auto"/>
            <w:noWrap/>
            <w:vAlign w:val="bottom"/>
            <w:hideMark/>
          </w:tcPr>
          <w:p w14:paraId="0ACDC89B" w14:textId="77777777" w:rsidR="00D1463B" w:rsidRPr="000F7953" w:rsidRDefault="00D1463B" w:rsidP="00CD3F6B">
            <w:pPr>
              <w:jc w:val="right"/>
              <w:rPr>
                <w:rFonts w:asciiTheme="minorHAnsi" w:hAnsiTheme="minorHAnsi" w:cstheme="minorHAnsi"/>
                <w:sz w:val="20"/>
                <w:szCs w:val="20"/>
              </w:rPr>
            </w:pPr>
          </w:p>
        </w:tc>
        <w:tc>
          <w:tcPr>
            <w:tcW w:w="1482" w:type="dxa"/>
            <w:shd w:val="clear" w:color="auto" w:fill="auto"/>
            <w:noWrap/>
            <w:vAlign w:val="bottom"/>
            <w:hideMark/>
          </w:tcPr>
          <w:p w14:paraId="1395AA51" w14:textId="77777777" w:rsidR="00D1463B" w:rsidRPr="000F7953" w:rsidRDefault="00D1463B" w:rsidP="00CD3F6B">
            <w:pPr>
              <w:jc w:val="right"/>
              <w:rPr>
                <w:rFonts w:asciiTheme="minorHAnsi" w:hAnsiTheme="minorHAnsi" w:cstheme="minorHAnsi"/>
                <w:sz w:val="20"/>
                <w:szCs w:val="20"/>
              </w:rPr>
            </w:pPr>
          </w:p>
        </w:tc>
        <w:tc>
          <w:tcPr>
            <w:tcW w:w="1482" w:type="dxa"/>
            <w:shd w:val="clear" w:color="auto" w:fill="auto"/>
            <w:noWrap/>
            <w:vAlign w:val="bottom"/>
            <w:hideMark/>
          </w:tcPr>
          <w:p w14:paraId="6FB3AE41" w14:textId="77777777" w:rsidR="00D1463B" w:rsidRPr="000F7953" w:rsidRDefault="00D1463B" w:rsidP="00CD3F6B">
            <w:pPr>
              <w:jc w:val="right"/>
              <w:rPr>
                <w:rFonts w:asciiTheme="minorHAnsi" w:hAnsiTheme="minorHAnsi" w:cstheme="minorHAnsi"/>
                <w:sz w:val="20"/>
                <w:szCs w:val="20"/>
              </w:rPr>
            </w:pPr>
          </w:p>
        </w:tc>
        <w:tc>
          <w:tcPr>
            <w:tcW w:w="1482" w:type="dxa"/>
            <w:shd w:val="clear" w:color="auto" w:fill="auto"/>
            <w:noWrap/>
            <w:vAlign w:val="bottom"/>
            <w:hideMark/>
          </w:tcPr>
          <w:p w14:paraId="5B30E2BB" w14:textId="77777777" w:rsidR="00D1463B" w:rsidRPr="000F7953" w:rsidRDefault="00D1463B" w:rsidP="00CD3F6B">
            <w:pPr>
              <w:jc w:val="right"/>
              <w:rPr>
                <w:rFonts w:asciiTheme="minorHAnsi" w:hAnsiTheme="minorHAnsi" w:cstheme="minorHAnsi"/>
                <w:sz w:val="20"/>
                <w:szCs w:val="20"/>
              </w:rPr>
            </w:pPr>
          </w:p>
        </w:tc>
      </w:tr>
      <w:tr w:rsidR="00D1463B" w:rsidRPr="000F7953" w14:paraId="5E56DD03" w14:textId="77777777" w:rsidTr="00D9452F">
        <w:trPr>
          <w:trHeight w:val="280"/>
        </w:trPr>
        <w:tc>
          <w:tcPr>
            <w:tcW w:w="3145" w:type="dxa"/>
            <w:shd w:val="clear" w:color="auto" w:fill="auto"/>
            <w:noWrap/>
            <w:vAlign w:val="bottom"/>
            <w:hideMark/>
          </w:tcPr>
          <w:p w14:paraId="1C2F4258" w14:textId="509DB32E" w:rsidR="00D1463B" w:rsidRPr="000F7953" w:rsidRDefault="00D1463B" w:rsidP="00CD3F6B">
            <w:pPr>
              <w:rPr>
                <w:rFonts w:asciiTheme="minorHAnsi" w:hAnsiTheme="minorHAnsi" w:cstheme="minorHAnsi"/>
                <w:color w:val="000000"/>
                <w:sz w:val="20"/>
                <w:szCs w:val="20"/>
              </w:rPr>
            </w:pPr>
            <w:r w:rsidRPr="000F7953">
              <w:rPr>
                <w:rFonts w:asciiTheme="minorHAnsi" w:hAnsiTheme="minorHAnsi" w:cstheme="minorHAnsi"/>
                <w:color w:val="000000"/>
                <w:sz w:val="20"/>
                <w:szCs w:val="20"/>
              </w:rPr>
              <w:t xml:space="preserve">Meta 7: Sitios en situación de riesgo </w:t>
            </w:r>
          </w:p>
        </w:tc>
        <w:tc>
          <w:tcPr>
            <w:tcW w:w="1481" w:type="dxa"/>
            <w:shd w:val="clear" w:color="auto" w:fill="auto"/>
            <w:noWrap/>
            <w:vAlign w:val="bottom"/>
            <w:hideMark/>
          </w:tcPr>
          <w:p w14:paraId="3B34C759"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20</w:t>
            </w:r>
          </w:p>
        </w:tc>
        <w:tc>
          <w:tcPr>
            <w:tcW w:w="1482" w:type="dxa"/>
            <w:shd w:val="clear" w:color="auto" w:fill="auto"/>
            <w:noWrap/>
            <w:vAlign w:val="bottom"/>
            <w:hideMark/>
          </w:tcPr>
          <w:p w14:paraId="72D06A3C"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12</w:t>
            </w:r>
          </w:p>
        </w:tc>
        <w:tc>
          <w:tcPr>
            <w:tcW w:w="1482" w:type="dxa"/>
            <w:shd w:val="clear" w:color="auto" w:fill="auto"/>
            <w:noWrap/>
            <w:vAlign w:val="bottom"/>
            <w:hideMark/>
          </w:tcPr>
          <w:p w14:paraId="408875E2"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5</w:t>
            </w:r>
          </w:p>
        </w:tc>
        <w:tc>
          <w:tcPr>
            <w:tcW w:w="1482" w:type="dxa"/>
            <w:shd w:val="clear" w:color="auto" w:fill="auto"/>
            <w:noWrap/>
            <w:vAlign w:val="bottom"/>
            <w:hideMark/>
          </w:tcPr>
          <w:p w14:paraId="4E1F4321"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12</w:t>
            </w:r>
          </w:p>
        </w:tc>
      </w:tr>
      <w:tr w:rsidR="00D1463B" w:rsidRPr="000F7953" w14:paraId="6A0F4C0F" w14:textId="77777777" w:rsidTr="00D9452F">
        <w:trPr>
          <w:trHeight w:val="280"/>
        </w:trPr>
        <w:tc>
          <w:tcPr>
            <w:tcW w:w="3145" w:type="dxa"/>
            <w:shd w:val="clear" w:color="auto" w:fill="auto"/>
            <w:noWrap/>
            <w:vAlign w:val="bottom"/>
          </w:tcPr>
          <w:p w14:paraId="3B086BAF" w14:textId="240F4912" w:rsidR="00D1463B" w:rsidRPr="000F7953" w:rsidRDefault="00D1463B" w:rsidP="00CD3F6B">
            <w:pPr>
              <w:rPr>
                <w:rFonts w:asciiTheme="minorHAnsi" w:hAnsiTheme="minorHAnsi" w:cstheme="minorHAnsi"/>
                <w:i/>
                <w:iCs/>
                <w:color w:val="000000"/>
                <w:sz w:val="20"/>
                <w:szCs w:val="20"/>
              </w:rPr>
            </w:pPr>
            <w:r w:rsidRPr="000F7953">
              <w:rPr>
                <w:rFonts w:asciiTheme="minorHAnsi" w:hAnsiTheme="minorHAnsi" w:cstheme="minorHAnsi"/>
                <w:i/>
                <w:iCs/>
                <w:color w:val="000000"/>
                <w:sz w:val="20"/>
                <w:szCs w:val="20"/>
              </w:rPr>
              <w:t>Subtotal, objetivo 2</w:t>
            </w:r>
          </w:p>
        </w:tc>
        <w:tc>
          <w:tcPr>
            <w:tcW w:w="1481" w:type="dxa"/>
            <w:shd w:val="clear" w:color="auto" w:fill="auto"/>
            <w:noWrap/>
            <w:vAlign w:val="bottom"/>
          </w:tcPr>
          <w:p w14:paraId="4D17E11B" w14:textId="107D5B35" w:rsidR="00D1463B" w:rsidRPr="000F7953" w:rsidRDefault="00D1463B" w:rsidP="00CD3F6B">
            <w:pPr>
              <w:jc w:val="right"/>
              <w:rPr>
                <w:rFonts w:asciiTheme="minorHAnsi" w:hAnsiTheme="minorHAnsi" w:cstheme="minorHAnsi"/>
                <w:i/>
                <w:iCs/>
                <w:color w:val="000000"/>
                <w:sz w:val="20"/>
                <w:szCs w:val="20"/>
              </w:rPr>
            </w:pPr>
            <w:r w:rsidRPr="000F7953">
              <w:rPr>
                <w:rFonts w:asciiTheme="minorHAnsi" w:hAnsiTheme="minorHAnsi" w:cstheme="minorHAnsi"/>
                <w:i/>
                <w:iCs/>
                <w:color w:val="000000"/>
                <w:sz w:val="20"/>
                <w:szCs w:val="20"/>
              </w:rPr>
              <w:t>43</w:t>
            </w:r>
          </w:p>
        </w:tc>
        <w:tc>
          <w:tcPr>
            <w:tcW w:w="1482" w:type="dxa"/>
            <w:shd w:val="clear" w:color="auto" w:fill="auto"/>
            <w:noWrap/>
            <w:vAlign w:val="bottom"/>
          </w:tcPr>
          <w:p w14:paraId="28239C0E" w14:textId="3420BA53" w:rsidR="00D1463B" w:rsidRPr="000F7953" w:rsidRDefault="00D1463B" w:rsidP="00CD3F6B">
            <w:pPr>
              <w:jc w:val="right"/>
              <w:rPr>
                <w:rFonts w:asciiTheme="minorHAnsi" w:hAnsiTheme="minorHAnsi" w:cstheme="minorHAnsi"/>
                <w:i/>
                <w:iCs/>
                <w:color w:val="000000"/>
                <w:sz w:val="20"/>
                <w:szCs w:val="20"/>
              </w:rPr>
            </w:pPr>
            <w:r w:rsidRPr="000F7953">
              <w:rPr>
                <w:rFonts w:asciiTheme="minorHAnsi" w:hAnsiTheme="minorHAnsi" w:cstheme="minorHAnsi"/>
                <w:i/>
                <w:iCs/>
                <w:color w:val="000000"/>
                <w:sz w:val="20"/>
                <w:szCs w:val="20"/>
              </w:rPr>
              <w:t>28</w:t>
            </w:r>
          </w:p>
        </w:tc>
        <w:tc>
          <w:tcPr>
            <w:tcW w:w="1482" w:type="dxa"/>
            <w:shd w:val="clear" w:color="auto" w:fill="auto"/>
            <w:noWrap/>
            <w:vAlign w:val="bottom"/>
          </w:tcPr>
          <w:p w14:paraId="7926975B" w14:textId="6698D339" w:rsidR="00D1463B" w:rsidRPr="000F7953" w:rsidRDefault="00D1463B" w:rsidP="00CD3F6B">
            <w:pPr>
              <w:jc w:val="right"/>
              <w:rPr>
                <w:rFonts w:asciiTheme="minorHAnsi" w:hAnsiTheme="minorHAnsi" w:cstheme="minorHAnsi"/>
                <w:i/>
                <w:iCs/>
                <w:color w:val="000000"/>
                <w:sz w:val="20"/>
                <w:szCs w:val="20"/>
              </w:rPr>
            </w:pPr>
            <w:r w:rsidRPr="000F7953">
              <w:rPr>
                <w:rFonts w:asciiTheme="minorHAnsi" w:hAnsiTheme="minorHAnsi" w:cstheme="minorHAnsi"/>
                <w:i/>
                <w:iCs/>
                <w:color w:val="000000"/>
                <w:sz w:val="20"/>
                <w:szCs w:val="20"/>
              </w:rPr>
              <w:t>13</w:t>
            </w:r>
          </w:p>
        </w:tc>
        <w:tc>
          <w:tcPr>
            <w:tcW w:w="1482" w:type="dxa"/>
            <w:shd w:val="clear" w:color="auto" w:fill="auto"/>
            <w:noWrap/>
            <w:vAlign w:val="bottom"/>
          </w:tcPr>
          <w:p w14:paraId="588968D5" w14:textId="0FEC2014" w:rsidR="00D1463B" w:rsidRPr="000F7953" w:rsidRDefault="00D1463B" w:rsidP="00CD3F6B">
            <w:pPr>
              <w:jc w:val="right"/>
              <w:rPr>
                <w:rFonts w:asciiTheme="minorHAnsi" w:hAnsiTheme="minorHAnsi" w:cstheme="minorHAnsi"/>
                <w:i/>
                <w:iCs/>
                <w:color w:val="000000"/>
                <w:sz w:val="20"/>
                <w:szCs w:val="20"/>
              </w:rPr>
            </w:pPr>
            <w:r w:rsidRPr="000F7953">
              <w:rPr>
                <w:rFonts w:asciiTheme="minorHAnsi" w:hAnsiTheme="minorHAnsi" w:cstheme="minorHAnsi"/>
                <w:i/>
                <w:iCs/>
                <w:color w:val="000000"/>
                <w:sz w:val="20"/>
                <w:szCs w:val="20"/>
              </w:rPr>
              <w:t>26</w:t>
            </w:r>
          </w:p>
        </w:tc>
      </w:tr>
      <w:tr w:rsidR="004C1163" w:rsidRPr="000F7953" w14:paraId="0491C095" w14:textId="77777777" w:rsidTr="00D9452F">
        <w:trPr>
          <w:trHeight w:val="280"/>
        </w:trPr>
        <w:tc>
          <w:tcPr>
            <w:tcW w:w="9072" w:type="dxa"/>
            <w:gridSpan w:val="5"/>
            <w:shd w:val="clear" w:color="auto" w:fill="auto"/>
            <w:noWrap/>
          </w:tcPr>
          <w:p w14:paraId="31DE7091" w14:textId="115FB1C1" w:rsidR="004C1163" w:rsidRPr="000F7953" w:rsidRDefault="004C1163" w:rsidP="004C1163">
            <w:pPr>
              <w:keepNext/>
              <w:spacing w:before="120" w:after="120"/>
              <w:rPr>
                <w:rFonts w:asciiTheme="minorHAnsi" w:hAnsiTheme="minorHAnsi" w:cstheme="minorHAnsi"/>
                <w:color w:val="000000"/>
                <w:sz w:val="20"/>
                <w:szCs w:val="20"/>
              </w:rPr>
            </w:pPr>
            <w:r w:rsidRPr="000F7953">
              <w:rPr>
                <w:rFonts w:asciiTheme="minorHAnsi" w:hAnsiTheme="minorHAnsi" w:cstheme="minorHAnsi"/>
                <w:b/>
                <w:bCs/>
                <w:color w:val="000000"/>
                <w:sz w:val="20"/>
                <w:szCs w:val="20"/>
              </w:rPr>
              <w:t>Objetivo 3: Realizar un uso racional de todos los humedales</w:t>
            </w:r>
          </w:p>
        </w:tc>
      </w:tr>
      <w:tr w:rsidR="00D1463B" w:rsidRPr="000F7953" w14:paraId="34FD3BA6" w14:textId="77777777" w:rsidTr="00D9452F">
        <w:trPr>
          <w:trHeight w:val="280"/>
        </w:trPr>
        <w:tc>
          <w:tcPr>
            <w:tcW w:w="3145" w:type="dxa"/>
            <w:shd w:val="clear" w:color="auto" w:fill="auto"/>
            <w:noWrap/>
            <w:vAlign w:val="bottom"/>
            <w:hideMark/>
          </w:tcPr>
          <w:p w14:paraId="3C733BE2" w14:textId="4CEFCF4A" w:rsidR="00D1463B" w:rsidRPr="000F7953" w:rsidRDefault="00D1463B" w:rsidP="00CD3F6B">
            <w:pPr>
              <w:rPr>
                <w:rFonts w:asciiTheme="minorHAnsi" w:hAnsiTheme="minorHAnsi" w:cstheme="minorHAnsi"/>
                <w:color w:val="000000"/>
                <w:sz w:val="20"/>
                <w:szCs w:val="20"/>
              </w:rPr>
            </w:pPr>
            <w:r w:rsidRPr="000F7953">
              <w:rPr>
                <w:rFonts w:asciiTheme="minorHAnsi" w:hAnsiTheme="minorHAnsi" w:cstheme="minorHAnsi"/>
                <w:color w:val="000000"/>
                <w:sz w:val="20"/>
                <w:szCs w:val="20"/>
              </w:rPr>
              <w:t xml:space="preserve">Meta 8: Inventarios nacionales de humedales </w:t>
            </w:r>
          </w:p>
        </w:tc>
        <w:tc>
          <w:tcPr>
            <w:tcW w:w="1481" w:type="dxa"/>
            <w:shd w:val="clear" w:color="auto" w:fill="auto"/>
            <w:noWrap/>
            <w:vAlign w:val="bottom"/>
            <w:hideMark/>
          </w:tcPr>
          <w:p w14:paraId="2F5E7CCA"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21</w:t>
            </w:r>
          </w:p>
        </w:tc>
        <w:tc>
          <w:tcPr>
            <w:tcW w:w="1482" w:type="dxa"/>
            <w:shd w:val="clear" w:color="auto" w:fill="auto"/>
            <w:noWrap/>
            <w:vAlign w:val="bottom"/>
            <w:hideMark/>
          </w:tcPr>
          <w:p w14:paraId="56E615CB"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14</w:t>
            </w:r>
          </w:p>
        </w:tc>
        <w:tc>
          <w:tcPr>
            <w:tcW w:w="1482" w:type="dxa"/>
            <w:shd w:val="clear" w:color="auto" w:fill="auto"/>
            <w:noWrap/>
            <w:vAlign w:val="bottom"/>
            <w:hideMark/>
          </w:tcPr>
          <w:p w14:paraId="53DEE05D"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5</w:t>
            </w:r>
          </w:p>
        </w:tc>
        <w:tc>
          <w:tcPr>
            <w:tcW w:w="1482" w:type="dxa"/>
            <w:shd w:val="clear" w:color="auto" w:fill="auto"/>
            <w:noWrap/>
            <w:vAlign w:val="bottom"/>
            <w:hideMark/>
          </w:tcPr>
          <w:p w14:paraId="285244E6"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13</w:t>
            </w:r>
          </w:p>
        </w:tc>
      </w:tr>
      <w:tr w:rsidR="00D1463B" w:rsidRPr="000F7953" w14:paraId="6C6EC65C" w14:textId="77777777" w:rsidTr="00D9452F">
        <w:trPr>
          <w:trHeight w:val="280"/>
        </w:trPr>
        <w:tc>
          <w:tcPr>
            <w:tcW w:w="3145" w:type="dxa"/>
            <w:shd w:val="clear" w:color="auto" w:fill="auto"/>
            <w:noWrap/>
            <w:vAlign w:val="bottom"/>
            <w:hideMark/>
          </w:tcPr>
          <w:p w14:paraId="4FAF159B" w14:textId="26F03316" w:rsidR="00D1463B" w:rsidRPr="000F7953" w:rsidRDefault="00D1463B" w:rsidP="00CD3F6B">
            <w:pPr>
              <w:rPr>
                <w:rFonts w:asciiTheme="minorHAnsi" w:hAnsiTheme="minorHAnsi" w:cstheme="minorHAnsi"/>
                <w:color w:val="000000"/>
                <w:sz w:val="20"/>
                <w:szCs w:val="20"/>
              </w:rPr>
            </w:pPr>
            <w:r w:rsidRPr="000F7953">
              <w:rPr>
                <w:rFonts w:asciiTheme="minorHAnsi" w:hAnsiTheme="minorHAnsi" w:cstheme="minorHAnsi"/>
                <w:color w:val="000000"/>
                <w:sz w:val="20"/>
                <w:szCs w:val="20"/>
              </w:rPr>
              <w:t xml:space="preserve">Meta 9: Uso racional </w:t>
            </w:r>
          </w:p>
        </w:tc>
        <w:tc>
          <w:tcPr>
            <w:tcW w:w="1481" w:type="dxa"/>
            <w:shd w:val="clear" w:color="auto" w:fill="auto"/>
            <w:noWrap/>
            <w:vAlign w:val="bottom"/>
            <w:hideMark/>
          </w:tcPr>
          <w:p w14:paraId="0298A14D"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20</w:t>
            </w:r>
          </w:p>
        </w:tc>
        <w:tc>
          <w:tcPr>
            <w:tcW w:w="1482" w:type="dxa"/>
            <w:shd w:val="clear" w:color="auto" w:fill="auto"/>
            <w:noWrap/>
            <w:vAlign w:val="bottom"/>
            <w:hideMark/>
          </w:tcPr>
          <w:p w14:paraId="3470AEE9"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13</w:t>
            </w:r>
          </w:p>
        </w:tc>
        <w:tc>
          <w:tcPr>
            <w:tcW w:w="1482" w:type="dxa"/>
            <w:shd w:val="clear" w:color="auto" w:fill="auto"/>
            <w:noWrap/>
            <w:vAlign w:val="bottom"/>
            <w:hideMark/>
          </w:tcPr>
          <w:p w14:paraId="61F2F35E"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4</w:t>
            </w:r>
          </w:p>
        </w:tc>
        <w:tc>
          <w:tcPr>
            <w:tcW w:w="1482" w:type="dxa"/>
            <w:shd w:val="clear" w:color="auto" w:fill="auto"/>
            <w:noWrap/>
            <w:vAlign w:val="bottom"/>
            <w:hideMark/>
          </w:tcPr>
          <w:p w14:paraId="406F3C02"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14</w:t>
            </w:r>
          </w:p>
        </w:tc>
      </w:tr>
      <w:tr w:rsidR="00D1463B" w:rsidRPr="000F7953" w14:paraId="723B5B15" w14:textId="77777777" w:rsidTr="00D9452F">
        <w:trPr>
          <w:trHeight w:val="280"/>
        </w:trPr>
        <w:tc>
          <w:tcPr>
            <w:tcW w:w="3145" w:type="dxa"/>
            <w:shd w:val="clear" w:color="auto" w:fill="auto"/>
            <w:noWrap/>
            <w:vAlign w:val="bottom"/>
            <w:hideMark/>
          </w:tcPr>
          <w:p w14:paraId="06CEF421" w14:textId="67E4875D" w:rsidR="00D1463B" w:rsidRPr="000F7953" w:rsidRDefault="00D1463B" w:rsidP="00CD3F6B">
            <w:pPr>
              <w:rPr>
                <w:rFonts w:asciiTheme="minorHAnsi" w:hAnsiTheme="minorHAnsi" w:cstheme="minorHAnsi"/>
                <w:color w:val="000000"/>
                <w:sz w:val="20"/>
                <w:szCs w:val="20"/>
              </w:rPr>
            </w:pPr>
            <w:r w:rsidRPr="000F7953">
              <w:rPr>
                <w:rFonts w:asciiTheme="minorHAnsi" w:hAnsiTheme="minorHAnsi" w:cstheme="minorHAnsi"/>
                <w:color w:val="000000"/>
                <w:sz w:val="20"/>
                <w:szCs w:val="20"/>
              </w:rPr>
              <w:t xml:space="preserve">Meta 10: Conocimientos tradicionales </w:t>
            </w:r>
          </w:p>
        </w:tc>
        <w:tc>
          <w:tcPr>
            <w:tcW w:w="1481" w:type="dxa"/>
            <w:shd w:val="clear" w:color="auto" w:fill="auto"/>
            <w:noWrap/>
            <w:vAlign w:val="bottom"/>
            <w:hideMark/>
          </w:tcPr>
          <w:p w14:paraId="373C414D"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18</w:t>
            </w:r>
          </w:p>
        </w:tc>
        <w:tc>
          <w:tcPr>
            <w:tcW w:w="1482" w:type="dxa"/>
            <w:shd w:val="clear" w:color="auto" w:fill="auto"/>
            <w:noWrap/>
            <w:vAlign w:val="bottom"/>
            <w:hideMark/>
          </w:tcPr>
          <w:p w14:paraId="1DA20503"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8</w:t>
            </w:r>
          </w:p>
        </w:tc>
        <w:tc>
          <w:tcPr>
            <w:tcW w:w="1482" w:type="dxa"/>
            <w:shd w:val="clear" w:color="auto" w:fill="auto"/>
            <w:noWrap/>
            <w:vAlign w:val="bottom"/>
            <w:hideMark/>
          </w:tcPr>
          <w:p w14:paraId="6BA6F5FD"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6</w:t>
            </w:r>
          </w:p>
        </w:tc>
        <w:tc>
          <w:tcPr>
            <w:tcW w:w="1482" w:type="dxa"/>
            <w:shd w:val="clear" w:color="auto" w:fill="auto"/>
            <w:noWrap/>
            <w:vAlign w:val="bottom"/>
            <w:hideMark/>
          </w:tcPr>
          <w:p w14:paraId="7F37EA0F"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9</w:t>
            </w:r>
          </w:p>
        </w:tc>
      </w:tr>
      <w:tr w:rsidR="00D1463B" w:rsidRPr="000F7953" w14:paraId="567B026F" w14:textId="77777777" w:rsidTr="00D9452F">
        <w:trPr>
          <w:trHeight w:val="280"/>
        </w:trPr>
        <w:tc>
          <w:tcPr>
            <w:tcW w:w="3145" w:type="dxa"/>
            <w:shd w:val="clear" w:color="auto" w:fill="auto"/>
            <w:noWrap/>
            <w:vAlign w:val="bottom"/>
            <w:hideMark/>
          </w:tcPr>
          <w:p w14:paraId="66F76216" w14:textId="4529F9B7" w:rsidR="00D1463B" w:rsidRPr="000F7953" w:rsidRDefault="00D1463B" w:rsidP="00CD3F6B">
            <w:pPr>
              <w:rPr>
                <w:rFonts w:asciiTheme="minorHAnsi" w:hAnsiTheme="minorHAnsi" w:cstheme="minorHAnsi"/>
                <w:color w:val="000000"/>
                <w:sz w:val="20"/>
                <w:szCs w:val="20"/>
              </w:rPr>
            </w:pPr>
            <w:r w:rsidRPr="000F7953">
              <w:rPr>
                <w:rFonts w:asciiTheme="minorHAnsi" w:hAnsiTheme="minorHAnsi" w:cstheme="minorHAnsi"/>
                <w:color w:val="000000"/>
                <w:sz w:val="20"/>
                <w:szCs w:val="20"/>
              </w:rPr>
              <w:t xml:space="preserve">Meta 11: Funciones de los humedales </w:t>
            </w:r>
          </w:p>
        </w:tc>
        <w:tc>
          <w:tcPr>
            <w:tcW w:w="1481" w:type="dxa"/>
            <w:shd w:val="clear" w:color="auto" w:fill="auto"/>
            <w:noWrap/>
            <w:vAlign w:val="bottom"/>
            <w:hideMark/>
          </w:tcPr>
          <w:p w14:paraId="5D462630"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19</w:t>
            </w:r>
          </w:p>
        </w:tc>
        <w:tc>
          <w:tcPr>
            <w:tcW w:w="1482" w:type="dxa"/>
            <w:shd w:val="clear" w:color="auto" w:fill="auto"/>
            <w:noWrap/>
            <w:vAlign w:val="bottom"/>
            <w:hideMark/>
          </w:tcPr>
          <w:p w14:paraId="6733F7FF"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12</w:t>
            </w:r>
          </w:p>
        </w:tc>
        <w:tc>
          <w:tcPr>
            <w:tcW w:w="1482" w:type="dxa"/>
            <w:shd w:val="clear" w:color="auto" w:fill="auto"/>
            <w:noWrap/>
            <w:vAlign w:val="bottom"/>
            <w:hideMark/>
          </w:tcPr>
          <w:p w14:paraId="4FBDD571"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7</w:t>
            </w:r>
          </w:p>
        </w:tc>
        <w:tc>
          <w:tcPr>
            <w:tcW w:w="1482" w:type="dxa"/>
            <w:shd w:val="clear" w:color="auto" w:fill="auto"/>
            <w:noWrap/>
            <w:vAlign w:val="bottom"/>
            <w:hideMark/>
          </w:tcPr>
          <w:p w14:paraId="40B227CB"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11</w:t>
            </w:r>
          </w:p>
        </w:tc>
      </w:tr>
      <w:tr w:rsidR="00D1463B" w:rsidRPr="000F7953" w14:paraId="1E6E2C1E" w14:textId="77777777" w:rsidTr="00D9452F">
        <w:trPr>
          <w:trHeight w:val="280"/>
        </w:trPr>
        <w:tc>
          <w:tcPr>
            <w:tcW w:w="3145" w:type="dxa"/>
            <w:shd w:val="clear" w:color="auto" w:fill="auto"/>
            <w:noWrap/>
            <w:vAlign w:val="bottom"/>
            <w:hideMark/>
          </w:tcPr>
          <w:p w14:paraId="24F56761" w14:textId="765DAFC7" w:rsidR="00D1463B" w:rsidRPr="000F7953" w:rsidRDefault="00D1463B" w:rsidP="00CD3F6B">
            <w:pPr>
              <w:rPr>
                <w:rFonts w:asciiTheme="minorHAnsi" w:hAnsiTheme="minorHAnsi" w:cstheme="minorHAnsi"/>
                <w:color w:val="000000"/>
                <w:sz w:val="20"/>
                <w:szCs w:val="20"/>
              </w:rPr>
            </w:pPr>
            <w:r w:rsidRPr="000F7953">
              <w:rPr>
                <w:rFonts w:asciiTheme="minorHAnsi" w:hAnsiTheme="minorHAnsi" w:cstheme="minorHAnsi"/>
                <w:color w:val="000000"/>
                <w:sz w:val="20"/>
                <w:szCs w:val="20"/>
              </w:rPr>
              <w:t xml:space="preserve">Meta 12: Restauración </w:t>
            </w:r>
          </w:p>
        </w:tc>
        <w:tc>
          <w:tcPr>
            <w:tcW w:w="1481" w:type="dxa"/>
            <w:shd w:val="clear" w:color="auto" w:fill="auto"/>
            <w:noWrap/>
            <w:vAlign w:val="bottom"/>
            <w:hideMark/>
          </w:tcPr>
          <w:p w14:paraId="3C715B30"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23</w:t>
            </w:r>
          </w:p>
        </w:tc>
        <w:tc>
          <w:tcPr>
            <w:tcW w:w="1482" w:type="dxa"/>
            <w:shd w:val="clear" w:color="auto" w:fill="auto"/>
            <w:noWrap/>
            <w:vAlign w:val="bottom"/>
            <w:hideMark/>
          </w:tcPr>
          <w:p w14:paraId="63C40F43"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14</w:t>
            </w:r>
          </w:p>
        </w:tc>
        <w:tc>
          <w:tcPr>
            <w:tcW w:w="1482" w:type="dxa"/>
            <w:shd w:val="clear" w:color="auto" w:fill="auto"/>
            <w:noWrap/>
            <w:vAlign w:val="bottom"/>
            <w:hideMark/>
          </w:tcPr>
          <w:p w14:paraId="738A5A79"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7</w:t>
            </w:r>
          </w:p>
        </w:tc>
        <w:tc>
          <w:tcPr>
            <w:tcW w:w="1482" w:type="dxa"/>
            <w:shd w:val="clear" w:color="auto" w:fill="auto"/>
            <w:noWrap/>
            <w:vAlign w:val="bottom"/>
            <w:hideMark/>
          </w:tcPr>
          <w:p w14:paraId="1DBDCBB2"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13</w:t>
            </w:r>
          </w:p>
        </w:tc>
      </w:tr>
      <w:tr w:rsidR="00D1463B" w:rsidRPr="000F7953" w14:paraId="7945DF87" w14:textId="77777777" w:rsidTr="00D9452F">
        <w:trPr>
          <w:trHeight w:val="280"/>
        </w:trPr>
        <w:tc>
          <w:tcPr>
            <w:tcW w:w="3145" w:type="dxa"/>
            <w:shd w:val="clear" w:color="auto" w:fill="auto"/>
            <w:noWrap/>
            <w:vAlign w:val="bottom"/>
            <w:hideMark/>
          </w:tcPr>
          <w:p w14:paraId="0DBE017E" w14:textId="032D5E62" w:rsidR="00D1463B" w:rsidRPr="000F7953" w:rsidRDefault="00D1463B" w:rsidP="00CD3F6B">
            <w:pPr>
              <w:rPr>
                <w:rFonts w:asciiTheme="minorHAnsi" w:hAnsiTheme="minorHAnsi" w:cstheme="minorHAnsi"/>
                <w:color w:val="000000"/>
                <w:sz w:val="20"/>
                <w:szCs w:val="20"/>
              </w:rPr>
            </w:pPr>
            <w:r w:rsidRPr="000F7953">
              <w:rPr>
                <w:rFonts w:asciiTheme="minorHAnsi" w:hAnsiTheme="minorHAnsi" w:cstheme="minorHAnsi"/>
                <w:color w:val="000000"/>
                <w:sz w:val="20"/>
                <w:szCs w:val="20"/>
              </w:rPr>
              <w:t xml:space="preserve">Meta 13: Mayor sostenibilidad </w:t>
            </w:r>
          </w:p>
        </w:tc>
        <w:tc>
          <w:tcPr>
            <w:tcW w:w="1481" w:type="dxa"/>
            <w:shd w:val="clear" w:color="auto" w:fill="auto"/>
            <w:noWrap/>
            <w:vAlign w:val="bottom"/>
            <w:hideMark/>
          </w:tcPr>
          <w:p w14:paraId="60E23ECB"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20</w:t>
            </w:r>
          </w:p>
        </w:tc>
        <w:tc>
          <w:tcPr>
            <w:tcW w:w="1482" w:type="dxa"/>
            <w:shd w:val="clear" w:color="auto" w:fill="auto"/>
            <w:noWrap/>
            <w:vAlign w:val="bottom"/>
            <w:hideMark/>
          </w:tcPr>
          <w:p w14:paraId="628FE775"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12</w:t>
            </w:r>
          </w:p>
        </w:tc>
        <w:tc>
          <w:tcPr>
            <w:tcW w:w="1482" w:type="dxa"/>
            <w:shd w:val="clear" w:color="auto" w:fill="auto"/>
            <w:noWrap/>
            <w:vAlign w:val="bottom"/>
            <w:hideMark/>
          </w:tcPr>
          <w:p w14:paraId="45AF5B0E"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4</w:t>
            </w:r>
          </w:p>
        </w:tc>
        <w:tc>
          <w:tcPr>
            <w:tcW w:w="1482" w:type="dxa"/>
            <w:shd w:val="clear" w:color="auto" w:fill="auto"/>
            <w:noWrap/>
            <w:vAlign w:val="bottom"/>
            <w:hideMark/>
          </w:tcPr>
          <w:p w14:paraId="734502F9"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12</w:t>
            </w:r>
          </w:p>
        </w:tc>
      </w:tr>
      <w:tr w:rsidR="00D1463B" w:rsidRPr="000F7953" w14:paraId="6851D6E2" w14:textId="77777777" w:rsidTr="00D9452F">
        <w:trPr>
          <w:trHeight w:val="280"/>
        </w:trPr>
        <w:tc>
          <w:tcPr>
            <w:tcW w:w="3145" w:type="dxa"/>
            <w:shd w:val="clear" w:color="auto" w:fill="auto"/>
            <w:noWrap/>
            <w:vAlign w:val="bottom"/>
          </w:tcPr>
          <w:p w14:paraId="500C1887" w14:textId="3A7ACCE4" w:rsidR="00D1463B" w:rsidRPr="000F7953" w:rsidRDefault="00D1463B" w:rsidP="00CD3F6B">
            <w:pPr>
              <w:rPr>
                <w:rFonts w:asciiTheme="minorHAnsi" w:hAnsiTheme="minorHAnsi" w:cstheme="minorHAnsi"/>
                <w:i/>
                <w:iCs/>
                <w:sz w:val="20"/>
                <w:szCs w:val="20"/>
              </w:rPr>
            </w:pPr>
            <w:r w:rsidRPr="000F7953">
              <w:rPr>
                <w:rFonts w:asciiTheme="minorHAnsi" w:hAnsiTheme="minorHAnsi" w:cstheme="minorHAnsi"/>
                <w:i/>
                <w:iCs/>
                <w:color w:val="000000"/>
                <w:sz w:val="20"/>
                <w:szCs w:val="20"/>
              </w:rPr>
              <w:t>Subtotal, objetivo 3</w:t>
            </w:r>
          </w:p>
        </w:tc>
        <w:tc>
          <w:tcPr>
            <w:tcW w:w="1481" w:type="dxa"/>
            <w:shd w:val="clear" w:color="auto" w:fill="auto"/>
            <w:noWrap/>
            <w:vAlign w:val="bottom"/>
          </w:tcPr>
          <w:p w14:paraId="7B15C23D" w14:textId="079D7E05" w:rsidR="00D1463B" w:rsidRPr="000F7953" w:rsidRDefault="00D1463B" w:rsidP="00CD3F6B">
            <w:pPr>
              <w:jc w:val="right"/>
              <w:rPr>
                <w:rFonts w:asciiTheme="minorHAnsi" w:hAnsiTheme="minorHAnsi" w:cstheme="minorHAnsi"/>
                <w:i/>
                <w:iCs/>
                <w:sz w:val="20"/>
                <w:szCs w:val="20"/>
              </w:rPr>
            </w:pPr>
            <w:r w:rsidRPr="000F7953">
              <w:rPr>
                <w:rFonts w:asciiTheme="minorHAnsi" w:hAnsiTheme="minorHAnsi" w:cstheme="minorHAnsi"/>
                <w:i/>
                <w:iCs/>
                <w:color w:val="000000"/>
                <w:sz w:val="20"/>
                <w:szCs w:val="20"/>
              </w:rPr>
              <w:t>121</w:t>
            </w:r>
          </w:p>
        </w:tc>
        <w:tc>
          <w:tcPr>
            <w:tcW w:w="1482" w:type="dxa"/>
            <w:shd w:val="clear" w:color="auto" w:fill="auto"/>
            <w:noWrap/>
            <w:vAlign w:val="bottom"/>
          </w:tcPr>
          <w:p w14:paraId="0CC99E24" w14:textId="3FF833AC" w:rsidR="00D1463B" w:rsidRPr="000F7953" w:rsidRDefault="00D1463B" w:rsidP="00CD3F6B">
            <w:pPr>
              <w:jc w:val="right"/>
              <w:rPr>
                <w:rFonts w:asciiTheme="minorHAnsi" w:hAnsiTheme="minorHAnsi" w:cstheme="minorHAnsi"/>
                <w:i/>
                <w:iCs/>
                <w:sz w:val="20"/>
                <w:szCs w:val="20"/>
              </w:rPr>
            </w:pPr>
            <w:r w:rsidRPr="000F7953">
              <w:rPr>
                <w:rFonts w:asciiTheme="minorHAnsi" w:hAnsiTheme="minorHAnsi" w:cstheme="minorHAnsi"/>
                <w:i/>
                <w:iCs/>
                <w:color w:val="000000"/>
                <w:sz w:val="20"/>
                <w:szCs w:val="20"/>
              </w:rPr>
              <w:t>73</w:t>
            </w:r>
          </w:p>
        </w:tc>
        <w:tc>
          <w:tcPr>
            <w:tcW w:w="1482" w:type="dxa"/>
            <w:shd w:val="clear" w:color="auto" w:fill="auto"/>
            <w:noWrap/>
            <w:vAlign w:val="bottom"/>
          </w:tcPr>
          <w:p w14:paraId="2DC487D9" w14:textId="2FE32D9E" w:rsidR="00D1463B" w:rsidRPr="000F7953" w:rsidRDefault="00D1463B" w:rsidP="00CD3F6B">
            <w:pPr>
              <w:jc w:val="right"/>
              <w:rPr>
                <w:rFonts w:asciiTheme="minorHAnsi" w:hAnsiTheme="minorHAnsi" w:cstheme="minorHAnsi"/>
                <w:i/>
                <w:iCs/>
                <w:sz w:val="20"/>
                <w:szCs w:val="20"/>
              </w:rPr>
            </w:pPr>
            <w:r w:rsidRPr="000F7953">
              <w:rPr>
                <w:rFonts w:asciiTheme="minorHAnsi" w:hAnsiTheme="minorHAnsi" w:cstheme="minorHAnsi"/>
                <w:i/>
                <w:iCs/>
                <w:color w:val="000000"/>
                <w:sz w:val="20"/>
                <w:szCs w:val="20"/>
              </w:rPr>
              <w:t>33</w:t>
            </w:r>
          </w:p>
        </w:tc>
        <w:tc>
          <w:tcPr>
            <w:tcW w:w="1482" w:type="dxa"/>
            <w:shd w:val="clear" w:color="auto" w:fill="auto"/>
            <w:noWrap/>
            <w:vAlign w:val="bottom"/>
          </w:tcPr>
          <w:p w14:paraId="679C4F38" w14:textId="3959E1F6" w:rsidR="00D1463B" w:rsidRPr="000F7953" w:rsidRDefault="00D1463B" w:rsidP="00CD3F6B">
            <w:pPr>
              <w:jc w:val="right"/>
              <w:rPr>
                <w:rFonts w:asciiTheme="minorHAnsi" w:hAnsiTheme="minorHAnsi" w:cstheme="minorHAnsi"/>
                <w:i/>
                <w:iCs/>
                <w:sz w:val="20"/>
                <w:szCs w:val="20"/>
              </w:rPr>
            </w:pPr>
            <w:r w:rsidRPr="000F7953">
              <w:rPr>
                <w:rFonts w:asciiTheme="minorHAnsi" w:hAnsiTheme="minorHAnsi" w:cstheme="minorHAnsi"/>
                <w:i/>
                <w:iCs/>
                <w:color w:val="000000"/>
                <w:sz w:val="20"/>
                <w:szCs w:val="20"/>
              </w:rPr>
              <w:t>72</w:t>
            </w:r>
          </w:p>
        </w:tc>
      </w:tr>
      <w:tr w:rsidR="004C1163" w:rsidRPr="000F7953" w14:paraId="683DCE39" w14:textId="77777777" w:rsidTr="00D9452F">
        <w:trPr>
          <w:trHeight w:val="280"/>
        </w:trPr>
        <w:tc>
          <w:tcPr>
            <w:tcW w:w="9072" w:type="dxa"/>
            <w:gridSpan w:val="5"/>
            <w:shd w:val="clear" w:color="auto" w:fill="auto"/>
            <w:noWrap/>
            <w:hideMark/>
          </w:tcPr>
          <w:p w14:paraId="31E92C0E" w14:textId="1BD2E385" w:rsidR="004C1163" w:rsidRPr="000F7953" w:rsidRDefault="004C1163" w:rsidP="004C1163">
            <w:pPr>
              <w:keepNext/>
              <w:spacing w:before="120" w:after="120"/>
              <w:rPr>
                <w:rFonts w:asciiTheme="minorHAnsi" w:hAnsiTheme="minorHAnsi" w:cstheme="minorHAnsi"/>
                <w:sz w:val="20"/>
                <w:szCs w:val="20"/>
              </w:rPr>
            </w:pPr>
            <w:r w:rsidRPr="000F7953">
              <w:rPr>
                <w:rFonts w:asciiTheme="minorHAnsi" w:hAnsiTheme="minorHAnsi" w:cstheme="minorHAnsi"/>
                <w:b/>
                <w:bCs/>
                <w:color w:val="000000"/>
                <w:sz w:val="20"/>
                <w:szCs w:val="20"/>
              </w:rPr>
              <w:lastRenderedPageBreak/>
              <w:t>Objetivo 4: Mejorar la aplicación</w:t>
            </w:r>
          </w:p>
        </w:tc>
      </w:tr>
      <w:tr w:rsidR="00D1463B" w:rsidRPr="000F7953" w14:paraId="7D846537" w14:textId="77777777" w:rsidTr="00D9452F">
        <w:trPr>
          <w:trHeight w:val="280"/>
        </w:trPr>
        <w:tc>
          <w:tcPr>
            <w:tcW w:w="3145" w:type="dxa"/>
            <w:shd w:val="clear" w:color="auto" w:fill="auto"/>
            <w:noWrap/>
            <w:vAlign w:val="bottom"/>
            <w:hideMark/>
          </w:tcPr>
          <w:p w14:paraId="5410A4F4" w14:textId="7E8A7717" w:rsidR="00D1463B" w:rsidRPr="000F7953" w:rsidRDefault="00D1463B" w:rsidP="00CD3F6B">
            <w:pPr>
              <w:rPr>
                <w:rFonts w:asciiTheme="minorHAnsi" w:hAnsiTheme="minorHAnsi" w:cstheme="minorHAnsi"/>
                <w:color w:val="000000"/>
                <w:sz w:val="20"/>
                <w:szCs w:val="20"/>
              </w:rPr>
            </w:pPr>
            <w:r w:rsidRPr="000F7953">
              <w:rPr>
                <w:rFonts w:asciiTheme="minorHAnsi" w:hAnsiTheme="minorHAnsi" w:cstheme="minorHAnsi"/>
                <w:color w:val="000000"/>
                <w:sz w:val="20"/>
                <w:szCs w:val="20"/>
              </w:rPr>
              <w:t xml:space="preserve">Meta 15: Iniciativas regionales </w:t>
            </w:r>
          </w:p>
        </w:tc>
        <w:tc>
          <w:tcPr>
            <w:tcW w:w="1481" w:type="dxa"/>
            <w:shd w:val="clear" w:color="auto" w:fill="auto"/>
            <w:noWrap/>
            <w:vAlign w:val="bottom"/>
            <w:hideMark/>
          </w:tcPr>
          <w:p w14:paraId="44A37867"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19</w:t>
            </w:r>
          </w:p>
        </w:tc>
        <w:tc>
          <w:tcPr>
            <w:tcW w:w="1482" w:type="dxa"/>
            <w:shd w:val="clear" w:color="auto" w:fill="auto"/>
            <w:noWrap/>
            <w:vAlign w:val="bottom"/>
            <w:hideMark/>
          </w:tcPr>
          <w:p w14:paraId="4E4EE381"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10</w:t>
            </w:r>
          </w:p>
        </w:tc>
        <w:tc>
          <w:tcPr>
            <w:tcW w:w="1482" w:type="dxa"/>
            <w:shd w:val="clear" w:color="auto" w:fill="auto"/>
            <w:noWrap/>
            <w:vAlign w:val="bottom"/>
            <w:hideMark/>
          </w:tcPr>
          <w:p w14:paraId="437AAEC5"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4</w:t>
            </w:r>
          </w:p>
        </w:tc>
        <w:tc>
          <w:tcPr>
            <w:tcW w:w="1482" w:type="dxa"/>
            <w:shd w:val="clear" w:color="auto" w:fill="auto"/>
            <w:noWrap/>
            <w:vAlign w:val="bottom"/>
            <w:hideMark/>
          </w:tcPr>
          <w:p w14:paraId="548F8C6A"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13</w:t>
            </w:r>
          </w:p>
        </w:tc>
      </w:tr>
      <w:tr w:rsidR="00D1463B" w:rsidRPr="000F7953" w14:paraId="1E1EBD93" w14:textId="77777777" w:rsidTr="00D9452F">
        <w:trPr>
          <w:trHeight w:val="280"/>
        </w:trPr>
        <w:tc>
          <w:tcPr>
            <w:tcW w:w="3145" w:type="dxa"/>
            <w:shd w:val="clear" w:color="auto" w:fill="auto"/>
            <w:noWrap/>
            <w:vAlign w:val="bottom"/>
            <w:hideMark/>
          </w:tcPr>
          <w:p w14:paraId="22A6CE4D" w14:textId="2107B4FB" w:rsidR="00D1463B" w:rsidRPr="000F7953" w:rsidRDefault="00D1463B" w:rsidP="00CD3F6B">
            <w:pPr>
              <w:rPr>
                <w:rFonts w:asciiTheme="minorHAnsi" w:hAnsiTheme="minorHAnsi" w:cstheme="minorHAnsi"/>
                <w:color w:val="000000"/>
                <w:sz w:val="20"/>
                <w:szCs w:val="20"/>
              </w:rPr>
            </w:pPr>
            <w:r w:rsidRPr="000F7953">
              <w:rPr>
                <w:rFonts w:asciiTheme="minorHAnsi" w:hAnsiTheme="minorHAnsi" w:cstheme="minorHAnsi"/>
                <w:color w:val="000000"/>
                <w:sz w:val="20"/>
                <w:szCs w:val="20"/>
              </w:rPr>
              <w:t xml:space="preserve">Meta 16: Conservación y uso racional de las Humedales </w:t>
            </w:r>
          </w:p>
        </w:tc>
        <w:tc>
          <w:tcPr>
            <w:tcW w:w="1481" w:type="dxa"/>
            <w:shd w:val="clear" w:color="auto" w:fill="auto"/>
            <w:noWrap/>
            <w:vAlign w:val="bottom"/>
            <w:hideMark/>
          </w:tcPr>
          <w:p w14:paraId="648B0CDD"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21</w:t>
            </w:r>
          </w:p>
        </w:tc>
        <w:tc>
          <w:tcPr>
            <w:tcW w:w="1482" w:type="dxa"/>
            <w:shd w:val="clear" w:color="auto" w:fill="auto"/>
            <w:noWrap/>
            <w:vAlign w:val="bottom"/>
            <w:hideMark/>
          </w:tcPr>
          <w:p w14:paraId="4579782A"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12</w:t>
            </w:r>
          </w:p>
        </w:tc>
        <w:tc>
          <w:tcPr>
            <w:tcW w:w="1482" w:type="dxa"/>
            <w:shd w:val="clear" w:color="auto" w:fill="auto"/>
            <w:noWrap/>
            <w:vAlign w:val="bottom"/>
            <w:hideMark/>
          </w:tcPr>
          <w:p w14:paraId="6003C317"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5</w:t>
            </w:r>
          </w:p>
        </w:tc>
        <w:tc>
          <w:tcPr>
            <w:tcW w:w="1482" w:type="dxa"/>
            <w:shd w:val="clear" w:color="auto" w:fill="auto"/>
            <w:noWrap/>
            <w:vAlign w:val="bottom"/>
            <w:hideMark/>
          </w:tcPr>
          <w:p w14:paraId="0B602F69"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14</w:t>
            </w:r>
          </w:p>
        </w:tc>
      </w:tr>
      <w:tr w:rsidR="00D1463B" w:rsidRPr="000F7953" w14:paraId="641C4956" w14:textId="77777777" w:rsidTr="00D9452F">
        <w:trPr>
          <w:trHeight w:val="280"/>
        </w:trPr>
        <w:tc>
          <w:tcPr>
            <w:tcW w:w="3145" w:type="dxa"/>
            <w:shd w:val="clear" w:color="auto" w:fill="auto"/>
            <w:noWrap/>
            <w:vAlign w:val="bottom"/>
            <w:hideMark/>
          </w:tcPr>
          <w:p w14:paraId="1E5A0CA1" w14:textId="3FB6C2BF" w:rsidR="00D1463B" w:rsidRPr="000F7953" w:rsidRDefault="00D1463B" w:rsidP="00CD3F6B">
            <w:pPr>
              <w:rPr>
                <w:rFonts w:asciiTheme="minorHAnsi" w:hAnsiTheme="minorHAnsi" w:cstheme="minorHAnsi"/>
                <w:color w:val="000000"/>
                <w:sz w:val="20"/>
                <w:szCs w:val="20"/>
              </w:rPr>
            </w:pPr>
            <w:r w:rsidRPr="000F7953">
              <w:rPr>
                <w:rFonts w:asciiTheme="minorHAnsi" w:hAnsiTheme="minorHAnsi" w:cstheme="minorHAnsi"/>
                <w:color w:val="000000"/>
                <w:sz w:val="20"/>
                <w:szCs w:val="20"/>
              </w:rPr>
              <w:t xml:space="preserve">Meta 17: Recursos financieros y de otro tipo  </w:t>
            </w:r>
          </w:p>
        </w:tc>
        <w:tc>
          <w:tcPr>
            <w:tcW w:w="1481" w:type="dxa"/>
            <w:shd w:val="clear" w:color="auto" w:fill="auto"/>
            <w:noWrap/>
            <w:vAlign w:val="bottom"/>
            <w:hideMark/>
          </w:tcPr>
          <w:p w14:paraId="63FF7161"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19</w:t>
            </w:r>
          </w:p>
        </w:tc>
        <w:tc>
          <w:tcPr>
            <w:tcW w:w="1482" w:type="dxa"/>
            <w:shd w:val="clear" w:color="auto" w:fill="auto"/>
            <w:noWrap/>
            <w:vAlign w:val="bottom"/>
            <w:hideMark/>
          </w:tcPr>
          <w:p w14:paraId="59AD78D8"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10</w:t>
            </w:r>
          </w:p>
        </w:tc>
        <w:tc>
          <w:tcPr>
            <w:tcW w:w="1482" w:type="dxa"/>
            <w:shd w:val="clear" w:color="auto" w:fill="auto"/>
            <w:noWrap/>
            <w:vAlign w:val="bottom"/>
            <w:hideMark/>
          </w:tcPr>
          <w:p w14:paraId="6F01D1CE"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2</w:t>
            </w:r>
          </w:p>
        </w:tc>
        <w:tc>
          <w:tcPr>
            <w:tcW w:w="1482" w:type="dxa"/>
            <w:shd w:val="clear" w:color="auto" w:fill="auto"/>
            <w:noWrap/>
            <w:vAlign w:val="bottom"/>
            <w:hideMark/>
          </w:tcPr>
          <w:p w14:paraId="33DAB5C9"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12</w:t>
            </w:r>
          </w:p>
        </w:tc>
      </w:tr>
      <w:tr w:rsidR="00D1463B" w:rsidRPr="000F7953" w14:paraId="3304DFEA" w14:textId="77777777" w:rsidTr="00D9452F">
        <w:trPr>
          <w:trHeight w:val="280"/>
        </w:trPr>
        <w:tc>
          <w:tcPr>
            <w:tcW w:w="3145" w:type="dxa"/>
            <w:shd w:val="clear" w:color="auto" w:fill="auto"/>
            <w:noWrap/>
            <w:vAlign w:val="bottom"/>
            <w:hideMark/>
          </w:tcPr>
          <w:p w14:paraId="198FFB94" w14:textId="6159F0C0" w:rsidR="00D1463B" w:rsidRPr="000F7953" w:rsidRDefault="00D1463B" w:rsidP="00CD3F6B">
            <w:pPr>
              <w:rPr>
                <w:rFonts w:asciiTheme="minorHAnsi" w:hAnsiTheme="minorHAnsi" w:cstheme="minorHAnsi"/>
                <w:color w:val="000000"/>
                <w:sz w:val="20"/>
                <w:szCs w:val="20"/>
              </w:rPr>
            </w:pPr>
            <w:r w:rsidRPr="000F7953">
              <w:rPr>
                <w:rFonts w:asciiTheme="minorHAnsi" w:hAnsiTheme="minorHAnsi" w:cstheme="minorHAnsi"/>
                <w:color w:val="000000"/>
                <w:sz w:val="20"/>
                <w:szCs w:val="20"/>
              </w:rPr>
              <w:t xml:space="preserve">Meta 18: Cooperación internacional </w:t>
            </w:r>
          </w:p>
        </w:tc>
        <w:tc>
          <w:tcPr>
            <w:tcW w:w="1481" w:type="dxa"/>
            <w:shd w:val="clear" w:color="auto" w:fill="auto"/>
            <w:noWrap/>
            <w:vAlign w:val="bottom"/>
            <w:hideMark/>
          </w:tcPr>
          <w:p w14:paraId="3018275A"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18</w:t>
            </w:r>
          </w:p>
        </w:tc>
        <w:tc>
          <w:tcPr>
            <w:tcW w:w="1482" w:type="dxa"/>
            <w:shd w:val="clear" w:color="auto" w:fill="auto"/>
            <w:noWrap/>
            <w:vAlign w:val="bottom"/>
            <w:hideMark/>
          </w:tcPr>
          <w:p w14:paraId="29AA6211"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12</w:t>
            </w:r>
          </w:p>
        </w:tc>
        <w:tc>
          <w:tcPr>
            <w:tcW w:w="1482" w:type="dxa"/>
            <w:shd w:val="clear" w:color="auto" w:fill="auto"/>
            <w:noWrap/>
            <w:vAlign w:val="bottom"/>
            <w:hideMark/>
          </w:tcPr>
          <w:p w14:paraId="0880ECC3"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7</w:t>
            </w:r>
          </w:p>
        </w:tc>
        <w:tc>
          <w:tcPr>
            <w:tcW w:w="1482" w:type="dxa"/>
            <w:shd w:val="clear" w:color="auto" w:fill="auto"/>
            <w:noWrap/>
            <w:vAlign w:val="bottom"/>
            <w:hideMark/>
          </w:tcPr>
          <w:p w14:paraId="5507AC5C"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9</w:t>
            </w:r>
          </w:p>
        </w:tc>
      </w:tr>
      <w:tr w:rsidR="00D1463B" w:rsidRPr="000F7953" w14:paraId="4C3E988F" w14:textId="77777777" w:rsidTr="00D9452F">
        <w:trPr>
          <w:trHeight w:val="280"/>
        </w:trPr>
        <w:tc>
          <w:tcPr>
            <w:tcW w:w="3145" w:type="dxa"/>
            <w:shd w:val="clear" w:color="auto" w:fill="auto"/>
            <w:noWrap/>
            <w:vAlign w:val="bottom"/>
            <w:hideMark/>
          </w:tcPr>
          <w:p w14:paraId="33AEB822" w14:textId="5275EE02" w:rsidR="00D1463B" w:rsidRPr="000F7953" w:rsidRDefault="00D1463B" w:rsidP="00CD3F6B">
            <w:pPr>
              <w:rPr>
                <w:rFonts w:asciiTheme="minorHAnsi" w:hAnsiTheme="minorHAnsi" w:cstheme="minorHAnsi"/>
                <w:color w:val="000000"/>
                <w:sz w:val="20"/>
                <w:szCs w:val="20"/>
              </w:rPr>
            </w:pPr>
            <w:r w:rsidRPr="000F7953">
              <w:rPr>
                <w:rFonts w:asciiTheme="minorHAnsi" w:hAnsiTheme="minorHAnsi" w:cstheme="minorHAnsi"/>
                <w:color w:val="000000"/>
                <w:sz w:val="20"/>
                <w:szCs w:val="20"/>
              </w:rPr>
              <w:t xml:space="preserve">Meta 19: Fomento de capacidad </w:t>
            </w:r>
          </w:p>
        </w:tc>
        <w:tc>
          <w:tcPr>
            <w:tcW w:w="1481" w:type="dxa"/>
            <w:shd w:val="clear" w:color="auto" w:fill="auto"/>
            <w:noWrap/>
            <w:vAlign w:val="bottom"/>
            <w:hideMark/>
          </w:tcPr>
          <w:p w14:paraId="26C9D080"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20</w:t>
            </w:r>
          </w:p>
        </w:tc>
        <w:tc>
          <w:tcPr>
            <w:tcW w:w="1482" w:type="dxa"/>
            <w:shd w:val="clear" w:color="auto" w:fill="auto"/>
            <w:noWrap/>
            <w:vAlign w:val="bottom"/>
            <w:hideMark/>
          </w:tcPr>
          <w:p w14:paraId="275074FA"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12</w:t>
            </w:r>
          </w:p>
        </w:tc>
        <w:tc>
          <w:tcPr>
            <w:tcW w:w="1482" w:type="dxa"/>
            <w:shd w:val="clear" w:color="auto" w:fill="auto"/>
            <w:noWrap/>
            <w:vAlign w:val="bottom"/>
            <w:hideMark/>
          </w:tcPr>
          <w:p w14:paraId="54A45051"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3</w:t>
            </w:r>
          </w:p>
        </w:tc>
        <w:tc>
          <w:tcPr>
            <w:tcW w:w="1482" w:type="dxa"/>
            <w:shd w:val="clear" w:color="auto" w:fill="auto"/>
            <w:noWrap/>
            <w:vAlign w:val="bottom"/>
            <w:hideMark/>
          </w:tcPr>
          <w:p w14:paraId="3EAA27CA" w14:textId="77777777" w:rsidR="00D1463B" w:rsidRPr="000F7953" w:rsidRDefault="00D1463B" w:rsidP="00CD3F6B">
            <w:pPr>
              <w:jc w:val="right"/>
              <w:rPr>
                <w:rFonts w:asciiTheme="minorHAnsi" w:hAnsiTheme="minorHAnsi" w:cstheme="minorHAnsi"/>
                <w:color w:val="000000"/>
                <w:sz w:val="20"/>
                <w:szCs w:val="20"/>
              </w:rPr>
            </w:pPr>
            <w:r w:rsidRPr="000F7953">
              <w:rPr>
                <w:rFonts w:asciiTheme="minorHAnsi" w:hAnsiTheme="minorHAnsi" w:cstheme="minorHAnsi"/>
                <w:color w:val="000000"/>
                <w:sz w:val="20"/>
                <w:szCs w:val="20"/>
              </w:rPr>
              <w:t>15</w:t>
            </w:r>
          </w:p>
        </w:tc>
      </w:tr>
      <w:tr w:rsidR="00D1463B" w:rsidRPr="000F7953" w14:paraId="339F2999" w14:textId="77777777" w:rsidTr="00D9452F">
        <w:trPr>
          <w:trHeight w:val="280"/>
        </w:trPr>
        <w:tc>
          <w:tcPr>
            <w:tcW w:w="3145" w:type="dxa"/>
            <w:shd w:val="clear" w:color="auto" w:fill="auto"/>
            <w:noWrap/>
            <w:vAlign w:val="bottom"/>
          </w:tcPr>
          <w:p w14:paraId="17A62A33" w14:textId="141317AE" w:rsidR="00D1463B" w:rsidRPr="000F7953" w:rsidRDefault="00D1463B" w:rsidP="00CD3F6B">
            <w:pPr>
              <w:rPr>
                <w:rFonts w:asciiTheme="minorHAnsi" w:hAnsiTheme="minorHAnsi" w:cstheme="minorHAnsi"/>
                <w:i/>
                <w:iCs/>
                <w:color w:val="000000"/>
                <w:sz w:val="20"/>
                <w:szCs w:val="20"/>
              </w:rPr>
            </w:pPr>
            <w:r w:rsidRPr="000F7953">
              <w:rPr>
                <w:rFonts w:asciiTheme="minorHAnsi" w:hAnsiTheme="minorHAnsi" w:cstheme="minorHAnsi"/>
                <w:i/>
                <w:iCs/>
                <w:color w:val="000000"/>
                <w:sz w:val="20"/>
                <w:szCs w:val="20"/>
              </w:rPr>
              <w:t>Subtotal, objetivo 4</w:t>
            </w:r>
          </w:p>
        </w:tc>
        <w:tc>
          <w:tcPr>
            <w:tcW w:w="1481" w:type="dxa"/>
            <w:shd w:val="clear" w:color="auto" w:fill="auto"/>
            <w:noWrap/>
            <w:vAlign w:val="bottom"/>
          </w:tcPr>
          <w:p w14:paraId="5CAD9E46" w14:textId="34ADEA6A" w:rsidR="00D1463B" w:rsidRPr="000F7953" w:rsidRDefault="00D1463B" w:rsidP="00CD3F6B">
            <w:pPr>
              <w:jc w:val="right"/>
              <w:rPr>
                <w:rFonts w:asciiTheme="minorHAnsi" w:hAnsiTheme="minorHAnsi" w:cstheme="minorHAnsi"/>
                <w:i/>
                <w:iCs/>
                <w:color w:val="000000"/>
                <w:sz w:val="20"/>
                <w:szCs w:val="20"/>
              </w:rPr>
            </w:pPr>
            <w:r w:rsidRPr="000F7953">
              <w:rPr>
                <w:rFonts w:asciiTheme="minorHAnsi" w:hAnsiTheme="minorHAnsi" w:cstheme="minorHAnsi"/>
                <w:i/>
                <w:iCs/>
                <w:color w:val="000000"/>
                <w:sz w:val="20"/>
                <w:szCs w:val="20"/>
              </w:rPr>
              <w:t>97</w:t>
            </w:r>
          </w:p>
        </w:tc>
        <w:tc>
          <w:tcPr>
            <w:tcW w:w="1482" w:type="dxa"/>
            <w:shd w:val="clear" w:color="auto" w:fill="auto"/>
            <w:noWrap/>
            <w:vAlign w:val="bottom"/>
          </w:tcPr>
          <w:p w14:paraId="0B9DC2AB" w14:textId="0F06C4F2" w:rsidR="00D1463B" w:rsidRPr="000F7953" w:rsidRDefault="00D1463B" w:rsidP="00CD3F6B">
            <w:pPr>
              <w:jc w:val="right"/>
              <w:rPr>
                <w:rFonts w:asciiTheme="minorHAnsi" w:hAnsiTheme="minorHAnsi" w:cstheme="minorHAnsi"/>
                <w:i/>
                <w:iCs/>
                <w:color w:val="000000"/>
                <w:sz w:val="20"/>
                <w:szCs w:val="20"/>
              </w:rPr>
            </w:pPr>
            <w:r w:rsidRPr="000F7953">
              <w:rPr>
                <w:rFonts w:asciiTheme="minorHAnsi" w:hAnsiTheme="minorHAnsi" w:cstheme="minorHAnsi"/>
                <w:i/>
                <w:iCs/>
                <w:color w:val="000000"/>
                <w:sz w:val="20"/>
                <w:szCs w:val="20"/>
              </w:rPr>
              <w:t>56</w:t>
            </w:r>
          </w:p>
        </w:tc>
        <w:tc>
          <w:tcPr>
            <w:tcW w:w="1482" w:type="dxa"/>
            <w:shd w:val="clear" w:color="auto" w:fill="auto"/>
            <w:noWrap/>
            <w:vAlign w:val="bottom"/>
          </w:tcPr>
          <w:p w14:paraId="3E41C86D" w14:textId="11BE22A0" w:rsidR="00D1463B" w:rsidRPr="000F7953" w:rsidRDefault="00D1463B" w:rsidP="00CD3F6B">
            <w:pPr>
              <w:jc w:val="right"/>
              <w:rPr>
                <w:rFonts w:asciiTheme="minorHAnsi" w:hAnsiTheme="minorHAnsi" w:cstheme="minorHAnsi"/>
                <w:i/>
                <w:iCs/>
                <w:color w:val="000000"/>
                <w:sz w:val="20"/>
                <w:szCs w:val="20"/>
              </w:rPr>
            </w:pPr>
            <w:r w:rsidRPr="000F7953">
              <w:rPr>
                <w:rFonts w:asciiTheme="minorHAnsi" w:hAnsiTheme="minorHAnsi" w:cstheme="minorHAnsi"/>
                <w:i/>
                <w:iCs/>
                <w:color w:val="000000"/>
                <w:sz w:val="20"/>
                <w:szCs w:val="20"/>
              </w:rPr>
              <w:t>21</w:t>
            </w:r>
          </w:p>
        </w:tc>
        <w:tc>
          <w:tcPr>
            <w:tcW w:w="1482" w:type="dxa"/>
            <w:shd w:val="clear" w:color="auto" w:fill="auto"/>
            <w:noWrap/>
            <w:vAlign w:val="bottom"/>
          </w:tcPr>
          <w:p w14:paraId="7CB2E12D" w14:textId="46431C22" w:rsidR="00D1463B" w:rsidRPr="000F7953" w:rsidRDefault="00D1463B" w:rsidP="00CD3F6B">
            <w:pPr>
              <w:jc w:val="right"/>
              <w:rPr>
                <w:rFonts w:asciiTheme="minorHAnsi" w:hAnsiTheme="minorHAnsi" w:cstheme="minorHAnsi"/>
                <w:i/>
                <w:iCs/>
                <w:color w:val="000000"/>
                <w:sz w:val="20"/>
                <w:szCs w:val="20"/>
              </w:rPr>
            </w:pPr>
            <w:r w:rsidRPr="000F7953">
              <w:rPr>
                <w:rFonts w:asciiTheme="minorHAnsi" w:hAnsiTheme="minorHAnsi" w:cstheme="minorHAnsi"/>
                <w:i/>
                <w:iCs/>
                <w:color w:val="000000"/>
                <w:sz w:val="20"/>
                <w:szCs w:val="20"/>
              </w:rPr>
              <w:t>63</w:t>
            </w:r>
          </w:p>
        </w:tc>
      </w:tr>
      <w:tr w:rsidR="00D1463B" w:rsidRPr="000F7953" w14:paraId="5BDF638E" w14:textId="77777777" w:rsidTr="00D9452F">
        <w:trPr>
          <w:trHeight w:val="280"/>
        </w:trPr>
        <w:tc>
          <w:tcPr>
            <w:tcW w:w="3145" w:type="dxa"/>
            <w:shd w:val="clear" w:color="auto" w:fill="auto"/>
            <w:noWrap/>
            <w:vAlign w:val="bottom"/>
          </w:tcPr>
          <w:p w14:paraId="4BE6C415" w14:textId="43F140BC" w:rsidR="00D1463B" w:rsidRPr="000F7953" w:rsidRDefault="00D1463B" w:rsidP="004C1163">
            <w:pPr>
              <w:keepNext/>
              <w:spacing w:before="120" w:after="120"/>
              <w:rPr>
                <w:rFonts w:asciiTheme="minorHAnsi" w:hAnsiTheme="minorHAnsi" w:cstheme="minorHAnsi"/>
                <w:b/>
                <w:bCs/>
                <w:color w:val="000000"/>
                <w:sz w:val="20"/>
                <w:szCs w:val="20"/>
              </w:rPr>
            </w:pPr>
            <w:r w:rsidRPr="000F7953">
              <w:rPr>
                <w:rFonts w:asciiTheme="minorHAnsi" w:hAnsiTheme="minorHAnsi" w:cstheme="minorHAnsi"/>
                <w:b/>
                <w:bCs/>
                <w:color w:val="000000"/>
                <w:sz w:val="20"/>
                <w:szCs w:val="20"/>
              </w:rPr>
              <w:t xml:space="preserve">TOTAL </w:t>
            </w:r>
          </w:p>
        </w:tc>
        <w:tc>
          <w:tcPr>
            <w:tcW w:w="1481" w:type="dxa"/>
            <w:shd w:val="clear" w:color="auto" w:fill="auto"/>
            <w:noWrap/>
            <w:vAlign w:val="bottom"/>
          </w:tcPr>
          <w:p w14:paraId="6EFD3B1C" w14:textId="33414165" w:rsidR="00D1463B" w:rsidRPr="000F7953" w:rsidRDefault="00D1463B" w:rsidP="004C1163">
            <w:pPr>
              <w:keepNext/>
              <w:spacing w:before="120" w:after="120"/>
              <w:jc w:val="right"/>
              <w:rPr>
                <w:rFonts w:asciiTheme="minorHAnsi" w:hAnsiTheme="minorHAnsi" w:cstheme="minorHAnsi"/>
                <w:b/>
                <w:bCs/>
                <w:color w:val="000000"/>
                <w:sz w:val="20"/>
                <w:szCs w:val="20"/>
              </w:rPr>
            </w:pPr>
            <w:r w:rsidRPr="000F7953">
              <w:rPr>
                <w:rFonts w:asciiTheme="minorHAnsi" w:hAnsiTheme="minorHAnsi" w:cstheme="minorHAnsi"/>
                <w:b/>
                <w:bCs/>
                <w:color w:val="000000"/>
                <w:sz w:val="20"/>
                <w:szCs w:val="20"/>
              </w:rPr>
              <w:t>367</w:t>
            </w:r>
          </w:p>
        </w:tc>
        <w:tc>
          <w:tcPr>
            <w:tcW w:w="1482" w:type="dxa"/>
            <w:shd w:val="clear" w:color="auto" w:fill="auto"/>
            <w:noWrap/>
            <w:vAlign w:val="bottom"/>
          </w:tcPr>
          <w:p w14:paraId="03D18714" w14:textId="697687D8" w:rsidR="00D1463B" w:rsidRPr="000F7953" w:rsidRDefault="00D1463B" w:rsidP="004C1163">
            <w:pPr>
              <w:keepNext/>
              <w:spacing w:before="120" w:after="120"/>
              <w:jc w:val="right"/>
              <w:rPr>
                <w:rFonts w:asciiTheme="minorHAnsi" w:hAnsiTheme="minorHAnsi" w:cstheme="minorHAnsi"/>
                <w:b/>
                <w:bCs/>
                <w:color w:val="000000"/>
                <w:sz w:val="20"/>
                <w:szCs w:val="20"/>
              </w:rPr>
            </w:pPr>
            <w:r w:rsidRPr="000F7953">
              <w:rPr>
                <w:rFonts w:asciiTheme="minorHAnsi" w:hAnsiTheme="minorHAnsi" w:cstheme="minorHAnsi"/>
                <w:b/>
                <w:bCs/>
                <w:color w:val="000000"/>
                <w:sz w:val="20"/>
                <w:szCs w:val="20"/>
              </w:rPr>
              <w:t>219</w:t>
            </w:r>
          </w:p>
        </w:tc>
        <w:tc>
          <w:tcPr>
            <w:tcW w:w="1482" w:type="dxa"/>
            <w:shd w:val="clear" w:color="auto" w:fill="auto"/>
            <w:noWrap/>
            <w:vAlign w:val="bottom"/>
          </w:tcPr>
          <w:p w14:paraId="1837BEF1" w14:textId="0346669A" w:rsidR="00D1463B" w:rsidRPr="000F7953" w:rsidRDefault="00D1463B" w:rsidP="004C1163">
            <w:pPr>
              <w:keepNext/>
              <w:spacing w:before="120" w:after="120"/>
              <w:jc w:val="right"/>
              <w:rPr>
                <w:rFonts w:asciiTheme="minorHAnsi" w:hAnsiTheme="minorHAnsi" w:cstheme="minorHAnsi"/>
                <w:b/>
                <w:bCs/>
                <w:color w:val="000000"/>
                <w:sz w:val="20"/>
                <w:szCs w:val="20"/>
              </w:rPr>
            </w:pPr>
            <w:r w:rsidRPr="000F7953">
              <w:rPr>
                <w:rFonts w:asciiTheme="minorHAnsi" w:hAnsiTheme="minorHAnsi" w:cstheme="minorHAnsi"/>
                <w:b/>
                <w:bCs/>
                <w:color w:val="000000"/>
                <w:sz w:val="20"/>
                <w:szCs w:val="20"/>
              </w:rPr>
              <w:t>115</w:t>
            </w:r>
          </w:p>
        </w:tc>
        <w:tc>
          <w:tcPr>
            <w:tcW w:w="1482" w:type="dxa"/>
            <w:shd w:val="clear" w:color="auto" w:fill="auto"/>
            <w:noWrap/>
            <w:vAlign w:val="bottom"/>
          </w:tcPr>
          <w:p w14:paraId="2DA4F1A1" w14:textId="3EDAE275" w:rsidR="00D1463B" w:rsidRPr="000F7953" w:rsidRDefault="00D1463B" w:rsidP="004C1163">
            <w:pPr>
              <w:keepNext/>
              <w:spacing w:before="120" w:after="120"/>
              <w:jc w:val="right"/>
              <w:rPr>
                <w:rFonts w:asciiTheme="minorHAnsi" w:hAnsiTheme="minorHAnsi" w:cstheme="minorHAnsi"/>
                <w:b/>
                <w:bCs/>
                <w:color w:val="000000"/>
                <w:sz w:val="20"/>
                <w:szCs w:val="20"/>
              </w:rPr>
            </w:pPr>
            <w:r w:rsidRPr="000F7953">
              <w:rPr>
                <w:rFonts w:asciiTheme="minorHAnsi" w:hAnsiTheme="minorHAnsi" w:cstheme="minorHAnsi"/>
                <w:b/>
                <w:bCs/>
                <w:color w:val="000000"/>
                <w:sz w:val="20"/>
                <w:szCs w:val="20"/>
              </w:rPr>
              <w:t>210</w:t>
            </w:r>
          </w:p>
        </w:tc>
      </w:tr>
    </w:tbl>
    <w:p w14:paraId="718C9E27" w14:textId="77777777" w:rsidR="008F5054" w:rsidRPr="000F7953" w:rsidRDefault="008F5054" w:rsidP="00CD3F6B">
      <w:pPr>
        <w:rPr>
          <w:rFonts w:asciiTheme="minorHAnsi" w:eastAsia="Calibri" w:hAnsiTheme="minorHAnsi" w:cstheme="minorHAnsi"/>
          <w:sz w:val="22"/>
          <w:szCs w:val="22"/>
        </w:rPr>
      </w:pPr>
    </w:p>
    <w:sectPr w:rsidR="008F5054" w:rsidRPr="000F7953" w:rsidSect="005F4A4C">
      <w:footerReference w:type="default" r:id="rId70"/>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F8B8A" w14:textId="77777777" w:rsidR="00B441D7" w:rsidRDefault="00B441D7" w:rsidP="00C15C1D">
      <w:r>
        <w:separator/>
      </w:r>
    </w:p>
  </w:endnote>
  <w:endnote w:type="continuationSeparator" w:id="0">
    <w:p w14:paraId="2D9AD602" w14:textId="77777777" w:rsidR="00B441D7" w:rsidRDefault="00B441D7" w:rsidP="00C15C1D">
      <w:r>
        <w:continuationSeparator/>
      </w:r>
    </w:p>
  </w:endnote>
  <w:endnote w:type="continuationNotice" w:id="1">
    <w:p w14:paraId="2A262B79" w14:textId="77777777" w:rsidR="00B441D7" w:rsidRDefault="00B441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3F041" w14:textId="73F0F15F" w:rsidR="009A3F54" w:rsidRPr="005F4A4C" w:rsidRDefault="009A3F54">
    <w:pPr>
      <w:pStyle w:val="Footer"/>
      <w:rPr>
        <w:sz w:val="20"/>
        <w:szCs w:val="20"/>
      </w:rPr>
    </w:pPr>
    <w:r>
      <w:rPr>
        <w:sz w:val="20"/>
        <w:szCs w:val="20"/>
      </w:rPr>
      <w:t>COP15 Doc.8.1</w:t>
    </w:r>
    <w:r>
      <w:rPr>
        <w:sz w:val="20"/>
        <w:szCs w:val="20"/>
      </w:rPr>
      <w:tab/>
    </w:r>
    <w:r>
      <w:rPr>
        <w:sz w:val="20"/>
        <w:szCs w:val="20"/>
      </w:rPr>
      <w:tab/>
    </w:r>
    <w:r w:rsidRPr="00F30A19">
      <w:rPr>
        <w:sz w:val="20"/>
        <w:szCs w:val="20"/>
      </w:rPr>
      <w:fldChar w:fldCharType="begin"/>
    </w:r>
    <w:r w:rsidRPr="00F30A19">
      <w:rPr>
        <w:sz w:val="20"/>
        <w:szCs w:val="20"/>
      </w:rPr>
      <w:instrText xml:space="preserve"> PAGE   \* MERGEFORMAT </w:instrText>
    </w:r>
    <w:r w:rsidRPr="00F30A19">
      <w:rPr>
        <w:sz w:val="20"/>
        <w:szCs w:val="20"/>
      </w:rPr>
      <w:fldChar w:fldCharType="separate"/>
    </w:r>
    <w:r>
      <w:rPr>
        <w:sz w:val="20"/>
        <w:szCs w:val="20"/>
      </w:rPr>
      <w:t>2</w:t>
    </w:r>
    <w:r w:rsidRPr="00F30A19">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BDBA3" w14:textId="77777777" w:rsidR="00B441D7" w:rsidRDefault="00B441D7" w:rsidP="00C15C1D">
      <w:r>
        <w:separator/>
      </w:r>
    </w:p>
  </w:footnote>
  <w:footnote w:type="continuationSeparator" w:id="0">
    <w:p w14:paraId="132D495A" w14:textId="77777777" w:rsidR="00B441D7" w:rsidRDefault="00B441D7" w:rsidP="00C15C1D">
      <w:r>
        <w:continuationSeparator/>
      </w:r>
    </w:p>
  </w:footnote>
  <w:footnote w:type="continuationNotice" w:id="1">
    <w:p w14:paraId="4B8066C7" w14:textId="77777777" w:rsidR="00B441D7" w:rsidRDefault="00B441D7"/>
  </w:footnote>
  <w:footnote w:id="2">
    <w:p w14:paraId="25ACC374" w14:textId="43F720C9" w:rsidR="009A3F54" w:rsidRPr="00CD234F" w:rsidRDefault="009A3F54">
      <w:pPr>
        <w:pStyle w:val="FootnoteText"/>
        <w:rPr>
          <w:lang w:val="fr-FR"/>
        </w:rPr>
      </w:pPr>
      <w:r>
        <w:rPr>
          <w:rStyle w:val="FootnoteReference"/>
        </w:rPr>
        <w:footnoteRef/>
      </w:r>
      <w:r w:rsidRPr="00CD234F">
        <w:rPr>
          <w:lang w:val="fr-FR"/>
        </w:rPr>
        <w:t xml:space="preserve"> Véase </w:t>
      </w:r>
      <w:hyperlink r:id="rId1" w:history="1">
        <w:r w:rsidR="00CD234F">
          <w:rPr>
            <w:rStyle w:val="Hyperlink"/>
            <w:lang w:val="fr-FR"/>
          </w:rPr>
          <w:t>https://www.ramsar.org/es/document/el-cuarto-plan-estrategico-para-2016-2024-version-actualizada-para-2022</w:t>
        </w:r>
      </w:hyperlink>
      <w:r w:rsidRPr="00CD234F">
        <w:rPr>
          <w:lang w:val="fr-FR"/>
        </w:rPr>
        <w:t xml:space="preserve">. </w:t>
      </w:r>
    </w:p>
  </w:footnote>
  <w:footnote w:id="3">
    <w:p w14:paraId="6BE3146B" w14:textId="4CBFD9F5" w:rsidR="009A3F54" w:rsidRPr="00140707" w:rsidRDefault="009A3F54">
      <w:pPr>
        <w:pStyle w:val="FootnoteText"/>
      </w:pPr>
      <w:r>
        <w:rPr>
          <w:rStyle w:val="FootnoteReference"/>
        </w:rPr>
        <w:footnoteRef/>
      </w:r>
      <w:r>
        <w:t xml:space="preserve"> Con base en los anexos 2 y 3 del PE4; véase también el documento COP15 Doc.15 </w:t>
      </w:r>
      <w:r>
        <w:rPr>
          <w:i/>
          <w:iCs/>
        </w:rPr>
        <w:t>Informe de la Secretaría sobre las oportunidades para seguir reforzando la contribución de la Convención a la Agenda 2030 para el Desarrollo Sostenible y los Objetivos de Desarrollo Sostenible</w:t>
      </w:r>
      <w:r>
        <w:t>.</w:t>
      </w:r>
    </w:p>
  </w:footnote>
  <w:footnote w:id="4">
    <w:p w14:paraId="524FBCCD" w14:textId="77777777" w:rsidR="009A3F54" w:rsidRDefault="009A3F54" w:rsidP="00367834">
      <w:pPr>
        <w:pStyle w:val="FootnoteText"/>
      </w:pPr>
      <w:r>
        <w:rPr>
          <w:rStyle w:val="FootnoteReference"/>
        </w:rPr>
        <w:footnoteRef/>
      </w:r>
      <w:r>
        <w:t xml:space="preserve"> Medidas para un manejo adecuado de los humedales que no se enmarcan necesariamente en un plan de manejo formal – Resolución VIII.14</w:t>
      </w:r>
    </w:p>
  </w:footnote>
  <w:footnote w:id="5">
    <w:p w14:paraId="06F70A67" w14:textId="597CF9FA" w:rsidR="009A3F54" w:rsidRDefault="009A3F54">
      <w:pPr>
        <w:pStyle w:val="FootnoteText"/>
      </w:pPr>
      <w:r>
        <w:rPr>
          <w:rStyle w:val="FootnoteReference"/>
        </w:rPr>
        <w:footnoteRef/>
      </w:r>
      <w:r>
        <w:t xml:space="preserve"> La línea de base se establece a partir de las respuestas a la pregunta del informe nacional para la COP12 "¿Se ha realizado alguna evaluación de la eficacia del manejo del Sitio Ramsar?". A partir de la COP13, se modificó ligeramente la pregunta como sigue: "¿Se han evaluado todos los sitios Ramsar en lo relativo a la eficacia de su manejo (mediante planes de manejo oficiales, cuando existan, o mediante actividades en curso para el manejo apropiado de los humedales, en caso contrario)?".</w:t>
      </w:r>
    </w:p>
  </w:footnote>
  <w:footnote w:id="6">
    <w:p w14:paraId="57948647" w14:textId="738A15B6" w:rsidR="009A3F54" w:rsidRPr="0020494D" w:rsidRDefault="009A3F54">
      <w:pPr>
        <w:pStyle w:val="FootnoteText"/>
      </w:pPr>
      <w:r>
        <w:rPr>
          <w:rStyle w:val="FootnoteReference"/>
        </w:rPr>
        <w:footnoteRef/>
      </w:r>
      <w:r>
        <w:t xml:space="preserve"> Para más detalles, véase el documento COP15 Doc.9, </w:t>
      </w:r>
      <w:r>
        <w:rPr>
          <w:i/>
          <w:iCs/>
        </w:rPr>
        <w:t>Informe de la Secretaría de conformidad con el artículo 8.2 sobre la Lista de Humedales de Importancia Internacional</w:t>
      </w:r>
      <w:r>
        <w:t>, en</w:t>
      </w:r>
      <w:r w:rsidR="00CD234F">
        <w:t xml:space="preserve"> </w:t>
      </w:r>
      <w:hyperlink r:id="rId2" w:history="1">
        <w:r w:rsidR="00CD234F" w:rsidRPr="00B65EC2">
          <w:rPr>
            <w:rStyle w:val="Hyperlink"/>
          </w:rPr>
          <w:t>https://www.ramsar.org/es/document/cop15-doc9-informe-de-la-secretaria-de-conformidad-con-el-articulo-82-sobre-la-lista-de</w:t>
        </w:r>
      </w:hyperlink>
      <w:r>
        <w:t>.</w:t>
      </w:r>
    </w:p>
  </w:footnote>
  <w:footnote w:id="7">
    <w:p w14:paraId="5D4F9D4D" w14:textId="52A10740" w:rsidR="009A3F54" w:rsidRDefault="009A3F54">
      <w:pPr>
        <w:pStyle w:val="FootnoteText"/>
      </w:pPr>
      <w:r>
        <w:rPr>
          <w:rStyle w:val="FootnoteReference"/>
        </w:rPr>
        <w:footnoteRef/>
      </w:r>
      <w:r>
        <w:t xml:space="preserve"> Para más detalles, véase el documento COP15 Doc.9, </w:t>
      </w:r>
      <w:r>
        <w:rPr>
          <w:i/>
          <w:iCs/>
        </w:rPr>
        <w:t>Informe de la Secretaría de conformidad con el artículo 8.2 sobre la Lista de Humedales de Importancia Internacional</w:t>
      </w:r>
      <w:r>
        <w:t xml:space="preserve">, en </w:t>
      </w:r>
      <w:hyperlink r:id="rId3" w:history="1">
        <w:r w:rsidR="00CD234F">
          <w:rPr>
            <w:rStyle w:val="Hyperlink"/>
          </w:rPr>
          <w:t>https://www.ramsar.org/es/document/cop15-doc9-informe-de-la-secretaria-de-conformidad-con-el-articulo-82-sobre-la-lista-de</w:t>
        </w:r>
      </w:hyperlink>
      <w:r>
        <w:t>.</w:t>
      </w:r>
    </w:p>
  </w:footnote>
  <w:footnote w:id="8">
    <w:p w14:paraId="186CF9FC" w14:textId="2D8E6CD6" w:rsidR="009A3F54" w:rsidRPr="00FE4641" w:rsidRDefault="009A3F54">
      <w:pPr>
        <w:pStyle w:val="FootnoteText"/>
      </w:pPr>
      <w:r>
        <w:rPr>
          <w:rStyle w:val="FootnoteReference"/>
        </w:rPr>
        <w:footnoteRef/>
      </w:r>
      <w:r>
        <w:t xml:space="preserve"> Véase también el documento COP15 Doc.15, </w:t>
      </w:r>
      <w:r>
        <w:rPr>
          <w:i/>
          <w:iCs/>
        </w:rPr>
        <w:t>Informe de la Secretaría sobre las oportunidades para seguir reforzando la contribución de la Convención a la Agenda 2030 para el Desarrollo Sostenible y los Objetivos de Desarrollo Sostenible</w:t>
      </w:r>
      <w:r>
        <w:t xml:space="preserve">, en </w:t>
      </w:r>
      <w:hyperlink r:id="rId4" w:history="1">
        <w:r w:rsidR="00CD234F">
          <w:rPr>
            <w:rStyle w:val="Hyperlink"/>
          </w:rPr>
          <w:t>https://www.ramsar.org/es/document/cop15-doc15-informe-de-la-secretaria-sobre-las-oportunidades-para-seguir-consolidando-la</w:t>
        </w:r>
      </w:hyperlink>
      <w:r>
        <w:t>.</w:t>
      </w:r>
    </w:p>
  </w:footnote>
  <w:footnote w:id="9">
    <w:p w14:paraId="60D945DC" w14:textId="56B2DFAE" w:rsidR="009A3F54" w:rsidRDefault="009A3F54">
      <w:pPr>
        <w:pStyle w:val="FootnoteText"/>
      </w:pPr>
      <w:r>
        <w:rPr>
          <w:rStyle w:val="FootnoteReference"/>
        </w:rPr>
        <w:footnoteRef/>
      </w:r>
      <w:r>
        <w:t xml:space="preserve"> Para consultar los informes de la Secretaría al Comité Permanente durante el pasado trienio véanse los documentos SC62 Doc.9, SC63 Doc.10 y SC64 Doc.10.</w:t>
      </w:r>
    </w:p>
  </w:footnote>
  <w:footnote w:id="10">
    <w:p w14:paraId="73B97639" w14:textId="778C1B88" w:rsidR="009A3F54" w:rsidRPr="00CD234F" w:rsidRDefault="009A3F54" w:rsidP="009049EA">
      <w:pPr>
        <w:pStyle w:val="FootnoteText"/>
        <w:rPr>
          <w:lang w:val="fr-FR"/>
        </w:rPr>
      </w:pPr>
      <w:r>
        <w:rPr>
          <w:rStyle w:val="FootnoteReference"/>
        </w:rPr>
        <w:footnoteRef/>
      </w:r>
      <w:r w:rsidRPr="00CD234F">
        <w:rPr>
          <w:lang w:val="fr-FR"/>
        </w:rPr>
        <w:t xml:space="preserve"> Véase </w:t>
      </w:r>
      <w:hyperlink r:id="rId5" w:history="1">
        <w:r w:rsidRPr="00CD234F">
          <w:rPr>
            <w:rStyle w:val="Hyperlink"/>
            <w:lang w:val="fr-FR"/>
          </w:rPr>
          <w:t>https://www.cbd.int/doc/c/8097/1f19/e37995d6157e799d83afa77a/cop-16-inf-13-en.pdf</w:t>
        </w:r>
      </w:hyperlink>
      <w:r w:rsidRPr="00CD234F">
        <w:rPr>
          <w:lang w:val="fr-FR"/>
        </w:rPr>
        <w:t xml:space="preserve">. </w:t>
      </w:r>
    </w:p>
  </w:footnote>
  <w:footnote w:id="11">
    <w:p w14:paraId="16728DEA" w14:textId="5CFBCF26" w:rsidR="009A3F54" w:rsidRPr="004466BD" w:rsidRDefault="009A3F54">
      <w:pPr>
        <w:pStyle w:val="FootnoteText"/>
      </w:pPr>
      <w:r>
        <w:t xml:space="preserve">Véase también el documento COP15 Doc.12, </w:t>
      </w:r>
      <w:r>
        <w:rPr>
          <w:i/>
          <w:iCs/>
        </w:rPr>
        <w:t>Informe de la Secretaría sobre las iniciativas regionales de Ramsar,</w:t>
      </w:r>
      <w:r>
        <w:t xml:space="preserve"> en</w:t>
      </w:r>
      <w:r w:rsidR="00CD234F">
        <w:t xml:space="preserve"> </w:t>
      </w:r>
      <w:hyperlink r:id="rId6" w:history="1">
        <w:r w:rsidR="00CD234F" w:rsidRPr="00B65EC2">
          <w:rPr>
            <w:rStyle w:val="Hyperlink"/>
          </w:rPr>
          <w:t>https://www.ramsar.org/es/document/cop15-doc12-informe-de-la-secretaria-sobre-las-iniciativas-regionales-de-ramsar</w:t>
        </w:r>
      </w:hyperlink>
      <w:r>
        <w:t>.</w:t>
      </w:r>
    </w:p>
  </w:footnote>
  <w:footnote w:id="12">
    <w:p w14:paraId="5E812C8E" w14:textId="51A84D36" w:rsidR="009A3F54" w:rsidRPr="00CD234F" w:rsidRDefault="009A3F54">
      <w:pPr>
        <w:pStyle w:val="FootnoteText"/>
        <w:rPr>
          <w:lang w:val="fr-FR"/>
        </w:rPr>
      </w:pPr>
      <w:r>
        <w:rPr>
          <w:rStyle w:val="FootnoteReference"/>
        </w:rPr>
        <w:footnoteRef/>
      </w:r>
      <w:r w:rsidRPr="00CD234F">
        <w:rPr>
          <w:lang w:val="fr-FR"/>
        </w:rPr>
        <w:t xml:space="preserve"> Véase </w:t>
      </w:r>
      <w:hyperlink r:id="rId7" w:history="1">
        <w:r w:rsidR="00CD234F">
          <w:rPr>
            <w:rStyle w:val="Hyperlink"/>
            <w:lang w:val="fr-FR"/>
          </w:rPr>
          <w:t>https://www.ramsar.org/es/document/directrices-para-la-transversalizacion-de-genero-en-la-convencion-de-ramsar-sobre-los</w:t>
        </w:r>
      </w:hyperlink>
      <w:r w:rsidRPr="00CD234F">
        <w:rPr>
          <w:lang w:val="fr-FR"/>
        </w:rPr>
        <w:t>.</w:t>
      </w:r>
    </w:p>
  </w:footnote>
  <w:footnote w:id="13">
    <w:p w14:paraId="25B3DF23" w14:textId="43CB049C" w:rsidR="009A3F54" w:rsidRPr="00C931CD" w:rsidRDefault="009A3F54">
      <w:pPr>
        <w:pStyle w:val="FootnoteText"/>
      </w:pPr>
      <w:r>
        <w:rPr>
          <w:rStyle w:val="FootnoteReference"/>
        </w:rPr>
        <w:footnoteRef/>
      </w:r>
      <w:r>
        <w:t xml:space="preserve"> Para más información, véase el documento COP15 Doc.8.2, </w:t>
      </w:r>
      <w:r>
        <w:rPr>
          <w:i/>
          <w:iCs/>
        </w:rPr>
        <w:t>Informe de la Secretaria General sobre la aplicación de la Convención: Trabajo de la Secretaría</w:t>
      </w:r>
      <w:r>
        <w:t xml:space="preserve">, en </w:t>
      </w:r>
      <w:hyperlink r:id="rId8" w:history="1">
        <w:r w:rsidR="00CD234F">
          <w:rPr>
            <w:rStyle w:val="Hyperlink"/>
          </w:rPr>
          <w:t>https://www.ramsar.org/es/document/cop15-doc82-informe-de-la-secretaria-general-sobre-la-aplicacion-de-la-convencion-trabajo</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1776"/>
    <w:multiLevelType w:val="multilevel"/>
    <w:tmpl w:val="86DC3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42995"/>
    <w:multiLevelType w:val="multilevel"/>
    <w:tmpl w:val="090A1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66CDE"/>
    <w:multiLevelType w:val="multilevel"/>
    <w:tmpl w:val="BCE65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914C3B"/>
    <w:multiLevelType w:val="multilevel"/>
    <w:tmpl w:val="6B50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469EA"/>
    <w:multiLevelType w:val="multilevel"/>
    <w:tmpl w:val="EC8EC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AE7008"/>
    <w:multiLevelType w:val="hybridMultilevel"/>
    <w:tmpl w:val="70AAC75A"/>
    <w:lvl w:ilvl="0" w:tplc="081ED9DE">
      <w:start w:val="1"/>
      <w:numFmt w:val="decimal"/>
      <w:lvlText w:val="%1."/>
      <w:lvlJc w:val="left"/>
      <w:pPr>
        <w:ind w:left="720" w:hanging="360"/>
      </w:pPr>
      <w:rPr>
        <w:rFonts w:ascii="Calibri" w:eastAsia="Calibri" w:hAnsi="Calibri" w:cs="Calibri"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DD0892"/>
    <w:multiLevelType w:val="hybridMultilevel"/>
    <w:tmpl w:val="06C89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444507"/>
    <w:multiLevelType w:val="multilevel"/>
    <w:tmpl w:val="DD269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8D2E7F"/>
    <w:multiLevelType w:val="hybridMultilevel"/>
    <w:tmpl w:val="FE862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94703C"/>
    <w:multiLevelType w:val="multilevel"/>
    <w:tmpl w:val="1EFE3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6B24AE"/>
    <w:multiLevelType w:val="multilevel"/>
    <w:tmpl w:val="AC96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F3234F"/>
    <w:multiLevelType w:val="multilevel"/>
    <w:tmpl w:val="8E4EF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F91E99"/>
    <w:multiLevelType w:val="multilevel"/>
    <w:tmpl w:val="2D50A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502AD2"/>
    <w:multiLevelType w:val="multilevel"/>
    <w:tmpl w:val="FD1E0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E606CD"/>
    <w:multiLevelType w:val="multilevel"/>
    <w:tmpl w:val="4D366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A35E81"/>
    <w:multiLevelType w:val="multilevel"/>
    <w:tmpl w:val="8F3A4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5C0221B"/>
    <w:multiLevelType w:val="multilevel"/>
    <w:tmpl w:val="2B303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CD4B09"/>
    <w:multiLevelType w:val="multilevel"/>
    <w:tmpl w:val="CACED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7E553F9"/>
    <w:multiLevelType w:val="multilevel"/>
    <w:tmpl w:val="750C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0A6453"/>
    <w:multiLevelType w:val="multilevel"/>
    <w:tmpl w:val="4538F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FF6AC2"/>
    <w:multiLevelType w:val="multilevel"/>
    <w:tmpl w:val="B308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B1640B3"/>
    <w:multiLevelType w:val="hybridMultilevel"/>
    <w:tmpl w:val="1BE44F42"/>
    <w:lvl w:ilvl="0" w:tplc="FFFFFFFF">
      <w:start w:val="1"/>
      <w:numFmt w:val="decimal"/>
      <w:lvlText w:val="%1."/>
      <w:lvlJc w:val="left"/>
      <w:pPr>
        <w:ind w:left="757" w:hanging="360"/>
      </w:pPr>
      <w:rPr>
        <w:rFonts w:ascii="Calibri" w:eastAsia="Calibri" w:hAnsi="Calibri" w:cs="Calibri" w:hint="default"/>
        <w:b w:val="0"/>
        <w:bCs w:val="0"/>
      </w:rPr>
    </w:lvl>
    <w:lvl w:ilvl="1" w:tplc="FFFFFFFF" w:tentative="1">
      <w:start w:val="1"/>
      <w:numFmt w:val="lowerLetter"/>
      <w:lvlText w:val="%2."/>
      <w:lvlJc w:val="left"/>
      <w:pPr>
        <w:ind w:left="1477" w:hanging="360"/>
      </w:pPr>
    </w:lvl>
    <w:lvl w:ilvl="2" w:tplc="FFFFFFFF" w:tentative="1">
      <w:start w:val="1"/>
      <w:numFmt w:val="lowerRoman"/>
      <w:lvlText w:val="%3."/>
      <w:lvlJc w:val="right"/>
      <w:pPr>
        <w:ind w:left="2197" w:hanging="180"/>
      </w:pPr>
    </w:lvl>
    <w:lvl w:ilvl="3" w:tplc="FFFFFFFF" w:tentative="1">
      <w:start w:val="1"/>
      <w:numFmt w:val="decimal"/>
      <w:lvlText w:val="%4."/>
      <w:lvlJc w:val="left"/>
      <w:pPr>
        <w:ind w:left="2917" w:hanging="360"/>
      </w:pPr>
    </w:lvl>
    <w:lvl w:ilvl="4" w:tplc="FFFFFFFF" w:tentative="1">
      <w:start w:val="1"/>
      <w:numFmt w:val="lowerLetter"/>
      <w:lvlText w:val="%5."/>
      <w:lvlJc w:val="left"/>
      <w:pPr>
        <w:ind w:left="3637" w:hanging="360"/>
      </w:pPr>
    </w:lvl>
    <w:lvl w:ilvl="5" w:tplc="FFFFFFFF" w:tentative="1">
      <w:start w:val="1"/>
      <w:numFmt w:val="lowerRoman"/>
      <w:lvlText w:val="%6."/>
      <w:lvlJc w:val="right"/>
      <w:pPr>
        <w:ind w:left="4357" w:hanging="180"/>
      </w:pPr>
    </w:lvl>
    <w:lvl w:ilvl="6" w:tplc="FFFFFFFF" w:tentative="1">
      <w:start w:val="1"/>
      <w:numFmt w:val="decimal"/>
      <w:lvlText w:val="%7."/>
      <w:lvlJc w:val="left"/>
      <w:pPr>
        <w:ind w:left="5077" w:hanging="360"/>
      </w:pPr>
    </w:lvl>
    <w:lvl w:ilvl="7" w:tplc="FFFFFFFF" w:tentative="1">
      <w:start w:val="1"/>
      <w:numFmt w:val="lowerLetter"/>
      <w:lvlText w:val="%8."/>
      <w:lvlJc w:val="left"/>
      <w:pPr>
        <w:ind w:left="5797" w:hanging="360"/>
      </w:pPr>
    </w:lvl>
    <w:lvl w:ilvl="8" w:tplc="FFFFFFFF" w:tentative="1">
      <w:start w:val="1"/>
      <w:numFmt w:val="lowerRoman"/>
      <w:lvlText w:val="%9."/>
      <w:lvlJc w:val="right"/>
      <w:pPr>
        <w:ind w:left="6517" w:hanging="180"/>
      </w:pPr>
    </w:lvl>
  </w:abstractNum>
  <w:abstractNum w:abstractNumId="22" w15:restartNumberingAfterBreak="0">
    <w:nsid w:val="1B3B6C3C"/>
    <w:multiLevelType w:val="hybridMultilevel"/>
    <w:tmpl w:val="EC2AC958"/>
    <w:lvl w:ilvl="0" w:tplc="081ED9DE">
      <w:start w:val="1"/>
      <w:numFmt w:val="decimal"/>
      <w:lvlText w:val="%1."/>
      <w:lvlJc w:val="left"/>
      <w:pPr>
        <w:ind w:left="720" w:hanging="360"/>
      </w:pPr>
      <w:rPr>
        <w:rFonts w:ascii="Calibri" w:eastAsia="Calibri" w:hAnsi="Calibri" w:cs="Calibri"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B7C1ABD"/>
    <w:multiLevelType w:val="multilevel"/>
    <w:tmpl w:val="0AD26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0B765E"/>
    <w:multiLevelType w:val="multilevel"/>
    <w:tmpl w:val="75DE2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3A3E2B"/>
    <w:multiLevelType w:val="hybridMultilevel"/>
    <w:tmpl w:val="4DC4BD04"/>
    <w:lvl w:ilvl="0" w:tplc="A85A16F4">
      <w:start w:val="1"/>
      <w:numFmt w:val="decimal"/>
      <w:lvlText w:val="%1."/>
      <w:lvlJc w:val="left"/>
      <w:pPr>
        <w:ind w:left="720" w:hanging="360"/>
      </w:pPr>
      <w:rPr>
        <w:rFonts w:ascii="Calibri" w:eastAsia="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E9D343A"/>
    <w:multiLevelType w:val="multilevel"/>
    <w:tmpl w:val="8EFCEFF2"/>
    <w:lvl w:ilvl="0">
      <w:start w:val="1"/>
      <w:numFmt w:val="lowerLetter"/>
      <w:lvlText w:val="(%1)"/>
      <w:lvlJc w:val="left"/>
      <w:pPr>
        <w:tabs>
          <w:tab w:val="left" w:pos="720"/>
        </w:tabs>
        <w:ind w:left="720" w:hanging="360"/>
      </w:pPr>
      <w:rPr>
        <w:rFonts w:asciiTheme="minorHAnsi" w:eastAsia="Times New Roman" w:hAnsiTheme="minorHAnsi" w:cstheme="minorHAnsi" w:hint="default"/>
        <w:sz w:val="20"/>
        <w:szCs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15:restartNumberingAfterBreak="0">
    <w:nsid w:val="1FD7411A"/>
    <w:multiLevelType w:val="multilevel"/>
    <w:tmpl w:val="9C36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0713B66"/>
    <w:multiLevelType w:val="multilevel"/>
    <w:tmpl w:val="0256D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12C4E90"/>
    <w:multiLevelType w:val="hybridMultilevel"/>
    <w:tmpl w:val="78C8FB5E"/>
    <w:lvl w:ilvl="0" w:tplc="625CC0FE">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1503772"/>
    <w:multiLevelType w:val="hybridMultilevel"/>
    <w:tmpl w:val="1BE44F42"/>
    <w:lvl w:ilvl="0" w:tplc="FFFFFFFF">
      <w:start w:val="1"/>
      <w:numFmt w:val="decimal"/>
      <w:lvlText w:val="%1."/>
      <w:lvlJc w:val="left"/>
      <w:pPr>
        <w:ind w:left="757" w:hanging="360"/>
      </w:pPr>
      <w:rPr>
        <w:rFonts w:ascii="Calibri" w:eastAsia="Calibri" w:hAnsi="Calibri" w:cs="Calibri" w:hint="default"/>
        <w:b w:val="0"/>
        <w:bCs w:val="0"/>
      </w:rPr>
    </w:lvl>
    <w:lvl w:ilvl="1" w:tplc="FFFFFFFF" w:tentative="1">
      <w:start w:val="1"/>
      <w:numFmt w:val="lowerLetter"/>
      <w:lvlText w:val="%2."/>
      <w:lvlJc w:val="left"/>
      <w:pPr>
        <w:ind w:left="1477" w:hanging="360"/>
      </w:pPr>
    </w:lvl>
    <w:lvl w:ilvl="2" w:tplc="FFFFFFFF" w:tentative="1">
      <w:start w:val="1"/>
      <w:numFmt w:val="lowerRoman"/>
      <w:lvlText w:val="%3."/>
      <w:lvlJc w:val="right"/>
      <w:pPr>
        <w:ind w:left="2197" w:hanging="180"/>
      </w:pPr>
    </w:lvl>
    <w:lvl w:ilvl="3" w:tplc="FFFFFFFF" w:tentative="1">
      <w:start w:val="1"/>
      <w:numFmt w:val="decimal"/>
      <w:lvlText w:val="%4."/>
      <w:lvlJc w:val="left"/>
      <w:pPr>
        <w:ind w:left="2917" w:hanging="360"/>
      </w:pPr>
    </w:lvl>
    <w:lvl w:ilvl="4" w:tplc="FFFFFFFF" w:tentative="1">
      <w:start w:val="1"/>
      <w:numFmt w:val="lowerLetter"/>
      <w:lvlText w:val="%5."/>
      <w:lvlJc w:val="left"/>
      <w:pPr>
        <w:ind w:left="3637" w:hanging="360"/>
      </w:pPr>
    </w:lvl>
    <w:lvl w:ilvl="5" w:tplc="FFFFFFFF" w:tentative="1">
      <w:start w:val="1"/>
      <w:numFmt w:val="lowerRoman"/>
      <w:lvlText w:val="%6."/>
      <w:lvlJc w:val="right"/>
      <w:pPr>
        <w:ind w:left="4357" w:hanging="180"/>
      </w:pPr>
    </w:lvl>
    <w:lvl w:ilvl="6" w:tplc="FFFFFFFF" w:tentative="1">
      <w:start w:val="1"/>
      <w:numFmt w:val="decimal"/>
      <w:lvlText w:val="%7."/>
      <w:lvlJc w:val="left"/>
      <w:pPr>
        <w:ind w:left="5077" w:hanging="360"/>
      </w:pPr>
    </w:lvl>
    <w:lvl w:ilvl="7" w:tplc="FFFFFFFF" w:tentative="1">
      <w:start w:val="1"/>
      <w:numFmt w:val="lowerLetter"/>
      <w:lvlText w:val="%8."/>
      <w:lvlJc w:val="left"/>
      <w:pPr>
        <w:ind w:left="5797" w:hanging="360"/>
      </w:pPr>
    </w:lvl>
    <w:lvl w:ilvl="8" w:tplc="FFFFFFFF" w:tentative="1">
      <w:start w:val="1"/>
      <w:numFmt w:val="lowerRoman"/>
      <w:lvlText w:val="%9."/>
      <w:lvlJc w:val="right"/>
      <w:pPr>
        <w:ind w:left="6517" w:hanging="180"/>
      </w:pPr>
    </w:lvl>
  </w:abstractNum>
  <w:abstractNum w:abstractNumId="31" w15:restartNumberingAfterBreak="0">
    <w:nsid w:val="22024E31"/>
    <w:multiLevelType w:val="hybridMultilevel"/>
    <w:tmpl w:val="1BE44F42"/>
    <w:lvl w:ilvl="0" w:tplc="FFFFFFFF">
      <w:start w:val="1"/>
      <w:numFmt w:val="decimal"/>
      <w:lvlText w:val="%1."/>
      <w:lvlJc w:val="left"/>
      <w:pPr>
        <w:ind w:left="757" w:hanging="360"/>
      </w:pPr>
      <w:rPr>
        <w:rFonts w:ascii="Calibri" w:eastAsia="Calibri" w:hAnsi="Calibri" w:cs="Calibri" w:hint="default"/>
        <w:b w:val="0"/>
        <w:bCs w:val="0"/>
      </w:rPr>
    </w:lvl>
    <w:lvl w:ilvl="1" w:tplc="FFFFFFFF" w:tentative="1">
      <w:start w:val="1"/>
      <w:numFmt w:val="lowerLetter"/>
      <w:lvlText w:val="%2."/>
      <w:lvlJc w:val="left"/>
      <w:pPr>
        <w:ind w:left="1477" w:hanging="360"/>
      </w:pPr>
    </w:lvl>
    <w:lvl w:ilvl="2" w:tplc="FFFFFFFF" w:tentative="1">
      <w:start w:val="1"/>
      <w:numFmt w:val="lowerRoman"/>
      <w:lvlText w:val="%3."/>
      <w:lvlJc w:val="right"/>
      <w:pPr>
        <w:ind w:left="2197" w:hanging="180"/>
      </w:pPr>
    </w:lvl>
    <w:lvl w:ilvl="3" w:tplc="FFFFFFFF" w:tentative="1">
      <w:start w:val="1"/>
      <w:numFmt w:val="decimal"/>
      <w:lvlText w:val="%4."/>
      <w:lvlJc w:val="left"/>
      <w:pPr>
        <w:ind w:left="2917" w:hanging="360"/>
      </w:pPr>
    </w:lvl>
    <w:lvl w:ilvl="4" w:tplc="FFFFFFFF" w:tentative="1">
      <w:start w:val="1"/>
      <w:numFmt w:val="lowerLetter"/>
      <w:lvlText w:val="%5."/>
      <w:lvlJc w:val="left"/>
      <w:pPr>
        <w:ind w:left="3637" w:hanging="360"/>
      </w:pPr>
    </w:lvl>
    <w:lvl w:ilvl="5" w:tplc="FFFFFFFF" w:tentative="1">
      <w:start w:val="1"/>
      <w:numFmt w:val="lowerRoman"/>
      <w:lvlText w:val="%6."/>
      <w:lvlJc w:val="right"/>
      <w:pPr>
        <w:ind w:left="4357" w:hanging="180"/>
      </w:pPr>
    </w:lvl>
    <w:lvl w:ilvl="6" w:tplc="FFFFFFFF" w:tentative="1">
      <w:start w:val="1"/>
      <w:numFmt w:val="decimal"/>
      <w:lvlText w:val="%7."/>
      <w:lvlJc w:val="left"/>
      <w:pPr>
        <w:ind w:left="5077" w:hanging="360"/>
      </w:pPr>
    </w:lvl>
    <w:lvl w:ilvl="7" w:tplc="FFFFFFFF" w:tentative="1">
      <w:start w:val="1"/>
      <w:numFmt w:val="lowerLetter"/>
      <w:lvlText w:val="%8."/>
      <w:lvlJc w:val="left"/>
      <w:pPr>
        <w:ind w:left="5797" w:hanging="360"/>
      </w:pPr>
    </w:lvl>
    <w:lvl w:ilvl="8" w:tplc="FFFFFFFF" w:tentative="1">
      <w:start w:val="1"/>
      <w:numFmt w:val="lowerRoman"/>
      <w:lvlText w:val="%9."/>
      <w:lvlJc w:val="right"/>
      <w:pPr>
        <w:ind w:left="6517" w:hanging="180"/>
      </w:pPr>
    </w:lvl>
  </w:abstractNum>
  <w:abstractNum w:abstractNumId="32" w15:restartNumberingAfterBreak="0">
    <w:nsid w:val="22BB0B50"/>
    <w:multiLevelType w:val="multilevel"/>
    <w:tmpl w:val="7CC28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393704F"/>
    <w:multiLevelType w:val="multilevel"/>
    <w:tmpl w:val="98C2F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414410B"/>
    <w:multiLevelType w:val="multilevel"/>
    <w:tmpl w:val="13D2B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47B436B"/>
    <w:multiLevelType w:val="hybridMultilevel"/>
    <w:tmpl w:val="4CB40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4BA341D"/>
    <w:multiLevelType w:val="multilevel"/>
    <w:tmpl w:val="FB48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6A25FCD"/>
    <w:multiLevelType w:val="multilevel"/>
    <w:tmpl w:val="EF9A9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6C345D0"/>
    <w:multiLevelType w:val="multilevel"/>
    <w:tmpl w:val="FBBE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8EB7039"/>
    <w:multiLevelType w:val="multilevel"/>
    <w:tmpl w:val="F2A0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9F7127"/>
    <w:multiLevelType w:val="hybridMultilevel"/>
    <w:tmpl w:val="73FCEBD0"/>
    <w:lvl w:ilvl="0" w:tplc="081ED9DE">
      <w:start w:val="1"/>
      <w:numFmt w:val="decimal"/>
      <w:lvlText w:val="%1."/>
      <w:lvlJc w:val="left"/>
      <w:pPr>
        <w:ind w:left="720" w:hanging="360"/>
      </w:pPr>
      <w:rPr>
        <w:rFonts w:ascii="Calibri" w:eastAsia="Calibri" w:hAnsi="Calibri" w:cs="Calibri"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A4F5770"/>
    <w:multiLevelType w:val="multilevel"/>
    <w:tmpl w:val="3B7ED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AED7849"/>
    <w:multiLevelType w:val="multilevel"/>
    <w:tmpl w:val="A4E2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B825ADF"/>
    <w:multiLevelType w:val="multilevel"/>
    <w:tmpl w:val="EEFE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BF75FE5"/>
    <w:multiLevelType w:val="multilevel"/>
    <w:tmpl w:val="4AC48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D58426A"/>
    <w:multiLevelType w:val="hybridMultilevel"/>
    <w:tmpl w:val="1BE44F42"/>
    <w:lvl w:ilvl="0" w:tplc="FFFFFFFF">
      <w:start w:val="1"/>
      <w:numFmt w:val="decimal"/>
      <w:lvlText w:val="%1."/>
      <w:lvlJc w:val="left"/>
      <w:pPr>
        <w:ind w:left="757" w:hanging="360"/>
      </w:pPr>
      <w:rPr>
        <w:rFonts w:ascii="Calibri" w:eastAsia="Calibri" w:hAnsi="Calibri" w:cs="Calibri" w:hint="default"/>
        <w:b w:val="0"/>
        <w:bCs w:val="0"/>
      </w:rPr>
    </w:lvl>
    <w:lvl w:ilvl="1" w:tplc="FFFFFFFF" w:tentative="1">
      <w:start w:val="1"/>
      <w:numFmt w:val="lowerLetter"/>
      <w:lvlText w:val="%2."/>
      <w:lvlJc w:val="left"/>
      <w:pPr>
        <w:ind w:left="1477" w:hanging="360"/>
      </w:pPr>
    </w:lvl>
    <w:lvl w:ilvl="2" w:tplc="FFFFFFFF" w:tentative="1">
      <w:start w:val="1"/>
      <w:numFmt w:val="lowerRoman"/>
      <w:lvlText w:val="%3."/>
      <w:lvlJc w:val="right"/>
      <w:pPr>
        <w:ind w:left="2197" w:hanging="180"/>
      </w:pPr>
    </w:lvl>
    <w:lvl w:ilvl="3" w:tplc="FFFFFFFF" w:tentative="1">
      <w:start w:val="1"/>
      <w:numFmt w:val="decimal"/>
      <w:lvlText w:val="%4."/>
      <w:lvlJc w:val="left"/>
      <w:pPr>
        <w:ind w:left="2917" w:hanging="360"/>
      </w:pPr>
    </w:lvl>
    <w:lvl w:ilvl="4" w:tplc="FFFFFFFF" w:tentative="1">
      <w:start w:val="1"/>
      <w:numFmt w:val="lowerLetter"/>
      <w:lvlText w:val="%5."/>
      <w:lvlJc w:val="left"/>
      <w:pPr>
        <w:ind w:left="3637" w:hanging="360"/>
      </w:pPr>
    </w:lvl>
    <w:lvl w:ilvl="5" w:tplc="FFFFFFFF" w:tentative="1">
      <w:start w:val="1"/>
      <w:numFmt w:val="lowerRoman"/>
      <w:lvlText w:val="%6."/>
      <w:lvlJc w:val="right"/>
      <w:pPr>
        <w:ind w:left="4357" w:hanging="180"/>
      </w:pPr>
    </w:lvl>
    <w:lvl w:ilvl="6" w:tplc="FFFFFFFF" w:tentative="1">
      <w:start w:val="1"/>
      <w:numFmt w:val="decimal"/>
      <w:lvlText w:val="%7."/>
      <w:lvlJc w:val="left"/>
      <w:pPr>
        <w:ind w:left="5077" w:hanging="360"/>
      </w:pPr>
    </w:lvl>
    <w:lvl w:ilvl="7" w:tplc="FFFFFFFF" w:tentative="1">
      <w:start w:val="1"/>
      <w:numFmt w:val="lowerLetter"/>
      <w:lvlText w:val="%8."/>
      <w:lvlJc w:val="left"/>
      <w:pPr>
        <w:ind w:left="5797" w:hanging="360"/>
      </w:pPr>
    </w:lvl>
    <w:lvl w:ilvl="8" w:tplc="FFFFFFFF" w:tentative="1">
      <w:start w:val="1"/>
      <w:numFmt w:val="lowerRoman"/>
      <w:lvlText w:val="%9."/>
      <w:lvlJc w:val="right"/>
      <w:pPr>
        <w:ind w:left="6517" w:hanging="180"/>
      </w:pPr>
    </w:lvl>
  </w:abstractNum>
  <w:abstractNum w:abstractNumId="46" w15:restartNumberingAfterBreak="0">
    <w:nsid w:val="2D7654AE"/>
    <w:multiLevelType w:val="multilevel"/>
    <w:tmpl w:val="9ABE0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FDF3011"/>
    <w:multiLevelType w:val="multilevel"/>
    <w:tmpl w:val="659A6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00E3E78"/>
    <w:multiLevelType w:val="multilevel"/>
    <w:tmpl w:val="9BCA4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0B53EED"/>
    <w:multiLevelType w:val="multilevel"/>
    <w:tmpl w:val="74066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0DE6ADF"/>
    <w:multiLevelType w:val="hybridMultilevel"/>
    <w:tmpl w:val="37DAFD5C"/>
    <w:lvl w:ilvl="0" w:tplc="08090001">
      <w:start w:val="1"/>
      <w:numFmt w:val="bullet"/>
      <w:lvlText w:val=""/>
      <w:lvlJc w:val="left"/>
      <w:pPr>
        <w:ind w:left="720" w:hanging="360"/>
      </w:pPr>
      <w:rPr>
        <w:rFonts w:ascii="Symbol" w:hAnsi="Symbol" w:hint="default"/>
      </w:rPr>
    </w:lvl>
    <w:lvl w:ilvl="1" w:tplc="514E6DC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3CC64F4"/>
    <w:multiLevelType w:val="multilevel"/>
    <w:tmpl w:val="68B2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51B079D"/>
    <w:multiLevelType w:val="multilevel"/>
    <w:tmpl w:val="A02C3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6EB2540"/>
    <w:multiLevelType w:val="hybridMultilevel"/>
    <w:tmpl w:val="823A8D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8E27D80"/>
    <w:multiLevelType w:val="multilevel"/>
    <w:tmpl w:val="F69C6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9565B73"/>
    <w:multiLevelType w:val="hybridMultilevel"/>
    <w:tmpl w:val="50F66718"/>
    <w:lvl w:ilvl="0" w:tplc="A5FE74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B3638E7"/>
    <w:multiLevelType w:val="multilevel"/>
    <w:tmpl w:val="5D366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BB82F19"/>
    <w:multiLevelType w:val="hybridMultilevel"/>
    <w:tmpl w:val="1BE44F42"/>
    <w:lvl w:ilvl="0" w:tplc="FFFFFFFF">
      <w:start w:val="1"/>
      <w:numFmt w:val="decimal"/>
      <w:lvlText w:val="%1."/>
      <w:lvlJc w:val="left"/>
      <w:pPr>
        <w:ind w:left="757" w:hanging="360"/>
      </w:pPr>
      <w:rPr>
        <w:rFonts w:ascii="Calibri" w:eastAsia="Calibri" w:hAnsi="Calibri" w:cs="Calibri" w:hint="default"/>
        <w:b w:val="0"/>
        <w:bCs w:val="0"/>
      </w:rPr>
    </w:lvl>
    <w:lvl w:ilvl="1" w:tplc="FFFFFFFF" w:tentative="1">
      <w:start w:val="1"/>
      <w:numFmt w:val="lowerLetter"/>
      <w:lvlText w:val="%2."/>
      <w:lvlJc w:val="left"/>
      <w:pPr>
        <w:ind w:left="1477" w:hanging="360"/>
      </w:pPr>
    </w:lvl>
    <w:lvl w:ilvl="2" w:tplc="FFFFFFFF" w:tentative="1">
      <w:start w:val="1"/>
      <w:numFmt w:val="lowerRoman"/>
      <w:lvlText w:val="%3."/>
      <w:lvlJc w:val="right"/>
      <w:pPr>
        <w:ind w:left="2197" w:hanging="180"/>
      </w:pPr>
    </w:lvl>
    <w:lvl w:ilvl="3" w:tplc="FFFFFFFF" w:tentative="1">
      <w:start w:val="1"/>
      <w:numFmt w:val="decimal"/>
      <w:lvlText w:val="%4."/>
      <w:lvlJc w:val="left"/>
      <w:pPr>
        <w:ind w:left="2917" w:hanging="360"/>
      </w:pPr>
    </w:lvl>
    <w:lvl w:ilvl="4" w:tplc="FFFFFFFF" w:tentative="1">
      <w:start w:val="1"/>
      <w:numFmt w:val="lowerLetter"/>
      <w:lvlText w:val="%5."/>
      <w:lvlJc w:val="left"/>
      <w:pPr>
        <w:ind w:left="3637" w:hanging="360"/>
      </w:pPr>
    </w:lvl>
    <w:lvl w:ilvl="5" w:tplc="FFFFFFFF" w:tentative="1">
      <w:start w:val="1"/>
      <w:numFmt w:val="lowerRoman"/>
      <w:lvlText w:val="%6."/>
      <w:lvlJc w:val="right"/>
      <w:pPr>
        <w:ind w:left="4357" w:hanging="180"/>
      </w:pPr>
    </w:lvl>
    <w:lvl w:ilvl="6" w:tplc="FFFFFFFF" w:tentative="1">
      <w:start w:val="1"/>
      <w:numFmt w:val="decimal"/>
      <w:lvlText w:val="%7."/>
      <w:lvlJc w:val="left"/>
      <w:pPr>
        <w:ind w:left="5077" w:hanging="360"/>
      </w:pPr>
    </w:lvl>
    <w:lvl w:ilvl="7" w:tplc="FFFFFFFF" w:tentative="1">
      <w:start w:val="1"/>
      <w:numFmt w:val="lowerLetter"/>
      <w:lvlText w:val="%8."/>
      <w:lvlJc w:val="left"/>
      <w:pPr>
        <w:ind w:left="5797" w:hanging="360"/>
      </w:pPr>
    </w:lvl>
    <w:lvl w:ilvl="8" w:tplc="FFFFFFFF" w:tentative="1">
      <w:start w:val="1"/>
      <w:numFmt w:val="lowerRoman"/>
      <w:lvlText w:val="%9."/>
      <w:lvlJc w:val="right"/>
      <w:pPr>
        <w:ind w:left="6517" w:hanging="180"/>
      </w:pPr>
    </w:lvl>
  </w:abstractNum>
  <w:abstractNum w:abstractNumId="58" w15:restartNumberingAfterBreak="0">
    <w:nsid w:val="3F491A6F"/>
    <w:multiLevelType w:val="multilevel"/>
    <w:tmpl w:val="AC62B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0750B0F"/>
    <w:multiLevelType w:val="hybridMultilevel"/>
    <w:tmpl w:val="8730D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0802C4D"/>
    <w:multiLevelType w:val="hybridMultilevel"/>
    <w:tmpl w:val="8A1A96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1D139D2"/>
    <w:multiLevelType w:val="multilevel"/>
    <w:tmpl w:val="FDBCA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2EE6F7A"/>
    <w:multiLevelType w:val="hybridMultilevel"/>
    <w:tmpl w:val="DEEC9CC8"/>
    <w:lvl w:ilvl="0" w:tplc="86A61458">
      <w:start w:val="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432F3616"/>
    <w:multiLevelType w:val="multilevel"/>
    <w:tmpl w:val="ADE80AB2"/>
    <w:lvl w:ilvl="0">
      <w:start w:val="1"/>
      <w:numFmt w:val="bullet"/>
      <w:lvlText w:val=""/>
      <w:lvlJc w:val="left"/>
      <w:pPr>
        <w:tabs>
          <w:tab w:val="num" w:pos="1154"/>
        </w:tabs>
        <w:ind w:left="1154" w:hanging="360"/>
      </w:pPr>
      <w:rPr>
        <w:rFonts w:ascii="Symbol" w:hAnsi="Symbol" w:hint="default"/>
        <w:sz w:val="20"/>
      </w:rPr>
    </w:lvl>
    <w:lvl w:ilvl="1">
      <w:numFmt w:val="bullet"/>
      <w:lvlText w:val="-"/>
      <w:lvlJc w:val="left"/>
      <w:pPr>
        <w:ind w:left="1874" w:hanging="360"/>
      </w:pPr>
      <w:rPr>
        <w:rFonts w:ascii="Calibri" w:eastAsia="Calibri" w:hAnsi="Calibri" w:cs="Calibri" w:hint="default"/>
        <w:sz w:val="24"/>
      </w:rPr>
    </w:lvl>
    <w:lvl w:ilvl="2" w:tentative="1">
      <w:start w:val="1"/>
      <w:numFmt w:val="bullet"/>
      <w:lvlText w:val=""/>
      <w:lvlJc w:val="left"/>
      <w:pPr>
        <w:tabs>
          <w:tab w:val="num" w:pos="2594"/>
        </w:tabs>
        <w:ind w:left="2594" w:hanging="360"/>
      </w:pPr>
      <w:rPr>
        <w:rFonts w:ascii="Wingdings" w:hAnsi="Wingdings" w:hint="default"/>
        <w:sz w:val="20"/>
      </w:rPr>
    </w:lvl>
    <w:lvl w:ilvl="3" w:tentative="1">
      <w:start w:val="1"/>
      <w:numFmt w:val="bullet"/>
      <w:lvlText w:val=""/>
      <w:lvlJc w:val="left"/>
      <w:pPr>
        <w:tabs>
          <w:tab w:val="num" w:pos="3314"/>
        </w:tabs>
        <w:ind w:left="3314" w:hanging="360"/>
      </w:pPr>
      <w:rPr>
        <w:rFonts w:ascii="Wingdings" w:hAnsi="Wingdings" w:hint="default"/>
        <w:sz w:val="20"/>
      </w:rPr>
    </w:lvl>
    <w:lvl w:ilvl="4" w:tentative="1">
      <w:start w:val="1"/>
      <w:numFmt w:val="bullet"/>
      <w:lvlText w:val=""/>
      <w:lvlJc w:val="left"/>
      <w:pPr>
        <w:tabs>
          <w:tab w:val="num" w:pos="4034"/>
        </w:tabs>
        <w:ind w:left="4034" w:hanging="360"/>
      </w:pPr>
      <w:rPr>
        <w:rFonts w:ascii="Wingdings" w:hAnsi="Wingdings" w:hint="default"/>
        <w:sz w:val="20"/>
      </w:rPr>
    </w:lvl>
    <w:lvl w:ilvl="5" w:tentative="1">
      <w:start w:val="1"/>
      <w:numFmt w:val="bullet"/>
      <w:lvlText w:val=""/>
      <w:lvlJc w:val="left"/>
      <w:pPr>
        <w:tabs>
          <w:tab w:val="num" w:pos="4754"/>
        </w:tabs>
        <w:ind w:left="4754" w:hanging="360"/>
      </w:pPr>
      <w:rPr>
        <w:rFonts w:ascii="Wingdings" w:hAnsi="Wingdings" w:hint="default"/>
        <w:sz w:val="20"/>
      </w:rPr>
    </w:lvl>
    <w:lvl w:ilvl="6" w:tentative="1">
      <w:start w:val="1"/>
      <w:numFmt w:val="bullet"/>
      <w:lvlText w:val=""/>
      <w:lvlJc w:val="left"/>
      <w:pPr>
        <w:tabs>
          <w:tab w:val="num" w:pos="5474"/>
        </w:tabs>
        <w:ind w:left="5474" w:hanging="360"/>
      </w:pPr>
      <w:rPr>
        <w:rFonts w:ascii="Wingdings" w:hAnsi="Wingdings" w:hint="default"/>
        <w:sz w:val="20"/>
      </w:rPr>
    </w:lvl>
    <w:lvl w:ilvl="7" w:tentative="1">
      <w:start w:val="1"/>
      <w:numFmt w:val="bullet"/>
      <w:lvlText w:val=""/>
      <w:lvlJc w:val="left"/>
      <w:pPr>
        <w:tabs>
          <w:tab w:val="num" w:pos="6194"/>
        </w:tabs>
        <w:ind w:left="6194" w:hanging="360"/>
      </w:pPr>
      <w:rPr>
        <w:rFonts w:ascii="Wingdings" w:hAnsi="Wingdings" w:hint="default"/>
        <w:sz w:val="20"/>
      </w:rPr>
    </w:lvl>
    <w:lvl w:ilvl="8" w:tentative="1">
      <w:start w:val="1"/>
      <w:numFmt w:val="bullet"/>
      <w:lvlText w:val=""/>
      <w:lvlJc w:val="left"/>
      <w:pPr>
        <w:tabs>
          <w:tab w:val="num" w:pos="6914"/>
        </w:tabs>
        <w:ind w:left="6914" w:hanging="360"/>
      </w:pPr>
      <w:rPr>
        <w:rFonts w:ascii="Wingdings" w:hAnsi="Wingdings" w:hint="default"/>
        <w:sz w:val="20"/>
      </w:rPr>
    </w:lvl>
  </w:abstractNum>
  <w:abstractNum w:abstractNumId="64" w15:restartNumberingAfterBreak="0">
    <w:nsid w:val="43803E39"/>
    <w:multiLevelType w:val="multilevel"/>
    <w:tmpl w:val="A68AA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4DB3FFB"/>
    <w:multiLevelType w:val="multilevel"/>
    <w:tmpl w:val="84203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54B023D"/>
    <w:multiLevelType w:val="hybridMultilevel"/>
    <w:tmpl w:val="84B0D0EE"/>
    <w:lvl w:ilvl="0" w:tplc="E65E1FC6">
      <w:start w:val="1"/>
      <w:numFmt w:val="lowerLetter"/>
      <w:lvlText w:val="%1."/>
      <w:lvlJc w:val="left"/>
      <w:pPr>
        <w:ind w:left="720" w:hanging="360"/>
      </w:pPr>
      <w:rPr>
        <w:rFonts w:ascii="Times New Roman" w:eastAsiaTheme="minorHAnsi" w:hAnsi="Times New Roman"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5B333CF"/>
    <w:multiLevelType w:val="hybridMultilevel"/>
    <w:tmpl w:val="076E61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488E2C18"/>
    <w:multiLevelType w:val="multilevel"/>
    <w:tmpl w:val="A61A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9700DA3"/>
    <w:multiLevelType w:val="multilevel"/>
    <w:tmpl w:val="D1B838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9D11C63"/>
    <w:multiLevelType w:val="multilevel"/>
    <w:tmpl w:val="7ED4EC0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B3E3DAB"/>
    <w:multiLevelType w:val="hybridMultilevel"/>
    <w:tmpl w:val="C97AC848"/>
    <w:lvl w:ilvl="0" w:tplc="081ED9DE">
      <w:start w:val="1"/>
      <w:numFmt w:val="decimal"/>
      <w:lvlText w:val="%1."/>
      <w:lvlJc w:val="left"/>
      <w:pPr>
        <w:ind w:left="720" w:hanging="360"/>
      </w:pPr>
      <w:rPr>
        <w:rFonts w:ascii="Calibri" w:eastAsia="Calibri" w:hAnsi="Calibri" w:cs="Calibri"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CAE7E9A"/>
    <w:multiLevelType w:val="hybridMultilevel"/>
    <w:tmpl w:val="4300A9D0"/>
    <w:lvl w:ilvl="0" w:tplc="081ED9DE">
      <w:start w:val="1"/>
      <w:numFmt w:val="decimal"/>
      <w:lvlText w:val="%1."/>
      <w:lvlJc w:val="left"/>
      <w:pPr>
        <w:ind w:left="720" w:hanging="360"/>
      </w:pPr>
      <w:rPr>
        <w:rFonts w:ascii="Calibri" w:eastAsia="Calibri" w:hAnsi="Calibri" w:cs="Calibri"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EDC07F1"/>
    <w:multiLevelType w:val="hybridMultilevel"/>
    <w:tmpl w:val="1BE44F42"/>
    <w:lvl w:ilvl="0" w:tplc="FFFFFFFF">
      <w:start w:val="1"/>
      <w:numFmt w:val="decimal"/>
      <w:lvlText w:val="%1."/>
      <w:lvlJc w:val="left"/>
      <w:pPr>
        <w:ind w:left="757" w:hanging="360"/>
      </w:pPr>
      <w:rPr>
        <w:rFonts w:ascii="Calibri" w:eastAsia="Calibri" w:hAnsi="Calibri" w:cs="Calibri" w:hint="default"/>
        <w:b w:val="0"/>
        <w:bCs w:val="0"/>
      </w:rPr>
    </w:lvl>
    <w:lvl w:ilvl="1" w:tplc="FFFFFFFF" w:tentative="1">
      <w:start w:val="1"/>
      <w:numFmt w:val="lowerLetter"/>
      <w:lvlText w:val="%2."/>
      <w:lvlJc w:val="left"/>
      <w:pPr>
        <w:ind w:left="1477" w:hanging="360"/>
      </w:pPr>
    </w:lvl>
    <w:lvl w:ilvl="2" w:tplc="FFFFFFFF" w:tentative="1">
      <w:start w:val="1"/>
      <w:numFmt w:val="lowerRoman"/>
      <w:lvlText w:val="%3."/>
      <w:lvlJc w:val="right"/>
      <w:pPr>
        <w:ind w:left="2197" w:hanging="180"/>
      </w:pPr>
    </w:lvl>
    <w:lvl w:ilvl="3" w:tplc="FFFFFFFF" w:tentative="1">
      <w:start w:val="1"/>
      <w:numFmt w:val="decimal"/>
      <w:lvlText w:val="%4."/>
      <w:lvlJc w:val="left"/>
      <w:pPr>
        <w:ind w:left="2917" w:hanging="360"/>
      </w:pPr>
    </w:lvl>
    <w:lvl w:ilvl="4" w:tplc="FFFFFFFF" w:tentative="1">
      <w:start w:val="1"/>
      <w:numFmt w:val="lowerLetter"/>
      <w:lvlText w:val="%5."/>
      <w:lvlJc w:val="left"/>
      <w:pPr>
        <w:ind w:left="3637" w:hanging="360"/>
      </w:pPr>
    </w:lvl>
    <w:lvl w:ilvl="5" w:tplc="FFFFFFFF" w:tentative="1">
      <w:start w:val="1"/>
      <w:numFmt w:val="lowerRoman"/>
      <w:lvlText w:val="%6."/>
      <w:lvlJc w:val="right"/>
      <w:pPr>
        <w:ind w:left="4357" w:hanging="180"/>
      </w:pPr>
    </w:lvl>
    <w:lvl w:ilvl="6" w:tplc="FFFFFFFF" w:tentative="1">
      <w:start w:val="1"/>
      <w:numFmt w:val="decimal"/>
      <w:lvlText w:val="%7."/>
      <w:lvlJc w:val="left"/>
      <w:pPr>
        <w:ind w:left="5077" w:hanging="360"/>
      </w:pPr>
    </w:lvl>
    <w:lvl w:ilvl="7" w:tplc="FFFFFFFF" w:tentative="1">
      <w:start w:val="1"/>
      <w:numFmt w:val="lowerLetter"/>
      <w:lvlText w:val="%8."/>
      <w:lvlJc w:val="left"/>
      <w:pPr>
        <w:ind w:left="5797" w:hanging="360"/>
      </w:pPr>
    </w:lvl>
    <w:lvl w:ilvl="8" w:tplc="FFFFFFFF" w:tentative="1">
      <w:start w:val="1"/>
      <w:numFmt w:val="lowerRoman"/>
      <w:lvlText w:val="%9."/>
      <w:lvlJc w:val="right"/>
      <w:pPr>
        <w:ind w:left="6517" w:hanging="180"/>
      </w:pPr>
    </w:lvl>
  </w:abstractNum>
  <w:abstractNum w:abstractNumId="74" w15:restartNumberingAfterBreak="0">
    <w:nsid w:val="50F209ED"/>
    <w:multiLevelType w:val="multilevel"/>
    <w:tmpl w:val="D38A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24865BC"/>
    <w:multiLevelType w:val="multilevel"/>
    <w:tmpl w:val="71EA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35A77C9"/>
    <w:multiLevelType w:val="hybridMultilevel"/>
    <w:tmpl w:val="47B416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36924E9"/>
    <w:multiLevelType w:val="multilevel"/>
    <w:tmpl w:val="65EC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3B21200"/>
    <w:multiLevelType w:val="multilevel"/>
    <w:tmpl w:val="65AAB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42C533B"/>
    <w:multiLevelType w:val="hybridMultilevel"/>
    <w:tmpl w:val="9418EE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57CF5ACA"/>
    <w:multiLevelType w:val="hybridMultilevel"/>
    <w:tmpl w:val="4300A9D0"/>
    <w:lvl w:ilvl="0" w:tplc="FFFFFFFF">
      <w:start w:val="1"/>
      <w:numFmt w:val="decimal"/>
      <w:lvlText w:val="%1."/>
      <w:lvlJc w:val="left"/>
      <w:pPr>
        <w:ind w:left="720" w:hanging="360"/>
      </w:pPr>
      <w:rPr>
        <w:rFonts w:ascii="Calibri" w:eastAsia="Calibri" w:hAnsi="Calibri" w:cs="Calibri"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9B010A7"/>
    <w:multiLevelType w:val="multilevel"/>
    <w:tmpl w:val="34040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A2911C1"/>
    <w:multiLevelType w:val="hybridMultilevel"/>
    <w:tmpl w:val="9FD89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B896E64"/>
    <w:multiLevelType w:val="hybridMultilevel"/>
    <w:tmpl w:val="EC2AC958"/>
    <w:lvl w:ilvl="0" w:tplc="FFFFFFFF">
      <w:start w:val="1"/>
      <w:numFmt w:val="decimal"/>
      <w:lvlText w:val="%1."/>
      <w:lvlJc w:val="left"/>
      <w:pPr>
        <w:ind w:left="720" w:hanging="360"/>
      </w:pPr>
      <w:rPr>
        <w:rFonts w:ascii="Calibri" w:eastAsia="Calibri" w:hAnsi="Calibri" w:cs="Calibri"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5EB34B75"/>
    <w:multiLevelType w:val="hybridMultilevel"/>
    <w:tmpl w:val="DCA09B00"/>
    <w:lvl w:ilvl="0" w:tplc="08090001">
      <w:start w:val="1"/>
      <w:numFmt w:val="bullet"/>
      <w:lvlText w:val=""/>
      <w:lvlJc w:val="left"/>
      <w:pPr>
        <w:ind w:left="360" w:firstLine="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5EB457FF"/>
    <w:multiLevelType w:val="hybridMultilevel"/>
    <w:tmpl w:val="1632C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FBB4E2A"/>
    <w:multiLevelType w:val="multilevel"/>
    <w:tmpl w:val="B1721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0770A06"/>
    <w:multiLevelType w:val="multilevel"/>
    <w:tmpl w:val="60BC9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2B925C5"/>
    <w:multiLevelType w:val="multilevel"/>
    <w:tmpl w:val="7E0C0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3B26F7A"/>
    <w:multiLevelType w:val="hybridMultilevel"/>
    <w:tmpl w:val="D9C61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50963AF"/>
    <w:multiLevelType w:val="multilevel"/>
    <w:tmpl w:val="DE7A8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5E55D5E"/>
    <w:multiLevelType w:val="multilevel"/>
    <w:tmpl w:val="1BE44F42"/>
    <w:numStyleLink w:val="Style1"/>
  </w:abstractNum>
  <w:abstractNum w:abstractNumId="92" w15:restartNumberingAfterBreak="0">
    <w:nsid w:val="66355740"/>
    <w:multiLevelType w:val="multilevel"/>
    <w:tmpl w:val="14BE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8A426EF"/>
    <w:multiLevelType w:val="hybridMultilevel"/>
    <w:tmpl w:val="1BE44F42"/>
    <w:lvl w:ilvl="0" w:tplc="FFFFFFFF">
      <w:start w:val="1"/>
      <w:numFmt w:val="decimal"/>
      <w:lvlText w:val="%1."/>
      <w:lvlJc w:val="left"/>
      <w:pPr>
        <w:ind w:left="757" w:hanging="360"/>
      </w:pPr>
      <w:rPr>
        <w:rFonts w:ascii="Calibri" w:eastAsia="Calibri" w:hAnsi="Calibri" w:cs="Calibri" w:hint="default"/>
        <w:b w:val="0"/>
        <w:bCs w:val="0"/>
      </w:rPr>
    </w:lvl>
    <w:lvl w:ilvl="1" w:tplc="FFFFFFFF" w:tentative="1">
      <w:start w:val="1"/>
      <w:numFmt w:val="lowerLetter"/>
      <w:lvlText w:val="%2."/>
      <w:lvlJc w:val="left"/>
      <w:pPr>
        <w:ind w:left="1477" w:hanging="360"/>
      </w:pPr>
    </w:lvl>
    <w:lvl w:ilvl="2" w:tplc="FFFFFFFF" w:tentative="1">
      <w:start w:val="1"/>
      <w:numFmt w:val="lowerRoman"/>
      <w:lvlText w:val="%3."/>
      <w:lvlJc w:val="right"/>
      <w:pPr>
        <w:ind w:left="2197" w:hanging="180"/>
      </w:pPr>
    </w:lvl>
    <w:lvl w:ilvl="3" w:tplc="FFFFFFFF" w:tentative="1">
      <w:start w:val="1"/>
      <w:numFmt w:val="decimal"/>
      <w:lvlText w:val="%4."/>
      <w:lvlJc w:val="left"/>
      <w:pPr>
        <w:ind w:left="2917" w:hanging="360"/>
      </w:pPr>
    </w:lvl>
    <w:lvl w:ilvl="4" w:tplc="FFFFFFFF" w:tentative="1">
      <w:start w:val="1"/>
      <w:numFmt w:val="lowerLetter"/>
      <w:lvlText w:val="%5."/>
      <w:lvlJc w:val="left"/>
      <w:pPr>
        <w:ind w:left="3637" w:hanging="360"/>
      </w:pPr>
    </w:lvl>
    <w:lvl w:ilvl="5" w:tplc="FFFFFFFF" w:tentative="1">
      <w:start w:val="1"/>
      <w:numFmt w:val="lowerRoman"/>
      <w:lvlText w:val="%6."/>
      <w:lvlJc w:val="right"/>
      <w:pPr>
        <w:ind w:left="4357" w:hanging="180"/>
      </w:pPr>
    </w:lvl>
    <w:lvl w:ilvl="6" w:tplc="FFFFFFFF" w:tentative="1">
      <w:start w:val="1"/>
      <w:numFmt w:val="decimal"/>
      <w:lvlText w:val="%7."/>
      <w:lvlJc w:val="left"/>
      <w:pPr>
        <w:ind w:left="5077" w:hanging="360"/>
      </w:pPr>
    </w:lvl>
    <w:lvl w:ilvl="7" w:tplc="FFFFFFFF" w:tentative="1">
      <w:start w:val="1"/>
      <w:numFmt w:val="lowerLetter"/>
      <w:lvlText w:val="%8."/>
      <w:lvlJc w:val="left"/>
      <w:pPr>
        <w:ind w:left="5797" w:hanging="360"/>
      </w:pPr>
    </w:lvl>
    <w:lvl w:ilvl="8" w:tplc="FFFFFFFF" w:tentative="1">
      <w:start w:val="1"/>
      <w:numFmt w:val="lowerRoman"/>
      <w:lvlText w:val="%9."/>
      <w:lvlJc w:val="right"/>
      <w:pPr>
        <w:ind w:left="6517" w:hanging="180"/>
      </w:pPr>
    </w:lvl>
  </w:abstractNum>
  <w:abstractNum w:abstractNumId="94" w15:restartNumberingAfterBreak="0">
    <w:nsid w:val="6B2248ED"/>
    <w:multiLevelType w:val="hybridMultilevel"/>
    <w:tmpl w:val="1BE44F42"/>
    <w:lvl w:ilvl="0" w:tplc="FFFFFFFF">
      <w:start w:val="1"/>
      <w:numFmt w:val="decimal"/>
      <w:lvlText w:val="%1."/>
      <w:lvlJc w:val="left"/>
      <w:pPr>
        <w:ind w:left="757" w:hanging="360"/>
      </w:pPr>
      <w:rPr>
        <w:rFonts w:ascii="Calibri" w:eastAsia="Calibri" w:hAnsi="Calibri" w:cs="Calibri" w:hint="default"/>
        <w:b w:val="0"/>
        <w:bCs w:val="0"/>
      </w:rPr>
    </w:lvl>
    <w:lvl w:ilvl="1" w:tplc="FFFFFFFF">
      <w:start w:val="1"/>
      <w:numFmt w:val="lowerLetter"/>
      <w:lvlText w:val="%2."/>
      <w:lvlJc w:val="left"/>
      <w:pPr>
        <w:ind w:left="1477" w:hanging="360"/>
      </w:pPr>
    </w:lvl>
    <w:lvl w:ilvl="2" w:tplc="FFFFFFFF" w:tentative="1">
      <w:start w:val="1"/>
      <w:numFmt w:val="lowerRoman"/>
      <w:lvlText w:val="%3."/>
      <w:lvlJc w:val="right"/>
      <w:pPr>
        <w:ind w:left="2197" w:hanging="180"/>
      </w:pPr>
    </w:lvl>
    <w:lvl w:ilvl="3" w:tplc="FFFFFFFF" w:tentative="1">
      <w:start w:val="1"/>
      <w:numFmt w:val="decimal"/>
      <w:lvlText w:val="%4."/>
      <w:lvlJc w:val="left"/>
      <w:pPr>
        <w:ind w:left="2917" w:hanging="360"/>
      </w:pPr>
    </w:lvl>
    <w:lvl w:ilvl="4" w:tplc="FFFFFFFF" w:tentative="1">
      <w:start w:val="1"/>
      <w:numFmt w:val="lowerLetter"/>
      <w:lvlText w:val="%5."/>
      <w:lvlJc w:val="left"/>
      <w:pPr>
        <w:ind w:left="3637" w:hanging="360"/>
      </w:pPr>
    </w:lvl>
    <w:lvl w:ilvl="5" w:tplc="FFFFFFFF" w:tentative="1">
      <w:start w:val="1"/>
      <w:numFmt w:val="lowerRoman"/>
      <w:lvlText w:val="%6."/>
      <w:lvlJc w:val="right"/>
      <w:pPr>
        <w:ind w:left="4357" w:hanging="180"/>
      </w:pPr>
    </w:lvl>
    <w:lvl w:ilvl="6" w:tplc="FFFFFFFF" w:tentative="1">
      <w:start w:val="1"/>
      <w:numFmt w:val="decimal"/>
      <w:lvlText w:val="%7."/>
      <w:lvlJc w:val="left"/>
      <w:pPr>
        <w:ind w:left="5077" w:hanging="360"/>
      </w:pPr>
    </w:lvl>
    <w:lvl w:ilvl="7" w:tplc="FFFFFFFF" w:tentative="1">
      <w:start w:val="1"/>
      <w:numFmt w:val="lowerLetter"/>
      <w:lvlText w:val="%8."/>
      <w:lvlJc w:val="left"/>
      <w:pPr>
        <w:ind w:left="5797" w:hanging="360"/>
      </w:pPr>
    </w:lvl>
    <w:lvl w:ilvl="8" w:tplc="FFFFFFFF" w:tentative="1">
      <w:start w:val="1"/>
      <w:numFmt w:val="lowerRoman"/>
      <w:lvlText w:val="%9."/>
      <w:lvlJc w:val="right"/>
      <w:pPr>
        <w:ind w:left="6517" w:hanging="180"/>
      </w:pPr>
    </w:lvl>
  </w:abstractNum>
  <w:abstractNum w:abstractNumId="95" w15:restartNumberingAfterBreak="0">
    <w:nsid w:val="6B574370"/>
    <w:multiLevelType w:val="multilevel"/>
    <w:tmpl w:val="E8E66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BC11944"/>
    <w:multiLevelType w:val="multilevel"/>
    <w:tmpl w:val="D758F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E6869BE"/>
    <w:multiLevelType w:val="multilevel"/>
    <w:tmpl w:val="D312E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EE51AC9"/>
    <w:multiLevelType w:val="hybridMultilevel"/>
    <w:tmpl w:val="DC2E8D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9" w15:restartNumberingAfterBreak="0">
    <w:nsid w:val="70EB390A"/>
    <w:multiLevelType w:val="multilevel"/>
    <w:tmpl w:val="E4FC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2893E00"/>
    <w:multiLevelType w:val="multilevel"/>
    <w:tmpl w:val="ADDEC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2C84307"/>
    <w:multiLevelType w:val="multilevel"/>
    <w:tmpl w:val="32066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2D652BE"/>
    <w:multiLevelType w:val="multilevel"/>
    <w:tmpl w:val="FC74B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3037AC8"/>
    <w:multiLevelType w:val="multilevel"/>
    <w:tmpl w:val="ADE80AB2"/>
    <w:lvl w:ilvl="0">
      <w:start w:val="1"/>
      <w:numFmt w:val="bullet"/>
      <w:lvlText w:val=""/>
      <w:lvlJc w:val="left"/>
      <w:pPr>
        <w:tabs>
          <w:tab w:val="num" w:pos="1154"/>
        </w:tabs>
        <w:ind w:left="1154" w:hanging="360"/>
      </w:pPr>
      <w:rPr>
        <w:rFonts w:ascii="Symbol" w:hAnsi="Symbol" w:hint="default"/>
        <w:sz w:val="20"/>
      </w:rPr>
    </w:lvl>
    <w:lvl w:ilvl="1">
      <w:numFmt w:val="bullet"/>
      <w:lvlText w:val="-"/>
      <w:lvlJc w:val="left"/>
      <w:pPr>
        <w:ind w:left="1874" w:hanging="360"/>
      </w:pPr>
      <w:rPr>
        <w:rFonts w:ascii="Calibri" w:eastAsia="Calibri" w:hAnsi="Calibri" w:cs="Calibri" w:hint="default"/>
        <w:sz w:val="24"/>
      </w:rPr>
    </w:lvl>
    <w:lvl w:ilvl="2" w:tentative="1">
      <w:start w:val="1"/>
      <w:numFmt w:val="bullet"/>
      <w:lvlText w:val=""/>
      <w:lvlJc w:val="left"/>
      <w:pPr>
        <w:tabs>
          <w:tab w:val="num" w:pos="2594"/>
        </w:tabs>
        <w:ind w:left="2594" w:hanging="360"/>
      </w:pPr>
      <w:rPr>
        <w:rFonts w:ascii="Wingdings" w:hAnsi="Wingdings" w:hint="default"/>
        <w:sz w:val="20"/>
      </w:rPr>
    </w:lvl>
    <w:lvl w:ilvl="3" w:tentative="1">
      <w:start w:val="1"/>
      <w:numFmt w:val="bullet"/>
      <w:lvlText w:val=""/>
      <w:lvlJc w:val="left"/>
      <w:pPr>
        <w:tabs>
          <w:tab w:val="num" w:pos="3314"/>
        </w:tabs>
        <w:ind w:left="3314" w:hanging="360"/>
      </w:pPr>
      <w:rPr>
        <w:rFonts w:ascii="Wingdings" w:hAnsi="Wingdings" w:hint="default"/>
        <w:sz w:val="20"/>
      </w:rPr>
    </w:lvl>
    <w:lvl w:ilvl="4" w:tentative="1">
      <w:start w:val="1"/>
      <w:numFmt w:val="bullet"/>
      <w:lvlText w:val=""/>
      <w:lvlJc w:val="left"/>
      <w:pPr>
        <w:tabs>
          <w:tab w:val="num" w:pos="4034"/>
        </w:tabs>
        <w:ind w:left="4034" w:hanging="360"/>
      </w:pPr>
      <w:rPr>
        <w:rFonts w:ascii="Wingdings" w:hAnsi="Wingdings" w:hint="default"/>
        <w:sz w:val="20"/>
      </w:rPr>
    </w:lvl>
    <w:lvl w:ilvl="5" w:tentative="1">
      <w:start w:val="1"/>
      <w:numFmt w:val="bullet"/>
      <w:lvlText w:val=""/>
      <w:lvlJc w:val="left"/>
      <w:pPr>
        <w:tabs>
          <w:tab w:val="num" w:pos="4754"/>
        </w:tabs>
        <w:ind w:left="4754" w:hanging="360"/>
      </w:pPr>
      <w:rPr>
        <w:rFonts w:ascii="Wingdings" w:hAnsi="Wingdings" w:hint="default"/>
        <w:sz w:val="20"/>
      </w:rPr>
    </w:lvl>
    <w:lvl w:ilvl="6" w:tentative="1">
      <w:start w:val="1"/>
      <w:numFmt w:val="bullet"/>
      <w:lvlText w:val=""/>
      <w:lvlJc w:val="left"/>
      <w:pPr>
        <w:tabs>
          <w:tab w:val="num" w:pos="5474"/>
        </w:tabs>
        <w:ind w:left="5474" w:hanging="360"/>
      </w:pPr>
      <w:rPr>
        <w:rFonts w:ascii="Wingdings" w:hAnsi="Wingdings" w:hint="default"/>
        <w:sz w:val="20"/>
      </w:rPr>
    </w:lvl>
    <w:lvl w:ilvl="7" w:tentative="1">
      <w:start w:val="1"/>
      <w:numFmt w:val="bullet"/>
      <w:lvlText w:val=""/>
      <w:lvlJc w:val="left"/>
      <w:pPr>
        <w:tabs>
          <w:tab w:val="num" w:pos="6194"/>
        </w:tabs>
        <w:ind w:left="6194" w:hanging="360"/>
      </w:pPr>
      <w:rPr>
        <w:rFonts w:ascii="Wingdings" w:hAnsi="Wingdings" w:hint="default"/>
        <w:sz w:val="20"/>
      </w:rPr>
    </w:lvl>
    <w:lvl w:ilvl="8" w:tentative="1">
      <w:start w:val="1"/>
      <w:numFmt w:val="bullet"/>
      <w:lvlText w:val=""/>
      <w:lvlJc w:val="left"/>
      <w:pPr>
        <w:tabs>
          <w:tab w:val="num" w:pos="6914"/>
        </w:tabs>
        <w:ind w:left="6914" w:hanging="360"/>
      </w:pPr>
      <w:rPr>
        <w:rFonts w:ascii="Wingdings" w:hAnsi="Wingdings" w:hint="default"/>
        <w:sz w:val="20"/>
      </w:rPr>
    </w:lvl>
  </w:abstractNum>
  <w:abstractNum w:abstractNumId="104" w15:restartNumberingAfterBreak="0">
    <w:nsid w:val="73666978"/>
    <w:multiLevelType w:val="multilevel"/>
    <w:tmpl w:val="C6C29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3677E3E"/>
    <w:multiLevelType w:val="multilevel"/>
    <w:tmpl w:val="BC34C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4687DFD"/>
    <w:multiLevelType w:val="multilevel"/>
    <w:tmpl w:val="5650C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6240832"/>
    <w:multiLevelType w:val="hybridMultilevel"/>
    <w:tmpl w:val="1ED2D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6892F38"/>
    <w:multiLevelType w:val="multilevel"/>
    <w:tmpl w:val="707A8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75969DF"/>
    <w:multiLevelType w:val="hybridMultilevel"/>
    <w:tmpl w:val="1BE44F42"/>
    <w:lvl w:ilvl="0" w:tplc="FFFFFFFF">
      <w:start w:val="1"/>
      <w:numFmt w:val="decimal"/>
      <w:lvlText w:val="%1."/>
      <w:lvlJc w:val="left"/>
      <w:pPr>
        <w:ind w:left="757" w:hanging="360"/>
      </w:pPr>
      <w:rPr>
        <w:rFonts w:ascii="Calibri" w:eastAsia="Calibri" w:hAnsi="Calibri" w:cs="Calibri" w:hint="default"/>
        <w:b w:val="0"/>
        <w:bCs w:val="0"/>
      </w:rPr>
    </w:lvl>
    <w:lvl w:ilvl="1" w:tplc="FFFFFFFF">
      <w:start w:val="1"/>
      <w:numFmt w:val="lowerLetter"/>
      <w:lvlText w:val="%2."/>
      <w:lvlJc w:val="left"/>
      <w:pPr>
        <w:ind w:left="1477" w:hanging="360"/>
      </w:pPr>
    </w:lvl>
    <w:lvl w:ilvl="2" w:tplc="FFFFFFFF" w:tentative="1">
      <w:start w:val="1"/>
      <w:numFmt w:val="lowerRoman"/>
      <w:lvlText w:val="%3."/>
      <w:lvlJc w:val="right"/>
      <w:pPr>
        <w:ind w:left="2197" w:hanging="180"/>
      </w:pPr>
    </w:lvl>
    <w:lvl w:ilvl="3" w:tplc="FFFFFFFF" w:tentative="1">
      <w:start w:val="1"/>
      <w:numFmt w:val="decimal"/>
      <w:lvlText w:val="%4."/>
      <w:lvlJc w:val="left"/>
      <w:pPr>
        <w:ind w:left="2917" w:hanging="360"/>
      </w:pPr>
    </w:lvl>
    <w:lvl w:ilvl="4" w:tplc="FFFFFFFF" w:tentative="1">
      <w:start w:val="1"/>
      <w:numFmt w:val="lowerLetter"/>
      <w:lvlText w:val="%5."/>
      <w:lvlJc w:val="left"/>
      <w:pPr>
        <w:ind w:left="3637" w:hanging="360"/>
      </w:pPr>
    </w:lvl>
    <w:lvl w:ilvl="5" w:tplc="FFFFFFFF" w:tentative="1">
      <w:start w:val="1"/>
      <w:numFmt w:val="lowerRoman"/>
      <w:lvlText w:val="%6."/>
      <w:lvlJc w:val="right"/>
      <w:pPr>
        <w:ind w:left="4357" w:hanging="180"/>
      </w:pPr>
    </w:lvl>
    <w:lvl w:ilvl="6" w:tplc="FFFFFFFF" w:tentative="1">
      <w:start w:val="1"/>
      <w:numFmt w:val="decimal"/>
      <w:lvlText w:val="%7."/>
      <w:lvlJc w:val="left"/>
      <w:pPr>
        <w:ind w:left="5077" w:hanging="360"/>
      </w:pPr>
    </w:lvl>
    <w:lvl w:ilvl="7" w:tplc="FFFFFFFF" w:tentative="1">
      <w:start w:val="1"/>
      <w:numFmt w:val="lowerLetter"/>
      <w:lvlText w:val="%8."/>
      <w:lvlJc w:val="left"/>
      <w:pPr>
        <w:ind w:left="5797" w:hanging="360"/>
      </w:pPr>
    </w:lvl>
    <w:lvl w:ilvl="8" w:tplc="FFFFFFFF" w:tentative="1">
      <w:start w:val="1"/>
      <w:numFmt w:val="lowerRoman"/>
      <w:lvlText w:val="%9."/>
      <w:lvlJc w:val="right"/>
      <w:pPr>
        <w:ind w:left="6517" w:hanging="180"/>
      </w:pPr>
    </w:lvl>
  </w:abstractNum>
  <w:abstractNum w:abstractNumId="110" w15:restartNumberingAfterBreak="0">
    <w:nsid w:val="77A30C8F"/>
    <w:multiLevelType w:val="multilevel"/>
    <w:tmpl w:val="1BE44F42"/>
    <w:styleLink w:val="Style1"/>
    <w:lvl w:ilvl="0">
      <w:start w:val="1"/>
      <w:numFmt w:val="decimal"/>
      <w:lvlText w:val="%1."/>
      <w:lvlJc w:val="left"/>
      <w:pPr>
        <w:ind w:left="720" w:hanging="360"/>
      </w:pPr>
      <w:rPr>
        <w:rFonts w:ascii="Calibri" w:eastAsia="Calibri" w:hAnsi="Calibri" w:cs="Calibri"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8AE745E"/>
    <w:multiLevelType w:val="multilevel"/>
    <w:tmpl w:val="23DC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8F82207"/>
    <w:multiLevelType w:val="hybridMultilevel"/>
    <w:tmpl w:val="4300A9D0"/>
    <w:lvl w:ilvl="0" w:tplc="FFFFFFFF">
      <w:start w:val="1"/>
      <w:numFmt w:val="decimal"/>
      <w:lvlText w:val="%1."/>
      <w:lvlJc w:val="left"/>
      <w:pPr>
        <w:ind w:left="720" w:hanging="360"/>
      </w:pPr>
      <w:rPr>
        <w:rFonts w:ascii="Calibri" w:eastAsia="Calibri" w:hAnsi="Calibri" w:cs="Calibri"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792F4846"/>
    <w:multiLevelType w:val="hybridMultilevel"/>
    <w:tmpl w:val="F4445E7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4" w15:restartNumberingAfterBreak="0">
    <w:nsid w:val="79AE56B1"/>
    <w:multiLevelType w:val="hybridMultilevel"/>
    <w:tmpl w:val="1BE44F42"/>
    <w:lvl w:ilvl="0" w:tplc="FFFFFFFF">
      <w:start w:val="1"/>
      <w:numFmt w:val="decimal"/>
      <w:lvlText w:val="%1."/>
      <w:lvlJc w:val="left"/>
      <w:pPr>
        <w:ind w:left="720" w:hanging="360"/>
      </w:pPr>
      <w:rPr>
        <w:rFonts w:ascii="Calibri" w:eastAsia="Calibri" w:hAnsi="Calibri" w:cs="Calibri"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7BF952C0"/>
    <w:multiLevelType w:val="multilevel"/>
    <w:tmpl w:val="AA8C3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CB91DFC"/>
    <w:multiLevelType w:val="multilevel"/>
    <w:tmpl w:val="0ABC4D0C"/>
    <w:lvl w:ilvl="0">
      <w:start w:val="1"/>
      <w:numFmt w:val="bullet"/>
      <w:lvlText w:val=""/>
      <w:lvlJc w:val="left"/>
      <w:pPr>
        <w:tabs>
          <w:tab w:val="num" w:pos="1154"/>
        </w:tabs>
        <w:ind w:left="1154" w:hanging="360"/>
      </w:pPr>
      <w:rPr>
        <w:rFonts w:ascii="Symbol" w:hAnsi="Symbol" w:hint="default"/>
        <w:sz w:val="20"/>
      </w:rPr>
    </w:lvl>
    <w:lvl w:ilvl="1">
      <w:start w:val="1"/>
      <w:numFmt w:val="bullet"/>
      <w:lvlText w:val=""/>
      <w:lvlJc w:val="left"/>
      <w:pPr>
        <w:ind w:left="1874" w:hanging="360"/>
      </w:pPr>
      <w:rPr>
        <w:rFonts w:ascii="Symbol" w:hAnsi="Symbol" w:hint="default"/>
      </w:rPr>
    </w:lvl>
    <w:lvl w:ilvl="2" w:tentative="1">
      <w:start w:val="1"/>
      <w:numFmt w:val="bullet"/>
      <w:lvlText w:val=""/>
      <w:lvlJc w:val="left"/>
      <w:pPr>
        <w:tabs>
          <w:tab w:val="num" w:pos="2594"/>
        </w:tabs>
        <w:ind w:left="2594" w:hanging="360"/>
      </w:pPr>
      <w:rPr>
        <w:rFonts w:ascii="Wingdings" w:hAnsi="Wingdings" w:hint="default"/>
        <w:sz w:val="20"/>
      </w:rPr>
    </w:lvl>
    <w:lvl w:ilvl="3" w:tentative="1">
      <w:start w:val="1"/>
      <w:numFmt w:val="bullet"/>
      <w:lvlText w:val=""/>
      <w:lvlJc w:val="left"/>
      <w:pPr>
        <w:tabs>
          <w:tab w:val="num" w:pos="3314"/>
        </w:tabs>
        <w:ind w:left="3314" w:hanging="360"/>
      </w:pPr>
      <w:rPr>
        <w:rFonts w:ascii="Wingdings" w:hAnsi="Wingdings" w:hint="default"/>
        <w:sz w:val="20"/>
      </w:rPr>
    </w:lvl>
    <w:lvl w:ilvl="4" w:tentative="1">
      <w:start w:val="1"/>
      <w:numFmt w:val="bullet"/>
      <w:lvlText w:val=""/>
      <w:lvlJc w:val="left"/>
      <w:pPr>
        <w:tabs>
          <w:tab w:val="num" w:pos="4034"/>
        </w:tabs>
        <w:ind w:left="4034" w:hanging="360"/>
      </w:pPr>
      <w:rPr>
        <w:rFonts w:ascii="Wingdings" w:hAnsi="Wingdings" w:hint="default"/>
        <w:sz w:val="20"/>
      </w:rPr>
    </w:lvl>
    <w:lvl w:ilvl="5" w:tentative="1">
      <w:start w:val="1"/>
      <w:numFmt w:val="bullet"/>
      <w:lvlText w:val=""/>
      <w:lvlJc w:val="left"/>
      <w:pPr>
        <w:tabs>
          <w:tab w:val="num" w:pos="4754"/>
        </w:tabs>
        <w:ind w:left="4754" w:hanging="360"/>
      </w:pPr>
      <w:rPr>
        <w:rFonts w:ascii="Wingdings" w:hAnsi="Wingdings" w:hint="default"/>
        <w:sz w:val="20"/>
      </w:rPr>
    </w:lvl>
    <w:lvl w:ilvl="6" w:tentative="1">
      <w:start w:val="1"/>
      <w:numFmt w:val="bullet"/>
      <w:lvlText w:val=""/>
      <w:lvlJc w:val="left"/>
      <w:pPr>
        <w:tabs>
          <w:tab w:val="num" w:pos="5474"/>
        </w:tabs>
        <w:ind w:left="5474" w:hanging="360"/>
      </w:pPr>
      <w:rPr>
        <w:rFonts w:ascii="Wingdings" w:hAnsi="Wingdings" w:hint="default"/>
        <w:sz w:val="20"/>
      </w:rPr>
    </w:lvl>
    <w:lvl w:ilvl="7" w:tentative="1">
      <w:start w:val="1"/>
      <w:numFmt w:val="bullet"/>
      <w:lvlText w:val=""/>
      <w:lvlJc w:val="left"/>
      <w:pPr>
        <w:tabs>
          <w:tab w:val="num" w:pos="6194"/>
        </w:tabs>
        <w:ind w:left="6194" w:hanging="360"/>
      </w:pPr>
      <w:rPr>
        <w:rFonts w:ascii="Wingdings" w:hAnsi="Wingdings" w:hint="default"/>
        <w:sz w:val="20"/>
      </w:rPr>
    </w:lvl>
    <w:lvl w:ilvl="8" w:tentative="1">
      <w:start w:val="1"/>
      <w:numFmt w:val="bullet"/>
      <w:lvlText w:val=""/>
      <w:lvlJc w:val="left"/>
      <w:pPr>
        <w:tabs>
          <w:tab w:val="num" w:pos="6914"/>
        </w:tabs>
        <w:ind w:left="6914" w:hanging="360"/>
      </w:pPr>
      <w:rPr>
        <w:rFonts w:ascii="Wingdings" w:hAnsi="Wingdings" w:hint="default"/>
        <w:sz w:val="20"/>
      </w:rPr>
    </w:lvl>
  </w:abstractNum>
  <w:abstractNum w:abstractNumId="117" w15:restartNumberingAfterBreak="0">
    <w:nsid w:val="7D0F022D"/>
    <w:multiLevelType w:val="multilevel"/>
    <w:tmpl w:val="4CDCF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D382790"/>
    <w:multiLevelType w:val="hybridMultilevel"/>
    <w:tmpl w:val="5AD87292"/>
    <w:lvl w:ilvl="0" w:tplc="C610EC2E">
      <w:start w:val="2"/>
      <w:numFmt w:val="bullet"/>
      <w:lvlText w:val="-"/>
      <w:lvlJc w:val="left"/>
      <w:pPr>
        <w:ind w:left="360" w:firstLine="0"/>
      </w:pPr>
      <w:rPr>
        <w:rFonts w:asciiTheme="minorHAnsi" w:eastAsia="Times New Roman"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D7662EF"/>
    <w:multiLevelType w:val="hybridMultilevel"/>
    <w:tmpl w:val="7C2AEF2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7DE51815"/>
    <w:multiLevelType w:val="hybridMultilevel"/>
    <w:tmpl w:val="DE003A6A"/>
    <w:lvl w:ilvl="0" w:tplc="9ECC77FE">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7FD61618"/>
    <w:multiLevelType w:val="multilevel"/>
    <w:tmpl w:val="90184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4674118">
    <w:abstractNumId w:val="70"/>
  </w:num>
  <w:num w:numId="2" w16cid:durableId="22825227">
    <w:abstractNumId w:val="15"/>
  </w:num>
  <w:num w:numId="3" w16cid:durableId="617951238">
    <w:abstractNumId w:val="6"/>
  </w:num>
  <w:num w:numId="4" w16cid:durableId="616060109">
    <w:abstractNumId w:val="53"/>
  </w:num>
  <w:num w:numId="5" w16cid:durableId="1605531336">
    <w:abstractNumId w:val="60"/>
  </w:num>
  <w:num w:numId="6" w16cid:durableId="1921330618">
    <w:abstractNumId w:val="67"/>
  </w:num>
  <w:num w:numId="7" w16cid:durableId="390688862">
    <w:abstractNumId w:val="85"/>
  </w:num>
  <w:num w:numId="8" w16cid:durableId="383677089">
    <w:abstractNumId w:val="89"/>
  </w:num>
  <w:num w:numId="9" w16cid:durableId="808670188">
    <w:abstractNumId w:val="66"/>
  </w:num>
  <w:num w:numId="10" w16cid:durableId="1462113392">
    <w:abstractNumId w:val="119"/>
  </w:num>
  <w:num w:numId="11" w16cid:durableId="804473907">
    <w:abstractNumId w:val="113"/>
  </w:num>
  <w:num w:numId="12" w16cid:durableId="1800300912">
    <w:abstractNumId w:val="102"/>
  </w:num>
  <w:num w:numId="13" w16cid:durableId="214465728">
    <w:abstractNumId w:val="47"/>
  </w:num>
  <w:num w:numId="14" w16cid:durableId="370423559">
    <w:abstractNumId w:val="33"/>
  </w:num>
  <w:num w:numId="15" w16cid:durableId="1258946612">
    <w:abstractNumId w:val="90"/>
  </w:num>
  <w:num w:numId="16" w16cid:durableId="198325520">
    <w:abstractNumId w:val="97"/>
  </w:num>
  <w:num w:numId="17" w16cid:durableId="1708070251">
    <w:abstractNumId w:val="2"/>
  </w:num>
  <w:num w:numId="18" w16cid:durableId="335811832">
    <w:abstractNumId w:val="87"/>
  </w:num>
  <w:num w:numId="19" w16cid:durableId="471799633">
    <w:abstractNumId w:val="115"/>
  </w:num>
  <w:num w:numId="20" w16cid:durableId="1874928123">
    <w:abstractNumId w:val="37"/>
  </w:num>
  <w:num w:numId="21" w16cid:durableId="1218857319">
    <w:abstractNumId w:val="92"/>
  </w:num>
  <w:num w:numId="22" w16cid:durableId="1845708251">
    <w:abstractNumId w:val="74"/>
  </w:num>
  <w:num w:numId="23" w16cid:durableId="1806117397">
    <w:abstractNumId w:val="46"/>
  </w:num>
  <w:num w:numId="24" w16cid:durableId="440733360">
    <w:abstractNumId w:val="68"/>
  </w:num>
  <w:num w:numId="25" w16cid:durableId="96296163">
    <w:abstractNumId w:val="7"/>
  </w:num>
  <w:num w:numId="26" w16cid:durableId="750934140">
    <w:abstractNumId w:val="3"/>
  </w:num>
  <w:num w:numId="27" w16cid:durableId="1740668270">
    <w:abstractNumId w:val="65"/>
  </w:num>
  <w:num w:numId="28" w16cid:durableId="1857763919">
    <w:abstractNumId w:val="17"/>
  </w:num>
  <w:num w:numId="29" w16cid:durableId="817456814">
    <w:abstractNumId w:val="34"/>
  </w:num>
  <w:num w:numId="30" w16cid:durableId="356929354">
    <w:abstractNumId w:val="95"/>
  </w:num>
  <w:num w:numId="31" w16cid:durableId="1388258237">
    <w:abstractNumId w:val="54"/>
  </w:num>
  <w:num w:numId="32" w16cid:durableId="689911748">
    <w:abstractNumId w:val="39"/>
  </w:num>
  <w:num w:numId="33" w16cid:durableId="167990047">
    <w:abstractNumId w:val="48"/>
  </w:num>
  <w:num w:numId="34" w16cid:durableId="1187862791">
    <w:abstractNumId w:val="108"/>
  </w:num>
  <w:num w:numId="35" w16cid:durableId="2121874557">
    <w:abstractNumId w:val="100"/>
  </w:num>
  <w:num w:numId="36" w16cid:durableId="454061802">
    <w:abstractNumId w:val="23"/>
  </w:num>
  <w:num w:numId="37" w16cid:durableId="199442358">
    <w:abstractNumId w:val="104"/>
  </w:num>
  <w:num w:numId="38" w16cid:durableId="1692029936">
    <w:abstractNumId w:val="61"/>
  </w:num>
  <w:num w:numId="39" w16cid:durableId="2823805">
    <w:abstractNumId w:val="117"/>
  </w:num>
  <w:num w:numId="40" w16cid:durableId="1918634005">
    <w:abstractNumId w:val="35"/>
  </w:num>
  <w:num w:numId="41" w16cid:durableId="745036221">
    <w:abstractNumId w:val="24"/>
  </w:num>
  <w:num w:numId="42" w16cid:durableId="1609314966">
    <w:abstractNumId w:val="14"/>
  </w:num>
  <w:num w:numId="43" w16cid:durableId="922645867">
    <w:abstractNumId w:val="50"/>
  </w:num>
  <w:num w:numId="44" w16cid:durableId="1683778514">
    <w:abstractNumId w:val="8"/>
  </w:num>
  <w:num w:numId="45" w16cid:durableId="317002023">
    <w:abstractNumId w:val="32"/>
  </w:num>
  <w:num w:numId="46" w16cid:durableId="987706980">
    <w:abstractNumId w:val="12"/>
  </w:num>
  <w:num w:numId="47" w16cid:durableId="1654403955">
    <w:abstractNumId w:val="121"/>
  </w:num>
  <w:num w:numId="48" w16cid:durableId="1114441928">
    <w:abstractNumId w:val="49"/>
  </w:num>
  <w:num w:numId="49" w16cid:durableId="609243490">
    <w:abstractNumId w:val="101"/>
  </w:num>
  <w:num w:numId="50" w16cid:durableId="1096898963">
    <w:abstractNumId w:val="42"/>
  </w:num>
  <w:num w:numId="51" w16cid:durableId="1745949897">
    <w:abstractNumId w:val="18"/>
  </w:num>
  <w:num w:numId="52" w16cid:durableId="778061689">
    <w:abstractNumId w:val="81"/>
  </w:num>
  <w:num w:numId="53" w16cid:durableId="702173833">
    <w:abstractNumId w:val="106"/>
  </w:num>
  <w:num w:numId="54" w16cid:durableId="534847377">
    <w:abstractNumId w:val="36"/>
  </w:num>
  <w:num w:numId="55" w16cid:durableId="2067290489">
    <w:abstractNumId w:val="64"/>
  </w:num>
  <w:num w:numId="56" w16cid:durableId="518784655">
    <w:abstractNumId w:val="86"/>
  </w:num>
  <w:num w:numId="57" w16cid:durableId="904726941">
    <w:abstractNumId w:val="111"/>
  </w:num>
  <w:num w:numId="58" w16cid:durableId="1037314775">
    <w:abstractNumId w:val="78"/>
  </w:num>
  <w:num w:numId="59" w16cid:durableId="1940916473">
    <w:abstractNumId w:val="77"/>
  </w:num>
  <w:num w:numId="60" w16cid:durableId="310063503">
    <w:abstractNumId w:val="75"/>
  </w:num>
  <w:num w:numId="61" w16cid:durableId="1141384952">
    <w:abstractNumId w:val="9"/>
  </w:num>
  <w:num w:numId="62" w16cid:durableId="665590738">
    <w:abstractNumId w:val="19"/>
  </w:num>
  <w:num w:numId="63" w16cid:durableId="424543526">
    <w:abstractNumId w:val="28"/>
  </w:num>
  <w:num w:numId="64" w16cid:durableId="1581981829">
    <w:abstractNumId w:val="105"/>
  </w:num>
  <w:num w:numId="65" w16cid:durableId="1760249074">
    <w:abstractNumId w:val="1"/>
  </w:num>
  <w:num w:numId="66" w16cid:durableId="747339115">
    <w:abstractNumId w:val="13"/>
  </w:num>
  <w:num w:numId="67" w16cid:durableId="282201098">
    <w:abstractNumId w:val="11"/>
  </w:num>
  <w:num w:numId="68" w16cid:durableId="1441998301">
    <w:abstractNumId w:val="51"/>
  </w:num>
  <w:num w:numId="69" w16cid:durableId="1609316471">
    <w:abstractNumId w:val="27"/>
  </w:num>
  <w:num w:numId="70" w16cid:durableId="1469740217">
    <w:abstractNumId w:val="88"/>
  </w:num>
  <w:num w:numId="71" w16cid:durableId="2096171549">
    <w:abstractNumId w:val="69"/>
  </w:num>
  <w:num w:numId="72" w16cid:durableId="505831763">
    <w:abstractNumId w:val="43"/>
  </w:num>
  <w:num w:numId="73" w16cid:durableId="1760128403">
    <w:abstractNumId w:val="52"/>
  </w:num>
  <w:num w:numId="74" w16cid:durableId="717708279">
    <w:abstractNumId w:val="26"/>
  </w:num>
  <w:num w:numId="75" w16cid:durableId="1621108825">
    <w:abstractNumId w:val="10"/>
  </w:num>
  <w:num w:numId="76" w16cid:durableId="1321691885">
    <w:abstractNumId w:val="71"/>
  </w:num>
  <w:num w:numId="77" w16cid:durableId="1525099660">
    <w:abstractNumId w:val="59"/>
  </w:num>
  <w:num w:numId="78" w16cid:durableId="1858228528">
    <w:abstractNumId w:val="25"/>
  </w:num>
  <w:num w:numId="79" w16cid:durableId="1490555445">
    <w:abstractNumId w:val="110"/>
  </w:num>
  <w:num w:numId="80" w16cid:durableId="1843352851">
    <w:abstractNumId w:val="91"/>
  </w:num>
  <w:num w:numId="81" w16cid:durableId="1609383852">
    <w:abstractNumId w:val="55"/>
  </w:num>
  <w:num w:numId="82" w16cid:durableId="101263158">
    <w:abstractNumId w:val="76"/>
  </w:num>
  <w:num w:numId="83" w16cid:durableId="384914780">
    <w:abstractNumId w:val="4"/>
  </w:num>
  <w:num w:numId="84" w16cid:durableId="1335498269">
    <w:abstractNumId w:val="98"/>
  </w:num>
  <w:num w:numId="85" w16cid:durableId="1387946784">
    <w:abstractNumId w:val="82"/>
  </w:num>
  <w:num w:numId="86" w16cid:durableId="1056708683">
    <w:abstractNumId w:val="93"/>
  </w:num>
  <w:num w:numId="87" w16cid:durableId="911549956">
    <w:abstractNumId w:val="114"/>
  </w:num>
  <w:num w:numId="88" w16cid:durableId="354384312">
    <w:abstractNumId w:val="73"/>
  </w:num>
  <w:num w:numId="89" w16cid:durableId="1860511185">
    <w:abstractNumId w:val="45"/>
  </w:num>
  <w:num w:numId="90" w16cid:durableId="274219242">
    <w:abstractNumId w:val="31"/>
  </w:num>
  <w:num w:numId="91" w16cid:durableId="1909923006">
    <w:abstractNumId w:val="94"/>
  </w:num>
  <w:num w:numId="92" w16cid:durableId="1777019506">
    <w:abstractNumId w:val="62"/>
  </w:num>
  <w:num w:numId="93" w16cid:durableId="573128004">
    <w:abstractNumId w:val="29"/>
  </w:num>
  <w:num w:numId="94" w16cid:durableId="1687946986">
    <w:abstractNumId w:val="120"/>
  </w:num>
  <w:num w:numId="95" w16cid:durableId="1506674351">
    <w:abstractNumId w:val="118"/>
  </w:num>
  <w:num w:numId="96" w16cid:durableId="1111513869">
    <w:abstractNumId w:val="103"/>
  </w:num>
  <w:num w:numId="97" w16cid:durableId="1439986681">
    <w:abstractNumId w:val="21"/>
  </w:num>
  <w:num w:numId="98" w16cid:durableId="1505897213">
    <w:abstractNumId w:val="109"/>
  </w:num>
  <w:num w:numId="99" w16cid:durableId="1536426099">
    <w:abstractNumId w:val="40"/>
  </w:num>
  <w:num w:numId="100" w16cid:durableId="203715995">
    <w:abstractNumId w:val="22"/>
  </w:num>
  <w:num w:numId="101" w16cid:durableId="1074819985">
    <w:abstractNumId w:val="83"/>
  </w:num>
  <w:num w:numId="102" w16cid:durableId="978265395">
    <w:abstractNumId w:val="72"/>
  </w:num>
  <w:num w:numId="103" w16cid:durableId="327169689">
    <w:abstractNumId w:val="80"/>
  </w:num>
  <w:num w:numId="104" w16cid:durableId="1060060684">
    <w:abstractNumId w:val="112"/>
  </w:num>
  <w:num w:numId="105" w16cid:durableId="409236106">
    <w:abstractNumId w:val="5"/>
  </w:num>
  <w:num w:numId="106" w16cid:durableId="33046459">
    <w:abstractNumId w:val="57"/>
  </w:num>
  <w:num w:numId="107" w16cid:durableId="1833065122">
    <w:abstractNumId w:val="30"/>
  </w:num>
  <w:num w:numId="108" w16cid:durableId="1275597092">
    <w:abstractNumId w:val="63"/>
  </w:num>
  <w:num w:numId="109" w16cid:durableId="1099837996">
    <w:abstractNumId w:val="58"/>
  </w:num>
  <w:num w:numId="110" w16cid:durableId="1907522993">
    <w:abstractNumId w:val="96"/>
  </w:num>
  <w:num w:numId="111" w16cid:durableId="1843087369">
    <w:abstractNumId w:val="44"/>
  </w:num>
  <w:num w:numId="112" w16cid:durableId="1893811020">
    <w:abstractNumId w:val="99"/>
  </w:num>
  <w:num w:numId="113" w16cid:durableId="1464230392">
    <w:abstractNumId w:val="16"/>
  </w:num>
  <w:num w:numId="114" w16cid:durableId="816455925">
    <w:abstractNumId w:val="56"/>
  </w:num>
  <w:num w:numId="115" w16cid:durableId="1175339161">
    <w:abstractNumId w:val="20"/>
  </w:num>
  <w:num w:numId="116" w16cid:durableId="1726643272">
    <w:abstractNumId w:val="38"/>
  </w:num>
  <w:num w:numId="117" w16cid:durableId="541944685">
    <w:abstractNumId w:val="0"/>
  </w:num>
  <w:num w:numId="118" w16cid:durableId="1833791380">
    <w:abstractNumId w:val="107"/>
  </w:num>
  <w:num w:numId="119" w16cid:durableId="1565990259">
    <w:abstractNumId w:val="79"/>
  </w:num>
  <w:num w:numId="120" w16cid:durableId="1406145676">
    <w:abstractNumId w:val="84"/>
  </w:num>
  <w:num w:numId="121" w16cid:durableId="1015838643">
    <w:abstractNumId w:val="116"/>
  </w:num>
  <w:num w:numId="122" w16cid:durableId="957296947">
    <w:abstractNumId w:val="41"/>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397"/>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SxMDU1MTQ0NzUxMLVU0lEKTi0uzszPAykwNqoFADi1sMYtAAAA"/>
  </w:docVars>
  <w:rsids>
    <w:rsidRoot w:val="003A6671"/>
    <w:rsid w:val="00000EA8"/>
    <w:rsid w:val="0000101E"/>
    <w:rsid w:val="00002AF5"/>
    <w:rsid w:val="00002F08"/>
    <w:rsid w:val="000033B4"/>
    <w:rsid w:val="000037C1"/>
    <w:rsid w:val="00003A42"/>
    <w:rsid w:val="0000401C"/>
    <w:rsid w:val="00004358"/>
    <w:rsid w:val="00004826"/>
    <w:rsid w:val="00004953"/>
    <w:rsid w:val="00004E72"/>
    <w:rsid w:val="000053E9"/>
    <w:rsid w:val="00005658"/>
    <w:rsid w:val="00005B32"/>
    <w:rsid w:val="00005B4E"/>
    <w:rsid w:val="00005CFB"/>
    <w:rsid w:val="00005F95"/>
    <w:rsid w:val="00006BCA"/>
    <w:rsid w:val="00006F12"/>
    <w:rsid w:val="000077E9"/>
    <w:rsid w:val="00007933"/>
    <w:rsid w:val="00007DC5"/>
    <w:rsid w:val="000100D2"/>
    <w:rsid w:val="000102FC"/>
    <w:rsid w:val="000110B8"/>
    <w:rsid w:val="00011357"/>
    <w:rsid w:val="00011556"/>
    <w:rsid w:val="000116A7"/>
    <w:rsid w:val="00012398"/>
    <w:rsid w:val="000128AF"/>
    <w:rsid w:val="00012C3F"/>
    <w:rsid w:val="00012F88"/>
    <w:rsid w:val="000137ED"/>
    <w:rsid w:val="00013DC8"/>
    <w:rsid w:val="00013F7D"/>
    <w:rsid w:val="00014294"/>
    <w:rsid w:val="00014398"/>
    <w:rsid w:val="000143C6"/>
    <w:rsid w:val="000143DF"/>
    <w:rsid w:val="000145B2"/>
    <w:rsid w:val="000145E3"/>
    <w:rsid w:val="0001477F"/>
    <w:rsid w:val="00014AE9"/>
    <w:rsid w:val="00014BBD"/>
    <w:rsid w:val="00014F64"/>
    <w:rsid w:val="000150E9"/>
    <w:rsid w:val="00015140"/>
    <w:rsid w:val="000151EB"/>
    <w:rsid w:val="000153BB"/>
    <w:rsid w:val="000153CA"/>
    <w:rsid w:val="00015465"/>
    <w:rsid w:val="0001560A"/>
    <w:rsid w:val="00015705"/>
    <w:rsid w:val="00016373"/>
    <w:rsid w:val="00017534"/>
    <w:rsid w:val="00017760"/>
    <w:rsid w:val="00017C36"/>
    <w:rsid w:val="00017E4E"/>
    <w:rsid w:val="00017FFA"/>
    <w:rsid w:val="0002012B"/>
    <w:rsid w:val="00020AAB"/>
    <w:rsid w:val="000210F0"/>
    <w:rsid w:val="000213EA"/>
    <w:rsid w:val="00021874"/>
    <w:rsid w:val="00021D83"/>
    <w:rsid w:val="00021D88"/>
    <w:rsid w:val="00021F70"/>
    <w:rsid w:val="000226CC"/>
    <w:rsid w:val="000228B4"/>
    <w:rsid w:val="000233B5"/>
    <w:rsid w:val="00024353"/>
    <w:rsid w:val="00024B5C"/>
    <w:rsid w:val="00024D91"/>
    <w:rsid w:val="000251DF"/>
    <w:rsid w:val="00025814"/>
    <w:rsid w:val="000264E0"/>
    <w:rsid w:val="00026E84"/>
    <w:rsid w:val="0002725F"/>
    <w:rsid w:val="0003051A"/>
    <w:rsid w:val="00030905"/>
    <w:rsid w:val="00030AB5"/>
    <w:rsid w:val="00030C99"/>
    <w:rsid w:val="00030CD7"/>
    <w:rsid w:val="0003198E"/>
    <w:rsid w:val="000327CE"/>
    <w:rsid w:val="00033D4D"/>
    <w:rsid w:val="000345D0"/>
    <w:rsid w:val="000351CA"/>
    <w:rsid w:val="000357A0"/>
    <w:rsid w:val="00036562"/>
    <w:rsid w:val="00037E37"/>
    <w:rsid w:val="00040101"/>
    <w:rsid w:val="0004011D"/>
    <w:rsid w:val="00040FE1"/>
    <w:rsid w:val="00041012"/>
    <w:rsid w:val="0004235D"/>
    <w:rsid w:val="00043572"/>
    <w:rsid w:val="00044B5F"/>
    <w:rsid w:val="00046148"/>
    <w:rsid w:val="00046272"/>
    <w:rsid w:val="000469E8"/>
    <w:rsid w:val="00046A38"/>
    <w:rsid w:val="00047B94"/>
    <w:rsid w:val="0005037C"/>
    <w:rsid w:val="00050499"/>
    <w:rsid w:val="00050E3B"/>
    <w:rsid w:val="00050E4C"/>
    <w:rsid w:val="000515F8"/>
    <w:rsid w:val="00051C91"/>
    <w:rsid w:val="00052161"/>
    <w:rsid w:val="0005281C"/>
    <w:rsid w:val="00052FF6"/>
    <w:rsid w:val="000530A1"/>
    <w:rsid w:val="0005462E"/>
    <w:rsid w:val="00054801"/>
    <w:rsid w:val="000549D5"/>
    <w:rsid w:val="00054DC8"/>
    <w:rsid w:val="000557DA"/>
    <w:rsid w:val="00055FD4"/>
    <w:rsid w:val="000568AA"/>
    <w:rsid w:val="00056CD0"/>
    <w:rsid w:val="00057279"/>
    <w:rsid w:val="000573CE"/>
    <w:rsid w:val="000576DA"/>
    <w:rsid w:val="00060135"/>
    <w:rsid w:val="000603BF"/>
    <w:rsid w:val="00060DDA"/>
    <w:rsid w:val="00063314"/>
    <w:rsid w:val="00063CA6"/>
    <w:rsid w:val="000658B5"/>
    <w:rsid w:val="00065E31"/>
    <w:rsid w:val="000661AE"/>
    <w:rsid w:val="0006686D"/>
    <w:rsid w:val="00066C84"/>
    <w:rsid w:val="0006734B"/>
    <w:rsid w:val="000703D9"/>
    <w:rsid w:val="00070705"/>
    <w:rsid w:val="00070A15"/>
    <w:rsid w:val="00070EE5"/>
    <w:rsid w:val="0007102C"/>
    <w:rsid w:val="00071CF6"/>
    <w:rsid w:val="000729A9"/>
    <w:rsid w:val="000729C0"/>
    <w:rsid w:val="00072EE5"/>
    <w:rsid w:val="000741C6"/>
    <w:rsid w:val="0007436D"/>
    <w:rsid w:val="0007459B"/>
    <w:rsid w:val="00074AB9"/>
    <w:rsid w:val="000753A8"/>
    <w:rsid w:val="000754B1"/>
    <w:rsid w:val="0007599D"/>
    <w:rsid w:val="00075DE5"/>
    <w:rsid w:val="00076158"/>
    <w:rsid w:val="000765FE"/>
    <w:rsid w:val="00076641"/>
    <w:rsid w:val="00076741"/>
    <w:rsid w:val="00076B0D"/>
    <w:rsid w:val="00076B9C"/>
    <w:rsid w:val="00076F64"/>
    <w:rsid w:val="00077D3A"/>
    <w:rsid w:val="000816C7"/>
    <w:rsid w:val="00081B64"/>
    <w:rsid w:val="00081D99"/>
    <w:rsid w:val="00082760"/>
    <w:rsid w:val="000828A9"/>
    <w:rsid w:val="00084134"/>
    <w:rsid w:val="00084AA1"/>
    <w:rsid w:val="00085934"/>
    <w:rsid w:val="00085A8E"/>
    <w:rsid w:val="00086102"/>
    <w:rsid w:val="00086277"/>
    <w:rsid w:val="00086584"/>
    <w:rsid w:val="000867F8"/>
    <w:rsid w:val="00087E05"/>
    <w:rsid w:val="00090DE0"/>
    <w:rsid w:val="000911D9"/>
    <w:rsid w:val="00092165"/>
    <w:rsid w:val="000928D9"/>
    <w:rsid w:val="000935AE"/>
    <w:rsid w:val="000936DE"/>
    <w:rsid w:val="00093B1D"/>
    <w:rsid w:val="00093D0F"/>
    <w:rsid w:val="00093D45"/>
    <w:rsid w:val="000944F7"/>
    <w:rsid w:val="00095443"/>
    <w:rsid w:val="000961D2"/>
    <w:rsid w:val="0009622F"/>
    <w:rsid w:val="0009645F"/>
    <w:rsid w:val="000965C8"/>
    <w:rsid w:val="00096F5C"/>
    <w:rsid w:val="000973CC"/>
    <w:rsid w:val="00097EC7"/>
    <w:rsid w:val="000A13FE"/>
    <w:rsid w:val="000A153E"/>
    <w:rsid w:val="000A1A49"/>
    <w:rsid w:val="000A293A"/>
    <w:rsid w:val="000A33D8"/>
    <w:rsid w:val="000A49C2"/>
    <w:rsid w:val="000A535B"/>
    <w:rsid w:val="000A5541"/>
    <w:rsid w:val="000A5634"/>
    <w:rsid w:val="000A6378"/>
    <w:rsid w:val="000A68C4"/>
    <w:rsid w:val="000A6BA1"/>
    <w:rsid w:val="000A700F"/>
    <w:rsid w:val="000A736D"/>
    <w:rsid w:val="000B01E8"/>
    <w:rsid w:val="000B14A0"/>
    <w:rsid w:val="000B2295"/>
    <w:rsid w:val="000B229C"/>
    <w:rsid w:val="000B2817"/>
    <w:rsid w:val="000B2DCE"/>
    <w:rsid w:val="000B3741"/>
    <w:rsid w:val="000B3E51"/>
    <w:rsid w:val="000B499E"/>
    <w:rsid w:val="000B53F2"/>
    <w:rsid w:val="000B5480"/>
    <w:rsid w:val="000B5B87"/>
    <w:rsid w:val="000B61E2"/>
    <w:rsid w:val="000B6A7B"/>
    <w:rsid w:val="000B72F6"/>
    <w:rsid w:val="000B7BC4"/>
    <w:rsid w:val="000C0781"/>
    <w:rsid w:val="000C0B17"/>
    <w:rsid w:val="000C0D64"/>
    <w:rsid w:val="000C0E7F"/>
    <w:rsid w:val="000C2A15"/>
    <w:rsid w:val="000C2F8D"/>
    <w:rsid w:val="000C3572"/>
    <w:rsid w:val="000C453E"/>
    <w:rsid w:val="000C47EE"/>
    <w:rsid w:val="000C4AD6"/>
    <w:rsid w:val="000C4AD7"/>
    <w:rsid w:val="000C4B35"/>
    <w:rsid w:val="000C4C3C"/>
    <w:rsid w:val="000C4D47"/>
    <w:rsid w:val="000C5316"/>
    <w:rsid w:val="000C6BC6"/>
    <w:rsid w:val="000C716D"/>
    <w:rsid w:val="000C7222"/>
    <w:rsid w:val="000C73B7"/>
    <w:rsid w:val="000C75D4"/>
    <w:rsid w:val="000C7ADF"/>
    <w:rsid w:val="000C7C46"/>
    <w:rsid w:val="000C7E48"/>
    <w:rsid w:val="000D057F"/>
    <w:rsid w:val="000D0B9D"/>
    <w:rsid w:val="000D1131"/>
    <w:rsid w:val="000D1D8F"/>
    <w:rsid w:val="000D28EB"/>
    <w:rsid w:val="000D2956"/>
    <w:rsid w:val="000D30E4"/>
    <w:rsid w:val="000D33FA"/>
    <w:rsid w:val="000D34F5"/>
    <w:rsid w:val="000D40D7"/>
    <w:rsid w:val="000D4663"/>
    <w:rsid w:val="000D4963"/>
    <w:rsid w:val="000D551C"/>
    <w:rsid w:val="000D57BE"/>
    <w:rsid w:val="000D58D2"/>
    <w:rsid w:val="000D59A5"/>
    <w:rsid w:val="000D5B00"/>
    <w:rsid w:val="000D5E8C"/>
    <w:rsid w:val="000D6D30"/>
    <w:rsid w:val="000D7290"/>
    <w:rsid w:val="000D7AEE"/>
    <w:rsid w:val="000E002F"/>
    <w:rsid w:val="000E005C"/>
    <w:rsid w:val="000E0647"/>
    <w:rsid w:val="000E0F58"/>
    <w:rsid w:val="000E0F7A"/>
    <w:rsid w:val="000E1368"/>
    <w:rsid w:val="000E153E"/>
    <w:rsid w:val="000E2B23"/>
    <w:rsid w:val="000E3338"/>
    <w:rsid w:val="000E338B"/>
    <w:rsid w:val="000E3EE4"/>
    <w:rsid w:val="000E404A"/>
    <w:rsid w:val="000E41D3"/>
    <w:rsid w:val="000E432D"/>
    <w:rsid w:val="000E4449"/>
    <w:rsid w:val="000E4849"/>
    <w:rsid w:val="000E4B63"/>
    <w:rsid w:val="000E540B"/>
    <w:rsid w:val="000E6469"/>
    <w:rsid w:val="000E7B20"/>
    <w:rsid w:val="000F08CC"/>
    <w:rsid w:val="000F0E0B"/>
    <w:rsid w:val="000F1033"/>
    <w:rsid w:val="000F1284"/>
    <w:rsid w:val="000F12FE"/>
    <w:rsid w:val="000F15AB"/>
    <w:rsid w:val="000F1F6B"/>
    <w:rsid w:val="000F26F8"/>
    <w:rsid w:val="000F2A79"/>
    <w:rsid w:val="000F2BC4"/>
    <w:rsid w:val="000F2BEE"/>
    <w:rsid w:val="000F2CB8"/>
    <w:rsid w:val="000F3038"/>
    <w:rsid w:val="000F37DC"/>
    <w:rsid w:val="000F3D5F"/>
    <w:rsid w:val="000F4236"/>
    <w:rsid w:val="000F4459"/>
    <w:rsid w:val="000F493E"/>
    <w:rsid w:val="000F4CCE"/>
    <w:rsid w:val="000F4D3B"/>
    <w:rsid w:val="000F4FA6"/>
    <w:rsid w:val="000F579B"/>
    <w:rsid w:val="000F591B"/>
    <w:rsid w:val="000F5E2A"/>
    <w:rsid w:val="000F5F36"/>
    <w:rsid w:val="000F615C"/>
    <w:rsid w:val="000F6620"/>
    <w:rsid w:val="000F70EE"/>
    <w:rsid w:val="000F7182"/>
    <w:rsid w:val="000F7264"/>
    <w:rsid w:val="000F7953"/>
    <w:rsid w:val="000F7C41"/>
    <w:rsid w:val="00100115"/>
    <w:rsid w:val="00100155"/>
    <w:rsid w:val="00102288"/>
    <w:rsid w:val="001023ED"/>
    <w:rsid w:val="00102A35"/>
    <w:rsid w:val="00102CF5"/>
    <w:rsid w:val="00102D09"/>
    <w:rsid w:val="001037CE"/>
    <w:rsid w:val="001037F7"/>
    <w:rsid w:val="00103ABA"/>
    <w:rsid w:val="00103BC1"/>
    <w:rsid w:val="00104048"/>
    <w:rsid w:val="00104057"/>
    <w:rsid w:val="0010418D"/>
    <w:rsid w:val="0010419C"/>
    <w:rsid w:val="001042AD"/>
    <w:rsid w:val="001045D9"/>
    <w:rsid w:val="00104C5A"/>
    <w:rsid w:val="00104CBE"/>
    <w:rsid w:val="00104F88"/>
    <w:rsid w:val="00105279"/>
    <w:rsid w:val="0010534C"/>
    <w:rsid w:val="0010566A"/>
    <w:rsid w:val="00105E06"/>
    <w:rsid w:val="00105E62"/>
    <w:rsid w:val="0010601F"/>
    <w:rsid w:val="00106C82"/>
    <w:rsid w:val="00106DF7"/>
    <w:rsid w:val="00106FBF"/>
    <w:rsid w:val="00107172"/>
    <w:rsid w:val="00107207"/>
    <w:rsid w:val="00110006"/>
    <w:rsid w:val="00110133"/>
    <w:rsid w:val="00110144"/>
    <w:rsid w:val="00110988"/>
    <w:rsid w:val="00110F4A"/>
    <w:rsid w:val="00111096"/>
    <w:rsid w:val="0011203E"/>
    <w:rsid w:val="00112D65"/>
    <w:rsid w:val="00112E0E"/>
    <w:rsid w:val="001132F0"/>
    <w:rsid w:val="00113870"/>
    <w:rsid w:val="00113B05"/>
    <w:rsid w:val="00113B64"/>
    <w:rsid w:val="00114119"/>
    <w:rsid w:val="00114272"/>
    <w:rsid w:val="00114489"/>
    <w:rsid w:val="0011495C"/>
    <w:rsid w:val="00114A2A"/>
    <w:rsid w:val="00114DEC"/>
    <w:rsid w:val="00114EE7"/>
    <w:rsid w:val="0011573D"/>
    <w:rsid w:val="001159B3"/>
    <w:rsid w:val="00115DA5"/>
    <w:rsid w:val="00117513"/>
    <w:rsid w:val="00117857"/>
    <w:rsid w:val="00117C4E"/>
    <w:rsid w:val="00120020"/>
    <w:rsid w:val="001206E6"/>
    <w:rsid w:val="001209F6"/>
    <w:rsid w:val="00120D31"/>
    <w:rsid w:val="00121FE1"/>
    <w:rsid w:val="001222DF"/>
    <w:rsid w:val="00122833"/>
    <w:rsid w:val="00122CFE"/>
    <w:rsid w:val="00122EE0"/>
    <w:rsid w:val="00123473"/>
    <w:rsid w:val="00123E79"/>
    <w:rsid w:val="001241E6"/>
    <w:rsid w:val="001241E7"/>
    <w:rsid w:val="001249C9"/>
    <w:rsid w:val="00124CD3"/>
    <w:rsid w:val="001258A8"/>
    <w:rsid w:val="00125C1D"/>
    <w:rsid w:val="00126588"/>
    <w:rsid w:val="001266FB"/>
    <w:rsid w:val="00126AA1"/>
    <w:rsid w:val="00126C22"/>
    <w:rsid w:val="001272A2"/>
    <w:rsid w:val="00127839"/>
    <w:rsid w:val="0012795C"/>
    <w:rsid w:val="001303F3"/>
    <w:rsid w:val="001306F6"/>
    <w:rsid w:val="001309F8"/>
    <w:rsid w:val="001311A4"/>
    <w:rsid w:val="0013136F"/>
    <w:rsid w:val="00131415"/>
    <w:rsid w:val="001317F9"/>
    <w:rsid w:val="00131A36"/>
    <w:rsid w:val="00131D4B"/>
    <w:rsid w:val="00131E7D"/>
    <w:rsid w:val="00132086"/>
    <w:rsid w:val="0013252B"/>
    <w:rsid w:val="00132567"/>
    <w:rsid w:val="00133513"/>
    <w:rsid w:val="00134D60"/>
    <w:rsid w:val="001356DF"/>
    <w:rsid w:val="00135DC9"/>
    <w:rsid w:val="00136A9D"/>
    <w:rsid w:val="00136E2A"/>
    <w:rsid w:val="00137056"/>
    <w:rsid w:val="00137433"/>
    <w:rsid w:val="00137552"/>
    <w:rsid w:val="001375E8"/>
    <w:rsid w:val="0013798A"/>
    <w:rsid w:val="00140091"/>
    <w:rsid w:val="00140707"/>
    <w:rsid w:val="00141D72"/>
    <w:rsid w:val="00141D7C"/>
    <w:rsid w:val="001422D8"/>
    <w:rsid w:val="001430CE"/>
    <w:rsid w:val="00143601"/>
    <w:rsid w:val="0014383A"/>
    <w:rsid w:val="001440FB"/>
    <w:rsid w:val="00144D7C"/>
    <w:rsid w:val="001452FE"/>
    <w:rsid w:val="001471B3"/>
    <w:rsid w:val="001477C5"/>
    <w:rsid w:val="00147AAC"/>
    <w:rsid w:val="00147B41"/>
    <w:rsid w:val="00147CAB"/>
    <w:rsid w:val="00150B7A"/>
    <w:rsid w:val="00151459"/>
    <w:rsid w:val="00151C5C"/>
    <w:rsid w:val="00151CB3"/>
    <w:rsid w:val="00152288"/>
    <w:rsid w:val="001528C0"/>
    <w:rsid w:val="0015318E"/>
    <w:rsid w:val="001533CC"/>
    <w:rsid w:val="00153C5D"/>
    <w:rsid w:val="00154429"/>
    <w:rsid w:val="00154A0C"/>
    <w:rsid w:val="00154D1B"/>
    <w:rsid w:val="00155E07"/>
    <w:rsid w:val="001564F6"/>
    <w:rsid w:val="0015693F"/>
    <w:rsid w:val="00156AAC"/>
    <w:rsid w:val="00157433"/>
    <w:rsid w:val="00157B45"/>
    <w:rsid w:val="00157D73"/>
    <w:rsid w:val="00157DEF"/>
    <w:rsid w:val="00157E42"/>
    <w:rsid w:val="001602F8"/>
    <w:rsid w:val="00160485"/>
    <w:rsid w:val="00160535"/>
    <w:rsid w:val="00160ADE"/>
    <w:rsid w:val="00160CC9"/>
    <w:rsid w:val="00161271"/>
    <w:rsid w:val="001612FC"/>
    <w:rsid w:val="001615BC"/>
    <w:rsid w:val="00161A82"/>
    <w:rsid w:val="00161E5E"/>
    <w:rsid w:val="00162308"/>
    <w:rsid w:val="00162425"/>
    <w:rsid w:val="0016278A"/>
    <w:rsid w:val="00162A80"/>
    <w:rsid w:val="00163315"/>
    <w:rsid w:val="00163D7C"/>
    <w:rsid w:val="00164792"/>
    <w:rsid w:val="00165364"/>
    <w:rsid w:val="0016573D"/>
    <w:rsid w:val="00166733"/>
    <w:rsid w:val="0016687B"/>
    <w:rsid w:val="001676E1"/>
    <w:rsid w:val="00167BFA"/>
    <w:rsid w:val="00167DDF"/>
    <w:rsid w:val="00167E17"/>
    <w:rsid w:val="00167EAD"/>
    <w:rsid w:val="00170230"/>
    <w:rsid w:val="00170400"/>
    <w:rsid w:val="001715AB"/>
    <w:rsid w:val="00172188"/>
    <w:rsid w:val="00172636"/>
    <w:rsid w:val="00172CA0"/>
    <w:rsid w:val="0017311D"/>
    <w:rsid w:val="001736AF"/>
    <w:rsid w:val="0017426B"/>
    <w:rsid w:val="001751C6"/>
    <w:rsid w:val="00175422"/>
    <w:rsid w:val="00175CB0"/>
    <w:rsid w:val="00175E7E"/>
    <w:rsid w:val="001766D5"/>
    <w:rsid w:val="0017723B"/>
    <w:rsid w:val="00180A86"/>
    <w:rsid w:val="00180DAC"/>
    <w:rsid w:val="00180E0D"/>
    <w:rsid w:val="00180E32"/>
    <w:rsid w:val="00180E37"/>
    <w:rsid w:val="0018104D"/>
    <w:rsid w:val="0018123F"/>
    <w:rsid w:val="00181EAC"/>
    <w:rsid w:val="00181FBE"/>
    <w:rsid w:val="001823C9"/>
    <w:rsid w:val="001823E8"/>
    <w:rsid w:val="00182C11"/>
    <w:rsid w:val="00182E81"/>
    <w:rsid w:val="00183093"/>
    <w:rsid w:val="00183900"/>
    <w:rsid w:val="00183BC4"/>
    <w:rsid w:val="001847BE"/>
    <w:rsid w:val="00184BBD"/>
    <w:rsid w:val="00184FAF"/>
    <w:rsid w:val="00185397"/>
    <w:rsid w:val="00185CDF"/>
    <w:rsid w:val="00186346"/>
    <w:rsid w:val="00186DF9"/>
    <w:rsid w:val="0018709C"/>
    <w:rsid w:val="00187231"/>
    <w:rsid w:val="00187580"/>
    <w:rsid w:val="00187DC9"/>
    <w:rsid w:val="001904A2"/>
    <w:rsid w:val="00190A00"/>
    <w:rsid w:val="00190D01"/>
    <w:rsid w:val="00190DDE"/>
    <w:rsid w:val="00190F84"/>
    <w:rsid w:val="00190FF0"/>
    <w:rsid w:val="00191211"/>
    <w:rsid w:val="00191D9A"/>
    <w:rsid w:val="0019227F"/>
    <w:rsid w:val="0019287B"/>
    <w:rsid w:val="0019293C"/>
    <w:rsid w:val="0019358E"/>
    <w:rsid w:val="001939AA"/>
    <w:rsid w:val="00193A48"/>
    <w:rsid w:val="00193B49"/>
    <w:rsid w:val="00193B6E"/>
    <w:rsid w:val="0019483B"/>
    <w:rsid w:val="0019491E"/>
    <w:rsid w:val="00195100"/>
    <w:rsid w:val="0019534C"/>
    <w:rsid w:val="00195B3D"/>
    <w:rsid w:val="00195D2D"/>
    <w:rsid w:val="00196086"/>
    <w:rsid w:val="00196714"/>
    <w:rsid w:val="00196BC9"/>
    <w:rsid w:val="00196D68"/>
    <w:rsid w:val="00196DE0"/>
    <w:rsid w:val="00197064"/>
    <w:rsid w:val="0019707B"/>
    <w:rsid w:val="00197180"/>
    <w:rsid w:val="00197523"/>
    <w:rsid w:val="001A02E7"/>
    <w:rsid w:val="001A03EB"/>
    <w:rsid w:val="001A0485"/>
    <w:rsid w:val="001A069D"/>
    <w:rsid w:val="001A0B1A"/>
    <w:rsid w:val="001A11FB"/>
    <w:rsid w:val="001A1DC6"/>
    <w:rsid w:val="001A1F56"/>
    <w:rsid w:val="001A2006"/>
    <w:rsid w:val="001A26D6"/>
    <w:rsid w:val="001A27F2"/>
    <w:rsid w:val="001A363A"/>
    <w:rsid w:val="001A39E6"/>
    <w:rsid w:val="001A3D71"/>
    <w:rsid w:val="001A411A"/>
    <w:rsid w:val="001A44F0"/>
    <w:rsid w:val="001A4C02"/>
    <w:rsid w:val="001A4CD1"/>
    <w:rsid w:val="001A5345"/>
    <w:rsid w:val="001A5897"/>
    <w:rsid w:val="001A5D9D"/>
    <w:rsid w:val="001A6A32"/>
    <w:rsid w:val="001A6AF3"/>
    <w:rsid w:val="001A6B00"/>
    <w:rsid w:val="001A70E2"/>
    <w:rsid w:val="001A7416"/>
    <w:rsid w:val="001A76C3"/>
    <w:rsid w:val="001A79F4"/>
    <w:rsid w:val="001B07C2"/>
    <w:rsid w:val="001B0ADB"/>
    <w:rsid w:val="001B1BC8"/>
    <w:rsid w:val="001B1C1A"/>
    <w:rsid w:val="001B2396"/>
    <w:rsid w:val="001B2B90"/>
    <w:rsid w:val="001B2D51"/>
    <w:rsid w:val="001B3279"/>
    <w:rsid w:val="001B3523"/>
    <w:rsid w:val="001B39A5"/>
    <w:rsid w:val="001B3F71"/>
    <w:rsid w:val="001B4BC2"/>
    <w:rsid w:val="001B51AA"/>
    <w:rsid w:val="001B68A1"/>
    <w:rsid w:val="001B68AA"/>
    <w:rsid w:val="001B7167"/>
    <w:rsid w:val="001C037F"/>
    <w:rsid w:val="001C0CC4"/>
    <w:rsid w:val="001C126C"/>
    <w:rsid w:val="001C164F"/>
    <w:rsid w:val="001C18E3"/>
    <w:rsid w:val="001C190F"/>
    <w:rsid w:val="001C25FE"/>
    <w:rsid w:val="001C301F"/>
    <w:rsid w:val="001C3071"/>
    <w:rsid w:val="001C3812"/>
    <w:rsid w:val="001C3B4B"/>
    <w:rsid w:val="001C426D"/>
    <w:rsid w:val="001C4617"/>
    <w:rsid w:val="001C4E02"/>
    <w:rsid w:val="001C52C3"/>
    <w:rsid w:val="001C544A"/>
    <w:rsid w:val="001C56C6"/>
    <w:rsid w:val="001C6494"/>
    <w:rsid w:val="001C64D3"/>
    <w:rsid w:val="001C6A59"/>
    <w:rsid w:val="001C6E89"/>
    <w:rsid w:val="001C6EBA"/>
    <w:rsid w:val="001C700C"/>
    <w:rsid w:val="001C79CE"/>
    <w:rsid w:val="001D005E"/>
    <w:rsid w:val="001D0961"/>
    <w:rsid w:val="001D1AD8"/>
    <w:rsid w:val="001D1D5E"/>
    <w:rsid w:val="001D2492"/>
    <w:rsid w:val="001D24A9"/>
    <w:rsid w:val="001D2CDF"/>
    <w:rsid w:val="001D3B7E"/>
    <w:rsid w:val="001D3CD4"/>
    <w:rsid w:val="001D3F7C"/>
    <w:rsid w:val="001D41E3"/>
    <w:rsid w:val="001D52E2"/>
    <w:rsid w:val="001D5D71"/>
    <w:rsid w:val="001D639A"/>
    <w:rsid w:val="001D6831"/>
    <w:rsid w:val="001D6C00"/>
    <w:rsid w:val="001D6C41"/>
    <w:rsid w:val="001D6EDB"/>
    <w:rsid w:val="001D7EE4"/>
    <w:rsid w:val="001E029F"/>
    <w:rsid w:val="001E02E2"/>
    <w:rsid w:val="001E3334"/>
    <w:rsid w:val="001E4189"/>
    <w:rsid w:val="001E41DA"/>
    <w:rsid w:val="001E426B"/>
    <w:rsid w:val="001E4E55"/>
    <w:rsid w:val="001E52A8"/>
    <w:rsid w:val="001E5422"/>
    <w:rsid w:val="001E5576"/>
    <w:rsid w:val="001E5A23"/>
    <w:rsid w:val="001E5CE9"/>
    <w:rsid w:val="001E609D"/>
    <w:rsid w:val="001E6572"/>
    <w:rsid w:val="001E7024"/>
    <w:rsid w:val="001E70D1"/>
    <w:rsid w:val="001E718D"/>
    <w:rsid w:val="001E7E08"/>
    <w:rsid w:val="001F04F8"/>
    <w:rsid w:val="001F0C85"/>
    <w:rsid w:val="001F0D25"/>
    <w:rsid w:val="001F0FC3"/>
    <w:rsid w:val="001F1400"/>
    <w:rsid w:val="001F150A"/>
    <w:rsid w:val="001F17E1"/>
    <w:rsid w:val="001F1D37"/>
    <w:rsid w:val="001F1FD9"/>
    <w:rsid w:val="001F1FF5"/>
    <w:rsid w:val="001F2427"/>
    <w:rsid w:val="001F35D1"/>
    <w:rsid w:val="001F386E"/>
    <w:rsid w:val="001F3A4C"/>
    <w:rsid w:val="001F41A4"/>
    <w:rsid w:val="001F4CFA"/>
    <w:rsid w:val="001F4D45"/>
    <w:rsid w:val="001F4E03"/>
    <w:rsid w:val="001F4F0F"/>
    <w:rsid w:val="001F5122"/>
    <w:rsid w:val="001F52B1"/>
    <w:rsid w:val="001F570D"/>
    <w:rsid w:val="001F57FE"/>
    <w:rsid w:val="001F60BC"/>
    <w:rsid w:val="001F61DB"/>
    <w:rsid w:val="001F6522"/>
    <w:rsid w:val="001F66E4"/>
    <w:rsid w:val="001F6D1B"/>
    <w:rsid w:val="001F72A9"/>
    <w:rsid w:val="001F7CB4"/>
    <w:rsid w:val="00200312"/>
    <w:rsid w:val="00201234"/>
    <w:rsid w:val="00201376"/>
    <w:rsid w:val="00203344"/>
    <w:rsid w:val="0020363C"/>
    <w:rsid w:val="002037CC"/>
    <w:rsid w:val="00204275"/>
    <w:rsid w:val="0020494D"/>
    <w:rsid w:val="00204954"/>
    <w:rsid w:val="00204DD0"/>
    <w:rsid w:val="00205300"/>
    <w:rsid w:val="002054DB"/>
    <w:rsid w:val="00205978"/>
    <w:rsid w:val="00206B32"/>
    <w:rsid w:val="00207180"/>
    <w:rsid w:val="00207585"/>
    <w:rsid w:val="00207F40"/>
    <w:rsid w:val="00210152"/>
    <w:rsid w:val="0021044D"/>
    <w:rsid w:val="002109C9"/>
    <w:rsid w:val="00210BC4"/>
    <w:rsid w:val="00210EB3"/>
    <w:rsid w:val="0021104C"/>
    <w:rsid w:val="00211299"/>
    <w:rsid w:val="00212116"/>
    <w:rsid w:val="00212736"/>
    <w:rsid w:val="00212D0C"/>
    <w:rsid w:val="00212D26"/>
    <w:rsid w:val="00212D83"/>
    <w:rsid w:val="00212E11"/>
    <w:rsid w:val="002132E4"/>
    <w:rsid w:val="0021374A"/>
    <w:rsid w:val="00213760"/>
    <w:rsid w:val="00213FA4"/>
    <w:rsid w:val="002142B5"/>
    <w:rsid w:val="00214738"/>
    <w:rsid w:val="00214E9B"/>
    <w:rsid w:val="00215186"/>
    <w:rsid w:val="0021573F"/>
    <w:rsid w:val="00215940"/>
    <w:rsid w:val="00215952"/>
    <w:rsid w:val="00216425"/>
    <w:rsid w:val="0021653C"/>
    <w:rsid w:val="00216A4E"/>
    <w:rsid w:val="00216D22"/>
    <w:rsid w:val="00216ECB"/>
    <w:rsid w:val="00217302"/>
    <w:rsid w:val="0021753D"/>
    <w:rsid w:val="002205A2"/>
    <w:rsid w:val="00221182"/>
    <w:rsid w:val="00221C37"/>
    <w:rsid w:val="00221EE7"/>
    <w:rsid w:val="00221F10"/>
    <w:rsid w:val="00221F4C"/>
    <w:rsid w:val="00222372"/>
    <w:rsid w:val="0022275F"/>
    <w:rsid w:val="00222FF4"/>
    <w:rsid w:val="00223699"/>
    <w:rsid w:val="0022397A"/>
    <w:rsid w:val="002242B1"/>
    <w:rsid w:val="002244E9"/>
    <w:rsid w:val="00224C95"/>
    <w:rsid w:val="00224DE0"/>
    <w:rsid w:val="002251BE"/>
    <w:rsid w:val="0022596A"/>
    <w:rsid w:val="002259A5"/>
    <w:rsid w:val="00225C37"/>
    <w:rsid w:val="00226023"/>
    <w:rsid w:val="0022618B"/>
    <w:rsid w:val="00226278"/>
    <w:rsid w:val="0022631D"/>
    <w:rsid w:val="00226D3E"/>
    <w:rsid w:val="002272A3"/>
    <w:rsid w:val="00227585"/>
    <w:rsid w:val="00227625"/>
    <w:rsid w:val="00227C97"/>
    <w:rsid w:val="00227DA0"/>
    <w:rsid w:val="00227E5D"/>
    <w:rsid w:val="00227EB2"/>
    <w:rsid w:val="00227F9D"/>
    <w:rsid w:val="002304B2"/>
    <w:rsid w:val="002313CA"/>
    <w:rsid w:val="002314B8"/>
    <w:rsid w:val="0023179C"/>
    <w:rsid w:val="00231E16"/>
    <w:rsid w:val="00232D04"/>
    <w:rsid w:val="00232E45"/>
    <w:rsid w:val="002333CA"/>
    <w:rsid w:val="002339A4"/>
    <w:rsid w:val="002341CC"/>
    <w:rsid w:val="00234914"/>
    <w:rsid w:val="0023497D"/>
    <w:rsid w:val="00234C23"/>
    <w:rsid w:val="00234DBC"/>
    <w:rsid w:val="00235084"/>
    <w:rsid w:val="002353E2"/>
    <w:rsid w:val="00235411"/>
    <w:rsid w:val="00235421"/>
    <w:rsid w:val="00236D6D"/>
    <w:rsid w:val="00237808"/>
    <w:rsid w:val="002400EF"/>
    <w:rsid w:val="0024087B"/>
    <w:rsid w:val="0024270B"/>
    <w:rsid w:val="002427F8"/>
    <w:rsid w:val="00243303"/>
    <w:rsid w:val="00243A84"/>
    <w:rsid w:val="00244452"/>
    <w:rsid w:val="0024445F"/>
    <w:rsid w:val="00244464"/>
    <w:rsid w:val="0024459D"/>
    <w:rsid w:val="00244BC5"/>
    <w:rsid w:val="00245609"/>
    <w:rsid w:val="0024585E"/>
    <w:rsid w:val="00246A97"/>
    <w:rsid w:val="00246FFC"/>
    <w:rsid w:val="002470CF"/>
    <w:rsid w:val="0024753D"/>
    <w:rsid w:val="00247638"/>
    <w:rsid w:val="00247D29"/>
    <w:rsid w:val="002505C5"/>
    <w:rsid w:val="00251392"/>
    <w:rsid w:val="00251671"/>
    <w:rsid w:val="00251CBB"/>
    <w:rsid w:val="00252BBE"/>
    <w:rsid w:val="00252E2A"/>
    <w:rsid w:val="0025360C"/>
    <w:rsid w:val="0025413C"/>
    <w:rsid w:val="00254285"/>
    <w:rsid w:val="002549FB"/>
    <w:rsid w:val="0025562A"/>
    <w:rsid w:val="002556C0"/>
    <w:rsid w:val="002558C4"/>
    <w:rsid w:val="002560B3"/>
    <w:rsid w:val="00256598"/>
    <w:rsid w:val="00257025"/>
    <w:rsid w:val="00257784"/>
    <w:rsid w:val="00257E9A"/>
    <w:rsid w:val="002601E4"/>
    <w:rsid w:val="002607DD"/>
    <w:rsid w:val="00260D9D"/>
    <w:rsid w:val="00261ECE"/>
    <w:rsid w:val="002620A0"/>
    <w:rsid w:val="00262821"/>
    <w:rsid w:val="002629ED"/>
    <w:rsid w:val="00264533"/>
    <w:rsid w:val="00264801"/>
    <w:rsid w:val="002659BD"/>
    <w:rsid w:val="002662DB"/>
    <w:rsid w:val="00266990"/>
    <w:rsid w:val="00267338"/>
    <w:rsid w:val="002709F2"/>
    <w:rsid w:val="00270C86"/>
    <w:rsid w:val="0027121C"/>
    <w:rsid w:val="00271672"/>
    <w:rsid w:val="00271917"/>
    <w:rsid w:val="002719C0"/>
    <w:rsid w:val="0027242E"/>
    <w:rsid w:val="00272556"/>
    <w:rsid w:val="0027278C"/>
    <w:rsid w:val="00272A3A"/>
    <w:rsid w:val="00273CD9"/>
    <w:rsid w:val="002752C5"/>
    <w:rsid w:val="00275AFF"/>
    <w:rsid w:val="00275B19"/>
    <w:rsid w:val="00275DCC"/>
    <w:rsid w:val="0027601A"/>
    <w:rsid w:val="00277907"/>
    <w:rsid w:val="00277C5A"/>
    <w:rsid w:val="00280BA2"/>
    <w:rsid w:val="00280CDE"/>
    <w:rsid w:val="0028118C"/>
    <w:rsid w:val="002817CE"/>
    <w:rsid w:val="00281949"/>
    <w:rsid w:val="00282133"/>
    <w:rsid w:val="00282E14"/>
    <w:rsid w:val="00283004"/>
    <w:rsid w:val="002833B0"/>
    <w:rsid w:val="002839A4"/>
    <w:rsid w:val="0028437A"/>
    <w:rsid w:val="002847FB"/>
    <w:rsid w:val="00284B33"/>
    <w:rsid w:val="00284E29"/>
    <w:rsid w:val="00284EC8"/>
    <w:rsid w:val="00285799"/>
    <w:rsid w:val="00286BB7"/>
    <w:rsid w:val="00287576"/>
    <w:rsid w:val="00287D70"/>
    <w:rsid w:val="002909A1"/>
    <w:rsid w:val="00291158"/>
    <w:rsid w:val="00291778"/>
    <w:rsid w:val="00292349"/>
    <w:rsid w:val="0029309E"/>
    <w:rsid w:val="002934E8"/>
    <w:rsid w:val="0029370C"/>
    <w:rsid w:val="00293DB2"/>
    <w:rsid w:val="002943D2"/>
    <w:rsid w:val="00294473"/>
    <w:rsid w:val="0029574E"/>
    <w:rsid w:val="002959C3"/>
    <w:rsid w:val="002961FB"/>
    <w:rsid w:val="0029666A"/>
    <w:rsid w:val="002966D2"/>
    <w:rsid w:val="0029688D"/>
    <w:rsid w:val="00296FDB"/>
    <w:rsid w:val="00297D7C"/>
    <w:rsid w:val="00297E2A"/>
    <w:rsid w:val="002A01E1"/>
    <w:rsid w:val="002A0202"/>
    <w:rsid w:val="002A06C1"/>
    <w:rsid w:val="002A0734"/>
    <w:rsid w:val="002A0974"/>
    <w:rsid w:val="002A1693"/>
    <w:rsid w:val="002A1C95"/>
    <w:rsid w:val="002A1EA3"/>
    <w:rsid w:val="002A1F73"/>
    <w:rsid w:val="002A201F"/>
    <w:rsid w:val="002A23D3"/>
    <w:rsid w:val="002A2D91"/>
    <w:rsid w:val="002A2FB1"/>
    <w:rsid w:val="002A3213"/>
    <w:rsid w:val="002A328B"/>
    <w:rsid w:val="002A37A9"/>
    <w:rsid w:val="002A3996"/>
    <w:rsid w:val="002A3AE1"/>
    <w:rsid w:val="002A4EE1"/>
    <w:rsid w:val="002A58C5"/>
    <w:rsid w:val="002A5ABB"/>
    <w:rsid w:val="002A638C"/>
    <w:rsid w:val="002A64E0"/>
    <w:rsid w:val="002A6998"/>
    <w:rsid w:val="002A6C83"/>
    <w:rsid w:val="002A733A"/>
    <w:rsid w:val="002A74A7"/>
    <w:rsid w:val="002A7A98"/>
    <w:rsid w:val="002A7E89"/>
    <w:rsid w:val="002B06EA"/>
    <w:rsid w:val="002B107A"/>
    <w:rsid w:val="002B10AE"/>
    <w:rsid w:val="002B12C3"/>
    <w:rsid w:val="002B138C"/>
    <w:rsid w:val="002B19BE"/>
    <w:rsid w:val="002B1D28"/>
    <w:rsid w:val="002B2260"/>
    <w:rsid w:val="002B2415"/>
    <w:rsid w:val="002B25FC"/>
    <w:rsid w:val="002B3103"/>
    <w:rsid w:val="002B3440"/>
    <w:rsid w:val="002B405B"/>
    <w:rsid w:val="002B453D"/>
    <w:rsid w:val="002B5224"/>
    <w:rsid w:val="002B5A5C"/>
    <w:rsid w:val="002B5BD0"/>
    <w:rsid w:val="002B612F"/>
    <w:rsid w:val="002B6616"/>
    <w:rsid w:val="002B6621"/>
    <w:rsid w:val="002B6B2B"/>
    <w:rsid w:val="002B6E99"/>
    <w:rsid w:val="002B7041"/>
    <w:rsid w:val="002B7264"/>
    <w:rsid w:val="002B73C7"/>
    <w:rsid w:val="002B754B"/>
    <w:rsid w:val="002B799B"/>
    <w:rsid w:val="002B7E51"/>
    <w:rsid w:val="002B7EC1"/>
    <w:rsid w:val="002C0383"/>
    <w:rsid w:val="002C0632"/>
    <w:rsid w:val="002C0A55"/>
    <w:rsid w:val="002C0A85"/>
    <w:rsid w:val="002C0BC7"/>
    <w:rsid w:val="002C0BEA"/>
    <w:rsid w:val="002C11A4"/>
    <w:rsid w:val="002C1930"/>
    <w:rsid w:val="002C1E22"/>
    <w:rsid w:val="002C2C7A"/>
    <w:rsid w:val="002C321A"/>
    <w:rsid w:val="002C3357"/>
    <w:rsid w:val="002C33CC"/>
    <w:rsid w:val="002C3629"/>
    <w:rsid w:val="002C39F5"/>
    <w:rsid w:val="002C3B03"/>
    <w:rsid w:val="002C3C00"/>
    <w:rsid w:val="002C3D84"/>
    <w:rsid w:val="002C4547"/>
    <w:rsid w:val="002C4840"/>
    <w:rsid w:val="002C4922"/>
    <w:rsid w:val="002C5E48"/>
    <w:rsid w:val="002C6863"/>
    <w:rsid w:val="002C7202"/>
    <w:rsid w:val="002C76B6"/>
    <w:rsid w:val="002C7BC8"/>
    <w:rsid w:val="002C7C15"/>
    <w:rsid w:val="002D055E"/>
    <w:rsid w:val="002D0833"/>
    <w:rsid w:val="002D0A69"/>
    <w:rsid w:val="002D0E6A"/>
    <w:rsid w:val="002D1003"/>
    <w:rsid w:val="002D10A7"/>
    <w:rsid w:val="002D1875"/>
    <w:rsid w:val="002D18E5"/>
    <w:rsid w:val="002D1A9E"/>
    <w:rsid w:val="002D2292"/>
    <w:rsid w:val="002D2553"/>
    <w:rsid w:val="002D2C6B"/>
    <w:rsid w:val="002D30B6"/>
    <w:rsid w:val="002D3968"/>
    <w:rsid w:val="002D3972"/>
    <w:rsid w:val="002D3A36"/>
    <w:rsid w:val="002D3C9A"/>
    <w:rsid w:val="002D3CEE"/>
    <w:rsid w:val="002D48D7"/>
    <w:rsid w:val="002D4E65"/>
    <w:rsid w:val="002D5A81"/>
    <w:rsid w:val="002D5FE0"/>
    <w:rsid w:val="002D636C"/>
    <w:rsid w:val="002D644F"/>
    <w:rsid w:val="002D675E"/>
    <w:rsid w:val="002D75A8"/>
    <w:rsid w:val="002D76F9"/>
    <w:rsid w:val="002E000E"/>
    <w:rsid w:val="002E0AD1"/>
    <w:rsid w:val="002E0C16"/>
    <w:rsid w:val="002E0C4B"/>
    <w:rsid w:val="002E1023"/>
    <w:rsid w:val="002E130F"/>
    <w:rsid w:val="002E1396"/>
    <w:rsid w:val="002E17C0"/>
    <w:rsid w:val="002E1951"/>
    <w:rsid w:val="002E1E29"/>
    <w:rsid w:val="002E28E1"/>
    <w:rsid w:val="002E3827"/>
    <w:rsid w:val="002E3CC2"/>
    <w:rsid w:val="002E3DE7"/>
    <w:rsid w:val="002E47DF"/>
    <w:rsid w:val="002E612A"/>
    <w:rsid w:val="002E629D"/>
    <w:rsid w:val="002E711A"/>
    <w:rsid w:val="002E7873"/>
    <w:rsid w:val="002F010B"/>
    <w:rsid w:val="002F07BC"/>
    <w:rsid w:val="002F0B1F"/>
    <w:rsid w:val="002F158F"/>
    <w:rsid w:val="002F16BF"/>
    <w:rsid w:val="002F17EE"/>
    <w:rsid w:val="002F183A"/>
    <w:rsid w:val="002F1BED"/>
    <w:rsid w:val="002F24FF"/>
    <w:rsid w:val="002F2CA8"/>
    <w:rsid w:val="002F2EC7"/>
    <w:rsid w:val="002F352B"/>
    <w:rsid w:val="002F3591"/>
    <w:rsid w:val="002F373C"/>
    <w:rsid w:val="002F4100"/>
    <w:rsid w:val="002F4261"/>
    <w:rsid w:val="002F4351"/>
    <w:rsid w:val="002F4C24"/>
    <w:rsid w:val="002F5516"/>
    <w:rsid w:val="002F57A6"/>
    <w:rsid w:val="002F589A"/>
    <w:rsid w:val="002F5E1A"/>
    <w:rsid w:val="002F5E65"/>
    <w:rsid w:val="002F6A5C"/>
    <w:rsid w:val="002F7239"/>
    <w:rsid w:val="002F7E28"/>
    <w:rsid w:val="002F7EE0"/>
    <w:rsid w:val="00300242"/>
    <w:rsid w:val="0030047C"/>
    <w:rsid w:val="003010C2"/>
    <w:rsid w:val="003011E0"/>
    <w:rsid w:val="0030122E"/>
    <w:rsid w:val="003013E7"/>
    <w:rsid w:val="0030149B"/>
    <w:rsid w:val="003018AB"/>
    <w:rsid w:val="00301B56"/>
    <w:rsid w:val="00302347"/>
    <w:rsid w:val="0030298D"/>
    <w:rsid w:val="00302C3A"/>
    <w:rsid w:val="003031E6"/>
    <w:rsid w:val="00303627"/>
    <w:rsid w:val="0030379A"/>
    <w:rsid w:val="003045F9"/>
    <w:rsid w:val="00304D9A"/>
    <w:rsid w:val="003054D4"/>
    <w:rsid w:val="00305762"/>
    <w:rsid w:val="00305888"/>
    <w:rsid w:val="0030701E"/>
    <w:rsid w:val="003070C2"/>
    <w:rsid w:val="00307431"/>
    <w:rsid w:val="0030770E"/>
    <w:rsid w:val="00310E7E"/>
    <w:rsid w:val="00311587"/>
    <w:rsid w:val="003115CF"/>
    <w:rsid w:val="00311788"/>
    <w:rsid w:val="00311926"/>
    <w:rsid w:val="003122D4"/>
    <w:rsid w:val="0031247E"/>
    <w:rsid w:val="003124E6"/>
    <w:rsid w:val="003127E2"/>
    <w:rsid w:val="003128D4"/>
    <w:rsid w:val="00312B30"/>
    <w:rsid w:val="00312C32"/>
    <w:rsid w:val="00313770"/>
    <w:rsid w:val="00313D5B"/>
    <w:rsid w:val="00314BB0"/>
    <w:rsid w:val="00314EFC"/>
    <w:rsid w:val="003151B5"/>
    <w:rsid w:val="003160EE"/>
    <w:rsid w:val="00316631"/>
    <w:rsid w:val="0031670F"/>
    <w:rsid w:val="003170B3"/>
    <w:rsid w:val="003200C2"/>
    <w:rsid w:val="003200C7"/>
    <w:rsid w:val="0032040D"/>
    <w:rsid w:val="00320A17"/>
    <w:rsid w:val="00320C8D"/>
    <w:rsid w:val="003214A1"/>
    <w:rsid w:val="00321762"/>
    <w:rsid w:val="00321E24"/>
    <w:rsid w:val="003236CF"/>
    <w:rsid w:val="00324B18"/>
    <w:rsid w:val="00324C0F"/>
    <w:rsid w:val="00325090"/>
    <w:rsid w:val="00325C45"/>
    <w:rsid w:val="00325CC8"/>
    <w:rsid w:val="003268BC"/>
    <w:rsid w:val="0032761B"/>
    <w:rsid w:val="00327EE2"/>
    <w:rsid w:val="003302CB"/>
    <w:rsid w:val="00330365"/>
    <w:rsid w:val="0033095C"/>
    <w:rsid w:val="00330CC1"/>
    <w:rsid w:val="00330E21"/>
    <w:rsid w:val="00330EC9"/>
    <w:rsid w:val="00331113"/>
    <w:rsid w:val="003316D2"/>
    <w:rsid w:val="00331950"/>
    <w:rsid w:val="003321BD"/>
    <w:rsid w:val="003325CD"/>
    <w:rsid w:val="00332EB1"/>
    <w:rsid w:val="00333402"/>
    <w:rsid w:val="003334AF"/>
    <w:rsid w:val="00334656"/>
    <w:rsid w:val="00334854"/>
    <w:rsid w:val="00334DB5"/>
    <w:rsid w:val="00335386"/>
    <w:rsid w:val="00336355"/>
    <w:rsid w:val="003364AE"/>
    <w:rsid w:val="003365F7"/>
    <w:rsid w:val="003367CF"/>
    <w:rsid w:val="003370C5"/>
    <w:rsid w:val="0033714C"/>
    <w:rsid w:val="00337200"/>
    <w:rsid w:val="00337726"/>
    <w:rsid w:val="0034078F"/>
    <w:rsid w:val="00340843"/>
    <w:rsid w:val="00341DDD"/>
    <w:rsid w:val="00342B1A"/>
    <w:rsid w:val="00343915"/>
    <w:rsid w:val="00344139"/>
    <w:rsid w:val="00344470"/>
    <w:rsid w:val="00345358"/>
    <w:rsid w:val="00345C9B"/>
    <w:rsid w:val="00345CAB"/>
    <w:rsid w:val="00345EC7"/>
    <w:rsid w:val="003460B9"/>
    <w:rsid w:val="003461ED"/>
    <w:rsid w:val="0034646E"/>
    <w:rsid w:val="0034648D"/>
    <w:rsid w:val="00346D8F"/>
    <w:rsid w:val="003476A0"/>
    <w:rsid w:val="00347AD2"/>
    <w:rsid w:val="00347ED4"/>
    <w:rsid w:val="0035070A"/>
    <w:rsid w:val="003508BD"/>
    <w:rsid w:val="00350968"/>
    <w:rsid w:val="00350FA0"/>
    <w:rsid w:val="003514E1"/>
    <w:rsid w:val="00351DA3"/>
    <w:rsid w:val="00353F21"/>
    <w:rsid w:val="0035467F"/>
    <w:rsid w:val="00354732"/>
    <w:rsid w:val="00354979"/>
    <w:rsid w:val="00354C1A"/>
    <w:rsid w:val="00354D39"/>
    <w:rsid w:val="00355408"/>
    <w:rsid w:val="003558B2"/>
    <w:rsid w:val="00355960"/>
    <w:rsid w:val="0035629E"/>
    <w:rsid w:val="00356859"/>
    <w:rsid w:val="00356AF1"/>
    <w:rsid w:val="00356D50"/>
    <w:rsid w:val="00356DFF"/>
    <w:rsid w:val="003571B2"/>
    <w:rsid w:val="003571FE"/>
    <w:rsid w:val="00357290"/>
    <w:rsid w:val="00357530"/>
    <w:rsid w:val="003578B9"/>
    <w:rsid w:val="00357F2D"/>
    <w:rsid w:val="003604A7"/>
    <w:rsid w:val="003605DB"/>
    <w:rsid w:val="0036082E"/>
    <w:rsid w:val="00360897"/>
    <w:rsid w:val="00360CE8"/>
    <w:rsid w:val="00360FA9"/>
    <w:rsid w:val="0036118F"/>
    <w:rsid w:val="00361C36"/>
    <w:rsid w:val="00361F61"/>
    <w:rsid w:val="003625D4"/>
    <w:rsid w:val="00363F1A"/>
    <w:rsid w:val="003642A3"/>
    <w:rsid w:val="0036539F"/>
    <w:rsid w:val="003653DB"/>
    <w:rsid w:val="003657C9"/>
    <w:rsid w:val="00366264"/>
    <w:rsid w:val="003662DD"/>
    <w:rsid w:val="003665A9"/>
    <w:rsid w:val="00366BC2"/>
    <w:rsid w:val="003675D5"/>
    <w:rsid w:val="00367834"/>
    <w:rsid w:val="00367AC3"/>
    <w:rsid w:val="00367ED6"/>
    <w:rsid w:val="00370E74"/>
    <w:rsid w:val="00371106"/>
    <w:rsid w:val="00371162"/>
    <w:rsid w:val="00371313"/>
    <w:rsid w:val="00371898"/>
    <w:rsid w:val="00371F52"/>
    <w:rsid w:val="003721BF"/>
    <w:rsid w:val="00372406"/>
    <w:rsid w:val="00372A5E"/>
    <w:rsid w:val="00372E22"/>
    <w:rsid w:val="00373430"/>
    <w:rsid w:val="00373FE0"/>
    <w:rsid w:val="0037455C"/>
    <w:rsid w:val="00374599"/>
    <w:rsid w:val="0037467D"/>
    <w:rsid w:val="0037530D"/>
    <w:rsid w:val="00375762"/>
    <w:rsid w:val="00375A68"/>
    <w:rsid w:val="00376300"/>
    <w:rsid w:val="003764A4"/>
    <w:rsid w:val="00376901"/>
    <w:rsid w:val="003770FD"/>
    <w:rsid w:val="003773F5"/>
    <w:rsid w:val="003801CD"/>
    <w:rsid w:val="003812A1"/>
    <w:rsid w:val="00381807"/>
    <w:rsid w:val="0038218D"/>
    <w:rsid w:val="0038228C"/>
    <w:rsid w:val="003828FB"/>
    <w:rsid w:val="0038293B"/>
    <w:rsid w:val="003829CA"/>
    <w:rsid w:val="00382BD4"/>
    <w:rsid w:val="0038376B"/>
    <w:rsid w:val="003839F9"/>
    <w:rsid w:val="00384926"/>
    <w:rsid w:val="003849DC"/>
    <w:rsid w:val="00384C13"/>
    <w:rsid w:val="00387536"/>
    <w:rsid w:val="00387B96"/>
    <w:rsid w:val="00387C57"/>
    <w:rsid w:val="00387DC6"/>
    <w:rsid w:val="00390925"/>
    <w:rsid w:val="00390B37"/>
    <w:rsid w:val="00391505"/>
    <w:rsid w:val="003916B6"/>
    <w:rsid w:val="00391B1F"/>
    <w:rsid w:val="00392035"/>
    <w:rsid w:val="003927DF"/>
    <w:rsid w:val="00392F33"/>
    <w:rsid w:val="00393187"/>
    <w:rsid w:val="003932CF"/>
    <w:rsid w:val="0039388B"/>
    <w:rsid w:val="00393AD1"/>
    <w:rsid w:val="00393DCD"/>
    <w:rsid w:val="003943BE"/>
    <w:rsid w:val="00394702"/>
    <w:rsid w:val="00394834"/>
    <w:rsid w:val="00395175"/>
    <w:rsid w:val="003955D3"/>
    <w:rsid w:val="003969E8"/>
    <w:rsid w:val="00397589"/>
    <w:rsid w:val="003979D5"/>
    <w:rsid w:val="00397F97"/>
    <w:rsid w:val="00397FA1"/>
    <w:rsid w:val="003A074C"/>
    <w:rsid w:val="003A0ABD"/>
    <w:rsid w:val="003A0EDF"/>
    <w:rsid w:val="003A1119"/>
    <w:rsid w:val="003A2523"/>
    <w:rsid w:val="003A2B17"/>
    <w:rsid w:val="003A381A"/>
    <w:rsid w:val="003A3A6E"/>
    <w:rsid w:val="003A4121"/>
    <w:rsid w:val="003A423F"/>
    <w:rsid w:val="003A430E"/>
    <w:rsid w:val="003A4460"/>
    <w:rsid w:val="003A4637"/>
    <w:rsid w:val="003A4A10"/>
    <w:rsid w:val="003A5FF0"/>
    <w:rsid w:val="003A6671"/>
    <w:rsid w:val="003A68AA"/>
    <w:rsid w:val="003A6B48"/>
    <w:rsid w:val="003A6CC3"/>
    <w:rsid w:val="003A7044"/>
    <w:rsid w:val="003A7826"/>
    <w:rsid w:val="003B0396"/>
    <w:rsid w:val="003B03B4"/>
    <w:rsid w:val="003B0BB5"/>
    <w:rsid w:val="003B0E16"/>
    <w:rsid w:val="003B1C0E"/>
    <w:rsid w:val="003B1F7F"/>
    <w:rsid w:val="003B2031"/>
    <w:rsid w:val="003B2B7F"/>
    <w:rsid w:val="003B2CB3"/>
    <w:rsid w:val="003B2E04"/>
    <w:rsid w:val="003B312A"/>
    <w:rsid w:val="003B3745"/>
    <w:rsid w:val="003B43B0"/>
    <w:rsid w:val="003B47F6"/>
    <w:rsid w:val="003B590A"/>
    <w:rsid w:val="003B5E68"/>
    <w:rsid w:val="003B664C"/>
    <w:rsid w:val="003B694A"/>
    <w:rsid w:val="003B6DB1"/>
    <w:rsid w:val="003B77FF"/>
    <w:rsid w:val="003B7EAD"/>
    <w:rsid w:val="003C05F7"/>
    <w:rsid w:val="003C067A"/>
    <w:rsid w:val="003C0924"/>
    <w:rsid w:val="003C0FFF"/>
    <w:rsid w:val="003C2466"/>
    <w:rsid w:val="003C267F"/>
    <w:rsid w:val="003C3003"/>
    <w:rsid w:val="003C407F"/>
    <w:rsid w:val="003C4C69"/>
    <w:rsid w:val="003C4CEC"/>
    <w:rsid w:val="003C5235"/>
    <w:rsid w:val="003C5E25"/>
    <w:rsid w:val="003C633B"/>
    <w:rsid w:val="003C6B0F"/>
    <w:rsid w:val="003C6C1A"/>
    <w:rsid w:val="003C72E8"/>
    <w:rsid w:val="003C7619"/>
    <w:rsid w:val="003C772C"/>
    <w:rsid w:val="003C7938"/>
    <w:rsid w:val="003C7B86"/>
    <w:rsid w:val="003D1648"/>
    <w:rsid w:val="003D208B"/>
    <w:rsid w:val="003D2243"/>
    <w:rsid w:val="003D240C"/>
    <w:rsid w:val="003D27EE"/>
    <w:rsid w:val="003D3891"/>
    <w:rsid w:val="003D4137"/>
    <w:rsid w:val="003D4359"/>
    <w:rsid w:val="003D448F"/>
    <w:rsid w:val="003D566E"/>
    <w:rsid w:val="003D5A58"/>
    <w:rsid w:val="003D618E"/>
    <w:rsid w:val="003D6348"/>
    <w:rsid w:val="003D66D3"/>
    <w:rsid w:val="003D73AA"/>
    <w:rsid w:val="003D78A8"/>
    <w:rsid w:val="003D7D99"/>
    <w:rsid w:val="003D7FDD"/>
    <w:rsid w:val="003E0F37"/>
    <w:rsid w:val="003E1637"/>
    <w:rsid w:val="003E22CF"/>
    <w:rsid w:val="003E2703"/>
    <w:rsid w:val="003E2AB6"/>
    <w:rsid w:val="003E2CDC"/>
    <w:rsid w:val="003E2E85"/>
    <w:rsid w:val="003E31F8"/>
    <w:rsid w:val="003E32B3"/>
    <w:rsid w:val="003E35DA"/>
    <w:rsid w:val="003E47ED"/>
    <w:rsid w:val="003E4B47"/>
    <w:rsid w:val="003E4B85"/>
    <w:rsid w:val="003E4B8A"/>
    <w:rsid w:val="003E4D5E"/>
    <w:rsid w:val="003E4EAF"/>
    <w:rsid w:val="003E51AE"/>
    <w:rsid w:val="003E56FD"/>
    <w:rsid w:val="003E5956"/>
    <w:rsid w:val="003E59AF"/>
    <w:rsid w:val="003E59B6"/>
    <w:rsid w:val="003E5ABF"/>
    <w:rsid w:val="003E5E3C"/>
    <w:rsid w:val="003E6690"/>
    <w:rsid w:val="003E67E0"/>
    <w:rsid w:val="003E6FE2"/>
    <w:rsid w:val="003E778A"/>
    <w:rsid w:val="003E79CA"/>
    <w:rsid w:val="003E7D5D"/>
    <w:rsid w:val="003F02B6"/>
    <w:rsid w:val="003F0542"/>
    <w:rsid w:val="003F11C7"/>
    <w:rsid w:val="003F1DE0"/>
    <w:rsid w:val="003F1E52"/>
    <w:rsid w:val="003F21AD"/>
    <w:rsid w:val="003F2B29"/>
    <w:rsid w:val="003F325B"/>
    <w:rsid w:val="003F3299"/>
    <w:rsid w:val="003F340E"/>
    <w:rsid w:val="003F3646"/>
    <w:rsid w:val="003F399B"/>
    <w:rsid w:val="003F3BC1"/>
    <w:rsid w:val="003F40CA"/>
    <w:rsid w:val="003F42D6"/>
    <w:rsid w:val="003F49DF"/>
    <w:rsid w:val="003F5BA0"/>
    <w:rsid w:val="003F5DE2"/>
    <w:rsid w:val="003F684A"/>
    <w:rsid w:val="003F6D04"/>
    <w:rsid w:val="003F76C8"/>
    <w:rsid w:val="003F77EE"/>
    <w:rsid w:val="003F7CD9"/>
    <w:rsid w:val="003F7EC3"/>
    <w:rsid w:val="004009A1"/>
    <w:rsid w:val="00400A2A"/>
    <w:rsid w:val="0040111A"/>
    <w:rsid w:val="004022A0"/>
    <w:rsid w:val="0040235B"/>
    <w:rsid w:val="00402580"/>
    <w:rsid w:val="00403218"/>
    <w:rsid w:val="0040393F"/>
    <w:rsid w:val="00403B0E"/>
    <w:rsid w:val="00404227"/>
    <w:rsid w:val="004043F8"/>
    <w:rsid w:val="0040468E"/>
    <w:rsid w:val="00404803"/>
    <w:rsid w:val="00404826"/>
    <w:rsid w:val="00404D73"/>
    <w:rsid w:val="00404ED6"/>
    <w:rsid w:val="00405B24"/>
    <w:rsid w:val="00405B76"/>
    <w:rsid w:val="00406021"/>
    <w:rsid w:val="0040625E"/>
    <w:rsid w:val="0040653F"/>
    <w:rsid w:val="004068E6"/>
    <w:rsid w:val="00407D16"/>
    <w:rsid w:val="00407ECA"/>
    <w:rsid w:val="00411860"/>
    <w:rsid w:val="00411AAB"/>
    <w:rsid w:val="0041238A"/>
    <w:rsid w:val="00413F18"/>
    <w:rsid w:val="00414084"/>
    <w:rsid w:val="0041478D"/>
    <w:rsid w:val="00414B73"/>
    <w:rsid w:val="0041505B"/>
    <w:rsid w:val="00415A0B"/>
    <w:rsid w:val="0041653F"/>
    <w:rsid w:val="00416A37"/>
    <w:rsid w:val="00416B4E"/>
    <w:rsid w:val="0041766E"/>
    <w:rsid w:val="00417777"/>
    <w:rsid w:val="0042042A"/>
    <w:rsid w:val="0042069D"/>
    <w:rsid w:val="00420859"/>
    <w:rsid w:val="00420B39"/>
    <w:rsid w:val="004213D7"/>
    <w:rsid w:val="004223E7"/>
    <w:rsid w:val="004227C3"/>
    <w:rsid w:val="00422A3A"/>
    <w:rsid w:val="00422C52"/>
    <w:rsid w:val="00422E02"/>
    <w:rsid w:val="004233E2"/>
    <w:rsid w:val="004234EC"/>
    <w:rsid w:val="00423A43"/>
    <w:rsid w:val="004251BA"/>
    <w:rsid w:val="00425C0F"/>
    <w:rsid w:val="004261EC"/>
    <w:rsid w:val="00426EFB"/>
    <w:rsid w:val="00426EFD"/>
    <w:rsid w:val="00427176"/>
    <w:rsid w:val="004276AF"/>
    <w:rsid w:val="004278C4"/>
    <w:rsid w:val="00427EDB"/>
    <w:rsid w:val="0043011A"/>
    <w:rsid w:val="004310A2"/>
    <w:rsid w:val="00431896"/>
    <w:rsid w:val="0043190E"/>
    <w:rsid w:val="00431EF6"/>
    <w:rsid w:val="00432A3D"/>
    <w:rsid w:val="0043351A"/>
    <w:rsid w:val="00433D68"/>
    <w:rsid w:val="00434734"/>
    <w:rsid w:val="00434A74"/>
    <w:rsid w:val="00434B71"/>
    <w:rsid w:val="00434E0E"/>
    <w:rsid w:val="00434F73"/>
    <w:rsid w:val="00435148"/>
    <w:rsid w:val="00435494"/>
    <w:rsid w:val="004361D2"/>
    <w:rsid w:val="00436425"/>
    <w:rsid w:val="00440149"/>
    <w:rsid w:val="004404A7"/>
    <w:rsid w:val="004405DA"/>
    <w:rsid w:val="00440B0E"/>
    <w:rsid w:val="004434BD"/>
    <w:rsid w:val="00443971"/>
    <w:rsid w:val="004440D1"/>
    <w:rsid w:val="00444AE6"/>
    <w:rsid w:val="00445BED"/>
    <w:rsid w:val="004462CE"/>
    <w:rsid w:val="004463E0"/>
    <w:rsid w:val="004466BD"/>
    <w:rsid w:val="00446B35"/>
    <w:rsid w:val="00446BDD"/>
    <w:rsid w:val="00446D1D"/>
    <w:rsid w:val="00446D73"/>
    <w:rsid w:val="00446D78"/>
    <w:rsid w:val="0044708A"/>
    <w:rsid w:val="004475F7"/>
    <w:rsid w:val="00447A93"/>
    <w:rsid w:val="00447BE9"/>
    <w:rsid w:val="004504BD"/>
    <w:rsid w:val="00450C5B"/>
    <w:rsid w:val="00450EB5"/>
    <w:rsid w:val="0045139F"/>
    <w:rsid w:val="0045173C"/>
    <w:rsid w:val="00451C91"/>
    <w:rsid w:val="00451F2D"/>
    <w:rsid w:val="00452439"/>
    <w:rsid w:val="0045278A"/>
    <w:rsid w:val="00452F44"/>
    <w:rsid w:val="00452FC5"/>
    <w:rsid w:val="00454512"/>
    <w:rsid w:val="004546BE"/>
    <w:rsid w:val="00454931"/>
    <w:rsid w:val="00455E1B"/>
    <w:rsid w:val="00456211"/>
    <w:rsid w:val="00456CC0"/>
    <w:rsid w:val="00456F4A"/>
    <w:rsid w:val="0045754B"/>
    <w:rsid w:val="00457EDC"/>
    <w:rsid w:val="00460460"/>
    <w:rsid w:val="00460592"/>
    <w:rsid w:val="00461504"/>
    <w:rsid w:val="00461A6A"/>
    <w:rsid w:val="0046344E"/>
    <w:rsid w:val="00463698"/>
    <w:rsid w:val="00463B73"/>
    <w:rsid w:val="0046508F"/>
    <w:rsid w:val="00465883"/>
    <w:rsid w:val="00465A96"/>
    <w:rsid w:val="00466C35"/>
    <w:rsid w:val="00466FA1"/>
    <w:rsid w:val="00467A14"/>
    <w:rsid w:val="00467B0D"/>
    <w:rsid w:val="00470026"/>
    <w:rsid w:val="0047018A"/>
    <w:rsid w:val="00470654"/>
    <w:rsid w:val="00471115"/>
    <w:rsid w:val="00471360"/>
    <w:rsid w:val="0047151D"/>
    <w:rsid w:val="004719A5"/>
    <w:rsid w:val="00471B67"/>
    <w:rsid w:val="00471F42"/>
    <w:rsid w:val="00471F6F"/>
    <w:rsid w:val="00472CEB"/>
    <w:rsid w:val="00472D8C"/>
    <w:rsid w:val="00473733"/>
    <w:rsid w:val="0047378C"/>
    <w:rsid w:val="00473A47"/>
    <w:rsid w:val="00473AF1"/>
    <w:rsid w:val="00473B32"/>
    <w:rsid w:val="00474DD5"/>
    <w:rsid w:val="00475429"/>
    <w:rsid w:val="00475D0E"/>
    <w:rsid w:val="00475D8E"/>
    <w:rsid w:val="00476833"/>
    <w:rsid w:val="00477547"/>
    <w:rsid w:val="00477718"/>
    <w:rsid w:val="00477AF4"/>
    <w:rsid w:val="00477DB3"/>
    <w:rsid w:val="0048007A"/>
    <w:rsid w:val="00480780"/>
    <w:rsid w:val="00481343"/>
    <w:rsid w:val="00481B0A"/>
    <w:rsid w:val="00481FD0"/>
    <w:rsid w:val="00482580"/>
    <w:rsid w:val="00482D28"/>
    <w:rsid w:val="00482EBB"/>
    <w:rsid w:val="00483296"/>
    <w:rsid w:val="004833E6"/>
    <w:rsid w:val="00483943"/>
    <w:rsid w:val="00483CA9"/>
    <w:rsid w:val="004845F8"/>
    <w:rsid w:val="004850A6"/>
    <w:rsid w:val="00485232"/>
    <w:rsid w:val="00485348"/>
    <w:rsid w:val="0048537E"/>
    <w:rsid w:val="00485857"/>
    <w:rsid w:val="00485D3C"/>
    <w:rsid w:val="00486552"/>
    <w:rsid w:val="0048655C"/>
    <w:rsid w:val="004865F1"/>
    <w:rsid w:val="004866AE"/>
    <w:rsid w:val="00490350"/>
    <w:rsid w:val="0049156E"/>
    <w:rsid w:val="004918C0"/>
    <w:rsid w:val="004921BD"/>
    <w:rsid w:val="00492B03"/>
    <w:rsid w:val="00492DF6"/>
    <w:rsid w:val="00493B13"/>
    <w:rsid w:val="00494128"/>
    <w:rsid w:val="00494478"/>
    <w:rsid w:val="00494558"/>
    <w:rsid w:val="004950FA"/>
    <w:rsid w:val="004953CB"/>
    <w:rsid w:val="004953CC"/>
    <w:rsid w:val="004961E6"/>
    <w:rsid w:val="00497160"/>
    <w:rsid w:val="004978ED"/>
    <w:rsid w:val="00497B81"/>
    <w:rsid w:val="004A0292"/>
    <w:rsid w:val="004A0487"/>
    <w:rsid w:val="004A0859"/>
    <w:rsid w:val="004A14FD"/>
    <w:rsid w:val="004A1593"/>
    <w:rsid w:val="004A15CF"/>
    <w:rsid w:val="004A164E"/>
    <w:rsid w:val="004A1B25"/>
    <w:rsid w:val="004A23C7"/>
    <w:rsid w:val="004A2651"/>
    <w:rsid w:val="004A285E"/>
    <w:rsid w:val="004A4592"/>
    <w:rsid w:val="004A484D"/>
    <w:rsid w:val="004A4E13"/>
    <w:rsid w:val="004A512B"/>
    <w:rsid w:val="004A53C0"/>
    <w:rsid w:val="004A5A39"/>
    <w:rsid w:val="004A6545"/>
    <w:rsid w:val="004A747C"/>
    <w:rsid w:val="004B0148"/>
    <w:rsid w:val="004B0894"/>
    <w:rsid w:val="004B154F"/>
    <w:rsid w:val="004B19AF"/>
    <w:rsid w:val="004B22DB"/>
    <w:rsid w:val="004B2443"/>
    <w:rsid w:val="004B2AF2"/>
    <w:rsid w:val="004B3287"/>
    <w:rsid w:val="004B32BD"/>
    <w:rsid w:val="004B377D"/>
    <w:rsid w:val="004B3B2E"/>
    <w:rsid w:val="004B3C1A"/>
    <w:rsid w:val="004B4153"/>
    <w:rsid w:val="004B4881"/>
    <w:rsid w:val="004B4BA3"/>
    <w:rsid w:val="004B534F"/>
    <w:rsid w:val="004B5A31"/>
    <w:rsid w:val="004B6CE0"/>
    <w:rsid w:val="004B72E6"/>
    <w:rsid w:val="004B776F"/>
    <w:rsid w:val="004C033F"/>
    <w:rsid w:val="004C0578"/>
    <w:rsid w:val="004C0C02"/>
    <w:rsid w:val="004C1163"/>
    <w:rsid w:val="004C1AC4"/>
    <w:rsid w:val="004C23CB"/>
    <w:rsid w:val="004C2A43"/>
    <w:rsid w:val="004C2C75"/>
    <w:rsid w:val="004C30E7"/>
    <w:rsid w:val="004C3DD9"/>
    <w:rsid w:val="004C3E9C"/>
    <w:rsid w:val="004C4407"/>
    <w:rsid w:val="004C502F"/>
    <w:rsid w:val="004C534E"/>
    <w:rsid w:val="004D034E"/>
    <w:rsid w:val="004D0AA7"/>
    <w:rsid w:val="004D0B62"/>
    <w:rsid w:val="004D1083"/>
    <w:rsid w:val="004D17C7"/>
    <w:rsid w:val="004D1935"/>
    <w:rsid w:val="004D1B26"/>
    <w:rsid w:val="004D1E0F"/>
    <w:rsid w:val="004D229D"/>
    <w:rsid w:val="004D2402"/>
    <w:rsid w:val="004D2700"/>
    <w:rsid w:val="004D330C"/>
    <w:rsid w:val="004D3B09"/>
    <w:rsid w:val="004D4511"/>
    <w:rsid w:val="004D6512"/>
    <w:rsid w:val="004D676B"/>
    <w:rsid w:val="004D7029"/>
    <w:rsid w:val="004D73CB"/>
    <w:rsid w:val="004D73D9"/>
    <w:rsid w:val="004D79FE"/>
    <w:rsid w:val="004D7E0E"/>
    <w:rsid w:val="004E07DC"/>
    <w:rsid w:val="004E1D5D"/>
    <w:rsid w:val="004E2167"/>
    <w:rsid w:val="004E25FC"/>
    <w:rsid w:val="004E261F"/>
    <w:rsid w:val="004E2930"/>
    <w:rsid w:val="004E3724"/>
    <w:rsid w:val="004E506C"/>
    <w:rsid w:val="004E52DD"/>
    <w:rsid w:val="004E5DE7"/>
    <w:rsid w:val="004E6572"/>
    <w:rsid w:val="004E6832"/>
    <w:rsid w:val="004E70D9"/>
    <w:rsid w:val="004E79E2"/>
    <w:rsid w:val="004F0108"/>
    <w:rsid w:val="004F01A7"/>
    <w:rsid w:val="004F0C4D"/>
    <w:rsid w:val="004F1E89"/>
    <w:rsid w:val="004F2886"/>
    <w:rsid w:val="004F32A2"/>
    <w:rsid w:val="004F39DC"/>
    <w:rsid w:val="004F490C"/>
    <w:rsid w:val="004F491E"/>
    <w:rsid w:val="004F4B1C"/>
    <w:rsid w:val="004F4C99"/>
    <w:rsid w:val="004F4F86"/>
    <w:rsid w:val="004F69DE"/>
    <w:rsid w:val="004F6EE6"/>
    <w:rsid w:val="004F7149"/>
    <w:rsid w:val="004F7629"/>
    <w:rsid w:val="004F7656"/>
    <w:rsid w:val="004F7971"/>
    <w:rsid w:val="004F7B43"/>
    <w:rsid w:val="004F7D04"/>
    <w:rsid w:val="004F7F51"/>
    <w:rsid w:val="0050087A"/>
    <w:rsid w:val="00501596"/>
    <w:rsid w:val="0050185B"/>
    <w:rsid w:val="00501ACE"/>
    <w:rsid w:val="00501FD3"/>
    <w:rsid w:val="00502409"/>
    <w:rsid w:val="00502EF0"/>
    <w:rsid w:val="00503B21"/>
    <w:rsid w:val="00503DB6"/>
    <w:rsid w:val="00504A74"/>
    <w:rsid w:val="00504C93"/>
    <w:rsid w:val="00504D5F"/>
    <w:rsid w:val="00505564"/>
    <w:rsid w:val="0050578C"/>
    <w:rsid w:val="00506589"/>
    <w:rsid w:val="00507608"/>
    <w:rsid w:val="00510B7F"/>
    <w:rsid w:val="00511278"/>
    <w:rsid w:val="0051189A"/>
    <w:rsid w:val="005128B2"/>
    <w:rsid w:val="00513FF5"/>
    <w:rsid w:val="0051429C"/>
    <w:rsid w:val="0051463A"/>
    <w:rsid w:val="00514E23"/>
    <w:rsid w:val="00515041"/>
    <w:rsid w:val="005160A2"/>
    <w:rsid w:val="00516654"/>
    <w:rsid w:val="0051666F"/>
    <w:rsid w:val="005167DB"/>
    <w:rsid w:val="005175D9"/>
    <w:rsid w:val="00517DCA"/>
    <w:rsid w:val="00517F20"/>
    <w:rsid w:val="0052037B"/>
    <w:rsid w:val="00520D65"/>
    <w:rsid w:val="00520F75"/>
    <w:rsid w:val="00521366"/>
    <w:rsid w:val="00521748"/>
    <w:rsid w:val="00521BA8"/>
    <w:rsid w:val="00522130"/>
    <w:rsid w:val="00522DE4"/>
    <w:rsid w:val="00522E0C"/>
    <w:rsid w:val="00523103"/>
    <w:rsid w:val="00523DDD"/>
    <w:rsid w:val="00524ABE"/>
    <w:rsid w:val="005254D5"/>
    <w:rsid w:val="0052580D"/>
    <w:rsid w:val="00525816"/>
    <w:rsid w:val="005258DA"/>
    <w:rsid w:val="005262D6"/>
    <w:rsid w:val="00526397"/>
    <w:rsid w:val="005269B1"/>
    <w:rsid w:val="00526C34"/>
    <w:rsid w:val="005276AD"/>
    <w:rsid w:val="0052777E"/>
    <w:rsid w:val="00527FBE"/>
    <w:rsid w:val="0053012A"/>
    <w:rsid w:val="00530436"/>
    <w:rsid w:val="00530AC4"/>
    <w:rsid w:val="00530D87"/>
    <w:rsid w:val="00531F00"/>
    <w:rsid w:val="00531F8E"/>
    <w:rsid w:val="0053206B"/>
    <w:rsid w:val="00532325"/>
    <w:rsid w:val="0053254C"/>
    <w:rsid w:val="00532917"/>
    <w:rsid w:val="00532DD7"/>
    <w:rsid w:val="0053305D"/>
    <w:rsid w:val="00533F59"/>
    <w:rsid w:val="00533F82"/>
    <w:rsid w:val="0053435F"/>
    <w:rsid w:val="00534589"/>
    <w:rsid w:val="00534AF4"/>
    <w:rsid w:val="00535320"/>
    <w:rsid w:val="005360CC"/>
    <w:rsid w:val="0053617A"/>
    <w:rsid w:val="005361DB"/>
    <w:rsid w:val="00537AA2"/>
    <w:rsid w:val="0054021A"/>
    <w:rsid w:val="005406E6"/>
    <w:rsid w:val="0054132A"/>
    <w:rsid w:val="00541820"/>
    <w:rsid w:val="00541A63"/>
    <w:rsid w:val="00541B22"/>
    <w:rsid w:val="00542435"/>
    <w:rsid w:val="00542A5B"/>
    <w:rsid w:val="005431DD"/>
    <w:rsid w:val="00543948"/>
    <w:rsid w:val="005439EC"/>
    <w:rsid w:val="00543A0A"/>
    <w:rsid w:val="00543ACB"/>
    <w:rsid w:val="00543DB4"/>
    <w:rsid w:val="0054411A"/>
    <w:rsid w:val="00544638"/>
    <w:rsid w:val="00545031"/>
    <w:rsid w:val="00545661"/>
    <w:rsid w:val="0054588C"/>
    <w:rsid w:val="0054617B"/>
    <w:rsid w:val="005461FB"/>
    <w:rsid w:val="0054668E"/>
    <w:rsid w:val="00546AFA"/>
    <w:rsid w:val="005472B0"/>
    <w:rsid w:val="00547BA8"/>
    <w:rsid w:val="00547F0B"/>
    <w:rsid w:val="00547FD9"/>
    <w:rsid w:val="005508E0"/>
    <w:rsid w:val="00550ADA"/>
    <w:rsid w:val="00550FCA"/>
    <w:rsid w:val="00551C18"/>
    <w:rsid w:val="005527C1"/>
    <w:rsid w:val="005529E5"/>
    <w:rsid w:val="00552C14"/>
    <w:rsid w:val="00552F21"/>
    <w:rsid w:val="005537DD"/>
    <w:rsid w:val="00553C97"/>
    <w:rsid w:val="005540A8"/>
    <w:rsid w:val="0055412D"/>
    <w:rsid w:val="005546B4"/>
    <w:rsid w:val="00555F51"/>
    <w:rsid w:val="00556065"/>
    <w:rsid w:val="005568AC"/>
    <w:rsid w:val="00556B84"/>
    <w:rsid w:val="00557316"/>
    <w:rsid w:val="0055760D"/>
    <w:rsid w:val="005601CD"/>
    <w:rsid w:val="0056030E"/>
    <w:rsid w:val="005604EE"/>
    <w:rsid w:val="005606CF"/>
    <w:rsid w:val="00560BD3"/>
    <w:rsid w:val="00560CAF"/>
    <w:rsid w:val="00561841"/>
    <w:rsid w:val="0056197B"/>
    <w:rsid w:val="0056212B"/>
    <w:rsid w:val="00562F7E"/>
    <w:rsid w:val="00563AF8"/>
    <w:rsid w:val="00564943"/>
    <w:rsid w:val="0056495A"/>
    <w:rsid w:val="00564DCF"/>
    <w:rsid w:val="00565530"/>
    <w:rsid w:val="00565A9D"/>
    <w:rsid w:val="00566E0E"/>
    <w:rsid w:val="00566F0D"/>
    <w:rsid w:val="00566FD7"/>
    <w:rsid w:val="00567061"/>
    <w:rsid w:val="0056792F"/>
    <w:rsid w:val="00567A60"/>
    <w:rsid w:val="00567C62"/>
    <w:rsid w:val="00567D50"/>
    <w:rsid w:val="00567D78"/>
    <w:rsid w:val="00567FDB"/>
    <w:rsid w:val="00570BB8"/>
    <w:rsid w:val="00570DFB"/>
    <w:rsid w:val="00571110"/>
    <w:rsid w:val="00571A15"/>
    <w:rsid w:val="005720F0"/>
    <w:rsid w:val="00572C52"/>
    <w:rsid w:val="0057303A"/>
    <w:rsid w:val="00573473"/>
    <w:rsid w:val="00573655"/>
    <w:rsid w:val="00574862"/>
    <w:rsid w:val="005754CC"/>
    <w:rsid w:val="00576360"/>
    <w:rsid w:val="005764BE"/>
    <w:rsid w:val="00576527"/>
    <w:rsid w:val="00576ADD"/>
    <w:rsid w:val="0057784F"/>
    <w:rsid w:val="00577BF2"/>
    <w:rsid w:val="0058010F"/>
    <w:rsid w:val="00580D6F"/>
    <w:rsid w:val="0058117C"/>
    <w:rsid w:val="005811DE"/>
    <w:rsid w:val="0058162A"/>
    <w:rsid w:val="00581E97"/>
    <w:rsid w:val="005824E5"/>
    <w:rsid w:val="005826F3"/>
    <w:rsid w:val="00582B42"/>
    <w:rsid w:val="00582B98"/>
    <w:rsid w:val="00583144"/>
    <w:rsid w:val="005842D4"/>
    <w:rsid w:val="005843F2"/>
    <w:rsid w:val="00584853"/>
    <w:rsid w:val="00584A9F"/>
    <w:rsid w:val="00584E9F"/>
    <w:rsid w:val="00585882"/>
    <w:rsid w:val="005859A1"/>
    <w:rsid w:val="005862B0"/>
    <w:rsid w:val="005862B4"/>
    <w:rsid w:val="00586395"/>
    <w:rsid w:val="00586557"/>
    <w:rsid w:val="00586AE0"/>
    <w:rsid w:val="00587356"/>
    <w:rsid w:val="00587989"/>
    <w:rsid w:val="00587B59"/>
    <w:rsid w:val="00590284"/>
    <w:rsid w:val="00590E51"/>
    <w:rsid w:val="00591188"/>
    <w:rsid w:val="00591297"/>
    <w:rsid w:val="0059146E"/>
    <w:rsid w:val="0059168F"/>
    <w:rsid w:val="00591693"/>
    <w:rsid w:val="005917A6"/>
    <w:rsid w:val="005917FB"/>
    <w:rsid w:val="005919ED"/>
    <w:rsid w:val="00591EE3"/>
    <w:rsid w:val="00592145"/>
    <w:rsid w:val="00592C49"/>
    <w:rsid w:val="00592F7B"/>
    <w:rsid w:val="00593AEA"/>
    <w:rsid w:val="0059430A"/>
    <w:rsid w:val="00594412"/>
    <w:rsid w:val="00594BFF"/>
    <w:rsid w:val="00595282"/>
    <w:rsid w:val="00595358"/>
    <w:rsid w:val="00595937"/>
    <w:rsid w:val="00595973"/>
    <w:rsid w:val="00595CAD"/>
    <w:rsid w:val="0059616C"/>
    <w:rsid w:val="00596659"/>
    <w:rsid w:val="00597226"/>
    <w:rsid w:val="005972E2"/>
    <w:rsid w:val="005973A8"/>
    <w:rsid w:val="00597EE8"/>
    <w:rsid w:val="005A0246"/>
    <w:rsid w:val="005A0307"/>
    <w:rsid w:val="005A0B1E"/>
    <w:rsid w:val="005A0BEB"/>
    <w:rsid w:val="005A125B"/>
    <w:rsid w:val="005A1274"/>
    <w:rsid w:val="005A1783"/>
    <w:rsid w:val="005A1C86"/>
    <w:rsid w:val="005A2D79"/>
    <w:rsid w:val="005A3C78"/>
    <w:rsid w:val="005A3E31"/>
    <w:rsid w:val="005A4A1A"/>
    <w:rsid w:val="005A4B95"/>
    <w:rsid w:val="005A4BE7"/>
    <w:rsid w:val="005A4F4A"/>
    <w:rsid w:val="005A512C"/>
    <w:rsid w:val="005A5629"/>
    <w:rsid w:val="005A579B"/>
    <w:rsid w:val="005A5D18"/>
    <w:rsid w:val="005A5DB7"/>
    <w:rsid w:val="005A717D"/>
    <w:rsid w:val="005A7236"/>
    <w:rsid w:val="005B01EB"/>
    <w:rsid w:val="005B0401"/>
    <w:rsid w:val="005B16C5"/>
    <w:rsid w:val="005B1B1F"/>
    <w:rsid w:val="005B1BD0"/>
    <w:rsid w:val="005B1DC4"/>
    <w:rsid w:val="005B24AD"/>
    <w:rsid w:val="005B2B7A"/>
    <w:rsid w:val="005B2CA0"/>
    <w:rsid w:val="005B31CE"/>
    <w:rsid w:val="005B4428"/>
    <w:rsid w:val="005B47C6"/>
    <w:rsid w:val="005B4A87"/>
    <w:rsid w:val="005B5996"/>
    <w:rsid w:val="005B6308"/>
    <w:rsid w:val="005B6557"/>
    <w:rsid w:val="005B70C4"/>
    <w:rsid w:val="005B713A"/>
    <w:rsid w:val="005B77E2"/>
    <w:rsid w:val="005C0040"/>
    <w:rsid w:val="005C03DE"/>
    <w:rsid w:val="005C0D5C"/>
    <w:rsid w:val="005C125A"/>
    <w:rsid w:val="005C168C"/>
    <w:rsid w:val="005C1A10"/>
    <w:rsid w:val="005C1C6F"/>
    <w:rsid w:val="005C2296"/>
    <w:rsid w:val="005C22E8"/>
    <w:rsid w:val="005C2912"/>
    <w:rsid w:val="005C2953"/>
    <w:rsid w:val="005C2B24"/>
    <w:rsid w:val="005C2BB4"/>
    <w:rsid w:val="005C46D3"/>
    <w:rsid w:val="005C4788"/>
    <w:rsid w:val="005C4932"/>
    <w:rsid w:val="005C4A7D"/>
    <w:rsid w:val="005C4B8C"/>
    <w:rsid w:val="005C5318"/>
    <w:rsid w:val="005C556B"/>
    <w:rsid w:val="005C5D3F"/>
    <w:rsid w:val="005C5DD5"/>
    <w:rsid w:val="005C5EAD"/>
    <w:rsid w:val="005C6335"/>
    <w:rsid w:val="005C6547"/>
    <w:rsid w:val="005C6878"/>
    <w:rsid w:val="005C70DB"/>
    <w:rsid w:val="005C75D7"/>
    <w:rsid w:val="005C7895"/>
    <w:rsid w:val="005D011F"/>
    <w:rsid w:val="005D1368"/>
    <w:rsid w:val="005D1620"/>
    <w:rsid w:val="005D1B39"/>
    <w:rsid w:val="005D2014"/>
    <w:rsid w:val="005D25AE"/>
    <w:rsid w:val="005D2898"/>
    <w:rsid w:val="005D3C87"/>
    <w:rsid w:val="005D4090"/>
    <w:rsid w:val="005D433C"/>
    <w:rsid w:val="005D4781"/>
    <w:rsid w:val="005D5070"/>
    <w:rsid w:val="005D5818"/>
    <w:rsid w:val="005D5B36"/>
    <w:rsid w:val="005D5BB3"/>
    <w:rsid w:val="005D602E"/>
    <w:rsid w:val="005D61F4"/>
    <w:rsid w:val="005D631A"/>
    <w:rsid w:val="005D67FA"/>
    <w:rsid w:val="005D7049"/>
    <w:rsid w:val="005D73BE"/>
    <w:rsid w:val="005D7CD6"/>
    <w:rsid w:val="005E057C"/>
    <w:rsid w:val="005E0EE4"/>
    <w:rsid w:val="005E1C75"/>
    <w:rsid w:val="005E2AA9"/>
    <w:rsid w:val="005E2B7C"/>
    <w:rsid w:val="005E2C86"/>
    <w:rsid w:val="005E3C9B"/>
    <w:rsid w:val="005E434C"/>
    <w:rsid w:val="005E4447"/>
    <w:rsid w:val="005E4531"/>
    <w:rsid w:val="005E4618"/>
    <w:rsid w:val="005E4996"/>
    <w:rsid w:val="005E4D5E"/>
    <w:rsid w:val="005E5E27"/>
    <w:rsid w:val="005E6454"/>
    <w:rsid w:val="005E66A1"/>
    <w:rsid w:val="005E7056"/>
    <w:rsid w:val="005E745D"/>
    <w:rsid w:val="005E75A7"/>
    <w:rsid w:val="005F0458"/>
    <w:rsid w:val="005F1780"/>
    <w:rsid w:val="005F1861"/>
    <w:rsid w:val="005F1961"/>
    <w:rsid w:val="005F20D1"/>
    <w:rsid w:val="005F222C"/>
    <w:rsid w:val="005F28DE"/>
    <w:rsid w:val="005F387C"/>
    <w:rsid w:val="005F3DC4"/>
    <w:rsid w:val="005F40C6"/>
    <w:rsid w:val="005F48F7"/>
    <w:rsid w:val="005F4A4C"/>
    <w:rsid w:val="005F4DAE"/>
    <w:rsid w:val="005F4F90"/>
    <w:rsid w:val="005F56B9"/>
    <w:rsid w:val="005F5A49"/>
    <w:rsid w:val="005F5B1F"/>
    <w:rsid w:val="005F5BCE"/>
    <w:rsid w:val="005F6639"/>
    <w:rsid w:val="005F6C5D"/>
    <w:rsid w:val="005F6E87"/>
    <w:rsid w:val="005F74CC"/>
    <w:rsid w:val="00600157"/>
    <w:rsid w:val="006001E3"/>
    <w:rsid w:val="00600325"/>
    <w:rsid w:val="00600DAC"/>
    <w:rsid w:val="00601271"/>
    <w:rsid w:val="006018E1"/>
    <w:rsid w:val="00601D2B"/>
    <w:rsid w:val="006023D2"/>
    <w:rsid w:val="006028CB"/>
    <w:rsid w:val="00602ABF"/>
    <w:rsid w:val="00602B37"/>
    <w:rsid w:val="00603C1E"/>
    <w:rsid w:val="00604080"/>
    <w:rsid w:val="006044CC"/>
    <w:rsid w:val="00605005"/>
    <w:rsid w:val="006060FB"/>
    <w:rsid w:val="0060652D"/>
    <w:rsid w:val="006069C6"/>
    <w:rsid w:val="00606C68"/>
    <w:rsid w:val="006073B0"/>
    <w:rsid w:val="00607B06"/>
    <w:rsid w:val="00607B87"/>
    <w:rsid w:val="006103B0"/>
    <w:rsid w:val="00610A60"/>
    <w:rsid w:val="00610C4F"/>
    <w:rsid w:val="006112FB"/>
    <w:rsid w:val="00611714"/>
    <w:rsid w:val="006117D4"/>
    <w:rsid w:val="00612FE3"/>
    <w:rsid w:val="0061328F"/>
    <w:rsid w:val="00613416"/>
    <w:rsid w:val="00613C51"/>
    <w:rsid w:val="00614386"/>
    <w:rsid w:val="00614A4D"/>
    <w:rsid w:val="00615155"/>
    <w:rsid w:val="006153F6"/>
    <w:rsid w:val="00615CD2"/>
    <w:rsid w:val="0061665F"/>
    <w:rsid w:val="00616661"/>
    <w:rsid w:val="00616B5C"/>
    <w:rsid w:val="00616F3E"/>
    <w:rsid w:val="00617041"/>
    <w:rsid w:val="0061766E"/>
    <w:rsid w:val="00617791"/>
    <w:rsid w:val="0062051E"/>
    <w:rsid w:val="006205BD"/>
    <w:rsid w:val="00620921"/>
    <w:rsid w:val="00620BEA"/>
    <w:rsid w:val="00620CF9"/>
    <w:rsid w:val="00621BF0"/>
    <w:rsid w:val="006221EE"/>
    <w:rsid w:val="006226B4"/>
    <w:rsid w:val="00622C27"/>
    <w:rsid w:val="00623282"/>
    <w:rsid w:val="006237FD"/>
    <w:rsid w:val="00623B7F"/>
    <w:rsid w:val="00623F10"/>
    <w:rsid w:val="00624070"/>
    <w:rsid w:val="006253AF"/>
    <w:rsid w:val="0062581C"/>
    <w:rsid w:val="00625BAE"/>
    <w:rsid w:val="00627144"/>
    <w:rsid w:val="006275F5"/>
    <w:rsid w:val="00627675"/>
    <w:rsid w:val="00627E73"/>
    <w:rsid w:val="00627F31"/>
    <w:rsid w:val="00630268"/>
    <w:rsid w:val="006309EB"/>
    <w:rsid w:val="00630BF4"/>
    <w:rsid w:val="00630CD6"/>
    <w:rsid w:val="0063105A"/>
    <w:rsid w:val="00631ECE"/>
    <w:rsid w:val="0063228C"/>
    <w:rsid w:val="0063303E"/>
    <w:rsid w:val="00633854"/>
    <w:rsid w:val="00633CB4"/>
    <w:rsid w:val="00633F57"/>
    <w:rsid w:val="00633FA2"/>
    <w:rsid w:val="006343CA"/>
    <w:rsid w:val="00634894"/>
    <w:rsid w:val="0063499D"/>
    <w:rsid w:val="00635156"/>
    <w:rsid w:val="00635192"/>
    <w:rsid w:val="0063542A"/>
    <w:rsid w:val="006355BB"/>
    <w:rsid w:val="00636240"/>
    <w:rsid w:val="006366E4"/>
    <w:rsid w:val="00637084"/>
    <w:rsid w:val="0063767E"/>
    <w:rsid w:val="00637688"/>
    <w:rsid w:val="00637761"/>
    <w:rsid w:val="0063784A"/>
    <w:rsid w:val="006378FD"/>
    <w:rsid w:val="00637946"/>
    <w:rsid w:val="00637E4E"/>
    <w:rsid w:val="00637EA4"/>
    <w:rsid w:val="00640166"/>
    <w:rsid w:val="00640A19"/>
    <w:rsid w:val="00640B4B"/>
    <w:rsid w:val="00640E86"/>
    <w:rsid w:val="0064162F"/>
    <w:rsid w:val="006416EE"/>
    <w:rsid w:val="00641B93"/>
    <w:rsid w:val="00641DDB"/>
    <w:rsid w:val="00641F4C"/>
    <w:rsid w:val="00642696"/>
    <w:rsid w:val="0064314D"/>
    <w:rsid w:val="006433F8"/>
    <w:rsid w:val="0064369E"/>
    <w:rsid w:val="00643851"/>
    <w:rsid w:val="00643D44"/>
    <w:rsid w:val="00643E92"/>
    <w:rsid w:val="00644360"/>
    <w:rsid w:val="00645856"/>
    <w:rsid w:val="00645AD7"/>
    <w:rsid w:val="00645B80"/>
    <w:rsid w:val="0064616A"/>
    <w:rsid w:val="00646371"/>
    <w:rsid w:val="0064738E"/>
    <w:rsid w:val="006473F2"/>
    <w:rsid w:val="0064784D"/>
    <w:rsid w:val="00647A6E"/>
    <w:rsid w:val="00647E2C"/>
    <w:rsid w:val="006500A9"/>
    <w:rsid w:val="006520B8"/>
    <w:rsid w:val="00653D95"/>
    <w:rsid w:val="00653DC4"/>
    <w:rsid w:val="0065422B"/>
    <w:rsid w:val="00654C4B"/>
    <w:rsid w:val="00654D76"/>
    <w:rsid w:val="00654E7A"/>
    <w:rsid w:val="00654E87"/>
    <w:rsid w:val="006559E3"/>
    <w:rsid w:val="00655A03"/>
    <w:rsid w:val="0065631D"/>
    <w:rsid w:val="006564DB"/>
    <w:rsid w:val="006565F5"/>
    <w:rsid w:val="00656992"/>
    <w:rsid w:val="0065775E"/>
    <w:rsid w:val="006579BA"/>
    <w:rsid w:val="00657C92"/>
    <w:rsid w:val="00657F5A"/>
    <w:rsid w:val="00660C4F"/>
    <w:rsid w:val="00661C1F"/>
    <w:rsid w:val="00661E66"/>
    <w:rsid w:val="0066207A"/>
    <w:rsid w:val="00662458"/>
    <w:rsid w:val="0066252E"/>
    <w:rsid w:val="00663361"/>
    <w:rsid w:val="00664260"/>
    <w:rsid w:val="00664D9F"/>
    <w:rsid w:val="00665062"/>
    <w:rsid w:val="00665FDE"/>
    <w:rsid w:val="00666F7B"/>
    <w:rsid w:val="00667ED5"/>
    <w:rsid w:val="006700F1"/>
    <w:rsid w:val="0067026D"/>
    <w:rsid w:val="006708B1"/>
    <w:rsid w:val="00670DE6"/>
    <w:rsid w:val="00670F2B"/>
    <w:rsid w:val="00671322"/>
    <w:rsid w:val="0067409B"/>
    <w:rsid w:val="006742B2"/>
    <w:rsid w:val="00674437"/>
    <w:rsid w:val="006745A3"/>
    <w:rsid w:val="00674B06"/>
    <w:rsid w:val="00674C2B"/>
    <w:rsid w:val="006751A0"/>
    <w:rsid w:val="006756B2"/>
    <w:rsid w:val="00675700"/>
    <w:rsid w:val="00675931"/>
    <w:rsid w:val="00675D4B"/>
    <w:rsid w:val="00675D58"/>
    <w:rsid w:val="00675EF2"/>
    <w:rsid w:val="00676068"/>
    <w:rsid w:val="006765BB"/>
    <w:rsid w:val="006767E5"/>
    <w:rsid w:val="00676AE5"/>
    <w:rsid w:val="00676E3F"/>
    <w:rsid w:val="00677043"/>
    <w:rsid w:val="006772C3"/>
    <w:rsid w:val="006774B5"/>
    <w:rsid w:val="00677D3B"/>
    <w:rsid w:val="00680344"/>
    <w:rsid w:val="00681144"/>
    <w:rsid w:val="00681234"/>
    <w:rsid w:val="00682C13"/>
    <w:rsid w:val="0068304A"/>
    <w:rsid w:val="006836AA"/>
    <w:rsid w:val="0068381F"/>
    <w:rsid w:val="00683B00"/>
    <w:rsid w:val="00683C13"/>
    <w:rsid w:val="00684632"/>
    <w:rsid w:val="006849D1"/>
    <w:rsid w:val="0068576F"/>
    <w:rsid w:val="006858C0"/>
    <w:rsid w:val="0068639F"/>
    <w:rsid w:val="00686A0F"/>
    <w:rsid w:val="00687332"/>
    <w:rsid w:val="0069012E"/>
    <w:rsid w:val="006904F7"/>
    <w:rsid w:val="00690658"/>
    <w:rsid w:val="00690AA7"/>
    <w:rsid w:val="0069136C"/>
    <w:rsid w:val="006917A4"/>
    <w:rsid w:val="00691BCE"/>
    <w:rsid w:val="00691C7C"/>
    <w:rsid w:val="00691D10"/>
    <w:rsid w:val="00691E01"/>
    <w:rsid w:val="0069201C"/>
    <w:rsid w:val="0069269B"/>
    <w:rsid w:val="006933E0"/>
    <w:rsid w:val="00693498"/>
    <w:rsid w:val="006937C2"/>
    <w:rsid w:val="00693874"/>
    <w:rsid w:val="0069398C"/>
    <w:rsid w:val="006939DF"/>
    <w:rsid w:val="00693BB1"/>
    <w:rsid w:val="00693DAF"/>
    <w:rsid w:val="00693E5A"/>
    <w:rsid w:val="00693F0B"/>
    <w:rsid w:val="00695F20"/>
    <w:rsid w:val="006960BA"/>
    <w:rsid w:val="00696549"/>
    <w:rsid w:val="00696E28"/>
    <w:rsid w:val="006970F3"/>
    <w:rsid w:val="006A0FA0"/>
    <w:rsid w:val="006A14C5"/>
    <w:rsid w:val="006A255F"/>
    <w:rsid w:val="006A2995"/>
    <w:rsid w:val="006A3121"/>
    <w:rsid w:val="006A3302"/>
    <w:rsid w:val="006A3AEF"/>
    <w:rsid w:val="006A4929"/>
    <w:rsid w:val="006A4957"/>
    <w:rsid w:val="006A4D19"/>
    <w:rsid w:val="006A52E0"/>
    <w:rsid w:val="006A559E"/>
    <w:rsid w:val="006A592E"/>
    <w:rsid w:val="006A5EAC"/>
    <w:rsid w:val="006A64A3"/>
    <w:rsid w:val="006A6848"/>
    <w:rsid w:val="006A6876"/>
    <w:rsid w:val="006A6DD6"/>
    <w:rsid w:val="006A710A"/>
    <w:rsid w:val="006A7B02"/>
    <w:rsid w:val="006A7E20"/>
    <w:rsid w:val="006B065F"/>
    <w:rsid w:val="006B09C0"/>
    <w:rsid w:val="006B1471"/>
    <w:rsid w:val="006B14A8"/>
    <w:rsid w:val="006B1C5B"/>
    <w:rsid w:val="006B204A"/>
    <w:rsid w:val="006B2775"/>
    <w:rsid w:val="006B27B0"/>
    <w:rsid w:val="006B2BF3"/>
    <w:rsid w:val="006B2F97"/>
    <w:rsid w:val="006B33AE"/>
    <w:rsid w:val="006B39E9"/>
    <w:rsid w:val="006B4580"/>
    <w:rsid w:val="006B58B8"/>
    <w:rsid w:val="006B5CE0"/>
    <w:rsid w:val="006B628D"/>
    <w:rsid w:val="006B63AB"/>
    <w:rsid w:val="006B63B1"/>
    <w:rsid w:val="006B6E2F"/>
    <w:rsid w:val="006B7134"/>
    <w:rsid w:val="006B74E8"/>
    <w:rsid w:val="006B755D"/>
    <w:rsid w:val="006C0467"/>
    <w:rsid w:val="006C0D62"/>
    <w:rsid w:val="006C0D79"/>
    <w:rsid w:val="006C1A53"/>
    <w:rsid w:val="006C20CB"/>
    <w:rsid w:val="006C2115"/>
    <w:rsid w:val="006C2168"/>
    <w:rsid w:val="006C2195"/>
    <w:rsid w:val="006C2252"/>
    <w:rsid w:val="006C267A"/>
    <w:rsid w:val="006C26C0"/>
    <w:rsid w:val="006C26D5"/>
    <w:rsid w:val="006C2781"/>
    <w:rsid w:val="006C2899"/>
    <w:rsid w:val="006C3109"/>
    <w:rsid w:val="006C32A2"/>
    <w:rsid w:val="006C3719"/>
    <w:rsid w:val="006C3CA6"/>
    <w:rsid w:val="006C3E6C"/>
    <w:rsid w:val="006C40A1"/>
    <w:rsid w:val="006C4282"/>
    <w:rsid w:val="006C4804"/>
    <w:rsid w:val="006C4D36"/>
    <w:rsid w:val="006C5701"/>
    <w:rsid w:val="006C5A9E"/>
    <w:rsid w:val="006C6198"/>
    <w:rsid w:val="006C6AED"/>
    <w:rsid w:val="006C6B05"/>
    <w:rsid w:val="006C7521"/>
    <w:rsid w:val="006C7F23"/>
    <w:rsid w:val="006D04A3"/>
    <w:rsid w:val="006D0613"/>
    <w:rsid w:val="006D0771"/>
    <w:rsid w:val="006D097D"/>
    <w:rsid w:val="006D16D3"/>
    <w:rsid w:val="006D1B90"/>
    <w:rsid w:val="006D1E09"/>
    <w:rsid w:val="006D2231"/>
    <w:rsid w:val="006D2380"/>
    <w:rsid w:val="006D43B0"/>
    <w:rsid w:val="006D5587"/>
    <w:rsid w:val="006D6421"/>
    <w:rsid w:val="006D6554"/>
    <w:rsid w:val="006D7F62"/>
    <w:rsid w:val="006E00BA"/>
    <w:rsid w:val="006E0BCE"/>
    <w:rsid w:val="006E17FD"/>
    <w:rsid w:val="006E1BE3"/>
    <w:rsid w:val="006E1E1B"/>
    <w:rsid w:val="006E1F62"/>
    <w:rsid w:val="006E200A"/>
    <w:rsid w:val="006E25DE"/>
    <w:rsid w:val="006E25E0"/>
    <w:rsid w:val="006E28BE"/>
    <w:rsid w:val="006E28CC"/>
    <w:rsid w:val="006E3432"/>
    <w:rsid w:val="006E34BF"/>
    <w:rsid w:val="006E3DD3"/>
    <w:rsid w:val="006E3EB1"/>
    <w:rsid w:val="006E4088"/>
    <w:rsid w:val="006E41F1"/>
    <w:rsid w:val="006E4610"/>
    <w:rsid w:val="006E47CD"/>
    <w:rsid w:val="006E48E0"/>
    <w:rsid w:val="006E4DD6"/>
    <w:rsid w:val="006E535D"/>
    <w:rsid w:val="006E5BA2"/>
    <w:rsid w:val="006E66DB"/>
    <w:rsid w:val="006E68AE"/>
    <w:rsid w:val="006E6C1F"/>
    <w:rsid w:val="006E6CC3"/>
    <w:rsid w:val="006E6F5C"/>
    <w:rsid w:val="006E7097"/>
    <w:rsid w:val="006E7A78"/>
    <w:rsid w:val="006E7D21"/>
    <w:rsid w:val="006E7E95"/>
    <w:rsid w:val="006F0FBB"/>
    <w:rsid w:val="006F1377"/>
    <w:rsid w:val="006F1BAD"/>
    <w:rsid w:val="006F1EAC"/>
    <w:rsid w:val="006F226E"/>
    <w:rsid w:val="006F29C2"/>
    <w:rsid w:val="006F2BB9"/>
    <w:rsid w:val="006F2E84"/>
    <w:rsid w:val="006F3171"/>
    <w:rsid w:val="006F3437"/>
    <w:rsid w:val="006F3671"/>
    <w:rsid w:val="006F3ABB"/>
    <w:rsid w:val="006F463D"/>
    <w:rsid w:val="006F4821"/>
    <w:rsid w:val="006F4D59"/>
    <w:rsid w:val="006F59E9"/>
    <w:rsid w:val="006F5FD6"/>
    <w:rsid w:val="006F61B0"/>
    <w:rsid w:val="006F61DC"/>
    <w:rsid w:val="006F6297"/>
    <w:rsid w:val="006F6378"/>
    <w:rsid w:val="006F6B76"/>
    <w:rsid w:val="006F6F54"/>
    <w:rsid w:val="006F7B7E"/>
    <w:rsid w:val="0070019C"/>
    <w:rsid w:val="00701561"/>
    <w:rsid w:val="00701579"/>
    <w:rsid w:val="00701898"/>
    <w:rsid w:val="00701F89"/>
    <w:rsid w:val="007020D2"/>
    <w:rsid w:val="00702496"/>
    <w:rsid w:val="00702529"/>
    <w:rsid w:val="00702A9A"/>
    <w:rsid w:val="00702C56"/>
    <w:rsid w:val="00702F42"/>
    <w:rsid w:val="007038ED"/>
    <w:rsid w:val="007038FC"/>
    <w:rsid w:val="00703A83"/>
    <w:rsid w:val="00703C09"/>
    <w:rsid w:val="00704612"/>
    <w:rsid w:val="0070478C"/>
    <w:rsid w:val="00704BA1"/>
    <w:rsid w:val="00705DDB"/>
    <w:rsid w:val="00707702"/>
    <w:rsid w:val="00707CD3"/>
    <w:rsid w:val="00710662"/>
    <w:rsid w:val="00710D7A"/>
    <w:rsid w:val="007113CA"/>
    <w:rsid w:val="007117DF"/>
    <w:rsid w:val="00712760"/>
    <w:rsid w:val="00712818"/>
    <w:rsid w:val="00712B83"/>
    <w:rsid w:val="007133E8"/>
    <w:rsid w:val="00713C0F"/>
    <w:rsid w:val="00713D87"/>
    <w:rsid w:val="00713E35"/>
    <w:rsid w:val="007148F8"/>
    <w:rsid w:val="0071498C"/>
    <w:rsid w:val="00714ABC"/>
    <w:rsid w:val="00714BC5"/>
    <w:rsid w:val="0071526B"/>
    <w:rsid w:val="007154A8"/>
    <w:rsid w:val="00715518"/>
    <w:rsid w:val="00715A34"/>
    <w:rsid w:val="00715E29"/>
    <w:rsid w:val="0071600E"/>
    <w:rsid w:val="00716104"/>
    <w:rsid w:val="007164F5"/>
    <w:rsid w:val="0071675F"/>
    <w:rsid w:val="00716A8C"/>
    <w:rsid w:val="00716A94"/>
    <w:rsid w:val="00716D77"/>
    <w:rsid w:val="00717B49"/>
    <w:rsid w:val="00717C74"/>
    <w:rsid w:val="0072018A"/>
    <w:rsid w:val="00720C60"/>
    <w:rsid w:val="00720FF2"/>
    <w:rsid w:val="00721087"/>
    <w:rsid w:val="0072151A"/>
    <w:rsid w:val="0072160E"/>
    <w:rsid w:val="00721B70"/>
    <w:rsid w:val="007222FF"/>
    <w:rsid w:val="00722882"/>
    <w:rsid w:val="00722913"/>
    <w:rsid w:val="00722B4E"/>
    <w:rsid w:val="00722E78"/>
    <w:rsid w:val="00722F06"/>
    <w:rsid w:val="00723431"/>
    <w:rsid w:val="007235C0"/>
    <w:rsid w:val="0072387A"/>
    <w:rsid w:val="00723B5C"/>
    <w:rsid w:val="00723C81"/>
    <w:rsid w:val="00723DE0"/>
    <w:rsid w:val="00724369"/>
    <w:rsid w:val="00724F75"/>
    <w:rsid w:val="007250A2"/>
    <w:rsid w:val="007257C8"/>
    <w:rsid w:val="00725846"/>
    <w:rsid w:val="00725D3B"/>
    <w:rsid w:val="00725F36"/>
    <w:rsid w:val="007268B8"/>
    <w:rsid w:val="00726F30"/>
    <w:rsid w:val="0072795F"/>
    <w:rsid w:val="00727BB3"/>
    <w:rsid w:val="00727F4E"/>
    <w:rsid w:val="007301C6"/>
    <w:rsid w:val="0073033D"/>
    <w:rsid w:val="00730500"/>
    <w:rsid w:val="007307A8"/>
    <w:rsid w:val="00731114"/>
    <w:rsid w:val="00731175"/>
    <w:rsid w:val="00731583"/>
    <w:rsid w:val="007317E1"/>
    <w:rsid w:val="0073238A"/>
    <w:rsid w:val="007325D8"/>
    <w:rsid w:val="00732979"/>
    <w:rsid w:val="00732D6C"/>
    <w:rsid w:val="00732F2C"/>
    <w:rsid w:val="007334F0"/>
    <w:rsid w:val="00733DE1"/>
    <w:rsid w:val="0073403F"/>
    <w:rsid w:val="00734164"/>
    <w:rsid w:val="00735336"/>
    <w:rsid w:val="007354A9"/>
    <w:rsid w:val="00735D06"/>
    <w:rsid w:val="00735EC3"/>
    <w:rsid w:val="0073601F"/>
    <w:rsid w:val="007366BE"/>
    <w:rsid w:val="00736A90"/>
    <w:rsid w:val="00736B32"/>
    <w:rsid w:val="00736CFA"/>
    <w:rsid w:val="0073703C"/>
    <w:rsid w:val="007370FF"/>
    <w:rsid w:val="007379A9"/>
    <w:rsid w:val="007404F6"/>
    <w:rsid w:val="00740A71"/>
    <w:rsid w:val="00740CC9"/>
    <w:rsid w:val="00741058"/>
    <w:rsid w:val="00741722"/>
    <w:rsid w:val="00741970"/>
    <w:rsid w:val="00742178"/>
    <w:rsid w:val="007427B0"/>
    <w:rsid w:val="00743AF2"/>
    <w:rsid w:val="00744A2E"/>
    <w:rsid w:val="00745038"/>
    <w:rsid w:val="00745BD7"/>
    <w:rsid w:val="0074622B"/>
    <w:rsid w:val="0074648D"/>
    <w:rsid w:val="0074653A"/>
    <w:rsid w:val="00746AA4"/>
    <w:rsid w:val="00746B16"/>
    <w:rsid w:val="00746EAC"/>
    <w:rsid w:val="007471FC"/>
    <w:rsid w:val="00747981"/>
    <w:rsid w:val="007500C2"/>
    <w:rsid w:val="00750ECB"/>
    <w:rsid w:val="007512CB"/>
    <w:rsid w:val="00752883"/>
    <w:rsid w:val="00752917"/>
    <w:rsid w:val="00752958"/>
    <w:rsid w:val="00752DFE"/>
    <w:rsid w:val="00752E97"/>
    <w:rsid w:val="0075302B"/>
    <w:rsid w:val="0075427C"/>
    <w:rsid w:val="00754873"/>
    <w:rsid w:val="00755188"/>
    <w:rsid w:val="00755E4B"/>
    <w:rsid w:val="0075603D"/>
    <w:rsid w:val="0075679A"/>
    <w:rsid w:val="0075732B"/>
    <w:rsid w:val="007600C5"/>
    <w:rsid w:val="007601B8"/>
    <w:rsid w:val="00760C18"/>
    <w:rsid w:val="00761440"/>
    <w:rsid w:val="007614C4"/>
    <w:rsid w:val="00761646"/>
    <w:rsid w:val="007620D2"/>
    <w:rsid w:val="00762429"/>
    <w:rsid w:val="00762A2D"/>
    <w:rsid w:val="00762D24"/>
    <w:rsid w:val="00763569"/>
    <w:rsid w:val="00763B98"/>
    <w:rsid w:val="00764371"/>
    <w:rsid w:val="0076498A"/>
    <w:rsid w:val="00764D43"/>
    <w:rsid w:val="007659BD"/>
    <w:rsid w:val="00765F0C"/>
    <w:rsid w:val="00766169"/>
    <w:rsid w:val="00766301"/>
    <w:rsid w:val="00766BC9"/>
    <w:rsid w:val="00766C8C"/>
    <w:rsid w:val="00766F6A"/>
    <w:rsid w:val="00767014"/>
    <w:rsid w:val="00767C6A"/>
    <w:rsid w:val="00767EAB"/>
    <w:rsid w:val="007708DF"/>
    <w:rsid w:val="00770E5B"/>
    <w:rsid w:val="00770F87"/>
    <w:rsid w:val="00772313"/>
    <w:rsid w:val="007724F8"/>
    <w:rsid w:val="007728D1"/>
    <w:rsid w:val="00772A23"/>
    <w:rsid w:val="00772AA4"/>
    <w:rsid w:val="00772D31"/>
    <w:rsid w:val="007731A2"/>
    <w:rsid w:val="007736D6"/>
    <w:rsid w:val="007737A2"/>
    <w:rsid w:val="00773CF1"/>
    <w:rsid w:val="0077428E"/>
    <w:rsid w:val="0077499B"/>
    <w:rsid w:val="007749B4"/>
    <w:rsid w:val="00774C3D"/>
    <w:rsid w:val="00775128"/>
    <w:rsid w:val="007757A1"/>
    <w:rsid w:val="007758BA"/>
    <w:rsid w:val="00775FC1"/>
    <w:rsid w:val="00776042"/>
    <w:rsid w:val="007760E1"/>
    <w:rsid w:val="00776287"/>
    <w:rsid w:val="007771A9"/>
    <w:rsid w:val="007776E8"/>
    <w:rsid w:val="0077783D"/>
    <w:rsid w:val="00777E13"/>
    <w:rsid w:val="00777F9A"/>
    <w:rsid w:val="007809B5"/>
    <w:rsid w:val="00780A24"/>
    <w:rsid w:val="00780B07"/>
    <w:rsid w:val="007816BF"/>
    <w:rsid w:val="00781B5E"/>
    <w:rsid w:val="007820FE"/>
    <w:rsid w:val="00782797"/>
    <w:rsid w:val="00782A17"/>
    <w:rsid w:val="00782D58"/>
    <w:rsid w:val="00782E84"/>
    <w:rsid w:val="0078307B"/>
    <w:rsid w:val="007834CA"/>
    <w:rsid w:val="00783AD9"/>
    <w:rsid w:val="0078456D"/>
    <w:rsid w:val="0078462E"/>
    <w:rsid w:val="00784B3F"/>
    <w:rsid w:val="0078508E"/>
    <w:rsid w:val="00785342"/>
    <w:rsid w:val="0078546B"/>
    <w:rsid w:val="00785AB8"/>
    <w:rsid w:val="00785B1B"/>
    <w:rsid w:val="00785BB2"/>
    <w:rsid w:val="00786344"/>
    <w:rsid w:val="0079009B"/>
    <w:rsid w:val="007901AC"/>
    <w:rsid w:val="0079097D"/>
    <w:rsid w:val="00790C5C"/>
    <w:rsid w:val="00790F0D"/>
    <w:rsid w:val="007912C4"/>
    <w:rsid w:val="00791527"/>
    <w:rsid w:val="007915A9"/>
    <w:rsid w:val="007921EC"/>
    <w:rsid w:val="00792D12"/>
    <w:rsid w:val="00793F78"/>
    <w:rsid w:val="007945BD"/>
    <w:rsid w:val="007945F6"/>
    <w:rsid w:val="007946DC"/>
    <w:rsid w:val="0079471A"/>
    <w:rsid w:val="00794891"/>
    <w:rsid w:val="00794B0D"/>
    <w:rsid w:val="00794C43"/>
    <w:rsid w:val="0079561B"/>
    <w:rsid w:val="00795A6F"/>
    <w:rsid w:val="00796013"/>
    <w:rsid w:val="007969E7"/>
    <w:rsid w:val="00796A1C"/>
    <w:rsid w:val="00796AA5"/>
    <w:rsid w:val="00796FA3"/>
    <w:rsid w:val="00796FF3"/>
    <w:rsid w:val="00797263"/>
    <w:rsid w:val="007A0130"/>
    <w:rsid w:val="007A022F"/>
    <w:rsid w:val="007A03D7"/>
    <w:rsid w:val="007A08F6"/>
    <w:rsid w:val="007A0BF5"/>
    <w:rsid w:val="007A1712"/>
    <w:rsid w:val="007A1A60"/>
    <w:rsid w:val="007A1B0D"/>
    <w:rsid w:val="007A28FB"/>
    <w:rsid w:val="007A342A"/>
    <w:rsid w:val="007A3670"/>
    <w:rsid w:val="007A3922"/>
    <w:rsid w:val="007A448D"/>
    <w:rsid w:val="007A46BD"/>
    <w:rsid w:val="007A519D"/>
    <w:rsid w:val="007A55A4"/>
    <w:rsid w:val="007A5729"/>
    <w:rsid w:val="007A62AA"/>
    <w:rsid w:val="007A63CB"/>
    <w:rsid w:val="007A641B"/>
    <w:rsid w:val="007A68DD"/>
    <w:rsid w:val="007A6EA8"/>
    <w:rsid w:val="007A71E1"/>
    <w:rsid w:val="007A772D"/>
    <w:rsid w:val="007A7C7F"/>
    <w:rsid w:val="007B064D"/>
    <w:rsid w:val="007B097D"/>
    <w:rsid w:val="007B0CBB"/>
    <w:rsid w:val="007B0E18"/>
    <w:rsid w:val="007B15F4"/>
    <w:rsid w:val="007B1A35"/>
    <w:rsid w:val="007B2642"/>
    <w:rsid w:val="007B2711"/>
    <w:rsid w:val="007B2ACD"/>
    <w:rsid w:val="007B2B2A"/>
    <w:rsid w:val="007B2E4F"/>
    <w:rsid w:val="007B421F"/>
    <w:rsid w:val="007B4429"/>
    <w:rsid w:val="007B48C2"/>
    <w:rsid w:val="007B4D07"/>
    <w:rsid w:val="007B5D83"/>
    <w:rsid w:val="007B5EC2"/>
    <w:rsid w:val="007B5F50"/>
    <w:rsid w:val="007B5F64"/>
    <w:rsid w:val="007B6D24"/>
    <w:rsid w:val="007B6DF5"/>
    <w:rsid w:val="007B77A4"/>
    <w:rsid w:val="007B7C0B"/>
    <w:rsid w:val="007C00E5"/>
    <w:rsid w:val="007C064A"/>
    <w:rsid w:val="007C110B"/>
    <w:rsid w:val="007C199A"/>
    <w:rsid w:val="007C26AD"/>
    <w:rsid w:val="007C2CC5"/>
    <w:rsid w:val="007C32D3"/>
    <w:rsid w:val="007C463D"/>
    <w:rsid w:val="007C469D"/>
    <w:rsid w:val="007C4B72"/>
    <w:rsid w:val="007C4F44"/>
    <w:rsid w:val="007C555E"/>
    <w:rsid w:val="007C5A04"/>
    <w:rsid w:val="007C633F"/>
    <w:rsid w:val="007C6824"/>
    <w:rsid w:val="007C6FF4"/>
    <w:rsid w:val="007C7659"/>
    <w:rsid w:val="007C785B"/>
    <w:rsid w:val="007C793D"/>
    <w:rsid w:val="007C7D56"/>
    <w:rsid w:val="007D00C1"/>
    <w:rsid w:val="007D0A71"/>
    <w:rsid w:val="007D0E6B"/>
    <w:rsid w:val="007D1883"/>
    <w:rsid w:val="007D209F"/>
    <w:rsid w:val="007D2323"/>
    <w:rsid w:val="007D2471"/>
    <w:rsid w:val="007D256D"/>
    <w:rsid w:val="007D2600"/>
    <w:rsid w:val="007D2D9B"/>
    <w:rsid w:val="007D2DE0"/>
    <w:rsid w:val="007D30FD"/>
    <w:rsid w:val="007D3434"/>
    <w:rsid w:val="007D3448"/>
    <w:rsid w:val="007D36B9"/>
    <w:rsid w:val="007D3B68"/>
    <w:rsid w:val="007D410E"/>
    <w:rsid w:val="007D4885"/>
    <w:rsid w:val="007D48DF"/>
    <w:rsid w:val="007D4A8F"/>
    <w:rsid w:val="007D652B"/>
    <w:rsid w:val="007D6B2F"/>
    <w:rsid w:val="007D73EA"/>
    <w:rsid w:val="007D79E4"/>
    <w:rsid w:val="007D7D9E"/>
    <w:rsid w:val="007D7ECF"/>
    <w:rsid w:val="007E120A"/>
    <w:rsid w:val="007E1880"/>
    <w:rsid w:val="007E1A8D"/>
    <w:rsid w:val="007E2029"/>
    <w:rsid w:val="007E2077"/>
    <w:rsid w:val="007E2CDB"/>
    <w:rsid w:val="007E2E68"/>
    <w:rsid w:val="007E3002"/>
    <w:rsid w:val="007E3BD0"/>
    <w:rsid w:val="007E3BEF"/>
    <w:rsid w:val="007E496E"/>
    <w:rsid w:val="007E50FC"/>
    <w:rsid w:val="007E58A3"/>
    <w:rsid w:val="007E606F"/>
    <w:rsid w:val="007E6165"/>
    <w:rsid w:val="007E7537"/>
    <w:rsid w:val="007E776E"/>
    <w:rsid w:val="007E7A65"/>
    <w:rsid w:val="007E7F0A"/>
    <w:rsid w:val="007F00BF"/>
    <w:rsid w:val="007F069D"/>
    <w:rsid w:val="007F0F1C"/>
    <w:rsid w:val="007F1043"/>
    <w:rsid w:val="007F1065"/>
    <w:rsid w:val="007F135D"/>
    <w:rsid w:val="007F36E5"/>
    <w:rsid w:val="007F4CDE"/>
    <w:rsid w:val="007F546D"/>
    <w:rsid w:val="007F611A"/>
    <w:rsid w:val="007F61D5"/>
    <w:rsid w:val="007F7EDB"/>
    <w:rsid w:val="008005E0"/>
    <w:rsid w:val="0080060D"/>
    <w:rsid w:val="0080095C"/>
    <w:rsid w:val="008013DE"/>
    <w:rsid w:val="00801638"/>
    <w:rsid w:val="00801734"/>
    <w:rsid w:val="008019CE"/>
    <w:rsid w:val="00802193"/>
    <w:rsid w:val="008037C4"/>
    <w:rsid w:val="00804457"/>
    <w:rsid w:val="008044F9"/>
    <w:rsid w:val="00804A51"/>
    <w:rsid w:val="00804F01"/>
    <w:rsid w:val="00804F28"/>
    <w:rsid w:val="00805307"/>
    <w:rsid w:val="008054D0"/>
    <w:rsid w:val="00805F00"/>
    <w:rsid w:val="00806142"/>
    <w:rsid w:val="00806525"/>
    <w:rsid w:val="00806684"/>
    <w:rsid w:val="00806C5F"/>
    <w:rsid w:val="008070CD"/>
    <w:rsid w:val="0080796C"/>
    <w:rsid w:val="00810F30"/>
    <w:rsid w:val="00811F0F"/>
    <w:rsid w:val="008122F1"/>
    <w:rsid w:val="00812EFA"/>
    <w:rsid w:val="00812F93"/>
    <w:rsid w:val="00813365"/>
    <w:rsid w:val="00813594"/>
    <w:rsid w:val="008137F0"/>
    <w:rsid w:val="00813988"/>
    <w:rsid w:val="00813F91"/>
    <w:rsid w:val="008149F5"/>
    <w:rsid w:val="00815668"/>
    <w:rsid w:val="00815F97"/>
    <w:rsid w:val="008162E5"/>
    <w:rsid w:val="00816325"/>
    <w:rsid w:val="008163B8"/>
    <w:rsid w:val="008171CE"/>
    <w:rsid w:val="00817214"/>
    <w:rsid w:val="00820BFA"/>
    <w:rsid w:val="00821AFA"/>
    <w:rsid w:val="00821BA9"/>
    <w:rsid w:val="00821D47"/>
    <w:rsid w:val="00823E4E"/>
    <w:rsid w:val="00824137"/>
    <w:rsid w:val="00824B41"/>
    <w:rsid w:val="0082546E"/>
    <w:rsid w:val="008258BB"/>
    <w:rsid w:val="00825F54"/>
    <w:rsid w:val="008260FE"/>
    <w:rsid w:val="0082684D"/>
    <w:rsid w:val="008271AB"/>
    <w:rsid w:val="008278E5"/>
    <w:rsid w:val="008278F9"/>
    <w:rsid w:val="00830242"/>
    <w:rsid w:val="008302AD"/>
    <w:rsid w:val="00830994"/>
    <w:rsid w:val="0083196F"/>
    <w:rsid w:val="00832265"/>
    <w:rsid w:val="00832309"/>
    <w:rsid w:val="00832477"/>
    <w:rsid w:val="00832602"/>
    <w:rsid w:val="008328A2"/>
    <w:rsid w:val="00832B9C"/>
    <w:rsid w:val="00832EE7"/>
    <w:rsid w:val="008334EC"/>
    <w:rsid w:val="00833679"/>
    <w:rsid w:val="00833AF9"/>
    <w:rsid w:val="00833D08"/>
    <w:rsid w:val="00834B06"/>
    <w:rsid w:val="0083517C"/>
    <w:rsid w:val="00835532"/>
    <w:rsid w:val="00835639"/>
    <w:rsid w:val="008357B4"/>
    <w:rsid w:val="008359D3"/>
    <w:rsid w:val="00835DD8"/>
    <w:rsid w:val="0083603A"/>
    <w:rsid w:val="00836302"/>
    <w:rsid w:val="00836996"/>
    <w:rsid w:val="00836A2E"/>
    <w:rsid w:val="00836D5D"/>
    <w:rsid w:val="00837881"/>
    <w:rsid w:val="00837A1D"/>
    <w:rsid w:val="00837D0C"/>
    <w:rsid w:val="00840024"/>
    <w:rsid w:val="00840467"/>
    <w:rsid w:val="008419BF"/>
    <w:rsid w:val="00841B53"/>
    <w:rsid w:val="00841D47"/>
    <w:rsid w:val="00842B0F"/>
    <w:rsid w:val="00843775"/>
    <w:rsid w:val="00843E3B"/>
    <w:rsid w:val="008440A6"/>
    <w:rsid w:val="0084460A"/>
    <w:rsid w:val="008447BE"/>
    <w:rsid w:val="00845071"/>
    <w:rsid w:val="0084518F"/>
    <w:rsid w:val="00845613"/>
    <w:rsid w:val="00845E56"/>
    <w:rsid w:val="00846805"/>
    <w:rsid w:val="00846D1C"/>
    <w:rsid w:val="00846E34"/>
    <w:rsid w:val="008471D7"/>
    <w:rsid w:val="0084725B"/>
    <w:rsid w:val="00847389"/>
    <w:rsid w:val="00847667"/>
    <w:rsid w:val="00847A08"/>
    <w:rsid w:val="00847EF7"/>
    <w:rsid w:val="0085018A"/>
    <w:rsid w:val="008502DD"/>
    <w:rsid w:val="008507C6"/>
    <w:rsid w:val="00850A46"/>
    <w:rsid w:val="00851707"/>
    <w:rsid w:val="00851832"/>
    <w:rsid w:val="0085247F"/>
    <w:rsid w:val="00852550"/>
    <w:rsid w:val="008525D6"/>
    <w:rsid w:val="00852BA5"/>
    <w:rsid w:val="008534F2"/>
    <w:rsid w:val="00853D31"/>
    <w:rsid w:val="00853FA6"/>
    <w:rsid w:val="00854BEC"/>
    <w:rsid w:val="00854D83"/>
    <w:rsid w:val="00855E07"/>
    <w:rsid w:val="00855F8F"/>
    <w:rsid w:val="00855FC2"/>
    <w:rsid w:val="0085679C"/>
    <w:rsid w:val="00856E25"/>
    <w:rsid w:val="00857CF9"/>
    <w:rsid w:val="008601D3"/>
    <w:rsid w:val="00860472"/>
    <w:rsid w:val="0086137D"/>
    <w:rsid w:val="008613A5"/>
    <w:rsid w:val="00861C44"/>
    <w:rsid w:val="00861CCE"/>
    <w:rsid w:val="0086240B"/>
    <w:rsid w:val="00862E1B"/>
    <w:rsid w:val="00863628"/>
    <w:rsid w:val="00863D08"/>
    <w:rsid w:val="0086537A"/>
    <w:rsid w:val="00865591"/>
    <w:rsid w:val="00865701"/>
    <w:rsid w:val="00865C39"/>
    <w:rsid w:val="00865F29"/>
    <w:rsid w:val="0086675F"/>
    <w:rsid w:val="008667F5"/>
    <w:rsid w:val="008668C5"/>
    <w:rsid w:val="00866E94"/>
    <w:rsid w:val="00867243"/>
    <w:rsid w:val="008677BA"/>
    <w:rsid w:val="0086780D"/>
    <w:rsid w:val="008704F6"/>
    <w:rsid w:val="0087052D"/>
    <w:rsid w:val="0087081D"/>
    <w:rsid w:val="00870B54"/>
    <w:rsid w:val="0087153A"/>
    <w:rsid w:val="008717F8"/>
    <w:rsid w:val="00871E20"/>
    <w:rsid w:val="00872846"/>
    <w:rsid w:val="008729B4"/>
    <w:rsid w:val="00872F38"/>
    <w:rsid w:val="008731BB"/>
    <w:rsid w:val="00873231"/>
    <w:rsid w:val="00873523"/>
    <w:rsid w:val="008741D9"/>
    <w:rsid w:val="008742E3"/>
    <w:rsid w:val="0087476E"/>
    <w:rsid w:val="0087524A"/>
    <w:rsid w:val="00875881"/>
    <w:rsid w:val="00875AAE"/>
    <w:rsid w:val="0087685D"/>
    <w:rsid w:val="00876E0D"/>
    <w:rsid w:val="008774AB"/>
    <w:rsid w:val="00877B75"/>
    <w:rsid w:val="00877C80"/>
    <w:rsid w:val="00880020"/>
    <w:rsid w:val="00880113"/>
    <w:rsid w:val="00880387"/>
    <w:rsid w:val="008804E2"/>
    <w:rsid w:val="00880622"/>
    <w:rsid w:val="008807B8"/>
    <w:rsid w:val="00880E4C"/>
    <w:rsid w:val="008810E6"/>
    <w:rsid w:val="00881E8D"/>
    <w:rsid w:val="00882612"/>
    <w:rsid w:val="00882714"/>
    <w:rsid w:val="00882824"/>
    <w:rsid w:val="00882E48"/>
    <w:rsid w:val="00882EFD"/>
    <w:rsid w:val="00883016"/>
    <w:rsid w:val="0088322D"/>
    <w:rsid w:val="00883646"/>
    <w:rsid w:val="0088395A"/>
    <w:rsid w:val="008839DD"/>
    <w:rsid w:val="00883CA3"/>
    <w:rsid w:val="00884291"/>
    <w:rsid w:val="008842C5"/>
    <w:rsid w:val="00884447"/>
    <w:rsid w:val="0088477B"/>
    <w:rsid w:val="00884D4A"/>
    <w:rsid w:val="0088592D"/>
    <w:rsid w:val="00885D46"/>
    <w:rsid w:val="00886399"/>
    <w:rsid w:val="00886518"/>
    <w:rsid w:val="0088689B"/>
    <w:rsid w:val="008868C5"/>
    <w:rsid w:val="008878F1"/>
    <w:rsid w:val="00887B48"/>
    <w:rsid w:val="00890833"/>
    <w:rsid w:val="00890A0C"/>
    <w:rsid w:val="0089152C"/>
    <w:rsid w:val="00892D19"/>
    <w:rsid w:val="008942AC"/>
    <w:rsid w:val="008942C9"/>
    <w:rsid w:val="00895089"/>
    <w:rsid w:val="00895240"/>
    <w:rsid w:val="00895BB9"/>
    <w:rsid w:val="0089616D"/>
    <w:rsid w:val="0089679E"/>
    <w:rsid w:val="00896877"/>
    <w:rsid w:val="008970C9"/>
    <w:rsid w:val="00897529"/>
    <w:rsid w:val="00897613"/>
    <w:rsid w:val="00897636"/>
    <w:rsid w:val="008978A2"/>
    <w:rsid w:val="00897E78"/>
    <w:rsid w:val="008A06DD"/>
    <w:rsid w:val="008A0850"/>
    <w:rsid w:val="008A0DDE"/>
    <w:rsid w:val="008A0E88"/>
    <w:rsid w:val="008A0F50"/>
    <w:rsid w:val="008A0F99"/>
    <w:rsid w:val="008A158C"/>
    <w:rsid w:val="008A25D2"/>
    <w:rsid w:val="008A2BE9"/>
    <w:rsid w:val="008A2DC0"/>
    <w:rsid w:val="008A32A4"/>
    <w:rsid w:val="008A3560"/>
    <w:rsid w:val="008A3659"/>
    <w:rsid w:val="008A3800"/>
    <w:rsid w:val="008A4100"/>
    <w:rsid w:val="008A440F"/>
    <w:rsid w:val="008A4688"/>
    <w:rsid w:val="008A498F"/>
    <w:rsid w:val="008A4C38"/>
    <w:rsid w:val="008A4C62"/>
    <w:rsid w:val="008A5A22"/>
    <w:rsid w:val="008A5E8C"/>
    <w:rsid w:val="008A5F2E"/>
    <w:rsid w:val="008A62E5"/>
    <w:rsid w:val="008A6DBB"/>
    <w:rsid w:val="008A6EAB"/>
    <w:rsid w:val="008A7203"/>
    <w:rsid w:val="008A79B2"/>
    <w:rsid w:val="008A7AA8"/>
    <w:rsid w:val="008B004B"/>
    <w:rsid w:val="008B0112"/>
    <w:rsid w:val="008B01F3"/>
    <w:rsid w:val="008B05D7"/>
    <w:rsid w:val="008B09E2"/>
    <w:rsid w:val="008B09FD"/>
    <w:rsid w:val="008B0CD4"/>
    <w:rsid w:val="008B1D7A"/>
    <w:rsid w:val="008B214A"/>
    <w:rsid w:val="008B271C"/>
    <w:rsid w:val="008B2CB6"/>
    <w:rsid w:val="008B3BAF"/>
    <w:rsid w:val="008B3EA3"/>
    <w:rsid w:val="008B3FDB"/>
    <w:rsid w:val="008B4619"/>
    <w:rsid w:val="008B54BE"/>
    <w:rsid w:val="008B56E5"/>
    <w:rsid w:val="008B58E8"/>
    <w:rsid w:val="008B5A6A"/>
    <w:rsid w:val="008B5C71"/>
    <w:rsid w:val="008B76DD"/>
    <w:rsid w:val="008B7E13"/>
    <w:rsid w:val="008C0A02"/>
    <w:rsid w:val="008C1034"/>
    <w:rsid w:val="008C115B"/>
    <w:rsid w:val="008C13C0"/>
    <w:rsid w:val="008C163A"/>
    <w:rsid w:val="008C17F2"/>
    <w:rsid w:val="008C1AF3"/>
    <w:rsid w:val="008C1BAB"/>
    <w:rsid w:val="008C2A35"/>
    <w:rsid w:val="008C2F34"/>
    <w:rsid w:val="008C336B"/>
    <w:rsid w:val="008C4292"/>
    <w:rsid w:val="008C484A"/>
    <w:rsid w:val="008C4859"/>
    <w:rsid w:val="008C5263"/>
    <w:rsid w:val="008C5D55"/>
    <w:rsid w:val="008C5DAD"/>
    <w:rsid w:val="008C60B2"/>
    <w:rsid w:val="008C6B23"/>
    <w:rsid w:val="008C6C0C"/>
    <w:rsid w:val="008C6D65"/>
    <w:rsid w:val="008C724A"/>
    <w:rsid w:val="008C7511"/>
    <w:rsid w:val="008D025A"/>
    <w:rsid w:val="008D0D33"/>
    <w:rsid w:val="008D1D18"/>
    <w:rsid w:val="008D3554"/>
    <w:rsid w:val="008D38B1"/>
    <w:rsid w:val="008D3F2A"/>
    <w:rsid w:val="008D4426"/>
    <w:rsid w:val="008D4EEB"/>
    <w:rsid w:val="008D5CD9"/>
    <w:rsid w:val="008D6140"/>
    <w:rsid w:val="008D6F63"/>
    <w:rsid w:val="008D72B6"/>
    <w:rsid w:val="008D7913"/>
    <w:rsid w:val="008E02C2"/>
    <w:rsid w:val="008E0353"/>
    <w:rsid w:val="008E0B83"/>
    <w:rsid w:val="008E14B5"/>
    <w:rsid w:val="008E15DA"/>
    <w:rsid w:val="008E1CF9"/>
    <w:rsid w:val="008E233D"/>
    <w:rsid w:val="008E26CD"/>
    <w:rsid w:val="008E30B4"/>
    <w:rsid w:val="008E3166"/>
    <w:rsid w:val="008E378A"/>
    <w:rsid w:val="008E39F5"/>
    <w:rsid w:val="008E3CFA"/>
    <w:rsid w:val="008E4130"/>
    <w:rsid w:val="008E4845"/>
    <w:rsid w:val="008E48DF"/>
    <w:rsid w:val="008E4973"/>
    <w:rsid w:val="008E4A1E"/>
    <w:rsid w:val="008E4BBC"/>
    <w:rsid w:val="008E4E12"/>
    <w:rsid w:val="008E5002"/>
    <w:rsid w:val="008E52EA"/>
    <w:rsid w:val="008E533F"/>
    <w:rsid w:val="008E5AAA"/>
    <w:rsid w:val="008E6599"/>
    <w:rsid w:val="008E6A1F"/>
    <w:rsid w:val="008E7663"/>
    <w:rsid w:val="008E779F"/>
    <w:rsid w:val="008E7CAE"/>
    <w:rsid w:val="008E7DDF"/>
    <w:rsid w:val="008E7E82"/>
    <w:rsid w:val="008F099C"/>
    <w:rsid w:val="008F0E7D"/>
    <w:rsid w:val="008F10E9"/>
    <w:rsid w:val="008F2296"/>
    <w:rsid w:val="008F2666"/>
    <w:rsid w:val="008F2D79"/>
    <w:rsid w:val="008F390E"/>
    <w:rsid w:val="008F3BA0"/>
    <w:rsid w:val="008F3EE3"/>
    <w:rsid w:val="008F43D4"/>
    <w:rsid w:val="008F44A5"/>
    <w:rsid w:val="008F498A"/>
    <w:rsid w:val="008F4BC8"/>
    <w:rsid w:val="008F5054"/>
    <w:rsid w:val="008F52F4"/>
    <w:rsid w:val="008F5A42"/>
    <w:rsid w:val="008F6046"/>
    <w:rsid w:val="008F6C4F"/>
    <w:rsid w:val="008F717A"/>
    <w:rsid w:val="009002E1"/>
    <w:rsid w:val="00900565"/>
    <w:rsid w:val="009005F1"/>
    <w:rsid w:val="00900A93"/>
    <w:rsid w:val="00900C13"/>
    <w:rsid w:val="009010F2"/>
    <w:rsid w:val="009012ED"/>
    <w:rsid w:val="009015F3"/>
    <w:rsid w:val="00901B20"/>
    <w:rsid w:val="009031B9"/>
    <w:rsid w:val="00903764"/>
    <w:rsid w:val="00903DFE"/>
    <w:rsid w:val="009049EA"/>
    <w:rsid w:val="0090599E"/>
    <w:rsid w:val="009061E7"/>
    <w:rsid w:val="00906376"/>
    <w:rsid w:val="00906BB9"/>
    <w:rsid w:val="00907287"/>
    <w:rsid w:val="009078AA"/>
    <w:rsid w:val="00907944"/>
    <w:rsid w:val="00907AC2"/>
    <w:rsid w:val="0091014C"/>
    <w:rsid w:val="0091053B"/>
    <w:rsid w:val="00910651"/>
    <w:rsid w:val="00910EDE"/>
    <w:rsid w:val="00911589"/>
    <w:rsid w:val="0091225F"/>
    <w:rsid w:val="009122D3"/>
    <w:rsid w:val="00912456"/>
    <w:rsid w:val="0091269E"/>
    <w:rsid w:val="00913E46"/>
    <w:rsid w:val="00913ECC"/>
    <w:rsid w:val="00914E1E"/>
    <w:rsid w:val="0091533F"/>
    <w:rsid w:val="009155D9"/>
    <w:rsid w:val="00915851"/>
    <w:rsid w:val="00915B29"/>
    <w:rsid w:val="00915E13"/>
    <w:rsid w:val="0091652A"/>
    <w:rsid w:val="00916B98"/>
    <w:rsid w:val="00916C8E"/>
    <w:rsid w:val="00916DCB"/>
    <w:rsid w:val="009174E2"/>
    <w:rsid w:val="009207C5"/>
    <w:rsid w:val="00921210"/>
    <w:rsid w:val="00921B70"/>
    <w:rsid w:val="00921E1C"/>
    <w:rsid w:val="0092226F"/>
    <w:rsid w:val="00922BAC"/>
    <w:rsid w:val="00923178"/>
    <w:rsid w:val="00923311"/>
    <w:rsid w:val="00923930"/>
    <w:rsid w:val="00924053"/>
    <w:rsid w:val="00924ACB"/>
    <w:rsid w:val="00924C8C"/>
    <w:rsid w:val="00925479"/>
    <w:rsid w:val="00925562"/>
    <w:rsid w:val="0092564D"/>
    <w:rsid w:val="00925917"/>
    <w:rsid w:val="00925B34"/>
    <w:rsid w:val="00925C3B"/>
    <w:rsid w:val="009267FD"/>
    <w:rsid w:val="009271F9"/>
    <w:rsid w:val="0093005B"/>
    <w:rsid w:val="009303E0"/>
    <w:rsid w:val="00931B5D"/>
    <w:rsid w:val="0093226A"/>
    <w:rsid w:val="009322B5"/>
    <w:rsid w:val="00932438"/>
    <w:rsid w:val="00932550"/>
    <w:rsid w:val="009326A3"/>
    <w:rsid w:val="00932F79"/>
    <w:rsid w:val="0093313F"/>
    <w:rsid w:val="0093336B"/>
    <w:rsid w:val="00933BB6"/>
    <w:rsid w:val="009342B9"/>
    <w:rsid w:val="00934545"/>
    <w:rsid w:val="00934820"/>
    <w:rsid w:val="00934AA9"/>
    <w:rsid w:val="0093519E"/>
    <w:rsid w:val="0093542A"/>
    <w:rsid w:val="00935A71"/>
    <w:rsid w:val="00935CD1"/>
    <w:rsid w:val="00935DEE"/>
    <w:rsid w:val="009364DD"/>
    <w:rsid w:val="00936808"/>
    <w:rsid w:val="00936936"/>
    <w:rsid w:val="00936FAE"/>
    <w:rsid w:val="00937AFA"/>
    <w:rsid w:val="0094235E"/>
    <w:rsid w:val="00942B2B"/>
    <w:rsid w:val="00942E26"/>
    <w:rsid w:val="0094316A"/>
    <w:rsid w:val="00943444"/>
    <w:rsid w:val="00943BBF"/>
    <w:rsid w:val="00943CBB"/>
    <w:rsid w:val="00945D52"/>
    <w:rsid w:val="0094606A"/>
    <w:rsid w:val="00946228"/>
    <w:rsid w:val="00946837"/>
    <w:rsid w:val="009471FA"/>
    <w:rsid w:val="00947B9A"/>
    <w:rsid w:val="00950183"/>
    <w:rsid w:val="0095024B"/>
    <w:rsid w:val="00951004"/>
    <w:rsid w:val="00951458"/>
    <w:rsid w:val="00951679"/>
    <w:rsid w:val="00951728"/>
    <w:rsid w:val="00951948"/>
    <w:rsid w:val="009523F7"/>
    <w:rsid w:val="00952EFB"/>
    <w:rsid w:val="00953797"/>
    <w:rsid w:val="00953F80"/>
    <w:rsid w:val="00954447"/>
    <w:rsid w:val="0095444C"/>
    <w:rsid w:val="009549EA"/>
    <w:rsid w:val="009552B5"/>
    <w:rsid w:val="00955D6A"/>
    <w:rsid w:val="0095638B"/>
    <w:rsid w:val="00956802"/>
    <w:rsid w:val="00956BDA"/>
    <w:rsid w:val="00956D96"/>
    <w:rsid w:val="00957520"/>
    <w:rsid w:val="00960836"/>
    <w:rsid w:val="00960A41"/>
    <w:rsid w:val="00960D21"/>
    <w:rsid w:val="00961930"/>
    <w:rsid w:val="00961F54"/>
    <w:rsid w:val="00962603"/>
    <w:rsid w:val="0096354E"/>
    <w:rsid w:val="009636E5"/>
    <w:rsid w:val="00963784"/>
    <w:rsid w:val="00963B91"/>
    <w:rsid w:val="00963F5E"/>
    <w:rsid w:val="00964019"/>
    <w:rsid w:val="00965960"/>
    <w:rsid w:val="00965979"/>
    <w:rsid w:val="00965AD1"/>
    <w:rsid w:val="00965E77"/>
    <w:rsid w:val="0096603D"/>
    <w:rsid w:val="0096614B"/>
    <w:rsid w:val="00966CBF"/>
    <w:rsid w:val="00966CEE"/>
    <w:rsid w:val="0096732F"/>
    <w:rsid w:val="00967FAB"/>
    <w:rsid w:val="00970267"/>
    <w:rsid w:val="00971001"/>
    <w:rsid w:val="00971218"/>
    <w:rsid w:val="009715E8"/>
    <w:rsid w:val="00971965"/>
    <w:rsid w:val="00971D63"/>
    <w:rsid w:val="00973100"/>
    <w:rsid w:val="00973C4E"/>
    <w:rsid w:val="009744B7"/>
    <w:rsid w:val="009747A5"/>
    <w:rsid w:val="00974844"/>
    <w:rsid w:val="00974B9D"/>
    <w:rsid w:val="00974C6D"/>
    <w:rsid w:val="009756FA"/>
    <w:rsid w:val="009760CC"/>
    <w:rsid w:val="0097650D"/>
    <w:rsid w:val="0097665A"/>
    <w:rsid w:val="00976CA8"/>
    <w:rsid w:val="00976FD0"/>
    <w:rsid w:val="00977600"/>
    <w:rsid w:val="0097769C"/>
    <w:rsid w:val="00977986"/>
    <w:rsid w:val="00977B32"/>
    <w:rsid w:val="00977BA1"/>
    <w:rsid w:val="00980132"/>
    <w:rsid w:val="009804F2"/>
    <w:rsid w:val="009807B2"/>
    <w:rsid w:val="00980ACD"/>
    <w:rsid w:val="0098121B"/>
    <w:rsid w:val="00981553"/>
    <w:rsid w:val="0098195E"/>
    <w:rsid w:val="00981F20"/>
    <w:rsid w:val="00981F40"/>
    <w:rsid w:val="009829F7"/>
    <w:rsid w:val="00983416"/>
    <w:rsid w:val="00983A15"/>
    <w:rsid w:val="0098423E"/>
    <w:rsid w:val="009846B4"/>
    <w:rsid w:val="00984A18"/>
    <w:rsid w:val="00985B57"/>
    <w:rsid w:val="009860B6"/>
    <w:rsid w:val="00986909"/>
    <w:rsid w:val="00986D74"/>
    <w:rsid w:val="009904B3"/>
    <w:rsid w:val="0099057C"/>
    <w:rsid w:val="0099080D"/>
    <w:rsid w:val="00990BAA"/>
    <w:rsid w:val="00990C5B"/>
    <w:rsid w:val="00991231"/>
    <w:rsid w:val="00991441"/>
    <w:rsid w:val="00991695"/>
    <w:rsid w:val="009918C7"/>
    <w:rsid w:val="00991B14"/>
    <w:rsid w:val="00991F7B"/>
    <w:rsid w:val="0099325D"/>
    <w:rsid w:val="009934BB"/>
    <w:rsid w:val="00993E7E"/>
    <w:rsid w:val="009942E1"/>
    <w:rsid w:val="00995C9A"/>
    <w:rsid w:val="00996665"/>
    <w:rsid w:val="0099674D"/>
    <w:rsid w:val="00996C6E"/>
    <w:rsid w:val="00996FC0"/>
    <w:rsid w:val="0099742F"/>
    <w:rsid w:val="0099785F"/>
    <w:rsid w:val="009A0420"/>
    <w:rsid w:val="009A0610"/>
    <w:rsid w:val="009A1343"/>
    <w:rsid w:val="009A1804"/>
    <w:rsid w:val="009A1D0B"/>
    <w:rsid w:val="009A22F9"/>
    <w:rsid w:val="009A2437"/>
    <w:rsid w:val="009A2B8B"/>
    <w:rsid w:val="009A2C20"/>
    <w:rsid w:val="009A30B8"/>
    <w:rsid w:val="009A3145"/>
    <w:rsid w:val="009A32E6"/>
    <w:rsid w:val="009A3A27"/>
    <w:rsid w:val="009A3AA2"/>
    <w:rsid w:val="009A3CFD"/>
    <w:rsid w:val="009A3F54"/>
    <w:rsid w:val="009A3F66"/>
    <w:rsid w:val="009A5115"/>
    <w:rsid w:val="009A5DED"/>
    <w:rsid w:val="009A6537"/>
    <w:rsid w:val="009A65AF"/>
    <w:rsid w:val="009A6B23"/>
    <w:rsid w:val="009A7298"/>
    <w:rsid w:val="009A78CB"/>
    <w:rsid w:val="009A7B71"/>
    <w:rsid w:val="009B0B3F"/>
    <w:rsid w:val="009B0D74"/>
    <w:rsid w:val="009B151C"/>
    <w:rsid w:val="009B1765"/>
    <w:rsid w:val="009B1AA0"/>
    <w:rsid w:val="009B1AD0"/>
    <w:rsid w:val="009B1DBC"/>
    <w:rsid w:val="009B1E2F"/>
    <w:rsid w:val="009B2090"/>
    <w:rsid w:val="009B217D"/>
    <w:rsid w:val="009B270C"/>
    <w:rsid w:val="009B2E13"/>
    <w:rsid w:val="009B3FA7"/>
    <w:rsid w:val="009B4471"/>
    <w:rsid w:val="009B450B"/>
    <w:rsid w:val="009B4535"/>
    <w:rsid w:val="009B51FD"/>
    <w:rsid w:val="009B5571"/>
    <w:rsid w:val="009B5BD9"/>
    <w:rsid w:val="009B6150"/>
    <w:rsid w:val="009B6DEA"/>
    <w:rsid w:val="009B7288"/>
    <w:rsid w:val="009B7844"/>
    <w:rsid w:val="009B7F45"/>
    <w:rsid w:val="009C198C"/>
    <w:rsid w:val="009C1E74"/>
    <w:rsid w:val="009C2295"/>
    <w:rsid w:val="009C2697"/>
    <w:rsid w:val="009C2838"/>
    <w:rsid w:val="009C2AC1"/>
    <w:rsid w:val="009C2EA7"/>
    <w:rsid w:val="009C3910"/>
    <w:rsid w:val="009C394E"/>
    <w:rsid w:val="009C3A26"/>
    <w:rsid w:val="009C40E4"/>
    <w:rsid w:val="009C417E"/>
    <w:rsid w:val="009C437D"/>
    <w:rsid w:val="009C4BC9"/>
    <w:rsid w:val="009C4FC9"/>
    <w:rsid w:val="009C52E8"/>
    <w:rsid w:val="009C5A53"/>
    <w:rsid w:val="009C627B"/>
    <w:rsid w:val="009C6380"/>
    <w:rsid w:val="009C659C"/>
    <w:rsid w:val="009C681B"/>
    <w:rsid w:val="009C6AC8"/>
    <w:rsid w:val="009C6D11"/>
    <w:rsid w:val="009C70C4"/>
    <w:rsid w:val="009C79D6"/>
    <w:rsid w:val="009D0308"/>
    <w:rsid w:val="009D04DF"/>
    <w:rsid w:val="009D058C"/>
    <w:rsid w:val="009D13A0"/>
    <w:rsid w:val="009D15FC"/>
    <w:rsid w:val="009D189A"/>
    <w:rsid w:val="009D194E"/>
    <w:rsid w:val="009D1D1F"/>
    <w:rsid w:val="009D2604"/>
    <w:rsid w:val="009D2E7B"/>
    <w:rsid w:val="009D35A8"/>
    <w:rsid w:val="009D3D19"/>
    <w:rsid w:val="009D4120"/>
    <w:rsid w:val="009D45FE"/>
    <w:rsid w:val="009D4BA8"/>
    <w:rsid w:val="009D4E2A"/>
    <w:rsid w:val="009D4EE0"/>
    <w:rsid w:val="009D5632"/>
    <w:rsid w:val="009D5B57"/>
    <w:rsid w:val="009D5BAA"/>
    <w:rsid w:val="009D64C6"/>
    <w:rsid w:val="009D65BF"/>
    <w:rsid w:val="009D6D86"/>
    <w:rsid w:val="009D7810"/>
    <w:rsid w:val="009D7BCB"/>
    <w:rsid w:val="009E000D"/>
    <w:rsid w:val="009E02A8"/>
    <w:rsid w:val="009E02F4"/>
    <w:rsid w:val="009E0721"/>
    <w:rsid w:val="009E0BA5"/>
    <w:rsid w:val="009E1259"/>
    <w:rsid w:val="009E142F"/>
    <w:rsid w:val="009E20B4"/>
    <w:rsid w:val="009E3898"/>
    <w:rsid w:val="009E39DE"/>
    <w:rsid w:val="009E3A18"/>
    <w:rsid w:val="009E3BA5"/>
    <w:rsid w:val="009E4137"/>
    <w:rsid w:val="009E4785"/>
    <w:rsid w:val="009E4D87"/>
    <w:rsid w:val="009E5489"/>
    <w:rsid w:val="009E54AC"/>
    <w:rsid w:val="009E5FDC"/>
    <w:rsid w:val="009E60F7"/>
    <w:rsid w:val="009E6604"/>
    <w:rsid w:val="009F0190"/>
    <w:rsid w:val="009F15F9"/>
    <w:rsid w:val="009F1A04"/>
    <w:rsid w:val="009F1E1B"/>
    <w:rsid w:val="009F2061"/>
    <w:rsid w:val="009F2941"/>
    <w:rsid w:val="009F43F7"/>
    <w:rsid w:val="009F4943"/>
    <w:rsid w:val="009F4B1A"/>
    <w:rsid w:val="009F5283"/>
    <w:rsid w:val="009F52C1"/>
    <w:rsid w:val="009F645B"/>
    <w:rsid w:val="009F669D"/>
    <w:rsid w:val="009F685B"/>
    <w:rsid w:val="009F6BA7"/>
    <w:rsid w:val="009F733E"/>
    <w:rsid w:val="009F7E0D"/>
    <w:rsid w:val="009F7E6E"/>
    <w:rsid w:val="00A005C7"/>
    <w:rsid w:val="00A00BE2"/>
    <w:rsid w:val="00A0156D"/>
    <w:rsid w:val="00A01E41"/>
    <w:rsid w:val="00A025C3"/>
    <w:rsid w:val="00A02FAF"/>
    <w:rsid w:val="00A03715"/>
    <w:rsid w:val="00A03D66"/>
    <w:rsid w:val="00A05415"/>
    <w:rsid w:val="00A061C2"/>
    <w:rsid w:val="00A068AD"/>
    <w:rsid w:val="00A06B2B"/>
    <w:rsid w:val="00A06FFB"/>
    <w:rsid w:val="00A07597"/>
    <w:rsid w:val="00A10155"/>
    <w:rsid w:val="00A10488"/>
    <w:rsid w:val="00A105E3"/>
    <w:rsid w:val="00A11A6C"/>
    <w:rsid w:val="00A11C28"/>
    <w:rsid w:val="00A12172"/>
    <w:rsid w:val="00A12B40"/>
    <w:rsid w:val="00A12C17"/>
    <w:rsid w:val="00A1336E"/>
    <w:rsid w:val="00A13B80"/>
    <w:rsid w:val="00A13CC5"/>
    <w:rsid w:val="00A140A1"/>
    <w:rsid w:val="00A14342"/>
    <w:rsid w:val="00A14480"/>
    <w:rsid w:val="00A14F01"/>
    <w:rsid w:val="00A14F8C"/>
    <w:rsid w:val="00A15794"/>
    <w:rsid w:val="00A15993"/>
    <w:rsid w:val="00A162FF"/>
    <w:rsid w:val="00A16354"/>
    <w:rsid w:val="00A16A05"/>
    <w:rsid w:val="00A170EE"/>
    <w:rsid w:val="00A20F89"/>
    <w:rsid w:val="00A217FA"/>
    <w:rsid w:val="00A21879"/>
    <w:rsid w:val="00A224B8"/>
    <w:rsid w:val="00A22CA7"/>
    <w:rsid w:val="00A23526"/>
    <w:rsid w:val="00A240BA"/>
    <w:rsid w:val="00A24199"/>
    <w:rsid w:val="00A24722"/>
    <w:rsid w:val="00A24E62"/>
    <w:rsid w:val="00A263B3"/>
    <w:rsid w:val="00A263FF"/>
    <w:rsid w:val="00A26D43"/>
    <w:rsid w:val="00A27062"/>
    <w:rsid w:val="00A272F3"/>
    <w:rsid w:val="00A2735C"/>
    <w:rsid w:val="00A276CF"/>
    <w:rsid w:val="00A277FC"/>
    <w:rsid w:val="00A30498"/>
    <w:rsid w:val="00A309D0"/>
    <w:rsid w:val="00A30C7F"/>
    <w:rsid w:val="00A3148C"/>
    <w:rsid w:val="00A31730"/>
    <w:rsid w:val="00A3244F"/>
    <w:rsid w:val="00A32DA3"/>
    <w:rsid w:val="00A32ED5"/>
    <w:rsid w:val="00A331A1"/>
    <w:rsid w:val="00A33603"/>
    <w:rsid w:val="00A338F1"/>
    <w:rsid w:val="00A338FF"/>
    <w:rsid w:val="00A33C59"/>
    <w:rsid w:val="00A34962"/>
    <w:rsid w:val="00A34DD7"/>
    <w:rsid w:val="00A35781"/>
    <w:rsid w:val="00A35BF4"/>
    <w:rsid w:val="00A3617E"/>
    <w:rsid w:val="00A366C7"/>
    <w:rsid w:val="00A36863"/>
    <w:rsid w:val="00A3787F"/>
    <w:rsid w:val="00A37C93"/>
    <w:rsid w:val="00A37E2E"/>
    <w:rsid w:val="00A37E63"/>
    <w:rsid w:val="00A4022D"/>
    <w:rsid w:val="00A403BF"/>
    <w:rsid w:val="00A4054F"/>
    <w:rsid w:val="00A40F17"/>
    <w:rsid w:val="00A40F8F"/>
    <w:rsid w:val="00A41C0D"/>
    <w:rsid w:val="00A41E3A"/>
    <w:rsid w:val="00A428B7"/>
    <w:rsid w:val="00A42A86"/>
    <w:rsid w:val="00A437E4"/>
    <w:rsid w:val="00A44537"/>
    <w:rsid w:val="00A446A1"/>
    <w:rsid w:val="00A446B3"/>
    <w:rsid w:val="00A44D52"/>
    <w:rsid w:val="00A451A0"/>
    <w:rsid w:val="00A45233"/>
    <w:rsid w:val="00A45E1C"/>
    <w:rsid w:val="00A4773F"/>
    <w:rsid w:val="00A4777C"/>
    <w:rsid w:val="00A50269"/>
    <w:rsid w:val="00A50306"/>
    <w:rsid w:val="00A50CD8"/>
    <w:rsid w:val="00A50F52"/>
    <w:rsid w:val="00A51606"/>
    <w:rsid w:val="00A51793"/>
    <w:rsid w:val="00A51AF7"/>
    <w:rsid w:val="00A52227"/>
    <w:rsid w:val="00A5249E"/>
    <w:rsid w:val="00A52D63"/>
    <w:rsid w:val="00A530E5"/>
    <w:rsid w:val="00A54834"/>
    <w:rsid w:val="00A54D83"/>
    <w:rsid w:val="00A5511B"/>
    <w:rsid w:val="00A552AC"/>
    <w:rsid w:val="00A552B7"/>
    <w:rsid w:val="00A56139"/>
    <w:rsid w:val="00A561BC"/>
    <w:rsid w:val="00A5634C"/>
    <w:rsid w:val="00A56393"/>
    <w:rsid w:val="00A56640"/>
    <w:rsid w:val="00A605F8"/>
    <w:rsid w:val="00A60AE8"/>
    <w:rsid w:val="00A60B86"/>
    <w:rsid w:val="00A60CB9"/>
    <w:rsid w:val="00A61551"/>
    <w:rsid w:val="00A61C63"/>
    <w:rsid w:val="00A62046"/>
    <w:rsid w:val="00A620C3"/>
    <w:rsid w:val="00A628ED"/>
    <w:rsid w:val="00A62CA0"/>
    <w:rsid w:val="00A633E7"/>
    <w:rsid w:val="00A65444"/>
    <w:rsid w:val="00A65AAE"/>
    <w:rsid w:val="00A65B15"/>
    <w:rsid w:val="00A65B17"/>
    <w:rsid w:val="00A6767F"/>
    <w:rsid w:val="00A67ADA"/>
    <w:rsid w:val="00A7053C"/>
    <w:rsid w:val="00A7123E"/>
    <w:rsid w:val="00A71A64"/>
    <w:rsid w:val="00A7260E"/>
    <w:rsid w:val="00A72740"/>
    <w:rsid w:val="00A73604"/>
    <w:rsid w:val="00A73807"/>
    <w:rsid w:val="00A738B3"/>
    <w:rsid w:val="00A73D31"/>
    <w:rsid w:val="00A7440F"/>
    <w:rsid w:val="00A745ED"/>
    <w:rsid w:val="00A74B29"/>
    <w:rsid w:val="00A74C24"/>
    <w:rsid w:val="00A75401"/>
    <w:rsid w:val="00A75611"/>
    <w:rsid w:val="00A758CE"/>
    <w:rsid w:val="00A75C0E"/>
    <w:rsid w:val="00A76165"/>
    <w:rsid w:val="00A76656"/>
    <w:rsid w:val="00A769B8"/>
    <w:rsid w:val="00A76BCC"/>
    <w:rsid w:val="00A7759E"/>
    <w:rsid w:val="00A8076F"/>
    <w:rsid w:val="00A8088B"/>
    <w:rsid w:val="00A80CC9"/>
    <w:rsid w:val="00A80E96"/>
    <w:rsid w:val="00A81B08"/>
    <w:rsid w:val="00A8262C"/>
    <w:rsid w:val="00A82E0E"/>
    <w:rsid w:val="00A833D9"/>
    <w:rsid w:val="00A837AD"/>
    <w:rsid w:val="00A839EC"/>
    <w:rsid w:val="00A84AC7"/>
    <w:rsid w:val="00A8528F"/>
    <w:rsid w:val="00A857C6"/>
    <w:rsid w:val="00A85A60"/>
    <w:rsid w:val="00A85BDC"/>
    <w:rsid w:val="00A85CAB"/>
    <w:rsid w:val="00A8681E"/>
    <w:rsid w:val="00A868D3"/>
    <w:rsid w:val="00A86D74"/>
    <w:rsid w:val="00A872BA"/>
    <w:rsid w:val="00A872DE"/>
    <w:rsid w:val="00A87521"/>
    <w:rsid w:val="00A90ADB"/>
    <w:rsid w:val="00A91638"/>
    <w:rsid w:val="00A916EE"/>
    <w:rsid w:val="00A91BAD"/>
    <w:rsid w:val="00A922BA"/>
    <w:rsid w:val="00A947CD"/>
    <w:rsid w:val="00A94DA2"/>
    <w:rsid w:val="00A94F75"/>
    <w:rsid w:val="00A9552D"/>
    <w:rsid w:val="00A95EA2"/>
    <w:rsid w:val="00A95EC9"/>
    <w:rsid w:val="00A962C6"/>
    <w:rsid w:val="00A96FB3"/>
    <w:rsid w:val="00A97321"/>
    <w:rsid w:val="00A97A1E"/>
    <w:rsid w:val="00AA080A"/>
    <w:rsid w:val="00AA0895"/>
    <w:rsid w:val="00AA1B8B"/>
    <w:rsid w:val="00AA23DC"/>
    <w:rsid w:val="00AA23F3"/>
    <w:rsid w:val="00AA362F"/>
    <w:rsid w:val="00AA46CC"/>
    <w:rsid w:val="00AA4878"/>
    <w:rsid w:val="00AA4896"/>
    <w:rsid w:val="00AA48C1"/>
    <w:rsid w:val="00AA48D7"/>
    <w:rsid w:val="00AA4C2B"/>
    <w:rsid w:val="00AA4C5A"/>
    <w:rsid w:val="00AA4E24"/>
    <w:rsid w:val="00AA52A8"/>
    <w:rsid w:val="00AA5542"/>
    <w:rsid w:val="00AA6248"/>
    <w:rsid w:val="00AA6403"/>
    <w:rsid w:val="00AA6720"/>
    <w:rsid w:val="00AA68D2"/>
    <w:rsid w:val="00AA7C09"/>
    <w:rsid w:val="00AA7DF7"/>
    <w:rsid w:val="00AB003C"/>
    <w:rsid w:val="00AB0290"/>
    <w:rsid w:val="00AB075A"/>
    <w:rsid w:val="00AB0882"/>
    <w:rsid w:val="00AB093B"/>
    <w:rsid w:val="00AB0BC6"/>
    <w:rsid w:val="00AB111F"/>
    <w:rsid w:val="00AB155F"/>
    <w:rsid w:val="00AB2877"/>
    <w:rsid w:val="00AB2934"/>
    <w:rsid w:val="00AB2C33"/>
    <w:rsid w:val="00AB3BCC"/>
    <w:rsid w:val="00AB4599"/>
    <w:rsid w:val="00AB476E"/>
    <w:rsid w:val="00AB47AE"/>
    <w:rsid w:val="00AB5734"/>
    <w:rsid w:val="00AB5868"/>
    <w:rsid w:val="00AB605D"/>
    <w:rsid w:val="00AB6562"/>
    <w:rsid w:val="00AB67F7"/>
    <w:rsid w:val="00AB726B"/>
    <w:rsid w:val="00AB739E"/>
    <w:rsid w:val="00AB77BD"/>
    <w:rsid w:val="00AB7DDB"/>
    <w:rsid w:val="00AB7E63"/>
    <w:rsid w:val="00AC0406"/>
    <w:rsid w:val="00AC0528"/>
    <w:rsid w:val="00AC0EBD"/>
    <w:rsid w:val="00AC13F8"/>
    <w:rsid w:val="00AC2278"/>
    <w:rsid w:val="00AC2764"/>
    <w:rsid w:val="00AC2949"/>
    <w:rsid w:val="00AC2C90"/>
    <w:rsid w:val="00AC36FD"/>
    <w:rsid w:val="00AC381E"/>
    <w:rsid w:val="00AC3A36"/>
    <w:rsid w:val="00AC44C9"/>
    <w:rsid w:val="00AC46AA"/>
    <w:rsid w:val="00AC4713"/>
    <w:rsid w:val="00AC4CE2"/>
    <w:rsid w:val="00AC4FDF"/>
    <w:rsid w:val="00AC57EA"/>
    <w:rsid w:val="00AC587E"/>
    <w:rsid w:val="00AC5B5A"/>
    <w:rsid w:val="00AC5DE9"/>
    <w:rsid w:val="00AC5E54"/>
    <w:rsid w:val="00AC68A8"/>
    <w:rsid w:val="00AC73B4"/>
    <w:rsid w:val="00AC74B3"/>
    <w:rsid w:val="00AC7520"/>
    <w:rsid w:val="00AC7A9B"/>
    <w:rsid w:val="00AC7B08"/>
    <w:rsid w:val="00AD003F"/>
    <w:rsid w:val="00AD02AC"/>
    <w:rsid w:val="00AD04FE"/>
    <w:rsid w:val="00AD079A"/>
    <w:rsid w:val="00AD0A3E"/>
    <w:rsid w:val="00AD0B13"/>
    <w:rsid w:val="00AD1260"/>
    <w:rsid w:val="00AD1525"/>
    <w:rsid w:val="00AD21BC"/>
    <w:rsid w:val="00AD3AC9"/>
    <w:rsid w:val="00AD3C1E"/>
    <w:rsid w:val="00AD3EDB"/>
    <w:rsid w:val="00AD43C5"/>
    <w:rsid w:val="00AD4686"/>
    <w:rsid w:val="00AD4BBA"/>
    <w:rsid w:val="00AD4BD0"/>
    <w:rsid w:val="00AD4CA2"/>
    <w:rsid w:val="00AD5385"/>
    <w:rsid w:val="00AD55A4"/>
    <w:rsid w:val="00AD585D"/>
    <w:rsid w:val="00AD596C"/>
    <w:rsid w:val="00AD5B57"/>
    <w:rsid w:val="00AD5C34"/>
    <w:rsid w:val="00AD602D"/>
    <w:rsid w:val="00AD63B5"/>
    <w:rsid w:val="00AD6A25"/>
    <w:rsid w:val="00AD771F"/>
    <w:rsid w:val="00AE03FD"/>
    <w:rsid w:val="00AE0574"/>
    <w:rsid w:val="00AE0C9E"/>
    <w:rsid w:val="00AE1572"/>
    <w:rsid w:val="00AE1E15"/>
    <w:rsid w:val="00AE2B7A"/>
    <w:rsid w:val="00AE459F"/>
    <w:rsid w:val="00AE492D"/>
    <w:rsid w:val="00AE4982"/>
    <w:rsid w:val="00AE4B36"/>
    <w:rsid w:val="00AE5163"/>
    <w:rsid w:val="00AE53CD"/>
    <w:rsid w:val="00AE5C17"/>
    <w:rsid w:val="00AE5C9B"/>
    <w:rsid w:val="00AE5D7E"/>
    <w:rsid w:val="00AE5F95"/>
    <w:rsid w:val="00AE6A89"/>
    <w:rsid w:val="00AE6BF2"/>
    <w:rsid w:val="00AE6C79"/>
    <w:rsid w:val="00AE6D83"/>
    <w:rsid w:val="00AE6E35"/>
    <w:rsid w:val="00AE6F2F"/>
    <w:rsid w:val="00AE7523"/>
    <w:rsid w:val="00AE7B6A"/>
    <w:rsid w:val="00AE7DF0"/>
    <w:rsid w:val="00AE7EDA"/>
    <w:rsid w:val="00AF0494"/>
    <w:rsid w:val="00AF04AA"/>
    <w:rsid w:val="00AF0A38"/>
    <w:rsid w:val="00AF1BE5"/>
    <w:rsid w:val="00AF225E"/>
    <w:rsid w:val="00AF2F2B"/>
    <w:rsid w:val="00AF3857"/>
    <w:rsid w:val="00AF3B81"/>
    <w:rsid w:val="00AF478D"/>
    <w:rsid w:val="00AF4A00"/>
    <w:rsid w:val="00AF4BBB"/>
    <w:rsid w:val="00AF4EE0"/>
    <w:rsid w:val="00AF4F64"/>
    <w:rsid w:val="00AF521E"/>
    <w:rsid w:val="00AF5229"/>
    <w:rsid w:val="00AF533F"/>
    <w:rsid w:val="00AF53D9"/>
    <w:rsid w:val="00AF5990"/>
    <w:rsid w:val="00AF5B7D"/>
    <w:rsid w:val="00AF6CED"/>
    <w:rsid w:val="00AF770D"/>
    <w:rsid w:val="00B00405"/>
    <w:rsid w:val="00B006C4"/>
    <w:rsid w:val="00B01A02"/>
    <w:rsid w:val="00B0214F"/>
    <w:rsid w:val="00B0247B"/>
    <w:rsid w:val="00B0296D"/>
    <w:rsid w:val="00B02F37"/>
    <w:rsid w:val="00B03589"/>
    <w:rsid w:val="00B0362C"/>
    <w:rsid w:val="00B0382A"/>
    <w:rsid w:val="00B04103"/>
    <w:rsid w:val="00B044A9"/>
    <w:rsid w:val="00B045D2"/>
    <w:rsid w:val="00B046F7"/>
    <w:rsid w:val="00B05541"/>
    <w:rsid w:val="00B05902"/>
    <w:rsid w:val="00B05B0E"/>
    <w:rsid w:val="00B0646A"/>
    <w:rsid w:val="00B06607"/>
    <w:rsid w:val="00B07725"/>
    <w:rsid w:val="00B07D71"/>
    <w:rsid w:val="00B10215"/>
    <w:rsid w:val="00B10B4F"/>
    <w:rsid w:val="00B10DBE"/>
    <w:rsid w:val="00B11581"/>
    <w:rsid w:val="00B11F6D"/>
    <w:rsid w:val="00B13225"/>
    <w:rsid w:val="00B138D2"/>
    <w:rsid w:val="00B13F17"/>
    <w:rsid w:val="00B1400A"/>
    <w:rsid w:val="00B143D4"/>
    <w:rsid w:val="00B14696"/>
    <w:rsid w:val="00B14882"/>
    <w:rsid w:val="00B15201"/>
    <w:rsid w:val="00B15922"/>
    <w:rsid w:val="00B16063"/>
    <w:rsid w:val="00B16935"/>
    <w:rsid w:val="00B169F7"/>
    <w:rsid w:val="00B16AFA"/>
    <w:rsid w:val="00B16FE5"/>
    <w:rsid w:val="00B2004E"/>
    <w:rsid w:val="00B205CD"/>
    <w:rsid w:val="00B20645"/>
    <w:rsid w:val="00B20EA6"/>
    <w:rsid w:val="00B21D32"/>
    <w:rsid w:val="00B21DA2"/>
    <w:rsid w:val="00B2218A"/>
    <w:rsid w:val="00B2223D"/>
    <w:rsid w:val="00B22299"/>
    <w:rsid w:val="00B222CF"/>
    <w:rsid w:val="00B2297F"/>
    <w:rsid w:val="00B22E89"/>
    <w:rsid w:val="00B232F9"/>
    <w:rsid w:val="00B23A78"/>
    <w:rsid w:val="00B242D0"/>
    <w:rsid w:val="00B2490A"/>
    <w:rsid w:val="00B249AC"/>
    <w:rsid w:val="00B2500A"/>
    <w:rsid w:val="00B25AA5"/>
    <w:rsid w:val="00B25C68"/>
    <w:rsid w:val="00B26628"/>
    <w:rsid w:val="00B26766"/>
    <w:rsid w:val="00B268A3"/>
    <w:rsid w:val="00B26AA5"/>
    <w:rsid w:val="00B274FE"/>
    <w:rsid w:val="00B30506"/>
    <w:rsid w:val="00B305E4"/>
    <w:rsid w:val="00B31EC0"/>
    <w:rsid w:val="00B32513"/>
    <w:rsid w:val="00B32830"/>
    <w:rsid w:val="00B33910"/>
    <w:rsid w:val="00B3413A"/>
    <w:rsid w:val="00B34291"/>
    <w:rsid w:val="00B34370"/>
    <w:rsid w:val="00B34ABC"/>
    <w:rsid w:val="00B34B60"/>
    <w:rsid w:val="00B3541A"/>
    <w:rsid w:val="00B3582C"/>
    <w:rsid w:val="00B3616B"/>
    <w:rsid w:val="00B36280"/>
    <w:rsid w:val="00B3689B"/>
    <w:rsid w:val="00B36C80"/>
    <w:rsid w:val="00B37111"/>
    <w:rsid w:val="00B372A2"/>
    <w:rsid w:val="00B372C0"/>
    <w:rsid w:val="00B37380"/>
    <w:rsid w:val="00B378D3"/>
    <w:rsid w:val="00B37C4A"/>
    <w:rsid w:val="00B402EC"/>
    <w:rsid w:val="00B40E0D"/>
    <w:rsid w:val="00B410A5"/>
    <w:rsid w:val="00B412D7"/>
    <w:rsid w:val="00B4171B"/>
    <w:rsid w:val="00B417AA"/>
    <w:rsid w:val="00B41E60"/>
    <w:rsid w:val="00B41E7D"/>
    <w:rsid w:val="00B4251D"/>
    <w:rsid w:val="00B428B2"/>
    <w:rsid w:val="00B42B75"/>
    <w:rsid w:val="00B435FE"/>
    <w:rsid w:val="00B441D7"/>
    <w:rsid w:val="00B44C3E"/>
    <w:rsid w:val="00B44FDF"/>
    <w:rsid w:val="00B45508"/>
    <w:rsid w:val="00B45769"/>
    <w:rsid w:val="00B459DC"/>
    <w:rsid w:val="00B45B35"/>
    <w:rsid w:val="00B466F4"/>
    <w:rsid w:val="00B471E8"/>
    <w:rsid w:val="00B47456"/>
    <w:rsid w:val="00B47C26"/>
    <w:rsid w:val="00B47C8E"/>
    <w:rsid w:val="00B47DDD"/>
    <w:rsid w:val="00B505DC"/>
    <w:rsid w:val="00B506A3"/>
    <w:rsid w:val="00B50D62"/>
    <w:rsid w:val="00B51413"/>
    <w:rsid w:val="00B515D8"/>
    <w:rsid w:val="00B5199D"/>
    <w:rsid w:val="00B51B8C"/>
    <w:rsid w:val="00B52012"/>
    <w:rsid w:val="00B52C1D"/>
    <w:rsid w:val="00B535A4"/>
    <w:rsid w:val="00B53764"/>
    <w:rsid w:val="00B543C3"/>
    <w:rsid w:val="00B54C2B"/>
    <w:rsid w:val="00B54E97"/>
    <w:rsid w:val="00B54FA0"/>
    <w:rsid w:val="00B55619"/>
    <w:rsid w:val="00B55E72"/>
    <w:rsid w:val="00B578FF"/>
    <w:rsid w:val="00B57A37"/>
    <w:rsid w:val="00B57E13"/>
    <w:rsid w:val="00B57F5A"/>
    <w:rsid w:val="00B6176E"/>
    <w:rsid w:val="00B61EB8"/>
    <w:rsid w:val="00B621FF"/>
    <w:rsid w:val="00B62DC3"/>
    <w:rsid w:val="00B64109"/>
    <w:rsid w:val="00B6420A"/>
    <w:rsid w:val="00B6464E"/>
    <w:rsid w:val="00B64702"/>
    <w:rsid w:val="00B64D3F"/>
    <w:rsid w:val="00B64F60"/>
    <w:rsid w:val="00B65234"/>
    <w:rsid w:val="00B65678"/>
    <w:rsid w:val="00B65700"/>
    <w:rsid w:val="00B65B3E"/>
    <w:rsid w:val="00B65BE9"/>
    <w:rsid w:val="00B65D68"/>
    <w:rsid w:val="00B66023"/>
    <w:rsid w:val="00B6653B"/>
    <w:rsid w:val="00B66877"/>
    <w:rsid w:val="00B66994"/>
    <w:rsid w:val="00B66B51"/>
    <w:rsid w:val="00B66F76"/>
    <w:rsid w:val="00B67E0C"/>
    <w:rsid w:val="00B67FE8"/>
    <w:rsid w:val="00B704A3"/>
    <w:rsid w:val="00B709E7"/>
    <w:rsid w:val="00B70D00"/>
    <w:rsid w:val="00B7174F"/>
    <w:rsid w:val="00B71E1C"/>
    <w:rsid w:val="00B71E5F"/>
    <w:rsid w:val="00B71F04"/>
    <w:rsid w:val="00B72B8D"/>
    <w:rsid w:val="00B72DC5"/>
    <w:rsid w:val="00B74CFF"/>
    <w:rsid w:val="00B754C5"/>
    <w:rsid w:val="00B75948"/>
    <w:rsid w:val="00B76434"/>
    <w:rsid w:val="00B7648B"/>
    <w:rsid w:val="00B77878"/>
    <w:rsid w:val="00B80017"/>
    <w:rsid w:val="00B80BA3"/>
    <w:rsid w:val="00B825DC"/>
    <w:rsid w:val="00B82ACD"/>
    <w:rsid w:val="00B831AF"/>
    <w:rsid w:val="00B837F9"/>
    <w:rsid w:val="00B83B99"/>
    <w:rsid w:val="00B841FC"/>
    <w:rsid w:val="00B848A8"/>
    <w:rsid w:val="00B84A11"/>
    <w:rsid w:val="00B84A38"/>
    <w:rsid w:val="00B84AF5"/>
    <w:rsid w:val="00B851BF"/>
    <w:rsid w:val="00B85733"/>
    <w:rsid w:val="00B85798"/>
    <w:rsid w:val="00B858B6"/>
    <w:rsid w:val="00B85999"/>
    <w:rsid w:val="00B864A4"/>
    <w:rsid w:val="00B865D7"/>
    <w:rsid w:val="00B86E76"/>
    <w:rsid w:val="00B87336"/>
    <w:rsid w:val="00B87E61"/>
    <w:rsid w:val="00B90930"/>
    <w:rsid w:val="00B914CC"/>
    <w:rsid w:val="00B91DD3"/>
    <w:rsid w:val="00B92CD8"/>
    <w:rsid w:val="00B93AC5"/>
    <w:rsid w:val="00B942FD"/>
    <w:rsid w:val="00B94C07"/>
    <w:rsid w:val="00B94D82"/>
    <w:rsid w:val="00B95156"/>
    <w:rsid w:val="00B95321"/>
    <w:rsid w:val="00B954C3"/>
    <w:rsid w:val="00B95520"/>
    <w:rsid w:val="00B958A1"/>
    <w:rsid w:val="00B95B5C"/>
    <w:rsid w:val="00B96B48"/>
    <w:rsid w:val="00B97051"/>
    <w:rsid w:val="00B97840"/>
    <w:rsid w:val="00B97BA0"/>
    <w:rsid w:val="00B97DAE"/>
    <w:rsid w:val="00BA0A1B"/>
    <w:rsid w:val="00BA0FA5"/>
    <w:rsid w:val="00BA1201"/>
    <w:rsid w:val="00BA121A"/>
    <w:rsid w:val="00BA1713"/>
    <w:rsid w:val="00BA178B"/>
    <w:rsid w:val="00BA2401"/>
    <w:rsid w:val="00BA2A5D"/>
    <w:rsid w:val="00BA2D4A"/>
    <w:rsid w:val="00BA2FE9"/>
    <w:rsid w:val="00BA325E"/>
    <w:rsid w:val="00BA36BD"/>
    <w:rsid w:val="00BA3DC5"/>
    <w:rsid w:val="00BA3F16"/>
    <w:rsid w:val="00BA4CBC"/>
    <w:rsid w:val="00BA4FF0"/>
    <w:rsid w:val="00BA5092"/>
    <w:rsid w:val="00BA585C"/>
    <w:rsid w:val="00BA5943"/>
    <w:rsid w:val="00BA5D58"/>
    <w:rsid w:val="00BA5E31"/>
    <w:rsid w:val="00BA68FA"/>
    <w:rsid w:val="00BA6EF2"/>
    <w:rsid w:val="00BA7129"/>
    <w:rsid w:val="00BA789C"/>
    <w:rsid w:val="00BA7E02"/>
    <w:rsid w:val="00BB007C"/>
    <w:rsid w:val="00BB013D"/>
    <w:rsid w:val="00BB0419"/>
    <w:rsid w:val="00BB0836"/>
    <w:rsid w:val="00BB0C48"/>
    <w:rsid w:val="00BB1624"/>
    <w:rsid w:val="00BB17B7"/>
    <w:rsid w:val="00BB17F2"/>
    <w:rsid w:val="00BB1F22"/>
    <w:rsid w:val="00BB21A4"/>
    <w:rsid w:val="00BB28FA"/>
    <w:rsid w:val="00BB3327"/>
    <w:rsid w:val="00BB34AD"/>
    <w:rsid w:val="00BB3D72"/>
    <w:rsid w:val="00BB3E16"/>
    <w:rsid w:val="00BB49B0"/>
    <w:rsid w:val="00BB4B9C"/>
    <w:rsid w:val="00BB4C56"/>
    <w:rsid w:val="00BB53C8"/>
    <w:rsid w:val="00BB552B"/>
    <w:rsid w:val="00BB5D29"/>
    <w:rsid w:val="00BB616A"/>
    <w:rsid w:val="00BB68A8"/>
    <w:rsid w:val="00BB6DF3"/>
    <w:rsid w:val="00BC00E9"/>
    <w:rsid w:val="00BC0526"/>
    <w:rsid w:val="00BC08B3"/>
    <w:rsid w:val="00BC0CF1"/>
    <w:rsid w:val="00BC1BDF"/>
    <w:rsid w:val="00BC20C1"/>
    <w:rsid w:val="00BC266C"/>
    <w:rsid w:val="00BC27DB"/>
    <w:rsid w:val="00BC2A6D"/>
    <w:rsid w:val="00BC30DB"/>
    <w:rsid w:val="00BC330F"/>
    <w:rsid w:val="00BC3865"/>
    <w:rsid w:val="00BC4F04"/>
    <w:rsid w:val="00BC520E"/>
    <w:rsid w:val="00BC54D8"/>
    <w:rsid w:val="00BC574A"/>
    <w:rsid w:val="00BC5774"/>
    <w:rsid w:val="00BC5DBB"/>
    <w:rsid w:val="00BC5FC1"/>
    <w:rsid w:val="00BC6299"/>
    <w:rsid w:val="00BC6385"/>
    <w:rsid w:val="00BC658C"/>
    <w:rsid w:val="00BC6C9C"/>
    <w:rsid w:val="00BC6CD4"/>
    <w:rsid w:val="00BC742A"/>
    <w:rsid w:val="00BC793A"/>
    <w:rsid w:val="00BD0174"/>
    <w:rsid w:val="00BD0612"/>
    <w:rsid w:val="00BD09F9"/>
    <w:rsid w:val="00BD0DBC"/>
    <w:rsid w:val="00BD196C"/>
    <w:rsid w:val="00BD2336"/>
    <w:rsid w:val="00BD2EFB"/>
    <w:rsid w:val="00BD3755"/>
    <w:rsid w:val="00BD4719"/>
    <w:rsid w:val="00BD5349"/>
    <w:rsid w:val="00BD55E4"/>
    <w:rsid w:val="00BD6015"/>
    <w:rsid w:val="00BD61E3"/>
    <w:rsid w:val="00BD65BF"/>
    <w:rsid w:val="00BD73F6"/>
    <w:rsid w:val="00BD7477"/>
    <w:rsid w:val="00BD748B"/>
    <w:rsid w:val="00BD78AA"/>
    <w:rsid w:val="00BE01BF"/>
    <w:rsid w:val="00BE0409"/>
    <w:rsid w:val="00BE0D0A"/>
    <w:rsid w:val="00BE0DAA"/>
    <w:rsid w:val="00BE12A0"/>
    <w:rsid w:val="00BE1431"/>
    <w:rsid w:val="00BE1C4F"/>
    <w:rsid w:val="00BE20CF"/>
    <w:rsid w:val="00BE2AD1"/>
    <w:rsid w:val="00BE3040"/>
    <w:rsid w:val="00BE356E"/>
    <w:rsid w:val="00BE43A2"/>
    <w:rsid w:val="00BE451B"/>
    <w:rsid w:val="00BE4B7C"/>
    <w:rsid w:val="00BE5E81"/>
    <w:rsid w:val="00BE6045"/>
    <w:rsid w:val="00BE6702"/>
    <w:rsid w:val="00BE7D83"/>
    <w:rsid w:val="00BF01CD"/>
    <w:rsid w:val="00BF062F"/>
    <w:rsid w:val="00BF0809"/>
    <w:rsid w:val="00BF14E6"/>
    <w:rsid w:val="00BF1A85"/>
    <w:rsid w:val="00BF1F29"/>
    <w:rsid w:val="00BF21D7"/>
    <w:rsid w:val="00BF2532"/>
    <w:rsid w:val="00BF288F"/>
    <w:rsid w:val="00BF2C23"/>
    <w:rsid w:val="00BF2C2D"/>
    <w:rsid w:val="00BF351B"/>
    <w:rsid w:val="00BF37B3"/>
    <w:rsid w:val="00BF3D73"/>
    <w:rsid w:val="00BF4367"/>
    <w:rsid w:val="00BF4DBA"/>
    <w:rsid w:val="00BF585B"/>
    <w:rsid w:val="00BF64ED"/>
    <w:rsid w:val="00BF65F8"/>
    <w:rsid w:val="00BF66BD"/>
    <w:rsid w:val="00BF66DA"/>
    <w:rsid w:val="00BF6742"/>
    <w:rsid w:val="00BF73A4"/>
    <w:rsid w:val="00BF7E2B"/>
    <w:rsid w:val="00BF7FDE"/>
    <w:rsid w:val="00C00893"/>
    <w:rsid w:val="00C00AA4"/>
    <w:rsid w:val="00C017C2"/>
    <w:rsid w:val="00C01DD8"/>
    <w:rsid w:val="00C0232D"/>
    <w:rsid w:val="00C02DB1"/>
    <w:rsid w:val="00C03729"/>
    <w:rsid w:val="00C03886"/>
    <w:rsid w:val="00C03C7E"/>
    <w:rsid w:val="00C03D9D"/>
    <w:rsid w:val="00C03F00"/>
    <w:rsid w:val="00C0442A"/>
    <w:rsid w:val="00C04C36"/>
    <w:rsid w:val="00C05759"/>
    <w:rsid w:val="00C0609E"/>
    <w:rsid w:val="00C062B6"/>
    <w:rsid w:val="00C063DD"/>
    <w:rsid w:val="00C069C6"/>
    <w:rsid w:val="00C069FB"/>
    <w:rsid w:val="00C06AE5"/>
    <w:rsid w:val="00C06D93"/>
    <w:rsid w:val="00C07C80"/>
    <w:rsid w:val="00C07DC8"/>
    <w:rsid w:val="00C10250"/>
    <w:rsid w:val="00C1030A"/>
    <w:rsid w:val="00C10F24"/>
    <w:rsid w:val="00C114B9"/>
    <w:rsid w:val="00C11C61"/>
    <w:rsid w:val="00C1233A"/>
    <w:rsid w:val="00C13234"/>
    <w:rsid w:val="00C1371B"/>
    <w:rsid w:val="00C14817"/>
    <w:rsid w:val="00C15AC2"/>
    <w:rsid w:val="00C15C1D"/>
    <w:rsid w:val="00C15C85"/>
    <w:rsid w:val="00C15E04"/>
    <w:rsid w:val="00C161EC"/>
    <w:rsid w:val="00C162A1"/>
    <w:rsid w:val="00C165BC"/>
    <w:rsid w:val="00C17346"/>
    <w:rsid w:val="00C17491"/>
    <w:rsid w:val="00C2029F"/>
    <w:rsid w:val="00C21796"/>
    <w:rsid w:val="00C21A0E"/>
    <w:rsid w:val="00C21E4D"/>
    <w:rsid w:val="00C21EA0"/>
    <w:rsid w:val="00C22112"/>
    <w:rsid w:val="00C22EB6"/>
    <w:rsid w:val="00C232D8"/>
    <w:rsid w:val="00C2346C"/>
    <w:rsid w:val="00C23F81"/>
    <w:rsid w:val="00C243E0"/>
    <w:rsid w:val="00C2462B"/>
    <w:rsid w:val="00C24F7B"/>
    <w:rsid w:val="00C251F0"/>
    <w:rsid w:val="00C2577B"/>
    <w:rsid w:val="00C25925"/>
    <w:rsid w:val="00C25C94"/>
    <w:rsid w:val="00C25E7E"/>
    <w:rsid w:val="00C2647A"/>
    <w:rsid w:val="00C26D66"/>
    <w:rsid w:val="00C276CC"/>
    <w:rsid w:val="00C27B73"/>
    <w:rsid w:val="00C27CA4"/>
    <w:rsid w:val="00C302D6"/>
    <w:rsid w:val="00C31696"/>
    <w:rsid w:val="00C32CF1"/>
    <w:rsid w:val="00C334EB"/>
    <w:rsid w:val="00C33683"/>
    <w:rsid w:val="00C3376B"/>
    <w:rsid w:val="00C3485C"/>
    <w:rsid w:val="00C34CA2"/>
    <w:rsid w:val="00C3536E"/>
    <w:rsid w:val="00C355A2"/>
    <w:rsid w:val="00C35ABE"/>
    <w:rsid w:val="00C35CD9"/>
    <w:rsid w:val="00C35FB7"/>
    <w:rsid w:val="00C36023"/>
    <w:rsid w:val="00C36BCB"/>
    <w:rsid w:val="00C37594"/>
    <w:rsid w:val="00C37CFD"/>
    <w:rsid w:val="00C40C21"/>
    <w:rsid w:val="00C410A7"/>
    <w:rsid w:val="00C41757"/>
    <w:rsid w:val="00C41EE7"/>
    <w:rsid w:val="00C42090"/>
    <w:rsid w:val="00C426BF"/>
    <w:rsid w:val="00C427A2"/>
    <w:rsid w:val="00C42886"/>
    <w:rsid w:val="00C42AF8"/>
    <w:rsid w:val="00C42E56"/>
    <w:rsid w:val="00C42F73"/>
    <w:rsid w:val="00C43555"/>
    <w:rsid w:val="00C438E8"/>
    <w:rsid w:val="00C439FD"/>
    <w:rsid w:val="00C43FAC"/>
    <w:rsid w:val="00C441E3"/>
    <w:rsid w:val="00C44316"/>
    <w:rsid w:val="00C44326"/>
    <w:rsid w:val="00C44E3C"/>
    <w:rsid w:val="00C45A74"/>
    <w:rsid w:val="00C461B6"/>
    <w:rsid w:val="00C46746"/>
    <w:rsid w:val="00C46A12"/>
    <w:rsid w:val="00C46F1B"/>
    <w:rsid w:val="00C4714C"/>
    <w:rsid w:val="00C478E5"/>
    <w:rsid w:val="00C47C23"/>
    <w:rsid w:val="00C500A4"/>
    <w:rsid w:val="00C513E2"/>
    <w:rsid w:val="00C5154D"/>
    <w:rsid w:val="00C5158E"/>
    <w:rsid w:val="00C518CD"/>
    <w:rsid w:val="00C51E35"/>
    <w:rsid w:val="00C52202"/>
    <w:rsid w:val="00C52376"/>
    <w:rsid w:val="00C52499"/>
    <w:rsid w:val="00C52653"/>
    <w:rsid w:val="00C52D46"/>
    <w:rsid w:val="00C532AE"/>
    <w:rsid w:val="00C53368"/>
    <w:rsid w:val="00C53637"/>
    <w:rsid w:val="00C536B3"/>
    <w:rsid w:val="00C53786"/>
    <w:rsid w:val="00C539DF"/>
    <w:rsid w:val="00C53C74"/>
    <w:rsid w:val="00C548F2"/>
    <w:rsid w:val="00C54FCA"/>
    <w:rsid w:val="00C555F8"/>
    <w:rsid w:val="00C56305"/>
    <w:rsid w:val="00C56632"/>
    <w:rsid w:val="00C57915"/>
    <w:rsid w:val="00C57D56"/>
    <w:rsid w:val="00C6089D"/>
    <w:rsid w:val="00C609AF"/>
    <w:rsid w:val="00C60A68"/>
    <w:rsid w:val="00C60C1C"/>
    <w:rsid w:val="00C61079"/>
    <w:rsid w:val="00C614B0"/>
    <w:rsid w:val="00C62291"/>
    <w:rsid w:val="00C629A0"/>
    <w:rsid w:val="00C63365"/>
    <w:rsid w:val="00C635AD"/>
    <w:rsid w:val="00C63F3F"/>
    <w:rsid w:val="00C64004"/>
    <w:rsid w:val="00C64584"/>
    <w:rsid w:val="00C6472C"/>
    <w:rsid w:val="00C650E2"/>
    <w:rsid w:val="00C654DF"/>
    <w:rsid w:val="00C660E6"/>
    <w:rsid w:val="00C66695"/>
    <w:rsid w:val="00C67DDD"/>
    <w:rsid w:val="00C67F98"/>
    <w:rsid w:val="00C704E4"/>
    <w:rsid w:val="00C70743"/>
    <w:rsid w:val="00C70FDE"/>
    <w:rsid w:val="00C71118"/>
    <w:rsid w:val="00C713BC"/>
    <w:rsid w:val="00C71667"/>
    <w:rsid w:val="00C72283"/>
    <w:rsid w:val="00C72571"/>
    <w:rsid w:val="00C72BDC"/>
    <w:rsid w:val="00C72F38"/>
    <w:rsid w:val="00C73135"/>
    <w:rsid w:val="00C73A18"/>
    <w:rsid w:val="00C73CBD"/>
    <w:rsid w:val="00C74080"/>
    <w:rsid w:val="00C740FC"/>
    <w:rsid w:val="00C74AF9"/>
    <w:rsid w:val="00C76214"/>
    <w:rsid w:val="00C766D2"/>
    <w:rsid w:val="00C76A55"/>
    <w:rsid w:val="00C76D82"/>
    <w:rsid w:val="00C77634"/>
    <w:rsid w:val="00C776CA"/>
    <w:rsid w:val="00C777F7"/>
    <w:rsid w:val="00C7784A"/>
    <w:rsid w:val="00C77D93"/>
    <w:rsid w:val="00C77FF8"/>
    <w:rsid w:val="00C8062E"/>
    <w:rsid w:val="00C80C44"/>
    <w:rsid w:val="00C818AD"/>
    <w:rsid w:val="00C81D9A"/>
    <w:rsid w:val="00C82961"/>
    <w:rsid w:val="00C82E05"/>
    <w:rsid w:val="00C82E8F"/>
    <w:rsid w:val="00C83DD4"/>
    <w:rsid w:val="00C8467B"/>
    <w:rsid w:val="00C84E2B"/>
    <w:rsid w:val="00C85010"/>
    <w:rsid w:val="00C85644"/>
    <w:rsid w:val="00C8583A"/>
    <w:rsid w:val="00C863F4"/>
    <w:rsid w:val="00C867AB"/>
    <w:rsid w:val="00C867EE"/>
    <w:rsid w:val="00C87296"/>
    <w:rsid w:val="00C8738F"/>
    <w:rsid w:val="00C8771C"/>
    <w:rsid w:val="00C87DEA"/>
    <w:rsid w:val="00C87F2A"/>
    <w:rsid w:val="00C90027"/>
    <w:rsid w:val="00C905C1"/>
    <w:rsid w:val="00C9076E"/>
    <w:rsid w:val="00C90B1F"/>
    <w:rsid w:val="00C90F34"/>
    <w:rsid w:val="00C914CB"/>
    <w:rsid w:val="00C91FE2"/>
    <w:rsid w:val="00C9226D"/>
    <w:rsid w:val="00C92307"/>
    <w:rsid w:val="00C931CD"/>
    <w:rsid w:val="00C9344A"/>
    <w:rsid w:val="00C94298"/>
    <w:rsid w:val="00C94879"/>
    <w:rsid w:val="00C9499E"/>
    <w:rsid w:val="00C94A2F"/>
    <w:rsid w:val="00C954B6"/>
    <w:rsid w:val="00C95FD2"/>
    <w:rsid w:val="00C968CD"/>
    <w:rsid w:val="00C96BB6"/>
    <w:rsid w:val="00C970C5"/>
    <w:rsid w:val="00C97402"/>
    <w:rsid w:val="00C97984"/>
    <w:rsid w:val="00C979F5"/>
    <w:rsid w:val="00C97ACB"/>
    <w:rsid w:val="00CA014B"/>
    <w:rsid w:val="00CA1023"/>
    <w:rsid w:val="00CA1405"/>
    <w:rsid w:val="00CA1E22"/>
    <w:rsid w:val="00CA1EAE"/>
    <w:rsid w:val="00CA29C1"/>
    <w:rsid w:val="00CA2C7B"/>
    <w:rsid w:val="00CA2F75"/>
    <w:rsid w:val="00CA3823"/>
    <w:rsid w:val="00CA399A"/>
    <w:rsid w:val="00CA409F"/>
    <w:rsid w:val="00CA4718"/>
    <w:rsid w:val="00CA48C7"/>
    <w:rsid w:val="00CA4F82"/>
    <w:rsid w:val="00CA5EA3"/>
    <w:rsid w:val="00CA6846"/>
    <w:rsid w:val="00CA6AED"/>
    <w:rsid w:val="00CA6CAE"/>
    <w:rsid w:val="00CA6DA7"/>
    <w:rsid w:val="00CA7729"/>
    <w:rsid w:val="00CA779B"/>
    <w:rsid w:val="00CA7F4B"/>
    <w:rsid w:val="00CB16E0"/>
    <w:rsid w:val="00CB17FB"/>
    <w:rsid w:val="00CB2402"/>
    <w:rsid w:val="00CB2683"/>
    <w:rsid w:val="00CB2BE7"/>
    <w:rsid w:val="00CB2C66"/>
    <w:rsid w:val="00CB2D98"/>
    <w:rsid w:val="00CB2E8E"/>
    <w:rsid w:val="00CB31C0"/>
    <w:rsid w:val="00CB3257"/>
    <w:rsid w:val="00CB4AF1"/>
    <w:rsid w:val="00CB5B9A"/>
    <w:rsid w:val="00CB69DC"/>
    <w:rsid w:val="00CB6B96"/>
    <w:rsid w:val="00CB74F5"/>
    <w:rsid w:val="00CB751E"/>
    <w:rsid w:val="00CC1104"/>
    <w:rsid w:val="00CC156A"/>
    <w:rsid w:val="00CC22C0"/>
    <w:rsid w:val="00CC2541"/>
    <w:rsid w:val="00CC262A"/>
    <w:rsid w:val="00CC31F4"/>
    <w:rsid w:val="00CC35AC"/>
    <w:rsid w:val="00CC4B2E"/>
    <w:rsid w:val="00CC51C3"/>
    <w:rsid w:val="00CC5AFA"/>
    <w:rsid w:val="00CC5D24"/>
    <w:rsid w:val="00CC6FE4"/>
    <w:rsid w:val="00CC74CB"/>
    <w:rsid w:val="00CC756D"/>
    <w:rsid w:val="00CC7804"/>
    <w:rsid w:val="00CC7845"/>
    <w:rsid w:val="00CD0030"/>
    <w:rsid w:val="00CD032B"/>
    <w:rsid w:val="00CD055C"/>
    <w:rsid w:val="00CD0CC8"/>
    <w:rsid w:val="00CD11ED"/>
    <w:rsid w:val="00CD121B"/>
    <w:rsid w:val="00CD13CB"/>
    <w:rsid w:val="00CD14DC"/>
    <w:rsid w:val="00CD18C7"/>
    <w:rsid w:val="00CD1920"/>
    <w:rsid w:val="00CD1FA5"/>
    <w:rsid w:val="00CD234F"/>
    <w:rsid w:val="00CD2678"/>
    <w:rsid w:val="00CD28C6"/>
    <w:rsid w:val="00CD3496"/>
    <w:rsid w:val="00CD35E8"/>
    <w:rsid w:val="00CD3F6B"/>
    <w:rsid w:val="00CD48A1"/>
    <w:rsid w:val="00CD5873"/>
    <w:rsid w:val="00CD5CB0"/>
    <w:rsid w:val="00CD5D9B"/>
    <w:rsid w:val="00CD656B"/>
    <w:rsid w:val="00CD69E4"/>
    <w:rsid w:val="00CD6B91"/>
    <w:rsid w:val="00CD6D8E"/>
    <w:rsid w:val="00CD6DF3"/>
    <w:rsid w:val="00CD6EF2"/>
    <w:rsid w:val="00CD72DB"/>
    <w:rsid w:val="00CD740F"/>
    <w:rsid w:val="00CD7791"/>
    <w:rsid w:val="00CD77BE"/>
    <w:rsid w:val="00CD78C5"/>
    <w:rsid w:val="00CD7EBD"/>
    <w:rsid w:val="00CE0062"/>
    <w:rsid w:val="00CE0203"/>
    <w:rsid w:val="00CE032A"/>
    <w:rsid w:val="00CE057A"/>
    <w:rsid w:val="00CE0E68"/>
    <w:rsid w:val="00CE131C"/>
    <w:rsid w:val="00CE15D4"/>
    <w:rsid w:val="00CE19A1"/>
    <w:rsid w:val="00CE1C94"/>
    <w:rsid w:val="00CE22EC"/>
    <w:rsid w:val="00CE281D"/>
    <w:rsid w:val="00CE2A0A"/>
    <w:rsid w:val="00CE3BFC"/>
    <w:rsid w:val="00CE3E0A"/>
    <w:rsid w:val="00CE4FD7"/>
    <w:rsid w:val="00CE53EC"/>
    <w:rsid w:val="00CE586F"/>
    <w:rsid w:val="00CE6901"/>
    <w:rsid w:val="00CE715E"/>
    <w:rsid w:val="00CE74AC"/>
    <w:rsid w:val="00CE7B4B"/>
    <w:rsid w:val="00CE7CDD"/>
    <w:rsid w:val="00CF060D"/>
    <w:rsid w:val="00CF0ADB"/>
    <w:rsid w:val="00CF13B3"/>
    <w:rsid w:val="00CF1954"/>
    <w:rsid w:val="00CF1BBB"/>
    <w:rsid w:val="00CF1DE8"/>
    <w:rsid w:val="00CF28B7"/>
    <w:rsid w:val="00CF2A70"/>
    <w:rsid w:val="00CF2BD7"/>
    <w:rsid w:val="00CF2CB4"/>
    <w:rsid w:val="00CF2EFC"/>
    <w:rsid w:val="00CF2FF9"/>
    <w:rsid w:val="00CF329F"/>
    <w:rsid w:val="00CF34DD"/>
    <w:rsid w:val="00CF36EF"/>
    <w:rsid w:val="00CF3701"/>
    <w:rsid w:val="00CF3860"/>
    <w:rsid w:val="00CF4014"/>
    <w:rsid w:val="00CF4F3F"/>
    <w:rsid w:val="00CF51C8"/>
    <w:rsid w:val="00CF5D19"/>
    <w:rsid w:val="00CF5E6B"/>
    <w:rsid w:val="00CF6625"/>
    <w:rsid w:val="00CF6CC5"/>
    <w:rsid w:val="00CF7367"/>
    <w:rsid w:val="00CF7827"/>
    <w:rsid w:val="00D0021D"/>
    <w:rsid w:val="00D00FEA"/>
    <w:rsid w:val="00D018E4"/>
    <w:rsid w:val="00D01B40"/>
    <w:rsid w:val="00D0290C"/>
    <w:rsid w:val="00D02A11"/>
    <w:rsid w:val="00D02B0E"/>
    <w:rsid w:val="00D035BE"/>
    <w:rsid w:val="00D03DAD"/>
    <w:rsid w:val="00D04267"/>
    <w:rsid w:val="00D042D4"/>
    <w:rsid w:val="00D048B5"/>
    <w:rsid w:val="00D04C56"/>
    <w:rsid w:val="00D04F25"/>
    <w:rsid w:val="00D056BA"/>
    <w:rsid w:val="00D07225"/>
    <w:rsid w:val="00D07C01"/>
    <w:rsid w:val="00D100E8"/>
    <w:rsid w:val="00D10130"/>
    <w:rsid w:val="00D1092E"/>
    <w:rsid w:val="00D10DC2"/>
    <w:rsid w:val="00D11F65"/>
    <w:rsid w:val="00D12819"/>
    <w:rsid w:val="00D12841"/>
    <w:rsid w:val="00D1295D"/>
    <w:rsid w:val="00D12A03"/>
    <w:rsid w:val="00D12C92"/>
    <w:rsid w:val="00D12D10"/>
    <w:rsid w:val="00D135E4"/>
    <w:rsid w:val="00D13804"/>
    <w:rsid w:val="00D1384A"/>
    <w:rsid w:val="00D13C61"/>
    <w:rsid w:val="00D1410F"/>
    <w:rsid w:val="00D1463B"/>
    <w:rsid w:val="00D148F3"/>
    <w:rsid w:val="00D14D5E"/>
    <w:rsid w:val="00D15437"/>
    <w:rsid w:val="00D15800"/>
    <w:rsid w:val="00D160D4"/>
    <w:rsid w:val="00D16C98"/>
    <w:rsid w:val="00D16EC1"/>
    <w:rsid w:val="00D17836"/>
    <w:rsid w:val="00D17984"/>
    <w:rsid w:val="00D203EE"/>
    <w:rsid w:val="00D2049E"/>
    <w:rsid w:val="00D206BC"/>
    <w:rsid w:val="00D20CE6"/>
    <w:rsid w:val="00D20FF4"/>
    <w:rsid w:val="00D21FA4"/>
    <w:rsid w:val="00D22133"/>
    <w:rsid w:val="00D2230F"/>
    <w:rsid w:val="00D2275B"/>
    <w:rsid w:val="00D22961"/>
    <w:rsid w:val="00D239C6"/>
    <w:rsid w:val="00D247FF"/>
    <w:rsid w:val="00D249EF"/>
    <w:rsid w:val="00D24DB1"/>
    <w:rsid w:val="00D253D0"/>
    <w:rsid w:val="00D25799"/>
    <w:rsid w:val="00D26562"/>
    <w:rsid w:val="00D26B2B"/>
    <w:rsid w:val="00D26D07"/>
    <w:rsid w:val="00D272AF"/>
    <w:rsid w:val="00D27537"/>
    <w:rsid w:val="00D3005E"/>
    <w:rsid w:val="00D302BE"/>
    <w:rsid w:val="00D3056E"/>
    <w:rsid w:val="00D30993"/>
    <w:rsid w:val="00D30A72"/>
    <w:rsid w:val="00D30EB9"/>
    <w:rsid w:val="00D310C7"/>
    <w:rsid w:val="00D318EE"/>
    <w:rsid w:val="00D31A65"/>
    <w:rsid w:val="00D31CEC"/>
    <w:rsid w:val="00D32081"/>
    <w:rsid w:val="00D3239A"/>
    <w:rsid w:val="00D3239D"/>
    <w:rsid w:val="00D3277B"/>
    <w:rsid w:val="00D3375B"/>
    <w:rsid w:val="00D33C13"/>
    <w:rsid w:val="00D34322"/>
    <w:rsid w:val="00D34470"/>
    <w:rsid w:val="00D34714"/>
    <w:rsid w:val="00D369BE"/>
    <w:rsid w:val="00D374AC"/>
    <w:rsid w:val="00D407E2"/>
    <w:rsid w:val="00D4103D"/>
    <w:rsid w:val="00D41082"/>
    <w:rsid w:val="00D417C5"/>
    <w:rsid w:val="00D4183C"/>
    <w:rsid w:val="00D42996"/>
    <w:rsid w:val="00D42D7E"/>
    <w:rsid w:val="00D42DAF"/>
    <w:rsid w:val="00D43667"/>
    <w:rsid w:val="00D436A2"/>
    <w:rsid w:val="00D44B29"/>
    <w:rsid w:val="00D44CA8"/>
    <w:rsid w:val="00D44D4E"/>
    <w:rsid w:val="00D44DBA"/>
    <w:rsid w:val="00D44E25"/>
    <w:rsid w:val="00D453D4"/>
    <w:rsid w:val="00D45B9A"/>
    <w:rsid w:val="00D470D0"/>
    <w:rsid w:val="00D500F1"/>
    <w:rsid w:val="00D51D34"/>
    <w:rsid w:val="00D524FA"/>
    <w:rsid w:val="00D52662"/>
    <w:rsid w:val="00D52EAD"/>
    <w:rsid w:val="00D534A1"/>
    <w:rsid w:val="00D53B8D"/>
    <w:rsid w:val="00D54856"/>
    <w:rsid w:val="00D54976"/>
    <w:rsid w:val="00D555C8"/>
    <w:rsid w:val="00D5575D"/>
    <w:rsid w:val="00D55DD7"/>
    <w:rsid w:val="00D5665F"/>
    <w:rsid w:val="00D56DB1"/>
    <w:rsid w:val="00D56E19"/>
    <w:rsid w:val="00D576A5"/>
    <w:rsid w:val="00D57B4A"/>
    <w:rsid w:val="00D57DC5"/>
    <w:rsid w:val="00D57FE1"/>
    <w:rsid w:val="00D60569"/>
    <w:rsid w:val="00D607A1"/>
    <w:rsid w:val="00D61FFE"/>
    <w:rsid w:val="00D6243D"/>
    <w:rsid w:val="00D6290A"/>
    <w:rsid w:val="00D63068"/>
    <w:rsid w:val="00D647F7"/>
    <w:rsid w:val="00D64B3D"/>
    <w:rsid w:val="00D64BF3"/>
    <w:rsid w:val="00D64DC1"/>
    <w:rsid w:val="00D65280"/>
    <w:rsid w:val="00D65778"/>
    <w:rsid w:val="00D659FC"/>
    <w:rsid w:val="00D65FD4"/>
    <w:rsid w:val="00D66FC5"/>
    <w:rsid w:val="00D66FDE"/>
    <w:rsid w:val="00D6798D"/>
    <w:rsid w:val="00D70045"/>
    <w:rsid w:val="00D704D7"/>
    <w:rsid w:val="00D70644"/>
    <w:rsid w:val="00D706E3"/>
    <w:rsid w:val="00D70F33"/>
    <w:rsid w:val="00D72303"/>
    <w:rsid w:val="00D7331A"/>
    <w:rsid w:val="00D73A62"/>
    <w:rsid w:val="00D7478C"/>
    <w:rsid w:val="00D756DE"/>
    <w:rsid w:val="00D75D08"/>
    <w:rsid w:val="00D75F29"/>
    <w:rsid w:val="00D76157"/>
    <w:rsid w:val="00D76480"/>
    <w:rsid w:val="00D76749"/>
    <w:rsid w:val="00D767BF"/>
    <w:rsid w:val="00D7783C"/>
    <w:rsid w:val="00D77FC4"/>
    <w:rsid w:val="00D77FF1"/>
    <w:rsid w:val="00D800F6"/>
    <w:rsid w:val="00D805DB"/>
    <w:rsid w:val="00D806CA"/>
    <w:rsid w:val="00D807B5"/>
    <w:rsid w:val="00D81100"/>
    <w:rsid w:val="00D81326"/>
    <w:rsid w:val="00D8141A"/>
    <w:rsid w:val="00D81D87"/>
    <w:rsid w:val="00D828E8"/>
    <w:rsid w:val="00D829A6"/>
    <w:rsid w:val="00D835E6"/>
    <w:rsid w:val="00D8399F"/>
    <w:rsid w:val="00D8415B"/>
    <w:rsid w:val="00D847A6"/>
    <w:rsid w:val="00D84F2F"/>
    <w:rsid w:val="00D85136"/>
    <w:rsid w:val="00D85F43"/>
    <w:rsid w:val="00D85FDB"/>
    <w:rsid w:val="00D8612D"/>
    <w:rsid w:val="00D871DA"/>
    <w:rsid w:val="00D874E7"/>
    <w:rsid w:val="00D877CE"/>
    <w:rsid w:val="00D90157"/>
    <w:rsid w:val="00D90369"/>
    <w:rsid w:val="00D905C9"/>
    <w:rsid w:val="00D905EE"/>
    <w:rsid w:val="00D9073B"/>
    <w:rsid w:val="00D90B8E"/>
    <w:rsid w:val="00D91A79"/>
    <w:rsid w:val="00D91D43"/>
    <w:rsid w:val="00D924C6"/>
    <w:rsid w:val="00D924DA"/>
    <w:rsid w:val="00D92515"/>
    <w:rsid w:val="00D93761"/>
    <w:rsid w:val="00D93E1D"/>
    <w:rsid w:val="00D940AC"/>
    <w:rsid w:val="00D9452F"/>
    <w:rsid w:val="00D94B70"/>
    <w:rsid w:val="00D94EBF"/>
    <w:rsid w:val="00D95653"/>
    <w:rsid w:val="00D95FC3"/>
    <w:rsid w:val="00D968F5"/>
    <w:rsid w:val="00D96908"/>
    <w:rsid w:val="00D96F1E"/>
    <w:rsid w:val="00D97C79"/>
    <w:rsid w:val="00DA05DB"/>
    <w:rsid w:val="00DA2450"/>
    <w:rsid w:val="00DA286C"/>
    <w:rsid w:val="00DA28BB"/>
    <w:rsid w:val="00DA2E62"/>
    <w:rsid w:val="00DA3845"/>
    <w:rsid w:val="00DA3DB1"/>
    <w:rsid w:val="00DA3E13"/>
    <w:rsid w:val="00DA3F91"/>
    <w:rsid w:val="00DA4081"/>
    <w:rsid w:val="00DA4408"/>
    <w:rsid w:val="00DA4D2A"/>
    <w:rsid w:val="00DA531A"/>
    <w:rsid w:val="00DA56CD"/>
    <w:rsid w:val="00DA5FD8"/>
    <w:rsid w:val="00DA6178"/>
    <w:rsid w:val="00DA61C4"/>
    <w:rsid w:val="00DA62D0"/>
    <w:rsid w:val="00DA68A1"/>
    <w:rsid w:val="00DA6E6A"/>
    <w:rsid w:val="00DA739F"/>
    <w:rsid w:val="00DA74DE"/>
    <w:rsid w:val="00DB0E8D"/>
    <w:rsid w:val="00DB16A4"/>
    <w:rsid w:val="00DB1C9E"/>
    <w:rsid w:val="00DB2098"/>
    <w:rsid w:val="00DB326F"/>
    <w:rsid w:val="00DB357C"/>
    <w:rsid w:val="00DB39E2"/>
    <w:rsid w:val="00DB3E9D"/>
    <w:rsid w:val="00DB42C6"/>
    <w:rsid w:val="00DB458C"/>
    <w:rsid w:val="00DB46BF"/>
    <w:rsid w:val="00DB60F6"/>
    <w:rsid w:val="00DB64CA"/>
    <w:rsid w:val="00DB6927"/>
    <w:rsid w:val="00DB7110"/>
    <w:rsid w:val="00DB73A6"/>
    <w:rsid w:val="00DB74EA"/>
    <w:rsid w:val="00DC0335"/>
    <w:rsid w:val="00DC0883"/>
    <w:rsid w:val="00DC10EE"/>
    <w:rsid w:val="00DC14E7"/>
    <w:rsid w:val="00DC193E"/>
    <w:rsid w:val="00DC3351"/>
    <w:rsid w:val="00DC3B45"/>
    <w:rsid w:val="00DC46E6"/>
    <w:rsid w:val="00DC472E"/>
    <w:rsid w:val="00DC4E6E"/>
    <w:rsid w:val="00DC51D4"/>
    <w:rsid w:val="00DC586E"/>
    <w:rsid w:val="00DC5B41"/>
    <w:rsid w:val="00DC621C"/>
    <w:rsid w:val="00DC6297"/>
    <w:rsid w:val="00DC7115"/>
    <w:rsid w:val="00DC7D59"/>
    <w:rsid w:val="00DC7E90"/>
    <w:rsid w:val="00DD144B"/>
    <w:rsid w:val="00DD146D"/>
    <w:rsid w:val="00DD1529"/>
    <w:rsid w:val="00DD17DB"/>
    <w:rsid w:val="00DD187D"/>
    <w:rsid w:val="00DD19A5"/>
    <w:rsid w:val="00DD202B"/>
    <w:rsid w:val="00DD21F9"/>
    <w:rsid w:val="00DD2444"/>
    <w:rsid w:val="00DD3445"/>
    <w:rsid w:val="00DD3B8A"/>
    <w:rsid w:val="00DD4078"/>
    <w:rsid w:val="00DD457D"/>
    <w:rsid w:val="00DD485F"/>
    <w:rsid w:val="00DD51CA"/>
    <w:rsid w:val="00DD5319"/>
    <w:rsid w:val="00DD5504"/>
    <w:rsid w:val="00DD5A48"/>
    <w:rsid w:val="00DD5AED"/>
    <w:rsid w:val="00DD5C30"/>
    <w:rsid w:val="00DD6189"/>
    <w:rsid w:val="00DD74CD"/>
    <w:rsid w:val="00DD7A83"/>
    <w:rsid w:val="00DE028C"/>
    <w:rsid w:val="00DE0536"/>
    <w:rsid w:val="00DE0E32"/>
    <w:rsid w:val="00DE10B0"/>
    <w:rsid w:val="00DE1FD9"/>
    <w:rsid w:val="00DE222F"/>
    <w:rsid w:val="00DE26B6"/>
    <w:rsid w:val="00DE29FA"/>
    <w:rsid w:val="00DE2F07"/>
    <w:rsid w:val="00DE31BF"/>
    <w:rsid w:val="00DE32CD"/>
    <w:rsid w:val="00DE3BD7"/>
    <w:rsid w:val="00DE40F1"/>
    <w:rsid w:val="00DE4A28"/>
    <w:rsid w:val="00DE5521"/>
    <w:rsid w:val="00DE5795"/>
    <w:rsid w:val="00DE659F"/>
    <w:rsid w:val="00DE6AF4"/>
    <w:rsid w:val="00DE6EF4"/>
    <w:rsid w:val="00DE7708"/>
    <w:rsid w:val="00DE7754"/>
    <w:rsid w:val="00DE7B50"/>
    <w:rsid w:val="00DF0571"/>
    <w:rsid w:val="00DF0682"/>
    <w:rsid w:val="00DF1ECC"/>
    <w:rsid w:val="00DF1F99"/>
    <w:rsid w:val="00DF29D0"/>
    <w:rsid w:val="00DF2A68"/>
    <w:rsid w:val="00DF2B0A"/>
    <w:rsid w:val="00DF3472"/>
    <w:rsid w:val="00DF34EE"/>
    <w:rsid w:val="00DF3C97"/>
    <w:rsid w:val="00DF4004"/>
    <w:rsid w:val="00DF454A"/>
    <w:rsid w:val="00DF4699"/>
    <w:rsid w:val="00DF4993"/>
    <w:rsid w:val="00DF4A98"/>
    <w:rsid w:val="00DF53A4"/>
    <w:rsid w:val="00DF55C3"/>
    <w:rsid w:val="00DF5730"/>
    <w:rsid w:val="00DF6247"/>
    <w:rsid w:val="00DF6507"/>
    <w:rsid w:val="00DF659E"/>
    <w:rsid w:val="00DF66FF"/>
    <w:rsid w:val="00DF6790"/>
    <w:rsid w:val="00E00447"/>
    <w:rsid w:val="00E005B0"/>
    <w:rsid w:val="00E00F56"/>
    <w:rsid w:val="00E00F7F"/>
    <w:rsid w:val="00E0147B"/>
    <w:rsid w:val="00E01AE9"/>
    <w:rsid w:val="00E0239C"/>
    <w:rsid w:val="00E02888"/>
    <w:rsid w:val="00E02A69"/>
    <w:rsid w:val="00E02B71"/>
    <w:rsid w:val="00E03246"/>
    <w:rsid w:val="00E045DE"/>
    <w:rsid w:val="00E04785"/>
    <w:rsid w:val="00E04993"/>
    <w:rsid w:val="00E05B78"/>
    <w:rsid w:val="00E07FAF"/>
    <w:rsid w:val="00E103AB"/>
    <w:rsid w:val="00E10638"/>
    <w:rsid w:val="00E10ACD"/>
    <w:rsid w:val="00E11D4C"/>
    <w:rsid w:val="00E11DB0"/>
    <w:rsid w:val="00E11F4F"/>
    <w:rsid w:val="00E121AB"/>
    <w:rsid w:val="00E122CB"/>
    <w:rsid w:val="00E1277C"/>
    <w:rsid w:val="00E13018"/>
    <w:rsid w:val="00E13434"/>
    <w:rsid w:val="00E13DC9"/>
    <w:rsid w:val="00E14979"/>
    <w:rsid w:val="00E14A6D"/>
    <w:rsid w:val="00E1521E"/>
    <w:rsid w:val="00E153EE"/>
    <w:rsid w:val="00E16BEB"/>
    <w:rsid w:val="00E17D82"/>
    <w:rsid w:val="00E2034D"/>
    <w:rsid w:val="00E20B32"/>
    <w:rsid w:val="00E20BDF"/>
    <w:rsid w:val="00E20D53"/>
    <w:rsid w:val="00E20F7C"/>
    <w:rsid w:val="00E21A85"/>
    <w:rsid w:val="00E21B72"/>
    <w:rsid w:val="00E222B5"/>
    <w:rsid w:val="00E222D1"/>
    <w:rsid w:val="00E22737"/>
    <w:rsid w:val="00E2275E"/>
    <w:rsid w:val="00E22800"/>
    <w:rsid w:val="00E22CBA"/>
    <w:rsid w:val="00E23070"/>
    <w:rsid w:val="00E23687"/>
    <w:rsid w:val="00E2501A"/>
    <w:rsid w:val="00E25478"/>
    <w:rsid w:val="00E25901"/>
    <w:rsid w:val="00E25EF1"/>
    <w:rsid w:val="00E267AB"/>
    <w:rsid w:val="00E26826"/>
    <w:rsid w:val="00E269F0"/>
    <w:rsid w:val="00E26AD5"/>
    <w:rsid w:val="00E27AD2"/>
    <w:rsid w:val="00E301CC"/>
    <w:rsid w:val="00E30A93"/>
    <w:rsid w:val="00E30BDD"/>
    <w:rsid w:val="00E30BE2"/>
    <w:rsid w:val="00E3106B"/>
    <w:rsid w:val="00E324B1"/>
    <w:rsid w:val="00E33012"/>
    <w:rsid w:val="00E35566"/>
    <w:rsid w:val="00E361B1"/>
    <w:rsid w:val="00E36364"/>
    <w:rsid w:val="00E369A7"/>
    <w:rsid w:val="00E36B36"/>
    <w:rsid w:val="00E36DC4"/>
    <w:rsid w:val="00E3736E"/>
    <w:rsid w:val="00E37A87"/>
    <w:rsid w:val="00E37B70"/>
    <w:rsid w:val="00E405F0"/>
    <w:rsid w:val="00E4061C"/>
    <w:rsid w:val="00E40F96"/>
    <w:rsid w:val="00E41314"/>
    <w:rsid w:val="00E41B6A"/>
    <w:rsid w:val="00E42323"/>
    <w:rsid w:val="00E423EF"/>
    <w:rsid w:val="00E425D9"/>
    <w:rsid w:val="00E4381D"/>
    <w:rsid w:val="00E44196"/>
    <w:rsid w:val="00E44C0B"/>
    <w:rsid w:val="00E44D5D"/>
    <w:rsid w:val="00E45205"/>
    <w:rsid w:val="00E45311"/>
    <w:rsid w:val="00E45AA8"/>
    <w:rsid w:val="00E45B68"/>
    <w:rsid w:val="00E45F72"/>
    <w:rsid w:val="00E45FC6"/>
    <w:rsid w:val="00E46377"/>
    <w:rsid w:val="00E463E1"/>
    <w:rsid w:val="00E4647D"/>
    <w:rsid w:val="00E469C4"/>
    <w:rsid w:val="00E46BDE"/>
    <w:rsid w:val="00E46CD3"/>
    <w:rsid w:val="00E474E5"/>
    <w:rsid w:val="00E5064D"/>
    <w:rsid w:val="00E527B5"/>
    <w:rsid w:val="00E528E8"/>
    <w:rsid w:val="00E52FBF"/>
    <w:rsid w:val="00E53857"/>
    <w:rsid w:val="00E53ED2"/>
    <w:rsid w:val="00E53F4E"/>
    <w:rsid w:val="00E545E3"/>
    <w:rsid w:val="00E54763"/>
    <w:rsid w:val="00E548DE"/>
    <w:rsid w:val="00E54944"/>
    <w:rsid w:val="00E54B31"/>
    <w:rsid w:val="00E54C83"/>
    <w:rsid w:val="00E559A8"/>
    <w:rsid w:val="00E561FE"/>
    <w:rsid w:val="00E567F5"/>
    <w:rsid w:val="00E56D4B"/>
    <w:rsid w:val="00E56D51"/>
    <w:rsid w:val="00E56EE5"/>
    <w:rsid w:val="00E5718F"/>
    <w:rsid w:val="00E57240"/>
    <w:rsid w:val="00E57595"/>
    <w:rsid w:val="00E575CB"/>
    <w:rsid w:val="00E578E5"/>
    <w:rsid w:val="00E60A19"/>
    <w:rsid w:val="00E612A1"/>
    <w:rsid w:val="00E612BC"/>
    <w:rsid w:val="00E612EB"/>
    <w:rsid w:val="00E61D43"/>
    <w:rsid w:val="00E630BD"/>
    <w:rsid w:val="00E631CF"/>
    <w:rsid w:val="00E63461"/>
    <w:rsid w:val="00E63622"/>
    <w:rsid w:val="00E641E3"/>
    <w:rsid w:val="00E645AD"/>
    <w:rsid w:val="00E64C25"/>
    <w:rsid w:val="00E65112"/>
    <w:rsid w:val="00E6563D"/>
    <w:rsid w:val="00E65A37"/>
    <w:rsid w:val="00E65BD3"/>
    <w:rsid w:val="00E66878"/>
    <w:rsid w:val="00E6702D"/>
    <w:rsid w:val="00E671AC"/>
    <w:rsid w:val="00E67434"/>
    <w:rsid w:val="00E67531"/>
    <w:rsid w:val="00E67A1C"/>
    <w:rsid w:val="00E67E23"/>
    <w:rsid w:val="00E71231"/>
    <w:rsid w:val="00E71606"/>
    <w:rsid w:val="00E7175D"/>
    <w:rsid w:val="00E72490"/>
    <w:rsid w:val="00E72804"/>
    <w:rsid w:val="00E72B8E"/>
    <w:rsid w:val="00E73030"/>
    <w:rsid w:val="00E73D92"/>
    <w:rsid w:val="00E73EE4"/>
    <w:rsid w:val="00E74242"/>
    <w:rsid w:val="00E74348"/>
    <w:rsid w:val="00E74AA0"/>
    <w:rsid w:val="00E74DAC"/>
    <w:rsid w:val="00E75198"/>
    <w:rsid w:val="00E751D6"/>
    <w:rsid w:val="00E752DC"/>
    <w:rsid w:val="00E75373"/>
    <w:rsid w:val="00E75408"/>
    <w:rsid w:val="00E7544B"/>
    <w:rsid w:val="00E75635"/>
    <w:rsid w:val="00E75C77"/>
    <w:rsid w:val="00E7627D"/>
    <w:rsid w:val="00E801CA"/>
    <w:rsid w:val="00E809A6"/>
    <w:rsid w:val="00E80A6D"/>
    <w:rsid w:val="00E8115E"/>
    <w:rsid w:val="00E81496"/>
    <w:rsid w:val="00E81DAF"/>
    <w:rsid w:val="00E829BC"/>
    <w:rsid w:val="00E837B6"/>
    <w:rsid w:val="00E83AEB"/>
    <w:rsid w:val="00E8401B"/>
    <w:rsid w:val="00E84460"/>
    <w:rsid w:val="00E84DE6"/>
    <w:rsid w:val="00E84FDA"/>
    <w:rsid w:val="00E8510C"/>
    <w:rsid w:val="00E85A70"/>
    <w:rsid w:val="00E86016"/>
    <w:rsid w:val="00E87574"/>
    <w:rsid w:val="00E904F5"/>
    <w:rsid w:val="00E90763"/>
    <w:rsid w:val="00E909B8"/>
    <w:rsid w:val="00E90B53"/>
    <w:rsid w:val="00E91009"/>
    <w:rsid w:val="00E916D8"/>
    <w:rsid w:val="00E9291B"/>
    <w:rsid w:val="00E92AC1"/>
    <w:rsid w:val="00E93539"/>
    <w:rsid w:val="00E939FA"/>
    <w:rsid w:val="00E9431C"/>
    <w:rsid w:val="00E94584"/>
    <w:rsid w:val="00E94915"/>
    <w:rsid w:val="00E94916"/>
    <w:rsid w:val="00E94A24"/>
    <w:rsid w:val="00E94DD7"/>
    <w:rsid w:val="00E95CAC"/>
    <w:rsid w:val="00E95CDE"/>
    <w:rsid w:val="00E95EC9"/>
    <w:rsid w:val="00E96D69"/>
    <w:rsid w:val="00E97545"/>
    <w:rsid w:val="00EA053B"/>
    <w:rsid w:val="00EA154E"/>
    <w:rsid w:val="00EA227E"/>
    <w:rsid w:val="00EA289D"/>
    <w:rsid w:val="00EA2960"/>
    <w:rsid w:val="00EA30CB"/>
    <w:rsid w:val="00EA376D"/>
    <w:rsid w:val="00EA37EE"/>
    <w:rsid w:val="00EA4217"/>
    <w:rsid w:val="00EA4A30"/>
    <w:rsid w:val="00EA4F1A"/>
    <w:rsid w:val="00EA4FCA"/>
    <w:rsid w:val="00EA4FF4"/>
    <w:rsid w:val="00EA57FB"/>
    <w:rsid w:val="00EA5984"/>
    <w:rsid w:val="00EA5987"/>
    <w:rsid w:val="00EA5A37"/>
    <w:rsid w:val="00EA6E3D"/>
    <w:rsid w:val="00EA6FED"/>
    <w:rsid w:val="00EA7531"/>
    <w:rsid w:val="00EA75BF"/>
    <w:rsid w:val="00EB0519"/>
    <w:rsid w:val="00EB07B0"/>
    <w:rsid w:val="00EB0DA1"/>
    <w:rsid w:val="00EB0E04"/>
    <w:rsid w:val="00EB195C"/>
    <w:rsid w:val="00EB1B8C"/>
    <w:rsid w:val="00EB21AA"/>
    <w:rsid w:val="00EB2796"/>
    <w:rsid w:val="00EB2998"/>
    <w:rsid w:val="00EB2FB6"/>
    <w:rsid w:val="00EB2FCB"/>
    <w:rsid w:val="00EB31B4"/>
    <w:rsid w:val="00EB4359"/>
    <w:rsid w:val="00EB4564"/>
    <w:rsid w:val="00EB4948"/>
    <w:rsid w:val="00EB52A9"/>
    <w:rsid w:val="00EB5617"/>
    <w:rsid w:val="00EB622F"/>
    <w:rsid w:val="00EB6833"/>
    <w:rsid w:val="00EB6D87"/>
    <w:rsid w:val="00EB6D9E"/>
    <w:rsid w:val="00EB6EAA"/>
    <w:rsid w:val="00EB71D3"/>
    <w:rsid w:val="00EB72CC"/>
    <w:rsid w:val="00EB7CD1"/>
    <w:rsid w:val="00EC03FC"/>
    <w:rsid w:val="00EC07FB"/>
    <w:rsid w:val="00EC0846"/>
    <w:rsid w:val="00EC0B78"/>
    <w:rsid w:val="00EC19ED"/>
    <w:rsid w:val="00EC1CB8"/>
    <w:rsid w:val="00EC1D30"/>
    <w:rsid w:val="00EC1ED7"/>
    <w:rsid w:val="00EC200D"/>
    <w:rsid w:val="00EC2329"/>
    <w:rsid w:val="00EC3B50"/>
    <w:rsid w:val="00EC418B"/>
    <w:rsid w:val="00EC467E"/>
    <w:rsid w:val="00EC57EB"/>
    <w:rsid w:val="00EC648E"/>
    <w:rsid w:val="00EC6592"/>
    <w:rsid w:val="00EC6792"/>
    <w:rsid w:val="00EC74ED"/>
    <w:rsid w:val="00ED018A"/>
    <w:rsid w:val="00ED051E"/>
    <w:rsid w:val="00ED07B6"/>
    <w:rsid w:val="00ED0AB9"/>
    <w:rsid w:val="00ED0CDC"/>
    <w:rsid w:val="00ED14A9"/>
    <w:rsid w:val="00ED1ACE"/>
    <w:rsid w:val="00ED1CA7"/>
    <w:rsid w:val="00ED28E3"/>
    <w:rsid w:val="00ED3239"/>
    <w:rsid w:val="00ED3583"/>
    <w:rsid w:val="00ED3AF9"/>
    <w:rsid w:val="00ED3D77"/>
    <w:rsid w:val="00ED3E2D"/>
    <w:rsid w:val="00ED41A5"/>
    <w:rsid w:val="00ED41D3"/>
    <w:rsid w:val="00ED431B"/>
    <w:rsid w:val="00ED544E"/>
    <w:rsid w:val="00ED614F"/>
    <w:rsid w:val="00ED6A28"/>
    <w:rsid w:val="00ED731D"/>
    <w:rsid w:val="00ED75A4"/>
    <w:rsid w:val="00ED7B16"/>
    <w:rsid w:val="00ED7BA4"/>
    <w:rsid w:val="00ED7BF6"/>
    <w:rsid w:val="00EE015E"/>
    <w:rsid w:val="00EE0811"/>
    <w:rsid w:val="00EE1001"/>
    <w:rsid w:val="00EE1180"/>
    <w:rsid w:val="00EE16DE"/>
    <w:rsid w:val="00EE1718"/>
    <w:rsid w:val="00EE2169"/>
    <w:rsid w:val="00EE255A"/>
    <w:rsid w:val="00EE25B8"/>
    <w:rsid w:val="00EE369B"/>
    <w:rsid w:val="00EE3865"/>
    <w:rsid w:val="00EE3B93"/>
    <w:rsid w:val="00EE5F3B"/>
    <w:rsid w:val="00EE63A6"/>
    <w:rsid w:val="00EE6476"/>
    <w:rsid w:val="00EE6EF6"/>
    <w:rsid w:val="00EE6F10"/>
    <w:rsid w:val="00EE7337"/>
    <w:rsid w:val="00EE74C3"/>
    <w:rsid w:val="00EE79EE"/>
    <w:rsid w:val="00EF03F4"/>
    <w:rsid w:val="00EF0AAA"/>
    <w:rsid w:val="00EF0B69"/>
    <w:rsid w:val="00EF0C96"/>
    <w:rsid w:val="00EF0E54"/>
    <w:rsid w:val="00EF165F"/>
    <w:rsid w:val="00EF21BA"/>
    <w:rsid w:val="00EF23A6"/>
    <w:rsid w:val="00EF26FE"/>
    <w:rsid w:val="00EF376E"/>
    <w:rsid w:val="00EF3BCA"/>
    <w:rsid w:val="00EF3C27"/>
    <w:rsid w:val="00EF3F02"/>
    <w:rsid w:val="00EF4DB7"/>
    <w:rsid w:val="00EF58EE"/>
    <w:rsid w:val="00EF5AAB"/>
    <w:rsid w:val="00EF5FDD"/>
    <w:rsid w:val="00EF6F4E"/>
    <w:rsid w:val="00EF7EB7"/>
    <w:rsid w:val="00F00494"/>
    <w:rsid w:val="00F007FF"/>
    <w:rsid w:val="00F00D97"/>
    <w:rsid w:val="00F00E08"/>
    <w:rsid w:val="00F00F3F"/>
    <w:rsid w:val="00F0168A"/>
    <w:rsid w:val="00F01D27"/>
    <w:rsid w:val="00F028E6"/>
    <w:rsid w:val="00F02AAF"/>
    <w:rsid w:val="00F02B20"/>
    <w:rsid w:val="00F02FB2"/>
    <w:rsid w:val="00F03018"/>
    <w:rsid w:val="00F03188"/>
    <w:rsid w:val="00F031A7"/>
    <w:rsid w:val="00F03392"/>
    <w:rsid w:val="00F03576"/>
    <w:rsid w:val="00F03A78"/>
    <w:rsid w:val="00F03AF2"/>
    <w:rsid w:val="00F03EF4"/>
    <w:rsid w:val="00F049F9"/>
    <w:rsid w:val="00F04D0D"/>
    <w:rsid w:val="00F0536D"/>
    <w:rsid w:val="00F05542"/>
    <w:rsid w:val="00F0591F"/>
    <w:rsid w:val="00F05A9E"/>
    <w:rsid w:val="00F06538"/>
    <w:rsid w:val="00F065DD"/>
    <w:rsid w:val="00F06BE3"/>
    <w:rsid w:val="00F0741B"/>
    <w:rsid w:val="00F075A0"/>
    <w:rsid w:val="00F07DF8"/>
    <w:rsid w:val="00F104A8"/>
    <w:rsid w:val="00F1097C"/>
    <w:rsid w:val="00F10A8D"/>
    <w:rsid w:val="00F10EE0"/>
    <w:rsid w:val="00F1146B"/>
    <w:rsid w:val="00F11DD0"/>
    <w:rsid w:val="00F11E0F"/>
    <w:rsid w:val="00F12AF9"/>
    <w:rsid w:val="00F1305F"/>
    <w:rsid w:val="00F13BA9"/>
    <w:rsid w:val="00F13D30"/>
    <w:rsid w:val="00F13E42"/>
    <w:rsid w:val="00F14228"/>
    <w:rsid w:val="00F14295"/>
    <w:rsid w:val="00F1440B"/>
    <w:rsid w:val="00F1468E"/>
    <w:rsid w:val="00F14FD8"/>
    <w:rsid w:val="00F15057"/>
    <w:rsid w:val="00F159E8"/>
    <w:rsid w:val="00F160DA"/>
    <w:rsid w:val="00F16473"/>
    <w:rsid w:val="00F16A78"/>
    <w:rsid w:val="00F171B7"/>
    <w:rsid w:val="00F1752C"/>
    <w:rsid w:val="00F206DC"/>
    <w:rsid w:val="00F207B9"/>
    <w:rsid w:val="00F20A52"/>
    <w:rsid w:val="00F20EE6"/>
    <w:rsid w:val="00F210A3"/>
    <w:rsid w:val="00F2156D"/>
    <w:rsid w:val="00F21B77"/>
    <w:rsid w:val="00F22312"/>
    <w:rsid w:val="00F223F6"/>
    <w:rsid w:val="00F22B41"/>
    <w:rsid w:val="00F22D19"/>
    <w:rsid w:val="00F23BB3"/>
    <w:rsid w:val="00F23D65"/>
    <w:rsid w:val="00F23DAF"/>
    <w:rsid w:val="00F24ECF"/>
    <w:rsid w:val="00F25B0D"/>
    <w:rsid w:val="00F25EF6"/>
    <w:rsid w:val="00F26B3C"/>
    <w:rsid w:val="00F26FB2"/>
    <w:rsid w:val="00F26FEF"/>
    <w:rsid w:val="00F278AB"/>
    <w:rsid w:val="00F305F4"/>
    <w:rsid w:val="00F30BE2"/>
    <w:rsid w:val="00F312F4"/>
    <w:rsid w:val="00F318EF"/>
    <w:rsid w:val="00F32B3B"/>
    <w:rsid w:val="00F3343C"/>
    <w:rsid w:val="00F33471"/>
    <w:rsid w:val="00F33AD9"/>
    <w:rsid w:val="00F33EEC"/>
    <w:rsid w:val="00F3490A"/>
    <w:rsid w:val="00F3493B"/>
    <w:rsid w:val="00F34DFC"/>
    <w:rsid w:val="00F358FA"/>
    <w:rsid w:val="00F35D6A"/>
    <w:rsid w:val="00F3627E"/>
    <w:rsid w:val="00F363C1"/>
    <w:rsid w:val="00F367ED"/>
    <w:rsid w:val="00F367F2"/>
    <w:rsid w:val="00F36962"/>
    <w:rsid w:val="00F36D35"/>
    <w:rsid w:val="00F374AB"/>
    <w:rsid w:val="00F37551"/>
    <w:rsid w:val="00F3756F"/>
    <w:rsid w:val="00F403BE"/>
    <w:rsid w:val="00F40B0A"/>
    <w:rsid w:val="00F41CBB"/>
    <w:rsid w:val="00F4210F"/>
    <w:rsid w:val="00F421A1"/>
    <w:rsid w:val="00F42DC6"/>
    <w:rsid w:val="00F43592"/>
    <w:rsid w:val="00F435F4"/>
    <w:rsid w:val="00F44236"/>
    <w:rsid w:val="00F4453F"/>
    <w:rsid w:val="00F456CF"/>
    <w:rsid w:val="00F46C97"/>
    <w:rsid w:val="00F4789D"/>
    <w:rsid w:val="00F47A37"/>
    <w:rsid w:val="00F47A72"/>
    <w:rsid w:val="00F50237"/>
    <w:rsid w:val="00F5029C"/>
    <w:rsid w:val="00F519BE"/>
    <w:rsid w:val="00F51FA6"/>
    <w:rsid w:val="00F52408"/>
    <w:rsid w:val="00F52505"/>
    <w:rsid w:val="00F53456"/>
    <w:rsid w:val="00F538A4"/>
    <w:rsid w:val="00F53994"/>
    <w:rsid w:val="00F53F83"/>
    <w:rsid w:val="00F5439F"/>
    <w:rsid w:val="00F54581"/>
    <w:rsid w:val="00F54A1A"/>
    <w:rsid w:val="00F54AC0"/>
    <w:rsid w:val="00F54F5B"/>
    <w:rsid w:val="00F55629"/>
    <w:rsid w:val="00F5609C"/>
    <w:rsid w:val="00F565F4"/>
    <w:rsid w:val="00F56BD4"/>
    <w:rsid w:val="00F56FA1"/>
    <w:rsid w:val="00F57540"/>
    <w:rsid w:val="00F60809"/>
    <w:rsid w:val="00F615F5"/>
    <w:rsid w:val="00F6176F"/>
    <w:rsid w:val="00F61918"/>
    <w:rsid w:val="00F62074"/>
    <w:rsid w:val="00F62601"/>
    <w:rsid w:val="00F62610"/>
    <w:rsid w:val="00F62C5D"/>
    <w:rsid w:val="00F62EA0"/>
    <w:rsid w:val="00F62F8B"/>
    <w:rsid w:val="00F630EA"/>
    <w:rsid w:val="00F630FB"/>
    <w:rsid w:val="00F640F1"/>
    <w:rsid w:val="00F6495B"/>
    <w:rsid w:val="00F65637"/>
    <w:rsid w:val="00F65865"/>
    <w:rsid w:val="00F65C23"/>
    <w:rsid w:val="00F663DB"/>
    <w:rsid w:val="00F668CB"/>
    <w:rsid w:val="00F67037"/>
    <w:rsid w:val="00F67C48"/>
    <w:rsid w:val="00F70D9D"/>
    <w:rsid w:val="00F716E2"/>
    <w:rsid w:val="00F71B9C"/>
    <w:rsid w:val="00F73843"/>
    <w:rsid w:val="00F7386E"/>
    <w:rsid w:val="00F738B8"/>
    <w:rsid w:val="00F73A84"/>
    <w:rsid w:val="00F74503"/>
    <w:rsid w:val="00F74805"/>
    <w:rsid w:val="00F748E9"/>
    <w:rsid w:val="00F74DAC"/>
    <w:rsid w:val="00F74E77"/>
    <w:rsid w:val="00F75053"/>
    <w:rsid w:val="00F75752"/>
    <w:rsid w:val="00F76661"/>
    <w:rsid w:val="00F7673C"/>
    <w:rsid w:val="00F7680E"/>
    <w:rsid w:val="00F76A06"/>
    <w:rsid w:val="00F76D36"/>
    <w:rsid w:val="00F770CE"/>
    <w:rsid w:val="00F77316"/>
    <w:rsid w:val="00F77636"/>
    <w:rsid w:val="00F77A3B"/>
    <w:rsid w:val="00F803B3"/>
    <w:rsid w:val="00F80681"/>
    <w:rsid w:val="00F809BE"/>
    <w:rsid w:val="00F80E07"/>
    <w:rsid w:val="00F81354"/>
    <w:rsid w:val="00F82963"/>
    <w:rsid w:val="00F82CE8"/>
    <w:rsid w:val="00F83C4E"/>
    <w:rsid w:val="00F844AC"/>
    <w:rsid w:val="00F84A0B"/>
    <w:rsid w:val="00F85099"/>
    <w:rsid w:val="00F854F9"/>
    <w:rsid w:val="00F86286"/>
    <w:rsid w:val="00F86409"/>
    <w:rsid w:val="00F8672B"/>
    <w:rsid w:val="00F86779"/>
    <w:rsid w:val="00F86A43"/>
    <w:rsid w:val="00F86F76"/>
    <w:rsid w:val="00F8747E"/>
    <w:rsid w:val="00F8755F"/>
    <w:rsid w:val="00F87CCE"/>
    <w:rsid w:val="00F905B8"/>
    <w:rsid w:val="00F90C4F"/>
    <w:rsid w:val="00F90D7A"/>
    <w:rsid w:val="00F91397"/>
    <w:rsid w:val="00F916E2"/>
    <w:rsid w:val="00F917F5"/>
    <w:rsid w:val="00F91B06"/>
    <w:rsid w:val="00F92761"/>
    <w:rsid w:val="00F92A8C"/>
    <w:rsid w:val="00F93567"/>
    <w:rsid w:val="00F937C9"/>
    <w:rsid w:val="00F93F94"/>
    <w:rsid w:val="00F9479B"/>
    <w:rsid w:val="00F94CCD"/>
    <w:rsid w:val="00F9588E"/>
    <w:rsid w:val="00F96017"/>
    <w:rsid w:val="00F972D4"/>
    <w:rsid w:val="00F97677"/>
    <w:rsid w:val="00F977C6"/>
    <w:rsid w:val="00F97852"/>
    <w:rsid w:val="00FA070B"/>
    <w:rsid w:val="00FA0845"/>
    <w:rsid w:val="00FA0B43"/>
    <w:rsid w:val="00FA1105"/>
    <w:rsid w:val="00FA19CA"/>
    <w:rsid w:val="00FA1B49"/>
    <w:rsid w:val="00FA1C87"/>
    <w:rsid w:val="00FA1F12"/>
    <w:rsid w:val="00FA21A4"/>
    <w:rsid w:val="00FA222C"/>
    <w:rsid w:val="00FA22F8"/>
    <w:rsid w:val="00FA25A6"/>
    <w:rsid w:val="00FA3289"/>
    <w:rsid w:val="00FA355F"/>
    <w:rsid w:val="00FA3BEC"/>
    <w:rsid w:val="00FA43DA"/>
    <w:rsid w:val="00FA5625"/>
    <w:rsid w:val="00FA6843"/>
    <w:rsid w:val="00FA69C8"/>
    <w:rsid w:val="00FA6AC4"/>
    <w:rsid w:val="00FA6E11"/>
    <w:rsid w:val="00FA738D"/>
    <w:rsid w:val="00FA7AD8"/>
    <w:rsid w:val="00FB108E"/>
    <w:rsid w:val="00FB18E7"/>
    <w:rsid w:val="00FB243E"/>
    <w:rsid w:val="00FB2694"/>
    <w:rsid w:val="00FB271F"/>
    <w:rsid w:val="00FB380C"/>
    <w:rsid w:val="00FB43DD"/>
    <w:rsid w:val="00FB449D"/>
    <w:rsid w:val="00FB455C"/>
    <w:rsid w:val="00FB474E"/>
    <w:rsid w:val="00FB4C17"/>
    <w:rsid w:val="00FB4E75"/>
    <w:rsid w:val="00FB5003"/>
    <w:rsid w:val="00FB5A01"/>
    <w:rsid w:val="00FB6628"/>
    <w:rsid w:val="00FB6C1E"/>
    <w:rsid w:val="00FB70CF"/>
    <w:rsid w:val="00FB7C4C"/>
    <w:rsid w:val="00FC020B"/>
    <w:rsid w:val="00FC0A18"/>
    <w:rsid w:val="00FC0FB8"/>
    <w:rsid w:val="00FC1F5A"/>
    <w:rsid w:val="00FC2149"/>
    <w:rsid w:val="00FC2662"/>
    <w:rsid w:val="00FC26A0"/>
    <w:rsid w:val="00FC2872"/>
    <w:rsid w:val="00FC46E9"/>
    <w:rsid w:val="00FC48FB"/>
    <w:rsid w:val="00FC4AD3"/>
    <w:rsid w:val="00FC4BBE"/>
    <w:rsid w:val="00FC4C4B"/>
    <w:rsid w:val="00FC52E9"/>
    <w:rsid w:val="00FC54B6"/>
    <w:rsid w:val="00FC5700"/>
    <w:rsid w:val="00FC5EF3"/>
    <w:rsid w:val="00FC6AD3"/>
    <w:rsid w:val="00FC6FD5"/>
    <w:rsid w:val="00FC6FF4"/>
    <w:rsid w:val="00FC729D"/>
    <w:rsid w:val="00FC7A27"/>
    <w:rsid w:val="00FC7B69"/>
    <w:rsid w:val="00FC7ECB"/>
    <w:rsid w:val="00FD11C5"/>
    <w:rsid w:val="00FD12B3"/>
    <w:rsid w:val="00FD1636"/>
    <w:rsid w:val="00FD19AD"/>
    <w:rsid w:val="00FD20D0"/>
    <w:rsid w:val="00FD21AA"/>
    <w:rsid w:val="00FD2206"/>
    <w:rsid w:val="00FD239B"/>
    <w:rsid w:val="00FD34EE"/>
    <w:rsid w:val="00FD3D44"/>
    <w:rsid w:val="00FD4028"/>
    <w:rsid w:val="00FD4378"/>
    <w:rsid w:val="00FD6AA3"/>
    <w:rsid w:val="00FD7078"/>
    <w:rsid w:val="00FD74CB"/>
    <w:rsid w:val="00FD7763"/>
    <w:rsid w:val="00FD7A29"/>
    <w:rsid w:val="00FE0490"/>
    <w:rsid w:val="00FE09A1"/>
    <w:rsid w:val="00FE09A9"/>
    <w:rsid w:val="00FE2154"/>
    <w:rsid w:val="00FE277C"/>
    <w:rsid w:val="00FE2B7E"/>
    <w:rsid w:val="00FE33C7"/>
    <w:rsid w:val="00FE3660"/>
    <w:rsid w:val="00FE3C41"/>
    <w:rsid w:val="00FE4439"/>
    <w:rsid w:val="00FE4563"/>
    <w:rsid w:val="00FE4641"/>
    <w:rsid w:val="00FE4F6A"/>
    <w:rsid w:val="00FE5B83"/>
    <w:rsid w:val="00FE5C47"/>
    <w:rsid w:val="00FE6FCF"/>
    <w:rsid w:val="00FE71B8"/>
    <w:rsid w:val="00FE71B9"/>
    <w:rsid w:val="00FE7216"/>
    <w:rsid w:val="00FE750A"/>
    <w:rsid w:val="00FE7935"/>
    <w:rsid w:val="00FE7ADE"/>
    <w:rsid w:val="00FF05E2"/>
    <w:rsid w:val="00FF24C6"/>
    <w:rsid w:val="00FF2A6F"/>
    <w:rsid w:val="00FF2DFB"/>
    <w:rsid w:val="00FF2F2A"/>
    <w:rsid w:val="00FF3070"/>
    <w:rsid w:val="00FF3085"/>
    <w:rsid w:val="00FF3B64"/>
    <w:rsid w:val="00FF4133"/>
    <w:rsid w:val="00FF4A3C"/>
    <w:rsid w:val="00FF4B83"/>
    <w:rsid w:val="00FF4E0D"/>
    <w:rsid w:val="00FF53A8"/>
    <w:rsid w:val="00FF591A"/>
    <w:rsid w:val="00FF5AE0"/>
    <w:rsid w:val="00FF5E09"/>
    <w:rsid w:val="00FF630E"/>
    <w:rsid w:val="00FF6F60"/>
    <w:rsid w:val="00FF71BE"/>
    <w:rsid w:val="00FF7564"/>
    <w:rsid w:val="00FF766C"/>
    <w:rsid w:val="0140FE5C"/>
    <w:rsid w:val="01D637BF"/>
    <w:rsid w:val="020A1802"/>
    <w:rsid w:val="03CEA22A"/>
    <w:rsid w:val="03E5D326"/>
    <w:rsid w:val="0427BC4E"/>
    <w:rsid w:val="04851A52"/>
    <w:rsid w:val="048F03A3"/>
    <w:rsid w:val="0553D187"/>
    <w:rsid w:val="055BECFC"/>
    <w:rsid w:val="058C1386"/>
    <w:rsid w:val="060637DE"/>
    <w:rsid w:val="061ACABA"/>
    <w:rsid w:val="066D656C"/>
    <w:rsid w:val="07739A88"/>
    <w:rsid w:val="0792F570"/>
    <w:rsid w:val="08310310"/>
    <w:rsid w:val="08C74713"/>
    <w:rsid w:val="09AFD872"/>
    <w:rsid w:val="09BE4AAB"/>
    <w:rsid w:val="0A91E7BB"/>
    <w:rsid w:val="0B5292BF"/>
    <w:rsid w:val="0B9A5FD3"/>
    <w:rsid w:val="0C5EAA95"/>
    <w:rsid w:val="0C843441"/>
    <w:rsid w:val="0CFAFBD0"/>
    <w:rsid w:val="0EC8344B"/>
    <w:rsid w:val="0EDCB57D"/>
    <w:rsid w:val="0F138170"/>
    <w:rsid w:val="1040B7B8"/>
    <w:rsid w:val="108E38F6"/>
    <w:rsid w:val="10915092"/>
    <w:rsid w:val="10BA972F"/>
    <w:rsid w:val="11B76BE2"/>
    <w:rsid w:val="1233CA86"/>
    <w:rsid w:val="129570F1"/>
    <w:rsid w:val="129CE672"/>
    <w:rsid w:val="13032349"/>
    <w:rsid w:val="139654EA"/>
    <w:rsid w:val="14450E3B"/>
    <w:rsid w:val="144D92F9"/>
    <w:rsid w:val="14562EEF"/>
    <w:rsid w:val="158AE6E0"/>
    <w:rsid w:val="1627DEE8"/>
    <w:rsid w:val="162E8C9D"/>
    <w:rsid w:val="162EADA4"/>
    <w:rsid w:val="180A1147"/>
    <w:rsid w:val="192EBCB7"/>
    <w:rsid w:val="195CED8D"/>
    <w:rsid w:val="1971B2A6"/>
    <w:rsid w:val="1A724F05"/>
    <w:rsid w:val="1B2BBC42"/>
    <w:rsid w:val="1C547814"/>
    <w:rsid w:val="1D67BDD8"/>
    <w:rsid w:val="1D7DE5D0"/>
    <w:rsid w:val="1DAAFD13"/>
    <w:rsid w:val="1E4652A1"/>
    <w:rsid w:val="1F2A4021"/>
    <w:rsid w:val="1F4813FF"/>
    <w:rsid w:val="1F5DF49F"/>
    <w:rsid w:val="212B43D9"/>
    <w:rsid w:val="22B9F450"/>
    <w:rsid w:val="241424A3"/>
    <w:rsid w:val="24463051"/>
    <w:rsid w:val="24F65C84"/>
    <w:rsid w:val="253B41E7"/>
    <w:rsid w:val="267AA6CA"/>
    <w:rsid w:val="26CB7D14"/>
    <w:rsid w:val="2782870B"/>
    <w:rsid w:val="280A6A66"/>
    <w:rsid w:val="2816F560"/>
    <w:rsid w:val="2C4254B8"/>
    <w:rsid w:val="2E593960"/>
    <w:rsid w:val="2EE1B632"/>
    <w:rsid w:val="2FA11A00"/>
    <w:rsid w:val="300D5F43"/>
    <w:rsid w:val="3032A135"/>
    <w:rsid w:val="30FB14F6"/>
    <w:rsid w:val="3112C721"/>
    <w:rsid w:val="315E94CB"/>
    <w:rsid w:val="317F328B"/>
    <w:rsid w:val="31B1684D"/>
    <w:rsid w:val="3323E834"/>
    <w:rsid w:val="332FCFE6"/>
    <w:rsid w:val="349A73BC"/>
    <w:rsid w:val="34CAF6C0"/>
    <w:rsid w:val="3556402E"/>
    <w:rsid w:val="35732DF4"/>
    <w:rsid w:val="3645A722"/>
    <w:rsid w:val="37094643"/>
    <w:rsid w:val="377D9066"/>
    <w:rsid w:val="39523D89"/>
    <w:rsid w:val="39992A19"/>
    <w:rsid w:val="3A978870"/>
    <w:rsid w:val="3B12E30C"/>
    <w:rsid w:val="3B23DEF8"/>
    <w:rsid w:val="3C0D7A51"/>
    <w:rsid w:val="3C3C581C"/>
    <w:rsid w:val="3C42B3E7"/>
    <w:rsid w:val="3C6CF1D8"/>
    <w:rsid w:val="3CA0BB5C"/>
    <w:rsid w:val="3CEC82AC"/>
    <w:rsid w:val="3D74FDFA"/>
    <w:rsid w:val="3D7EF658"/>
    <w:rsid w:val="3D892BF7"/>
    <w:rsid w:val="3D8BED1B"/>
    <w:rsid w:val="3D8EA396"/>
    <w:rsid w:val="3DE7DF71"/>
    <w:rsid w:val="3E444156"/>
    <w:rsid w:val="3E4DC656"/>
    <w:rsid w:val="3E5CECD9"/>
    <w:rsid w:val="3EACC2C2"/>
    <w:rsid w:val="3EC7D848"/>
    <w:rsid w:val="3EFBF5F3"/>
    <w:rsid w:val="3FE78C69"/>
    <w:rsid w:val="407191BC"/>
    <w:rsid w:val="40821620"/>
    <w:rsid w:val="41349DD6"/>
    <w:rsid w:val="414955E7"/>
    <w:rsid w:val="417F8226"/>
    <w:rsid w:val="41E4E59F"/>
    <w:rsid w:val="422B8A8E"/>
    <w:rsid w:val="42ED4F3E"/>
    <w:rsid w:val="43767A76"/>
    <w:rsid w:val="4397BE3B"/>
    <w:rsid w:val="43A07D8F"/>
    <w:rsid w:val="452BB94B"/>
    <w:rsid w:val="45C26A79"/>
    <w:rsid w:val="47094D08"/>
    <w:rsid w:val="47439315"/>
    <w:rsid w:val="4866E763"/>
    <w:rsid w:val="488F99C8"/>
    <w:rsid w:val="4A0AC8D4"/>
    <w:rsid w:val="4A4C79AD"/>
    <w:rsid w:val="4C146B90"/>
    <w:rsid w:val="4C547095"/>
    <w:rsid w:val="4C9F8B52"/>
    <w:rsid w:val="4D29A072"/>
    <w:rsid w:val="4D30818D"/>
    <w:rsid w:val="4E3C5104"/>
    <w:rsid w:val="4E85B6EC"/>
    <w:rsid w:val="4EDFDEA9"/>
    <w:rsid w:val="4F1FCAF9"/>
    <w:rsid w:val="502026C0"/>
    <w:rsid w:val="506F125D"/>
    <w:rsid w:val="50B6FD24"/>
    <w:rsid w:val="50CAD5B4"/>
    <w:rsid w:val="5228E632"/>
    <w:rsid w:val="530EE755"/>
    <w:rsid w:val="532FC8DE"/>
    <w:rsid w:val="5336A085"/>
    <w:rsid w:val="5341D06B"/>
    <w:rsid w:val="53ED7EAD"/>
    <w:rsid w:val="53F51359"/>
    <w:rsid w:val="54AAEDC7"/>
    <w:rsid w:val="54E3B434"/>
    <w:rsid w:val="5518139B"/>
    <w:rsid w:val="55B56C80"/>
    <w:rsid w:val="55C6A012"/>
    <w:rsid w:val="562AA40D"/>
    <w:rsid w:val="56FA202C"/>
    <w:rsid w:val="5780741D"/>
    <w:rsid w:val="57E190A5"/>
    <w:rsid w:val="58304C92"/>
    <w:rsid w:val="590E4593"/>
    <w:rsid w:val="59A3B6F9"/>
    <w:rsid w:val="59E4748D"/>
    <w:rsid w:val="5A0DE6B7"/>
    <w:rsid w:val="5A7BB9EB"/>
    <w:rsid w:val="5AD5CDA1"/>
    <w:rsid w:val="5B539356"/>
    <w:rsid w:val="5B6B0E19"/>
    <w:rsid w:val="5C7E3202"/>
    <w:rsid w:val="5D3B7CF5"/>
    <w:rsid w:val="5D458A6F"/>
    <w:rsid w:val="5D8E3C03"/>
    <w:rsid w:val="5DECF004"/>
    <w:rsid w:val="5DF7D440"/>
    <w:rsid w:val="5E43E428"/>
    <w:rsid w:val="5F0FC98C"/>
    <w:rsid w:val="615B2B6A"/>
    <w:rsid w:val="61697EB6"/>
    <w:rsid w:val="623AD7B8"/>
    <w:rsid w:val="62570BDF"/>
    <w:rsid w:val="6351200B"/>
    <w:rsid w:val="64AD30B5"/>
    <w:rsid w:val="65B42F16"/>
    <w:rsid w:val="6667B9DC"/>
    <w:rsid w:val="679933FC"/>
    <w:rsid w:val="68DE4CE3"/>
    <w:rsid w:val="697FCE06"/>
    <w:rsid w:val="6A873AEE"/>
    <w:rsid w:val="6D2546D7"/>
    <w:rsid w:val="6E32CF1E"/>
    <w:rsid w:val="6E555929"/>
    <w:rsid w:val="6E883117"/>
    <w:rsid w:val="6EFD1765"/>
    <w:rsid w:val="6FC54988"/>
    <w:rsid w:val="7038B36B"/>
    <w:rsid w:val="70A44599"/>
    <w:rsid w:val="714E4C00"/>
    <w:rsid w:val="71799C31"/>
    <w:rsid w:val="7210E48A"/>
    <w:rsid w:val="72D6196D"/>
    <w:rsid w:val="73402C24"/>
    <w:rsid w:val="73FF39D0"/>
    <w:rsid w:val="74302EF1"/>
    <w:rsid w:val="7574DFF4"/>
    <w:rsid w:val="758B020A"/>
    <w:rsid w:val="765E751E"/>
    <w:rsid w:val="7690E9C1"/>
    <w:rsid w:val="76AE09BD"/>
    <w:rsid w:val="76EA7A2A"/>
    <w:rsid w:val="774600F9"/>
    <w:rsid w:val="778D9E90"/>
    <w:rsid w:val="779F4C09"/>
    <w:rsid w:val="77D47C82"/>
    <w:rsid w:val="77F8A7DF"/>
    <w:rsid w:val="785C1370"/>
    <w:rsid w:val="7890DC10"/>
    <w:rsid w:val="794C6CC5"/>
    <w:rsid w:val="794EF8A5"/>
    <w:rsid w:val="79750CFF"/>
    <w:rsid w:val="7978EFA9"/>
    <w:rsid w:val="797E43C4"/>
    <w:rsid w:val="7A080B9B"/>
    <w:rsid w:val="7A179507"/>
    <w:rsid w:val="7A410224"/>
    <w:rsid w:val="7A970734"/>
    <w:rsid w:val="7AD9E235"/>
    <w:rsid w:val="7B5C4C49"/>
    <w:rsid w:val="7BC51FA2"/>
    <w:rsid w:val="7C952CDB"/>
    <w:rsid w:val="7D219FAA"/>
    <w:rsid w:val="7D738C88"/>
    <w:rsid w:val="7D96ACFB"/>
    <w:rsid w:val="7E253FA8"/>
    <w:rsid w:val="7E6F3870"/>
    <w:rsid w:val="7EC6C5AF"/>
    <w:rsid w:val="7ECDE059"/>
    <w:rsid w:val="7EDAE188"/>
    <w:rsid w:val="7EE9BBCB"/>
    <w:rsid w:val="7F978D47"/>
    <w:rsid w:val="7FFBD4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FC4F5"/>
  <w15:chartTrackingRefBased/>
  <w15:docId w15:val="{70A79770-A59E-41B7-9C9B-B66D4C5F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426"/>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unhideWhenUsed/>
    <w:qFormat/>
    <w:rsid w:val="008668C5"/>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unhideWhenUsed/>
    <w:qFormat/>
    <w:rsid w:val="00541B22"/>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next w:val="Normal"/>
    <w:link w:val="Heading4Char"/>
    <w:uiPriority w:val="9"/>
    <w:semiHidden/>
    <w:unhideWhenUsed/>
    <w:qFormat/>
    <w:rsid w:val="001E02E2"/>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386"/>
    <w:pPr>
      <w:spacing w:after="160" w:line="259"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39"/>
    <w:rsid w:val="00366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21748"/>
    <w:rPr>
      <w:b/>
      <w:bCs/>
    </w:rPr>
  </w:style>
  <w:style w:type="paragraph" w:styleId="NormalWeb">
    <w:name w:val="Normal (Web)"/>
    <w:basedOn w:val="Normal"/>
    <w:uiPriority w:val="99"/>
    <w:unhideWhenUsed/>
    <w:rsid w:val="00046A38"/>
    <w:pPr>
      <w:spacing w:after="160" w:line="259" w:lineRule="auto"/>
    </w:pPr>
    <w:rPr>
      <w:rFonts w:eastAsiaTheme="minorHAnsi"/>
      <w:lang w:eastAsia="en-US"/>
    </w:rPr>
  </w:style>
  <w:style w:type="character" w:customStyle="1" w:styleId="Heading2Char">
    <w:name w:val="Heading 2 Char"/>
    <w:basedOn w:val="DefaultParagraphFont"/>
    <w:link w:val="Heading2"/>
    <w:uiPriority w:val="9"/>
    <w:rsid w:val="008668C5"/>
    <w:rPr>
      <w:rFonts w:asciiTheme="majorHAnsi" w:eastAsiaTheme="majorEastAsia" w:hAnsiTheme="majorHAnsi" w:cstheme="majorBidi"/>
      <w:color w:val="2F5496" w:themeColor="accent1" w:themeShade="BF"/>
      <w:sz w:val="26"/>
      <w:szCs w:val="26"/>
    </w:rPr>
  </w:style>
  <w:style w:type="table" w:customStyle="1" w:styleId="TableGrid1">
    <w:name w:val="Table Grid1"/>
    <w:basedOn w:val="TableNormal"/>
    <w:next w:val="TableGrid"/>
    <w:uiPriority w:val="39"/>
    <w:rsid w:val="008668C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1E02E2"/>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541B22"/>
    <w:rPr>
      <w:rFonts w:asciiTheme="majorHAnsi" w:eastAsiaTheme="majorEastAsia" w:hAnsiTheme="majorHAnsi" w:cstheme="majorBidi"/>
      <w:color w:val="1F3763" w:themeColor="accent1" w:themeShade="7F"/>
      <w:sz w:val="24"/>
      <w:szCs w:val="24"/>
    </w:rPr>
  </w:style>
  <w:style w:type="table" w:customStyle="1" w:styleId="TableGrid2">
    <w:name w:val="Table Grid2"/>
    <w:basedOn w:val="TableNormal"/>
    <w:next w:val="TableGrid"/>
    <w:uiPriority w:val="39"/>
    <w:rsid w:val="005F663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0609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15C1D"/>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C15C1D"/>
    <w:rPr>
      <w:sz w:val="20"/>
      <w:szCs w:val="20"/>
    </w:rPr>
  </w:style>
  <w:style w:type="character" w:styleId="FootnoteReference">
    <w:name w:val="footnote reference"/>
    <w:basedOn w:val="DefaultParagraphFont"/>
    <w:uiPriority w:val="99"/>
    <w:semiHidden/>
    <w:unhideWhenUsed/>
    <w:rsid w:val="00C15C1D"/>
    <w:rPr>
      <w:vertAlign w:val="superscript"/>
    </w:rPr>
  </w:style>
  <w:style w:type="character" w:customStyle="1" w:styleId="Hyperlink1">
    <w:name w:val="Hyperlink1"/>
    <w:basedOn w:val="DefaultParagraphFont"/>
    <w:uiPriority w:val="99"/>
    <w:unhideWhenUsed/>
    <w:rsid w:val="00054DC8"/>
    <w:rPr>
      <w:rFonts w:ascii="Calibri" w:hAnsi="Calibri" w:hint="default"/>
      <w:b w:val="0"/>
      <w:bCs w:val="0"/>
      <w:strike w:val="0"/>
      <w:dstrike w:val="0"/>
      <w:color w:val="3333FF"/>
      <w:sz w:val="22"/>
      <w:szCs w:val="18"/>
      <w:u w:val="single"/>
      <w:effect w:val="none"/>
    </w:rPr>
  </w:style>
  <w:style w:type="character" w:styleId="Hyperlink">
    <w:name w:val="Hyperlink"/>
    <w:basedOn w:val="DefaultParagraphFont"/>
    <w:uiPriority w:val="99"/>
    <w:unhideWhenUsed/>
    <w:rsid w:val="00305762"/>
    <w:rPr>
      <w:color w:val="0000FF"/>
      <w:u w:val="single"/>
    </w:rPr>
  </w:style>
  <w:style w:type="table" w:customStyle="1" w:styleId="TableGrid4">
    <w:name w:val="Table Grid4"/>
    <w:basedOn w:val="TableNormal"/>
    <w:next w:val="TableGrid"/>
    <w:rsid w:val="00117C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F6C5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F6C5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F6C5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5F6C5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5F6C5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5F6C5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C26A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FC26A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FC26A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FC26A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FC26A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FC26A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F86A43"/>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D51D3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433C"/>
    <w:rPr>
      <w:sz w:val="16"/>
      <w:szCs w:val="16"/>
    </w:rPr>
  </w:style>
  <w:style w:type="paragraph" w:styleId="CommentText">
    <w:name w:val="annotation text"/>
    <w:basedOn w:val="Normal"/>
    <w:link w:val="CommentTextChar"/>
    <w:uiPriority w:val="99"/>
    <w:unhideWhenUsed/>
    <w:rsid w:val="005D433C"/>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5D433C"/>
    <w:rPr>
      <w:sz w:val="20"/>
      <w:szCs w:val="20"/>
    </w:rPr>
  </w:style>
  <w:style w:type="paragraph" w:styleId="CommentSubject">
    <w:name w:val="annotation subject"/>
    <w:basedOn w:val="CommentText"/>
    <w:next w:val="CommentText"/>
    <w:link w:val="CommentSubjectChar"/>
    <w:uiPriority w:val="99"/>
    <w:semiHidden/>
    <w:unhideWhenUsed/>
    <w:rsid w:val="005D433C"/>
    <w:rPr>
      <w:b/>
      <w:bCs/>
    </w:rPr>
  </w:style>
  <w:style w:type="character" w:customStyle="1" w:styleId="CommentSubjectChar">
    <w:name w:val="Comment Subject Char"/>
    <w:basedOn w:val="CommentTextChar"/>
    <w:link w:val="CommentSubject"/>
    <w:uiPriority w:val="99"/>
    <w:semiHidden/>
    <w:rsid w:val="005D433C"/>
    <w:rPr>
      <w:b/>
      <w:bCs/>
      <w:sz w:val="20"/>
      <w:szCs w:val="20"/>
    </w:rPr>
  </w:style>
  <w:style w:type="table" w:customStyle="1" w:styleId="TableGrid19">
    <w:name w:val="Table Grid19"/>
    <w:basedOn w:val="TableNormal"/>
    <w:next w:val="TableGrid"/>
    <w:uiPriority w:val="39"/>
    <w:rsid w:val="00C7621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basedOn w:val="NoList"/>
    <w:uiPriority w:val="99"/>
    <w:rsid w:val="00F14FD8"/>
    <w:pPr>
      <w:numPr>
        <w:numId w:val="79"/>
      </w:numPr>
    </w:pPr>
  </w:style>
  <w:style w:type="paragraph" w:styleId="NoSpacing">
    <w:name w:val="No Spacing"/>
    <w:uiPriority w:val="1"/>
    <w:qFormat/>
    <w:rsid w:val="00371313"/>
    <w:pPr>
      <w:spacing w:after="0" w:line="240" w:lineRule="auto"/>
    </w:pPr>
  </w:style>
  <w:style w:type="paragraph" w:styleId="PlainText">
    <w:name w:val="Plain Text"/>
    <w:basedOn w:val="Normal"/>
    <w:link w:val="PlainTextChar"/>
    <w:uiPriority w:val="99"/>
    <w:unhideWhenUsed/>
    <w:rsid w:val="002B7041"/>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2B7041"/>
    <w:rPr>
      <w:rFonts w:ascii="Consolas" w:hAnsi="Consolas"/>
      <w:sz w:val="21"/>
      <w:szCs w:val="21"/>
    </w:rPr>
  </w:style>
  <w:style w:type="table" w:customStyle="1" w:styleId="TableGrid20">
    <w:name w:val="Table Grid20"/>
    <w:basedOn w:val="TableNormal"/>
    <w:next w:val="TableGrid"/>
    <w:uiPriority w:val="39"/>
    <w:rsid w:val="00AD585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10404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10404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10404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10404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10404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FB474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FB474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FB474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FB474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FB474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FB474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FB474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FB474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FB474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FB474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34914"/>
    <w:pPr>
      <w:spacing w:after="0" w:line="240" w:lineRule="auto"/>
    </w:pPr>
  </w:style>
  <w:style w:type="paragraph" w:styleId="Header">
    <w:name w:val="header"/>
    <w:basedOn w:val="Normal"/>
    <w:link w:val="HeaderChar"/>
    <w:uiPriority w:val="99"/>
    <w:unhideWhenUsed/>
    <w:rsid w:val="00D249EF"/>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249EF"/>
  </w:style>
  <w:style w:type="paragraph" w:styleId="Footer">
    <w:name w:val="footer"/>
    <w:basedOn w:val="Normal"/>
    <w:link w:val="FooterChar"/>
    <w:uiPriority w:val="99"/>
    <w:unhideWhenUsed/>
    <w:rsid w:val="00D249EF"/>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249EF"/>
  </w:style>
  <w:style w:type="paragraph" w:customStyle="1" w:styleId="p1">
    <w:name w:val="p1"/>
    <w:basedOn w:val="Normal"/>
    <w:rsid w:val="00394702"/>
    <w:rPr>
      <w:rFonts w:ascii="Helvetica" w:hAnsi="Helvetica"/>
      <w:color w:val="000000"/>
      <w:sz w:val="14"/>
      <w:szCs w:val="14"/>
    </w:rPr>
  </w:style>
  <w:style w:type="character" w:styleId="UnresolvedMention">
    <w:name w:val="Unresolved Mention"/>
    <w:basedOn w:val="DefaultParagraphFont"/>
    <w:uiPriority w:val="99"/>
    <w:semiHidden/>
    <w:unhideWhenUsed/>
    <w:rsid w:val="008D4426"/>
    <w:rPr>
      <w:color w:val="605E5C"/>
      <w:shd w:val="clear" w:color="auto" w:fill="E1DFDD"/>
    </w:rPr>
  </w:style>
  <w:style w:type="character" w:styleId="Mention">
    <w:name w:val="Mention"/>
    <w:basedOn w:val="DefaultParagraphFont"/>
    <w:uiPriority w:val="99"/>
    <w:unhideWhenUsed/>
    <w:rsid w:val="001440FB"/>
    <w:rPr>
      <w:color w:val="2B579A"/>
      <w:shd w:val="clear" w:color="auto" w:fill="E1DFDD"/>
    </w:rPr>
  </w:style>
  <w:style w:type="character" w:styleId="FollowedHyperlink">
    <w:name w:val="FollowedHyperlink"/>
    <w:basedOn w:val="DefaultParagraphFont"/>
    <w:uiPriority w:val="99"/>
    <w:semiHidden/>
    <w:unhideWhenUsed/>
    <w:rsid w:val="001407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57689">
      <w:bodyDiv w:val="1"/>
      <w:marLeft w:val="0"/>
      <w:marRight w:val="0"/>
      <w:marTop w:val="0"/>
      <w:marBottom w:val="0"/>
      <w:divBdr>
        <w:top w:val="none" w:sz="0" w:space="0" w:color="auto"/>
        <w:left w:val="none" w:sz="0" w:space="0" w:color="auto"/>
        <w:bottom w:val="none" w:sz="0" w:space="0" w:color="auto"/>
        <w:right w:val="none" w:sz="0" w:space="0" w:color="auto"/>
      </w:divBdr>
    </w:div>
    <w:div w:id="68968933">
      <w:bodyDiv w:val="1"/>
      <w:marLeft w:val="0"/>
      <w:marRight w:val="0"/>
      <w:marTop w:val="0"/>
      <w:marBottom w:val="0"/>
      <w:divBdr>
        <w:top w:val="none" w:sz="0" w:space="0" w:color="auto"/>
        <w:left w:val="none" w:sz="0" w:space="0" w:color="auto"/>
        <w:bottom w:val="none" w:sz="0" w:space="0" w:color="auto"/>
        <w:right w:val="none" w:sz="0" w:space="0" w:color="auto"/>
      </w:divBdr>
    </w:div>
    <w:div w:id="117920208">
      <w:bodyDiv w:val="1"/>
      <w:marLeft w:val="0"/>
      <w:marRight w:val="0"/>
      <w:marTop w:val="0"/>
      <w:marBottom w:val="0"/>
      <w:divBdr>
        <w:top w:val="none" w:sz="0" w:space="0" w:color="auto"/>
        <w:left w:val="none" w:sz="0" w:space="0" w:color="auto"/>
        <w:bottom w:val="none" w:sz="0" w:space="0" w:color="auto"/>
        <w:right w:val="none" w:sz="0" w:space="0" w:color="auto"/>
      </w:divBdr>
    </w:div>
    <w:div w:id="127476319">
      <w:bodyDiv w:val="1"/>
      <w:marLeft w:val="0"/>
      <w:marRight w:val="0"/>
      <w:marTop w:val="0"/>
      <w:marBottom w:val="0"/>
      <w:divBdr>
        <w:top w:val="none" w:sz="0" w:space="0" w:color="auto"/>
        <w:left w:val="none" w:sz="0" w:space="0" w:color="auto"/>
        <w:bottom w:val="none" w:sz="0" w:space="0" w:color="auto"/>
        <w:right w:val="none" w:sz="0" w:space="0" w:color="auto"/>
      </w:divBdr>
      <w:divsChild>
        <w:div w:id="640038872">
          <w:marLeft w:val="0"/>
          <w:marRight w:val="0"/>
          <w:marTop w:val="0"/>
          <w:marBottom w:val="0"/>
          <w:divBdr>
            <w:top w:val="none" w:sz="0" w:space="0" w:color="auto"/>
            <w:left w:val="none" w:sz="0" w:space="0" w:color="auto"/>
            <w:bottom w:val="none" w:sz="0" w:space="0" w:color="auto"/>
            <w:right w:val="none" w:sz="0" w:space="0" w:color="auto"/>
          </w:divBdr>
        </w:div>
        <w:div w:id="1777746294">
          <w:marLeft w:val="0"/>
          <w:marRight w:val="0"/>
          <w:marTop w:val="0"/>
          <w:marBottom w:val="0"/>
          <w:divBdr>
            <w:top w:val="none" w:sz="0" w:space="0" w:color="auto"/>
            <w:left w:val="none" w:sz="0" w:space="0" w:color="auto"/>
            <w:bottom w:val="none" w:sz="0" w:space="0" w:color="auto"/>
            <w:right w:val="none" w:sz="0" w:space="0" w:color="auto"/>
          </w:divBdr>
        </w:div>
      </w:divsChild>
    </w:div>
    <w:div w:id="136068565">
      <w:bodyDiv w:val="1"/>
      <w:marLeft w:val="0"/>
      <w:marRight w:val="0"/>
      <w:marTop w:val="0"/>
      <w:marBottom w:val="0"/>
      <w:divBdr>
        <w:top w:val="none" w:sz="0" w:space="0" w:color="auto"/>
        <w:left w:val="none" w:sz="0" w:space="0" w:color="auto"/>
        <w:bottom w:val="none" w:sz="0" w:space="0" w:color="auto"/>
        <w:right w:val="none" w:sz="0" w:space="0" w:color="auto"/>
      </w:divBdr>
    </w:div>
    <w:div w:id="176625935">
      <w:bodyDiv w:val="1"/>
      <w:marLeft w:val="0"/>
      <w:marRight w:val="0"/>
      <w:marTop w:val="0"/>
      <w:marBottom w:val="0"/>
      <w:divBdr>
        <w:top w:val="none" w:sz="0" w:space="0" w:color="auto"/>
        <w:left w:val="none" w:sz="0" w:space="0" w:color="auto"/>
        <w:bottom w:val="none" w:sz="0" w:space="0" w:color="auto"/>
        <w:right w:val="none" w:sz="0" w:space="0" w:color="auto"/>
      </w:divBdr>
    </w:div>
    <w:div w:id="335040328">
      <w:bodyDiv w:val="1"/>
      <w:marLeft w:val="0"/>
      <w:marRight w:val="0"/>
      <w:marTop w:val="0"/>
      <w:marBottom w:val="0"/>
      <w:divBdr>
        <w:top w:val="none" w:sz="0" w:space="0" w:color="auto"/>
        <w:left w:val="none" w:sz="0" w:space="0" w:color="auto"/>
        <w:bottom w:val="none" w:sz="0" w:space="0" w:color="auto"/>
        <w:right w:val="none" w:sz="0" w:space="0" w:color="auto"/>
      </w:divBdr>
    </w:div>
    <w:div w:id="350685961">
      <w:bodyDiv w:val="1"/>
      <w:marLeft w:val="0"/>
      <w:marRight w:val="0"/>
      <w:marTop w:val="0"/>
      <w:marBottom w:val="0"/>
      <w:divBdr>
        <w:top w:val="none" w:sz="0" w:space="0" w:color="auto"/>
        <w:left w:val="none" w:sz="0" w:space="0" w:color="auto"/>
        <w:bottom w:val="none" w:sz="0" w:space="0" w:color="auto"/>
        <w:right w:val="none" w:sz="0" w:space="0" w:color="auto"/>
      </w:divBdr>
    </w:div>
    <w:div w:id="391536732">
      <w:bodyDiv w:val="1"/>
      <w:marLeft w:val="0"/>
      <w:marRight w:val="0"/>
      <w:marTop w:val="0"/>
      <w:marBottom w:val="0"/>
      <w:divBdr>
        <w:top w:val="none" w:sz="0" w:space="0" w:color="auto"/>
        <w:left w:val="none" w:sz="0" w:space="0" w:color="auto"/>
        <w:bottom w:val="none" w:sz="0" w:space="0" w:color="auto"/>
        <w:right w:val="none" w:sz="0" w:space="0" w:color="auto"/>
      </w:divBdr>
    </w:div>
    <w:div w:id="535850570">
      <w:bodyDiv w:val="1"/>
      <w:marLeft w:val="0"/>
      <w:marRight w:val="0"/>
      <w:marTop w:val="0"/>
      <w:marBottom w:val="0"/>
      <w:divBdr>
        <w:top w:val="none" w:sz="0" w:space="0" w:color="auto"/>
        <w:left w:val="none" w:sz="0" w:space="0" w:color="auto"/>
        <w:bottom w:val="none" w:sz="0" w:space="0" w:color="auto"/>
        <w:right w:val="none" w:sz="0" w:space="0" w:color="auto"/>
      </w:divBdr>
    </w:div>
    <w:div w:id="558177536">
      <w:bodyDiv w:val="1"/>
      <w:marLeft w:val="0"/>
      <w:marRight w:val="0"/>
      <w:marTop w:val="0"/>
      <w:marBottom w:val="0"/>
      <w:divBdr>
        <w:top w:val="none" w:sz="0" w:space="0" w:color="auto"/>
        <w:left w:val="none" w:sz="0" w:space="0" w:color="auto"/>
        <w:bottom w:val="none" w:sz="0" w:space="0" w:color="auto"/>
        <w:right w:val="none" w:sz="0" w:space="0" w:color="auto"/>
      </w:divBdr>
    </w:div>
    <w:div w:id="633944373">
      <w:bodyDiv w:val="1"/>
      <w:marLeft w:val="0"/>
      <w:marRight w:val="0"/>
      <w:marTop w:val="0"/>
      <w:marBottom w:val="0"/>
      <w:divBdr>
        <w:top w:val="none" w:sz="0" w:space="0" w:color="auto"/>
        <w:left w:val="none" w:sz="0" w:space="0" w:color="auto"/>
        <w:bottom w:val="none" w:sz="0" w:space="0" w:color="auto"/>
        <w:right w:val="none" w:sz="0" w:space="0" w:color="auto"/>
      </w:divBdr>
    </w:div>
    <w:div w:id="654182414">
      <w:bodyDiv w:val="1"/>
      <w:marLeft w:val="0"/>
      <w:marRight w:val="0"/>
      <w:marTop w:val="0"/>
      <w:marBottom w:val="0"/>
      <w:divBdr>
        <w:top w:val="none" w:sz="0" w:space="0" w:color="auto"/>
        <w:left w:val="none" w:sz="0" w:space="0" w:color="auto"/>
        <w:bottom w:val="none" w:sz="0" w:space="0" w:color="auto"/>
        <w:right w:val="none" w:sz="0" w:space="0" w:color="auto"/>
      </w:divBdr>
    </w:div>
    <w:div w:id="691492887">
      <w:bodyDiv w:val="1"/>
      <w:marLeft w:val="0"/>
      <w:marRight w:val="0"/>
      <w:marTop w:val="0"/>
      <w:marBottom w:val="0"/>
      <w:divBdr>
        <w:top w:val="none" w:sz="0" w:space="0" w:color="auto"/>
        <w:left w:val="none" w:sz="0" w:space="0" w:color="auto"/>
        <w:bottom w:val="none" w:sz="0" w:space="0" w:color="auto"/>
        <w:right w:val="none" w:sz="0" w:space="0" w:color="auto"/>
      </w:divBdr>
    </w:div>
    <w:div w:id="709304051">
      <w:bodyDiv w:val="1"/>
      <w:marLeft w:val="0"/>
      <w:marRight w:val="0"/>
      <w:marTop w:val="0"/>
      <w:marBottom w:val="0"/>
      <w:divBdr>
        <w:top w:val="none" w:sz="0" w:space="0" w:color="auto"/>
        <w:left w:val="none" w:sz="0" w:space="0" w:color="auto"/>
        <w:bottom w:val="none" w:sz="0" w:space="0" w:color="auto"/>
        <w:right w:val="none" w:sz="0" w:space="0" w:color="auto"/>
      </w:divBdr>
    </w:div>
    <w:div w:id="717896958">
      <w:bodyDiv w:val="1"/>
      <w:marLeft w:val="0"/>
      <w:marRight w:val="0"/>
      <w:marTop w:val="0"/>
      <w:marBottom w:val="0"/>
      <w:divBdr>
        <w:top w:val="none" w:sz="0" w:space="0" w:color="auto"/>
        <w:left w:val="none" w:sz="0" w:space="0" w:color="auto"/>
        <w:bottom w:val="none" w:sz="0" w:space="0" w:color="auto"/>
        <w:right w:val="none" w:sz="0" w:space="0" w:color="auto"/>
      </w:divBdr>
    </w:div>
    <w:div w:id="744843083">
      <w:bodyDiv w:val="1"/>
      <w:marLeft w:val="0"/>
      <w:marRight w:val="0"/>
      <w:marTop w:val="0"/>
      <w:marBottom w:val="0"/>
      <w:divBdr>
        <w:top w:val="none" w:sz="0" w:space="0" w:color="auto"/>
        <w:left w:val="none" w:sz="0" w:space="0" w:color="auto"/>
        <w:bottom w:val="none" w:sz="0" w:space="0" w:color="auto"/>
        <w:right w:val="none" w:sz="0" w:space="0" w:color="auto"/>
      </w:divBdr>
    </w:div>
    <w:div w:id="765885250">
      <w:bodyDiv w:val="1"/>
      <w:marLeft w:val="0"/>
      <w:marRight w:val="0"/>
      <w:marTop w:val="0"/>
      <w:marBottom w:val="0"/>
      <w:divBdr>
        <w:top w:val="none" w:sz="0" w:space="0" w:color="auto"/>
        <w:left w:val="none" w:sz="0" w:space="0" w:color="auto"/>
        <w:bottom w:val="none" w:sz="0" w:space="0" w:color="auto"/>
        <w:right w:val="none" w:sz="0" w:space="0" w:color="auto"/>
      </w:divBdr>
    </w:div>
    <w:div w:id="782844481">
      <w:bodyDiv w:val="1"/>
      <w:marLeft w:val="0"/>
      <w:marRight w:val="0"/>
      <w:marTop w:val="0"/>
      <w:marBottom w:val="0"/>
      <w:divBdr>
        <w:top w:val="none" w:sz="0" w:space="0" w:color="auto"/>
        <w:left w:val="none" w:sz="0" w:space="0" w:color="auto"/>
        <w:bottom w:val="none" w:sz="0" w:space="0" w:color="auto"/>
        <w:right w:val="none" w:sz="0" w:space="0" w:color="auto"/>
      </w:divBdr>
    </w:div>
    <w:div w:id="838272195">
      <w:bodyDiv w:val="1"/>
      <w:marLeft w:val="0"/>
      <w:marRight w:val="0"/>
      <w:marTop w:val="0"/>
      <w:marBottom w:val="0"/>
      <w:divBdr>
        <w:top w:val="none" w:sz="0" w:space="0" w:color="auto"/>
        <w:left w:val="none" w:sz="0" w:space="0" w:color="auto"/>
        <w:bottom w:val="none" w:sz="0" w:space="0" w:color="auto"/>
        <w:right w:val="none" w:sz="0" w:space="0" w:color="auto"/>
      </w:divBdr>
    </w:div>
    <w:div w:id="877427906">
      <w:bodyDiv w:val="1"/>
      <w:marLeft w:val="0"/>
      <w:marRight w:val="0"/>
      <w:marTop w:val="0"/>
      <w:marBottom w:val="0"/>
      <w:divBdr>
        <w:top w:val="none" w:sz="0" w:space="0" w:color="auto"/>
        <w:left w:val="none" w:sz="0" w:space="0" w:color="auto"/>
        <w:bottom w:val="none" w:sz="0" w:space="0" w:color="auto"/>
        <w:right w:val="none" w:sz="0" w:space="0" w:color="auto"/>
      </w:divBdr>
    </w:div>
    <w:div w:id="879974352">
      <w:bodyDiv w:val="1"/>
      <w:marLeft w:val="0"/>
      <w:marRight w:val="0"/>
      <w:marTop w:val="0"/>
      <w:marBottom w:val="0"/>
      <w:divBdr>
        <w:top w:val="none" w:sz="0" w:space="0" w:color="auto"/>
        <w:left w:val="none" w:sz="0" w:space="0" w:color="auto"/>
        <w:bottom w:val="none" w:sz="0" w:space="0" w:color="auto"/>
        <w:right w:val="none" w:sz="0" w:space="0" w:color="auto"/>
      </w:divBdr>
      <w:divsChild>
        <w:div w:id="36585444">
          <w:marLeft w:val="0"/>
          <w:marRight w:val="0"/>
          <w:marTop w:val="0"/>
          <w:marBottom w:val="0"/>
          <w:divBdr>
            <w:top w:val="none" w:sz="0" w:space="0" w:color="auto"/>
            <w:left w:val="none" w:sz="0" w:space="0" w:color="auto"/>
            <w:bottom w:val="none" w:sz="0" w:space="0" w:color="auto"/>
            <w:right w:val="none" w:sz="0" w:space="0" w:color="auto"/>
          </w:divBdr>
        </w:div>
        <w:div w:id="1760515786">
          <w:marLeft w:val="0"/>
          <w:marRight w:val="0"/>
          <w:marTop w:val="0"/>
          <w:marBottom w:val="0"/>
          <w:divBdr>
            <w:top w:val="none" w:sz="0" w:space="0" w:color="auto"/>
            <w:left w:val="none" w:sz="0" w:space="0" w:color="auto"/>
            <w:bottom w:val="none" w:sz="0" w:space="0" w:color="auto"/>
            <w:right w:val="none" w:sz="0" w:space="0" w:color="auto"/>
          </w:divBdr>
        </w:div>
      </w:divsChild>
    </w:div>
    <w:div w:id="902762468">
      <w:bodyDiv w:val="1"/>
      <w:marLeft w:val="0"/>
      <w:marRight w:val="0"/>
      <w:marTop w:val="0"/>
      <w:marBottom w:val="0"/>
      <w:divBdr>
        <w:top w:val="none" w:sz="0" w:space="0" w:color="auto"/>
        <w:left w:val="none" w:sz="0" w:space="0" w:color="auto"/>
        <w:bottom w:val="none" w:sz="0" w:space="0" w:color="auto"/>
        <w:right w:val="none" w:sz="0" w:space="0" w:color="auto"/>
      </w:divBdr>
    </w:div>
    <w:div w:id="907426106">
      <w:bodyDiv w:val="1"/>
      <w:marLeft w:val="0"/>
      <w:marRight w:val="0"/>
      <w:marTop w:val="0"/>
      <w:marBottom w:val="0"/>
      <w:divBdr>
        <w:top w:val="none" w:sz="0" w:space="0" w:color="auto"/>
        <w:left w:val="none" w:sz="0" w:space="0" w:color="auto"/>
        <w:bottom w:val="none" w:sz="0" w:space="0" w:color="auto"/>
        <w:right w:val="none" w:sz="0" w:space="0" w:color="auto"/>
      </w:divBdr>
    </w:div>
    <w:div w:id="909584326">
      <w:bodyDiv w:val="1"/>
      <w:marLeft w:val="0"/>
      <w:marRight w:val="0"/>
      <w:marTop w:val="0"/>
      <w:marBottom w:val="0"/>
      <w:divBdr>
        <w:top w:val="none" w:sz="0" w:space="0" w:color="auto"/>
        <w:left w:val="none" w:sz="0" w:space="0" w:color="auto"/>
        <w:bottom w:val="none" w:sz="0" w:space="0" w:color="auto"/>
        <w:right w:val="none" w:sz="0" w:space="0" w:color="auto"/>
      </w:divBdr>
    </w:div>
    <w:div w:id="968241513">
      <w:bodyDiv w:val="1"/>
      <w:marLeft w:val="0"/>
      <w:marRight w:val="0"/>
      <w:marTop w:val="0"/>
      <w:marBottom w:val="0"/>
      <w:divBdr>
        <w:top w:val="none" w:sz="0" w:space="0" w:color="auto"/>
        <w:left w:val="none" w:sz="0" w:space="0" w:color="auto"/>
        <w:bottom w:val="none" w:sz="0" w:space="0" w:color="auto"/>
        <w:right w:val="none" w:sz="0" w:space="0" w:color="auto"/>
      </w:divBdr>
    </w:div>
    <w:div w:id="976032114">
      <w:bodyDiv w:val="1"/>
      <w:marLeft w:val="0"/>
      <w:marRight w:val="0"/>
      <w:marTop w:val="0"/>
      <w:marBottom w:val="0"/>
      <w:divBdr>
        <w:top w:val="none" w:sz="0" w:space="0" w:color="auto"/>
        <w:left w:val="none" w:sz="0" w:space="0" w:color="auto"/>
        <w:bottom w:val="none" w:sz="0" w:space="0" w:color="auto"/>
        <w:right w:val="none" w:sz="0" w:space="0" w:color="auto"/>
      </w:divBdr>
      <w:divsChild>
        <w:div w:id="483205020">
          <w:marLeft w:val="0"/>
          <w:marRight w:val="0"/>
          <w:marTop w:val="0"/>
          <w:marBottom w:val="0"/>
          <w:divBdr>
            <w:top w:val="none" w:sz="0" w:space="0" w:color="auto"/>
            <w:left w:val="none" w:sz="0" w:space="0" w:color="auto"/>
            <w:bottom w:val="none" w:sz="0" w:space="0" w:color="auto"/>
            <w:right w:val="none" w:sz="0" w:space="0" w:color="auto"/>
          </w:divBdr>
          <w:divsChild>
            <w:div w:id="1318535103">
              <w:marLeft w:val="0"/>
              <w:marRight w:val="0"/>
              <w:marTop w:val="0"/>
              <w:marBottom w:val="0"/>
              <w:divBdr>
                <w:top w:val="none" w:sz="0" w:space="0" w:color="auto"/>
                <w:left w:val="none" w:sz="0" w:space="0" w:color="auto"/>
                <w:bottom w:val="none" w:sz="0" w:space="0" w:color="auto"/>
                <w:right w:val="none" w:sz="0" w:space="0" w:color="auto"/>
              </w:divBdr>
              <w:divsChild>
                <w:div w:id="500393146">
                  <w:marLeft w:val="0"/>
                  <w:marRight w:val="0"/>
                  <w:marTop w:val="0"/>
                  <w:marBottom w:val="0"/>
                  <w:divBdr>
                    <w:top w:val="none" w:sz="0" w:space="0" w:color="auto"/>
                    <w:left w:val="none" w:sz="0" w:space="0" w:color="auto"/>
                    <w:bottom w:val="none" w:sz="0" w:space="0" w:color="auto"/>
                    <w:right w:val="none" w:sz="0" w:space="0" w:color="auto"/>
                  </w:divBdr>
                  <w:divsChild>
                    <w:div w:id="1265459878">
                      <w:marLeft w:val="0"/>
                      <w:marRight w:val="0"/>
                      <w:marTop w:val="0"/>
                      <w:marBottom w:val="0"/>
                      <w:divBdr>
                        <w:top w:val="none" w:sz="0" w:space="0" w:color="auto"/>
                        <w:left w:val="none" w:sz="0" w:space="0" w:color="auto"/>
                        <w:bottom w:val="none" w:sz="0" w:space="0" w:color="auto"/>
                        <w:right w:val="none" w:sz="0" w:space="0" w:color="auto"/>
                      </w:divBdr>
                      <w:divsChild>
                        <w:div w:id="1031609047">
                          <w:marLeft w:val="0"/>
                          <w:marRight w:val="0"/>
                          <w:marTop w:val="0"/>
                          <w:marBottom w:val="0"/>
                          <w:divBdr>
                            <w:top w:val="none" w:sz="0" w:space="0" w:color="auto"/>
                            <w:left w:val="none" w:sz="0" w:space="0" w:color="auto"/>
                            <w:bottom w:val="none" w:sz="0" w:space="0" w:color="auto"/>
                            <w:right w:val="none" w:sz="0" w:space="0" w:color="auto"/>
                          </w:divBdr>
                          <w:divsChild>
                            <w:div w:id="1196456610">
                              <w:marLeft w:val="0"/>
                              <w:marRight w:val="0"/>
                              <w:marTop w:val="0"/>
                              <w:marBottom w:val="0"/>
                              <w:divBdr>
                                <w:top w:val="none" w:sz="0" w:space="0" w:color="auto"/>
                                <w:left w:val="none" w:sz="0" w:space="0" w:color="auto"/>
                                <w:bottom w:val="none" w:sz="0" w:space="0" w:color="auto"/>
                                <w:right w:val="none" w:sz="0" w:space="0" w:color="auto"/>
                              </w:divBdr>
                              <w:divsChild>
                                <w:div w:id="1010061670">
                                  <w:marLeft w:val="0"/>
                                  <w:marRight w:val="0"/>
                                  <w:marTop w:val="0"/>
                                  <w:marBottom w:val="0"/>
                                  <w:divBdr>
                                    <w:top w:val="none" w:sz="0" w:space="0" w:color="auto"/>
                                    <w:left w:val="none" w:sz="0" w:space="0" w:color="auto"/>
                                    <w:bottom w:val="none" w:sz="0" w:space="0" w:color="auto"/>
                                    <w:right w:val="none" w:sz="0" w:space="0" w:color="auto"/>
                                  </w:divBdr>
                                  <w:divsChild>
                                    <w:div w:id="76796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6321387">
      <w:bodyDiv w:val="1"/>
      <w:marLeft w:val="0"/>
      <w:marRight w:val="0"/>
      <w:marTop w:val="0"/>
      <w:marBottom w:val="0"/>
      <w:divBdr>
        <w:top w:val="none" w:sz="0" w:space="0" w:color="auto"/>
        <w:left w:val="none" w:sz="0" w:space="0" w:color="auto"/>
        <w:bottom w:val="none" w:sz="0" w:space="0" w:color="auto"/>
        <w:right w:val="none" w:sz="0" w:space="0" w:color="auto"/>
      </w:divBdr>
    </w:div>
    <w:div w:id="1068771720">
      <w:bodyDiv w:val="1"/>
      <w:marLeft w:val="0"/>
      <w:marRight w:val="0"/>
      <w:marTop w:val="0"/>
      <w:marBottom w:val="0"/>
      <w:divBdr>
        <w:top w:val="none" w:sz="0" w:space="0" w:color="auto"/>
        <w:left w:val="none" w:sz="0" w:space="0" w:color="auto"/>
        <w:bottom w:val="none" w:sz="0" w:space="0" w:color="auto"/>
        <w:right w:val="none" w:sz="0" w:space="0" w:color="auto"/>
      </w:divBdr>
    </w:div>
    <w:div w:id="1079257574">
      <w:bodyDiv w:val="1"/>
      <w:marLeft w:val="0"/>
      <w:marRight w:val="0"/>
      <w:marTop w:val="0"/>
      <w:marBottom w:val="0"/>
      <w:divBdr>
        <w:top w:val="none" w:sz="0" w:space="0" w:color="auto"/>
        <w:left w:val="none" w:sz="0" w:space="0" w:color="auto"/>
        <w:bottom w:val="none" w:sz="0" w:space="0" w:color="auto"/>
        <w:right w:val="none" w:sz="0" w:space="0" w:color="auto"/>
      </w:divBdr>
    </w:div>
    <w:div w:id="1104882889">
      <w:bodyDiv w:val="1"/>
      <w:marLeft w:val="0"/>
      <w:marRight w:val="0"/>
      <w:marTop w:val="0"/>
      <w:marBottom w:val="0"/>
      <w:divBdr>
        <w:top w:val="none" w:sz="0" w:space="0" w:color="auto"/>
        <w:left w:val="none" w:sz="0" w:space="0" w:color="auto"/>
        <w:bottom w:val="none" w:sz="0" w:space="0" w:color="auto"/>
        <w:right w:val="none" w:sz="0" w:space="0" w:color="auto"/>
      </w:divBdr>
    </w:div>
    <w:div w:id="1105659022">
      <w:bodyDiv w:val="1"/>
      <w:marLeft w:val="0"/>
      <w:marRight w:val="0"/>
      <w:marTop w:val="0"/>
      <w:marBottom w:val="0"/>
      <w:divBdr>
        <w:top w:val="none" w:sz="0" w:space="0" w:color="auto"/>
        <w:left w:val="none" w:sz="0" w:space="0" w:color="auto"/>
        <w:bottom w:val="none" w:sz="0" w:space="0" w:color="auto"/>
        <w:right w:val="none" w:sz="0" w:space="0" w:color="auto"/>
      </w:divBdr>
      <w:divsChild>
        <w:div w:id="1836457541">
          <w:marLeft w:val="0"/>
          <w:marRight w:val="0"/>
          <w:marTop w:val="0"/>
          <w:marBottom w:val="0"/>
          <w:divBdr>
            <w:top w:val="none" w:sz="0" w:space="0" w:color="auto"/>
            <w:left w:val="none" w:sz="0" w:space="0" w:color="auto"/>
            <w:bottom w:val="none" w:sz="0" w:space="0" w:color="auto"/>
            <w:right w:val="none" w:sz="0" w:space="0" w:color="auto"/>
          </w:divBdr>
          <w:divsChild>
            <w:div w:id="1438528105">
              <w:marLeft w:val="0"/>
              <w:marRight w:val="0"/>
              <w:marTop w:val="0"/>
              <w:marBottom w:val="0"/>
              <w:divBdr>
                <w:top w:val="none" w:sz="0" w:space="0" w:color="auto"/>
                <w:left w:val="none" w:sz="0" w:space="0" w:color="auto"/>
                <w:bottom w:val="none" w:sz="0" w:space="0" w:color="auto"/>
                <w:right w:val="none" w:sz="0" w:space="0" w:color="auto"/>
              </w:divBdr>
              <w:divsChild>
                <w:div w:id="704141003">
                  <w:marLeft w:val="0"/>
                  <w:marRight w:val="0"/>
                  <w:marTop w:val="0"/>
                  <w:marBottom w:val="0"/>
                  <w:divBdr>
                    <w:top w:val="none" w:sz="0" w:space="0" w:color="auto"/>
                    <w:left w:val="none" w:sz="0" w:space="0" w:color="auto"/>
                    <w:bottom w:val="none" w:sz="0" w:space="0" w:color="auto"/>
                    <w:right w:val="none" w:sz="0" w:space="0" w:color="auto"/>
                  </w:divBdr>
                  <w:divsChild>
                    <w:div w:id="1843085114">
                      <w:marLeft w:val="0"/>
                      <w:marRight w:val="0"/>
                      <w:marTop w:val="0"/>
                      <w:marBottom w:val="0"/>
                      <w:divBdr>
                        <w:top w:val="none" w:sz="0" w:space="0" w:color="auto"/>
                        <w:left w:val="none" w:sz="0" w:space="0" w:color="auto"/>
                        <w:bottom w:val="none" w:sz="0" w:space="0" w:color="auto"/>
                        <w:right w:val="none" w:sz="0" w:space="0" w:color="auto"/>
                      </w:divBdr>
                      <w:divsChild>
                        <w:div w:id="218323657">
                          <w:marLeft w:val="0"/>
                          <w:marRight w:val="0"/>
                          <w:marTop w:val="0"/>
                          <w:marBottom w:val="0"/>
                          <w:divBdr>
                            <w:top w:val="none" w:sz="0" w:space="0" w:color="auto"/>
                            <w:left w:val="none" w:sz="0" w:space="0" w:color="auto"/>
                            <w:bottom w:val="none" w:sz="0" w:space="0" w:color="auto"/>
                            <w:right w:val="none" w:sz="0" w:space="0" w:color="auto"/>
                          </w:divBdr>
                          <w:divsChild>
                            <w:div w:id="1363555432">
                              <w:marLeft w:val="0"/>
                              <w:marRight w:val="0"/>
                              <w:marTop w:val="0"/>
                              <w:marBottom w:val="0"/>
                              <w:divBdr>
                                <w:top w:val="none" w:sz="0" w:space="0" w:color="auto"/>
                                <w:left w:val="none" w:sz="0" w:space="0" w:color="auto"/>
                                <w:bottom w:val="none" w:sz="0" w:space="0" w:color="auto"/>
                                <w:right w:val="none" w:sz="0" w:space="0" w:color="auto"/>
                              </w:divBdr>
                              <w:divsChild>
                                <w:div w:id="9250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58385">
                          <w:marLeft w:val="0"/>
                          <w:marRight w:val="0"/>
                          <w:marTop w:val="0"/>
                          <w:marBottom w:val="0"/>
                          <w:divBdr>
                            <w:top w:val="none" w:sz="0" w:space="0" w:color="auto"/>
                            <w:left w:val="none" w:sz="0" w:space="0" w:color="auto"/>
                            <w:bottom w:val="none" w:sz="0" w:space="0" w:color="auto"/>
                            <w:right w:val="none" w:sz="0" w:space="0" w:color="auto"/>
                          </w:divBdr>
                          <w:divsChild>
                            <w:div w:id="510339381">
                              <w:marLeft w:val="0"/>
                              <w:marRight w:val="0"/>
                              <w:marTop w:val="0"/>
                              <w:marBottom w:val="0"/>
                              <w:divBdr>
                                <w:top w:val="none" w:sz="0" w:space="0" w:color="auto"/>
                                <w:left w:val="none" w:sz="0" w:space="0" w:color="auto"/>
                                <w:bottom w:val="none" w:sz="0" w:space="0" w:color="auto"/>
                                <w:right w:val="none" w:sz="0" w:space="0" w:color="auto"/>
                              </w:divBdr>
                              <w:divsChild>
                                <w:div w:id="746656877">
                                  <w:marLeft w:val="0"/>
                                  <w:marRight w:val="0"/>
                                  <w:marTop w:val="0"/>
                                  <w:marBottom w:val="0"/>
                                  <w:divBdr>
                                    <w:top w:val="none" w:sz="0" w:space="0" w:color="auto"/>
                                    <w:left w:val="none" w:sz="0" w:space="0" w:color="auto"/>
                                    <w:bottom w:val="none" w:sz="0" w:space="0" w:color="auto"/>
                                    <w:right w:val="none" w:sz="0" w:space="0" w:color="auto"/>
                                  </w:divBdr>
                                  <w:divsChild>
                                    <w:div w:id="38522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315173">
      <w:bodyDiv w:val="1"/>
      <w:marLeft w:val="0"/>
      <w:marRight w:val="0"/>
      <w:marTop w:val="0"/>
      <w:marBottom w:val="0"/>
      <w:divBdr>
        <w:top w:val="none" w:sz="0" w:space="0" w:color="auto"/>
        <w:left w:val="none" w:sz="0" w:space="0" w:color="auto"/>
        <w:bottom w:val="none" w:sz="0" w:space="0" w:color="auto"/>
        <w:right w:val="none" w:sz="0" w:space="0" w:color="auto"/>
      </w:divBdr>
    </w:div>
    <w:div w:id="1119837665">
      <w:bodyDiv w:val="1"/>
      <w:marLeft w:val="0"/>
      <w:marRight w:val="0"/>
      <w:marTop w:val="0"/>
      <w:marBottom w:val="0"/>
      <w:divBdr>
        <w:top w:val="none" w:sz="0" w:space="0" w:color="auto"/>
        <w:left w:val="none" w:sz="0" w:space="0" w:color="auto"/>
        <w:bottom w:val="none" w:sz="0" w:space="0" w:color="auto"/>
        <w:right w:val="none" w:sz="0" w:space="0" w:color="auto"/>
      </w:divBdr>
    </w:div>
    <w:div w:id="1187527834">
      <w:bodyDiv w:val="1"/>
      <w:marLeft w:val="0"/>
      <w:marRight w:val="0"/>
      <w:marTop w:val="0"/>
      <w:marBottom w:val="0"/>
      <w:divBdr>
        <w:top w:val="none" w:sz="0" w:space="0" w:color="auto"/>
        <w:left w:val="none" w:sz="0" w:space="0" w:color="auto"/>
        <w:bottom w:val="none" w:sz="0" w:space="0" w:color="auto"/>
        <w:right w:val="none" w:sz="0" w:space="0" w:color="auto"/>
      </w:divBdr>
    </w:div>
    <w:div w:id="1188524432">
      <w:bodyDiv w:val="1"/>
      <w:marLeft w:val="0"/>
      <w:marRight w:val="0"/>
      <w:marTop w:val="0"/>
      <w:marBottom w:val="0"/>
      <w:divBdr>
        <w:top w:val="none" w:sz="0" w:space="0" w:color="auto"/>
        <w:left w:val="none" w:sz="0" w:space="0" w:color="auto"/>
        <w:bottom w:val="none" w:sz="0" w:space="0" w:color="auto"/>
        <w:right w:val="none" w:sz="0" w:space="0" w:color="auto"/>
      </w:divBdr>
    </w:div>
    <w:div w:id="1226337246">
      <w:bodyDiv w:val="1"/>
      <w:marLeft w:val="0"/>
      <w:marRight w:val="0"/>
      <w:marTop w:val="0"/>
      <w:marBottom w:val="0"/>
      <w:divBdr>
        <w:top w:val="none" w:sz="0" w:space="0" w:color="auto"/>
        <w:left w:val="none" w:sz="0" w:space="0" w:color="auto"/>
        <w:bottom w:val="none" w:sz="0" w:space="0" w:color="auto"/>
        <w:right w:val="none" w:sz="0" w:space="0" w:color="auto"/>
      </w:divBdr>
    </w:div>
    <w:div w:id="1247499366">
      <w:bodyDiv w:val="1"/>
      <w:marLeft w:val="0"/>
      <w:marRight w:val="0"/>
      <w:marTop w:val="0"/>
      <w:marBottom w:val="0"/>
      <w:divBdr>
        <w:top w:val="none" w:sz="0" w:space="0" w:color="auto"/>
        <w:left w:val="none" w:sz="0" w:space="0" w:color="auto"/>
        <w:bottom w:val="none" w:sz="0" w:space="0" w:color="auto"/>
        <w:right w:val="none" w:sz="0" w:space="0" w:color="auto"/>
      </w:divBdr>
    </w:div>
    <w:div w:id="1277446640">
      <w:bodyDiv w:val="1"/>
      <w:marLeft w:val="0"/>
      <w:marRight w:val="0"/>
      <w:marTop w:val="0"/>
      <w:marBottom w:val="0"/>
      <w:divBdr>
        <w:top w:val="none" w:sz="0" w:space="0" w:color="auto"/>
        <w:left w:val="none" w:sz="0" w:space="0" w:color="auto"/>
        <w:bottom w:val="none" w:sz="0" w:space="0" w:color="auto"/>
        <w:right w:val="none" w:sz="0" w:space="0" w:color="auto"/>
      </w:divBdr>
    </w:div>
    <w:div w:id="1284532132">
      <w:bodyDiv w:val="1"/>
      <w:marLeft w:val="0"/>
      <w:marRight w:val="0"/>
      <w:marTop w:val="0"/>
      <w:marBottom w:val="0"/>
      <w:divBdr>
        <w:top w:val="none" w:sz="0" w:space="0" w:color="auto"/>
        <w:left w:val="none" w:sz="0" w:space="0" w:color="auto"/>
        <w:bottom w:val="none" w:sz="0" w:space="0" w:color="auto"/>
        <w:right w:val="none" w:sz="0" w:space="0" w:color="auto"/>
      </w:divBdr>
    </w:div>
    <w:div w:id="1402557814">
      <w:bodyDiv w:val="1"/>
      <w:marLeft w:val="0"/>
      <w:marRight w:val="0"/>
      <w:marTop w:val="0"/>
      <w:marBottom w:val="0"/>
      <w:divBdr>
        <w:top w:val="none" w:sz="0" w:space="0" w:color="auto"/>
        <w:left w:val="none" w:sz="0" w:space="0" w:color="auto"/>
        <w:bottom w:val="none" w:sz="0" w:space="0" w:color="auto"/>
        <w:right w:val="none" w:sz="0" w:space="0" w:color="auto"/>
      </w:divBdr>
    </w:div>
    <w:div w:id="1411150266">
      <w:bodyDiv w:val="1"/>
      <w:marLeft w:val="0"/>
      <w:marRight w:val="0"/>
      <w:marTop w:val="0"/>
      <w:marBottom w:val="0"/>
      <w:divBdr>
        <w:top w:val="none" w:sz="0" w:space="0" w:color="auto"/>
        <w:left w:val="none" w:sz="0" w:space="0" w:color="auto"/>
        <w:bottom w:val="none" w:sz="0" w:space="0" w:color="auto"/>
        <w:right w:val="none" w:sz="0" w:space="0" w:color="auto"/>
      </w:divBdr>
    </w:div>
    <w:div w:id="1426339684">
      <w:bodyDiv w:val="1"/>
      <w:marLeft w:val="0"/>
      <w:marRight w:val="0"/>
      <w:marTop w:val="0"/>
      <w:marBottom w:val="0"/>
      <w:divBdr>
        <w:top w:val="none" w:sz="0" w:space="0" w:color="auto"/>
        <w:left w:val="none" w:sz="0" w:space="0" w:color="auto"/>
        <w:bottom w:val="none" w:sz="0" w:space="0" w:color="auto"/>
        <w:right w:val="none" w:sz="0" w:space="0" w:color="auto"/>
      </w:divBdr>
    </w:div>
    <w:div w:id="1427113811">
      <w:bodyDiv w:val="1"/>
      <w:marLeft w:val="0"/>
      <w:marRight w:val="0"/>
      <w:marTop w:val="0"/>
      <w:marBottom w:val="0"/>
      <w:divBdr>
        <w:top w:val="none" w:sz="0" w:space="0" w:color="auto"/>
        <w:left w:val="none" w:sz="0" w:space="0" w:color="auto"/>
        <w:bottom w:val="none" w:sz="0" w:space="0" w:color="auto"/>
        <w:right w:val="none" w:sz="0" w:space="0" w:color="auto"/>
      </w:divBdr>
      <w:divsChild>
        <w:div w:id="119148219">
          <w:marLeft w:val="0"/>
          <w:marRight w:val="0"/>
          <w:marTop w:val="0"/>
          <w:marBottom w:val="0"/>
          <w:divBdr>
            <w:top w:val="none" w:sz="0" w:space="0" w:color="auto"/>
            <w:left w:val="none" w:sz="0" w:space="0" w:color="auto"/>
            <w:bottom w:val="none" w:sz="0" w:space="0" w:color="auto"/>
            <w:right w:val="none" w:sz="0" w:space="0" w:color="auto"/>
          </w:divBdr>
        </w:div>
        <w:div w:id="307056161">
          <w:marLeft w:val="0"/>
          <w:marRight w:val="0"/>
          <w:marTop w:val="0"/>
          <w:marBottom w:val="0"/>
          <w:divBdr>
            <w:top w:val="none" w:sz="0" w:space="0" w:color="auto"/>
            <w:left w:val="none" w:sz="0" w:space="0" w:color="auto"/>
            <w:bottom w:val="none" w:sz="0" w:space="0" w:color="auto"/>
            <w:right w:val="none" w:sz="0" w:space="0" w:color="auto"/>
          </w:divBdr>
        </w:div>
        <w:div w:id="531110160">
          <w:marLeft w:val="0"/>
          <w:marRight w:val="0"/>
          <w:marTop w:val="0"/>
          <w:marBottom w:val="0"/>
          <w:divBdr>
            <w:top w:val="none" w:sz="0" w:space="0" w:color="auto"/>
            <w:left w:val="none" w:sz="0" w:space="0" w:color="auto"/>
            <w:bottom w:val="none" w:sz="0" w:space="0" w:color="auto"/>
            <w:right w:val="none" w:sz="0" w:space="0" w:color="auto"/>
          </w:divBdr>
        </w:div>
        <w:div w:id="667369467">
          <w:marLeft w:val="0"/>
          <w:marRight w:val="0"/>
          <w:marTop w:val="0"/>
          <w:marBottom w:val="0"/>
          <w:divBdr>
            <w:top w:val="none" w:sz="0" w:space="0" w:color="auto"/>
            <w:left w:val="none" w:sz="0" w:space="0" w:color="auto"/>
            <w:bottom w:val="none" w:sz="0" w:space="0" w:color="auto"/>
            <w:right w:val="none" w:sz="0" w:space="0" w:color="auto"/>
          </w:divBdr>
        </w:div>
        <w:div w:id="816528910">
          <w:marLeft w:val="0"/>
          <w:marRight w:val="0"/>
          <w:marTop w:val="0"/>
          <w:marBottom w:val="0"/>
          <w:divBdr>
            <w:top w:val="none" w:sz="0" w:space="0" w:color="auto"/>
            <w:left w:val="none" w:sz="0" w:space="0" w:color="auto"/>
            <w:bottom w:val="none" w:sz="0" w:space="0" w:color="auto"/>
            <w:right w:val="none" w:sz="0" w:space="0" w:color="auto"/>
          </w:divBdr>
        </w:div>
        <w:div w:id="944187764">
          <w:marLeft w:val="0"/>
          <w:marRight w:val="0"/>
          <w:marTop w:val="0"/>
          <w:marBottom w:val="0"/>
          <w:divBdr>
            <w:top w:val="none" w:sz="0" w:space="0" w:color="auto"/>
            <w:left w:val="none" w:sz="0" w:space="0" w:color="auto"/>
            <w:bottom w:val="none" w:sz="0" w:space="0" w:color="auto"/>
            <w:right w:val="none" w:sz="0" w:space="0" w:color="auto"/>
          </w:divBdr>
        </w:div>
        <w:div w:id="975913369">
          <w:marLeft w:val="0"/>
          <w:marRight w:val="0"/>
          <w:marTop w:val="0"/>
          <w:marBottom w:val="0"/>
          <w:divBdr>
            <w:top w:val="none" w:sz="0" w:space="0" w:color="auto"/>
            <w:left w:val="none" w:sz="0" w:space="0" w:color="auto"/>
            <w:bottom w:val="none" w:sz="0" w:space="0" w:color="auto"/>
            <w:right w:val="none" w:sz="0" w:space="0" w:color="auto"/>
          </w:divBdr>
        </w:div>
        <w:div w:id="991178844">
          <w:marLeft w:val="0"/>
          <w:marRight w:val="0"/>
          <w:marTop w:val="0"/>
          <w:marBottom w:val="0"/>
          <w:divBdr>
            <w:top w:val="none" w:sz="0" w:space="0" w:color="auto"/>
            <w:left w:val="none" w:sz="0" w:space="0" w:color="auto"/>
            <w:bottom w:val="none" w:sz="0" w:space="0" w:color="auto"/>
            <w:right w:val="none" w:sz="0" w:space="0" w:color="auto"/>
          </w:divBdr>
        </w:div>
        <w:div w:id="993948545">
          <w:marLeft w:val="0"/>
          <w:marRight w:val="0"/>
          <w:marTop w:val="0"/>
          <w:marBottom w:val="0"/>
          <w:divBdr>
            <w:top w:val="none" w:sz="0" w:space="0" w:color="auto"/>
            <w:left w:val="none" w:sz="0" w:space="0" w:color="auto"/>
            <w:bottom w:val="none" w:sz="0" w:space="0" w:color="auto"/>
            <w:right w:val="none" w:sz="0" w:space="0" w:color="auto"/>
          </w:divBdr>
        </w:div>
        <w:div w:id="1016887096">
          <w:marLeft w:val="0"/>
          <w:marRight w:val="0"/>
          <w:marTop w:val="0"/>
          <w:marBottom w:val="0"/>
          <w:divBdr>
            <w:top w:val="none" w:sz="0" w:space="0" w:color="auto"/>
            <w:left w:val="none" w:sz="0" w:space="0" w:color="auto"/>
            <w:bottom w:val="none" w:sz="0" w:space="0" w:color="auto"/>
            <w:right w:val="none" w:sz="0" w:space="0" w:color="auto"/>
          </w:divBdr>
        </w:div>
        <w:div w:id="1201699679">
          <w:marLeft w:val="0"/>
          <w:marRight w:val="0"/>
          <w:marTop w:val="0"/>
          <w:marBottom w:val="0"/>
          <w:divBdr>
            <w:top w:val="none" w:sz="0" w:space="0" w:color="auto"/>
            <w:left w:val="none" w:sz="0" w:space="0" w:color="auto"/>
            <w:bottom w:val="none" w:sz="0" w:space="0" w:color="auto"/>
            <w:right w:val="none" w:sz="0" w:space="0" w:color="auto"/>
          </w:divBdr>
        </w:div>
        <w:div w:id="1353798208">
          <w:marLeft w:val="0"/>
          <w:marRight w:val="0"/>
          <w:marTop w:val="0"/>
          <w:marBottom w:val="0"/>
          <w:divBdr>
            <w:top w:val="none" w:sz="0" w:space="0" w:color="auto"/>
            <w:left w:val="none" w:sz="0" w:space="0" w:color="auto"/>
            <w:bottom w:val="none" w:sz="0" w:space="0" w:color="auto"/>
            <w:right w:val="none" w:sz="0" w:space="0" w:color="auto"/>
          </w:divBdr>
        </w:div>
        <w:div w:id="1460756634">
          <w:marLeft w:val="0"/>
          <w:marRight w:val="0"/>
          <w:marTop w:val="0"/>
          <w:marBottom w:val="0"/>
          <w:divBdr>
            <w:top w:val="none" w:sz="0" w:space="0" w:color="auto"/>
            <w:left w:val="none" w:sz="0" w:space="0" w:color="auto"/>
            <w:bottom w:val="none" w:sz="0" w:space="0" w:color="auto"/>
            <w:right w:val="none" w:sz="0" w:space="0" w:color="auto"/>
          </w:divBdr>
          <w:divsChild>
            <w:div w:id="1436100356">
              <w:marLeft w:val="-75"/>
              <w:marRight w:val="0"/>
              <w:marTop w:val="30"/>
              <w:marBottom w:val="30"/>
              <w:divBdr>
                <w:top w:val="none" w:sz="0" w:space="0" w:color="auto"/>
                <w:left w:val="none" w:sz="0" w:space="0" w:color="auto"/>
                <w:bottom w:val="none" w:sz="0" w:space="0" w:color="auto"/>
                <w:right w:val="none" w:sz="0" w:space="0" w:color="auto"/>
              </w:divBdr>
              <w:divsChild>
                <w:div w:id="10032853">
                  <w:marLeft w:val="0"/>
                  <w:marRight w:val="0"/>
                  <w:marTop w:val="0"/>
                  <w:marBottom w:val="0"/>
                  <w:divBdr>
                    <w:top w:val="none" w:sz="0" w:space="0" w:color="auto"/>
                    <w:left w:val="none" w:sz="0" w:space="0" w:color="auto"/>
                    <w:bottom w:val="none" w:sz="0" w:space="0" w:color="auto"/>
                    <w:right w:val="none" w:sz="0" w:space="0" w:color="auto"/>
                  </w:divBdr>
                  <w:divsChild>
                    <w:div w:id="707222991">
                      <w:marLeft w:val="0"/>
                      <w:marRight w:val="0"/>
                      <w:marTop w:val="0"/>
                      <w:marBottom w:val="0"/>
                      <w:divBdr>
                        <w:top w:val="none" w:sz="0" w:space="0" w:color="auto"/>
                        <w:left w:val="none" w:sz="0" w:space="0" w:color="auto"/>
                        <w:bottom w:val="none" w:sz="0" w:space="0" w:color="auto"/>
                        <w:right w:val="none" w:sz="0" w:space="0" w:color="auto"/>
                      </w:divBdr>
                    </w:div>
                    <w:div w:id="2121872832">
                      <w:marLeft w:val="0"/>
                      <w:marRight w:val="0"/>
                      <w:marTop w:val="0"/>
                      <w:marBottom w:val="0"/>
                      <w:divBdr>
                        <w:top w:val="none" w:sz="0" w:space="0" w:color="auto"/>
                        <w:left w:val="none" w:sz="0" w:space="0" w:color="auto"/>
                        <w:bottom w:val="none" w:sz="0" w:space="0" w:color="auto"/>
                        <w:right w:val="none" w:sz="0" w:space="0" w:color="auto"/>
                      </w:divBdr>
                    </w:div>
                  </w:divsChild>
                </w:div>
                <w:div w:id="170341807">
                  <w:marLeft w:val="0"/>
                  <w:marRight w:val="0"/>
                  <w:marTop w:val="0"/>
                  <w:marBottom w:val="0"/>
                  <w:divBdr>
                    <w:top w:val="none" w:sz="0" w:space="0" w:color="auto"/>
                    <w:left w:val="none" w:sz="0" w:space="0" w:color="auto"/>
                    <w:bottom w:val="none" w:sz="0" w:space="0" w:color="auto"/>
                    <w:right w:val="none" w:sz="0" w:space="0" w:color="auto"/>
                  </w:divBdr>
                  <w:divsChild>
                    <w:div w:id="459373603">
                      <w:marLeft w:val="0"/>
                      <w:marRight w:val="0"/>
                      <w:marTop w:val="0"/>
                      <w:marBottom w:val="0"/>
                      <w:divBdr>
                        <w:top w:val="none" w:sz="0" w:space="0" w:color="auto"/>
                        <w:left w:val="none" w:sz="0" w:space="0" w:color="auto"/>
                        <w:bottom w:val="none" w:sz="0" w:space="0" w:color="auto"/>
                        <w:right w:val="none" w:sz="0" w:space="0" w:color="auto"/>
                      </w:divBdr>
                    </w:div>
                  </w:divsChild>
                </w:div>
                <w:div w:id="198864252">
                  <w:marLeft w:val="0"/>
                  <w:marRight w:val="0"/>
                  <w:marTop w:val="0"/>
                  <w:marBottom w:val="0"/>
                  <w:divBdr>
                    <w:top w:val="none" w:sz="0" w:space="0" w:color="auto"/>
                    <w:left w:val="none" w:sz="0" w:space="0" w:color="auto"/>
                    <w:bottom w:val="none" w:sz="0" w:space="0" w:color="auto"/>
                    <w:right w:val="none" w:sz="0" w:space="0" w:color="auto"/>
                  </w:divBdr>
                  <w:divsChild>
                    <w:div w:id="1819108226">
                      <w:marLeft w:val="0"/>
                      <w:marRight w:val="0"/>
                      <w:marTop w:val="0"/>
                      <w:marBottom w:val="0"/>
                      <w:divBdr>
                        <w:top w:val="none" w:sz="0" w:space="0" w:color="auto"/>
                        <w:left w:val="none" w:sz="0" w:space="0" w:color="auto"/>
                        <w:bottom w:val="none" w:sz="0" w:space="0" w:color="auto"/>
                        <w:right w:val="none" w:sz="0" w:space="0" w:color="auto"/>
                      </w:divBdr>
                    </w:div>
                  </w:divsChild>
                </w:div>
                <w:div w:id="220217135">
                  <w:marLeft w:val="0"/>
                  <w:marRight w:val="0"/>
                  <w:marTop w:val="0"/>
                  <w:marBottom w:val="0"/>
                  <w:divBdr>
                    <w:top w:val="none" w:sz="0" w:space="0" w:color="auto"/>
                    <w:left w:val="none" w:sz="0" w:space="0" w:color="auto"/>
                    <w:bottom w:val="none" w:sz="0" w:space="0" w:color="auto"/>
                    <w:right w:val="none" w:sz="0" w:space="0" w:color="auto"/>
                  </w:divBdr>
                  <w:divsChild>
                    <w:div w:id="276453432">
                      <w:marLeft w:val="0"/>
                      <w:marRight w:val="0"/>
                      <w:marTop w:val="0"/>
                      <w:marBottom w:val="0"/>
                      <w:divBdr>
                        <w:top w:val="none" w:sz="0" w:space="0" w:color="auto"/>
                        <w:left w:val="none" w:sz="0" w:space="0" w:color="auto"/>
                        <w:bottom w:val="none" w:sz="0" w:space="0" w:color="auto"/>
                        <w:right w:val="none" w:sz="0" w:space="0" w:color="auto"/>
                      </w:divBdr>
                    </w:div>
                  </w:divsChild>
                </w:div>
                <w:div w:id="221521255">
                  <w:marLeft w:val="0"/>
                  <w:marRight w:val="0"/>
                  <w:marTop w:val="0"/>
                  <w:marBottom w:val="0"/>
                  <w:divBdr>
                    <w:top w:val="none" w:sz="0" w:space="0" w:color="auto"/>
                    <w:left w:val="none" w:sz="0" w:space="0" w:color="auto"/>
                    <w:bottom w:val="none" w:sz="0" w:space="0" w:color="auto"/>
                    <w:right w:val="none" w:sz="0" w:space="0" w:color="auto"/>
                  </w:divBdr>
                  <w:divsChild>
                    <w:div w:id="125246363">
                      <w:marLeft w:val="0"/>
                      <w:marRight w:val="0"/>
                      <w:marTop w:val="0"/>
                      <w:marBottom w:val="0"/>
                      <w:divBdr>
                        <w:top w:val="none" w:sz="0" w:space="0" w:color="auto"/>
                        <w:left w:val="none" w:sz="0" w:space="0" w:color="auto"/>
                        <w:bottom w:val="none" w:sz="0" w:space="0" w:color="auto"/>
                        <w:right w:val="none" w:sz="0" w:space="0" w:color="auto"/>
                      </w:divBdr>
                    </w:div>
                  </w:divsChild>
                </w:div>
                <w:div w:id="239146511">
                  <w:marLeft w:val="0"/>
                  <w:marRight w:val="0"/>
                  <w:marTop w:val="0"/>
                  <w:marBottom w:val="0"/>
                  <w:divBdr>
                    <w:top w:val="none" w:sz="0" w:space="0" w:color="auto"/>
                    <w:left w:val="none" w:sz="0" w:space="0" w:color="auto"/>
                    <w:bottom w:val="none" w:sz="0" w:space="0" w:color="auto"/>
                    <w:right w:val="none" w:sz="0" w:space="0" w:color="auto"/>
                  </w:divBdr>
                  <w:divsChild>
                    <w:div w:id="1878664995">
                      <w:marLeft w:val="0"/>
                      <w:marRight w:val="0"/>
                      <w:marTop w:val="0"/>
                      <w:marBottom w:val="0"/>
                      <w:divBdr>
                        <w:top w:val="none" w:sz="0" w:space="0" w:color="auto"/>
                        <w:left w:val="none" w:sz="0" w:space="0" w:color="auto"/>
                        <w:bottom w:val="none" w:sz="0" w:space="0" w:color="auto"/>
                        <w:right w:val="none" w:sz="0" w:space="0" w:color="auto"/>
                      </w:divBdr>
                    </w:div>
                  </w:divsChild>
                </w:div>
                <w:div w:id="269707851">
                  <w:marLeft w:val="0"/>
                  <w:marRight w:val="0"/>
                  <w:marTop w:val="0"/>
                  <w:marBottom w:val="0"/>
                  <w:divBdr>
                    <w:top w:val="none" w:sz="0" w:space="0" w:color="auto"/>
                    <w:left w:val="none" w:sz="0" w:space="0" w:color="auto"/>
                    <w:bottom w:val="none" w:sz="0" w:space="0" w:color="auto"/>
                    <w:right w:val="none" w:sz="0" w:space="0" w:color="auto"/>
                  </w:divBdr>
                  <w:divsChild>
                    <w:div w:id="1659456701">
                      <w:marLeft w:val="0"/>
                      <w:marRight w:val="0"/>
                      <w:marTop w:val="0"/>
                      <w:marBottom w:val="0"/>
                      <w:divBdr>
                        <w:top w:val="none" w:sz="0" w:space="0" w:color="auto"/>
                        <w:left w:val="none" w:sz="0" w:space="0" w:color="auto"/>
                        <w:bottom w:val="none" w:sz="0" w:space="0" w:color="auto"/>
                        <w:right w:val="none" w:sz="0" w:space="0" w:color="auto"/>
                      </w:divBdr>
                    </w:div>
                  </w:divsChild>
                </w:div>
                <w:div w:id="307706353">
                  <w:marLeft w:val="0"/>
                  <w:marRight w:val="0"/>
                  <w:marTop w:val="0"/>
                  <w:marBottom w:val="0"/>
                  <w:divBdr>
                    <w:top w:val="none" w:sz="0" w:space="0" w:color="auto"/>
                    <w:left w:val="none" w:sz="0" w:space="0" w:color="auto"/>
                    <w:bottom w:val="none" w:sz="0" w:space="0" w:color="auto"/>
                    <w:right w:val="none" w:sz="0" w:space="0" w:color="auto"/>
                  </w:divBdr>
                  <w:divsChild>
                    <w:div w:id="1291283357">
                      <w:marLeft w:val="0"/>
                      <w:marRight w:val="0"/>
                      <w:marTop w:val="0"/>
                      <w:marBottom w:val="0"/>
                      <w:divBdr>
                        <w:top w:val="none" w:sz="0" w:space="0" w:color="auto"/>
                        <w:left w:val="none" w:sz="0" w:space="0" w:color="auto"/>
                        <w:bottom w:val="none" w:sz="0" w:space="0" w:color="auto"/>
                        <w:right w:val="none" w:sz="0" w:space="0" w:color="auto"/>
                      </w:divBdr>
                    </w:div>
                  </w:divsChild>
                </w:div>
                <w:div w:id="396130029">
                  <w:marLeft w:val="0"/>
                  <w:marRight w:val="0"/>
                  <w:marTop w:val="0"/>
                  <w:marBottom w:val="0"/>
                  <w:divBdr>
                    <w:top w:val="none" w:sz="0" w:space="0" w:color="auto"/>
                    <w:left w:val="none" w:sz="0" w:space="0" w:color="auto"/>
                    <w:bottom w:val="none" w:sz="0" w:space="0" w:color="auto"/>
                    <w:right w:val="none" w:sz="0" w:space="0" w:color="auto"/>
                  </w:divBdr>
                  <w:divsChild>
                    <w:div w:id="1693798413">
                      <w:marLeft w:val="0"/>
                      <w:marRight w:val="0"/>
                      <w:marTop w:val="0"/>
                      <w:marBottom w:val="0"/>
                      <w:divBdr>
                        <w:top w:val="none" w:sz="0" w:space="0" w:color="auto"/>
                        <w:left w:val="none" w:sz="0" w:space="0" w:color="auto"/>
                        <w:bottom w:val="none" w:sz="0" w:space="0" w:color="auto"/>
                        <w:right w:val="none" w:sz="0" w:space="0" w:color="auto"/>
                      </w:divBdr>
                    </w:div>
                  </w:divsChild>
                </w:div>
                <w:div w:id="547257239">
                  <w:marLeft w:val="0"/>
                  <w:marRight w:val="0"/>
                  <w:marTop w:val="0"/>
                  <w:marBottom w:val="0"/>
                  <w:divBdr>
                    <w:top w:val="none" w:sz="0" w:space="0" w:color="auto"/>
                    <w:left w:val="none" w:sz="0" w:space="0" w:color="auto"/>
                    <w:bottom w:val="none" w:sz="0" w:space="0" w:color="auto"/>
                    <w:right w:val="none" w:sz="0" w:space="0" w:color="auto"/>
                  </w:divBdr>
                  <w:divsChild>
                    <w:div w:id="218368278">
                      <w:marLeft w:val="0"/>
                      <w:marRight w:val="0"/>
                      <w:marTop w:val="0"/>
                      <w:marBottom w:val="0"/>
                      <w:divBdr>
                        <w:top w:val="none" w:sz="0" w:space="0" w:color="auto"/>
                        <w:left w:val="none" w:sz="0" w:space="0" w:color="auto"/>
                        <w:bottom w:val="none" w:sz="0" w:space="0" w:color="auto"/>
                        <w:right w:val="none" w:sz="0" w:space="0" w:color="auto"/>
                      </w:divBdr>
                    </w:div>
                    <w:div w:id="1985623968">
                      <w:marLeft w:val="0"/>
                      <w:marRight w:val="0"/>
                      <w:marTop w:val="0"/>
                      <w:marBottom w:val="0"/>
                      <w:divBdr>
                        <w:top w:val="none" w:sz="0" w:space="0" w:color="auto"/>
                        <w:left w:val="none" w:sz="0" w:space="0" w:color="auto"/>
                        <w:bottom w:val="none" w:sz="0" w:space="0" w:color="auto"/>
                        <w:right w:val="none" w:sz="0" w:space="0" w:color="auto"/>
                      </w:divBdr>
                    </w:div>
                  </w:divsChild>
                </w:div>
                <w:div w:id="578639721">
                  <w:marLeft w:val="0"/>
                  <w:marRight w:val="0"/>
                  <w:marTop w:val="0"/>
                  <w:marBottom w:val="0"/>
                  <w:divBdr>
                    <w:top w:val="none" w:sz="0" w:space="0" w:color="auto"/>
                    <w:left w:val="none" w:sz="0" w:space="0" w:color="auto"/>
                    <w:bottom w:val="none" w:sz="0" w:space="0" w:color="auto"/>
                    <w:right w:val="none" w:sz="0" w:space="0" w:color="auto"/>
                  </w:divBdr>
                  <w:divsChild>
                    <w:div w:id="1625581596">
                      <w:marLeft w:val="0"/>
                      <w:marRight w:val="0"/>
                      <w:marTop w:val="0"/>
                      <w:marBottom w:val="0"/>
                      <w:divBdr>
                        <w:top w:val="none" w:sz="0" w:space="0" w:color="auto"/>
                        <w:left w:val="none" w:sz="0" w:space="0" w:color="auto"/>
                        <w:bottom w:val="none" w:sz="0" w:space="0" w:color="auto"/>
                        <w:right w:val="none" w:sz="0" w:space="0" w:color="auto"/>
                      </w:divBdr>
                    </w:div>
                  </w:divsChild>
                </w:div>
                <w:div w:id="591549425">
                  <w:marLeft w:val="0"/>
                  <w:marRight w:val="0"/>
                  <w:marTop w:val="0"/>
                  <w:marBottom w:val="0"/>
                  <w:divBdr>
                    <w:top w:val="none" w:sz="0" w:space="0" w:color="auto"/>
                    <w:left w:val="none" w:sz="0" w:space="0" w:color="auto"/>
                    <w:bottom w:val="none" w:sz="0" w:space="0" w:color="auto"/>
                    <w:right w:val="none" w:sz="0" w:space="0" w:color="auto"/>
                  </w:divBdr>
                  <w:divsChild>
                    <w:div w:id="731197281">
                      <w:marLeft w:val="0"/>
                      <w:marRight w:val="0"/>
                      <w:marTop w:val="0"/>
                      <w:marBottom w:val="0"/>
                      <w:divBdr>
                        <w:top w:val="none" w:sz="0" w:space="0" w:color="auto"/>
                        <w:left w:val="none" w:sz="0" w:space="0" w:color="auto"/>
                        <w:bottom w:val="none" w:sz="0" w:space="0" w:color="auto"/>
                        <w:right w:val="none" w:sz="0" w:space="0" w:color="auto"/>
                      </w:divBdr>
                    </w:div>
                  </w:divsChild>
                </w:div>
                <w:div w:id="669723070">
                  <w:marLeft w:val="0"/>
                  <w:marRight w:val="0"/>
                  <w:marTop w:val="0"/>
                  <w:marBottom w:val="0"/>
                  <w:divBdr>
                    <w:top w:val="none" w:sz="0" w:space="0" w:color="auto"/>
                    <w:left w:val="none" w:sz="0" w:space="0" w:color="auto"/>
                    <w:bottom w:val="none" w:sz="0" w:space="0" w:color="auto"/>
                    <w:right w:val="none" w:sz="0" w:space="0" w:color="auto"/>
                  </w:divBdr>
                  <w:divsChild>
                    <w:div w:id="1794328519">
                      <w:marLeft w:val="0"/>
                      <w:marRight w:val="0"/>
                      <w:marTop w:val="0"/>
                      <w:marBottom w:val="0"/>
                      <w:divBdr>
                        <w:top w:val="none" w:sz="0" w:space="0" w:color="auto"/>
                        <w:left w:val="none" w:sz="0" w:space="0" w:color="auto"/>
                        <w:bottom w:val="none" w:sz="0" w:space="0" w:color="auto"/>
                        <w:right w:val="none" w:sz="0" w:space="0" w:color="auto"/>
                      </w:divBdr>
                    </w:div>
                  </w:divsChild>
                </w:div>
                <w:div w:id="860893498">
                  <w:marLeft w:val="0"/>
                  <w:marRight w:val="0"/>
                  <w:marTop w:val="0"/>
                  <w:marBottom w:val="0"/>
                  <w:divBdr>
                    <w:top w:val="none" w:sz="0" w:space="0" w:color="auto"/>
                    <w:left w:val="none" w:sz="0" w:space="0" w:color="auto"/>
                    <w:bottom w:val="none" w:sz="0" w:space="0" w:color="auto"/>
                    <w:right w:val="none" w:sz="0" w:space="0" w:color="auto"/>
                  </w:divBdr>
                  <w:divsChild>
                    <w:div w:id="2080203978">
                      <w:marLeft w:val="0"/>
                      <w:marRight w:val="0"/>
                      <w:marTop w:val="0"/>
                      <w:marBottom w:val="0"/>
                      <w:divBdr>
                        <w:top w:val="none" w:sz="0" w:space="0" w:color="auto"/>
                        <w:left w:val="none" w:sz="0" w:space="0" w:color="auto"/>
                        <w:bottom w:val="none" w:sz="0" w:space="0" w:color="auto"/>
                        <w:right w:val="none" w:sz="0" w:space="0" w:color="auto"/>
                      </w:divBdr>
                    </w:div>
                  </w:divsChild>
                </w:div>
                <w:div w:id="895043761">
                  <w:marLeft w:val="0"/>
                  <w:marRight w:val="0"/>
                  <w:marTop w:val="0"/>
                  <w:marBottom w:val="0"/>
                  <w:divBdr>
                    <w:top w:val="none" w:sz="0" w:space="0" w:color="auto"/>
                    <w:left w:val="none" w:sz="0" w:space="0" w:color="auto"/>
                    <w:bottom w:val="none" w:sz="0" w:space="0" w:color="auto"/>
                    <w:right w:val="none" w:sz="0" w:space="0" w:color="auto"/>
                  </w:divBdr>
                  <w:divsChild>
                    <w:div w:id="1814328483">
                      <w:marLeft w:val="0"/>
                      <w:marRight w:val="0"/>
                      <w:marTop w:val="0"/>
                      <w:marBottom w:val="0"/>
                      <w:divBdr>
                        <w:top w:val="none" w:sz="0" w:space="0" w:color="auto"/>
                        <w:left w:val="none" w:sz="0" w:space="0" w:color="auto"/>
                        <w:bottom w:val="none" w:sz="0" w:space="0" w:color="auto"/>
                        <w:right w:val="none" w:sz="0" w:space="0" w:color="auto"/>
                      </w:divBdr>
                    </w:div>
                  </w:divsChild>
                </w:div>
                <w:div w:id="913467649">
                  <w:marLeft w:val="0"/>
                  <w:marRight w:val="0"/>
                  <w:marTop w:val="0"/>
                  <w:marBottom w:val="0"/>
                  <w:divBdr>
                    <w:top w:val="none" w:sz="0" w:space="0" w:color="auto"/>
                    <w:left w:val="none" w:sz="0" w:space="0" w:color="auto"/>
                    <w:bottom w:val="none" w:sz="0" w:space="0" w:color="auto"/>
                    <w:right w:val="none" w:sz="0" w:space="0" w:color="auto"/>
                  </w:divBdr>
                  <w:divsChild>
                    <w:div w:id="1419017426">
                      <w:marLeft w:val="0"/>
                      <w:marRight w:val="0"/>
                      <w:marTop w:val="0"/>
                      <w:marBottom w:val="0"/>
                      <w:divBdr>
                        <w:top w:val="none" w:sz="0" w:space="0" w:color="auto"/>
                        <w:left w:val="none" w:sz="0" w:space="0" w:color="auto"/>
                        <w:bottom w:val="none" w:sz="0" w:space="0" w:color="auto"/>
                        <w:right w:val="none" w:sz="0" w:space="0" w:color="auto"/>
                      </w:divBdr>
                    </w:div>
                  </w:divsChild>
                </w:div>
                <w:div w:id="951784477">
                  <w:marLeft w:val="0"/>
                  <w:marRight w:val="0"/>
                  <w:marTop w:val="0"/>
                  <w:marBottom w:val="0"/>
                  <w:divBdr>
                    <w:top w:val="none" w:sz="0" w:space="0" w:color="auto"/>
                    <w:left w:val="none" w:sz="0" w:space="0" w:color="auto"/>
                    <w:bottom w:val="none" w:sz="0" w:space="0" w:color="auto"/>
                    <w:right w:val="none" w:sz="0" w:space="0" w:color="auto"/>
                  </w:divBdr>
                  <w:divsChild>
                    <w:div w:id="1574318665">
                      <w:marLeft w:val="0"/>
                      <w:marRight w:val="0"/>
                      <w:marTop w:val="0"/>
                      <w:marBottom w:val="0"/>
                      <w:divBdr>
                        <w:top w:val="none" w:sz="0" w:space="0" w:color="auto"/>
                        <w:left w:val="none" w:sz="0" w:space="0" w:color="auto"/>
                        <w:bottom w:val="none" w:sz="0" w:space="0" w:color="auto"/>
                        <w:right w:val="none" w:sz="0" w:space="0" w:color="auto"/>
                      </w:divBdr>
                    </w:div>
                  </w:divsChild>
                </w:div>
                <w:div w:id="1160538164">
                  <w:marLeft w:val="0"/>
                  <w:marRight w:val="0"/>
                  <w:marTop w:val="0"/>
                  <w:marBottom w:val="0"/>
                  <w:divBdr>
                    <w:top w:val="none" w:sz="0" w:space="0" w:color="auto"/>
                    <w:left w:val="none" w:sz="0" w:space="0" w:color="auto"/>
                    <w:bottom w:val="none" w:sz="0" w:space="0" w:color="auto"/>
                    <w:right w:val="none" w:sz="0" w:space="0" w:color="auto"/>
                  </w:divBdr>
                  <w:divsChild>
                    <w:div w:id="40902747">
                      <w:marLeft w:val="0"/>
                      <w:marRight w:val="0"/>
                      <w:marTop w:val="0"/>
                      <w:marBottom w:val="0"/>
                      <w:divBdr>
                        <w:top w:val="none" w:sz="0" w:space="0" w:color="auto"/>
                        <w:left w:val="none" w:sz="0" w:space="0" w:color="auto"/>
                        <w:bottom w:val="none" w:sz="0" w:space="0" w:color="auto"/>
                        <w:right w:val="none" w:sz="0" w:space="0" w:color="auto"/>
                      </w:divBdr>
                    </w:div>
                  </w:divsChild>
                </w:div>
                <w:div w:id="1166094859">
                  <w:marLeft w:val="0"/>
                  <w:marRight w:val="0"/>
                  <w:marTop w:val="0"/>
                  <w:marBottom w:val="0"/>
                  <w:divBdr>
                    <w:top w:val="none" w:sz="0" w:space="0" w:color="auto"/>
                    <w:left w:val="none" w:sz="0" w:space="0" w:color="auto"/>
                    <w:bottom w:val="none" w:sz="0" w:space="0" w:color="auto"/>
                    <w:right w:val="none" w:sz="0" w:space="0" w:color="auto"/>
                  </w:divBdr>
                  <w:divsChild>
                    <w:div w:id="709379525">
                      <w:marLeft w:val="0"/>
                      <w:marRight w:val="0"/>
                      <w:marTop w:val="0"/>
                      <w:marBottom w:val="0"/>
                      <w:divBdr>
                        <w:top w:val="none" w:sz="0" w:space="0" w:color="auto"/>
                        <w:left w:val="none" w:sz="0" w:space="0" w:color="auto"/>
                        <w:bottom w:val="none" w:sz="0" w:space="0" w:color="auto"/>
                        <w:right w:val="none" w:sz="0" w:space="0" w:color="auto"/>
                      </w:divBdr>
                    </w:div>
                  </w:divsChild>
                </w:div>
                <w:div w:id="1262760103">
                  <w:marLeft w:val="0"/>
                  <w:marRight w:val="0"/>
                  <w:marTop w:val="0"/>
                  <w:marBottom w:val="0"/>
                  <w:divBdr>
                    <w:top w:val="none" w:sz="0" w:space="0" w:color="auto"/>
                    <w:left w:val="none" w:sz="0" w:space="0" w:color="auto"/>
                    <w:bottom w:val="none" w:sz="0" w:space="0" w:color="auto"/>
                    <w:right w:val="none" w:sz="0" w:space="0" w:color="auto"/>
                  </w:divBdr>
                  <w:divsChild>
                    <w:div w:id="1867861797">
                      <w:marLeft w:val="0"/>
                      <w:marRight w:val="0"/>
                      <w:marTop w:val="0"/>
                      <w:marBottom w:val="0"/>
                      <w:divBdr>
                        <w:top w:val="none" w:sz="0" w:space="0" w:color="auto"/>
                        <w:left w:val="none" w:sz="0" w:space="0" w:color="auto"/>
                        <w:bottom w:val="none" w:sz="0" w:space="0" w:color="auto"/>
                        <w:right w:val="none" w:sz="0" w:space="0" w:color="auto"/>
                      </w:divBdr>
                    </w:div>
                  </w:divsChild>
                </w:div>
                <w:div w:id="1330907964">
                  <w:marLeft w:val="0"/>
                  <w:marRight w:val="0"/>
                  <w:marTop w:val="0"/>
                  <w:marBottom w:val="0"/>
                  <w:divBdr>
                    <w:top w:val="none" w:sz="0" w:space="0" w:color="auto"/>
                    <w:left w:val="none" w:sz="0" w:space="0" w:color="auto"/>
                    <w:bottom w:val="none" w:sz="0" w:space="0" w:color="auto"/>
                    <w:right w:val="none" w:sz="0" w:space="0" w:color="auto"/>
                  </w:divBdr>
                  <w:divsChild>
                    <w:div w:id="1143766757">
                      <w:marLeft w:val="0"/>
                      <w:marRight w:val="0"/>
                      <w:marTop w:val="0"/>
                      <w:marBottom w:val="0"/>
                      <w:divBdr>
                        <w:top w:val="none" w:sz="0" w:space="0" w:color="auto"/>
                        <w:left w:val="none" w:sz="0" w:space="0" w:color="auto"/>
                        <w:bottom w:val="none" w:sz="0" w:space="0" w:color="auto"/>
                        <w:right w:val="none" w:sz="0" w:space="0" w:color="auto"/>
                      </w:divBdr>
                    </w:div>
                    <w:div w:id="1180777375">
                      <w:marLeft w:val="0"/>
                      <w:marRight w:val="0"/>
                      <w:marTop w:val="0"/>
                      <w:marBottom w:val="0"/>
                      <w:divBdr>
                        <w:top w:val="none" w:sz="0" w:space="0" w:color="auto"/>
                        <w:left w:val="none" w:sz="0" w:space="0" w:color="auto"/>
                        <w:bottom w:val="none" w:sz="0" w:space="0" w:color="auto"/>
                        <w:right w:val="none" w:sz="0" w:space="0" w:color="auto"/>
                      </w:divBdr>
                    </w:div>
                  </w:divsChild>
                </w:div>
                <w:div w:id="1421367686">
                  <w:marLeft w:val="0"/>
                  <w:marRight w:val="0"/>
                  <w:marTop w:val="0"/>
                  <w:marBottom w:val="0"/>
                  <w:divBdr>
                    <w:top w:val="none" w:sz="0" w:space="0" w:color="auto"/>
                    <w:left w:val="none" w:sz="0" w:space="0" w:color="auto"/>
                    <w:bottom w:val="none" w:sz="0" w:space="0" w:color="auto"/>
                    <w:right w:val="none" w:sz="0" w:space="0" w:color="auto"/>
                  </w:divBdr>
                  <w:divsChild>
                    <w:div w:id="1603301249">
                      <w:marLeft w:val="0"/>
                      <w:marRight w:val="0"/>
                      <w:marTop w:val="0"/>
                      <w:marBottom w:val="0"/>
                      <w:divBdr>
                        <w:top w:val="none" w:sz="0" w:space="0" w:color="auto"/>
                        <w:left w:val="none" w:sz="0" w:space="0" w:color="auto"/>
                        <w:bottom w:val="none" w:sz="0" w:space="0" w:color="auto"/>
                        <w:right w:val="none" w:sz="0" w:space="0" w:color="auto"/>
                      </w:divBdr>
                    </w:div>
                  </w:divsChild>
                </w:div>
                <w:div w:id="1460489543">
                  <w:marLeft w:val="0"/>
                  <w:marRight w:val="0"/>
                  <w:marTop w:val="0"/>
                  <w:marBottom w:val="0"/>
                  <w:divBdr>
                    <w:top w:val="none" w:sz="0" w:space="0" w:color="auto"/>
                    <w:left w:val="none" w:sz="0" w:space="0" w:color="auto"/>
                    <w:bottom w:val="none" w:sz="0" w:space="0" w:color="auto"/>
                    <w:right w:val="none" w:sz="0" w:space="0" w:color="auto"/>
                  </w:divBdr>
                  <w:divsChild>
                    <w:div w:id="360671534">
                      <w:marLeft w:val="0"/>
                      <w:marRight w:val="0"/>
                      <w:marTop w:val="0"/>
                      <w:marBottom w:val="0"/>
                      <w:divBdr>
                        <w:top w:val="none" w:sz="0" w:space="0" w:color="auto"/>
                        <w:left w:val="none" w:sz="0" w:space="0" w:color="auto"/>
                        <w:bottom w:val="none" w:sz="0" w:space="0" w:color="auto"/>
                        <w:right w:val="none" w:sz="0" w:space="0" w:color="auto"/>
                      </w:divBdr>
                    </w:div>
                    <w:div w:id="544609610">
                      <w:marLeft w:val="0"/>
                      <w:marRight w:val="0"/>
                      <w:marTop w:val="0"/>
                      <w:marBottom w:val="0"/>
                      <w:divBdr>
                        <w:top w:val="none" w:sz="0" w:space="0" w:color="auto"/>
                        <w:left w:val="none" w:sz="0" w:space="0" w:color="auto"/>
                        <w:bottom w:val="none" w:sz="0" w:space="0" w:color="auto"/>
                        <w:right w:val="none" w:sz="0" w:space="0" w:color="auto"/>
                      </w:divBdr>
                    </w:div>
                  </w:divsChild>
                </w:div>
                <w:div w:id="1495608616">
                  <w:marLeft w:val="0"/>
                  <w:marRight w:val="0"/>
                  <w:marTop w:val="0"/>
                  <w:marBottom w:val="0"/>
                  <w:divBdr>
                    <w:top w:val="none" w:sz="0" w:space="0" w:color="auto"/>
                    <w:left w:val="none" w:sz="0" w:space="0" w:color="auto"/>
                    <w:bottom w:val="none" w:sz="0" w:space="0" w:color="auto"/>
                    <w:right w:val="none" w:sz="0" w:space="0" w:color="auto"/>
                  </w:divBdr>
                  <w:divsChild>
                    <w:div w:id="2142382268">
                      <w:marLeft w:val="0"/>
                      <w:marRight w:val="0"/>
                      <w:marTop w:val="0"/>
                      <w:marBottom w:val="0"/>
                      <w:divBdr>
                        <w:top w:val="none" w:sz="0" w:space="0" w:color="auto"/>
                        <w:left w:val="none" w:sz="0" w:space="0" w:color="auto"/>
                        <w:bottom w:val="none" w:sz="0" w:space="0" w:color="auto"/>
                        <w:right w:val="none" w:sz="0" w:space="0" w:color="auto"/>
                      </w:divBdr>
                    </w:div>
                  </w:divsChild>
                </w:div>
                <w:div w:id="1601520795">
                  <w:marLeft w:val="0"/>
                  <w:marRight w:val="0"/>
                  <w:marTop w:val="0"/>
                  <w:marBottom w:val="0"/>
                  <w:divBdr>
                    <w:top w:val="none" w:sz="0" w:space="0" w:color="auto"/>
                    <w:left w:val="none" w:sz="0" w:space="0" w:color="auto"/>
                    <w:bottom w:val="none" w:sz="0" w:space="0" w:color="auto"/>
                    <w:right w:val="none" w:sz="0" w:space="0" w:color="auto"/>
                  </w:divBdr>
                  <w:divsChild>
                    <w:div w:id="392890544">
                      <w:marLeft w:val="0"/>
                      <w:marRight w:val="0"/>
                      <w:marTop w:val="0"/>
                      <w:marBottom w:val="0"/>
                      <w:divBdr>
                        <w:top w:val="none" w:sz="0" w:space="0" w:color="auto"/>
                        <w:left w:val="none" w:sz="0" w:space="0" w:color="auto"/>
                        <w:bottom w:val="none" w:sz="0" w:space="0" w:color="auto"/>
                        <w:right w:val="none" w:sz="0" w:space="0" w:color="auto"/>
                      </w:divBdr>
                    </w:div>
                  </w:divsChild>
                </w:div>
                <w:div w:id="1990860221">
                  <w:marLeft w:val="0"/>
                  <w:marRight w:val="0"/>
                  <w:marTop w:val="0"/>
                  <w:marBottom w:val="0"/>
                  <w:divBdr>
                    <w:top w:val="none" w:sz="0" w:space="0" w:color="auto"/>
                    <w:left w:val="none" w:sz="0" w:space="0" w:color="auto"/>
                    <w:bottom w:val="none" w:sz="0" w:space="0" w:color="auto"/>
                    <w:right w:val="none" w:sz="0" w:space="0" w:color="auto"/>
                  </w:divBdr>
                  <w:divsChild>
                    <w:div w:id="607859929">
                      <w:marLeft w:val="0"/>
                      <w:marRight w:val="0"/>
                      <w:marTop w:val="0"/>
                      <w:marBottom w:val="0"/>
                      <w:divBdr>
                        <w:top w:val="none" w:sz="0" w:space="0" w:color="auto"/>
                        <w:left w:val="none" w:sz="0" w:space="0" w:color="auto"/>
                        <w:bottom w:val="none" w:sz="0" w:space="0" w:color="auto"/>
                        <w:right w:val="none" w:sz="0" w:space="0" w:color="auto"/>
                      </w:divBdr>
                    </w:div>
                  </w:divsChild>
                </w:div>
                <w:div w:id="2027100478">
                  <w:marLeft w:val="0"/>
                  <w:marRight w:val="0"/>
                  <w:marTop w:val="0"/>
                  <w:marBottom w:val="0"/>
                  <w:divBdr>
                    <w:top w:val="none" w:sz="0" w:space="0" w:color="auto"/>
                    <w:left w:val="none" w:sz="0" w:space="0" w:color="auto"/>
                    <w:bottom w:val="none" w:sz="0" w:space="0" w:color="auto"/>
                    <w:right w:val="none" w:sz="0" w:space="0" w:color="auto"/>
                  </w:divBdr>
                  <w:divsChild>
                    <w:div w:id="99298283">
                      <w:marLeft w:val="0"/>
                      <w:marRight w:val="0"/>
                      <w:marTop w:val="0"/>
                      <w:marBottom w:val="0"/>
                      <w:divBdr>
                        <w:top w:val="none" w:sz="0" w:space="0" w:color="auto"/>
                        <w:left w:val="none" w:sz="0" w:space="0" w:color="auto"/>
                        <w:bottom w:val="none" w:sz="0" w:space="0" w:color="auto"/>
                        <w:right w:val="none" w:sz="0" w:space="0" w:color="auto"/>
                      </w:divBdr>
                    </w:div>
                  </w:divsChild>
                </w:div>
                <w:div w:id="2040088196">
                  <w:marLeft w:val="0"/>
                  <w:marRight w:val="0"/>
                  <w:marTop w:val="0"/>
                  <w:marBottom w:val="0"/>
                  <w:divBdr>
                    <w:top w:val="none" w:sz="0" w:space="0" w:color="auto"/>
                    <w:left w:val="none" w:sz="0" w:space="0" w:color="auto"/>
                    <w:bottom w:val="none" w:sz="0" w:space="0" w:color="auto"/>
                    <w:right w:val="none" w:sz="0" w:space="0" w:color="auto"/>
                  </w:divBdr>
                  <w:divsChild>
                    <w:div w:id="2048486357">
                      <w:marLeft w:val="0"/>
                      <w:marRight w:val="0"/>
                      <w:marTop w:val="0"/>
                      <w:marBottom w:val="0"/>
                      <w:divBdr>
                        <w:top w:val="none" w:sz="0" w:space="0" w:color="auto"/>
                        <w:left w:val="none" w:sz="0" w:space="0" w:color="auto"/>
                        <w:bottom w:val="none" w:sz="0" w:space="0" w:color="auto"/>
                        <w:right w:val="none" w:sz="0" w:space="0" w:color="auto"/>
                      </w:divBdr>
                    </w:div>
                  </w:divsChild>
                </w:div>
                <w:div w:id="2117561138">
                  <w:marLeft w:val="0"/>
                  <w:marRight w:val="0"/>
                  <w:marTop w:val="0"/>
                  <w:marBottom w:val="0"/>
                  <w:divBdr>
                    <w:top w:val="none" w:sz="0" w:space="0" w:color="auto"/>
                    <w:left w:val="none" w:sz="0" w:space="0" w:color="auto"/>
                    <w:bottom w:val="none" w:sz="0" w:space="0" w:color="auto"/>
                    <w:right w:val="none" w:sz="0" w:space="0" w:color="auto"/>
                  </w:divBdr>
                  <w:divsChild>
                    <w:div w:id="1817992128">
                      <w:marLeft w:val="0"/>
                      <w:marRight w:val="0"/>
                      <w:marTop w:val="0"/>
                      <w:marBottom w:val="0"/>
                      <w:divBdr>
                        <w:top w:val="none" w:sz="0" w:space="0" w:color="auto"/>
                        <w:left w:val="none" w:sz="0" w:space="0" w:color="auto"/>
                        <w:bottom w:val="none" w:sz="0" w:space="0" w:color="auto"/>
                        <w:right w:val="none" w:sz="0" w:space="0" w:color="auto"/>
                      </w:divBdr>
                    </w:div>
                  </w:divsChild>
                </w:div>
                <w:div w:id="2136095620">
                  <w:marLeft w:val="0"/>
                  <w:marRight w:val="0"/>
                  <w:marTop w:val="0"/>
                  <w:marBottom w:val="0"/>
                  <w:divBdr>
                    <w:top w:val="none" w:sz="0" w:space="0" w:color="auto"/>
                    <w:left w:val="none" w:sz="0" w:space="0" w:color="auto"/>
                    <w:bottom w:val="none" w:sz="0" w:space="0" w:color="auto"/>
                    <w:right w:val="none" w:sz="0" w:space="0" w:color="auto"/>
                  </w:divBdr>
                  <w:divsChild>
                    <w:div w:id="593632455">
                      <w:marLeft w:val="0"/>
                      <w:marRight w:val="0"/>
                      <w:marTop w:val="0"/>
                      <w:marBottom w:val="0"/>
                      <w:divBdr>
                        <w:top w:val="none" w:sz="0" w:space="0" w:color="auto"/>
                        <w:left w:val="none" w:sz="0" w:space="0" w:color="auto"/>
                        <w:bottom w:val="none" w:sz="0" w:space="0" w:color="auto"/>
                        <w:right w:val="none" w:sz="0" w:space="0" w:color="auto"/>
                      </w:divBdr>
                    </w:div>
                    <w:div w:id="1286154197">
                      <w:marLeft w:val="0"/>
                      <w:marRight w:val="0"/>
                      <w:marTop w:val="0"/>
                      <w:marBottom w:val="0"/>
                      <w:divBdr>
                        <w:top w:val="none" w:sz="0" w:space="0" w:color="auto"/>
                        <w:left w:val="none" w:sz="0" w:space="0" w:color="auto"/>
                        <w:bottom w:val="none" w:sz="0" w:space="0" w:color="auto"/>
                        <w:right w:val="none" w:sz="0" w:space="0" w:color="auto"/>
                      </w:divBdr>
                    </w:div>
                    <w:div w:id="18312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917036">
          <w:marLeft w:val="0"/>
          <w:marRight w:val="0"/>
          <w:marTop w:val="0"/>
          <w:marBottom w:val="0"/>
          <w:divBdr>
            <w:top w:val="none" w:sz="0" w:space="0" w:color="auto"/>
            <w:left w:val="none" w:sz="0" w:space="0" w:color="auto"/>
            <w:bottom w:val="none" w:sz="0" w:space="0" w:color="auto"/>
            <w:right w:val="none" w:sz="0" w:space="0" w:color="auto"/>
          </w:divBdr>
        </w:div>
        <w:div w:id="1546480046">
          <w:marLeft w:val="0"/>
          <w:marRight w:val="0"/>
          <w:marTop w:val="0"/>
          <w:marBottom w:val="0"/>
          <w:divBdr>
            <w:top w:val="none" w:sz="0" w:space="0" w:color="auto"/>
            <w:left w:val="none" w:sz="0" w:space="0" w:color="auto"/>
            <w:bottom w:val="none" w:sz="0" w:space="0" w:color="auto"/>
            <w:right w:val="none" w:sz="0" w:space="0" w:color="auto"/>
          </w:divBdr>
        </w:div>
        <w:div w:id="1791706512">
          <w:marLeft w:val="0"/>
          <w:marRight w:val="0"/>
          <w:marTop w:val="0"/>
          <w:marBottom w:val="0"/>
          <w:divBdr>
            <w:top w:val="none" w:sz="0" w:space="0" w:color="auto"/>
            <w:left w:val="none" w:sz="0" w:space="0" w:color="auto"/>
            <w:bottom w:val="none" w:sz="0" w:space="0" w:color="auto"/>
            <w:right w:val="none" w:sz="0" w:space="0" w:color="auto"/>
          </w:divBdr>
        </w:div>
        <w:div w:id="1914462133">
          <w:marLeft w:val="0"/>
          <w:marRight w:val="0"/>
          <w:marTop w:val="0"/>
          <w:marBottom w:val="0"/>
          <w:divBdr>
            <w:top w:val="none" w:sz="0" w:space="0" w:color="auto"/>
            <w:left w:val="none" w:sz="0" w:space="0" w:color="auto"/>
            <w:bottom w:val="none" w:sz="0" w:space="0" w:color="auto"/>
            <w:right w:val="none" w:sz="0" w:space="0" w:color="auto"/>
          </w:divBdr>
        </w:div>
        <w:div w:id="2022125390">
          <w:marLeft w:val="0"/>
          <w:marRight w:val="0"/>
          <w:marTop w:val="0"/>
          <w:marBottom w:val="0"/>
          <w:divBdr>
            <w:top w:val="none" w:sz="0" w:space="0" w:color="auto"/>
            <w:left w:val="none" w:sz="0" w:space="0" w:color="auto"/>
            <w:bottom w:val="none" w:sz="0" w:space="0" w:color="auto"/>
            <w:right w:val="none" w:sz="0" w:space="0" w:color="auto"/>
          </w:divBdr>
        </w:div>
      </w:divsChild>
    </w:div>
    <w:div w:id="1445923367">
      <w:bodyDiv w:val="1"/>
      <w:marLeft w:val="0"/>
      <w:marRight w:val="0"/>
      <w:marTop w:val="0"/>
      <w:marBottom w:val="0"/>
      <w:divBdr>
        <w:top w:val="none" w:sz="0" w:space="0" w:color="auto"/>
        <w:left w:val="none" w:sz="0" w:space="0" w:color="auto"/>
        <w:bottom w:val="none" w:sz="0" w:space="0" w:color="auto"/>
        <w:right w:val="none" w:sz="0" w:space="0" w:color="auto"/>
      </w:divBdr>
    </w:div>
    <w:div w:id="1483426043">
      <w:bodyDiv w:val="1"/>
      <w:marLeft w:val="0"/>
      <w:marRight w:val="0"/>
      <w:marTop w:val="0"/>
      <w:marBottom w:val="0"/>
      <w:divBdr>
        <w:top w:val="none" w:sz="0" w:space="0" w:color="auto"/>
        <w:left w:val="none" w:sz="0" w:space="0" w:color="auto"/>
        <w:bottom w:val="none" w:sz="0" w:space="0" w:color="auto"/>
        <w:right w:val="none" w:sz="0" w:space="0" w:color="auto"/>
      </w:divBdr>
    </w:div>
    <w:div w:id="1546286956">
      <w:bodyDiv w:val="1"/>
      <w:marLeft w:val="0"/>
      <w:marRight w:val="0"/>
      <w:marTop w:val="0"/>
      <w:marBottom w:val="0"/>
      <w:divBdr>
        <w:top w:val="none" w:sz="0" w:space="0" w:color="auto"/>
        <w:left w:val="none" w:sz="0" w:space="0" w:color="auto"/>
        <w:bottom w:val="none" w:sz="0" w:space="0" w:color="auto"/>
        <w:right w:val="none" w:sz="0" w:space="0" w:color="auto"/>
      </w:divBdr>
    </w:div>
    <w:div w:id="1546596384">
      <w:bodyDiv w:val="1"/>
      <w:marLeft w:val="0"/>
      <w:marRight w:val="0"/>
      <w:marTop w:val="0"/>
      <w:marBottom w:val="0"/>
      <w:divBdr>
        <w:top w:val="none" w:sz="0" w:space="0" w:color="auto"/>
        <w:left w:val="none" w:sz="0" w:space="0" w:color="auto"/>
        <w:bottom w:val="none" w:sz="0" w:space="0" w:color="auto"/>
        <w:right w:val="none" w:sz="0" w:space="0" w:color="auto"/>
      </w:divBdr>
    </w:div>
    <w:div w:id="1594317182">
      <w:bodyDiv w:val="1"/>
      <w:marLeft w:val="0"/>
      <w:marRight w:val="0"/>
      <w:marTop w:val="0"/>
      <w:marBottom w:val="0"/>
      <w:divBdr>
        <w:top w:val="none" w:sz="0" w:space="0" w:color="auto"/>
        <w:left w:val="none" w:sz="0" w:space="0" w:color="auto"/>
        <w:bottom w:val="none" w:sz="0" w:space="0" w:color="auto"/>
        <w:right w:val="none" w:sz="0" w:space="0" w:color="auto"/>
      </w:divBdr>
    </w:div>
    <w:div w:id="1637098346">
      <w:bodyDiv w:val="1"/>
      <w:marLeft w:val="0"/>
      <w:marRight w:val="0"/>
      <w:marTop w:val="0"/>
      <w:marBottom w:val="0"/>
      <w:divBdr>
        <w:top w:val="none" w:sz="0" w:space="0" w:color="auto"/>
        <w:left w:val="none" w:sz="0" w:space="0" w:color="auto"/>
        <w:bottom w:val="none" w:sz="0" w:space="0" w:color="auto"/>
        <w:right w:val="none" w:sz="0" w:space="0" w:color="auto"/>
      </w:divBdr>
    </w:div>
    <w:div w:id="1686664789">
      <w:bodyDiv w:val="1"/>
      <w:marLeft w:val="0"/>
      <w:marRight w:val="0"/>
      <w:marTop w:val="0"/>
      <w:marBottom w:val="0"/>
      <w:divBdr>
        <w:top w:val="none" w:sz="0" w:space="0" w:color="auto"/>
        <w:left w:val="none" w:sz="0" w:space="0" w:color="auto"/>
        <w:bottom w:val="none" w:sz="0" w:space="0" w:color="auto"/>
        <w:right w:val="none" w:sz="0" w:space="0" w:color="auto"/>
      </w:divBdr>
    </w:div>
    <w:div w:id="1755274892">
      <w:bodyDiv w:val="1"/>
      <w:marLeft w:val="0"/>
      <w:marRight w:val="0"/>
      <w:marTop w:val="0"/>
      <w:marBottom w:val="0"/>
      <w:divBdr>
        <w:top w:val="none" w:sz="0" w:space="0" w:color="auto"/>
        <w:left w:val="none" w:sz="0" w:space="0" w:color="auto"/>
        <w:bottom w:val="none" w:sz="0" w:space="0" w:color="auto"/>
        <w:right w:val="none" w:sz="0" w:space="0" w:color="auto"/>
      </w:divBdr>
    </w:div>
    <w:div w:id="1763069177">
      <w:bodyDiv w:val="1"/>
      <w:marLeft w:val="0"/>
      <w:marRight w:val="0"/>
      <w:marTop w:val="0"/>
      <w:marBottom w:val="0"/>
      <w:divBdr>
        <w:top w:val="none" w:sz="0" w:space="0" w:color="auto"/>
        <w:left w:val="none" w:sz="0" w:space="0" w:color="auto"/>
        <w:bottom w:val="none" w:sz="0" w:space="0" w:color="auto"/>
        <w:right w:val="none" w:sz="0" w:space="0" w:color="auto"/>
      </w:divBdr>
    </w:div>
    <w:div w:id="1769883000">
      <w:bodyDiv w:val="1"/>
      <w:marLeft w:val="0"/>
      <w:marRight w:val="0"/>
      <w:marTop w:val="0"/>
      <w:marBottom w:val="0"/>
      <w:divBdr>
        <w:top w:val="none" w:sz="0" w:space="0" w:color="auto"/>
        <w:left w:val="none" w:sz="0" w:space="0" w:color="auto"/>
        <w:bottom w:val="none" w:sz="0" w:space="0" w:color="auto"/>
        <w:right w:val="none" w:sz="0" w:space="0" w:color="auto"/>
      </w:divBdr>
    </w:div>
    <w:div w:id="1776360868">
      <w:bodyDiv w:val="1"/>
      <w:marLeft w:val="0"/>
      <w:marRight w:val="0"/>
      <w:marTop w:val="0"/>
      <w:marBottom w:val="0"/>
      <w:divBdr>
        <w:top w:val="none" w:sz="0" w:space="0" w:color="auto"/>
        <w:left w:val="none" w:sz="0" w:space="0" w:color="auto"/>
        <w:bottom w:val="none" w:sz="0" w:space="0" w:color="auto"/>
        <w:right w:val="none" w:sz="0" w:space="0" w:color="auto"/>
      </w:divBdr>
    </w:div>
    <w:div w:id="1816143439">
      <w:bodyDiv w:val="1"/>
      <w:marLeft w:val="0"/>
      <w:marRight w:val="0"/>
      <w:marTop w:val="0"/>
      <w:marBottom w:val="0"/>
      <w:divBdr>
        <w:top w:val="none" w:sz="0" w:space="0" w:color="auto"/>
        <w:left w:val="none" w:sz="0" w:space="0" w:color="auto"/>
        <w:bottom w:val="none" w:sz="0" w:space="0" w:color="auto"/>
        <w:right w:val="none" w:sz="0" w:space="0" w:color="auto"/>
      </w:divBdr>
    </w:div>
    <w:div w:id="1853105714">
      <w:bodyDiv w:val="1"/>
      <w:marLeft w:val="0"/>
      <w:marRight w:val="0"/>
      <w:marTop w:val="0"/>
      <w:marBottom w:val="0"/>
      <w:divBdr>
        <w:top w:val="none" w:sz="0" w:space="0" w:color="auto"/>
        <w:left w:val="none" w:sz="0" w:space="0" w:color="auto"/>
        <w:bottom w:val="none" w:sz="0" w:space="0" w:color="auto"/>
        <w:right w:val="none" w:sz="0" w:space="0" w:color="auto"/>
      </w:divBdr>
    </w:div>
    <w:div w:id="1870491234">
      <w:bodyDiv w:val="1"/>
      <w:marLeft w:val="0"/>
      <w:marRight w:val="0"/>
      <w:marTop w:val="0"/>
      <w:marBottom w:val="0"/>
      <w:divBdr>
        <w:top w:val="none" w:sz="0" w:space="0" w:color="auto"/>
        <w:left w:val="none" w:sz="0" w:space="0" w:color="auto"/>
        <w:bottom w:val="none" w:sz="0" w:space="0" w:color="auto"/>
        <w:right w:val="none" w:sz="0" w:space="0" w:color="auto"/>
      </w:divBdr>
    </w:div>
    <w:div w:id="1892811032">
      <w:bodyDiv w:val="1"/>
      <w:marLeft w:val="0"/>
      <w:marRight w:val="0"/>
      <w:marTop w:val="0"/>
      <w:marBottom w:val="0"/>
      <w:divBdr>
        <w:top w:val="none" w:sz="0" w:space="0" w:color="auto"/>
        <w:left w:val="none" w:sz="0" w:space="0" w:color="auto"/>
        <w:bottom w:val="none" w:sz="0" w:space="0" w:color="auto"/>
        <w:right w:val="none" w:sz="0" w:space="0" w:color="auto"/>
      </w:divBdr>
    </w:div>
    <w:div w:id="1947808428">
      <w:bodyDiv w:val="1"/>
      <w:marLeft w:val="0"/>
      <w:marRight w:val="0"/>
      <w:marTop w:val="0"/>
      <w:marBottom w:val="0"/>
      <w:divBdr>
        <w:top w:val="none" w:sz="0" w:space="0" w:color="auto"/>
        <w:left w:val="none" w:sz="0" w:space="0" w:color="auto"/>
        <w:bottom w:val="none" w:sz="0" w:space="0" w:color="auto"/>
        <w:right w:val="none" w:sz="0" w:space="0" w:color="auto"/>
      </w:divBdr>
    </w:div>
    <w:div w:id="1956056598">
      <w:bodyDiv w:val="1"/>
      <w:marLeft w:val="0"/>
      <w:marRight w:val="0"/>
      <w:marTop w:val="0"/>
      <w:marBottom w:val="0"/>
      <w:divBdr>
        <w:top w:val="none" w:sz="0" w:space="0" w:color="auto"/>
        <w:left w:val="none" w:sz="0" w:space="0" w:color="auto"/>
        <w:bottom w:val="none" w:sz="0" w:space="0" w:color="auto"/>
        <w:right w:val="none" w:sz="0" w:space="0" w:color="auto"/>
      </w:divBdr>
    </w:div>
    <w:div w:id="1983998427">
      <w:bodyDiv w:val="1"/>
      <w:marLeft w:val="0"/>
      <w:marRight w:val="0"/>
      <w:marTop w:val="0"/>
      <w:marBottom w:val="0"/>
      <w:divBdr>
        <w:top w:val="none" w:sz="0" w:space="0" w:color="auto"/>
        <w:left w:val="none" w:sz="0" w:space="0" w:color="auto"/>
        <w:bottom w:val="none" w:sz="0" w:space="0" w:color="auto"/>
        <w:right w:val="none" w:sz="0" w:space="0" w:color="auto"/>
      </w:divBdr>
    </w:div>
    <w:div w:id="1996108187">
      <w:bodyDiv w:val="1"/>
      <w:marLeft w:val="0"/>
      <w:marRight w:val="0"/>
      <w:marTop w:val="0"/>
      <w:marBottom w:val="0"/>
      <w:divBdr>
        <w:top w:val="none" w:sz="0" w:space="0" w:color="auto"/>
        <w:left w:val="none" w:sz="0" w:space="0" w:color="auto"/>
        <w:bottom w:val="none" w:sz="0" w:space="0" w:color="auto"/>
        <w:right w:val="none" w:sz="0" w:space="0" w:color="auto"/>
      </w:divBdr>
    </w:div>
    <w:div w:id="2001348718">
      <w:bodyDiv w:val="1"/>
      <w:marLeft w:val="0"/>
      <w:marRight w:val="0"/>
      <w:marTop w:val="0"/>
      <w:marBottom w:val="0"/>
      <w:divBdr>
        <w:top w:val="none" w:sz="0" w:space="0" w:color="auto"/>
        <w:left w:val="none" w:sz="0" w:space="0" w:color="auto"/>
        <w:bottom w:val="none" w:sz="0" w:space="0" w:color="auto"/>
        <w:right w:val="none" w:sz="0" w:space="0" w:color="auto"/>
      </w:divBdr>
    </w:div>
    <w:div w:id="2051491355">
      <w:bodyDiv w:val="1"/>
      <w:marLeft w:val="0"/>
      <w:marRight w:val="0"/>
      <w:marTop w:val="0"/>
      <w:marBottom w:val="0"/>
      <w:divBdr>
        <w:top w:val="none" w:sz="0" w:space="0" w:color="auto"/>
        <w:left w:val="none" w:sz="0" w:space="0" w:color="auto"/>
        <w:bottom w:val="none" w:sz="0" w:space="0" w:color="auto"/>
        <w:right w:val="none" w:sz="0" w:space="0" w:color="auto"/>
      </w:divBdr>
    </w:div>
    <w:div w:id="2073304612">
      <w:bodyDiv w:val="1"/>
      <w:marLeft w:val="0"/>
      <w:marRight w:val="0"/>
      <w:marTop w:val="0"/>
      <w:marBottom w:val="0"/>
      <w:divBdr>
        <w:top w:val="none" w:sz="0" w:space="0" w:color="auto"/>
        <w:left w:val="none" w:sz="0" w:space="0" w:color="auto"/>
        <w:bottom w:val="none" w:sz="0" w:space="0" w:color="auto"/>
        <w:right w:val="none" w:sz="0" w:space="0" w:color="auto"/>
      </w:divBdr>
    </w:div>
    <w:div w:id="2075741040">
      <w:bodyDiv w:val="1"/>
      <w:marLeft w:val="0"/>
      <w:marRight w:val="0"/>
      <w:marTop w:val="0"/>
      <w:marBottom w:val="0"/>
      <w:divBdr>
        <w:top w:val="none" w:sz="0" w:space="0" w:color="auto"/>
        <w:left w:val="none" w:sz="0" w:space="0" w:color="auto"/>
        <w:bottom w:val="none" w:sz="0" w:space="0" w:color="auto"/>
        <w:right w:val="none" w:sz="0" w:space="0" w:color="auto"/>
      </w:divBdr>
    </w:div>
    <w:div w:id="212349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png"/><Relationship Id="rId21" Type="http://schemas.openxmlformats.org/officeDocument/2006/relationships/image" Target="media/image10.png"/><Relationship Id="rId42" Type="http://schemas.openxmlformats.org/officeDocument/2006/relationships/image" Target="media/image31.png"/><Relationship Id="rId47" Type="http://schemas.openxmlformats.org/officeDocument/2006/relationships/image" Target="media/image36.png"/><Relationship Id="rId63" Type="http://schemas.openxmlformats.org/officeDocument/2006/relationships/image" Target="media/image52.png"/><Relationship Id="rId68" Type="http://schemas.openxmlformats.org/officeDocument/2006/relationships/image" Target="media/image57.png"/><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8.png"/><Relationship Id="rId11" Type="http://schemas.openxmlformats.org/officeDocument/2006/relationships/image" Target="media/image1.jpeg"/><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png"/><Relationship Id="rId53" Type="http://schemas.openxmlformats.org/officeDocument/2006/relationships/image" Target="media/image42.png"/><Relationship Id="rId58" Type="http://schemas.openxmlformats.org/officeDocument/2006/relationships/image" Target="media/image47.png"/><Relationship Id="rId66" Type="http://schemas.openxmlformats.org/officeDocument/2006/relationships/image" Target="media/image55.png"/><Relationship Id="rId5" Type="http://schemas.openxmlformats.org/officeDocument/2006/relationships/numbering" Target="numbering.xml"/><Relationship Id="rId61" Type="http://schemas.openxmlformats.org/officeDocument/2006/relationships/image" Target="media/image50.png"/><Relationship Id="rId19" Type="http://schemas.openxmlformats.org/officeDocument/2006/relationships/image" Target="media/image8.pn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7.png"/><Relationship Id="rId56" Type="http://schemas.openxmlformats.org/officeDocument/2006/relationships/image" Target="media/image45.png"/><Relationship Id="rId64" Type="http://schemas.openxmlformats.org/officeDocument/2006/relationships/image" Target="media/image53.png"/><Relationship Id="rId69" Type="http://schemas.openxmlformats.org/officeDocument/2006/relationships/image" Target="media/image58.png"/><Relationship Id="rId8" Type="http://schemas.openxmlformats.org/officeDocument/2006/relationships/webSettings" Target="webSettings.xml"/><Relationship Id="rId51" Type="http://schemas.openxmlformats.org/officeDocument/2006/relationships/image" Target="media/image40.png"/><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ramsar.org/es/search?f%5B0%5D=document_type%3A2904&amp;f%5B1%5D=search_date%3A2025&amp;f%5B2%5D=search_item_type%3Adocuments" TargetMode="Externa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59" Type="http://schemas.openxmlformats.org/officeDocument/2006/relationships/image" Target="media/image48.png"/><Relationship Id="rId67" Type="http://schemas.openxmlformats.org/officeDocument/2006/relationships/image" Target="media/image56.png"/><Relationship Id="rId20" Type="http://schemas.openxmlformats.org/officeDocument/2006/relationships/image" Target="media/image9.png"/><Relationship Id="rId41" Type="http://schemas.openxmlformats.org/officeDocument/2006/relationships/image" Target="media/image30.png"/><Relationship Id="rId54" Type="http://schemas.openxmlformats.org/officeDocument/2006/relationships/image" Target="media/image43.png"/><Relationship Id="rId62" Type="http://schemas.openxmlformats.org/officeDocument/2006/relationships/image" Target="media/image51.png"/><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8.png"/><Relationship Id="rId57" Type="http://schemas.openxmlformats.org/officeDocument/2006/relationships/image" Target="media/image46.png"/><Relationship Id="rId10" Type="http://schemas.openxmlformats.org/officeDocument/2006/relationships/endnotes" Target="endnotes.xml"/><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41.png"/><Relationship Id="rId60" Type="http://schemas.openxmlformats.org/officeDocument/2006/relationships/image" Target="media/image49.png"/><Relationship Id="rId65" Type="http://schemas.openxmlformats.org/officeDocument/2006/relationships/image" Target="media/image54.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7.png"/><Relationship Id="rId39" Type="http://schemas.openxmlformats.org/officeDocument/2006/relationships/image" Target="media/image28.png"/><Relationship Id="rId34" Type="http://schemas.openxmlformats.org/officeDocument/2006/relationships/image" Target="media/image23.png"/><Relationship Id="rId50" Type="http://schemas.openxmlformats.org/officeDocument/2006/relationships/image" Target="media/image39.png"/><Relationship Id="rId55" Type="http://schemas.openxmlformats.org/officeDocument/2006/relationships/image" Target="media/image44.png"/></Relationships>
</file>

<file path=word/_rels/footnotes.xml.rels><?xml version="1.0" encoding="UTF-8" standalone="yes"?>
<Relationships xmlns="http://schemas.openxmlformats.org/package/2006/relationships"><Relationship Id="rId8" Type="http://schemas.openxmlformats.org/officeDocument/2006/relationships/hyperlink" Target="https://www.ramsar.org/es/document/cop15-doc82-informe-de-la-secretaria-general-sobre-la-aplicacion-de-la-convencion-trabajo" TargetMode="External"/><Relationship Id="rId3" Type="http://schemas.openxmlformats.org/officeDocument/2006/relationships/hyperlink" Target="https://www.ramsar.org/es/document/cop15-doc9-informe-de-la-secretaria-de-conformidad-con-el-articulo-82-sobre-la-lista-de" TargetMode="External"/><Relationship Id="rId7" Type="http://schemas.openxmlformats.org/officeDocument/2006/relationships/hyperlink" Target="https://www.ramsar.org/es/document/directrices-para-la-transversalizacion-de-genero-en-la-convencion-de-ramsar-sobre-los" TargetMode="External"/><Relationship Id="rId2" Type="http://schemas.openxmlformats.org/officeDocument/2006/relationships/hyperlink" Target="https://www.ramsar.org/es/document/cop15-doc9-informe-de-la-secretaria-de-conformidad-con-el-articulo-82-sobre-la-lista-de" TargetMode="External"/><Relationship Id="rId1" Type="http://schemas.openxmlformats.org/officeDocument/2006/relationships/hyperlink" Target="https://www.ramsar.org/es/document/el-cuarto-plan-estrategico-para-2016-2024-version-actualizada-para-2022" TargetMode="External"/><Relationship Id="rId6" Type="http://schemas.openxmlformats.org/officeDocument/2006/relationships/hyperlink" Target="https://www.ramsar.org/es/document/cop15-doc12-informe-de-la-secretaria-sobre-las-iniciativas-regionales-de-ramsar" TargetMode="External"/><Relationship Id="rId5" Type="http://schemas.openxmlformats.org/officeDocument/2006/relationships/hyperlink" Target="https://www.cbd.int/doc/c/8097/1f19/e37995d6157e799d83afa77a/cop-16-inf-13-en.pdf" TargetMode="External"/><Relationship Id="rId4" Type="http://schemas.openxmlformats.org/officeDocument/2006/relationships/hyperlink" Target="https://www.ramsar.org/es/document/cop15-doc15-informe-de-la-secretaria-sobre-las-oportunidades-para-seguir-consolidando-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9b3f93dc-3645-43c8-8c1d-9c1b66155e8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55713275E3C649963C7F1EE6DB2755" ma:contentTypeVersion="16" ma:contentTypeDescription="Create a new document." ma:contentTypeScope="" ma:versionID="6bd849d292ddf33d933c4c3f7789fba8">
  <xsd:schema xmlns:xsd="http://www.w3.org/2001/XMLSchema" xmlns:xs="http://www.w3.org/2001/XMLSchema" xmlns:p="http://schemas.microsoft.com/office/2006/metadata/properties" xmlns:ns3="9b3f93dc-3645-43c8-8c1d-9c1b66155e85" xmlns:ns4="795d2b27-b8f4-4778-b9b4-dbae60ad4ef2" targetNamespace="http://schemas.microsoft.com/office/2006/metadata/properties" ma:root="true" ma:fieldsID="8dcaf21a3d19d8b67455258c0845fd64" ns3:_="" ns4:_="">
    <xsd:import namespace="9b3f93dc-3645-43c8-8c1d-9c1b66155e85"/>
    <xsd:import namespace="795d2b27-b8f4-4778-b9b4-dbae60ad4ef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f93dc-3645-43c8-8c1d-9c1b66155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d2b27-b8f4-4778-b9b4-dbae60ad4ef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FF1F70-DC72-43A6-86F2-F4FF9A41CE19}">
  <ds:schemaRefs>
    <ds:schemaRef ds:uri="http://schemas.microsoft.com/sharepoint/v3/contenttype/forms"/>
  </ds:schemaRefs>
</ds:datastoreItem>
</file>

<file path=customXml/itemProps2.xml><?xml version="1.0" encoding="utf-8"?>
<ds:datastoreItem xmlns:ds="http://schemas.openxmlformats.org/officeDocument/2006/customXml" ds:itemID="{60873DDB-2BC1-4A9B-AE72-04D20E31DD54}">
  <ds:schemaRefs>
    <ds:schemaRef ds:uri="http://schemas.openxmlformats.org/officeDocument/2006/bibliography"/>
  </ds:schemaRefs>
</ds:datastoreItem>
</file>

<file path=customXml/itemProps3.xml><?xml version="1.0" encoding="utf-8"?>
<ds:datastoreItem xmlns:ds="http://schemas.openxmlformats.org/officeDocument/2006/customXml" ds:itemID="{C0520180-CD4E-478B-B45C-16FE3DE5384A}">
  <ds:schemaRefs>
    <ds:schemaRef ds:uri="http://purl.org/dc/dcmitype/"/>
    <ds:schemaRef ds:uri="http://purl.org/dc/terms/"/>
    <ds:schemaRef ds:uri="http://schemas.microsoft.com/office/infopath/2007/PartnerControls"/>
    <ds:schemaRef ds:uri="http://www.w3.org/XML/1998/namespace"/>
    <ds:schemaRef ds:uri="http://schemas.microsoft.com/office/2006/documentManagement/types"/>
    <ds:schemaRef ds:uri="http://purl.org/dc/elements/1.1/"/>
    <ds:schemaRef ds:uri="http://schemas.openxmlformats.org/package/2006/metadata/core-properties"/>
    <ds:schemaRef ds:uri="795d2b27-b8f4-4778-b9b4-dbae60ad4ef2"/>
    <ds:schemaRef ds:uri="9b3f93dc-3645-43c8-8c1d-9c1b66155e85"/>
    <ds:schemaRef ds:uri="http://schemas.microsoft.com/office/2006/metadata/properties"/>
  </ds:schemaRefs>
</ds:datastoreItem>
</file>

<file path=customXml/itemProps4.xml><?xml version="1.0" encoding="utf-8"?>
<ds:datastoreItem xmlns:ds="http://schemas.openxmlformats.org/officeDocument/2006/customXml" ds:itemID="{18119A36-6648-4CF7-9E2C-7DF992D1F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f93dc-3645-43c8-8c1d-9c1b66155e85"/>
    <ds:schemaRef ds:uri="795d2b27-b8f4-4778-b9b4-dbae60ad4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16639</Words>
  <Characters>94848</Characters>
  <Application>Microsoft Office Word</Application>
  <DocSecurity>0</DocSecurity>
  <Lines>790</Lines>
  <Paragraphs>222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IUCN</Company>
  <LinksUpToDate>false</LinksUpToDate>
  <CharactersWithSpaces>111265</CharactersWithSpaces>
  <SharedDoc>false</SharedDoc>
  <HLinks>
    <vt:vector size="144" baseType="variant">
      <vt:variant>
        <vt:i4>8060981</vt:i4>
      </vt:variant>
      <vt:variant>
        <vt:i4>0</vt:i4>
      </vt:variant>
      <vt:variant>
        <vt:i4>0</vt:i4>
      </vt:variant>
      <vt:variant>
        <vt:i4>5</vt:i4>
      </vt:variant>
      <vt:variant>
        <vt:lpwstr>https://www.ramsar.org/search?f%5B0%5D=document_type%3A2904&amp;f%5B1%5D=search_date%3A2025&amp;f%5B2%5D=search_item_type%3Adocuments</vt:lpwstr>
      </vt:variant>
      <vt:variant>
        <vt:lpwstr/>
      </vt:variant>
      <vt:variant>
        <vt:i4>7667771</vt:i4>
      </vt:variant>
      <vt:variant>
        <vt:i4>21</vt:i4>
      </vt:variant>
      <vt:variant>
        <vt:i4>0</vt:i4>
      </vt:variant>
      <vt:variant>
        <vt:i4>5</vt:i4>
      </vt:variant>
      <vt:variant>
        <vt:lpwstr>https://www.ramsar.org/document/cop15-doc82-report-secretary-general-implementation-convention-work-secretariat</vt:lpwstr>
      </vt:variant>
      <vt:variant>
        <vt:lpwstr/>
      </vt:variant>
      <vt:variant>
        <vt:i4>3539042</vt:i4>
      </vt:variant>
      <vt:variant>
        <vt:i4>18</vt:i4>
      </vt:variant>
      <vt:variant>
        <vt:i4>0</vt:i4>
      </vt:variant>
      <vt:variant>
        <vt:i4>5</vt:i4>
      </vt:variant>
      <vt:variant>
        <vt:lpwstr>https://www.ramsar.org/document/guidance-mainstreaming-gender-under-ramsar-convention-wetlands</vt:lpwstr>
      </vt:variant>
      <vt:variant>
        <vt:lpwstr/>
      </vt:variant>
      <vt:variant>
        <vt:i4>3735668</vt:i4>
      </vt:variant>
      <vt:variant>
        <vt:i4>15</vt:i4>
      </vt:variant>
      <vt:variant>
        <vt:i4>0</vt:i4>
      </vt:variant>
      <vt:variant>
        <vt:i4>5</vt:i4>
      </vt:variant>
      <vt:variant>
        <vt:lpwstr>https://www.ramsar.org/document/cop15-doc12-report-secretariat-ramsar-regional-initiatives</vt:lpwstr>
      </vt:variant>
      <vt:variant>
        <vt:lpwstr/>
      </vt:variant>
      <vt:variant>
        <vt:i4>5570577</vt:i4>
      </vt:variant>
      <vt:variant>
        <vt:i4>12</vt:i4>
      </vt:variant>
      <vt:variant>
        <vt:i4>0</vt:i4>
      </vt:variant>
      <vt:variant>
        <vt:i4>5</vt:i4>
      </vt:variant>
      <vt:variant>
        <vt:lpwstr>https://www.cbd.int/doc/c/8097/1f19/e37995d6157e799d83afa77a/cop-16-inf-13-en.pdf</vt:lpwstr>
      </vt:variant>
      <vt:variant>
        <vt:lpwstr/>
      </vt:variant>
      <vt:variant>
        <vt:i4>1507412</vt:i4>
      </vt:variant>
      <vt:variant>
        <vt:i4>9</vt:i4>
      </vt:variant>
      <vt:variant>
        <vt:i4>0</vt:i4>
      </vt:variant>
      <vt:variant>
        <vt:i4>5</vt:i4>
      </vt:variant>
      <vt:variant>
        <vt:lpwstr>https://www.ramsar.org/document/cop15-doc15-report-secretariat-opportunities-further-strengthen-conventions-contribution</vt:lpwstr>
      </vt:variant>
      <vt:variant>
        <vt:lpwstr/>
      </vt:variant>
      <vt:variant>
        <vt:i4>4325451</vt:i4>
      </vt:variant>
      <vt:variant>
        <vt:i4>6</vt:i4>
      </vt:variant>
      <vt:variant>
        <vt:i4>0</vt:i4>
      </vt:variant>
      <vt:variant>
        <vt:i4>5</vt:i4>
      </vt:variant>
      <vt:variant>
        <vt:lpwstr>https://www.ramsar.org/document/cop15-doc9-report-secretariat-pursuant-article-82-list-wetlands-international-importance</vt:lpwstr>
      </vt:variant>
      <vt:variant>
        <vt:lpwstr/>
      </vt:variant>
      <vt:variant>
        <vt:i4>4325451</vt:i4>
      </vt:variant>
      <vt:variant>
        <vt:i4>3</vt:i4>
      </vt:variant>
      <vt:variant>
        <vt:i4>0</vt:i4>
      </vt:variant>
      <vt:variant>
        <vt:i4>5</vt:i4>
      </vt:variant>
      <vt:variant>
        <vt:lpwstr>https://www.ramsar.org/document/cop15-doc9-report-secretariat-pursuant-article-82-list-wetlands-international-importance</vt:lpwstr>
      </vt:variant>
      <vt:variant>
        <vt:lpwstr/>
      </vt:variant>
      <vt:variant>
        <vt:i4>1507355</vt:i4>
      </vt:variant>
      <vt:variant>
        <vt:i4>0</vt:i4>
      </vt:variant>
      <vt:variant>
        <vt:i4>0</vt:i4>
      </vt:variant>
      <vt:variant>
        <vt:i4>5</vt:i4>
      </vt:variant>
      <vt:variant>
        <vt:lpwstr>https://www.ramsar.org/document/4th-strategic-plan-2016-2024-2022-update</vt:lpwstr>
      </vt:variant>
      <vt:variant>
        <vt:lpwstr/>
      </vt:variant>
      <vt:variant>
        <vt:i4>3407886</vt:i4>
      </vt:variant>
      <vt:variant>
        <vt:i4>42</vt:i4>
      </vt:variant>
      <vt:variant>
        <vt:i4>0</vt:i4>
      </vt:variant>
      <vt:variant>
        <vt:i4>5</vt:i4>
      </vt:variant>
      <vt:variant>
        <vt:lpwstr>mailto:KernM@ramsar.org</vt:lpwstr>
      </vt:variant>
      <vt:variant>
        <vt:lpwstr/>
      </vt:variant>
      <vt:variant>
        <vt:i4>3080211</vt:i4>
      </vt:variant>
      <vt:variant>
        <vt:i4>39</vt:i4>
      </vt:variant>
      <vt:variant>
        <vt:i4>0</vt:i4>
      </vt:variant>
      <vt:variant>
        <vt:i4>5</vt:i4>
      </vt:variant>
      <vt:variant>
        <vt:lpwstr>mailto:JenningsE@ramsar.org</vt:lpwstr>
      </vt:variant>
      <vt:variant>
        <vt:lpwstr/>
      </vt:variant>
      <vt:variant>
        <vt:i4>4718708</vt:i4>
      </vt:variant>
      <vt:variant>
        <vt:i4>36</vt:i4>
      </vt:variant>
      <vt:variant>
        <vt:i4>0</vt:i4>
      </vt:variant>
      <vt:variant>
        <vt:i4>5</vt:i4>
      </vt:variant>
      <vt:variant>
        <vt:lpwstr>mailto:NjisuhZ@ramsar.org</vt:lpwstr>
      </vt:variant>
      <vt:variant>
        <vt:lpwstr/>
      </vt:variant>
      <vt:variant>
        <vt:i4>4718708</vt:i4>
      </vt:variant>
      <vt:variant>
        <vt:i4>33</vt:i4>
      </vt:variant>
      <vt:variant>
        <vt:i4>0</vt:i4>
      </vt:variant>
      <vt:variant>
        <vt:i4>5</vt:i4>
      </vt:variant>
      <vt:variant>
        <vt:lpwstr>mailto:NjisuhZ@ramsar.org</vt:lpwstr>
      </vt:variant>
      <vt:variant>
        <vt:lpwstr/>
      </vt:variant>
      <vt:variant>
        <vt:i4>3276830</vt:i4>
      </vt:variant>
      <vt:variant>
        <vt:i4>30</vt:i4>
      </vt:variant>
      <vt:variant>
        <vt:i4>0</vt:i4>
      </vt:variant>
      <vt:variant>
        <vt:i4>5</vt:i4>
      </vt:variant>
      <vt:variant>
        <vt:lpwstr>mailto:AggestamF@ramsar.org</vt:lpwstr>
      </vt:variant>
      <vt:variant>
        <vt:lpwstr/>
      </vt:variant>
      <vt:variant>
        <vt:i4>3407886</vt:i4>
      </vt:variant>
      <vt:variant>
        <vt:i4>27</vt:i4>
      </vt:variant>
      <vt:variant>
        <vt:i4>0</vt:i4>
      </vt:variant>
      <vt:variant>
        <vt:i4>5</vt:i4>
      </vt:variant>
      <vt:variant>
        <vt:lpwstr>mailto:KernM@ramsar.org</vt:lpwstr>
      </vt:variant>
      <vt:variant>
        <vt:lpwstr/>
      </vt:variant>
      <vt:variant>
        <vt:i4>3276830</vt:i4>
      </vt:variant>
      <vt:variant>
        <vt:i4>24</vt:i4>
      </vt:variant>
      <vt:variant>
        <vt:i4>0</vt:i4>
      </vt:variant>
      <vt:variant>
        <vt:i4>5</vt:i4>
      </vt:variant>
      <vt:variant>
        <vt:lpwstr>mailto:AggestamF@ramsar.org</vt:lpwstr>
      </vt:variant>
      <vt:variant>
        <vt:lpwstr/>
      </vt:variant>
      <vt:variant>
        <vt:i4>3407886</vt:i4>
      </vt:variant>
      <vt:variant>
        <vt:i4>21</vt:i4>
      </vt:variant>
      <vt:variant>
        <vt:i4>0</vt:i4>
      </vt:variant>
      <vt:variant>
        <vt:i4>5</vt:i4>
      </vt:variant>
      <vt:variant>
        <vt:lpwstr>mailto:KernM@ramsar.org</vt:lpwstr>
      </vt:variant>
      <vt:variant>
        <vt:lpwstr/>
      </vt:variant>
      <vt:variant>
        <vt:i4>3276830</vt:i4>
      </vt:variant>
      <vt:variant>
        <vt:i4>18</vt:i4>
      </vt:variant>
      <vt:variant>
        <vt:i4>0</vt:i4>
      </vt:variant>
      <vt:variant>
        <vt:i4>5</vt:i4>
      </vt:variant>
      <vt:variant>
        <vt:lpwstr>mailto:AggestamF@ramsar.org</vt:lpwstr>
      </vt:variant>
      <vt:variant>
        <vt:lpwstr/>
      </vt:variant>
      <vt:variant>
        <vt:i4>6291468</vt:i4>
      </vt:variant>
      <vt:variant>
        <vt:i4>15</vt:i4>
      </vt:variant>
      <vt:variant>
        <vt:i4>0</vt:i4>
      </vt:variant>
      <vt:variant>
        <vt:i4>5</vt:i4>
      </vt:variant>
      <vt:variant>
        <vt:lpwstr>https://rsis.ramsar.org/?f%5B0%5D=wetlandTypes_l0_en_ss%3AInland+wetlands</vt:lpwstr>
      </vt:variant>
      <vt:variant>
        <vt:lpwstr/>
      </vt:variant>
      <vt:variant>
        <vt:i4>4718708</vt:i4>
      </vt:variant>
      <vt:variant>
        <vt:i4>12</vt:i4>
      </vt:variant>
      <vt:variant>
        <vt:i4>0</vt:i4>
      </vt:variant>
      <vt:variant>
        <vt:i4>5</vt:i4>
      </vt:variant>
      <vt:variant>
        <vt:lpwstr>mailto:NjisuhZ@ramsar.org</vt:lpwstr>
      </vt:variant>
      <vt:variant>
        <vt:lpwstr/>
      </vt:variant>
      <vt:variant>
        <vt:i4>4718708</vt:i4>
      </vt:variant>
      <vt:variant>
        <vt:i4>9</vt:i4>
      </vt:variant>
      <vt:variant>
        <vt:i4>0</vt:i4>
      </vt:variant>
      <vt:variant>
        <vt:i4>5</vt:i4>
      </vt:variant>
      <vt:variant>
        <vt:lpwstr>mailto:NjisuhZ@ramsar.org</vt:lpwstr>
      </vt:variant>
      <vt:variant>
        <vt:lpwstr/>
      </vt:variant>
      <vt:variant>
        <vt:i4>4718708</vt:i4>
      </vt:variant>
      <vt:variant>
        <vt:i4>6</vt:i4>
      </vt:variant>
      <vt:variant>
        <vt:i4>0</vt:i4>
      </vt:variant>
      <vt:variant>
        <vt:i4>5</vt:i4>
      </vt:variant>
      <vt:variant>
        <vt:lpwstr>mailto:NjisuhZ@ramsar.org</vt:lpwstr>
      </vt:variant>
      <vt:variant>
        <vt:lpwstr/>
      </vt:variant>
      <vt:variant>
        <vt:i4>4718708</vt:i4>
      </vt:variant>
      <vt:variant>
        <vt:i4>3</vt:i4>
      </vt:variant>
      <vt:variant>
        <vt:i4>0</vt:i4>
      </vt:variant>
      <vt:variant>
        <vt:i4>5</vt:i4>
      </vt:variant>
      <vt:variant>
        <vt:lpwstr>mailto:NjisuhZ@ramsar.org</vt:lpwstr>
      </vt:variant>
      <vt:variant>
        <vt:lpwstr/>
      </vt:variant>
      <vt:variant>
        <vt:i4>4718708</vt:i4>
      </vt:variant>
      <vt:variant>
        <vt:i4>0</vt:i4>
      </vt:variant>
      <vt:variant>
        <vt:i4>0</vt:i4>
      </vt:variant>
      <vt:variant>
        <vt:i4>5</vt:i4>
      </vt:variant>
      <vt:variant>
        <vt:lpwstr>mailto:NjisuhZ@ramsar.org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3</cp:revision>
  <cp:lastPrinted>2025-05-12T11:58:00Z</cp:lastPrinted>
  <dcterms:created xsi:type="dcterms:W3CDTF">2025-05-12T11:56:00Z</dcterms:created>
  <dcterms:modified xsi:type="dcterms:W3CDTF">2025-05-12T12:00:00Z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0x010100E755713275E3C649963C7F1EE6DB2755</vt:lpwstr>
  </property>
</Properties>
</file>