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F493" w14:textId="77777777" w:rsidR="00F951EA" w:rsidRPr="0031405D" w:rsidRDefault="00F951EA" w:rsidP="00F951EA">
      <w:pPr>
        <w:jc w:val="center"/>
        <w:outlineLvl w:val="0"/>
        <w:rPr>
          <w:rFonts w:cstheme="majorHAnsi"/>
          <w:b/>
          <w:bCs/>
        </w:rPr>
      </w:pPr>
      <w:r w:rsidRPr="0031405D">
        <w:rPr>
          <w:rFonts w:cstheme="majorHAnsi"/>
          <w:b/>
          <w:bCs/>
          <w:noProof/>
          <w:lang w:val="en-CA" w:eastAsia="en-CA"/>
        </w:rPr>
        <w:drawing>
          <wp:anchor distT="0" distB="0" distL="114300" distR="114300" simplePos="0" relativeHeight="251660289" behindDoc="0" locked="0" layoutInCell="1" allowOverlap="1" wp14:anchorId="5ACB730E" wp14:editId="4A09B3C8">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9C8B17" w14:textId="392BAB7F" w:rsidR="00F951EA" w:rsidRPr="0001164D" w:rsidRDefault="00F951EA" w:rsidP="00F951EA">
      <w:pPr>
        <w:jc w:val="center"/>
        <w:outlineLvl w:val="0"/>
        <w:rPr>
          <w:rFonts w:asciiTheme="minorHAnsi" w:hAnsiTheme="minorHAnsi" w:cstheme="minorHAnsi"/>
          <w:b/>
          <w:bCs/>
          <w:lang w:val="fr-FR"/>
        </w:rPr>
      </w:pPr>
      <w:r w:rsidRPr="00A9247D">
        <w:rPr>
          <w:rFonts w:asciiTheme="minorHAnsi" w:hAnsiTheme="minorHAnsi" w:cstheme="minorHAnsi"/>
          <w:b/>
          <w:bCs/>
          <w:lang w:val="fr-FR"/>
        </w:rPr>
        <w:t>15</w:t>
      </w:r>
      <w:r w:rsidRPr="00A9247D">
        <w:rPr>
          <w:rFonts w:asciiTheme="minorHAnsi" w:hAnsiTheme="minorHAnsi" w:cstheme="minorHAnsi"/>
          <w:b/>
          <w:bCs/>
          <w:vertAlign w:val="superscript"/>
          <w:lang w:val="fr-FR"/>
        </w:rPr>
        <w:t>e</w:t>
      </w:r>
      <w:r w:rsidRPr="00A9247D">
        <w:rPr>
          <w:rFonts w:asciiTheme="minorHAnsi" w:hAnsiTheme="minorHAnsi" w:cstheme="minorHAnsi"/>
          <w:b/>
          <w:bCs/>
          <w:lang w:val="fr-FR"/>
        </w:rPr>
        <w:t xml:space="preserve"> </w:t>
      </w:r>
      <w:r w:rsidR="00A9247D" w:rsidRPr="00A9247D">
        <w:rPr>
          <w:rFonts w:asciiTheme="minorHAnsi" w:hAnsiTheme="minorHAnsi" w:cstheme="minorHAnsi"/>
          <w:b/>
          <w:bCs/>
          <w:lang w:val="fr-FR"/>
        </w:rPr>
        <w:t>s</w:t>
      </w:r>
      <w:r w:rsidRPr="00A9247D">
        <w:rPr>
          <w:rFonts w:asciiTheme="minorHAnsi" w:hAnsiTheme="minorHAnsi" w:cstheme="minorHAnsi"/>
          <w:b/>
          <w:bCs/>
          <w:lang w:val="fr-FR"/>
        </w:rPr>
        <w:t>ession</w:t>
      </w:r>
      <w:r w:rsidRPr="0001164D">
        <w:rPr>
          <w:rFonts w:asciiTheme="minorHAnsi" w:hAnsiTheme="minorHAnsi" w:cstheme="minorHAnsi"/>
          <w:b/>
          <w:bCs/>
          <w:lang w:val="fr-FR"/>
        </w:rPr>
        <w:t xml:space="preserve"> de la Conférence des Parties contractantes à la Convention sur les zones humides</w:t>
      </w:r>
    </w:p>
    <w:p w14:paraId="6C90A31B" w14:textId="77777777" w:rsidR="00F951EA" w:rsidRPr="00F951EA" w:rsidRDefault="00F951EA" w:rsidP="00F951EA">
      <w:pPr>
        <w:jc w:val="center"/>
        <w:outlineLvl w:val="0"/>
        <w:rPr>
          <w:rFonts w:cstheme="majorHAnsi"/>
          <w:b/>
          <w:bCs/>
          <w:lang w:val="fr-FR"/>
        </w:rPr>
      </w:pPr>
    </w:p>
    <w:p w14:paraId="03CE3407" w14:textId="77777777" w:rsidR="00F951EA" w:rsidRPr="0001164D" w:rsidRDefault="00F951EA" w:rsidP="00F951EA">
      <w:pPr>
        <w:jc w:val="center"/>
        <w:outlineLvl w:val="0"/>
        <w:rPr>
          <w:rFonts w:asciiTheme="minorHAnsi" w:hAnsiTheme="minorHAnsi" w:cstheme="minorHAnsi"/>
          <w:b/>
          <w:bCs/>
          <w:lang w:val="fr-FR"/>
        </w:rPr>
      </w:pPr>
      <w:r w:rsidRPr="0001164D">
        <w:rPr>
          <w:rFonts w:asciiTheme="minorHAnsi" w:hAnsiTheme="minorHAnsi" w:cstheme="minorHAnsi"/>
          <w:b/>
          <w:bCs/>
          <w:lang w:val="fr-FR"/>
        </w:rPr>
        <w:t xml:space="preserve">« Protéger les zones humides pour notre avenir commun » </w:t>
      </w:r>
    </w:p>
    <w:p w14:paraId="18AEB5B4" w14:textId="77777777" w:rsidR="00F951EA" w:rsidRPr="0001164D" w:rsidRDefault="00F951EA" w:rsidP="00F951EA">
      <w:pPr>
        <w:jc w:val="center"/>
        <w:outlineLvl w:val="0"/>
        <w:rPr>
          <w:rFonts w:asciiTheme="minorHAnsi" w:hAnsiTheme="minorHAnsi" w:cstheme="minorHAnsi"/>
          <w:b/>
          <w:bCs/>
          <w:lang w:val="fr-FR"/>
        </w:rPr>
      </w:pPr>
      <w:r w:rsidRPr="0001164D">
        <w:rPr>
          <w:rFonts w:asciiTheme="minorHAnsi" w:hAnsiTheme="minorHAnsi" w:cstheme="minorHAnsi"/>
          <w:b/>
          <w:bCs/>
          <w:lang w:val="fr-FR"/>
        </w:rPr>
        <w:t>Victoria Falls, Zimbabwe, 23-31 juillet 2025</w:t>
      </w:r>
    </w:p>
    <w:p w14:paraId="017D86F9" w14:textId="77777777" w:rsidR="00F951EA" w:rsidRPr="0001164D" w:rsidRDefault="00F951EA" w:rsidP="00F951EA">
      <w:pPr>
        <w:jc w:val="center"/>
        <w:outlineLvl w:val="0"/>
        <w:rPr>
          <w:rFonts w:asciiTheme="minorHAnsi" w:hAnsiTheme="minorHAnsi" w:cstheme="minorHAnsi"/>
          <w:b/>
          <w:bCs/>
          <w:lang w:val="fr-FR"/>
        </w:rPr>
      </w:pPr>
    </w:p>
    <w:p w14:paraId="47AFA3FF" w14:textId="77777777" w:rsidR="00F951EA" w:rsidRPr="00F951EA" w:rsidRDefault="00F951EA" w:rsidP="00F951EA">
      <w:pPr>
        <w:jc w:val="center"/>
        <w:outlineLvl w:val="0"/>
        <w:rPr>
          <w:rFonts w:cstheme="majorHAnsi"/>
          <w:b/>
          <w:bCs/>
          <w:lang w:val="fr-FR"/>
        </w:rPr>
      </w:pPr>
    </w:p>
    <w:p w14:paraId="3833478D" w14:textId="77777777" w:rsidR="00F951EA" w:rsidRPr="00F951EA" w:rsidRDefault="00F951EA" w:rsidP="00F951EA">
      <w:pPr>
        <w:jc w:val="center"/>
        <w:outlineLvl w:val="0"/>
        <w:rPr>
          <w:rFonts w:cstheme="majorHAnsi"/>
          <w:b/>
          <w:bCs/>
          <w:lang w:val="fr-FR"/>
        </w:rPr>
      </w:pPr>
    </w:p>
    <w:p w14:paraId="224CD054" w14:textId="77777777" w:rsidR="00F951EA" w:rsidRPr="00F951EA" w:rsidRDefault="00F951EA" w:rsidP="00F951EA">
      <w:pPr>
        <w:jc w:val="right"/>
        <w:rPr>
          <w:lang w:val="fr-FR"/>
        </w:rPr>
      </w:pPr>
    </w:p>
    <w:p w14:paraId="77E0F3C3" w14:textId="60838688" w:rsidR="00F951EA" w:rsidRPr="0001164D" w:rsidRDefault="00F951EA" w:rsidP="00F951EA">
      <w:pPr>
        <w:widowControl w:val="0"/>
        <w:jc w:val="right"/>
        <w:rPr>
          <w:rFonts w:asciiTheme="minorHAnsi" w:hAnsiTheme="minorHAnsi" w:cstheme="minorHAnsi"/>
          <w:lang w:val="fr-FR"/>
        </w:rPr>
      </w:pPr>
      <w:r w:rsidRPr="0001164D">
        <w:rPr>
          <w:rFonts w:asciiTheme="minorHAnsi" w:hAnsiTheme="minorHAnsi" w:cstheme="minorHAnsi"/>
          <w:b/>
          <w:sz w:val="28"/>
          <w:szCs w:val="28"/>
          <w:lang w:val="fr-FR"/>
        </w:rPr>
        <w:t>COP15 Doc.</w:t>
      </w:r>
      <w:r w:rsidR="0001164D">
        <w:rPr>
          <w:rFonts w:asciiTheme="minorHAnsi" w:hAnsiTheme="minorHAnsi" w:cstheme="minorHAnsi"/>
          <w:b/>
          <w:sz w:val="28"/>
          <w:szCs w:val="28"/>
          <w:lang w:val="fr-FR"/>
        </w:rPr>
        <w:t>8</w:t>
      </w:r>
      <w:r w:rsidRPr="0001164D">
        <w:rPr>
          <w:rFonts w:asciiTheme="minorHAnsi" w:hAnsiTheme="minorHAnsi" w:cstheme="minorHAnsi"/>
          <w:b/>
          <w:sz w:val="28"/>
          <w:szCs w:val="28"/>
          <w:lang w:val="fr-FR"/>
        </w:rPr>
        <w:t>.1</w:t>
      </w:r>
    </w:p>
    <w:p w14:paraId="0BF48A76" w14:textId="77777777" w:rsidR="00F951EA" w:rsidRPr="00F951EA" w:rsidRDefault="00F951EA" w:rsidP="00F951EA">
      <w:pPr>
        <w:jc w:val="center"/>
        <w:rPr>
          <w:lang w:val="fr-FR"/>
        </w:rPr>
      </w:pPr>
    </w:p>
    <w:p w14:paraId="75E0692C" w14:textId="1BFB7BF7" w:rsidR="000D1D8F" w:rsidRPr="001961B1" w:rsidRDefault="0001164D" w:rsidP="00CD3F6B">
      <w:pPr>
        <w:jc w:val="center"/>
        <w:rPr>
          <w:rFonts w:asciiTheme="minorHAnsi" w:eastAsia="Calibri" w:hAnsiTheme="minorHAnsi" w:cstheme="minorHAnsi"/>
          <w:b/>
          <w:sz w:val="28"/>
          <w:szCs w:val="28"/>
        </w:rPr>
      </w:pPr>
      <w:r w:rsidRPr="001961B1">
        <w:rPr>
          <w:rFonts w:asciiTheme="minorHAnsi" w:eastAsia="Calibri" w:hAnsiTheme="minorHAnsi" w:cstheme="minorHAnsi"/>
          <w:b/>
          <w:sz w:val="28"/>
          <w:szCs w:val="28"/>
        </w:rPr>
        <w:t xml:space="preserve">Rapport de la </w:t>
      </w:r>
      <w:r w:rsidR="000D1D8F" w:rsidRPr="001961B1">
        <w:rPr>
          <w:rFonts w:asciiTheme="minorHAnsi" w:eastAsia="Calibri" w:hAnsiTheme="minorHAnsi" w:cstheme="minorHAnsi"/>
          <w:b/>
          <w:sz w:val="28"/>
          <w:szCs w:val="28"/>
        </w:rPr>
        <w:t>Secr</w:t>
      </w:r>
      <w:r w:rsidRPr="001961B1">
        <w:rPr>
          <w:rFonts w:asciiTheme="minorHAnsi" w:eastAsia="Calibri" w:hAnsiTheme="minorHAnsi" w:cstheme="minorHAnsi"/>
          <w:b/>
          <w:sz w:val="28"/>
          <w:szCs w:val="28"/>
        </w:rPr>
        <w:t>étaire gé</w:t>
      </w:r>
      <w:r w:rsidR="000D1D8F" w:rsidRPr="001961B1">
        <w:rPr>
          <w:rFonts w:asciiTheme="minorHAnsi" w:eastAsia="Calibri" w:hAnsiTheme="minorHAnsi" w:cstheme="minorHAnsi"/>
          <w:b/>
          <w:sz w:val="28"/>
          <w:szCs w:val="28"/>
        </w:rPr>
        <w:t>n</w:t>
      </w:r>
      <w:r w:rsidRPr="001961B1">
        <w:rPr>
          <w:rFonts w:asciiTheme="minorHAnsi" w:eastAsia="Calibri" w:hAnsiTheme="minorHAnsi" w:cstheme="minorHAnsi"/>
          <w:b/>
          <w:sz w:val="28"/>
          <w:szCs w:val="28"/>
        </w:rPr>
        <w:t>érale</w:t>
      </w:r>
      <w:r w:rsidR="000D1D8F" w:rsidRPr="001961B1">
        <w:rPr>
          <w:rFonts w:asciiTheme="minorHAnsi" w:eastAsia="Calibri" w:hAnsiTheme="minorHAnsi" w:cstheme="minorHAnsi"/>
          <w:b/>
          <w:sz w:val="28"/>
          <w:szCs w:val="28"/>
        </w:rPr>
        <w:t xml:space="preserve"> </w:t>
      </w:r>
      <w:r w:rsidR="00955D6A" w:rsidRPr="001961B1">
        <w:rPr>
          <w:rFonts w:asciiTheme="minorHAnsi" w:eastAsia="Calibri" w:hAnsiTheme="minorHAnsi" w:cstheme="minorHAnsi"/>
          <w:b/>
          <w:sz w:val="28"/>
          <w:szCs w:val="28"/>
        </w:rPr>
        <w:br/>
      </w:r>
      <w:r w:rsidRPr="001961B1">
        <w:rPr>
          <w:rFonts w:asciiTheme="minorHAnsi" w:eastAsia="Calibri" w:hAnsiTheme="minorHAnsi" w:cstheme="minorHAnsi"/>
          <w:b/>
          <w:sz w:val="28"/>
          <w:szCs w:val="28"/>
        </w:rPr>
        <w:t>sur l’application de la</w:t>
      </w:r>
      <w:r w:rsidR="000D1D8F" w:rsidRPr="001961B1">
        <w:rPr>
          <w:rFonts w:asciiTheme="minorHAnsi" w:eastAsia="Calibri" w:hAnsiTheme="minorHAnsi" w:cstheme="minorHAnsi"/>
          <w:b/>
          <w:sz w:val="28"/>
          <w:szCs w:val="28"/>
        </w:rPr>
        <w:t xml:space="preserve"> Convention</w:t>
      </w:r>
      <w:r w:rsidR="00B64EA8" w:rsidRPr="001961B1">
        <w:rPr>
          <w:rFonts w:asciiTheme="minorHAnsi" w:eastAsia="Calibri" w:hAnsiTheme="minorHAnsi" w:cstheme="minorHAnsi"/>
          <w:b/>
          <w:sz w:val="28"/>
          <w:szCs w:val="28"/>
        </w:rPr>
        <w:t> </w:t>
      </w:r>
      <w:r w:rsidR="000D1D8F" w:rsidRPr="001961B1">
        <w:rPr>
          <w:rFonts w:asciiTheme="minorHAnsi" w:eastAsia="Calibri" w:hAnsiTheme="minorHAnsi" w:cstheme="minorHAnsi"/>
          <w:b/>
          <w:sz w:val="28"/>
          <w:szCs w:val="28"/>
        </w:rPr>
        <w:t xml:space="preserve">: </w:t>
      </w:r>
      <w:r w:rsidR="001961B1">
        <w:rPr>
          <w:rFonts w:asciiTheme="minorHAnsi" w:eastAsia="Calibri" w:hAnsiTheme="minorHAnsi" w:cstheme="minorHAnsi"/>
          <w:b/>
          <w:sz w:val="28"/>
          <w:szCs w:val="28"/>
        </w:rPr>
        <w:br/>
      </w:r>
      <w:r w:rsidR="009903F3" w:rsidRPr="001961B1">
        <w:rPr>
          <w:rFonts w:asciiTheme="minorHAnsi" w:eastAsia="Calibri" w:hAnsiTheme="minorHAnsi" w:cstheme="minorHAnsi"/>
          <w:b/>
          <w:sz w:val="28"/>
          <w:szCs w:val="28"/>
        </w:rPr>
        <w:t>Application au niveau mondial</w:t>
      </w:r>
    </w:p>
    <w:p w14:paraId="41F6F061" w14:textId="77777777" w:rsidR="00513FF5" w:rsidRPr="0001164D" w:rsidRDefault="00513FF5" w:rsidP="00CD3F6B">
      <w:pPr>
        <w:rPr>
          <w:rFonts w:asciiTheme="minorHAnsi" w:hAnsiTheme="minorHAnsi" w:cstheme="minorHAnsi"/>
          <w:lang w:val="fr-FR"/>
        </w:rPr>
      </w:pPr>
    </w:p>
    <w:p w14:paraId="6CC6CDCA" w14:textId="77777777" w:rsidR="00CD3F6B" w:rsidRPr="0001164D" w:rsidRDefault="00CD3F6B" w:rsidP="00CD3F6B">
      <w:pPr>
        <w:rPr>
          <w:rFonts w:asciiTheme="minorHAnsi" w:hAnsiTheme="minorHAnsi" w:cstheme="minorHAnsi"/>
          <w:lang w:val="fr-FR"/>
        </w:rPr>
      </w:pPr>
    </w:p>
    <w:p w14:paraId="0EFAD811" w14:textId="786D7B89" w:rsidR="00B45769" w:rsidRPr="001961B1" w:rsidRDefault="00B45769" w:rsidP="00D1463B">
      <w:pPr>
        <w:keepNext/>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Introduction</w:t>
      </w:r>
    </w:p>
    <w:p w14:paraId="32C8D313" w14:textId="77777777" w:rsidR="00CD3F6B" w:rsidRPr="001961B1" w:rsidRDefault="00CD3F6B" w:rsidP="00D1463B">
      <w:pPr>
        <w:keepNext/>
        <w:rPr>
          <w:rFonts w:asciiTheme="minorHAnsi" w:hAnsiTheme="minorHAnsi" w:cstheme="minorHAnsi"/>
          <w:sz w:val="22"/>
          <w:szCs w:val="22"/>
          <w:lang w:val="fr-FR"/>
        </w:rPr>
      </w:pPr>
    </w:p>
    <w:p w14:paraId="335ED7CA" w14:textId="68DC26EF" w:rsidR="00210EB3"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w:t>
      </w:r>
      <w:r w:rsidRPr="001961B1">
        <w:rPr>
          <w:rFonts w:asciiTheme="minorHAnsi" w:hAnsiTheme="minorHAnsi" w:cstheme="minorHAnsi"/>
          <w:bCs/>
          <w:sz w:val="22"/>
          <w:szCs w:val="22"/>
          <w:lang w:val="fr-FR" w:eastAsia="fr-FR"/>
        </w:rPr>
        <w:tab/>
      </w:r>
      <w:r w:rsidR="0040700F" w:rsidRPr="001961B1">
        <w:rPr>
          <w:rFonts w:asciiTheme="minorHAnsi" w:hAnsiTheme="minorHAnsi" w:cstheme="minorHAnsi"/>
          <w:bCs/>
          <w:sz w:val="22"/>
          <w:szCs w:val="22"/>
          <w:lang w:val="fr-FR" w:eastAsia="fr-FR"/>
        </w:rPr>
        <w:t xml:space="preserve">Le présent rapport </w:t>
      </w:r>
      <w:r w:rsidR="00B30D0F" w:rsidRPr="001961B1">
        <w:rPr>
          <w:rFonts w:asciiTheme="minorHAnsi" w:hAnsiTheme="minorHAnsi" w:cstheme="minorHAnsi"/>
          <w:bCs/>
          <w:sz w:val="22"/>
          <w:szCs w:val="22"/>
          <w:lang w:val="fr-FR" w:eastAsia="fr-FR"/>
        </w:rPr>
        <w:t>décrit</w:t>
      </w:r>
      <w:r w:rsidR="00A9247D" w:rsidRPr="001961B1">
        <w:rPr>
          <w:rFonts w:asciiTheme="minorHAnsi" w:hAnsiTheme="minorHAnsi" w:cstheme="minorHAnsi"/>
          <w:bCs/>
          <w:sz w:val="22"/>
          <w:szCs w:val="22"/>
          <w:lang w:val="fr-FR" w:eastAsia="fr-FR"/>
        </w:rPr>
        <w:t xml:space="preserve"> </w:t>
      </w:r>
      <w:r w:rsidR="0040700F" w:rsidRPr="001961B1">
        <w:rPr>
          <w:rFonts w:asciiTheme="minorHAnsi" w:hAnsiTheme="minorHAnsi" w:cstheme="minorHAnsi"/>
          <w:bCs/>
          <w:sz w:val="22"/>
          <w:szCs w:val="22"/>
          <w:lang w:val="fr-FR" w:eastAsia="fr-FR"/>
        </w:rPr>
        <w:t>la mise en œuvre de la Convention sur les zones humides depuis la clôture de la 14</w:t>
      </w:r>
      <w:r w:rsidR="0040700F" w:rsidRPr="001961B1">
        <w:rPr>
          <w:rFonts w:asciiTheme="minorHAnsi" w:hAnsiTheme="minorHAnsi" w:cstheme="minorHAnsi"/>
          <w:bCs/>
          <w:sz w:val="22"/>
          <w:szCs w:val="22"/>
          <w:vertAlign w:val="superscript"/>
          <w:lang w:val="fr-FR" w:eastAsia="fr-FR"/>
        </w:rPr>
        <w:t>e</w:t>
      </w:r>
      <w:r w:rsidR="0040700F" w:rsidRPr="001961B1">
        <w:rPr>
          <w:rFonts w:asciiTheme="minorHAnsi" w:hAnsiTheme="minorHAnsi" w:cstheme="minorHAnsi"/>
          <w:bCs/>
          <w:sz w:val="22"/>
          <w:szCs w:val="22"/>
          <w:lang w:val="fr-FR" w:eastAsia="fr-FR"/>
        </w:rPr>
        <w:t xml:space="preserve"> Session de la Conférence des Parties contractantes </w:t>
      </w:r>
      <w:r w:rsidR="00BC6299" w:rsidRPr="001961B1">
        <w:rPr>
          <w:rFonts w:asciiTheme="minorHAnsi" w:hAnsiTheme="minorHAnsi" w:cstheme="minorHAnsi"/>
          <w:bCs/>
          <w:sz w:val="22"/>
          <w:szCs w:val="22"/>
          <w:lang w:val="fr-FR" w:eastAsia="fr-FR"/>
        </w:rPr>
        <w:t>(COP14)</w:t>
      </w:r>
      <w:r w:rsidR="0040700F" w:rsidRPr="001961B1">
        <w:rPr>
          <w:rFonts w:asciiTheme="minorHAnsi" w:hAnsiTheme="minorHAnsi" w:cstheme="minorHAnsi"/>
          <w:bCs/>
          <w:sz w:val="22"/>
          <w:szCs w:val="22"/>
          <w:lang w:val="fr-FR" w:eastAsia="fr-FR"/>
        </w:rPr>
        <w:t>,</w:t>
      </w:r>
      <w:r w:rsidR="00BC6299" w:rsidRPr="001961B1">
        <w:rPr>
          <w:rFonts w:asciiTheme="minorHAnsi" w:hAnsiTheme="minorHAnsi" w:cstheme="minorHAnsi"/>
          <w:bCs/>
          <w:sz w:val="22"/>
          <w:szCs w:val="22"/>
          <w:lang w:val="fr-FR" w:eastAsia="fr-FR"/>
        </w:rPr>
        <w:t xml:space="preserve"> </w:t>
      </w:r>
      <w:r w:rsidR="0040700F" w:rsidRPr="001961B1">
        <w:rPr>
          <w:rFonts w:asciiTheme="minorHAnsi" w:hAnsiTheme="minorHAnsi" w:cstheme="minorHAnsi"/>
          <w:bCs/>
          <w:sz w:val="22"/>
          <w:szCs w:val="22"/>
          <w:lang w:val="fr-FR" w:eastAsia="fr-FR"/>
        </w:rPr>
        <w:t>en novembre </w:t>
      </w:r>
      <w:r w:rsidR="00BC6299" w:rsidRPr="001961B1">
        <w:rPr>
          <w:rFonts w:asciiTheme="minorHAnsi" w:hAnsiTheme="minorHAnsi" w:cstheme="minorHAnsi"/>
          <w:bCs/>
          <w:sz w:val="22"/>
          <w:szCs w:val="22"/>
          <w:lang w:val="fr-FR" w:eastAsia="fr-FR"/>
        </w:rPr>
        <w:t>2022</w:t>
      </w:r>
      <w:r w:rsidR="0040700F" w:rsidRPr="001961B1">
        <w:rPr>
          <w:rFonts w:asciiTheme="minorHAnsi" w:hAnsiTheme="minorHAnsi" w:cstheme="minorHAnsi"/>
          <w:bCs/>
          <w:sz w:val="22"/>
          <w:szCs w:val="22"/>
          <w:lang w:val="fr-FR" w:eastAsia="fr-FR"/>
        </w:rPr>
        <w:t xml:space="preserve">, jusqu’à la fin de mars 2025. Il est publié </w:t>
      </w:r>
      <w:r w:rsidR="00A9247D" w:rsidRPr="001961B1">
        <w:rPr>
          <w:rFonts w:asciiTheme="minorHAnsi" w:hAnsiTheme="minorHAnsi" w:cstheme="minorHAnsi"/>
          <w:bCs/>
          <w:sz w:val="22"/>
          <w:szCs w:val="22"/>
          <w:lang w:val="fr-FR" w:eastAsia="fr-FR"/>
        </w:rPr>
        <w:t>en application des</w:t>
      </w:r>
      <w:r w:rsidR="0040700F" w:rsidRPr="001961B1">
        <w:rPr>
          <w:rFonts w:asciiTheme="minorHAnsi" w:hAnsiTheme="minorHAnsi" w:cstheme="minorHAnsi"/>
          <w:bCs/>
          <w:sz w:val="22"/>
          <w:szCs w:val="22"/>
          <w:lang w:val="fr-FR" w:eastAsia="fr-FR"/>
        </w:rPr>
        <w:t xml:space="preserve"> </w:t>
      </w:r>
      <w:r w:rsidR="00E03B0D" w:rsidRPr="001961B1">
        <w:rPr>
          <w:rFonts w:asciiTheme="minorHAnsi" w:hAnsiTheme="minorHAnsi" w:cstheme="minorHAnsi"/>
          <w:bCs/>
          <w:sz w:val="22"/>
          <w:szCs w:val="22"/>
          <w:lang w:val="fr-FR" w:eastAsia="fr-FR"/>
        </w:rPr>
        <w:t>a</w:t>
      </w:r>
      <w:r w:rsidR="0040700F" w:rsidRPr="001961B1">
        <w:rPr>
          <w:rFonts w:asciiTheme="minorHAnsi" w:hAnsiTheme="minorHAnsi" w:cstheme="minorHAnsi"/>
          <w:bCs/>
          <w:sz w:val="22"/>
          <w:szCs w:val="22"/>
          <w:lang w:val="fr-FR" w:eastAsia="fr-FR"/>
        </w:rPr>
        <w:t>rticles 9.a et </w:t>
      </w:r>
      <w:r w:rsidR="00BC6299" w:rsidRPr="001961B1">
        <w:rPr>
          <w:rFonts w:asciiTheme="minorHAnsi" w:hAnsiTheme="minorHAnsi" w:cstheme="minorHAnsi"/>
          <w:bCs/>
          <w:sz w:val="22"/>
          <w:szCs w:val="22"/>
          <w:lang w:val="fr-FR" w:eastAsia="fr-FR"/>
        </w:rPr>
        <w:t xml:space="preserve">26.3 </w:t>
      </w:r>
      <w:r w:rsidR="00DD0A34" w:rsidRPr="001961B1">
        <w:rPr>
          <w:rFonts w:asciiTheme="minorHAnsi" w:hAnsiTheme="minorHAnsi" w:cstheme="minorHAnsi"/>
          <w:bCs/>
          <w:sz w:val="22"/>
          <w:szCs w:val="22"/>
          <w:lang w:val="fr-FR" w:eastAsia="fr-FR"/>
        </w:rPr>
        <w:t xml:space="preserve">du Règlement intérieur. Les activités du Secrétariat, dans le cadre de son Plan de travail, sont décrites dans le </w:t>
      </w:r>
      <w:r w:rsidR="00BC6299" w:rsidRPr="001961B1">
        <w:rPr>
          <w:rFonts w:asciiTheme="minorHAnsi" w:hAnsiTheme="minorHAnsi" w:cstheme="minorHAnsi"/>
          <w:bCs/>
          <w:sz w:val="22"/>
          <w:szCs w:val="22"/>
          <w:lang w:val="fr-FR" w:eastAsia="fr-FR"/>
        </w:rPr>
        <w:t>document COP15 Doc.</w:t>
      </w:r>
      <w:r w:rsidR="00BC2A6D" w:rsidRPr="001961B1">
        <w:rPr>
          <w:rFonts w:asciiTheme="minorHAnsi" w:hAnsiTheme="minorHAnsi" w:cstheme="minorHAnsi"/>
          <w:bCs/>
          <w:sz w:val="22"/>
          <w:szCs w:val="22"/>
          <w:lang w:val="fr-FR" w:eastAsia="fr-FR"/>
        </w:rPr>
        <w:t>8.2</w:t>
      </w:r>
      <w:r w:rsidR="00BC6299" w:rsidRPr="001961B1">
        <w:rPr>
          <w:rFonts w:asciiTheme="minorHAnsi" w:hAnsiTheme="minorHAnsi" w:cstheme="minorHAnsi"/>
          <w:bCs/>
          <w:sz w:val="22"/>
          <w:szCs w:val="22"/>
          <w:lang w:val="fr-FR" w:eastAsia="fr-FR"/>
        </w:rPr>
        <w:t>.</w:t>
      </w:r>
    </w:p>
    <w:p w14:paraId="0536C3CA" w14:textId="77777777" w:rsidR="00887B48" w:rsidRPr="001961B1" w:rsidRDefault="00887B48" w:rsidP="000E3338">
      <w:pPr>
        <w:pStyle w:val="ListParagraph"/>
        <w:spacing w:after="0" w:line="240" w:lineRule="auto"/>
        <w:ind w:left="567" w:hanging="567"/>
        <w:rPr>
          <w:rFonts w:eastAsia="Times New Roman" w:cstheme="minorHAnsi"/>
          <w:bCs/>
          <w:lang w:val="fr-FR" w:eastAsia="fr-FR"/>
        </w:rPr>
      </w:pPr>
    </w:p>
    <w:p w14:paraId="3306AA9C" w14:textId="668DC409" w:rsidR="00210EB3"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2.</w:t>
      </w:r>
      <w:r w:rsidRPr="001961B1">
        <w:rPr>
          <w:rFonts w:asciiTheme="minorHAnsi" w:hAnsiTheme="minorHAnsi" w:cstheme="minorHAnsi"/>
          <w:bCs/>
          <w:sz w:val="22"/>
          <w:szCs w:val="22"/>
          <w:lang w:val="fr-FR" w:eastAsia="fr-FR"/>
        </w:rPr>
        <w:tab/>
      </w:r>
      <w:r w:rsidR="009B142F" w:rsidRPr="001961B1">
        <w:rPr>
          <w:rFonts w:asciiTheme="minorHAnsi" w:hAnsiTheme="minorHAnsi" w:cstheme="minorHAnsi"/>
          <w:bCs/>
          <w:sz w:val="22"/>
          <w:szCs w:val="22"/>
          <w:lang w:val="fr-FR" w:eastAsia="fr-FR"/>
        </w:rPr>
        <w:t xml:space="preserve">La mise en œuvre de la Convention est guidée par le quatrième Plan stratégique </w:t>
      </w:r>
      <w:r w:rsidR="00210EB3" w:rsidRPr="001961B1">
        <w:rPr>
          <w:rFonts w:asciiTheme="minorHAnsi" w:hAnsiTheme="minorHAnsi" w:cstheme="minorHAnsi"/>
          <w:bCs/>
          <w:sz w:val="22"/>
          <w:szCs w:val="22"/>
          <w:lang w:val="fr-FR" w:eastAsia="fr-FR"/>
        </w:rPr>
        <w:t>2016</w:t>
      </w:r>
      <w:r w:rsidR="009B142F" w:rsidRPr="001961B1">
        <w:rPr>
          <w:rFonts w:asciiTheme="minorHAnsi" w:hAnsiTheme="minorHAnsi" w:cstheme="minorHAnsi"/>
          <w:bCs/>
          <w:sz w:val="22"/>
          <w:szCs w:val="22"/>
          <w:lang w:val="fr-FR" w:eastAsia="fr-FR"/>
        </w:rPr>
        <w:t>­</w:t>
      </w:r>
      <w:r w:rsidR="00210EB3" w:rsidRPr="001961B1">
        <w:rPr>
          <w:rFonts w:asciiTheme="minorHAnsi" w:hAnsiTheme="minorHAnsi" w:cstheme="minorHAnsi"/>
          <w:bCs/>
          <w:sz w:val="22"/>
          <w:szCs w:val="22"/>
          <w:lang w:val="fr-FR" w:eastAsia="fr-FR"/>
        </w:rPr>
        <w:t>2024</w:t>
      </w:r>
      <w:r w:rsidR="00305762" w:rsidRPr="001961B1">
        <w:rPr>
          <w:rFonts w:asciiTheme="minorHAnsi" w:hAnsiTheme="minorHAnsi" w:cstheme="minorHAnsi"/>
          <w:bCs/>
          <w:sz w:val="22"/>
          <w:szCs w:val="22"/>
          <w:lang w:val="fr-FR" w:eastAsia="fr-FR"/>
        </w:rPr>
        <w:t xml:space="preserve"> (</w:t>
      </w:r>
      <w:r w:rsidR="009B142F" w:rsidRPr="001961B1">
        <w:rPr>
          <w:rFonts w:asciiTheme="minorHAnsi" w:hAnsiTheme="minorHAnsi" w:cstheme="minorHAnsi"/>
          <w:bCs/>
          <w:sz w:val="22"/>
          <w:szCs w:val="22"/>
          <w:lang w:val="fr-FR" w:eastAsia="fr-FR"/>
        </w:rPr>
        <w:t>P</w:t>
      </w:r>
      <w:r w:rsidR="00305762" w:rsidRPr="001961B1">
        <w:rPr>
          <w:rFonts w:asciiTheme="minorHAnsi" w:hAnsiTheme="minorHAnsi" w:cstheme="minorHAnsi"/>
          <w:bCs/>
          <w:sz w:val="22"/>
          <w:szCs w:val="22"/>
          <w:lang w:val="fr-FR" w:eastAsia="fr-FR"/>
        </w:rPr>
        <w:t>S4)</w:t>
      </w:r>
      <w:r w:rsidR="00210EB3" w:rsidRPr="001961B1">
        <w:rPr>
          <w:rFonts w:asciiTheme="minorHAnsi" w:hAnsiTheme="minorHAnsi" w:cstheme="minorHAnsi"/>
          <w:bCs/>
          <w:sz w:val="22"/>
          <w:szCs w:val="22"/>
          <w:lang w:val="fr-FR" w:eastAsia="fr-FR"/>
        </w:rPr>
        <w:t xml:space="preserve">, </w:t>
      </w:r>
      <w:r w:rsidR="009B142F" w:rsidRPr="001961B1">
        <w:rPr>
          <w:rFonts w:asciiTheme="minorHAnsi" w:hAnsiTheme="minorHAnsi" w:cstheme="minorHAnsi"/>
          <w:bCs/>
          <w:sz w:val="22"/>
          <w:szCs w:val="22"/>
          <w:lang w:val="fr-FR" w:eastAsia="fr-FR"/>
        </w:rPr>
        <w:t>qui comprend quatre buts et 19 objectifs</w:t>
      </w:r>
      <w:r w:rsidR="00F87CCE" w:rsidRPr="001961B1">
        <w:rPr>
          <w:rStyle w:val="FootnoteReference"/>
          <w:rFonts w:asciiTheme="minorHAnsi" w:hAnsiTheme="minorHAnsi" w:cstheme="minorHAnsi"/>
          <w:bCs/>
          <w:sz w:val="22"/>
          <w:szCs w:val="22"/>
          <w:lang w:val="fr-FR" w:eastAsia="fr-FR"/>
        </w:rPr>
        <w:footnoteReference w:id="2"/>
      </w:r>
      <w:r w:rsidR="00210EB3" w:rsidRPr="001961B1">
        <w:rPr>
          <w:rFonts w:asciiTheme="minorHAnsi" w:hAnsiTheme="minorHAnsi" w:cstheme="minorHAnsi"/>
          <w:bCs/>
          <w:sz w:val="22"/>
          <w:szCs w:val="22"/>
          <w:lang w:val="fr-FR" w:eastAsia="fr-FR"/>
        </w:rPr>
        <w:t xml:space="preserve">. </w:t>
      </w:r>
      <w:r w:rsidR="00347588" w:rsidRPr="001961B1">
        <w:rPr>
          <w:rFonts w:asciiTheme="minorHAnsi" w:hAnsiTheme="minorHAnsi" w:cstheme="minorHAnsi"/>
          <w:bCs/>
          <w:sz w:val="22"/>
          <w:szCs w:val="22"/>
          <w:lang w:val="fr-FR" w:eastAsia="fr-FR"/>
        </w:rPr>
        <w:t xml:space="preserve">Le présent rapport résume les progrès </w:t>
      </w:r>
      <w:r w:rsidR="00585BEF" w:rsidRPr="001961B1">
        <w:rPr>
          <w:rFonts w:asciiTheme="minorHAnsi" w:hAnsiTheme="minorHAnsi" w:cstheme="minorHAnsi"/>
          <w:bCs/>
          <w:sz w:val="22"/>
          <w:szCs w:val="22"/>
          <w:lang w:val="fr-FR" w:eastAsia="fr-FR"/>
        </w:rPr>
        <w:t>d</w:t>
      </w:r>
      <w:r w:rsidR="00347588" w:rsidRPr="001961B1">
        <w:rPr>
          <w:rFonts w:asciiTheme="minorHAnsi" w:hAnsiTheme="minorHAnsi" w:cstheme="minorHAnsi"/>
          <w:bCs/>
          <w:sz w:val="22"/>
          <w:szCs w:val="22"/>
          <w:lang w:val="fr-FR" w:eastAsia="fr-FR"/>
        </w:rPr>
        <w:t xml:space="preserve">’application des objectifs, principalement sur la base des 35 indicateurs définis dans le PS4 et avec des informations supplémentaires, le cas échéant, </w:t>
      </w:r>
      <w:r w:rsidR="00585BEF" w:rsidRPr="001961B1">
        <w:rPr>
          <w:rFonts w:asciiTheme="minorHAnsi" w:hAnsiTheme="minorHAnsi" w:cstheme="minorHAnsi"/>
          <w:bCs/>
          <w:sz w:val="22"/>
          <w:szCs w:val="22"/>
          <w:lang w:val="fr-FR" w:eastAsia="fr-FR"/>
        </w:rPr>
        <w:t>tirées</w:t>
      </w:r>
      <w:r w:rsidR="00347588" w:rsidRPr="001961B1">
        <w:rPr>
          <w:rFonts w:asciiTheme="minorHAnsi" w:hAnsiTheme="minorHAnsi" w:cstheme="minorHAnsi"/>
          <w:bCs/>
          <w:sz w:val="22"/>
          <w:szCs w:val="22"/>
          <w:lang w:val="fr-FR" w:eastAsia="fr-FR"/>
        </w:rPr>
        <w:t xml:space="preserve"> des Rapports nationaux soumis par les Parties contractantes.</w:t>
      </w:r>
    </w:p>
    <w:p w14:paraId="21CBF9AA" w14:textId="77777777" w:rsidR="00210EB3" w:rsidRPr="001961B1" w:rsidRDefault="00210EB3" w:rsidP="000E3338">
      <w:pPr>
        <w:pStyle w:val="ListParagraph"/>
        <w:spacing w:after="0" w:line="240" w:lineRule="auto"/>
        <w:ind w:left="567" w:hanging="567"/>
        <w:rPr>
          <w:rFonts w:eastAsia="Times New Roman" w:cstheme="minorHAnsi"/>
          <w:bCs/>
          <w:lang w:val="fr-FR" w:eastAsia="fr-FR"/>
        </w:rPr>
      </w:pPr>
    </w:p>
    <w:p w14:paraId="7A75351C" w14:textId="5244F7BF" w:rsidR="00367834"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3.</w:t>
      </w:r>
      <w:r w:rsidRPr="001961B1">
        <w:rPr>
          <w:rFonts w:asciiTheme="minorHAnsi" w:hAnsiTheme="minorHAnsi" w:cstheme="minorHAnsi"/>
          <w:bCs/>
          <w:sz w:val="22"/>
          <w:szCs w:val="22"/>
          <w:lang w:val="fr-FR" w:eastAsia="fr-FR"/>
        </w:rPr>
        <w:tab/>
      </w:r>
      <w:r w:rsidR="009A36C0" w:rsidRPr="001961B1">
        <w:rPr>
          <w:rFonts w:asciiTheme="minorHAnsi" w:hAnsiTheme="minorHAnsi" w:cstheme="minorHAnsi"/>
          <w:bCs/>
          <w:sz w:val="22"/>
          <w:szCs w:val="22"/>
          <w:lang w:val="fr-FR" w:eastAsia="fr-FR"/>
        </w:rPr>
        <w:t xml:space="preserve">Le présent rapport est fondé sur </w:t>
      </w:r>
      <w:r w:rsidR="00585BEF" w:rsidRPr="001961B1">
        <w:rPr>
          <w:rFonts w:asciiTheme="minorHAnsi" w:hAnsiTheme="minorHAnsi" w:cstheme="minorHAnsi"/>
          <w:bCs/>
          <w:sz w:val="22"/>
          <w:szCs w:val="22"/>
          <w:lang w:val="fr-FR" w:eastAsia="fr-FR"/>
        </w:rPr>
        <w:t>l’</w:t>
      </w:r>
      <w:r w:rsidR="009A36C0" w:rsidRPr="001961B1">
        <w:rPr>
          <w:rFonts w:asciiTheme="minorHAnsi" w:hAnsiTheme="minorHAnsi" w:cstheme="minorHAnsi"/>
          <w:bCs/>
          <w:sz w:val="22"/>
          <w:szCs w:val="22"/>
          <w:lang w:val="fr-FR" w:eastAsia="fr-FR"/>
        </w:rPr>
        <w:t xml:space="preserve">analyse des 112 Rapports nationaux soumis </w:t>
      </w:r>
      <w:r w:rsidR="00585BEF" w:rsidRPr="001961B1">
        <w:rPr>
          <w:rFonts w:asciiTheme="minorHAnsi" w:hAnsiTheme="minorHAnsi" w:cstheme="minorHAnsi"/>
          <w:bCs/>
          <w:sz w:val="22"/>
          <w:szCs w:val="22"/>
          <w:lang w:val="fr-FR" w:eastAsia="fr-FR"/>
        </w:rPr>
        <w:t xml:space="preserve">dans les délais </w:t>
      </w:r>
      <w:r w:rsidR="003B2924" w:rsidRPr="001961B1">
        <w:rPr>
          <w:rFonts w:asciiTheme="minorHAnsi" w:hAnsiTheme="minorHAnsi" w:cstheme="minorHAnsi"/>
          <w:bCs/>
          <w:sz w:val="22"/>
          <w:szCs w:val="22"/>
          <w:lang w:val="fr-FR" w:eastAsia="fr-FR"/>
        </w:rPr>
        <w:t>pour</w:t>
      </w:r>
      <w:r w:rsidR="009A36C0" w:rsidRPr="001961B1">
        <w:rPr>
          <w:rFonts w:asciiTheme="minorHAnsi" w:hAnsiTheme="minorHAnsi" w:cstheme="minorHAnsi"/>
          <w:bCs/>
          <w:sz w:val="22"/>
          <w:szCs w:val="22"/>
          <w:lang w:val="fr-FR" w:eastAsia="fr-FR"/>
        </w:rPr>
        <w:t xml:space="preserve"> la COP15</w:t>
      </w:r>
      <w:r w:rsidR="00585BEF" w:rsidRPr="001961B1">
        <w:rPr>
          <w:rFonts w:asciiTheme="minorHAnsi" w:hAnsiTheme="minorHAnsi" w:cstheme="minorHAnsi"/>
          <w:bCs/>
          <w:sz w:val="22"/>
          <w:szCs w:val="22"/>
          <w:lang w:val="fr-FR" w:eastAsia="fr-FR"/>
        </w:rPr>
        <w:t>,</w:t>
      </w:r>
      <w:r w:rsidR="009A36C0" w:rsidRPr="001961B1">
        <w:rPr>
          <w:rFonts w:asciiTheme="minorHAnsi" w:hAnsiTheme="minorHAnsi" w:cstheme="minorHAnsi"/>
          <w:bCs/>
          <w:sz w:val="22"/>
          <w:szCs w:val="22"/>
          <w:lang w:val="fr-FR" w:eastAsia="fr-FR"/>
        </w:rPr>
        <w:t xml:space="preserve"> dans le cadre du système d’établissement des rapports en ligne</w:t>
      </w:r>
      <w:r w:rsidR="00585BEF" w:rsidRPr="001961B1">
        <w:rPr>
          <w:rFonts w:asciiTheme="minorHAnsi" w:hAnsiTheme="minorHAnsi" w:cstheme="minorHAnsi"/>
          <w:bCs/>
          <w:sz w:val="22"/>
          <w:szCs w:val="22"/>
          <w:lang w:val="fr-FR" w:eastAsia="fr-FR"/>
        </w:rPr>
        <w:t>.  Trente (</w:t>
      </w:r>
      <w:r w:rsidR="009A36C0" w:rsidRPr="001961B1">
        <w:rPr>
          <w:rFonts w:asciiTheme="minorHAnsi" w:hAnsiTheme="minorHAnsi" w:cstheme="minorHAnsi"/>
          <w:bCs/>
          <w:sz w:val="22"/>
          <w:szCs w:val="22"/>
          <w:lang w:val="fr-FR" w:eastAsia="fr-FR"/>
        </w:rPr>
        <w:t>30</w:t>
      </w:r>
      <w:r w:rsidR="00585BEF" w:rsidRPr="001961B1">
        <w:rPr>
          <w:rFonts w:asciiTheme="minorHAnsi" w:hAnsiTheme="minorHAnsi" w:cstheme="minorHAnsi"/>
          <w:bCs/>
          <w:sz w:val="22"/>
          <w:szCs w:val="22"/>
          <w:lang w:val="fr-FR" w:eastAsia="fr-FR"/>
        </w:rPr>
        <w:t>)</w:t>
      </w:r>
      <w:r w:rsidR="009A36C0" w:rsidRPr="001961B1">
        <w:rPr>
          <w:rFonts w:asciiTheme="minorHAnsi" w:hAnsiTheme="minorHAnsi" w:cstheme="minorHAnsi"/>
          <w:bCs/>
          <w:sz w:val="22"/>
          <w:szCs w:val="22"/>
          <w:lang w:val="fr-FR" w:eastAsia="fr-FR"/>
        </w:rPr>
        <w:t xml:space="preserve"> rapports </w:t>
      </w:r>
      <w:r w:rsidR="00585BEF" w:rsidRPr="001961B1">
        <w:rPr>
          <w:rFonts w:asciiTheme="minorHAnsi" w:hAnsiTheme="minorHAnsi" w:cstheme="minorHAnsi"/>
          <w:bCs/>
          <w:sz w:val="22"/>
          <w:szCs w:val="22"/>
          <w:lang w:val="fr-FR" w:eastAsia="fr-FR"/>
        </w:rPr>
        <w:t xml:space="preserve">ont été </w:t>
      </w:r>
      <w:r w:rsidR="009A36C0" w:rsidRPr="001961B1">
        <w:rPr>
          <w:rFonts w:asciiTheme="minorHAnsi" w:hAnsiTheme="minorHAnsi" w:cstheme="minorHAnsi"/>
          <w:bCs/>
          <w:sz w:val="22"/>
          <w:szCs w:val="22"/>
          <w:lang w:val="fr-FR" w:eastAsia="fr-FR"/>
        </w:rPr>
        <w:t xml:space="preserve">soumis par les Parties contractantes d’Afrique, 20 par les Parties d’Asie, 41 par les Parties d’Europe, 17 par les Parties d’Amérique latine et </w:t>
      </w:r>
      <w:r w:rsidR="00A27A89" w:rsidRPr="001961B1">
        <w:rPr>
          <w:rFonts w:asciiTheme="minorHAnsi" w:hAnsiTheme="minorHAnsi" w:cstheme="minorHAnsi"/>
          <w:bCs/>
          <w:sz w:val="22"/>
          <w:szCs w:val="22"/>
          <w:lang w:val="fr-FR" w:eastAsia="fr-FR"/>
        </w:rPr>
        <w:t>Caraïbes</w:t>
      </w:r>
      <w:r w:rsidR="009A36C0" w:rsidRPr="001961B1">
        <w:rPr>
          <w:rFonts w:asciiTheme="minorHAnsi" w:hAnsiTheme="minorHAnsi" w:cstheme="minorHAnsi"/>
          <w:bCs/>
          <w:sz w:val="22"/>
          <w:szCs w:val="22"/>
          <w:lang w:val="fr-FR" w:eastAsia="fr-FR"/>
        </w:rPr>
        <w:t>, deux</w:t>
      </w:r>
      <w:r w:rsidR="00225667" w:rsidRPr="001961B1">
        <w:rPr>
          <w:rFonts w:asciiTheme="minorHAnsi" w:hAnsiTheme="minorHAnsi" w:cstheme="minorHAnsi"/>
          <w:bCs/>
          <w:sz w:val="22"/>
          <w:szCs w:val="22"/>
          <w:lang w:val="fr-FR" w:eastAsia="fr-FR"/>
        </w:rPr>
        <w:t xml:space="preserve"> </w:t>
      </w:r>
      <w:r w:rsidR="009A36C0" w:rsidRPr="001961B1">
        <w:rPr>
          <w:rFonts w:asciiTheme="minorHAnsi" w:hAnsiTheme="minorHAnsi" w:cstheme="minorHAnsi"/>
          <w:bCs/>
          <w:sz w:val="22"/>
          <w:szCs w:val="22"/>
          <w:lang w:val="fr-FR" w:eastAsia="fr-FR"/>
        </w:rPr>
        <w:t>par les Parties d’Amérique du Nord et deux</w:t>
      </w:r>
      <w:r w:rsidR="00225667" w:rsidRPr="001961B1">
        <w:rPr>
          <w:rFonts w:asciiTheme="minorHAnsi" w:hAnsiTheme="minorHAnsi" w:cstheme="minorHAnsi"/>
          <w:bCs/>
          <w:sz w:val="22"/>
          <w:szCs w:val="22"/>
          <w:lang w:val="fr-FR" w:eastAsia="fr-FR"/>
        </w:rPr>
        <w:t xml:space="preserve"> </w:t>
      </w:r>
      <w:r w:rsidR="009A36C0" w:rsidRPr="001961B1">
        <w:rPr>
          <w:rFonts w:asciiTheme="minorHAnsi" w:hAnsiTheme="minorHAnsi" w:cstheme="minorHAnsi"/>
          <w:bCs/>
          <w:sz w:val="22"/>
          <w:szCs w:val="22"/>
          <w:lang w:val="fr-FR" w:eastAsia="fr-FR"/>
        </w:rPr>
        <w:t xml:space="preserve">par les Parties d’Océanie. Ceci représente un taux de réponse global </w:t>
      </w:r>
      <w:r w:rsidR="004C6E1C" w:rsidRPr="001961B1">
        <w:rPr>
          <w:rFonts w:asciiTheme="minorHAnsi" w:hAnsiTheme="minorHAnsi" w:cstheme="minorHAnsi"/>
          <w:bCs/>
          <w:sz w:val="22"/>
          <w:szCs w:val="22"/>
          <w:lang w:val="fr-FR" w:eastAsia="fr-FR"/>
        </w:rPr>
        <w:t>de 65 %, un déclin important par rapport au</w:t>
      </w:r>
      <w:r w:rsidR="00DB15CD" w:rsidRPr="001961B1">
        <w:rPr>
          <w:rFonts w:asciiTheme="minorHAnsi" w:hAnsiTheme="minorHAnsi" w:cstheme="minorHAnsi"/>
          <w:bCs/>
          <w:sz w:val="22"/>
          <w:szCs w:val="22"/>
          <w:lang w:val="fr-FR" w:eastAsia="fr-FR"/>
        </w:rPr>
        <w:t>x</w:t>
      </w:r>
      <w:r w:rsidR="004C6E1C" w:rsidRPr="001961B1">
        <w:rPr>
          <w:rFonts w:asciiTheme="minorHAnsi" w:hAnsiTheme="minorHAnsi" w:cstheme="minorHAnsi"/>
          <w:bCs/>
          <w:sz w:val="22"/>
          <w:szCs w:val="22"/>
          <w:lang w:val="fr-FR" w:eastAsia="fr-FR"/>
        </w:rPr>
        <w:t xml:space="preserve"> 88 % soumis à la COP13 et </w:t>
      </w:r>
      <w:r w:rsidR="00DB15CD" w:rsidRPr="001961B1">
        <w:rPr>
          <w:rFonts w:asciiTheme="minorHAnsi" w:hAnsiTheme="minorHAnsi" w:cstheme="minorHAnsi"/>
          <w:bCs/>
          <w:sz w:val="22"/>
          <w:szCs w:val="22"/>
          <w:lang w:val="fr-FR" w:eastAsia="fr-FR"/>
        </w:rPr>
        <w:t>aux</w:t>
      </w:r>
      <w:r w:rsidR="004C6E1C" w:rsidRPr="001961B1">
        <w:rPr>
          <w:rFonts w:asciiTheme="minorHAnsi" w:hAnsiTheme="minorHAnsi" w:cstheme="minorHAnsi"/>
          <w:bCs/>
          <w:sz w:val="22"/>
          <w:szCs w:val="22"/>
          <w:lang w:val="fr-FR" w:eastAsia="fr-FR"/>
        </w:rPr>
        <w:t xml:space="preserve"> 71 % à la COP14. </w:t>
      </w:r>
      <w:r w:rsidR="00BA607A" w:rsidRPr="001961B1">
        <w:rPr>
          <w:rFonts w:asciiTheme="minorHAnsi" w:hAnsiTheme="minorHAnsi" w:cstheme="minorHAnsi"/>
          <w:bCs/>
          <w:sz w:val="22"/>
          <w:szCs w:val="22"/>
          <w:lang w:val="fr-FR" w:eastAsia="fr-FR"/>
        </w:rPr>
        <w:t xml:space="preserve">Les Rapports nationaux reçus peuvent être consultés sur le site </w:t>
      </w:r>
      <w:r w:rsidR="003B2924" w:rsidRPr="001961B1">
        <w:rPr>
          <w:rFonts w:asciiTheme="minorHAnsi" w:hAnsiTheme="minorHAnsi" w:cstheme="minorHAnsi"/>
          <w:bCs/>
          <w:sz w:val="22"/>
          <w:szCs w:val="22"/>
          <w:lang w:val="fr-FR" w:eastAsia="fr-FR"/>
        </w:rPr>
        <w:t>W</w:t>
      </w:r>
      <w:r w:rsidR="00BA607A" w:rsidRPr="001961B1">
        <w:rPr>
          <w:rFonts w:asciiTheme="minorHAnsi" w:hAnsiTheme="minorHAnsi" w:cstheme="minorHAnsi"/>
          <w:bCs/>
          <w:sz w:val="22"/>
          <w:szCs w:val="22"/>
          <w:lang w:val="fr-FR" w:eastAsia="fr-FR"/>
        </w:rPr>
        <w:t>eb de la Convention, à l’adresse </w:t>
      </w:r>
      <w:r w:rsidR="00210EB3" w:rsidRPr="001961B1">
        <w:rPr>
          <w:rFonts w:asciiTheme="minorHAnsi" w:hAnsiTheme="minorHAnsi" w:cstheme="minorHAnsi"/>
          <w:bCs/>
          <w:sz w:val="22"/>
          <w:szCs w:val="22"/>
          <w:lang w:val="fr-FR" w:eastAsia="fr-FR"/>
        </w:rPr>
        <w:t>:</w:t>
      </w:r>
      <w:r w:rsidR="00EA2960" w:rsidRPr="001961B1">
        <w:rPr>
          <w:rFonts w:asciiTheme="minorHAnsi" w:hAnsiTheme="minorHAnsi" w:cstheme="minorHAnsi"/>
          <w:bCs/>
          <w:sz w:val="22"/>
          <w:szCs w:val="22"/>
          <w:lang w:val="fr-FR" w:eastAsia="fr-FR"/>
        </w:rPr>
        <w:t xml:space="preserve"> </w:t>
      </w:r>
      <w:hyperlink r:id="rId12" w:history="1">
        <w:r w:rsidR="001961B1" w:rsidRPr="001961B1">
          <w:rPr>
            <w:rStyle w:val="Hyperlink"/>
            <w:rFonts w:asciiTheme="minorHAnsi" w:hAnsiTheme="minorHAnsi" w:cstheme="minorHAnsi"/>
            <w:sz w:val="22"/>
            <w:szCs w:val="22"/>
            <w:lang w:val="fr-FR"/>
          </w:rPr>
          <w:t>https://www.ramsar.org/fr/search?f%5B0%5D=document_type%3A2904&amp;f%5B1%5D=search_date%3A2025&amp;f%5B2%5D=search_item_type%3Adocuments</w:t>
        </w:r>
      </w:hyperlink>
      <w:r w:rsidR="00305762" w:rsidRPr="001961B1">
        <w:rPr>
          <w:rFonts w:asciiTheme="minorHAnsi" w:hAnsiTheme="minorHAnsi" w:cstheme="minorHAnsi"/>
          <w:bCs/>
          <w:sz w:val="22"/>
          <w:szCs w:val="22"/>
          <w:lang w:val="fr-FR" w:eastAsia="fr-FR"/>
        </w:rPr>
        <w:t xml:space="preserve">. </w:t>
      </w:r>
    </w:p>
    <w:p w14:paraId="56969605" w14:textId="77777777" w:rsidR="00210EB3" w:rsidRPr="001961B1" w:rsidRDefault="00210EB3" w:rsidP="000E3338">
      <w:pPr>
        <w:pStyle w:val="ListParagraph"/>
        <w:spacing w:after="0" w:line="240" w:lineRule="auto"/>
        <w:ind w:left="567" w:hanging="567"/>
        <w:rPr>
          <w:rFonts w:eastAsia="Times New Roman" w:cstheme="minorHAnsi"/>
          <w:bCs/>
          <w:lang w:val="fr-FR" w:eastAsia="fr-FR"/>
        </w:rPr>
      </w:pPr>
    </w:p>
    <w:p w14:paraId="137FC2CE" w14:textId="2CB28690" w:rsidR="000741C6"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4.</w:t>
      </w:r>
      <w:r w:rsidRPr="001961B1">
        <w:rPr>
          <w:rFonts w:asciiTheme="minorHAnsi" w:hAnsiTheme="minorHAnsi" w:cstheme="minorHAnsi"/>
          <w:bCs/>
          <w:sz w:val="22"/>
          <w:szCs w:val="22"/>
          <w:lang w:val="fr-FR" w:eastAsia="fr-FR"/>
        </w:rPr>
        <w:tab/>
      </w:r>
      <w:r w:rsidR="00474960" w:rsidRPr="001961B1">
        <w:rPr>
          <w:rFonts w:asciiTheme="minorHAnsi" w:hAnsiTheme="minorHAnsi" w:cstheme="minorHAnsi"/>
          <w:bCs/>
          <w:sz w:val="22"/>
          <w:szCs w:val="22"/>
          <w:lang w:val="fr-FR" w:eastAsia="fr-FR"/>
        </w:rPr>
        <w:t xml:space="preserve">Les tendances </w:t>
      </w:r>
      <w:r w:rsidR="003B2924" w:rsidRPr="001961B1">
        <w:rPr>
          <w:rFonts w:asciiTheme="minorHAnsi" w:hAnsiTheme="minorHAnsi" w:cstheme="minorHAnsi"/>
          <w:bCs/>
          <w:sz w:val="22"/>
          <w:szCs w:val="22"/>
          <w:lang w:val="fr-FR" w:eastAsia="fr-FR"/>
        </w:rPr>
        <w:t>concernant</w:t>
      </w:r>
      <w:r w:rsidR="00474960" w:rsidRPr="001961B1">
        <w:rPr>
          <w:rFonts w:asciiTheme="minorHAnsi" w:hAnsiTheme="minorHAnsi" w:cstheme="minorHAnsi"/>
          <w:bCs/>
          <w:sz w:val="22"/>
          <w:szCs w:val="22"/>
          <w:lang w:val="fr-FR" w:eastAsia="fr-FR"/>
        </w:rPr>
        <w:t xml:space="preserve"> la mise en œuvre pendant la </w:t>
      </w:r>
      <w:r w:rsidR="003B2924" w:rsidRPr="001961B1">
        <w:rPr>
          <w:rFonts w:asciiTheme="minorHAnsi" w:hAnsiTheme="minorHAnsi" w:cstheme="minorHAnsi"/>
          <w:bCs/>
          <w:sz w:val="22"/>
          <w:szCs w:val="22"/>
          <w:lang w:val="fr-FR" w:eastAsia="fr-FR"/>
        </w:rPr>
        <w:t>période</w:t>
      </w:r>
      <w:r w:rsidR="00474960" w:rsidRPr="001961B1">
        <w:rPr>
          <w:rFonts w:asciiTheme="minorHAnsi" w:hAnsiTheme="minorHAnsi" w:cstheme="minorHAnsi"/>
          <w:bCs/>
          <w:sz w:val="22"/>
          <w:szCs w:val="22"/>
          <w:lang w:val="fr-FR" w:eastAsia="fr-FR"/>
        </w:rPr>
        <w:t xml:space="preserve"> du PS4 sont présentées sur la base des 374 Rapports nationaux soumis par les Parties contractantes pour la COP13, la COP14 et la COP15, d’après les indicateurs et les références définis dans le PS4. Les tendances </w:t>
      </w:r>
      <w:r w:rsidR="003B2924" w:rsidRPr="001961B1">
        <w:rPr>
          <w:rFonts w:asciiTheme="minorHAnsi" w:hAnsiTheme="minorHAnsi" w:cstheme="minorHAnsi"/>
          <w:bCs/>
          <w:sz w:val="22"/>
          <w:szCs w:val="22"/>
          <w:lang w:val="fr-FR" w:eastAsia="fr-FR"/>
        </w:rPr>
        <w:t>concernant</w:t>
      </w:r>
      <w:r w:rsidR="00474960" w:rsidRPr="001961B1">
        <w:rPr>
          <w:rFonts w:asciiTheme="minorHAnsi" w:hAnsiTheme="minorHAnsi" w:cstheme="minorHAnsi"/>
          <w:bCs/>
          <w:sz w:val="22"/>
          <w:szCs w:val="22"/>
          <w:lang w:val="fr-FR" w:eastAsia="fr-FR"/>
        </w:rPr>
        <w:t xml:space="preserve"> la mise en œuvre sont illustrées par des graphiques de tendances simples :</w:t>
      </w:r>
    </w:p>
    <w:p w14:paraId="435DF4A3" w14:textId="77777777" w:rsidR="00EA2960" w:rsidRPr="001961B1" w:rsidRDefault="00EA2960" w:rsidP="000E3338">
      <w:pPr>
        <w:ind w:left="567" w:hanging="567"/>
        <w:rPr>
          <w:rFonts w:asciiTheme="minorHAnsi" w:hAnsiTheme="minorHAnsi" w:cstheme="minorHAnsi"/>
          <w:bCs/>
          <w:sz w:val="22"/>
          <w:szCs w:val="22"/>
          <w:lang w:val="fr-FR" w:eastAsia="fr-FR"/>
        </w:rPr>
      </w:pPr>
    </w:p>
    <w:tbl>
      <w:tblPr>
        <w:tblStyle w:val="TableGrid"/>
        <w:tblW w:w="6526" w:type="dxa"/>
        <w:tblInd w:w="562" w:type="dxa"/>
        <w:tblLook w:val="04A0" w:firstRow="1" w:lastRow="0" w:firstColumn="1" w:lastColumn="0" w:noHBand="0" w:noVBand="1"/>
      </w:tblPr>
      <w:tblGrid>
        <w:gridCol w:w="1343"/>
        <w:gridCol w:w="5183"/>
      </w:tblGrid>
      <w:tr w:rsidR="000741C6" w:rsidRPr="001961B1" w14:paraId="0541FF89" w14:textId="77777777" w:rsidTr="00EA2960">
        <w:trPr>
          <w:trHeight w:val="227"/>
        </w:trPr>
        <w:tc>
          <w:tcPr>
            <w:tcW w:w="993" w:type="dxa"/>
          </w:tcPr>
          <w:p w14:paraId="27610F29" w14:textId="190D0EA2" w:rsidR="000741C6" w:rsidRPr="001961B1" w:rsidRDefault="008D6F63" w:rsidP="00CD3F6B">
            <w:pPr>
              <w:pStyle w:val="ListParagraph"/>
              <w:spacing w:after="0" w:line="240" w:lineRule="auto"/>
              <w:ind w:left="0"/>
              <w:rPr>
                <w:rFonts w:cstheme="minorHAnsi"/>
                <w:bCs/>
                <w:lang w:val="fr-FR" w:eastAsia="fr-FR"/>
              </w:rPr>
            </w:pPr>
            <w:r w:rsidRPr="001961B1">
              <w:rPr>
                <w:noProof/>
                <w:lang w:val="fr-FR" w:eastAsia="en-CA"/>
              </w:rPr>
              <w:lastRenderedPageBreak/>
              <w:drawing>
                <wp:inline distT="0" distB="0" distL="0" distR="0" wp14:anchorId="0E586B22" wp14:editId="7112A8A7">
                  <wp:extent cx="711835" cy="431800"/>
                  <wp:effectExtent l="0" t="0" r="0" b="0"/>
                  <wp:docPr id="1913092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2086"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35" cy="431800"/>
                          </a:xfrm>
                          <a:prstGeom prst="rect">
                            <a:avLst/>
                          </a:prstGeom>
                          <a:noFill/>
                          <a:ln>
                            <a:noFill/>
                          </a:ln>
                        </pic:spPr>
                      </pic:pic>
                    </a:graphicData>
                  </a:graphic>
                </wp:inline>
              </w:drawing>
            </w:r>
          </w:p>
        </w:tc>
        <w:tc>
          <w:tcPr>
            <w:tcW w:w="5533" w:type="dxa"/>
          </w:tcPr>
          <w:p w14:paraId="518F65D2" w14:textId="32B9958F" w:rsidR="000741C6" w:rsidRPr="001961B1" w:rsidRDefault="005565ED" w:rsidP="00CD3F6B">
            <w:pPr>
              <w:pStyle w:val="ListParagraph"/>
              <w:spacing w:after="0" w:line="240" w:lineRule="auto"/>
              <w:ind w:left="0"/>
              <w:rPr>
                <w:rFonts w:cstheme="minorHAnsi"/>
                <w:bCs/>
                <w:lang w:val="fr-FR" w:eastAsia="fr-FR"/>
              </w:rPr>
            </w:pPr>
            <w:r w:rsidRPr="001961B1">
              <w:rPr>
                <w:rFonts w:cstheme="minorHAnsi"/>
                <w:bCs/>
                <w:lang w:val="fr-FR" w:eastAsia="fr-FR"/>
              </w:rPr>
              <w:t>Tendance généralement positive par rapport à la référence</w:t>
            </w:r>
            <w:r w:rsidR="00AB2083" w:rsidRPr="001961B1">
              <w:rPr>
                <w:rFonts w:cstheme="minorHAnsi"/>
                <w:bCs/>
                <w:lang w:val="fr-FR" w:eastAsia="fr-FR"/>
              </w:rPr>
              <w:t xml:space="preserve"> </w:t>
            </w:r>
            <w:r w:rsidR="000741C6" w:rsidRPr="001961B1">
              <w:rPr>
                <w:rFonts w:cstheme="minorHAnsi"/>
                <w:bCs/>
                <w:lang w:val="fr-FR" w:eastAsia="fr-FR"/>
              </w:rPr>
              <w:t xml:space="preserve"> </w:t>
            </w:r>
          </w:p>
        </w:tc>
      </w:tr>
      <w:tr w:rsidR="000741C6" w:rsidRPr="001961B1" w14:paraId="04CD0984" w14:textId="77777777" w:rsidTr="00EA2960">
        <w:trPr>
          <w:trHeight w:val="227"/>
        </w:trPr>
        <w:tc>
          <w:tcPr>
            <w:tcW w:w="993" w:type="dxa"/>
          </w:tcPr>
          <w:p w14:paraId="4FF4E0DE" w14:textId="0E496087" w:rsidR="000741C6" w:rsidRPr="001961B1" w:rsidRDefault="003D27EE" w:rsidP="00CD3F6B">
            <w:pPr>
              <w:pStyle w:val="ListParagraph"/>
              <w:spacing w:after="0" w:line="240" w:lineRule="auto"/>
              <w:ind w:left="0"/>
              <w:rPr>
                <w:rFonts w:cstheme="minorHAnsi"/>
                <w:bCs/>
                <w:lang w:val="fr-FR" w:eastAsia="fr-FR"/>
              </w:rPr>
            </w:pPr>
            <w:r w:rsidRPr="001961B1">
              <w:rPr>
                <w:noProof/>
                <w:lang w:val="fr-FR" w:eastAsia="en-CA"/>
              </w:rPr>
              <w:drawing>
                <wp:inline distT="0" distB="0" distL="0" distR="0" wp14:anchorId="72727ED6" wp14:editId="2D78DCAB">
                  <wp:extent cx="715700" cy="432000"/>
                  <wp:effectExtent l="0" t="0" r="0" b="0"/>
                  <wp:docPr id="978600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c>
          <w:tcPr>
            <w:tcW w:w="5533" w:type="dxa"/>
          </w:tcPr>
          <w:p w14:paraId="00638409" w14:textId="197763EB" w:rsidR="000741C6" w:rsidRPr="001961B1" w:rsidRDefault="005565ED" w:rsidP="00CD3F6B">
            <w:pPr>
              <w:pStyle w:val="ListParagraph"/>
              <w:spacing w:after="0" w:line="240" w:lineRule="auto"/>
              <w:ind w:left="0"/>
              <w:rPr>
                <w:rFonts w:cstheme="minorHAnsi"/>
                <w:bCs/>
                <w:lang w:val="fr-FR" w:eastAsia="fr-FR"/>
              </w:rPr>
            </w:pPr>
            <w:r w:rsidRPr="001961B1">
              <w:rPr>
                <w:rFonts w:cstheme="minorHAnsi"/>
                <w:bCs/>
                <w:lang w:val="fr-FR" w:eastAsia="fr-FR"/>
              </w:rPr>
              <w:t>Tendance généralement négative par rapport à la référence</w:t>
            </w:r>
          </w:p>
        </w:tc>
      </w:tr>
      <w:tr w:rsidR="000741C6" w:rsidRPr="001961B1" w14:paraId="2C387C48" w14:textId="77777777" w:rsidTr="00EA2960">
        <w:trPr>
          <w:trHeight w:val="227"/>
        </w:trPr>
        <w:tc>
          <w:tcPr>
            <w:tcW w:w="993" w:type="dxa"/>
          </w:tcPr>
          <w:p w14:paraId="48F2C1EE" w14:textId="05275FA0" w:rsidR="000741C6" w:rsidRPr="001961B1" w:rsidRDefault="00765F0C" w:rsidP="00CD3F6B">
            <w:pPr>
              <w:pStyle w:val="ListParagraph"/>
              <w:spacing w:after="0" w:line="240" w:lineRule="auto"/>
              <w:ind w:left="0"/>
              <w:rPr>
                <w:rFonts w:cstheme="minorHAnsi"/>
                <w:bCs/>
                <w:noProof/>
                <w:kern w:val="2"/>
                <w:lang w:val="fr-FR" w:eastAsia="fr-FR"/>
                <w14:ligatures w14:val="standardContextual"/>
              </w:rPr>
            </w:pPr>
            <w:r w:rsidRPr="001961B1">
              <w:rPr>
                <w:rFonts w:cstheme="minorHAnsi"/>
                <w:noProof/>
                <w:lang w:val="fr-FR" w:eastAsia="en-CA"/>
              </w:rPr>
              <w:drawing>
                <wp:inline distT="0" distB="0" distL="0" distR="0" wp14:anchorId="71194B73" wp14:editId="72706480">
                  <wp:extent cx="712200" cy="432000"/>
                  <wp:effectExtent l="0" t="0" r="0" b="0"/>
                  <wp:docPr id="5345019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c>
          <w:tcPr>
            <w:tcW w:w="5533" w:type="dxa"/>
          </w:tcPr>
          <w:p w14:paraId="2406996C" w14:textId="0C5BFC07" w:rsidR="000741C6" w:rsidRPr="001961B1" w:rsidRDefault="005565ED" w:rsidP="00CD3F6B">
            <w:pPr>
              <w:pStyle w:val="ListParagraph"/>
              <w:spacing w:after="0" w:line="240" w:lineRule="auto"/>
              <w:ind w:left="0"/>
              <w:rPr>
                <w:rFonts w:cstheme="minorHAnsi"/>
                <w:bCs/>
                <w:lang w:val="fr-FR" w:eastAsia="fr-FR"/>
              </w:rPr>
            </w:pPr>
            <w:r w:rsidRPr="001961B1">
              <w:rPr>
                <w:rFonts w:cstheme="minorHAnsi"/>
                <w:bCs/>
                <w:lang w:val="fr-FR" w:eastAsia="fr-FR"/>
              </w:rPr>
              <w:t>Pas de changement par rapport à la référence ou pas de tendance claire</w:t>
            </w:r>
            <w:r w:rsidR="00AB2083" w:rsidRPr="001961B1">
              <w:rPr>
                <w:rFonts w:cstheme="minorHAnsi"/>
                <w:bCs/>
                <w:lang w:val="fr-FR" w:eastAsia="fr-FR"/>
              </w:rPr>
              <w:t xml:space="preserve"> </w:t>
            </w:r>
          </w:p>
        </w:tc>
      </w:tr>
      <w:tr w:rsidR="00BF0809" w:rsidRPr="001961B1" w14:paraId="5E5139D9" w14:textId="77777777" w:rsidTr="00C97402">
        <w:trPr>
          <w:trHeight w:val="340"/>
        </w:trPr>
        <w:tc>
          <w:tcPr>
            <w:tcW w:w="993" w:type="dxa"/>
          </w:tcPr>
          <w:p w14:paraId="481D5430" w14:textId="69A075D3" w:rsidR="00BF0809" w:rsidRPr="001961B1" w:rsidRDefault="00C64584" w:rsidP="00CD3F6B">
            <w:pPr>
              <w:pStyle w:val="ListParagraph"/>
              <w:spacing w:after="0" w:line="240" w:lineRule="auto"/>
              <w:ind w:left="0"/>
              <w:rPr>
                <w:rFonts w:cstheme="minorHAnsi"/>
                <w:bCs/>
                <w:noProof/>
                <w:kern w:val="2"/>
                <w:lang w:val="fr-FR" w:eastAsia="fr-FR"/>
                <w14:ligatures w14:val="standardContextual"/>
              </w:rPr>
            </w:pPr>
            <w:r w:rsidRPr="001961B1">
              <w:rPr>
                <w:rFonts w:cstheme="minorHAnsi"/>
                <w:bCs/>
                <w:noProof/>
                <w:kern w:val="2"/>
                <w:lang w:val="fr-FR" w:eastAsia="en-CA"/>
              </w:rPr>
              <mc:AlternateContent>
                <mc:Choice Requires="wps">
                  <w:drawing>
                    <wp:anchor distT="0" distB="0" distL="114300" distR="114300" simplePos="0" relativeHeight="251658241" behindDoc="0" locked="0" layoutInCell="1" allowOverlap="1" wp14:anchorId="4BD51570" wp14:editId="2834E695">
                      <wp:simplePos x="0" y="0"/>
                      <wp:positionH relativeFrom="column">
                        <wp:posOffset>2540</wp:posOffset>
                      </wp:positionH>
                      <wp:positionV relativeFrom="paragraph">
                        <wp:posOffset>109058</wp:posOffset>
                      </wp:positionV>
                      <wp:extent cx="365760" cy="0"/>
                      <wp:effectExtent l="0" t="0" r="0" b="0"/>
                      <wp:wrapNone/>
                      <wp:docPr id="1849154672" name="Straight Connector 1"/>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ED23C10"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6pt" to="2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" strokecolor="#a5a5a5 [3206]" strokeweight="1.5pt">
                      <v:stroke joinstyle="miter"/>
                    </v:line>
                  </w:pict>
                </mc:Fallback>
              </mc:AlternateContent>
            </w:r>
          </w:p>
        </w:tc>
        <w:tc>
          <w:tcPr>
            <w:tcW w:w="5533" w:type="dxa"/>
          </w:tcPr>
          <w:p w14:paraId="283397BF" w14:textId="1DCE411D" w:rsidR="00BF0809" w:rsidRPr="001961B1" w:rsidRDefault="005565ED" w:rsidP="00CD3F6B">
            <w:pPr>
              <w:pStyle w:val="ListParagraph"/>
              <w:spacing w:after="0" w:line="240" w:lineRule="auto"/>
              <w:ind w:left="0"/>
              <w:rPr>
                <w:rFonts w:cstheme="minorHAnsi"/>
                <w:bCs/>
                <w:lang w:val="fr-FR" w:eastAsia="fr-FR"/>
              </w:rPr>
            </w:pPr>
            <w:r w:rsidRPr="001961B1">
              <w:rPr>
                <w:rFonts w:cstheme="minorHAnsi"/>
                <w:bCs/>
                <w:lang w:val="fr-FR" w:eastAsia="fr-FR"/>
              </w:rPr>
              <w:t>La ligne grise correspond à la référence</w:t>
            </w:r>
          </w:p>
        </w:tc>
      </w:tr>
    </w:tbl>
    <w:p w14:paraId="6668C5A2" w14:textId="68092386" w:rsidR="00EA2960" w:rsidRPr="001961B1" w:rsidRDefault="00EA2960">
      <w:pPr>
        <w:tabs>
          <w:tab w:val="left" w:pos="651"/>
        </w:tabs>
        <w:ind w:left="567" w:hanging="567"/>
        <w:rPr>
          <w:rFonts w:asciiTheme="minorHAnsi" w:hAnsiTheme="minorHAnsi" w:cstheme="minorHAnsi"/>
          <w:bCs/>
          <w:sz w:val="22"/>
          <w:szCs w:val="22"/>
          <w:lang w:val="fr-FR" w:eastAsia="fr-FR"/>
        </w:rPr>
      </w:pPr>
    </w:p>
    <w:p w14:paraId="3E90CA1E" w14:textId="77777777" w:rsidR="0087081D" w:rsidRPr="001961B1" w:rsidRDefault="0087081D" w:rsidP="0087081D">
      <w:pPr>
        <w:tabs>
          <w:tab w:val="left" w:pos="651"/>
        </w:tabs>
        <w:ind w:left="567" w:hanging="567"/>
        <w:rPr>
          <w:rFonts w:asciiTheme="minorHAnsi" w:hAnsiTheme="minorHAnsi" w:cstheme="minorHAnsi"/>
          <w:bCs/>
          <w:sz w:val="22"/>
          <w:szCs w:val="22"/>
          <w:lang w:val="fr-FR" w:eastAsia="fr-FR"/>
        </w:rPr>
      </w:pPr>
    </w:p>
    <w:p w14:paraId="14ED1564" w14:textId="0A6E7E7C" w:rsidR="00BF66DA"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5.</w:t>
      </w:r>
      <w:r w:rsidRPr="001961B1">
        <w:rPr>
          <w:rFonts w:asciiTheme="minorHAnsi" w:hAnsiTheme="minorHAnsi" w:cstheme="minorHAnsi"/>
          <w:bCs/>
          <w:sz w:val="22"/>
          <w:szCs w:val="22"/>
          <w:lang w:val="fr-FR" w:eastAsia="fr-FR"/>
        </w:rPr>
        <w:tab/>
      </w:r>
      <w:r w:rsidR="00B54EAE" w:rsidRPr="001961B1">
        <w:rPr>
          <w:rFonts w:asciiTheme="minorHAnsi" w:hAnsiTheme="minorHAnsi" w:cstheme="minorHAnsi"/>
          <w:bCs/>
          <w:sz w:val="22"/>
          <w:szCs w:val="22"/>
          <w:lang w:val="fr-FR" w:eastAsia="fr-FR"/>
        </w:rPr>
        <w:t xml:space="preserve">Les indicateurs </w:t>
      </w:r>
      <w:r w:rsidR="001F4ACE" w:rsidRPr="001961B1">
        <w:rPr>
          <w:rFonts w:asciiTheme="minorHAnsi" w:hAnsiTheme="minorHAnsi" w:cstheme="minorHAnsi"/>
          <w:bCs/>
          <w:sz w:val="22"/>
          <w:szCs w:val="22"/>
          <w:lang w:val="fr-FR" w:eastAsia="fr-FR"/>
        </w:rPr>
        <w:t>des</w:t>
      </w:r>
      <w:r w:rsidR="00B54EAE" w:rsidRPr="001961B1">
        <w:rPr>
          <w:rFonts w:asciiTheme="minorHAnsi" w:hAnsiTheme="minorHAnsi" w:cstheme="minorHAnsi"/>
          <w:bCs/>
          <w:sz w:val="22"/>
          <w:szCs w:val="22"/>
          <w:lang w:val="fr-FR" w:eastAsia="fr-FR"/>
        </w:rPr>
        <w:t xml:space="preserve"> objectifs 10 et 13 n’</w:t>
      </w:r>
      <w:r w:rsidR="001F4ACE" w:rsidRPr="001961B1">
        <w:rPr>
          <w:rFonts w:asciiTheme="minorHAnsi" w:hAnsiTheme="minorHAnsi" w:cstheme="minorHAnsi"/>
          <w:bCs/>
          <w:sz w:val="22"/>
          <w:szCs w:val="22"/>
          <w:lang w:val="fr-FR" w:eastAsia="fr-FR"/>
        </w:rPr>
        <w:t>étaient</w:t>
      </w:r>
      <w:r w:rsidR="00B54EAE" w:rsidRPr="001961B1">
        <w:rPr>
          <w:rFonts w:asciiTheme="minorHAnsi" w:hAnsiTheme="minorHAnsi" w:cstheme="minorHAnsi"/>
          <w:bCs/>
          <w:sz w:val="22"/>
          <w:szCs w:val="22"/>
          <w:lang w:val="fr-FR" w:eastAsia="fr-FR"/>
        </w:rPr>
        <w:t xml:space="preserve"> pas inclus dans le PS4 </w:t>
      </w:r>
      <w:r w:rsidR="001F4ACE" w:rsidRPr="001961B1">
        <w:rPr>
          <w:rFonts w:asciiTheme="minorHAnsi" w:hAnsiTheme="minorHAnsi" w:cstheme="minorHAnsi"/>
          <w:bCs/>
          <w:sz w:val="22"/>
          <w:szCs w:val="22"/>
          <w:lang w:val="fr-FR" w:eastAsia="fr-FR"/>
        </w:rPr>
        <w:t xml:space="preserve">et n’ont pas non plus été </w:t>
      </w:r>
      <w:r w:rsidR="00B54EAE" w:rsidRPr="001961B1">
        <w:rPr>
          <w:rFonts w:asciiTheme="minorHAnsi" w:hAnsiTheme="minorHAnsi" w:cstheme="minorHAnsi"/>
          <w:bCs/>
          <w:sz w:val="22"/>
          <w:szCs w:val="22"/>
          <w:lang w:val="fr-FR" w:eastAsia="fr-FR"/>
        </w:rPr>
        <w:t xml:space="preserve">développés et adoptés ultérieurement. </w:t>
      </w:r>
      <w:r w:rsidR="008B1CE4" w:rsidRPr="001961B1">
        <w:rPr>
          <w:rFonts w:asciiTheme="minorHAnsi" w:hAnsiTheme="minorHAnsi" w:cstheme="minorHAnsi"/>
          <w:bCs/>
          <w:sz w:val="22"/>
          <w:szCs w:val="22"/>
          <w:lang w:val="fr-FR" w:eastAsia="fr-FR"/>
        </w:rPr>
        <w:t>Les données relatives à</w:t>
      </w:r>
      <w:r w:rsidR="00B54EAE" w:rsidRPr="001961B1">
        <w:rPr>
          <w:rFonts w:asciiTheme="minorHAnsi" w:hAnsiTheme="minorHAnsi" w:cstheme="minorHAnsi"/>
          <w:bCs/>
          <w:sz w:val="22"/>
          <w:szCs w:val="22"/>
          <w:lang w:val="fr-FR" w:eastAsia="fr-FR"/>
        </w:rPr>
        <w:t xml:space="preserve"> ces objectifs </w:t>
      </w:r>
      <w:r w:rsidR="008B1CE4" w:rsidRPr="001961B1">
        <w:rPr>
          <w:rFonts w:asciiTheme="minorHAnsi" w:hAnsiTheme="minorHAnsi" w:cstheme="minorHAnsi"/>
          <w:bCs/>
          <w:sz w:val="22"/>
          <w:szCs w:val="22"/>
          <w:lang w:val="fr-FR" w:eastAsia="fr-FR"/>
        </w:rPr>
        <w:t>s’appuient sur les</w:t>
      </w:r>
      <w:r w:rsidR="00B54EAE" w:rsidRPr="001961B1">
        <w:rPr>
          <w:rFonts w:asciiTheme="minorHAnsi" w:hAnsiTheme="minorHAnsi" w:cstheme="minorHAnsi"/>
          <w:bCs/>
          <w:sz w:val="22"/>
          <w:szCs w:val="22"/>
          <w:lang w:val="fr-FR" w:eastAsia="fr-FR"/>
        </w:rPr>
        <w:t xml:space="preserve"> questions </w:t>
      </w:r>
      <w:r w:rsidR="008B1CE4" w:rsidRPr="001961B1">
        <w:rPr>
          <w:rFonts w:asciiTheme="minorHAnsi" w:hAnsiTheme="minorHAnsi" w:cstheme="minorHAnsi"/>
          <w:bCs/>
          <w:sz w:val="22"/>
          <w:szCs w:val="22"/>
          <w:lang w:val="fr-FR" w:eastAsia="fr-FR"/>
        </w:rPr>
        <w:t>correspondantes</w:t>
      </w:r>
      <w:r w:rsidR="00B54EAE" w:rsidRPr="001961B1">
        <w:rPr>
          <w:rFonts w:asciiTheme="minorHAnsi" w:hAnsiTheme="minorHAnsi" w:cstheme="minorHAnsi"/>
          <w:bCs/>
          <w:sz w:val="22"/>
          <w:szCs w:val="22"/>
          <w:lang w:val="fr-FR" w:eastAsia="fr-FR"/>
        </w:rPr>
        <w:t xml:space="preserve"> figurant dans le </w:t>
      </w:r>
      <w:r w:rsidR="008B1CE4" w:rsidRPr="001961B1">
        <w:rPr>
          <w:rFonts w:asciiTheme="minorHAnsi" w:hAnsiTheme="minorHAnsi" w:cstheme="minorHAnsi"/>
          <w:bCs/>
          <w:sz w:val="22"/>
          <w:szCs w:val="22"/>
          <w:lang w:val="fr-FR" w:eastAsia="fr-FR"/>
        </w:rPr>
        <w:t>F</w:t>
      </w:r>
      <w:r w:rsidR="00B54EAE" w:rsidRPr="001961B1">
        <w:rPr>
          <w:rFonts w:asciiTheme="minorHAnsi" w:hAnsiTheme="minorHAnsi" w:cstheme="minorHAnsi"/>
          <w:bCs/>
          <w:sz w:val="22"/>
          <w:szCs w:val="22"/>
          <w:lang w:val="fr-FR" w:eastAsia="fr-FR"/>
        </w:rPr>
        <w:t xml:space="preserve">ormulaire de </w:t>
      </w:r>
      <w:r w:rsidR="008B1CE4" w:rsidRPr="001961B1">
        <w:rPr>
          <w:rFonts w:asciiTheme="minorHAnsi" w:hAnsiTheme="minorHAnsi" w:cstheme="minorHAnsi"/>
          <w:bCs/>
          <w:sz w:val="22"/>
          <w:szCs w:val="22"/>
          <w:lang w:val="fr-FR" w:eastAsia="fr-FR"/>
        </w:rPr>
        <w:t>R</w:t>
      </w:r>
      <w:r w:rsidR="00B54EAE" w:rsidRPr="001961B1">
        <w:rPr>
          <w:rFonts w:asciiTheme="minorHAnsi" w:hAnsiTheme="minorHAnsi" w:cstheme="minorHAnsi"/>
          <w:bCs/>
          <w:sz w:val="22"/>
          <w:szCs w:val="22"/>
          <w:lang w:val="fr-FR" w:eastAsia="fr-FR"/>
        </w:rPr>
        <w:t xml:space="preserve">apport national </w:t>
      </w:r>
      <w:r w:rsidR="008B1CE4" w:rsidRPr="001961B1">
        <w:rPr>
          <w:rFonts w:asciiTheme="minorHAnsi" w:hAnsiTheme="minorHAnsi" w:cstheme="minorHAnsi"/>
          <w:bCs/>
          <w:sz w:val="22"/>
          <w:szCs w:val="22"/>
          <w:lang w:val="fr-FR" w:eastAsia="fr-FR"/>
        </w:rPr>
        <w:t>et utilisent comme référence les</w:t>
      </w:r>
      <w:r w:rsidR="00B54EAE" w:rsidRPr="001961B1">
        <w:rPr>
          <w:rFonts w:asciiTheme="minorHAnsi" w:hAnsiTheme="minorHAnsi" w:cstheme="minorHAnsi"/>
          <w:bCs/>
          <w:sz w:val="22"/>
          <w:szCs w:val="22"/>
          <w:lang w:val="fr-FR" w:eastAsia="fr-FR"/>
        </w:rPr>
        <w:t xml:space="preserve"> réponses incluses dans les Rapports nationaux soumis </w:t>
      </w:r>
      <w:r w:rsidR="008B1CE4" w:rsidRPr="001961B1">
        <w:rPr>
          <w:rFonts w:asciiTheme="minorHAnsi" w:hAnsiTheme="minorHAnsi" w:cstheme="minorHAnsi"/>
          <w:bCs/>
          <w:sz w:val="22"/>
          <w:szCs w:val="22"/>
          <w:lang w:val="fr-FR" w:eastAsia="fr-FR"/>
        </w:rPr>
        <w:t>à</w:t>
      </w:r>
      <w:r w:rsidR="00B54EAE" w:rsidRPr="001961B1">
        <w:rPr>
          <w:rFonts w:asciiTheme="minorHAnsi" w:hAnsiTheme="minorHAnsi" w:cstheme="minorHAnsi"/>
          <w:bCs/>
          <w:sz w:val="22"/>
          <w:szCs w:val="22"/>
          <w:lang w:val="fr-FR" w:eastAsia="fr-FR"/>
        </w:rPr>
        <w:t xml:space="preserve"> la COP12. Les pourcentages sont calculés sur la base des soumissions reçues, pour représenter les progrès généraux en matière de mise en œuvre.</w:t>
      </w:r>
    </w:p>
    <w:p w14:paraId="76E9E029" w14:textId="77777777" w:rsidR="0067026D" w:rsidRPr="001961B1" w:rsidRDefault="0067026D" w:rsidP="000E3338">
      <w:pPr>
        <w:ind w:left="567" w:hanging="567"/>
        <w:rPr>
          <w:rFonts w:asciiTheme="minorHAnsi" w:hAnsiTheme="minorHAnsi" w:cstheme="minorHAnsi"/>
          <w:bCs/>
          <w:sz w:val="22"/>
          <w:szCs w:val="22"/>
          <w:lang w:val="fr-FR" w:eastAsia="fr-FR"/>
        </w:rPr>
      </w:pPr>
    </w:p>
    <w:p w14:paraId="0D56BEB3" w14:textId="7DE9ED0A" w:rsidR="008440A6"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6.</w:t>
      </w:r>
      <w:r w:rsidRPr="001961B1">
        <w:rPr>
          <w:rFonts w:asciiTheme="minorHAnsi" w:hAnsiTheme="minorHAnsi" w:cstheme="minorHAnsi"/>
          <w:bCs/>
          <w:sz w:val="22"/>
          <w:szCs w:val="22"/>
          <w:lang w:val="fr-FR" w:eastAsia="fr-FR"/>
        </w:rPr>
        <w:tab/>
      </w:r>
      <w:r w:rsidR="00521E96" w:rsidRPr="001961B1">
        <w:rPr>
          <w:rFonts w:asciiTheme="minorHAnsi" w:hAnsiTheme="minorHAnsi" w:cstheme="minorHAnsi"/>
          <w:bCs/>
          <w:sz w:val="22"/>
          <w:szCs w:val="22"/>
          <w:lang w:val="fr-FR" w:eastAsia="fr-FR"/>
        </w:rPr>
        <w:t>Il convient de noter qu’il y a quelques incohérences dans les données des Rapports nationaux en raison</w:t>
      </w:r>
      <w:r w:rsidR="006C58E5" w:rsidRPr="001961B1">
        <w:rPr>
          <w:rFonts w:asciiTheme="minorHAnsi" w:hAnsiTheme="minorHAnsi" w:cstheme="minorHAnsi"/>
          <w:bCs/>
          <w:sz w:val="22"/>
          <w:szCs w:val="22"/>
          <w:lang w:val="fr-FR" w:eastAsia="fr-FR"/>
        </w:rPr>
        <w:t>, par exemple,</w:t>
      </w:r>
      <w:r w:rsidR="00521E96" w:rsidRPr="001961B1">
        <w:rPr>
          <w:rFonts w:asciiTheme="minorHAnsi" w:hAnsiTheme="minorHAnsi" w:cstheme="minorHAnsi"/>
          <w:bCs/>
          <w:sz w:val="22"/>
          <w:szCs w:val="22"/>
          <w:lang w:val="fr-FR" w:eastAsia="fr-FR"/>
        </w:rPr>
        <w:t xml:space="preserve"> </w:t>
      </w:r>
      <w:r w:rsidR="00BB7734" w:rsidRPr="001961B1">
        <w:rPr>
          <w:rFonts w:asciiTheme="minorHAnsi" w:hAnsiTheme="minorHAnsi" w:cstheme="minorHAnsi"/>
          <w:bCs/>
          <w:sz w:val="22"/>
          <w:szCs w:val="22"/>
          <w:lang w:val="fr-FR" w:eastAsia="fr-FR"/>
        </w:rPr>
        <w:t>du nombre variable</w:t>
      </w:r>
      <w:r w:rsidR="00521E96" w:rsidRPr="001961B1">
        <w:rPr>
          <w:rFonts w:asciiTheme="minorHAnsi" w:hAnsiTheme="minorHAnsi" w:cstheme="minorHAnsi"/>
          <w:bCs/>
          <w:sz w:val="22"/>
          <w:szCs w:val="22"/>
          <w:lang w:val="fr-FR" w:eastAsia="fr-FR"/>
        </w:rPr>
        <w:t xml:space="preserve"> de Parties contractantes ayant soumis un Rapport national à chaque COP, des </w:t>
      </w:r>
      <w:r w:rsidR="00BB7734" w:rsidRPr="001961B1">
        <w:rPr>
          <w:rFonts w:asciiTheme="minorHAnsi" w:hAnsiTheme="minorHAnsi" w:cstheme="minorHAnsi"/>
          <w:bCs/>
          <w:sz w:val="22"/>
          <w:szCs w:val="22"/>
          <w:lang w:val="fr-FR" w:eastAsia="fr-FR"/>
        </w:rPr>
        <w:t xml:space="preserve">variations dans le </w:t>
      </w:r>
      <w:r w:rsidR="00521E96" w:rsidRPr="001961B1">
        <w:rPr>
          <w:rFonts w:asciiTheme="minorHAnsi" w:hAnsiTheme="minorHAnsi" w:cstheme="minorHAnsi"/>
          <w:bCs/>
          <w:sz w:val="22"/>
          <w:szCs w:val="22"/>
          <w:lang w:val="fr-FR" w:eastAsia="fr-FR"/>
        </w:rPr>
        <w:t>niveau de détail</w:t>
      </w:r>
      <w:r w:rsidR="00BB7734" w:rsidRPr="001961B1">
        <w:rPr>
          <w:rFonts w:asciiTheme="minorHAnsi" w:hAnsiTheme="minorHAnsi" w:cstheme="minorHAnsi"/>
          <w:bCs/>
          <w:sz w:val="22"/>
          <w:szCs w:val="22"/>
          <w:lang w:val="fr-FR" w:eastAsia="fr-FR"/>
        </w:rPr>
        <w:t xml:space="preserve"> des réponses</w:t>
      </w:r>
      <w:r w:rsidR="00521E96" w:rsidRPr="001961B1">
        <w:rPr>
          <w:rFonts w:asciiTheme="minorHAnsi" w:hAnsiTheme="minorHAnsi" w:cstheme="minorHAnsi"/>
          <w:bCs/>
          <w:sz w:val="22"/>
          <w:szCs w:val="22"/>
          <w:lang w:val="fr-FR" w:eastAsia="fr-FR"/>
        </w:rPr>
        <w:t xml:space="preserve"> fourni</w:t>
      </w:r>
      <w:r w:rsidR="00BB7734" w:rsidRPr="001961B1">
        <w:rPr>
          <w:rFonts w:asciiTheme="minorHAnsi" w:hAnsiTheme="minorHAnsi" w:cstheme="minorHAnsi"/>
          <w:bCs/>
          <w:sz w:val="22"/>
          <w:szCs w:val="22"/>
          <w:lang w:val="fr-FR" w:eastAsia="fr-FR"/>
        </w:rPr>
        <w:t>e</w:t>
      </w:r>
      <w:r w:rsidR="00521E96" w:rsidRPr="001961B1">
        <w:rPr>
          <w:rFonts w:asciiTheme="minorHAnsi" w:hAnsiTheme="minorHAnsi" w:cstheme="minorHAnsi"/>
          <w:bCs/>
          <w:sz w:val="22"/>
          <w:szCs w:val="22"/>
          <w:lang w:val="fr-FR" w:eastAsia="fr-FR"/>
        </w:rPr>
        <w:t>s</w:t>
      </w:r>
      <w:r w:rsidR="00BB7734" w:rsidRPr="001961B1">
        <w:rPr>
          <w:rFonts w:asciiTheme="minorHAnsi" w:hAnsiTheme="minorHAnsi" w:cstheme="minorHAnsi"/>
          <w:bCs/>
          <w:sz w:val="22"/>
          <w:szCs w:val="22"/>
          <w:lang w:val="fr-FR" w:eastAsia="fr-FR"/>
        </w:rPr>
        <w:t>,</w:t>
      </w:r>
      <w:r w:rsidR="00521E96" w:rsidRPr="001961B1">
        <w:rPr>
          <w:rFonts w:asciiTheme="minorHAnsi" w:hAnsiTheme="minorHAnsi" w:cstheme="minorHAnsi"/>
          <w:bCs/>
          <w:sz w:val="22"/>
          <w:szCs w:val="22"/>
          <w:lang w:val="fr-FR" w:eastAsia="fr-FR"/>
        </w:rPr>
        <w:t xml:space="preserve"> selon les Parties</w:t>
      </w:r>
      <w:r w:rsidR="00BB7734" w:rsidRPr="001961B1">
        <w:rPr>
          <w:rFonts w:asciiTheme="minorHAnsi" w:hAnsiTheme="minorHAnsi" w:cstheme="minorHAnsi"/>
          <w:bCs/>
          <w:sz w:val="22"/>
          <w:szCs w:val="22"/>
          <w:lang w:val="fr-FR" w:eastAsia="fr-FR"/>
        </w:rPr>
        <w:t>, ainsi que des modifications apportées</w:t>
      </w:r>
      <w:r w:rsidR="00521E96" w:rsidRPr="001961B1">
        <w:rPr>
          <w:rFonts w:asciiTheme="minorHAnsi" w:hAnsiTheme="minorHAnsi" w:cstheme="minorHAnsi"/>
          <w:bCs/>
          <w:sz w:val="22"/>
          <w:szCs w:val="22"/>
          <w:lang w:val="fr-FR" w:eastAsia="fr-FR"/>
        </w:rPr>
        <w:t xml:space="preserve"> aux </w:t>
      </w:r>
      <w:r w:rsidR="00BB7734" w:rsidRPr="001961B1">
        <w:rPr>
          <w:rFonts w:asciiTheme="minorHAnsi" w:hAnsiTheme="minorHAnsi" w:cstheme="minorHAnsi"/>
          <w:bCs/>
          <w:sz w:val="22"/>
          <w:szCs w:val="22"/>
          <w:lang w:val="fr-FR" w:eastAsia="fr-FR"/>
        </w:rPr>
        <w:t>indicateurs</w:t>
      </w:r>
      <w:r w:rsidR="00521E96" w:rsidRPr="001961B1">
        <w:rPr>
          <w:rFonts w:asciiTheme="minorHAnsi" w:hAnsiTheme="minorHAnsi" w:cstheme="minorHAnsi"/>
          <w:bCs/>
          <w:sz w:val="22"/>
          <w:szCs w:val="22"/>
          <w:lang w:val="fr-FR" w:eastAsia="fr-FR"/>
        </w:rPr>
        <w:t xml:space="preserve"> dans le </w:t>
      </w:r>
      <w:r w:rsidR="00BB7734" w:rsidRPr="001961B1">
        <w:rPr>
          <w:rFonts w:asciiTheme="minorHAnsi" w:hAnsiTheme="minorHAnsi" w:cstheme="minorHAnsi"/>
          <w:bCs/>
          <w:sz w:val="22"/>
          <w:szCs w:val="22"/>
          <w:lang w:val="fr-FR" w:eastAsia="fr-FR"/>
        </w:rPr>
        <w:t xml:space="preserve">Formulaire de Rapport national </w:t>
      </w:r>
      <w:r w:rsidR="00521E96" w:rsidRPr="001961B1">
        <w:rPr>
          <w:rFonts w:asciiTheme="minorHAnsi" w:hAnsiTheme="minorHAnsi" w:cstheme="minorHAnsi"/>
          <w:bCs/>
          <w:sz w:val="22"/>
          <w:szCs w:val="22"/>
          <w:lang w:val="fr-FR" w:eastAsia="fr-FR"/>
        </w:rPr>
        <w:t xml:space="preserve">pour les différentes COP. </w:t>
      </w:r>
      <w:r w:rsidR="00BB7734" w:rsidRPr="001961B1">
        <w:rPr>
          <w:rFonts w:asciiTheme="minorHAnsi" w:hAnsiTheme="minorHAnsi" w:cstheme="minorHAnsi"/>
          <w:bCs/>
          <w:sz w:val="22"/>
          <w:szCs w:val="22"/>
          <w:lang w:val="fr-FR" w:eastAsia="fr-FR"/>
        </w:rPr>
        <w:t>Quelques défis ont en conséquence dû être relevés dans l</w:t>
      </w:r>
      <w:r w:rsidR="00521E96" w:rsidRPr="001961B1">
        <w:rPr>
          <w:rFonts w:asciiTheme="minorHAnsi" w:hAnsiTheme="minorHAnsi" w:cstheme="minorHAnsi"/>
          <w:bCs/>
          <w:sz w:val="22"/>
          <w:szCs w:val="22"/>
          <w:lang w:val="fr-FR" w:eastAsia="fr-FR"/>
        </w:rPr>
        <w:t xml:space="preserve">’analyse et l’interprétation des tendances. </w:t>
      </w:r>
      <w:r w:rsidR="00BB7734" w:rsidRPr="001961B1">
        <w:rPr>
          <w:rFonts w:asciiTheme="minorHAnsi" w:hAnsiTheme="minorHAnsi" w:cstheme="minorHAnsi"/>
          <w:bCs/>
          <w:sz w:val="22"/>
          <w:szCs w:val="22"/>
          <w:lang w:val="fr-FR" w:eastAsia="fr-FR"/>
        </w:rPr>
        <w:t>La section de conclusion contient des</w:t>
      </w:r>
      <w:r w:rsidR="00521E96" w:rsidRPr="001961B1">
        <w:rPr>
          <w:rFonts w:asciiTheme="minorHAnsi" w:hAnsiTheme="minorHAnsi" w:cstheme="minorHAnsi"/>
          <w:bCs/>
          <w:sz w:val="22"/>
          <w:szCs w:val="22"/>
          <w:lang w:val="fr-FR" w:eastAsia="fr-FR"/>
        </w:rPr>
        <w:t xml:space="preserve"> considérations propres à la préparation du cadre d’indicateurs du cinquième Plan stratégique pour </w:t>
      </w:r>
      <w:r w:rsidR="00EA2960" w:rsidRPr="001961B1">
        <w:rPr>
          <w:rFonts w:asciiTheme="minorHAnsi" w:hAnsiTheme="minorHAnsi" w:cstheme="minorHAnsi"/>
          <w:bCs/>
          <w:sz w:val="22"/>
          <w:szCs w:val="22"/>
          <w:lang w:val="fr-FR" w:eastAsia="fr-FR"/>
        </w:rPr>
        <w:t>2025-2034</w:t>
      </w:r>
      <w:r w:rsidR="00521E96" w:rsidRPr="001961B1">
        <w:rPr>
          <w:rFonts w:asciiTheme="minorHAnsi" w:hAnsiTheme="minorHAnsi" w:cstheme="minorHAnsi"/>
          <w:bCs/>
          <w:sz w:val="22"/>
          <w:szCs w:val="22"/>
          <w:lang w:val="fr-FR" w:eastAsia="fr-FR"/>
        </w:rPr>
        <w:t>.</w:t>
      </w:r>
    </w:p>
    <w:p w14:paraId="61AB8D40" w14:textId="77777777" w:rsidR="008440A6" w:rsidRPr="001961B1" w:rsidRDefault="008440A6" w:rsidP="000E3338">
      <w:pPr>
        <w:ind w:left="567" w:hanging="567"/>
        <w:rPr>
          <w:rFonts w:asciiTheme="minorHAnsi" w:hAnsiTheme="minorHAnsi" w:cstheme="minorHAnsi"/>
          <w:bCs/>
          <w:sz w:val="22"/>
          <w:szCs w:val="22"/>
          <w:lang w:val="fr-FR" w:eastAsia="fr-FR"/>
        </w:rPr>
      </w:pPr>
    </w:p>
    <w:p w14:paraId="2B7D6E3B" w14:textId="15FAC2CD" w:rsidR="00EF0B69" w:rsidRPr="001961B1" w:rsidRDefault="00515041" w:rsidP="00EF0B69">
      <w:pPr>
        <w:ind w:left="567" w:hanging="567"/>
        <w:rPr>
          <w:rFonts w:asciiTheme="minorHAnsi" w:hAnsiTheme="minorHAnsi" w:cstheme="minorHAnsi"/>
          <w:bCs/>
          <w:sz w:val="22"/>
          <w:szCs w:val="22"/>
          <w:lang w:val="fr-FR" w:eastAsia="fr-FR"/>
        </w:rPr>
      </w:pPr>
      <w:bookmarkStart w:id="0" w:name="_Hlk194836485"/>
      <w:r w:rsidRPr="001961B1">
        <w:rPr>
          <w:rFonts w:asciiTheme="minorHAnsi" w:hAnsiTheme="minorHAnsi" w:cstheme="minorHAnsi"/>
          <w:bCs/>
          <w:sz w:val="22"/>
          <w:szCs w:val="22"/>
          <w:lang w:val="fr-FR" w:eastAsia="fr-FR"/>
        </w:rPr>
        <w:t>7.</w:t>
      </w:r>
      <w:r w:rsidRPr="001961B1">
        <w:rPr>
          <w:rFonts w:asciiTheme="minorHAnsi" w:hAnsiTheme="minorHAnsi" w:cstheme="minorHAnsi"/>
          <w:bCs/>
          <w:sz w:val="22"/>
          <w:szCs w:val="22"/>
          <w:lang w:val="fr-FR" w:eastAsia="fr-FR"/>
        </w:rPr>
        <w:tab/>
      </w:r>
      <w:r w:rsidR="001D68B3" w:rsidRPr="001961B1">
        <w:rPr>
          <w:rFonts w:asciiTheme="minorHAnsi" w:hAnsiTheme="minorHAnsi" w:cstheme="minorHAnsi"/>
          <w:bCs/>
          <w:sz w:val="22"/>
          <w:szCs w:val="22"/>
          <w:lang w:val="fr-FR" w:eastAsia="fr-FR"/>
        </w:rPr>
        <w:t>Pour chaque objectif</w:t>
      </w:r>
      <w:r w:rsidR="001D68B3" w:rsidRPr="001961B1">
        <w:rPr>
          <w:rStyle w:val="FootnoteReference"/>
          <w:rFonts w:asciiTheme="minorHAnsi" w:hAnsiTheme="minorHAnsi" w:cstheme="minorHAnsi"/>
          <w:bCs/>
          <w:sz w:val="22"/>
          <w:szCs w:val="22"/>
          <w:lang w:val="fr-FR" w:eastAsia="fr-FR"/>
        </w:rPr>
        <w:footnoteReference w:id="3"/>
      </w:r>
      <w:r w:rsidR="00E677E1" w:rsidRPr="001961B1">
        <w:rPr>
          <w:rFonts w:asciiTheme="minorHAnsi" w:hAnsiTheme="minorHAnsi" w:cstheme="minorHAnsi"/>
          <w:bCs/>
          <w:sz w:val="22"/>
          <w:szCs w:val="22"/>
          <w:lang w:val="fr-FR" w:eastAsia="fr-FR"/>
        </w:rPr>
        <w:t>,</w:t>
      </w:r>
      <w:r w:rsidR="001D68B3" w:rsidRPr="001961B1">
        <w:rPr>
          <w:rFonts w:asciiTheme="minorHAnsi" w:hAnsiTheme="minorHAnsi" w:cstheme="minorHAnsi"/>
          <w:bCs/>
          <w:sz w:val="22"/>
          <w:szCs w:val="22"/>
          <w:lang w:val="fr-FR" w:eastAsia="fr-FR"/>
        </w:rPr>
        <w:t xml:space="preserve"> les </w:t>
      </w:r>
      <w:r w:rsidR="00E677E1" w:rsidRPr="001961B1">
        <w:rPr>
          <w:rFonts w:asciiTheme="minorHAnsi" w:hAnsiTheme="minorHAnsi" w:cstheme="minorHAnsi"/>
          <w:bCs/>
          <w:sz w:val="22"/>
          <w:szCs w:val="22"/>
          <w:lang w:val="fr-FR" w:eastAsia="fr-FR"/>
        </w:rPr>
        <w:t>c</w:t>
      </w:r>
      <w:r w:rsidR="00887B48" w:rsidRPr="001961B1">
        <w:rPr>
          <w:rFonts w:asciiTheme="minorHAnsi" w:hAnsiTheme="minorHAnsi" w:cstheme="minorHAnsi"/>
          <w:bCs/>
          <w:sz w:val="22"/>
          <w:szCs w:val="22"/>
          <w:lang w:val="fr-FR" w:eastAsia="fr-FR"/>
        </w:rPr>
        <w:t>ontributions</w:t>
      </w:r>
      <w:r w:rsidR="001D68B3" w:rsidRPr="001961B1">
        <w:rPr>
          <w:rFonts w:asciiTheme="minorHAnsi" w:hAnsiTheme="minorHAnsi" w:cstheme="minorHAnsi"/>
          <w:bCs/>
          <w:sz w:val="22"/>
          <w:szCs w:val="22"/>
          <w:lang w:val="fr-FR" w:eastAsia="fr-FR"/>
        </w:rPr>
        <w:t xml:space="preserve"> à la mise en œuvre du Cadre mondial de la biodiversité de </w:t>
      </w:r>
      <w:bookmarkEnd w:id="0"/>
      <w:r w:rsidR="00123E79" w:rsidRPr="001961B1">
        <w:rPr>
          <w:rFonts w:asciiTheme="minorHAnsi" w:hAnsiTheme="minorHAnsi" w:cstheme="minorHAnsi"/>
          <w:bCs/>
          <w:sz w:val="22"/>
          <w:szCs w:val="22"/>
          <w:lang w:val="fr-FR" w:eastAsia="fr-FR"/>
        </w:rPr>
        <w:t>Kunming-Montr</w:t>
      </w:r>
      <w:r w:rsidR="001D68B3" w:rsidRPr="001961B1">
        <w:rPr>
          <w:rFonts w:asciiTheme="minorHAnsi" w:hAnsiTheme="minorHAnsi" w:cstheme="minorHAnsi"/>
          <w:bCs/>
          <w:sz w:val="22"/>
          <w:szCs w:val="22"/>
          <w:lang w:val="fr-FR" w:eastAsia="fr-FR"/>
        </w:rPr>
        <w:t>é</w:t>
      </w:r>
      <w:r w:rsidR="00123E79" w:rsidRPr="001961B1">
        <w:rPr>
          <w:rFonts w:asciiTheme="minorHAnsi" w:hAnsiTheme="minorHAnsi" w:cstheme="minorHAnsi"/>
          <w:bCs/>
          <w:sz w:val="22"/>
          <w:szCs w:val="22"/>
          <w:lang w:val="fr-FR" w:eastAsia="fr-FR"/>
        </w:rPr>
        <w:t xml:space="preserve">al </w:t>
      </w:r>
      <w:r w:rsidR="009F7E0D" w:rsidRPr="001961B1">
        <w:rPr>
          <w:rFonts w:asciiTheme="minorHAnsi" w:hAnsiTheme="minorHAnsi" w:cstheme="minorHAnsi"/>
          <w:bCs/>
          <w:sz w:val="22"/>
          <w:szCs w:val="22"/>
          <w:lang w:val="fr-FR" w:eastAsia="fr-FR"/>
        </w:rPr>
        <w:t>(</w:t>
      </w:r>
      <w:r w:rsidR="001D68B3" w:rsidRPr="001961B1">
        <w:rPr>
          <w:rFonts w:asciiTheme="minorHAnsi" w:hAnsiTheme="minorHAnsi" w:cstheme="minorHAnsi"/>
          <w:bCs/>
          <w:sz w:val="22"/>
          <w:szCs w:val="22"/>
          <w:lang w:val="fr-FR" w:eastAsia="fr-FR"/>
        </w:rPr>
        <w:t>C</w:t>
      </w:r>
      <w:r w:rsidR="00123E79" w:rsidRPr="001961B1">
        <w:rPr>
          <w:rFonts w:asciiTheme="minorHAnsi" w:hAnsiTheme="minorHAnsi" w:cstheme="minorHAnsi"/>
          <w:bCs/>
          <w:sz w:val="22"/>
          <w:szCs w:val="22"/>
          <w:lang w:val="fr-FR" w:eastAsia="fr-FR"/>
        </w:rPr>
        <w:t>M</w:t>
      </w:r>
      <w:r w:rsidR="001D68B3" w:rsidRPr="001961B1">
        <w:rPr>
          <w:rFonts w:asciiTheme="minorHAnsi" w:hAnsiTheme="minorHAnsi" w:cstheme="minorHAnsi"/>
          <w:bCs/>
          <w:sz w:val="22"/>
          <w:szCs w:val="22"/>
          <w:lang w:val="fr-FR" w:eastAsia="fr-FR"/>
        </w:rPr>
        <w:t>B</w:t>
      </w:r>
      <w:r w:rsidR="001A3945" w:rsidRPr="001961B1">
        <w:rPr>
          <w:rFonts w:asciiTheme="minorHAnsi" w:hAnsiTheme="minorHAnsi" w:cstheme="minorHAnsi"/>
          <w:bCs/>
          <w:sz w:val="22"/>
          <w:szCs w:val="22"/>
          <w:lang w:val="fr-FR" w:eastAsia="fr-FR"/>
        </w:rPr>
        <w:t>-</w:t>
      </w:r>
      <w:r w:rsidR="001D68B3" w:rsidRPr="001961B1">
        <w:rPr>
          <w:rFonts w:asciiTheme="minorHAnsi" w:hAnsiTheme="minorHAnsi" w:cstheme="minorHAnsi"/>
          <w:bCs/>
          <w:sz w:val="22"/>
          <w:szCs w:val="22"/>
          <w:lang w:val="fr-FR" w:eastAsia="fr-FR"/>
        </w:rPr>
        <w:t>KM</w:t>
      </w:r>
      <w:r w:rsidR="009F7E0D" w:rsidRPr="001961B1">
        <w:rPr>
          <w:rFonts w:asciiTheme="minorHAnsi" w:hAnsiTheme="minorHAnsi" w:cstheme="minorHAnsi"/>
          <w:bCs/>
          <w:sz w:val="22"/>
          <w:szCs w:val="22"/>
          <w:lang w:val="fr-FR" w:eastAsia="fr-FR"/>
        </w:rPr>
        <w:t xml:space="preserve">) </w:t>
      </w:r>
      <w:r w:rsidR="008C1063" w:rsidRPr="001961B1">
        <w:rPr>
          <w:rFonts w:asciiTheme="minorHAnsi" w:hAnsiTheme="minorHAnsi" w:cstheme="minorHAnsi"/>
          <w:bCs/>
          <w:sz w:val="22"/>
          <w:szCs w:val="22"/>
          <w:lang w:val="fr-FR" w:eastAsia="fr-FR"/>
        </w:rPr>
        <w:t>et du Programme de développement durable à l’horizon 2030 et des Objectifs de développement durable (ODD)</w:t>
      </w:r>
      <w:r w:rsidR="00E677E1" w:rsidRPr="001961B1">
        <w:rPr>
          <w:rFonts w:asciiTheme="minorHAnsi" w:hAnsiTheme="minorHAnsi" w:cstheme="minorHAnsi"/>
          <w:bCs/>
          <w:sz w:val="22"/>
          <w:szCs w:val="22"/>
          <w:lang w:val="fr-FR" w:eastAsia="fr-FR"/>
        </w:rPr>
        <w:t xml:space="preserve"> sont rappelées</w:t>
      </w:r>
      <w:r w:rsidR="008C1063" w:rsidRPr="001961B1">
        <w:rPr>
          <w:rFonts w:asciiTheme="minorHAnsi" w:hAnsiTheme="minorHAnsi" w:cstheme="minorHAnsi"/>
          <w:bCs/>
          <w:sz w:val="22"/>
          <w:szCs w:val="22"/>
          <w:lang w:val="fr-FR" w:eastAsia="fr-FR"/>
        </w:rPr>
        <w:t xml:space="preserve">. Un bref résumé sur l’égalité entre les sexes et la jeunesse est fourni conformément à la </w:t>
      </w:r>
      <w:r w:rsidR="0087524A" w:rsidRPr="001961B1">
        <w:rPr>
          <w:rFonts w:asciiTheme="minorHAnsi" w:hAnsiTheme="minorHAnsi" w:cstheme="minorHAnsi"/>
          <w:bCs/>
          <w:sz w:val="22"/>
          <w:szCs w:val="22"/>
          <w:lang w:val="fr-FR" w:eastAsia="fr-FR"/>
        </w:rPr>
        <w:t>R</w:t>
      </w:r>
      <w:r w:rsidR="001403F2" w:rsidRPr="001961B1">
        <w:rPr>
          <w:rFonts w:asciiTheme="minorHAnsi" w:hAnsiTheme="minorHAnsi" w:cstheme="minorHAnsi"/>
          <w:bCs/>
          <w:sz w:val="22"/>
          <w:szCs w:val="22"/>
          <w:lang w:val="fr-FR" w:eastAsia="fr-FR"/>
        </w:rPr>
        <w:t>é</w:t>
      </w:r>
      <w:r w:rsidR="0087524A" w:rsidRPr="001961B1">
        <w:rPr>
          <w:rFonts w:asciiTheme="minorHAnsi" w:hAnsiTheme="minorHAnsi" w:cstheme="minorHAnsi"/>
          <w:bCs/>
          <w:sz w:val="22"/>
          <w:szCs w:val="22"/>
          <w:lang w:val="fr-FR" w:eastAsia="fr-FR"/>
        </w:rPr>
        <w:t>solution XIII.18</w:t>
      </w:r>
      <w:r w:rsidR="001403F2" w:rsidRPr="001961B1">
        <w:rPr>
          <w:rFonts w:asciiTheme="minorHAnsi" w:hAnsiTheme="minorHAnsi" w:cstheme="minorHAnsi"/>
          <w:bCs/>
          <w:sz w:val="22"/>
          <w:szCs w:val="22"/>
          <w:lang w:val="fr-FR" w:eastAsia="fr-FR"/>
        </w:rPr>
        <w:t>,</w:t>
      </w:r>
      <w:r w:rsidR="0087524A" w:rsidRPr="001961B1">
        <w:rPr>
          <w:rFonts w:asciiTheme="minorHAnsi" w:hAnsiTheme="minorHAnsi" w:cstheme="minorHAnsi"/>
          <w:bCs/>
          <w:sz w:val="22"/>
          <w:szCs w:val="22"/>
          <w:lang w:val="fr-FR" w:eastAsia="fr-FR"/>
        </w:rPr>
        <w:t xml:space="preserve"> </w:t>
      </w:r>
      <w:r w:rsidR="001403F2" w:rsidRPr="001961B1">
        <w:rPr>
          <w:rFonts w:asciiTheme="minorHAnsi" w:hAnsiTheme="minorHAnsi" w:cstheme="minorHAnsi"/>
          <w:bCs/>
          <w:i/>
          <w:iCs/>
          <w:sz w:val="22"/>
          <w:szCs w:val="22"/>
          <w:lang w:val="fr-FR" w:eastAsia="fr-FR"/>
        </w:rPr>
        <w:t xml:space="preserve">Égalité entre les sexes dans le contexte des zones humides </w:t>
      </w:r>
      <w:r w:rsidR="001403F2" w:rsidRPr="001961B1">
        <w:rPr>
          <w:rFonts w:asciiTheme="minorHAnsi" w:hAnsiTheme="minorHAnsi" w:cstheme="minorHAnsi"/>
          <w:bCs/>
          <w:sz w:val="22"/>
          <w:szCs w:val="22"/>
          <w:lang w:val="fr-FR" w:eastAsia="fr-FR"/>
        </w:rPr>
        <w:t>et la</w:t>
      </w:r>
      <w:r w:rsidR="0087524A" w:rsidRPr="001961B1">
        <w:rPr>
          <w:rFonts w:asciiTheme="minorHAnsi" w:hAnsiTheme="minorHAnsi" w:cstheme="minorHAnsi"/>
          <w:bCs/>
          <w:sz w:val="22"/>
          <w:szCs w:val="22"/>
          <w:lang w:val="fr-FR" w:eastAsia="fr-FR"/>
        </w:rPr>
        <w:t xml:space="preserve"> R</w:t>
      </w:r>
      <w:r w:rsidR="001403F2" w:rsidRPr="001961B1">
        <w:rPr>
          <w:rFonts w:asciiTheme="minorHAnsi" w:hAnsiTheme="minorHAnsi" w:cstheme="minorHAnsi"/>
          <w:bCs/>
          <w:sz w:val="22"/>
          <w:szCs w:val="22"/>
          <w:lang w:val="fr-FR" w:eastAsia="fr-FR"/>
        </w:rPr>
        <w:t>é</w:t>
      </w:r>
      <w:r w:rsidR="0087524A" w:rsidRPr="001961B1">
        <w:rPr>
          <w:rFonts w:asciiTheme="minorHAnsi" w:hAnsiTheme="minorHAnsi" w:cstheme="minorHAnsi"/>
          <w:bCs/>
          <w:sz w:val="22"/>
          <w:szCs w:val="22"/>
          <w:lang w:val="fr-FR" w:eastAsia="fr-FR"/>
        </w:rPr>
        <w:t>solution XIV.12</w:t>
      </w:r>
      <w:r w:rsidR="001403F2" w:rsidRPr="001961B1">
        <w:rPr>
          <w:rFonts w:asciiTheme="minorHAnsi" w:hAnsiTheme="minorHAnsi" w:cstheme="minorHAnsi"/>
          <w:bCs/>
          <w:sz w:val="22"/>
          <w:szCs w:val="22"/>
          <w:lang w:val="fr-FR" w:eastAsia="fr-FR"/>
        </w:rPr>
        <w:t>,</w:t>
      </w:r>
      <w:r w:rsidR="0087524A" w:rsidRPr="001961B1">
        <w:rPr>
          <w:rFonts w:asciiTheme="minorHAnsi" w:hAnsiTheme="minorHAnsi" w:cstheme="minorHAnsi"/>
          <w:bCs/>
          <w:sz w:val="22"/>
          <w:szCs w:val="22"/>
          <w:lang w:val="fr-FR" w:eastAsia="fr-FR"/>
        </w:rPr>
        <w:t xml:space="preserve"> </w:t>
      </w:r>
      <w:r w:rsidR="001403F2" w:rsidRPr="001961B1">
        <w:rPr>
          <w:rFonts w:asciiTheme="minorHAnsi" w:hAnsiTheme="minorHAnsi" w:cstheme="minorHAnsi"/>
          <w:bCs/>
          <w:i/>
          <w:iCs/>
          <w:sz w:val="22"/>
          <w:szCs w:val="22"/>
          <w:lang w:val="fr-FR" w:eastAsia="fr-FR"/>
        </w:rPr>
        <w:t>Renforcement des liens Ramsar avec la jeunesse</w:t>
      </w:r>
      <w:r w:rsidR="005361DB" w:rsidRPr="001961B1">
        <w:rPr>
          <w:rFonts w:asciiTheme="minorHAnsi" w:hAnsiTheme="minorHAnsi" w:cstheme="minorHAnsi"/>
          <w:bCs/>
          <w:sz w:val="22"/>
          <w:szCs w:val="22"/>
          <w:lang w:val="fr-FR" w:eastAsia="fr-FR"/>
        </w:rPr>
        <w:t>.</w:t>
      </w:r>
      <w:r w:rsidR="00207585" w:rsidRPr="001961B1">
        <w:rPr>
          <w:rFonts w:asciiTheme="minorHAnsi" w:hAnsiTheme="minorHAnsi" w:cstheme="minorHAnsi"/>
          <w:bCs/>
          <w:sz w:val="22"/>
          <w:szCs w:val="22"/>
          <w:lang w:val="fr-FR" w:eastAsia="fr-FR"/>
        </w:rPr>
        <w:t xml:space="preserve"> </w:t>
      </w:r>
      <w:r w:rsidR="00E677E1" w:rsidRPr="001961B1">
        <w:rPr>
          <w:rFonts w:asciiTheme="minorHAnsi" w:hAnsiTheme="minorHAnsi" w:cstheme="minorHAnsi"/>
          <w:bCs/>
          <w:sz w:val="22"/>
          <w:szCs w:val="22"/>
          <w:lang w:val="fr-FR" w:eastAsia="fr-FR"/>
        </w:rPr>
        <w:t xml:space="preserve">Enfin, </w:t>
      </w:r>
      <w:r w:rsidR="00381012" w:rsidRPr="001961B1">
        <w:rPr>
          <w:rFonts w:asciiTheme="minorHAnsi" w:hAnsiTheme="minorHAnsi" w:cstheme="minorHAnsi"/>
          <w:bCs/>
          <w:sz w:val="22"/>
          <w:szCs w:val="22"/>
          <w:lang w:val="fr-FR" w:eastAsia="fr-FR"/>
        </w:rPr>
        <w:t xml:space="preserve">la conclusion </w:t>
      </w:r>
      <w:r w:rsidR="00B30D0F" w:rsidRPr="001961B1">
        <w:rPr>
          <w:rFonts w:asciiTheme="minorHAnsi" w:hAnsiTheme="minorHAnsi" w:cstheme="minorHAnsi"/>
          <w:bCs/>
          <w:sz w:val="22"/>
          <w:szCs w:val="22"/>
          <w:lang w:val="fr-FR" w:eastAsia="fr-FR"/>
        </w:rPr>
        <w:t>résume les</w:t>
      </w:r>
      <w:r w:rsidR="00381012" w:rsidRPr="001961B1">
        <w:rPr>
          <w:rFonts w:asciiTheme="minorHAnsi" w:hAnsiTheme="minorHAnsi" w:cstheme="minorHAnsi"/>
          <w:bCs/>
          <w:sz w:val="22"/>
          <w:szCs w:val="22"/>
          <w:lang w:val="fr-FR" w:eastAsia="fr-FR"/>
        </w:rPr>
        <w:t xml:space="preserve"> progrès d’application,</w:t>
      </w:r>
      <w:r w:rsidR="00B30D0F" w:rsidRPr="001961B1">
        <w:rPr>
          <w:rFonts w:asciiTheme="minorHAnsi" w:hAnsiTheme="minorHAnsi" w:cstheme="minorHAnsi"/>
          <w:bCs/>
          <w:sz w:val="22"/>
          <w:szCs w:val="22"/>
          <w:lang w:val="fr-FR" w:eastAsia="fr-FR"/>
        </w:rPr>
        <w:t xml:space="preserve"> ainsi que</w:t>
      </w:r>
      <w:r w:rsidR="00381012" w:rsidRPr="001961B1">
        <w:rPr>
          <w:rFonts w:asciiTheme="minorHAnsi" w:hAnsiTheme="minorHAnsi" w:cstheme="minorHAnsi"/>
          <w:bCs/>
          <w:sz w:val="22"/>
          <w:szCs w:val="22"/>
          <w:lang w:val="fr-FR" w:eastAsia="fr-FR"/>
        </w:rPr>
        <w:t xml:space="preserve"> </w:t>
      </w:r>
      <w:r w:rsidR="00B30D0F" w:rsidRPr="001961B1">
        <w:rPr>
          <w:rFonts w:asciiTheme="minorHAnsi" w:hAnsiTheme="minorHAnsi" w:cstheme="minorHAnsi"/>
          <w:bCs/>
          <w:sz w:val="22"/>
          <w:szCs w:val="22"/>
          <w:lang w:val="fr-FR" w:eastAsia="fr-FR"/>
        </w:rPr>
        <w:t>l</w:t>
      </w:r>
      <w:r w:rsidR="00381012" w:rsidRPr="001961B1">
        <w:rPr>
          <w:rFonts w:asciiTheme="minorHAnsi" w:hAnsiTheme="minorHAnsi" w:cstheme="minorHAnsi"/>
          <w:bCs/>
          <w:sz w:val="22"/>
          <w:szCs w:val="22"/>
          <w:lang w:val="fr-FR" w:eastAsia="fr-FR"/>
        </w:rPr>
        <w:t xml:space="preserve">es défis et priorités pour la mise en œuvre future. </w:t>
      </w:r>
    </w:p>
    <w:p w14:paraId="4199FE24" w14:textId="77777777" w:rsidR="00E03246" w:rsidRPr="001961B1" w:rsidRDefault="00E03246" w:rsidP="000E3338">
      <w:pPr>
        <w:ind w:left="567" w:hanging="567"/>
        <w:rPr>
          <w:rFonts w:asciiTheme="minorHAnsi" w:hAnsiTheme="minorHAnsi" w:cstheme="minorHAnsi"/>
          <w:bCs/>
          <w:sz w:val="22"/>
          <w:szCs w:val="22"/>
          <w:lang w:val="fr-FR" w:eastAsia="fr-FR"/>
        </w:rPr>
      </w:pPr>
    </w:p>
    <w:p w14:paraId="6D3937FD" w14:textId="087F64CB" w:rsidR="00EF0B69" w:rsidRPr="001961B1" w:rsidRDefault="00515041" w:rsidP="00EF0B69">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8.</w:t>
      </w:r>
      <w:r w:rsidRPr="001961B1">
        <w:rPr>
          <w:rFonts w:asciiTheme="minorHAnsi" w:hAnsiTheme="minorHAnsi" w:cstheme="minorHAnsi"/>
          <w:bCs/>
          <w:sz w:val="22"/>
          <w:szCs w:val="22"/>
          <w:lang w:val="fr-FR" w:eastAsia="fr-FR"/>
        </w:rPr>
        <w:tab/>
      </w:r>
      <w:r w:rsidR="00B24E31" w:rsidRPr="001961B1">
        <w:rPr>
          <w:rFonts w:asciiTheme="minorHAnsi" w:hAnsiTheme="minorHAnsi" w:cstheme="minorHAnsi"/>
          <w:bCs/>
          <w:sz w:val="22"/>
          <w:szCs w:val="22"/>
          <w:lang w:val="fr-FR" w:eastAsia="fr-FR"/>
        </w:rPr>
        <w:t>Dans l’Annexe 1 du présent rapport, une synthèse contient l</w:t>
      </w:r>
      <w:r w:rsidR="00DB15CD" w:rsidRPr="001961B1">
        <w:rPr>
          <w:rFonts w:asciiTheme="minorHAnsi" w:hAnsiTheme="minorHAnsi" w:cstheme="minorHAnsi"/>
          <w:bCs/>
          <w:sz w:val="22"/>
          <w:szCs w:val="22"/>
          <w:lang w:val="fr-FR" w:eastAsia="fr-FR"/>
        </w:rPr>
        <w:t>es rapports volontaires sur les objectifs nationaux.</w:t>
      </w:r>
      <w:r w:rsidR="00EF0B69" w:rsidRPr="001961B1">
        <w:rPr>
          <w:rFonts w:asciiTheme="minorHAnsi" w:hAnsiTheme="minorHAnsi" w:cstheme="minorHAnsi"/>
          <w:bCs/>
          <w:sz w:val="22"/>
          <w:szCs w:val="22"/>
          <w:lang w:val="fr-FR" w:eastAsia="fr-FR"/>
        </w:rPr>
        <w:t xml:space="preserve"> </w:t>
      </w:r>
    </w:p>
    <w:p w14:paraId="458D04CB" w14:textId="44270E90" w:rsidR="00EB622F" w:rsidRPr="00A9247D" w:rsidRDefault="00EB622F" w:rsidP="00D1463B">
      <w:pPr>
        <w:keepNext/>
        <w:rPr>
          <w:rFonts w:asciiTheme="minorHAnsi" w:hAnsiTheme="minorHAnsi" w:cstheme="minorHAnsi"/>
          <w:bCs/>
          <w:lang w:val="fr-FR" w:eastAsia="fr-FR"/>
        </w:rPr>
      </w:pPr>
    </w:p>
    <w:p w14:paraId="1386F884" w14:textId="77777777" w:rsidR="00C3536E" w:rsidRPr="00A9247D" w:rsidRDefault="00C3536E" w:rsidP="00D1463B">
      <w:pPr>
        <w:keepNext/>
        <w:rPr>
          <w:rFonts w:asciiTheme="minorHAnsi" w:hAnsiTheme="minorHAnsi" w:cstheme="minorHAnsi"/>
          <w:bCs/>
          <w:lang w:val="fr-FR" w:eastAsia="fr-FR"/>
        </w:rPr>
      </w:pPr>
    </w:p>
    <w:p w14:paraId="12A1F6BC" w14:textId="1B5C8599" w:rsidR="00BC08B3" w:rsidRPr="001961B1" w:rsidRDefault="00BF56A5" w:rsidP="00D1463B">
      <w:pPr>
        <w:keepNext/>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But</w:t>
      </w:r>
      <w:r w:rsidR="00BC08B3" w:rsidRPr="001961B1">
        <w:rPr>
          <w:rFonts w:asciiTheme="minorHAnsi" w:hAnsiTheme="minorHAnsi" w:cstheme="minorHAnsi"/>
          <w:b/>
          <w:sz w:val="22"/>
          <w:szCs w:val="22"/>
          <w:lang w:val="fr-FR" w:eastAsia="fr-FR"/>
        </w:rPr>
        <w:t xml:space="preserve"> 1</w:t>
      </w:r>
      <w:r w:rsidRPr="001961B1">
        <w:rPr>
          <w:rFonts w:asciiTheme="minorHAnsi" w:hAnsiTheme="minorHAnsi" w:cstheme="minorHAnsi"/>
          <w:b/>
          <w:sz w:val="22"/>
          <w:szCs w:val="22"/>
          <w:lang w:val="fr-FR" w:eastAsia="fr-FR"/>
        </w:rPr>
        <w:t xml:space="preserve"> </w:t>
      </w:r>
      <w:r w:rsidR="00BC08B3"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S’attaquer aux moteurs de la perte et de la dégradation des zones humides</w:t>
      </w:r>
    </w:p>
    <w:p w14:paraId="354D1DF4" w14:textId="77777777" w:rsidR="00C3536E" w:rsidRPr="001961B1" w:rsidRDefault="00C3536E" w:rsidP="00D1463B">
      <w:pPr>
        <w:keepNext/>
        <w:rPr>
          <w:rFonts w:asciiTheme="minorHAnsi" w:hAnsiTheme="minorHAnsi" w:cstheme="minorHAnsi"/>
          <w:b/>
          <w:sz w:val="22"/>
          <w:szCs w:val="22"/>
          <w:lang w:val="fr-FR" w:eastAsia="fr-FR"/>
        </w:rPr>
      </w:pPr>
    </w:p>
    <w:tbl>
      <w:tblPr>
        <w:tblStyle w:val="TableGrid16"/>
        <w:tblW w:w="9351" w:type="dxa"/>
        <w:tblLook w:val="04A0" w:firstRow="1" w:lastRow="0" w:firstColumn="1" w:lastColumn="0" w:noHBand="0" w:noVBand="1"/>
      </w:tblPr>
      <w:tblGrid>
        <w:gridCol w:w="9351"/>
      </w:tblGrid>
      <w:tr w:rsidR="00BB3D72" w:rsidRPr="001961B1" w14:paraId="17D7A92B" w14:textId="77777777" w:rsidTr="004D229D">
        <w:tc>
          <w:tcPr>
            <w:tcW w:w="9351" w:type="dxa"/>
            <w:vAlign w:val="center"/>
          </w:tcPr>
          <w:p w14:paraId="33A225DF" w14:textId="472ABC93" w:rsidR="00C162A1" w:rsidRPr="001961B1" w:rsidRDefault="00BF56A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BB3D72" w:rsidRPr="001961B1">
              <w:rPr>
                <w:rFonts w:asciiTheme="minorHAnsi" w:hAnsiTheme="minorHAnsi" w:cstheme="minorHAnsi"/>
                <w:b/>
                <w:sz w:val="22"/>
                <w:szCs w:val="22"/>
                <w:lang w:val="fr-FR" w:eastAsia="fr-FR"/>
              </w:rPr>
              <w:t xml:space="preserve"> 1. </w:t>
            </w:r>
            <w:r w:rsidRPr="001961B1">
              <w:rPr>
                <w:rFonts w:asciiTheme="minorHAnsi" w:hAnsiTheme="minorHAnsi" w:cstheme="minorHAnsi"/>
                <w:b/>
                <w:sz w:val="22"/>
                <w:szCs w:val="22"/>
                <w:lang w:val="fr-FR" w:eastAsia="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BB3D72" w:rsidRPr="001961B1">
              <w:rPr>
                <w:rFonts w:asciiTheme="minorHAnsi" w:hAnsiTheme="minorHAnsi" w:cstheme="minorHAnsi"/>
                <w:b/>
                <w:sz w:val="22"/>
                <w:szCs w:val="22"/>
                <w:lang w:val="fr-FR" w:eastAsia="fr-FR"/>
              </w:rPr>
              <w:t xml:space="preserve">. </w:t>
            </w:r>
          </w:p>
          <w:p w14:paraId="065F79FE" w14:textId="64E16C0F" w:rsidR="00BB3D72" w:rsidRPr="001961B1" w:rsidRDefault="00C71667"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w:t>
            </w:r>
            <w:r w:rsidR="00BF56A5" w:rsidRPr="001961B1">
              <w:rPr>
                <w:rFonts w:asciiTheme="minorHAnsi" w:hAnsiTheme="minorHAnsi" w:cstheme="minorHAnsi"/>
                <w:bCs/>
                <w:sz w:val="22"/>
                <w:szCs w:val="22"/>
                <w:lang w:val="fr-FR" w:eastAsia="fr-FR"/>
              </w:rPr>
              <w:t xml:space="preserve">ion à la cible 14 </w:t>
            </w:r>
            <w:r w:rsidR="0031342C" w:rsidRPr="001961B1">
              <w:rPr>
                <w:rFonts w:asciiTheme="minorHAnsi" w:hAnsiTheme="minorHAnsi" w:cstheme="minorHAnsi"/>
                <w:bCs/>
                <w:sz w:val="22"/>
                <w:szCs w:val="22"/>
                <w:lang w:val="fr-FR" w:eastAsia="fr-FR"/>
              </w:rPr>
              <w:t>du CM</w:t>
            </w:r>
            <w:r w:rsidR="00BF56A5" w:rsidRPr="001961B1">
              <w:rPr>
                <w:rFonts w:asciiTheme="minorHAnsi" w:hAnsiTheme="minorHAnsi" w:cstheme="minorHAnsi"/>
                <w:bCs/>
                <w:sz w:val="22"/>
                <w:szCs w:val="22"/>
                <w:lang w:val="fr-FR" w:eastAsia="fr-FR"/>
              </w:rPr>
              <w:t>B-</w:t>
            </w:r>
            <w:r w:rsidR="00140707" w:rsidRPr="001961B1">
              <w:rPr>
                <w:rFonts w:asciiTheme="minorHAnsi" w:hAnsiTheme="minorHAnsi" w:cstheme="minorHAnsi"/>
                <w:bCs/>
                <w:sz w:val="22"/>
                <w:szCs w:val="22"/>
                <w:lang w:val="fr-FR" w:eastAsia="fr-FR"/>
              </w:rPr>
              <w:t>KM</w:t>
            </w:r>
            <w:r w:rsidR="00E74AA0" w:rsidRPr="001961B1">
              <w:rPr>
                <w:rFonts w:asciiTheme="minorHAnsi" w:hAnsiTheme="minorHAnsi" w:cstheme="minorHAnsi"/>
                <w:bCs/>
                <w:sz w:val="22"/>
                <w:szCs w:val="22"/>
                <w:lang w:val="fr-FR" w:eastAsia="fr-FR"/>
              </w:rPr>
              <w:t xml:space="preserve"> </w:t>
            </w:r>
            <w:r w:rsidR="00BF56A5" w:rsidRPr="001961B1">
              <w:rPr>
                <w:rFonts w:asciiTheme="minorHAnsi" w:hAnsiTheme="minorHAnsi" w:cstheme="minorHAnsi"/>
                <w:bCs/>
                <w:sz w:val="22"/>
                <w:szCs w:val="22"/>
                <w:lang w:val="fr-FR" w:eastAsia="fr-FR"/>
              </w:rPr>
              <w:t xml:space="preserve">et aux cibles </w:t>
            </w:r>
            <w:r w:rsidR="00485857" w:rsidRPr="001961B1">
              <w:rPr>
                <w:rFonts w:asciiTheme="minorHAnsi" w:hAnsiTheme="minorHAnsi" w:cstheme="minorHAnsi"/>
                <w:bCs/>
                <w:sz w:val="22"/>
                <w:szCs w:val="22"/>
                <w:lang w:val="fr-FR" w:eastAsia="fr-FR"/>
              </w:rPr>
              <w:t>1.b</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2.4</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6.1</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6.2</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6.5</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8.3</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8.9</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11.3</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11.4</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11.a</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11.b</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13.2</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14.4</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14.5</w:t>
            </w:r>
            <w:r w:rsidR="00F0591F"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14.c </w:t>
            </w:r>
            <w:r w:rsidR="00BF56A5" w:rsidRPr="001961B1">
              <w:rPr>
                <w:rFonts w:asciiTheme="minorHAnsi" w:hAnsiTheme="minorHAnsi" w:cstheme="minorHAnsi"/>
                <w:bCs/>
                <w:sz w:val="22"/>
                <w:szCs w:val="22"/>
                <w:lang w:val="fr-FR" w:eastAsia="fr-FR"/>
              </w:rPr>
              <w:t>et</w:t>
            </w:r>
            <w:r w:rsidR="00F0591F" w:rsidRPr="001961B1">
              <w:rPr>
                <w:rFonts w:asciiTheme="minorHAnsi" w:hAnsiTheme="minorHAnsi" w:cstheme="minorHAnsi"/>
                <w:bCs/>
                <w:sz w:val="22"/>
                <w:szCs w:val="22"/>
                <w:lang w:val="fr-FR" w:eastAsia="fr-FR"/>
              </w:rPr>
              <w:t xml:space="preserve"> </w:t>
            </w:r>
            <w:r w:rsidR="00485857" w:rsidRPr="001961B1">
              <w:rPr>
                <w:rFonts w:asciiTheme="minorHAnsi" w:hAnsiTheme="minorHAnsi" w:cstheme="minorHAnsi"/>
                <w:bCs/>
                <w:sz w:val="22"/>
                <w:szCs w:val="22"/>
                <w:lang w:val="fr-FR" w:eastAsia="fr-FR"/>
              </w:rPr>
              <w:t>15.9</w:t>
            </w:r>
            <w:r w:rsidR="00BF56A5" w:rsidRPr="001961B1">
              <w:rPr>
                <w:rFonts w:asciiTheme="minorHAnsi" w:hAnsiTheme="minorHAnsi" w:cstheme="minorHAnsi"/>
                <w:bCs/>
                <w:sz w:val="22"/>
                <w:szCs w:val="22"/>
                <w:lang w:val="fr-FR" w:eastAsia="fr-FR"/>
              </w:rPr>
              <w:t xml:space="preserve"> des ODD</w:t>
            </w:r>
            <w:r w:rsidR="00F0591F" w:rsidRPr="001961B1">
              <w:rPr>
                <w:rFonts w:asciiTheme="minorHAnsi" w:hAnsiTheme="minorHAnsi" w:cstheme="minorHAnsi"/>
                <w:bCs/>
                <w:sz w:val="22"/>
                <w:szCs w:val="22"/>
                <w:lang w:val="fr-FR" w:eastAsia="fr-FR"/>
              </w:rPr>
              <w:t>.</w:t>
            </w:r>
          </w:p>
        </w:tc>
      </w:tr>
    </w:tbl>
    <w:p w14:paraId="0913625A" w14:textId="77777777" w:rsidR="000F4FA6" w:rsidRPr="001961B1" w:rsidRDefault="000F4FA6" w:rsidP="00D1463B">
      <w:pPr>
        <w:keepNext/>
        <w:rPr>
          <w:rFonts w:asciiTheme="minorHAnsi" w:hAnsiTheme="minorHAnsi" w:cstheme="minorHAnsi"/>
          <w:bCs/>
          <w:sz w:val="22"/>
          <w:szCs w:val="22"/>
          <w:lang w:val="fr-FR" w:eastAsia="fr-FR"/>
        </w:rPr>
      </w:pPr>
    </w:p>
    <w:p w14:paraId="662A4636" w14:textId="3D84E52A" w:rsidR="007D0E6B" w:rsidRPr="001961B1" w:rsidRDefault="00686262"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8668C5" w:rsidRPr="001961B1">
        <w:rPr>
          <w:rFonts w:asciiTheme="minorHAnsi" w:hAnsiTheme="minorHAnsi" w:cstheme="minorHAnsi"/>
          <w:i/>
          <w:iCs/>
          <w:sz w:val="22"/>
          <w:szCs w:val="22"/>
          <w:u w:val="single"/>
          <w:lang w:val="fr-FR"/>
        </w:rPr>
        <w:t xml:space="preserve"> </w:t>
      </w:r>
    </w:p>
    <w:p w14:paraId="01ACD733" w14:textId="77777777" w:rsidR="00CD3F6B" w:rsidRPr="001961B1" w:rsidRDefault="00CD3F6B" w:rsidP="00D1463B">
      <w:pPr>
        <w:keepNext/>
        <w:ind w:left="426" w:hanging="426"/>
        <w:rPr>
          <w:rFonts w:asciiTheme="minorHAnsi" w:hAnsiTheme="minorHAnsi" w:cstheme="minorHAnsi"/>
          <w:bCs/>
          <w:sz w:val="22"/>
          <w:szCs w:val="22"/>
          <w:lang w:val="fr-FR" w:eastAsia="fr-FR"/>
        </w:rPr>
      </w:pPr>
    </w:p>
    <w:p w14:paraId="3870FC8B" w14:textId="56196F9C" w:rsidR="00104048"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9.</w:t>
      </w:r>
      <w:r w:rsidRPr="001961B1">
        <w:rPr>
          <w:rFonts w:asciiTheme="minorHAnsi" w:hAnsiTheme="minorHAnsi" w:cstheme="minorHAnsi"/>
          <w:bCs/>
          <w:sz w:val="22"/>
          <w:szCs w:val="22"/>
          <w:lang w:val="fr-FR" w:eastAsia="fr-FR"/>
        </w:rPr>
        <w:tab/>
      </w:r>
      <w:r w:rsidR="006A2DA0" w:rsidRPr="001961B1">
        <w:rPr>
          <w:rFonts w:asciiTheme="minorHAnsi" w:hAnsiTheme="minorHAnsi" w:cstheme="minorHAnsi"/>
          <w:bCs/>
          <w:sz w:val="22"/>
          <w:szCs w:val="22"/>
          <w:lang w:val="fr-FR" w:eastAsia="fr-FR"/>
        </w:rPr>
        <w:t>Généralement, les avantages des zones humides sont de plus en plus pris</w:t>
      </w:r>
      <w:r w:rsidR="00AE370A" w:rsidRPr="001961B1">
        <w:rPr>
          <w:rFonts w:asciiTheme="minorHAnsi" w:hAnsiTheme="minorHAnsi" w:cstheme="minorHAnsi"/>
          <w:bCs/>
          <w:sz w:val="22"/>
          <w:szCs w:val="22"/>
          <w:lang w:val="fr-FR" w:eastAsia="fr-FR"/>
        </w:rPr>
        <w:t xml:space="preserve"> en compte dans les politiques, stratégies et plans nationaux sectoriels. </w:t>
      </w:r>
      <w:r w:rsidR="00A31DA7" w:rsidRPr="001961B1">
        <w:rPr>
          <w:rFonts w:asciiTheme="minorHAnsi" w:hAnsiTheme="minorHAnsi" w:cstheme="minorHAnsi"/>
          <w:bCs/>
          <w:sz w:val="22"/>
          <w:szCs w:val="22"/>
          <w:lang w:val="fr-FR" w:eastAsia="fr-FR"/>
        </w:rPr>
        <w:t xml:space="preserve">C’est en ce qui concerne les </w:t>
      </w:r>
      <w:r w:rsidR="00AE370A" w:rsidRPr="001961B1">
        <w:rPr>
          <w:rFonts w:asciiTheme="minorHAnsi" w:hAnsiTheme="minorHAnsi" w:cstheme="minorHAnsi"/>
          <w:bCs/>
          <w:sz w:val="22"/>
          <w:szCs w:val="22"/>
          <w:lang w:val="fr-FR" w:eastAsia="fr-FR"/>
        </w:rPr>
        <w:t xml:space="preserve">stratégies et </w:t>
      </w:r>
      <w:r w:rsidR="00A31DA7" w:rsidRPr="001961B1">
        <w:rPr>
          <w:rFonts w:asciiTheme="minorHAnsi" w:hAnsiTheme="minorHAnsi" w:cstheme="minorHAnsi"/>
          <w:bCs/>
          <w:sz w:val="22"/>
          <w:szCs w:val="22"/>
          <w:lang w:val="fr-FR" w:eastAsia="fr-FR"/>
        </w:rPr>
        <w:t xml:space="preserve">les </w:t>
      </w:r>
      <w:r w:rsidR="00AE370A" w:rsidRPr="001961B1">
        <w:rPr>
          <w:rFonts w:asciiTheme="minorHAnsi" w:hAnsiTheme="minorHAnsi" w:cstheme="minorHAnsi"/>
          <w:bCs/>
          <w:sz w:val="22"/>
          <w:szCs w:val="22"/>
          <w:lang w:val="fr-FR" w:eastAsia="fr-FR"/>
        </w:rPr>
        <w:t>plans relatifs à la biodiversité et à la gestion de l’eau</w:t>
      </w:r>
      <w:r w:rsidR="00A31DA7" w:rsidRPr="001961B1">
        <w:rPr>
          <w:rFonts w:asciiTheme="minorHAnsi" w:hAnsiTheme="minorHAnsi" w:cstheme="minorHAnsi"/>
          <w:bCs/>
          <w:sz w:val="22"/>
          <w:szCs w:val="22"/>
          <w:lang w:val="fr-FR" w:eastAsia="fr-FR"/>
        </w:rPr>
        <w:t xml:space="preserve"> que l’on observe le plus de progrès</w:t>
      </w:r>
      <w:r w:rsidR="00AE370A" w:rsidRPr="001961B1">
        <w:rPr>
          <w:rFonts w:asciiTheme="minorHAnsi" w:hAnsiTheme="minorHAnsi" w:cstheme="minorHAnsi"/>
          <w:bCs/>
          <w:sz w:val="22"/>
          <w:szCs w:val="22"/>
          <w:lang w:val="fr-FR" w:eastAsia="fr-FR"/>
        </w:rPr>
        <w:t xml:space="preserve">, tandis qu’une plus </w:t>
      </w:r>
      <w:r w:rsidR="00A31DA7" w:rsidRPr="001961B1">
        <w:rPr>
          <w:rFonts w:asciiTheme="minorHAnsi" w:hAnsiTheme="minorHAnsi" w:cstheme="minorHAnsi"/>
          <w:bCs/>
          <w:sz w:val="22"/>
          <w:szCs w:val="22"/>
          <w:lang w:val="fr-FR" w:eastAsia="fr-FR"/>
        </w:rPr>
        <w:t>faible</w:t>
      </w:r>
      <w:r w:rsidR="00AE370A" w:rsidRPr="001961B1">
        <w:rPr>
          <w:rFonts w:asciiTheme="minorHAnsi" w:hAnsiTheme="minorHAnsi" w:cstheme="minorHAnsi"/>
          <w:bCs/>
          <w:sz w:val="22"/>
          <w:szCs w:val="22"/>
          <w:lang w:val="fr-FR" w:eastAsia="fr-FR"/>
        </w:rPr>
        <w:t xml:space="preserve"> proportion de Parties contractantes indique avoir intégré des considérations sur les zones humides dans les stratégies et plans pour </w:t>
      </w:r>
      <w:r w:rsidR="00A31DA7" w:rsidRPr="001961B1">
        <w:rPr>
          <w:rFonts w:asciiTheme="minorHAnsi" w:hAnsiTheme="minorHAnsi" w:cstheme="minorHAnsi"/>
          <w:bCs/>
          <w:sz w:val="22"/>
          <w:szCs w:val="22"/>
          <w:lang w:val="fr-FR" w:eastAsia="fr-FR"/>
        </w:rPr>
        <w:t>d’</w:t>
      </w:r>
      <w:r w:rsidR="00AE370A" w:rsidRPr="001961B1">
        <w:rPr>
          <w:rFonts w:asciiTheme="minorHAnsi" w:hAnsiTheme="minorHAnsi" w:cstheme="minorHAnsi"/>
          <w:bCs/>
          <w:sz w:val="22"/>
          <w:szCs w:val="22"/>
          <w:lang w:val="fr-FR" w:eastAsia="fr-FR"/>
        </w:rPr>
        <w:t>autres secteurs ayant un impact important sur les zones humides.</w:t>
      </w:r>
      <w:r w:rsidR="003321BD" w:rsidRPr="001961B1">
        <w:rPr>
          <w:rFonts w:asciiTheme="minorHAnsi" w:hAnsiTheme="minorHAnsi" w:cstheme="minorHAnsi"/>
          <w:bCs/>
          <w:sz w:val="22"/>
          <w:szCs w:val="22"/>
          <w:lang w:val="fr-FR" w:eastAsia="fr-FR"/>
        </w:rPr>
        <w:t xml:space="preserve"> </w:t>
      </w:r>
    </w:p>
    <w:p w14:paraId="633D2C5B" w14:textId="419E7153" w:rsidR="007D0E6B" w:rsidRPr="001961B1" w:rsidRDefault="007D0E6B" w:rsidP="00CD3F6B">
      <w:pPr>
        <w:ind w:left="426" w:hanging="426"/>
        <w:rPr>
          <w:rFonts w:asciiTheme="minorHAnsi" w:hAnsiTheme="minorHAnsi" w:cstheme="minorHAnsi"/>
          <w:bCs/>
          <w:sz w:val="22"/>
          <w:szCs w:val="22"/>
          <w:lang w:val="fr-FR" w:eastAsia="fr-FR"/>
        </w:rPr>
      </w:pPr>
    </w:p>
    <w:tbl>
      <w:tblPr>
        <w:tblStyle w:val="TableGrid21"/>
        <w:tblW w:w="9356" w:type="dxa"/>
        <w:tblLayout w:type="fixed"/>
        <w:tblLook w:val="04A0" w:firstRow="1" w:lastRow="0" w:firstColumn="1" w:lastColumn="0" w:noHBand="0" w:noVBand="1"/>
      </w:tblPr>
      <w:tblGrid>
        <w:gridCol w:w="4106"/>
        <w:gridCol w:w="1218"/>
        <w:gridCol w:w="891"/>
        <w:gridCol w:w="891"/>
        <w:gridCol w:w="892"/>
        <w:gridCol w:w="1358"/>
      </w:tblGrid>
      <w:tr w:rsidR="00107172" w:rsidRPr="001961B1" w14:paraId="005E2CF6" w14:textId="77777777" w:rsidTr="00D27328">
        <w:trPr>
          <w:cantSplit/>
          <w:tblHeader/>
        </w:trPr>
        <w:tc>
          <w:tcPr>
            <w:tcW w:w="4106" w:type="dxa"/>
            <w:vAlign w:val="center"/>
            <w:hideMark/>
          </w:tcPr>
          <w:p w14:paraId="45493773" w14:textId="4A6EDB5B" w:rsidR="00107172" w:rsidRPr="001961B1" w:rsidRDefault="00107172" w:rsidP="0078307B">
            <w:pPr>
              <w:keepNext/>
              <w:jc w:val="center"/>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Indicat</w:t>
            </w:r>
            <w:r w:rsidR="00BF56A5" w:rsidRPr="001961B1">
              <w:rPr>
                <w:rFonts w:asciiTheme="minorHAnsi" w:hAnsiTheme="minorHAnsi" w:cstheme="minorHAnsi"/>
                <w:b/>
                <w:sz w:val="22"/>
                <w:szCs w:val="22"/>
                <w:lang w:val="fr-FR" w:eastAsia="fr-FR"/>
              </w:rPr>
              <w:t>eu</w:t>
            </w:r>
            <w:r w:rsidRPr="001961B1">
              <w:rPr>
                <w:rFonts w:asciiTheme="minorHAnsi" w:hAnsiTheme="minorHAnsi" w:cstheme="minorHAnsi"/>
                <w:b/>
                <w:sz w:val="22"/>
                <w:szCs w:val="22"/>
                <w:lang w:val="fr-FR" w:eastAsia="fr-FR"/>
              </w:rPr>
              <w:t>r</w:t>
            </w:r>
          </w:p>
        </w:tc>
        <w:tc>
          <w:tcPr>
            <w:tcW w:w="1218" w:type="dxa"/>
            <w:vAlign w:val="center"/>
            <w:hideMark/>
          </w:tcPr>
          <w:p w14:paraId="67560571" w14:textId="638E89C8" w:rsidR="0007599D" w:rsidRPr="001961B1" w:rsidRDefault="00BF56A5" w:rsidP="0078307B">
            <w:pPr>
              <w:keepNext/>
              <w:jc w:val="center"/>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Référence</w:t>
            </w:r>
          </w:p>
        </w:tc>
        <w:tc>
          <w:tcPr>
            <w:tcW w:w="891" w:type="dxa"/>
            <w:vAlign w:val="center"/>
            <w:hideMark/>
          </w:tcPr>
          <w:p w14:paraId="6A1BAFD7" w14:textId="77777777" w:rsidR="00107172" w:rsidRPr="001961B1" w:rsidRDefault="00107172" w:rsidP="0078307B">
            <w:pPr>
              <w:keepNext/>
              <w:jc w:val="center"/>
              <w:rPr>
                <w:rFonts w:asciiTheme="minorHAnsi" w:hAnsiTheme="minorHAnsi" w:cstheme="minorHAnsi"/>
                <w:b/>
                <w:sz w:val="22"/>
                <w:szCs w:val="22"/>
                <w:lang w:eastAsia="fr-FR"/>
              </w:rPr>
            </w:pPr>
            <w:r w:rsidRPr="001961B1">
              <w:rPr>
                <w:rFonts w:asciiTheme="minorHAnsi" w:hAnsiTheme="minorHAnsi" w:cstheme="minorHAnsi"/>
                <w:b/>
                <w:sz w:val="22"/>
                <w:szCs w:val="22"/>
                <w:lang w:eastAsia="fr-FR"/>
              </w:rPr>
              <w:t>COP13</w:t>
            </w:r>
          </w:p>
        </w:tc>
        <w:tc>
          <w:tcPr>
            <w:tcW w:w="891" w:type="dxa"/>
            <w:vAlign w:val="center"/>
            <w:hideMark/>
          </w:tcPr>
          <w:p w14:paraId="4335CB9C" w14:textId="77777777" w:rsidR="00107172" w:rsidRPr="001961B1" w:rsidRDefault="00107172" w:rsidP="0078307B">
            <w:pPr>
              <w:keepNext/>
              <w:jc w:val="center"/>
              <w:rPr>
                <w:rFonts w:asciiTheme="minorHAnsi" w:hAnsiTheme="minorHAnsi" w:cstheme="minorHAnsi"/>
                <w:b/>
                <w:sz w:val="22"/>
                <w:szCs w:val="22"/>
                <w:lang w:eastAsia="fr-FR"/>
              </w:rPr>
            </w:pPr>
            <w:r w:rsidRPr="001961B1">
              <w:rPr>
                <w:rFonts w:asciiTheme="minorHAnsi" w:hAnsiTheme="minorHAnsi" w:cstheme="minorHAnsi"/>
                <w:b/>
                <w:sz w:val="22"/>
                <w:szCs w:val="22"/>
                <w:lang w:eastAsia="fr-FR"/>
              </w:rPr>
              <w:t>COP14</w:t>
            </w:r>
          </w:p>
        </w:tc>
        <w:tc>
          <w:tcPr>
            <w:tcW w:w="892" w:type="dxa"/>
            <w:vAlign w:val="center"/>
            <w:hideMark/>
          </w:tcPr>
          <w:p w14:paraId="01D0E6DC" w14:textId="77777777" w:rsidR="00107172" w:rsidRPr="001961B1" w:rsidRDefault="00107172" w:rsidP="0078307B">
            <w:pPr>
              <w:keepNext/>
              <w:jc w:val="center"/>
              <w:rPr>
                <w:rFonts w:asciiTheme="minorHAnsi" w:hAnsiTheme="minorHAnsi" w:cstheme="minorHAnsi"/>
                <w:b/>
                <w:sz w:val="22"/>
                <w:szCs w:val="22"/>
                <w:lang w:eastAsia="fr-FR"/>
              </w:rPr>
            </w:pPr>
            <w:r w:rsidRPr="001961B1">
              <w:rPr>
                <w:rFonts w:asciiTheme="minorHAnsi" w:hAnsiTheme="minorHAnsi" w:cstheme="minorHAnsi"/>
                <w:b/>
                <w:sz w:val="22"/>
                <w:szCs w:val="22"/>
                <w:lang w:eastAsia="fr-FR"/>
              </w:rPr>
              <w:t>COP15</w:t>
            </w:r>
          </w:p>
        </w:tc>
        <w:tc>
          <w:tcPr>
            <w:tcW w:w="1358" w:type="dxa"/>
            <w:vAlign w:val="center"/>
            <w:hideMark/>
          </w:tcPr>
          <w:p w14:paraId="46352877" w14:textId="43AF69B0" w:rsidR="00107172" w:rsidRPr="001961B1" w:rsidRDefault="00BF56A5" w:rsidP="0078307B">
            <w:pPr>
              <w:keepNext/>
              <w:jc w:val="center"/>
              <w:rPr>
                <w:rFonts w:asciiTheme="minorHAnsi" w:hAnsiTheme="minorHAnsi" w:cstheme="minorHAnsi"/>
                <w:b/>
                <w:sz w:val="22"/>
                <w:szCs w:val="22"/>
                <w:lang w:eastAsia="fr-FR"/>
              </w:rPr>
            </w:pPr>
            <w:r w:rsidRPr="001961B1">
              <w:rPr>
                <w:rFonts w:asciiTheme="minorHAnsi" w:hAnsiTheme="minorHAnsi" w:cstheme="minorHAnsi"/>
                <w:b/>
                <w:sz w:val="22"/>
                <w:szCs w:val="22"/>
                <w:lang w:eastAsia="fr-FR"/>
              </w:rPr>
              <w:t>Tendance</w:t>
            </w:r>
          </w:p>
        </w:tc>
      </w:tr>
      <w:tr w:rsidR="00107172" w:rsidRPr="001961B1" w14:paraId="7285F577" w14:textId="77777777" w:rsidTr="00D27328">
        <w:trPr>
          <w:cantSplit/>
        </w:trPr>
        <w:tc>
          <w:tcPr>
            <w:tcW w:w="4106" w:type="dxa"/>
            <w:hideMark/>
          </w:tcPr>
          <w:p w14:paraId="37EF87AC" w14:textId="1C2FE959" w:rsidR="00107172" w:rsidRPr="001961B1" w:rsidRDefault="00107172" w:rsidP="00C64584">
            <w:pPr>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 </w:t>
            </w:r>
            <w:r w:rsidR="0031342C" w:rsidRPr="001961B1">
              <w:rPr>
                <w:rFonts w:asciiTheme="minorHAnsi" w:hAnsiTheme="minorHAnsi" w:cstheme="minorHAnsi"/>
                <w:bCs/>
                <w:sz w:val="22"/>
                <w:szCs w:val="22"/>
                <w:lang w:val="fr-FR" w:eastAsia="fr-FR"/>
              </w:rPr>
              <w:t>de Parties ayant évalué les services écosystémiques de leurs zones humides d’importance i</w:t>
            </w:r>
            <w:r w:rsidRPr="001961B1">
              <w:rPr>
                <w:rFonts w:asciiTheme="minorHAnsi" w:hAnsiTheme="minorHAnsi" w:cstheme="minorHAnsi"/>
                <w:bCs/>
                <w:sz w:val="22"/>
                <w:szCs w:val="22"/>
                <w:lang w:val="fr-FR" w:eastAsia="fr-FR"/>
              </w:rPr>
              <w:t>nternational</w:t>
            </w:r>
            <w:r w:rsidR="0031342C" w:rsidRPr="001961B1">
              <w:rPr>
                <w:rFonts w:asciiTheme="minorHAnsi" w:hAnsiTheme="minorHAnsi" w:cstheme="minorHAnsi"/>
                <w:bCs/>
                <w:sz w:val="22"/>
                <w:szCs w:val="22"/>
                <w:lang w:val="fr-FR" w:eastAsia="fr-FR"/>
              </w:rPr>
              <w:t>e</w:t>
            </w:r>
            <w:r w:rsidRPr="001961B1">
              <w:rPr>
                <w:rFonts w:asciiTheme="minorHAnsi" w:hAnsiTheme="minorHAnsi" w:cstheme="minorHAnsi"/>
                <w:bCs/>
                <w:sz w:val="22"/>
                <w:szCs w:val="22"/>
                <w:lang w:val="fr-FR" w:eastAsia="fr-FR"/>
              </w:rPr>
              <w:t>.</w:t>
            </w:r>
          </w:p>
        </w:tc>
        <w:tc>
          <w:tcPr>
            <w:tcW w:w="1218" w:type="dxa"/>
            <w:hideMark/>
          </w:tcPr>
          <w:p w14:paraId="30131E66" w14:textId="6DAC0024"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19</w:t>
            </w:r>
            <w:r w:rsidR="001A3945" w:rsidRPr="001961B1">
              <w:rPr>
                <w:rFonts w:asciiTheme="minorHAnsi" w:hAnsiTheme="minorHAnsi" w:cstheme="minorHAnsi"/>
                <w:bCs/>
                <w:sz w:val="22"/>
                <w:szCs w:val="22"/>
                <w:lang w:eastAsia="fr-FR"/>
              </w:rPr>
              <w:t xml:space="preserve"> %</w:t>
            </w:r>
          </w:p>
        </w:tc>
        <w:tc>
          <w:tcPr>
            <w:tcW w:w="891" w:type="dxa"/>
            <w:hideMark/>
          </w:tcPr>
          <w:p w14:paraId="688204FF" w14:textId="3F7ABED3"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24</w:t>
            </w:r>
            <w:r w:rsidR="001A3945" w:rsidRPr="001961B1">
              <w:rPr>
                <w:rFonts w:asciiTheme="minorHAnsi" w:hAnsiTheme="minorHAnsi" w:cstheme="minorHAnsi"/>
                <w:bCs/>
                <w:sz w:val="22"/>
                <w:szCs w:val="22"/>
                <w:lang w:eastAsia="fr-FR"/>
              </w:rPr>
              <w:t xml:space="preserve"> %</w:t>
            </w:r>
          </w:p>
        </w:tc>
        <w:tc>
          <w:tcPr>
            <w:tcW w:w="891" w:type="dxa"/>
            <w:hideMark/>
          </w:tcPr>
          <w:p w14:paraId="5F069196" w14:textId="49A5D180"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32</w:t>
            </w:r>
            <w:r w:rsidR="001A3945" w:rsidRPr="001961B1">
              <w:rPr>
                <w:rFonts w:asciiTheme="minorHAnsi" w:hAnsiTheme="minorHAnsi" w:cstheme="minorHAnsi"/>
                <w:bCs/>
                <w:sz w:val="22"/>
                <w:szCs w:val="22"/>
                <w:lang w:eastAsia="fr-FR"/>
              </w:rPr>
              <w:t xml:space="preserve"> %</w:t>
            </w:r>
          </w:p>
        </w:tc>
        <w:tc>
          <w:tcPr>
            <w:tcW w:w="892" w:type="dxa"/>
            <w:hideMark/>
          </w:tcPr>
          <w:p w14:paraId="1A0C175D" w14:textId="643CDE58"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22</w:t>
            </w:r>
            <w:r w:rsidR="001A3945" w:rsidRPr="001961B1">
              <w:rPr>
                <w:rFonts w:asciiTheme="minorHAnsi" w:hAnsiTheme="minorHAnsi" w:cstheme="minorHAnsi"/>
                <w:bCs/>
                <w:sz w:val="22"/>
                <w:szCs w:val="22"/>
                <w:lang w:eastAsia="fr-FR"/>
              </w:rPr>
              <w:t xml:space="preserve"> %</w:t>
            </w:r>
          </w:p>
        </w:tc>
        <w:tc>
          <w:tcPr>
            <w:tcW w:w="1358" w:type="dxa"/>
            <w:hideMark/>
          </w:tcPr>
          <w:p w14:paraId="5CE90587" w14:textId="331D5BBA" w:rsidR="00107172" w:rsidRPr="001961B1" w:rsidRDefault="00925917" w:rsidP="00C64584">
            <w:pPr>
              <w:rPr>
                <w:rFonts w:asciiTheme="minorHAnsi" w:hAnsiTheme="minorHAnsi" w:cstheme="minorHAnsi"/>
                <w:bCs/>
                <w:sz w:val="22"/>
                <w:szCs w:val="22"/>
                <w:lang w:eastAsia="fr-FR"/>
              </w:rPr>
            </w:pPr>
            <w:r w:rsidRPr="001961B1">
              <w:rPr>
                <w:rFonts w:asciiTheme="minorHAnsi" w:hAnsiTheme="minorHAnsi" w:cstheme="minorHAnsi"/>
                <w:bCs/>
                <w:noProof/>
                <w:sz w:val="22"/>
                <w:szCs w:val="22"/>
                <w:lang w:val="en-CA" w:eastAsia="en-CA"/>
              </w:rPr>
              <w:drawing>
                <wp:inline distT="0" distB="0" distL="0" distR="0" wp14:anchorId="13CCAEBB" wp14:editId="11112572">
                  <wp:extent cx="712200" cy="432000"/>
                  <wp:effectExtent l="0" t="0" r="0" b="0"/>
                  <wp:docPr id="9572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7CB98E04" w14:textId="77777777" w:rsidTr="00D27328">
        <w:trPr>
          <w:cantSplit/>
        </w:trPr>
        <w:tc>
          <w:tcPr>
            <w:tcW w:w="4106" w:type="dxa"/>
          </w:tcPr>
          <w:p w14:paraId="1826C5E0" w14:textId="0E3BF016" w:rsidR="00107172" w:rsidRPr="001961B1" w:rsidRDefault="00107172" w:rsidP="00C64584">
            <w:pPr>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 </w:t>
            </w:r>
            <w:r w:rsidR="0031342C" w:rsidRPr="001961B1">
              <w:rPr>
                <w:rFonts w:asciiTheme="minorHAnsi" w:hAnsiTheme="minorHAnsi" w:cstheme="minorHAnsi"/>
                <w:bCs/>
                <w:sz w:val="22"/>
                <w:szCs w:val="22"/>
                <w:lang w:val="fr-FR" w:eastAsia="fr-FR"/>
              </w:rPr>
              <w:t>de Parties ayant inscrit les questions relatives aux zones humides dans leurs stratégies et processus de planification nationaux tels que les plans de gestion des ressources en eau et d’économie d’eau</w:t>
            </w:r>
            <w:r w:rsidRPr="001961B1">
              <w:rPr>
                <w:rFonts w:asciiTheme="minorHAnsi" w:hAnsiTheme="minorHAnsi" w:cstheme="minorHAnsi"/>
                <w:bCs/>
                <w:sz w:val="22"/>
                <w:szCs w:val="22"/>
                <w:lang w:val="fr-FR" w:eastAsia="fr-FR"/>
              </w:rPr>
              <w:t>.</w:t>
            </w:r>
          </w:p>
        </w:tc>
        <w:tc>
          <w:tcPr>
            <w:tcW w:w="1218" w:type="dxa"/>
          </w:tcPr>
          <w:p w14:paraId="6DB032EE" w14:textId="1ABDBACD"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70</w:t>
            </w:r>
            <w:r w:rsidR="001A3945" w:rsidRPr="001961B1">
              <w:rPr>
                <w:rFonts w:asciiTheme="minorHAnsi" w:hAnsiTheme="minorHAnsi" w:cstheme="minorHAnsi"/>
                <w:bCs/>
                <w:sz w:val="22"/>
                <w:szCs w:val="22"/>
                <w:lang w:eastAsia="fr-FR"/>
              </w:rPr>
              <w:t xml:space="preserve"> %</w:t>
            </w:r>
          </w:p>
        </w:tc>
        <w:tc>
          <w:tcPr>
            <w:tcW w:w="891" w:type="dxa"/>
          </w:tcPr>
          <w:p w14:paraId="1B9EBABE" w14:textId="427B6C73"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59</w:t>
            </w:r>
            <w:r w:rsidR="001A3945" w:rsidRPr="001961B1">
              <w:rPr>
                <w:rFonts w:asciiTheme="minorHAnsi" w:hAnsiTheme="minorHAnsi" w:cstheme="minorHAnsi"/>
                <w:bCs/>
                <w:sz w:val="22"/>
                <w:szCs w:val="22"/>
                <w:lang w:eastAsia="fr-FR"/>
              </w:rPr>
              <w:t xml:space="preserve"> %</w:t>
            </w:r>
          </w:p>
        </w:tc>
        <w:tc>
          <w:tcPr>
            <w:tcW w:w="891" w:type="dxa"/>
          </w:tcPr>
          <w:p w14:paraId="336EBC41" w14:textId="5315DD96"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66</w:t>
            </w:r>
            <w:r w:rsidR="001A3945" w:rsidRPr="001961B1">
              <w:rPr>
                <w:rFonts w:asciiTheme="minorHAnsi" w:hAnsiTheme="minorHAnsi" w:cstheme="minorHAnsi"/>
                <w:bCs/>
                <w:sz w:val="22"/>
                <w:szCs w:val="22"/>
                <w:lang w:eastAsia="fr-FR"/>
              </w:rPr>
              <w:t xml:space="preserve"> %</w:t>
            </w:r>
          </w:p>
        </w:tc>
        <w:tc>
          <w:tcPr>
            <w:tcW w:w="892" w:type="dxa"/>
          </w:tcPr>
          <w:p w14:paraId="3A38CA0D" w14:textId="787B5A65"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71</w:t>
            </w:r>
            <w:r w:rsidR="001A3945" w:rsidRPr="001961B1">
              <w:rPr>
                <w:rFonts w:asciiTheme="minorHAnsi" w:hAnsiTheme="minorHAnsi" w:cstheme="minorHAnsi"/>
                <w:bCs/>
                <w:sz w:val="22"/>
                <w:szCs w:val="22"/>
                <w:lang w:eastAsia="fr-FR"/>
              </w:rPr>
              <w:t xml:space="preserve"> %</w:t>
            </w:r>
          </w:p>
        </w:tc>
        <w:tc>
          <w:tcPr>
            <w:tcW w:w="1358" w:type="dxa"/>
            <w:vAlign w:val="center"/>
          </w:tcPr>
          <w:p w14:paraId="2FAC36A8" w14:textId="11348E6E" w:rsidR="00107172" w:rsidRPr="001961B1" w:rsidRDefault="00B26766" w:rsidP="00CE715E">
            <w:pPr>
              <w:jc w:val="center"/>
              <w:rPr>
                <w:rFonts w:asciiTheme="minorHAnsi" w:hAnsiTheme="minorHAnsi" w:cstheme="minorHAnsi"/>
                <w:bCs/>
                <w:sz w:val="22"/>
                <w:szCs w:val="22"/>
                <w:lang w:eastAsia="fr-FR"/>
              </w:rPr>
            </w:pPr>
            <w:r w:rsidRPr="001961B1">
              <w:rPr>
                <w:rFonts w:asciiTheme="minorHAnsi" w:hAnsiTheme="minorHAnsi" w:cstheme="minorHAnsi"/>
                <w:bCs/>
                <w:noProof/>
                <w:sz w:val="22"/>
                <w:szCs w:val="22"/>
                <w:lang w:val="en-CA" w:eastAsia="en-CA"/>
              </w:rPr>
              <w:drawing>
                <wp:inline distT="0" distB="0" distL="0" distR="0" wp14:anchorId="0533C8AB" wp14:editId="6A493C46">
                  <wp:extent cx="712200" cy="432000"/>
                  <wp:effectExtent l="0" t="0" r="0" b="0"/>
                  <wp:docPr id="690338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113BD779" w14:textId="77777777" w:rsidTr="00D27328">
        <w:trPr>
          <w:cantSplit/>
        </w:trPr>
        <w:tc>
          <w:tcPr>
            <w:tcW w:w="4106" w:type="dxa"/>
          </w:tcPr>
          <w:p w14:paraId="758A1820" w14:textId="7DD6F32D" w:rsidR="00107172" w:rsidRPr="001961B1" w:rsidRDefault="00107172" w:rsidP="00C64584">
            <w:pPr>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 </w:t>
            </w:r>
            <w:r w:rsidR="0031342C" w:rsidRPr="001961B1">
              <w:rPr>
                <w:rFonts w:asciiTheme="minorHAnsi" w:hAnsiTheme="minorHAnsi" w:cstheme="minorHAnsi"/>
                <w:bCs/>
                <w:sz w:val="22"/>
                <w:szCs w:val="22"/>
                <w:lang w:val="fr-FR" w:eastAsia="fr-FR"/>
              </w:rPr>
              <w:t xml:space="preserve">de </w:t>
            </w:r>
            <w:r w:rsidRPr="001961B1">
              <w:rPr>
                <w:rFonts w:asciiTheme="minorHAnsi" w:hAnsiTheme="minorHAnsi" w:cstheme="minorHAnsi"/>
                <w:bCs/>
                <w:sz w:val="22"/>
                <w:szCs w:val="22"/>
                <w:lang w:val="fr-FR" w:eastAsia="fr-FR"/>
              </w:rPr>
              <w:t xml:space="preserve">Parties </w:t>
            </w:r>
            <w:r w:rsidR="0031342C" w:rsidRPr="001961B1">
              <w:rPr>
                <w:rFonts w:asciiTheme="minorHAnsi" w:hAnsiTheme="minorHAnsi" w:cstheme="minorHAnsi"/>
                <w:bCs/>
                <w:sz w:val="22"/>
                <w:szCs w:val="22"/>
                <w:lang w:val="fr-FR" w:eastAsia="fr-FR"/>
              </w:rPr>
              <w:t>ayant inscrit les questions relatives aux zones humides dans leurs politiques ou mesures nationales relatives à l’agriculture</w:t>
            </w:r>
            <w:r w:rsidRPr="001961B1">
              <w:rPr>
                <w:rFonts w:asciiTheme="minorHAnsi" w:hAnsiTheme="minorHAnsi" w:cstheme="minorHAnsi"/>
                <w:bCs/>
                <w:sz w:val="22"/>
                <w:szCs w:val="22"/>
                <w:lang w:val="fr-FR" w:eastAsia="fr-FR"/>
              </w:rPr>
              <w:t>.</w:t>
            </w:r>
          </w:p>
        </w:tc>
        <w:tc>
          <w:tcPr>
            <w:tcW w:w="1218" w:type="dxa"/>
          </w:tcPr>
          <w:p w14:paraId="387FFE0F" w14:textId="6E04D1DF"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47</w:t>
            </w:r>
            <w:r w:rsidR="001A3945" w:rsidRPr="001961B1">
              <w:rPr>
                <w:rFonts w:asciiTheme="minorHAnsi" w:hAnsiTheme="minorHAnsi" w:cstheme="minorHAnsi"/>
                <w:bCs/>
                <w:sz w:val="22"/>
                <w:szCs w:val="22"/>
                <w:lang w:eastAsia="fr-FR"/>
              </w:rPr>
              <w:t xml:space="preserve"> %</w:t>
            </w:r>
          </w:p>
        </w:tc>
        <w:tc>
          <w:tcPr>
            <w:tcW w:w="891" w:type="dxa"/>
          </w:tcPr>
          <w:p w14:paraId="214253FA" w14:textId="3CF4B2CC"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48</w:t>
            </w:r>
            <w:r w:rsidR="001A3945" w:rsidRPr="001961B1">
              <w:rPr>
                <w:rFonts w:asciiTheme="minorHAnsi" w:hAnsiTheme="minorHAnsi" w:cstheme="minorHAnsi"/>
                <w:bCs/>
                <w:sz w:val="22"/>
                <w:szCs w:val="22"/>
                <w:lang w:eastAsia="fr-FR"/>
              </w:rPr>
              <w:t xml:space="preserve"> %</w:t>
            </w:r>
          </w:p>
        </w:tc>
        <w:tc>
          <w:tcPr>
            <w:tcW w:w="891" w:type="dxa"/>
          </w:tcPr>
          <w:p w14:paraId="089C5F16" w14:textId="3A691F39"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44</w:t>
            </w:r>
            <w:r w:rsidR="001A3945" w:rsidRPr="001961B1">
              <w:rPr>
                <w:rFonts w:asciiTheme="minorHAnsi" w:hAnsiTheme="minorHAnsi" w:cstheme="minorHAnsi"/>
                <w:bCs/>
                <w:sz w:val="22"/>
                <w:szCs w:val="22"/>
                <w:lang w:eastAsia="fr-FR"/>
              </w:rPr>
              <w:t xml:space="preserve"> %</w:t>
            </w:r>
          </w:p>
        </w:tc>
        <w:tc>
          <w:tcPr>
            <w:tcW w:w="892" w:type="dxa"/>
          </w:tcPr>
          <w:p w14:paraId="71F88A7C" w14:textId="35097B9D" w:rsidR="00107172" w:rsidRPr="001961B1" w:rsidRDefault="00107172" w:rsidP="00C64584">
            <w:pPr>
              <w:jc w:val="center"/>
              <w:rPr>
                <w:rFonts w:asciiTheme="minorHAnsi" w:hAnsiTheme="minorHAnsi" w:cstheme="minorHAnsi"/>
                <w:bCs/>
                <w:sz w:val="22"/>
                <w:szCs w:val="22"/>
                <w:lang w:eastAsia="fr-FR"/>
              </w:rPr>
            </w:pPr>
            <w:r w:rsidRPr="001961B1">
              <w:rPr>
                <w:rFonts w:asciiTheme="minorHAnsi" w:hAnsiTheme="minorHAnsi" w:cstheme="minorHAnsi"/>
                <w:bCs/>
                <w:sz w:val="22"/>
                <w:szCs w:val="22"/>
                <w:lang w:eastAsia="fr-FR"/>
              </w:rPr>
              <w:t>53</w:t>
            </w:r>
            <w:r w:rsidR="001A3945" w:rsidRPr="001961B1">
              <w:rPr>
                <w:rFonts w:asciiTheme="minorHAnsi" w:hAnsiTheme="minorHAnsi" w:cstheme="minorHAnsi"/>
                <w:bCs/>
                <w:sz w:val="22"/>
                <w:szCs w:val="22"/>
                <w:lang w:eastAsia="fr-FR"/>
              </w:rPr>
              <w:t xml:space="preserve"> %</w:t>
            </w:r>
          </w:p>
        </w:tc>
        <w:tc>
          <w:tcPr>
            <w:tcW w:w="1358" w:type="dxa"/>
          </w:tcPr>
          <w:p w14:paraId="66E5996D" w14:textId="5BF68669" w:rsidR="00107172" w:rsidRPr="001961B1" w:rsidRDefault="00C302D6" w:rsidP="00C64584">
            <w:pPr>
              <w:rPr>
                <w:rFonts w:asciiTheme="minorHAnsi" w:hAnsiTheme="minorHAnsi" w:cstheme="minorHAnsi"/>
                <w:bCs/>
                <w:sz w:val="22"/>
                <w:szCs w:val="22"/>
                <w:lang w:eastAsia="fr-FR"/>
              </w:rPr>
            </w:pPr>
            <w:r w:rsidRPr="001961B1">
              <w:rPr>
                <w:rFonts w:asciiTheme="minorHAnsi" w:hAnsiTheme="minorHAnsi" w:cstheme="minorHAnsi"/>
                <w:bCs/>
                <w:noProof/>
                <w:sz w:val="22"/>
                <w:szCs w:val="22"/>
                <w:lang w:val="en-CA" w:eastAsia="en-CA"/>
              </w:rPr>
              <w:drawing>
                <wp:inline distT="0" distB="0" distL="0" distR="0" wp14:anchorId="29B1C4F4" wp14:editId="23DD9916">
                  <wp:extent cx="712200" cy="432000"/>
                  <wp:effectExtent l="0" t="0" r="0" b="0"/>
                  <wp:docPr id="1996114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B8D9B84" w14:textId="77777777" w:rsidR="00D1463B" w:rsidRPr="001961B1" w:rsidRDefault="00D1463B" w:rsidP="00CD3F6B">
      <w:pPr>
        <w:ind w:left="426" w:hanging="426"/>
        <w:rPr>
          <w:rFonts w:asciiTheme="minorHAnsi" w:hAnsiTheme="minorHAnsi" w:cstheme="minorHAnsi"/>
          <w:bCs/>
          <w:sz w:val="22"/>
          <w:szCs w:val="22"/>
          <w:lang w:eastAsia="fr-FR"/>
        </w:rPr>
      </w:pPr>
    </w:p>
    <w:p w14:paraId="43EB8792" w14:textId="26A7ED88" w:rsidR="00532917" w:rsidRPr="001961B1" w:rsidRDefault="00686262" w:rsidP="003E56FD">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526C34" w:rsidRPr="001961B1">
        <w:rPr>
          <w:rFonts w:asciiTheme="minorHAnsi" w:hAnsiTheme="minorHAnsi" w:cstheme="minorHAnsi"/>
          <w:i/>
          <w:iCs/>
          <w:sz w:val="22"/>
          <w:szCs w:val="22"/>
          <w:u w:val="single"/>
          <w:lang w:val="fr-FR"/>
        </w:rPr>
        <w:t xml:space="preserve"> </w:t>
      </w:r>
    </w:p>
    <w:p w14:paraId="13279C28" w14:textId="77777777" w:rsidR="00D1463B" w:rsidRPr="001961B1" w:rsidRDefault="00D1463B" w:rsidP="00D1463B">
      <w:pPr>
        <w:keepNext/>
        <w:ind w:left="426" w:hanging="426"/>
        <w:rPr>
          <w:rFonts w:asciiTheme="minorHAnsi" w:hAnsiTheme="minorHAnsi" w:cstheme="minorHAnsi"/>
          <w:bCs/>
          <w:sz w:val="22"/>
          <w:szCs w:val="22"/>
          <w:lang w:val="fr-FR" w:eastAsia="fr-FR"/>
        </w:rPr>
      </w:pPr>
    </w:p>
    <w:p w14:paraId="1B600599" w14:textId="05206EAB" w:rsidR="005604EE"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10.</w:t>
      </w:r>
      <w:r w:rsidRPr="001961B1">
        <w:rPr>
          <w:rFonts w:asciiTheme="minorHAnsi" w:hAnsiTheme="minorHAnsi" w:cstheme="minorHAnsi"/>
          <w:bCs/>
          <w:sz w:val="22"/>
          <w:szCs w:val="22"/>
          <w:lang w:val="fr-FR" w:eastAsia="fr-FR"/>
        </w:rPr>
        <w:tab/>
      </w:r>
      <w:r w:rsidR="00DB6E7A" w:rsidRPr="001961B1">
        <w:rPr>
          <w:rFonts w:asciiTheme="minorHAnsi" w:hAnsiTheme="minorHAnsi" w:cstheme="minorHAnsi"/>
          <w:bCs/>
          <w:sz w:val="22"/>
          <w:szCs w:val="22"/>
          <w:lang w:val="fr-FR" w:eastAsia="fr-FR"/>
        </w:rPr>
        <w:t xml:space="preserve">Les progrès ont été plus </w:t>
      </w:r>
      <w:r w:rsidR="00BC319D" w:rsidRPr="001961B1">
        <w:rPr>
          <w:rFonts w:asciiTheme="minorHAnsi" w:hAnsiTheme="minorHAnsi" w:cstheme="minorHAnsi"/>
          <w:bCs/>
          <w:sz w:val="22"/>
          <w:szCs w:val="22"/>
          <w:lang w:val="fr-FR" w:eastAsia="fr-FR"/>
        </w:rPr>
        <w:t>marqués</w:t>
      </w:r>
      <w:r w:rsidR="00DB6E7A" w:rsidRPr="001961B1">
        <w:rPr>
          <w:rFonts w:asciiTheme="minorHAnsi" w:hAnsiTheme="minorHAnsi" w:cstheme="minorHAnsi"/>
          <w:bCs/>
          <w:sz w:val="22"/>
          <w:szCs w:val="22"/>
          <w:lang w:val="fr-FR" w:eastAsia="fr-FR"/>
        </w:rPr>
        <w:t xml:space="preserve"> dans les secteurs de l’eau et de la biodiversité</w:t>
      </w:r>
      <w:r w:rsidR="00BC319D" w:rsidRPr="001961B1">
        <w:rPr>
          <w:rFonts w:asciiTheme="minorHAnsi" w:hAnsiTheme="minorHAnsi" w:cstheme="minorHAnsi"/>
          <w:bCs/>
          <w:sz w:val="22"/>
          <w:szCs w:val="22"/>
          <w:lang w:val="fr-FR" w:eastAsia="fr-FR"/>
        </w:rPr>
        <w:t xml:space="preserve">, ce </w:t>
      </w:r>
      <w:r w:rsidR="00DB6E7A" w:rsidRPr="001961B1">
        <w:rPr>
          <w:rFonts w:asciiTheme="minorHAnsi" w:hAnsiTheme="minorHAnsi" w:cstheme="minorHAnsi"/>
          <w:bCs/>
          <w:sz w:val="22"/>
          <w:szCs w:val="22"/>
          <w:lang w:val="fr-FR" w:eastAsia="fr-FR"/>
        </w:rPr>
        <w:t xml:space="preserve">qui </w:t>
      </w:r>
      <w:r w:rsidR="00BC319D" w:rsidRPr="001961B1">
        <w:rPr>
          <w:rFonts w:asciiTheme="minorHAnsi" w:hAnsiTheme="minorHAnsi" w:cstheme="minorHAnsi"/>
          <w:bCs/>
          <w:sz w:val="22"/>
          <w:szCs w:val="22"/>
          <w:lang w:val="fr-FR" w:eastAsia="fr-FR"/>
        </w:rPr>
        <w:t>est</w:t>
      </w:r>
      <w:r w:rsidR="00DB6E7A" w:rsidRPr="001961B1">
        <w:rPr>
          <w:rFonts w:asciiTheme="minorHAnsi" w:hAnsiTheme="minorHAnsi" w:cstheme="minorHAnsi"/>
          <w:bCs/>
          <w:sz w:val="22"/>
          <w:szCs w:val="22"/>
          <w:lang w:val="fr-FR" w:eastAsia="fr-FR"/>
        </w:rPr>
        <w:t xml:space="preserve"> étroitement alignés sur les objectifs de conservation des zones humides. Plus de 80 % des Parties contractantes signalent tenir compte des zones humides dans leurs Stratégies et Plans d’action nationaux pour la biodiversité (SPANB), et plus de 70 % dans la gestion des ressources en eau et les plans d’économie de l’eau. </w:t>
      </w:r>
      <w:r w:rsidR="00BC319D" w:rsidRPr="001961B1">
        <w:rPr>
          <w:rFonts w:asciiTheme="minorHAnsi" w:hAnsiTheme="minorHAnsi" w:cstheme="minorHAnsi"/>
          <w:bCs/>
          <w:sz w:val="22"/>
          <w:szCs w:val="22"/>
          <w:lang w:val="fr-FR" w:eastAsia="fr-FR"/>
        </w:rPr>
        <w:t>Soixante-trois</w:t>
      </w:r>
      <w:r w:rsidR="00DB6E7A" w:rsidRPr="001961B1">
        <w:rPr>
          <w:rFonts w:asciiTheme="minorHAnsi" w:hAnsiTheme="minorHAnsi" w:cstheme="minorHAnsi"/>
          <w:bCs/>
          <w:sz w:val="22"/>
          <w:szCs w:val="22"/>
          <w:lang w:val="fr-FR" w:eastAsia="fr-FR"/>
        </w:rPr>
        <w:t xml:space="preserve"> pour cent </w:t>
      </w:r>
      <w:r w:rsidR="00BC40A2" w:rsidRPr="001961B1">
        <w:rPr>
          <w:rFonts w:asciiTheme="minorHAnsi" w:hAnsiTheme="minorHAnsi" w:cstheme="minorHAnsi"/>
          <w:bCs/>
          <w:sz w:val="22"/>
          <w:szCs w:val="22"/>
          <w:lang w:val="fr-FR" w:eastAsia="fr-FR"/>
        </w:rPr>
        <w:t xml:space="preserve">(63 %) </w:t>
      </w:r>
      <w:r w:rsidR="00DB6E7A" w:rsidRPr="001961B1">
        <w:rPr>
          <w:rFonts w:asciiTheme="minorHAnsi" w:hAnsiTheme="minorHAnsi" w:cstheme="minorHAnsi"/>
          <w:bCs/>
          <w:sz w:val="22"/>
          <w:szCs w:val="22"/>
          <w:lang w:val="fr-FR" w:eastAsia="fr-FR"/>
        </w:rPr>
        <w:t xml:space="preserve">des Parties disent tenir compte des zones humides dans les plans ou stratégies de gestion des forêts, </w:t>
      </w:r>
      <w:r w:rsidR="00BC319D" w:rsidRPr="001961B1">
        <w:rPr>
          <w:rFonts w:asciiTheme="minorHAnsi" w:hAnsiTheme="minorHAnsi" w:cstheme="minorHAnsi"/>
          <w:bCs/>
          <w:sz w:val="22"/>
          <w:szCs w:val="22"/>
          <w:lang w:val="fr-FR" w:eastAsia="fr-FR"/>
        </w:rPr>
        <w:t>contre</w:t>
      </w:r>
      <w:r w:rsidR="00DB6E7A" w:rsidRPr="001961B1">
        <w:rPr>
          <w:rFonts w:asciiTheme="minorHAnsi" w:hAnsiTheme="minorHAnsi" w:cstheme="minorHAnsi"/>
          <w:bCs/>
          <w:sz w:val="22"/>
          <w:szCs w:val="22"/>
          <w:lang w:val="fr-FR" w:eastAsia="fr-FR"/>
        </w:rPr>
        <w:t xml:space="preserve"> 50 % à la COP13. </w:t>
      </w:r>
    </w:p>
    <w:p w14:paraId="1848A119" w14:textId="77777777" w:rsidR="00190FF0" w:rsidRPr="001961B1" w:rsidRDefault="00190FF0" w:rsidP="000E3338">
      <w:pPr>
        <w:ind w:left="567" w:hanging="567"/>
        <w:rPr>
          <w:rFonts w:asciiTheme="minorHAnsi" w:hAnsiTheme="minorHAnsi" w:cstheme="minorHAnsi"/>
          <w:bCs/>
          <w:sz w:val="22"/>
          <w:szCs w:val="22"/>
          <w:lang w:val="fr-FR" w:eastAsia="fr-FR"/>
        </w:rPr>
      </w:pPr>
    </w:p>
    <w:p w14:paraId="63902DA8" w14:textId="058FA1F8" w:rsidR="00C069FB"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11.</w:t>
      </w:r>
      <w:r w:rsidRPr="001961B1">
        <w:rPr>
          <w:rFonts w:asciiTheme="minorHAnsi" w:hAnsiTheme="minorHAnsi" w:cstheme="minorHAnsi"/>
          <w:bCs/>
          <w:sz w:val="22"/>
          <w:szCs w:val="22"/>
          <w:lang w:val="fr-FR" w:eastAsia="fr-FR"/>
        </w:rPr>
        <w:tab/>
      </w:r>
      <w:r w:rsidR="009B40A0" w:rsidRPr="001961B1">
        <w:rPr>
          <w:rFonts w:asciiTheme="minorHAnsi" w:hAnsiTheme="minorHAnsi" w:cstheme="minorHAnsi"/>
          <w:bCs/>
          <w:sz w:val="22"/>
          <w:szCs w:val="22"/>
          <w:lang w:val="fr-FR" w:eastAsia="fr-FR"/>
        </w:rPr>
        <w:t xml:space="preserve">L’intégration de la protection, de l’utilisation rationnelle et de la restauration des zones humides est plus faible dans les stratégies, plans et mesures </w:t>
      </w:r>
      <w:r w:rsidR="00BF3ECE" w:rsidRPr="001961B1">
        <w:rPr>
          <w:rFonts w:asciiTheme="minorHAnsi" w:hAnsiTheme="minorHAnsi" w:cstheme="minorHAnsi"/>
          <w:bCs/>
          <w:sz w:val="22"/>
          <w:szCs w:val="22"/>
          <w:lang w:val="fr-FR" w:eastAsia="fr-FR"/>
        </w:rPr>
        <w:t>relatifs à</w:t>
      </w:r>
      <w:r w:rsidR="009B40A0" w:rsidRPr="001961B1">
        <w:rPr>
          <w:rFonts w:asciiTheme="minorHAnsi" w:hAnsiTheme="minorHAnsi" w:cstheme="minorHAnsi"/>
          <w:bCs/>
          <w:sz w:val="22"/>
          <w:szCs w:val="22"/>
          <w:lang w:val="fr-FR" w:eastAsia="fr-FR"/>
        </w:rPr>
        <w:t xml:space="preserve"> des secteurs </w:t>
      </w:r>
      <w:r w:rsidR="00BF3ECE" w:rsidRPr="001961B1">
        <w:rPr>
          <w:rFonts w:asciiTheme="minorHAnsi" w:hAnsiTheme="minorHAnsi" w:cstheme="minorHAnsi"/>
          <w:bCs/>
          <w:sz w:val="22"/>
          <w:szCs w:val="22"/>
          <w:lang w:val="fr-FR" w:eastAsia="fr-FR"/>
        </w:rPr>
        <w:t>qui ont</w:t>
      </w:r>
      <w:r w:rsidR="009B40A0" w:rsidRPr="001961B1">
        <w:rPr>
          <w:rFonts w:asciiTheme="minorHAnsi" w:hAnsiTheme="minorHAnsi" w:cstheme="minorHAnsi"/>
          <w:bCs/>
          <w:sz w:val="22"/>
          <w:szCs w:val="22"/>
          <w:lang w:val="fr-FR" w:eastAsia="fr-FR"/>
        </w:rPr>
        <w:t xml:space="preserve"> un impact important sur les zones humides. </w:t>
      </w:r>
      <w:r w:rsidR="00CD0FB3" w:rsidRPr="001961B1">
        <w:rPr>
          <w:rFonts w:asciiTheme="minorHAnsi" w:hAnsiTheme="minorHAnsi" w:cstheme="minorHAnsi"/>
          <w:sz w:val="22"/>
          <w:szCs w:val="22"/>
          <w:lang w:val="fr-FR" w:eastAsia="fr-FR"/>
        </w:rPr>
        <w:t>Au moment de</w:t>
      </w:r>
      <w:r w:rsidR="009B40A0" w:rsidRPr="001961B1">
        <w:rPr>
          <w:rFonts w:asciiTheme="minorHAnsi" w:hAnsiTheme="minorHAnsi" w:cstheme="minorHAnsi"/>
          <w:bCs/>
          <w:sz w:val="22"/>
          <w:szCs w:val="22"/>
          <w:lang w:val="fr-FR" w:eastAsia="fr-FR"/>
        </w:rPr>
        <w:t xml:space="preserve"> la COP15, un peu plus de la moitié des Parties contractantes signalent tenir compte des zones humides dans les politiques ou mesures nationales </w:t>
      </w:r>
      <w:r w:rsidR="00BF3ECE" w:rsidRPr="001961B1">
        <w:rPr>
          <w:rFonts w:asciiTheme="minorHAnsi" w:hAnsiTheme="minorHAnsi" w:cstheme="minorHAnsi"/>
          <w:bCs/>
          <w:sz w:val="22"/>
          <w:szCs w:val="22"/>
          <w:lang w:val="fr-FR" w:eastAsia="fr-FR"/>
        </w:rPr>
        <w:t>pour</w:t>
      </w:r>
      <w:r w:rsidR="009B40A0" w:rsidRPr="001961B1">
        <w:rPr>
          <w:rFonts w:asciiTheme="minorHAnsi" w:hAnsiTheme="minorHAnsi" w:cstheme="minorHAnsi"/>
          <w:bCs/>
          <w:sz w:val="22"/>
          <w:szCs w:val="22"/>
          <w:lang w:val="fr-FR" w:eastAsia="fr-FR"/>
        </w:rPr>
        <w:t xml:space="preserve"> l’agriculture et dans les plans nationaux pour le contrôle et la gestion de la pollution, ce qui représente une légère augmentation pendant la </w:t>
      </w:r>
      <w:r w:rsidR="00BF3ECE" w:rsidRPr="001961B1">
        <w:rPr>
          <w:rFonts w:asciiTheme="minorHAnsi" w:hAnsiTheme="minorHAnsi" w:cstheme="minorHAnsi"/>
          <w:bCs/>
          <w:sz w:val="22"/>
          <w:szCs w:val="22"/>
          <w:lang w:val="fr-FR" w:eastAsia="fr-FR"/>
        </w:rPr>
        <w:t>période</w:t>
      </w:r>
      <w:r w:rsidR="009B40A0" w:rsidRPr="001961B1">
        <w:rPr>
          <w:rFonts w:asciiTheme="minorHAnsi" w:hAnsiTheme="minorHAnsi" w:cstheme="minorHAnsi"/>
          <w:bCs/>
          <w:sz w:val="22"/>
          <w:szCs w:val="22"/>
          <w:lang w:val="fr-FR" w:eastAsia="fr-FR"/>
        </w:rPr>
        <w:t xml:space="preserve"> du PS4. La </w:t>
      </w:r>
      <w:r w:rsidR="009B40A0" w:rsidRPr="001961B1">
        <w:rPr>
          <w:rFonts w:asciiTheme="minorHAnsi" w:hAnsiTheme="minorHAnsi" w:cstheme="minorHAnsi"/>
          <w:bCs/>
          <w:sz w:val="22"/>
          <w:szCs w:val="22"/>
          <w:lang w:val="fr-FR" w:eastAsia="fr-FR"/>
        </w:rPr>
        <w:lastRenderedPageBreak/>
        <w:t xml:space="preserve">prise en compte des zones humides dans le cadre du développement urbain a augmenté, de 31 % des Parties ayant fait rapport à la COP13 à 41 % des Parties ayant fait rapport à la COP15, et du point de vue de la gestion des déchets et de la qualité de l’eau, de 50 % à la COP13 à 63 % à la COP15. Les progrès sont plus variables et généralement </w:t>
      </w:r>
      <w:r w:rsidR="00BF3ECE" w:rsidRPr="001961B1">
        <w:rPr>
          <w:rFonts w:asciiTheme="minorHAnsi" w:hAnsiTheme="minorHAnsi" w:cstheme="minorHAnsi"/>
          <w:bCs/>
          <w:sz w:val="22"/>
          <w:szCs w:val="22"/>
          <w:lang w:val="fr-FR" w:eastAsia="fr-FR"/>
        </w:rPr>
        <w:t>moindres</w:t>
      </w:r>
      <w:r w:rsidR="009B40A0" w:rsidRPr="001961B1">
        <w:rPr>
          <w:rFonts w:asciiTheme="minorHAnsi" w:hAnsiTheme="minorHAnsi" w:cstheme="minorHAnsi"/>
          <w:bCs/>
          <w:sz w:val="22"/>
          <w:szCs w:val="22"/>
          <w:lang w:val="fr-FR" w:eastAsia="fr-FR"/>
        </w:rPr>
        <w:t xml:space="preserve"> pour d’autres secteurs tels que l’infrastructure, l’industrie, l’énergie et les mines</w:t>
      </w:r>
      <w:r w:rsidR="00BF3ECE" w:rsidRPr="001961B1">
        <w:rPr>
          <w:rFonts w:asciiTheme="minorHAnsi" w:hAnsiTheme="minorHAnsi" w:cstheme="minorHAnsi"/>
          <w:bCs/>
          <w:sz w:val="22"/>
          <w:szCs w:val="22"/>
          <w:lang w:val="fr-FR" w:eastAsia="fr-FR"/>
        </w:rPr>
        <w:t>,</w:t>
      </w:r>
      <w:r w:rsidR="009B40A0" w:rsidRPr="001961B1">
        <w:rPr>
          <w:rFonts w:asciiTheme="minorHAnsi" w:hAnsiTheme="minorHAnsi" w:cstheme="minorHAnsi"/>
          <w:bCs/>
          <w:sz w:val="22"/>
          <w:szCs w:val="22"/>
          <w:lang w:val="fr-FR" w:eastAsia="fr-FR"/>
        </w:rPr>
        <w:t xml:space="preserve"> avec environ un tiers des Parties signalant </w:t>
      </w:r>
      <w:r w:rsidR="00BF3ECE" w:rsidRPr="001961B1">
        <w:rPr>
          <w:rFonts w:asciiTheme="minorHAnsi" w:hAnsiTheme="minorHAnsi" w:cstheme="minorHAnsi"/>
          <w:bCs/>
          <w:sz w:val="22"/>
          <w:szCs w:val="22"/>
          <w:lang w:val="fr-FR" w:eastAsia="fr-FR"/>
        </w:rPr>
        <w:t xml:space="preserve">avoir pris </w:t>
      </w:r>
      <w:r w:rsidR="009B40A0" w:rsidRPr="001961B1">
        <w:rPr>
          <w:rFonts w:asciiTheme="minorHAnsi" w:hAnsiTheme="minorHAnsi" w:cstheme="minorHAnsi"/>
          <w:bCs/>
          <w:sz w:val="22"/>
          <w:szCs w:val="22"/>
          <w:lang w:val="fr-FR" w:eastAsia="fr-FR"/>
        </w:rPr>
        <w:t xml:space="preserve">quelques mesures en faveur de </w:t>
      </w:r>
      <w:r w:rsidR="00BF3ECE" w:rsidRPr="001961B1">
        <w:rPr>
          <w:rFonts w:asciiTheme="minorHAnsi" w:hAnsiTheme="minorHAnsi" w:cstheme="minorHAnsi"/>
          <w:bCs/>
          <w:sz w:val="22"/>
          <w:szCs w:val="22"/>
          <w:lang w:val="fr-FR" w:eastAsia="fr-FR"/>
        </w:rPr>
        <w:t>l’intégration</w:t>
      </w:r>
      <w:r w:rsidR="009B40A0" w:rsidRPr="001961B1">
        <w:rPr>
          <w:rFonts w:asciiTheme="minorHAnsi" w:hAnsiTheme="minorHAnsi" w:cstheme="minorHAnsi"/>
          <w:bCs/>
          <w:sz w:val="22"/>
          <w:szCs w:val="22"/>
          <w:lang w:val="fr-FR" w:eastAsia="fr-FR"/>
        </w:rPr>
        <w:t xml:space="preserve"> des zones humides dans les politiques et plans sectoriels et environ un tiers </w:t>
      </w:r>
      <w:r w:rsidR="00BF3ECE" w:rsidRPr="001961B1">
        <w:rPr>
          <w:rFonts w:asciiTheme="minorHAnsi" w:hAnsiTheme="minorHAnsi" w:cstheme="minorHAnsi"/>
          <w:bCs/>
          <w:sz w:val="22"/>
          <w:szCs w:val="22"/>
          <w:lang w:val="fr-FR" w:eastAsia="fr-FR"/>
        </w:rPr>
        <w:t>prévoyant</w:t>
      </w:r>
      <w:r w:rsidR="009B40A0" w:rsidRPr="001961B1">
        <w:rPr>
          <w:rFonts w:asciiTheme="minorHAnsi" w:hAnsiTheme="minorHAnsi" w:cstheme="minorHAnsi"/>
          <w:bCs/>
          <w:sz w:val="22"/>
          <w:szCs w:val="22"/>
          <w:lang w:val="fr-FR" w:eastAsia="fr-FR"/>
        </w:rPr>
        <w:t xml:space="preserve"> de le faire. </w:t>
      </w:r>
    </w:p>
    <w:p w14:paraId="02939ACB" w14:textId="77777777" w:rsidR="008A7203" w:rsidRPr="001961B1" w:rsidRDefault="008A7203" w:rsidP="000E3338">
      <w:pPr>
        <w:ind w:left="567" w:hanging="567"/>
        <w:rPr>
          <w:rFonts w:asciiTheme="minorHAnsi" w:hAnsiTheme="minorHAnsi" w:cstheme="minorHAnsi"/>
          <w:bCs/>
          <w:sz w:val="22"/>
          <w:szCs w:val="22"/>
          <w:lang w:val="fr-FR" w:eastAsia="fr-FR"/>
        </w:rPr>
      </w:pPr>
    </w:p>
    <w:p w14:paraId="593966E8" w14:textId="20166E1B" w:rsidR="00AE6F2F"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12.</w:t>
      </w:r>
      <w:r w:rsidRPr="001961B1">
        <w:rPr>
          <w:rFonts w:asciiTheme="minorHAnsi" w:hAnsiTheme="minorHAnsi" w:cstheme="minorHAnsi"/>
          <w:bCs/>
          <w:sz w:val="22"/>
          <w:szCs w:val="22"/>
          <w:lang w:val="fr-FR" w:eastAsia="fr-FR"/>
        </w:rPr>
        <w:tab/>
      </w:r>
      <w:r w:rsidR="00BB191C" w:rsidRPr="001961B1">
        <w:rPr>
          <w:rFonts w:asciiTheme="minorHAnsi" w:hAnsiTheme="minorHAnsi" w:cstheme="minorHAnsi"/>
          <w:bCs/>
          <w:sz w:val="22"/>
          <w:szCs w:val="22"/>
          <w:lang w:val="fr-FR" w:eastAsia="fr-FR"/>
        </w:rPr>
        <w:t>Concernant les mesures pouvant soutenir l’intégration des zones humides dans les stratégies et plans sectoriels, environ 60 % des Parties contractantes ont une politique nationale pour les zones humides ou instruments équivalents qui encouragent l’utilisation rationnelle des zones humides</w:t>
      </w:r>
      <w:r w:rsidR="00AE3E4B" w:rsidRPr="001961B1">
        <w:rPr>
          <w:rFonts w:asciiTheme="minorHAnsi" w:hAnsiTheme="minorHAnsi" w:cstheme="minorHAnsi"/>
          <w:bCs/>
          <w:sz w:val="22"/>
          <w:szCs w:val="22"/>
          <w:lang w:val="fr-FR" w:eastAsia="fr-FR"/>
        </w:rPr>
        <w:t xml:space="preserve">, un chiffre qui est resté relativement stable </w:t>
      </w:r>
      <w:r w:rsidR="0061237F" w:rsidRPr="001961B1">
        <w:rPr>
          <w:rFonts w:asciiTheme="minorHAnsi" w:hAnsiTheme="minorHAnsi" w:cstheme="minorHAnsi"/>
          <w:bCs/>
          <w:sz w:val="22"/>
          <w:szCs w:val="22"/>
          <w:lang w:val="fr-FR" w:eastAsia="fr-FR"/>
        </w:rPr>
        <w:t>au cours de la période</w:t>
      </w:r>
      <w:r w:rsidR="00AE3E4B" w:rsidRPr="001961B1">
        <w:rPr>
          <w:rFonts w:asciiTheme="minorHAnsi" w:hAnsiTheme="minorHAnsi" w:cstheme="minorHAnsi"/>
          <w:bCs/>
          <w:sz w:val="22"/>
          <w:szCs w:val="22"/>
          <w:lang w:val="fr-FR" w:eastAsia="fr-FR"/>
        </w:rPr>
        <w:t xml:space="preserve"> du PS4. Environ 70 % des Parties ont réalisé des évaluations </w:t>
      </w:r>
      <w:r w:rsidR="0061237F" w:rsidRPr="001961B1">
        <w:rPr>
          <w:rFonts w:asciiTheme="minorHAnsi" w:hAnsiTheme="minorHAnsi" w:cstheme="minorHAnsi"/>
          <w:bCs/>
          <w:sz w:val="22"/>
          <w:szCs w:val="22"/>
          <w:lang w:val="fr-FR" w:eastAsia="fr-FR"/>
        </w:rPr>
        <w:t>complètes</w:t>
      </w:r>
      <w:r w:rsidR="00AE3E4B" w:rsidRPr="001961B1">
        <w:rPr>
          <w:rFonts w:asciiTheme="minorHAnsi" w:hAnsiTheme="minorHAnsi" w:cstheme="minorHAnsi"/>
          <w:bCs/>
          <w:sz w:val="22"/>
          <w:szCs w:val="22"/>
          <w:lang w:val="fr-FR" w:eastAsia="fr-FR"/>
        </w:rPr>
        <w:t xml:space="preserve"> ou partielles des avantages et services écosystémiques fournis par les zones humides d’importance internationale et autres zones humides.</w:t>
      </w:r>
      <w:r w:rsidR="001F4E03" w:rsidRPr="001961B1">
        <w:rPr>
          <w:rFonts w:asciiTheme="minorHAnsi" w:hAnsiTheme="minorHAnsi" w:cstheme="minorHAnsi"/>
          <w:bCs/>
          <w:sz w:val="22"/>
          <w:szCs w:val="22"/>
          <w:lang w:val="fr-FR" w:eastAsia="fr-FR"/>
        </w:rPr>
        <w:t xml:space="preserve"> </w:t>
      </w:r>
    </w:p>
    <w:p w14:paraId="14E889F7" w14:textId="01313182" w:rsidR="00DE31BF" w:rsidRPr="001961B1" w:rsidRDefault="00DE31BF" w:rsidP="000E3338">
      <w:pPr>
        <w:ind w:left="567" w:hanging="567"/>
        <w:rPr>
          <w:rFonts w:asciiTheme="minorHAnsi" w:hAnsiTheme="minorHAnsi" w:cstheme="minorHAnsi"/>
          <w:bCs/>
          <w:sz w:val="22"/>
          <w:szCs w:val="22"/>
          <w:lang w:val="fr-FR" w:eastAsia="fr-FR"/>
        </w:rPr>
      </w:pPr>
    </w:p>
    <w:p w14:paraId="3BCA1A2B" w14:textId="31030B17" w:rsidR="00A80E96"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13.</w:t>
      </w:r>
      <w:r w:rsidRPr="001961B1">
        <w:rPr>
          <w:rFonts w:asciiTheme="minorHAnsi" w:hAnsiTheme="minorHAnsi" w:cstheme="minorHAnsi"/>
          <w:bCs/>
          <w:sz w:val="22"/>
          <w:szCs w:val="22"/>
          <w:lang w:val="fr-FR" w:eastAsia="fr-FR"/>
        </w:rPr>
        <w:tab/>
      </w:r>
      <w:r w:rsidR="00EE1175" w:rsidRPr="001961B1">
        <w:rPr>
          <w:rFonts w:asciiTheme="minorHAnsi" w:hAnsiTheme="minorHAnsi" w:cstheme="minorHAnsi"/>
          <w:bCs/>
          <w:sz w:val="22"/>
          <w:szCs w:val="22"/>
          <w:lang w:val="fr-FR" w:eastAsia="fr-FR"/>
        </w:rPr>
        <w:t xml:space="preserve">Parmi les obstacles communs </w:t>
      </w:r>
      <w:r w:rsidR="004C4BF9" w:rsidRPr="001961B1">
        <w:rPr>
          <w:rFonts w:asciiTheme="minorHAnsi" w:hAnsiTheme="minorHAnsi" w:cstheme="minorHAnsi"/>
          <w:bCs/>
          <w:sz w:val="22"/>
          <w:szCs w:val="22"/>
          <w:lang w:val="fr-FR" w:eastAsia="fr-FR"/>
        </w:rPr>
        <w:t>freinant une meilleure</w:t>
      </w:r>
      <w:r w:rsidR="00EE1175" w:rsidRPr="001961B1">
        <w:rPr>
          <w:rFonts w:asciiTheme="minorHAnsi" w:hAnsiTheme="minorHAnsi" w:cstheme="minorHAnsi"/>
          <w:bCs/>
          <w:sz w:val="22"/>
          <w:szCs w:val="22"/>
          <w:lang w:val="fr-FR" w:eastAsia="fr-FR"/>
        </w:rPr>
        <w:t xml:space="preserve"> prise en compte des zones humides dans les stratégies et plans sectoriels, on peut citer les difficultés en matière de gouvernance, une coordination </w:t>
      </w:r>
      <w:r w:rsidR="004C4BF9" w:rsidRPr="001961B1">
        <w:rPr>
          <w:rFonts w:asciiTheme="minorHAnsi" w:hAnsiTheme="minorHAnsi" w:cstheme="minorHAnsi"/>
          <w:bCs/>
          <w:sz w:val="22"/>
          <w:szCs w:val="22"/>
          <w:lang w:val="fr-FR" w:eastAsia="fr-FR"/>
        </w:rPr>
        <w:t xml:space="preserve">insuffisante </w:t>
      </w:r>
      <w:r w:rsidR="00EE1175" w:rsidRPr="001961B1">
        <w:rPr>
          <w:rFonts w:asciiTheme="minorHAnsi" w:hAnsiTheme="minorHAnsi" w:cstheme="minorHAnsi"/>
          <w:bCs/>
          <w:sz w:val="22"/>
          <w:szCs w:val="22"/>
          <w:lang w:val="fr-FR" w:eastAsia="fr-FR"/>
        </w:rPr>
        <w:t>entre les institutions et entre les secteurs</w:t>
      </w:r>
      <w:r w:rsidR="004C4BF9" w:rsidRPr="001961B1">
        <w:rPr>
          <w:rFonts w:asciiTheme="minorHAnsi" w:hAnsiTheme="minorHAnsi" w:cstheme="minorHAnsi"/>
          <w:bCs/>
          <w:sz w:val="22"/>
          <w:szCs w:val="22"/>
          <w:lang w:val="fr-FR" w:eastAsia="fr-FR"/>
        </w:rPr>
        <w:t>,</w:t>
      </w:r>
      <w:r w:rsidR="00EE1175" w:rsidRPr="001961B1">
        <w:rPr>
          <w:rFonts w:asciiTheme="minorHAnsi" w:hAnsiTheme="minorHAnsi" w:cstheme="minorHAnsi"/>
          <w:bCs/>
          <w:sz w:val="22"/>
          <w:szCs w:val="22"/>
          <w:lang w:val="fr-FR" w:eastAsia="fr-FR"/>
        </w:rPr>
        <w:t xml:space="preserve"> et les conditions économiques. La mise en œuvre est </w:t>
      </w:r>
      <w:r w:rsidR="004C4BF9" w:rsidRPr="001961B1">
        <w:rPr>
          <w:rFonts w:asciiTheme="minorHAnsi" w:hAnsiTheme="minorHAnsi" w:cstheme="minorHAnsi"/>
          <w:bCs/>
          <w:sz w:val="22"/>
          <w:szCs w:val="22"/>
          <w:lang w:val="fr-FR" w:eastAsia="fr-FR"/>
        </w:rPr>
        <w:t>entravée</w:t>
      </w:r>
      <w:r w:rsidR="00EE1175" w:rsidRPr="001961B1">
        <w:rPr>
          <w:rFonts w:asciiTheme="minorHAnsi" w:hAnsiTheme="minorHAnsi" w:cstheme="minorHAnsi"/>
          <w:bCs/>
          <w:sz w:val="22"/>
          <w:szCs w:val="22"/>
          <w:lang w:val="fr-FR" w:eastAsia="fr-FR"/>
        </w:rPr>
        <w:t xml:space="preserve"> par des capacités d’application limitées, en particulier au niveau </w:t>
      </w:r>
      <w:r w:rsidR="004C4BF9" w:rsidRPr="001961B1">
        <w:rPr>
          <w:rFonts w:asciiTheme="minorHAnsi" w:hAnsiTheme="minorHAnsi" w:cstheme="minorHAnsi"/>
          <w:bCs/>
          <w:sz w:val="22"/>
          <w:szCs w:val="22"/>
          <w:lang w:val="fr-FR" w:eastAsia="fr-FR"/>
        </w:rPr>
        <w:t>infranational</w:t>
      </w:r>
      <w:r w:rsidR="00EE1175" w:rsidRPr="001961B1">
        <w:rPr>
          <w:rFonts w:asciiTheme="minorHAnsi" w:hAnsiTheme="minorHAnsi" w:cstheme="minorHAnsi"/>
          <w:bCs/>
          <w:sz w:val="22"/>
          <w:szCs w:val="22"/>
          <w:lang w:val="fr-FR" w:eastAsia="fr-FR"/>
        </w:rPr>
        <w:t xml:space="preserve">. Les Parties contractantes d’Afrique citent fréquemment </w:t>
      </w:r>
      <w:r w:rsidR="004C4BF9" w:rsidRPr="001961B1">
        <w:rPr>
          <w:rFonts w:asciiTheme="minorHAnsi" w:hAnsiTheme="minorHAnsi" w:cstheme="minorHAnsi"/>
          <w:bCs/>
          <w:sz w:val="22"/>
          <w:szCs w:val="22"/>
          <w:lang w:val="fr-FR" w:eastAsia="fr-FR"/>
        </w:rPr>
        <w:t xml:space="preserve">comme principaux obstacles </w:t>
      </w:r>
      <w:r w:rsidR="00EE1175" w:rsidRPr="001961B1">
        <w:rPr>
          <w:rFonts w:asciiTheme="minorHAnsi" w:hAnsiTheme="minorHAnsi" w:cstheme="minorHAnsi"/>
          <w:bCs/>
          <w:sz w:val="22"/>
          <w:szCs w:val="22"/>
          <w:lang w:val="fr-FR" w:eastAsia="fr-FR"/>
        </w:rPr>
        <w:t xml:space="preserve">des capacités d’application limitées et des contraintes </w:t>
      </w:r>
      <w:r w:rsidR="00B30D0F" w:rsidRPr="001961B1">
        <w:rPr>
          <w:rFonts w:asciiTheme="minorHAnsi" w:hAnsiTheme="minorHAnsi" w:cstheme="minorHAnsi"/>
          <w:bCs/>
          <w:sz w:val="22"/>
          <w:szCs w:val="22"/>
          <w:lang w:val="fr-FR" w:eastAsia="fr-FR"/>
        </w:rPr>
        <w:t>en matière de ressources</w:t>
      </w:r>
      <w:r w:rsidR="00EE1175" w:rsidRPr="001961B1">
        <w:rPr>
          <w:rFonts w:asciiTheme="minorHAnsi" w:hAnsiTheme="minorHAnsi" w:cstheme="minorHAnsi"/>
          <w:bCs/>
          <w:sz w:val="22"/>
          <w:szCs w:val="22"/>
          <w:lang w:val="fr-FR" w:eastAsia="fr-FR"/>
        </w:rPr>
        <w:t xml:space="preserve">. En Asie, les Parties signalent des difficultés liées à des objectifs de conservation et de développement </w:t>
      </w:r>
      <w:r w:rsidR="001F0AE5" w:rsidRPr="001961B1">
        <w:rPr>
          <w:rFonts w:asciiTheme="minorHAnsi" w:hAnsiTheme="minorHAnsi" w:cstheme="minorHAnsi"/>
          <w:bCs/>
          <w:sz w:val="22"/>
          <w:szCs w:val="22"/>
          <w:lang w:val="fr-FR" w:eastAsia="fr-FR"/>
        </w:rPr>
        <w:t>concurrents ou contradictoires</w:t>
      </w:r>
      <w:r w:rsidR="00EE1175" w:rsidRPr="001961B1">
        <w:rPr>
          <w:rFonts w:asciiTheme="minorHAnsi" w:hAnsiTheme="minorHAnsi" w:cstheme="minorHAnsi"/>
          <w:bCs/>
          <w:sz w:val="22"/>
          <w:szCs w:val="22"/>
          <w:lang w:val="fr-FR" w:eastAsia="fr-FR"/>
        </w:rPr>
        <w:t>.</w:t>
      </w:r>
      <w:r w:rsidR="008A7203" w:rsidRPr="001961B1">
        <w:rPr>
          <w:rFonts w:asciiTheme="minorHAnsi" w:hAnsiTheme="minorHAnsi" w:cstheme="minorHAnsi"/>
          <w:bCs/>
          <w:sz w:val="22"/>
          <w:szCs w:val="22"/>
          <w:lang w:val="fr-FR" w:eastAsia="fr-FR"/>
        </w:rPr>
        <w:t xml:space="preserve"> </w:t>
      </w:r>
    </w:p>
    <w:p w14:paraId="3CCB7A8F" w14:textId="77777777" w:rsidR="008A7203" w:rsidRPr="001961B1" w:rsidRDefault="008A7203" w:rsidP="000E3338">
      <w:pPr>
        <w:ind w:left="567" w:hanging="567"/>
        <w:rPr>
          <w:rFonts w:asciiTheme="minorHAnsi" w:hAnsiTheme="minorHAnsi" w:cstheme="minorHAnsi"/>
          <w:bCs/>
          <w:sz w:val="22"/>
          <w:szCs w:val="22"/>
          <w:lang w:val="fr-FR" w:eastAsia="fr-FR"/>
        </w:rPr>
      </w:pPr>
    </w:p>
    <w:p w14:paraId="38C684D7" w14:textId="6B8D72B8" w:rsidR="00A23526" w:rsidRPr="001961B1" w:rsidRDefault="00515041" w:rsidP="000E3338">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14.</w:t>
      </w:r>
      <w:r w:rsidRPr="001961B1">
        <w:rPr>
          <w:rFonts w:asciiTheme="minorHAnsi" w:hAnsiTheme="minorHAnsi" w:cstheme="minorHAnsi"/>
          <w:bCs/>
          <w:sz w:val="22"/>
          <w:szCs w:val="22"/>
          <w:lang w:val="fr-FR" w:eastAsia="fr-FR"/>
        </w:rPr>
        <w:tab/>
      </w:r>
      <w:r w:rsidR="001F0AE5" w:rsidRPr="001961B1">
        <w:rPr>
          <w:rFonts w:asciiTheme="minorHAnsi" w:hAnsiTheme="minorHAnsi" w:cstheme="minorHAnsi"/>
          <w:bCs/>
          <w:sz w:val="22"/>
          <w:szCs w:val="22"/>
          <w:lang w:val="fr-FR" w:eastAsia="fr-FR"/>
        </w:rPr>
        <w:t>Dans les Rapports nationaux, les Parties contractantes identifi</w:t>
      </w:r>
      <w:r w:rsidR="00B30D0F" w:rsidRPr="001961B1">
        <w:rPr>
          <w:rFonts w:asciiTheme="minorHAnsi" w:hAnsiTheme="minorHAnsi" w:cstheme="minorHAnsi"/>
          <w:bCs/>
          <w:sz w:val="22"/>
          <w:szCs w:val="22"/>
          <w:lang w:val="fr-FR" w:eastAsia="fr-FR"/>
        </w:rPr>
        <w:t>ent</w:t>
      </w:r>
      <w:r w:rsidR="001F0AE5" w:rsidRPr="001961B1">
        <w:rPr>
          <w:rFonts w:asciiTheme="minorHAnsi" w:hAnsiTheme="minorHAnsi" w:cstheme="minorHAnsi"/>
          <w:bCs/>
          <w:sz w:val="22"/>
          <w:szCs w:val="22"/>
          <w:lang w:val="fr-FR" w:eastAsia="fr-FR"/>
        </w:rPr>
        <w:t>, p</w:t>
      </w:r>
      <w:r w:rsidR="00EE1175" w:rsidRPr="001961B1">
        <w:rPr>
          <w:rFonts w:asciiTheme="minorHAnsi" w:hAnsiTheme="minorHAnsi" w:cstheme="minorHAnsi"/>
          <w:bCs/>
          <w:sz w:val="22"/>
          <w:szCs w:val="22"/>
          <w:lang w:val="fr-FR" w:eastAsia="fr-FR"/>
        </w:rPr>
        <w:t xml:space="preserve">armi les mesures </w:t>
      </w:r>
      <w:r w:rsidR="00B30D0F" w:rsidRPr="001961B1">
        <w:rPr>
          <w:rFonts w:asciiTheme="minorHAnsi" w:hAnsiTheme="minorHAnsi" w:cstheme="minorHAnsi"/>
          <w:bCs/>
          <w:sz w:val="22"/>
          <w:szCs w:val="22"/>
          <w:lang w:val="fr-FR" w:eastAsia="fr-FR"/>
        </w:rPr>
        <w:t>qui pourraient éventuellement</w:t>
      </w:r>
      <w:r w:rsidR="00EE1175" w:rsidRPr="001961B1">
        <w:rPr>
          <w:rFonts w:asciiTheme="minorHAnsi" w:hAnsiTheme="minorHAnsi" w:cstheme="minorHAnsi"/>
          <w:bCs/>
          <w:sz w:val="22"/>
          <w:szCs w:val="22"/>
          <w:lang w:val="fr-FR" w:eastAsia="fr-FR"/>
        </w:rPr>
        <w:t xml:space="preserve"> faire progresser </w:t>
      </w:r>
      <w:r w:rsidR="00B30D0F" w:rsidRPr="001961B1">
        <w:rPr>
          <w:rFonts w:asciiTheme="minorHAnsi" w:hAnsiTheme="minorHAnsi" w:cstheme="minorHAnsi"/>
          <w:bCs/>
          <w:sz w:val="22"/>
          <w:szCs w:val="22"/>
          <w:lang w:val="fr-FR" w:eastAsia="fr-FR"/>
        </w:rPr>
        <w:t>l’intégration</w:t>
      </w:r>
      <w:r w:rsidR="00EE1175" w:rsidRPr="001961B1">
        <w:rPr>
          <w:rFonts w:asciiTheme="minorHAnsi" w:hAnsiTheme="minorHAnsi" w:cstheme="minorHAnsi"/>
          <w:bCs/>
          <w:sz w:val="22"/>
          <w:szCs w:val="22"/>
          <w:lang w:val="fr-FR" w:eastAsia="fr-FR"/>
        </w:rPr>
        <w:t xml:space="preserve"> des zones humides dans les politiques sectorielles</w:t>
      </w:r>
      <w:r w:rsidR="001F0AE5" w:rsidRPr="001961B1">
        <w:rPr>
          <w:rFonts w:asciiTheme="minorHAnsi" w:hAnsiTheme="minorHAnsi" w:cstheme="minorHAnsi"/>
          <w:bCs/>
          <w:sz w:val="22"/>
          <w:szCs w:val="22"/>
          <w:lang w:val="fr-FR" w:eastAsia="fr-FR"/>
        </w:rPr>
        <w:t>,</w:t>
      </w:r>
      <w:r w:rsidR="00EE1175" w:rsidRPr="001961B1">
        <w:rPr>
          <w:rFonts w:asciiTheme="minorHAnsi" w:hAnsiTheme="minorHAnsi" w:cstheme="minorHAnsi"/>
          <w:bCs/>
          <w:sz w:val="22"/>
          <w:szCs w:val="22"/>
          <w:lang w:val="fr-FR" w:eastAsia="fr-FR"/>
        </w:rPr>
        <w:t xml:space="preserve"> une meilleure valorisation des zones humides et de leurs services écosystémiques, la promotion de la coopération interministérielle et la fourniture d’un </w:t>
      </w:r>
      <w:r w:rsidR="001F0AE5" w:rsidRPr="001961B1">
        <w:rPr>
          <w:rFonts w:asciiTheme="minorHAnsi" w:hAnsiTheme="minorHAnsi" w:cstheme="minorHAnsi"/>
          <w:bCs/>
          <w:sz w:val="22"/>
          <w:szCs w:val="22"/>
          <w:lang w:val="fr-FR" w:eastAsia="fr-FR"/>
        </w:rPr>
        <w:t>soutien</w:t>
      </w:r>
      <w:r w:rsidR="00EE1175" w:rsidRPr="001961B1">
        <w:rPr>
          <w:rFonts w:asciiTheme="minorHAnsi" w:hAnsiTheme="minorHAnsi" w:cstheme="minorHAnsi"/>
          <w:bCs/>
          <w:sz w:val="22"/>
          <w:szCs w:val="22"/>
          <w:lang w:val="fr-FR" w:eastAsia="fr-FR"/>
        </w:rPr>
        <w:t xml:space="preserve"> technique.</w:t>
      </w:r>
      <w:r w:rsidR="00D34322" w:rsidRPr="001961B1">
        <w:rPr>
          <w:rFonts w:asciiTheme="minorHAnsi" w:hAnsiTheme="minorHAnsi" w:cstheme="minorHAnsi"/>
          <w:bCs/>
          <w:sz w:val="22"/>
          <w:szCs w:val="22"/>
          <w:lang w:val="fr-FR" w:eastAsia="fr-FR"/>
        </w:rPr>
        <w:t xml:space="preserve"> </w:t>
      </w:r>
    </w:p>
    <w:p w14:paraId="6C983712" w14:textId="77777777" w:rsidR="003E59AF" w:rsidRPr="001961B1" w:rsidRDefault="003E59AF" w:rsidP="00D1463B">
      <w:pPr>
        <w:pStyle w:val="ListParagraph"/>
        <w:spacing w:after="0" w:line="240" w:lineRule="auto"/>
        <w:ind w:left="0"/>
        <w:contextualSpacing w:val="0"/>
        <w:rPr>
          <w:rFonts w:eastAsia="Times New Roman" w:cstheme="minorHAnsi"/>
          <w:bCs/>
          <w:lang w:val="fr-FR" w:eastAsia="fr-FR"/>
        </w:rPr>
      </w:pPr>
    </w:p>
    <w:p w14:paraId="79753803" w14:textId="77777777" w:rsidR="003E56FD" w:rsidRPr="001961B1" w:rsidRDefault="003E56FD" w:rsidP="00D1463B">
      <w:pPr>
        <w:pStyle w:val="ListParagraph"/>
        <w:spacing w:after="0" w:line="240" w:lineRule="auto"/>
        <w:ind w:left="0"/>
        <w:contextualSpacing w:val="0"/>
        <w:rPr>
          <w:rFonts w:eastAsia="Times New Roman" w:cstheme="minorHAnsi"/>
          <w:bCs/>
          <w:lang w:val="fr-FR" w:eastAsia="fr-FR"/>
        </w:rPr>
      </w:pPr>
    </w:p>
    <w:tbl>
      <w:tblPr>
        <w:tblStyle w:val="TableGrid16"/>
        <w:tblW w:w="9354" w:type="dxa"/>
        <w:tblLook w:val="04A0" w:firstRow="1" w:lastRow="0" w:firstColumn="1" w:lastColumn="0" w:noHBand="0" w:noVBand="1"/>
      </w:tblPr>
      <w:tblGrid>
        <w:gridCol w:w="9354"/>
      </w:tblGrid>
      <w:tr w:rsidR="00513FF5" w:rsidRPr="001961B1" w14:paraId="4B8ABD74" w14:textId="77777777" w:rsidTr="00C3536E">
        <w:tc>
          <w:tcPr>
            <w:tcW w:w="9354" w:type="dxa"/>
            <w:vAlign w:val="center"/>
          </w:tcPr>
          <w:p w14:paraId="484A9E7D" w14:textId="399BF7EC" w:rsidR="00513FF5" w:rsidRPr="001961B1" w:rsidRDefault="00BF56A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513FF5" w:rsidRPr="001961B1">
              <w:rPr>
                <w:rFonts w:asciiTheme="minorHAnsi" w:hAnsiTheme="minorHAnsi" w:cstheme="minorHAnsi"/>
                <w:b/>
                <w:sz w:val="22"/>
                <w:szCs w:val="22"/>
                <w:lang w:val="fr-FR" w:eastAsia="fr-FR"/>
              </w:rPr>
              <w:t xml:space="preserve"> 2. </w:t>
            </w:r>
            <w:r w:rsidRPr="001961B1">
              <w:rPr>
                <w:rFonts w:asciiTheme="minorHAnsi" w:hAnsiTheme="minorHAnsi" w:cstheme="minorHAnsi"/>
                <w:b/>
                <w:sz w:val="22"/>
                <w:szCs w:val="22"/>
                <w:lang w:val="fr-FR" w:eastAsia="fr-FR"/>
              </w:rPr>
              <w:t>L’eau est utilisée dans le respect des besoins des écosystèmes de zones humides afin qu’ils puissent remplir leurs fonctions et fournir des services à l’échelle qui convient, notamment au niveau d’un bassin versant ou le long d’une zone côtière</w:t>
            </w:r>
            <w:r w:rsidR="00513FF5" w:rsidRPr="001961B1">
              <w:rPr>
                <w:rFonts w:asciiTheme="minorHAnsi" w:hAnsiTheme="minorHAnsi" w:cstheme="minorHAnsi"/>
                <w:b/>
                <w:sz w:val="22"/>
                <w:szCs w:val="22"/>
                <w:lang w:val="fr-FR" w:eastAsia="fr-FR"/>
              </w:rPr>
              <w:t>.</w:t>
            </w:r>
          </w:p>
          <w:p w14:paraId="09C7A828" w14:textId="57143FFC" w:rsidR="00513FF5" w:rsidRPr="001961B1" w:rsidRDefault="00686262"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Contribution aux cibles 7 et 10 du CMB-KM et aux cibles 6.4, 6.5 et 6.6 des ODD</w:t>
            </w:r>
            <w:r w:rsidR="00F0591F" w:rsidRPr="001961B1">
              <w:rPr>
                <w:rFonts w:asciiTheme="minorHAnsi" w:hAnsiTheme="minorHAnsi" w:cstheme="minorHAnsi"/>
                <w:bCs/>
                <w:sz w:val="22"/>
                <w:szCs w:val="22"/>
                <w:lang w:val="fr-FR" w:eastAsia="fr-FR"/>
              </w:rPr>
              <w:t>.</w:t>
            </w:r>
          </w:p>
        </w:tc>
      </w:tr>
    </w:tbl>
    <w:p w14:paraId="6CBB6A35" w14:textId="77777777" w:rsidR="00C818AD" w:rsidRPr="001961B1" w:rsidRDefault="00C818AD" w:rsidP="00D1463B">
      <w:pPr>
        <w:keepNext/>
        <w:rPr>
          <w:rFonts w:asciiTheme="minorHAnsi" w:hAnsiTheme="minorHAnsi" w:cstheme="minorHAnsi"/>
          <w:b/>
          <w:bCs/>
          <w:sz w:val="22"/>
          <w:szCs w:val="22"/>
          <w:lang w:val="fr-FR"/>
        </w:rPr>
      </w:pPr>
    </w:p>
    <w:p w14:paraId="1D038ED9" w14:textId="12DB357A" w:rsidR="007D0E6B" w:rsidRPr="001961B1" w:rsidRDefault="00686262" w:rsidP="00CD3F6B">
      <w:pPr>
        <w:keepNext/>
        <w:keepLines/>
        <w:outlineLvl w:val="1"/>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674475D9" w14:textId="77777777" w:rsidR="00351DA3" w:rsidRPr="001961B1" w:rsidRDefault="00351DA3" w:rsidP="00CD3F6B">
      <w:pPr>
        <w:keepNext/>
        <w:keepLines/>
        <w:outlineLvl w:val="1"/>
        <w:rPr>
          <w:rFonts w:asciiTheme="minorHAnsi" w:hAnsiTheme="minorHAnsi" w:cstheme="minorHAnsi"/>
          <w:sz w:val="22"/>
          <w:szCs w:val="22"/>
          <w:lang w:val="fr-FR"/>
        </w:rPr>
      </w:pPr>
    </w:p>
    <w:p w14:paraId="21871E6B" w14:textId="77DE6463" w:rsidR="003E59AF"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15.</w:t>
      </w:r>
      <w:r w:rsidRPr="001961B1">
        <w:rPr>
          <w:rFonts w:asciiTheme="minorHAnsi" w:hAnsiTheme="minorHAnsi" w:cstheme="minorHAnsi"/>
          <w:sz w:val="22"/>
          <w:szCs w:val="22"/>
          <w:lang w:val="fr-FR"/>
        </w:rPr>
        <w:tab/>
      </w:r>
      <w:r w:rsidR="00454A50" w:rsidRPr="001961B1">
        <w:rPr>
          <w:rFonts w:asciiTheme="minorHAnsi" w:hAnsiTheme="minorHAnsi" w:cstheme="minorHAnsi"/>
          <w:sz w:val="22"/>
          <w:szCs w:val="22"/>
          <w:lang w:val="fr-FR"/>
        </w:rPr>
        <w:t>Le nombre de</w:t>
      </w:r>
      <w:r w:rsidR="00D5460D" w:rsidRPr="001961B1">
        <w:rPr>
          <w:rFonts w:asciiTheme="minorHAnsi" w:hAnsiTheme="minorHAnsi" w:cstheme="minorHAnsi"/>
          <w:sz w:val="22"/>
          <w:szCs w:val="22"/>
          <w:lang w:val="fr-FR"/>
        </w:rPr>
        <w:t xml:space="preserve"> </w:t>
      </w:r>
      <w:r w:rsidR="00D57395" w:rsidRPr="001961B1">
        <w:rPr>
          <w:rFonts w:asciiTheme="minorHAnsi" w:hAnsiTheme="minorHAnsi" w:cstheme="minorHAnsi"/>
          <w:sz w:val="22"/>
          <w:szCs w:val="22"/>
          <w:lang w:val="fr-FR"/>
        </w:rPr>
        <w:t xml:space="preserve">mesures </w:t>
      </w:r>
      <w:r w:rsidR="00BD1647" w:rsidRPr="001961B1">
        <w:rPr>
          <w:rFonts w:asciiTheme="minorHAnsi" w:hAnsiTheme="minorHAnsi" w:cstheme="minorHAnsi"/>
          <w:sz w:val="22"/>
          <w:szCs w:val="22"/>
          <w:lang w:val="fr-FR"/>
        </w:rPr>
        <w:t xml:space="preserve">prises pour </w:t>
      </w:r>
      <w:r w:rsidR="00D57395" w:rsidRPr="001961B1">
        <w:rPr>
          <w:rFonts w:asciiTheme="minorHAnsi" w:hAnsiTheme="minorHAnsi" w:cstheme="minorHAnsi"/>
          <w:sz w:val="22"/>
          <w:szCs w:val="22"/>
          <w:lang w:val="fr-FR"/>
        </w:rPr>
        <w:t>que l’utilisation de l’eau respecte les besoins écosystémiques des zones humides</w:t>
      </w:r>
      <w:r w:rsidR="00454A50" w:rsidRPr="001961B1">
        <w:rPr>
          <w:rFonts w:asciiTheme="minorHAnsi" w:hAnsiTheme="minorHAnsi" w:cstheme="minorHAnsi"/>
          <w:sz w:val="22"/>
          <w:szCs w:val="22"/>
          <w:lang w:val="fr-FR"/>
        </w:rPr>
        <w:t xml:space="preserve"> a légèrement augmenté</w:t>
      </w:r>
      <w:r w:rsidR="00D57395" w:rsidRPr="001961B1">
        <w:rPr>
          <w:rFonts w:asciiTheme="minorHAnsi" w:hAnsiTheme="minorHAnsi" w:cstheme="minorHAnsi"/>
          <w:sz w:val="22"/>
          <w:szCs w:val="22"/>
          <w:lang w:val="fr-FR"/>
        </w:rPr>
        <w:t xml:space="preserve">. Des progrès modestes ont été faits en vue </w:t>
      </w:r>
      <w:r w:rsidR="00D5460D" w:rsidRPr="001961B1">
        <w:rPr>
          <w:rFonts w:asciiTheme="minorHAnsi" w:hAnsiTheme="minorHAnsi" w:cstheme="minorHAnsi"/>
          <w:sz w:val="22"/>
          <w:szCs w:val="22"/>
          <w:lang w:val="fr-FR"/>
        </w:rPr>
        <w:t>de tenir compte de</w:t>
      </w:r>
      <w:r w:rsidR="00D57395" w:rsidRPr="001961B1">
        <w:rPr>
          <w:rFonts w:asciiTheme="minorHAnsi" w:hAnsiTheme="minorHAnsi" w:cstheme="minorHAnsi"/>
          <w:sz w:val="22"/>
          <w:szCs w:val="22"/>
          <w:lang w:val="fr-FR"/>
        </w:rPr>
        <w:t xml:space="preserve"> considérations relatives aux zones humides </w:t>
      </w:r>
      <w:r w:rsidR="00DE4682" w:rsidRPr="001961B1">
        <w:rPr>
          <w:rFonts w:asciiTheme="minorHAnsi" w:hAnsiTheme="minorHAnsi" w:cstheme="minorHAnsi"/>
          <w:sz w:val="22"/>
          <w:szCs w:val="22"/>
          <w:lang w:val="fr-FR"/>
        </w:rPr>
        <w:t xml:space="preserve">dans la gestion des ressources </w:t>
      </w:r>
      <w:r w:rsidR="00D5460D" w:rsidRPr="001961B1">
        <w:rPr>
          <w:rFonts w:asciiTheme="minorHAnsi" w:hAnsiTheme="minorHAnsi" w:cstheme="minorHAnsi"/>
          <w:sz w:val="22"/>
          <w:szCs w:val="22"/>
          <w:lang w:val="fr-FR"/>
        </w:rPr>
        <w:t xml:space="preserve">en </w:t>
      </w:r>
      <w:r w:rsidR="00DE4682" w:rsidRPr="001961B1">
        <w:rPr>
          <w:rFonts w:asciiTheme="minorHAnsi" w:hAnsiTheme="minorHAnsi" w:cstheme="minorHAnsi"/>
          <w:sz w:val="22"/>
          <w:szCs w:val="22"/>
          <w:lang w:val="fr-FR"/>
        </w:rPr>
        <w:t>eau et les plans d’économie d’eau</w:t>
      </w:r>
      <w:r w:rsidR="00D5460D" w:rsidRPr="001961B1">
        <w:rPr>
          <w:rFonts w:asciiTheme="minorHAnsi" w:hAnsiTheme="minorHAnsi" w:cstheme="minorHAnsi"/>
          <w:sz w:val="22"/>
          <w:szCs w:val="22"/>
          <w:lang w:val="fr-FR"/>
        </w:rPr>
        <w:t>,</w:t>
      </w:r>
      <w:r w:rsidR="00DE4682" w:rsidRPr="001961B1">
        <w:rPr>
          <w:rFonts w:asciiTheme="minorHAnsi" w:hAnsiTheme="minorHAnsi" w:cstheme="minorHAnsi"/>
          <w:sz w:val="22"/>
          <w:szCs w:val="22"/>
          <w:lang w:val="fr-FR"/>
        </w:rPr>
        <w:t xml:space="preserve"> ainsi que dans l’utilisation des évaluations des flux environnementaux. Les lignes directrices de la Convention sont de plus en plus utilisées et diffusées, et l’on note une augmentation notable </w:t>
      </w:r>
      <w:r w:rsidR="00D5460D" w:rsidRPr="001961B1">
        <w:rPr>
          <w:rFonts w:asciiTheme="minorHAnsi" w:hAnsiTheme="minorHAnsi" w:cstheme="minorHAnsi"/>
          <w:sz w:val="22"/>
          <w:szCs w:val="22"/>
          <w:lang w:val="fr-FR"/>
        </w:rPr>
        <w:t>des</w:t>
      </w:r>
      <w:r w:rsidR="00DE4682" w:rsidRPr="001961B1">
        <w:rPr>
          <w:rFonts w:asciiTheme="minorHAnsi" w:hAnsiTheme="minorHAnsi" w:cstheme="minorHAnsi"/>
          <w:sz w:val="22"/>
          <w:szCs w:val="22"/>
          <w:lang w:val="fr-FR"/>
        </w:rPr>
        <w:t xml:space="preserve"> interventions qui démontrent de bonnes pratiques en matière d’attribution et de gestion de l’eau.</w:t>
      </w:r>
    </w:p>
    <w:p w14:paraId="6E580E38" w14:textId="77777777" w:rsidR="00A338FF" w:rsidRPr="001961B1" w:rsidRDefault="00A338FF" w:rsidP="00CD3F6B">
      <w:pPr>
        <w:ind w:left="426" w:hanging="426"/>
        <w:rPr>
          <w:rFonts w:asciiTheme="minorHAnsi" w:hAnsiTheme="minorHAnsi" w:cstheme="minorHAnsi"/>
          <w:b/>
          <w:bCs/>
          <w:sz w:val="22"/>
          <w:szCs w:val="22"/>
          <w:lang w:val="fr-FR"/>
        </w:rPr>
      </w:pPr>
    </w:p>
    <w:tbl>
      <w:tblPr>
        <w:tblStyle w:val="TableGrid22"/>
        <w:tblW w:w="9356" w:type="dxa"/>
        <w:tblLook w:val="04A0" w:firstRow="1" w:lastRow="0" w:firstColumn="1" w:lastColumn="0" w:noHBand="0" w:noVBand="1"/>
      </w:tblPr>
      <w:tblGrid>
        <w:gridCol w:w="4429"/>
        <w:gridCol w:w="1130"/>
        <w:gridCol w:w="820"/>
        <w:gridCol w:w="820"/>
        <w:gridCol w:w="820"/>
        <w:gridCol w:w="1337"/>
      </w:tblGrid>
      <w:tr w:rsidR="00107172" w:rsidRPr="001961B1" w14:paraId="34A6A76B" w14:textId="77777777" w:rsidTr="00C3536E">
        <w:trPr>
          <w:cantSplit/>
        </w:trPr>
        <w:tc>
          <w:tcPr>
            <w:tcW w:w="0" w:type="auto"/>
            <w:vAlign w:val="center"/>
            <w:hideMark/>
          </w:tcPr>
          <w:p w14:paraId="79043DF2" w14:textId="05BF2510"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lastRenderedPageBreak/>
              <w:t>Indicat</w:t>
            </w:r>
            <w:r w:rsidR="00AD47A1"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hideMark/>
          </w:tcPr>
          <w:p w14:paraId="730A5979" w14:textId="04B6FEFA" w:rsidR="0007599D" w:rsidRPr="001961B1" w:rsidRDefault="00AD47A1"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hideMark/>
          </w:tcPr>
          <w:p w14:paraId="6F177EE0"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0" w:type="auto"/>
            <w:vAlign w:val="center"/>
            <w:hideMark/>
          </w:tcPr>
          <w:p w14:paraId="736B4465"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0" w:type="auto"/>
            <w:vAlign w:val="center"/>
            <w:hideMark/>
          </w:tcPr>
          <w:p w14:paraId="752BBB9E"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0" w:type="auto"/>
            <w:vAlign w:val="center"/>
            <w:hideMark/>
          </w:tcPr>
          <w:p w14:paraId="29C99004" w14:textId="45AB8372" w:rsidR="00107172" w:rsidRPr="001961B1" w:rsidRDefault="00EE117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w:t>
            </w:r>
            <w:r w:rsidR="00AD47A1" w:rsidRPr="001961B1">
              <w:rPr>
                <w:rFonts w:asciiTheme="minorHAnsi" w:eastAsia="Aptos" w:hAnsiTheme="minorHAnsi" w:cstheme="minorHAnsi"/>
                <w:b/>
                <w:bCs/>
                <w:sz w:val="22"/>
                <w:szCs w:val="22"/>
                <w:lang w:val="fr-FR"/>
              </w:rPr>
              <w:t>endance</w:t>
            </w:r>
          </w:p>
        </w:tc>
      </w:tr>
      <w:tr w:rsidR="00107172" w:rsidRPr="001961B1" w14:paraId="1B2E34B6" w14:textId="77777777" w:rsidTr="00C3536E">
        <w:trPr>
          <w:cantSplit/>
        </w:trPr>
        <w:tc>
          <w:tcPr>
            <w:tcW w:w="0" w:type="auto"/>
          </w:tcPr>
          <w:p w14:paraId="78719606" w14:textId="7DE9D074"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548B7" w:rsidRPr="001961B1">
              <w:rPr>
                <w:rFonts w:asciiTheme="minorHAnsi" w:eastAsia="Aptos" w:hAnsiTheme="minorHAnsi" w:cstheme="minorHAnsi"/>
                <w:sz w:val="22"/>
                <w:szCs w:val="22"/>
                <w:lang w:val="fr-FR"/>
              </w:rPr>
              <w:t>des Parties qui ont inscrit les questions relatives aux zones humides dans leurs stratégies et processus de planification nationaux tels que les plans de gestion des ressources en eau et d’économie d’eau</w:t>
            </w:r>
            <w:r w:rsidRPr="001961B1">
              <w:rPr>
                <w:rFonts w:asciiTheme="minorHAnsi" w:eastAsia="Aptos" w:hAnsiTheme="minorHAnsi" w:cstheme="minorHAnsi"/>
                <w:sz w:val="22"/>
                <w:szCs w:val="22"/>
                <w:lang w:val="fr-FR"/>
              </w:rPr>
              <w:t>.</w:t>
            </w:r>
          </w:p>
        </w:tc>
        <w:tc>
          <w:tcPr>
            <w:tcW w:w="0" w:type="auto"/>
          </w:tcPr>
          <w:p w14:paraId="55EE18B6" w14:textId="3510B834" w:rsidR="00107172" w:rsidRPr="001961B1" w:rsidRDefault="00107172" w:rsidP="00195D2D">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70</w:t>
            </w:r>
            <w:r w:rsidR="00DE4682"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2A36D689" w14:textId="5D77649A" w:rsidR="00107172" w:rsidRPr="001961B1" w:rsidRDefault="00107172" w:rsidP="00195D2D">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59</w:t>
            </w:r>
            <w:r w:rsidR="00DE4682"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14D10623" w14:textId="485B4D40" w:rsidR="00107172" w:rsidRPr="001961B1" w:rsidRDefault="00107172" w:rsidP="00195D2D">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66</w:t>
            </w:r>
            <w:r w:rsidR="00DE4682"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31E52151" w14:textId="71AF59E7" w:rsidR="00107172" w:rsidRPr="001961B1" w:rsidRDefault="00107172" w:rsidP="00195D2D">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71</w:t>
            </w:r>
            <w:r w:rsidR="00DE4682"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3E3BE788" w14:textId="68D1F12A" w:rsidR="00107172" w:rsidRPr="001961B1" w:rsidRDefault="00C9076E" w:rsidP="00CD3F6B">
            <w:pPr>
              <w:rPr>
                <w:rFonts w:asciiTheme="minorHAnsi" w:eastAsia="Aptos" w:hAnsiTheme="minorHAnsi" w:cstheme="minorHAnsi"/>
                <w:noProof/>
                <w:sz w:val="22"/>
                <w:szCs w:val="22"/>
                <w:lang w:val="fr-FR"/>
              </w:rPr>
            </w:pPr>
            <w:r w:rsidRPr="001961B1">
              <w:rPr>
                <w:rFonts w:asciiTheme="minorHAnsi" w:hAnsiTheme="minorHAnsi" w:cstheme="minorHAnsi"/>
                <w:noProof/>
                <w:sz w:val="22"/>
                <w:szCs w:val="22"/>
                <w:lang w:val="fr-FR" w:eastAsia="en-CA"/>
              </w:rPr>
              <w:drawing>
                <wp:inline distT="0" distB="0" distL="0" distR="0" wp14:anchorId="414FC3F6" wp14:editId="2C1D812C">
                  <wp:extent cx="712200" cy="432000"/>
                  <wp:effectExtent l="0" t="0" r="0" b="0"/>
                  <wp:docPr id="661109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4A18DF2C" w14:textId="77777777" w:rsidR="00D1463B" w:rsidRPr="001961B1" w:rsidRDefault="00D1463B" w:rsidP="00CD3F6B">
      <w:pPr>
        <w:rPr>
          <w:rFonts w:asciiTheme="minorHAnsi" w:hAnsiTheme="minorHAnsi" w:cstheme="minorHAnsi"/>
          <w:i/>
          <w:iCs/>
          <w:sz w:val="22"/>
          <w:szCs w:val="22"/>
          <w:u w:val="single"/>
          <w:lang w:val="fr-FR"/>
        </w:rPr>
      </w:pPr>
    </w:p>
    <w:p w14:paraId="11F00F2A" w14:textId="71BD468B" w:rsidR="00785AB8" w:rsidRPr="001961B1" w:rsidRDefault="005548B7"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p>
    <w:p w14:paraId="19FD2873" w14:textId="77777777" w:rsidR="00D1463B" w:rsidRPr="001961B1" w:rsidRDefault="00D1463B" w:rsidP="00D1463B">
      <w:pPr>
        <w:keepNext/>
        <w:ind w:left="426" w:hanging="426"/>
        <w:rPr>
          <w:rFonts w:asciiTheme="minorHAnsi" w:hAnsiTheme="minorHAnsi" w:cstheme="minorHAnsi"/>
          <w:sz w:val="22"/>
          <w:szCs w:val="22"/>
          <w:lang w:val="fr-FR"/>
        </w:rPr>
      </w:pPr>
    </w:p>
    <w:p w14:paraId="2440FFDB" w14:textId="4AAB755C" w:rsidR="004B3B2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16.</w:t>
      </w:r>
      <w:r w:rsidRPr="001961B1">
        <w:rPr>
          <w:rFonts w:asciiTheme="minorHAnsi" w:hAnsiTheme="minorHAnsi" w:cstheme="minorHAnsi"/>
          <w:sz w:val="22"/>
          <w:szCs w:val="22"/>
          <w:lang w:val="fr-FR"/>
        </w:rPr>
        <w:tab/>
      </w:r>
      <w:r w:rsidR="00A12AED" w:rsidRPr="001961B1">
        <w:rPr>
          <w:rFonts w:asciiTheme="minorHAnsi" w:hAnsiTheme="minorHAnsi" w:cstheme="minorHAnsi"/>
          <w:sz w:val="22"/>
          <w:szCs w:val="22"/>
          <w:lang w:val="fr-FR"/>
        </w:rPr>
        <w:t>Dans le</w:t>
      </w:r>
      <w:r w:rsidR="00EC5D7C" w:rsidRPr="001961B1">
        <w:rPr>
          <w:rFonts w:asciiTheme="minorHAnsi" w:hAnsiTheme="minorHAnsi" w:cstheme="minorHAnsi"/>
          <w:sz w:val="22"/>
          <w:szCs w:val="22"/>
          <w:lang w:val="fr-FR"/>
        </w:rPr>
        <w:t>ur</w:t>
      </w:r>
      <w:r w:rsidR="00A12AED" w:rsidRPr="001961B1">
        <w:rPr>
          <w:rFonts w:asciiTheme="minorHAnsi" w:hAnsiTheme="minorHAnsi" w:cstheme="minorHAnsi"/>
          <w:sz w:val="22"/>
          <w:szCs w:val="22"/>
          <w:lang w:val="fr-FR"/>
        </w:rPr>
        <w:t xml:space="preserve"> rapport à la COP15, 33 % des Parties contractantes signalent avoir utilisé</w:t>
      </w:r>
      <w:r w:rsidR="00EC5D7C" w:rsidRPr="001961B1">
        <w:rPr>
          <w:rFonts w:asciiTheme="minorHAnsi" w:hAnsiTheme="minorHAnsi" w:cstheme="minorHAnsi"/>
          <w:sz w:val="22"/>
          <w:szCs w:val="22"/>
          <w:lang w:val="fr-FR"/>
        </w:rPr>
        <w:t>, dans leurs processus décisionnels,</w:t>
      </w:r>
      <w:r w:rsidR="00A12AED" w:rsidRPr="001961B1">
        <w:rPr>
          <w:rFonts w:asciiTheme="minorHAnsi" w:hAnsiTheme="minorHAnsi" w:cstheme="minorHAnsi"/>
          <w:sz w:val="22"/>
          <w:szCs w:val="22"/>
          <w:lang w:val="fr-FR"/>
        </w:rPr>
        <w:t xml:space="preserve"> les lignes directrices de la Convention sur l’attribution et la gestion de l’eau pour maintenir les fonctions écologiques des zones humides et 38 % signalent une utilisation partielle. Ces chiffres sont beaucoup plus faibles en Afrique et en Océanie que dans les autres régions. Plus de 80 % des Parties ont porté ces lignes directrices à l’attention de quelques ministères et services compétents au moins.</w:t>
      </w:r>
      <w:r w:rsidR="004B3B2E" w:rsidRPr="001961B1">
        <w:rPr>
          <w:rFonts w:asciiTheme="minorHAnsi" w:hAnsiTheme="minorHAnsi" w:cstheme="minorHAnsi"/>
          <w:sz w:val="22"/>
          <w:szCs w:val="22"/>
          <w:lang w:val="fr-FR"/>
        </w:rPr>
        <w:t xml:space="preserve"> </w:t>
      </w:r>
    </w:p>
    <w:p w14:paraId="58A88D17" w14:textId="77777777" w:rsidR="009904B3" w:rsidRPr="001961B1" w:rsidRDefault="009904B3" w:rsidP="000E3338">
      <w:pPr>
        <w:ind w:left="567" w:hanging="567"/>
        <w:rPr>
          <w:rFonts w:asciiTheme="minorHAnsi" w:hAnsiTheme="minorHAnsi" w:cstheme="minorHAnsi"/>
          <w:sz w:val="22"/>
          <w:szCs w:val="22"/>
          <w:lang w:val="fr-FR"/>
        </w:rPr>
      </w:pPr>
    </w:p>
    <w:p w14:paraId="1728B730" w14:textId="532B0C25" w:rsidR="00CC156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17.</w:t>
      </w:r>
      <w:r w:rsidRPr="001961B1">
        <w:rPr>
          <w:rFonts w:asciiTheme="minorHAnsi" w:hAnsiTheme="minorHAnsi" w:cstheme="minorHAnsi"/>
          <w:sz w:val="22"/>
          <w:szCs w:val="22"/>
          <w:lang w:val="fr-FR"/>
        </w:rPr>
        <w:tab/>
      </w:r>
      <w:r w:rsidR="00A12AED" w:rsidRPr="001961B1">
        <w:rPr>
          <w:rFonts w:asciiTheme="minorHAnsi" w:hAnsiTheme="minorHAnsi" w:cstheme="minorHAnsi"/>
          <w:sz w:val="22"/>
          <w:szCs w:val="22"/>
          <w:lang w:val="fr-FR"/>
        </w:rPr>
        <w:t xml:space="preserve">Trente pour cent </w:t>
      </w:r>
      <w:r w:rsidR="00BC40A2" w:rsidRPr="001961B1">
        <w:rPr>
          <w:rFonts w:asciiTheme="minorHAnsi" w:hAnsiTheme="minorHAnsi" w:cstheme="minorHAnsi"/>
          <w:sz w:val="22"/>
          <w:szCs w:val="22"/>
          <w:lang w:val="fr-FR"/>
        </w:rPr>
        <w:t xml:space="preserve">(30 %) </w:t>
      </w:r>
      <w:r w:rsidR="00A12AED" w:rsidRPr="001961B1">
        <w:rPr>
          <w:rFonts w:asciiTheme="minorHAnsi" w:hAnsiTheme="minorHAnsi" w:cstheme="minorHAnsi"/>
          <w:sz w:val="22"/>
          <w:szCs w:val="22"/>
          <w:lang w:val="fr-FR"/>
        </w:rPr>
        <w:t xml:space="preserve">des Parties contractantes signalent avoir entrepris des évaluations des flux environnementaux dans le </w:t>
      </w:r>
      <w:r w:rsidR="000B34B5" w:rsidRPr="001961B1">
        <w:rPr>
          <w:rFonts w:asciiTheme="minorHAnsi" w:hAnsiTheme="minorHAnsi" w:cstheme="minorHAnsi"/>
          <w:sz w:val="22"/>
          <w:szCs w:val="22"/>
          <w:lang w:val="fr-FR"/>
        </w:rPr>
        <w:t>contexte</w:t>
      </w:r>
      <w:r w:rsidR="00A12AED" w:rsidRPr="001961B1">
        <w:rPr>
          <w:rFonts w:asciiTheme="minorHAnsi" w:hAnsiTheme="minorHAnsi" w:cstheme="minorHAnsi"/>
          <w:sz w:val="22"/>
          <w:szCs w:val="22"/>
          <w:lang w:val="fr-FR"/>
        </w:rPr>
        <w:t xml:space="preserve"> de l’atténuation des impacts sur les caractéristiques écologiques des zones humides, et 45 % </w:t>
      </w:r>
      <w:r w:rsidR="000B34B5" w:rsidRPr="001961B1">
        <w:rPr>
          <w:rFonts w:asciiTheme="minorHAnsi" w:hAnsiTheme="minorHAnsi" w:cstheme="minorHAnsi"/>
          <w:sz w:val="22"/>
          <w:szCs w:val="22"/>
          <w:lang w:val="fr-FR"/>
        </w:rPr>
        <w:t>d’autres Parties</w:t>
      </w:r>
      <w:r w:rsidR="00A12AED" w:rsidRPr="001961B1">
        <w:rPr>
          <w:rFonts w:asciiTheme="minorHAnsi" w:hAnsiTheme="minorHAnsi" w:cstheme="minorHAnsi"/>
          <w:sz w:val="22"/>
          <w:szCs w:val="22"/>
          <w:lang w:val="fr-FR"/>
        </w:rPr>
        <w:t xml:space="preserve"> l’ont fait de manière partielle, une augmentation modeste par rapport aux trois périodes triennales passées.</w:t>
      </w:r>
      <w:r w:rsidR="00311587" w:rsidRPr="001961B1">
        <w:rPr>
          <w:rFonts w:asciiTheme="minorHAnsi" w:hAnsiTheme="minorHAnsi" w:cstheme="minorHAnsi"/>
          <w:sz w:val="22"/>
          <w:szCs w:val="22"/>
          <w:lang w:val="fr-FR"/>
        </w:rPr>
        <w:t xml:space="preserve"> </w:t>
      </w:r>
    </w:p>
    <w:p w14:paraId="231D6707" w14:textId="77777777" w:rsidR="009904B3" w:rsidRPr="001961B1" w:rsidRDefault="009904B3" w:rsidP="000E3338">
      <w:pPr>
        <w:ind w:left="567" w:hanging="567"/>
        <w:rPr>
          <w:rFonts w:asciiTheme="minorHAnsi" w:hAnsiTheme="minorHAnsi" w:cstheme="minorHAnsi"/>
          <w:sz w:val="22"/>
          <w:szCs w:val="22"/>
          <w:lang w:val="fr-FR"/>
        </w:rPr>
      </w:pPr>
    </w:p>
    <w:p w14:paraId="6B0955D3" w14:textId="05664976" w:rsidR="00785AB8"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18.</w:t>
      </w:r>
      <w:r w:rsidRPr="001961B1">
        <w:rPr>
          <w:rFonts w:asciiTheme="minorHAnsi" w:hAnsiTheme="minorHAnsi" w:cstheme="minorHAnsi"/>
          <w:sz w:val="22"/>
          <w:szCs w:val="22"/>
          <w:lang w:val="fr-FR"/>
        </w:rPr>
        <w:tab/>
      </w:r>
      <w:r w:rsidR="00A12AED" w:rsidRPr="001961B1">
        <w:rPr>
          <w:rFonts w:asciiTheme="minorHAnsi" w:hAnsiTheme="minorHAnsi" w:cstheme="minorHAnsi"/>
          <w:sz w:val="22"/>
          <w:szCs w:val="22"/>
          <w:lang w:val="fr-FR"/>
        </w:rPr>
        <w:t xml:space="preserve">On note une augmentation marquée </w:t>
      </w:r>
      <w:r w:rsidR="006D2F61" w:rsidRPr="001961B1">
        <w:rPr>
          <w:rFonts w:asciiTheme="minorHAnsi" w:hAnsiTheme="minorHAnsi" w:cstheme="minorHAnsi"/>
          <w:sz w:val="22"/>
          <w:szCs w:val="22"/>
          <w:lang w:val="fr-FR"/>
        </w:rPr>
        <w:t>des projets qui démontrent de bonnes pratiques en matière d’attribution et de gestion de l’eau</w:t>
      </w:r>
      <w:r w:rsidR="00B7564A" w:rsidRPr="001961B1">
        <w:rPr>
          <w:rFonts w:asciiTheme="minorHAnsi" w:hAnsiTheme="minorHAnsi" w:cstheme="minorHAnsi"/>
          <w:sz w:val="22"/>
          <w:szCs w:val="22"/>
          <w:lang w:val="fr-FR"/>
        </w:rPr>
        <w:t> : c’était le cas pour</w:t>
      </w:r>
      <w:r w:rsidR="006D2F61" w:rsidRPr="001961B1">
        <w:rPr>
          <w:rFonts w:asciiTheme="minorHAnsi" w:hAnsiTheme="minorHAnsi" w:cstheme="minorHAnsi"/>
          <w:sz w:val="22"/>
          <w:szCs w:val="22"/>
          <w:lang w:val="fr-FR"/>
        </w:rPr>
        <w:t xml:space="preserve"> 44 % des Parties contractantes à la COP13 et </w:t>
      </w:r>
      <w:r w:rsidR="00B7564A" w:rsidRPr="001961B1">
        <w:rPr>
          <w:rFonts w:asciiTheme="minorHAnsi" w:hAnsiTheme="minorHAnsi" w:cstheme="minorHAnsi"/>
          <w:sz w:val="22"/>
          <w:szCs w:val="22"/>
          <w:lang w:val="fr-FR"/>
        </w:rPr>
        <w:t xml:space="preserve">c’est le cas pour </w:t>
      </w:r>
      <w:r w:rsidR="006D2F61" w:rsidRPr="001961B1">
        <w:rPr>
          <w:rFonts w:asciiTheme="minorHAnsi" w:hAnsiTheme="minorHAnsi" w:cstheme="minorHAnsi"/>
          <w:sz w:val="22"/>
          <w:szCs w:val="22"/>
          <w:lang w:val="fr-FR"/>
        </w:rPr>
        <w:t xml:space="preserve">65 % des Parties à la COP15. Les zones humides artificielles sont aussi de plus en plus utilisées pour le traitement des eaux usées, mais l’adoption de telles mesures varie selon les pays et dépend de facteurs tels que le coût, </w:t>
      </w:r>
      <w:r w:rsidR="0063449F" w:rsidRPr="001961B1">
        <w:rPr>
          <w:rFonts w:asciiTheme="minorHAnsi" w:hAnsiTheme="minorHAnsi" w:cstheme="minorHAnsi"/>
          <w:sz w:val="22"/>
          <w:szCs w:val="22"/>
          <w:lang w:val="fr-FR"/>
        </w:rPr>
        <w:t xml:space="preserve">les </w:t>
      </w:r>
      <w:r w:rsidR="00B7564A" w:rsidRPr="001961B1">
        <w:rPr>
          <w:rFonts w:asciiTheme="minorHAnsi" w:hAnsiTheme="minorHAnsi" w:cstheme="minorHAnsi"/>
          <w:sz w:val="22"/>
          <w:szCs w:val="22"/>
          <w:lang w:val="fr-FR"/>
        </w:rPr>
        <w:t>besoins en matière</w:t>
      </w:r>
      <w:r w:rsidR="0063449F" w:rsidRPr="001961B1">
        <w:rPr>
          <w:rFonts w:asciiTheme="minorHAnsi" w:hAnsiTheme="minorHAnsi" w:cstheme="minorHAnsi"/>
          <w:sz w:val="22"/>
          <w:szCs w:val="22"/>
          <w:lang w:val="fr-FR"/>
        </w:rPr>
        <w:t xml:space="preserve"> d’infrastructure et la faisabilité.</w:t>
      </w:r>
      <w:r w:rsidR="00785AB8" w:rsidRPr="001961B1">
        <w:rPr>
          <w:rFonts w:asciiTheme="minorHAnsi" w:hAnsiTheme="minorHAnsi" w:cstheme="minorHAnsi"/>
          <w:sz w:val="22"/>
          <w:szCs w:val="22"/>
          <w:lang w:val="fr-FR"/>
        </w:rPr>
        <w:t xml:space="preserve"> </w:t>
      </w:r>
    </w:p>
    <w:p w14:paraId="06476143" w14:textId="77777777" w:rsidR="00785AB8" w:rsidRPr="001961B1" w:rsidRDefault="00785AB8" w:rsidP="000E3338">
      <w:pPr>
        <w:ind w:left="567" w:hanging="567"/>
        <w:rPr>
          <w:rFonts w:asciiTheme="minorHAnsi" w:hAnsiTheme="minorHAnsi" w:cstheme="minorHAnsi"/>
          <w:sz w:val="22"/>
          <w:szCs w:val="22"/>
          <w:lang w:val="fr-FR"/>
        </w:rPr>
      </w:pPr>
    </w:p>
    <w:p w14:paraId="35F8C5F0" w14:textId="51BB53AB" w:rsidR="001C426D"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19.</w:t>
      </w:r>
      <w:r w:rsidRPr="001961B1">
        <w:rPr>
          <w:rFonts w:asciiTheme="minorHAnsi" w:hAnsiTheme="minorHAnsi" w:cstheme="minorHAnsi"/>
          <w:sz w:val="22"/>
          <w:szCs w:val="22"/>
          <w:lang w:val="fr-FR"/>
        </w:rPr>
        <w:tab/>
      </w:r>
      <w:r w:rsidR="0063449F" w:rsidRPr="001961B1">
        <w:rPr>
          <w:rFonts w:asciiTheme="minorHAnsi" w:hAnsiTheme="minorHAnsi" w:cstheme="minorHAnsi"/>
          <w:sz w:val="22"/>
          <w:szCs w:val="22"/>
          <w:lang w:val="fr-FR"/>
        </w:rPr>
        <w:t>Les capacités techniques limitées, les contraintes financières et la coordination intersectorielle</w:t>
      </w:r>
      <w:r w:rsidR="00CB6BF3" w:rsidRPr="001961B1">
        <w:rPr>
          <w:rFonts w:asciiTheme="minorHAnsi" w:hAnsiTheme="minorHAnsi" w:cstheme="minorHAnsi"/>
          <w:sz w:val="22"/>
          <w:szCs w:val="22"/>
          <w:lang w:val="fr-FR"/>
        </w:rPr>
        <w:t xml:space="preserve"> insuffisante sont les obstacles identifiés</w:t>
      </w:r>
      <w:r w:rsidR="0063449F" w:rsidRPr="001961B1">
        <w:rPr>
          <w:rFonts w:asciiTheme="minorHAnsi" w:hAnsiTheme="minorHAnsi" w:cstheme="minorHAnsi"/>
          <w:sz w:val="22"/>
          <w:szCs w:val="22"/>
          <w:lang w:val="fr-FR"/>
        </w:rPr>
        <w:t xml:space="preserve">. Les Parties </w:t>
      </w:r>
      <w:r w:rsidR="00CB6BF3" w:rsidRPr="001961B1">
        <w:rPr>
          <w:rFonts w:asciiTheme="minorHAnsi" w:hAnsiTheme="minorHAnsi" w:cstheme="minorHAnsi"/>
          <w:sz w:val="22"/>
          <w:szCs w:val="22"/>
          <w:lang w:val="fr-FR"/>
        </w:rPr>
        <w:t xml:space="preserve">signalent </w:t>
      </w:r>
      <w:r w:rsidR="00CD279B" w:rsidRPr="001961B1">
        <w:rPr>
          <w:rFonts w:asciiTheme="minorHAnsi" w:hAnsiTheme="minorHAnsi" w:cstheme="minorHAnsi"/>
          <w:sz w:val="22"/>
          <w:szCs w:val="22"/>
          <w:lang w:val="fr-FR"/>
        </w:rPr>
        <w:t>la nécessité de disposer d’un</w:t>
      </w:r>
      <w:r w:rsidR="0063449F" w:rsidRPr="001961B1">
        <w:rPr>
          <w:rFonts w:asciiTheme="minorHAnsi" w:hAnsiTheme="minorHAnsi" w:cstheme="minorHAnsi"/>
          <w:sz w:val="22"/>
          <w:szCs w:val="22"/>
          <w:lang w:val="fr-FR"/>
        </w:rPr>
        <w:t xml:space="preserve"> soutien financier </w:t>
      </w:r>
      <w:r w:rsidR="00CD279B" w:rsidRPr="001961B1">
        <w:rPr>
          <w:rFonts w:asciiTheme="minorHAnsi" w:hAnsiTheme="minorHAnsi" w:cstheme="minorHAnsi"/>
          <w:sz w:val="22"/>
          <w:szCs w:val="22"/>
          <w:lang w:val="fr-FR"/>
        </w:rPr>
        <w:t xml:space="preserve">supplémentaire </w:t>
      </w:r>
      <w:r w:rsidR="0063449F" w:rsidRPr="001961B1">
        <w:rPr>
          <w:rFonts w:asciiTheme="minorHAnsi" w:hAnsiTheme="minorHAnsi" w:cstheme="minorHAnsi"/>
          <w:sz w:val="22"/>
          <w:szCs w:val="22"/>
          <w:lang w:val="fr-FR"/>
        </w:rPr>
        <w:t xml:space="preserve">et de renforcer les capacités de manière ciblée, par exemple </w:t>
      </w:r>
      <w:r w:rsidR="008F0567" w:rsidRPr="001961B1">
        <w:rPr>
          <w:rFonts w:asciiTheme="minorHAnsi" w:hAnsiTheme="minorHAnsi" w:cstheme="minorHAnsi"/>
          <w:sz w:val="22"/>
          <w:szCs w:val="22"/>
          <w:lang w:val="fr-FR"/>
        </w:rPr>
        <w:t>pour les</w:t>
      </w:r>
      <w:r w:rsidR="0063449F" w:rsidRPr="001961B1">
        <w:rPr>
          <w:rFonts w:asciiTheme="minorHAnsi" w:hAnsiTheme="minorHAnsi" w:cstheme="minorHAnsi"/>
          <w:sz w:val="22"/>
          <w:szCs w:val="22"/>
          <w:lang w:val="fr-FR"/>
        </w:rPr>
        <w:t xml:space="preserve"> évaluations des flux environnementaux et </w:t>
      </w:r>
      <w:r w:rsidR="008F0567" w:rsidRPr="001961B1">
        <w:rPr>
          <w:rFonts w:asciiTheme="minorHAnsi" w:hAnsiTheme="minorHAnsi" w:cstheme="minorHAnsi"/>
          <w:sz w:val="22"/>
          <w:szCs w:val="22"/>
          <w:lang w:val="fr-FR"/>
        </w:rPr>
        <w:t>l</w:t>
      </w:r>
      <w:r w:rsidR="0063449F" w:rsidRPr="001961B1">
        <w:rPr>
          <w:rFonts w:asciiTheme="minorHAnsi" w:hAnsiTheme="minorHAnsi" w:cstheme="minorHAnsi"/>
          <w:sz w:val="22"/>
          <w:szCs w:val="22"/>
          <w:lang w:val="fr-FR"/>
        </w:rPr>
        <w:t xml:space="preserve">es zones humides artificielles. Plusieurs Parties contractantes </w:t>
      </w:r>
      <w:r w:rsidR="008F0567" w:rsidRPr="001961B1">
        <w:rPr>
          <w:rFonts w:asciiTheme="minorHAnsi" w:hAnsiTheme="minorHAnsi" w:cstheme="minorHAnsi"/>
          <w:sz w:val="22"/>
          <w:szCs w:val="22"/>
          <w:lang w:val="fr-FR"/>
        </w:rPr>
        <w:t>notent</w:t>
      </w:r>
      <w:r w:rsidR="0063449F" w:rsidRPr="001961B1">
        <w:rPr>
          <w:rFonts w:asciiTheme="minorHAnsi" w:hAnsiTheme="minorHAnsi" w:cstheme="minorHAnsi"/>
          <w:sz w:val="22"/>
          <w:szCs w:val="22"/>
          <w:lang w:val="fr-FR"/>
        </w:rPr>
        <w:t xml:space="preserve"> que les lignes directrices existantes ne sont pas appliquées de manière cohérente au niveau local et </w:t>
      </w:r>
      <w:r w:rsidR="008F0567" w:rsidRPr="001961B1">
        <w:rPr>
          <w:rFonts w:asciiTheme="minorHAnsi" w:hAnsiTheme="minorHAnsi" w:cstheme="minorHAnsi"/>
          <w:sz w:val="22"/>
          <w:szCs w:val="22"/>
          <w:lang w:val="fr-FR"/>
        </w:rPr>
        <w:t>estiment nécessaire</w:t>
      </w:r>
      <w:r w:rsidR="0063449F" w:rsidRPr="001961B1">
        <w:rPr>
          <w:rFonts w:asciiTheme="minorHAnsi" w:hAnsiTheme="minorHAnsi" w:cstheme="minorHAnsi"/>
          <w:sz w:val="22"/>
          <w:szCs w:val="22"/>
          <w:lang w:val="fr-FR"/>
        </w:rPr>
        <w:t xml:space="preserve"> de développer les systèmes de </w:t>
      </w:r>
      <w:r w:rsidR="008F0567" w:rsidRPr="001961B1">
        <w:rPr>
          <w:rFonts w:asciiTheme="minorHAnsi" w:hAnsiTheme="minorHAnsi" w:cstheme="minorHAnsi"/>
          <w:sz w:val="22"/>
          <w:szCs w:val="22"/>
          <w:lang w:val="fr-FR"/>
        </w:rPr>
        <w:t>suivi</w:t>
      </w:r>
      <w:r w:rsidR="0063449F" w:rsidRPr="001961B1">
        <w:rPr>
          <w:rFonts w:asciiTheme="minorHAnsi" w:hAnsiTheme="minorHAnsi" w:cstheme="minorHAnsi"/>
          <w:sz w:val="22"/>
          <w:szCs w:val="22"/>
          <w:lang w:val="fr-FR"/>
        </w:rPr>
        <w:t xml:space="preserve"> de l’application des politiques sur le terrain.</w:t>
      </w:r>
      <w:r w:rsidR="004223E7" w:rsidRPr="001961B1">
        <w:rPr>
          <w:rFonts w:asciiTheme="minorHAnsi" w:hAnsiTheme="minorHAnsi" w:cstheme="minorHAnsi"/>
          <w:sz w:val="22"/>
          <w:szCs w:val="22"/>
          <w:lang w:val="fr-FR"/>
        </w:rPr>
        <w:t xml:space="preserve"> </w:t>
      </w:r>
    </w:p>
    <w:p w14:paraId="5213F829" w14:textId="03B47BB5" w:rsidR="0012795C" w:rsidRPr="001961B1" w:rsidRDefault="0012795C" w:rsidP="00CD3F6B">
      <w:pPr>
        <w:rPr>
          <w:rFonts w:asciiTheme="minorHAnsi" w:hAnsiTheme="minorHAnsi" w:cstheme="minorHAnsi"/>
          <w:bCs/>
          <w:sz w:val="22"/>
          <w:szCs w:val="22"/>
          <w:lang w:val="fr-FR" w:eastAsia="fr-FR"/>
        </w:rPr>
      </w:pPr>
    </w:p>
    <w:p w14:paraId="3138AB2E" w14:textId="77777777" w:rsidR="003E56FD" w:rsidRPr="001961B1" w:rsidRDefault="003E56FD" w:rsidP="00CD3F6B">
      <w:pPr>
        <w:rPr>
          <w:rFonts w:asciiTheme="minorHAnsi" w:hAnsiTheme="minorHAnsi" w:cstheme="minorHAnsi"/>
          <w:bCs/>
          <w:sz w:val="22"/>
          <w:szCs w:val="22"/>
          <w:lang w:val="fr-FR" w:eastAsia="fr-FR"/>
        </w:rPr>
      </w:pPr>
    </w:p>
    <w:tbl>
      <w:tblPr>
        <w:tblStyle w:val="TableGrid16"/>
        <w:tblW w:w="9356" w:type="dxa"/>
        <w:tblLook w:val="04A0" w:firstRow="1" w:lastRow="0" w:firstColumn="1" w:lastColumn="0" w:noHBand="0" w:noVBand="1"/>
      </w:tblPr>
      <w:tblGrid>
        <w:gridCol w:w="9356"/>
      </w:tblGrid>
      <w:tr w:rsidR="00BB3D72" w:rsidRPr="001961B1" w14:paraId="43498D06" w14:textId="77777777" w:rsidTr="00C3536E">
        <w:tc>
          <w:tcPr>
            <w:tcW w:w="0" w:type="auto"/>
            <w:vAlign w:val="center"/>
          </w:tcPr>
          <w:p w14:paraId="5C5E8C49" w14:textId="1F4B2279" w:rsidR="00647E2C" w:rsidRPr="001961B1" w:rsidRDefault="00BF56A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BB3D72" w:rsidRPr="001961B1">
              <w:rPr>
                <w:rFonts w:asciiTheme="minorHAnsi" w:hAnsiTheme="minorHAnsi" w:cstheme="minorHAnsi"/>
                <w:b/>
                <w:sz w:val="22"/>
                <w:szCs w:val="22"/>
                <w:lang w:val="fr-FR" w:eastAsia="fr-FR"/>
              </w:rPr>
              <w:t xml:space="preserve"> 3. </w:t>
            </w:r>
            <w:r w:rsidRPr="001961B1">
              <w:rPr>
                <w:rFonts w:asciiTheme="minorHAnsi" w:hAnsiTheme="minorHAnsi" w:cstheme="minorHAnsi"/>
                <w:b/>
                <w:sz w:val="22"/>
                <w:szCs w:val="22"/>
                <w:lang w:val="fr-FR" w:eastAsia="fr-FR"/>
              </w:rPr>
              <w:t>Les secteurs public et privé ont redoublé d’efforts pour appliquer des directives et bonnes pratiques d’utilisation rationnelle de l’eau et des zones humides</w:t>
            </w:r>
            <w:r w:rsidR="00BB3D72" w:rsidRPr="001961B1">
              <w:rPr>
                <w:rFonts w:asciiTheme="minorHAnsi" w:hAnsiTheme="minorHAnsi" w:cstheme="minorHAnsi"/>
                <w:b/>
                <w:sz w:val="22"/>
                <w:szCs w:val="22"/>
                <w:lang w:val="fr-FR" w:eastAsia="fr-FR"/>
              </w:rPr>
              <w:t xml:space="preserve">. </w:t>
            </w:r>
          </w:p>
          <w:p w14:paraId="08DDE291" w14:textId="07F3B0B5" w:rsidR="00BB3D72" w:rsidRPr="001961B1" w:rsidRDefault="00CE7B4B"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w:t>
            </w:r>
            <w:r w:rsidR="00AE4C3C" w:rsidRPr="001961B1">
              <w:rPr>
                <w:rFonts w:asciiTheme="minorHAnsi" w:hAnsiTheme="minorHAnsi" w:cstheme="minorHAnsi"/>
                <w:bCs/>
                <w:sz w:val="22"/>
                <w:szCs w:val="22"/>
                <w:lang w:val="fr-FR" w:eastAsia="fr-FR"/>
              </w:rPr>
              <w:t>tion aux cibles</w:t>
            </w:r>
            <w:r w:rsidR="00BB3D72" w:rsidRPr="001961B1">
              <w:rPr>
                <w:rFonts w:asciiTheme="minorHAnsi" w:hAnsiTheme="minorHAnsi" w:cstheme="minorHAnsi"/>
                <w:bCs/>
                <w:sz w:val="22"/>
                <w:szCs w:val="22"/>
                <w:lang w:val="fr-FR" w:eastAsia="fr-FR"/>
              </w:rPr>
              <w:t xml:space="preserve"> 7, 10, 15, 16 </w:t>
            </w:r>
            <w:r w:rsidR="00AE4C3C" w:rsidRPr="001961B1">
              <w:rPr>
                <w:rFonts w:asciiTheme="minorHAnsi" w:hAnsiTheme="minorHAnsi" w:cstheme="minorHAnsi"/>
                <w:bCs/>
                <w:sz w:val="22"/>
                <w:szCs w:val="22"/>
                <w:lang w:val="fr-FR" w:eastAsia="fr-FR"/>
              </w:rPr>
              <w:t xml:space="preserve">et </w:t>
            </w:r>
            <w:r w:rsidR="00BB3D72" w:rsidRPr="001961B1">
              <w:rPr>
                <w:rFonts w:asciiTheme="minorHAnsi" w:hAnsiTheme="minorHAnsi" w:cstheme="minorHAnsi"/>
                <w:bCs/>
                <w:sz w:val="22"/>
                <w:szCs w:val="22"/>
                <w:lang w:val="fr-FR" w:eastAsia="fr-FR"/>
              </w:rPr>
              <w:t>18</w:t>
            </w:r>
            <w:r w:rsidR="00AE4C3C" w:rsidRPr="001961B1">
              <w:rPr>
                <w:rFonts w:asciiTheme="minorHAnsi" w:hAnsiTheme="minorHAnsi" w:cstheme="minorHAnsi"/>
                <w:bCs/>
                <w:sz w:val="22"/>
                <w:szCs w:val="22"/>
                <w:lang w:val="fr-FR" w:eastAsia="fr-FR"/>
              </w:rPr>
              <w:t xml:space="preserve"> du CMB-KM </w:t>
            </w:r>
            <w:r w:rsidR="00F0591F" w:rsidRPr="001961B1">
              <w:rPr>
                <w:rFonts w:asciiTheme="minorHAnsi" w:hAnsiTheme="minorHAnsi" w:cstheme="minorHAnsi"/>
                <w:bCs/>
                <w:sz w:val="22"/>
                <w:szCs w:val="22"/>
                <w:lang w:val="fr-FR" w:eastAsia="fr-FR"/>
              </w:rPr>
              <w:t xml:space="preserve">; </w:t>
            </w:r>
            <w:r w:rsidR="00AE4C3C" w:rsidRPr="001961B1">
              <w:rPr>
                <w:rFonts w:asciiTheme="minorHAnsi" w:hAnsiTheme="minorHAnsi" w:cstheme="minorHAnsi"/>
                <w:bCs/>
                <w:sz w:val="22"/>
                <w:szCs w:val="22"/>
                <w:lang w:val="fr-FR" w:eastAsia="fr-FR"/>
              </w:rPr>
              <w:t>et aux cibles</w:t>
            </w:r>
            <w:r w:rsidR="0010566A" w:rsidRPr="001961B1">
              <w:rPr>
                <w:rFonts w:asciiTheme="minorHAnsi" w:hAnsiTheme="minorHAnsi" w:cstheme="minorHAnsi"/>
                <w:bCs/>
                <w:sz w:val="22"/>
                <w:szCs w:val="22"/>
                <w:lang w:val="fr-FR" w:eastAsia="fr-FR"/>
              </w:rPr>
              <w:t xml:space="preserve"> </w:t>
            </w:r>
            <w:r w:rsidR="00485857" w:rsidRPr="001961B1">
              <w:rPr>
                <w:rFonts w:asciiTheme="minorHAnsi" w:hAnsiTheme="minorHAnsi" w:cstheme="minorHAnsi"/>
                <w:bCs/>
                <w:sz w:val="22"/>
                <w:szCs w:val="22"/>
                <w:lang w:val="fr-FR" w:eastAsia="fr-FR"/>
              </w:rPr>
              <w:t>2.3</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2.5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3.9</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6.3</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6.4</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6.6</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6.a</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6.b</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8.4</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9.1</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9.5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11.4</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11.6</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11.7</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12.2</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12.6</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14.1</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14.2</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14.3</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14.4</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14.7</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14.b</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15.1</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15.2</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15.3</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15.4</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15.5</w:t>
            </w:r>
            <w:r w:rsidR="00480780" w:rsidRPr="001961B1">
              <w:rPr>
                <w:rFonts w:asciiTheme="minorHAnsi" w:hAnsiTheme="minorHAnsi" w:cstheme="minorHAnsi"/>
                <w:bCs/>
                <w:sz w:val="22"/>
                <w:szCs w:val="22"/>
                <w:lang w:val="fr-FR" w:eastAsia="fr-FR"/>
              </w:rPr>
              <w:t>,</w:t>
            </w:r>
            <w:r w:rsidR="00485857" w:rsidRPr="001961B1">
              <w:rPr>
                <w:rFonts w:asciiTheme="minorHAnsi" w:hAnsiTheme="minorHAnsi" w:cstheme="minorHAnsi"/>
                <w:bCs/>
                <w:sz w:val="22"/>
                <w:szCs w:val="22"/>
                <w:lang w:val="fr-FR" w:eastAsia="fr-FR"/>
              </w:rPr>
              <w:t xml:space="preserve"> 15.6</w:t>
            </w:r>
            <w:r w:rsidR="00480780" w:rsidRPr="001961B1">
              <w:rPr>
                <w:rFonts w:asciiTheme="minorHAnsi" w:hAnsiTheme="minorHAnsi" w:cstheme="minorHAnsi"/>
                <w:bCs/>
                <w:sz w:val="22"/>
                <w:szCs w:val="22"/>
                <w:lang w:val="fr-FR" w:eastAsia="fr-FR"/>
              </w:rPr>
              <w:t xml:space="preserve"> </w:t>
            </w:r>
            <w:r w:rsidR="00AE4C3C" w:rsidRPr="001961B1">
              <w:rPr>
                <w:rFonts w:asciiTheme="minorHAnsi" w:hAnsiTheme="minorHAnsi" w:cstheme="minorHAnsi"/>
                <w:bCs/>
                <w:sz w:val="22"/>
                <w:szCs w:val="22"/>
                <w:lang w:val="fr-FR" w:eastAsia="fr-FR"/>
              </w:rPr>
              <w:t>et</w:t>
            </w:r>
            <w:r w:rsidR="00485857" w:rsidRPr="001961B1">
              <w:rPr>
                <w:rFonts w:asciiTheme="minorHAnsi" w:hAnsiTheme="minorHAnsi" w:cstheme="minorHAnsi"/>
                <w:bCs/>
                <w:sz w:val="22"/>
                <w:szCs w:val="22"/>
                <w:lang w:val="fr-FR" w:eastAsia="fr-FR"/>
              </w:rPr>
              <w:t xml:space="preserve"> 15.7</w:t>
            </w:r>
            <w:r w:rsidR="00AE4C3C" w:rsidRPr="001961B1">
              <w:rPr>
                <w:rFonts w:asciiTheme="minorHAnsi" w:hAnsiTheme="minorHAnsi" w:cstheme="minorHAnsi"/>
                <w:bCs/>
                <w:sz w:val="22"/>
                <w:szCs w:val="22"/>
                <w:lang w:val="fr-FR" w:eastAsia="fr-FR"/>
              </w:rPr>
              <w:t xml:space="preserve"> des ODD</w:t>
            </w:r>
            <w:r w:rsidR="00480780" w:rsidRPr="001961B1">
              <w:rPr>
                <w:rFonts w:asciiTheme="minorHAnsi" w:hAnsiTheme="minorHAnsi" w:cstheme="minorHAnsi"/>
                <w:bCs/>
                <w:sz w:val="22"/>
                <w:szCs w:val="22"/>
                <w:lang w:val="fr-FR" w:eastAsia="fr-FR"/>
              </w:rPr>
              <w:t>.</w:t>
            </w:r>
          </w:p>
        </w:tc>
      </w:tr>
    </w:tbl>
    <w:p w14:paraId="0F07E54B" w14:textId="77777777" w:rsidR="00EC3B50" w:rsidRPr="001961B1" w:rsidRDefault="00EC3B50" w:rsidP="00D1463B">
      <w:pPr>
        <w:keepNext/>
        <w:rPr>
          <w:rFonts w:asciiTheme="minorHAnsi" w:hAnsiTheme="minorHAnsi" w:cstheme="minorHAnsi"/>
          <w:sz w:val="22"/>
          <w:szCs w:val="22"/>
          <w:lang w:val="fr-FR"/>
        </w:rPr>
      </w:pPr>
    </w:p>
    <w:p w14:paraId="515433B3" w14:textId="6B56A235" w:rsidR="0012795C" w:rsidRPr="001961B1" w:rsidRDefault="00AE4C3C"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76546A34" w14:textId="77777777" w:rsidR="00745BD7" w:rsidRPr="001961B1" w:rsidRDefault="00745BD7" w:rsidP="00D1463B">
      <w:pPr>
        <w:keepNext/>
        <w:rPr>
          <w:rFonts w:asciiTheme="minorHAnsi" w:hAnsiTheme="minorHAnsi" w:cstheme="minorHAnsi"/>
          <w:sz w:val="22"/>
          <w:szCs w:val="22"/>
          <w:lang w:val="fr-FR"/>
        </w:rPr>
      </w:pPr>
    </w:p>
    <w:p w14:paraId="448463EA" w14:textId="459C2CCC" w:rsidR="001B3523"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20.</w:t>
      </w:r>
      <w:r w:rsidRPr="001961B1">
        <w:rPr>
          <w:rFonts w:asciiTheme="minorHAnsi" w:hAnsiTheme="minorHAnsi" w:cstheme="minorHAnsi"/>
          <w:sz w:val="22"/>
          <w:szCs w:val="22"/>
          <w:lang w:val="fr-FR"/>
        </w:rPr>
        <w:tab/>
      </w:r>
      <w:r w:rsidR="002E7B92" w:rsidRPr="001961B1">
        <w:rPr>
          <w:rFonts w:asciiTheme="minorHAnsi" w:hAnsiTheme="minorHAnsi" w:cstheme="minorHAnsi"/>
          <w:sz w:val="22"/>
          <w:szCs w:val="22"/>
          <w:lang w:val="fr-FR"/>
        </w:rPr>
        <w:t xml:space="preserve">Plus des trois quarts des Parties contractantes ont des comités nationaux pour les zones humides </w:t>
      </w:r>
      <w:r w:rsidR="00517B16" w:rsidRPr="001961B1">
        <w:rPr>
          <w:rFonts w:asciiTheme="minorHAnsi" w:hAnsiTheme="minorHAnsi" w:cstheme="minorHAnsi"/>
          <w:sz w:val="22"/>
          <w:szCs w:val="22"/>
          <w:lang w:val="fr-FR"/>
        </w:rPr>
        <w:t xml:space="preserve">intersectoriels ou équivalents. </w:t>
      </w:r>
      <w:r w:rsidR="0014113D" w:rsidRPr="001961B1">
        <w:rPr>
          <w:rFonts w:asciiTheme="minorHAnsi" w:hAnsiTheme="minorHAnsi" w:cstheme="minorHAnsi"/>
          <w:sz w:val="22"/>
          <w:szCs w:val="22"/>
          <w:lang w:val="fr-FR"/>
        </w:rPr>
        <w:t>Il y a</w:t>
      </w:r>
      <w:r w:rsidR="00517B16" w:rsidRPr="001961B1">
        <w:rPr>
          <w:rFonts w:asciiTheme="minorHAnsi" w:hAnsiTheme="minorHAnsi" w:cstheme="minorHAnsi"/>
          <w:sz w:val="22"/>
          <w:szCs w:val="22"/>
          <w:lang w:val="fr-FR"/>
        </w:rPr>
        <w:t xml:space="preserve"> des progrès dans l’élimination des incitations conduisant à la dégradation et à la perte des zones humides pour </w:t>
      </w:r>
      <w:r w:rsidR="0014113D" w:rsidRPr="001961B1">
        <w:rPr>
          <w:rFonts w:asciiTheme="minorHAnsi" w:hAnsiTheme="minorHAnsi" w:cstheme="minorHAnsi"/>
          <w:sz w:val="22"/>
          <w:szCs w:val="22"/>
          <w:lang w:val="fr-FR"/>
        </w:rPr>
        <w:t xml:space="preserve">adopter </w:t>
      </w:r>
      <w:r w:rsidR="00517B16" w:rsidRPr="001961B1">
        <w:rPr>
          <w:rFonts w:asciiTheme="minorHAnsi" w:hAnsiTheme="minorHAnsi" w:cstheme="minorHAnsi"/>
          <w:sz w:val="22"/>
          <w:szCs w:val="22"/>
          <w:lang w:val="fr-FR"/>
        </w:rPr>
        <w:t>des incitations et politiques qui encouragent le secteur privé à appliquer les principes d’utilisation rationnelle</w:t>
      </w:r>
      <w:r w:rsidR="0014113D" w:rsidRPr="001961B1">
        <w:rPr>
          <w:rFonts w:asciiTheme="minorHAnsi" w:hAnsiTheme="minorHAnsi" w:cstheme="minorHAnsi"/>
          <w:sz w:val="22"/>
          <w:szCs w:val="22"/>
          <w:lang w:val="fr-FR"/>
        </w:rPr>
        <w:t>,</w:t>
      </w:r>
      <w:r w:rsidR="00517B16" w:rsidRPr="001961B1">
        <w:rPr>
          <w:rFonts w:asciiTheme="minorHAnsi" w:hAnsiTheme="minorHAnsi" w:cstheme="minorHAnsi"/>
          <w:sz w:val="22"/>
          <w:szCs w:val="22"/>
          <w:lang w:val="fr-FR"/>
        </w:rPr>
        <w:t xml:space="preserve"> </w:t>
      </w:r>
      <w:r w:rsidR="00517B16" w:rsidRPr="001961B1">
        <w:rPr>
          <w:rFonts w:asciiTheme="minorHAnsi" w:hAnsiTheme="minorHAnsi" w:cstheme="minorHAnsi"/>
          <w:sz w:val="22"/>
          <w:szCs w:val="22"/>
          <w:lang w:val="fr-FR"/>
        </w:rPr>
        <w:lastRenderedPageBreak/>
        <w:t xml:space="preserve">mais de nombreuses Parties signalent des difficultés relatives à la gouvernance, </w:t>
      </w:r>
      <w:r w:rsidR="0014113D" w:rsidRPr="001961B1">
        <w:rPr>
          <w:rFonts w:asciiTheme="minorHAnsi" w:hAnsiTheme="minorHAnsi" w:cstheme="minorHAnsi"/>
          <w:sz w:val="22"/>
          <w:szCs w:val="22"/>
          <w:lang w:val="fr-FR"/>
        </w:rPr>
        <w:t xml:space="preserve">à </w:t>
      </w:r>
      <w:r w:rsidR="00517B16" w:rsidRPr="001961B1">
        <w:rPr>
          <w:rFonts w:asciiTheme="minorHAnsi" w:hAnsiTheme="minorHAnsi" w:cstheme="minorHAnsi"/>
          <w:sz w:val="22"/>
          <w:szCs w:val="22"/>
          <w:lang w:val="fr-FR"/>
        </w:rPr>
        <w:t>la coordination et aux intérêts économiques.</w:t>
      </w:r>
      <w:r w:rsidR="00AE4B36" w:rsidRPr="001961B1">
        <w:rPr>
          <w:rFonts w:asciiTheme="minorHAnsi" w:hAnsiTheme="minorHAnsi" w:cstheme="minorHAnsi"/>
          <w:sz w:val="22"/>
          <w:szCs w:val="22"/>
          <w:lang w:val="fr-FR"/>
        </w:rPr>
        <w:t xml:space="preserve"> </w:t>
      </w:r>
    </w:p>
    <w:p w14:paraId="1D75FBD5" w14:textId="77777777" w:rsidR="00A338FF" w:rsidRPr="001961B1" w:rsidRDefault="00A338FF" w:rsidP="00CD3F6B">
      <w:pPr>
        <w:ind w:left="426" w:hanging="426"/>
        <w:rPr>
          <w:rFonts w:asciiTheme="minorHAnsi" w:hAnsiTheme="minorHAnsi" w:cstheme="minorHAnsi"/>
          <w:sz w:val="22"/>
          <w:szCs w:val="22"/>
          <w:lang w:val="fr-FR"/>
        </w:rPr>
      </w:pPr>
    </w:p>
    <w:tbl>
      <w:tblPr>
        <w:tblStyle w:val="TableGrid23"/>
        <w:tblW w:w="9356" w:type="dxa"/>
        <w:tblInd w:w="-5" w:type="dxa"/>
        <w:tblLayout w:type="fixed"/>
        <w:tblLook w:val="04A0" w:firstRow="1" w:lastRow="0" w:firstColumn="1" w:lastColumn="0" w:noHBand="0" w:noVBand="1"/>
      </w:tblPr>
      <w:tblGrid>
        <w:gridCol w:w="3969"/>
        <w:gridCol w:w="1276"/>
        <w:gridCol w:w="914"/>
        <w:gridCol w:w="896"/>
        <w:gridCol w:w="896"/>
        <w:gridCol w:w="1405"/>
      </w:tblGrid>
      <w:tr w:rsidR="00107172" w:rsidRPr="001961B1" w14:paraId="6C47AFF7" w14:textId="77777777" w:rsidTr="0063449F">
        <w:trPr>
          <w:cantSplit/>
        </w:trPr>
        <w:tc>
          <w:tcPr>
            <w:tcW w:w="3969" w:type="dxa"/>
            <w:vAlign w:val="center"/>
            <w:hideMark/>
          </w:tcPr>
          <w:p w14:paraId="356C4422" w14:textId="6E612507" w:rsidR="00107172" w:rsidRPr="001961B1" w:rsidRDefault="00107172" w:rsidP="0078307B">
            <w:pPr>
              <w:keepNext/>
              <w:jc w:val="center"/>
              <w:rPr>
                <w:rFonts w:asciiTheme="minorHAnsi" w:eastAsia="Aptos" w:hAnsiTheme="minorHAnsi" w:cstheme="minorHAnsi"/>
                <w:b/>
                <w:bCs/>
                <w:sz w:val="22"/>
                <w:szCs w:val="22"/>
                <w:lang w:val="fr-FR"/>
              </w:rPr>
            </w:pPr>
            <w:bookmarkStart w:id="1" w:name="_Hlk193298771"/>
            <w:r w:rsidRPr="001961B1">
              <w:rPr>
                <w:rFonts w:asciiTheme="minorHAnsi" w:eastAsia="Aptos" w:hAnsiTheme="minorHAnsi" w:cstheme="minorHAnsi"/>
                <w:b/>
                <w:bCs/>
                <w:sz w:val="22"/>
                <w:szCs w:val="22"/>
                <w:lang w:val="fr-FR"/>
              </w:rPr>
              <w:t>Indicat</w:t>
            </w:r>
            <w:r w:rsidR="000753B8"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1276" w:type="dxa"/>
            <w:vAlign w:val="center"/>
            <w:hideMark/>
          </w:tcPr>
          <w:p w14:paraId="342DF4D5" w14:textId="7451BC4A" w:rsidR="0091225F" w:rsidRPr="001961B1" w:rsidRDefault="000753B8" w:rsidP="0063449F">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914" w:type="dxa"/>
            <w:vAlign w:val="center"/>
            <w:hideMark/>
          </w:tcPr>
          <w:p w14:paraId="6216512A" w14:textId="77777777" w:rsidR="00107172" w:rsidRPr="001961B1" w:rsidRDefault="00107172" w:rsidP="0063449F">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896" w:type="dxa"/>
            <w:vAlign w:val="center"/>
            <w:hideMark/>
          </w:tcPr>
          <w:p w14:paraId="0D34A488" w14:textId="77777777" w:rsidR="00107172" w:rsidRPr="001961B1" w:rsidRDefault="00107172" w:rsidP="0063449F">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896" w:type="dxa"/>
            <w:vAlign w:val="center"/>
            <w:hideMark/>
          </w:tcPr>
          <w:p w14:paraId="3798BAF1" w14:textId="77777777" w:rsidR="00107172" w:rsidRPr="001961B1" w:rsidRDefault="00107172" w:rsidP="0063449F">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405" w:type="dxa"/>
            <w:vAlign w:val="center"/>
            <w:hideMark/>
          </w:tcPr>
          <w:p w14:paraId="7948789A" w14:textId="3349A552" w:rsidR="00107172" w:rsidRPr="001961B1" w:rsidRDefault="000753B8"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107172" w:rsidRPr="001961B1" w14:paraId="5F49FA03" w14:textId="77777777" w:rsidTr="0063449F">
        <w:trPr>
          <w:trHeight w:val="770"/>
        </w:trPr>
        <w:tc>
          <w:tcPr>
            <w:tcW w:w="3969" w:type="dxa"/>
          </w:tcPr>
          <w:p w14:paraId="15369909" w14:textId="4B5C1BD2"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AE4C3C" w:rsidRPr="001961B1">
              <w:rPr>
                <w:rFonts w:asciiTheme="minorHAnsi" w:eastAsia="Aptos" w:hAnsiTheme="minorHAnsi" w:cstheme="minorHAnsi"/>
                <w:sz w:val="22"/>
                <w:szCs w:val="22"/>
                <w:lang w:val="fr-FR"/>
              </w:rPr>
              <w:t xml:space="preserve">des Parties </w:t>
            </w:r>
            <w:r w:rsidR="00326299" w:rsidRPr="001961B1">
              <w:rPr>
                <w:rFonts w:asciiTheme="minorHAnsi" w:eastAsia="Aptos" w:hAnsiTheme="minorHAnsi" w:cstheme="minorHAnsi"/>
                <w:sz w:val="22"/>
                <w:szCs w:val="22"/>
                <w:lang w:val="fr-FR"/>
              </w:rPr>
              <w:t>ayant</w:t>
            </w:r>
            <w:r w:rsidR="00AE4C3C" w:rsidRPr="001961B1">
              <w:rPr>
                <w:rFonts w:asciiTheme="minorHAnsi" w:eastAsia="Aptos" w:hAnsiTheme="minorHAnsi" w:cstheme="minorHAnsi"/>
                <w:sz w:val="22"/>
                <w:szCs w:val="22"/>
                <w:lang w:val="fr-FR"/>
              </w:rPr>
              <w:t xml:space="preserve"> signalé des mesures prises pour appliquer des incitations qui encouragent la conservation et l’utilisation rationnelle des zones humides</w:t>
            </w:r>
            <w:r w:rsidRPr="001961B1">
              <w:rPr>
                <w:rFonts w:asciiTheme="minorHAnsi" w:eastAsia="Aptos" w:hAnsiTheme="minorHAnsi" w:cstheme="minorHAnsi"/>
                <w:sz w:val="22"/>
                <w:szCs w:val="22"/>
                <w:lang w:val="fr-FR"/>
              </w:rPr>
              <w:t>.</w:t>
            </w:r>
          </w:p>
        </w:tc>
        <w:tc>
          <w:tcPr>
            <w:tcW w:w="1276" w:type="dxa"/>
          </w:tcPr>
          <w:p w14:paraId="2226F656" w14:textId="2ECD6066"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50</w:t>
            </w:r>
            <w:r w:rsidR="0063449F" w:rsidRPr="001961B1">
              <w:rPr>
                <w:rFonts w:asciiTheme="minorHAnsi" w:eastAsia="Aptos" w:hAnsiTheme="minorHAnsi" w:cstheme="minorHAnsi"/>
                <w:b/>
                <w:bCs/>
                <w:sz w:val="22"/>
                <w:szCs w:val="22"/>
              </w:rPr>
              <w:t xml:space="preserve"> %</w:t>
            </w:r>
          </w:p>
        </w:tc>
        <w:tc>
          <w:tcPr>
            <w:tcW w:w="914" w:type="dxa"/>
          </w:tcPr>
          <w:p w14:paraId="4BC515D6" w14:textId="1E9FB35E"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52</w:t>
            </w:r>
            <w:r w:rsidR="0063449F" w:rsidRPr="001961B1">
              <w:rPr>
                <w:rFonts w:asciiTheme="minorHAnsi" w:eastAsia="Aptos" w:hAnsiTheme="minorHAnsi" w:cstheme="minorHAnsi"/>
                <w:b/>
                <w:bCs/>
                <w:sz w:val="22"/>
                <w:szCs w:val="22"/>
              </w:rPr>
              <w:t xml:space="preserve"> %</w:t>
            </w:r>
          </w:p>
        </w:tc>
        <w:tc>
          <w:tcPr>
            <w:tcW w:w="896" w:type="dxa"/>
          </w:tcPr>
          <w:p w14:paraId="62E38F5A" w14:textId="7128AECA"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54</w:t>
            </w:r>
            <w:r w:rsidR="0063449F" w:rsidRPr="001961B1">
              <w:rPr>
                <w:rFonts w:asciiTheme="minorHAnsi" w:eastAsia="Aptos" w:hAnsiTheme="minorHAnsi" w:cstheme="minorHAnsi"/>
                <w:b/>
                <w:bCs/>
                <w:sz w:val="22"/>
                <w:szCs w:val="22"/>
              </w:rPr>
              <w:t xml:space="preserve"> %</w:t>
            </w:r>
          </w:p>
        </w:tc>
        <w:tc>
          <w:tcPr>
            <w:tcW w:w="896" w:type="dxa"/>
          </w:tcPr>
          <w:p w14:paraId="4EFF5D04" w14:textId="1741151B"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54</w:t>
            </w:r>
            <w:r w:rsidR="0063449F" w:rsidRPr="001961B1">
              <w:rPr>
                <w:rFonts w:asciiTheme="minorHAnsi" w:eastAsia="Aptos" w:hAnsiTheme="minorHAnsi" w:cstheme="minorHAnsi"/>
                <w:b/>
                <w:bCs/>
                <w:sz w:val="22"/>
                <w:szCs w:val="22"/>
              </w:rPr>
              <w:t xml:space="preserve"> %</w:t>
            </w:r>
          </w:p>
        </w:tc>
        <w:tc>
          <w:tcPr>
            <w:tcW w:w="1405" w:type="dxa"/>
          </w:tcPr>
          <w:p w14:paraId="35A03CD1" w14:textId="3947E687" w:rsidR="00107172" w:rsidRPr="001961B1" w:rsidRDefault="006F463D"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FF9165C" wp14:editId="5EF7C4FF">
                  <wp:extent cx="712200" cy="432000"/>
                  <wp:effectExtent l="0" t="0" r="0" b="0"/>
                  <wp:docPr id="14832552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7EA3E49F" w14:textId="77777777" w:rsidTr="0063449F">
        <w:trPr>
          <w:trHeight w:val="778"/>
        </w:trPr>
        <w:tc>
          <w:tcPr>
            <w:tcW w:w="3969" w:type="dxa"/>
          </w:tcPr>
          <w:p w14:paraId="340927FF" w14:textId="3397C0C9"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326299" w:rsidRPr="001961B1">
              <w:rPr>
                <w:rFonts w:asciiTheme="minorHAnsi" w:eastAsia="Aptos" w:hAnsiTheme="minorHAnsi" w:cstheme="minorHAnsi"/>
                <w:sz w:val="22"/>
                <w:szCs w:val="22"/>
                <w:lang w:val="fr-FR"/>
              </w:rPr>
              <w:t>des Parties ayant signalé des mesures prises pour éliminer les incitations perverses qui découragent la conservation et l’utilisation rationnelle des zones humides</w:t>
            </w:r>
            <w:r w:rsidR="000A49C2" w:rsidRPr="001961B1">
              <w:rPr>
                <w:rFonts w:asciiTheme="minorHAnsi" w:eastAsia="Aptos" w:hAnsiTheme="minorHAnsi" w:cstheme="minorHAnsi"/>
                <w:sz w:val="22"/>
                <w:szCs w:val="22"/>
                <w:lang w:val="fr-FR"/>
              </w:rPr>
              <w:t>.</w:t>
            </w:r>
          </w:p>
        </w:tc>
        <w:tc>
          <w:tcPr>
            <w:tcW w:w="1276" w:type="dxa"/>
          </w:tcPr>
          <w:p w14:paraId="45AD9883" w14:textId="69E496DD"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37</w:t>
            </w:r>
            <w:r w:rsidR="0063449F" w:rsidRPr="001961B1">
              <w:rPr>
                <w:rFonts w:asciiTheme="minorHAnsi" w:eastAsia="Aptos" w:hAnsiTheme="minorHAnsi" w:cstheme="minorHAnsi"/>
                <w:b/>
                <w:bCs/>
                <w:sz w:val="22"/>
                <w:szCs w:val="22"/>
              </w:rPr>
              <w:t xml:space="preserve"> %</w:t>
            </w:r>
          </w:p>
        </w:tc>
        <w:tc>
          <w:tcPr>
            <w:tcW w:w="914" w:type="dxa"/>
          </w:tcPr>
          <w:p w14:paraId="2FC0AEC9" w14:textId="248F18F4"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37</w:t>
            </w:r>
            <w:r w:rsidR="0063449F" w:rsidRPr="001961B1">
              <w:rPr>
                <w:rFonts w:asciiTheme="minorHAnsi" w:eastAsia="Aptos" w:hAnsiTheme="minorHAnsi" w:cstheme="minorHAnsi"/>
                <w:b/>
                <w:bCs/>
                <w:sz w:val="22"/>
                <w:szCs w:val="22"/>
              </w:rPr>
              <w:t xml:space="preserve"> %</w:t>
            </w:r>
          </w:p>
        </w:tc>
        <w:tc>
          <w:tcPr>
            <w:tcW w:w="896" w:type="dxa"/>
          </w:tcPr>
          <w:p w14:paraId="0DFE1CA8" w14:textId="12314DC0"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38</w:t>
            </w:r>
            <w:r w:rsidR="0063449F" w:rsidRPr="001961B1">
              <w:rPr>
                <w:rFonts w:asciiTheme="minorHAnsi" w:eastAsia="Aptos" w:hAnsiTheme="minorHAnsi" w:cstheme="minorHAnsi"/>
                <w:b/>
                <w:bCs/>
                <w:sz w:val="22"/>
                <w:szCs w:val="22"/>
              </w:rPr>
              <w:t xml:space="preserve"> %</w:t>
            </w:r>
          </w:p>
        </w:tc>
        <w:tc>
          <w:tcPr>
            <w:tcW w:w="896" w:type="dxa"/>
          </w:tcPr>
          <w:p w14:paraId="689DFF05" w14:textId="423961DA"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43</w:t>
            </w:r>
            <w:r w:rsidR="0063449F" w:rsidRPr="001961B1">
              <w:rPr>
                <w:rFonts w:asciiTheme="minorHAnsi" w:eastAsia="Aptos" w:hAnsiTheme="minorHAnsi" w:cstheme="minorHAnsi"/>
                <w:b/>
                <w:bCs/>
                <w:sz w:val="22"/>
                <w:szCs w:val="22"/>
              </w:rPr>
              <w:t xml:space="preserve"> %</w:t>
            </w:r>
          </w:p>
        </w:tc>
        <w:tc>
          <w:tcPr>
            <w:tcW w:w="1405" w:type="dxa"/>
          </w:tcPr>
          <w:p w14:paraId="104D402E" w14:textId="16639BFE" w:rsidR="00107172" w:rsidRPr="001961B1" w:rsidRDefault="00717B49"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0E753260" wp14:editId="629F3B1F">
                  <wp:extent cx="712200" cy="432000"/>
                  <wp:effectExtent l="0" t="0" r="0" b="0"/>
                  <wp:docPr id="1365965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65753745" w14:textId="77777777" w:rsidTr="0063449F">
        <w:trPr>
          <w:trHeight w:val="778"/>
        </w:trPr>
        <w:tc>
          <w:tcPr>
            <w:tcW w:w="3969" w:type="dxa"/>
          </w:tcPr>
          <w:p w14:paraId="7086A5A3" w14:textId="12A57958"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1E243D" w:rsidRPr="001961B1">
              <w:rPr>
                <w:rFonts w:asciiTheme="minorHAnsi" w:eastAsia="Aptos" w:hAnsiTheme="minorHAnsi" w:cstheme="minorHAnsi"/>
                <w:sz w:val="22"/>
                <w:szCs w:val="22"/>
                <w:lang w:val="fr-FR"/>
              </w:rPr>
              <w:t>des Parties ayant signalé des activités entreprises par le secteur privé pour la conservation, l’utilisation rationnelle et la gestion des zones humides en général</w:t>
            </w:r>
            <w:r w:rsidRPr="001961B1">
              <w:rPr>
                <w:rFonts w:asciiTheme="minorHAnsi" w:eastAsia="Aptos" w:hAnsiTheme="minorHAnsi" w:cstheme="minorHAnsi"/>
                <w:sz w:val="22"/>
                <w:szCs w:val="22"/>
                <w:lang w:val="fr-FR"/>
              </w:rPr>
              <w:t>.</w:t>
            </w:r>
          </w:p>
        </w:tc>
        <w:tc>
          <w:tcPr>
            <w:tcW w:w="1276" w:type="dxa"/>
          </w:tcPr>
          <w:p w14:paraId="6351F645" w14:textId="757466AF"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60</w:t>
            </w:r>
            <w:r w:rsidR="0063449F" w:rsidRPr="001961B1">
              <w:rPr>
                <w:rFonts w:asciiTheme="minorHAnsi" w:eastAsia="Aptos" w:hAnsiTheme="minorHAnsi" w:cstheme="minorHAnsi"/>
                <w:b/>
                <w:bCs/>
                <w:sz w:val="22"/>
                <w:szCs w:val="22"/>
              </w:rPr>
              <w:t xml:space="preserve"> %</w:t>
            </w:r>
          </w:p>
        </w:tc>
        <w:tc>
          <w:tcPr>
            <w:tcW w:w="914" w:type="dxa"/>
          </w:tcPr>
          <w:p w14:paraId="5A61A515" w14:textId="0AA9C507"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41</w:t>
            </w:r>
            <w:r w:rsidR="0063449F" w:rsidRPr="001961B1">
              <w:rPr>
                <w:rFonts w:asciiTheme="minorHAnsi" w:eastAsia="Aptos" w:hAnsiTheme="minorHAnsi" w:cstheme="minorHAnsi"/>
                <w:b/>
                <w:bCs/>
                <w:sz w:val="22"/>
                <w:szCs w:val="22"/>
              </w:rPr>
              <w:t xml:space="preserve"> %</w:t>
            </w:r>
          </w:p>
        </w:tc>
        <w:tc>
          <w:tcPr>
            <w:tcW w:w="896" w:type="dxa"/>
          </w:tcPr>
          <w:p w14:paraId="6F0705AC" w14:textId="2CC441E9"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45</w:t>
            </w:r>
            <w:r w:rsidR="0063449F" w:rsidRPr="001961B1">
              <w:rPr>
                <w:rFonts w:asciiTheme="minorHAnsi" w:eastAsia="Aptos" w:hAnsiTheme="minorHAnsi" w:cstheme="minorHAnsi"/>
                <w:b/>
                <w:bCs/>
                <w:sz w:val="22"/>
                <w:szCs w:val="22"/>
              </w:rPr>
              <w:t xml:space="preserve"> %</w:t>
            </w:r>
          </w:p>
        </w:tc>
        <w:tc>
          <w:tcPr>
            <w:tcW w:w="896" w:type="dxa"/>
          </w:tcPr>
          <w:p w14:paraId="7B7178AA" w14:textId="1752F583" w:rsidR="00107172" w:rsidRPr="001961B1" w:rsidRDefault="00107172"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45</w:t>
            </w:r>
            <w:r w:rsidR="0063449F" w:rsidRPr="001961B1">
              <w:rPr>
                <w:rFonts w:asciiTheme="minorHAnsi" w:eastAsia="Aptos" w:hAnsiTheme="minorHAnsi" w:cstheme="minorHAnsi"/>
                <w:b/>
                <w:bCs/>
                <w:sz w:val="22"/>
                <w:szCs w:val="22"/>
              </w:rPr>
              <w:t xml:space="preserve"> %</w:t>
            </w:r>
          </w:p>
        </w:tc>
        <w:tc>
          <w:tcPr>
            <w:tcW w:w="1405" w:type="dxa"/>
          </w:tcPr>
          <w:p w14:paraId="4B2F023A" w14:textId="066415AD" w:rsidR="00107172" w:rsidRPr="001961B1" w:rsidRDefault="006117D4"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D1DCE34" wp14:editId="230D4C52">
                  <wp:extent cx="712200" cy="432000"/>
                  <wp:effectExtent l="0" t="0" r="0" b="0"/>
                  <wp:docPr id="10211424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3C7B86" w:rsidRPr="001961B1" w14:paraId="27A0BDD6" w14:textId="77777777" w:rsidTr="0063449F">
        <w:trPr>
          <w:trHeight w:val="778"/>
        </w:trPr>
        <w:tc>
          <w:tcPr>
            <w:tcW w:w="3969" w:type="dxa"/>
          </w:tcPr>
          <w:p w14:paraId="646D2816" w14:textId="641477AC" w:rsidR="003C7B86" w:rsidRPr="001961B1" w:rsidRDefault="00394702" w:rsidP="00CD3F6B">
            <w:pPr>
              <w:pStyle w:val="p1"/>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 </w:t>
            </w:r>
            <w:r w:rsidR="001E243D" w:rsidRPr="001961B1">
              <w:rPr>
                <w:rFonts w:asciiTheme="minorHAnsi" w:hAnsiTheme="minorHAnsi" w:cstheme="minorHAnsi"/>
                <w:sz w:val="22"/>
                <w:szCs w:val="22"/>
                <w:lang w:val="fr-FR"/>
              </w:rPr>
              <w:t>des</w:t>
            </w:r>
            <w:r w:rsidRPr="001961B1">
              <w:rPr>
                <w:rFonts w:asciiTheme="minorHAnsi" w:hAnsiTheme="minorHAnsi" w:cstheme="minorHAnsi"/>
                <w:sz w:val="22"/>
                <w:szCs w:val="22"/>
                <w:lang w:val="fr-FR"/>
              </w:rPr>
              <w:t xml:space="preserve"> </w:t>
            </w:r>
            <w:r w:rsidR="001E243D" w:rsidRPr="001961B1">
              <w:rPr>
                <w:rFonts w:asciiTheme="minorHAnsi" w:hAnsiTheme="minorHAnsi" w:cstheme="minorHAnsi"/>
                <w:sz w:val="22"/>
                <w:szCs w:val="22"/>
                <w:lang w:val="fr-FR"/>
              </w:rPr>
              <w:t>Parties ayant des comités nationaux Ramsar comprenant des représentants gouvernementaux et non gouvernementaux</w:t>
            </w:r>
            <w:r w:rsidR="00B0362C" w:rsidRPr="001961B1">
              <w:rPr>
                <w:rFonts w:asciiTheme="minorHAnsi" w:hAnsiTheme="minorHAnsi" w:cstheme="minorHAnsi"/>
                <w:sz w:val="22"/>
                <w:szCs w:val="22"/>
                <w:lang w:val="fr-FR"/>
              </w:rPr>
              <w:t>*</w:t>
            </w:r>
            <w:r w:rsidR="00346619" w:rsidRPr="001961B1">
              <w:rPr>
                <w:rFonts w:asciiTheme="minorHAnsi" w:hAnsiTheme="minorHAnsi" w:cstheme="minorHAnsi"/>
                <w:sz w:val="22"/>
                <w:szCs w:val="22"/>
                <w:lang w:val="fr-FR"/>
              </w:rPr>
              <w:t>.</w:t>
            </w:r>
          </w:p>
        </w:tc>
        <w:tc>
          <w:tcPr>
            <w:tcW w:w="1276" w:type="dxa"/>
          </w:tcPr>
          <w:p w14:paraId="4AA7AD62" w14:textId="1E6C7354" w:rsidR="003C7B86" w:rsidRPr="001961B1" w:rsidRDefault="00CA014B"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63</w:t>
            </w:r>
            <w:r w:rsidR="0063449F" w:rsidRPr="001961B1">
              <w:rPr>
                <w:rFonts w:asciiTheme="minorHAnsi" w:eastAsia="Aptos" w:hAnsiTheme="minorHAnsi" w:cstheme="minorHAnsi"/>
                <w:b/>
                <w:bCs/>
                <w:sz w:val="22"/>
                <w:szCs w:val="22"/>
              </w:rPr>
              <w:t xml:space="preserve"> %</w:t>
            </w:r>
          </w:p>
        </w:tc>
        <w:tc>
          <w:tcPr>
            <w:tcW w:w="914" w:type="dxa"/>
          </w:tcPr>
          <w:p w14:paraId="1DB356D4" w14:textId="75962E52" w:rsidR="003C7B86" w:rsidRPr="001961B1" w:rsidRDefault="002E1396"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49</w:t>
            </w:r>
            <w:r w:rsidR="0063449F" w:rsidRPr="001961B1">
              <w:rPr>
                <w:rFonts w:asciiTheme="minorHAnsi" w:eastAsia="Aptos" w:hAnsiTheme="minorHAnsi" w:cstheme="minorHAnsi"/>
                <w:b/>
                <w:bCs/>
                <w:sz w:val="22"/>
                <w:szCs w:val="22"/>
              </w:rPr>
              <w:t xml:space="preserve"> %</w:t>
            </w:r>
          </w:p>
        </w:tc>
        <w:tc>
          <w:tcPr>
            <w:tcW w:w="896" w:type="dxa"/>
          </w:tcPr>
          <w:p w14:paraId="0416CEC6" w14:textId="38FBC650" w:rsidR="003C7B86" w:rsidRPr="001961B1" w:rsidRDefault="00F03A78"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r w:rsidR="0063449F" w:rsidRPr="001961B1">
              <w:rPr>
                <w:rFonts w:asciiTheme="minorHAnsi" w:eastAsia="Aptos" w:hAnsiTheme="minorHAnsi" w:cstheme="minorHAnsi"/>
                <w:b/>
                <w:bCs/>
                <w:sz w:val="22"/>
                <w:szCs w:val="22"/>
              </w:rPr>
              <w:t xml:space="preserve"> %</w:t>
            </w:r>
          </w:p>
        </w:tc>
        <w:tc>
          <w:tcPr>
            <w:tcW w:w="896" w:type="dxa"/>
          </w:tcPr>
          <w:p w14:paraId="7A07278A" w14:textId="7D3CF36C" w:rsidR="003C7B86" w:rsidRPr="001961B1" w:rsidRDefault="00F03A78" w:rsidP="0063449F">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r w:rsidR="0063449F" w:rsidRPr="001961B1">
              <w:rPr>
                <w:rFonts w:asciiTheme="minorHAnsi" w:eastAsia="Aptos" w:hAnsiTheme="minorHAnsi" w:cstheme="minorHAnsi"/>
                <w:b/>
                <w:bCs/>
                <w:sz w:val="22"/>
                <w:szCs w:val="22"/>
              </w:rPr>
              <w:t xml:space="preserve"> %</w:t>
            </w:r>
          </w:p>
        </w:tc>
        <w:tc>
          <w:tcPr>
            <w:tcW w:w="1405" w:type="dxa"/>
          </w:tcPr>
          <w:p w14:paraId="7F84E060" w14:textId="7D807D86" w:rsidR="003C7B86" w:rsidRPr="001961B1" w:rsidRDefault="00C31696"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1924714D" wp14:editId="74027E5A">
                  <wp:extent cx="712200" cy="432000"/>
                  <wp:effectExtent l="0" t="0" r="0" b="0"/>
                  <wp:docPr id="64091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0D1404F" w14:textId="5B685FFB" w:rsidR="00B0362C" w:rsidRPr="001961B1" w:rsidRDefault="00B0362C"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5565ED" w:rsidRPr="001961B1">
        <w:rPr>
          <w:rFonts w:asciiTheme="minorHAnsi" w:hAnsiTheme="minorHAnsi" w:cstheme="minorHAnsi"/>
          <w:sz w:val="22"/>
          <w:szCs w:val="22"/>
          <w:lang w:val="fr-FR"/>
        </w:rPr>
        <w:t xml:space="preserve">aucune </w:t>
      </w:r>
      <w:r w:rsidR="009C2697" w:rsidRPr="001961B1">
        <w:rPr>
          <w:rFonts w:asciiTheme="minorHAnsi" w:hAnsiTheme="minorHAnsi" w:cstheme="minorHAnsi"/>
          <w:sz w:val="22"/>
          <w:szCs w:val="22"/>
          <w:lang w:val="fr-FR"/>
        </w:rPr>
        <w:t xml:space="preserve">question </w:t>
      </w:r>
      <w:r w:rsidR="005565ED" w:rsidRPr="001961B1">
        <w:rPr>
          <w:rFonts w:asciiTheme="minorHAnsi" w:hAnsiTheme="minorHAnsi" w:cstheme="minorHAnsi"/>
          <w:sz w:val="22"/>
          <w:szCs w:val="22"/>
          <w:lang w:val="fr-FR"/>
        </w:rPr>
        <w:t xml:space="preserve">ne </w:t>
      </w:r>
      <w:r w:rsidR="0014113D" w:rsidRPr="001961B1">
        <w:rPr>
          <w:rFonts w:asciiTheme="minorHAnsi" w:hAnsiTheme="minorHAnsi" w:cstheme="minorHAnsi"/>
          <w:sz w:val="22"/>
          <w:szCs w:val="22"/>
          <w:lang w:val="fr-FR"/>
        </w:rPr>
        <w:t>porte</w:t>
      </w:r>
      <w:r w:rsidR="005565ED" w:rsidRPr="001961B1">
        <w:rPr>
          <w:rFonts w:asciiTheme="minorHAnsi" w:hAnsiTheme="minorHAnsi" w:cstheme="minorHAnsi"/>
          <w:sz w:val="22"/>
          <w:szCs w:val="22"/>
          <w:lang w:val="fr-FR"/>
        </w:rPr>
        <w:t xml:space="preserve"> spécifiquement </w:t>
      </w:r>
      <w:r w:rsidR="0014113D" w:rsidRPr="001961B1">
        <w:rPr>
          <w:rFonts w:asciiTheme="minorHAnsi" w:hAnsiTheme="minorHAnsi" w:cstheme="minorHAnsi"/>
          <w:sz w:val="22"/>
          <w:szCs w:val="22"/>
          <w:lang w:val="fr-FR"/>
        </w:rPr>
        <w:t xml:space="preserve">sur </w:t>
      </w:r>
      <w:r w:rsidR="005565ED" w:rsidRPr="001961B1">
        <w:rPr>
          <w:rFonts w:asciiTheme="minorHAnsi" w:hAnsiTheme="minorHAnsi" w:cstheme="minorHAnsi"/>
          <w:sz w:val="22"/>
          <w:szCs w:val="22"/>
          <w:lang w:val="fr-FR"/>
        </w:rPr>
        <w:t xml:space="preserve">l’indicateur dans le </w:t>
      </w:r>
      <w:r w:rsidR="0014113D" w:rsidRPr="001961B1">
        <w:rPr>
          <w:rFonts w:asciiTheme="minorHAnsi" w:hAnsiTheme="minorHAnsi" w:cstheme="minorHAnsi"/>
          <w:sz w:val="22"/>
          <w:szCs w:val="22"/>
          <w:lang w:val="fr-FR"/>
        </w:rPr>
        <w:t>F</w:t>
      </w:r>
      <w:r w:rsidR="005565ED" w:rsidRPr="001961B1">
        <w:rPr>
          <w:rFonts w:asciiTheme="minorHAnsi" w:hAnsiTheme="minorHAnsi" w:cstheme="minorHAnsi"/>
          <w:sz w:val="22"/>
          <w:szCs w:val="22"/>
          <w:lang w:val="fr-FR"/>
        </w:rPr>
        <w:t xml:space="preserve">ormulaire de </w:t>
      </w:r>
      <w:r w:rsidR="0014113D" w:rsidRPr="001961B1">
        <w:rPr>
          <w:rFonts w:asciiTheme="minorHAnsi" w:hAnsiTheme="minorHAnsi" w:cstheme="minorHAnsi"/>
          <w:sz w:val="22"/>
          <w:szCs w:val="22"/>
          <w:lang w:val="fr-FR"/>
        </w:rPr>
        <w:t>R</w:t>
      </w:r>
      <w:r w:rsidR="005565ED" w:rsidRPr="001961B1">
        <w:rPr>
          <w:rFonts w:asciiTheme="minorHAnsi" w:hAnsiTheme="minorHAnsi" w:cstheme="minorHAnsi"/>
          <w:sz w:val="22"/>
          <w:szCs w:val="22"/>
          <w:lang w:val="fr-FR"/>
        </w:rPr>
        <w:t>apport national</w:t>
      </w:r>
      <w:r w:rsidR="009C2697" w:rsidRPr="001961B1">
        <w:rPr>
          <w:rFonts w:asciiTheme="minorHAnsi" w:hAnsiTheme="minorHAnsi" w:cstheme="minorHAnsi"/>
          <w:sz w:val="22"/>
          <w:szCs w:val="22"/>
          <w:lang w:val="fr-FR"/>
        </w:rPr>
        <w:t xml:space="preserve">. </w:t>
      </w:r>
      <w:r w:rsidR="005565ED" w:rsidRPr="001961B1">
        <w:rPr>
          <w:rFonts w:asciiTheme="minorHAnsi" w:hAnsiTheme="minorHAnsi" w:cstheme="minorHAnsi"/>
          <w:sz w:val="22"/>
          <w:szCs w:val="22"/>
          <w:lang w:val="fr-FR"/>
        </w:rPr>
        <w:t>Les données présentées sont un pourcentage des Parties contractantes ayant un comité national Ramsar/pour les zones humides intersectoriel et opérationnel ou son équivalent</w:t>
      </w:r>
      <w:r w:rsidR="00DB16A4" w:rsidRPr="001961B1">
        <w:rPr>
          <w:rFonts w:asciiTheme="minorHAnsi" w:hAnsiTheme="minorHAnsi" w:cstheme="minorHAnsi"/>
          <w:sz w:val="22"/>
          <w:szCs w:val="22"/>
          <w:lang w:val="fr-FR"/>
        </w:rPr>
        <w:t xml:space="preserve">. </w:t>
      </w:r>
    </w:p>
    <w:p w14:paraId="16B3C4A7" w14:textId="77777777" w:rsidR="00D1463B" w:rsidRPr="001961B1" w:rsidRDefault="00D1463B" w:rsidP="00CD3F6B">
      <w:pPr>
        <w:rPr>
          <w:rFonts w:asciiTheme="minorHAnsi" w:hAnsiTheme="minorHAnsi" w:cstheme="minorHAnsi"/>
          <w:i/>
          <w:iCs/>
          <w:sz w:val="22"/>
          <w:szCs w:val="22"/>
          <w:u w:val="single"/>
          <w:lang w:val="fr-FR"/>
        </w:rPr>
      </w:pPr>
    </w:p>
    <w:p w14:paraId="0CD5DC0D" w14:textId="5BBBB9AC" w:rsidR="00E2275E" w:rsidRPr="001961B1" w:rsidRDefault="00B04F3D"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p>
    <w:p w14:paraId="09ED1C8F" w14:textId="77777777" w:rsidR="00D1463B" w:rsidRPr="001961B1" w:rsidRDefault="00D1463B" w:rsidP="00D1463B">
      <w:pPr>
        <w:keepNext/>
        <w:ind w:left="426" w:hanging="426"/>
        <w:rPr>
          <w:rFonts w:asciiTheme="minorHAnsi" w:hAnsiTheme="minorHAnsi" w:cstheme="minorHAnsi"/>
          <w:sz w:val="22"/>
          <w:szCs w:val="22"/>
          <w:lang w:val="fr-FR"/>
        </w:rPr>
      </w:pPr>
    </w:p>
    <w:p w14:paraId="6121521E" w14:textId="587BDB0C" w:rsidR="0030701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21.</w:t>
      </w:r>
      <w:r w:rsidRPr="001961B1">
        <w:rPr>
          <w:rFonts w:asciiTheme="minorHAnsi" w:hAnsiTheme="minorHAnsi" w:cstheme="minorHAnsi"/>
          <w:sz w:val="22"/>
          <w:szCs w:val="22"/>
          <w:lang w:val="fr-FR"/>
        </w:rPr>
        <w:tab/>
      </w:r>
      <w:r w:rsidR="00BC40A2" w:rsidRPr="001961B1">
        <w:rPr>
          <w:rFonts w:asciiTheme="minorHAnsi" w:hAnsiTheme="minorHAnsi" w:cstheme="minorHAnsi"/>
          <w:sz w:val="22"/>
          <w:szCs w:val="22"/>
          <w:lang w:val="fr-FR"/>
        </w:rPr>
        <w:t xml:space="preserve">Quarante-six pour cent (46 %) des Parties contractantes ont un comité national Ramsar/pour les zones humides intersectoriel et opérationnel et 31 % </w:t>
      </w:r>
      <w:r w:rsidR="003B2629" w:rsidRPr="001961B1">
        <w:rPr>
          <w:rFonts w:asciiTheme="minorHAnsi" w:hAnsiTheme="minorHAnsi" w:cstheme="minorHAnsi"/>
          <w:sz w:val="22"/>
          <w:szCs w:val="22"/>
          <w:lang w:val="fr-FR"/>
        </w:rPr>
        <w:t>d’autres Parties</w:t>
      </w:r>
      <w:r w:rsidR="00BC40A2" w:rsidRPr="001961B1">
        <w:rPr>
          <w:rFonts w:asciiTheme="minorHAnsi" w:hAnsiTheme="minorHAnsi" w:cstheme="minorHAnsi"/>
          <w:sz w:val="22"/>
          <w:szCs w:val="22"/>
          <w:lang w:val="fr-FR"/>
        </w:rPr>
        <w:t xml:space="preserve"> ont un organisme équivalent – une légère augmentation </w:t>
      </w:r>
      <w:r w:rsidR="001546E0" w:rsidRPr="001961B1">
        <w:rPr>
          <w:rFonts w:asciiTheme="minorHAnsi" w:hAnsiTheme="minorHAnsi" w:cstheme="minorHAnsi"/>
          <w:sz w:val="22"/>
          <w:szCs w:val="22"/>
          <w:lang w:val="fr-FR"/>
        </w:rPr>
        <w:t xml:space="preserve">par rapport aux trois périodes triennales passées. </w:t>
      </w:r>
    </w:p>
    <w:p w14:paraId="12FD268B" w14:textId="77777777" w:rsidR="00CA6DA7" w:rsidRPr="001961B1" w:rsidRDefault="00CA6DA7" w:rsidP="000E3338">
      <w:pPr>
        <w:ind w:left="567" w:hanging="567"/>
        <w:rPr>
          <w:rFonts w:asciiTheme="minorHAnsi" w:hAnsiTheme="minorHAnsi" w:cstheme="minorHAnsi"/>
          <w:sz w:val="22"/>
          <w:szCs w:val="22"/>
          <w:lang w:val="fr-FR"/>
        </w:rPr>
      </w:pPr>
    </w:p>
    <w:p w14:paraId="247020EB" w14:textId="66F5E423" w:rsidR="00804F28"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22.</w:t>
      </w:r>
      <w:r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eastAsia="fr-FR"/>
        </w:rPr>
        <w:t>Au moment de</w:t>
      </w:r>
      <w:r w:rsidR="001546E0" w:rsidRPr="001961B1">
        <w:rPr>
          <w:rFonts w:asciiTheme="minorHAnsi" w:hAnsiTheme="minorHAnsi" w:cstheme="minorHAnsi"/>
          <w:sz w:val="22"/>
          <w:szCs w:val="22"/>
          <w:lang w:val="fr-FR"/>
        </w:rPr>
        <w:t xml:space="preserve"> la </w:t>
      </w:r>
      <w:r w:rsidR="000A49C2" w:rsidRPr="001961B1">
        <w:rPr>
          <w:rFonts w:asciiTheme="minorHAnsi" w:hAnsiTheme="minorHAnsi" w:cstheme="minorHAnsi"/>
          <w:sz w:val="22"/>
          <w:szCs w:val="22"/>
          <w:lang w:val="fr-FR"/>
        </w:rPr>
        <w:t>COP15</w:t>
      </w:r>
      <w:r w:rsidR="00641DDB" w:rsidRPr="001961B1">
        <w:rPr>
          <w:rFonts w:asciiTheme="minorHAnsi" w:hAnsiTheme="minorHAnsi" w:cstheme="minorHAnsi"/>
          <w:sz w:val="22"/>
          <w:szCs w:val="22"/>
          <w:lang w:val="fr-FR"/>
        </w:rPr>
        <w:t xml:space="preserve">, </w:t>
      </w:r>
      <w:r w:rsidR="000A49C2" w:rsidRPr="001961B1">
        <w:rPr>
          <w:rFonts w:asciiTheme="minorHAnsi" w:hAnsiTheme="minorHAnsi" w:cstheme="minorHAnsi"/>
          <w:sz w:val="22"/>
          <w:szCs w:val="22"/>
          <w:lang w:val="fr-FR"/>
        </w:rPr>
        <w:t>54</w:t>
      </w:r>
      <w:r w:rsidR="001546E0" w:rsidRPr="001961B1">
        <w:rPr>
          <w:rFonts w:asciiTheme="minorHAnsi" w:hAnsiTheme="minorHAnsi" w:cstheme="minorHAnsi"/>
          <w:sz w:val="22"/>
          <w:szCs w:val="22"/>
          <w:lang w:val="fr-FR"/>
        </w:rPr>
        <w:t> </w:t>
      </w:r>
      <w:r w:rsidR="000A49C2" w:rsidRPr="001961B1">
        <w:rPr>
          <w:rFonts w:asciiTheme="minorHAnsi" w:hAnsiTheme="minorHAnsi" w:cstheme="minorHAnsi"/>
          <w:sz w:val="22"/>
          <w:szCs w:val="22"/>
          <w:lang w:val="fr-FR"/>
        </w:rPr>
        <w:t>%</w:t>
      </w:r>
      <w:r w:rsidR="00076741" w:rsidRPr="001961B1">
        <w:rPr>
          <w:rFonts w:asciiTheme="minorHAnsi" w:hAnsiTheme="minorHAnsi" w:cstheme="minorHAnsi"/>
          <w:sz w:val="22"/>
          <w:szCs w:val="22"/>
          <w:lang w:val="fr-FR"/>
        </w:rPr>
        <w:t xml:space="preserve"> </w:t>
      </w:r>
      <w:r w:rsidR="001546E0" w:rsidRPr="001961B1">
        <w:rPr>
          <w:rFonts w:asciiTheme="minorHAnsi" w:hAnsiTheme="minorHAnsi" w:cstheme="minorHAnsi"/>
          <w:sz w:val="22"/>
          <w:szCs w:val="22"/>
          <w:lang w:val="fr-FR"/>
        </w:rPr>
        <w:t xml:space="preserve">des Parties contractantes </w:t>
      </w:r>
      <w:r w:rsidR="009F3114" w:rsidRPr="001961B1">
        <w:rPr>
          <w:rFonts w:asciiTheme="minorHAnsi" w:hAnsiTheme="minorHAnsi" w:cstheme="minorHAnsi"/>
          <w:sz w:val="22"/>
          <w:szCs w:val="22"/>
          <w:lang w:val="fr-FR"/>
        </w:rPr>
        <w:t xml:space="preserve">signalent </w:t>
      </w:r>
      <w:r w:rsidR="00525A8E" w:rsidRPr="001961B1">
        <w:rPr>
          <w:rFonts w:asciiTheme="minorHAnsi" w:hAnsiTheme="minorHAnsi" w:cstheme="minorHAnsi"/>
          <w:sz w:val="22"/>
          <w:szCs w:val="22"/>
          <w:lang w:val="fr-FR"/>
        </w:rPr>
        <w:t>agir</w:t>
      </w:r>
      <w:r w:rsidR="009F3114" w:rsidRPr="001961B1">
        <w:rPr>
          <w:rFonts w:asciiTheme="minorHAnsi" w:hAnsiTheme="minorHAnsi" w:cstheme="minorHAnsi"/>
          <w:sz w:val="22"/>
          <w:szCs w:val="22"/>
          <w:lang w:val="fr-FR"/>
        </w:rPr>
        <w:t xml:space="preserve"> pour mettre en œuvre des mesures d’incitation qui encouragent le secteur privé à appliquer les principes d’utilisation rationnelle. </w:t>
      </w:r>
      <w:r w:rsidR="00525A8E" w:rsidRPr="001961B1">
        <w:rPr>
          <w:rFonts w:asciiTheme="minorHAnsi" w:hAnsiTheme="minorHAnsi" w:cstheme="minorHAnsi"/>
          <w:sz w:val="22"/>
          <w:szCs w:val="22"/>
          <w:lang w:val="fr-FR"/>
        </w:rPr>
        <w:t>Ce pourcentage est</w:t>
      </w:r>
      <w:r w:rsidR="002362CA" w:rsidRPr="001961B1">
        <w:rPr>
          <w:rFonts w:asciiTheme="minorHAnsi" w:hAnsiTheme="minorHAnsi" w:cstheme="minorHAnsi"/>
          <w:sz w:val="22"/>
          <w:szCs w:val="22"/>
          <w:lang w:val="fr-FR"/>
        </w:rPr>
        <w:t xml:space="preserve"> légèrement </w:t>
      </w:r>
      <w:r w:rsidR="00525A8E" w:rsidRPr="001961B1">
        <w:rPr>
          <w:rFonts w:asciiTheme="minorHAnsi" w:hAnsiTheme="minorHAnsi" w:cstheme="minorHAnsi"/>
          <w:sz w:val="22"/>
          <w:szCs w:val="22"/>
          <w:lang w:val="fr-FR"/>
        </w:rPr>
        <w:t>supérieur à</w:t>
      </w:r>
      <w:r w:rsidR="002362CA" w:rsidRPr="001961B1">
        <w:rPr>
          <w:rFonts w:asciiTheme="minorHAnsi" w:hAnsiTheme="minorHAnsi" w:cstheme="minorHAnsi"/>
          <w:sz w:val="22"/>
          <w:szCs w:val="22"/>
          <w:lang w:val="fr-FR"/>
        </w:rPr>
        <w:t xml:space="preserve"> la référence de 50 % et les Parties d’Europe et d’Amérique latine et </w:t>
      </w:r>
      <w:r w:rsidR="00A27A89" w:rsidRPr="001961B1">
        <w:rPr>
          <w:rFonts w:asciiTheme="minorHAnsi" w:hAnsiTheme="minorHAnsi" w:cstheme="minorHAnsi"/>
          <w:sz w:val="22"/>
          <w:szCs w:val="22"/>
          <w:lang w:val="fr-FR"/>
        </w:rPr>
        <w:t>Caraïbes</w:t>
      </w:r>
      <w:r w:rsidR="002362CA" w:rsidRPr="001961B1">
        <w:rPr>
          <w:rFonts w:asciiTheme="minorHAnsi" w:hAnsiTheme="minorHAnsi" w:cstheme="minorHAnsi"/>
          <w:sz w:val="22"/>
          <w:szCs w:val="22"/>
          <w:lang w:val="fr-FR"/>
        </w:rPr>
        <w:t xml:space="preserve"> </w:t>
      </w:r>
      <w:r w:rsidR="00525A8E" w:rsidRPr="001961B1">
        <w:rPr>
          <w:rFonts w:asciiTheme="minorHAnsi" w:hAnsiTheme="minorHAnsi" w:cstheme="minorHAnsi"/>
          <w:sz w:val="22"/>
          <w:szCs w:val="22"/>
          <w:lang w:val="fr-FR"/>
        </w:rPr>
        <w:t xml:space="preserve">indiquent des taux plus élevés </w:t>
      </w:r>
      <w:r w:rsidR="00FC02CE" w:rsidRPr="001961B1">
        <w:rPr>
          <w:rFonts w:asciiTheme="minorHAnsi" w:hAnsiTheme="minorHAnsi" w:cstheme="minorHAnsi"/>
          <w:sz w:val="22"/>
          <w:szCs w:val="22"/>
          <w:lang w:val="fr-FR"/>
        </w:rPr>
        <w:t xml:space="preserve">que </w:t>
      </w:r>
      <w:r w:rsidR="00525A8E" w:rsidRPr="001961B1">
        <w:rPr>
          <w:rFonts w:asciiTheme="minorHAnsi" w:hAnsiTheme="minorHAnsi" w:cstheme="minorHAnsi"/>
          <w:sz w:val="22"/>
          <w:szCs w:val="22"/>
          <w:lang w:val="fr-FR"/>
        </w:rPr>
        <w:t>les Parties</w:t>
      </w:r>
      <w:r w:rsidR="00FC02CE" w:rsidRPr="001961B1">
        <w:rPr>
          <w:rFonts w:asciiTheme="minorHAnsi" w:hAnsiTheme="minorHAnsi" w:cstheme="minorHAnsi"/>
          <w:sz w:val="22"/>
          <w:szCs w:val="22"/>
          <w:lang w:val="fr-FR"/>
        </w:rPr>
        <w:t xml:space="preserve"> d’autres régions. </w:t>
      </w:r>
      <w:r w:rsidR="00437913" w:rsidRPr="001961B1">
        <w:rPr>
          <w:rFonts w:asciiTheme="minorHAnsi" w:hAnsiTheme="minorHAnsi" w:cstheme="minorHAnsi"/>
          <w:sz w:val="22"/>
          <w:szCs w:val="22"/>
          <w:lang w:val="fr-FR"/>
        </w:rPr>
        <w:t>Le nombre de Parties qui signalent avoir agi à cet égard de manière partielle a augmenté</w:t>
      </w:r>
      <w:r w:rsidR="00FC02CE" w:rsidRPr="001961B1">
        <w:rPr>
          <w:rFonts w:asciiTheme="minorHAnsi" w:hAnsiTheme="minorHAnsi" w:cstheme="minorHAnsi"/>
          <w:sz w:val="22"/>
          <w:szCs w:val="22"/>
          <w:lang w:val="fr-FR"/>
        </w:rPr>
        <w:t xml:space="preserve"> de 9 %, et </w:t>
      </w:r>
      <w:r w:rsidR="00437913" w:rsidRPr="001961B1">
        <w:rPr>
          <w:rFonts w:asciiTheme="minorHAnsi" w:hAnsiTheme="minorHAnsi" w:cstheme="minorHAnsi"/>
          <w:sz w:val="22"/>
          <w:szCs w:val="22"/>
          <w:lang w:val="fr-FR"/>
        </w:rPr>
        <w:t xml:space="preserve">elles sont </w:t>
      </w:r>
      <w:r w:rsidR="00FC02CE" w:rsidRPr="001961B1">
        <w:rPr>
          <w:rFonts w:asciiTheme="minorHAnsi" w:hAnsiTheme="minorHAnsi" w:cstheme="minorHAnsi"/>
          <w:sz w:val="22"/>
          <w:szCs w:val="22"/>
          <w:lang w:val="fr-FR"/>
        </w:rPr>
        <w:t xml:space="preserve">relativement plus </w:t>
      </w:r>
      <w:r w:rsidR="00437913" w:rsidRPr="001961B1">
        <w:rPr>
          <w:rFonts w:asciiTheme="minorHAnsi" w:hAnsiTheme="minorHAnsi" w:cstheme="minorHAnsi"/>
          <w:sz w:val="22"/>
          <w:szCs w:val="22"/>
          <w:lang w:val="fr-FR"/>
        </w:rPr>
        <w:t xml:space="preserve">nombreuses </w:t>
      </w:r>
      <w:r w:rsidR="00FC02CE" w:rsidRPr="001961B1">
        <w:rPr>
          <w:rFonts w:asciiTheme="minorHAnsi" w:hAnsiTheme="minorHAnsi" w:cstheme="minorHAnsi"/>
          <w:sz w:val="22"/>
          <w:szCs w:val="22"/>
          <w:lang w:val="fr-FR"/>
        </w:rPr>
        <w:t xml:space="preserve">en Afrique et en Asie. </w:t>
      </w:r>
      <w:r w:rsidR="00437913" w:rsidRPr="001961B1">
        <w:rPr>
          <w:rFonts w:asciiTheme="minorHAnsi" w:hAnsiTheme="minorHAnsi" w:cstheme="minorHAnsi"/>
          <w:sz w:val="22"/>
          <w:szCs w:val="22"/>
          <w:lang w:val="fr-FR"/>
        </w:rPr>
        <w:t>Par rapport à la référence de 37 %, 43 % des Parties indiquent avoir pris d</w:t>
      </w:r>
      <w:r w:rsidR="00FC02CE" w:rsidRPr="001961B1">
        <w:rPr>
          <w:rFonts w:asciiTheme="minorHAnsi" w:hAnsiTheme="minorHAnsi" w:cstheme="minorHAnsi"/>
          <w:sz w:val="22"/>
          <w:szCs w:val="22"/>
          <w:lang w:val="fr-FR"/>
        </w:rPr>
        <w:t xml:space="preserve">es mesures pour éliminer </w:t>
      </w:r>
      <w:r w:rsidR="00437913" w:rsidRPr="001961B1">
        <w:rPr>
          <w:rFonts w:asciiTheme="minorHAnsi" w:hAnsiTheme="minorHAnsi" w:cstheme="minorHAnsi"/>
          <w:sz w:val="22"/>
          <w:szCs w:val="22"/>
          <w:lang w:val="fr-FR"/>
        </w:rPr>
        <w:t>l</w:t>
      </w:r>
      <w:r w:rsidR="00FC02CE" w:rsidRPr="001961B1">
        <w:rPr>
          <w:rFonts w:asciiTheme="minorHAnsi" w:hAnsiTheme="minorHAnsi" w:cstheme="minorHAnsi"/>
          <w:sz w:val="22"/>
          <w:szCs w:val="22"/>
          <w:lang w:val="fr-FR"/>
        </w:rPr>
        <w:t xml:space="preserve">es incitations perverses qui entraînent la dégradation et la perte des zones humides, mais </w:t>
      </w:r>
      <w:r w:rsidR="00437913" w:rsidRPr="001961B1">
        <w:rPr>
          <w:rFonts w:asciiTheme="minorHAnsi" w:hAnsiTheme="minorHAnsi" w:cstheme="minorHAnsi"/>
          <w:sz w:val="22"/>
          <w:szCs w:val="22"/>
          <w:lang w:val="fr-FR"/>
        </w:rPr>
        <w:t>le</w:t>
      </w:r>
      <w:r w:rsidR="00FC02CE" w:rsidRPr="001961B1">
        <w:rPr>
          <w:rFonts w:asciiTheme="minorHAnsi" w:hAnsiTheme="minorHAnsi" w:cstheme="minorHAnsi"/>
          <w:sz w:val="22"/>
          <w:szCs w:val="22"/>
          <w:lang w:val="fr-FR"/>
        </w:rPr>
        <w:t xml:space="preserve"> nombre de Parties qui </w:t>
      </w:r>
      <w:r w:rsidR="00437913" w:rsidRPr="001961B1">
        <w:rPr>
          <w:rFonts w:asciiTheme="minorHAnsi" w:hAnsiTheme="minorHAnsi" w:cstheme="minorHAnsi"/>
          <w:sz w:val="22"/>
          <w:szCs w:val="22"/>
          <w:lang w:val="fr-FR"/>
        </w:rPr>
        <w:t>indiquent prévoir</w:t>
      </w:r>
      <w:r w:rsidR="00FC02CE" w:rsidRPr="001961B1">
        <w:rPr>
          <w:rFonts w:asciiTheme="minorHAnsi" w:hAnsiTheme="minorHAnsi" w:cstheme="minorHAnsi"/>
          <w:sz w:val="22"/>
          <w:szCs w:val="22"/>
          <w:lang w:val="fr-FR"/>
        </w:rPr>
        <w:t xml:space="preserve"> de le faire</w:t>
      </w:r>
      <w:r w:rsidR="00437913" w:rsidRPr="001961B1">
        <w:rPr>
          <w:rFonts w:asciiTheme="minorHAnsi" w:hAnsiTheme="minorHAnsi" w:cstheme="minorHAnsi"/>
          <w:sz w:val="22"/>
          <w:szCs w:val="22"/>
          <w:lang w:val="fr-FR"/>
        </w:rPr>
        <w:t xml:space="preserve"> a diminué</w:t>
      </w:r>
      <w:r w:rsidR="00FC02CE" w:rsidRPr="001961B1">
        <w:rPr>
          <w:rFonts w:asciiTheme="minorHAnsi" w:hAnsiTheme="minorHAnsi" w:cstheme="minorHAnsi"/>
          <w:sz w:val="22"/>
          <w:szCs w:val="22"/>
          <w:lang w:val="fr-FR"/>
        </w:rPr>
        <w:t>, de 21 % à 15 %. Toutefois, il y a une diminution générale du pourcentage de Parties contractantes qui mettent en place des politiques, y compris des incitations, lignes directrices et autres instruments</w:t>
      </w:r>
      <w:r w:rsidR="00437913" w:rsidRPr="001961B1">
        <w:rPr>
          <w:rFonts w:asciiTheme="minorHAnsi" w:hAnsiTheme="minorHAnsi" w:cstheme="minorHAnsi"/>
          <w:sz w:val="22"/>
          <w:szCs w:val="22"/>
          <w:lang w:val="fr-FR"/>
        </w:rPr>
        <w:t>,</w:t>
      </w:r>
      <w:r w:rsidR="00FC02CE" w:rsidRPr="001961B1">
        <w:rPr>
          <w:rFonts w:asciiTheme="minorHAnsi" w:hAnsiTheme="minorHAnsi" w:cstheme="minorHAnsi"/>
          <w:sz w:val="22"/>
          <w:szCs w:val="22"/>
          <w:lang w:val="fr-FR"/>
        </w:rPr>
        <w:t xml:space="preserve"> pour encourager le secteur privé à appliquer les principes d’utilisation rationnelle</w:t>
      </w:r>
      <w:r w:rsidR="00437913" w:rsidRPr="001961B1">
        <w:rPr>
          <w:rFonts w:asciiTheme="minorHAnsi" w:hAnsiTheme="minorHAnsi" w:cstheme="minorHAnsi"/>
          <w:sz w:val="22"/>
          <w:szCs w:val="22"/>
          <w:lang w:val="fr-FR"/>
        </w:rPr>
        <w:t> : le pourcentage est passé</w:t>
      </w:r>
      <w:r w:rsidR="00FC02CE" w:rsidRPr="001961B1">
        <w:rPr>
          <w:rFonts w:asciiTheme="minorHAnsi" w:hAnsiTheme="minorHAnsi" w:cstheme="minorHAnsi"/>
          <w:sz w:val="22"/>
          <w:szCs w:val="22"/>
          <w:lang w:val="fr-FR"/>
        </w:rPr>
        <w:t xml:space="preserve"> de 45 % à la COP12 à 36 % pour la COP15.</w:t>
      </w:r>
      <w:r w:rsidR="00804F28" w:rsidRPr="001961B1">
        <w:rPr>
          <w:rFonts w:asciiTheme="minorHAnsi" w:hAnsiTheme="minorHAnsi" w:cstheme="minorHAnsi"/>
          <w:sz w:val="22"/>
          <w:szCs w:val="22"/>
          <w:lang w:val="fr-FR"/>
        </w:rPr>
        <w:t xml:space="preserve"> </w:t>
      </w:r>
    </w:p>
    <w:p w14:paraId="4E3B1BE8" w14:textId="77777777" w:rsidR="00CA6DA7" w:rsidRPr="001961B1" w:rsidRDefault="00CA6DA7" w:rsidP="000E3338">
      <w:pPr>
        <w:ind w:left="567" w:hanging="567"/>
        <w:rPr>
          <w:rFonts w:asciiTheme="minorHAnsi" w:hAnsiTheme="minorHAnsi" w:cstheme="minorHAnsi"/>
          <w:sz w:val="22"/>
          <w:szCs w:val="22"/>
          <w:lang w:val="fr-FR"/>
        </w:rPr>
      </w:pPr>
    </w:p>
    <w:p w14:paraId="6E1BB45A" w14:textId="1D32CF0D" w:rsidR="006A5EA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eastAsia="fr-FR"/>
        </w:rPr>
        <w:t>Au moment de</w:t>
      </w:r>
      <w:r w:rsidR="00AB390C" w:rsidRPr="001961B1">
        <w:rPr>
          <w:rFonts w:asciiTheme="minorHAnsi" w:hAnsiTheme="minorHAnsi" w:cstheme="minorHAnsi"/>
          <w:sz w:val="22"/>
          <w:szCs w:val="22"/>
          <w:lang w:val="fr-FR"/>
        </w:rPr>
        <w:t xml:space="preserve"> la </w:t>
      </w:r>
      <w:r w:rsidR="00147B41" w:rsidRPr="001961B1">
        <w:rPr>
          <w:rFonts w:asciiTheme="minorHAnsi" w:hAnsiTheme="minorHAnsi" w:cstheme="minorHAnsi"/>
          <w:sz w:val="22"/>
          <w:szCs w:val="22"/>
          <w:lang w:val="fr-FR"/>
        </w:rPr>
        <w:t xml:space="preserve">COP15, </w:t>
      </w:r>
      <w:r w:rsidR="00283004" w:rsidRPr="001961B1">
        <w:rPr>
          <w:rFonts w:asciiTheme="minorHAnsi" w:hAnsiTheme="minorHAnsi" w:cstheme="minorHAnsi"/>
          <w:sz w:val="22"/>
          <w:szCs w:val="22"/>
          <w:lang w:val="fr-FR"/>
        </w:rPr>
        <w:t>45</w:t>
      </w:r>
      <w:r w:rsidR="00AB390C" w:rsidRPr="001961B1">
        <w:rPr>
          <w:rFonts w:asciiTheme="minorHAnsi" w:hAnsiTheme="minorHAnsi" w:cstheme="minorHAnsi"/>
          <w:sz w:val="22"/>
          <w:szCs w:val="22"/>
          <w:lang w:val="fr-FR"/>
        </w:rPr>
        <w:t> </w:t>
      </w:r>
      <w:r w:rsidR="00283004" w:rsidRPr="001961B1">
        <w:rPr>
          <w:rFonts w:asciiTheme="minorHAnsi" w:hAnsiTheme="minorHAnsi" w:cstheme="minorHAnsi"/>
          <w:sz w:val="22"/>
          <w:szCs w:val="22"/>
          <w:lang w:val="fr-FR"/>
        </w:rPr>
        <w:t xml:space="preserve">% </w:t>
      </w:r>
      <w:r w:rsidR="00AB390C" w:rsidRPr="001961B1">
        <w:rPr>
          <w:rFonts w:asciiTheme="minorHAnsi" w:hAnsiTheme="minorHAnsi" w:cstheme="minorHAnsi"/>
          <w:sz w:val="22"/>
          <w:szCs w:val="22"/>
          <w:lang w:val="fr-FR"/>
        </w:rPr>
        <w:t>des Parties contractantes signalent que des mesures ont été prises par le secteur privé pour appliquer les principes d’utilisation rationnelle pour les zones humides en général – ce qui ne représente aucun changement depuis la COP13 et qui est bien en dessous de la référence de 60 %. Le pourcentage est légèrement plus élevé</w:t>
      </w:r>
      <w:r w:rsidR="00536C9A" w:rsidRPr="001961B1">
        <w:rPr>
          <w:rFonts w:asciiTheme="minorHAnsi" w:hAnsiTheme="minorHAnsi" w:cstheme="minorHAnsi"/>
          <w:sz w:val="22"/>
          <w:szCs w:val="22"/>
          <w:lang w:val="fr-FR"/>
        </w:rPr>
        <w:t xml:space="preserve"> (</w:t>
      </w:r>
      <w:r w:rsidR="00AB390C" w:rsidRPr="001961B1">
        <w:rPr>
          <w:rFonts w:asciiTheme="minorHAnsi" w:hAnsiTheme="minorHAnsi" w:cstheme="minorHAnsi"/>
          <w:sz w:val="22"/>
          <w:szCs w:val="22"/>
          <w:lang w:val="fr-FR"/>
        </w:rPr>
        <w:t>50 %</w:t>
      </w:r>
      <w:r w:rsidR="00536C9A" w:rsidRPr="001961B1">
        <w:rPr>
          <w:rFonts w:asciiTheme="minorHAnsi" w:hAnsiTheme="minorHAnsi" w:cstheme="minorHAnsi"/>
          <w:sz w:val="22"/>
          <w:szCs w:val="22"/>
          <w:lang w:val="fr-FR"/>
        </w:rPr>
        <w:t>)</w:t>
      </w:r>
      <w:r w:rsidR="00AB390C" w:rsidRPr="001961B1">
        <w:rPr>
          <w:rFonts w:asciiTheme="minorHAnsi" w:hAnsiTheme="minorHAnsi" w:cstheme="minorHAnsi"/>
          <w:sz w:val="22"/>
          <w:szCs w:val="22"/>
          <w:lang w:val="fr-FR"/>
        </w:rPr>
        <w:t xml:space="preserve"> pour les zones humides d’importance internationale.</w:t>
      </w:r>
      <w:r w:rsidR="00330CC1" w:rsidRPr="001961B1">
        <w:rPr>
          <w:rFonts w:asciiTheme="minorHAnsi" w:hAnsiTheme="minorHAnsi" w:cstheme="minorHAnsi"/>
          <w:sz w:val="22"/>
          <w:szCs w:val="22"/>
          <w:lang w:val="fr-FR"/>
        </w:rPr>
        <w:t xml:space="preserve"> </w:t>
      </w:r>
    </w:p>
    <w:p w14:paraId="13D6D4A0" w14:textId="77777777" w:rsidR="00CA6DA7" w:rsidRPr="001961B1" w:rsidRDefault="00CA6DA7" w:rsidP="000E3338">
      <w:pPr>
        <w:ind w:left="567" w:hanging="567"/>
        <w:rPr>
          <w:rFonts w:asciiTheme="minorHAnsi" w:hAnsiTheme="minorHAnsi" w:cstheme="minorHAnsi"/>
          <w:sz w:val="22"/>
          <w:szCs w:val="22"/>
          <w:lang w:val="fr-FR"/>
        </w:rPr>
      </w:pPr>
    </w:p>
    <w:p w14:paraId="1EABBC49" w14:textId="0FAFA4CF" w:rsidR="00D55DD7"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4</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0B504B" w:rsidRPr="001961B1">
        <w:rPr>
          <w:rFonts w:asciiTheme="minorHAnsi" w:hAnsiTheme="minorHAnsi" w:cstheme="minorHAnsi"/>
          <w:sz w:val="22"/>
          <w:szCs w:val="22"/>
          <w:lang w:val="fr-FR"/>
        </w:rPr>
        <w:t xml:space="preserve">Les réponses </w:t>
      </w:r>
      <w:r w:rsidR="009E6C20" w:rsidRPr="001961B1">
        <w:rPr>
          <w:rFonts w:asciiTheme="minorHAnsi" w:hAnsiTheme="minorHAnsi" w:cstheme="minorHAnsi"/>
          <w:sz w:val="22"/>
          <w:szCs w:val="22"/>
          <w:lang w:val="fr-FR"/>
        </w:rPr>
        <w:t>narratives données</w:t>
      </w:r>
      <w:r w:rsidR="000B504B" w:rsidRPr="001961B1">
        <w:rPr>
          <w:rFonts w:asciiTheme="minorHAnsi" w:hAnsiTheme="minorHAnsi" w:cstheme="minorHAnsi"/>
          <w:sz w:val="22"/>
          <w:szCs w:val="22"/>
          <w:lang w:val="fr-FR"/>
        </w:rPr>
        <w:t xml:space="preserve"> dans les Rapports nationaux sont devenues plus détaillées avec le temps</w:t>
      </w:r>
      <w:r w:rsidR="003A14CF" w:rsidRPr="001961B1">
        <w:rPr>
          <w:rFonts w:asciiTheme="minorHAnsi" w:hAnsiTheme="minorHAnsi" w:cstheme="minorHAnsi"/>
          <w:sz w:val="22"/>
          <w:szCs w:val="22"/>
          <w:lang w:val="fr-FR"/>
        </w:rPr>
        <w:t xml:space="preserve">, et l’accent </w:t>
      </w:r>
      <w:r w:rsidR="009E6C20" w:rsidRPr="001961B1">
        <w:rPr>
          <w:rFonts w:asciiTheme="minorHAnsi" w:hAnsiTheme="minorHAnsi" w:cstheme="minorHAnsi"/>
          <w:sz w:val="22"/>
          <w:szCs w:val="22"/>
          <w:lang w:val="fr-FR"/>
        </w:rPr>
        <w:t>porte</w:t>
      </w:r>
      <w:r w:rsidR="003A14CF" w:rsidRPr="001961B1">
        <w:rPr>
          <w:rFonts w:asciiTheme="minorHAnsi" w:hAnsiTheme="minorHAnsi" w:cstheme="minorHAnsi"/>
          <w:sz w:val="22"/>
          <w:szCs w:val="22"/>
          <w:lang w:val="fr-FR"/>
        </w:rPr>
        <w:t xml:space="preserve"> de plus en plus sur la mise en œuvre de toute une gamme d’activités, y compris de</w:t>
      </w:r>
      <w:r w:rsidR="009E6C20" w:rsidRPr="001961B1">
        <w:rPr>
          <w:rFonts w:asciiTheme="minorHAnsi" w:hAnsiTheme="minorHAnsi" w:cstheme="minorHAnsi"/>
          <w:sz w:val="22"/>
          <w:szCs w:val="22"/>
          <w:lang w:val="fr-FR"/>
        </w:rPr>
        <w:t>s</w:t>
      </w:r>
      <w:r w:rsidR="003A14CF" w:rsidRPr="001961B1">
        <w:rPr>
          <w:rFonts w:asciiTheme="minorHAnsi" w:hAnsiTheme="minorHAnsi" w:cstheme="minorHAnsi"/>
          <w:sz w:val="22"/>
          <w:szCs w:val="22"/>
          <w:lang w:val="fr-FR"/>
        </w:rPr>
        <w:t xml:space="preserve"> projets pilotes, de</w:t>
      </w:r>
      <w:r w:rsidR="009E6C20" w:rsidRPr="001961B1">
        <w:rPr>
          <w:rFonts w:asciiTheme="minorHAnsi" w:hAnsiTheme="minorHAnsi" w:cstheme="minorHAnsi"/>
          <w:sz w:val="22"/>
          <w:szCs w:val="22"/>
          <w:lang w:val="fr-FR"/>
        </w:rPr>
        <w:t>s</w:t>
      </w:r>
      <w:r w:rsidR="003A14CF" w:rsidRPr="001961B1">
        <w:rPr>
          <w:rFonts w:asciiTheme="minorHAnsi" w:hAnsiTheme="minorHAnsi" w:cstheme="minorHAnsi"/>
          <w:sz w:val="22"/>
          <w:szCs w:val="22"/>
          <w:lang w:val="fr-FR"/>
        </w:rPr>
        <w:t xml:space="preserve"> réformes légales, </w:t>
      </w:r>
      <w:r w:rsidR="009E6C20" w:rsidRPr="001961B1">
        <w:rPr>
          <w:rFonts w:asciiTheme="minorHAnsi" w:hAnsiTheme="minorHAnsi" w:cstheme="minorHAnsi"/>
          <w:sz w:val="22"/>
          <w:szCs w:val="22"/>
          <w:lang w:val="fr-FR"/>
        </w:rPr>
        <w:t>la</w:t>
      </w:r>
      <w:r w:rsidR="003A14CF" w:rsidRPr="001961B1">
        <w:rPr>
          <w:rFonts w:asciiTheme="minorHAnsi" w:hAnsiTheme="minorHAnsi" w:cstheme="minorHAnsi"/>
          <w:sz w:val="22"/>
          <w:szCs w:val="22"/>
          <w:lang w:val="fr-FR"/>
        </w:rPr>
        <w:t xml:space="preserve"> formation et </w:t>
      </w:r>
      <w:r w:rsidR="009E6C20" w:rsidRPr="001961B1">
        <w:rPr>
          <w:rFonts w:asciiTheme="minorHAnsi" w:hAnsiTheme="minorHAnsi" w:cstheme="minorHAnsi"/>
          <w:sz w:val="22"/>
          <w:szCs w:val="22"/>
          <w:lang w:val="fr-FR"/>
        </w:rPr>
        <w:t>l</w:t>
      </w:r>
      <w:r w:rsidR="003A14CF" w:rsidRPr="001961B1">
        <w:rPr>
          <w:rFonts w:asciiTheme="minorHAnsi" w:hAnsiTheme="minorHAnsi" w:cstheme="minorHAnsi"/>
          <w:sz w:val="22"/>
          <w:szCs w:val="22"/>
          <w:lang w:val="fr-FR"/>
        </w:rPr>
        <w:t xml:space="preserve">’engagement des parties prenantes. </w:t>
      </w:r>
      <w:r w:rsidR="009E6C20" w:rsidRPr="001961B1">
        <w:rPr>
          <w:rFonts w:asciiTheme="minorHAnsi" w:hAnsiTheme="minorHAnsi" w:cstheme="minorHAnsi"/>
          <w:sz w:val="22"/>
          <w:szCs w:val="22"/>
          <w:lang w:val="fr-FR"/>
        </w:rPr>
        <w:t>On constate</w:t>
      </w:r>
      <w:r w:rsidR="003A14CF" w:rsidRPr="001961B1">
        <w:rPr>
          <w:rFonts w:asciiTheme="minorHAnsi" w:hAnsiTheme="minorHAnsi" w:cstheme="minorHAnsi"/>
          <w:sz w:val="22"/>
          <w:szCs w:val="22"/>
          <w:lang w:val="fr-FR"/>
        </w:rPr>
        <w:t xml:space="preserve"> un déplacement des contributions philanthropiques pour financer la protection et la gestion des zones humides </w:t>
      </w:r>
      <w:r w:rsidR="003974C9" w:rsidRPr="001961B1">
        <w:rPr>
          <w:rFonts w:asciiTheme="minorHAnsi" w:hAnsiTheme="minorHAnsi" w:cstheme="minorHAnsi"/>
          <w:sz w:val="22"/>
          <w:szCs w:val="22"/>
          <w:lang w:val="fr-FR"/>
        </w:rPr>
        <w:t xml:space="preserve">vers des partenariats plus structurés et des modèles de cogestion. </w:t>
      </w:r>
      <w:r w:rsidR="00AC57B6" w:rsidRPr="001961B1">
        <w:rPr>
          <w:rFonts w:asciiTheme="minorHAnsi" w:hAnsiTheme="minorHAnsi" w:cstheme="minorHAnsi"/>
          <w:sz w:val="22"/>
          <w:szCs w:val="22"/>
          <w:lang w:val="fr-FR"/>
        </w:rPr>
        <w:t xml:space="preserve">Les nombreux exemples concrets fournis par les Parties </w:t>
      </w:r>
      <w:r w:rsidR="009E6C20" w:rsidRPr="001961B1">
        <w:rPr>
          <w:rFonts w:asciiTheme="minorHAnsi" w:hAnsiTheme="minorHAnsi" w:cstheme="minorHAnsi"/>
          <w:sz w:val="22"/>
          <w:szCs w:val="22"/>
          <w:lang w:val="fr-FR"/>
        </w:rPr>
        <w:t xml:space="preserve">contractantes </w:t>
      </w:r>
      <w:r w:rsidR="00AC57B6" w:rsidRPr="001961B1">
        <w:rPr>
          <w:rFonts w:asciiTheme="minorHAnsi" w:hAnsiTheme="minorHAnsi" w:cstheme="minorHAnsi"/>
          <w:sz w:val="22"/>
          <w:szCs w:val="22"/>
          <w:lang w:val="fr-FR"/>
        </w:rPr>
        <w:t xml:space="preserve">suggèrent un élargissement du rôle du secteur privé, </w:t>
      </w:r>
      <w:r w:rsidR="005E5DF8" w:rsidRPr="001961B1">
        <w:rPr>
          <w:rFonts w:asciiTheme="minorHAnsi" w:hAnsiTheme="minorHAnsi" w:cstheme="minorHAnsi"/>
          <w:sz w:val="22"/>
          <w:szCs w:val="22"/>
          <w:lang w:val="fr-FR"/>
        </w:rPr>
        <w:t>mais</w:t>
      </w:r>
      <w:r w:rsidR="00AC57B6" w:rsidRPr="001961B1">
        <w:rPr>
          <w:rFonts w:asciiTheme="minorHAnsi" w:hAnsiTheme="minorHAnsi" w:cstheme="minorHAnsi"/>
          <w:sz w:val="22"/>
          <w:szCs w:val="22"/>
          <w:lang w:val="fr-FR"/>
        </w:rPr>
        <w:t xml:space="preserve"> un appui plus </w:t>
      </w:r>
      <w:r w:rsidR="009E6C20" w:rsidRPr="001961B1">
        <w:rPr>
          <w:rFonts w:asciiTheme="minorHAnsi" w:hAnsiTheme="minorHAnsi" w:cstheme="minorHAnsi"/>
          <w:sz w:val="22"/>
          <w:szCs w:val="22"/>
          <w:lang w:val="fr-FR"/>
        </w:rPr>
        <w:t>général</w:t>
      </w:r>
      <w:r w:rsidR="005E5DF8" w:rsidRPr="001961B1">
        <w:rPr>
          <w:rFonts w:asciiTheme="minorHAnsi" w:hAnsiTheme="minorHAnsi" w:cstheme="minorHAnsi"/>
          <w:sz w:val="22"/>
          <w:szCs w:val="22"/>
          <w:lang w:val="fr-FR"/>
        </w:rPr>
        <w:t xml:space="preserve"> est nécessaire pour </w:t>
      </w:r>
      <w:r w:rsidR="009E6C20" w:rsidRPr="001961B1">
        <w:rPr>
          <w:rFonts w:asciiTheme="minorHAnsi" w:hAnsiTheme="minorHAnsi" w:cstheme="minorHAnsi"/>
          <w:sz w:val="22"/>
          <w:szCs w:val="22"/>
          <w:lang w:val="fr-FR"/>
        </w:rPr>
        <w:t>amplifier</w:t>
      </w:r>
      <w:r w:rsidR="005E5DF8" w:rsidRPr="001961B1">
        <w:rPr>
          <w:rFonts w:asciiTheme="minorHAnsi" w:hAnsiTheme="minorHAnsi" w:cstheme="minorHAnsi"/>
          <w:sz w:val="22"/>
          <w:szCs w:val="22"/>
          <w:lang w:val="fr-FR"/>
        </w:rPr>
        <w:t xml:space="preserve"> ces modèles.</w:t>
      </w:r>
      <w:r w:rsidR="00AA23F3" w:rsidRPr="001961B1">
        <w:rPr>
          <w:rFonts w:asciiTheme="minorHAnsi" w:hAnsiTheme="minorHAnsi" w:cstheme="minorHAnsi"/>
          <w:sz w:val="22"/>
          <w:szCs w:val="22"/>
          <w:lang w:val="fr-FR"/>
        </w:rPr>
        <w:t xml:space="preserve"> </w:t>
      </w:r>
    </w:p>
    <w:bookmarkEnd w:id="1"/>
    <w:p w14:paraId="2AC94DC7" w14:textId="77777777" w:rsidR="00556B84" w:rsidRPr="001961B1" w:rsidRDefault="00556B84" w:rsidP="000E3338">
      <w:pPr>
        <w:ind w:left="567" w:hanging="567"/>
        <w:rPr>
          <w:rFonts w:asciiTheme="minorHAnsi" w:hAnsiTheme="minorHAnsi" w:cstheme="minorHAnsi"/>
          <w:sz w:val="22"/>
          <w:szCs w:val="22"/>
          <w:lang w:val="fr-FR"/>
        </w:rPr>
      </w:pPr>
    </w:p>
    <w:p w14:paraId="1151CE58" w14:textId="70B9C51D" w:rsidR="00513FF5"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5E5DF8" w:rsidRPr="001961B1">
        <w:rPr>
          <w:rFonts w:asciiTheme="minorHAnsi" w:hAnsiTheme="minorHAnsi" w:cstheme="minorHAnsi"/>
          <w:sz w:val="22"/>
          <w:szCs w:val="22"/>
          <w:lang w:val="fr-FR"/>
        </w:rPr>
        <w:t xml:space="preserve">Quelques réformes ont été entreprises mais de nombreuses Parties contractantes </w:t>
      </w:r>
      <w:r w:rsidR="002A5E81" w:rsidRPr="001961B1">
        <w:rPr>
          <w:rFonts w:asciiTheme="minorHAnsi" w:hAnsiTheme="minorHAnsi" w:cstheme="minorHAnsi"/>
          <w:sz w:val="22"/>
          <w:szCs w:val="22"/>
          <w:lang w:val="fr-FR"/>
        </w:rPr>
        <w:t>s</w:t>
      </w:r>
      <w:r w:rsidR="006A39B7" w:rsidRPr="001961B1">
        <w:rPr>
          <w:rFonts w:asciiTheme="minorHAnsi" w:hAnsiTheme="minorHAnsi" w:cstheme="minorHAnsi"/>
          <w:sz w:val="22"/>
          <w:szCs w:val="22"/>
          <w:lang w:val="fr-FR"/>
        </w:rPr>
        <w:t xml:space="preserve">ont encore </w:t>
      </w:r>
      <w:r w:rsidR="002A5E81" w:rsidRPr="001961B1">
        <w:rPr>
          <w:rFonts w:asciiTheme="minorHAnsi" w:hAnsiTheme="minorHAnsi" w:cstheme="minorHAnsi"/>
          <w:sz w:val="22"/>
          <w:szCs w:val="22"/>
          <w:lang w:val="fr-FR"/>
        </w:rPr>
        <w:t>confrontées</w:t>
      </w:r>
      <w:r w:rsidR="005E5DF8" w:rsidRPr="001961B1">
        <w:rPr>
          <w:rFonts w:asciiTheme="minorHAnsi" w:hAnsiTheme="minorHAnsi" w:cstheme="minorHAnsi"/>
          <w:sz w:val="22"/>
          <w:szCs w:val="22"/>
          <w:lang w:val="fr-FR"/>
        </w:rPr>
        <w:t xml:space="preserve"> à des obstacles, y compris une capacité technique limitée. Lutter contre les incitations préjudiciables est un défi systémique nécessitant des changements politiques et institutionnels face à une gouvernance fragmentée, une coordination</w:t>
      </w:r>
      <w:r w:rsidR="002A5E81" w:rsidRPr="001961B1">
        <w:rPr>
          <w:rFonts w:asciiTheme="minorHAnsi" w:hAnsiTheme="minorHAnsi" w:cstheme="minorHAnsi"/>
          <w:sz w:val="22"/>
          <w:szCs w:val="22"/>
          <w:lang w:val="fr-FR"/>
        </w:rPr>
        <w:t xml:space="preserve"> insuffisante</w:t>
      </w:r>
      <w:r w:rsidR="005E5DF8" w:rsidRPr="001961B1">
        <w:rPr>
          <w:rFonts w:asciiTheme="minorHAnsi" w:hAnsiTheme="minorHAnsi" w:cstheme="minorHAnsi"/>
          <w:sz w:val="22"/>
          <w:szCs w:val="22"/>
          <w:lang w:val="fr-FR"/>
        </w:rPr>
        <w:t xml:space="preserve"> et des intérêts économiques </w:t>
      </w:r>
      <w:r w:rsidR="002A5E81" w:rsidRPr="001961B1">
        <w:rPr>
          <w:rFonts w:asciiTheme="minorHAnsi" w:hAnsiTheme="minorHAnsi" w:cstheme="minorHAnsi"/>
          <w:sz w:val="22"/>
          <w:szCs w:val="22"/>
          <w:lang w:val="fr-FR"/>
        </w:rPr>
        <w:t>profondément ancré</w:t>
      </w:r>
      <w:r w:rsidR="005E5DF8" w:rsidRPr="001961B1">
        <w:rPr>
          <w:rFonts w:asciiTheme="minorHAnsi" w:hAnsiTheme="minorHAnsi" w:cstheme="minorHAnsi"/>
          <w:sz w:val="22"/>
          <w:szCs w:val="22"/>
          <w:lang w:val="fr-FR"/>
        </w:rPr>
        <w:t xml:space="preserve">s. Les </w:t>
      </w:r>
      <w:r w:rsidR="00E2275E" w:rsidRPr="001961B1">
        <w:rPr>
          <w:rFonts w:asciiTheme="minorHAnsi" w:hAnsiTheme="minorHAnsi" w:cstheme="minorHAnsi"/>
          <w:sz w:val="22"/>
          <w:szCs w:val="22"/>
          <w:lang w:val="fr-FR"/>
        </w:rPr>
        <w:t xml:space="preserve">Parties </w:t>
      </w:r>
      <w:r w:rsidR="005E5DF8" w:rsidRPr="001961B1">
        <w:rPr>
          <w:rFonts w:asciiTheme="minorHAnsi" w:hAnsiTheme="minorHAnsi" w:cstheme="minorHAnsi"/>
          <w:sz w:val="22"/>
          <w:szCs w:val="22"/>
          <w:lang w:val="fr-FR"/>
        </w:rPr>
        <w:t xml:space="preserve">indiquent que pour faire progresser la mise en œuvre, il faudra des capacités administratives et techniques renforcées, un soutien financier ciblé, des mécanismes clairs de suivi et d’application des politiques, la promotion d’approches intégrées qui associent règlements, incitations et sensibilisation de la communauté, et </w:t>
      </w:r>
      <w:r w:rsidR="002A5E81" w:rsidRPr="001961B1">
        <w:rPr>
          <w:rFonts w:asciiTheme="minorHAnsi" w:hAnsiTheme="minorHAnsi" w:cstheme="minorHAnsi"/>
          <w:sz w:val="22"/>
          <w:szCs w:val="22"/>
          <w:lang w:val="fr-FR"/>
        </w:rPr>
        <w:t xml:space="preserve">élaborer des </w:t>
      </w:r>
      <w:r w:rsidR="005E5DF8" w:rsidRPr="001961B1">
        <w:rPr>
          <w:rFonts w:asciiTheme="minorHAnsi" w:hAnsiTheme="minorHAnsi" w:cstheme="minorHAnsi"/>
          <w:sz w:val="22"/>
          <w:szCs w:val="22"/>
          <w:lang w:val="fr-FR"/>
        </w:rPr>
        <w:t>orientations appropriées.</w:t>
      </w:r>
      <w:r w:rsidR="008471D7" w:rsidRPr="001961B1">
        <w:rPr>
          <w:rFonts w:asciiTheme="minorHAnsi" w:hAnsiTheme="minorHAnsi" w:cstheme="minorHAnsi"/>
          <w:sz w:val="22"/>
          <w:szCs w:val="22"/>
          <w:lang w:val="fr-FR"/>
        </w:rPr>
        <w:t xml:space="preserve"> </w:t>
      </w:r>
    </w:p>
    <w:p w14:paraId="052234CE" w14:textId="77777777" w:rsidR="00513FF5" w:rsidRPr="001961B1" w:rsidRDefault="00513FF5" w:rsidP="00A338FF">
      <w:pPr>
        <w:rPr>
          <w:rFonts w:asciiTheme="minorHAnsi" w:hAnsiTheme="minorHAnsi" w:cstheme="minorHAnsi"/>
          <w:sz w:val="22"/>
          <w:szCs w:val="22"/>
          <w:lang w:val="fr-FR"/>
        </w:rPr>
      </w:pPr>
    </w:p>
    <w:p w14:paraId="4909AC0A" w14:textId="77777777" w:rsidR="003E56FD" w:rsidRPr="001961B1" w:rsidRDefault="003E56FD" w:rsidP="00A338FF">
      <w:pPr>
        <w:rPr>
          <w:rFonts w:asciiTheme="minorHAnsi" w:hAnsiTheme="minorHAnsi" w:cstheme="minorHAnsi"/>
          <w:sz w:val="22"/>
          <w:szCs w:val="22"/>
          <w:lang w:val="fr-FR"/>
        </w:rPr>
      </w:pPr>
    </w:p>
    <w:tbl>
      <w:tblPr>
        <w:tblStyle w:val="TableGrid16"/>
        <w:tblW w:w="9356" w:type="dxa"/>
        <w:tblLook w:val="04A0" w:firstRow="1" w:lastRow="0" w:firstColumn="1" w:lastColumn="0" w:noHBand="0" w:noVBand="1"/>
      </w:tblPr>
      <w:tblGrid>
        <w:gridCol w:w="9356"/>
      </w:tblGrid>
      <w:tr w:rsidR="00BB3D72" w:rsidRPr="001961B1" w14:paraId="109FA6FC" w14:textId="77777777" w:rsidTr="00C3536E">
        <w:tc>
          <w:tcPr>
            <w:tcW w:w="9356" w:type="dxa"/>
            <w:vAlign w:val="center"/>
          </w:tcPr>
          <w:p w14:paraId="67689BEE" w14:textId="78ADD1C9" w:rsidR="00BB3D72" w:rsidRPr="001961B1" w:rsidRDefault="00BF56A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BB3D72" w:rsidRPr="001961B1">
              <w:rPr>
                <w:rFonts w:asciiTheme="minorHAnsi" w:hAnsiTheme="minorHAnsi" w:cstheme="minorHAnsi"/>
                <w:b/>
                <w:sz w:val="22"/>
                <w:szCs w:val="22"/>
                <w:lang w:val="fr-FR" w:eastAsia="fr-FR"/>
              </w:rPr>
              <w:t xml:space="preserve"> 4. </w:t>
            </w:r>
            <w:r w:rsidRPr="001961B1">
              <w:rPr>
                <w:rFonts w:asciiTheme="minorHAnsi" w:hAnsiTheme="minorHAnsi" w:cstheme="minorHAnsi"/>
                <w:b/>
                <w:sz w:val="22"/>
                <w:szCs w:val="22"/>
                <w:lang w:val="fr-FR" w:eastAsia="fr-FR"/>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r w:rsidR="00BB3D72" w:rsidRPr="001961B1">
              <w:rPr>
                <w:rFonts w:asciiTheme="minorHAnsi" w:hAnsiTheme="minorHAnsi" w:cstheme="minorHAnsi"/>
                <w:b/>
                <w:sz w:val="22"/>
                <w:szCs w:val="22"/>
                <w:lang w:val="fr-FR" w:eastAsia="fr-FR"/>
              </w:rPr>
              <w:t>.</w:t>
            </w:r>
          </w:p>
          <w:p w14:paraId="1E8AAB48" w14:textId="18C918C5" w:rsidR="00BB3D72" w:rsidRPr="001961B1" w:rsidRDefault="00070705" w:rsidP="008A3659">
            <w:pPr>
              <w:keepNext/>
              <w:spacing w:before="120" w:after="120"/>
              <w:rPr>
                <w:rFonts w:asciiTheme="minorHAnsi" w:hAnsiTheme="minorHAnsi" w:cstheme="minorHAnsi"/>
                <w:sz w:val="22"/>
                <w:szCs w:val="22"/>
                <w:lang w:val="fr-FR" w:eastAsia="fr-FR"/>
              </w:rPr>
            </w:pPr>
            <w:r w:rsidRPr="001961B1">
              <w:rPr>
                <w:rFonts w:asciiTheme="minorHAnsi" w:hAnsiTheme="minorHAnsi" w:cstheme="minorHAnsi"/>
                <w:bCs/>
                <w:sz w:val="22"/>
                <w:szCs w:val="22"/>
                <w:lang w:val="fr-FR" w:eastAsia="fr-FR"/>
              </w:rPr>
              <w:t>Contribut</w:t>
            </w:r>
            <w:r w:rsidR="00BF56A5" w:rsidRPr="001961B1">
              <w:rPr>
                <w:rFonts w:asciiTheme="minorHAnsi" w:hAnsiTheme="minorHAnsi" w:cstheme="minorHAnsi"/>
                <w:bCs/>
                <w:sz w:val="22"/>
                <w:szCs w:val="22"/>
                <w:lang w:val="fr-FR" w:eastAsia="fr-FR"/>
              </w:rPr>
              <w:t>ion</w:t>
            </w:r>
            <w:r w:rsidRPr="001961B1">
              <w:rPr>
                <w:rFonts w:asciiTheme="minorHAnsi" w:hAnsiTheme="minorHAnsi" w:cstheme="minorHAnsi"/>
                <w:bCs/>
                <w:sz w:val="22"/>
                <w:szCs w:val="22"/>
                <w:lang w:val="fr-FR" w:eastAsia="fr-FR"/>
              </w:rPr>
              <w:t xml:space="preserve"> </w:t>
            </w:r>
            <w:r w:rsidR="00B04F3D" w:rsidRPr="001961B1">
              <w:rPr>
                <w:rFonts w:asciiTheme="minorHAnsi" w:hAnsiTheme="minorHAnsi" w:cstheme="minorHAnsi"/>
                <w:bCs/>
                <w:sz w:val="22"/>
                <w:szCs w:val="22"/>
                <w:lang w:val="fr-FR" w:eastAsia="fr-FR"/>
              </w:rPr>
              <w:t>à la cible 6 du CMB-KM et à la cible</w:t>
            </w:r>
            <w:r w:rsidR="00485857" w:rsidRPr="001961B1">
              <w:rPr>
                <w:rFonts w:asciiTheme="minorHAnsi" w:hAnsiTheme="minorHAnsi" w:cstheme="minorHAnsi"/>
                <w:sz w:val="22"/>
                <w:szCs w:val="22"/>
                <w:lang w:val="fr-FR" w:eastAsia="fr-FR"/>
              </w:rPr>
              <w:t xml:space="preserve"> 15.8</w:t>
            </w:r>
            <w:r w:rsidR="00B04F3D" w:rsidRPr="001961B1">
              <w:rPr>
                <w:rFonts w:asciiTheme="minorHAnsi" w:hAnsiTheme="minorHAnsi" w:cstheme="minorHAnsi"/>
                <w:sz w:val="22"/>
                <w:szCs w:val="22"/>
                <w:lang w:val="fr-FR" w:eastAsia="fr-FR"/>
              </w:rPr>
              <w:t xml:space="preserve"> des ODD</w:t>
            </w:r>
            <w:r w:rsidR="00480780" w:rsidRPr="001961B1">
              <w:rPr>
                <w:rFonts w:asciiTheme="minorHAnsi" w:hAnsiTheme="minorHAnsi" w:cstheme="minorHAnsi"/>
                <w:sz w:val="22"/>
                <w:szCs w:val="22"/>
                <w:lang w:val="fr-FR" w:eastAsia="fr-FR"/>
              </w:rPr>
              <w:t>.</w:t>
            </w:r>
          </w:p>
        </w:tc>
      </w:tr>
    </w:tbl>
    <w:p w14:paraId="0B1B66E2" w14:textId="77777777" w:rsidR="003B312A" w:rsidRPr="001961B1" w:rsidRDefault="003B312A" w:rsidP="00D1463B">
      <w:pPr>
        <w:keepNext/>
        <w:rPr>
          <w:rFonts w:asciiTheme="minorHAnsi" w:hAnsiTheme="minorHAnsi" w:cstheme="minorHAnsi"/>
          <w:b/>
          <w:bCs/>
          <w:sz w:val="22"/>
          <w:szCs w:val="22"/>
          <w:lang w:val="fr-FR"/>
        </w:rPr>
      </w:pPr>
    </w:p>
    <w:p w14:paraId="4C7D2729" w14:textId="4F85377A" w:rsidR="00601D2B" w:rsidRPr="001961B1" w:rsidRDefault="00B04F3D"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3B6EDC93" w14:textId="77777777" w:rsidR="00745BD7" w:rsidRPr="001961B1" w:rsidRDefault="00745BD7" w:rsidP="00D1463B">
      <w:pPr>
        <w:keepNext/>
        <w:rPr>
          <w:rFonts w:asciiTheme="minorHAnsi" w:hAnsiTheme="minorHAnsi" w:cstheme="minorHAnsi"/>
          <w:sz w:val="22"/>
          <w:szCs w:val="22"/>
          <w:lang w:val="fr-FR"/>
        </w:rPr>
      </w:pPr>
    </w:p>
    <w:p w14:paraId="3FC4AD0C" w14:textId="000BF27A" w:rsidR="00D66FC5"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6072EA" w:rsidRPr="001961B1">
        <w:rPr>
          <w:rFonts w:asciiTheme="minorHAnsi" w:hAnsiTheme="minorHAnsi" w:cstheme="minorHAnsi"/>
          <w:sz w:val="22"/>
          <w:szCs w:val="22"/>
          <w:lang w:val="fr-FR"/>
        </w:rPr>
        <w:t>L</w:t>
      </w:r>
      <w:r w:rsidR="002027E7" w:rsidRPr="001961B1">
        <w:rPr>
          <w:rFonts w:asciiTheme="minorHAnsi" w:hAnsiTheme="minorHAnsi" w:cstheme="minorHAnsi"/>
          <w:sz w:val="22"/>
          <w:szCs w:val="22"/>
          <w:lang w:val="fr-FR"/>
        </w:rPr>
        <w:t>’élaboration de politiques et lignes directrices nationales pour le contrôle et la gestion des espèces exotiques envahissantes (EEE) ainsi que la création d’inventaires nationaux des EEE</w:t>
      </w:r>
      <w:r w:rsidR="006A7157" w:rsidRPr="001961B1">
        <w:rPr>
          <w:rFonts w:asciiTheme="minorHAnsi" w:hAnsiTheme="minorHAnsi" w:cstheme="minorHAnsi"/>
          <w:sz w:val="22"/>
          <w:szCs w:val="22"/>
          <w:lang w:val="fr-FR"/>
        </w:rPr>
        <w:t xml:space="preserve"> pouvant avoir des impacts sur les zones humides</w:t>
      </w:r>
      <w:r w:rsidR="006072EA" w:rsidRPr="001961B1">
        <w:rPr>
          <w:rFonts w:asciiTheme="minorHAnsi" w:hAnsiTheme="minorHAnsi" w:cstheme="minorHAnsi"/>
          <w:sz w:val="22"/>
          <w:szCs w:val="22"/>
          <w:lang w:val="fr-FR"/>
        </w:rPr>
        <w:t xml:space="preserve"> ont fait des progrès significatifs</w:t>
      </w:r>
      <w:r w:rsidR="006A7157" w:rsidRPr="001961B1">
        <w:rPr>
          <w:rFonts w:asciiTheme="minorHAnsi" w:hAnsiTheme="minorHAnsi" w:cstheme="minorHAnsi"/>
          <w:sz w:val="22"/>
          <w:szCs w:val="22"/>
          <w:lang w:val="fr-FR"/>
        </w:rPr>
        <w:t xml:space="preserve">. Le suivi et l’évaluation de l’efficacité des programmes de contrôle des EEE restent </w:t>
      </w:r>
      <w:r w:rsidR="006072EA" w:rsidRPr="001961B1">
        <w:rPr>
          <w:rFonts w:asciiTheme="minorHAnsi" w:hAnsiTheme="minorHAnsi" w:cstheme="minorHAnsi"/>
          <w:sz w:val="22"/>
          <w:szCs w:val="22"/>
          <w:lang w:val="fr-FR"/>
        </w:rPr>
        <w:t>insuffisants mais s’améliorent</w:t>
      </w:r>
      <w:r w:rsidR="006A7157" w:rsidRPr="001961B1">
        <w:rPr>
          <w:rFonts w:asciiTheme="minorHAnsi" w:hAnsiTheme="minorHAnsi" w:cstheme="minorHAnsi"/>
          <w:sz w:val="22"/>
          <w:szCs w:val="22"/>
          <w:lang w:val="fr-FR"/>
        </w:rPr>
        <w:t>.</w:t>
      </w:r>
    </w:p>
    <w:p w14:paraId="6C248B0C" w14:textId="77777777" w:rsidR="00461A6A" w:rsidRPr="001961B1" w:rsidRDefault="00461A6A" w:rsidP="00A338FF">
      <w:pPr>
        <w:rPr>
          <w:rFonts w:asciiTheme="minorHAnsi" w:hAnsiTheme="minorHAnsi" w:cstheme="minorHAnsi"/>
          <w:sz w:val="22"/>
          <w:szCs w:val="22"/>
          <w:lang w:val="fr-FR"/>
        </w:rPr>
      </w:pPr>
    </w:p>
    <w:tbl>
      <w:tblPr>
        <w:tblStyle w:val="TableGrid24"/>
        <w:tblW w:w="9370" w:type="dxa"/>
        <w:tblLook w:val="04A0" w:firstRow="1" w:lastRow="0" w:firstColumn="1" w:lastColumn="0" w:noHBand="0" w:noVBand="1"/>
      </w:tblPr>
      <w:tblGrid>
        <w:gridCol w:w="4023"/>
        <w:gridCol w:w="1130"/>
        <w:gridCol w:w="888"/>
        <w:gridCol w:w="890"/>
        <w:gridCol w:w="890"/>
        <w:gridCol w:w="1549"/>
      </w:tblGrid>
      <w:tr w:rsidR="00107172" w:rsidRPr="001961B1" w14:paraId="5F66793B" w14:textId="77777777" w:rsidTr="00195D2D">
        <w:trPr>
          <w:cantSplit/>
        </w:trPr>
        <w:tc>
          <w:tcPr>
            <w:tcW w:w="4141" w:type="dxa"/>
            <w:vAlign w:val="center"/>
            <w:hideMark/>
          </w:tcPr>
          <w:p w14:paraId="51FFCB88" w14:textId="4E9CCBFA"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B04F3D"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992" w:type="dxa"/>
            <w:vAlign w:val="center"/>
            <w:hideMark/>
          </w:tcPr>
          <w:p w14:paraId="15D96677" w14:textId="0B665E0E" w:rsidR="0091225F" w:rsidRPr="001961B1" w:rsidRDefault="00B04F3D"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892" w:type="dxa"/>
            <w:vAlign w:val="center"/>
            <w:hideMark/>
          </w:tcPr>
          <w:p w14:paraId="503CA16C"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893" w:type="dxa"/>
            <w:vAlign w:val="center"/>
            <w:hideMark/>
          </w:tcPr>
          <w:p w14:paraId="41097CEF"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893" w:type="dxa"/>
            <w:vAlign w:val="center"/>
            <w:hideMark/>
          </w:tcPr>
          <w:p w14:paraId="240AA85B"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559" w:type="dxa"/>
            <w:vAlign w:val="center"/>
            <w:hideMark/>
          </w:tcPr>
          <w:p w14:paraId="47E96221" w14:textId="733FA576" w:rsidR="00107172" w:rsidRPr="001961B1" w:rsidRDefault="00B04F3D"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107172" w:rsidRPr="001961B1" w14:paraId="7A529647" w14:textId="77777777" w:rsidTr="00195D2D">
        <w:trPr>
          <w:cantSplit/>
        </w:trPr>
        <w:tc>
          <w:tcPr>
            <w:tcW w:w="4141" w:type="dxa"/>
          </w:tcPr>
          <w:p w14:paraId="7945C630" w14:textId="5C8AB727"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B04F3D" w:rsidRPr="001961B1">
              <w:rPr>
                <w:rFonts w:asciiTheme="minorHAnsi" w:eastAsia="Aptos" w:hAnsiTheme="minorHAnsi" w:cstheme="minorHAnsi"/>
                <w:sz w:val="22"/>
                <w:szCs w:val="22"/>
                <w:lang w:val="fr-FR"/>
              </w:rPr>
              <w:t>de</w:t>
            </w:r>
            <w:r w:rsidRPr="001961B1">
              <w:rPr>
                <w:rFonts w:asciiTheme="minorHAnsi" w:eastAsia="Aptos" w:hAnsiTheme="minorHAnsi" w:cstheme="minorHAnsi"/>
                <w:sz w:val="22"/>
                <w:szCs w:val="22"/>
                <w:lang w:val="fr-FR"/>
              </w:rPr>
              <w:t xml:space="preserve"> Parties </w:t>
            </w:r>
            <w:r w:rsidR="00B04F3D" w:rsidRPr="001961B1">
              <w:rPr>
                <w:rFonts w:asciiTheme="minorHAnsi" w:eastAsia="Aptos" w:hAnsiTheme="minorHAnsi" w:cstheme="minorHAnsi"/>
                <w:sz w:val="22"/>
                <w:szCs w:val="22"/>
                <w:lang w:val="fr-FR"/>
              </w:rPr>
              <w:t>ayant</w:t>
            </w:r>
            <w:r w:rsidRPr="001961B1">
              <w:rPr>
                <w:rFonts w:asciiTheme="minorHAnsi" w:eastAsia="Aptos" w:hAnsiTheme="minorHAnsi" w:cstheme="minorHAnsi"/>
                <w:sz w:val="22"/>
                <w:szCs w:val="22"/>
                <w:lang w:val="fr-FR"/>
              </w:rPr>
              <w:t xml:space="preserve"> </w:t>
            </w:r>
            <w:r w:rsidR="0082358E" w:rsidRPr="001961B1">
              <w:rPr>
                <w:rFonts w:asciiTheme="minorHAnsi" w:eastAsia="Aptos" w:hAnsiTheme="minorHAnsi" w:cstheme="minorHAnsi"/>
                <w:sz w:val="22"/>
                <w:szCs w:val="22"/>
                <w:lang w:val="fr-FR"/>
              </w:rPr>
              <w:t>instauré des politiques ou directives nationales sur la gestion et le contrôle d’espèces envahissantes</w:t>
            </w:r>
            <w:r w:rsidR="0082358E" w:rsidRPr="001961B1">
              <w:rPr>
                <w:rFonts w:asciiTheme="minorHAnsi" w:hAnsiTheme="minorHAnsi" w:cstheme="minorHAnsi"/>
                <w:kern w:val="0"/>
                <w:sz w:val="22"/>
                <w:szCs w:val="22"/>
                <w:lang w:val="fr-FR"/>
                <w14:ligatures w14:val="none"/>
              </w:rPr>
              <w:t xml:space="preserve"> </w:t>
            </w:r>
            <w:r w:rsidR="0082358E" w:rsidRPr="001961B1">
              <w:rPr>
                <w:rFonts w:asciiTheme="minorHAnsi" w:eastAsia="Aptos" w:hAnsiTheme="minorHAnsi" w:cstheme="minorHAnsi"/>
                <w:sz w:val="22"/>
                <w:szCs w:val="22"/>
                <w:lang w:val="fr-FR"/>
              </w:rPr>
              <w:t>dans les zones humides</w:t>
            </w:r>
            <w:r w:rsidRPr="001961B1">
              <w:rPr>
                <w:rFonts w:asciiTheme="minorHAnsi" w:eastAsia="Aptos" w:hAnsiTheme="minorHAnsi" w:cstheme="minorHAnsi"/>
                <w:sz w:val="22"/>
                <w:szCs w:val="22"/>
                <w:lang w:val="fr-FR"/>
              </w:rPr>
              <w:t>.</w:t>
            </w:r>
          </w:p>
        </w:tc>
        <w:tc>
          <w:tcPr>
            <w:tcW w:w="992" w:type="dxa"/>
          </w:tcPr>
          <w:p w14:paraId="66ABFD41" w14:textId="3F596A96"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36</w:t>
            </w:r>
            <w:r w:rsidR="00FF198F" w:rsidRPr="001961B1">
              <w:rPr>
                <w:rFonts w:asciiTheme="minorHAnsi" w:eastAsia="Aptos" w:hAnsiTheme="minorHAnsi" w:cstheme="minorHAnsi"/>
                <w:b/>
                <w:bCs/>
                <w:sz w:val="22"/>
                <w:szCs w:val="22"/>
              </w:rPr>
              <w:t xml:space="preserve"> %</w:t>
            </w:r>
          </w:p>
        </w:tc>
        <w:tc>
          <w:tcPr>
            <w:tcW w:w="892" w:type="dxa"/>
          </w:tcPr>
          <w:p w14:paraId="6F1FA158" w14:textId="6157C86A"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26</w:t>
            </w:r>
            <w:r w:rsidR="00FF198F" w:rsidRPr="001961B1">
              <w:rPr>
                <w:rFonts w:asciiTheme="minorHAnsi" w:eastAsia="Aptos" w:hAnsiTheme="minorHAnsi" w:cstheme="minorHAnsi"/>
                <w:b/>
                <w:bCs/>
                <w:sz w:val="22"/>
                <w:szCs w:val="22"/>
              </w:rPr>
              <w:t xml:space="preserve"> %</w:t>
            </w:r>
          </w:p>
        </w:tc>
        <w:tc>
          <w:tcPr>
            <w:tcW w:w="893" w:type="dxa"/>
          </w:tcPr>
          <w:p w14:paraId="2B7D9B0A" w14:textId="4A80BE50"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42</w:t>
            </w:r>
            <w:r w:rsidR="00FF198F" w:rsidRPr="001961B1">
              <w:rPr>
                <w:rFonts w:asciiTheme="minorHAnsi" w:eastAsia="Aptos" w:hAnsiTheme="minorHAnsi" w:cstheme="minorHAnsi"/>
                <w:b/>
                <w:bCs/>
                <w:sz w:val="22"/>
                <w:szCs w:val="22"/>
              </w:rPr>
              <w:t xml:space="preserve"> %</w:t>
            </w:r>
          </w:p>
        </w:tc>
        <w:tc>
          <w:tcPr>
            <w:tcW w:w="893" w:type="dxa"/>
          </w:tcPr>
          <w:p w14:paraId="0CB1A208" w14:textId="0CEB66D1"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54</w:t>
            </w:r>
            <w:r w:rsidR="00FF198F" w:rsidRPr="001961B1">
              <w:rPr>
                <w:rFonts w:asciiTheme="minorHAnsi" w:eastAsia="Aptos" w:hAnsiTheme="minorHAnsi" w:cstheme="minorHAnsi"/>
                <w:b/>
                <w:bCs/>
                <w:sz w:val="22"/>
                <w:szCs w:val="22"/>
              </w:rPr>
              <w:t xml:space="preserve"> %</w:t>
            </w:r>
          </w:p>
        </w:tc>
        <w:tc>
          <w:tcPr>
            <w:tcW w:w="1559" w:type="dxa"/>
          </w:tcPr>
          <w:p w14:paraId="15A1C6C1" w14:textId="46A3CABA" w:rsidR="00107172" w:rsidRPr="001961B1" w:rsidRDefault="00DB74EA"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13FA3754" wp14:editId="595B2D1E">
                  <wp:extent cx="712200" cy="432000"/>
                  <wp:effectExtent l="0" t="0" r="0" b="6350"/>
                  <wp:docPr id="7493904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097A2974" w14:textId="77777777" w:rsidTr="00195D2D">
        <w:trPr>
          <w:cantSplit/>
        </w:trPr>
        <w:tc>
          <w:tcPr>
            <w:tcW w:w="4141" w:type="dxa"/>
          </w:tcPr>
          <w:p w14:paraId="4D5C1C86" w14:textId="3A5A704D"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B04F3D" w:rsidRPr="001961B1">
              <w:rPr>
                <w:rFonts w:asciiTheme="minorHAnsi" w:eastAsia="Aptos" w:hAnsiTheme="minorHAnsi" w:cstheme="minorHAnsi"/>
                <w:sz w:val="22"/>
                <w:szCs w:val="22"/>
                <w:lang w:val="fr-FR"/>
              </w:rPr>
              <w:t>de</w:t>
            </w:r>
            <w:r w:rsidRPr="001961B1">
              <w:rPr>
                <w:rFonts w:asciiTheme="minorHAnsi" w:eastAsia="Aptos" w:hAnsiTheme="minorHAnsi" w:cstheme="minorHAnsi"/>
                <w:sz w:val="22"/>
                <w:szCs w:val="22"/>
                <w:lang w:val="fr-FR"/>
              </w:rPr>
              <w:t xml:space="preserve"> Parties </w:t>
            </w:r>
            <w:r w:rsidR="00B04F3D" w:rsidRPr="001961B1">
              <w:rPr>
                <w:rFonts w:asciiTheme="minorHAnsi" w:eastAsia="Aptos" w:hAnsiTheme="minorHAnsi" w:cstheme="minorHAnsi"/>
                <w:sz w:val="22"/>
                <w:szCs w:val="22"/>
                <w:lang w:val="fr-FR"/>
              </w:rPr>
              <w:t>ayant</w:t>
            </w:r>
            <w:r w:rsidRPr="001961B1">
              <w:rPr>
                <w:rFonts w:asciiTheme="minorHAnsi" w:eastAsia="Aptos" w:hAnsiTheme="minorHAnsi" w:cstheme="minorHAnsi"/>
                <w:sz w:val="22"/>
                <w:szCs w:val="22"/>
                <w:lang w:val="fr-FR"/>
              </w:rPr>
              <w:t xml:space="preserve"> </w:t>
            </w:r>
            <w:r w:rsidR="0082358E" w:rsidRPr="001961B1">
              <w:rPr>
                <w:rFonts w:asciiTheme="minorHAnsi" w:eastAsia="Aptos" w:hAnsiTheme="minorHAnsi" w:cstheme="minorHAnsi"/>
                <w:sz w:val="22"/>
                <w:szCs w:val="22"/>
                <w:lang w:val="fr-FR"/>
              </w:rPr>
              <w:t>un inventaire national des espèces exotiques envahissantes qui ont ou pourraient avoir un impact sur les caractéristiques écologiques des zones humides</w:t>
            </w:r>
            <w:r w:rsidRPr="001961B1">
              <w:rPr>
                <w:rFonts w:asciiTheme="minorHAnsi" w:eastAsia="Aptos" w:hAnsiTheme="minorHAnsi" w:cstheme="minorHAnsi"/>
                <w:sz w:val="22"/>
                <w:szCs w:val="22"/>
                <w:lang w:val="fr-FR"/>
              </w:rPr>
              <w:t>.</w:t>
            </w:r>
          </w:p>
        </w:tc>
        <w:tc>
          <w:tcPr>
            <w:tcW w:w="992" w:type="dxa"/>
            <w:shd w:val="clear" w:color="auto" w:fill="auto"/>
          </w:tcPr>
          <w:p w14:paraId="7E770ECF" w14:textId="2736D44B"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34</w:t>
            </w:r>
            <w:r w:rsidR="00FF198F" w:rsidRPr="001961B1">
              <w:rPr>
                <w:rFonts w:asciiTheme="minorHAnsi" w:eastAsia="Aptos" w:hAnsiTheme="minorHAnsi" w:cstheme="minorHAnsi"/>
                <w:b/>
                <w:bCs/>
                <w:sz w:val="22"/>
                <w:szCs w:val="22"/>
              </w:rPr>
              <w:t xml:space="preserve"> %</w:t>
            </w:r>
          </w:p>
        </w:tc>
        <w:tc>
          <w:tcPr>
            <w:tcW w:w="892" w:type="dxa"/>
          </w:tcPr>
          <w:p w14:paraId="38801290" w14:textId="196201D0"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40</w:t>
            </w:r>
            <w:r w:rsidR="00FF198F" w:rsidRPr="001961B1">
              <w:rPr>
                <w:rFonts w:asciiTheme="minorHAnsi" w:eastAsia="Aptos" w:hAnsiTheme="minorHAnsi" w:cstheme="minorHAnsi"/>
                <w:b/>
                <w:bCs/>
                <w:sz w:val="22"/>
                <w:szCs w:val="22"/>
              </w:rPr>
              <w:t xml:space="preserve"> %</w:t>
            </w:r>
          </w:p>
        </w:tc>
        <w:tc>
          <w:tcPr>
            <w:tcW w:w="893" w:type="dxa"/>
          </w:tcPr>
          <w:p w14:paraId="2454DF6D" w14:textId="2028314C"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42</w:t>
            </w:r>
            <w:r w:rsidR="00FF198F" w:rsidRPr="001961B1">
              <w:rPr>
                <w:rFonts w:asciiTheme="minorHAnsi" w:eastAsia="Aptos" w:hAnsiTheme="minorHAnsi" w:cstheme="minorHAnsi"/>
                <w:b/>
                <w:bCs/>
                <w:sz w:val="22"/>
                <w:szCs w:val="22"/>
              </w:rPr>
              <w:t xml:space="preserve"> %</w:t>
            </w:r>
          </w:p>
        </w:tc>
        <w:tc>
          <w:tcPr>
            <w:tcW w:w="893" w:type="dxa"/>
          </w:tcPr>
          <w:p w14:paraId="670C2C84" w14:textId="2B75F141" w:rsidR="00107172" w:rsidRPr="001961B1" w:rsidRDefault="00107172" w:rsidP="00506589">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52</w:t>
            </w:r>
            <w:r w:rsidR="00FF198F" w:rsidRPr="001961B1">
              <w:rPr>
                <w:rFonts w:asciiTheme="minorHAnsi" w:eastAsia="Aptos" w:hAnsiTheme="minorHAnsi" w:cstheme="minorHAnsi"/>
                <w:b/>
                <w:bCs/>
                <w:sz w:val="22"/>
                <w:szCs w:val="22"/>
              </w:rPr>
              <w:t xml:space="preserve"> %</w:t>
            </w:r>
          </w:p>
        </w:tc>
        <w:tc>
          <w:tcPr>
            <w:tcW w:w="1559" w:type="dxa"/>
          </w:tcPr>
          <w:p w14:paraId="5914AE93" w14:textId="77829975" w:rsidR="00107172" w:rsidRPr="001961B1" w:rsidRDefault="003054D4"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C6F422C" wp14:editId="43657FE9">
                  <wp:extent cx="712200" cy="432000"/>
                  <wp:effectExtent l="0" t="0" r="0" b="0"/>
                  <wp:docPr id="18201070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D1CCB4B" w14:textId="77777777" w:rsidR="00FC26A0" w:rsidRPr="001961B1" w:rsidRDefault="00FC26A0" w:rsidP="00CD3F6B">
      <w:pPr>
        <w:rPr>
          <w:rFonts w:asciiTheme="minorHAnsi" w:hAnsiTheme="minorHAnsi" w:cstheme="minorHAnsi"/>
          <w:sz w:val="22"/>
          <w:szCs w:val="22"/>
        </w:rPr>
      </w:pPr>
    </w:p>
    <w:p w14:paraId="369E5A1B" w14:textId="7E11C0E3" w:rsidR="000D57BE" w:rsidRPr="001961B1" w:rsidRDefault="0082358E"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p>
    <w:p w14:paraId="53808436" w14:textId="77777777" w:rsidR="00D1463B" w:rsidRPr="001961B1" w:rsidRDefault="00D1463B" w:rsidP="00D1463B">
      <w:pPr>
        <w:keepNext/>
        <w:rPr>
          <w:rFonts w:asciiTheme="minorHAnsi" w:hAnsiTheme="minorHAnsi" w:cstheme="minorHAnsi"/>
          <w:i/>
          <w:iCs/>
          <w:sz w:val="22"/>
          <w:szCs w:val="22"/>
          <w:u w:val="single"/>
          <w:lang w:val="fr-FR"/>
        </w:rPr>
      </w:pPr>
    </w:p>
    <w:p w14:paraId="23E535CC" w14:textId="018AEB1D" w:rsidR="009549E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eastAsia="fr-FR"/>
        </w:rPr>
        <w:t>Au moment de</w:t>
      </w:r>
      <w:r w:rsidR="006A7157" w:rsidRPr="001961B1">
        <w:rPr>
          <w:rFonts w:asciiTheme="minorHAnsi" w:hAnsiTheme="minorHAnsi" w:cstheme="minorHAnsi"/>
          <w:sz w:val="22"/>
          <w:szCs w:val="22"/>
          <w:lang w:val="fr-FR"/>
        </w:rPr>
        <w:t xml:space="preserve"> la </w:t>
      </w:r>
      <w:r w:rsidR="000D57BE" w:rsidRPr="001961B1">
        <w:rPr>
          <w:rFonts w:asciiTheme="minorHAnsi" w:hAnsiTheme="minorHAnsi" w:cstheme="minorHAnsi"/>
          <w:sz w:val="22"/>
          <w:szCs w:val="22"/>
          <w:lang w:val="fr-FR"/>
        </w:rPr>
        <w:t>COP15, 52</w:t>
      </w:r>
      <w:r w:rsidR="006A7157" w:rsidRPr="001961B1">
        <w:rPr>
          <w:rFonts w:asciiTheme="minorHAnsi" w:hAnsiTheme="minorHAnsi" w:cstheme="minorHAnsi"/>
          <w:sz w:val="22"/>
          <w:szCs w:val="22"/>
          <w:lang w:val="fr-FR"/>
        </w:rPr>
        <w:t> </w:t>
      </w:r>
      <w:r w:rsidR="000D57BE" w:rsidRPr="001961B1">
        <w:rPr>
          <w:rFonts w:asciiTheme="minorHAnsi" w:hAnsiTheme="minorHAnsi" w:cstheme="minorHAnsi"/>
          <w:sz w:val="22"/>
          <w:szCs w:val="22"/>
          <w:lang w:val="fr-FR"/>
        </w:rPr>
        <w:t xml:space="preserve">% </w:t>
      </w:r>
      <w:r w:rsidR="006A7157" w:rsidRPr="001961B1">
        <w:rPr>
          <w:rFonts w:asciiTheme="minorHAnsi" w:hAnsiTheme="minorHAnsi" w:cstheme="minorHAnsi"/>
          <w:sz w:val="22"/>
          <w:szCs w:val="22"/>
          <w:lang w:val="fr-FR"/>
        </w:rPr>
        <w:t xml:space="preserve">des Parties contractantes signalent avoir des inventaires nationaux des EEE et 54 % déclarent avoir établi des politiques ou lignes directrices sur le </w:t>
      </w:r>
      <w:r w:rsidR="006A7157" w:rsidRPr="001961B1">
        <w:rPr>
          <w:rFonts w:asciiTheme="minorHAnsi" w:hAnsiTheme="minorHAnsi" w:cstheme="minorHAnsi"/>
          <w:sz w:val="22"/>
          <w:szCs w:val="22"/>
          <w:lang w:val="fr-FR"/>
        </w:rPr>
        <w:lastRenderedPageBreak/>
        <w:t>contrôle et la gestion des EEE dans le</w:t>
      </w:r>
      <w:r w:rsidR="006072EA" w:rsidRPr="001961B1">
        <w:rPr>
          <w:rFonts w:asciiTheme="minorHAnsi" w:hAnsiTheme="minorHAnsi" w:cstheme="minorHAnsi"/>
          <w:sz w:val="22"/>
          <w:szCs w:val="22"/>
          <w:lang w:val="fr-FR"/>
        </w:rPr>
        <w:t>s</w:t>
      </w:r>
      <w:r w:rsidR="006A7157" w:rsidRPr="001961B1">
        <w:rPr>
          <w:rFonts w:asciiTheme="minorHAnsi" w:hAnsiTheme="minorHAnsi" w:cstheme="minorHAnsi"/>
          <w:sz w:val="22"/>
          <w:szCs w:val="22"/>
          <w:lang w:val="fr-FR"/>
        </w:rPr>
        <w:t xml:space="preserve"> zones humides, une augmentation significative par rapport aux références respectives de 20 % et 36 %. </w:t>
      </w:r>
    </w:p>
    <w:p w14:paraId="39D56634" w14:textId="77777777" w:rsidR="003578B9" w:rsidRPr="001961B1" w:rsidRDefault="003578B9" w:rsidP="000E3338">
      <w:pPr>
        <w:ind w:left="567" w:hanging="567"/>
        <w:rPr>
          <w:rFonts w:asciiTheme="minorHAnsi" w:hAnsiTheme="minorHAnsi" w:cstheme="minorHAnsi"/>
          <w:sz w:val="22"/>
          <w:szCs w:val="22"/>
          <w:lang w:val="fr-FR"/>
        </w:rPr>
      </w:pPr>
    </w:p>
    <w:p w14:paraId="7EE6E5AA" w14:textId="05490AB1" w:rsidR="000D57B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002E1E29" w:rsidRPr="001961B1">
        <w:rPr>
          <w:rFonts w:asciiTheme="minorHAnsi" w:hAnsiTheme="minorHAnsi" w:cstheme="minorHAnsi"/>
          <w:sz w:val="22"/>
          <w:szCs w:val="22"/>
          <w:lang w:val="fr-FR"/>
        </w:rPr>
        <w:t>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6A7157" w:rsidRPr="001961B1">
        <w:rPr>
          <w:rFonts w:asciiTheme="minorHAnsi" w:hAnsiTheme="minorHAnsi" w:cstheme="minorHAnsi"/>
          <w:sz w:val="22"/>
          <w:szCs w:val="22"/>
          <w:lang w:val="fr-FR"/>
        </w:rPr>
        <w:t xml:space="preserve">Aucune Partie contractante n’a signalé avoir réussi à contrôler des EEE </w:t>
      </w:r>
      <w:r w:rsidR="006072EA" w:rsidRPr="001961B1">
        <w:rPr>
          <w:rFonts w:asciiTheme="minorHAnsi" w:hAnsiTheme="minorHAnsi" w:cstheme="minorHAnsi"/>
          <w:sz w:val="22"/>
          <w:szCs w:val="22"/>
          <w:lang w:val="fr-FR"/>
        </w:rPr>
        <w:t>présentant des risques élevés</w:t>
      </w:r>
      <w:r w:rsidR="006A7157" w:rsidRPr="001961B1">
        <w:rPr>
          <w:rFonts w:asciiTheme="minorHAnsi" w:hAnsiTheme="minorHAnsi" w:cstheme="minorHAnsi"/>
          <w:sz w:val="22"/>
          <w:szCs w:val="22"/>
          <w:lang w:val="fr-FR"/>
        </w:rPr>
        <w:t xml:space="preserve"> par des mesures de gestion. </w:t>
      </w:r>
      <w:r w:rsidR="003B2629" w:rsidRPr="001961B1">
        <w:rPr>
          <w:rFonts w:asciiTheme="minorHAnsi" w:hAnsiTheme="minorHAnsi" w:cstheme="minorHAnsi"/>
          <w:sz w:val="22"/>
          <w:szCs w:val="22"/>
          <w:lang w:val="fr-FR"/>
        </w:rPr>
        <w:t>Dix-huit pourcent (18%) des Parties seulement</w:t>
      </w:r>
      <w:r w:rsidR="006A7157" w:rsidRPr="001961B1">
        <w:rPr>
          <w:rFonts w:asciiTheme="minorHAnsi" w:hAnsiTheme="minorHAnsi" w:cstheme="minorHAnsi"/>
          <w:sz w:val="22"/>
          <w:szCs w:val="22"/>
          <w:lang w:val="fr-FR"/>
        </w:rPr>
        <w:t xml:space="preserve"> ont évalué l’efficacité de leurs programmes de contrôle des EEE dans les zones humides </w:t>
      </w:r>
      <w:r w:rsidR="006072EA" w:rsidRPr="001961B1">
        <w:rPr>
          <w:rFonts w:asciiTheme="minorHAnsi" w:hAnsiTheme="minorHAnsi" w:cstheme="minorHAnsi"/>
          <w:sz w:val="22"/>
          <w:szCs w:val="22"/>
          <w:lang w:val="fr-FR"/>
        </w:rPr>
        <w:t>ce qui</w:t>
      </w:r>
      <w:r w:rsidR="006A7157" w:rsidRPr="001961B1">
        <w:rPr>
          <w:rFonts w:asciiTheme="minorHAnsi" w:hAnsiTheme="minorHAnsi" w:cstheme="minorHAnsi"/>
          <w:sz w:val="22"/>
          <w:szCs w:val="22"/>
          <w:lang w:val="fr-FR"/>
        </w:rPr>
        <w:t xml:space="preserve"> représente </w:t>
      </w:r>
      <w:r w:rsidR="006072EA" w:rsidRPr="001961B1">
        <w:rPr>
          <w:rFonts w:asciiTheme="minorHAnsi" w:hAnsiTheme="minorHAnsi" w:cstheme="minorHAnsi"/>
          <w:sz w:val="22"/>
          <w:szCs w:val="22"/>
          <w:lang w:val="fr-FR"/>
        </w:rPr>
        <w:t xml:space="preserve">néanmoins </w:t>
      </w:r>
      <w:r w:rsidR="006A7157" w:rsidRPr="001961B1">
        <w:rPr>
          <w:rFonts w:asciiTheme="minorHAnsi" w:hAnsiTheme="minorHAnsi" w:cstheme="minorHAnsi"/>
          <w:sz w:val="22"/>
          <w:szCs w:val="22"/>
          <w:lang w:val="fr-FR"/>
        </w:rPr>
        <w:t>une augmentation importante depuis la COP13.</w:t>
      </w:r>
      <w:r w:rsidR="007B15F4" w:rsidRPr="001961B1">
        <w:rPr>
          <w:rFonts w:asciiTheme="minorHAnsi" w:hAnsiTheme="minorHAnsi" w:cstheme="minorHAnsi"/>
          <w:sz w:val="22"/>
          <w:szCs w:val="22"/>
          <w:lang w:val="fr-FR"/>
        </w:rPr>
        <w:t xml:space="preserve"> </w:t>
      </w:r>
    </w:p>
    <w:p w14:paraId="7B05B1C6" w14:textId="77777777" w:rsidR="000D57BE" w:rsidRPr="001961B1" w:rsidRDefault="000D57BE" w:rsidP="000E3338">
      <w:pPr>
        <w:ind w:left="567" w:hanging="567"/>
        <w:rPr>
          <w:rFonts w:asciiTheme="minorHAnsi" w:hAnsiTheme="minorHAnsi" w:cstheme="minorHAnsi"/>
          <w:sz w:val="22"/>
          <w:szCs w:val="22"/>
          <w:lang w:val="fr-FR"/>
        </w:rPr>
      </w:pPr>
    </w:p>
    <w:p w14:paraId="4C82E331" w14:textId="7A3BFD95" w:rsidR="003302CB" w:rsidRPr="001961B1" w:rsidRDefault="002E1E29"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6A7157" w:rsidRPr="001961B1">
        <w:rPr>
          <w:rFonts w:asciiTheme="minorHAnsi" w:hAnsiTheme="minorHAnsi" w:cstheme="minorHAnsi"/>
          <w:sz w:val="22"/>
          <w:szCs w:val="22"/>
          <w:lang w:val="fr-FR"/>
        </w:rPr>
        <w:t xml:space="preserve">Les progrès varient selon les régions. </w:t>
      </w:r>
      <w:r w:rsidR="004678E9" w:rsidRPr="001961B1">
        <w:rPr>
          <w:rFonts w:asciiTheme="minorHAnsi" w:hAnsiTheme="minorHAnsi" w:cstheme="minorHAnsi"/>
          <w:sz w:val="22"/>
          <w:szCs w:val="22"/>
          <w:lang w:val="fr-FR"/>
        </w:rPr>
        <w:t>En Océanie, Asie et Europe, p</w:t>
      </w:r>
      <w:r w:rsidR="006A7157" w:rsidRPr="001961B1">
        <w:rPr>
          <w:rFonts w:asciiTheme="minorHAnsi" w:hAnsiTheme="minorHAnsi" w:cstheme="minorHAnsi"/>
          <w:sz w:val="22"/>
          <w:szCs w:val="22"/>
          <w:lang w:val="fr-FR"/>
        </w:rPr>
        <w:t xml:space="preserve">lus de 60 % des Parties contractantes signalent avoir des politiques relatives aux EEE et des inventaires d’EEE. </w:t>
      </w:r>
      <w:r w:rsidR="004678E9" w:rsidRPr="001961B1">
        <w:rPr>
          <w:rFonts w:asciiTheme="minorHAnsi" w:hAnsiTheme="minorHAnsi" w:cstheme="minorHAnsi"/>
          <w:sz w:val="22"/>
          <w:szCs w:val="22"/>
          <w:lang w:val="fr-FR"/>
        </w:rPr>
        <w:t>E</w:t>
      </w:r>
      <w:r w:rsidR="006A7157" w:rsidRPr="001961B1">
        <w:rPr>
          <w:rFonts w:asciiTheme="minorHAnsi" w:hAnsiTheme="minorHAnsi" w:cstheme="minorHAnsi"/>
          <w:sz w:val="22"/>
          <w:szCs w:val="22"/>
          <w:lang w:val="fr-FR"/>
        </w:rPr>
        <w:t xml:space="preserve">n Afrique et en Amérique latine et </w:t>
      </w:r>
      <w:r w:rsidR="00A27A89" w:rsidRPr="001961B1">
        <w:rPr>
          <w:rFonts w:asciiTheme="minorHAnsi" w:hAnsiTheme="minorHAnsi" w:cstheme="minorHAnsi"/>
          <w:sz w:val="22"/>
          <w:szCs w:val="22"/>
          <w:lang w:val="fr-FR"/>
        </w:rPr>
        <w:t>Caraïbes</w:t>
      </w:r>
      <w:r w:rsidR="004678E9" w:rsidRPr="001961B1">
        <w:rPr>
          <w:rFonts w:asciiTheme="minorHAnsi" w:hAnsiTheme="minorHAnsi" w:cstheme="minorHAnsi"/>
          <w:sz w:val="22"/>
          <w:szCs w:val="22"/>
          <w:lang w:val="fr-FR"/>
        </w:rPr>
        <w:t>, les Parties contractantes sont un peu moins nombreuses à avoir</w:t>
      </w:r>
      <w:r w:rsidR="006A7157" w:rsidRPr="001961B1">
        <w:rPr>
          <w:rFonts w:asciiTheme="minorHAnsi" w:hAnsiTheme="minorHAnsi" w:cstheme="minorHAnsi"/>
          <w:sz w:val="22"/>
          <w:szCs w:val="22"/>
          <w:lang w:val="fr-FR"/>
        </w:rPr>
        <w:t xml:space="preserve"> des inventaires d’EEE</w:t>
      </w:r>
      <w:r w:rsidR="004678E9" w:rsidRPr="001961B1">
        <w:rPr>
          <w:rFonts w:asciiTheme="minorHAnsi" w:hAnsiTheme="minorHAnsi" w:cstheme="minorHAnsi"/>
          <w:sz w:val="22"/>
          <w:szCs w:val="22"/>
          <w:lang w:val="fr-FR"/>
        </w:rPr>
        <w:t>. L</w:t>
      </w:r>
      <w:r w:rsidR="006A7157" w:rsidRPr="001961B1">
        <w:rPr>
          <w:rFonts w:asciiTheme="minorHAnsi" w:hAnsiTheme="minorHAnsi" w:cstheme="minorHAnsi"/>
          <w:sz w:val="22"/>
          <w:szCs w:val="22"/>
          <w:lang w:val="fr-FR"/>
        </w:rPr>
        <w:t>es politiques ou lignes directrices sur le contrôle et la gestion des EEE sont limitées</w:t>
      </w:r>
      <w:r w:rsidR="004678E9" w:rsidRPr="001961B1">
        <w:rPr>
          <w:rFonts w:asciiTheme="minorHAnsi" w:hAnsiTheme="minorHAnsi" w:cstheme="minorHAnsi"/>
          <w:sz w:val="22"/>
          <w:szCs w:val="22"/>
          <w:lang w:val="fr-FR"/>
        </w:rPr>
        <w:t>, particulièrement</w:t>
      </w:r>
      <w:r w:rsidR="006A7157" w:rsidRPr="001961B1">
        <w:rPr>
          <w:rFonts w:asciiTheme="minorHAnsi" w:hAnsiTheme="minorHAnsi" w:cstheme="minorHAnsi"/>
          <w:sz w:val="22"/>
          <w:szCs w:val="22"/>
          <w:lang w:val="fr-FR"/>
        </w:rPr>
        <w:t xml:space="preserve"> en Afrique.</w:t>
      </w:r>
      <w:r w:rsidR="00D54976" w:rsidRPr="001961B1">
        <w:rPr>
          <w:rFonts w:asciiTheme="minorHAnsi" w:hAnsiTheme="minorHAnsi" w:cstheme="minorHAnsi"/>
          <w:sz w:val="22"/>
          <w:szCs w:val="22"/>
          <w:lang w:val="fr-FR"/>
        </w:rPr>
        <w:t xml:space="preserve"> </w:t>
      </w:r>
    </w:p>
    <w:p w14:paraId="7A745D0B" w14:textId="2CDDEF61" w:rsidR="00923930" w:rsidRPr="001961B1" w:rsidRDefault="00923930" w:rsidP="000E3338">
      <w:pPr>
        <w:ind w:left="567" w:hanging="567"/>
        <w:rPr>
          <w:rFonts w:asciiTheme="minorHAnsi" w:hAnsiTheme="minorHAnsi" w:cstheme="minorHAnsi"/>
          <w:sz w:val="22"/>
          <w:szCs w:val="22"/>
          <w:lang w:val="fr-FR"/>
        </w:rPr>
      </w:pPr>
    </w:p>
    <w:p w14:paraId="54E4EBF7" w14:textId="6284771D" w:rsidR="0084460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0</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45314F" w:rsidRPr="001961B1">
        <w:rPr>
          <w:rFonts w:asciiTheme="minorHAnsi" w:hAnsiTheme="minorHAnsi" w:cstheme="minorHAnsi"/>
          <w:sz w:val="22"/>
          <w:szCs w:val="22"/>
          <w:lang w:val="fr-FR"/>
        </w:rPr>
        <w:t>Dans toute</w:t>
      </w:r>
      <w:r w:rsidR="003A326A" w:rsidRPr="001961B1">
        <w:rPr>
          <w:rFonts w:asciiTheme="minorHAnsi" w:hAnsiTheme="minorHAnsi" w:cstheme="minorHAnsi"/>
          <w:sz w:val="22"/>
          <w:szCs w:val="22"/>
          <w:lang w:val="fr-FR"/>
        </w:rPr>
        <w:t xml:space="preserve">s </w:t>
      </w:r>
      <w:r w:rsidR="0045314F" w:rsidRPr="001961B1">
        <w:rPr>
          <w:rFonts w:asciiTheme="minorHAnsi" w:hAnsiTheme="minorHAnsi" w:cstheme="minorHAnsi"/>
          <w:sz w:val="22"/>
          <w:szCs w:val="22"/>
          <w:lang w:val="fr-FR"/>
        </w:rPr>
        <w:t xml:space="preserve">les </w:t>
      </w:r>
      <w:r w:rsidR="003A326A" w:rsidRPr="001961B1">
        <w:rPr>
          <w:rFonts w:asciiTheme="minorHAnsi" w:hAnsiTheme="minorHAnsi" w:cstheme="minorHAnsi"/>
          <w:sz w:val="22"/>
          <w:szCs w:val="22"/>
          <w:lang w:val="fr-FR"/>
        </w:rPr>
        <w:t>régions, l’évaluation des résultats écologiques</w:t>
      </w:r>
      <w:r w:rsidR="00CA4CBC" w:rsidRPr="001961B1">
        <w:rPr>
          <w:rFonts w:asciiTheme="minorHAnsi" w:hAnsiTheme="minorHAnsi" w:cstheme="minorHAnsi"/>
          <w:sz w:val="22"/>
          <w:szCs w:val="22"/>
          <w:lang w:val="fr-FR"/>
        </w:rPr>
        <w:t xml:space="preserve"> reste difficile</w:t>
      </w:r>
      <w:r w:rsidR="003A326A" w:rsidRPr="001961B1">
        <w:rPr>
          <w:rFonts w:asciiTheme="minorHAnsi" w:hAnsiTheme="minorHAnsi" w:cstheme="minorHAnsi"/>
          <w:sz w:val="22"/>
          <w:szCs w:val="22"/>
          <w:lang w:val="fr-FR"/>
        </w:rPr>
        <w:t xml:space="preserve">. Plus de 80 % des Parties contractantes </w:t>
      </w:r>
      <w:r w:rsidR="00CA4CBC" w:rsidRPr="001961B1">
        <w:rPr>
          <w:rFonts w:asciiTheme="minorHAnsi" w:hAnsiTheme="minorHAnsi" w:cstheme="minorHAnsi"/>
          <w:sz w:val="22"/>
          <w:szCs w:val="22"/>
          <w:lang w:val="fr-FR"/>
        </w:rPr>
        <w:t>ayant donné d</w:t>
      </w:r>
      <w:r w:rsidR="003A326A" w:rsidRPr="001961B1">
        <w:rPr>
          <w:rFonts w:asciiTheme="minorHAnsi" w:hAnsiTheme="minorHAnsi" w:cstheme="minorHAnsi"/>
          <w:sz w:val="22"/>
          <w:szCs w:val="22"/>
          <w:lang w:val="fr-FR"/>
        </w:rPr>
        <w:t xml:space="preserve">es informations </w:t>
      </w:r>
      <w:r w:rsidR="00CA4CBC" w:rsidRPr="001961B1">
        <w:rPr>
          <w:rFonts w:asciiTheme="minorHAnsi" w:hAnsiTheme="minorHAnsi" w:cstheme="minorHAnsi"/>
          <w:sz w:val="22"/>
          <w:szCs w:val="22"/>
          <w:lang w:val="fr-FR"/>
        </w:rPr>
        <w:t>sous forme narrative</w:t>
      </w:r>
      <w:r w:rsidR="003A326A" w:rsidRPr="001961B1">
        <w:rPr>
          <w:rFonts w:asciiTheme="minorHAnsi" w:hAnsiTheme="minorHAnsi" w:cstheme="minorHAnsi"/>
          <w:sz w:val="22"/>
          <w:szCs w:val="22"/>
          <w:lang w:val="fr-FR"/>
        </w:rPr>
        <w:t xml:space="preserve"> dans le</w:t>
      </w:r>
      <w:r w:rsidR="00CA4CBC" w:rsidRPr="001961B1">
        <w:rPr>
          <w:rFonts w:asciiTheme="minorHAnsi" w:hAnsiTheme="minorHAnsi" w:cstheme="minorHAnsi"/>
          <w:sz w:val="22"/>
          <w:szCs w:val="22"/>
          <w:lang w:val="fr-FR"/>
        </w:rPr>
        <w:t>ur</w:t>
      </w:r>
      <w:r w:rsidR="003A326A" w:rsidRPr="001961B1">
        <w:rPr>
          <w:rFonts w:asciiTheme="minorHAnsi" w:hAnsiTheme="minorHAnsi" w:cstheme="minorHAnsi"/>
          <w:sz w:val="22"/>
          <w:szCs w:val="22"/>
          <w:lang w:val="fr-FR"/>
        </w:rPr>
        <w:t xml:space="preserve">s Rapports nationaux </w:t>
      </w:r>
      <w:r w:rsidR="00CA4CBC" w:rsidRPr="001961B1">
        <w:rPr>
          <w:rFonts w:asciiTheme="minorHAnsi" w:hAnsiTheme="minorHAnsi" w:cstheme="minorHAnsi"/>
          <w:sz w:val="22"/>
          <w:szCs w:val="22"/>
          <w:lang w:val="fr-FR"/>
        </w:rPr>
        <w:t>indiquent qu’il importe</w:t>
      </w:r>
      <w:r w:rsidR="003A326A" w:rsidRPr="001961B1">
        <w:rPr>
          <w:rFonts w:asciiTheme="minorHAnsi" w:hAnsiTheme="minorHAnsi" w:cstheme="minorHAnsi"/>
          <w:sz w:val="22"/>
          <w:szCs w:val="22"/>
          <w:lang w:val="fr-FR"/>
        </w:rPr>
        <w:t xml:space="preserve"> d’améliorer les cadres de suivi et d’évaluation, de terminer les inventaires nationaux des EEE </w:t>
      </w:r>
      <w:r w:rsidR="00CA4CBC" w:rsidRPr="001961B1">
        <w:rPr>
          <w:rFonts w:asciiTheme="minorHAnsi" w:hAnsiTheme="minorHAnsi" w:cstheme="minorHAnsi"/>
          <w:sz w:val="22"/>
          <w:szCs w:val="22"/>
          <w:lang w:val="fr-FR"/>
        </w:rPr>
        <w:t>et</w:t>
      </w:r>
      <w:r w:rsidR="003A326A" w:rsidRPr="001961B1">
        <w:rPr>
          <w:rFonts w:asciiTheme="minorHAnsi" w:hAnsiTheme="minorHAnsi" w:cstheme="minorHAnsi"/>
          <w:sz w:val="22"/>
          <w:szCs w:val="22"/>
          <w:lang w:val="fr-FR"/>
        </w:rPr>
        <w:t xml:space="preserve"> de </w:t>
      </w:r>
      <w:r w:rsidR="00CA4CBC" w:rsidRPr="001961B1">
        <w:rPr>
          <w:rFonts w:asciiTheme="minorHAnsi" w:hAnsiTheme="minorHAnsi" w:cstheme="minorHAnsi"/>
          <w:sz w:val="22"/>
          <w:szCs w:val="22"/>
          <w:lang w:val="fr-FR"/>
        </w:rPr>
        <w:t>perfectionner l</w:t>
      </w:r>
      <w:r w:rsidR="003A326A" w:rsidRPr="001961B1">
        <w:rPr>
          <w:rFonts w:asciiTheme="minorHAnsi" w:hAnsiTheme="minorHAnsi" w:cstheme="minorHAnsi"/>
          <w:sz w:val="22"/>
          <w:szCs w:val="22"/>
          <w:lang w:val="fr-FR"/>
        </w:rPr>
        <w:t xml:space="preserve">es systèmes de données. Plus du tiers des Parties d’Afrique et d’Amérique latine et </w:t>
      </w:r>
      <w:r w:rsidR="00A27A89" w:rsidRPr="001961B1">
        <w:rPr>
          <w:rFonts w:asciiTheme="minorHAnsi" w:hAnsiTheme="minorHAnsi" w:cstheme="minorHAnsi"/>
          <w:sz w:val="22"/>
          <w:szCs w:val="22"/>
          <w:lang w:val="fr-FR"/>
        </w:rPr>
        <w:t>Caraïbes</w:t>
      </w:r>
      <w:r w:rsidR="003A326A" w:rsidRPr="001961B1">
        <w:rPr>
          <w:rFonts w:asciiTheme="minorHAnsi" w:hAnsiTheme="minorHAnsi" w:cstheme="minorHAnsi"/>
          <w:sz w:val="22"/>
          <w:szCs w:val="22"/>
          <w:lang w:val="fr-FR"/>
        </w:rPr>
        <w:t xml:space="preserve"> </w:t>
      </w:r>
      <w:r w:rsidR="00CA4CBC" w:rsidRPr="001961B1">
        <w:rPr>
          <w:rFonts w:asciiTheme="minorHAnsi" w:hAnsiTheme="minorHAnsi" w:cstheme="minorHAnsi"/>
          <w:sz w:val="22"/>
          <w:szCs w:val="22"/>
          <w:lang w:val="fr-FR"/>
        </w:rPr>
        <w:t>insistent sur</w:t>
      </w:r>
      <w:r w:rsidR="003A326A" w:rsidRPr="001961B1">
        <w:rPr>
          <w:rFonts w:asciiTheme="minorHAnsi" w:hAnsiTheme="minorHAnsi" w:cstheme="minorHAnsi"/>
          <w:sz w:val="22"/>
          <w:szCs w:val="22"/>
          <w:lang w:val="fr-FR"/>
        </w:rPr>
        <w:t xml:space="preserve"> la nécessité d’augmenter </w:t>
      </w:r>
      <w:r w:rsidR="00CA4CBC" w:rsidRPr="001961B1">
        <w:rPr>
          <w:rFonts w:asciiTheme="minorHAnsi" w:hAnsiTheme="minorHAnsi" w:cstheme="minorHAnsi"/>
          <w:sz w:val="22"/>
          <w:szCs w:val="22"/>
          <w:lang w:val="fr-FR"/>
        </w:rPr>
        <w:t>le soutien</w:t>
      </w:r>
      <w:r w:rsidR="003A326A" w:rsidRPr="001961B1">
        <w:rPr>
          <w:rFonts w:asciiTheme="minorHAnsi" w:hAnsiTheme="minorHAnsi" w:cstheme="minorHAnsi"/>
          <w:sz w:val="22"/>
          <w:szCs w:val="22"/>
          <w:lang w:val="fr-FR"/>
        </w:rPr>
        <w:t xml:space="preserve"> technique et financier. </w:t>
      </w:r>
    </w:p>
    <w:p w14:paraId="2E6DAC63" w14:textId="77777777" w:rsidR="0084460A" w:rsidRPr="001961B1" w:rsidRDefault="0084460A" w:rsidP="00CD3F6B">
      <w:pPr>
        <w:rPr>
          <w:rFonts w:asciiTheme="minorHAnsi" w:hAnsiTheme="minorHAnsi" w:cstheme="minorHAnsi"/>
          <w:sz w:val="22"/>
          <w:szCs w:val="22"/>
          <w:lang w:val="fr-FR"/>
        </w:rPr>
      </w:pPr>
    </w:p>
    <w:p w14:paraId="009CB705" w14:textId="77777777" w:rsidR="00C3536E" w:rsidRPr="001961B1" w:rsidRDefault="00C3536E" w:rsidP="00CD3F6B">
      <w:pPr>
        <w:rPr>
          <w:rFonts w:asciiTheme="minorHAnsi" w:hAnsiTheme="minorHAnsi" w:cstheme="minorHAnsi"/>
          <w:sz w:val="22"/>
          <w:szCs w:val="22"/>
          <w:lang w:val="fr-FR"/>
        </w:rPr>
      </w:pPr>
    </w:p>
    <w:p w14:paraId="3A9342A7" w14:textId="043C4E14" w:rsidR="002A6998" w:rsidRPr="001961B1" w:rsidRDefault="00BF56A5" w:rsidP="00D1463B">
      <w:pPr>
        <w:keepNext/>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But</w:t>
      </w:r>
      <w:r w:rsidR="002A6998" w:rsidRPr="001961B1">
        <w:rPr>
          <w:rFonts w:asciiTheme="minorHAnsi" w:hAnsiTheme="minorHAnsi" w:cstheme="minorHAnsi"/>
          <w:b/>
          <w:sz w:val="22"/>
          <w:szCs w:val="22"/>
          <w:lang w:val="fr-FR" w:eastAsia="fr-FR"/>
        </w:rPr>
        <w:t xml:space="preserve"> 2</w:t>
      </w:r>
      <w:r w:rsidRPr="001961B1">
        <w:rPr>
          <w:rFonts w:asciiTheme="minorHAnsi" w:hAnsiTheme="minorHAnsi" w:cstheme="minorHAnsi"/>
          <w:b/>
          <w:sz w:val="22"/>
          <w:szCs w:val="22"/>
          <w:lang w:val="fr-FR" w:eastAsia="fr-FR"/>
        </w:rPr>
        <w:t> </w:t>
      </w:r>
      <w:r w:rsidR="002A6998"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Conserver et gérer efficacement le réseau de zones humides d’importance internationale</w:t>
      </w:r>
    </w:p>
    <w:p w14:paraId="5D1A5638" w14:textId="77777777" w:rsidR="00D51D34" w:rsidRPr="001961B1" w:rsidRDefault="00D51D34" w:rsidP="00D1463B">
      <w:pPr>
        <w:keepNext/>
        <w:rPr>
          <w:rFonts w:asciiTheme="minorHAnsi" w:hAnsiTheme="minorHAnsi" w:cstheme="minorHAnsi"/>
          <w:sz w:val="22"/>
          <w:szCs w:val="22"/>
          <w:u w:val="single"/>
          <w:lang w:val="fr-FR" w:eastAsia="fr-FR"/>
        </w:rPr>
      </w:pPr>
    </w:p>
    <w:tbl>
      <w:tblPr>
        <w:tblStyle w:val="TableGrid16"/>
        <w:tblW w:w="9351" w:type="dxa"/>
        <w:tblLook w:val="04A0" w:firstRow="1" w:lastRow="0" w:firstColumn="1" w:lastColumn="0" w:noHBand="0" w:noVBand="1"/>
      </w:tblPr>
      <w:tblGrid>
        <w:gridCol w:w="9351"/>
      </w:tblGrid>
      <w:tr w:rsidR="002F4351" w:rsidRPr="001961B1" w14:paraId="2E692FE9" w14:textId="77777777" w:rsidTr="004D229D">
        <w:tc>
          <w:tcPr>
            <w:tcW w:w="9351" w:type="dxa"/>
            <w:vAlign w:val="center"/>
          </w:tcPr>
          <w:p w14:paraId="367D1F4B" w14:textId="6B8376F1" w:rsidR="00504C93" w:rsidRPr="001961B1" w:rsidRDefault="00BF56A5" w:rsidP="008A3659">
            <w:pPr>
              <w:keepNext/>
              <w:spacing w:before="120" w:after="120"/>
              <w:rPr>
                <w:rFonts w:asciiTheme="minorHAnsi" w:eastAsia="MS Gothic" w:hAnsiTheme="minorHAnsi" w:cstheme="minorHAnsi"/>
                <w:b/>
                <w:sz w:val="22"/>
                <w:szCs w:val="22"/>
                <w:lang w:val="fr-FR" w:eastAsia="fr-FR"/>
              </w:rPr>
            </w:pPr>
            <w:bookmarkStart w:id="2" w:name="_Hlk193174937"/>
            <w:r w:rsidRPr="001961B1">
              <w:rPr>
                <w:rFonts w:asciiTheme="minorHAnsi" w:eastAsia="MS Gothic" w:hAnsiTheme="minorHAnsi" w:cstheme="minorHAnsi"/>
                <w:b/>
                <w:sz w:val="22"/>
                <w:szCs w:val="22"/>
                <w:lang w:val="fr-FR" w:eastAsia="fr-FR"/>
              </w:rPr>
              <w:t>Objectif</w:t>
            </w:r>
            <w:r w:rsidR="002F4351" w:rsidRPr="001961B1">
              <w:rPr>
                <w:rFonts w:asciiTheme="minorHAnsi" w:eastAsia="MS Gothic" w:hAnsiTheme="minorHAnsi" w:cstheme="minorHAnsi"/>
                <w:b/>
                <w:sz w:val="22"/>
                <w:szCs w:val="22"/>
                <w:lang w:val="fr-FR" w:eastAsia="fr-FR"/>
              </w:rPr>
              <w:t xml:space="preserve"> 5. </w:t>
            </w:r>
            <w:r w:rsidR="004F4626" w:rsidRPr="001961B1">
              <w:rPr>
                <w:rFonts w:asciiTheme="minorHAnsi" w:eastAsia="MS Gothic" w:hAnsiTheme="minorHAnsi" w:cstheme="minorHAnsi"/>
                <w:b/>
                <w:sz w:val="22"/>
                <w:szCs w:val="22"/>
                <w:lang w:val="fr-FR" w:eastAsia="fr-FR"/>
              </w:rPr>
              <w:t xml:space="preserve">Les caractéristiques écologiques des </w:t>
            </w:r>
            <w:r w:rsidR="004F4626" w:rsidRPr="001961B1">
              <w:rPr>
                <w:rFonts w:asciiTheme="minorHAnsi" w:hAnsiTheme="minorHAnsi" w:cstheme="minorHAnsi"/>
                <w:b/>
                <w:sz w:val="22"/>
                <w:szCs w:val="22"/>
                <w:lang w:val="fr-FR" w:eastAsia="fr-FR"/>
              </w:rPr>
              <w:t>zones humides d’importance internationale</w:t>
            </w:r>
            <w:r w:rsidR="004F4626" w:rsidRPr="001961B1">
              <w:rPr>
                <w:rFonts w:asciiTheme="minorHAnsi" w:eastAsia="MS Gothic" w:hAnsiTheme="minorHAnsi" w:cstheme="minorHAnsi"/>
                <w:b/>
                <w:sz w:val="22"/>
                <w:szCs w:val="22"/>
                <w:lang w:val="fr-FR" w:eastAsia="fr-FR"/>
              </w:rPr>
              <w:t xml:space="preserve"> sont maintenues ou restaurées par une planification efficace et une gestion intégrée</w:t>
            </w:r>
            <w:r w:rsidR="00EF0B69" w:rsidRPr="001961B1">
              <w:rPr>
                <w:rFonts w:asciiTheme="minorHAnsi" w:eastAsia="MS Gothic" w:hAnsiTheme="minorHAnsi" w:cstheme="minorHAnsi"/>
                <w:b/>
                <w:sz w:val="22"/>
                <w:szCs w:val="22"/>
                <w:lang w:val="fr-FR" w:eastAsia="fr-FR"/>
              </w:rPr>
              <w:t>.</w:t>
            </w:r>
          </w:p>
          <w:p w14:paraId="0E1A9F98" w14:textId="59D58E40" w:rsidR="002F4351" w:rsidRPr="001961B1" w:rsidRDefault="001B1C1A" w:rsidP="008A3659">
            <w:pPr>
              <w:keepNext/>
              <w:spacing w:before="120" w:after="120"/>
              <w:rPr>
                <w:rFonts w:asciiTheme="minorHAnsi" w:hAnsiTheme="minorHAnsi" w:cstheme="minorHAnsi"/>
                <w:bCs/>
                <w:sz w:val="22"/>
                <w:szCs w:val="22"/>
                <w:lang w:val="fr-FR" w:eastAsia="fr-FR"/>
              </w:rPr>
            </w:pPr>
            <w:r w:rsidRPr="001961B1">
              <w:rPr>
                <w:rFonts w:asciiTheme="minorHAnsi" w:eastAsia="MS Gothic" w:hAnsiTheme="minorHAnsi" w:cstheme="minorHAnsi"/>
                <w:bCs/>
                <w:sz w:val="22"/>
                <w:szCs w:val="22"/>
                <w:lang w:val="fr-FR" w:eastAsia="fr-FR"/>
              </w:rPr>
              <w:t>Contribut</w:t>
            </w:r>
            <w:r w:rsidR="004F4626" w:rsidRPr="001961B1">
              <w:rPr>
                <w:rFonts w:asciiTheme="minorHAnsi" w:eastAsia="MS Gothic" w:hAnsiTheme="minorHAnsi" w:cstheme="minorHAnsi"/>
                <w:bCs/>
                <w:sz w:val="22"/>
                <w:szCs w:val="22"/>
                <w:lang w:val="fr-FR" w:eastAsia="fr-FR"/>
              </w:rPr>
              <w:t>ion aux</w:t>
            </w:r>
            <w:r w:rsidR="00FA1B00" w:rsidRPr="001961B1">
              <w:rPr>
                <w:rFonts w:asciiTheme="minorHAnsi" w:eastAsia="MS Gothic" w:hAnsiTheme="minorHAnsi" w:cstheme="minorHAnsi"/>
                <w:bCs/>
                <w:sz w:val="22"/>
                <w:szCs w:val="22"/>
                <w:lang w:val="fr-FR" w:eastAsia="fr-FR"/>
              </w:rPr>
              <w:t xml:space="preserve"> cibles </w:t>
            </w:r>
            <w:r w:rsidR="00D647F7" w:rsidRPr="001961B1">
              <w:rPr>
                <w:rFonts w:asciiTheme="minorHAnsi" w:eastAsia="MS Gothic" w:hAnsiTheme="minorHAnsi" w:cstheme="minorHAnsi"/>
                <w:bCs/>
                <w:sz w:val="22"/>
                <w:szCs w:val="22"/>
                <w:lang w:val="fr-FR" w:eastAsia="fr-FR"/>
              </w:rPr>
              <w:t>3</w:t>
            </w:r>
            <w:r w:rsidR="002F4351" w:rsidRPr="001961B1">
              <w:rPr>
                <w:rFonts w:asciiTheme="minorHAnsi" w:eastAsia="MS Gothic" w:hAnsiTheme="minorHAnsi" w:cstheme="minorHAnsi"/>
                <w:bCs/>
                <w:sz w:val="22"/>
                <w:szCs w:val="22"/>
                <w:lang w:val="fr-FR" w:eastAsia="fr-FR"/>
              </w:rPr>
              <w:t xml:space="preserve">, </w:t>
            </w:r>
            <w:r w:rsidR="00485857" w:rsidRPr="001961B1">
              <w:rPr>
                <w:rFonts w:asciiTheme="minorHAnsi" w:eastAsia="MS Gothic" w:hAnsiTheme="minorHAnsi" w:cstheme="minorHAnsi"/>
                <w:bCs/>
                <w:sz w:val="22"/>
                <w:szCs w:val="22"/>
                <w:lang w:val="fr-FR" w:eastAsia="fr-FR"/>
              </w:rPr>
              <w:t>4</w:t>
            </w:r>
            <w:r w:rsidR="002F4351" w:rsidRPr="001961B1">
              <w:rPr>
                <w:rFonts w:asciiTheme="minorHAnsi" w:eastAsia="MS Gothic" w:hAnsiTheme="minorHAnsi" w:cstheme="minorHAnsi"/>
                <w:bCs/>
                <w:sz w:val="22"/>
                <w:szCs w:val="22"/>
                <w:lang w:val="fr-FR" w:eastAsia="fr-FR"/>
              </w:rPr>
              <w:t xml:space="preserve"> </w:t>
            </w:r>
            <w:r w:rsidR="00FA1B00" w:rsidRPr="001961B1">
              <w:rPr>
                <w:rFonts w:asciiTheme="minorHAnsi" w:eastAsia="MS Gothic" w:hAnsiTheme="minorHAnsi" w:cstheme="minorHAnsi"/>
                <w:bCs/>
                <w:sz w:val="22"/>
                <w:szCs w:val="22"/>
                <w:lang w:val="fr-FR" w:eastAsia="fr-FR"/>
              </w:rPr>
              <w:t>et</w:t>
            </w:r>
            <w:r w:rsidR="002F4351" w:rsidRPr="001961B1">
              <w:rPr>
                <w:rFonts w:asciiTheme="minorHAnsi" w:eastAsia="MS Gothic" w:hAnsiTheme="minorHAnsi" w:cstheme="minorHAnsi"/>
                <w:bCs/>
                <w:sz w:val="22"/>
                <w:szCs w:val="22"/>
                <w:lang w:val="fr-FR" w:eastAsia="fr-FR"/>
              </w:rPr>
              <w:t xml:space="preserve"> 5</w:t>
            </w:r>
            <w:r w:rsidR="00FA1B00" w:rsidRPr="001961B1">
              <w:rPr>
                <w:rFonts w:asciiTheme="minorHAnsi" w:eastAsia="MS Gothic" w:hAnsiTheme="minorHAnsi" w:cstheme="minorHAnsi"/>
                <w:bCs/>
                <w:sz w:val="22"/>
                <w:szCs w:val="22"/>
                <w:lang w:val="fr-FR" w:eastAsia="fr-FR"/>
              </w:rPr>
              <w:t xml:space="preserve"> du CMB-KM et aux cibles</w:t>
            </w:r>
            <w:r w:rsidR="00480780" w:rsidRPr="001961B1">
              <w:rPr>
                <w:rFonts w:asciiTheme="minorHAnsi" w:eastAsia="MS Gothic" w:hAnsiTheme="minorHAnsi" w:cstheme="minorHAnsi"/>
                <w:bCs/>
                <w:sz w:val="22"/>
                <w:szCs w:val="22"/>
                <w:lang w:val="fr-FR" w:eastAsia="fr-FR"/>
              </w:rPr>
              <w:t xml:space="preserve"> </w:t>
            </w:r>
            <w:r w:rsidR="00485857" w:rsidRPr="001961B1">
              <w:rPr>
                <w:rFonts w:asciiTheme="minorHAnsi" w:eastAsia="MS Gothic" w:hAnsiTheme="minorHAnsi" w:cstheme="minorHAnsi"/>
                <w:bCs/>
                <w:sz w:val="22"/>
                <w:szCs w:val="22"/>
                <w:lang w:val="fr-FR" w:eastAsia="fr-FR"/>
              </w:rPr>
              <w:t>6.3</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6.4</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6.5</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6.6</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11.3</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11.4</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11.a</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11.b</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13.1</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14.2</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15.1</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15.2</w:t>
            </w:r>
            <w:r w:rsidR="00480780" w:rsidRPr="001961B1">
              <w:rPr>
                <w:rFonts w:asciiTheme="minorHAnsi" w:eastAsia="MS Gothic" w:hAnsiTheme="minorHAnsi" w:cstheme="minorHAnsi"/>
                <w:bCs/>
                <w:sz w:val="22"/>
                <w:szCs w:val="22"/>
                <w:lang w:val="fr-FR" w:eastAsia="fr-FR"/>
              </w:rPr>
              <w:t>,</w:t>
            </w:r>
            <w:r w:rsidR="00485857" w:rsidRPr="001961B1">
              <w:rPr>
                <w:rFonts w:asciiTheme="minorHAnsi" w:eastAsia="MS Gothic" w:hAnsiTheme="minorHAnsi" w:cstheme="minorHAnsi"/>
                <w:bCs/>
                <w:sz w:val="22"/>
                <w:szCs w:val="22"/>
                <w:lang w:val="fr-FR" w:eastAsia="fr-FR"/>
              </w:rPr>
              <w:t xml:space="preserve"> 15.3</w:t>
            </w:r>
            <w:r w:rsidR="00480780" w:rsidRPr="001961B1">
              <w:rPr>
                <w:rFonts w:asciiTheme="minorHAnsi" w:eastAsia="MS Gothic" w:hAnsiTheme="minorHAnsi" w:cstheme="minorHAnsi"/>
                <w:bCs/>
                <w:sz w:val="22"/>
                <w:szCs w:val="22"/>
                <w:lang w:val="fr-FR" w:eastAsia="fr-FR"/>
              </w:rPr>
              <w:t xml:space="preserve"> </w:t>
            </w:r>
            <w:r w:rsidR="00FA1B00" w:rsidRPr="001961B1">
              <w:rPr>
                <w:rFonts w:asciiTheme="minorHAnsi" w:eastAsia="MS Gothic" w:hAnsiTheme="minorHAnsi" w:cstheme="minorHAnsi"/>
                <w:bCs/>
                <w:sz w:val="22"/>
                <w:szCs w:val="22"/>
                <w:lang w:val="fr-FR" w:eastAsia="fr-FR"/>
              </w:rPr>
              <w:t>et</w:t>
            </w:r>
            <w:r w:rsidR="00485857" w:rsidRPr="001961B1">
              <w:rPr>
                <w:rFonts w:asciiTheme="minorHAnsi" w:eastAsia="MS Gothic" w:hAnsiTheme="minorHAnsi" w:cstheme="minorHAnsi"/>
                <w:bCs/>
                <w:sz w:val="22"/>
                <w:szCs w:val="22"/>
                <w:lang w:val="fr-FR" w:eastAsia="fr-FR"/>
              </w:rPr>
              <w:t xml:space="preserve"> 15.4</w:t>
            </w:r>
            <w:r w:rsidR="00FA1B00" w:rsidRPr="001961B1">
              <w:rPr>
                <w:rFonts w:asciiTheme="minorHAnsi" w:eastAsia="MS Gothic" w:hAnsiTheme="minorHAnsi" w:cstheme="minorHAnsi"/>
                <w:bCs/>
                <w:sz w:val="22"/>
                <w:szCs w:val="22"/>
                <w:lang w:val="fr-FR" w:eastAsia="fr-FR"/>
              </w:rPr>
              <w:t xml:space="preserve"> des ODD</w:t>
            </w:r>
            <w:r w:rsidR="00480780" w:rsidRPr="001961B1">
              <w:rPr>
                <w:rFonts w:asciiTheme="minorHAnsi" w:eastAsia="MS Gothic" w:hAnsiTheme="minorHAnsi" w:cstheme="minorHAnsi"/>
                <w:bCs/>
                <w:sz w:val="22"/>
                <w:szCs w:val="22"/>
                <w:lang w:val="fr-FR" w:eastAsia="fr-FR"/>
              </w:rPr>
              <w:t>.</w:t>
            </w:r>
          </w:p>
        </w:tc>
      </w:tr>
      <w:bookmarkEnd w:id="2"/>
    </w:tbl>
    <w:p w14:paraId="0AD434E1" w14:textId="77777777" w:rsidR="00CE057A" w:rsidRPr="001961B1" w:rsidRDefault="00CE057A" w:rsidP="00D1463B">
      <w:pPr>
        <w:keepNext/>
        <w:rPr>
          <w:rFonts w:asciiTheme="minorHAnsi" w:hAnsiTheme="minorHAnsi" w:cstheme="minorHAnsi"/>
          <w:sz w:val="22"/>
          <w:szCs w:val="22"/>
          <w:lang w:val="fr-FR"/>
        </w:rPr>
      </w:pPr>
    </w:p>
    <w:p w14:paraId="17DA40BB" w14:textId="34B4E86A" w:rsidR="004D1B26" w:rsidRPr="001961B1" w:rsidRDefault="00B47A92"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002F35CC" w14:textId="77777777" w:rsidR="00745BD7" w:rsidRPr="001961B1" w:rsidRDefault="00745BD7" w:rsidP="00D1463B">
      <w:pPr>
        <w:keepNext/>
        <w:rPr>
          <w:rFonts w:asciiTheme="minorHAnsi" w:hAnsiTheme="minorHAnsi" w:cstheme="minorHAnsi"/>
          <w:sz w:val="22"/>
          <w:szCs w:val="22"/>
          <w:lang w:val="fr-FR"/>
        </w:rPr>
      </w:pPr>
    </w:p>
    <w:p w14:paraId="42D9DD3C" w14:textId="02983951" w:rsidR="00363F1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1</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264A3F" w:rsidRPr="001961B1">
        <w:rPr>
          <w:rFonts w:asciiTheme="minorHAnsi" w:hAnsiTheme="minorHAnsi" w:cstheme="minorHAnsi"/>
          <w:sz w:val="22"/>
          <w:szCs w:val="22"/>
          <w:lang w:val="fr-FR"/>
        </w:rPr>
        <w:t xml:space="preserve">Globalement, </w:t>
      </w:r>
      <w:r w:rsidR="008D6091" w:rsidRPr="001961B1">
        <w:rPr>
          <w:rFonts w:asciiTheme="minorHAnsi" w:hAnsiTheme="minorHAnsi" w:cstheme="minorHAnsi"/>
          <w:sz w:val="22"/>
          <w:szCs w:val="22"/>
          <w:lang w:val="fr-FR"/>
        </w:rPr>
        <w:t xml:space="preserve">l’état des caractéristiques écologiques des zones humides d’importance internationale reste relativement inchangé </w:t>
      </w:r>
      <w:r w:rsidR="006F1E00" w:rsidRPr="001961B1">
        <w:rPr>
          <w:rFonts w:asciiTheme="minorHAnsi" w:hAnsiTheme="minorHAnsi" w:cstheme="minorHAnsi"/>
          <w:sz w:val="22"/>
          <w:szCs w:val="22"/>
          <w:lang w:val="fr-FR"/>
        </w:rPr>
        <w:t>dans la période</w:t>
      </w:r>
      <w:r w:rsidR="00273400" w:rsidRPr="001961B1">
        <w:rPr>
          <w:rFonts w:asciiTheme="minorHAnsi" w:hAnsiTheme="minorHAnsi" w:cstheme="minorHAnsi"/>
          <w:sz w:val="22"/>
          <w:szCs w:val="22"/>
          <w:lang w:val="fr-FR"/>
        </w:rPr>
        <w:t xml:space="preserve"> du PS4. Les Rapports nationaux suggèrent </w:t>
      </w:r>
      <w:r w:rsidR="006F1E00" w:rsidRPr="001961B1">
        <w:rPr>
          <w:rFonts w:asciiTheme="minorHAnsi" w:hAnsiTheme="minorHAnsi" w:cstheme="minorHAnsi"/>
          <w:sz w:val="22"/>
          <w:szCs w:val="22"/>
          <w:lang w:val="fr-FR"/>
        </w:rPr>
        <w:t>que</w:t>
      </w:r>
      <w:r w:rsidR="00273400" w:rsidRPr="001961B1">
        <w:rPr>
          <w:rFonts w:asciiTheme="minorHAnsi" w:hAnsiTheme="minorHAnsi" w:cstheme="minorHAnsi"/>
          <w:sz w:val="22"/>
          <w:szCs w:val="22"/>
          <w:lang w:val="fr-FR"/>
        </w:rPr>
        <w:t xml:space="preserve"> le nombre de zones humides d’importance internationale gérées </w:t>
      </w:r>
      <w:r w:rsidR="006F1E00" w:rsidRPr="001961B1">
        <w:rPr>
          <w:rFonts w:asciiTheme="minorHAnsi" w:hAnsiTheme="minorHAnsi" w:cstheme="minorHAnsi"/>
          <w:sz w:val="22"/>
          <w:szCs w:val="22"/>
          <w:lang w:val="fr-FR"/>
        </w:rPr>
        <w:t>avec</w:t>
      </w:r>
      <w:r w:rsidR="00273400" w:rsidRPr="001961B1">
        <w:rPr>
          <w:rFonts w:asciiTheme="minorHAnsi" w:hAnsiTheme="minorHAnsi" w:cstheme="minorHAnsi"/>
          <w:sz w:val="22"/>
          <w:szCs w:val="22"/>
          <w:lang w:val="fr-FR"/>
        </w:rPr>
        <w:t xml:space="preserve"> efficac</w:t>
      </w:r>
      <w:r w:rsidR="006F1E00" w:rsidRPr="001961B1">
        <w:rPr>
          <w:rFonts w:asciiTheme="minorHAnsi" w:hAnsiTheme="minorHAnsi" w:cstheme="minorHAnsi"/>
          <w:sz w:val="22"/>
          <w:szCs w:val="22"/>
          <w:lang w:val="fr-FR"/>
        </w:rPr>
        <w:t>ité a augmenté</w:t>
      </w:r>
      <w:r w:rsidR="00273400" w:rsidRPr="001961B1">
        <w:rPr>
          <w:rFonts w:asciiTheme="minorHAnsi" w:hAnsiTheme="minorHAnsi" w:cstheme="minorHAnsi"/>
          <w:sz w:val="22"/>
          <w:szCs w:val="22"/>
          <w:lang w:val="fr-FR"/>
        </w:rPr>
        <w:t xml:space="preserve">, mais les évaluations </w:t>
      </w:r>
      <w:r w:rsidR="006F1E00" w:rsidRPr="001961B1">
        <w:rPr>
          <w:rFonts w:asciiTheme="minorHAnsi" w:hAnsiTheme="minorHAnsi" w:cstheme="minorHAnsi"/>
          <w:sz w:val="22"/>
          <w:szCs w:val="22"/>
          <w:lang w:val="fr-FR"/>
        </w:rPr>
        <w:t>de l’</w:t>
      </w:r>
      <w:r w:rsidR="00273400" w:rsidRPr="001961B1">
        <w:rPr>
          <w:rFonts w:asciiTheme="minorHAnsi" w:hAnsiTheme="minorHAnsi" w:cstheme="minorHAnsi"/>
          <w:sz w:val="22"/>
          <w:szCs w:val="22"/>
          <w:lang w:val="fr-FR"/>
        </w:rPr>
        <w:t xml:space="preserve">efficacité de la gestion ne sont appliquées que </w:t>
      </w:r>
      <w:r w:rsidR="006F1E00" w:rsidRPr="001961B1">
        <w:rPr>
          <w:rFonts w:asciiTheme="minorHAnsi" w:hAnsiTheme="minorHAnsi" w:cstheme="minorHAnsi"/>
          <w:sz w:val="22"/>
          <w:szCs w:val="22"/>
          <w:lang w:val="fr-FR"/>
        </w:rPr>
        <w:t xml:space="preserve">dans </w:t>
      </w:r>
      <w:r w:rsidR="00273400" w:rsidRPr="001961B1">
        <w:rPr>
          <w:rFonts w:asciiTheme="minorHAnsi" w:hAnsiTheme="minorHAnsi" w:cstheme="minorHAnsi"/>
          <w:sz w:val="22"/>
          <w:szCs w:val="22"/>
          <w:lang w:val="fr-FR"/>
        </w:rPr>
        <w:t>quelques sites. Une très large proportion des Fiches descriptives Ramsar (FDR) est obsolète.</w:t>
      </w:r>
      <w:r w:rsidR="00EF23A6" w:rsidRPr="001961B1">
        <w:rPr>
          <w:rFonts w:asciiTheme="minorHAnsi" w:hAnsiTheme="minorHAnsi" w:cstheme="minorHAnsi"/>
          <w:sz w:val="22"/>
          <w:szCs w:val="22"/>
          <w:lang w:val="fr-FR"/>
        </w:rPr>
        <w:t xml:space="preserve"> </w:t>
      </w:r>
    </w:p>
    <w:p w14:paraId="6708D36B" w14:textId="285D9B8F" w:rsidR="00367834" w:rsidRPr="001961B1" w:rsidRDefault="00367834" w:rsidP="00CD3F6B">
      <w:pPr>
        <w:rPr>
          <w:rFonts w:asciiTheme="minorHAnsi" w:hAnsiTheme="minorHAnsi" w:cstheme="minorHAnsi"/>
          <w:sz w:val="22"/>
          <w:szCs w:val="22"/>
          <w:lang w:val="fr-FR"/>
        </w:rPr>
      </w:pPr>
    </w:p>
    <w:tbl>
      <w:tblPr>
        <w:tblStyle w:val="TableGrid25"/>
        <w:tblW w:w="9356" w:type="dxa"/>
        <w:tblInd w:w="-5" w:type="dxa"/>
        <w:tblLayout w:type="fixed"/>
        <w:tblCellMar>
          <w:left w:w="85" w:type="dxa"/>
          <w:right w:w="85" w:type="dxa"/>
        </w:tblCellMar>
        <w:tblLook w:val="04A0" w:firstRow="1" w:lastRow="0" w:firstColumn="1" w:lastColumn="0" w:noHBand="0" w:noVBand="1"/>
      </w:tblPr>
      <w:tblGrid>
        <w:gridCol w:w="4111"/>
        <w:gridCol w:w="1195"/>
        <w:gridCol w:w="839"/>
        <w:gridCol w:w="854"/>
        <w:gridCol w:w="840"/>
        <w:gridCol w:w="1517"/>
      </w:tblGrid>
      <w:tr w:rsidR="004F6EE6" w:rsidRPr="001961B1" w14:paraId="7EEE76D6" w14:textId="77777777" w:rsidTr="00264A3F">
        <w:trPr>
          <w:cantSplit/>
        </w:trPr>
        <w:tc>
          <w:tcPr>
            <w:tcW w:w="4111" w:type="dxa"/>
            <w:shd w:val="clear" w:color="auto" w:fill="auto"/>
            <w:vAlign w:val="center"/>
            <w:hideMark/>
          </w:tcPr>
          <w:p w14:paraId="381E9C10" w14:textId="1DE0FA7E" w:rsidR="00367834" w:rsidRPr="001961B1" w:rsidRDefault="00367834"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8E6853"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1195" w:type="dxa"/>
            <w:shd w:val="clear" w:color="auto" w:fill="auto"/>
            <w:vAlign w:val="center"/>
            <w:hideMark/>
          </w:tcPr>
          <w:p w14:paraId="3FE51B59" w14:textId="333A29F8" w:rsidR="00367834" w:rsidRPr="001961B1" w:rsidRDefault="008E6853"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839" w:type="dxa"/>
            <w:shd w:val="clear" w:color="auto" w:fill="auto"/>
            <w:vAlign w:val="center"/>
            <w:hideMark/>
          </w:tcPr>
          <w:p w14:paraId="53570B62" w14:textId="77777777" w:rsidR="00367834" w:rsidRPr="001961B1" w:rsidRDefault="00367834"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854" w:type="dxa"/>
            <w:shd w:val="clear" w:color="auto" w:fill="auto"/>
            <w:vAlign w:val="center"/>
            <w:hideMark/>
          </w:tcPr>
          <w:p w14:paraId="4D5C9793" w14:textId="77777777" w:rsidR="00367834" w:rsidRPr="001961B1" w:rsidRDefault="00367834"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840" w:type="dxa"/>
            <w:shd w:val="clear" w:color="auto" w:fill="auto"/>
            <w:vAlign w:val="center"/>
            <w:hideMark/>
          </w:tcPr>
          <w:p w14:paraId="742FCE99" w14:textId="77777777" w:rsidR="00367834" w:rsidRPr="001961B1" w:rsidRDefault="00367834"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517" w:type="dxa"/>
            <w:shd w:val="clear" w:color="auto" w:fill="auto"/>
            <w:vAlign w:val="center"/>
            <w:hideMark/>
          </w:tcPr>
          <w:p w14:paraId="6915A882" w14:textId="485CD805" w:rsidR="00367834" w:rsidRPr="001961B1" w:rsidRDefault="008E6853"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4F6EE6" w:rsidRPr="001961B1" w14:paraId="0DEEEDE6" w14:textId="77777777" w:rsidTr="00264A3F">
        <w:trPr>
          <w:cantSplit/>
        </w:trPr>
        <w:tc>
          <w:tcPr>
            <w:tcW w:w="4111" w:type="dxa"/>
            <w:shd w:val="clear" w:color="auto" w:fill="auto"/>
          </w:tcPr>
          <w:p w14:paraId="0A262C15" w14:textId="4248F4A4" w:rsidR="00752883" w:rsidRPr="001961B1" w:rsidRDefault="008E6853"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Sites Ramsar ayant des plans de gestion effectifs et appliqués</w:t>
            </w:r>
            <w:r w:rsidR="00C1233A" w:rsidRPr="001961B1">
              <w:rPr>
                <w:rFonts w:asciiTheme="minorHAnsi" w:eastAsia="Aptos" w:hAnsiTheme="minorHAnsi" w:cstheme="minorHAnsi"/>
                <w:sz w:val="22"/>
                <w:szCs w:val="22"/>
                <w:lang w:val="fr-FR"/>
              </w:rPr>
              <w:t>*</w:t>
            </w:r>
            <w:r w:rsidR="00C943EA" w:rsidRPr="001961B1">
              <w:rPr>
                <w:rFonts w:asciiTheme="minorHAnsi" w:eastAsia="Aptos" w:hAnsiTheme="minorHAnsi" w:cstheme="minorHAnsi"/>
                <w:sz w:val="22"/>
                <w:szCs w:val="22"/>
                <w:lang w:val="fr-FR"/>
              </w:rPr>
              <w:t>.</w:t>
            </w:r>
            <w:r w:rsidR="00D6243D" w:rsidRPr="001961B1">
              <w:rPr>
                <w:rFonts w:asciiTheme="minorHAnsi" w:eastAsia="Aptos" w:hAnsiTheme="minorHAnsi" w:cstheme="minorHAnsi"/>
                <w:sz w:val="22"/>
                <w:szCs w:val="22"/>
                <w:lang w:val="fr-FR"/>
              </w:rPr>
              <w:t xml:space="preserve"> </w:t>
            </w:r>
          </w:p>
          <w:p w14:paraId="1D51FA5D" w14:textId="6F1AC6C0" w:rsidR="00E44196" w:rsidRPr="001961B1" w:rsidRDefault="00E44196" w:rsidP="00CD3F6B">
            <w:pPr>
              <w:rPr>
                <w:rFonts w:asciiTheme="minorHAnsi" w:eastAsia="Aptos" w:hAnsiTheme="minorHAnsi" w:cstheme="minorHAnsi"/>
                <w:sz w:val="22"/>
                <w:szCs w:val="22"/>
                <w:lang w:val="fr-FR"/>
              </w:rPr>
            </w:pPr>
          </w:p>
        </w:tc>
        <w:tc>
          <w:tcPr>
            <w:tcW w:w="1195" w:type="dxa"/>
            <w:shd w:val="clear" w:color="auto" w:fill="auto"/>
          </w:tcPr>
          <w:p w14:paraId="791EDA6C" w14:textId="2AF826E2" w:rsidR="00367834" w:rsidRPr="001961B1" w:rsidRDefault="00106FBF"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57</w:t>
            </w:r>
            <w:r w:rsidR="00264A3F" w:rsidRPr="001961B1">
              <w:rPr>
                <w:rFonts w:asciiTheme="minorHAnsi" w:eastAsia="Aptos" w:hAnsiTheme="minorHAnsi" w:cstheme="minorHAnsi"/>
                <w:b/>
                <w:bCs/>
                <w:sz w:val="22"/>
                <w:szCs w:val="22"/>
              </w:rPr>
              <w:t xml:space="preserve"> %</w:t>
            </w:r>
          </w:p>
        </w:tc>
        <w:tc>
          <w:tcPr>
            <w:tcW w:w="839" w:type="dxa"/>
            <w:shd w:val="clear" w:color="auto" w:fill="auto"/>
          </w:tcPr>
          <w:p w14:paraId="2FAE5B72" w14:textId="33A1F275" w:rsidR="00367834" w:rsidRPr="001961B1" w:rsidRDefault="00106FBF"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63</w:t>
            </w:r>
            <w:r w:rsidR="00264A3F" w:rsidRPr="001961B1">
              <w:rPr>
                <w:rFonts w:asciiTheme="minorHAnsi" w:eastAsia="Aptos" w:hAnsiTheme="minorHAnsi" w:cstheme="minorHAnsi"/>
                <w:b/>
                <w:bCs/>
                <w:sz w:val="22"/>
                <w:szCs w:val="22"/>
              </w:rPr>
              <w:t xml:space="preserve"> %</w:t>
            </w:r>
          </w:p>
        </w:tc>
        <w:tc>
          <w:tcPr>
            <w:tcW w:w="854" w:type="dxa"/>
            <w:shd w:val="clear" w:color="auto" w:fill="auto"/>
          </w:tcPr>
          <w:p w14:paraId="4EF6E1C8" w14:textId="2046F4B8" w:rsidR="00367834" w:rsidRPr="001961B1" w:rsidRDefault="00470026"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79</w:t>
            </w:r>
            <w:r w:rsidR="00264A3F" w:rsidRPr="001961B1">
              <w:rPr>
                <w:rFonts w:asciiTheme="minorHAnsi" w:eastAsia="Aptos" w:hAnsiTheme="minorHAnsi" w:cstheme="minorHAnsi"/>
                <w:b/>
                <w:bCs/>
                <w:sz w:val="22"/>
                <w:szCs w:val="22"/>
              </w:rPr>
              <w:t xml:space="preserve"> %</w:t>
            </w:r>
          </w:p>
        </w:tc>
        <w:tc>
          <w:tcPr>
            <w:tcW w:w="840" w:type="dxa"/>
            <w:shd w:val="clear" w:color="auto" w:fill="auto"/>
          </w:tcPr>
          <w:p w14:paraId="7040866D" w14:textId="3C48174F" w:rsidR="00367834" w:rsidRPr="001961B1" w:rsidRDefault="00470026" w:rsidP="004F6EE6">
            <w:pPr>
              <w:jc w:val="center"/>
              <w:rPr>
                <w:rFonts w:asciiTheme="minorHAnsi" w:eastAsia="Aptos" w:hAnsiTheme="minorHAnsi" w:cstheme="minorHAnsi"/>
                <w:b/>
                <w:bCs/>
                <w:sz w:val="22"/>
                <w:szCs w:val="22"/>
              </w:rPr>
            </w:pPr>
            <w:r w:rsidRPr="001961B1" w:rsidDel="00A35781">
              <w:rPr>
                <w:rFonts w:asciiTheme="minorHAnsi" w:eastAsia="Aptos" w:hAnsiTheme="minorHAnsi" w:cstheme="minorHAnsi"/>
                <w:b/>
                <w:bCs/>
                <w:sz w:val="22"/>
                <w:szCs w:val="22"/>
              </w:rPr>
              <w:t>73</w:t>
            </w:r>
            <w:r w:rsidR="00264A3F" w:rsidRPr="001961B1">
              <w:rPr>
                <w:rFonts w:asciiTheme="minorHAnsi" w:eastAsia="Aptos" w:hAnsiTheme="minorHAnsi" w:cstheme="minorHAnsi"/>
                <w:b/>
                <w:bCs/>
                <w:sz w:val="22"/>
                <w:szCs w:val="22"/>
              </w:rPr>
              <w:t xml:space="preserve"> %</w:t>
            </w:r>
          </w:p>
        </w:tc>
        <w:tc>
          <w:tcPr>
            <w:tcW w:w="1517" w:type="dxa"/>
            <w:shd w:val="clear" w:color="auto" w:fill="auto"/>
          </w:tcPr>
          <w:p w14:paraId="7671FC74" w14:textId="756C1187" w:rsidR="00367834" w:rsidRPr="001961B1" w:rsidRDefault="00E13DC9"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95729C2" wp14:editId="5213884E">
                  <wp:extent cx="712200" cy="432000"/>
                  <wp:effectExtent l="0" t="0" r="0" b="0"/>
                  <wp:docPr id="1296592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1961B1" w14:paraId="07E333E8" w14:textId="77777777" w:rsidTr="00264A3F">
        <w:trPr>
          <w:cantSplit/>
        </w:trPr>
        <w:tc>
          <w:tcPr>
            <w:tcW w:w="4111" w:type="dxa"/>
            <w:shd w:val="clear" w:color="auto" w:fill="auto"/>
          </w:tcPr>
          <w:p w14:paraId="2229387E" w14:textId="77B3EAEE" w:rsidR="00367834" w:rsidRPr="001961B1" w:rsidRDefault="00675BAC" w:rsidP="00E30A93">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Sites Ramsar ayant une planification effective en vigueu</w:t>
            </w:r>
            <w:bookmarkStart w:id="3" w:name="_Hlk195611533"/>
            <w:r w:rsidRPr="001961B1">
              <w:rPr>
                <w:rFonts w:asciiTheme="minorHAnsi" w:eastAsia="Aptos" w:hAnsiTheme="minorHAnsi" w:cstheme="minorHAnsi"/>
                <w:sz w:val="22"/>
                <w:szCs w:val="22"/>
                <w:lang w:val="fr-FR"/>
              </w:rPr>
              <w:t xml:space="preserve">r </w:t>
            </w:r>
            <w:r w:rsidR="002F5516" w:rsidRPr="001961B1">
              <w:rPr>
                <w:rFonts w:asciiTheme="minorHAnsi" w:eastAsia="Aptos" w:hAnsiTheme="minorHAnsi" w:cstheme="minorHAnsi"/>
                <w:sz w:val="22"/>
                <w:szCs w:val="22"/>
                <w:lang w:val="fr-FR"/>
              </w:rPr>
              <w:t>(</w:t>
            </w:r>
            <w:r w:rsidRPr="001961B1">
              <w:rPr>
                <w:rFonts w:asciiTheme="minorHAnsi" w:eastAsia="Aptos" w:hAnsiTheme="minorHAnsi" w:cstheme="minorHAnsi"/>
                <w:sz w:val="22"/>
                <w:szCs w:val="22"/>
                <w:lang w:val="fr-FR"/>
              </w:rPr>
              <w:t>autre que dans le contexte d’un plan de gestion officiel</w:t>
            </w:r>
            <w:bookmarkEnd w:id="3"/>
            <w:r w:rsidR="002F5516" w:rsidRPr="001961B1">
              <w:rPr>
                <w:rFonts w:asciiTheme="minorHAnsi" w:eastAsia="Aptos" w:hAnsiTheme="minorHAnsi" w:cstheme="minorHAnsi"/>
                <w:sz w:val="22"/>
                <w:szCs w:val="22"/>
                <w:lang w:val="fr-FR"/>
              </w:rPr>
              <w:t>)</w:t>
            </w:r>
            <w:r w:rsidR="00C1233A" w:rsidRPr="001961B1">
              <w:rPr>
                <w:rFonts w:asciiTheme="minorHAnsi" w:eastAsia="Aptos" w:hAnsiTheme="minorHAnsi" w:cstheme="minorHAnsi"/>
                <w:sz w:val="22"/>
                <w:szCs w:val="22"/>
                <w:lang w:val="fr-FR"/>
              </w:rPr>
              <w:t>*</w:t>
            </w:r>
            <w:r w:rsidR="00367834" w:rsidRPr="001961B1">
              <w:rPr>
                <w:rStyle w:val="FootnoteReference"/>
                <w:rFonts w:asciiTheme="minorHAnsi" w:eastAsia="Aptos" w:hAnsiTheme="minorHAnsi" w:cstheme="minorHAnsi"/>
                <w:sz w:val="22"/>
                <w:szCs w:val="22"/>
              </w:rPr>
              <w:footnoteReference w:id="4"/>
            </w:r>
            <w:r w:rsidR="00C943EA" w:rsidRPr="001961B1">
              <w:rPr>
                <w:rFonts w:asciiTheme="minorHAnsi" w:eastAsia="Aptos" w:hAnsiTheme="minorHAnsi" w:cstheme="minorHAnsi"/>
                <w:sz w:val="22"/>
                <w:szCs w:val="22"/>
                <w:lang w:val="fr-FR"/>
              </w:rPr>
              <w:t>.</w:t>
            </w:r>
          </w:p>
        </w:tc>
        <w:tc>
          <w:tcPr>
            <w:tcW w:w="1195" w:type="dxa"/>
            <w:shd w:val="clear" w:color="auto" w:fill="auto"/>
          </w:tcPr>
          <w:p w14:paraId="33112BFE" w14:textId="0CED6202" w:rsidR="00367834" w:rsidRPr="001961B1" w:rsidRDefault="00D82B30" w:rsidP="004F6EE6">
            <w:pPr>
              <w:jc w:val="center"/>
              <w:rPr>
                <w:rFonts w:asciiTheme="minorHAnsi" w:eastAsia="Aptos" w:hAnsiTheme="minorHAnsi" w:cstheme="minorHAnsi"/>
                <w:b/>
                <w:bCs/>
                <w:spacing w:val="-4"/>
                <w:sz w:val="22"/>
                <w:szCs w:val="22"/>
              </w:rPr>
            </w:pPr>
            <w:r w:rsidRPr="001961B1">
              <w:rPr>
                <w:rFonts w:asciiTheme="minorHAnsi" w:eastAsia="Aptos" w:hAnsiTheme="minorHAnsi" w:cstheme="minorHAnsi"/>
                <w:b/>
                <w:bCs/>
                <w:spacing w:val="-4"/>
                <w:sz w:val="22"/>
                <w:szCs w:val="22"/>
              </w:rPr>
              <w:t>Non disponible</w:t>
            </w:r>
          </w:p>
        </w:tc>
        <w:tc>
          <w:tcPr>
            <w:tcW w:w="839" w:type="dxa"/>
            <w:shd w:val="clear" w:color="auto" w:fill="auto"/>
          </w:tcPr>
          <w:p w14:paraId="34D19088" w14:textId="55864B04" w:rsidR="00367834" w:rsidRPr="001961B1" w:rsidRDefault="00470026"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23</w:t>
            </w:r>
            <w:r w:rsidR="00264A3F" w:rsidRPr="001961B1">
              <w:rPr>
                <w:rFonts w:asciiTheme="minorHAnsi" w:eastAsia="Aptos" w:hAnsiTheme="minorHAnsi" w:cstheme="minorHAnsi"/>
                <w:b/>
                <w:bCs/>
                <w:sz w:val="22"/>
                <w:szCs w:val="22"/>
              </w:rPr>
              <w:t xml:space="preserve"> %</w:t>
            </w:r>
          </w:p>
        </w:tc>
        <w:tc>
          <w:tcPr>
            <w:tcW w:w="854" w:type="dxa"/>
            <w:shd w:val="clear" w:color="auto" w:fill="auto"/>
          </w:tcPr>
          <w:p w14:paraId="66A28267" w14:textId="320A3452" w:rsidR="00367834" w:rsidRPr="001961B1" w:rsidRDefault="00DA61C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21</w:t>
            </w:r>
            <w:r w:rsidR="00264A3F" w:rsidRPr="001961B1">
              <w:rPr>
                <w:rFonts w:asciiTheme="minorHAnsi" w:eastAsia="Aptos" w:hAnsiTheme="minorHAnsi" w:cstheme="minorHAnsi"/>
                <w:b/>
                <w:bCs/>
                <w:sz w:val="22"/>
                <w:szCs w:val="22"/>
              </w:rPr>
              <w:t xml:space="preserve"> %</w:t>
            </w:r>
          </w:p>
        </w:tc>
        <w:tc>
          <w:tcPr>
            <w:tcW w:w="840" w:type="dxa"/>
            <w:shd w:val="clear" w:color="auto" w:fill="auto"/>
          </w:tcPr>
          <w:p w14:paraId="037190D3" w14:textId="4A80F873" w:rsidR="00367834" w:rsidRPr="001961B1" w:rsidRDefault="00DA61C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26</w:t>
            </w:r>
            <w:r w:rsidR="00264A3F" w:rsidRPr="001961B1">
              <w:rPr>
                <w:rFonts w:asciiTheme="minorHAnsi" w:eastAsia="Aptos" w:hAnsiTheme="minorHAnsi" w:cstheme="minorHAnsi"/>
                <w:b/>
                <w:bCs/>
                <w:sz w:val="22"/>
                <w:szCs w:val="22"/>
              </w:rPr>
              <w:t xml:space="preserve"> %</w:t>
            </w:r>
          </w:p>
        </w:tc>
        <w:tc>
          <w:tcPr>
            <w:tcW w:w="1517" w:type="dxa"/>
            <w:shd w:val="clear" w:color="auto" w:fill="auto"/>
            <w:vAlign w:val="center"/>
          </w:tcPr>
          <w:p w14:paraId="36CD953E" w14:textId="0B4865C2" w:rsidR="00367834" w:rsidRPr="001961B1" w:rsidRDefault="00B10215" w:rsidP="00E30A93">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43A05F4" wp14:editId="648FCD72">
                  <wp:extent cx="415800" cy="432000"/>
                  <wp:effectExtent l="0" t="0" r="3810" b="0"/>
                  <wp:docPr id="915378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4F6EE6" w:rsidRPr="001961B1" w14:paraId="5A47B504" w14:textId="77777777" w:rsidTr="00264A3F">
        <w:trPr>
          <w:cantSplit/>
        </w:trPr>
        <w:tc>
          <w:tcPr>
            <w:tcW w:w="4111" w:type="dxa"/>
            <w:shd w:val="clear" w:color="auto" w:fill="auto"/>
          </w:tcPr>
          <w:p w14:paraId="324B1097" w14:textId="06B9DD9A" w:rsidR="0073601F" w:rsidRPr="001961B1" w:rsidRDefault="00367834"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lastRenderedPageBreak/>
              <w:t xml:space="preserve">% </w:t>
            </w:r>
            <w:r w:rsidR="00675BAC" w:rsidRPr="001961B1">
              <w:rPr>
                <w:rFonts w:asciiTheme="minorHAnsi" w:eastAsia="Aptos" w:hAnsiTheme="minorHAnsi" w:cstheme="minorHAnsi"/>
                <w:sz w:val="22"/>
                <w:szCs w:val="22"/>
                <w:lang w:val="fr-FR"/>
              </w:rPr>
              <w:t>de Parties ayant évalué l’efficacité de la gestion de leurs Sites Ramsar</w:t>
            </w:r>
            <w:r w:rsidR="000A6378" w:rsidRPr="001961B1">
              <w:rPr>
                <w:rStyle w:val="FootnoteReference"/>
                <w:rFonts w:asciiTheme="minorHAnsi" w:eastAsia="Aptos" w:hAnsiTheme="minorHAnsi" w:cstheme="minorHAnsi"/>
                <w:sz w:val="22"/>
                <w:szCs w:val="22"/>
              </w:rPr>
              <w:footnoteReference w:id="5"/>
            </w:r>
            <w:r w:rsidR="00264A3F" w:rsidRPr="001961B1">
              <w:rPr>
                <w:rFonts w:asciiTheme="minorHAnsi" w:eastAsia="Aptos" w:hAnsiTheme="minorHAnsi" w:cstheme="minorHAnsi"/>
                <w:sz w:val="22"/>
                <w:szCs w:val="22"/>
                <w:lang w:val="fr-FR"/>
              </w:rPr>
              <w:t>.</w:t>
            </w:r>
          </w:p>
        </w:tc>
        <w:tc>
          <w:tcPr>
            <w:tcW w:w="1195" w:type="dxa"/>
            <w:shd w:val="clear" w:color="auto" w:fill="auto"/>
          </w:tcPr>
          <w:p w14:paraId="13003F2D" w14:textId="288E0EF6" w:rsidR="00367834" w:rsidRPr="001961B1" w:rsidRDefault="0036783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27</w:t>
            </w:r>
            <w:r w:rsidR="00264A3F" w:rsidRPr="001961B1">
              <w:rPr>
                <w:rFonts w:asciiTheme="minorHAnsi" w:eastAsia="Aptos" w:hAnsiTheme="minorHAnsi" w:cstheme="minorHAnsi"/>
                <w:b/>
                <w:bCs/>
                <w:sz w:val="22"/>
                <w:szCs w:val="22"/>
              </w:rPr>
              <w:t xml:space="preserve"> %</w:t>
            </w:r>
          </w:p>
        </w:tc>
        <w:tc>
          <w:tcPr>
            <w:tcW w:w="839" w:type="dxa"/>
            <w:shd w:val="clear" w:color="auto" w:fill="auto"/>
          </w:tcPr>
          <w:p w14:paraId="0B8455A7" w14:textId="07301BCD" w:rsidR="00367834" w:rsidRPr="001961B1" w:rsidRDefault="00DD202B"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29</w:t>
            </w:r>
            <w:r w:rsidR="00264A3F" w:rsidRPr="001961B1">
              <w:rPr>
                <w:rFonts w:asciiTheme="minorHAnsi" w:eastAsia="Aptos" w:hAnsiTheme="minorHAnsi" w:cstheme="minorHAnsi"/>
                <w:b/>
                <w:bCs/>
                <w:sz w:val="22"/>
                <w:szCs w:val="22"/>
              </w:rPr>
              <w:t xml:space="preserve"> %</w:t>
            </w:r>
          </w:p>
        </w:tc>
        <w:tc>
          <w:tcPr>
            <w:tcW w:w="854" w:type="dxa"/>
            <w:shd w:val="clear" w:color="auto" w:fill="auto"/>
          </w:tcPr>
          <w:p w14:paraId="6ED692E6" w14:textId="38E0D5B6" w:rsidR="00367834" w:rsidRPr="001961B1" w:rsidRDefault="00563AF8"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30</w:t>
            </w:r>
            <w:r w:rsidR="00264A3F" w:rsidRPr="001961B1">
              <w:rPr>
                <w:rFonts w:asciiTheme="minorHAnsi" w:eastAsia="Aptos" w:hAnsiTheme="minorHAnsi" w:cstheme="minorHAnsi"/>
                <w:b/>
                <w:bCs/>
                <w:sz w:val="22"/>
                <w:szCs w:val="22"/>
              </w:rPr>
              <w:t xml:space="preserve"> %</w:t>
            </w:r>
          </w:p>
        </w:tc>
        <w:tc>
          <w:tcPr>
            <w:tcW w:w="840" w:type="dxa"/>
            <w:shd w:val="clear" w:color="auto" w:fill="auto"/>
          </w:tcPr>
          <w:p w14:paraId="38CE7A57" w14:textId="7AE56E2D" w:rsidR="00367834" w:rsidRPr="001961B1" w:rsidRDefault="00563AF8"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29</w:t>
            </w:r>
            <w:r w:rsidR="00264A3F" w:rsidRPr="001961B1">
              <w:rPr>
                <w:rFonts w:asciiTheme="minorHAnsi" w:eastAsia="Aptos" w:hAnsiTheme="minorHAnsi" w:cstheme="minorHAnsi"/>
                <w:b/>
                <w:bCs/>
                <w:sz w:val="22"/>
                <w:szCs w:val="22"/>
              </w:rPr>
              <w:t xml:space="preserve"> %</w:t>
            </w:r>
          </w:p>
        </w:tc>
        <w:tc>
          <w:tcPr>
            <w:tcW w:w="1517" w:type="dxa"/>
            <w:shd w:val="clear" w:color="auto" w:fill="auto"/>
          </w:tcPr>
          <w:p w14:paraId="64382DF3" w14:textId="13EC32DF" w:rsidR="00367834" w:rsidRPr="001961B1" w:rsidRDefault="007257C8"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035AB24A" wp14:editId="18C5FEE7">
                  <wp:extent cx="712200" cy="432000"/>
                  <wp:effectExtent l="0" t="0" r="0" b="0"/>
                  <wp:docPr id="5227793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1961B1" w14:paraId="3ED63DCD" w14:textId="77777777" w:rsidTr="00264A3F">
        <w:trPr>
          <w:cantSplit/>
        </w:trPr>
        <w:tc>
          <w:tcPr>
            <w:tcW w:w="4111" w:type="dxa"/>
            <w:shd w:val="clear" w:color="auto" w:fill="auto"/>
          </w:tcPr>
          <w:p w14:paraId="0BF85052" w14:textId="007D659F" w:rsidR="00367834" w:rsidRPr="001961B1" w:rsidRDefault="00367834"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675BAC" w:rsidRPr="001961B1">
              <w:rPr>
                <w:rFonts w:asciiTheme="minorHAnsi" w:eastAsia="Aptos" w:hAnsiTheme="minorHAnsi" w:cstheme="minorHAnsi"/>
                <w:sz w:val="22"/>
                <w:szCs w:val="22"/>
                <w:lang w:val="fr-FR"/>
              </w:rPr>
              <w:t>de Sites Ramsar disposant de Fiches descriptives Ramsar à jour</w:t>
            </w:r>
            <w:r w:rsidRPr="001961B1">
              <w:rPr>
                <w:rFonts w:asciiTheme="minorHAnsi" w:eastAsia="Aptos" w:hAnsiTheme="minorHAnsi" w:cstheme="minorHAnsi"/>
                <w:sz w:val="22"/>
                <w:szCs w:val="22"/>
                <w:lang w:val="fr-FR"/>
              </w:rPr>
              <w:t>.</w:t>
            </w:r>
          </w:p>
        </w:tc>
        <w:tc>
          <w:tcPr>
            <w:tcW w:w="1195" w:type="dxa"/>
            <w:shd w:val="clear" w:color="auto" w:fill="auto"/>
          </w:tcPr>
          <w:p w14:paraId="1024ADDF" w14:textId="52AA4DA8" w:rsidR="00367834" w:rsidRPr="001961B1" w:rsidRDefault="0036783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43</w:t>
            </w:r>
            <w:r w:rsidR="00264A3F" w:rsidRPr="001961B1">
              <w:rPr>
                <w:rFonts w:asciiTheme="minorHAnsi" w:eastAsia="Aptos" w:hAnsiTheme="minorHAnsi" w:cstheme="minorHAnsi"/>
                <w:b/>
                <w:bCs/>
                <w:sz w:val="22"/>
                <w:szCs w:val="22"/>
              </w:rPr>
              <w:t xml:space="preserve"> %</w:t>
            </w:r>
          </w:p>
        </w:tc>
        <w:tc>
          <w:tcPr>
            <w:tcW w:w="839" w:type="dxa"/>
            <w:shd w:val="clear" w:color="auto" w:fill="auto"/>
          </w:tcPr>
          <w:p w14:paraId="6A2F04E6" w14:textId="34F2E2D8" w:rsidR="00367834" w:rsidRPr="001961B1" w:rsidRDefault="0036783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31</w:t>
            </w:r>
            <w:r w:rsidR="00264A3F" w:rsidRPr="001961B1">
              <w:rPr>
                <w:rFonts w:asciiTheme="minorHAnsi" w:eastAsia="Aptos" w:hAnsiTheme="minorHAnsi" w:cstheme="minorHAnsi"/>
                <w:b/>
                <w:bCs/>
                <w:sz w:val="22"/>
                <w:szCs w:val="22"/>
              </w:rPr>
              <w:t xml:space="preserve"> %</w:t>
            </w:r>
          </w:p>
        </w:tc>
        <w:tc>
          <w:tcPr>
            <w:tcW w:w="854" w:type="dxa"/>
            <w:shd w:val="clear" w:color="auto" w:fill="auto"/>
          </w:tcPr>
          <w:p w14:paraId="28DBD0EF" w14:textId="3294502C" w:rsidR="00367834" w:rsidRPr="001961B1" w:rsidRDefault="0036783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25</w:t>
            </w:r>
            <w:r w:rsidR="00264A3F" w:rsidRPr="001961B1">
              <w:rPr>
                <w:rFonts w:asciiTheme="minorHAnsi" w:eastAsia="Aptos" w:hAnsiTheme="minorHAnsi" w:cstheme="minorHAnsi"/>
                <w:b/>
                <w:bCs/>
                <w:sz w:val="22"/>
                <w:szCs w:val="22"/>
              </w:rPr>
              <w:t xml:space="preserve"> %</w:t>
            </w:r>
          </w:p>
        </w:tc>
        <w:tc>
          <w:tcPr>
            <w:tcW w:w="840" w:type="dxa"/>
            <w:shd w:val="clear" w:color="auto" w:fill="auto"/>
          </w:tcPr>
          <w:p w14:paraId="13EB3173" w14:textId="3A73E297" w:rsidR="00367834" w:rsidRPr="001961B1" w:rsidRDefault="00367834" w:rsidP="004F6EE6">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26</w:t>
            </w:r>
            <w:r w:rsidR="00264A3F" w:rsidRPr="001961B1">
              <w:rPr>
                <w:rFonts w:asciiTheme="minorHAnsi" w:eastAsia="Aptos" w:hAnsiTheme="minorHAnsi" w:cstheme="minorHAnsi"/>
                <w:b/>
                <w:bCs/>
                <w:sz w:val="22"/>
                <w:szCs w:val="22"/>
              </w:rPr>
              <w:t xml:space="preserve"> %</w:t>
            </w:r>
          </w:p>
        </w:tc>
        <w:tc>
          <w:tcPr>
            <w:tcW w:w="1517" w:type="dxa"/>
            <w:shd w:val="clear" w:color="auto" w:fill="auto"/>
          </w:tcPr>
          <w:p w14:paraId="40D4CD56" w14:textId="1A048E3E" w:rsidR="00367834" w:rsidRPr="001961B1" w:rsidRDefault="008E7DDF"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858D241" wp14:editId="57F8E226">
                  <wp:extent cx="712200" cy="432000"/>
                  <wp:effectExtent l="0" t="0" r="0" b="0"/>
                  <wp:docPr id="6262598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A983B39" w14:textId="0FC79E47" w:rsidR="00367834" w:rsidRPr="001961B1" w:rsidRDefault="00C1233A"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*pr</w:t>
      </w:r>
      <w:r w:rsidR="005565ED" w:rsidRPr="001961B1">
        <w:rPr>
          <w:rFonts w:asciiTheme="minorHAnsi" w:hAnsiTheme="minorHAnsi" w:cstheme="minorHAnsi"/>
          <w:sz w:val="22"/>
          <w:szCs w:val="22"/>
          <w:lang w:val="fr-FR"/>
        </w:rPr>
        <w:t>ésenté comme un pourcentage au lieu d’un nombre absolu,</w:t>
      </w:r>
      <w:r w:rsidRPr="001961B1">
        <w:rPr>
          <w:rFonts w:asciiTheme="minorHAnsi" w:hAnsiTheme="minorHAnsi" w:cstheme="minorHAnsi"/>
          <w:sz w:val="22"/>
          <w:szCs w:val="22"/>
          <w:lang w:val="fr-FR"/>
        </w:rPr>
        <w:t xml:space="preserve"> </w:t>
      </w:r>
      <w:r w:rsidR="005565ED" w:rsidRPr="001961B1">
        <w:rPr>
          <w:rFonts w:asciiTheme="minorHAnsi" w:hAnsiTheme="minorHAnsi" w:cstheme="minorHAnsi"/>
          <w:sz w:val="22"/>
          <w:szCs w:val="22"/>
          <w:lang w:val="fr-FR"/>
        </w:rPr>
        <w:t xml:space="preserve">en tenant compte des différences dans le </w:t>
      </w:r>
      <w:r w:rsidR="006F1E00" w:rsidRPr="001961B1">
        <w:rPr>
          <w:rFonts w:asciiTheme="minorHAnsi" w:hAnsiTheme="minorHAnsi" w:cstheme="minorHAnsi"/>
          <w:sz w:val="22"/>
          <w:szCs w:val="22"/>
          <w:lang w:val="fr-FR"/>
        </w:rPr>
        <w:t>nombre</w:t>
      </w:r>
      <w:r w:rsidR="005565ED" w:rsidRPr="001961B1">
        <w:rPr>
          <w:rFonts w:asciiTheme="minorHAnsi" w:hAnsiTheme="minorHAnsi" w:cstheme="minorHAnsi"/>
          <w:sz w:val="22"/>
          <w:szCs w:val="22"/>
          <w:lang w:val="fr-FR"/>
        </w:rPr>
        <w:t xml:space="preserve"> de rapport</w:t>
      </w:r>
      <w:r w:rsidR="006F1E00" w:rsidRPr="001961B1">
        <w:rPr>
          <w:rFonts w:asciiTheme="minorHAnsi" w:hAnsiTheme="minorHAnsi" w:cstheme="minorHAnsi"/>
          <w:sz w:val="22"/>
          <w:szCs w:val="22"/>
          <w:lang w:val="fr-FR"/>
        </w:rPr>
        <w:t>s</w:t>
      </w:r>
      <w:r w:rsidR="005565ED" w:rsidRPr="001961B1">
        <w:rPr>
          <w:rFonts w:asciiTheme="minorHAnsi" w:hAnsiTheme="minorHAnsi" w:cstheme="minorHAnsi"/>
          <w:sz w:val="22"/>
          <w:szCs w:val="22"/>
          <w:lang w:val="fr-FR"/>
        </w:rPr>
        <w:t xml:space="preserve"> et </w:t>
      </w:r>
      <w:r w:rsidR="006F1E00" w:rsidRPr="001961B1">
        <w:rPr>
          <w:rFonts w:asciiTheme="minorHAnsi" w:hAnsiTheme="minorHAnsi" w:cstheme="minorHAnsi"/>
          <w:sz w:val="22"/>
          <w:szCs w:val="22"/>
          <w:lang w:val="fr-FR"/>
        </w:rPr>
        <w:t>dans le total</w:t>
      </w:r>
      <w:r w:rsidR="005565ED" w:rsidRPr="001961B1">
        <w:rPr>
          <w:rFonts w:asciiTheme="minorHAnsi" w:hAnsiTheme="minorHAnsi" w:cstheme="minorHAnsi"/>
          <w:sz w:val="22"/>
          <w:szCs w:val="22"/>
          <w:lang w:val="fr-FR"/>
        </w:rPr>
        <w:t xml:space="preserve"> des sites à des COP </w:t>
      </w:r>
      <w:bookmarkStart w:id="4" w:name="_Hlk195707488"/>
      <w:r w:rsidR="005565ED" w:rsidRPr="001961B1">
        <w:rPr>
          <w:rFonts w:asciiTheme="minorHAnsi" w:hAnsiTheme="minorHAnsi" w:cstheme="minorHAnsi"/>
          <w:sz w:val="22"/>
          <w:szCs w:val="22"/>
          <w:lang w:val="fr-FR"/>
        </w:rPr>
        <w:t>différentes</w:t>
      </w:r>
      <w:r w:rsidR="002A01E1" w:rsidRPr="001961B1">
        <w:rPr>
          <w:rFonts w:asciiTheme="minorHAnsi" w:eastAsia="Aptos" w:hAnsiTheme="minorHAnsi" w:cstheme="minorHAnsi"/>
          <w:sz w:val="22"/>
          <w:szCs w:val="22"/>
          <w:lang w:val="fr-FR"/>
        </w:rPr>
        <w:t>.</w:t>
      </w:r>
      <w:bookmarkEnd w:id="4"/>
    </w:p>
    <w:p w14:paraId="458C5426" w14:textId="77777777" w:rsidR="00C1233A" w:rsidRPr="001961B1" w:rsidRDefault="00C1233A" w:rsidP="00CD3F6B">
      <w:pPr>
        <w:pStyle w:val="ListParagraph"/>
        <w:spacing w:after="0" w:line="240" w:lineRule="auto"/>
        <w:rPr>
          <w:rFonts w:cstheme="minorHAnsi"/>
          <w:lang w:val="fr-FR"/>
        </w:rPr>
      </w:pPr>
    </w:p>
    <w:p w14:paraId="799E6F86" w14:textId="640F946C" w:rsidR="000D57BE" w:rsidRPr="001961B1" w:rsidRDefault="00675BAC" w:rsidP="00D1463B">
      <w:pPr>
        <w:keepNext/>
        <w:rPr>
          <w:rFonts w:asciiTheme="minorHAnsi" w:hAnsiTheme="minorHAnsi" w:cstheme="minorHAnsi"/>
          <w:bCs/>
          <w:i/>
          <w:iCs/>
          <w:sz w:val="22"/>
          <w:szCs w:val="22"/>
          <w:u w:val="single"/>
          <w:lang w:val="fr-FR"/>
        </w:rPr>
      </w:pPr>
      <w:r w:rsidRPr="001961B1">
        <w:rPr>
          <w:rFonts w:asciiTheme="minorHAnsi" w:hAnsiTheme="minorHAnsi" w:cstheme="minorHAnsi"/>
          <w:bCs/>
          <w:i/>
          <w:iCs/>
          <w:sz w:val="22"/>
          <w:szCs w:val="22"/>
          <w:u w:val="single"/>
          <w:lang w:val="fr-FR"/>
        </w:rPr>
        <w:t>Résumé des progrès</w:t>
      </w:r>
    </w:p>
    <w:p w14:paraId="1E3D34E4" w14:textId="77777777" w:rsidR="00FA738D" w:rsidRPr="001961B1" w:rsidRDefault="00FA738D" w:rsidP="00D1463B">
      <w:pPr>
        <w:pStyle w:val="ListParagraph"/>
        <w:keepNext/>
        <w:spacing w:after="0" w:line="240" w:lineRule="auto"/>
        <w:ind w:left="0"/>
        <w:contextualSpacing w:val="0"/>
        <w:rPr>
          <w:rFonts w:cstheme="minorHAnsi"/>
          <w:b/>
          <w:bCs/>
          <w:lang w:val="fr-FR"/>
        </w:rPr>
      </w:pPr>
    </w:p>
    <w:p w14:paraId="380DC586" w14:textId="5994D63F" w:rsidR="00D57B4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3545EB" w:rsidRPr="001961B1">
        <w:rPr>
          <w:rFonts w:asciiTheme="minorHAnsi" w:hAnsiTheme="minorHAnsi" w:cstheme="minorHAnsi"/>
          <w:sz w:val="22"/>
          <w:szCs w:val="22"/>
          <w:lang w:val="fr-FR"/>
        </w:rPr>
        <w:t>Le nombre de zones humides d’importance internationale ayant des plans de gestion</w:t>
      </w:r>
      <w:r w:rsidR="009A6777" w:rsidRPr="001961B1">
        <w:rPr>
          <w:rFonts w:asciiTheme="minorHAnsi" w:hAnsiTheme="minorHAnsi" w:cstheme="minorHAnsi"/>
          <w:sz w:val="22"/>
          <w:szCs w:val="22"/>
          <w:lang w:val="fr-FR"/>
        </w:rPr>
        <w:t xml:space="preserve"> </w:t>
      </w:r>
      <w:r w:rsidR="003545EB" w:rsidRPr="001961B1">
        <w:rPr>
          <w:rFonts w:asciiTheme="minorHAnsi" w:hAnsiTheme="minorHAnsi" w:cstheme="minorHAnsi"/>
          <w:sz w:val="22"/>
          <w:szCs w:val="22"/>
          <w:lang w:val="fr-FR"/>
        </w:rPr>
        <w:t xml:space="preserve">efficaces </w:t>
      </w:r>
      <w:r w:rsidR="009A6777" w:rsidRPr="001961B1">
        <w:rPr>
          <w:rFonts w:asciiTheme="minorHAnsi" w:hAnsiTheme="minorHAnsi" w:cstheme="minorHAnsi"/>
          <w:sz w:val="22"/>
          <w:szCs w:val="22"/>
          <w:lang w:val="fr-FR"/>
        </w:rPr>
        <w:t xml:space="preserve">en vigueur </w:t>
      </w:r>
      <w:r w:rsidR="003545EB" w:rsidRPr="001961B1">
        <w:rPr>
          <w:rFonts w:asciiTheme="minorHAnsi" w:hAnsiTheme="minorHAnsi" w:cstheme="minorHAnsi"/>
          <w:sz w:val="22"/>
          <w:szCs w:val="22"/>
          <w:lang w:val="fr-FR"/>
        </w:rPr>
        <w:t xml:space="preserve">a augmenté de manière significative par rapport à la référence. Si l’on tient compte des différences dans le taux de rapports et </w:t>
      </w:r>
      <w:r w:rsidR="0013318A" w:rsidRPr="001961B1">
        <w:rPr>
          <w:rFonts w:asciiTheme="minorHAnsi" w:hAnsiTheme="minorHAnsi" w:cstheme="minorHAnsi"/>
          <w:sz w:val="22"/>
          <w:szCs w:val="22"/>
          <w:lang w:val="fr-FR"/>
        </w:rPr>
        <w:t>dans l</w:t>
      </w:r>
      <w:r w:rsidR="003545EB" w:rsidRPr="001961B1">
        <w:rPr>
          <w:rFonts w:asciiTheme="minorHAnsi" w:hAnsiTheme="minorHAnsi" w:cstheme="minorHAnsi"/>
          <w:sz w:val="22"/>
          <w:szCs w:val="22"/>
          <w:lang w:val="fr-FR"/>
        </w:rPr>
        <w:t xml:space="preserve">e nombre total de sites à des COP différentes, on estime que les trois quarts des sites ont des plans de gestion appliqués et efficaces à la COP15. </w:t>
      </w:r>
      <w:r w:rsidR="0013318A" w:rsidRPr="001961B1">
        <w:rPr>
          <w:rFonts w:asciiTheme="minorHAnsi" w:hAnsiTheme="minorHAnsi" w:cstheme="minorHAnsi"/>
          <w:sz w:val="22"/>
          <w:szCs w:val="22"/>
          <w:lang w:val="fr-FR"/>
        </w:rPr>
        <w:t>Dans le cas des</w:t>
      </w:r>
      <w:r w:rsidR="003545EB" w:rsidRPr="001961B1">
        <w:rPr>
          <w:rFonts w:asciiTheme="minorHAnsi" w:hAnsiTheme="minorHAnsi" w:cstheme="minorHAnsi"/>
          <w:sz w:val="22"/>
          <w:szCs w:val="22"/>
          <w:lang w:val="fr-FR"/>
        </w:rPr>
        <w:t xml:space="preserve"> sites </w:t>
      </w:r>
      <w:r w:rsidR="0013318A" w:rsidRPr="001961B1">
        <w:rPr>
          <w:rFonts w:asciiTheme="minorHAnsi" w:hAnsiTheme="minorHAnsi" w:cstheme="minorHAnsi"/>
          <w:sz w:val="22"/>
          <w:szCs w:val="22"/>
          <w:lang w:val="fr-FR"/>
        </w:rPr>
        <w:t>n’ayant</w:t>
      </w:r>
      <w:r w:rsidR="003545EB" w:rsidRPr="001961B1">
        <w:rPr>
          <w:rFonts w:asciiTheme="minorHAnsi" w:hAnsiTheme="minorHAnsi" w:cstheme="minorHAnsi"/>
          <w:sz w:val="22"/>
          <w:szCs w:val="22"/>
          <w:lang w:val="fr-FR"/>
        </w:rPr>
        <w:t xml:space="preserve"> pas de plan de gestion officiel, </w:t>
      </w:r>
      <w:r w:rsidR="0013318A" w:rsidRPr="001961B1">
        <w:rPr>
          <w:rFonts w:asciiTheme="minorHAnsi" w:hAnsiTheme="minorHAnsi" w:cstheme="minorHAnsi"/>
          <w:sz w:val="22"/>
          <w:szCs w:val="22"/>
          <w:lang w:val="fr-FR"/>
        </w:rPr>
        <w:t>on constate</w:t>
      </w:r>
      <w:r w:rsidR="003545EB" w:rsidRPr="001961B1">
        <w:rPr>
          <w:rFonts w:asciiTheme="minorHAnsi" w:hAnsiTheme="minorHAnsi" w:cstheme="minorHAnsi"/>
          <w:sz w:val="22"/>
          <w:szCs w:val="22"/>
          <w:lang w:val="fr-FR"/>
        </w:rPr>
        <w:t xml:space="preserve"> une légère augmentation d</w:t>
      </w:r>
      <w:r w:rsidR="0013318A" w:rsidRPr="001961B1">
        <w:rPr>
          <w:rFonts w:asciiTheme="minorHAnsi" w:hAnsiTheme="minorHAnsi" w:cstheme="minorHAnsi"/>
          <w:sz w:val="22"/>
          <w:szCs w:val="22"/>
          <w:lang w:val="fr-FR"/>
        </w:rPr>
        <w:t>e</w:t>
      </w:r>
      <w:r w:rsidR="003545EB" w:rsidRPr="001961B1">
        <w:rPr>
          <w:rFonts w:asciiTheme="minorHAnsi" w:hAnsiTheme="minorHAnsi" w:cstheme="minorHAnsi"/>
          <w:sz w:val="22"/>
          <w:szCs w:val="22"/>
          <w:lang w:val="fr-FR"/>
        </w:rPr>
        <w:t xml:space="preserve"> la proportion de sites bénéficiant d’une gestion efficace, même si le nombre absolu présente une diminution modérée.</w:t>
      </w:r>
      <w:r w:rsidR="005B6557" w:rsidRPr="001961B1">
        <w:rPr>
          <w:rFonts w:asciiTheme="minorHAnsi" w:hAnsiTheme="minorHAnsi" w:cstheme="minorHAnsi"/>
          <w:sz w:val="22"/>
          <w:szCs w:val="22"/>
          <w:lang w:val="fr-FR"/>
        </w:rPr>
        <w:t xml:space="preserve"> </w:t>
      </w:r>
    </w:p>
    <w:p w14:paraId="3894BCD0" w14:textId="77777777" w:rsidR="00E904F5" w:rsidRPr="001961B1" w:rsidRDefault="00E904F5" w:rsidP="000E3338">
      <w:pPr>
        <w:ind w:left="567" w:hanging="567"/>
        <w:rPr>
          <w:rFonts w:asciiTheme="minorHAnsi" w:hAnsiTheme="minorHAnsi" w:cstheme="minorHAnsi"/>
          <w:sz w:val="22"/>
          <w:szCs w:val="22"/>
          <w:lang w:val="fr-FR"/>
        </w:rPr>
      </w:pPr>
    </w:p>
    <w:p w14:paraId="0F6822DE" w14:textId="2398C723" w:rsidR="00D940A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776CC0" w:rsidRPr="001961B1">
        <w:rPr>
          <w:rFonts w:asciiTheme="minorHAnsi" w:hAnsiTheme="minorHAnsi" w:cstheme="minorHAnsi"/>
          <w:sz w:val="22"/>
          <w:szCs w:val="22"/>
          <w:lang w:val="fr-FR"/>
        </w:rPr>
        <w:t xml:space="preserve">Toutefois, moins d’un tiers des Parties contractantes ont évalué l’efficacité de la gestion de toutes leurs zones humides d’importance internationale. Environ 40 % des Parties ont réalisé des évaluations partielles et beaucoup signalent </w:t>
      </w:r>
      <w:r w:rsidR="00044199" w:rsidRPr="001961B1">
        <w:rPr>
          <w:rFonts w:asciiTheme="minorHAnsi" w:hAnsiTheme="minorHAnsi" w:cstheme="minorHAnsi"/>
          <w:sz w:val="22"/>
          <w:szCs w:val="22"/>
          <w:lang w:val="fr-FR"/>
        </w:rPr>
        <w:t>qu’elles prévoient d’évaluer</w:t>
      </w:r>
      <w:r w:rsidR="00776CC0" w:rsidRPr="001961B1">
        <w:rPr>
          <w:rFonts w:asciiTheme="minorHAnsi" w:hAnsiTheme="minorHAnsi" w:cstheme="minorHAnsi"/>
          <w:sz w:val="22"/>
          <w:szCs w:val="22"/>
          <w:lang w:val="fr-FR"/>
        </w:rPr>
        <w:t xml:space="preserve"> l’efficacité de la gestion. Globalement, on observe peu de changements dans ces chiffres sur les trois périodes triennales passées, mais la proportion de Parties ayant évalué l’efficacité de la gestion de zones humides d’importance internationale a augmenté en Asie et en Océanie</w:t>
      </w:r>
      <w:r w:rsidR="00044199" w:rsidRPr="001961B1">
        <w:rPr>
          <w:rFonts w:asciiTheme="minorHAnsi" w:hAnsiTheme="minorHAnsi" w:cstheme="minorHAnsi"/>
          <w:sz w:val="22"/>
          <w:szCs w:val="22"/>
          <w:lang w:val="fr-FR"/>
        </w:rPr>
        <w:t>,</w:t>
      </w:r>
      <w:r w:rsidR="00776CC0" w:rsidRPr="001961B1">
        <w:rPr>
          <w:rFonts w:asciiTheme="minorHAnsi" w:hAnsiTheme="minorHAnsi" w:cstheme="minorHAnsi"/>
          <w:sz w:val="22"/>
          <w:szCs w:val="22"/>
          <w:lang w:val="fr-FR"/>
        </w:rPr>
        <w:t xml:space="preserve"> tout en diminuant dans d’autres régions pour la même période.</w:t>
      </w:r>
      <w:r w:rsidR="00AB2083" w:rsidRPr="001961B1">
        <w:rPr>
          <w:rFonts w:asciiTheme="minorHAnsi" w:hAnsiTheme="minorHAnsi" w:cstheme="minorHAnsi"/>
          <w:sz w:val="22"/>
          <w:szCs w:val="22"/>
          <w:lang w:val="fr-FR"/>
        </w:rPr>
        <w:t xml:space="preserve"> </w:t>
      </w:r>
      <w:r w:rsidR="00796AA5" w:rsidRPr="001961B1">
        <w:rPr>
          <w:rFonts w:asciiTheme="minorHAnsi" w:hAnsiTheme="minorHAnsi" w:cstheme="minorHAnsi"/>
          <w:sz w:val="22"/>
          <w:szCs w:val="22"/>
          <w:lang w:val="fr-FR"/>
        </w:rPr>
        <w:t xml:space="preserve"> </w:t>
      </w:r>
    </w:p>
    <w:p w14:paraId="36E4B288" w14:textId="77777777" w:rsidR="00AB739E" w:rsidRPr="001961B1" w:rsidRDefault="00AB739E" w:rsidP="000E3338">
      <w:pPr>
        <w:ind w:left="567" w:hanging="567"/>
        <w:rPr>
          <w:rFonts w:asciiTheme="minorHAnsi" w:hAnsiTheme="minorHAnsi" w:cstheme="minorHAnsi"/>
          <w:sz w:val="22"/>
          <w:szCs w:val="22"/>
          <w:lang w:val="fr-FR"/>
        </w:rPr>
      </w:pPr>
    </w:p>
    <w:p w14:paraId="2EA1AD3D" w14:textId="105EB069" w:rsidR="009D058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4</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776CC0" w:rsidRPr="001961B1">
        <w:rPr>
          <w:rFonts w:asciiTheme="minorHAnsi" w:hAnsiTheme="minorHAnsi" w:cstheme="minorHAnsi"/>
          <w:sz w:val="22"/>
          <w:szCs w:val="22"/>
          <w:lang w:val="fr-FR"/>
        </w:rPr>
        <w:t>L</w:t>
      </w:r>
      <w:r w:rsidR="00044199" w:rsidRPr="001961B1">
        <w:rPr>
          <w:rFonts w:asciiTheme="minorHAnsi" w:hAnsiTheme="minorHAnsi" w:cstheme="minorHAnsi"/>
          <w:sz w:val="22"/>
          <w:szCs w:val="22"/>
          <w:lang w:val="fr-FR"/>
        </w:rPr>
        <w:t>a participation d</w:t>
      </w:r>
      <w:r w:rsidR="00776CC0" w:rsidRPr="001961B1">
        <w:rPr>
          <w:rFonts w:asciiTheme="minorHAnsi" w:hAnsiTheme="minorHAnsi" w:cstheme="minorHAnsi"/>
          <w:sz w:val="22"/>
          <w:szCs w:val="22"/>
          <w:lang w:val="fr-FR"/>
        </w:rPr>
        <w:t xml:space="preserve">es parties prenantes locales </w:t>
      </w:r>
      <w:r w:rsidR="00044199" w:rsidRPr="001961B1">
        <w:rPr>
          <w:rFonts w:asciiTheme="minorHAnsi" w:hAnsiTheme="minorHAnsi" w:cstheme="minorHAnsi"/>
          <w:sz w:val="22"/>
          <w:szCs w:val="22"/>
          <w:lang w:val="fr-FR"/>
        </w:rPr>
        <w:t>à la sélection</w:t>
      </w:r>
      <w:r w:rsidR="00776CC0" w:rsidRPr="001961B1">
        <w:rPr>
          <w:rFonts w:asciiTheme="minorHAnsi" w:hAnsiTheme="minorHAnsi" w:cstheme="minorHAnsi"/>
          <w:sz w:val="22"/>
          <w:szCs w:val="22"/>
          <w:lang w:val="fr-FR"/>
        </w:rPr>
        <w:t xml:space="preserve"> de zones humides d’importance internationale et à la gestion des sites</w:t>
      </w:r>
      <w:r w:rsidR="00044199" w:rsidRPr="001961B1">
        <w:rPr>
          <w:rFonts w:asciiTheme="minorHAnsi" w:hAnsiTheme="minorHAnsi" w:cstheme="minorHAnsi"/>
          <w:sz w:val="22"/>
          <w:szCs w:val="22"/>
          <w:lang w:val="fr-FR"/>
        </w:rPr>
        <w:t xml:space="preserve"> a augmenté</w:t>
      </w:r>
      <w:r w:rsidR="00776CC0" w:rsidRPr="001961B1">
        <w:rPr>
          <w:rFonts w:asciiTheme="minorHAnsi" w:hAnsiTheme="minorHAnsi" w:cstheme="minorHAnsi"/>
          <w:sz w:val="22"/>
          <w:szCs w:val="22"/>
          <w:lang w:val="fr-FR"/>
        </w:rPr>
        <w:t xml:space="preserve">. Plus de 70 % des Parties contractantes signalent ce genre de participation à la COP15, </w:t>
      </w:r>
      <w:r w:rsidR="00044199" w:rsidRPr="001961B1">
        <w:rPr>
          <w:rFonts w:asciiTheme="minorHAnsi" w:hAnsiTheme="minorHAnsi" w:cstheme="minorHAnsi"/>
          <w:sz w:val="22"/>
          <w:szCs w:val="22"/>
          <w:lang w:val="fr-FR"/>
        </w:rPr>
        <w:t>c’est-à-dire une</w:t>
      </w:r>
      <w:r w:rsidR="00776CC0" w:rsidRPr="001961B1">
        <w:rPr>
          <w:rFonts w:asciiTheme="minorHAnsi" w:hAnsiTheme="minorHAnsi" w:cstheme="minorHAnsi"/>
          <w:sz w:val="22"/>
          <w:szCs w:val="22"/>
          <w:lang w:val="fr-FR"/>
        </w:rPr>
        <w:t xml:space="preserve"> augmentation par rapport à la moitié, au début de la période du PS4. Les Parties d’Afrique et d’Asie, en particulier, soulignent une participation forte au niveau communautaire dans leurs réponses </w:t>
      </w:r>
      <w:r w:rsidR="00044199" w:rsidRPr="001961B1">
        <w:rPr>
          <w:rFonts w:asciiTheme="minorHAnsi" w:hAnsiTheme="minorHAnsi" w:cstheme="minorHAnsi"/>
          <w:sz w:val="22"/>
          <w:szCs w:val="22"/>
          <w:lang w:val="fr-FR"/>
        </w:rPr>
        <w:t>narratives,</w:t>
      </w:r>
      <w:r w:rsidR="00776CC0" w:rsidRPr="001961B1">
        <w:rPr>
          <w:rFonts w:asciiTheme="minorHAnsi" w:hAnsiTheme="minorHAnsi" w:cstheme="minorHAnsi"/>
          <w:sz w:val="22"/>
          <w:szCs w:val="22"/>
          <w:lang w:val="fr-FR"/>
        </w:rPr>
        <w:t xml:space="preserve"> dans le</w:t>
      </w:r>
      <w:r w:rsidR="00044199" w:rsidRPr="001961B1">
        <w:rPr>
          <w:rFonts w:asciiTheme="minorHAnsi" w:hAnsiTheme="minorHAnsi" w:cstheme="minorHAnsi"/>
          <w:sz w:val="22"/>
          <w:szCs w:val="22"/>
          <w:lang w:val="fr-FR"/>
        </w:rPr>
        <w:t>ur</w:t>
      </w:r>
      <w:r w:rsidR="00776CC0" w:rsidRPr="001961B1">
        <w:rPr>
          <w:rFonts w:asciiTheme="minorHAnsi" w:hAnsiTheme="minorHAnsi" w:cstheme="minorHAnsi"/>
          <w:sz w:val="22"/>
          <w:szCs w:val="22"/>
          <w:lang w:val="fr-FR"/>
        </w:rPr>
        <w:t>s Rapports nationaux à la COP15.</w:t>
      </w:r>
    </w:p>
    <w:p w14:paraId="4B9E939C" w14:textId="77777777" w:rsidR="00591693" w:rsidRPr="001961B1" w:rsidRDefault="00591693" w:rsidP="000E3338">
      <w:pPr>
        <w:ind w:left="567" w:hanging="567"/>
        <w:rPr>
          <w:rFonts w:asciiTheme="minorHAnsi" w:hAnsiTheme="minorHAnsi" w:cstheme="minorHAnsi"/>
          <w:sz w:val="22"/>
          <w:szCs w:val="22"/>
          <w:lang w:val="fr-FR"/>
        </w:rPr>
      </w:pPr>
    </w:p>
    <w:p w14:paraId="3F8BC6E5" w14:textId="2A8E6F42" w:rsidR="00913EC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75701F" w:rsidRPr="001961B1">
        <w:rPr>
          <w:rFonts w:asciiTheme="minorHAnsi" w:hAnsiTheme="minorHAnsi" w:cstheme="minorHAnsi"/>
          <w:sz w:val="22"/>
          <w:szCs w:val="22"/>
          <w:lang w:val="fr-FR"/>
        </w:rPr>
        <w:t xml:space="preserve">À la COP15, environ 60 % des Parties contractantes ne signalent aucun changement dans les caractéristiques écologiques des zones humides d’importance internationale et 16 % signalent une détérioration. Ces chiffres sont restés relativement les mêmes durant la période triennale écoulée. </w:t>
      </w:r>
      <w:r w:rsidR="00B22FE8" w:rsidRPr="001961B1">
        <w:rPr>
          <w:rFonts w:asciiTheme="minorHAnsi" w:hAnsiTheme="minorHAnsi" w:cstheme="minorHAnsi"/>
          <w:sz w:val="22"/>
          <w:szCs w:val="22"/>
          <w:lang w:val="fr-FR"/>
        </w:rPr>
        <w:t>Cependant</w:t>
      </w:r>
      <w:r w:rsidR="0075701F" w:rsidRPr="001961B1">
        <w:rPr>
          <w:rFonts w:asciiTheme="minorHAnsi" w:hAnsiTheme="minorHAnsi" w:cstheme="minorHAnsi"/>
          <w:sz w:val="22"/>
          <w:szCs w:val="22"/>
          <w:lang w:val="fr-FR"/>
        </w:rPr>
        <w:t xml:space="preserve">, </w:t>
      </w:r>
      <w:r w:rsidR="00B22FE8" w:rsidRPr="001961B1">
        <w:rPr>
          <w:rFonts w:asciiTheme="minorHAnsi" w:hAnsiTheme="minorHAnsi" w:cstheme="minorHAnsi"/>
          <w:sz w:val="22"/>
          <w:szCs w:val="22"/>
          <w:lang w:val="fr-FR"/>
        </w:rPr>
        <w:t>le</w:t>
      </w:r>
      <w:r w:rsidR="0075701F" w:rsidRPr="001961B1">
        <w:rPr>
          <w:rFonts w:asciiTheme="minorHAnsi" w:hAnsiTheme="minorHAnsi" w:cstheme="minorHAnsi"/>
          <w:sz w:val="22"/>
          <w:szCs w:val="22"/>
          <w:lang w:val="fr-FR"/>
        </w:rPr>
        <w:t xml:space="preserve"> nombre de Parties signalant que l’état </w:t>
      </w:r>
      <w:r w:rsidR="00044199" w:rsidRPr="001961B1">
        <w:rPr>
          <w:rFonts w:asciiTheme="minorHAnsi" w:hAnsiTheme="minorHAnsi" w:cstheme="minorHAnsi"/>
          <w:sz w:val="22"/>
          <w:szCs w:val="22"/>
          <w:lang w:val="fr-FR"/>
        </w:rPr>
        <w:t xml:space="preserve">de leurs zones humides </w:t>
      </w:r>
      <w:r w:rsidR="0075701F" w:rsidRPr="001961B1">
        <w:rPr>
          <w:rFonts w:asciiTheme="minorHAnsi" w:hAnsiTheme="minorHAnsi" w:cstheme="minorHAnsi"/>
          <w:sz w:val="22"/>
          <w:szCs w:val="22"/>
          <w:lang w:val="fr-FR"/>
        </w:rPr>
        <w:t>s’est amélioré</w:t>
      </w:r>
      <w:r w:rsidR="00B22FE8" w:rsidRPr="001961B1">
        <w:rPr>
          <w:rFonts w:asciiTheme="minorHAnsi" w:hAnsiTheme="minorHAnsi" w:cstheme="minorHAnsi"/>
          <w:sz w:val="22"/>
          <w:szCs w:val="22"/>
          <w:lang w:val="fr-FR"/>
        </w:rPr>
        <w:t xml:space="preserve"> a diminué jusqu’à</w:t>
      </w:r>
      <w:r w:rsidR="0075701F" w:rsidRPr="001961B1">
        <w:rPr>
          <w:rFonts w:asciiTheme="minorHAnsi" w:hAnsiTheme="minorHAnsi" w:cstheme="minorHAnsi"/>
          <w:sz w:val="22"/>
          <w:szCs w:val="22"/>
          <w:lang w:val="fr-FR"/>
        </w:rPr>
        <w:t xml:space="preserve"> 13 % à la COP15.</w:t>
      </w:r>
      <w:r w:rsidR="00913ECC" w:rsidRPr="001961B1">
        <w:rPr>
          <w:rFonts w:asciiTheme="minorHAnsi" w:hAnsiTheme="minorHAnsi" w:cstheme="minorHAnsi"/>
          <w:sz w:val="22"/>
          <w:szCs w:val="22"/>
          <w:lang w:val="fr-FR"/>
        </w:rPr>
        <w:t xml:space="preserve"> </w:t>
      </w:r>
    </w:p>
    <w:p w14:paraId="0F437ADC" w14:textId="77777777" w:rsidR="00913ECC" w:rsidRPr="001961B1" w:rsidRDefault="00913ECC" w:rsidP="000E3338">
      <w:pPr>
        <w:ind w:left="567" w:hanging="567"/>
        <w:rPr>
          <w:rFonts w:asciiTheme="minorHAnsi" w:hAnsiTheme="minorHAnsi" w:cstheme="minorHAnsi"/>
          <w:sz w:val="22"/>
          <w:szCs w:val="22"/>
          <w:lang w:val="fr-FR"/>
        </w:rPr>
      </w:pPr>
    </w:p>
    <w:p w14:paraId="64538D4F" w14:textId="1CB378EE" w:rsidR="00C26D66"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01547D" w:rsidRPr="001961B1">
        <w:rPr>
          <w:rFonts w:asciiTheme="minorHAnsi" w:hAnsiTheme="minorHAnsi" w:cstheme="minorHAnsi"/>
          <w:sz w:val="22"/>
          <w:szCs w:val="22"/>
          <w:lang w:val="fr-FR"/>
        </w:rPr>
        <w:t xml:space="preserve">Les progrès de mise à jour des FDR restent limités. Entre la </w:t>
      </w:r>
      <w:r w:rsidR="00C26D66" w:rsidRPr="001961B1">
        <w:rPr>
          <w:rFonts w:asciiTheme="minorHAnsi" w:hAnsiTheme="minorHAnsi" w:cstheme="minorHAnsi"/>
          <w:sz w:val="22"/>
          <w:szCs w:val="22"/>
          <w:lang w:val="fr-FR"/>
        </w:rPr>
        <w:t xml:space="preserve">COP12 </w:t>
      </w:r>
      <w:r w:rsidR="0001547D" w:rsidRPr="001961B1">
        <w:rPr>
          <w:rFonts w:asciiTheme="minorHAnsi" w:hAnsiTheme="minorHAnsi" w:cstheme="minorHAnsi"/>
          <w:sz w:val="22"/>
          <w:szCs w:val="22"/>
          <w:lang w:val="fr-FR"/>
        </w:rPr>
        <w:t xml:space="preserve">et la </w:t>
      </w:r>
      <w:r w:rsidR="00C26D66" w:rsidRPr="001961B1">
        <w:rPr>
          <w:rFonts w:asciiTheme="minorHAnsi" w:hAnsiTheme="minorHAnsi" w:cstheme="minorHAnsi"/>
          <w:sz w:val="22"/>
          <w:szCs w:val="22"/>
          <w:lang w:val="fr-FR"/>
        </w:rPr>
        <w:t>COP15,</w:t>
      </w:r>
      <w:r w:rsidR="002F55A7" w:rsidRPr="001961B1">
        <w:rPr>
          <w:rFonts w:asciiTheme="minorHAnsi" w:hAnsiTheme="minorHAnsi" w:cstheme="minorHAnsi"/>
          <w:sz w:val="22"/>
          <w:szCs w:val="22"/>
          <w:lang w:val="fr-FR"/>
        </w:rPr>
        <w:t xml:space="preserve"> il y a eu</w:t>
      </w:r>
      <w:r w:rsidR="00C26D66" w:rsidRPr="001961B1">
        <w:rPr>
          <w:rFonts w:asciiTheme="minorHAnsi" w:hAnsiTheme="minorHAnsi" w:cstheme="minorHAnsi"/>
          <w:sz w:val="22"/>
          <w:szCs w:val="22"/>
          <w:lang w:val="fr-FR"/>
        </w:rPr>
        <w:t xml:space="preserve"> 505</w:t>
      </w:r>
      <w:r w:rsidR="0001547D" w:rsidRPr="001961B1">
        <w:rPr>
          <w:rFonts w:asciiTheme="minorHAnsi" w:hAnsiTheme="minorHAnsi" w:cstheme="minorHAnsi"/>
          <w:sz w:val="22"/>
          <w:szCs w:val="22"/>
          <w:lang w:val="fr-FR"/>
        </w:rPr>
        <w:t> mises à jour. À la fin de la période de rapport à la COP15, 74 % de</w:t>
      </w:r>
      <w:r w:rsidR="002F55A7" w:rsidRPr="001961B1">
        <w:rPr>
          <w:rFonts w:asciiTheme="minorHAnsi" w:hAnsiTheme="minorHAnsi" w:cstheme="minorHAnsi"/>
          <w:sz w:val="22"/>
          <w:szCs w:val="22"/>
          <w:lang w:val="fr-FR"/>
        </w:rPr>
        <w:t>s</w:t>
      </w:r>
      <w:r w:rsidR="0001547D" w:rsidRPr="001961B1">
        <w:rPr>
          <w:rFonts w:asciiTheme="minorHAnsi" w:hAnsiTheme="minorHAnsi" w:cstheme="minorHAnsi"/>
          <w:sz w:val="22"/>
          <w:szCs w:val="22"/>
          <w:lang w:val="fr-FR"/>
        </w:rPr>
        <w:t xml:space="preserve"> sites </w:t>
      </w:r>
      <w:r w:rsidR="00C26D66" w:rsidRPr="001961B1">
        <w:rPr>
          <w:rFonts w:asciiTheme="minorHAnsi" w:hAnsiTheme="minorHAnsi" w:cstheme="minorHAnsi"/>
          <w:sz w:val="22"/>
          <w:szCs w:val="22"/>
          <w:lang w:val="fr-FR"/>
        </w:rPr>
        <w:t xml:space="preserve">(1872 </w:t>
      </w:r>
      <w:r w:rsidR="0001547D" w:rsidRPr="001961B1">
        <w:rPr>
          <w:rFonts w:asciiTheme="minorHAnsi" w:hAnsiTheme="minorHAnsi" w:cstheme="minorHAnsi"/>
          <w:sz w:val="22"/>
          <w:szCs w:val="22"/>
          <w:lang w:val="fr-FR"/>
        </w:rPr>
        <w:t>sur </w:t>
      </w:r>
      <w:r w:rsidR="00C26D66" w:rsidRPr="001961B1">
        <w:rPr>
          <w:rFonts w:asciiTheme="minorHAnsi" w:hAnsiTheme="minorHAnsi" w:cstheme="minorHAnsi"/>
          <w:sz w:val="22"/>
          <w:szCs w:val="22"/>
          <w:lang w:val="fr-FR"/>
        </w:rPr>
        <w:t xml:space="preserve">2535) </w:t>
      </w:r>
      <w:r w:rsidR="0001547D" w:rsidRPr="001961B1">
        <w:rPr>
          <w:rFonts w:asciiTheme="minorHAnsi" w:hAnsiTheme="minorHAnsi" w:cstheme="minorHAnsi"/>
          <w:sz w:val="22"/>
          <w:szCs w:val="22"/>
          <w:lang w:val="fr-FR"/>
        </w:rPr>
        <w:t>n’ont pas été mis à jour depuis plus de six ans</w:t>
      </w:r>
      <w:r w:rsidR="007820FE" w:rsidRPr="001961B1">
        <w:rPr>
          <w:rStyle w:val="FootnoteReference"/>
          <w:rFonts w:asciiTheme="minorHAnsi" w:hAnsiTheme="minorHAnsi" w:cstheme="minorHAnsi"/>
          <w:sz w:val="22"/>
          <w:szCs w:val="22"/>
          <w:lang w:val="fr-FR"/>
        </w:rPr>
        <w:footnoteReference w:id="6"/>
      </w:r>
      <w:r w:rsidR="000110B8" w:rsidRPr="001961B1">
        <w:rPr>
          <w:rFonts w:asciiTheme="minorHAnsi" w:hAnsiTheme="minorHAnsi" w:cstheme="minorHAnsi"/>
          <w:sz w:val="22"/>
          <w:szCs w:val="22"/>
          <w:lang w:val="fr-FR"/>
        </w:rPr>
        <w:t xml:space="preserve"> </w:t>
      </w:r>
      <w:r w:rsidR="0001547D" w:rsidRPr="001961B1">
        <w:rPr>
          <w:rFonts w:asciiTheme="minorHAnsi" w:hAnsiTheme="minorHAnsi" w:cstheme="minorHAnsi"/>
          <w:sz w:val="22"/>
          <w:szCs w:val="22"/>
          <w:lang w:val="fr-FR"/>
        </w:rPr>
        <w:t>.</w:t>
      </w:r>
    </w:p>
    <w:p w14:paraId="4ECFA9C0" w14:textId="77777777" w:rsidR="00F54581" w:rsidRPr="001961B1" w:rsidRDefault="00F54581" w:rsidP="000E3338">
      <w:pPr>
        <w:ind w:left="567" w:hanging="567"/>
        <w:rPr>
          <w:rFonts w:asciiTheme="minorHAnsi" w:hAnsiTheme="minorHAnsi" w:cstheme="minorHAnsi"/>
          <w:sz w:val="22"/>
          <w:szCs w:val="22"/>
          <w:lang w:val="fr-FR"/>
        </w:rPr>
      </w:pPr>
    </w:p>
    <w:p w14:paraId="3DB3F123" w14:textId="42DBE3DC" w:rsidR="00A24E62"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lastRenderedPageBreak/>
        <w:t>3</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01547D" w:rsidRPr="001961B1">
        <w:rPr>
          <w:rFonts w:asciiTheme="minorHAnsi" w:hAnsiTheme="minorHAnsi" w:cstheme="minorHAnsi"/>
          <w:sz w:val="22"/>
          <w:szCs w:val="22"/>
          <w:lang w:val="fr-FR"/>
        </w:rPr>
        <w:t xml:space="preserve">Les Parties contractantes citent constamment </w:t>
      </w:r>
      <w:r w:rsidR="00B22FE8" w:rsidRPr="001961B1">
        <w:rPr>
          <w:rFonts w:asciiTheme="minorHAnsi" w:hAnsiTheme="minorHAnsi" w:cstheme="minorHAnsi"/>
          <w:sz w:val="22"/>
          <w:szCs w:val="22"/>
          <w:lang w:val="fr-FR"/>
        </w:rPr>
        <w:t>d</w:t>
      </w:r>
      <w:r w:rsidR="0001547D" w:rsidRPr="001961B1">
        <w:rPr>
          <w:rFonts w:asciiTheme="minorHAnsi" w:hAnsiTheme="minorHAnsi" w:cstheme="minorHAnsi"/>
          <w:sz w:val="22"/>
          <w:szCs w:val="22"/>
          <w:lang w:val="fr-FR"/>
        </w:rPr>
        <w:t xml:space="preserve">es lacunes dans les capacités financières et techniques ainsi que la gouvernance fragmentée, comme des obstacles essentiels. Parmi les recommandations principales en vue de renforcer l’efficacité de la gestion des zones humides d’importance internationale, il y a : l’augmentation du soutien financier, en particulier dans les régions où il y a de graves </w:t>
      </w:r>
      <w:r w:rsidR="00747243" w:rsidRPr="001961B1">
        <w:rPr>
          <w:rFonts w:asciiTheme="minorHAnsi" w:hAnsiTheme="minorHAnsi" w:cstheme="minorHAnsi"/>
          <w:sz w:val="22"/>
          <w:szCs w:val="22"/>
          <w:lang w:val="fr-FR"/>
        </w:rPr>
        <w:t>manques</w:t>
      </w:r>
      <w:r w:rsidR="0001547D" w:rsidRPr="001961B1">
        <w:rPr>
          <w:rFonts w:asciiTheme="minorHAnsi" w:hAnsiTheme="minorHAnsi" w:cstheme="minorHAnsi"/>
          <w:sz w:val="22"/>
          <w:szCs w:val="22"/>
          <w:lang w:val="fr-FR"/>
        </w:rPr>
        <w:t xml:space="preserve"> de financement ; un renforcement des capacités ciblé au moyen d’une assistance </w:t>
      </w:r>
      <w:r w:rsidR="00B22FE8" w:rsidRPr="001961B1">
        <w:rPr>
          <w:rFonts w:asciiTheme="minorHAnsi" w:hAnsiTheme="minorHAnsi" w:cstheme="minorHAnsi"/>
          <w:sz w:val="22"/>
          <w:szCs w:val="22"/>
          <w:lang w:val="fr-FR"/>
        </w:rPr>
        <w:t xml:space="preserve">technique et une aide à la </w:t>
      </w:r>
      <w:r w:rsidR="0001547D" w:rsidRPr="001961B1">
        <w:rPr>
          <w:rFonts w:asciiTheme="minorHAnsi" w:hAnsiTheme="minorHAnsi" w:cstheme="minorHAnsi"/>
          <w:sz w:val="22"/>
          <w:szCs w:val="22"/>
          <w:lang w:val="fr-FR"/>
        </w:rPr>
        <w:t>formation spécifique</w:t>
      </w:r>
      <w:r w:rsidR="00B22FE8" w:rsidRPr="001961B1">
        <w:rPr>
          <w:rFonts w:asciiTheme="minorHAnsi" w:hAnsiTheme="minorHAnsi" w:cstheme="minorHAnsi"/>
          <w:sz w:val="22"/>
          <w:szCs w:val="22"/>
          <w:lang w:val="fr-FR"/>
        </w:rPr>
        <w:t>s</w:t>
      </w:r>
      <w:r w:rsidR="0001547D" w:rsidRPr="001961B1">
        <w:rPr>
          <w:rFonts w:asciiTheme="minorHAnsi" w:hAnsiTheme="minorHAnsi" w:cstheme="minorHAnsi"/>
          <w:sz w:val="22"/>
          <w:szCs w:val="22"/>
          <w:lang w:val="fr-FR"/>
        </w:rPr>
        <w:t xml:space="preserve"> aux régions ; le renforcement de la gouvernance et l’amélioration </w:t>
      </w:r>
      <w:r w:rsidR="00747243" w:rsidRPr="001961B1">
        <w:rPr>
          <w:rFonts w:asciiTheme="minorHAnsi" w:hAnsiTheme="minorHAnsi" w:cstheme="minorHAnsi"/>
          <w:sz w:val="22"/>
          <w:szCs w:val="22"/>
          <w:lang w:val="fr-FR"/>
        </w:rPr>
        <w:t xml:space="preserve">de la </w:t>
      </w:r>
      <w:r w:rsidR="0001547D" w:rsidRPr="001961B1">
        <w:rPr>
          <w:rFonts w:asciiTheme="minorHAnsi" w:hAnsiTheme="minorHAnsi" w:cstheme="minorHAnsi"/>
          <w:sz w:val="22"/>
          <w:szCs w:val="22"/>
          <w:lang w:val="fr-FR"/>
        </w:rPr>
        <w:t>coordination entre secteurs et niveaux administratifs </w:t>
      </w:r>
      <w:r w:rsidR="00A10488" w:rsidRPr="001961B1">
        <w:rPr>
          <w:rFonts w:asciiTheme="minorHAnsi" w:hAnsiTheme="minorHAnsi" w:cstheme="minorHAnsi"/>
          <w:sz w:val="22"/>
          <w:szCs w:val="22"/>
          <w:lang w:val="fr-FR"/>
        </w:rPr>
        <w:t>;</w:t>
      </w:r>
      <w:r w:rsidR="00337726" w:rsidRPr="001961B1">
        <w:rPr>
          <w:rFonts w:asciiTheme="minorHAnsi" w:hAnsiTheme="minorHAnsi" w:cstheme="minorHAnsi"/>
          <w:sz w:val="22"/>
          <w:szCs w:val="22"/>
          <w:lang w:val="fr-FR"/>
        </w:rPr>
        <w:t xml:space="preserve"> </w:t>
      </w:r>
      <w:r w:rsidR="0001547D" w:rsidRPr="001961B1">
        <w:rPr>
          <w:rFonts w:asciiTheme="minorHAnsi" w:hAnsiTheme="minorHAnsi" w:cstheme="minorHAnsi"/>
          <w:sz w:val="22"/>
          <w:szCs w:val="22"/>
          <w:lang w:val="fr-FR"/>
        </w:rPr>
        <w:t xml:space="preserve">la </w:t>
      </w:r>
      <w:r w:rsidR="00DA3E13" w:rsidRPr="001961B1">
        <w:rPr>
          <w:rFonts w:asciiTheme="minorHAnsi" w:hAnsiTheme="minorHAnsi" w:cstheme="minorHAnsi"/>
          <w:sz w:val="22"/>
          <w:szCs w:val="22"/>
          <w:lang w:val="fr-FR"/>
        </w:rPr>
        <w:t xml:space="preserve">promotion </w:t>
      </w:r>
      <w:r w:rsidR="0001547D" w:rsidRPr="001961B1">
        <w:rPr>
          <w:rFonts w:asciiTheme="minorHAnsi" w:hAnsiTheme="minorHAnsi" w:cstheme="minorHAnsi"/>
          <w:sz w:val="22"/>
          <w:szCs w:val="22"/>
          <w:lang w:val="fr-FR"/>
        </w:rPr>
        <w:t xml:space="preserve">d’une gestion participative et communautaire ; et l’élaboration de stratégies adaptatives pour </w:t>
      </w:r>
      <w:r w:rsidR="00747243" w:rsidRPr="001961B1">
        <w:rPr>
          <w:rFonts w:asciiTheme="minorHAnsi" w:hAnsiTheme="minorHAnsi" w:cstheme="minorHAnsi"/>
          <w:sz w:val="22"/>
          <w:szCs w:val="22"/>
          <w:lang w:val="fr-FR"/>
        </w:rPr>
        <w:t>lutter contre</w:t>
      </w:r>
      <w:r w:rsidR="0001547D" w:rsidRPr="001961B1">
        <w:rPr>
          <w:rFonts w:asciiTheme="minorHAnsi" w:hAnsiTheme="minorHAnsi" w:cstheme="minorHAnsi"/>
          <w:sz w:val="22"/>
          <w:szCs w:val="22"/>
          <w:lang w:val="fr-FR"/>
        </w:rPr>
        <w:t xml:space="preserve"> les pressions écologiques et plus particulièrement les changements climatiques. </w:t>
      </w:r>
    </w:p>
    <w:p w14:paraId="7B205AA8" w14:textId="77777777" w:rsidR="00A338FF" w:rsidRPr="001961B1" w:rsidRDefault="00A338FF" w:rsidP="00CD3F6B">
      <w:pPr>
        <w:ind w:left="426" w:hanging="426"/>
        <w:rPr>
          <w:rFonts w:asciiTheme="minorHAnsi" w:hAnsiTheme="minorHAnsi" w:cstheme="minorHAnsi"/>
          <w:sz w:val="22"/>
          <w:szCs w:val="22"/>
          <w:lang w:val="fr-FR"/>
        </w:rPr>
      </w:pPr>
    </w:p>
    <w:p w14:paraId="553CBAD7" w14:textId="77777777" w:rsidR="00A338FF" w:rsidRPr="001961B1" w:rsidRDefault="00A338FF" w:rsidP="00CD3F6B">
      <w:pPr>
        <w:ind w:left="426" w:hanging="426"/>
        <w:rPr>
          <w:rFonts w:asciiTheme="minorHAnsi" w:hAnsiTheme="minorHAnsi" w:cstheme="minorHAnsi"/>
          <w:sz w:val="22"/>
          <w:szCs w:val="22"/>
          <w:lang w:val="fr-FR"/>
        </w:rPr>
      </w:pPr>
    </w:p>
    <w:tbl>
      <w:tblPr>
        <w:tblStyle w:val="TableGrid16"/>
        <w:tblW w:w="9351" w:type="dxa"/>
        <w:tblLook w:val="04A0" w:firstRow="1" w:lastRow="0" w:firstColumn="1" w:lastColumn="0" w:noHBand="0" w:noVBand="1"/>
      </w:tblPr>
      <w:tblGrid>
        <w:gridCol w:w="9351"/>
      </w:tblGrid>
      <w:tr w:rsidR="002F4351" w:rsidRPr="001961B1" w14:paraId="564B7AF8" w14:textId="77777777" w:rsidTr="004D229D">
        <w:tc>
          <w:tcPr>
            <w:tcW w:w="9351" w:type="dxa"/>
            <w:vAlign w:val="center"/>
          </w:tcPr>
          <w:p w14:paraId="37541921" w14:textId="624D9B1C" w:rsidR="002F4351" w:rsidRPr="001961B1" w:rsidRDefault="004F4626"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2F4351" w:rsidRPr="001961B1">
              <w:rPr>
                <w:rFonts w:asciiTheme="minorHAnsi" w:hAnsiTheme="minorHAnsi" w:cstheme="minorHAnsi"/>
                <w:b/>
                <w:sz w:val="22"/>
                <w:szCs w:val="22"/>
                <w:lang w:val="fr-FR" w:eastAsia="fr-FR"/>
              </w:rPr>
              <w:t xml:space="preserve"> 6</w:t>
            </w:r>
            <w:r w:rsidRPr="001961B1">
              <w:rPr>
                <w:rFonts w:asciiTheme="minorHAnsi" w:hAnsiTheme="minorHAnsi" w:cstheme="minorHAnsi"/>
                <w:b/>
                <w:sz w:val="22"/>
                <w:szCs w:val="22"/>
                <w:lang w:val="fr-FR" w:eastAsia="fr-FR"/>
              </w:rPr>
              <w:t> </w:t>
            </w:r>
            <w:r w:rsidR="002F4351"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Le réseau de zones humides d’importance internationale</w:t>
            </w:r>
            <w:r w:rsidRPr="001961B1">
              <w:rPr>
                <w:rFonts w:asciiTheme="minorHAnsi" w:eastAsia="MS Gothic"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s’accroît considérablement en termes de superficie, de nombre de sites inscrits et de connectivité écologique, en particulier par l’ajout de types de zones humides sous-représentés, y</w:t>
            </w:r>
            <w:r w:rsidR="00162ED1" w:rsidRPr="001961B1">
              <w:rPr>
                <w:rFonts w:asciiTheme="minorHAnsi" w:hAnsiTheme="minorHAnsi" w:cstheme="minorHAnsi"/>
                <w:b/>
                <w:sz w:val="22"/>
                <w:szCs w:val="22"/>
                <w:lang w:val="fr-FR" w:eastAsia="fr-FR"/>
              </w:rPr>
              <w:t> </w:t>
            </w:r>
            <w:r w:rsidRPr="001961B1">
              <w:rPr>
                <w:rFonts w:asciiTheme="minorHAnsi" w:hAnsiTheme="minorHAnsi" w:cstheme="minorHAnsi"/>
                <w:b/>
                <w:sz w:val="22"/>
                <w:szCs w:val="22"/>
                <w:lang w:val="fr-FR" w:eastAsia="fr-FR"/>
              </w:rPr>
              <w:t>compris dans des écorégions sous-représentées, et de sites transfrontières</w:t>
            </w:r>
            <w:r w:rsidR="002F4351" w:rsidRPr="001961B1">
              <w:rPr>
                <w:rFonts w:asciiTheme="minorHAnsi" w:hAnsiTheme="minorHAnsi" w:cstheme="minorHAnsi"/>
                <w:b/>
                <w:sz w:val="22"/>
                <w:szCs w:val="22"/>
                <w:lang w:val="fr-FR" w:eastAsia="fr-FR"/>
              </w:rPr>
              <w:t>.</w:t>
            </w:r>
          </w:p>
          <w:p w14:paraId="406DFB38" w14:textId="75FD4447" w:rsidR="00193B49" w:rsidRPr="001961B1" w:rsidRDefault="00193B49" w:rsidP="008A3659">
            <w:pPr>
              <w:keepNext/>
              <w:spacing w:before="120" w:after="120"/>
              <w:rPr>
                <w:rFonts w:asciiTheme="minorHAnsi" w:eastAsia="MS Gothic" w:hAnsiTheme="minorHAnsi" w:cstheme="minorHAnsi"/>
                <w:bCs/>
                <w:sz w:val="22"/>
                <w:szCs w:val="22"/>
                <w:lang w:val="fr-FR" w:eastAsia="fr-FR"/>
              </w:rPr>
            </w:pPr>
            <w:r w:rsidRPr="001961B1">
              <w:rPr>
                <w:rFonts w:asciiTheme="minorHAnsi" w:eastAsia="MS Gothic" w:hAnsiTheme="minorHAnsi" w:cstheme="minorHAnsi"/>
                <w:bCs/>
                <w:sz w:val="22"/>
                <w:szCs w:val="22"/>
                <w:lang w:val="fr-FR" w:eastAsia="fr-FR"/>
              </w:rPr>
              <w:t>Contribut</w:t>
            </w:r>
            <w:r w:rsidR="004F4626" w:rsidRPr="001961B1">
              <w:rPr>
                <w:rFonts w:asciiTheme="minorHAnsi" w:eastAsia="MS Gothic" w:hAnsiTheme="minorHAnsi" w:cstheme="minorHAnsi"/>
                <w:bCs/>
                <w:sz w:val="22"/>
                <w:szCs w:val="22"/>
                <w:lang w:val="fr-FR" w:eastAsia="fr-FR"/>
              </w:rPr>
              <w:t>ion aux</w:t>
            </w:r>
            <w:r w:rsidRPr="001961B1">
              <w:rPr>
                <w:rFonts w:asciiTheme="minorHAnsi" w:eastAsia="MS Gothic" w:hAnsiTheme="minorHAnsi" w:cstheme="minorHAnsi"/>
                <w:bCs/>
                <w:sz w:val="22"/>
                <w:szCs w:val="22"/>
                <w:lang w:val="fr-FR" w:eastAsia="fr-FR"/>
              </w:rPr>
              <w:t xml:space="preserve"> </w:t>
            </w:r>
            <w:r w:rsidR="00675BAC" w:rsidRPr="001961B1">
              <w:rPr>
                <w:rFonts w:asciiTheme="minorHAnsi" w:eastAsia="MS Gothic" w:hAnsiTheme="minorHAnsi" w:cstheme="minorHAnsi"/>
                <w:bCs/>
                <w:sz w:val="22"/>
                <w:szCs w:val="22"/>
                <w:lang w:val="fr-FR" w:eastAsia="fr-FR"/>
              </w:rPr>
              <w:t xml:space="preserve">cibles </w:t>
            </w:r>
            <w:r w:rsidRPr="001961B1">
              <w:rPr>
                <w:rFonts w:asciiTheme="minorHAnsi" w:eastAsia="MS Gothic" w:hAnsiTheme="minorHAnsi" w:cstheme="minorHAnsi"/>
                <w:bCs/>
                <w:sz w:val="22"/>
                <w:szCs w:val="22"/>
                <w:lang w:val="fr-FR" w:eastAsia="fr-FR"/>
              </w:rPr>
              <w:t>3, 4</w:t>
            </w:r>
            <w:r w:rsidR="00480780" w:rsidRPr="001961B1">
              <w:rPr>
                <w:rFonts w:asciiTheme="minorHAnsi" w:eastAsia="MS Gothic" w:hAnsiTheme="minorHAnsi" w:cstheme="minorHAnsi"/>
                <w:bCs/>
                <w:sz w:val="22"/>
                <w:szCs w:val="22"/>
                <w:lang w:val="fr-FR" w:eastAsia="fr-FR"/>
              </w:rPr>
              <w:t xml:space="preserve"> </w:t>
            </w:r>
            <w:r w:rsidR="00675BAC" w:rsidRPr="001961B1">
              <w:rPr>
                <w:rFonts w:asciiTheme="minorHAnsi" w:eastAsia="MS Gothic" w:hAnsiTheme="minorHAnsi" w:cstheme="minorHAnsi"/>
                <w:bCs/>
                <w:sz w:val="22"/>
                <w:szCs w:val="22"/>
                <w:lang w:val="fr-FR" w:eastAsia="fr-FR"/>
              </w:rPr>
              <w:t>et</w:t>
            </w:r>
            <w:r w:rsidRPr="001961B1">
              <w:rPr>
                <w:rFonts w:asciiTheme="minorHAnsi" w:eastAsia="MS Gothic" w:hAnsiTheme="minorHAnsi" w:cstheme="minorHAnsi"/>
                <w:bCs/>
                <w:sz w:val="22"/>
                <w:szCs w:val="22"/>
                <w:lang w:val="fr-FR" w:eastAsia="fr-FR"/>
              </w:rPr>
              <w:t xml:space="preserve"> 12</w:t>
            </w:r>
            <w:r w:rsidR="00675BAC" w:rsidRPr="001961B1">
              <w:rPr>
                <w:rFonts w:asciiTheme="minorHAnsi" w:eastAsia="MS Gothic" w:hAnsiTheme="minorHAnsi" w:cstheme="minorHAnsi"/>
                <w:bCs/>
                <w:sz w:val="22"/>
                <w:szCs w:val="22"/>
                <w:lang w:val="fr-FR" w:eastAsia="fr-FR"/>
              </w:rPr>
              <w:t xml:space="preserve"> du CMG-KM</w:t>
            </w:r>
            <w:r w:rsidRPr="001961B1">
              <w:rPr>
                <w:rFonts w:asciiTheme="minorHAnsi" w:eastAsia="MS Gothic" w:hAnsiTheme="minorHAnsi" w:cstheme="minorHAnsi"/>
                <w:bCs/>
                <w:sz w:val="22"/>
                <w:szCs w:val="22"/>
                <w:lang w:val="fr-FR" w:eastAsia="fr-FR"/>
              </w:rPr>
              <w:t xml:space="preserve"> </w:t>
            </w:r>
            <w:r w:rsidR="00675BAC" w:rsidRPr="001961B1">
              <w:rPr>
                <w:rFonts w:asciiTheme="minorHAnsi" w:eastAsia="MS Gothic" w:hAnsiTheme="minorHAnsi" w:cstheme="minorHAnsi"/>
                <w:bCs/>
                <w:sz w:val="22"/>
                <w:szCs w:val="22"/>
                <w:lang w:val="fr-FR" w:eastAsia="fr-FR"/>
              </w:rPr>
              <w:t>et aux cibles</w:t>
            </w:r>
            <w:r w:rsidRPr="001961B1">
              <w:rPr>
                <w:rFonts w:asciiTheme="minorHAnsi" w:eastAsia="MS Gothic" w:hAnsiTheme="minorHAnsi" w:cstheme="minorHAnsi"/>
                <w:bCs/>
                <w:sz w:val="22"/>
                <w:szCs w:val="22"/>
                <w:lang w:val="fr-FR" w:eastAsia="fr-FR"/>
              </w:rPr>
              <w:t xml:space="preserve"> 6.5</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6.6</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11.3</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11.4</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11.a</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11.b</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13.1</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14.2</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15.1</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15.2</w:t>
            </w:r>
            <w:r w:rsidR="00480780" w:rsidRPr="001961B1">
              <w:rPr>
                <w:rFonts w:asciiTheme="minorHAnsi" w:eastAsia="MS Gothic" w:hAnsiTheme="minorHAnsi" w:cstheme="minorHAnsi"/>
                <w:bCs/>
                <w:sz w:val="22"/>
                <w:szCs w:val="22"/>
                <w:lang w:val="fr-FR" w:eastAsia="fr-FR"/>
              </w:rPr>
              <w:t>,</w:t>
            </w:r>
            <w:r w:rsidRPr="001961B1">
              <w:rPr>
                <w:rFonts w:asciiTheme="minorHAnsi" w:eastAsia="MS Gothic" w:hAnsiTheme="minorHAnsi" w:cstheme="minorHAnsi"/>
                <w:bCs/>
                <w:sz w:val="22"/>
                <w:szCs w:val="22"/>
                <w:lang w:val="fr-FR" w:eastAsia="fr-FR"/>
              </w:rPr>
              <w:t xml:space="preserve"> 15.3</w:t>
            </w:r>
            <w:r w:rsidR="00480780" w:rsidRPr="001961B1">
              <w:rPr>
                <w:rFonts w:asciiTheme="minorHAnsi" w:eastAsia="MS Gothic" w:hAnsiTheme="minorHAnsi" w:cstheme="minorHAnsi"/>
                <w:bCs/>
                <w:sz w:val="22"/>
                <w:szCs w:val="22"/>
                <w:lang w:val="fr-FR" w:eastAsia="fr-FR"/>
              </w:rPr>
              <w:t xml:space="preserve"> </w:t>
            </w:r>
            <w:r w:rsidR="00675BAC" w:rsidRPr="001961B1">
              <w:rPr>
                <w:rFonts w:asciiTheme="minorHAnsi" w:eastAsia="MS Gothic" w:hAnsiTheme="minorHAnsi" w:cstheme="minorHAnsi"/>
                <w:bCs/>
                <w:sz w:val="22"/>
                <w:szCs w:val="22"/>
                <w:lang w:val="fr-FR" w:eastAsia="fr-FR"/>
              </w:rPr>
              <w:t>et</w:t>
            </w:r>
            <w:r w:rsidRPr="001961B1">
              <w:rPr>
                <w:rFonts w:asciiTheme="minorHAnsi" w:eastAsia="MS Gothic" w:hAnsiTheme="minorHAnsi" w:cstheme="minorHAnsi"/>
                <w:bCs/>
                <w:sz w:val="22"/>
                <w:szCs w:val="22"/>
                <w:lang w:val="fr-FR" w:eastAsia="fr-FR"/>
              </w:rPr>
              <w:t xml:space="preserve"> 15.4</w:t>
            </w:r>
            <w:r w:rsidR="00675BAC" w:rsidRPr="001961B1">
              <w:rPr>
                <w:rFonts w:asciiTheme="minorHAnsi" w:eastAsia="MS Gothic" w:hAnsiTheme="minorHAnsi" w:cstheme="minorHAnsi"/>
                <w:bCs/>
                <w:sz w:val="22"/>
                <w:szCs w:val="22"/>
                <w:lang w:val="fr-FR" w:eastAsia="fr-FR"/>
              </w:rPr>
              <w:t xml:space="preserve"> des ODD</w:t>
            </w:r>
            <w:r w:rsidR="00480780" w:rsidRPr="001961B1">
              <w:rPr>
                <w:rFonts w:asciiTheme="minorHAnsi" w:eastAsia="MS Gothic" w:hAnsiTheme="minorHAnsi" w:cstheme="minorHAnsi"/>
                <w:bCs/>
                <w:sz w:val="22"/>
                <w:szCs w:val="22"/>
                <w:lang w:val="fr-FR" w:eastAsia="fr-FR"/>
              </w:rPr>
              <w:t>.</w:t>
            </w:r>
          </w:p>
        </w:tc>
      </w:tr>
    </w:tbl>
    <w:p w14:paraId="52487DAC" w14:textId="77777777" w:rsidR="00F54581" w:rsidRPr="001961B1" w:rsidRDefault="00F54581" w:rsidP="00D1463B">
      <w:pPr>
        <w:keepNext/>
        <w:rPr>
          <w:rFonts w:asciiTheme="minorHAnsi" w:hAnsiTheme="minorHAnsi" w:cstheme="minorHAnsi"/>
          <w:b/>
          <w:bCs/>
          <w:sz w:val="22"/>
          <w:szCs w:val="22"/>
          <w:lang w:val="fr-FR"/>
        </w:rPr>
      </w:pPr>
    </w:p>
    <w:p w14:paraId="29AF6982" w14:textId="5EE5EB26" w:rsidR="005A4B95" w:rsidRPr="001961B1" w:rsidRDefault="00675BAC"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055129F9" w14:textId="77777777" w:rsidR="00C61079" w:rsidRPr="001961B1" w:rsidRDefault="00C61079" w:rsidP="00D1463B">
      <w:pPr>
        <w:keepNext/>
        <w:rPr>
          <w:rFonts w:asciiTheme="minorHAnsi" w:hAnsiTheme="minorHAnsi" w:cstheme="minorHAnsi"/>
          <w:sz w:val="22"/>
          <w:szCs w:val="22"/>
          <w:lang w:val="fr-FR"/>
        </w:rPr>
      </w:pPr>
    </w:p>
    <w:p w14:paraId="20E72C28" w14:textId="333865C7" w:rsidR="00D0021D"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002E1E29" w:rsidRPr="001961B1">
        <w:rPr>
          <w:rFonts w:asciiTheme="minorHAnsi" w:hAnsiTheme="minorHAnsi" w:cstheme="minorHAnsi"/>
          <w:sz w:val="22"/>
          <w:szCs w:val="22"/>
          <w:lang w:val="fr-FR"/>
        </w:rPr>
        <w:t>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3F761F" w:rsidRPr="001961B1">
        <w:rPr>
          <w:rFonts w:asciiTheme="minorHAnsi" w:hAnsiTheme="minorHAnsi" w:cstheme="minorHAnsi"/>
          <w:sz w:val="22"/>
          <w:szCs w:val="22"/>
          <w:lang w:val="fr-FR"/>
        </w:rPr>
        <w:t>Le réseau de zones humides d’importance internationale a augmenté aussi bien du point de vue du nombre de sites que de la superficie totale mais le taux de croissance semble avoir ralenti depuis la COP14. De nombreuses désignations récentes comprennent des types de zones humides sous-représentés.</w:t>
      </w:r>
      <w:r w:rsidR="00F54581" w:rsidRPr="001961B1">
        <w:rPr>
          <w:rFonts w:asciiTheme="minorHAnsi" w:hAnsiTheme="minorHAnsi" w:cstheme="minorHAnsi"/>
          <w:sz w:val="22"/>
          <w:szCs w:val="22"/>
          <w:lang w:val="fr-FR"/>
        </w:rPr>
        <w:t xml:space="preserve"> </w:t>
      </w:r>
    </w:p>
    <w:p w14:paraId="7DF3C693" w14:textId="77777777" w:rsidR="00387C57" w:rsidRPr="001961B1" w:rsidRDefault="00387C57" w:rsidP="00CD3F6B">
      <w:pPr>
        <w:rPr>
          <w:rFonts w:asciiTheme="minorHAnsi" w:hAnsiTheme="minorHAnsi" w:cstheme="minorHAnsi"/>
          <w:sz w:val="22"/>
          <w:szCs w:val="22"/>
          <w:lang w:val="fr-FR"/>
        </w:rPr>
      </w:pPr>
    </w:p>
    <w:tbl>
      <w:tblPr>
        <w:tblStyle w:val="TableGrid25"/>
        <w:tblW w:w="9351" w:type="dxa"/>
        <w:tblLook w:val="04A0" w:firstRow="1" w:lastRow="0" w:firstColumn="1" w:lastColumn="0" w:noHBand="0" w:noVBand="1"/>
      </w:tblPr>
      <w:tblGrid>
        <w:gridCol w:w="2689"/>
        <w:gridCol w:w="1665"/>
        <w:gridCol w:w="1666"/>
        <w:gridCol w:w="1665"/>
        <w:gridCol w:w="1666"/>
      </w:tblGrid>
      <w:tr w:rsidR="00DA3E13" w:rsidRPr="001961B1" w14:paraId="68E0F67A" w14:textId="77777777" w:rsidTr="00D9452F">
        <w:trPr>
          <w:cantSplit/>
        </w:trPr>
        <w:tc>
          <w:tcPr>
            <w:tcW w:w="2689" w:type="dxa"/>
            <w:shd w:val="clear" w:color="auto" w:fill="auto"/>
            <w:vAlign w:val="center"/>
            <w:hideMark/>
          </w:tcPr>
          <w:p w14:paraId="027417CE" w14:textId="417924CC" w:rsidR="00DA3E13" w:rsidRPr="001961B1" w:rsidRDefault="00DA3E13" w:rsidP="0078307B">
            <w:pPr>
              <w:keepNext/>
              <w:jc w:val="center"/>
              <w:rPr>
                <w:rFonts w:asciiTheme="minorHAnsi" w:eastAsia="Aptos" w:hAnsiTheme="minorHAnsi" w:cstheme="minorHAnsi"/>
                <w:b/>
                <w:sz w:val="22"/>
                <w:szCs w:val="22"/>
                <w:lang w:val="fr-FR"/>
              </w:rPr>
            </w:pPr>
            <w:r w:rsidRPr="001961B1">
              <w:rPr>
                <w:rFonts w:asciiTheme="minorHAnsi" w:eastAsia="Aptos" w:hAnsiTheme="minorHAnsi" w:cstheme="minorHAnsi"/>
                <w:b/>
                <w:sz w:val="22"/>
                <w:szCs w:val="22"/>
                <w:lang w:val="fr-FR"/>
              </w:rPr>
              <w:t>Indicat</w:t>
            </w:r>
            <w:r w:rsidR="00675BAC" w:rsidRPr="001961B1">
              <w:rPr>
                <w:rFonts w:asciiTheme="minorHAnsi" w:eastAsia="Aptos" w:hAnsiTheme="minorHAnsi" w:cstheme="minorHAnsi"/>
                <w:b/>
                <w:sz w:val="22"/>
                <w:szCs w:val="22"/>
                <w:lang w:val="fr-FR"/>
              </w:rPr>
              <w:t>eu</w:t>
            </w:r>
            <w:r w:rsidRPr="001961B1">
              <w:rPr>
                <w:rFonts w:asciiTheme="minorHAnsi" w:eastAsia="Aptos" w:hAnsiTheme="minorHAnsi" w:cstheme="minorHAnsi"/>
                <w:b/>
                <w:sz w:val="22"/>
                <w:szCs w:val="22"/>
                <w:lang w:val="fr-FR"/>
              </w:rPr>
              <w:t>r</w:t>
            </w:r>
          </w:p>
        </w:tc>
        <w:tc>
          <w:tcPr>
            <w:tcW w:w="1665" w:type="dxa"/>
            <w:shd w:val="clear" w:color="auto" w:fill="auto"/>
            <w:vAlign w:val="center"/>
            <w:hideMark/>
          </w:tcPr>
          <w:p w14:paraId="3AC1EAD7" w14:textId="71594086" w:rsidR="00DA3E13" w:rsidRPr="001961B1" w:rsidRDefault="00675BAC" w:rsidP="0078307B">
            <w:pPr>
              <w:keepNext/>
              <w:jc w:val="center"/>
              <w:rPr>
                <w:rFonts w:asciiTheme="minorHAnsi" w:eastAsia="Aptos" w:hAnsiTheme="minorHAnsi" w:cstheme="minorHAnsi"/>
                <w:b/>
                <w:sz w:val="22"/>
                <w:szCs w:val="22"/>
                <w:lang w:val="fr-FR"/>
              </w:rPr>
            </w:pPr>
            <w:r w:rsidRPr="001961B1">
              <w:rPr>
                <w:rFonts w:asciiTheme="minorHAnsi" w:eastAsia="Aptos" w:hAnsiTheme="minorHAnsi" w:cstheme="minorHAnsi"/>
                <w:b/>
                <w:sz w:val="22"/>
                <w:szCs w:val="22"/>
                <w:lang w:val="fr-FR"/>
              </w:rPr>
              <w:t>Référence</w:t>
            </w:r>
          </w:p>
        </w:tc>
        <w:tc>
          <w:tcPr>
            <w:tcW w:w="1666" w:type="dxa"/>
            <w:shd w:val="clear" w:color="auto" w:fill="auto"/>
            <w:vAlign w:val="center"/>
            <w:hideMark/>
          </w:tcPr>
          <w:p w14:paraId="3C5B0C01" w14:textId="77777777" w:rsidR="00DA3E13" w:rsidRPr="001961B1" w:rsidRDefault="00DA3E13" w:rsidP="0078307B">
            <w:pPr>
              <w:keepNext/>
              <w:jc w:val="center"/>
              <w:rPr>
                <w:rFonts w:asciiTheme="minorHAnsi" w:eastAsia="Aptos" w:hAnsiTheme="minorHAnsi" w:cstheme="minorHAnsi"/>
                <w:b/>
                <w:sz w:val="22"/>
                <w:szCs w:val="22"/>
                <w:lang w:val="fr-FR"/>
              </w:rPr>
            </w:pPr>
            <w:r w:rsidRPr="001961B1">
              <w:rPr>
                <w:rFonts w:asciiTheme="minorHAnsi" w:eastAsia="Aptos" w:hAnsiTheme="minorHAnsi" w:cstheme="minorHAnsi"/>
                <w:b/>
                <w:sz w:val="22"/>
                <w:szCs w:val="22"/>
                <w:lang w:val="fr-FR"/>
              </w:rPr>
              <w:t>COP13</w:t>
            </w:r>
          </w:p>
        </w:tc>
        <w:tc>
          <w:tcPr>
            <w:tcW w:w="1665" w:type="dxa"/>
            <w:shd w:val="clear" w:color="auto" w:fill="auto"/>
            <w:vAlign w:val="center"/>
            <w:hideMark/>
          </w:tcPr>
          <w:p w14:paraId="0BE8614D" w14:textId="77777777" w:rsidR="00DA3E13" w:rsidRPr="001961B1" w:rsidRDefault="00DA3E13" w:rsidP="0078307B">
            <w:pPr>
              <w:keepNext/>
              <w:jc w:val="center"/>
              <w:rPr>
                <w:rFonts w:asciiTheme="minorHAnsi" w:eastAsia="Aptos" w:hAnsiTheme="minorHAnsi" w:cstheme="minorHAnsi"/>
                <w:b/>
                <w:sz w:val="22"/>
                <w:szCs w:val="22"/>
                <w:lang w:val="fr-FR"/>
              </w:rPr>
            </w:pPr>
            <w:r w:rsidRPr="001961B1">
              <w:rPr>
                <w:rFonts w:asciiTheme="minorHAnsi" w:eastAsia="Aptos" w:hAnsiTheme="minorHAnsi" w:cstheme="minorHAnsi"/>
                <w:b/>
                <w:sz w:val="22"/>
                <w:szCs w:val="22"/>
                <w:lang w:val="fr-FR"/>
              </w:rPr>
              <w:t>COP14</w:t>
            </w:r>
          </w:p>
        </w:tc>
        <w:tc>
          <w:tcPr>
            <w:tcW w:w="1666" w:type="dxa"/>
            <w:shd w:val="clear" w:color="auto" w:fill="auto"/>
            <w:vAlign w:val="center"/>
            <w:hideMark/>
          </w:tcPr>
          <w:p w14:paraId="6CE97FC4" w14:textId="77777777" w:rsidR="00DA3E13" w:rsidRPr="001961B1" w:rsidRDefault="00DA3E13" w:rsidP="0078307B">
            <w:pPr>
              <w:keepNext/>
              <w:jc w:val="center"/>
              <w:rPr>
                <w:rFonts w:asciiTheme="minorHAnsi" w:eastAsia="Aptos" w:hAnsiTheme="minorHAnsi" w:cstheme="minorHAnsi"/>
                <w:b/>
                <w:sz w:val="22"/>
                <w:szCs w:val="22"/>
                <w:lang w:val="fr-FR"/>
              </w:rPr>
            </w:pPr>
            <w:r w:rsidRPr="001961B1">
              <w:rPr>
                <w:rFonts w:asciiTheme="minorHAnsi" w:eastAsia="Aptos" w:hAnsiTheme="minorHAnsi" w:cstheme="minorHAnsi"/>
                <w:b/>
                <w:sz w:val="22"/>
                <w:szCs w:val="22"/>
                <w:lang w:val="fr-FR"/>
              </w:rPr>
              <w:t>COP15</w:t>
            </w:r>
          </w:p>
        </w:tc>
      </w:tr>
      <w:tr w:rsidR="00DA3E13" w:rsidRPr="001961B1" w14:paraId="4A1F6438" w14:textId="77777777" w:rsidTr="00D9452F">
        <w:trPr>
          <w:cantSplit/>
        </w:trPr>
        <w:tc>
          <w:tcPr>
            <w:tcW w:w="2689" w:type="dxa"/>
            <w:shd w:val="clear" w:color="auto" w:fill="auto"/>
          </w:tcPr>
          <w:p w14:paraId="0FF7B0AD" w14:textId="378EB23D" w:rsidR="00DA3E13" w:rsidRPr="001961B1" w:rsidRDefault="00675BAC" w:rsidP="00CD3F6B">
            <w:pPr>
              <w:rPr>
                <w:rFonts w:asciiTheme="minorHAnsi" w:eastAsia="Aptos" w:hAnsiTheme="minorHAnsi" w:cstheme="minorHAnsi"/>
                <w:sz w:val="22"/>
                <w:szCs w:val="22"/>
                <w:lang w:val="fr-FR"/>
              </w:rPr>
            </w:pPr>
            <w:r w:rsidRPr="001961B1">
              <w:rPr>
                <w:rFonts w:asciiTheme="minorHAnsi" w:hAnsiTheme="minorHAnsi" w:cstheme="minorHAnsi"/>
                <w:sz w:val="22"/>
                <w:szCs w:val="22"/>
                <w:lang w:val="fr-FR"/>
              </w:rPr>
              <w:t>Nombre de Sites Ramsar désignés</w:t>
            </w:r>
            <w:r w:rsidR="00DA3E13" w:rsidRPr="001961B1">
              <w:rPr>
                <w:rFonts w:asciiTheme="minorHAnsi" w:hAnsiTheme="minorHAnsi" w:cstheme="minorHAnsi"/>
                <w:sz w:val="22"/>
                <w:szCs w:val="22"/>
                <w:lang w:val="fr-FR"/>
              </w:rPr>
              <w:t>.</w:t>
            </w:r>
          </w:p>
        </w:tc>
        <w:tc>
          <w:tcPr>
            <w:tcW w:w="1665" w:type="dxa"/>
            <w:shd w:val="clear" w:color="auto" w:fill="auto"/>
          </w:tcPr>
          <w:p w14:paraId="141FEE4A" w14:textId="03577A03" w:rsidR="00DA3E13" w:rsidRPr="001961B1" w:rsidRDefault="00DA3E13" w:rsidP="00AD1260">
            <w:pPr>
              <w:jc w:val="center"/>
              <w:rPr>
                <w:rFonts w:asciiTheme="minorHAnsi" w:eastAsia="Aptos" w:hAnsiTheme="minorHAnsi" w:cstheme="minorHAnsi"/>
                <w:b/>
                <w:sz w:val="22"/>
                <w:szCs w:val="22"/>
              </w:rPr>
            </w:pPr>
            <w:r w:rsidRPr="001961B1">
              <w:rPr>
                <w:rFonts w:asciiTheme="minorHAnsi" w:hAnsiTheme="minorHAnsi" w:cstheme="minorHAnsi"/>
                <w:sz w:val="22"/>
                <w:szCs w:val="22"/>
              </w:rPr>
              <w:t>2</w:t>
            </w:r>
            <w:r w:rsidR="003F761F" w:rsidRPr="001961B1">
              <w:rPr>
                <w:rFonts w:asciiTheme="minorHAnsi" w:hAnsiTheme="minorHAnsi" w:cstheme="minorHAnsi"/>
                <w:sz w:val="22"/>
                <w:szCs w:val="22"/>
              </w:rPr>
              <w:t> </w:t>
            </w:r>
            <w:r w:rsidRPr="001961B1">
              <w:rPr>
                <w:rFonts w:asciiTheme="minorHAnsi" w:hAnsiTheme="minorHAnsi" w:cstheme="minorHAnsi"/>
                <w:sz w:val="22"/>
                <w:szCs w:val="22"/>
              </w:rPr>
              <w:t>188</w:t>
            </w:r>
          </w:p>
        </w:tc>
        <w:tc>
          <w:tcPr>
            <w:tcW w:w="1666" w:type="dxa"/>
            <w:shd w:val="clear" w:color="auto" w:fill="auto"/>
          </w:tcPr>
          <w:p w14:paraId="0884423E" w14:textId="1C17B251" w:rsidR="00DA3E13" w:rsidRPr="001961B1" w:rsidRDefault="00DA3E13" w:rsidP="00AD1260">
            <w:pPr>
              <w:jc w:val="center"/>
              <w:rPr>
                <w:rFonts w:asciiTheme="minorHAnsi" w:eastAsia="Aptos" w:hAnsiTheme="minorHAnsi" w:cstheme="minorHAnsi"/>
                <w:b/>
                <w:sz w:val="22"/>
                <w:szCs w:val="22"/>
              </w:rPr>
            </w:pPr>
            <w:r w:rsidRPr="001961B1">
              <w:rPr>
                <w:rFonts w:asciiTheme="minorHAnsi" w:hAnsiTheme="minorHAnsi" w:cstheme="minorHAnsi"/>
                <w:sz w:val="22"/>
                <w:szCs w:val="22"/>
              </w:rPr>
              <w:t>2</w:t>
            </w:r>
            <w:r w:rsidR="003F761F" w:rsidRPr="001961B1">
              <w:rPr>
                <w:rFonts w:asciiTheme="minorHAnsi" w:hAnsiTheme="minorHAnsi" w:cstheme="minorHAnsi"/>
                <w:sz w:val="22"/>
                <w:szCs w:val="22"/>
              </w:rPr>
              <w:t> </w:t>
            </w:r>
            <w:r w:rsidRPr="001961B1">
              <w:rPr>
                <w:rFonts w:asciiTheme="minorHAnsi" w:hAnsiTheme="minorHAnsi" w:cstheme="minorHAnsi"/>
                <w:sz w:val="22"/>
                <w:szCs w:val="22"/>
              </w:rPr>
              <w:t>314</w:t>
            </w:r>
          </w:p>
        </w:tc>
        <w:tc>
          <w:tcPr>
            <w:tcW w:w="1665" w:type="dxa"/>
            <w:shd w:val="clear" w:color="auto" w:fill="auto"/>
          </w:tcPr>
          <w:p w14:paraId="449E0F58" w14:textId="0162088A" w:rsidR="00DA3E13" w:rsidRPr="001961B1" w:rsidRDefault="00DA3E13" w:rsidP="00AD1260">
            <w:pPr>
              <w:jc w:val="center"/>
              <w:rPr>
                <w:rFonts w:asciiTheme="minorHAnsi" w:eastAsia="Aptos" w:hAnsiTheme="minorHAnsi" w:cstheme="minorHAnsi"/>
                <w:b/>
                <w:sz w:val="22"/>
                <w:szCs w:val="22"/>
              </w:rPr>
            </w:pPr>
            <w:r w:rsidRPr="001961B1">
              <w:rPr>
                <w:rFonts w:asciiTheme="minorHAnsi" w:hAnsiTheme="minorHAnsi" w:cstheme="minorHAnsi"/>
                <w:sz w:val="22"/>
                <w:szCs w:val="22"/>
              </w:rPr>
              <w:t>2</w:t>
            </w:r>
            <w:r w:rsidR="003F761F" w:rsidRPr="001961B1">
              <w:rPr>
                <w:rFonts w:asciiTheme="minorHAnsi" w:hAnsiTheme="minorHAnsi" w:cstheme="minorHAnsi"/>
                <w:sz w:val="22"/>
                <w:szCs w:val="22"/>
              </w:rPr>
              <w:t xml:space="preserve"> </w:t>
            </w:r>
            <w:r w:rsidRPr="001961B1">
              <w:rPr>
                <w:rFonts w:asciiTheme="minorHAnsi" w:hAnsiTheme="minorHAnsi" w:cstheme="minorHAnsi"/>
                <w:sz w:val="22"/>
                <w:szCs w:val="22"/>
              </w:rPr>
              <w:t>439</w:t>
            </w:r>
          </w:p>
        </w:tc>
        <w:tc>
          <w:tcPr>
            <w:tcW w:w="1666" w:type="dxa"/>
            <w:shd w:val="clear" w:color="auto" w:fill="auto"/>
          </w:tcPr>
          <w:p w14:paraId="456235C5" w14:textId="55EFD559" w:rsidR="00DA3E13" w:rsidRPr="001961B1" w:rsidRDefault="00DA3E13" w:rsidP="00AD1260">
            <w:pPr>
              <w:jc w:val="center"/>
              <w:rPr>
                <w:rFonts w:asciiTheme="minorHAnsi" w:eastAsia="Aptos" w:hAnsiTheme="minorHAnsi" w:cstheme="minorHAnsi"/>
                <w:b/>
                <w:sz w:val="22"/>
                <w:szCs w:val="22"/>
              </w:rPr>
            </w:pPr>
            <w:r w:rsidRPr="001961B1">
              <w:rPr>
                <w:rFonts w:asciiTheme="minorHAnsi" w:hAnsiTheme="minorHAnsi" w:cstheme="minorHAnsi"/>
                <w:sz w:val="22"/>
                <w:szCs w:val="22"/>
              </w:rPr>
              <w:t>2</w:t>
            </w:r>
            <w:r w:rsidR="003F761F" w:rsidRPr="001961B1">
              <w:rPr>
                <w:rFonts w:asciiTheme="minorHAnsi" w:hAnsiTheme="minorHAnsi" w:cstheme="minorHAnsi"/>
                <w:sz w:val="22"/>
                <w:szCs w:val="22"/>
              </w:rPr>
              <w:t xml:space="preserve"> </w:t>
            </w:r>
            <w:r w:rsidRPr="001961B1">
              <w:rPr>
                <w:rFonts w:asciiTheme="minorHAnsi" w:hAnsiTheme="minorHAnsi" w:cstheme="minorHAnsi"/>
                <w:sz w:val="22"/>
                <w:szCs w:val="22"/>
              </w:rPr>
              <w:t>535</w:t>
            </w:r>
          </w:p>
        </w:tc>
      </w:tr>
      <w:tr w:rsidR="00DA3E13" w:rsidRPr="001961B1" w14:paraId="2A8F0449" w14:textId="77777777" w:rsidTr="00D9452F">
        <w:trPr>
          <w:cantSplit/>
        </w:trPr>
        <w:tc>
          <w:tcPr>
            <w:tcW w:w="2689" w:type="dxa"/>
            <w:shd w:val="clear" w:color="auto" w:fill="auto"/>
          </w:tcPr>
          <w:p w14:paraId="59DBA160" w14:textId="17210844" w:rsidR="00DA3E13" w:rsidRPr="001961B1" w:rsidRDefault="00675BAC"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Superficie totale en hectares des Sites Ramsar désignés</w:t>
            </w:r>
            <w:r w:rsidR="00DA3E13" w:rsidRPr="001961B1">
              <w:rPr>
                <w:rFonts w:asciiTheme="minorHAnsi" w:hAnsiTheme="minorHAnsi" w:cstheme="minorHAnsi"/>
                <w:sz w:val="22"/>
                <w:szCs w:val="22"/>
                <w:lang w:val="fr-FR"/>
              </w:rPr>
              <w:t>.</w:t>
            </w:r>
          </w:p>
        </w:tc>
        <w:tc>
          <w:tcPr>
            <w:tcW w:w="1665" w:type="dxa"/>
            <w:shd w:val="clear" w:color="auto" w:fill="auto"/>
          </w:tcPr>
          <w:p w14:paraId="59CAC03B" w14:textId="38C55434" w:rsidR="00DA3E13" w:rsidRPr="001961B1" w:rsidRDefault="00DA3E13" w:rsidP="00AD1260">
            <w:pPr>
              <w:jc w:val="center"/>
              <w:rPr>
                <w:rFonts w:asciiTheme="minorHAnsi" w:hAnsiTheme="minorHAnsi" w:cstheme="minorHAnsi"/>
                <w:sz w:val="22"/>
                <w:szCs w:val="22"/>
              </w:rPr>
            </w:pPr>
            <w:r w:rsidRPr="001961B1">
              <w:rPr>
                <w:rFonts w:asciiTheme="minorHAnsi" w:hAnsiTheme="minorHAnsi" w:cstheme="minorHAnsi"/>
                <w:color w:val="000000"/>
                <w:sz w:val="22"/>
                <w:szCs w:val="22"/>
                <w:lang w:val="es-ES"/>
              </w:rPr>
              <w:t>208</w:t>
            </w:r>
            <w:r w:rsidR="003F761F" w:rsidRPr="001961B1">
              <w:rPr>
                <w:rFonts w:asciiTheme="minorHAnsi" w:hAnsiTheme="minorHAnsi" w:cstheme="minorHAnsi"/>
                <w:color w:val="000000"/>
                <w:sz w:val="22"/>
                <w:szCs w:val="22"/>
                <w:lang w:val="es-ES"/>
              </w:rPr>
              <w:t xml:space="preserve"> </w:t>
            </w:r>
            <w:r w:rsidRPr="001961B1">
              <w:rPr>
                <w:rFonts w:asciiTheme="minorHAnsi" w:hAnsiTheme="minorHAnsi" w:cstheme="minorHAnsi"/>
                <w:color w:val="000000"/>
                <w:sz w:val="22"/>
                <w:szCs w:val="22"/>
                <w:lang w:val="es-ES"/>
              </w:rPr>
              <w:t>482</w:t>
            </w:r>
            <w:r w:rsidR="003F761F" w:rsidRPr="001961B1">
              <w:rPr>
                <w:rFonts w:asciiTheme="minorHAnsi" w:hAnsiTheme="minorHAnsi" w:cstheme="minorHAnsi"/>
                <w:color w:val="000000"/>
                <w:sz w:val="22"/>
                <w:szCs w:val="22"/>
                <w:lang w:val="es-ES"/>
              </w:rPr>
              <w:t xml:space="preserve"> </w:t>
            </w:r>
            <w:r w:rsidRPr="001961B1">
              <w:rPr>
                <w:rFonts w:asciiTheme="minorHAnsi" w:hAnsiTheme="minorHAnsi" w:cstheme="minorHAnsi"/>
                <w:color w:val="000000"/>
                <w:sz w:val="22"/>
                <w:szCs w:val="22"/>
                <w:lang w:val="es-ES"/>
              </w:rPr>
              <w:t>867 ha</w:t>
            </w:r>
          </w:p>
        </w:tc>
        <w:tc>
          <w:tcPr>
            <w:tcW w:w="1666" w:type="dxa"/>
            <w:shd w:val="clear" w:color="auto" w:fill="auto"/>
          </w:tcPr>
          <w:p w14:paraId="523D87E6" w14:textId="41202767" w:rsidR="00DA3E13" w:rsidRPr="001961B1" w:rsidRDefault="00DA3E13" w:rsidP="00AD1260">
            <w:pPr>
              <w:jc w:val="center"/>
              <w:rPr>
                <w:rFonts w:asciiTheme="minorHAnsi" w:hAnsiTheme="minorHAnsi" w:cstheme="minorHAnsi"/>
                <w:sz w:val="22"/>
                <w:szCs w:val="22"/>
              </w:rPr>
            </w:pPr>
            <w:r w:rsidRPr="001961B1">
              <w:rPr>
                <w:rFonts w:asciiTheme="minorHAnsi" w:hAnsiTheme="minorHAnsi" w:cstheme="minorHAnsi"/>
                <w:color w:val="000000"/>
                <w:sz w:val="22"/>
                <w:szCs w:val="22"/>
              </w:rPr>
              <w:t>242</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409</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779 ha</w:t>
            </w:r>
          </w:p>
        </w:tc>
        <w:tc>
          <w:tcPr>
            <w:tcW w:w="1665" w:type="dxa"/>
            <w:shd w:val="clear" w:color="auto" w:fill="auto"/>
          </w:tcPr>
          <w:p w14:paraId="1D93750C" w14:textId="16585C31" w:rsidR="00DA3E13" w:rsidRPr="001961B1" w:rsidRDefault="00DA3E13" w:rsidP="00AD1260">
            <w:pPr>
              <w:jc w:val="center"/>
              <w:rPr>
                <w:rFonts w:asciiTheme="minorHAnsi" w:hAnsiTheme="minorHAnsi" w:cstheme="minorHAnsi"/>
                <w:sz w:val="22"/>
                <w:szCs w:val="22"/>
              </w:rPr>
            </w:pPr>
            <w:r w:rsidRPr="001961B1">
              <w:rPr>
                <w:rFonts w:asciiTheme="minorHAnsi" w:hAnsiTheme="minorHAnsi" w:cstheme="minorHAnsi"/>
                <w:color w:val="000000"/>
                <w:sz w:val="22"/>
                <w:szCs w:val="22"/>
              </w:rPr>
              <w:t>254</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689</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088 ha</w:t>
            </w:r>
          </w:p>
        </w:tc>
        <w:tc>
          <w:tcPr>
            <w:tcW w:w="1666" w:type="dxa"/>
            <w:shd w:val="clear" w:color="auto" w:fill="auto"/>
          </w:tcPr>
          <w:p w14:paraId="3CFE15D1" w14:textId="13E8D1BE" w:rsidR="00DA3E13" w:rsidRPr="001961B1" w:rsidRDefault="005E2C86" w:rsidP="00AD1260">
            <w:pPr>
              <w:jc w:val="center"/>
              <w:rPr>
                <w:rFonts w:asciiTheme="minorHAnsi" w:hAnsiTheme="minorHAnsi" w:cstheme="minorHAnsi"/>
                <w:sz w:val="22"/>
                <w:szCs w:val="22"/>
              </w:rPr>
            </w:pPr>
            <w:r w:rsidRPr="001961B1">
              <w:rPr>
                <w:rFonts w:asciiTheme="minorHAnsi" w:hAnsiTheme="minorHAnsi" w:cstheme="minorHAnsi"/>
                <w:color w:val="000000"/>
                <w:sz w:val="22"/>
                <w:szCs w:val="22"/>
              </w:rPr>
              <w:t>257</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924</w:t>
            </w:r>
            <w:r w:rsidR="003F761F" w:rsidRPr="001961B1">
              <w:rPr>
                <w:rFonts w:asciiTheme="minorHAnsi" w:hAnsiTheme="minorHAnsi" w:cstheme="minorHAnsi"/>
                <w:color w:val="000000"/>
                <w:sz w:val="22"/>
                <w:szCs w:val="22"/>
              </w:rPr>
              <w:t xml:space="preserve"> </w:t>
            </w:r>
            <w:r w:rsidRPr="001961B1">
              <w:rPr>
                <w:rFonts w:asciiTheme="minorHAnsi" w:hAnsiTheme="minorHAnsi" w:cstheme="minorHAnsi"/>
                <w:color w:val="000000"/>
                <w:sz w:val="22"/>
                <w:szCs w:val="22"/>
              </w:rPr>
              <w:t xml:space="preserve">380 </w:t>
            </w:r>
            <w:r w:rsidR="00DA3E13" w:rsidRPr="001961B1">
              <w:rPr>
                <w:rFonts w:asciiTheme="minorHAnsi" w:hAnsiTheme="minorHAnsi" w:cstheme="minorHAnsi"/>
                <w:color w:val="000000"/>
                <w:sz w:val="22"/>
                <w:szCs w:val="22"/>
              </w:rPr>
              <w:t>ha</w:t>
            </w:r>
          </w:p>
        </w:tc>
      </w:tr>
      <w:tr w:rsidR="00DA3E13" w:rsidRPr="001961B1" w14:paraId="70D42AB7" w14:textId="77777777" w:rsidTr="00D9452F">
        <w:trPr>
          <w:cantSplit/>
        </w:trPr>
        <w:tc>
          <w:tcPr>
            <w:tcW w:w="2689" w:type="dxa"/>
            <w:shd w:val="clear" w:color="auto" w:fill="auto"/>
          </w:tcPr>
          <w:p w14:paraId="4C083001" w14:textId="06E387AC" w:rsidR="00DA3E13" w:rsidRPr="001961B1" w:rsidRDefault="00675BAC"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Nombre de Sites Ramsar transfrontières </w:t>
            </w:r>
            <w:r w:rsidR="00DA3E13" w:rsidRPr="001961B1">
              <w:rPr>
                <w:rFonts w:asciiTheme="minorHAnsi" w:hAnsiTheme="minorHAnsi" w:cstheme="minorHAnsi"/>
                <w:sz w:val="22"/>
                <w:szCs w:val="22"/>
                <w:lang w:val="fr-FR"/>
              </w:rPr>
              <w:t>d</w:t>
            </w:r>
            <w:r w:rsidRPr="001961B1">
              <w:rPr>
                <w:rFonts w:asciiTheme="minorHAnsi" w:hAnsiTheme="minorHAnsi" w:cstheme="minorHAnsi"/>
                <w:sz w:val="22"/>
                <w:szCs w:val="22"/>
                <w:lang w:val="fr-FR"/>
              </w:rPr>
              <w:t>é</w:t>
            </w:r>
            <w:r w:rsidR="00DA3E13" w:rsidRPr="001961B1">
              <w:rPr>
                <w:rFonts w:asciiTheme="minorHAnsi" w:hAnsiTheme="minorHAnsi" w:cstheme="minorHAnsi"/>
                <w:sz w:val="22"/>
                <w:szCs w:val="22"/>
                <w:lang w:val="fr-FR"/>
              </w:rPr>
              <w:t>sign</w:t>
            </w:r>
            <w:r w:rsidRPr="001961B1">
              <w:rPr>
                <w:rFonts w:asciiTheme="minorHAnsi" w:hAnsiTheme="minorHAnsi" w:cstheme="minorHAnsi"/>
                <w:sz w:val="22"/>
                <w:szCs w:val="22"/>
                <w:lang w:val="fr-FR"/>
              </w:rPr>
              <w:t>és</w:t>
            </w:r>
            <w:r w:rsidR="00DA3E13" w:rsidRPr="001961B1">
              <w:rPr>
                <w:rFonts w:asciiTheme="minorHAnsi" w:hAnsiTheme="minorHAnsi" w:cstheme="minorHAnsi"/>
                <w:sz w:val="22"/>
                <w:szCs w:val="22"/>
                <w:lang w:val="fr-FR"/>
              </w:rPr>
              <w:t>.</w:t>
            </w:r>
          </w:p>
        </w:tc>
        <w:tc>
          <w:tcPr>
            <w:tcW w:w="1665" w:type="dxa"/>
            <w:shd w:val="clear" w:color="auto" w:fill="auto"/>
          </w:tcPr>
          <w:p w14:paraId="7126749F" w14:textId="3FF2FB3E" w:rsidR="00DA3E13" w:rsidRPr="001961B1" w:rsidRDefault="00DA3E13" w:rsidP="00AD1260">
            <w:pPr>
              <w:jc w:val="center"/>
              <w:rPr>
                <w:rFonts w:asciiTheme="minorHAnsi" w:hAnsiTheme="minorHAnsi" w:cstheme="minorHAnsi"/>
                <w:color w:val="000000"/>
                <w:sz w:val="22"/>
                <w:szCs w:val="22"/>
              </w:rPr>
            </w:pPr>
            <w:r w:rsidRPr="001961B1">
              <w:rPr>
                <w:rFonts w:asciiTheme="minorHAnsi" w:hAnsiTheme="minorHAnsi" w:cstheme="minorHAnsi"/>
                <w:color w:val="000000"/>
                <w:sz w:val="22"/>
                <w:szCs w:val="22"/>
              </w:rPr>
              <w:t>16</w:t>
            </w:r>
          </w:p>
        </w:tc>
        <w:tc>
          <w:tcPr>
            <w:tcW w:w="1666" w:type="dxa"/>
            <w:shd w:val="clear" w:color="auto" w:fill="auto"/>
          </w:tcPr>
          <w:p w14:paraId="6B54E4EE" w14:textId="1E3EA30D" w:rsidR="00DA3E13" w:rsidRPr="001961B1" w:rsidRDefault="00DA3E13" w:rsidP="00AD1260">
            <w:pPr>
              <w:jc w:val="center"/>
              <w:rPr>
                <w:rFonts w:asciiTheme="minorHAnsi" w:hAnsiTheme="minorHAnsi" w:cstheme="minorHAnsi"/>
                <w:color w:val="000000"/>
                <w:sz w:val="22"/>
                <w:szCs w:val="22"/>
              </w:rPr>
            </w:pPr>
            <w:r w:rsidRPr="001961B1">
              <w:rPr>
                <w:rFonts w:asciiTheme="minorHAnsi" w:hAnsiTheme="minorHAnsi" w:cstheme="minorHAnsi"/>
                <w:color w:val="000000"/>
                <w:sz w:val="22"/>
                <w:szCs w:val="22"/>
              </w:rPr>
              <w:t>20</w:t>
            </w:r>
          </w:p>
        </w:tc>
        <w:tc>
          <w:tcPr>
            <w:tcW w:w="1665" w:type="dxa"/>
            <w:shd w:val="clear" w:color="auto" w:fill="auto"/>
          </w:tcPr>
          <w:p w14:paraId="32DF7154" w14:textId="58EAD81A" w:rsidR="00DA3E13" w:rsidRPr="001961B1" w:rsidRDefault="00DA3E13" w:rsidP="00AD1260">
            <w:pPr>
              <w:jc w:val="center"/>
              <w:rPr>
                <w:rFonts w:asciiTheme="minorHAnsi" w:hAnsiTheme="minorHAnsi" w:cstheme="minorHAnsi"/>
                <w:color w:val="000000"/>
                <w:sz w:val="22"/>
                <w:szCs w:val="22"/>
              </w:rPr>
            </w:pPr>
            <w:r w:rsidRPr="001961B1">
              <w:rPr>
                <w:rFonts w:asciiTheme="minorHAnsi" w:hAnsiTheme="minorHAnsi" w:cstheme="minorHAnsi"/>
                <w:color w:val="000000"/>
                <w:sz w:val="22"/>
                <w:szCs w:val="22"/>
              </w:rPr>
              <w:t>22</w:t>
            </w:r>
          </w:p>
        </w:tc>
        <w:tc>
          <w:tcPr>
            <w:tcW w:w="1666" w:type="dxa"/>
            <w:shd w:val="clear" w:color="auto" w:fill="auto"/>
          </w:tcPr>
          <w:p w14:paraId="410B6886" w14:textId="6ECFBD83" w:rsidR="00DA3E13" w:rsidRPr="001961B1" w:rsidRDefault="00DA3E13" w:rsidP="00AD1260">
            <w:pPr>
              <w:jc w:val="center"/>
              <w:rPr>
                <w:rFonts w:asciiTheme="minorHAnsi" w:hAnsiTheme="minorHAnsi" w:cstheme="minorHAnsi"/>
                <w:color w:val="000000"/>
                <w:sz w:val="22"/>
                <w:szCs w:val="22"/>
              </w:rPr>
            </w:pPr>
            <w:r w:rsidRPr="001961B1">
              <w:rPr>
                <w:rFonts w:asciiTheme="minorHAnsi" w:hAnsiTheme="minorHAnsi" w:cstheme="minorHAnsi"/>
                <w:color w:val="000000"/>
                <w:sz w:val="22"/>
                <w:szCs w:val="22"/>
              </w:rPr>
              <w:t>23</w:t>
            </w:r>
          </w:p>
        </w:tc>
      </w:tr>
    </w:tbl>
    <w:p w14:paraId="21BE24E8" w14:textId="374586CF" w:rsidR="00C61079" w:rsidRPr="001961B1" w:rsidRDefault="00890833"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Note</w:t>
      </w:r>
      <w:r w:rsidR="00675BA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765CC" w:rsidRPr="001961B1">
        <w:rPr>
          <w:rFonts w:asciiTheme="minorHAnsi" w:hAnsiTheme="minorHAnsi" w:cstheme="minorHAnsi"/>
          <w:sz w:val="22"/>
          <w:szCs w:val="22"/>
          <w:lang w:val="fr-FR"/>
        </w:rPr>
        <w:t>d</w:t>
      </w:r>
      <w:r w:rsidR="00675BAC" w:rsidRPr="001961B1">
        <w:rPr>
          <w:rFonts w:asciiTheme="minorHAnsi" w:hAnsiTheme="minorHAnsi" w:cstheme="minorHAnsi"/>
          <w:sz w:val="22"/>
          <w:szCs w:val="22"/>
          <w:lang w:val="fr-FR"/>
        </w:rPr>
        <w:t>onnées tirées des Rapports nationaux et du SISR</w:t>
      </w:r>
    </w:p>
    <w:p w14:paraId="6127D324" w14:textId="77777777" w:rsidR="001477C5" w:rsidRPr="001961B1" w:rsidRDefault="001477C5" w:rsidP="00CD3F6B">
      <w:pPr>
        <w:rPr>
          <w:rFonts w:asciiTheme="minorHAnsi" w:hAnsiTheme="minorHAnsi" w:cstheme="minorHAnsi"/>
          <w:sz w:val="22"/>
          <w:szCs w:val="22"/>
          <w:lang w:val="fr-FR"/>
        </w:rPr>
      </w:pPr>
    </w:p>
    <w:p w14:paraId="17567858" w14:textId="7879BBC8" w:rsidR="00F54581" w:rsidRPr="001961B1" w:rsidRDefault="00675BAC"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p>
    <w:p w14:paraId="56C998C0" w14:textId="77777777" w:rsidR="00F1468E" w:rsidRPr="001961B1" w:rsidRDefault="00F1468E" w:rsidP="00D1463B">
      <w:pPr>
        <w:keepNext/>
        <w:rPr>
          <w:rFonts w:asciiTheme="minorHAnsi" w:hAnsiTheme="minorHAnsi" w:cstheme="minorHAnsi"/>
          <w:sz w:val="22"/>
          <w:szCs w:val="22"/>
          <w:lang w:val="fr-FR"/>
        </w:rPr>
      </w:pPr>
    </w:p>
    <w:p w14:paraId="3C6F4DF6" w14:textId="08C44078" w:rsidR="00705DDB" w:rsidRPr="001961B1" w:rsidRDefault="002E1E29"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632B93" w:rsidRPr="001961B1">
        <w:rPr>
          <w:rFonts w:asciiTheme="minorHAnsi" w:hAnsiTheme="minorHAnsi" w:cstheme="minorHAnsi"/>
          <w:sz w:val="22"/>
          <w:szCs w:val="22"/>
          <w:lang w:val="fr-FR"/>
        </w:rPr>
        <w:t xml:space="preserve">Depuis la </w:t>
      </w:r>
      <w:r w:rsidR="00185397" w:rsidRPr="001961B1">
        <w:rPr>
          <w:rFonts w:asciiTheme="minorHAnsi" w:hAnsiTheme="minorHAnsi" w:cstheme="minorHAnsi"/>
          <w:sz w:val="22"/>
          <w:szCs w:val="22"/>
          <w:lang w:val="fr-FR"/>
        </w:rPr>
        <w:t>COP12, 221</w:t>
      </w:r>
      <w:r w:rsidR="00632B93" w:rsidRPr="001961B1">
        <w:rPr>
          <w:rFonts w:asciiTheme="minorHAnsi" w:hAnsiTheme="minorHAnsi" w:cstheme="minorHAnsi"/>
          <w:sz w:val="22"/>
          <w:szCs w:val="22"/>
          <w:lang w:val="fr-FR"/>
        </w:rPr>
        <w:t xml:space="preserve"> nouvelles zones humides d’importance internationale ont été ajoutées à la Liste, et à la fin de la période de rapport à la COP15, </w:t>
      </w:r>
      <w:r w:rsidR="00006151" w:rsidRPr="001961B1">
        <w:rPr>
          <w:rFonts w:asciiTheme="minorHAnsi" w:hAnsiTheme="minorHAnsi" w:cstheme="minorHAnsi"/>
          <w:sz w:val="22"/>
          <w:szCs w:val="22"/>
          <w:lang w:val="fr-FR"/>
        </w:rPr>
        <w:t xml:space="preserve">il y a, au niveau mondial, </w:t>
      </w:r>
      <w:r w:rsidR="00B249AC" w:rsidRPr="001961B1">
        <w:rPr>
          <w:rFonts w:asciiTheme="minorHAnsi" w:hAnsiTheme="minorHAnsi" w:cstheme="minorHAnsi"/>
          <w:sz w:val="22"/>
          <w:szCs w:val="22"/>
          <w:lang w:val="fr-FR"/>
        </w:rPr>
        <w:t>253</w:t>
      </w:r>
      <w:r w:rsidR="002C0BC7" w:rsidRPr="001961B1">
        <w:rPr>
          <w:rFonts w:asciiTheme="minorHAnsi" w:hAnsiTheme="minorHAnsi" w:cstheme="minorHAnsi"/>
          <w:sz w:val="22"/>
          <w:szCs w:val="22"/>
          <w:lang w:val="fr-FR"/>
        </w:rPr>
        <w:t>5</w:t>
      </w:r>
      <w:r w:rsidR="00006151" w:rsidRPr="001961B1">
        <w:rPr>
          <w:rFonts w:asciiTheme="minorHAnsi" w:hAnsiTheme="minorHAnsi" w:cstheme="minorHAnsi"/>
          <w:sz w:val="22"/>
          <w:szCs w:val="22"/>
          <w:lang w:val="fr-FR"/>
        </w:rPr>
        <w:t xml:space="preserve"> sites</w:t>
      </w:r>
      <w:r w:rsidR="001A5897" w:rsidRPr="001961B1">
        <w:rPr>
          <w:rFonts w:asciiTheme="minorHAnsi" w:hAnsiTheme="minorHAnsi" w:cstheme="minorHAnsi"/>
          <w:sz w:val="22"/>
          <w:szCs w:val="22"/>
          <w:lang w:val="fr-FR"/>
        </w:rPr>
        <w:t xml:space="preserve"> </w:t>
      </w:r>
      <w:r w:rsidR="00B249AC" w:rsidRPr="001961B1">
        <w:rPr>
          <w:rFonts w:asciiTheme="minorHAnsi" w:hAnsiTheme="minorHAnsi" w:cstheme="minorHAnsi"/>
          <w:sz w:val="22"/>
          <w:szCs w:val="22"/>
          <w:lang w:val="fr-FR"/>
        </w:rPr>
        <w:t>co</w:t>
      </w:r>
      <w:r w:rsidR="00632B93" w:rsidRPr="001961B1">
        <w:rPr>
          <w:rFonts w:asciiTheme="minorHAnsi" w:hAnsiTheme="minorHAnsi" w:cstheme="minorHAnsi"/>
          <w:sz w:val="22"/>
          <w:szCs w:val="22"/>
          <w:lang w:val="fr-FR"/>
        </w:rPr>
        <w:t>uvrant</w:t>
      </w:r>
      <w:r w:rsidR="00B249AC" w:rsidRPr="001961B1">
        <w:rPr>
          <w:rFonts w:asciiTheme="minorHAnsi" w:hAnsiTheme="minorHAnsi" w:cstheme="minorHAnsi"/>
          <w:sz w:val="22"/>
          <w:szCs w:val="22"/>
          <w:lang w:val="fr-FR"/>
        </w:rPr>
        <w:t xml:space="preserve"> </w:t>
      </w:r>
      <w:r w:rsidR="00D9452F" w:rsidRPr="001961B1">
        <w:rPr>
          <w:rFonts w:asciiTheme="minorHAnsi" w:hAnsiTheme="minorHAnsi" w:cstheme="minorHAnsi"/>
          <w:color w:val="000000"/>
          <w:sz w:val="22"/>
          <w:szCs w:val="22"/>
          <w:lang w:val="fr-FR"/>
        </w:rPr>
        <w:t>257</w:t>
      </w:r>
      <w:r w:rsidR="00632B93" w:rsidRPr="001961B1">
        <w:rPr>
          <w:rFonts w:asciiTheme="minorHAnsi" w:hAnsiTheme="minorHAnsi" w:cstheme="minorHAnsi"/>
          <w:color w:val="000000"/>
          <w:sz w:val="22"/>
          <w:szCs w:val="22"/>
          <w:lang w:val="fr-FR"/>
        </w:rPr>
        <w:t> </w:t>
      </w:r>
      <w:r w:rsidR="00D9452F" w:rsidRPr="001961B1">
        <w:rPr>
          <w:rFonts w:asciiTheme="minorHAnsi" w:hAnsiTheme="minorHAnsi" w:cstheme="minorHAnsi"/>
          <w:color w:val="000000"/>
          <w:sz w:val="22"/>
          <w:szCs w:val="22"/>
          <w:lang w:val="fr-FR"/>
        </w:rPr>
        <w:t>924</w:t>
      </w:r>
      <w:r w:rsidR="00632B93" w:rsidRPr="001961B1">
        <w:rPr>
          <w:rFonts w:asciiTheme="minorHAnsi" w:hAnsiTheme="minorHAnsi" w:cstheme="minorHAnsi"/>
          <w:color w:val="000000"/>
          <w:sz w:val="22"/>
          <w:szCs w:val="22"/>
          <w:lang w:val="fr-FR"/>
        </w:rPr>
        <w:t> </w:t>
      </w:r>
      <w:r w:rsidR="00D9452F" w:rsidRPr="001961B1">
        <w:rPr>
          <w:rFonts w:asciiTheme="minorHAnsi" w:hAnsiTheme="minorHAnsi" w:cstheme="minorHAnsi"/>
          <w:color w:val="000000"/>
          <w:sz w:val="22"/>
          <w:szCs w:val="22"/>
          <w:lang w:val="fr-FR"/>
        </w:rPr>
        <w:t>380</w:t>
      </w:r>
      <w:r w:rsidR="00632B93" w:rsidRPr="001961B1">
        <w:rPr>
          <w:rFonts w:asciiTheme="minorHAnsi" w:hAnsiTheme="minorHAnsi" w:cstheme="minorHAnsi"/>
          <w:color w:val="000000"/>
          <w:sz w:val="22"/>
          <w:szCs w:val="22"/>
          <w:lang w:val="fr-FR"/>
        </w:rPr>
        <w:t> </w:t>
      </w:r>
      <w:r w:rsidR="00B249AC" w:rsidRPr="001961B1">
        <w:rPr>
          <w:rFonts w:asciiTheme="minorHAnsi" w:hAnsiTheme="minorHAnsi" w:cstheme="minorHAnsi"/>
          <w:sz w:val="22"/>
          <w:szCs w:val="22"/>
          <w:lang w:val="fr-FR"/>
        </w:rPr>
        <w:t>hectares</w:t>
      </w:r>
      <w:r w:rsidR="00006151" w:rsidRPr="001961B1">
        <w:rPr>
          <w:rFonts w:asciiTheme="minorHAnsi" w:hAnsiTheme="minorHAnsi" w:cstheme="minorHAnsi"/>
          <w:sz w:val="22"/>
          <w:szCs w:val="22"/>
          <w:lang w:val="fr-FR"/>
        </w:rPr>
        <w:t>, soit</w:t>
      </w:r>
      <w:r w:rsidR="00632B93" w:rsidRPr="001961B1">
        <w:rPr>
          <w:rFonts w:asciiTheme="minorHAnsi" w:hAnsiTheme="minorHAnsi" w:cstheme="minorHAnsi"/>
          <w:sz w:val="22"/>
          <w:szCs w:val="22"/>
          <w:lang w:val="fr-FR"/>
        </w:rPr>
        <w:t xml:space="preserve"> une augmentation de </w:t>
      </w:r>
      <w:r w:rsidR="00B865D7" w:rsidRPr="001961B1">
        <w:rPr>
          <w:rFonts w:asciiTheme="minorHAnsi" w:hAnsiTheme="minorHAnsi" w:cstheme="minorHAnsi"/>
          <w:sz w:val="22"/>
          <w:szCs w:val="22"/>
          <w:lang w:val="fr-FR"/>
        </w:rPr>
        <w:t>16</w:t>
      </w:r>
      <w:r w:rsidR="00632B93" w:rsidRPr="001961B1">
        <w:rPr>
          <w:rFonts w:asciiTheme="minorHAnsi" w:hAnsiTheme="minorHAnsi" w:cstheme="minorHAnsi"/>
          <w:sz w:val="22"/>
          <w:szCs w:val="22"/>
          <w:lang w:val="fr-FR"/>
        </w:rPr>
        <w:t> </w:t>
      </w:r>
      <w:r w:rsidR="00B865D7" w:rsidRPr="001961B1">
        <w:rPr>
          <w:rFonts w:asciiTheme="minorHAnsi" w:hAnsiTheme="minorHAnsi" w:cstheme="minorHAnsi"/>
          <w:sz w:val="22"/>
          <w:szCs w:val="22"/>
          <w:lang w:val="fr-FR"/>
        </w:rPr>
        <w:t xml:space="preserve">% </w:t>
      </w:r>
      <w:r w:rsidR="00632B93" w:rsidRPr="001961B1">
        <w:rPr>
          <w:rFonts w:asciiTheme="minorHAnsi" w:hAnsiTheme="minorHAnsi" w:cstheme="minorHAnsi"/>
          <w:sz w:val="22"/>
          <w:szCs w:val="22"/>
          <w:lang w:val="fr-FR"/>
        </w:rPr>
        <w:t xml:space="preserve">dans le nombre et 24 % dans la superficie depuis la COP12. Le rythme des nouvelles désignations a décru progressivement pendant la </w:t>
      </w:r>
      <w:r w:rsidR="00006151" w:rsidRPr="001961B1">
        <w:rPr>
          <w:rFonts w:asciiTheme="minorHAnsi" w:hAnsiTheme="minorHAnsi" w:cstheme="minorHAnsi"/>
          <w:sz w:val="22"/>
          <w:szCs w:val="22"/>
          <w:lang w:val="fr-FR"/>
        </w:rPr>
        <w:t>période</w:t>
      </w:r>
      <w:r w:rsidR="00632B93" w:rsidRPr="001961B1">
        <w:rPr>
          <w:rFonts w:asciiTheme="minorHAnsi" w:hAnsiTheme="minorHAnsi" w:cstheme="minorHAnsi"/>
          <w:sz w:val="22"/>
          <w:szCs w:val="22"/>
          <w:lang w:val="fr-FR"/>
        </w:rPr>
        <w:t xml:space="preserve"> du PS4.</w:t>
      </w:r>
      <w:r w:rsidR="00ED14A9" w:rsidRPr="001961B1">
        <w:rPr>
          <w:rFonts w:asciiTheme="minorHAnsi" w:hAnsiTheme="minorHAnsi" w:cstheme="minorHAnsi"/>
          <w:sz w:val="22"/>
          <w:szCs w:val="22"/>
          <w:lang w:val="fr-FR"/>
        </w:rPr>
        <w:t xml:space="preserve"> </w:t>
      </w:r>
    </w:p>
    <w:p w14:paraId="2D627654" w14:textId="77777777" w:rsidR="00185397" w:rsidRPr="001961B1" w:rsidRDefault="00185397" w:rsidP="000E3338">
      <w:pPr>
        <w:ind w:left="567" w:hanging="567"/>
        <w:rPr>
          <w:rFonts w:asciiTheme="minorHAnsi" w:hAnsiTheme="minorHAnsi" w:cstheme="minorHAnsi"/>
          <w:sz w:val="22"/>
          <w:szCs w:val="22"/>
          <w:lang w:val="fr-FR"/>
        </w:rPr>
      </w:pPr>
    </w:p>
    <w:p w14:paraId="3A6329F1" w14:textId="4D70CF29" w:rsidR="00D11F65"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0</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632B93" w:rsidRPr="001961B1">
        <w:rPr>
          <w:rFonts w:asciiTheme="minorHAnsi" w:hAnsiTheme="minorHAnsi" w:cstheme="minorHAnsi"/>
          <w:sz w:val="22"/>
          <w:szCs w:val="22"/>
          <w:lang w:val="fr-FR"/>
        </w:rPr>
        <w:t xml:space="preserve">Sur la base de données du Service d’information sur les Sites Ramsar (SISR), la ventilation régionale du nombre de sites et </w:t>
      </w:r>
      <w:r w:rsidR="00883A43" w:rsidRPr="001961B1">
        <w:rPr>
          <w:rFonts w:asciiTheme="minorHAnsi" w:hAnsiTheme="minorHAnsi" w:cstheme="minorHAnsi"/>
          <w:sz w:val="22"/>
          <w:szCs w:val="22"/>
          <w:lang w:val="fr-FR"/>
        </w:rPr>
        <w:t xml:space="preserve">de </w:t>
      </w:r>
      <w:r w:rsidR="00632B93" w:rsidRPr="001961B1">
        <w:rPr>
          <w:rFonts w:asciiTheme="minorHAnsi" w:hAnsiTheme="minorHAnsi" w:cstheme="minorHAnsi"/>
          <w:sz w:val="22"/>
          <w:szCs w:val="22"/>
          <w:lang w:val="fr-FR"/>
        </w:rPr>
        <w:t xml:space="preserve">la surface sont les suivantes : </w:t>
      </w:r>
    </w:p>
    <w:p w14:paraId="094CDE57" w14:textId="715AB309" w:rsidR="00D11F65" w:rsidRPr="001961B1" w:rsidRDefault="006917A4"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t>A</w:t>
      </w:r>
      <w:r w:rsidR="00D11F65" w:rsidRPr="001961B1">
        <w:rPr>
          <w:rFonts w:asciiTheme="minorHAnsi" w:hAnsiTheme="minorHAnsi" w:cstheme="minorHAnsi"/>
          <w:sz w:val="22"/>
          <w:szCs w:val="22"/>
          <w:lang w:val="fr-FR"/>
        </w:rPr>
        <w:t>fri</w:t>
      </w:r>
      <w:r w:rsidR="00632B93" w:rsidRPr="001961B1">
        <w:rPr>
          <w:rFonts w:asciiTheme="minorHAnsi" w:hAnsiTheme="minorHAnsi" w:cstheme="minorHAnsi"/>
          <w:sz w:val="22"/>
          <w:szCs w:val="22"/>
          <w:lang w:val="fr-FR"/>
        </w:rPr>
        <w:t>que </w:t>
      </w:r>
      <w:r w:rsidR="00D11F65" w:rsidRPr="001961B1">
        <w:rPr>
          <w:rFonts w:asciiTheme="minorHAnsi" w:hAnsiTheme="minorHAnsi" w:cstheme="minorHAnsi"/>
          <w:sz w:val="22"/>
          <w:szCs w:val="22"/>
          <w:lang w:val="fr-FR"/>
        </w:rPr>
        <w:t>: 17</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00D11F65" w:rsidRPr="001961B1">
        <w:rPr>
          <w:rFonts w:asciiTheme="minorHAnsi" w:hAnsiTheme="minorHAnsi" w:cstheme="minorHAnsi"/>
          <w:sz w:val="22"/>
          <w:szCs w:val="22"/>
          <w:lang w:val="fr-FR"/>
        </w:rPr>
        <w:t xml:space="preserve"> </w:t>
      </w:r>
      <w:r w:rsidR="004866AE" w:rsidRPr="001961B1">
        <w:rPr>
          <w:rFonts w:asciiTheme="minorHAnsi" w:hAnsiTheme="minorHAnsi" w:cstheme="minorHAnsi"/>
          <w:sz w:val="22"/>
          <w:szCs w:val="22"/>
          <w:lang w:val="fr-FR"/>
        </w:rPr>
        <w:t>43</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 ;</w:t>
      </w:r>
    </w:p>
    <w:p w14:paraId="64FA76A3" w14:textId="6463FB06" w:rsidR="00D11F65" w:rsidRPr="001961B1" w:rsidRDefault="00D11F65"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t>Asi</w:t>
      </w:r>
      <w:r w:rsidR="00632B93" w:rsidRPr="001961B1">
        <w:rPr>
          <w:rFonts w:asciiTheme="minorHAnsi" w:hAnsiTheme="minorHAnsi" w:cstheme="minorHAnsi"/>
          <w:sz w:val="22"/>
          <w:szCs w:val="22"/>
          <w:lang w:val="fr-FR"/>
        </w:rPr>
        <w:t xml:space="preserve">e </w:t>
      </w:r>
      <w:r w:rsidRPr="001961B1">
        <w:rPr>
          <w:rFonts w:asciiTheme="minorHAnsi" w:hAnsiTheme="minorHAnsi" w:cstheme="minorHAnsi"/>
          <w:sz w:val="22"/>
          <w:szCs w:val="22"/>
          <w:lang w:val="fr-FR"/>
        </w:rPr>
        <w:t>: 18</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Pr="001961B1">
        <w:rPr>
          <w:rFonts w:asciiTheme="minorHAnsi" w:hAnsiTheme="minorHAnsi" w:cstheme="minorHAnsi"/>
          <w:sz w:val="22"/>
          <w:szCs w:val="22"/>
          <w:lang w:val="fr-FR"/>
        </w:rPr>
        <w:t xml:space="preserve"> </w:t>
      </w:r>
      <w:r w:rsidR="004866AE" w:rsidRPr="001961B1">
        <w:rPr>
          <w:rFonts w:asciiTheme="minorHAnsi" w:hAnsiTheme="minorHAnsi" w:cstheme="minorHAnsi"/>
          <w:sz w:val="22"/>
          <w:szCs w:val="22"/>
          <w:lang w:val="fr-FR"/>
        </w:rPr>
        <w:t>9</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 </w:t>
      </w:r>
      <w:r w:rsidR="00D10DC2" w:rsidRPr="001961B1">
        <w:rPr>
          <w:rFonts w:asciiTheme="minorHAnsi" w:hAnsiTheme="minorHAnsi" w:cstheme="minorHAnsi"/>
          <w:sz w:val="22"/>
          <w:szCs w:val="22"/>
          <w:lang w:val="fr-FR"/>
        </w:rPr>
        <w:t>;</w:t>
      </w:r>
    </w:p>
    <w:p w14:paraId="77A62C8B" w14:textId="4DE9616A" w:rsidR="00D11F65" w:rsidRPr="001961B1" w:rsidRDefault="00D11F65"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t>Europe</w:t>
      </w:r>
      <w:r w:rsidR="00632B93" w:rsidRPr="001961B1">
        <w:rPr>
          <w:rFonts w:asciiTheme="minorHAnsi" w:hAnsiTheme="minorHAnsi" w:cstheme="minorHAnsi"/>
          <w:sz w:val="22"/>
          <w:szCs w:val="22"/>
          <w:lang w:val="fr-FR"/>
        </w:rPr>
        <w:t xml:space="preserve"> </w:t>
      </w:r>
      <w:r w:rsidRPr="001961B1">
        <w:rPr>
          <w:rFonts w:asciiTheme="minorHAnsi" w:hAnsiTheme="minorHAnsi" w:cstheme="minorHAnsi"/>
          <w:sz w:val="22"/>
          <w:szCs w:val="22"/>
          <w:lang w:val="fr-FR"/>
        </w:rPr>
        <w:t>: 45</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Pr="001961B1">
        <w:rPr>
          <w:rFonts w:asciiTheme="minorHAnsi" w:hAnsiTheme="minorHAnsi" w:cstheme="minorHAnsi"/>
          <w:sz w:val="22"/>
          <w:szCs w:val="22"/>
          <w:lang w:val="fr-FR"/>
        </w:rPr>
        <w:t xml:space="preserve"> </w:t>
      </w:r>
      <w:r w:rsidR="004866AE" w:rsidRPr="001961B1">
        <w:rPr>
          <w:rFonts w:asciiTheme="minorHAnsi" w:hAnsiTheme="minorHAnsi" w:cstheme="minorHAnsi"/>
          <w:sz w:val="22"/>
          <w:szCs w:val="22"/>
          <w:lang w:val="fr-FR"/>
        </w:rPr>
        <w:t>11</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 ;</w:t>
      </w:r>
    </w:p>
    <w:p w14:paraId="3D07CED3" w14:textId="5580EEA5" w:rsidR="00D11F65" w:rsidRPr="001961B1" w:rsidRDefault="00632B93"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lastRenderedPageBreak/>
        <w:t xml:space="preserve">Amérique latine et </w:t>
      </w:r>
      <w:r w:rsidR="00A27A89" w:rsidRPr="001961B1">
        <w:rPr>
          <w:rFonts w:asciiTheme="minorHAnsi" w:hAnsiTheme="minorHAnsi" w:cstheme="minorHAnsi"/>
          <w:sz w:val="22"/>
          <w:szCs w:val="22"/>
          <w:lang w:val="fr-FR"/>
        </w:rPr>
        <w:t>Caraïbes</w:t>
      </w:r>
      <w:r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9</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00D11F65" w:rsidRPr="001961B1">
        <w:rPr>
          <w:rFonts w:asciiTheme="minorHAnsi" w:hAnsiTheme="minorHAnsi" w:cstheme="minorHAnsi"/>
          <w:sz w:val="22"/>
          <w:szCs w:val="22"/>
          <w:lang w:val="fr-FR"/>
        </w:rPr>
        <w:t xml:space="preserve"> </w:t>
      </w:r>
      <w:r w:rsidR="004866AE" w:rsidRPr="001961B1">
        <w:rPr>
          <w:rFonts w:asciiTheme="minorHAnsi" w:hAnsiTheme="minorHAnsi" w:cstheme="minorHAnsi"/>
          <w:sz w:val="22"/>
          <w:szCs w:val="22"/>
          <w:lang w:val="fr-FR"/>
        </w:rPr>
        <w:t>24</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 ;</w:t>
      </w:r>
      <w:r w:rsidR="00D10DC2" w:rsidRPr="001961B1">
        <w:rPr>
          <w:rFonts w:asciiTheme="minorHAnsi" w:hAnsiTheme="minorHAnsi" w:cstheme="minorHAnsi"/>
          <w:sz w:val="22"/>
          <w:szCs w:val="22"/>
          <w:lang w:val="fr-FR"/>
        </w:rPr>
        <w:t xml:space="preserve"> </w:t>
      </w:r>
    </w:p>
    <w:p w14:paraId="6F965814" w14:textId="3C3D05EB" w:rsidR="00D11F65" w:rsidRPr="001961B1" w:rsidRDefault="00632B93"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t>Amérique du Nord </w:t>
      </w:r>
      <w:r w:rsidR="00D11F65" w:rsidRPr="001961B1">
        <w:rPr>
          <w:rFonts w:asciiTheme="minorHAnsi" w:hAnsiTheme="minorHAnsi" w:cstheme="minorHAnsi"/>
          <w:sz w:val="22"/>
          <w:szCs w:val="22"/>
          <w:lang w:val="fr-FR"/>
        </w:rPr>
        <w:t>: 9</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00D11F65" w:rsidRPr="001961B1">
        <w:rPr>
          <w:rFonts w:asciiTheme="minorHAnsi" w:hAnsiTheme="minorHAnsi" w:cstheme="minorHAnsi"/>
          <w:sz w:val="22"/>
          <w:szCs w:val="22"/>
          <w:lang w:val="fr-FR"/>
        </w:rPr>
        <w:t xml:space="preserve"> 9</w:t>
      </w:r>
      <w:r w:rsidR="0093580C" w:rsidRPr="001961B1">
        <w:rPr>
          <w:rFonts w:asciiTheme="minorHAnsi" w:hAnsiTheme="minorHAnsi" w:cstheme="minorHAnsi"/>
          <w:sz w:val="22"/>
          <w:szCs w:val="22"/>
          <w:lang w:val="fr-FR"/>
        </w:rPr>
        <w:t> </w:t>
      </w:r>
      <w:r w:rsidR="00D11F65"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 ; et</w:t>
      </w:r>
    </w:p>
    <w:p w14:paraId="75BDF8E3" w14:textId="41054ED6" w:rsidR="00D11F65" w:rsidRPr="001961B1" w:rsidRDefault="00D11F65" w:rsidP="000E3338">
      <w:pPr>
        <w:numPr>
          <w:ilvl w:val="0"/>
          <w:numId w:val="108"/>
        </w:numPr>
        <w:tabs>
          <w:tab w:val="clear" w:pos="1154"/>
        </w:tabs>
        <w:ind w:left="993" w:hanging="426"/>
        <w:rPr>
          <w:rFonts w:asciiTheme="minorHAnsi" w:hAnsiTheme="minorHAnsi" w:cstheme="minorHAnsi"/>
          <w:sz w:val="22"/>
          <w:szCs w:val="22"/>
          <w:lang w:val="fr-FR"/>
        </w:rPr>
      </w:pPr>
      <w:r w:rsidRPr="001961B1">
        <w:rPr>
          <w:rFonts w:asciiTheme="minorHAnsi" w:hAnsiTheme="minorHAnsi" w:cstheme="minorHAnsi"/>
          <w:sz w:val="22"/>
          <w:szCs w:val="22"/>
          <w:lang w:val="fr-FR"/>
        </w:rPr>
        <w:t>Oc</w:t>
      </w:r>
      <w:r w:rsidR="00632B93" w:rsidRPr="001961B1">
        <w:rPr>
          <w:rFonts w:asciiTheme="minorHAnsi" w:hAnsiTheme="minorHAnsi" w:cstheme="minorHAnsi"/>
          <w:sz w:val="22"/>
          <w:szCs w:val="22"/>
          <w:lang w:val="fr-FR"/>
        </w:rPr>
        <w:t>éanie :</w:t>
      </w:r>
      <w:r w:rsidRPr="001961B1">
        <w:rPr>
          <w:rFonts w:asciiTheme="minorHAnsi" w:hAnsiTheme="minorHAnsi" w:cstheme="minorHAnsi"/>
          <w:sz w:val="22"/>
          <w:szCs w:val="22"/>
          <w:lang w:val="fr-FR"/>
        </w:rPr>
        <w:t xml:space="preserve"> 3</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du nombre total de sites, couvrant</w:t>
      </w:r>
      <w:r w:rsidRPr="001961B1">
        <w:rPr>
          <w:rFonts w:asciiTheme="minorHAnsi" w:hAnsiTheme="minorHAnsi" w:cstheme="minorHAnsi"/>
          <w:sz w:val="22"/>
          <w:szCs w:val="22"/>
          <w:lang w:val="fr-FR"/>
        </w:rPr>
        <w:t xml:space="preserve"> </w:t>
      </w:r>
      <w:r w:rsidR="00675EF2" w:rsidRPr="001961B1">
        <w:rPr>
          <w:rFonts w:asciiTheme="minorHAnsi" w:hAnsiTheme="minorHAnsi" w:cstheme="minorHAnsi"/>
          <w:sz w:val="22"/>
          <w:szCs w:val="22"/>
          <w:lang w:val="fr-FR"/>
        </w:rPr>
        <w:t>4</w:t>
      </w:r>
      <w:r w:rsidR="0093580C"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 xml:space="preserve">% </w:t>
      </w:r>
      <w:r w:rsidR="00722494" w:rsidRPr="001961B1">
        <w:rPr>
          <w:rFonts w:asciiTheme="minorHAnsi" w:hAnsiTheme="minorHAnsi" w:cstheme="minorHAnsi"/>
          <w:sz w:val="22"/>
          <w:szCs w:val="22"/>
          <w:lang w:val="fr-FR"/>
        </w:rPr>
        <w:t>de la superficie totale.</w:t>
      </w:r>
    </w:p>
    <w:p w14:paraId="5DD98C47" w14:textId="77777777" w:rsidR="00CD3F6B" w:rsidRPr="001961B1" w:rsidRDefault="00CD3F6B" w:rsidP="00CD3F6B">
      <w:pPr>
        <w:ind w:left="426" w:hanging="426"/>
        <w:rPr>
          <w:rFonts w:asciiTheme="minorHAnsi" w:hAnsiTheme="minorHAnsi" w:cstheme="minorHAnsi"/>
          <w:sz w:val="22"/>
          <w:szCs w:val="22"/>
          <w:lang w:val="fr-FR"/>
        </w:rPr>
      </w:pPr>
    </w:p>
    <w:p w14:paraId="290F2C14" w14:textId="6A369441" w:rsidR="00B249A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1</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722494" w:rsidRPr="001961B1">
        <w:rPr>
          <w:rFonts w:asciiTheme="minorHAnsi" w:hAnsiTheme="minorHAnsi" w:cstheme="minorHAnsi"/>
          <w:sz w:val="22"/>
          <w:szCs w:val="22"/>
          <w:lang w:val="fr-FR"/>
        </w:rPr>
        <w:t xml:space="preserve">Beaucoup de zones humides d’importance internationale ajoutées à la Liste pendant la </w:t>
      </w:r>
      <w:r w:rsidR="00883A43" w:rsidRPr="001961B1">
        <w:rPr>
          <w:rFonts w:asciiTheme="minorHAnsi" w:hAnsiTheme="minorHAnsi" w:cstheme="minorHAnsi"/>
          <w:sz w:val="22"/>
          <w:szCs w:val="22"/>
          <w:lang w:val="fr-FR"/>
        </w:rPr>
        <w:t>période</w:t>
      </w:r>
      <w:r w:rsidR="00722494" w:rsidRPr="001961B1">
        <w:rPr>
          <w:rFonts w:asciiTheme="minorHAnsi" w:hAnsiTheme="minorHAnsi" w:cstheme="minorHAnsi"/>
          <w:sz w:val="22"/>
          <w:szCs w:val="22"/>
          <w:lang w:val="fr-FR"/>
        </w:rPr>
        <w:t xml:space="preserve"> du PS4 comprennent des types de zones humides sous-représentés parmi les huit types identifiés dans la Résolution </w:t>
      </w:r>
      <w:r w:rsidR="00B249AC" w:rsidRPr="001961B1">
        <w:rPr>
          <w:rFonts w:asciiTheme="minorHAnsi" w:hAnsiTheme="minorHAnsi" w:cstheme="minorHAnsi"/>
          <w:sz w:val="22"/>
          <w:szCs w:val="22"/>
          <w:lang w:val="fr-FR"/>
        </w:rPr>
        <w:t>VIII.11</w:t>
      </w:r>
      <w:r w:rsidR="00722494" w:rsidRPr="001961B1">
        <w:rPr>
          <w:rFonts w:asciiTheme="minorHAnsi" w:hAnsiTheme="minorHAnsi" w:cstheme="minorHAnsi"/>
          <w:sz w:val="22"/>
          <w:szCs w:val="22"/>
          <w:lang w:val="fr-FR"/>
        </w:rPr>
        <w:t>,</w:t>
      </w:r>
      <w:r w:rsidR="006F226E" w:rsidRPr="001961B1">
        <w:rPr>
          <w:rFonts w:asciiTheme="minorHAnsi" w:hAnsiTheme="minorHAnsi" w:cstheme="minorHAnsi"/>
          <w:sz w:val="22"/>
          <w:szCs w:val="22"/>
          <w:lang w:val="fr-FR"/>
        </w:rPr>
        <w:t xml:space="preserve"> </w:t>
      </w:r>
      <w:r w:rsidR="00722494" w:rsidRPr="001961B1">
        <w:rPr>
          <w:rFonts w:asciiTheme="minorHAnsi" w:hAnsiTheme="minorHAnsi" w:cstheme="minorHAnsi"/>
          <w:i/>
          <w:iCs/>
          <w:sz w:val="22"/>
          <w:szCs w:val="22"/>
          <w:lang w:val="fr-FR"/>
        </w:rPr>
        <w:t>Orientations complémentaires pour identifier et inscrire des zones humides d’importance internationale appartenant à des types de zones humides sous-représentés</w:t>
      </w:r>
      <w:r w:rsidR="00722494" w:rsidRPr="001961B1">
        <w:rPr>
          <w:rFonts w:asciiTheme="minorHAnsi" w:hAnsiTheme="minorHAnsi" w:cstheme="minorHAnsi"/>
          <w:sz w:val="22"/>
          <w:szCs w:val="22"/>
          <w:lang w:val="fr-FR"/>
        </w:rPr>
        <w:t>,</w:t>
      </w:r>
      <w:r w:rsidR="00722494" w:rsidRPr="001961B1">
        <w:rPr>
          <w:rFonts w:asciiTheme="minorHAnsi" w:hAnsiTheme="minorHAnsi" w:cstheme="minorHAnsi"/>
          <w:i/>
          <w:iCs/>
          <w:sz w:val="22"/>
          <w:szCs w:val="22"/>
          <w:lang w:val="fr-FR"/>
        </w:rPr>
        <w:t xml:space="preserve"> </w:t>
      </w:r>
      <w:r w:rsidR="00722494" w:rsidRPr="001961B1">
        <w:rPr>
          <w:rFonts w:asciiTheme="minorHAnsi" w:hAnsiTheme="minorHAnsi" w:cstheme="minorHAnsi"/>
          <w:sz w:val="22"/>
          <w:szCs w:val="22"/>
          <w:lang w:val="fr-FR"/>
        </w:rPr>
        <w:t xml:space="preserve">résumé dans le </w:t>
      </w:r>
      <w:r w:rsidR="00AD1F31" w:rsidRPr="001961B1">
        <w:rPr>
          <w:rFonts w:asciiTheme="minorHAnsi" w:hAnsiTheme="minorHAnsi" w:cstheme="minorHAnsi"/>
          <w:sz w:val="22"/>
          <w:szCs w:val="22"/>
          <w:lang w:val="fr-FR"/>
        </w:rPr>
        <w:t>t</w:t>
      </w:r>
      <w:r w:rsidR="00722494" w:rsidRPr="001961B1">
        <w:rPr>
          <w:rFonts w:asciiTheme="minorHAnsi" w:hAnsiTheme="minorHAnsi" w:cstheme="minorHAnsi"/>
          <w:sz w:val="22"/>
          <w:szCs w:val="22"/>
          <w:lang w:val="fr-FR"/>
        </w:rPr>
        <w:t>ableau 1 ci­dessous.</w:t>
      </w:r>
    </w:p>
    <w:p w14:paraId="1EC253C6" w14:textId="77777777" w:rsidR="0053206B" w:rsidRPr="001961B1" w:rsidRDefault="0053206B" w:rsidP="00CD3F6B">
      <w:pPr>
        <w:ind w:left="426" w:hanging="426"/>
        <w:rPr>
          <w:rFonts w:asciiTheme="minorHAnsi" w:hAnsiTheme="minorHAnsi" w:cstheme="minorHAnsi"/>
          <w:sz w:val="22"/>
          <w:szCs w:val="22"/>
          <w:lang w:val="fr-FR"/>
        </w:rPr>
      </w:pPr>
    </w:p>
    <w:p w14:paraId="4CAF285E" w14:textId="7960397B" w:rsidR="0053206B" w:rsidRPr="001961B1" w:rsidRDefault="0053206B" w:rsidP="00AD1260">
      <w:pPr>
        <w:keepNext/>
        <w:rPr>
          <w:rFonts w:asciiTheme="minorHAnsi" w:hAnsiTheme="minorHAnsi" w:cstheme="minorHAnsi"/>
          <w:i/>
          <w:iCs/>
          <w:sz w:val="22"/>
          <w:szCs w:val="22"/>
          <w:lang w:val="fr-FR"/>
        </w:rPr>
      </w:pPr>
      <w:r w:rsidRPr="001961B1">
        <w:rPr>
          <w:rFonts w:asciiTheme="minorHAnsi" w:hAnsiTheme="minorHAnsi" w:cstheme="minorHAnsi"/>
          <w:i/>
          <w:iCs/>
          <w:sz w:val="22"/>
          <w:szCs w:val="22"/>
          <w:lang w:val="fr-FR"/>
        </w:rPr>
        <w:t>Table</w:t>
      </w:r>
      <w:r w:rsidR="00896E47" w:rsidRPr="001961B1">
        <w:rPr>
          <w:rFonts w:asciiTheme="minorHAnsi" w:hAnsiTheme="minorHAnsi" w:cstheme="minorHAnsi"/>
          <w:i/>
          <w:iCs/>
          <w:sz w:val="22"/>
          <w:szCs w:val="22"/>
          <w:lang w:val="fr-FR"/>
        </w:rPr>
        <w:t>au</w:t>
      </w:r>
      <w:r w:rsidRPr="001961B1">
        <w:rPr>
          <w:rFonts w:asciiTheme="minorHAnsi" w:hAnsiTheme="minorHAnsi" w:cstheme="minorHAnsi"/>
          <w:i/>
          <w:iCs/>
          <w:sz w:val="22"/>
          <w:szCs w:val="22"/>
          <w:lang w:val="fr-FR"/>
        </w:rPr>
        <w:t xml:space="preserve"> 1</w:t>
      </w:r>
      <w:r w:rsidR="00896E47" w:rsidRPr="001961B1">
        <w:rPr>
          <w:rFonts w:asciiTheme="minorHAnsi" w:hAnsiTheme="minorHAnsi" w:cstheme="minorHAnsi"/>
          <w:i/>
          <w:iCs/>
          <w:sz w:val="22"/>
          <w:szCs w:val="22"/>
          <w:lang w:val="fr-FR"/>
        </w:rPr>
        <w:t xml:space="preserve"> </w:t>
      </w:r>
      <w:r w:rsidRPr="001961B1">
        <w:rPr>
          <w:rFonts w:asciiTheme="minorHAnsi" w:hAnsiTheme="minorHAnsi" w:cstheme="minorHAnsi"/>
          <w:i/>
          <w:iCs/>
          <w:sz w:val="22"/>
          <w:szCs w:val="22"/>
          <w:lang w:val="fr-FR"/>
        </w:rPr>
        <w:t xml:space="preserve">: </w:t>
      </w:r>
      <w:r w:rsidR="006F41E3" w:rsidRPr="001961B1">
        <w:rPr>
          <w:rFonts w:asciiTheme="minorHAnsi" w:hAnsiTheme="minorHAnsi" w:cstheme="minorHAnsi"/>
          <w:i/>
          <w:iCs/>
          <w:sz w:val="22"/>
          <w:szCs w:val="22"/>
          <w:lang w:val="fr-FR"/>
        </w:rPr>
        <w:t xml:space="preserve">Types de zones humides sous-représentés désignés en tant que zones humides d’importance internationale durant la période du quatrième Plan stratégique </w:t>
      </w:r>
    </w:p>
    <w:tbl>
      <w:tblPr>
        <w:tblStyle w:val="TableGrid"/>
        <w:tblW w:w="9072" w:type="dxa"/>
        <w:tblLook w:val="04A0" w:firstRow="1" w:lastRow="0" w:firstColumn="1" w:lastColumn="0" w:noHBand="0" w:noVBand="1"/>
      </w:tblPr>
      <w:tblGrid>
        <w:gridCol w:w="5326"/>
        <w:gridCol w:w="1729"/>
        <w:gridCol w:w="2017"/>
      </w:tblGrid>
      <w:tr w:rsidR="0053206B" w:rsidRPr="001961B1" w14:paraId="01890940" w14:textId="77777777" w:rsidTr="0053206B">
        <w:tc>
          <w:tcPr>
            <w:tcW w:w="5326" w:type="dxa"/>
            <w:vAlign w:val="center"/>
          </w:tcPr>
          <w:p w14:paraId="2F56330D" w14:textId="5BB0E41C" w:rsidR="0053206B" w:rsidRPr="001961B1" w:rsidRDefault="004F4626" w:rsidP="0053206B">
            <w:pPr>
              <w:jc w:val="center"/>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Type de zone humide</w:t>
            </w:r>
          </w:p>
        </w:tc>
        <w:tc>
          <w:tcPr>
            <w:tcW w:w="1729" w:type="dxa"/>
            <w:vAlign w:val="center"/>
          </w:tcPr>
          <w:p w14:paraId="18F14DDF" w14:textId="016B3A30" w:rsidR="0053206B" w:rsidRPr="001961B1" w:rsidRDefault="004F4626" w:rsidP="0053206B">
            <w:pPr>
              <w:jc w:val="center"/>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Référence</w:t>
            </w:r>
            <w:r w:rsidR="0053206B" w:rsidRPr="001961B1">
              <w:rPr>
                <w:rFonts w:asciiTheme="minorHAnsi" w:hAnsiTheme="minorHAnsi" w:cstheme="minorHAnsi"/>
                <w:b/>
                <w:bCs/>
                <w:sz w:val="22"/>
                <w:szCs w:val="22"/>
                <w:lang w:val="fr-FR"/>
              </w:rPr>
              <w:t xml:space="preserve"> </w:t>
            </w:r>
          </w:p>
        </w:tc>
        <w:tc>
          <w:tcPr>
            <w:tcW w:w="2017" w:type="dxa"/>
            <w:vAlign w:val="center"/>
          </w:tcPr>
          <w:p w14:paraId="7C4516CF" w14:textId="77777777" w:rsidR="0053206B" w:rsidRPr="001961B1" w:rsidRDefault="0053206B" w:rsidP="0053206B">
            <w:pPr>
              <w:jc w:val="center"/>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COP15</w:t>
            </w:r>
          </w:p>
        </w:tc>
      </w:tr>
      <w:tr w:rsidR="0053206B" w:rsidRPr="001961B1" w14:paraId="53F59AF4" w14:textId="77777777" w:rsidTr="0053206B">
        <w:tc>
          <w:tcPr>
            <w:tcW w:w="5326" w:type="dxa"/>
          </w:tcPr>
          <w:p w14:paraId="01348E15" w14:textId="28A61C26" w:rsidR="0053206B" w:rsidRPr="001961B1" w:rsidRDefault="0056529B"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Systèmes karstiques </w:t>
            </w:r>
            <w:r w:rsidR="00122750" w:rsidRPr="001961B1">
              <w:rPr>
                <w:rFonts w:asciiTheme="minorHAnsi" w:hAnsiTheme="minorHAnsi" w:cstheme="minorHAnsi"/>
                <w:sz w:val="22"/>
                <w:szCs w:val="22"/>
                <w:lang w:val="fr-FR"/>
              </w:rPr>
              <w:t>et autres systèmes hydrologiques souterrains</w:t>
            </w:r>
            <w:r w:rsidR="0053206B" w:rsidRPr="001961B1">
              <w:rPr>
                <w:rFonts w:asciiTheme="minorHAnsi" w:hAnsiTheme="minorHAnsi" w:cstheme="minorHAnsi"/>
                <w:sz w:val="22"/>
                <w:szCs w:val="22"/>
                <w:lang w:val="fr-FR"/>
              </w:rPr>
              <w:t xml:space="preserve"> </w:t>
            </w:r>
          </w:p>
        </w:tc>
        <w:tc>
          <w:tcPr>
            <w:tcW w:w="1729" w:type="dxa"/>
          </w:tcPr>
          <w:p w14:paraId="583B6716"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 xml:space="preserve">110 </w:t>
            </w:r>
          </w:p>
        </w:tc>
        <w:tc>
          <w:tcPr>
            <w:tcW w:w="2017" w:type="dxa"/>
          </w:tcPr>
          <w:p w14:paraId="79EEA9D0"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150</w:t>
            </w:r>
          </w:p>
        </w:tc>
      </w:tr>
      <w:tr w:rsidR="0053206B" w:rsidRPr="001961B1" w14:paraId="5C4D152C" w14:textId="77777777" w:rsidTr="0053206B">
        <w:tc>
          <w:tcPr>
            <w:tcW w:w="5326" w:type="dxa"/>
          </w:tcPr>
          <w:p w14:paraId="10466F5D" w14:textId="1D974F28" w:rsidR="0053206B" w:rsidRPr="001961B1" w:rsidRDefault="00122750"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Récifs coralliens</w:t>
            </w:r>
            <w:r w:rsidR="0053206B" w:rsidRPr="001961B1">
              <w:rPr>
                <w:rFonts w:asciiTheme="minorHAnsi" w:hAnsiTheme="minorHAnsi" w:cstheme="minorHAnsi"/>
                <w:sz w:val="22"/>
                <w:szCs w:val="22"/>
                <w:lang w:val="fr-FR"/>
              </w:rPr>
              <w:t xml:space="preserve"> </w:t>
            </w:r>
          </w:p>
        </w:tc>
        <w:tc>
          <w:tcPr>
            <w:tcW w:w="1729" w:type="dxa"/>
          </w:tcPr>
          <w:p w14:paraId="792B0BC3"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 xml:space="preserve">96 </w:t>
            </w:r>
          </w:p>
        </w:tc>
        <w:tc>
          <w:tcPr>
            <w:tcW w:w="2017" w:type="dxa"/>
          </w:tcPr>
          <w:p w14:paraId="036F34E6"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116</w:t>
            </w:r>
          </w:p>
        </w:tc>
      </w:tr>
      <w:tr w:rsidR="0053206B" w:rsidRPr="001961B1" w14:paraId="40CEC87D" w14:textId="77777777" w:rsidTr="0053206B">
        <w:tc>
          <w:tcPr>
            <w:tcW w:w="5326" w:type="dxa"/>
          </w:tcPr>
          <w:p w14:paraId="14322CFA" w14:textId="559A7DEE" w:rsidR="0053206B" w:rsidRPr="001961B1" w:rsidRDefault="00122750"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Prairies humides</w:t>
            </w:r>
            <w:r w:rsidR="0053206B" w:rsidRPr="001961B1">
              <w:rPr>
                <w:rFonts w:asciiTheme="minorHAnsi" w:hAnsiTheme="minorHAnsi" w:cstheme="minorHAnsi"/>
                <w:sz w:val="22"/>
                <w:szCs w:val="22"/>
                <w:lang w:val="fr-FR"/>
              </w:rPr>
              <w:t xml:space="preserve">* </w:t>
            </w:r>
          </w:p>
        </w:tc>
        <w:tc>
          <w:tcPr>
            <w:tcW w:w="1729" w:type="dxa"/>
          </w:tcPr>
          <w:p w14:paraId="63F42D30"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 xml:space="preserve">517 </w:t>
            </w:r>
          </w:p>
        </w:tc>
        <w:tc>
          <w:tcPr>
            <w:tcW w:w="2017" w:type="dxa"/>
          </w:tcPr>
          <w:p w14:paraId="29767763" w14:textId="6D2E1A6E" w:rsidR="0053206B" w:rsidRPr="001961B1" w:rsidRDefault="00976FD0" w:rsidP="0053206B">
            <w:pPr>
              <w:jc w:val="right"/>
              <w:rPr>
                <w:rFonts w:asciiTheme="minorHAnsi" w:hAnsiTheme="minorHAnsi" w:cstheme="minorHAnsi"/>
                <w:sz w:val="22"/>
                <w:szCs w:val="22"/>
              </w:rPr>
            </w:pPr>
            <w:r w:rsidRPr="001961B1">
              <w:rPr>
                <w:rFonts w:asciiTheme="minorHAnsi" w:hAnsiTheme="minorHAnsi" w:cstheme="minorHAnsi"/>
                <w:sz w:val="22"/>
                <w:szCs w:val="22"/>
              </w:rPr>
              <w:t>-</w:t>
            </w:r>
          </w:p>
        </w:tc>
      </w:tr>
      <w:tr w:rsidR="0053206B" w:rsidRPr="001961B1" w14:paraId="7EB993E0" w14:textId="77777777" w:rsidTr="0053206B">
        <w:tc>
          <w:tcPr>
            <w:tcW w:w="5326" w:type="dxa"/>
          </w:tcPr>
          <w:p w14:paraId="57EE2DBD" w14:textId="3795C6B1" w:rsidR="0053206B" w:rsidRPr="001961B1" w:rsidRDefault="00883A43"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Tourbières</w:t>
            </w:r>
            <w:r w:rsidR="0053206B" w:rsidRPr="001961B1">
              <w:rPr>
                <w:rFonts w:asciiTheme="minorHAnsi" w:hAnsiTheme="minorHAnsi" w:cstheme="minorHAnsi"/>
                <w:sz w:val="22"/>
                <w:szCs w:val="22"/>
                <w:lang w:val="fr-FR"/>
              </w:rPr>
              <w:t xml:space="preserve"> (</w:t>
            </w:r>
            <w:r w:rsidRPr="001961B1">
              <w:rPr>
                <w:rFonts w:asciiTheme="minorHAnsi" w:hAnsiTheme="minorHAnsi" w:cstheme="minorHAnsi"/>
                <w:sz w:val="22"/>
                <w:szCs w:val="22"/>
                <w:lang w:val="fr-FR"/>
              </w:rPr>
              <w:t>y compris tourbières boisées</w:t>
            </w:r>
            <w:r w:rsidR="0053206B" w:rsidRPr="001961B1">
              <w:rPr>
                <w:rFonts w:asciiTheme="minorHAnsi" w:hAnsiTheme="minorHAnsi" w:cstheme="minorHAnsi"/>
                <w:sz w:val="22"/>
                <w:szCs w:val="22"/>
                <w:lang w:val="fr-FR"/>
              </w:rPr>
              <w:t>)</w:t>
            </w:r>
          </w:p>
        </w:tc>
        <w:tc>
          <w:tcPr>
            <w:tcW w:w="1729" w:type="dxa"/>
          </w:tcPr>
          <w:p w14:paraId="675D8CB1"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564</w:t>
            </w:r>
          </w:p>
        </w:tc>
        <w:tc>
          <w:tcPr>
            <w:tcW w:w="2017" w:type="dxa"/>
          </w:tcPr>
          <w:p w14:paraId="0AEB44C3" w14:textId="19C09EA0"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880</w:t>
            </w:r>
          </w:p>
        </w:tc>
      </w:tr>
      <w:tr w:rsidR="0053206B" w:rsidRPr="001961B1" w14:paraId="43B52093" w14:textId="77777777" w:rsidTr="0053206B">
        <w:tc>
          <w:tcPr>
            <w:tcW w:w="5326" w:type="dxa"/>
          </w:tcPr>
          <w:p w14:paraId="306AEA91" w14:textId="5F4C5DDD" w:rsidR="0053206B" w:rsidRPr="001961B1" w:rsidRDefault="00122750"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Herbiers marins</w:t>
            </w:r>
            <w:r w:rsidR="0053206B" w:rsidRPr="001961B1">
              <w:rPr>
                <w:rFonts w:asciiTheme="minorHAnsi" w:hAnsiTheme="minorHAnsi" w:cstheme="minorHAnsi"/>
                <w:sz w:val="22"/>
                <w:szCs w:val="22"/>
                <w:lang w:val="fr-FR"/>
              </w:rPr>
              <w:t xml:space="preserve"> </w:t>
            </w:r>
          </w:p>
        </w:tc>
        <w:tc>
          <w:tcPr>
            <w:tcW w:w="1729" w:type="dxa"/>
          </w:tcPr>
          <w:p w14:paraId="10B58FA0"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249</w:t>
            </w:r>
          </w:p>
        </w:tc>
        <w:tc>
          <w:tcPr>
            <w:tcW w:w="2017" w:type="dxa"/>
          </w:tcPr>
          <w:p w14:paraId="2053A386"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301</w:t>
            </w:r>
          </w:p>
        </w:tc>
      </w:tr>
      <w:tr w:rsidR="0053206B" w:rsidRPr="001961B1" w14:paraId="7EF8ECEC" w14:textId="77777777" w:rsidTr="0053206B">
        <w:tc>
          <w:tcPr>
            <w:tcW w:w="5326" w:type="dxa"/>
          </w:tcPr>
          <w:p w14:paraId="16AF7987" w14:textId="77777777" w:rsidR="0053206B" w:rsidRPr="001961B1" w:rsidRDefault="0053206B"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Mangroves </w:t>
            </w:r>
          </w:p>
        </w:tc>
        <w:tc>
          <w:tcPr>
            <w:tcW w:w="1729" w:type="dxa"/>
          </w:tcPr>
          <w:p w14:paraId="64D5E684"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 xml:space="preserve">280 </w:t>
            </w:r>
          </w:p>
        </w:tc>
        <w:tc>
          <w:tcPr>
            <w:tcW w:w="2017" w:type="dxa"/>
          </w:tcPr>
          <w:p w14:paraId="7CF931D0"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317</w:t>
            </w:r>
          </w:p>
        </w:tc>
      </w:tr>
      <w:tr w:rsidR="0053206B" w:rsidRPr="001961B1" w14:paraId="2A7C1082" w14:textId="77777777" w:rsidTr="0053206B">
        <w:tc>
          <w:tcPr>
            <w:tcW w:w="5326" w:type="dxa"/>
          </w:tcPr>
          <w:p w14:paraId="2EA61D63" w14:textId="24FF9E9F" w:rsidR="0053206B" w:rsidRPr="001961B1" w:rsidRDefault="003E31DC"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Étangs</w:t>
            </w:r>
            <w:r w:rsidR="00122750" w:rsidRPr="001961B1">
              <w:rPr>
                <w:rFonts w:asciiTheme="minorHAnsi" w:hAnsiTheme="minorHAnsi" w:cstheme="minorHAnsi"/>
                <w:sz w:val="22"/>
                <w:szCs w:val="22"/>
                <w:lang w:val="fr-FR"/>
              </w:rPr>
              <w:t xml:space="preserve"> temporaires</w:t>
            </w:r>
            <w:r w:rsidR="0053206B" w:rsidRPr="001961B1">
              <w:rPr>
                <w:rFonts w:asciiTheme="minorHAnsi" w:hAnsiTheme="minorHAnsi" w:cstheme="minorHAnsi"/>
                <w:sz w:val="22"/>
                <w:szCs w:val="22"/>
                <w:lang w:val="fr-FR"/>
              </w:rPr>
              <w:t>*</w:t>
            </w:r>
          </w:p>
        </w:tc>
        <w:tc>
          <w:tcPr>
            <w:tcW w:w="1729" w:type="dxa"/>
          </w:tcPr>
          <w:p w14:paraId="35C217FC" w14:textId="3A8AAFA6"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729</w:t>
            </w:r>
          </w:p>
        </w:tc>
        <w:tc>
          <w:tcPr>
            <w:tcW w:w="2017" w:type="dxa"/>
          </w:tcPr>
          <w:p w14:paraId="721F0126" w14:textId="7A23BDB0" w:rsidR="0053206B" w:rsidRPr="001961B1" w:rsidRDefault="00976FD0" w:rsidP="0053206B">
            <w:pPr>
              <w:jc w:val="right"/>
              <w:rPr>
                <w:rFonts w:asciiTheme="minorHAnsi" w:hAnsiTheme="minorHAnsi" w:cstheme="minorHAnsi"/>
                <w:sz w:val="22"/>
                <w:szCs w:val="22"/>
              </w:rPr>
            </w:pPr>
            <w:r w:rsidRPr="001961B1">
              <w:rPr>
                <w:rFonts w:asciiTheme="minorHAnsi" w:hAnsiTheme="minorHAnsi" w:cstheme="minorHAnsi"/>
                <w:strike/>
                <w:sz w:val="22"/>
                <w:szCs w:val="22"/>
              </w:rPr>
              <w:t>-</w:t>
            </w:r>
          </w:p>
        </w:tc>
      </w:tr>
      <w:tr w:rsidR="0053206B" w:rsidRPr="001961B1" w14:paraId="52C940A7" w14:textId="77777777" w:rsidTr="0053206B">
        <w:tc>
          <w:tcPr>
            <w:tcW w:w="5326" w:type="dxa"/>
          </w:tcPr>
          <w:p w14:paraId="74920EE2" w14:textId="23101B0F" w:rsidR="0053206B" w:rsidRPr="001961B1" w:rsidRDefault="00122750" w:rsidP="0053206B">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Récifs </w:t>
            </w:r>
            <w:r w:rsidR="003E31DC" w:rsidRPr="001961B1">
              <w:rPr>
                <w:rFonts w:asciiTheme="minorHAnsi" w:hAnsiTheme="minorHAnsi" w:cstheme="minorHAnsi"/>
                <w:sz w:val="22"/>
                <w:szCs w:val="22"/>
                <w:lang w:val="fr-FR"/>
              </w:rPr>
              <w:t>à</w:t>
            </w:r>
            <w:r w:rsidRPr="001961B1">
              <w:rPr>
                <w:rFonts w:asciiTheme="minorHAnsi" w:hAnsiTheme="minorHAnsi" w:cstheme="minorHAnsi"/>
                <w:sz w:val="22"/>
                <w:szCs w:val="22"/>
                <w:lang w:val="fr-FR"/>
              </w:rPr>
              <w:t xml:space="preserve"> b</w:t>
            </w:r>
            <w:r w:rsidR="0053206B" w:rsidRPr="001961B1">
              <w:rPr>
                <w:rFonts w:asciiTheme="minorHAnsi" w:hAnsiTheme="minorHAnsi" w:cstheme="minorHAnsi"/>
                <w:sz w:val="22"/>
                <w:szCs w:val="22"/>
                <w:lang w:val="fr-FR"/>
              </w:rPr>
              <w:t>ivalve</w:t>
            </w:r>
            <w:r w:rsidRPr="001961B1">
              <w:rPr>
                <w:rFonts w:asciiTheme="minorHAnsi" w:hAnsiTheme="minorHAnsi" w:cstheme="minorHAnsi"/>
                <w:sz w:val="22"/>
                <w:szCs w:val="22"/>
                <w:lang w:val="fr-FR"/>
              </w:rPr>
              <w:t>s</w:t>
            </w:r>
            <w:r w:rsidR="0053206B" w:rsidRPr="001961B1">
              <w:rPr>
                <w:rFonts w:asciiTheme="minorHAnsi" w:hAnsiTheme="minorHAnsi" w:cstheme="minorHAnsi"/>
                <w:sz w:val="22"/>
                <w:szCs w:val="22"/>
                <w:lang w:val="fr-FR"/>
              </w:rPr>
              <w:t xml:space="preserve"> (</w:t>
            </w:r>
            <w:r w:rsidR="003E31DC" w:rsidRPr="001961B1">
              <w:rPr>
                <w:rFonts w:asciiTheme="minorHAnsi" w:hAnsiTheme="minorHAnsi" w:cstheme="minorHAnsi"/>
                <w:sz w:val="22"/>
                <w:szCs w:val="22"/>
                <w:lang w:val="fr-FR"/>
              </w:rPr>
              <w:t>mollusques</w:t>
            </w:r>
            <w:r w:rsidR="0053206B" w:rsidRPr="001961B1">
              <w:rPr>
                <w:rFonts w:asciiTheme="minorHAnsi" w:hAnsiTheme="minorHAnsi" w:cstheme="minorHAnsi"/>
                <w:sz w:val="22"/>
                <w:szCs w:val="22"/>
                <w:lang w:val="fr-FR"/>
              </w:rPr>
              <w:t xml:space="preserve">) </w:t>
            </w:r>
            <w:r w:rsidR="00890833" w:rsidRPr="001961B1">
              <w:rPr>
                <w:rFonts w:asciiTheme="minorHAnsi" w:hAnsiTheme="minorHAnsi" w:cstheme="minorHAnsi"/>
                <w:sz w:val="22"/>
                <w:szCs w:val="22"/>
                <w:lang w:val="fr-FR"/>
              </w:rPr>
              <w:t>**</w:t>
            </w:r>
          </w:p>
        </w:tc>
        <w:tc>
          <w:tcPr>
            <w:tcW w:w="1729" w:type="dxa"/>
          </w:tcPr>
          <w:p w14:paraId="2251F521" w14:textId="55E889D9"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99</w:t>
            </w:r>
          </w:p>
        </w:tc>
        <w:tc>
          <w:tcPr>
            <w:tcW w:w="2017" w:type="dxa"/>
          </w:tcPr>
          <w:p w14:paraId="3D35C4BC" w14:textId="77777777" w:rsidR="0053206B" w:rsidRPr="001961B1" w:rsidRDefault="0053206B" w:rsidP="0053206B">
            <w:pPr>
              <w:jc w:val="right"/>
              <w:rPr>
                <w:rFonts w:asciiTheme="minorHAnsi" w:hAnsiTheme="minorHAnsi" w:cstheme="minorHAnsi"/>
                <w:sz w:val="22"/>
                <w:szCs w:val="22"/>
              </w:rPr>
            </w:pPr>
            <w:r w:rsidRPr="001961B1">
              <w:rPr>
                <w:rFonts w:asciiTheme="minorHAnsi" w:hAnsiTheme="minorHAnsi" w:cstheme="minorHAnsi"/>
                <w:sz w:val="22"/>
                <w:szCs w:val="22"/>
              </w:rPr>
              <w:t>11</w:t>
            </w:r>
          </w:p>
        </w:tc>
      </w:tr>
    </w:tbl>
    <w:p w14:paraId="04E19C9B" w14:textId="39EB4DE6" w:rsidR="00136A9D" w:rsidRPr="001961B1" w:rsidRDefault="005276AD" w:rsidP="00AD4CA2">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136A9D" w:rsidRPr="001961B1">
        <w:rPr>
          <w:rFonts w:asciiTheme="minorHAnsi" w:hAnsiTheme="minorHAnsi" w:cstheme="minorHAnsi"/>
          <w:sz w:val="22"/>
          <w:szCs w:val="22"/>
          <w:lang w:val="fr-FR"/>
        </w:rPr>
        <w:t xml:space="preserve"> </w:t>
      </w:r>
      <w:r w:rsidR="00ED299F" w:rsidRPr="001961B1">
        <w:rPr>
          <w:rFonts w:asciiTheme="minorHAnsi" w:hAnsiTheme="minorHAnsi" w:cstheme="minorHAnsi"/>
          <w:sz w:val="22"/>
          <w:szCs w:val="22"/>
          <w:lang w:val="fr-FR"/>
        </w:rPr>
        <w:t>« Prairies humides » et « </w:t>
      </w:r>
      <w:r w:rsidR="003E31DC" w:rsidRPr="001961B1">
        <w:rPr>
          <w:rFonts w:asciiTheme="minorHAnsi" w:hAnsiTheme="minorHAnsi" w:cstheme="minorHAnsi"/>
          <w:sz w:val="22"/>
          <w:szCs w:val="22"/>
          <w:lang w:val="fr-FR"/>
        </w:rPr>
        <w:t>étangs</w:t>
      </w:r>
      <w:r w:rsidR="00ED299F" w:rsidRPr="001961B1">
        <w:rPr>
          <w:rFonts w:asciiTheme="minorHAnsi" w:hAnsiTheme="minorHAnsi" w:cstheme="minorHAnsi"/>
          <w:sz w:val="22"/>
          <w:szCs w:val="22"/>
          <w:lang w:val="fr-FR"/>
        </w:rPr>
        <w:t xml:space="preserve"> temporaires » ne correspondent pas à des types de zones humides spécifiques dans le cadre du Système de classification des types de zones humides de la Convention et l’on ne sait pas clairement quels types de zones humides ont été pris en compte pour calculer les références contenues dans le PS4. Un chiffre actuel comparable à la référence ne peut donc pas être fourni. Il convient de noter qu’une très grande proportion de zones humides d’importance internationale contient au moins un et souvent plusieurs types de zones humides qui englobent communément des « prairies humides » et des « </w:t>
      </w:r>
      <w:r w:rsidR="003E31DC" w:rsidRPr="001961B1">
        <w:rPr>
          <w:rFonts w:asciiTheme="minorHAnsi" w:hAnsiTheme="minorHAnsi" w:cstheme="minorHAnsi"/>
          <w:sz w:val="22"/>
          <w:szCs w:val="22"/>
          <w:lang w:val="fr-FR"/>
        </w:rPr>
        <w:t>étangs</w:t>
      </w:r>
      <w:r w:rsidR="00ED299F" w:rsidRPr="001961B1">
        <w:rPr>
          <w:rFonts w:asciiTheme="minorHAnsi" w:hAnsiTheme="minorHAnsi" w:cstheme="minorHAnsi"/>
          <w:sz w:val="22"/>
          <w:szCs w:val="22"/>
          <w:lang w:val="fr-FR"/>
        </w:rPr>
        <w:t xml:space="preserve"> temporaires » identifiés dans la Résolution </w:t>
      </w:r>
      <w:r w:rsidR="00136A9D" w:rsidRPr="001961B1">
        <w:rPr>
          <w:rFonts w:asciiTheme="minorHAnsi" w:hAnsiTheme="minorHAnsi" w:cstheme="minorHAnsi"/>
          <w:sz w:val="22"/>
          <w:szCs w:val="22"/>
          <w:lang w:val="fr-FR"/>
        </w:rPr>
        <w:t>VIII.11</w:t>
      </w:r>
      <w:r w:rsidR="00AD4CA2" w:rsidRPr="001961B1">
        <w:rPr>
          <w:rFonts w:asciiTheme="minorHAnsi" w:hAnsiTheme="minorHAnsi" w:cstheme="minorHAnsi"/>
          <w:sz w:val="22"/>
          <w:szCs w:val="22"/>
          <w:lang w:val="fr-FR"/>
        </w:rPr>
        <w:t xml:space="preserve">. </w:t>
      </w:r>
    </w:p>
    <w:p w14:paraId="28A2F961" w14:textId="16B79418" w:rsidR="005276AD" w:rsidRPr="001961B1" w:rsidRDefault="005276AD" w:rsidP="00AD1260">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 </w:t>
      </w:r>
      <w:r w:rsidR="00EE0F0E" w:rsidRPr="001961B1">
        <w:rPr>
          <w:rFonts w:asciiTheme="minorHAnsi" w:hAnsiTheme="minorHAnsi" w:cstheme="minorHAnsi"/>
          <w:sz w:val="22"/>
          <w:szCs w:val="22"/>
          <w:lang w:val="fr-FR"/>
        </w:rPr>
        <w:t xml:space="preserve">Les récifs </w:t>
      </w:r>
      <w:r w:rsidR="003E31DC" w:rsidRPr="001961B1">
        <w:rPr>
          <w:rFonts w:asciiTheme="minorHAnsi" w:hAnsiTheme="minorHAnsi" w:cstheme="minorHAnsi"/>
          <w:sz w:val="22"/>
          <w:szCs w:val="22"/>
          <w:lang w:val="fr-FR"/>
        </w:rPr>
        <w:t>à</w:t>
      </w:r>
      <w:r w:rsidR="00EE0F0E" w:rsidRPr="001961B1">
        <w:rPr>
          <w:rFonts w:asciiTheme="minorHAnsi" w:hAnsiTheme="minorHAnsi" w:cstheme="minorHAnsi"/>
          <w:sz w:val="22"/>
          <w:szCs w:val="22"/>
          <w:lang w:val="fr-FR"/>
        </w:rPr>
        <w:t xml:space="preserve"> bivalves </w:t>
      </w:r>
      <w:r w:rsidR="00F00D97" w:rsidRPr="001961B1">
        <w:rPr>
          <w:rFonts w:asciiTheme="minorHAnsi" w:hAnsiTheme="minorHAnsi" w:cstheme="minorHAnsi"/>
          <w:sz w:val="22"/>
          <w:szCs w:val="22"/>
          <w:lang w:val="fr-FR"/>
        </w:rPr>
        <w:t>(</w:t>
      </w:r>
      <w:r w:rsidR="003E31DC" w:rsidRPr="001961B1">
        <w:rPr>
          <w:rFonts w:asciiTheme="minorHAnsi" w:hAnsiTheme="minorHAnsi" w:cstheme="minorHAnsi"/>
          <w:sz w:val="22"/>
          <w:szCs w:val="22"/>
          <w:lang w:val="fr-FR"/>
        </w:rPr>
        <w:t>mollusques</w:t>
      </w:r>
      <w:r w:rsidR="00F00D97" w:rsidRPr="001961B1">
        <w:rPr>
          <w:rFonts w:asciiTheme="minorHAnsi" w:hAnsiTheme="minorHAnsi" w:cstheme="minorHAnsi"/>
          <w:sz w:val="22"/>
          <w:szCs w:val="22"/>
          <w:lang w:val="fr-FR"/>
        </w:rPr>
        <w:t xml:space="preserve">) </w:t>
      </w:r>
      <w:r w:rsidR="00EE0F0E" w:rsidRPr="001961B1">
        <w:rPr>
          <w:rFonts w:asciiTheme="minorHAnsi" w:hAnsiTheme="minorHAnsi" w:cstheme="minorHAnsi"/>
          <w:sz w:val="22"/>
          <w:szCs w:val="22"/>
          <w:lang w:val="fr-FR"/>
        </w:rPr>
        <w:t xml:space="preserve">sont un type de zone humide spécifique (Ga). Il y a actuellement 11 zones humides d’importance internationale correspondant à ce type de zone humide. La référence définie dans le PS4 pourrait être une erreur car il est improbable que ce type de zone humide ait été retiré de la FDR </w:t>
      </w:r>
      <w:r w:rsidR="003E31DC" w:rsidRPr="001961B1">
        <w:rPr>
          <w:rFonts w:asciiTheme="minorHAnsi" w:hAnsiTheme="minorHAnsi" w:cstheme="minorHAnsi"/>
          <w:sz w:val="22"/>
          <w:szCs w:val="22"/>
          <w:lang w:val="fr-FR"/>
        </w:rPr>
        <w:t>lors d</w:t>
      </w:r>
      <w:r w:rsidR="00EE0F0E" w:rsidRPr="001961B1">
        <w:rPr>
          <w:rFonts w:asciiTheme="minorHAnsi" w:hAnsiTheme="minorHAnsi" w:cstheme="minorHAnsi"/>
          <w:sz w:val="22"/>
          <w:szCs w:val="22"/>
          <w:lang w:val="fr-FR"/>
        </w:rPr>
        <w:t>es mises à jour de</w:t>
      </w:r>
      <w:r w:rsidR="003E31DC" w:rsidRPr="001961B1">
        <w:rPr>
          <w:rFonts w:asciiTheme="minorHAnsi" w:hAnsiTheme="minorHAnsi" w:cstheme="minorHAnsi"/>
          <w:sz w:val="22"/>
          <w:szCs w:val="22"/>
          <w:lang w:val="fr-FR"/>
        </w:rPr>
        <w:t>s</w:t>
      </w:r>
      <w:r w:rsidR="00EE0F0E" w:rsidRPr="001961B1">
        <w:rPr>
          <w:rFonts w:asciiTheme="minorHAnsi" w:hAnsiTheme="minorHAnsi" w:cstheme="minorHAnsi"/>
          <w:sz w:val="22"/>
          <w:szCs w:val="22"/>
          <w:lang w:val="fr-FR"/>
        </w:rPr>
        <w:t xml:space="preserve"> FDR</w:t>
      </w:r>
      <w:r w:rsidR="003E31DC" w:rsidRPr="001961B1">
        <w:rPr>
          <w:rFonts w:asciiTheme="minorHAnsi" w:hAnsiTheme="minorHAnsi" w:cstheme="minorHAnsi"/>
          <w:sz w:val="22"/>
          <w:szCs w:val="22"/>
          <w:lang w:val="fr-FR"/>
        </w:rPr>
        <w:t xml:space="preserve"> de nombreux sites</w:t>
      </w:r>
      <w:r w:rsidR="00EE0F0E" w:rsidRPr="001961B1">
        <w:rPr>
          <w:rFonts w:asciiTheme="minorHAnsi" w:hAnsiTheme="minorHAnsi" w:cstheme="minorHAnsi"/>
          <w:sz w:val="22"/>
          <w:szCs w:val="22"/>
          <w:lang w:val="fr-FR"/>
        </w:rPr>
        <w:t>.</w:t>
      </w:r>
      <w:r w:rsidR="00AB2083" w:rsidRPr="001961B1">
        <w:rPr>
          <w:rFonts w:asciiTheme="minorHAnsi" w:hAnsiTheme="minorHAnsi" w:cstheme="minorHAnsi"/>
          <w:sz w:val="22"/>
          <w:szCs w:val="22"/>
          <w:lang w:val="fr-FR"/>
        </w:rPr>
        <w:t xml:space="preserve"> </w:t>
      </w:r>
    </w:p>
    <w:p w14:paraId="5199FED3" w14:textId="77777777" w:rsidR="001E5422" w:rsidRPr="001961B1" w:rsidRDefault="001E5422" w:rsidP="00CD3F6B">
      <w:pPr>
        <w:ind w:left="397"/>
        <w:rPr>
          <w:rFonts w:asciiTheme="minorHAnsi" w:hAnsiTheme="minorHAnsi" w:cstheme="minorHAnsi"/>
          <w:sz w:val="22"/>
          <w:szCs w:val="22"/>
          <w:lang w:val="fr-FR"/>
        </w:rPr>
      </w:pPr>
    </w:p>
    <w:p w14:paraId="43DD2217" w14:textId="384406F6" w:rsidR="00F6176F"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E0F0E" w:rsidRPr="001961B1">
        <w:rPr>
          <w:rFonts w:asciiTheme="minorHAnsi" w:hAnsiTheme="minorHAnsi" w:cstheme="minorHAnsi"/>
          <w:sz w:val="22"/>
          <w:szCs w:val="22"/>
          <w:lang w:val="fr-FR"/>
        </w:rPr>
        <w:t xml:space="preserve">Bien qu’il y ait des progrès notables dans la désignation de zones humides d’importance internationale, y compris de sites contenant des types de zones humides sous-représentés, 39 % seulement des Parties contractantes ont une stratégie et des priorités nationales </w:t>
      </w:r>
      <w:r w:rsidR="00035BA6" w:rsidRPr="001961B1">
        <w:rPr>
          <w:rFonts w:asciiTheme="minorHAnsi" w:hAnsiTheme="minorHAnsi" w:cstheme="minorHAnsi"/>
          <w:sz w:val="22"/>
          <w:szCs w:val="22"/>
          <w:lang w:val="fr-FR"/>
        </w:rPr>
        <w:t xml:space="preserve">en matière </w:t>
      </w:r>
      <w:r w:rsidR="00EE0F0E" w:rsidRPr="001961B1">
        <w:rPr>
          <w:rFonts w:asciiTheme="minorHAnsi" w:hAnsiTheme="minorHAnsi" w:cstheme="minorHAnsi"/>
          <w:sz w:val="22"/>
          <w:szCs w:val="22"/>
          <w:lang w:val="fr-FR"/>
        </w:rPr>
        <w:t xml:space="preserve">de désignation d’autres zones humides d’importance internationale </w:t>
      </w:r>
      <w:r w:rsidR="00035BA6" w:rsidRPr="001961B1">
        <w:rPr>
          <w:rFonts w:asciiTheme="minorHAnsi" w:hAnsiTheme="minorHAnsi" w:cstheme="minorHAnsi"/>
          <w:sz w:val="22"/>
          <w:szCs w:val="22"/>
          <w:lang w:val="fr-FR"/>
        </w:rPr>
        <w:t>au moment de</w:t>
      </w:r>
      <w:r w:rsidR="00EE0F0E" w:rsidRPr="001961B1">
        <w:rPr>
          <w:rFonts w:asciiTheme="minorHAnsi" w:hAnsiTheme="minorHAnsi" w:cstheme="minorHAnsi"/>
          <w:sz w:val="22"/>
          <w:szCs w:val="22"/>
          <w:lang w:val="fr-FR"/>
        </w:rPr>
        <w:t xml:space="preserve"> la COP15, une diminution légère depuis la COP13. Trente-neuf pour cent (</w:t>
      </w:r>
      <w:r w:rsidR="00F6176F" w:rsidRPr="001961B1">
        <w:rPr>
          <w:rFonts w:asciiTheme="minorHAnsi" w:hAnsiTheme="minorHAnsi" w:cstheme="minorHAnsi"/>
          <w:sz w:val="22"/>
          <w:szCs w:val="22"/>
          <w:lang w:val="fr-FR"/>
        </w:rPr>
        <w:t>39</w:t>
      </w:r>
      <w:r w:rsidR="00EE0F0E" w:rsidRPr="001961B1">
        <w:rPr>
          <w:rFonts w:asciiTheme="minorHAnsi" w:hAnsiTheme="minorHAnsi" w:cstheme="minorHAnsi"/>
          <w:sz w:val="22"/>
          <w:szCs w:val="22"/>
          <w:lang w:val="fr-FR"/>
        </w:rPr>
        <w:t> </w:t>
      </w:r>
      <w:r w:rsidR="00F6176F" w:rsidRPr="001961B1">
        <w:rPr>
          <w:rFonts w:asciiTheme="minorHAnsi" w:hAnsiTheme="minorHAnsi" w:cstheme="minorHAnsi"/>
          <w:sz w:val="22"/>
          <w:szCs w:val="22"/>
          <w:lang w:val="fr-FR"/>
        </w:rPr>
        <w:t>%</w:t>
      </w:r>
      <w:r w:rsidR="00EE0F0E" w:rsidRPr="001961B1">
        <w:rPr>
          <w:rFonts w:asciiTheme="minorHAnsi" w:hAnsiTheme="minorHAnsi" w:cstheme="minorHAnsi"/>
          <w:sz w:val="22"/>
          <w:szCs w:val="22"/>
          <w:lang w:val="fr-FR"/>
        </w:rPr>
        <w:t>)</w:t>
      </w:r>
      <w:r w:rsidR="00F6176F" w:rsidRPr="001961B1">
        <w:rPr>
          <w:rFonts w:asciiTheme="minorHAnsi" w:hAnsiTheme="minorHAnsi" w:cstheme="minorHAnsi"/>
          <w:sz w:val="22"/>
          <w:szCs w:val="22"/>
          <w:lang w:val="fr-FR"/>
        </w:rPr>
        <w:t xml:space="preserve"> </w:t>
      </w:r>
      <w:r w:rsidR="00EE0F0E" w:rsidRPr="001961B1">
        <w:rPr>
          <w:rFonts w:asciiTheme="minorHAnsi" w:hAnsiTheme="minorHAnsi" w:cstheme="minorHAnsi"/>
          <w:sz w:val="22"/>
          <w:szCs w:val="22"/>
          <w:lang w:val="fr-FR"/>
        </w:rPr>
        <w:t>d’autres Parties signalent qu’elles le prévoient ou qu’elles l’ont fait partielle</w:t>
      </w:r>
      <w:r w:rsidR="00035BA6" w:rsidRPr="001961B1">
        <w:rPr>
          <w:rFonts w:asciiTheme="minorHAnsi" w:hAnsiTheme="minorHAnsi" w:cstheme="minorHAnsi"/>
          <w:sz w:val="22"/>
          <w:szCs w:val="22"/>
          <w:lang w:val="fr-FR"/>
        </w:rPr>
        <w:t>ment</w:t>
      </w:r>
      <w:r w:rsidR="00EE0F0E" w:rsidRPr="001961B1">
        <w:rPr>
          <w:rFonts w:asciiTheme="minorHAnsi" w:hAnsiTheme="minorHAnsi" w:cstheme="minorHAnsi"/>
          <w:sz w:val="22"/>
          <w:szCs w:val="22"/>
          <w:lang w:val="fr-FR"/>
        </w:rPr>
        <w:t>.</w:t>
      </w:r>
      <w:r w:rsidR="00F6176F" w:rsidRPr="001961B1">
        <w:rPr>
          <w:rFonts w:asciiTheme="minorHAnsi" w:hAnsiTheme="minorHAnsi" w:cstheme="minorHAnsi"/>
          <w:sz w:val="22"/>
          <w:szCs w:val="22"/>
          <w:lang w:val="fr-FR"/>
        </w:rPr>
        <w:t xml:space="preserve"> </w:t>
      </w:r>
    </w:p>
    <w:p w14:paraId="34D64155" w14:textId="77777777" w:rsidR="00B249AC" w:rsidRPr="001961B1" w:rsidRDefault="00B249AC" w:rsidP="003E56FD">
      <w:pPr>
        <w:rPr>
          <w:rFonts w:asciiTheme="minorHAnsi" w:hAnsiTheme="minorHAnsi" w:cstheme="minorHAnsi"/>
          <w:sz w:val="22"/>
          <w:szCs w:val="22"/>
          <w:lang w:val="fr-FR"/>
        </w:rPr>
      </w:pPr>
    </w:p>
    <w:p w14:paraId="3AD01D02" w14:textId="77777777" w:rsidR="00A24E62" w:rsidRPr="001961B1" w:rsidRDefault="00A24E62" w:rsidP="00CD3F6B">
      <w:pPr>
        <w:rPr>
          <w:rFonts w:asciiTheme="minorHAnsi" w:hAnsiTheme="minorHAnsi" w:cstheme="minorHAnsi"/>
          <w:sz w:val="22"/>
          <w:szCs w:val="22"/>
          <w:lang w:val="fr-FR"/>
        </w:rPr>
      </w:pPr>
    </w:p>
    <w:tbl>
      <w:tblPr>
        <w:tblStyle w:val="TableGrid16"/>
        <w:tblW w:w="9356" w:type="dxa"/>
        <w:tblLook w:val="04A0" w:firstRow="1" w:lastRow="0" w:firstColumn="1" w:lastColumn="0" w:noHBand="0" w:noVBand="1"/>
      </w:tblPr>
      <w:tblGrid>
        <w:gridCol w:w="9356"/>
      </w:tblGrid>
      <w:tr w:rsidR="002F4351" w:rsidRPr="001961B1" w14:paraId="69A5E029" w14:textId="77777777" w:rsidTr="003E56FD">
        <w:tc>
          <w:tcPr>
            <w:tcW w:w="9634" w:type="dxa"/>
            <w:vAlign w:val="center"/>
          </w:tcPr>
          <w:p w14:paraId="77A9163A" w14:textId="5DF005DC" w:rsidR="002F4351" w:rsidRPr="001961B1" w:rsidRDefault="004F4626"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lastRenderedPageBreak/>
              <w:t>Objectif</w:t>
            </w:r>
            <w:r w:rsidR="002F4351" w:rsidRPr="001961B1">
              <w:rPr>
                <w:rFonts w:asciiTheme="minorHAnsi" w:hAnsiTheme="minorHAnsi" w:cstheme="minorHAnsi"/>
                <w:b/>
                <w:sz w:val="22"/>
                <w:szCs w:val="22"/>
                <w:lang w:val="fr-FR" w:eastAsia="fr-FR"/>
              </w:rPr>
              <w:t xml:space="preserve"> 7. </w:t>
            </w:r>
            <w:r w:rsidRPr="001961B1">
              <w:rPr>
                <w:rFonts w:asciiTheme="minorHAnsi" w:hAnsiTheme="minorHAnsi" w:cstheme="minorHAnsi"/>
                <w:b/>
                <w:sz w:val="22"/>
                <w:szCs w:val="22"/>
                <w:lang w:val="fr-FR" w:eastAsia="fr-FR"/>
              </w:rPr>
              <w:t>Les menaces pesant sur les sites dont les caractéristiques écologiques risquent de changer sont traitées</w:t>
            </w:r>
            <w:r w:rsidR="002F4351" w:rsidRPr="001961B1">
              <w:rPr>
                <w:rFonts w:asciiTheme="minorHAnsi" w:hAnsiTheme="minorHAnsi" w:cstheme="minorHAnsi"/>
                <w:b/>
                <w:sz w:val="22"/>
                <w:szCs w:val="22"/>
                <w:lang w:val="fr-FR" w:eastAsia="fr-FR"/>
              </w:rPr>
              <w:t xml:space="preserve">. </w:t>
            </w:r>
          </w:p>
          <w:p w14:paraId="4AF30F7C" w14:textId="7EB36E82" w:rsidR="002F4351" w:rsidRPr="001961B1" w:rsidRDefault="00C61079"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w:t>
            </w:r>
            <w:r w:rsidR="004F4626" w:rsidRPr="001961B1">
              <w:rPr>
                <w:rFonts w:asciiTheme="minorHAnsi" w:hAnsiTheme="minorHAnsi" w:cstheme="minorHAnsi"/>
                <w:bCs/>
                <w:sz w:val="22"/>
                <w:szCs w:val="22"/>
                <w:lang w:val="fr-FR" w:eastAsia="fr-FR"/>
              </w:rPr>
              <w:t>ion aux</w:t>
            </w:r>
            <w:r w:rsidRPr="001961B1">
              <w:rPr>
                <w:rFonts w:asciiTheme="minorHAnsi" w:hAnsiTheme="minorHAnsi" w:cstheme="minorHAnsi"/>
                <w:bCs/>
                <w:sz w:val="22"/>
                <w:szCs w:val="22"/>
                <w:lang w:val="fr-FR" w:eastAsia="fr-FR"/>
              </w:rPr>
              <w:t xml:space="preserve"> </w:t>
            </w:r>
            <w:r w:rsidR="00896E47" w:rsidRPr="001961B1">
              <w:rPr>
                <w:rFonts w:asciiTheme="minorHAnsi" w:hAnsiTheme="minorHAnsi" w:cstheme="minorHAnsi"/>
                <w:bCs/>
                <w:sz w:val="22"/>
                <w:szCs w:val="22"/>
                <w:lang w:val="fr-FR" w:eastAsia="fr-FR"/>
              </w:rPr>
              <w:t xml:space="preserve">cibles </w:t>
            </w:r>
            <w:r w:rsidR="002F4351" w:rsidRPr="001961B1">
              <w:rPr>
                <w:rFonts w:asciiTheme="minorHAnsi" w:hAnsiTheme="minorHAnsi" w:cstheme="minorHAnsi"/>
                <w:bCs/>
                <w:sz w:val="22"/>
                <w:szCs w:val="22"/>
                <w:lang w:val="fr-FR" w:eastAsia="fr-FR"/>
              </w:rPr>
              <w:t xml:space="preserve">3, 4 </w:t>
            </w:r>
            <w:r w:rsidR="00896E47" w:rsidRPr="001961B1">
              <w:rPr>
                <w:rFonts w:asciiTheme="minorHAnsi" w:hAnsiTheme="minorHAnsi" w:cstheme="minorHAnsi"/>
                <w:bCs/>
                <w:sz w:val="22"/>
                <w:szCs w:val="22"/>
                <w:lang w:val="fr-FR" w:eastAsia="fr-FR"/>
              </w:rPr>
              <w:t>et</w:t>
            </w:r>
            <w:r w:rsidR="002F4351" w:rsidRPr="001961B1">
              <w:rPr>
                <w:rFonts w:asciiTheme="minorHAnsi" w:hAnsiTheme="minorHAnsi" w:cstheme="minorHAnsi"/>
                <w:bCs/>
                <w:sz w:val="22"/>
                <w:szCs w:val="22"/>
                <w:lang w:val="fr-FR" w:eastAsia="fr-FR"/>
              </w:rPr>
              <w:t xml:space="preserve"> 10</w:t>
            </w:r>
            <w:r w:rsidR="00D647F7" w:rsidRPr="001961B1">
              <w:rPr>
                <w:rFonts w:asciiTheme="minorHAnsi" w:hAnsiTheme="minorHAnsi" w:cstheme="minorHAnsi"/>
                <w:bCs/>
                <w:sz w:val="22"/>
                <w:szCs w:val="22"/>
                <w:lang w:val="fr-FR" w:eastAsia="fr-FR"/>
              </w:rPr>
              <w:t xml:space="preserve"> </w:t>
            </w:r>
            <w:r w:rsidR="00896E47" w:rsidRPr="001961B1">
              <w:rPr>
                <w:rFonts w:asciiTheme="minorHAnsi" w:hAnsiTheme="minorHAnsi" w:cstheme="minorHAnsi"/>
                <w:bCs/>
                <w:sz w:val="22"/>
                <w:szCs w:val="22"/>
                <w:lang w:val="fr-FR" w:eastAsia="fr-FR"/>
              </w:rPr>
              <w:t>du CMB-KM et aux cibles</w:t>
            </w:r>
            <w:r w:rsidR="00D647F7" w:rsidRPr="001961B1">
              <w:rPr>
                <w:rFonts w:asciiTheme="minorHAnsi" w:hAnsiTheme="minorHAnsi" w:cstheme="minorHAnsi"/>
                <w:bCs/>
                <w:sz w:val="22"/>
                <w:szCs w:val="22"/>
                <w:lang w:val="fr-FR" w:eastAsia="fr-FR"/>
              </w:rPr>
              <w:t xml:space="preserve"> </w:t>
            </w:r>
            <w:r w:rsidR="00A45E1C" w:rsidRPr="001961B1">
              <w:rPr>
                <w:rFonts w:asciiTheme="minorHAnsi" w:hAnsiTheme="minorHAnsi" w:cstheme="minorHAnsi"/>
                <w:bCs/>
                <w:sz w:val="22"/>
                <w:szCs w:val="22"/>
                <w:lang w:val="fr-FR" w:eastAsia="fr-FR"/>
              </w:rPr>
              <w:t>6.5</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6.6</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11.3</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11.4</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11.a</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11.b</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12.4</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13.1</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14.2</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15.1</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15.2</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15.3</w:t>
            </w:r>
            <w:r w:rsidR="00D647F7" w:rsidRPr="001961B1">
              <w:rPr>
                <w:rFonts w:asciiTheme="minorHAnsi" w:hAnsiTheme="minorHAnsi" w:cstheme="minorHAnsi"/>
                <w:bCs/>
                <w:sz w:val="22"/>
                <w:szCs w:val="22"/>
                <w:lang w:val="fr-FR" w:eastAsia="fr-FR"/>
              </w:rPr>
              <w:t xml:space="preserve"> </w:t>
            </w:r>
            <w:r w:rsidR="00896E47" w:rsidRPr="001961B1">
              <w:rPr>
                <w:rFonts w:asciiTheme="minorHAnsi" w:hAnsiTheme="minorHAnsi" w:cstheme="minorHAnsi"/>
                <w:bCs/>
                <w:sz w:val="22"/>
                <w:szCs w:val="22"/>
                <w:lang w:val="fr-FR" w:eastAsia="fr-FR"/>
              </w:rPr>
              <w:t>et</w:t>
            </w:r>
            <w:r w:rsidR="00A45E1C" w:rsidRPr="001961B1">
              <w:rPr>
                <w:rFonts w:asciiTheme="minorHAnsi" w:hAnsiTheme="minorHAnsi" w:cstheme="minorHAnsi"/>
                <w:bCs/>
                <w:sz w:val="22"/>
                <w:szCs w:val="22"/>
                <w:lang w:val="fr-FR" w:eastAsia="fr-FR"/>
              </w:rPr>
              <w:t xml:space="preserve"> 15.4</w:t>
            </w:r>
            <w:r w:rsidR="00896E47" w:rsidRPr="001961B1">
              <w:rPr>
                <w:rFonts w:asciiTheme="minorHAnsi" w:hAnsiTheme="minorHAnsi" w:cstheme="minorHAnsi"/>
                <w:bCs/>
                <w:sz w:val="22"/>
                <w:szCs w:val="22"/>
                <w:lang w:val="fr-FR" w:eastAsia="fr-FR"/>
              </w:rPr>
              <w:t xml:space="preserve"> des ODD.</w:t>
            </w:r>
          </w:p>
        </w:tc>
      </w:tr>
    </w:tbl>
    <w:p w14:paraId="3D234B2B" w14:textId="77777777" w:rsidR="00C61079" w:rsidRPr="001961B1" w:rsidRDefault="00C61079" w:rsidP="00D1463B">
      <w:pPr>
        <w:keepNext/>
        <w:rPr>
          <w:rFonts w:asciiTheme="minorHAnsi" w:hAnsiTheme="minorHAnsi" w:cstheme="minorHAnsi"/>
          <w:sz w:val="22"/>
          <w:szCs w:val="22"/>
          <w:lang w:val="fr-FR"/>
        </w:rPr>
      </w:pPr>
    </w:p>
    <w:p w14:paraId="47682472" w14:textId="7E5D61A0" w:rsidR="004D1B26" w:rsidRPr="001961B1" w:rsidRDefault="00675BAC" w:rsidP="00D1463B">
      <w:pPr>
        <w:keepNext/>
        <w:rPr>
          <w:rFonts w:asciiTheme="minorHAnsi" w:hAnsiTheme="minorHAnsi" w:cstheme="minorHAnsi"/>
          <w:i/>
          <w:iCs/>
          <w:sz w:val="22"/>
          <w:szCs w:val="22"/>
          <w:u w:val="single"/>
          <w:lang w:val="fr-FR"/>
        </w:rPr>
      </w:pPr>
      <w:bookmarkStart w:id="5" w:name="_Hlk196995740"/>
      <w:r w:rsidRPr="001961B1">
        <w:rPr>
          <w:rFonts w:asciiTheme="minorHAnsi" w:hAnsiTheme="minorHAnsi" w:cstheme="minorHAnsi"/>
          <w:i/>
          <w:iCs/>
          <w:sz w:val="22"/>
          <w:szCs w:val="22"/>
          <w:u w:val="single"/>
          <w:lang w:val="fr-FR"/>
        </w:rPr>
        <w:t>Message clé</w:t>
      </w:r>
      <w:bookmarkEnd w:id="5"/>
    </w:p>
    <w:p w14:paraId="39CAE046" w14:textId="77777777" w:rsidR="00C61079" w:rsidRPr="001961B1" w:rsidRDefault="00C61079" w:rsidP="00D1463B">
      <w:pPr>
        <w:keepNext/>
        <w:rPr>
          <w:rFonts w:asciiTheme="minorHAnsi" w:hAnsiTheme="minorHAnsi" w:cstheme="minorHAnsi"/>
          <w:sz w:val="22"/>
          <w:szCs w:val="22"/>
          <w:lang w:val="fr-FR"/>
        </w:rPr>
      </w:pPr>
    </w:p>
    <w:p w14:paraId="36364C43" w14:textId="1D745E4B" w:rsidR="00714BC5"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03B0D" w:rsidRPr="001961B1">
        <w:rPr>
          <w:rFonts w:asciiTheme="minorHAnsi" w:hAnsiTheme="minorHAnsi" w:cstheme="minorHAnsi"/>
          <w:sz w:val="22"/>
          <w:szCs w:val="22"/>
          <w:lang w:val="fr-FR"/>
        </w:rPr>
        <w:t xml:space="preserve">La majorité des Parties contractantes ont </w:t>
      </w:r>
      <w:r w:rsidR="00F629A3" w:rsidRPr="001961B1">
        <w:rPr>
          <w:rFonts w:asciiTheme="minorHAnsi" w:hAnsiTheme="minorHAnsi" w:cstheme="minorHAnsi"/>
          <w:sz w:val="22"/>
          <w:szCs w:val="22"/>
          <w:lang w:val="fr-FR"/>
        </w:rPr>
        <w:t>mis en place d</w:t>
      </w:r>
      <w:r w:rsidR="00E03B0D" w:rsidRPr="001961B1">
        <w:rPr>
          <w:rFonts w:asciiTheme="minorHAnsi" w:hAnsiTheme="minorHAnsi" w:cstheme="minorHAnsi"/>
          <w:sz w:val="22"/>
          <w:szCs w:val="22"/>
          <w:lang w:val="fr-FR"/>
        </w:rPr>
        <w:t xml:space="preserve">es mécanismes </w:t>
      </w:r>
      <w:r w:rsidR="00F629A3" w:rsidRPr="001961B1">
        <w:rPr>
          <w:rFonts w:asciiTheme="minorHAnsi" w:hAnsiTheme="minorHAnsi" w:cstheme="minorHAnsi"/>
          <w:sz w:val="22"/>
          <w:szCs w:val="22"/>
          <w:lang w:val="fr-FR"/>
        </w:rPr>
        <w:t>qui leur permettent d’</w:t>
      </w:r>
      <w:r w:rsidR="00E03B0D" w:rsidRPr="001961B1">
        <w:rPr>
          <w:rFonts w:asciiTheme="minorHAnsi" w:hAnsiTheme="minorHAnsi" w:cstheme="minorHAnsi"/>
          <w:sz w:val="22"/>
          <w:szCs w:val="22"/>
          <w:lang w:val="fr-FR"/>
        </w:rPr>
        <w:t xml:space="preserve">être informées de changements négatifs dans les caractéristiques écologiques des zones humides d’importance internationale, en application de l’article 3.2 de la Convention. Toutefois, </w:t>
      </w:r>
      <w:r w:rsidR="00F629A3" w:rsidRPr="001961B1">
        <w:rPr>
          <w:rFonts w:asciiTheme="minorHAnsi" w:hAnsiTheme="minorHAnsi" w:cstheme="minorHAnsi"/>
          <w:sz w:val="22"/>
          <w:szCs w:val="22"/>
          <w:lang w:val="fr-FR"/>
        </w:rPr>
        <w:t>il y a peu de</w:t>
      </w:r>
      <w:r w:rsidR="00E03B0D" w:rsidRPr="001961B1">
        <w:rPr>
          <w:rFonts w:asciiTheme="minorHAnsi" w:hAnsiTheme="minorHAnsi" w:cstheme="minorHAnsi"/>
          <w:sz w:val="22"/>
          <w:szCs w:val="22"/>
          <w:lang w:val="fr-FR"/>
        </w:rPr>
        <w:t xml:space="preserve"> rapports sur les progrès réalisés </w:t>
      </w:r>
      <w:r w:rsidR="00F629A3" w:rsidRPr="001961B1">
        <w:rPr>
          <w:rFonts w:asciiTheme="minorHAnsi" w:hAnsiTheme="minorHAnsi" w:cstheme="minorHAnsi"/>
          <w:sz w:val="22"/>
          <w:szCs w:val="22"/>
          <w:lang w:val="fr-FR"/>
        </w:rPr>
        <w:t>pour traiter de</w:t>
      </w:r>
      <w:r w:rsidR="00E03B0D" w:rsidRPr="001961B1">
        <w:rPr>
          <w:rFonts w:asciiTheme="minorHAnsi" w:hAnsiTheme="minorHAnsi" w:cstheme="minorHAnsi"/>
          <w:sz w:val="22"/>
          <w:szCs w:val="22"/>
          <w:lang w:val="fr-FR"/>
        </w:rPr>
        <w:t xml:space="preserve"> tels cas et le Registre de Montreux est sous-utilisé.</w:t>
      </w:r>
      <w:r w:rsidR="00714BC5" w:rsidRPr="001961B1">
        <w:rPr>
          <w:rFonts w:asciiTheme="minorHAnsi" w:hAnsiTheme="minorHAnsi" w:cstheme="minorHAnsi"/>
          <w:sz w:val="22"/>
          <w:szCs w:val="22"/>
          <w:lang w:val="fr-FR"/>
        </w:rPr>
        <w:t xml:space="preserve"> </w:t>
      </w:r>
    </w:p>
    <w:p w14:paraId="209DE0F4" w14:textId="77777777" w:rsidR="008B1D7A" w:rsidRPr="001961B1" w:rsidRDefault="008B1D7A" w:rsidP="000E3338">
      <w:pPr>
        <w:ind w:left="567" w:hanging="567"/>
        <w:rPr>
          <w:rFonts w:asciiTheme="minorHAnsi" w:hAnsiTheme="minorHAnsi" w:cstheme="minorHAnsi"/>
          <w:sz w:val="22"/>
          <w:szCs w:val="22"/>
          <w:lang w:val="fr-FR"/>
        </w:rPr>
      </w:pPr>
    </w:p>
    <w:tbl>
      <w:tblPr>
        <w:tblStyle w:val="TableGrid26"/>
        <w:tblW w:w="9353" w:type="dxa"/>
        <w:tblLook w:val="04A0" w:firstRow="1" w:lastRow="0" w:firstColumn="1" w:lastColumn="0" w:noHBand="0" w:noVBand="1"/>
      </w:tblPr>
      <w:tblGrid>
        <w:gridCol w:w="4127"/>
        <w:gridCol w:w="1130"/>
        <w:gridCol w:w="849"/>
        <w:gridCol w:w="849"/>
        <w:gridCol w:w="849"/>
        <w:gridCol w:w="1549"/>
      </w:tblGrid>
      <w:tr w:rsidR="008B1D7A" w:rsidRPr="001961B1" w14:paraId="2DC92DAC" w14:textId="77777777" w:rsidTr="00110144">
        <w:trPr>
          <w:cantSplit/>
        </w:trPr>
        <w:tc>
          <w:tcPr>
            <w:tcW w:w="4252" w:type="dxa"/>
            <w:shd w:val="clear" w:color="auto" w:fill="auto"/>
            <w:vAlign w:val="center"/>
            <w:hideMark/>
          </w:tcPr>
          <w:p w14:paraId="3B8827DD" w14:textId="68EAB810" w:rsidR="008B1D7A" w:rsidRPr="001961B1" w:rsidRDefault="008B1D7A" w:rsidP="00110144">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896E47"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992" w:type="dxa"/>
            <w:shd w:val="clear" w:color="auto" w:fill="auto"/>
            <w:vAlign w:val="center"/>
            <w:hideMark/>
          </w:tcPr>
          <w:p w14:paraId="716E2E5C" w14:textId="5F10CCC2" w:rsidR="008B1D7A" w:rsidRPr="001961B1" w:rsidRDefault="00896E47" w:rsidP="00110144">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850" w:type="dxa"/>
            <w:shd w:val="clear" w:color="auto" w:fill="auto"/>
            <w:vAlign w:val="center"/>
            <w:hideMark/>
          </w:tcPr>
          <w:p w14:paraId="2AF580E6" w14:textId="77777777" w:rsidR="008B1D7A" w:rsidRPr="001961B1" w:rsidRDefault="008B1D7A"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850" w:type="dxa"/>
            <w:shd w:val="clear" w:color="auto" w:fill="auto"/>
            <w:vAlign w:val="center"/>
            <w:hideMark/>
          </w:tcPr>
          <w:p w14:paraId="275ECC9A" w14:textId="77777777" w:rsidR="008B1D7A" w:rsidRPr="001961B1" w:rsidRDefault="008B1D7A"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850" w:type="dxa"/>
            <w:shd w:val="clear" w:color="auto" w:fill="auto"/>
            <w:vAlign w:val="center"/>
            <w:hideMark/>
          </w:tcPr>
          <w:p w14:paraId="7ADBE9A3" w14:textId="77777777" w:rsidR="008B1D7A" w:rsidRPr="001961B1" w:rsidRDefault="008B1D7A"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559" w:type="dxa"/>
            <w:shd w:val="clear" w:color="auto" w:fill="auto"/>
            <w:vAlign w:val="center"/>
            <w:hideMark/>
          </w:tcPr>
          <w:p w14:paraId="619F0D2C" w14:textId="2104BD43" w:rsidR="008B1D7A" w:rsidRPr="001961B1" w:rsidRDefault="00896E47"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8B1D7A" w:rsidRPr="001961B1" w14:paraId="087B78CC" w14:textId="77777777" w:rsidTr="00110144">
        <w:trPr>
          <w:cantSplit/>
        </w:trPr>
        <w:tc>
          <w:tcPr>
            <w:tcW w:w="4252" w:type="dxa"/>
            <w:shd w:val="clear" w:color="auto" w:fill="auto"/>
          </w:tcPr>
          <w:p w14:paraId="19E9ED6A" w14:textId="03CEC75A" w:rsidR="008B1D7A" w:rsidRPr="001961B1" w:rsidRDefault="00896E47"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Nombre de Sites Ramsar supprimés du Registre de Montreux </w:t>
            </w:r>
            <w:r w:rsidR="008B1D7A" w:rsidRPr="001961B1">
              <w:rPr>
                <w:rFonts w:asciiTheme="minorHAnsi" w:eastAsia="Aptos" w:hAnsiTheme="minorHAnsi" w:cstheme="minorHAnsi"/>
                <w:sz w:val="22"/>
                <w:szCs w:val="22"/>
                <w:lang w:val="fr-FR"/>
              </w:rPr>
              <w:t>(</w:t>
            </w:r>
            <w:r w:rsidR="008B1D7A" w:rsidRPr="001961B1">
              <w:rPr>
                <w:rFonts w:asciiTheme="minorHAnsi" w:hAnsiTheme="minorHAnsi" w:cstheme="minorHAnsi"/>
                <w:sz w:val="22"/>
                <w:szCs w:val="22"/>
                <w:lang w:val="fr-FR"/>
              </w:rPr>
              <w:t>pr</w:t>
            </w:r>
            <w:r w:rsidRPr="001961B1">
              <w:rPr>
                <w:rFonts w:asciiTheme="minorHAnsi" w:hAnsiTheme="minorHAnsi" w:cstheme="minorHAnsi"/>
                <w:sz w:val="22"/>
                <w:szCs w:val="22"/>
                <w:lang w:val="fr-FR"/>
              </w:rPr>
              <w:t xml:space="preserve">ésenté comme nombre total de </w:t>
            </w:r>
            <w:r w:rsidR="008B1D7A" w:rsidRPr="001961B1">
              <w:rPr>
                <w:rFonts w:asciiTheme="minorHAnsi" w:hAnsiTheme="minorHAnsi" w:cstheme="minorHAnsi"/>
                <w:sz w:val="22"/>
                <w:szCs w:val="22"/>
                <w:lang w:val="fr-FR"/>
              </w:rPr>
              <w:t>Sites</w:t>
            </w:r>
            <w:r w:rsidRPr="001961B1">
              <w:rPr>
                <w:rFonts w:asciiTheme="minorHAnsi" w:hAnsiTheme="minorHAnsi" w:cstheme="minorHAnsi"/>
                <w:sz w:val="22"/>
                <w:szCs w:val="22"/>
                <w:lang w:val="fr-FR"/>
              </w:rPr>
              <w:t xml:space="preserve"> Ramsar inscrits au Registre</w:t>
            </w:r>
            <w:r w:rsidR="008B1D7A" w:rsidRPr="001961B1">
              <w:rPr>
                <w:rFonts w:asciiTheme="minorHAnsi" w:hAnsiTheme="minorHAnsi" w:cstheme="minorHAnsi"/>
                <w:sz w:val="22"/>
                <w:szCs w:val="22"/>
                <w:lang w:val="fr-FR"/>
              </w:rPr>
              <w:t>)</w:t>
            </w:r>
            <w:r w:rsidR="008B1D7A" w:rsidRPr="001961B1">
              <w:rPr>
                <w:rFonts w:asciiTheme="minorHAnsi" w:eastAsia="Aptos" w:hAnsiTheme="minorHAnsi" w:cstheme="minorHAnsi"/>
                <w:sz w:val="22"/>
                <w:szCs w:val="22"/>
                <w:lang w:val="fr-FR"/>
              </w:rPr>
              <w:t>.</w:t>
            </w:r>
          </w:p>
        </w:tc>
        <w:tc>
          <w:tcPr>
            <w:tcW w:w="992" w:type="dxa"/>
            <w:shd w:val="clear" w:color="auto" w:fill="auto"/>
          </w:tcPr>
          <w:p w14:paraId="3E45AB63" w14:textId="77777777" w:rsidR="008B1D7A" w:rsidRPr="001961B1" w:rsidRDefault="008B1D7A" w:rsidP="00110144">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47</w:t>
            </w:r>
          </w:p>
        </w:tc>
        <w:tc>
          <w:tcPr>
            <w:tcW w:w="850" w:type="dxa"/>
            <w:shd w:val="clear" w:color="auto" w:fill="auto"/>
          </w:tcPr>
          <w:p w14:paraId="11CCD16E"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47</w:t>
            </w:r>
          </w:p>
        </w:tc>
        <w:tc>
          <w:tcPr>
            <w:tcW w:w="850" w:type="dxa"/>
            <w:shd w:val="clear" w:color="auto" w:fill="auto"/>
          </w:tcPr>
          <w:p w14:paraId="798B21FA"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p>
        </w:tc>
        <w:tc>
          <w:tcPr>
            <w:tcW w:w="850" w:type="dxa"/>
            <w:shd w:val="clear" w:color="auto" w:fill="auto"/>
          </w:tcPr>
          <w:p w14:paraId="69A37CC9"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p>
        </w:tc>
        <w:tc>
          <w:tcPr>
            <w:tcW w:w="1559" w:type="dxa"/>
            <w:shd w:val="clear" w:color="auto" w:fill="auto"/>
          </w:tcPr>
          <w:p w14:paraId="3FF72CB9" w14:textId="77777777" w:rsidR="008B1D7A" w:rsidRPr="001961B1" w:rsidRDefault="008B1D7A" w:rsidP="00110144">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DEFAF64" wp14:editId="4F286D96">
                  <wp:extent cx="712200" cy="432000"/>
                  <wp:effectExtent l="0" t="0" r="0" b="0"/>
                  <wp:docPr id="1183511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1961B1" w14:paraId="0A07FF3B" w14:textId="77777777" w:rsidTr="00110144">
        <w:trPr>
          <w:cantSplit/>
        </w:trPr>
        <w:tc>
          <w:tcPr>
            <w:tcW w:w="4252" w:type="dxa"/>
            <w:shd w:val="clear" w:color="auto" w:fill="auto"/>
          </w:tcPr>
          <w:p w14:paraId="03D5D772" w14:textId="4EE707D3" w:rsidR="008B1D7A" w:rsidRPr="001961B1" w:rsidRDefault="008B1D7A"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00370" w:rsidRPr="001961B1">
              <w:rPr>
                <w:rFonts w:asciiTheme="minorHAnsi" w:eastAsia="Aptos" w:hAnsiTheme="minorHAnsi" w:cstheme="minorHAnsi"/>
                <w:sz w:val="22"/>
                <w:szCs w:val="22"/>
                <w:lang w:val="fr-FR"/>
              </w:rPr>
              <w:t xml:space="preserve">de Parties ayant signalé au Secrétariat Ramsar tous les cas de changements négatifs induits par l’homme ou de changements possibles des </w:t>
            </w:r>
            <w:r w:rsidR="00F622B7" w:rsidRPr="001961B1">
              <w:rPr>
                <w:rFonts w:asciiTheme="minorHAnsi" w:eastAsia="Aptos" w:hAnsiTheme="minorHAnsi" w:cstheme="minorHAnsi"/>
                <w:sz w:val="22"/>
                <w:szCs w:val="22"/>
                <w:lang w:val="fr-FR"/>
              </w:rPr>
              <w:t>caractéristiques écologiques</w:t>
            </w:r>
            <w:r w:rsidR="00500370" w:rsidRPr="001961B1">
              <w:rPr>
                <w:rFonts w:asciiTheme="minorHAnsi" w:eastAsia="Aptos" w:hAnsiTheme="minorHAnsi" w:cstheme="minorHAnsi"/>
                <w:sz w:val="22"/>
                <w:szCs w:val="22"/>
                <w:lang w:val="fr-FR"/>
              </w:rPr>
              <w:t xml:space="preserve"> de Sites Ramsar conformément à l’article 3.2</w:t>
            </w:r>
            <w:r w:rsidRPr="001961B1">
              <w:rPr>
                <w:rFonts w:asciiTheme="minorHAnsi" w:eastAsia="Aptos" w:hAnsiTheme="minorHAnsi" w:cstheme="minorHAnsi"/>
                <w:sz w:val="22"/>
                <w:szCs w:val="22"/>
                <w:lang w:val="fr-FR"/>
              </w:rPr>
              <w:t>.</w:t>
            </w:r>
          </w:p>
        </w:tc>
        <w:tc>
          <w:tcPr>
            <w:tcW w:w="992" w:type="dxa"/>
            <w:shd w:val="clear" w:color="auto" w:fill="auto"/>
          </w:tcPr>
          <w:p w14:paraId="3DB6DFC5" w14:textId="5F40005D"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21</w:t>
            </w:r>
            <w:r w:rsidR="00E03B0D"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2BB35A9D" w14:textId="355AE07A"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21</w:t>
            </w:r>
            <w:r w:rsidR="00E03B0D"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1AA80EE8" w14:textId="7A628959"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23</w:t>
            </w:r>
            <w:r w:rsidR="00E03B0D"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3C5093E7" w14:textId="313C242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19</w:t>
            </w:r>
            <w:r w:rsidR="00E03B0D"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1559" w:type="dxa"/>
            <w:shd w:val="clear" w:color="auto" w:fill="auto"/>
          </w:tcPr>
          <w:p w14:paraId="7A46D28A" w14:textId="77777777" w:rsidR="008B1D7A" w:rsidRPr="001961B1" w:rsidRDefault="008B1D7A" w:rsidP="00110144">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D0100A9" wp14:editId="6A8C8E1A">
                  <wp:extent cx="715700" cy="432000"/>
                  <wp:effectExtent l="0" t="0" r="0" b="0"/>
                  <wp:docPr id="520580593" name="Picture 3" descr="A red and black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80593" name="Picture 3" descr="A red and black line with circles&#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r w:rsidR="008B1D7A" w:rsidRPr="001961B1" w14:paraId="1532AA48" w14:textId="77777777" w:rsidTr="00110144">
        <w:trPr>
          <w:cantSplit/>
        </w:trPr>
        <w:tc>
          <w:tcPr>
            <w:tcW w:w="4252" w:type="dxa"/>
            <w:shd w:val="clear" w:color="auto" w:fill="auto"/>
          </w:tcPr>
          <w:p w14:paraId="6FD74117" w14:textId="5744649B" w:rsidR="008B1D7A" w:rsidRPr="001961B1" w:rsidRDefault="00702BC2"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Sites Ramsar signalés par les Parties au Secrétariat Ramsar pour des changements négatifs induits par l’homme ou des changements possibles des caractéristiques écologiques, conformément à l’article</w:t>
            </w:r>
            <w:r w:rsidR="00435555" w:rsidRPr="001961B1">
              <w:rPr>
                <w:rFonts w:asciiTheme="minorHAnsi" w:eastAsia="Aptos" w:hAnsiTheme="minorHAnsi" w:cstheme="minorHAnsi"/>
                <w:sz w:val="22"/>
                <w:szCs w:val="22"/>
                <w:lang w:val="fr-FR"/>
              </w:rPr>
              <w:t> </w:t>
            </w:r>
            <w:r w:rsidRPr="001961B1">
              <w:rPr>
                <w:rFonts w:asciiTheme="minorHAnsi" w:eastAsia="Aptos" w:hAnsiTheme="minorHAnsi" w:cstheme="minorHAnsi"/>
                <w:sz w:val="22"/>
                <w:szCs w:val="22"/>
                <w:lang w:val="fr-FR"/>
              </w:rPr>
              <w:t>3.2</w:t>
            </w:r>
            <w:r w:rsidR="008B1D7A" w:rsidRPr="001961B1">
              <w:rPr>
                <w:rFonts w:asciiTheme="minorHAnsi" w:eastAsia="Aptos" w:hAnsiTheme="minorHAnsi" w:cstheme="minorHAnsi"/>
                <w:sz w:val="22"/>
                <w:szCs w:val="22"/>
                <w:lang w:val="fr-FR"/>
              </w:rPr>
              <w:t>.</w:t>
            </w:r>
          </w:p>
        </w:tc>
        <w:tc>
          <w:tcPr>
            <w:tcW w:w="992" w:type="dxa"/>
            <w:shd w:val="clear" w:color="auto" w:fill="auto"/>
          </w:tcPr>
          <w:p w14:paraId="2FE8F436"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144</w:t>
            </w:r>
          </w:p>
        </w:tc>
        <w:tc>
          <w:tcPr>
            <w:tcW w:w="850" w:type="dxa"/>
            <w:shd w:val="clear" w:color="auto" w:fill="auto"/>
          </w:tcPr>
          <w:p w14:paraId="16ED81FA"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168</w:t>
            </w:r>
          </w:p>
        </w:tc>
        <w:tc>
          <w:tcPr>
            <w:tcW w:w="850" w:type="dxa"/>
            <w:shd w:val="clear" w:color="auto" w:fill="auto"/>
          </w:tcPr>
          <w:p w14:paraId="30A01CCD"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151</w:t>
            </w:r>
          </w:p>
        </w:tc>
        <w:tc>
          <w:tcPr>
            <w:tcW w:w="850" w:type="dxa"/>
            <w:shd w:val="clear" w:color="auto" w:fill="auto"/>
          </w:tcPr>
          <w:p w14:paraId="097DBB2B"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177</w:t>
            </w:r>
          </w:p>
        </w:tc>
        <w:tc>
          <w:tcPr>
            <w:tcW w:w="1559" w:type="dxa"/>
            <w:shd w:val="clear" w:color="auto" w:fill="auto"/>
          </w:tcPr>
          <w:p w14:paraId="37821A2B" w14:textId="77777777" w:rsidR="008B1D7A" w:rsidRPr="001961B1" w:rsidRDefault="008B1D7A" w:rsidP="00110144">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9285D67" wp14:editId="4C941A93">
                  <wp:extent cx="712200" cy="432000"/>
                  <wp:effectExtent l="0" t="0" r="0" b="0"/>
                  <wp:docPr id="8828775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1961B1" w14:paraId="50E435C5" w14:textId="77777777" w:rsidTr="00110144">
        <w:trPr>
          <w:cantSplit/>
        </w:trPr>
        <w:tc>
          <w:tcPr>
            <w:tcW w:w="4252" w:type="dxa"/>
            <w:shd w:val="clear" w:color="auto" w:fill="auto"/>
          </w:tcPr>
          <w:p w14:paraId="53BB4AA5" w14:textId="5F772289" w:rsidR="008B1D7A" w:rsidRPr="001961B1" w:rsidRDefault="008B1D7A"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02BC2" w:rsidRPr="001961B1">
              <w:rPr>
                <w:rFonts w:asciiTheme="minorHAnsi" w:eastAsia="Aptos" w:hAnsiTheme="minorHAnsi" w:cstheme="minorHAnsi"/>
                <w:sz w:val="22"/>
                <w:szCs w:val="22"/>
                <w:lang w:val="fr-FR"/>
              </w:rPr>
              <w:t>de Parties ayant pris des mesures pour lutter contre les problèmes ayant motivé l’inscription de Sites Ramsar au Registre de Montreux</w:t>
            </w:r>
            <w:r w:rsidRPr="001961B1">
              <w:rPr>
                <w:rFonts w:asciiTheme="minorHAnsi" w:eastAsia="Aptos" w:hAnsiTheme="minorHAnsi" w:cstheme="minorHAnsi"/>
                <w:sz w:val="22"/>
                <w:szCs w:val="22"/>
                <w:lang w:val="fr-FR"/>
              </w:rPr>
              <w:t>.</w:t>
            </w:r>
          </w:p>
        </w:tc>
        <w:tc>
          <w:tcPr>
            <w:tcW w:w="992" w:type="dxa"/>
            <w:shd w:val="clear" w:color="auto" w:fill="auto"/>
          </w:tcPr>
          <w:p w14:paraId="532B8883" w14:textId="5C5EF950"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w:t>
            </w:r>
            <w:r w:rsidR="00435555"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4820EAFF" w14:textId="428F53D8"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w:t>
            </w:r>
            <w:r w:rsidR="00435555"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31E41792" w14:textId="0F9060E2"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21</w:t>
            </w:r>
            <w:r w:rsidR="00435555"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50" w:type="dxa"/>
            <w:shd w:val="clear" w:color="auto" w:fill="auto"/>
          </w:tcPr>
          <w:p w14:paraId="16691B33" w14:textId="77777777" w:rsidR="008B1D7A" w:rsidRPr="001961B1" w:rsidRDefault="008B1D7A" w:rsidP="00110144">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w:t>
            </w:r>
          </w:p>
        </w:tc>
        <w:tc>
          <w:tcPr>
            <w:tcW w:w="1559" w:type="dxa"/>
            <w:shd w:val="clear" w:color="auto" w:fill="auto"/>
          </w:tcPr>
          <w:p w14:paraId="5945413A" w14:textId="77777777" w:rsidR="008B1D7A" w:rsidRPr="001961B1" w:rsidRDefault="008B1D7A" w:rsidP="00110144">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8CC514B" wp14:editId="01578690">
                  <wp:extent cx="568200" cy="432000"/>
                  <wp:effectExtent l="0" t="0" r="0" b="0"/>
                  <wp:docPr id="4903783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bl>
    <w:p w14:paraId="612C73F0" w14:textId="448A6B87" w:rsidR="008B1D7A" w:rsidRPr="001961B1" w:rsidRDefault="008B1D7A" w:rsidP="00CD3F6B">
      <w:pPr>
        <w:rPr>
          <w:rFonts w:asciiTheme="minorHAnsi" w:hAnsiTheme="minorHAnsi" w:cstheme="minorHAnsi"/>
          <w:sz w:val="22"/>
          <w:szCs w:val="22"/>
        </w:rPr>
      </w:pPr>
    </w:p>
    <w:p w14:paraId="50EE6037" w14:textId="34DE8C58" w:rsidR="00CC35AC" w:rsidRPr="001961B1" w:rsidRDefault="00702BC2"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7F61D5" w:rsidRPr="001961B1">
        <w:rPr>
          <w:rFonts w:asciiTheme="minorHAnsi" w:hAnsiTheme="minorHAnsi" w:cstheme="minorHAnsi"/>
          <w:i/>
          <w:iCs/>
          <w:sz w:val="22"/>
          <w:szCs w:val="22"/>
          <w:u w:val="single"/>
          <w:lang w:val="fr-FR"/>
        </w:rPr>
        <w:t xml:space="preserve"> </w:t>
      </w:r>
    </w:p>
    <w:p w14:paraId="3EA9D639" w14:textId="77777777" w:rsidR="00A24E62" w:rsidRPr="001961B1" w:rsidRDefault="00A24E62" w:rsidP="00D1463B">
      <w:pPr>
        <w:keepNext/>
        <w:rPr>
          <w:rFonts w:asciiTheme="minorHAnsi" w:hAnsiTheme="minorHAnsi" w:cstheme="minorHAnsi"/>
          <w:b/>
          <w:bCs/>
          <w:sz w:val="22"/>
          <w:szCs w:val="22"/>
          <w:lang w:val="fr-FR"/>
        </w:rPr>
      </w:pPr>
    </w:p>
    <w:p w14:paraId="02F94147" w14:textId="31EC9680" w:rsidR="00FA070B"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4</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F76B2E" w:rsidRPr="001961B1">
        <w:rPr>
          <w:rFonts w:asciiTheme="minorHAnsi" w:hAnsiTheme="minorHAnsi" w:cstheme="minorHAnsi"/>
          <w:sz w:val="22"/>
          <w:szCs w:val="22"/>
          <w:lang w:val="fr-FR"/>
        </w:rPr>
        <w:t xml:space="preserve">Toutes les zones humides d’importance internationale font face à au moins une des dix menaces identifiées. Les plus signalées sont la pollution </w:t>
      </w:r>
      <w:r w:rsidR="00FA070B" w:rsidRPr="001961B1">
        <w:rPr>
          <w:rFonts w:asciiTheme="minorHAnsi" w:hAnsiTheme="minorHAnsi" w:cstheme="minorHAnsi"/>
          <w:sz w:val="22"/>
          <w:szCs w:val="22"/>
          <w:lang w:val="fr-FR"/>
        </w:rPr>
        <w:t>(15</w:t>
      </w:r>
      <w:r w:rsidR="00F76B2E" w:rsidRPr="001961B1">
        <w:rPr>
          <w:rFonts w:asciiTheme="minorHAnsi" w:hAnsiTheme="minorHAnsi" w:cstheme="minorHAnsi"/>
          <w:sz w:val="22"/>
          <w:szCs w:val="22"/>
          <w:lang w:val="fr-FR"/>
        </w:rPr>
        <w:t> </w:t>
      </w:r>
      <w:r w:rsidR="00FA070B" w:rsidRPr="001961B1">
        <w:rPr>
          <w:rFonts w:asciiTheme="minorHAnsi" w:hAnsiTheme="minorHAnsi" w:cstheme="minorHAnsi"/>
          <w:sz w:val="22"/>
          <w:szCs w:val="22"/>
          <w:lang w:val="fr-FR"/>
        </w:rPr>
        <w:t xml:space="preserve">%), </w:t>
      </w:r>
      <w:r w:rsidR="00F76B2E" w:rsidRPr="001961B1">
        <w:rPr>
          <w:rFonts w:asciiTheme="minorHAnsi" w:hAnsiTheme="minorHAnsi" w:cstheme="minorHAnsi"/>
          <w:sz w:val="22"/>
          <w:szCs w:val="22"/>
          <w:lang w:val="fr-FR"/>
        </w:rPr>
        <w:t>l’utilisation des ressources biologiques</w:t>
      </w:r>
      <w:r w:rsidR="00FA070B" w:rsidRPr="001961B1">
        <w:rPr>
          <w:rFonts w:asciiTheme="minorHAnsi" w:hAnsiTheme="minorHAnsi" w:cstheme="minorHAnsi"/>
          <w:sz w:val="22"/>
          <w:szCs w:val="22"/>
          <w:lang w:val="fr-FR"/>
        </w:rPr>
        <w:t xml:space="preserve"> (14</w:t>
      </w:r>
      <w:r w:rsidR="00F76B2E" w:rsidRPr="001961B1">
        <w:rPr>
          <w:rFonts w:asciiTheme="minorHAnsi" w:hAnsiTheme="minorHAnsi" w:cstheme="minorHAnsi"/>
          <w:sz w:val="22"/>
          <w:szCs w:val="22"/>
          <w:lang w:val="fr-FR"/>
        </w:rPr>
        <w:t> </w:t>
      </w:r>
      <w:r w:rsidR="00FA070B" w:rsidRPr="001961B1">
        <w:rPr>
          <w:rFonts w:asciiTheme="minorHAnsi" w:hAnsiTheme="minorHAnsi" w:cstheme="minorHAnsi"/>
          <w:sz w:val="22"/>
          <w:szCs w:val="22"/>
          <w:lang w:val="fr-FR"/>
        </w:rPr>
        <w:t xml:space="preserve">%), </w:t>
      </w:r>
      <w:r w:rsidR="00F76B2E" w:rsidRPr="001961B1">
        <w:rPr>
          <w:rFonts w:asciiTheme="minorHAnsi" w:hAnsiTheme="minorHAnsi" w:cstheme="minorHAnsi"/>
          <w:sz w:val="22"/>
          <w:szCs w:val="22"/>
          <w:lang w:val="fr-FR"/>
        </w:rPr>
        <w:t>l’</w:t>
      </w:r>
      <w:r w:rsidR="00FA070B" w:rsidRPr="001961B1">
        <w:rPr>
          <w:rFonts w:asciiTheme="minorHAnsi" w:hAnsiTheme="minorHAnsi" w:cstheme="minorHAnsi"/>
          <w:sz w:val="22"/>
          <w:szCs w:val="22"/>
          <w:lang w:val="fr-FR"/>
        </w:rPr>
        <w:t>agriculture (12</w:t>
      </w:r>
      <w:r w:rsidR="00F76B2E" w:rsidRPr="001961B1">
        <w:rPr>
          <w:rFonts w:asciiTheme="minorHAnsi" w:hAnsiTheme="minorHAnsi" w:cstheme="minorHAnsi"/>
          <w:sz w:val="22"/>
          <w:szCs w:val="22"/>
          <w:lang w:val="fr-FR"/>
        </w:rPr>
        <w:t> </w:t>
      </w:r>
      <w:r w:rsidR="00FA070B" w:rsidRPr="001961B1">
        <w:rPr>
          <w:rFonts w:asciiTheme="minorHAnsi" w:hAnsiTheme="minorHAnsi" w:cstheme="minorHAnsi"/>
          <w:sz w:val="22"/>
          <w:szCs w:val="22"/>
          <w:lang w:val="fr-FR"/>
        </w:rPr>
        <w:t>%)</w:t>
      </w:r>
      <w:r w:rsidR="00F76B2E" w:rsidRPr="001961B1">
        <w:rPr>
          <w:rFonts w:asciiTheme="minorHAnsi" w:hAnsiTheme="minorHAnsi" w:cstheme="minorHAnsi"/>
          <w:sz w:val="22"/>
          <w:szCs w:val="22"/>
          <w:lang w:val="fr-FR"/>
        </w:rPr>
        <w:t xml:space="preserve"> et l’empiètement par des établissements humains </w:t>
      </w:r>
      <w:r w:rsidR="00FA070B" w:rsidRPr="001961B1">
        <w:rPr>
          <w:rFonts w:asciiTheme="minorHAnsi" w:hAnsiTheme="minorHAnsi" w:cstheme="minorHAnsi"/>
          <w:sz w:val="22"/>
          <w:szCs w:val="22"/>
          <w:lang w:val="fr-FR"/>
        </w:rPr>
        <w:t>(10</w:t>
      </w:r>
      <w:r w:rsidR="00F76B2E" w:rsidRPr="001961B1">
        <w:rPr>
          <w:rFonts w:asciiTheme="minorHAnsi" w:hAnsiTheme="minorHAnsi" w:cstheme="minorHAnsi"/>
          <w:sz w:val="22"/>
          <w:szCs w:val="22"/>
          <w:lang w:val="fr-FR"/>
        </w:rPr>
        <w:t> </w:t>
      </w:r>
      <w:r w:rsidR="00FA070B" w:rsidRPr="001961B1">
        <w:rPr>
          <w:rFonts w:asciiTheme="minorHAnsi" w:hAnsiTheme="minorHAnsi" w:cstheme="minorHAnsi"/>
          <w:sz w:val="22"/>
          <w:szCs w:val="22"/>
          <w:lang w:val="fr-FR"/>
        </w:rPr>
        <w:t xml:space="preserve">%). </w:t>
      </w:r>
      <w:r w:rsidR="00F76B2E" w:rsidRPr="001961B1">
        <w:rPr>
          <w:rFonts w:asciiTheme="minorHAnsi" w:hAnsiTheme="minorHAnsi" w:cstheme="minorHAnsi"/>
          <w:sz w:val="22"/>
          <w:szCs w:val="22"/>
          <w:lang w:val="fr-FR"/>
        </w:rPr>
        <w:t xml:space="preserve">Ces menaces entrent fréquemment en interaction de sorte que leurs effets sont cumulatifs. </w:t>
      </w:r>
    </w:p>
    <w:p w14:paraId="1D86E1A3" w14:textId="77777777" w:rsidR="00A446A1" w:rsidRPr="001961B1" w:rsidRDefault="00A446A1" w:rsidP="000E3338">
      <w:pPr>
        <w:pStyle w:val="ListParagraph"/>
        <w:spacing w:after="0" w:line="240" w:lineRule="auto"/>
        <w:ind w:left="567" w:hanging="567"/>
        <w:rPr>
          <w:rFonts w:eastAsia="Times New Roman" w:cstheme="minorHAnsi"/>
          <w:lang w:val="fr-FR" w:eastAsia="en-GB"/>
        </w:rPr>
      </w:pPr>
    </w:p>
    <w:p w14:paraId="293A8500" w14:textId="1289C46A" w:rsidR="00D369B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eastAsia="fr-FR"/>
        </w:rPr>
        <w:t>Au moment de</w:t>
      </w:r>
      <w:r w:rsidR="00F76B2E" w:rsidRPr="001961B1">
        <w:rPr>
          <w:rFonts w:asciiTheme="minorHAnsi" w:hAnsiTheme="minorHAnsi" w:cstheme="minorHAnsi"/>
          <w:sz w:val="22"/>
          <w:szCs w:val="22"/>
          <w:lang w:val="fr-FR"/>
        </w:rPr>
        <w:t xml:space="preserve"> la </w:t>
      </w:r>
      <w:r w:rsidR="00A446A1" w:rsidRPr="001961B1">
        <w:rPr>
          <w:rFonts w:asciiTheme="minorHAnsi" w:hAnsiTheme="minorHAnsi" w:cstheme="minorHAnsi"/>
          <w:sz w:val="22"/>
          <w:szCs w:val="22"/>
          <w:lang w:val="fr-FR"/>
        </w:rPr>
        <w:t>COP15, 79</w:t>
      </w:r>
      <w:r w:rsidR="00F76B2E" w:rsidRPr="001961B1">
        <w:rPr>
          <w:rFonts w:asciiTheme="minorHAnsi" w:hAnsiTheme="minorHAnsi" w:cstheme="minorHAnsi"/>
          <w:sz w:val="22"/>
          <w:szCs w:val="22"/>
          <w:lang w:val="fr-FR"/>
        </w:rPr>
        <w:t> </w:t>
      </w:r>
      <w:r w:rsidR="00A446A1" w:rsidRPr="001961B1">
        <w:rPr>
          <w:rFonts w:asciiTheme="minorHAnsi" w:hAnsiTheme="minorHAnsi" w:cstheme="minorHAnsi"/>
          <w:sz w:val="22"/>
          <w:szCs w:val="22"/>
          <w:lang w:val="fr-FR"/>
        </w:rPr>
        <w:t xml:space="preserve">% </w:t>
      </w:r>
      <w:r w:rsidR="00F76B2E" w:rsidRPr="001961B1">
        <w:rPr>
          <w:rFonts w:asciiTheme="minorHAnsi" w:hAnsiTheme="minorHAnsi" w:cstheme="minorHAnsi"/>
          <w:sz w:val="22"/>
          <w:szCs w:val="22"/>
          <w:lang w:val="fr-FR"/>
        </w:rPr>
        <w:t xml:space="preserve">des Parties contractantes </w:t>
      </w:r>
      <w:r w:rsidR="00B207BD" w:rsidRPr="001961B1">
        <w:rPr>
          <w:rFonts w:asciiTheme="minorHAnsi" w:hAnsiTheme="minorHAnsi" w:cstheme="minorHAnsi"/>
          <w:sz w:val="22"/>
          <w:szCs w:val="22"/>
          <w:lang w:val="fr-FR"/>
        </w:rPr>
        <w:t>déclarent</w:t>
      </w:r>
      <w:r w:rsidR="00F76B2E" w:rsidRPr="001961B1">
        <w:rPr>
          <w:rFonts w:asciiTheme="minorHAnsi" w:hAnsiTheme="minorHAnsi" w:cstheme="minorHAnsi"/>
          <w:sz w:val="22"/>
          <w:szCs w:val="22"/>
          <w:lang w:val="fr-FR"/>
        </w:rPr>
        <w:t xml:space="preserve"> avoir des mécanismes permettant à leurs Autorités administratives d’être informées de changements ou de changements possibles négatifs et d’origine anthropique dans les caractéristiques écologiques des zones humides d’importance internationale. C’est une augmentation modeste par rapport à la référence. En Europe, plus de 90 % des Parties disposent de mécanismes de ce genre en vigueur, dans les autres régions entre 70 % et 80 %.</w:t>
      </w:r>
    </w:p>
    <w:p w14:paraId="2F49FE4F" w14:textId="18849613" w:rsidR="00FA070B" w:rsidRPr="001961B1" w:rsidRDefault="00FA070B" w:rsidP="000E3338">
      <w:pPr>
        <w:pStyle w:val="ListParagraph"/>
        <w:spacing w:after="0" w:line="240" w:lineRule="auto"/>
        <w:ind w:left="567" w:hanging="567"/>
        <w:rPr>
          <w:rFonts w:cstheme="minorHAnsi"/>
          <w:lang w:val="fr-FR"/>
        </w:rPr>
      </w:pPr>
    </w:p>
    <w:p w14:paraId="7CED0119" w14:textId="4BF3B300" w:rsidR="002943D2"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lastRenderedPageBreak/>
        <w:t>4</w:t>
      </w:r>
      <w:r w:rsidR="002E1E29"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B22FE8" w:rsidRPr="001961B1">
        <w:rPr>
          <w:rFonts w:asciiTheme="minorHAnsi" w:hAnsiTheme="minorHAnsi" w:cstheme="minorHAnsi"/>
          <w:sz w:val="22"/>
          <w:szCs w:val="22"/>
          <w:lang w:val="fr-FR"/>
        </w:rPr>
        <w:t>D</w:t>
      </w:r>
      <w:r w:rsidR="004E0614" w:rsidRPr="001961B1">
        <w:rPr>
          <w:rFonts w:asciiTheme="minorHAnsi" w:hAnsiTheme="minorHAnsi" w:cstheme="minorHAnsi"/>
          <w:sz w:val="22"/>
          <w:szCs w:val="22"/>
          <w:lang w:val="fr-FR"/>
        </w:rPr>
        <w:t xml:space="preserve">es dossiers « article 3.2 » ont été fermés </w:t>
      </w:r>
      <w:r w:rsidR="00B207BD" w:rsidRPr="001961B1">
        <w:rPr>
          <w:rFonts w:asciiTheme="minorHAnsi" w:hAnsiTheme="minorHAnsi" w:cstheme="minorHAnsi"/>
          <w:sz w:val="22"/>
          <w:szCs w:val="22"/>
          <w:lang w:val="fr-FR"/>
        </w:rPr>
        <w:t xml:space="preserve">pour 71 sites </w:t>
      </w:r>
      <w:r w:rsidR="004E0614" w:rsidRPr="001961B1">
        <w:rPr>
          <w:rFonts w:asciiTheme="minorHAnsi" w:hAnsiTheme="minorHAnsi" w:cstheme="minorHAnsi"/>
          <w:sz w:val="22"/>
          <w:szCs w:val="22"/>
          <w:lang w:val="fr-FR"/>
        </w:rPr>
        <w:t>durant les trois périodes triennales passées. À la COP15, il y a 177 dossiers « article 3.2 » ouverts, une augmentation par rapport aux 151 ouverts à la COP14. Quatre-vingt-huit (88) d’entre eux n’ont pas été mis à jour depuis 2019 et 35 autres n’ont pas été mis à jour depuis 2023</w:t>
      </w:r>
      <w:r w:rsidR="003325CD" w:rsidRPr="001961B1">
        <w:rPr>
          <w:rStyle w:val="FootnoteReference"/>
          <w:rFonts w:asciiTheme="minorHAnsi" w:hAnsiTheme="minorHAnsi" w:cstheme="minorHAnsi"/>
          <w:sz w:val="22"/>
          <w:szCs w:val="22"/>
          <w:lang w:val="fr-FR"/>
        </w:rPr>
        <w:footnoteReference w:id="7"/>
      </w:r>
      <w:r w:rsidR="004E0614" w:rsidRPr="001961B1">
        <w:rPr>
          <w:rFonts w:asciiTheme="minorHAnsi" w:hAnsiTheme="minorHAnsi" w:cstheme="minorHAnsi"/>
          <w:sz w:val="22"/>
          <w:szCs w:val="22"/>
          <w:lang w:val="fr-FR"/>
        </w:rPr>
        <w:t>.</w:t>
      </w:r>
      <w:r w:rsidR="003C633B" w:rsidRPr="001961B1">
        <w:rPr>
          <w:rFonts w:asciiTheme="minorHAnsi" w:hAnsiTheme="minorHAnsi" w:cstheme="minorHAnsi"/>
          <w:sz w:val="22"/>
          <w:szCs w:val="22"/>
          <w:lang w:val="fr-FR"/>
        </w:rPr>
        <w:t xml:space="preserve"> </w:t>
      </w:r>
    </w:p>
    <w:p w14:paraId="122E01A3" w14:textId="77777777" w:rsidR="0064784D" w:rsidRPr="001961B1" w:rsidRDefault="0064784D" w:rsidP="000E3338">
      <w:pPr>
        <w:pStyle w:val="ListParagraph"/>
        <w:spacing w:after="0" w:line="240" w:lineRule="auto"/>
        <w:ind w:left="567" w:hanging="567"/>
        <w:rPr>
          <w:rFonts w:cstheme="minorHAnsi"/>
          <w:lang w:val="fr-FR"/>
        </w:rPr>
      </w:pPr>
    </w:p>
    <w:p w14:paraId="073685F8" w14:textId="61D7B517" w:rsidR="00641F4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85769A" w:rsidRPr="001961B1">
        <w:rPr>
          <w:rFonts w:asciiTheme="minorHAnsi" w:hAnsiTheme="minorHAnsi" w:cstheme="minorHAnsi"/>
          <w:sz w:val="22"/>
          <w:szCs w:val="22"/>
          <w:lang w:val="fr-FR"/>
        </w:rPr>
        <w:t xml:space="preserve">Le nombre de rapports de tiers sur les changements dans les caractéristiques écologiques des zones humides d’importance internationale reçus durant chaque période triennale a varié entre 56 et 74, et il y a eu une légère augmentation </w:t>
      </w:r>
      <w:r w:rsidR="00B207BD" w:rsidRPr="001961B1">
        <w:rPr>
          <w:rFonts w:asciiTheme="minorHAnsi" w:hAnsiTheme="minorHAnsi" w:cstheme="minorHAnsi"/>
          <w:sz w:val="22"/>
          <w:szCs w:val="22"/>
          <w:lang w:val="fr-FR"/>
        </w:rPr>
        <w:t>du nombre de confirmations de rapports de tiers par</w:t>
      </w:r>
      <w:r w:rsidR="0085769A" w:rsidRPr="001961B1">
        <w:rPr>
          <w:rFonts w:asciiTheme="minorHAnsi" w:hAnsiTheme="minorHAnsi" w:cstheme="minorHAnsi"/>
          <w:sz w:val="22"/>
          <w:szCs w:val="22"/>
          <w:lang w:val="fr-FR"/>
        </w:rPr>
        <w:t xml:space="preserve"> les Parties contractantes.</w:t>
      </w:r>
      <w:r w:rsidR="006579BA" w:rsidRPr="001961B1">
        <w:rPr>
          <w:rFonts w:asciiTheme="minorHAnsi" w:hAnsiTheme="minorHAnsi" w:cstheme="minorHAnsi"/>
          <w:sz w:val="22"/>
          <w:szCs w:val="22"/>
          <w:lang w:val="fr-FR"/>
        </w:rPr>
        <w:t xml:space="preserve"> </w:t>
      </w:r>
    </w:p>
    <w:p w14:paraId="4D7758DA" w14:textId="77777777" w:rsidR="00C37594" w:rsidRPr="001961B1" w:rsidRDefault="00C37594" w:rsidP="000E3338">
      <w:pPr>
        <w:pStyle w:val="ListParagraph"/>
        <w:spacing w:after="0" w:line="240" w:lineRule="auto"/>
        <w:ind w:left="567" w:hanging="567"/>
        <w:rPr>
          <w:rFonts w:eastAsia="Times New Roman" w:cstheme="minorHAnsi"/>
          <w:lang w:val="fr-FR" w:eastAsia="en-GB"/>
        </w:rPr>
      </w:pPr>
    </w:p>
    <w:p w14:paraId="091D8CF8" w14:textId="262C74D3" w:rsidR="00247638"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w:t>
      </w:r>
      <w:r w:rsidR="002E1E29" w:rsidRPr="001961B1">
        <w:rPr>
          <w:rFonts w:asciiTheme="minorHAnsi" w:hAnsiTheme="minorHAnsi" w:cstheme="minorHAnsi"/>
          <w:sz w:val="22"/>
          <w:szCs w:val="22"/>
          <w:lang w:val="fr-FR"/>
        </w:rPr>
        <w:t>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85769A" w:rsidRPr="001961B1">
        <w:rPr>
          <w:rFonts w:asciiTheme="minorHAnsi" w:hAnsiTheme="minorHAnsi" w:cstheme="minorHAnsi"/>
          <w:sz w:val="22"/>
          <w:szCs w:val="22"/>
          <w:lang w:val="fr-FR"/>
        </w:rPr>
        <w:t>D</w:t>
      </w:r>
      <w:r w:rsidR="00B207BD" w:rsidRPr="001961B1">
        <w:rPr>
          <w:rFonts w:asciiTheme="minorHAnsi" w:hAnsiTheme="minorHAnsi" w:cstheme="minorHAnsi"/>
          <w:sz w:val="22"/>
          <w:szCs w:val="22"/>
          <w:lang w:val="fr-FR"/>
        </w:rPr>
        <w:t>ans</w:t>
      </w:r>
      <w:r w:rsidR="0085769A" w:rsidRPr="001961B1">
        <w:rPr>
          <w:rFonts w:asciiTheme="minorHAnsi" w:hAnsiTheme="minorHAnsi" w:cstheme="minorHAnsi"/>
          <w:sz w:val="22"/>
          <w:szCs w:val="22"/>
          <w:lang w:val="fr-FR"/>
        </w:rPr>
        <w:t xml:space="preserve"> les trois périodes triennales passées, une seule zone humide d’importance internationale a été retirée du Registre de Montreux </w:t>
      </w:r>
      <w:r w:rsidR="00B207BD" w:rsidRPr="001961B1">
        <w:rPr>
          <w:rFonts w:asciiTheme="minorHAnsi" w:hAnsiTheme="minorHAnsi" w:cstheme="minorHAnsi"/>
          <w:sz w:val="22"/>
          <w:szCs w:val="22"/>
          <w:lang w:val="fr-FR"/>
        </w:rPr>
        <w:t xml:space="preserve">auquel 46 sites sont </w:t>
      </w:r>
      <w:r w:rsidR="0085769A" w:rsidRPr="001961B1">
        <w:rPr>
          <w:rFonts w:asciiTheme="minorHAnsi" w:hAnsiTheme="minorHAnsi" w:cstheme="minorHAnsi"/>
          <w:sz w:val="22"/>
          <w:szCs w:val="22"/>
          <w:lang w:val="fr-FR"/>
        </w:rPr>
        <w:t>maintenant</w:t>
      </w:r>
      <w:r w:rsidR="00B207BD" w:rsidRPr="001961B1">
        <w:rPr>
          <w:rFonts w:asciiTheme="minorHAnsi" w:hAnsiTheme="minorHAnsi" w:cstheme="minorHAnsi"/>
          <w:sz w:val="22"/>
          <w:szCs w:val="22"/>
          <w:lang w:val="fr-FR"/>
        </w:rPr>
        <w:t xml:space="preserve"> inscrits</w:t>
      </w:r>
      <w:r w:rsidR="0085769A" w:rsidRPr="001961B1">
        <w:rPr>
          <w:rFonts w:asciiTheme="minorHAnsi" w:hAnsiTheme="minorHAnsi" w:cstheme="minorHAnsi"/>
          <w:sz w:val="22"/>
          <w:szCs w:val="22"/>
          <w:lang w:val="fr-FR"/>
        </w:rPr>
        <w:t xml:space="preserve">. Peu de Parties contractantes </w:t>
      </w:r>
      <w:r w:rsidR="00B207BD" w:rsidRPr="001961B1">
        <w:rPr>
          <w:rFonts w:asciiTheme="minorHAnsi" w:hAnsiTheme="minorHAnsi" w:cstheme="minorHAnsi"/>
          <w:sz w:val="22"/>
          <w:szCs w:val="22"/>
          <w:lang w:val="fr-FR"/>
        </w:rPr>
        <w:t>déclarent</w:t>
      </w:r>
      <w:r w:rsidR="0085769A" w:rsidRPr="001961B1">
        <w:rPr>
          <w:rFonts w:asciiTheme="minorHAnsi" w:hAnsiTheme="minorHAnsi" w:cstheme="minorHAnsi"/>
          <w:sz w:val="22"/>
          <w:szCs w:val="22"/>
          <w:lang w:val="fr-FR"/>
        </w:rPr>
        <w:t xml:space="preserve"> avoir pris des mesures pour résoudre les problèmes </w:t>
      </w:r>
      <w:r w:rsidR="00B207BD" w:rsidRPr="001961B1">
        <w:rPr>
          <w:rFonts w:asciiTheme="minorHAnsi" w:hAnsiTheme="minorHAnsi" w:cstheme="minorHAnsi"/>
          <w:sz w:val="22"/>
          <w:szCs w:val="22"/>
          <w:lang w:val="fr-FR"/>
        </w:rPr>
        <w:t>ayant justifié l’inscription de ces sites</w:t>
      </w:r>
      <w:r w:rsidR="0085769A" w:rsidRPr="001961B1">
        <w:rPr>
          <w:rFonts w:asciiTheme="minorHAnsi" w:hAnsiTheme="minorHAnsi" w:cstheme="minorHAnsi"/>
          <w:sz w:val="22"/>
          <w:szCs w:val="22"/>
          <w:lang w:val="fr-FR"/>
        </w:rPr>
        <w:t xml:space="preserve"> au Registre.</w:t>
      </w:r>
      <w:r w:rsidR="00973100" w:rsidRPr="001961B1">
        <w:rPr>
          <w:rFonts w:asciiTheme="minorHAnsi" w:hAnsiTheme="minorHAnsi" w:cstheme="minorHAnsi"/>
          <w:sz w:val="22"/>
          <w:szCs w:val="22"/>
          <w:lang w:val="fr-FR"/>
        </w:rPr>
        <w:t xml:space="preserve"> </w:t>
      </w:r>
    </w:p>
    <w:p w14:paraId="76F6062C" w14:textId="77777777" w:rsidR="00A24E62" w:rsidRPr="001961B1" w:rsidRDefault="00A24E62" w:rsidP="00A338FF">
      <w:pPr>
        <w:rPr>
          <w:rFonts w:asciiTheme="minorHAnsi" w:hAnsiTheme="minorHAnsi" w:cstheme="minorHAnsi"/>
          <w:sz w:val="22"/>
          <w:szCs w:val="22"/>
          <w:lang w:val="fr-FR"/>
        </w:rPr>
      </w:pPr>
    </w:p>
    <w:p w14:paraId="1DE63E81" w14:textId="77777777" w:rsidR="00461A6A" w:rsidRPr="001961B1" w:rsidRDefault="00461A6A" w:rsidP="00A338FF">
      <w:pPr>
        <w:rPr>
          <w:rFonts w:asciiTheme="minorHAnsi" w:hAnsiTheme="minorHAnsi" w:cstheme="minorHAnsi"/>
          <w:sz w:val="22"/>
          <w:szCs w:val="22"/>
          <w:lang w:val="fr-FR"/>
        </w:rPr>
      </w:pPr>
    </w:p>
    <w:p w14:paraId="03CE4D13" w14:textId="7A209D80" w:rsidR="002A6998" w:rsidRPr="001961B1" w:rsidRDefault="004F4626" w:rsidP="00D1463B">
      <w:pPr>
        <w:keepNext/>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But</w:t>
      </w:r>
      <w:r w:rsidR="002A6998" w:rsidRPr="001961B1">
        <w:rPr>
          <w:rFonts w:asciiTheme="minorHAnsi" w:hAnsiTheme="minorHAnsi" w:cstheme="minorHAnsi"/>
          <w:b/>
          <w:sz w:val="22"/>
          <w:szCs w:val="22"/>
          <w:lang w:val="fr-FR" w:eastAsia="fr-FR"/>
        </w:rPr>
        <w:t xml:space="preserve"> 3</w:t>
      </w:r>
      <w:r w:rsidRPr="001961B1">
        <w:rPr>
          <w:rFonts w:asciiTheme="minorHAnsi" w:hAnsiTheme="minorHAnsi" w:cstheme="minorHAnsi"/>
          <w:b/>
          <w:sz w:val="22"/>
          <w:szCs w:val="22"/>
          <w:lang w:val="fr-FR" w:eastAsia="fr-FR"/>
        </w:rPr>
        <w:t> </w:t>
      </w:r>
      <w:r w:rsidR="002A6998"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Utiliser toutes les zones humides de façon rationnelle</w:t>
      </w:r>
    </w:p>
    <w:p w14:paraId="1D44224F" w14:textId="77777777" w:rsidR="00AF4F64" w:rsidRPr="001961B1" w:rsidRDefault="00AF4F64" w:rsidP="00D1463B">
      <w:pPr>
        <w:keepNext/>
        <w:rPr>
          <w:rFonts w:asciiTheme="minorHAnsi" w:hAnsiTheme="minorHAnsi" w:cstheme="minorHAnsi"/>
          <w:sz w:val="22"/>
          <w:szCs w:val="22"/>
          <w:u w:val="single"/>
          <w:lang w:val="fr-FR" w:eastAsia="fr-FR"/>
        </w:rPr>
      </w:pPr>
    </w:p>
    <w:tbl>
      <w:tblPr>
        <w:tblStyle w:val="TableGrid16"/>
        <w:tblW w:w="9354" w:type="dxa"/>
        <w:tblLook w:val="04A0" w:firstRow="1" w:lastRow="0" w:firstColumn="1" w:lastColumn="0" w:noHBand="0" w:noVBand="1"/>
      </w:tblPr>
      <w:tblGrid>
        <w:gridCol w:w="9354"/>
      </w:tblGrid>
      <w:tr w:rsidR="002F4351" w:rsidRPr="001961B1" w14:paraId="4A353156" w14:textId="77777777" w:rsidTr="003E56FD">
        <w:tc>
          <w:tcPr>
            <w:tcW w:w="9354" w:type="dxa"/>
            <w:vAlign w:val="center"/>
          </w:tcPr>
          <w:p w14:paraId="1E8BE9BC" w14:textId="0341F904" w:rsidR="002F4351" w:rsidRPr="001961B1" w:rsidRDefault="004F4626"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2F4351" w:rsidRPr="001961B1">
              <w:rPr>
                <w:rFonts w:asciiTheme="minorHAnsi" w:hAnsiTheme="minorHAnsi" w:cstheme="minorHAnsi"/>
                <w:b/>
                <w:sz w:val="22"/>
                <w:szCs w:val="22"/>
                <w:lang w:val="fr-FR" w:eastAsia="fr-FR"/>
              </w:rPr>
              <w:t xml:space="preserve"> 8. </w:t>
            </w:r>
            <w:r w:rsidRPr="001961B1">
              <w:rPr>
                <w:rFonts w:asciiTheme="minorHAnsi" w:hAnsiTheme="minorHAnsi" w:cstheme="minorHAnsi"/>
                <w:b/>
                <w:sz w:val="22"/>
                <w:szCs w:val="22"/>
                <w:lang w:val="fr-FR" w:eastAsia="fr-FR"/>
              </w:rPr>
              <w:t>Les inventaires nationaux des zones humides sont commencés, terminés ou mis à jour et diffusés et utilisés pour promouvoir la conservation et la gestion efficace de toutes les zones humides</w:t>
            </w:r>
            <w:r w:rsidR="00EF0B69" w:rsidRPr="001961B1">
              <w:rPr>
                <w:rFonts w:asciiTheme="minorHAnsi" w:hAnsiTheme="minorHAnsi" w:cstheme="minorHAnsi"/>
                <w:b/>
                <w:sz w:val="22"/>
                <w:szCs w:val="22"/>
                <w:lang w:val="fr-FR" w:eastAsia="fr-FR"/>
              </w:rPr>
              <w:t>.</w:t>
            </w:r>
          </w:p>
          <w:p w14:paraId="0158E426" w14:textId="52951306" w:rsidR="002F4351" w:rsidRPr="001961B1" w:rsidRDefault="00AB605D"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Contributi</w:t>
            </w:r>
            <w:r w:rsidR="004F4626" w:rsidRPr="001961B1">
              <w:rPr>
                <w:rFonts w:asciiTheme="minorHAnsi" w:hAnsiTheme="minorHAnsi" w:cstheme="minorHAnsi"/>
                <w:bCs/>
                <w:sz w:val="22"/>
                <w:szCs w:val="22"/>
                <w:lang w:val="fr-FR" w:eastAsia="fr-FR"/>
              </w:rPr>
              <w:t>on aux cibles</w:t>
            </w:r>
            <w:r w:rsidR="002F4351" w:rsidRPr="001961B1">
              <w:rPr>
                <w:rFonts w:asciiTheme="minorHAnsi" w:hAnsiTheme="minorHAnsi" w:cstheme="minorHAnsi"/>
                <w:bCs/>
                <w:sz w:val="22"/>
                <w:szCs w:val="22"/>
                <w:lang w:val="fr-FR" w:eastAsia="fr-FR"/>
              </w:rPr>
              <w:t xml:space="preserve"> </w:t>
            </w:r>
            <w:r w:rsidR="00D647F7" w:rsidRPr="001961B1">
              <w:rPr>
                <w:rFonts w:asciiTheme="minorHAnsi" w:hAnsiTheme="minorHAnsi" w:cstheme="minorHAnsi"/>
                <w:bCs/>
                <w:sz w:val="22"/>
                <w:szCs w:val="22"/>
                <w:lang w:val="fr-FR" w:eastAsia="fr-FR"/>
              </w:rPr>
              <w:t xml:space="preserve">1, 2, 3, 4, 6 </w:t>
            </w:r>
            <w:r w:rsidR="004F4626" w:rsidRPr="001961B1">
              <w:rPr>
                <w:rFonts w:asciiTheme="minorHAnsi" w:hAnsiTheme="minorHAnsi" w:cstheme="minorHAnsi"/>
                <w:bCs/>
                <w:sz w:val="22"/>
                <w:szCs w:val="22"/>
                <w:lang w:val="fr-FR" w:eastAsia="fr-FR"/>
              </w:rPr>
              <w:t>et</w:t>
            </w:r>
            <w:r w:rsidR="002F4351" w:rsidRPr="001961B1">
              <w:rPr>
                <w:rFonts w:asciiTheme="minorHAnsi" w:hAnsiTheme="minorHAnsi" w:cstheme="minorHAnsi"/>
                <w:bCs/>
                <w:sz w:val="22"/>
                <w:szCs w:val="22"/>
                <w:lang w:val="fr-FR" w:eastAsia="fr-FR"/>
              </w:rPr>
              <w:t xml:space="preserve"> 21</w:t>
            </w:r>
            <w:r w:rsidR="00F622B7" w:rsidRPr="001961B1">
              <w:rPr>
                <w:rFonts w:asciiTheme="minorHAnsi" w:hAnsiTheme="minorHAnsi" w:cstheme="minorHAnsi"/>
                <w:bCs/>
                <w:sz w:val="22"/>
                <w:szCs w:val="22"/>
                <w:lang w:val="fr-FR" w:eastAsia="fr-FR"/>
              </w:rPr>
              <w:t xml:space="preserve"> du CMB-KM et aux cibles</w:t>
            </w:r>
            <w:r w:rsidR="00D85F43" w:rsidRPr="001961B1">
              <w:rPr>
                <w:rFonts w:asciiTheme="minorHAnsi" w:hAnsiTheme="minorHAnsi" w:cstheme="minorHAnsi"/>
                <w:bCs/>
                <w:sz w:val="22"/>
                <w:szCs w:val="22"/>
                <w:lang w:val="fr-FR" w:eastAsia="fr-FR"/>
              </w:rPr>
              <w:t xml:space="preserve"> </w:t>
            </w:r>
            <w:r w:rsidR="00A45E1C" w:rsidRPr="001961B1">
              <w:rPr>
                <w:rFonts w:asciiTheme="minorHAnsi" w:hAnsiTheme="minorHAnsi" w:cstheme="minorHAnsi"/>
                <w:bCs/>
                <w:sz w:val="22"/>
                <w:szCs w:val="22"/>
                <w:lang w:val="fr-FR" w:eastAsia="fr-FR"/>
              </w:rPr>
              <w:t>6.6</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11.4</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14.5</w:t>
            </w:r>
            <w:r w:rsidR="00D647F7" w:rsidRPr="001961B1">
              <w:rPr>
                <w:rFonts w:asciiTheme="minorHAnsi" w:hAnsiTheme="minorHAnsi" w:cstheme="minorHAnsi"/>
                <w:bCs/>
                <w:sz w:val="22"/>
                <w:szCs w:val="22"/>
                <w:lang w:val="fr-FR" w:eastAsia="fr-FR"/>
              </w:rPr>
              <w:t xml:space="preserve"> </w:t>
            </w:r>
            <w:r w:rsidR="00F622B7" w:rsidRPr="001961B1">
              <w:rPr>
                <w:rFonts w:asciiTheme="minorHAnsi" w:hAnsiTheme="minorHAnsi" w:cstheme="minorHAnsi"/>
                <w:bCs/>
                <w:sz w:val="22"/>
                <w:szCs w:val="22"/>
                <w:lang w:val="fr-FR" w:eastAsia="fr-FR"/>
              </w:rPr>
              <w:t>et</w:t>
            </w:r>
            <w:r w:rsidR="00A45E1C" w:rsidRPr="001961B1">
              <w:rPr>
                <w:rFonts w:asciiTheme="minorHAnsi" w:hAnsiTheme="minorHAnsi" w:cstheme="minorHAnsi"/>
                <w:bCs/>
                <w:sz w:val="22"/>
                <w:szCs w:val="22"/>
                <w:lang w:val="fr-FR" w:eastAsia="fr-FR"/>
              </w:rPr>
              <w:t xml:space="preserve"> 15.1</w:t>
            </w:r>
            <w:r w:rsidR="00F622B7" w:rsidRPr="001961B1">
              <w:rPr>
                <w:rFonts w:asciiTheme="minorHAnsi" w:hAnsiTheme="minorHAnsi" w:cstheme="minorHAnsi"/>
                <w:bCs/>
                <w:sz w:val="22"/>
                <w:szCs w:val="22"/>
                <w:lang w:val="fr-FR" w:eastAsia="fr-FR"/>
              </w:rPr>
              <w:t xml:space="preserve"> des ODD</w:t>
            </w:r>
            <w:r w:rsidR="00D647F7" w:rsidRPr="001961B1">
              <w:rPr>
                <w:rFonts w:asciiTheme="minorHAnsi" w:hAnsiTheme="minorHAnsi" w:cstheme="minorHAnsi"/>
                <w:bCs/>
                <w:sz w:val="22"/>
                <w:szCs w:val="22"/>
                <w:lang w:val="fr-FR" w:eastAsia="fr-FR"/>
              </w:rPr>
              <w:t>.</w:t>
            </w:r>
          </w:p>
        </w:tc>
      </w:tr>
    </w:tbl>
    <w:p w14:paraId="77212BF1" w14:textId="77777777" w:rsidR="00AE5163" w:rsidRPr="001961B1" w:rsidRDefault="00AE5163" w:rsidP="00D1463B">
      <w:pPr>
        <w:keepNext/>
        <w:rPr>
          <w:rFonts w:asciiTheme="minorHAnsi" w:hAnsiTheme="minorHAnsi" w:cstheme="minorHAnsi"/>
          <w:b/>
          <w:bCs/>
          <w:sz w:val="22"/>
          <w:szCs w:val="22"/>
          <w:lang w:val="fr-FR"/>
        </w:rPr>
      </w:pPr>
    </w:p>
    <w:p w14:paraId="4D015C14" w14:textId="27D7B92E" w:rsidR="004504BD" w:rsidRPr="001961B1" w:rsidRDefault="00675BAC"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4504BD" w:rsidRPr="001961B1">
        <w:rPr>
          <w:rFonts w:asciiTheme="minorHAnsi" w:hAnsiTheme="minorHAnsi" w:cstheme="minorHAnsi"/>
          <w:i/>
          <w:iCs/>
          <w:sz w:val="22"/>
          <w:szCs w:val="22"/>
          <w:u w:val="single"/>
          <w:lang w:val="fr-FR"/>
        </w:rPr>
        <w:t xml:space="preserve"> </w:t>
      </w:r>
    </w:p>
    <w:p w14:paraId="1B0A7A60" w14:textId="77777777" w:rsidR="00F207B9" w:rsidRPr="001961B1" w:rsidRDefault="00F207B9" w:rsidP="00D1463B">
      <w:pPr>
        <w:keepNext/>
        <w:rPr>
          <w:rFonts w:asciiTheme="minorHAnsi" w:hAnsiTheme="minorHAnsi" w:cstheme="minorHAnsi"/>
          <w:sz w:val="22"/>
          <w:szCs w:val="22"/>
          <w:lang w:val="fr-FR"/>
        </w:rPr>
      </w:pPr>
    </w:p>
    <w:p w14:paraId="5E7A2148" w14:textId="0B569237" w:rsidR="00ED731D" w:rsidRPr="001961B1" w:rsidRDefault="002E1E29"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49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C74300" w:rsidRPr="001961B1">
        <w:rPr>
          <w:rFonts w:asciiTheme="minorHAnsi" w:hAnsiTheme="minorHAnsi" w:cstheme="minorHAnsi"/>
          <w:sz w:val="22"/>
          <w:szCs w:val="22"/>
          <w:lang w:val="fr-FR"/>
        </w:rPr>
        <w:t>Les</w:t>
      </w:r>
      <w:r w:rsidR="00253E07" w:rsidRPr="001961B1">
        <w:rPr>
          <w:rFonts w:asciiTheme="minorHAnsi" w:hAnsiTheme="minorHAnsi" w:cstheme="minorHAnsi"/>
          <w:sz w:val="22"/>
          <w:szCs w:val="22"/>
          <w:lang w:val="fr-FR"/>
        </w:rPr>
        <w:t xml:space="preserve"> Parties contractantes </w:t>
      </w:r>
      <w:r w:rsidR="00C74300" w:rsidRPr="001961B1">
        <w:rPr>
          <w:rFonts w:asciiTheme="minorHAnsi" w:hAnsiTheme="minorHAnsi" w:cstheme="minorHAnsi"/>
          <w:sz w:val="22"/>
          <w:szCs w:val="22"/>
          <w:lang w:val="fr-FR"/>
        </w:rPr>
        <w:t xml:space="preserve">sont de plus en plus nombreuses à </w:t>
      </w:r>
      <w:r w:rsidR="00253E07" w:rsidRPr="001961B1">
        <w:rPr>
          <w:rFonts w:asciiTheme="minorHAnsi" w:hAnsiTheme="minorHAnsi" w:cstheme="minorHAnsi"/>
          <w:sz w:val="22"/>
          <w:szCs w:val="22"/>
          <w:lang w:val="fr-FR"/>
        </w:rPr>
        <w:t>fourni</w:t>
      </w:r>
      <w:r w:rsidR="00C74300" w:rsidRPr="001961B1">
        <w:rPr>
          <w:rFonts w:asciiTheme="minorHAnsi" w:hAnsiTheme="minorHAnsi" w:cstheme="minorHAnsi"/>
          <w:sz w:val="22"/>
          <w:szCs w:val="22"/>
          <w:lang w:val="fr-FR"/>
        </w:rPr>
        <w:t>r</w:t>
      </w:r>
      <w:r w:rsidR="00253E07" w:rsidRPr="001961B1">
        <w:rPr>
          <w:rFonts w:asciiTheme="minorHAnsi" w:hAnsiTheme="minorHAnsi" w:cstheme="minorHAnsi"/>
          <w:sz w:val="22"/>
          <w:szCs w:val="22"/>
          <w:lang w:val="fr-FR"/>
        </w:rPr>
        <w:t xml:space="preserve"> des données sur l’étendue </w:t>
      </w:r>
      <w:r w:rsidR="00853ADB" w:rsidRPr="001961B1">
        <w:rPr>
          <w:rFonts w:asciiTheme="minorHAnsi" w:hAnsiTheme="minorHAnsi" w:cstheme="minorHAnsi"/>
          <w:sz w:val="22"/>
          <w:szCs w:val="22"/>
          <w:lang w:val="fr-FR"/>
        </w:rPr>
        <w:t>des zones humides dans leur</w:t>
      </w:r>
      <w:r w:rsidR="00C74300" w:rsidRPr="001961B1">
        <w:rPr>
          <w:rFonts w:asciiTheme="minorHAnsi" w:hAnsiTheme="minorHAnsi" w:cstheme="minorHAnsi"/>
          <w:sz w:val="22"/>
          <w:szCs w:val="22"/>
          <w:lang w:val="fr-FR"/>
        </w:rPr>
        <w:t>s</w:t>
      </w:r>
      <w:r w:rsidR="00853ADB" w:rsidRPr="001961B1">
        <w:rPr>
          <w:rFonts w:asciiTheme="minorHAnsi" w:hAnsiTheme="minorHAnsi" w:cstheme="minorHAnsi"/>
          <w:sz w:val="22"/>
          <w:szCs w:val="22"/>
          <w:lang w:val="fr-FR"/>
        </w:rPr>
        <w:t xml:space="preserve"> Rapport</w:t>
      </w:r>
      <w:r w:rsidR="00C74300" w:rsidRPr="001961B1">
        <w:rPr>
          <w:rFonts w:asciiTheme="minorHAnsi" w:hAnsiTheme="minorHAnsi" w:cstheme="minorHAnsi"/>
          <w:sz w:val="22"/>
          <w:szCs w:val="22"/>
          <w:lang w:val="fr-FR"/>
        </w:rPr>
        <w:t>s</w:t>
      </w:r>
      <w:r w:rsidR="00853ADB" w:rsidRPr="001961B1">
        <w:rPr>
          <w:rFonts w:asciiTheme="minorHAnsi" w:hAnsiTheme="minorHAnsi" w:cstheme="minorHAnsi"/>
          <w:sz w:val="22"/>
          <w:szCs w:val="22"/>
          <w:lang w:val="fr-FR"/>
        </w:rPr>
        <w:t xml:space="preserve"> nationa</w:t>
      </w:r>
      <w:r w:rsidR="00C74300" w:rsidRPr="001961B1">
        <w:rPr>
          <w:rFonts w:asciiTheme="minorHAnsi" w:hAnsiTheme="minorHAnsi" w:cstheme="minorHAnsi"/>
          <w:sz w:val="22"/>
          <w:szCs w:val="22"/>
          <w:lang w:val="fr-FR"/>
        </w:rPr>
        <w:t>ux</w:t>
      </w:r>
      <w:r w:rsidR="00853ADB" w:rsidRPr="001961B1">
        <w:rPr>
          <w:rFonts w:asciiTheme="minorHAnsi" w:hAnsiTheme="minorHAnsi" w:cstheme="minorHAnsi"/>
          <w:sz w:val="22"/>
          <w:szCs w:val="22"/>
          <w:lang w:val="fr-FR"/>
        </w:rPr>
        <w:t xml:space="preserve">, mais </w:t>
      </w:r>
      <w:r w:rsidR="008E7B9F" w:rsidRPr="001961B1">
        <w:rPr>
          <w:rFonts w:asciiTheme="minorHAnsi" w:hAnsiTheme="minorHAnsi" w:cstheme="minorHAnsi"/>
          <w:sz w:val="22"/>
          <w:szCs w:val="22"/>
          <w:lang w:val="fr-FR"/>
        </w:rPr>
        <w:t xml:space="preserve">l’élaboration et la mise à jour des </w:t>
      </w:r>
      <w:r w:rsidR="00853ADB" w:rsidRPr="001961B1">
        <w:rPr>
          <w:rFonts w:asciiTheme="minorHAnsi" w:hAnsiTheme="minorHAnsi" w:cstheme="minorHAnsi"/>
          <w:sz w:val="22"/>
          <w:szCs w:val="22"/>
          <w:lang w:val="fr-FR"/>
        </w:rPr>
        <w:t>inventaires nationaux des zones humides (INZH)</w:t>
      </w:r>
      <w:r w:rsidR="008E7B9F" w:rsidRPr="001961B1">
        <w:rPr>
          <w:rFonts w:asciiTheme="minorHAnsi" w:hAnsiTheme="minorHAnsi" w:cstheme="minorHAnsi"/>
          <w:sz w:val="22"/>
          <w:szCs w:val="22"/>
          <w:lang w:val="fr-FR"/>
        </w:rPr>
        <w:t xml:space="preserve"> ont fait peu de progrès</w:t>
      </w:r>
      <w:r w:rsidR="00853ADB" w:rsidRPr="001961B1">
        <w:rPr>
          <w:rFonts w:asciiTheme="minorHAnsi" w:hAnsiTheme="minorHAnsi" w:cstheme="minorHAnsi"/>
          <w:sz w:val="22"/>
          <w:szCs w:val="22"/>
          <w:lang w:val="fr-FR"/>
        </w:rPr>
        <w:t xml:space="preserve">. De nombreuses Parties font état d’inventaires incomplets, de mises à jour peu fréquentes et d’une accessibilité limitée du public aux données sur les zones humides. Il s’ensuit que l’utilisation des INZH pour promouvoir la conservation et la gestion efficace des zones humides est limitée </w:t>
      </w:r>
      <w:r w:rsidR="008E7B9F" w:rsidRPr="001961B1">
        <w:rPr>
          <w:rFonts w:asciiTheme="minorHAnsi" w:hAnsiTheme="minorHAnsi" w:cstheme="minorHAnsi"/>
          <w:sz w:val="22"/>
          <w:szCs w:val="22"/>
          <w:lang w:val="fr-FR"/>
        </w:rPr>
        <w:t>et</w:t>
      </w:r>
      <w:r w:rsidR="00853ADB" w:rsidRPr="001961B1">
        <w:rPr>
          <w:rFonts w:asciiTheme="minorHAnsi" w:hAnsiTheme="minorHAnsi" w:cstheme="minorHAnsi"/>
          <w:sz w:val="22"/>
          <w:szCs w:val="22"/>
          <w:lang w:val="fr-FR"/>
        </w:rPr>
        <w:t xml:space="preserve"> que les rapports à la Convention et </w:t>
      </w:r>
      <w:r w:rsidR="008E7B9F" w:rsidRPr="001961B1">
        <w:rPr>
          <w:rFonts w:asciiTheme="minorHAnsi" w:hAnsiTheme="minorHAnsi" w:cstheme="minorHAnsi"/>
          <w:sz w:val="22"/>
          <w:szCs w:val="22"/>
          <w:lang w:val="fr-FR"/>
        </w:rPr>
        <w:t>concernant</w:t>
      </w:r>
      <w:r w:rsidR="00853ADB" w:rsidRPr="001961B1">
        <w:rPr>
          <w:rFonts w:asciiTheme="minorHAnsi" w:hAnsiTheme="minorHAnsi" w:cstheme="minorHAnsi"/>
          <w:sz w:val="22"/>
          <w:szCs w:val="22"/>
          <w:lang w:val="fr-FR"/>
        </w:rPr>
        <w:t xml:space="preserve"> d’autres buts et cibles mondiaux</w:t>
      </w:r>
      <w:r w:rsidR="008E7B9F" w:rsidRPr="001961B1">
        <w:rPr>
          <w:rFonts w:asciiTheme="minorHAnsi" w:hAnsiTheme="minorHAnsi" w:cstheme="minorHAnsi"/>
          <w:sz w:val="22"/>
          <w:szCs w:val="22"/>
          <w:lang w:val="fr-FR"/>
        </w:rPr>
        <w:t xml:space="preserve"> s’en ressentent</w:t>
      </w:r>
      <w:r w:rsidR="00853ADB" w:rsidRPr="001961B1">
        <w:rPr>
          <w:rFonts w:asciiTheme="minorHAnsi" w:hAnsiTheme="minorHAnsi" w:cstheme="minorHAnsi"/>
          <w:sz w:val="22"/>
          <w:szCs w:val="22"/>
          <w:lang w:val="fr-FR"/>
        </w:rPr>
        <w:t>.</w:t>
      </w:r>
      <w:r w:rsidR="00AB2083" w:rsidRPr="001961B1">
        <w:rPr>
          <w:rFonts w:asciiTheme="minorHAnsi" w:hAnsiTheme="minorHAnsi" w:cstheme="minorHAnsi"/>
          <w:sz w:val="22"/>
          <w:szCs w:val="22"/>
          <w:lang w:val="fr-FR"/>
        </w:rPr>
        <w:t xml:space="preserve"> </w:t>
      </w:r>
    </w:p>
    <w:p w14:paraId="3F0C59A5" w14:textId="77777777" w:rsidR="00FB380C" w:rsidRPr="001961B1" w:rsidRDefault="00FB380C" w:rsidP="00CD3F6B">
      <w:pPr>
        <w:rPr>
          <w:rFonts w:asciiTheme="minorHAnsi" w:hAnsiTheme="minorHAnsi" w:cstheme="minorHAnsi"/>
          <w:b/>
          <w:bCs/>
          <w:sz w:val="22"/>
          <w:szCs w:val="22"/>
          <w:lang w:val="fr-FR"/>
        </w:rPr>
      </w:pPr>
    </w:p>
    <w:tbl>
      <w:tblPr>
        <w:tblStyle w:val="TableGrid27"/>
        <w:tblW w:w="9353" w:type="dxa"/>
        <w:tblLook w:val="04A0" w:firstRow="1" w:lastRow="0" w:firstColumn="1" w:lastColumn="0" w:noHBand="0" w:noVBand="1"/>
      </w:tblPr>
      <w:tblGrid>
        <w:gridCol w:w="3982"/>
        <w:gridCol w:w="1277"/>
        <w:gridCol w:w="848"/>
        <w:gridCol w:w="848"/>
        <w:gridCol w:w="848"/>
        <w:gridCol w:w="1550"/>
      </w:tblGrid>
      <w:tr w:rsidR="00107172" w:rsidRPr="001961B1" w14:paraId="7FB92E61" w14:textId="77777777" w:rsidTr="00195D2D">
        <w:trPr>
          <w:cantSplit/>
        </w:trPr>
        <w:tc>
          <w:tcPr>
            <w:tcW w:w="4106" w:type="dxa"/>
            <w:vAlign w:val="center"/>
            <w:hideMark/>
          </w:tcPr>
          <w:p w14:paraId="2C4B916E" w14:textId="772908DE"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4F4626" w:rsidRPr="001961B1">
              <w:rPr>
                <w:rFonts w:asciiTheme="minorHAnsi" w:eastAsia="Aptos" w:hAnsiTheme="minorHAnsi" w:cstheme="minorHAnsi"/>
                <w:b/>
                <w:bCs/>
                <w:sz w:val="22"/>
                <w:szCs w:val="22"/>
                <w:lang w:val="fr-FR"/>
              </w:rPr>
              <w:t>eur</w:t>
            </w:r>
          </w:p>
        </w:tc>
        <w:tc>
          <w:tcPr>
            <w:tcW w:w="1141" w:type="dxa"/>
            <w:vAlign w:val="center"/>
            <w:hideMark/>
          </w:tcPr>
          <w:p w14:paraId="0C582C3D" w14:textId="16994F4A" w:rsidR="0091225F" w:rsidRPr="001961B1" w:rsidRDefault="004F4626"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849" w:type="dxa"/>
            <w:vAlign w:val="center"/>
            <w:hideMark/>
          </w:tcPr>
          <w:p w14:paraId="2DA5DEBA"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849" w:type="dxa"/>
            <w:vAlign w:val="center"/>
            <w:hideMark/>
          </w:tcPr>
          <w:p w14:paraId="4F5E52BF"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849" w:type="dxa"/>
            <w:vAlign w:val="center"/>
            <w:hideMark/>
          </w:tcPr>
          <w:p w14:paraId="709946AB"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559" w:type="dxa"/>
            <w:vAlign w:val="center"/>
            <w:hideMark/>
          </w:tcPr>
          <w:p w14:paraId="433913CB" w14:textId="617660AA" w:rsidR="00107172" w:rsidRPr="001961B1" w:rsidRDefault="004F4626"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107172" w:rsidRPr="001961B1" w14:paraId="3089AD20" w14:textId="77777777" w:rsidTr="00195D2D">
        <w:trPr>
          <w:cantSplit/>
        </w:trPr>
        <w:tc>
          <w:tcPr>
            <w:tcW w:w="4106" w:type="dxa"/>
          </w:tcPr>
          <w:p w14:paraId="7E35450F" w14:textId="3E5C0E83"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F622B7" w:rsidRPr="001961B1">
              <w:rPr>
                <w:rFonts w:asciiTheme="minorHAnsi" w:eastAsia="Aptos" w:hAnsiTheme="minorHAnsi" w:cstheme="minorHAnsi"/>
                <w:sz w:val="22"/>
                <w:szCs w:val="22"/>
                <w:lang w:val="fr-FR"/>
              </w:rPr>
              <w:t>de Parties ayant achevé un inventaire national des zones humides</w:t>
            </w:r>
            <w:r w:rsidRPr="001961B1">
              <w:rPr>
                <w:rFonts w:asciiTheme="minorHAnsi" w:eastAsia="Aptos" w:hAnsiTheme="minorHAnsi" w:cstheme="minorHAnsi"/>
                <w:sz w:val="22"/>
                <w:szCs w:val="22"/>
                <w:lang w:val="fr-FR"/>
              </w:rPr>
              <w:t>.</w:t>
            </w:r>
          </w:p>
        </w:tc>
        <w:tc>
          <w:tcPr>
            <w:tcW w:w="1141" w:type="dxa"/>
          </w:tcPr>
          <w:p w14:paraId="166F8F37" w14:textId="53F0EF13"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47</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49" w:type="dxa"/>
          </w:tcPr>
          <w:p w14:paraId="50D5F3AA" w14:textId="5D1093D4"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44</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49" w:type="dxa"/>
          </w:tcPr>
          <w:p w14:paraId="3AF1B3EC" w14:textId="60040361"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49" w:type="dxa"/>
          </w:tcPr>
          <w:p w14:paraId="6590458A" w14:textId="15029880"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47</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1559" w:type="dxa"/>
          </w:tcPr>
          <w:p w14:paraId="6AC8B30B" w14:textId="1365A360" w:rsidR="00107172" w:rsidRPr="001961B1" w:rsidRDefault="00103ABA"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4F713C47" wp14:editId="493E2176">
                  <wp:extent cx="712200" cy="432000"/>
                  <wp:effectExtent l="0" t="0" r="0" b="0"/>
                  <wp:docPr id="18843292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00412DA0" w14:textId="77777777" w:rsidTr="00195D2D">
        <w:trPr>
          <w:cantSplit/>
        </w:trPr>
        <w:tc>
          <w:tcPr>
            <w:tcW w:w="4106" w:type="dxa"/>
          </w:tcPr>
          <w:p w14:paraId="2CC36F7B" w14:textId="403D2B7E"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F622B7" w:rsidRPr="001961B1">
              <w:rPr>
                <w:rFonts w:asciiTheme="minorHAnsi" w:eastAsia="Aptos" w:hAnsiTheme="minorHAnsi" w:cstheme="minorHAnsi"/>
                <w:sz w:val="22"/>
                <w:szCs w:val="22"/>
                <w:lang w:val="fr-FR"/>
              </w:rPr>
              <w:t>de Parties ayant un inventaire national des zones humides mis à jour dans la décennie écoulée</w:t>
            </w:r>
            <w:r w:rsidRPr="001961B1">
              <w:rPr>
                <w:rFonts w:asciiTheme="minorHAnsi" w:eastAsia="Aptos" w:hAnsiTheme="minorHAnsi" w:cstheme="minorHAnsi"/>
                <w:sz w:val="22"/>
                <w:szCs w:val="22"/>
                <w:lang w:val="fr-FR"/>
              </w:rPr>
              <w:t>.</w:t>
            </w:r>
          </w:p>
        </w:tc>
        <w:tc>
          <w:tcPr>
            <w:tcW w:w="1141" w:type="dxa"/>
          </w:tcPr>
          <w:p w14:paraId="5676F92C" w14:textId="170913B8" w:rsidR="00107172" w:rsidRPr="001961B1" w:rsidRDefault="006F4821"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No</w:t>
            </w:r>
            <w:r w:rsidR="00F622B7" w:rsidRPr="001961B1">
              <w:rPr>
                <w:rFonts w:asciiTheme="minorHAnsi" w:eastAsia="Aptos" w:hAnsiTheme="minorHAnsi" w:cstheme="minorHAnsi"/>
                <w:b/>
                <w:bCs/>
                <w:sz w:val="22"/>
                <w:szCs w:val="22"/>
              </w:rPr>
              <w:t>n</w:t>
            </w:r>
            <w:r w:rsidRPr="001961B1">
              <w:rPr>
                <w:rFonts w:asciiTheme="minorHAnsi" w:eastAsia="Aptos" w:hAnsiTheme="minorHAnsi" w:cstheme="minorHAnsi"/>
                <w:b/>
                <w:bCs/>
                <w:sz w:val="22"/>
                <w:szCs w:val="22"/>
              </w:rPr>
              <w:t xml:space="preserve"> </w:t>
            </w:r>
            <w:r w:rsidR="00F622B7" w:rsidRPr="001961B1">
              <w:rPr>
                <w:rFonts w:asciiTheme="minorHAnsi" w:eastAsia="Aptos" w:hAnsiTheme="minorHAnsi" w:cstheme="minorHAnsi"/>
                <w:b/>
                <w:bCs/>
                <w:sz w:val="22"/>
                <w:szCs w:val="22"/>
              </w:rPr>
              <w:t>disponible</w:t>
            </w:r>
            <w:r w:rsidR="00664D9F" w:rsidRPr="001961B1">
              <w:rPr>
                <w:rFonts w:asciiTheme="minorHAnsi" w:eastAsia="Aptos" w:hAnsiTheme="minorHAnsi" w:cstheme="minorHAnsi"/>
                <w:b/>
                <w:bCs/>
                <w:sz w:val="22"/>
                <w:szCs w:val="22"/>
              </w:rPr>
              <w:t>*</w:t>
            </w:r>
          </w:p>
        </w:tc>
        <w:tc>
          <w:tcPr>
            <w:tcW w:w="849" w:type="dxa"/>
          </w:tcPr>
          <w:p w14:paraId="2D42035F" w14:textId="781C7050"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29</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49" w:type="dxa"/>
          </w:tcPr>
          <w:p w14:paraId="58882D0D" w14:textId="057F1A31"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33</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849" w:type="dxa"/>
          </w:tcPr>
          <w:p w14:paraId="7B3527E2" w14:textId="1FA12E6F" w:rsidR="00107172" w:rsidRPr="001961B1" w:rsidRDefault="00107172" w:rsidP="00195D2D">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85769A"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1559" w:type="dxa"/>
          </w:tcPr>
          <w:p w14:paraId="4147F2FA" w14:textId="5372CB7D" w:rsidR="00107172" w:rsidRPr="001961B1" w:rsidRDefault="005A512C" w:rsidP="00CD3F6B">
            <w:pPr>
              <w:rPr>
                <w:rFonts w:asciiTheme="minorHAnsi" w:eastAsia="Aptos" w:hAnsiTheme="minorHAnsi" w:cstheme="minorHAnsi"/>
                <w:noProof/>
                <w:sz w:val="22"/>
                <w:szCs w:val="22"/>
              </w:rPr>
            </w:pPr>
            <w:r w:rsidRPr="001961B1">
              <w:rPr>
                <w:rFonts w:asciiTheme="minorHAnsi" w:eastAsia="Aptos" w:hAnsiTheme="minorHAnsi" w:cstheme="minorHAnsi"/>
                <w:noProof/>
                <w:sz w:val="22"/>
                <w:szCs w:val="22"/>
              </w:rPr>
              <w:t xml:space="preserve">     </w:t>
            </w:r>
            <w:r w:rsidR="00E20BDF" w:rsidRPr="001961B1">
              <w:rPr>
                <w:rFonts w:asciiTheme="minorHAnsi" w:hAnsiTheme="minorHAnsi" w:cstheme="minorHAnsi"/>
                <w:noProof/>
                <w:sz w:val="22"/>
                <w:szCs w:val="22"/>
                <w:lang w:val="en-CA" w:eastAsia="en-CA"/>
              </w:rPr>
              <w:drawing>
                <wp:inline distT="0" distB="0" distL="0" distR="0" wp14:anchorId="28864414" wp14:editId="3F81562C">
                  <wp:extent cx="415800" cy="432000"/>
                  <wp:effectExtent l="0" t="0" r="3810" b="0"/>
                  <wp:docPr id="5072569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324C9AC4" w14:textId="7CC6A724" w:rsidR="00BC742A" w:rsidRPr="001961B1" w:rsidRDefault="00664D9F"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F622B7" w:rsidRPr="001961B1">
        <w:rPr>
          <w:rFonts w:asciiTheme="minorHAnsi" w:hAnsiTheme="minorHAnsi" w:cstheme="minorHAnsi"/>
          <w:sz w:val="22"/>
          <w:szCs w:val="22"/>
          <w:lang w:val="fr-FR"/>
        </w:rPr>
        <w:t>Référence non définie dans le PS4</w:t>
      </w:r>
      <w:r w:rsidRPr="001961B1">
        <w:rPr>
          <w:rFonts w:asciiTheme="minorHAnsi" w:hAnsiTheme="minorHAnsi" w:cstheme="minorHAnsi"/>
          <w:sz w:val="22"/>
          <w:szCs w:val="22"/>
          <w:lang w:val="fr-FR"/>
        </w:rPr>
        <w:t xml:space="preserve">, </w:t>
      </w:r>
      <w:r w:rsidR="005A512C" w:rsidRPr="001961B1">
        <w:rPr>
          <w:rFonts w:asciiTheme="minorHAnsi" w:hAnsiTheme="minorHAnsi" w:cstheme="minorHAnsi"/>
          <w:sz w:val="22"/>
          <w:szCs w:val="22"/>
          <w:lang w:val="fr-FR"/>
        </w:rPr>
        <w:t xml:space="preserve">question </w:t>
      </w:r>
      <w:r w:rsidR="00F622B7" w:rsidRPr="001961B1">
        <w:rPr>
          <w:rFonts w:asciiTheme="minorHAnsi" w:hAnsiTheme="minorHAnsi" w:cstheme="minorHAnsi"/>
          <w:sz w:val="22"/>
          <w:szCs w:val="22"/>
          <w:lang w:val="fr-FR"/>
        </w:rPr>
        <w:t xml:space="preserve">ajoutée au </w:t>
      </w:r>
      <w:r w:rsidR="008E7B9F" w:rsidRPr="001961B1">
        <w:rPr>
          <w:rFonts w:asciiTheme="minorHAnsi" w:hAnsiTheme="minorHAnsi" w:cstheme="minorHAnsi"/>
          <w:sz w:val="22"/>
          <w:szCs w:val="22"/>
          <w:lang w:val="fr-FR"/>
        </w:rPr>
        <w:t>Fo</w:t>
      </w:r>
      <w:r w:rsidR="00F622B7" w:rsidRPr="001961B1">
        <w:rPr>
          <w:rFonts w:asciiTheme="minorHAnsi" w:hAnsiTheme="minorHAnsi" w:cstheme="minorHAnsi"/>
          <w:sz w:val="22"/>
          <w:szCs w:val="22"/>
          <w:lang w:val="fr-FR"/>
        </w:rPr>
        <w:t xml:space="preserve">rmulaire </w:t>
      </w:r>
      <w:r w:rsidR="008E7B9F" w:rsidRPr="001961B1">
        <w:rPr>
          <w:rFonts w:asciiTheme="minorHAnsi" w:hAnsiTheme="minorHAnsi" w:cstheme="minorHAnsi"/>
          <w:sz w:val="22"/>
          <w:szCs w:val="22"/>
          <w:lang w:val="fr-FR"/>
        </w:rPr>
        <w:t>de</w:t>
      </w:r>
      <w:r w:rsidR="00F622B7" w:rsidRPr="001961B1">
        <w:rPr>
          <w:rFonts w:asciiTheme="minorHAnsi" w:hAnsiTheme="minorHAnsi" w:cstheme="minorHAnsi"/>
          <w:sz w:val="22"/>
          <w:szCs w:val="22"/>
          <w:lang w:val="fr-FR"/>
        </w:rPr>
        <w:t xml:space="preserve"> Rapport nationa</w:t>
      </w:r>
      <w:r w:rsidR="008E7B9F" w:rsidRPr="001961B1">
        <w:rPr>
          <w:rFonts w:asciiTheme="minorHAnsi" w:hAnsiTheme="minorHAnsi" w:cstheme="minorHAnsi"/>
          <w:sz w:val="22"/>
          <w:szCs w:val="22"/>
          <w:lang w:val="fr-FR"/>
        </w:rPr>
        <w:t>l</w:t>
      </w:r>
      <w:r w:rsidR="00F622B7" w:rsidRPr="001961B1">
        <w:rPr>
          <w:rFonts w:asciiTheme="minorHAnsi" w:hAnsiTheme="minorHAnsi" w:cstheme="minorHAnsi"/>
          <w:sz w:val="22"/>
          <w:szCs w:val="22"/>
          <w:lang w:val="fr-FR"/>
        </w:rPr>
        <w:t xml:space="preserve"> à partir de la </w:t>
      </w:r>
      <w:r w:rsidR="005A512C" w:rsidRPr="001961B1">
        <w:rPr>
          <w:rFonts w:asciiTheme="minorHAnsi" w:hAnsiTheme="minorHAnsi" w:cstheme="minorHAnsi"/>
          <w:sz w:val="22"/>
          <w:szCs w:val="22"/>
          <w:lang w:val="fr-FR"/>
        </w:rPr>
        <w:t>COP13</w:t>
      </w:r>
    </w:p>
    <w:p w14:paraId="2AD65E82" w14:textId="77777777" w:rsidR="00664D9F" w:rsidRPr="001961B1" w:rsidRDefault="00664D9F" w:rsidP="00CD3F6B">
      <w:pPr>
        <w:rPr>
          <w:rFonts w:asciiTheme="minorHAnsi" w:hAnsiTheme="minorHAnsi" w:cstheme="minorHAnsi"/>
          <w:b/>
          <w:bCs/>
          <w:sz w:val="22"/>
          <w:szCs w:val="22"/>
          <w:lang w:val="fr-FR"/>
        </w:rPr>
      </w:pPr>
    </w:p>
    <w:p w14:paraId="2B9CFCB8" w14:textId="1E685A8E" w:rsidR="007354A9" w:rsidRPr="001961B1" w:rsidRDefault="00F622B7"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lastRenderedPageBreak/>
        <w:t>Résumé des progrès</w:t>
      </w:r>
      <w:r w:rsidR="00616B5C" w:rsidRPr="001961B1">
        <w:rPr>
          <w:rFonts w:asciiTheme="minorHAnsi" w:hAnsiTheme="minorHAnsi" w:cstheme="minorHAnsi"/>
          <w:i/>
          <w:iCs/>
          <w:sz w:val="22"/>
          <w:szCs w:val="22"/>
          <w:u w:val="single"/>
          <w:lang w:val="fr-FR"/>
        </w:rPr>
        <w:t xml:space="preserve"> </w:t>
      </w:r>
    </w:p>
    <w:p w14:paraId="7260CA7B" w14:textId="77777777" w:rsidR="00461A6A" w:rsidRPr="001961B1" w:rsidRDefault="00461A6A" w:rsidP="00D1463B">
      <w:pPr>
        <w:keepNext/>
        <w:rPr>
          <w:rFonts w:asciiTheme="minorHAnsi" w:hAnsiTheme="minorHAnsi" w:cstheme="minorHAnsi"/>
          <w:b/>
          <w:bCs/>
          <w:sz w:val="22"/>
          <w:szCs w:val="22"/>
          <w:lang w:val="fr-FR"/>
        </w:rPr>
      </w:pPr>
    </w:p>
    <w:p w14:paraId="64C931F6" w14:textId="7FC6A3AF" w:rsidR="00F30BE2"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0</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eastAsia="fr-FR"/>
        </w:rPr>
        <w:t>Au moment de</w:t>
      </w:r>
      <w:r w:rsidR="0052592A" w:rsidRPr="001961B1">
        <w:rPr>
          <w:rFonts w:asciiTheme="minorHAnsi" w:hAnsiTheme="minorHAnsi" w:cstheme="minorHAnsi"/>
          <w:sz w:val="22"/>
          <w:szCs w:val="22"/>
          <w:lang w:val="fr-FR"/>
        </w:rPr>
        <w:t xml:space="preserve"> la </w:t>
      </w:r>
      <w:r w:rsidR="008742E3" w:rsidRPr="001961B1">
        <w:rPr>
          <w:rFonts w:asciiTheme="minorHAnsi" w:hAnsiTheme="minorHAnsi" w:cstheme="minorHAnsi"/>
          <w:sz w:val="22"/>
          <w:szCs w:val="22"/>
          <w:lang w:val="fr-FR"/>
        </w:rPr>
        <w:t>COP15, 47</w:t>
      </w:r>
      <w:r w:rsidR="0052592A" w:rsidRPr="001961B1">
        <w:rPr>
          <w:rFonts w:asciiTheme="minorHAnsi" w:hAnsiTheme="minorHAnsi" w:cstheme="minorHAnsi"/>
          <w:sz w:val="22"/>
          <w:szCs w:val="22"/>
          <w:lang w:val="fr-FR"/>
        </w:rPr>
        <w:t> </w:t>
      </w:r>
      <w:r w:rsidR="008742E3" w:rsidRPr="001961B1">
        <w:rPr>
          <w:rFonts w:asciiTheme="minorHAnsi" w:hAnsiTheme="minorHAnsi" w:cstheme="minorHAnsi"/>
          <w:sz w:val="22"/>
          <w:szCs w:val="22"/>
          <w:lang w:val="fr-FR"/>
        </w:rPr>
        <w:t xml:space="preserve">% </w:t>
      </w:r>
      <w:r w:rsidR="0052592A" w:rsidRPr="001961B1">
        <w:rPr>
          <w:rFonts w:asciiTheme="minorHAnsi" w:hAnsiTheme="minorHAnsi" w:cstheme="minorHAnsi"/>
          <w:sz w:val="22"/>
          <w:szCs w:val="22"/>
          <w:lang w:val="fr-FR"/>
        </w:rPr>
        <w:t xml:space="preserve">des Parties contractantes </w:t>
      </w:r>
      <w:r w:rsidR="00B22FE8" w:rsidRPr="001961B1">
        <w:rPr>
          <w:rFonts w:asciiTheme="minorHAnsi" w:hAnsiTheme="minorHAnsi" w:cstheme="minorHAnsi"/>
          <w:sz w:val="22"/>
          <w:szCs w:val="22"/>
          <w:lang w:val="fr-FR"/>
        </w:rPr>
        <w:t>signalent</w:t>
      </w:r>
      <w:r w:rsidR="0052592A" w:rsidRPr="001961B1">
        <w:rPr>
          <w:rFonts w:asciiTheme="minorHAnsi" w:hAnsiTheme="minorHAnsi" w:cstheme="minorHAnsi"/>
          <w:sz w:val="22"/>
          <w:szCs w:val="22"/>
          <w:lang w:val="fr-FR"/>
        </w:rPr>
        <w:t xml:space="preserve"> avoir un INZH, </w:t>
      </w:r>
      <w:r w:rsidR="00186ABC" w:rsidRPr="001961B1">
        <w:rPr>
          <w:rFonts w:asciiTheme="minorHAnsi" w:hAnsiTheme="minorHAnsi" w:cstheme="minorHAnsi"/>
          <w:sz w:val="22"/>
          <w:szCs w:val="22"/>
          <w:lang w:val="fr-FR"/>
        </w:rPr>
        <w:t>ce qui est identique à</w:t>
      </w:r>
      <w:r w:rsidR="0052592A" w:rsidRPr="001961B1">
        <w:rPr>
          <w:rFonts w:asciiTheme="minorHAnsi" w:hAnsiTheme="minorHAnsi" w:cstheme="minorHAnsi"/>
          <w:sz w:val="22"/>
          <w:szCs w:val="22"/>
          <w:lang w:val="fr-FR"/>
        </w:rPr>
        <w:t xml:space="preserve"> la référence établie dans le PS4. De même, le pourcentage de Parties indiquant que l’élaboration d’un INZH </w:t>
      </w:r>
      <w:r w:rsidR="00186ABC" w:rsidRPr="001961B1">
        <w:rPr>
          <w:rFonts w:asciiTheme="minorHAnsi" w:hAnsiTheme="minorHAnsi" w:cstheme="minorHAnsi"/>
          <w:sz w:val="22"/>
          <w:szCs w:val="22"/>
          <w:lang w:val="fr-FR"/>
        </w:rPr>
        <w:t>est</w:t>
      </w:r>
      <w:r w:rsidR="0052592A" w:rsidRPr="001961B1">
        <w:rPr>
          <w:rFonts w:asciiTheme="minorHAnsi" w:hAnsiTheme="minorHAnsi" w:cstheme="minorHAnsi"/>
          <w:sz w:val="22"/>
          <w:szCs w:val="22"/>
          <w:lang w:val="fr-FR"/>
        </w:rPr>
        <w:t xml:space="preserve"> en progrès est resté pratiquement inchangé à un peu moins de 30 %. Toutefois, il y a une augmentation du nombre de Parties prévoyant d’élaborer un INZH, 11 % pour la COP15</w:t>
      </w:r>
      <w:r w:rsidR="00186ABC" w:rsidRPr="001961B1">
        <w:rPr>
          <w:rFonts w:asciiTheme="minorHAnsi" w:hAnsiTheme="minorHAnsi" w:cstheme="minorHAnsi"/>
          <w:sz w:val="22"/>
          <w:szCs w:val="22"/>
          <w:lang w:val="fr-FR"/>
        </w:rPr>
        <w:t xml:space="preserve"> contre</w:t>
      </w:r>
      <w:r w:rsidR="0052592A" w:rsidRPr="001961B1">
        <w:rPr>
          <w:rFonts w:asciiTheme="minorHAnsi" w:hAnsiTheme="minorHAnsi" w:cstheme="minorHAnsi"/>
          <w:sz w:val="22"/>
          <w:szCs w:val="22"/>
          <w:lang w:val="fr-FR"/>
        </w:rPr>
        <w:t xml:space="preserve"> 5 % au début de la période du PS4. </w:t>
      </w:r>
      <w:r w:rsidR="00300945" w:rsidRPr="001961B1">
        <w:rPr>
          <w:rFonts w:asciiTheme="minorHAnsi" w:hAnsiTheme="minorHAnsi" w:cstheme="minorHAnsi"/>
          <w:sz w:val="22"/>
          <w:szCs w:val="22"/>
          <w:lang w:val="fr-FR"/>
        </w:rPr>
        <w:t xml:space="preserve">Un tiers des Parties ayant un INZH signalent l’avoir mis à jour dans la dernière décennie, un cinquième indique qu’une mise à jour est en progrès. Un peu plus de la moitié des Parties mettent les données et informations de l’INZH à la disposition du public, et un autre cinquième les met partiellement à la disposition du public. </w:t>
      </w:r>
    </w:p>
    <w:p w14:paraId="158E8735" w14:textId="77777777" w:rsidR="00F30BE2" w:rsidRPr="001961B1" w:rsidRDefault="00F30BE2" w:rsidP="000E3338">
      <w:pPr>
        <w:ind w:left="567" w:hanging="567"/>
        <w:rPr>
          <w:rFonts w:asciiTheme="minorHAnsi" w:hAnsiTheme="minorHAnsi" w:cstheme="minorHAnsi"/>
          <w:sz w:val="22"/>
          <w:szCs w:val="22"/>
          <w:lang w:val="fr-FR"/>
        </w:rPr>
      </w:pPr>
    </w:p>
    <w:p w14:paraId="26F24A40" w14:textId="73BB1D48" w:rsidR="0042042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1</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300945" w:rsidRPr="001961B1">
        <w:rPr>
          <w:rFonts w:asciiTheme="minorHAnsi" w:hAnsiTheme="minorHAnsi" w:cstheme="minorHAnsi"/>
          <w:sz w:val="22"/>
          <w:szCs w:val="22"/>
          <w:lang w:val="fr-FR"/>
        </w:rPr>
        <w:t>Il y a des différences marquées entre les régions. La proportion de Parties contractantes ayant un INZH est plus élevée en Asie</w:t>
      </w:r>
      <w:r w:rsidR="00186ABC" w:rsidRPr="001961B1">
        <w:rPr>
          <w:rFonts w:asciiTheme="minorHAnsi" w:hAnsiTheme="minorHAnsi" w:cstheme="minorHAnsi"/>
          <w:sz w:val="22"/>
          <w:szCs w:val="22"/>
          <w:lang w:val="fr-FR"/>
        </w:rPr>
        <w:t xml:space="preserve"> (</w:t>
      </w:r>
      <w:r w:rsidR="007C7A1F" w:rsidRPr="001961B1">
        <w:rPr>
          <w:rFonts w:asciiTheme="minorHAnsi" w:hAnsiTheme="minorHAnsi" w:cstheme="minorHAnsi"/>
          <w:sz w:val="22"/>
          <w:szCs w:val="22"/>
          <w:lang w:val="fr-FR"/>
        </w:rPr>
        <w:t>65 %</w:t>
      </w:r>
      <w:r w:rsidR="00186ABC" w:rsidRPr="001961B1">
        <w:rPr>
          <w:rFonts w:asciiTheme="minorHAnsi" w:hAnsiTheme="minorHAnsi" w:cstheme="minorHAnsi"/>
          <w:sz w:val="22"/>
          <w:szCs w:val="22"/>
          <w:lang w:val="fr-FR"/>
        </w:rPr>
        <w:t>) ;</w:t>
      </w:r>
      <w:r w:rsidR="007C7A1F" w:rsidRPr="001961B1">
        <w:rPr>
          <w:rFonts w:asciiTheme="minorHAnsi" w:hAnsiTheme="minorHAnsi" w:cstheme="minorHAnsi"/>
          <w:sz w:val="22"/>
          <w:szCs w:val="22"/>
          <w:lang w:val="fr-FR"/>
        </w:rPr>
        <w:t xml:space="preserve"> dans la plupart des autres régions, elle se situe autour de 50 %, et elle est considérablement plus basse en Afrique</w:t>
      </w:r>
      <w:r w:rsidR="00186ABC" w:rsidRPr="001961B1">
        <w:rPr>
          <w:rFonts w:asciiTheme="minorHAnsi" w:hAnsiTheme="minorHAnsi" w:cstheme="minorHAnsi"/>
          <w:sz w:val="22"/>
          <w:szCs w:val="22"/>
          <w:lang w:val="fr-FR"/>
        </w:rPr>
        <w:t xml:space="preserve"> (</w:t>
      </w:r>
      <w:r w:rsidR="007C7A1F" w:rsidRPr="001961B1">
        <w:rPr>
          <w:rFonts w:asciiTheme="minorHAnsi" w:hAnsiTheme="minorHAnsi" w:cstheme="minorHAnsi"/>
          <w:sz w:val="22"/>
          <w:szCs w:val="22"/>
          <w:lang w:val="fr-FR"/>
        </w:rPr>
        <w:t>33 %</w:t>
      </w:r>
      <w:r w:rsidR="00186ABC" w:rsidRPr="001961B1">
        <w:rPr>
          <w:rFonts w:asciiTheme="minorHAnsi" w:hAnsiTheme="minorHAnsi" w:cstheme="minorHAnsi"/>
          <w:sz w:val="22"/>
          <w:szCs w:val="22"/>
          <w:lang w:val="fr-FR"/>
        </w:rPr>
        <w:t>)</w:t>
      </w:r>
      <w:r w:rsidR="007C7A1F" w:rsidRPr="001961B1">
        <w:rPr>
          <w:rFonts w:asciiTheme="minorHAnsi" w:hAnsiTheme="minorHAnsi" w:cstheme="minorHAnsi"/>
          <w:sz w:val="22"/>
          <w:szCs w:val="22"/>
          <w:lang w:val="fr-FR"/>
        </w:rPr>
        <w:t xml:space="preserve">. </w:t>
      </w:r>
    </w:p>
    <w:p w14:paraId="1C78A16D" w14:textId="75838E45" w:rsidR="003F1DE0" w:rsidRPr="001961B1" w:rsidRDefault="003F1DE0" w:rsidP="000E3338">
      <w:pPr>
        <w:ind w:left="567" w:hanging="567"/>
        <w:rPr>
          <w:rFonts w:asciiTheme="minorHAnsi" w:hAnsiTheme="minorHAnsi" w:cstheme="minorHAnsi"/>
          <w:sz w:val="22"/>
          <w:szCs w:val="22"/>
          <w:lang w:val="fr-FR"/>
        </w:rPr>
      </w:pPr>
    </w:p>
    <w:p w14:paraId="5AC58ECE" w14:textId="091DDB47" w:rsidR="00AB47A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8551E6" w:rsidRPr="001961B1">
        <w:rPr>
          <w:rFonts w:asciiTheme="minorHAnsi" w:hAnsiTheme="minorHAnsi" w:cstheme="minorHAnsi"/>
          <w:sz w:val="22"/>
          <w:szCs w:val="22"/>
          <w:lang w:val="fr-FR"/>
        </w:rPr>
        <w:t xml:space="preserve">La </w:t>
      </w:r>
      <w:r w:rsidR="00330E21" w:rsidRPr="001961B1">
        <w:rPr>
          <w:rFonts w:asciiTheme="minorHAnsi" w:hAnsiTheme="minorHAnsi" w:cstheme="minorHAnsi"/>
          <w:sz w:val="22"/>
          <w:szCs w:val="22"/>
          <w:lang w:val="fr-FR"/>
        </w:rPr>
        <w:t xml:space="preserve">proportion </w:t>
      </w:r>
      <w:r w:rsidR="008551E6" w:rsidRPr="001961B1">
        <w:rPr>
          <w:rFonts w:asciiTheme="minorHAnsi" w:hAnsiTheme="minorHAnsi" w:cstheme="minorHAnsi"/>
          <w:sz w:val="22"/>
          <w:szCs w:val="22"/>
          <w:lang w:val="fr-FR"/>
        </w:rPr>
        <w:t xml:space="preserve">de Parties contractantes signalant un chiffre </w:t>
      </w:r>
      <w:r w:rsidR="00770C49" w:rsidRPr="001961B1">
        <w:rPr>
          <w:rFonts w:asciiTheme="minorHAnsi" w:hAnsiTheme="minorHAnsi" w:cstheme="minorHAnsi"/>
          <w:sz w:val="22"/>
          <w:szCs w:val="22"/>
          <w:lang w:val="fr-FR"/>
        </w:rPr>
        <w:t xml:space="preserve">précis, en kilomètres carrés, </w:t>
      </w:r>
      <w:r w:rsidR="008551E6" w:rsidRPr="001961B1">
        <w:rPr>
          <w:rFonts w:asciiTheme="minorHAnsi" w:hAnsiTheme="minorHAnsi" w:cstheme="minorHAnsi"/>
          <w:sz w:val="22"/>
          <w:szCs w:val="22"/>
          <w:lang w:val="fr-FR"/>
        </w:rPr>
        <w:t>pour l’étendue des zones humides</w:t>
      </w:r>
      <w:r w:rsidR="00770C49" w:rsidRPr="001961B1">
        <w:rPr>
          <w:rFonts w:asciiTheme="minorHAnsi" w:hAnsiTheme="minorHAnsi" w:cstheme="minorHAnsi"/>
          <w:sz w:val="22"/>
          <w:szCs w:val="22"/>
          <w:lang w:val="fr-FR"/>
        </w:rPr>
        <w:t xml:space="preserve">, </w:t>
      </w:r>
      <w:r w:rsidR="008551E6" w:rsidRPr="001961B1">
        <w:rPr>
          <w:rFonts w:asciiTheme="minorHAnsi" w:hAnsiTheme="minorHAnsi" w:cstheme="minorHAnsi"/>
          <w:sz w:val="22"/>
          <w:szCs w:val="22"/>
          <w:lang w:val="fr-FR"/>
        </w:rPr>
        <w:t xml:space="preserve">fondé sur l’INZH a augmenté de manière notable, de 31 % à la COP13 à 56 % pour la COP15. </w:t>
      </w:r>
      <w:r w:rsidR="00770C49" w:rsidRPr="001961B1">
        <w:rPr>
          <w:rFonts w:asciiTheme="minorHAnsi" w:hAnsiTheme="minorHAnsi" w:cstheme="minorHAnsi"/>
          <w:sz w:val="22"/>
          <w:szCs w:val="22"/>
          <w:lang w:val="fr-FR"/>
        </w:rPr>
        <w:t>Cependant</w:t>
      </w:r>
      <w:r w:rsidR="008551E6" w:rsidRPr="001961B1">
        <w:rPr>
          <w:rFonts w:asciiTheme="minorHAnsi" w:hAnsiTheme="minorHAnsi" w:cstheme="minorHAnsi"/>
          <w:sz w:val="22"/>
          <w:szCs w:val="22"/>
          <w:lang w:val="fr-FR"/>
        </w:rPr>
        <w:t xml:space="preserve">, </w:t>
      </w:r>
      <w:r w:rsidR="005E434C" w:rsidRPr="001961B1">
        <w:rPr>
          <w:rFonts w:asciiTheme="minorHAnsi" w:hAnsiTheme="minorHAnsi" w:cstheme="minorHAnsi"/>
          <w:sz w:val="22"/>
          <w:szCs w:val="22"/>
          <w:lang w:val="fr-FR"/>
        </w:rPr>
        <w:t>30</w:t>
      </w:r>
      <w:r w:rsidR="008551E6" w:rsidRPr="001961B1">
        <w:rPr>
          <w:rFonts w:asciiTheme="minorHAnsi" w:hAnsiTheme="minorHAnsi" w:cstheme="minorHAnsi"/>
          <w:sz w:val="22"/>
          <w:szCs w:val="22"/>
          <w:lang w:val="fr-FR"/>
        </w:rPr>
        <w:t> </w:t>
      </w:r>
      <w:r w:rsidR="005E434C" w:rsidRPr="001961B1">
        <w:rPr>
          <w:rFonts w:asciiTheme="minorHAnsi" w:hAnsiTheme="minorHAnsi" w:cstheme="minorHAnsi"/>
          <w:sz w:val="22"/>
          <w:szCs w:val="22"/>
          <w:lang w:val="fr-FR"/>
        </w:rPr>
        <w:t xml:space="preserve">% </w:t>
      </w:r>
      <w:r w:rsidR="008551E6" w:rsidRPr="001961B1">
        <w:rPr>
          <w:rFonts w:asciiTheme="minorHAnsi" w:hAnsiTheme="minorHAnsi" w:cstheme="minorHAnsi"/>
          <w:sz w:val="22"/>
          <w:szCs w:val="22"/>
          <w:lang w:val="fr-FR"/>
        </w:rPr>
        <w:t xml:space="preserve">des </w:t>
      </w:r>
      <w:r w:rsidR="001D24A9" w:rsidRPr="001961B1">
        <w:rPr>
          <w:rFonts w:asciiTheme="minorHAnsi" w:hAnsiTheme="minorHAnsi" w:cstheme="minorHAnsi"/>
          <w:sz w:val="22"/>
          <w:szCs w:val="22"/>
          <w:lang w:val="fr-FR"/>
        </w:rPr>
        <w:t>P</w:t>
      </w:r>
      <w:r w:rsidR="005E434C" w:rsidRPr="001961B1">
        <w:rPr>
          <w:rFonts w:asciiTheme="minorHAnsi" w:hAnsiTheme="minorHAnsi" w:cstheme="minorHAnsi"/>
          <w:sz w:val="22"/>
          <w:szCs w:val="22"/>
          <w:lang w:val="fr-FR"/>
        </w:rPr>
        <w:t xml:space="preserve">arties </w:t>
      </w:r>
      <w:r w:rsidR="00770C49" w:rsidRPr="001961B1">
        <w:rPr>
          <w:rFonts w:asciiTheme="minorHAnsi" w:hAnsiTheme="minorHAnsi" w:cstheme="minorHAnsi"/>
          <w:sz w:val="22"/>
          <w:szCs w:val="22"/>
          <w:lang w:val="fr-FR"/>
        </w:rPr>
        <w:t>indiquent que</w:t>
      </w:r>
      <w:r w:rsidR="008551E6" w:rsidRPr="001961B1">
        <w:rPr>
          <w:rFonts w:asciiTheme="minorHAnsi" w:hAnsiTheme="minorHAnsi" w:cstheme="minorHAnsi"/>
          <w:sz w:val="22"/>
          <w:szCs w:val="22"/>
          <w:lang w:val="fr-FR"/>
        </w:rPr>
        <w:t xml:space="preserve"> l’étendue des zones humides </w:t>
      </w:r>
      <w:r w:rsidR="00770C49" w:rsidRPr="001961B1">
        <w:rPr>
          <w:rFonts w:asciiTheme="minorHAnsi" w:hAnsiTheme="minorHAnsi" w:cstheme="minorHAnsi"/>
          <w:sz w:val="22"/>
          <w:szCs w:val="22"/>
          <w:lang w:val="fr-FR"/>
        </w:rPr>
        <w:t>est</w:t>
      </w:r>
      <w:r w:rsidR="008551E6" w:rsidRPr="001961B1">
        <w:rPr>
          <w:rFonts w:asciiTheme="minorHAnsi" w:hAnsiTheme="minorHAnsi" w:cstheme="minorHAnsi"/>
          <w:sz w:val="22"/>
          <w:szCs w:val="22"/>
          <w:lang w:val="fr-FR"/>
        </w:rPr>
        <w:t xml:space="preserve"> inconnue ; cette proportion est restée essentiellement la même pendant les trois périodes triennales. </w:t>
      </w:r>
      <w:r w:rsidR="00CD0FB3" w:rsidRPr="001961B1">
        <w:rPr>
          <w:rFonts w:asciiTheme="minorHAnsi" w:hAnsiTheme="minorHAnsi" w:cstheme="minorHAnsi"/>
          <w:sz w:val="22"/>
          <w:szCs w:val="22"/>
          <w:lang w:val="fr-FR" w:eastAsia="fr-FR"/>
        </w:rPr>
        <w:t>Au moment de</w:t>
      </w:r>
      <w:r w:rsidR="008551E6" w:rsidRPr="001961B1">
        <w:rPr>
          <w:rFonts w:asciiTheme="minorHAnsi" w:hAnsiTheme="minorHAnsi" w:cstheme="minorHAnsi"/>
          <w:sz w:val="22"/>
          <w:szCs w:val="22"/>
          <w:lang w:val="fr-FR"/>
        </w:rPr>
        <w:t xml:space="preserve"> la COP15, 31 Parties seulement fournissent des données sur l’étendue des zones humides pour les deux types principaux de zones humides (intérieures et artificielles)</w:t>
      </w:r>
      <w:r w:rsidR="00324497" w:rsidRPr="001961B1">
        <w:rPr>
          <w:rFonts w:asciiTheme="minorHAnsi" w:hAnsiTheme="minorHAnsi" w:cstheme="minorHAnsi"/>
          <w:sz w:val="22"/>
          <w:szCs w:val="22"/>
          <w:lang w:val="fr-FR"/>
        </w:rPr>
        <w:t xml:space="preserve"> </w:t>
      </w:r>
      <w:r w:rsidR="00770C49" w:rsidRPr="001961B1">
        <w:rPr>
          <w:rFonts w:asciiTheme="minorHAnsi" w:hAnsiTheme="minorHAnsi" w:cstheme="minorHAnsi"/>
          <w:sz w:val="22"/>
          <w:szCs w:val="22"/>
          <w:lang w:val="fr-FR"/>
        </w:rPr>
        <w:t>relevant de</w:t>
      </w:r>
      <w:r w:rsidR="00324497" w:rsidRPr="001961B1">
        <w:rPr>
          <w:rFonts w:asciiTheme="minorHAnsi" w:hAnsiTheme="minorHAnsi" w:cstheme="minorHAnsi"/>
          <w:sz w:val="22"/>
          <w:szCs w:val="22"/>
          <w:lang w:val="fr-FR"/>
        </w:rPr>
        <w:t xml:space="preserve"> l’indicateur 6.6.1 des ODD. Cinq Parties signalent utiliser la </w:t>
      </w:r>
      <w:r w:rsidR="00770C49" w:rsidRPr="001961B1">
        <w:rPr>
          <w:rFonts w:asciiTheme="minorHAnsi" w:hAnsiTheme="minorHAnsi" w:cstheme="minorHAnsi"/>
          <w:sz w:val="22"/>
          <w:szCs w:val="22"/>
          <w:lang w:val="fr-FR"/>
        </w:rPr>
        <w:t>superficie</w:t>
      </w:r>
      <w:r w:rsidR="00324497" w:rsidRPr="001961B1">
        <w:rPr>
          <w:rFonts w:asciiTheme="minorHAnsi" w:hAnsiTheme="minorHAnsi" w:cstheme="minorHAnsi"/>
          <w:sz w:val="22"/>
          <w:szCs w:val="22"/>
          <w:lang w:val="fr-FR"/>
        </w:rPr>
        <w:t xml:space="preserve"> de leurs zones humides d’importance internationale comme indicateur </w:t>
      </w:r>
      <w:r w:rsidR="00770C49" w:rsidRPr="001961B1">
        <w:rPr>
          <w:rFonts w:asciiTheme="minorHAnsi" w:hAnsiTheme="minorHAnsi" w:cstheme="minorHAnsi"/>
          <w:sz w:val="22"/>
          <w:szCs w:val="22"/>
          <w:lang w:val="fr-FR"/>
        </w:rPr>
        <w:t>de</w:t>
      </w:r>
      <w:r w:rsidR="00324497" w:rsidRPr="001961B1">
        <w:rPr>
          <w:rFonts w:asciiTheme="minorHAnsi" w:hAnsiTheme="minorHAnsi" w:cstheme="minorHAnsi"/>
          <w:sz w:val="22"/>
          <w:szCs w:val="22"/>
          <w:lang w:val="fr-FR"/>
        </w:rPr>
        <w:t xml:space="preserve"> l’étendue des zones humides.</w:t>
      </w:r>
    </w:p>
    <w:p w14:paraId="68044AA0" w14:textId="77777777" w:rsidR="00AB47AE" w:rsidRPr="001961B1" w:rsidRDefault="00AB47AE" w:rsidP="000E3338">
      <w:pPr>
        <w:ind w:left="567" w:hanging="567"/>
        <w:rPr>
          <w:rFonts w:asciiTheme="minorHAnsi" w:hAnsiTheme="minorHAnsi" w:cstheme="minorHAnsi"/>
          <w:sz w:val="22"/>
          <w:szCs w:val="22"/>
          <w:lang w:val="fr-FR"/>
        </w:rPr>
      </w:pPr>
    </w:p>
    <w:p w14:paraId="526A4138" w14:textId="13F8EE62" w:rsidR="009C6380"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D67B88" w:rsidRPr="001961B1">
        <w:rPr>
          <w:rFonts w:asciiTheme="minorHAnsi" w:hAnsiTheme="minorHAnsi" w:cstheme="minorHAnsi"/>
          <w:sz w:val="22"/>
          <w:szCs w:val="22"/>
          <w:lang w:val="fr-FR"/>
        </w:rPr>
        <w:t xml:space="preserve">Le peu de </w:t>
      </w:r>
      <w:r w:rsidR="00324497" w:rsidRPr="001961B1">
        <w:rPr>
          <w:rFonts w:asciiTheme="minorHAnsi" w:hAnsiTheme="minorHAnsi" w:cstheme="minorHAnsi"/>
          <w:sz w:val="22"/>
          <w:szCs w:val="22"/>
          <w:lang w:val="fr-FR"/>
        </w:rPr>
        <w:t xml:space="preserve">progrès </w:t>
      </w:r>
      <w:r w:rsidR="00D67B88" w:rsidRPr="001961B1">
        <w:rPr>
          <w:rFonts w:asciiTheme="minorHAnsi" w:hAnsiTheme="minorHAnsi" w:cstheme="minorHAnsi"/>
          <w:sz w:val="22"/>
          <w:szCs w:val="22"/>
          <w:lang w:val="fr-FR"/>
        </w:rPr>
        <w:t>réalisés concernant</w:t>
      </w:r>
      <w:r w:rsidR="00324497" w:rsidRPr="001961B1">
        <w:rPr>
          <w:rFonts w:asciiTheme="minorHAnsi" w:hAnsiTheme="minorHAnsi" w:cstheme="minorHAnsi"/>
          <w:sz w:val="22"/>
          <w:szCs w:val="22"/>
          <w:lang w:val="fr-FR"/>
        </w:rPr>
        <w:t xml:space="preserve"> l’élaboration des INZH </w:t>
      </w:r>
      <w:r w:rsidR="00D67B88" w:rsidRPr="001961B1">
        <w:rPr>
          <w:rFonts w:asciiTheme="minorHAnsi" w:hAnsiTheme="minorHAnsi" w:cstheme="minorHAnsi"/>
          <w:sz w:val="22"/>
          <w:szCs w:val="22"/>
          <w:lang w:val="fr-FR"/>
        </w:rPr>
        <w:t>a</w:t>
      </w:r>
      <w:r w:rsidR="00324497" w:rsidRPr="001961B1">
        <w:rPr>
          <w:rFonts w:asciiTheme="minorHAnsi" w:hAnsiTheme="minorHAnsi" w:cstheme="minorHAnsi"/>
          <w:sz w:val="22"/>
          <w:szCs w:val="22"/>
          <w:lang w:val="fr-FR"/>
        </w:rPr>
        <w:t xml:space="preserve"> plusieurs incidences. </w:t>
      </w:r>
      <w:r w:rsidR="00D67B88" w:rsidRPr="001961B1">
        <w:rPr>
          <w:rFonts w:asciiTheme="minorHAnsi" w:hAnsiTheme="minorHAnsi" w:cstheme="minorHAnsi"/>
          <w:sz w:val="22"/>
          <w:szCs w:val="22"/>
          <w:lang w:val="fr-FR"/>
        </w:rPr>
        <w:t>Lorsque le</w:t>
      </w:r>
      <w:r w:rsidR="00324497" w:rsidRPr="001961B1">
        <w:rPr>
          <w:rFonts w:asciiTheme="minorHAnsi" w:hAnsiTheme="minorHAnsi" w:cstheme="minorHAnsi"/>
          <w:sz w:val="22"/>
          <w:szCs w:val="22"/>
          <w:lang w:val="fr-FR"/>
        </w:rPr>
        <w:t xml:space="preserve"> détail et </w:t>
      </w:r>
      <w:r w:rsidR="00D67B88" w:rsidRPr="001961B1">
        <w:rPr>
          <w:rFonts w:asciiTheme="minorHAnsi" w:hAnsiTheme="minorHAnsi" w:cstheme="minorHAnsi"/>
          <w:sz w:val="22"/>
          <w:szCs w:val="22"/>
          <w:lang w:val="fr-FR"/>
        </w:rPr>
        <w:t>la</w:t>
      </w:r>
      <w:r w:rsidR="00324497" w:rsidRPr="001961B1">
        <w:rPr>
          <w:rFonts w:asciiTheme="minorHAnsi" w:hAnsiTheme="minorHAnsi" w:cstheme="minorHAnsi"/>
          <w:sz w:val="22"/>
          <w:szCs w:val="22"/>
          <w:lang w:val="fr-FR"/>
        </w:rPr>
        <w:t xml:space="preserve"> précision </w:t>
      </w:r>
      <w:r w:rsidR="00D67B88" w:rsidRPr="001961B1">
        <w:rPr>
          <w:rFonts w:asciiTheme="minorHAnsi" w:hAnsiTheme="minorHAnsi" w:cstheme="minorHAnsi"/>
          <w:sz w:val="22"/>
          <w:szCs w:val="22"/>
          <w:lang w:val="fr-FR"/>
        </w:rPr>
        <w:t>des</w:t>
      </w:r>
      <w:r w:rsidR="00324497" w:rsidRPr="001961B1">
        <w:rPr>
          <w:rFonts w:asciiTheme="minorHAnsi" w:hAnsiTheme="minorHAnsi" w:cstheme="minorHAnsi"/>
          <w:sz w:val="22"/>
          <w:szCs w:val="22"/>
          <w:lang w:val="fr-FR"/>
        </w:rPr>
        <w:t xml:space="preserve"> rapports sur l’étendue des zones humides </w:t>
      </w:r>
      <w:r w:rsidR="00D67B88" w:rsidRPr="001961B1">
        <w:rPr>
          <w:rFonts w:asciiTheme="minorHAnsi" w:hAnsiTheme="minorHAnsi" w:cstheme="minorHAnsi"/>
          <w:sz w:val="22"/>
          <w:szCs w:val="22"/>
          <w:lang w:val="fr-FR"/>
        </w:rPr>
        <w:t xml:space="preserve">sont variables, </w:t>
      </w:r>
      <w:r w:rsidR="00324497" w:rsidRPr="001961B1">
        <w:rPr>
          <w:rFonts w:asciiTheme="minorHAnsi" w:hAnsiTheme="minorHAnsi" w:cstheme="minorHAnsi"/>
          <w:sz w:val="22"/>
          <w:szCs w:val="22"/>
          <w:lang w:val="fr-FR"/>
        </w:rPr>
        <w:t xml:space="preserve">la capacité de vérifier la mise en œuvre de la Convention ainsi que la mesure du changement dans l’étendue des écosystèmes </w:t>
      </w:r>
      <w:r w:rsidR="00CF53FF" w:rsidRPr="001961B1">
        <w:rPr>
          <w:rFonts w:asciiTheme="minorHAnsi" w:hAnsiTheme="minorHAnsi" w:cstheme="minorHAnsi"/>
          <w:sz w:val="22"/>
          <w:szCs w:val="22"/>
          <w:lang w:val="fr-FR"/>
        </w:rPr>
        <w:t>liés</w:t>
      </w:r>
      <w:r w:rsidR="00324497" w:rsidRPr="001961B1">
        <w:rPr>
          <w:rFonts w:asciiTheme="minorHAnsi" w:hAnsiTheme="minorHAnsi" w:cstheme="minorHAnsi"/>
          <w:sz w:val="22"/>
          <w:szCs w:val="22"/>
          <w:lang w:val="fr-FR"/>
        </w:rPr>
        <w:t xml:space="preserve"> à l’eau </w:t>
      </w:r>
      <w:r w:rsidR="00D67B88" w:rsidRPr="001961B1">
        <w:rPr>
          <w:rFonts w:asciiTheme="minorHAnsi" w:hAnsiTheme="minorHAnsi" w:cstheme="minorHAnsi"/>
          <w:sz w:val="22"/>
          <w:szCs w:val="22"/>
          <w:lang w:val="fr-FR"/>
        </w:rPr>
        <w:t xml:space="preserve">avec le temps sont limitées </w:t>
      </w:r>
      <w:r w:rsidR="00324497" w:rsidRPr="001961B1">
        <w:rPr>
          <w:rFonts w:asciiTheme="minorHAnsi" w:hAnsiTheme="minorHAnsi" w:cstheme="minorHAnsi"/>
          <w:sz w:val="22"/>
          <w:szCs w:val="22"/>
          <w:lang w:val="fr-FR"/>
        </w:rPr>
        <w:t xml:space="preserve">pour l’indicateur 6.6.1 des ODD </w:t>
      </w:r>
      <w:r w:rsidR="00D67B88" w:rsidRPr="001961B1">
        <w:rPr>
          <w:rFonts w:asciiTheme="minorHAnsi" w:hAnsiTheme="minorHAnsi" w:cstheme="minorHAnsi"/>
          <w:sz w:val="22"/>
          <w:szCs w:val="22"/>
          <w:lang w:val="fr-FR"/>
        </w:rPr>
        <w:t>dont</w:t>
      </w:r>
      <w:r w:rsidR="00324497" w:rsidRPr="001961B1">
        <w:rPr>
          <w:rFonts w:asciiTheme="minorHAnsi" w:hAnsiTheme="minorHAnsi" w:cstheme="minorHAnsi"/>
          <w:sz w:val="22"/>
          <w:szCs w:val="22"/>
          <w:lang w:val="fr-FR"/>
        </w:rPr>
        <w:t xml:space="preserve"> la Convention est coresponsable</w:t>
      </w:r>
      <w:r w:rsidR="00FE4641" w:rsidRPr="001961B1">
        <w:rPr>
          <w:rStyle w:val="FootnoteReference"/>
          <w:rFonts w:asciiTheme="minorHAnsi" w:hAnsiTheme="minorHAnsi" w:cstheme="minorHAnsi"/>
          <w:sz w:val="22"/>
          <w:szCs w:val="22"/>
          <w:lang w:val="fr-FR"/>
        </w:rPr>
        <w:footnoteReference w:id="8"/>
      </w:r>
      <w:r w:rsidR="009C6380" w:rsidRPr="001961B1">
        <w:rPr>
          <w:rFonts w:asciiTheme="minorHAnsi" w:hAnsiTheme="minorHAnsi" w:cstheme="minorHAnsi"/>
          <w:sz w:val="22"/>
          <w:szCs w:val="22"/>
          <w:lang w:val="fr-FR"/>
        </w:rPr>
        <w:t>.</w:t>
      </w:r>
      <w:r w:rsidR="006A3121" w:rsidRPr="001961B1">
        <w:rPr>
          <w:rFonts w:asciiTheme="minorHAnsi" w:hAnsiTheme="minorHAnsi" w:cstheme="minorHAnsi"/>
          <w:sz w:val="22"/>
          <w:szCs w:val="22"/>
          <w:lang w:val="fr-FR"/>
        </w:rPr>
        <w:t xml:space="preserve"> </w:t>
      </w:r>
      <w:r w:rsidR="00CF53FF" w:rsidRPr="001961B1">
        <w:rPr>
          <w:rFonts w:asciiTheme="minorHAnsi" w:hAnsiTheme="minorHAnsi" w:cstheme="minorHAnsi"/>
          <w:sz w:val="22"/>
          <w:szCs w:val="22"/>
          <w:lang w:val="fr-FR"/>
        </w:rPr>
        <w:t xml:space="preserve">En outre, les avantages potentiels de l’INZH pour le suivi et l’évaluation des zones humides nationales, la planification et la prise de décisions ainsi que pour la mise en œuvre et le suivi des progrès d’autres objectifs mondiaux tels que ceux du CMB­KM, </w:t>
      </w:r>
      <w:r w:rsidR="00D67B88" w:rsidRPr="001961B1">
        <w:rPr>
          <w:rFonts w:asciiTheme="minorHAnsi" w:hAnsiTheme="minorHAnsi" w:cstheme="minorHAnsi"/>
          <w:sz w:val="22"/>
          <w:szCs w:val="22"/>
          <w:lang w:val="fr-FR"/>
        </w:rPr>
        <w:t>restent lettre morte</w:t>
      </w:r>
      <w:r w:rsidR="00CF53FF" w:rsidRPr="001961B1">
        <w:rPr>
          <w:rFonts w:asciiTheme="minorHAnsi" w:hAnsiTheme="minorHAnsi" w:cstheme="minorHAnsi"/>
          <w:sz w:val="22"/>
          <w:szCs w:val="22"/>
          <w:lang w:val="fr-FR"/>
        </w:rPr>
        <w:t>.</w:t>
      </w:r>
      <w:r w:rsidR="003F11C7" w:rsidRPr="001961B1">
        <w:rPr>
          <w:rFonts w:asciiTheme="minorHAnsi" w:hAnsiTheme="minorHAnsi" w:cstheme="minorHAnsi"/>
          <w:sz w:val="22"/>
          <w:szCs w:val="22"/>
          <w:lang w:val="fr-FR"/>
        </w:rPr>
        <w:t xml:space="preserve"> </w:t>
      </w:r>
    </w:p>
    <w:p w14:paraId="1AB95122" w14:textId="77777777" w:rsidR="009C6380" w:rsidRPr="001961B1" w:rsidRDefault="009C6380" w:rsidP="000E3338">
      <w:pPr>
        <w:ind w:left="567" w:hanging="567"/>
        <w:rPr>
          <w:rFonts w:asciiTheme="minorHAnsi" w:hAnsiTheme="minorHAnsi" w:cstheme="minorHAnsi"/>
          <w:sz w:val="22"/>
          <w:szCs w:val="22"/>
          <w:lang w:val="fr-FR"/>
        </w:rPr>
      </w:pPr>
    </w:p>
    <w:p w14:paraId="2278C03A" w14:textId="263DDA1D" w:rsidR="00D91A79"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4</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F77545" w:rsidRPr="001961B1">
        <w:rPr>
          <w:rFonts w:asciiTheme="minorHAnsi" w:hAnsiTheme="minorHAnsi" w:cstheme="minorHAnsi"/>
          <w:sz w:val="22"/>
          <w:szCs w:val="22"/>
          <w:lang w:val="fr-FR"/>
        </w:rPr>
        <w:t xml:space="preserve">Beaucoup de Parties contractantes n’ont toujours pas la capacité d’élaborer, maintenir ou tenir à jour un INZH. Les difficultés fréquemment citées comprennent des données limitées ou obsolètes, une capacité technique limitée, des contraintes politiques ou institutionnelles et des moyens financiers </w:t>
      </w:r>
      <w:r w:rsidR="00D67B88" w:rsidRPr="001961B1">
        <w:rPr>
          <w:rFonts w:asciiTheme="minorHAnsi" w:hAnsiTheme="minorHAnsi" w:cstheme="minorHAnsi"/>
          <w:sz w:val="22"/>
          <w:szCs w:val="22"/>
          <w:lang w:val="fr-FR"/>
        </w:rPr>
        <w:t>restreints</w:t>
      </w:r>
      <w:r w:rsidR="00F77545" w:rsidRPr="001961B1">
        <w:rPr>
          <w:rFonts w:asciiTheme="minorHAnsi" w:hAnsiTheme="minorHAnsi" w:cstheme="minorHAnsi"/>
          <w:sz w:val="22"/>
          <w:szCs w:val="22"/>
          <w:lang w:val="fr-FR"/>
        </w:rPr>
        <w:t xml:space="preserve">. Les Parties </w:t>
      </w:r>
      <w:r w:rsidR="00D67B88" w:rsidRPr="001961B1">
        <w:rPr>
          <w:rFonts w:asciiTheme="minorHAnsi" w:hAnsiTheme="minorHAnsi" w:cstheme="minorHAnsi"/>
          <w:sz w:val="22"/>
          <w:szCs w:val="22"/>
          <w:lang w:val="fr-FR"/>
        </w:rPr>
        <w:t>expriment</w:t>
      </w:r>
      <w:r w:rsidR="00F77545" w:rsidRPr="001961B1">
        <w:rPr>
          <w:rFonts w:asciiTheme="minorHAnsi" w:hAnsiTheme="minorHAnsi" w:cstheme="minorHAnsi"/>
          <w:sz w:val="22"/>
          <w:szCs w:val="22"/>
          <w:lang w:val="fr-FR"/>
        </w:rPr>
        <w:t xml:space="preserve"> </w:t>
      </w:r>
      <w:r w:rsidR="00D67B88" w:rsidRPr="001961B1">
        <w:rPr>
          <w:rFonts w:asciiTheme="minorHAnsi" w:hAnsiTheme="minorHAnsi" w:cstheme="minorHAnsi"/>
          <w:sz w:val="22"/>
          <w:szCs w:val="22"/>
          <w:lang w:val="fr-FR"/>
        </w:rPr>
        <w:t>la nécessité</w:t>
      </w:r>
      <w:r w:rsidR="003A4D35" w:rsidRPr="001961B1">
        <w:rPr>
          <w:rFonts w:asciiTheme="minorHAnsi" w:hAnsiTheme="minorHAnsi" w:cstheme="minorHAnsi"/>
          <w:sz w:val="22"/>
          <w:szCs w:val="22"/>
          <w:lang w:val="fr-FR"/>
        </w:rPr>
        <w:t xml:space="preserve"> de disposer de formulaires d’inventaires normalisés et recommandés pour réduire la complexité initiale des INZH et améliorer la qualité des données, </w:t>
      </w:r>
      <w:r w:rsidR="00380FF5" w:rsidRPr="001961B1">
        <w:rPr>
          <w:rFonts w:asciiTheme="minorHAnsi" w:hAnsiTheme="minorHAnsi" w:cstheme="minorHAnsi"/>
          <w:sz w:val="22"/>
          <w:szCs w:val="22"/>
          <w:lang w:val="fr-FR"/>
        </w:rPr>
        <w:t xml:space="preserve">de </w:t>
      </w:r>
      <w:r w:rsidR="003A4D35" w:rsidRPr="001961B1">
        <w:rPr>
          <w:rFonts w:asciiTheme="minorHAnsi" w:hAnsiTheme="minorHAnsi" w:cstheme="minorHAnsi"/>
          <w:sz w:val="22"/>
          <w:szCs w:val="22"/>
          <w:lang w:val="fr-FR"/>
        </w:rPr>
        <w:t>mécanismes pour des mises à jour régulières</w:t>
      </w:r>
      <w:r w:rsidR="00380FF5" w:rsidRPr="001961B1">
        <w:rPr>
          <w:rFonts w:asciiTheme="minorHAnsi" w:hAnsiTheme="minorHAnsi" w:cstheme="minorHAnsi"/>
          <w:sz w:val="22"/>
          <w:szCs w:val="22"/>
          <w:lang w:val="fr-FR"/>
        </w:rPr>
        <w:t xml:space="preserve"> ainsi qu’un</w:t>
      </w:r>
      <w:r w:rsidR="003A4D35" w:rsidRPr="001961B1">
        <w:rPr>
          <w:rFonts w:asciiTheme="minorHAnsi" w:hAnsiTheme="minorHAnsi" w:cstheme="minorHAnsi"/>
          <w:sz w:val="22"/>
          <w:szCs w:val="22"/>
          <w:lang w:val="fr-FR"/>
        </w:rPr>
        <w:t xml:space="preserve"> accès amélioré aux données, </w:t>
      </w:r>
      <w:r w:rsidR="00380FF5" w:rsidRPr="001961B1">
        <w:rPr>
          <w:rFonts w:asciiTheme="minorHAnsi" w:hAnsiTheme="minorHAnsi" w:cstheme="minorHAnsi"/>
          <w:sz w:val="22"/>
          <w:szCs w:val="22"/>
          <w:lang w:val="fr-FR"/>
        </w:rPr>
        <w:t xml:space="preserve">d’une </w:t>
      </w:r>
      <w:r w:rsidR="003A4D35" w:rsidRPr="001961B1">
        <w:rPr>
          <w:rFonts w:asciiTheme="minorHAnsi" w:hAnsiTheme="minorHAnsi" w:cstheme="minorHAnsi"/>
          <w:sz w:val="22"/>
          <w:szCs w:val="22"/>
          <w:lang w:val="fr-FR"/>
        </w:rPr>
        <w:t>infrastructure numérique</w:t>
      </w:r>
      <w:r w:rsidR="00380FF5" w:rsidRPr="001961B1">
        <w:rPr>
          <w:rFonts w:asciiTheme="minorHAnsi" w:hAnsiTheme="minorHAnsi" w:cstheme="minorHAnsi"/>
          <w:sz w:val="22"/>
          <w:szCs w:val="22"/>
          <w:lang w:val="fr-FR"/>
        </w:rPr>
        <w:t xml:space="preserve"> renforcée</w:t>
      </w:r>
      <w:r w:rsidR="003A4D35" w:rsidRPr="001961B1">
        <w:rPr>
          <w:rFonts w:asciiTheme="minorHAnsi" w:hAnsiTheme="minorHAnsi" w:cstheme="minorHAnsi"/>
          <w:sz w:val="22"/>
          <w:szCs w:val="22"/>
          <w:lang w:val="fr-FR"/>
        </w:rPr>
        <w:t xml:space="preserve">, y compris pour améliorer l’accès du public, et </w:t>
      </w:r>
      <w:r w:rsidR="00380FF5" w:rsidRPr="001961B1">
        <w:rPr>
          <w:rFonts w:asciiTheme="minorHAnsi" w:hAnsiTheme="minorHAnsi" w:cstheme="minorHAnsi"/>
          <w:sz w:val="22"/>
          <w:szCs w:val="22"/>
          <w:lang w:val="fr-FR"/>
        </w:rPr>
        <w:t xml:space="preserve">d’un </w:t>
      </w:r>
      <w:r w:rsidR="003A4D35" w:rsidRPr="001961B1">
        <w:rPr>
          <w:rFonts w:asciiTheme="minorHAnsi" w:hAnsiTheme="minorHAnsi" w:cstheme="minorHAnsi"/>
          <w:sz w:val="22"/>
          <w:szCs w:val="22"/>
          <w:lang w:val="fr-FR"/>
        </w:rPr>
        <w:t>appui technique</w:t>
      </w:r>
      <w:r w:rsidR="00380FF5" w:rsidRPr="001961B1">
        <w:rPr>
          <w:rFonts w:asciiTheme="minorHAnsi" w:hAnsiTheme="minorHAnsi" w:cstheme="minorHAnsi"/>
          <w:sz w:val="22"/>
          <w:szCs w:val="22"/>
          <w:lang w:val="fr-FR"/>
        </w:rPr>
        <w:t xml:space="preserve"> nettement amélioré</w:t>
      </w:r>
      <w:r w:rsidR="003A4D35" w:rsidRPr="001961B1">
        <w:rPr>
          <w:rFonts w:asciiTheme="minorHAnsi" w:hAnsiTheme="minorHAnsi" w:cstheme="minorHAnsi"/>
          <w:sz w:val="22"/>
          <w:szCs w:val="22"/>
          <w:lang w:val="fr-FR"/>
        </w:rPr>
        <w:t>.</w:t>
      </w:r>
      <w:r w:rsidR="00951679" w:rsidRPr="001961B1">
        <w:rPr>
          <w:rFonts w:asciiTheme="minorHAnsi" w:hAnsiTheme="minorHAnsi" w:cstheme="minorHAnsi"/>
          <w:sz w:val="22"/>
          <w:szCs w:val="22"/>
          <w:lang w:val="fr-FR"/>
        </w:rPr>
        <w:t xml:space="preserve"> </w:t>
      </w:r>
    </w:p>
    <w:p w14:paraId="4D4841E8" w14:textId="77777777" w:rsidR="008742E3" w:rsidRPr="001961B1" w:rsidRDefault="008742E3" w:rsidP="000E3338">
      <w:pPr>
        <w:ind w:left="567" w:hanging="567"/>
        <w:rPr>
          <w:rFonts w:asciiTheme="minorHAnsi" w:hAnsiTheme="minorHAnsi" w:cstheme="minorHAnsi"/>
          <w:sz w:val="22"/>
          <w:szCs w:val="22"/>
          <w:lang w:val="fr-FR"/>
        </w:rPr>
      </w:pPr>
    </w:p>
    <w:p w14:paraId="2F2E4AE8" w14:textId="1A7C7741" w:rsidR="008742E3"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lastRenderedPageBreak/>
        <w:t>5</w:t>
      </w:r>
      <w:r w:rsidR="002E1E29"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322B42" w:rsidRPr="001961B1">
        <w:rPr>
          <w:rFonts w:asciiTheme="minorHAnsi" w:hAnsiTheme="minorHAnsi" w:cstheme="minorHAnsi"/>
          <w:sz w:val="22"/>
          <w:szCs w:val="22"/>
          <w:lang w:val="fr-FR"/>
        </w:rPr>
        <w:t>Le mécanisme d’appui du Secrétariat aux INZH pour les Parties contractantes</w:t>
      </w:r>
      <w:r w:rsidR="00322B42" w:rsidRPr="001961B1">
        <w:rPr>
          <w:rStyle w:val="FootnoteReference"/>
          <w:rFonts w:asciiTheme="minorHAnsi" w:hAnsiTheme="minorHAnsi" w:cstheme="minorHAnsi"/>
          <w:sz w:val="22"/>
          <w:szCs w:val="22"/>
          <w:lang w:val="fr-FR"/>
        </w:rPr>
        <w:footnoteReference w:id="9"/>
      </w:r>
      <w:r w:rsidR="00322B42" w:rsidRPr="001961B1">
        <w:rPr>
          <w:rFonts w:asciiTheme="minorHAnsi" w:hAnsiTheme="minorHAnsi" w:cstheme="minorHAnsi"/>
          <w:sz w:val="22"/>
          <w:szCs w:val="22"/>
          <w:lang w:val="fr-FR"/>
        </w:rPr>
        <w:t xml:space="preserve"> contribue à traiter certains de ces obstacles. Dans la Décision</w:t>
      </w:r>
      <w:r w:rsidR="008742E3" w:rsidRPr="001961B1">
        <w:rPr>
          <w:rFonts w:asciiTheme="minorHAnsi" w:hAnsiTheme="minorHAnsi" w:cstheme="minorHAnsi"/>
          <w:sz w:val="22"/>
          <w:szCs w:val="22"/>
          <w:lang w:val="fr-FR"/>
        </w:rPr>
        <w:t xml:space="preserve"> SC64-19</w:t>
      </w:r>
      <w:r w:rsidR="00322B42" w:rsidRPr="001961B1">
        <w:rPr>
          <w:rFonts w:asciiTheme="minorHAnsi" w:hAnsiTheme="minorHAnsi" w:cstheme="minorHAnsi"/>
          <w:sz w:val="22"/>
          <w:szCs w:val="22"/>
          <w:lang w:val="fr-FR"/>
        </w:rPr>
        <w:t>, le Comité permanent a donné instruction au Secrétariat d’élargir cet appui dans le cadre de partenariats, de formations et de mobilisation des ressources</w:t>
      </w:r>
      <w:r w:rsidR="00380FF5" w:rsidRPr="001961B1">
        <w:rPr>
          <w:rFonts w:asciiTheme="minorHAnsi" w:hAnsiTheme="minorHAnsi" w:cstheme="minorHAnsi"/>
          <w:sz w:val="22"/>
          <w:szCs w:val="22"/>
          <w:lang w:val="fr-FR"/>
        </w:rPr>
        <w:t xml:space="preserve"> additionnels</w:t>
      </w:r>
      <w:r w:rsidR="00322B42" w:rsidRPr="001961B1">
        <w:rPr>
          <w:rFonts w:asciiTheme="minorHAnsi" w:hAnsiTheme="minorHAnsi" w:cstheme="minorHAnsi"/>
          <w:sz w:val="22"/>
          <w:szCs w:val="22"/>
          <w:lang w:val="fr-FR"/>
        </w:rPr>
        <w:t>.</w:t>
      </w:r>
      <w:r w:rsidR="00AB2083" w:rsidRPr="001961B1">
        <w:rPr>
          <w:rFonts w:asciiTheme="minorHAnsi" w:hAnsiTheme="minorHAnsi" w:cstheme="minorHAnsi"/>
          <w:sz w:val="22"/>
          <w:szCs w:val="22"/>
          <w:lang w:val="fr-FR"/>
        </w:rPr>
        <w:t xml:space="preserve"> </w:t>
      </w:r>
    </w:p>
    <w:p w14:paraId="1004EF5A" w14:textId="77777777" w:rsidR="008742E3" w:rsidRPr="001961B1" w:rsidRDefault="008742E3" w:rsidP="00A338FF">
      <w:pPr>
        <w:rPr>
          <w:rFonts w:asciiTheme="minorHAnsi" w:hAnsiTheme="minorHAnsi" w:cstheme="minorHAnsi"/>
          <w:sz w:val="22"/>
          <w:szCs w:val="22"/>
          <w:lang w:val="fr-FR"/>
        </w:rPr>
      </w:pPr>
    </w:p>
    <w:p w14:paraId="58AE50A7" w14:textId="77777777" w:rsidR="00461A6A" w:rsidRPr="001961B1" w:rsidRDefault="00461A6A" w:rsidP="00A338FF">
      <w:pPr>
        <w:rPr>
          <w:rFonts w:asciiTheme="minorHAnsi" w:hAnsiTheme="minorHAnsi" w:cstheme="minorHAnsi"/>
          <w:sz w:val="22"/>
          <w:szCs w:val="22"/>
          <w:lang w:val="fr-FR"/>
        </w:rPr>
      </w:pPr>
    </w:p>
    <w:tbl>
      <w:tblPr>
        <w:tblStyle w:val="TableGrid16"/>
        <w:tblW w:w="9351" w:type="dxa"/>
        <w:tblLook w:val="04A0" w:firstRow="1" w:lastRow="0" w:firstColumn="1" w:lastColumn="0" w:noHBand="0" w:noVBand="1"/>
      </w:tblPr>
      <w:tblGrid>
        <w:gridCol w:w="9351"/>
      </w:tblGrid>
      <w:tr w:rsidR="002F4351" w:rsidRPr="001961B1" w14:paraId="66B54A79" w14:textId="77777777" w:rsidTr="004D229D">
        <w:tc>
          <w:tcPr>
            <w:tcW w:w="9351" w:type="dxa"/>
            <w:vAlign w:val="center"/>
          </w:tcPr>
          <w:p w14:paraId="19E4C660" w14:textId="5098CFE7" w:rsidR="002F4351" w:rsidRPr="001961B1" w:rsidRDefault="004F4626"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2F4351" w:rsidRPr="001961B1">
              <w:rPr>
                <w:rFonts w:asciiTheme="minorHAnsi" w:hAnsiTheme="minorHAnsi" w:cstheme="minorHAnsi"/>
                <w:b/>
                <w:sz w:val="22"/>
                <w:szCs w:val="22"/>
                <w:lang w:val="fr-FR" w:eastAsia="fr-FR"/>
              </w:rPr>
              <w:t xml:space="preserve"> 9. </w:t>
            </w:r>
            <w:r w:rsidR="00D31C55" w:rsidRPr="001961B1">
              <w:rPr>
                <w:rFonts w:asciiTheme="minorHAnsi" w:hAnsiTheme="minorHAnsi" w:cstheme="minorHAnsi"/>
                <w:b/>
                <w:sz w:val="22"/>
                <w:szCs w:val="22"/>
                <w:lang w:val="fr-FR" w:eastAsia="fr-FR"/>
              </w:rPr>
              <w:t>L’utilisation rationnelle des zones humides est renforcée par la gestion intégrée des ressources à l’échelle qui convient, notamment celle d’un bassin versant ou le long d’une zone côtière</w:t>
            </w:r>
            <w:r w:rsidR="002F4351" w:rsidRPr="001961B1">
              <w:rPr>
                <w:rFonts w:asciiTheme="minorHAnsi" w:hAnsiTheme="minorHAnsi" w:cstheme="minorHAnsi"/>
                <w:b/>
                <w:sz w:val="22"/>
                <w:szCs w:val="22"/>
                <w:lang w:val="fr-FR" w:eastAsia="fr-FR"/>
              </w:rPr>
              <w:t>.</w:t>
            </w:r>
          </w:p>
          <w:p w14:paraId="48CC751A" w14:textId="1B7A6352" w:rsidR="002F4351" w:rsidRPr="001961B1" w:rsidRDefault="00595282"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Contributi</w:t>
            </w:r>
            <w:r w:rsidR="00D31C55" w:rsidRPr="001961B1">
              <w:rPr>
                <w:rFonts w:asciiTheme="minorHAnsi" w:hAnsiTheme="minorHAnsi" w:cstheme="minorHAnsi"/>
                <w:bCs/>
                <w:sz w:val="22"/>
                <w:szCs w:val="22"/>
                <w:lang w:val="fr-FR" w:eastAsia="fr-FR"/>
              </w:rPr>
              <w:t>on aux cibles</w:t>
            </w:r>
            <w:r w:rsidR="002F4351" w:rsidRPr="001961B1">
              <w:rPr>
                <w:rFonts w:asciiTheme="minorHAnsi" w:hAnsiTheme="minorHAnsi" w:cstheme="minorHAnsi"/>
                <w:bCs/>
                <w:sz w:val="22"/>
                <w:szCs w:val="22"/>
                <w:lang w:val="fr-FR" w:eastAsia="fr-FR"/>
              </w:rPr>
              <w:t xml:space="preserve"> </w:t>
            </w:r>
            <w:bookmarkStart w:id="6" w:name="_Hlk193203105"/>
            <w:r w:rsidR="002F4351" w:rsidRPr="001961B1">
              <w:rPr>
                <w:rFonts w:asciiTheme="minorHAnsi" w:hAnsiTheme="minorHAnsi" w:cstheme="minorHAnsi"/>
                <w:bCs/>
                <w:sz w:val="22"/>
                <w:szCs w:val="22"/>
                <w:lang w:val="fr-FR" w:eastAsia="fr-FR"/>
              </w:rPr>
              <w:t xml:space="preserve">1, 9, 10 </w:t>
            </w:r>
            <w:r w:rsidR="00D31C55" w:rsidRPr="001961B1">
              <w:rPr>
                <w:rFonts w:asciiTheme="minorHAnsi" w:hAnsiTheme="minorHAnsi" w:cstheme="minorHAnsi"/>
                <w:bCs/>
                <w:sz w:val="22"/>
                <w:szCs w:val="22"/>
                <w:lang w:val="fr-FR" w:eastAsia="fr-FR"/>
              </w:rPr>
              <w:t>et</w:t>
            </w:r>
            <w:r w:rsidR="002F4351" w:rsidRPr="001961B1">
              <w:rPr>
                <w:rFonts w:asciiTheme="minorHAnsi" w:hAnsiTheme="minorHAnsi" w:cstheme="minorHAnsi"/>
                <w:bCs/>
                <w:sz w:val="22"/>
                <w:szCs w:val="22"/>
                <w:lang w:val="fr-FR" w:eastAsia="fr-FR"/>
              </w:rPr>
              <w:t xml:space="preserve"> 15</w:t>
            </w:r>
            <w:bookmarkEnd w:id="6"/>
            <w:r w:rsidR="00F622B7" w:rsidRPr="001961B1">
              <w:rPr>
                <w:rFonts w:asciiTheme="minorHAnsi" w:hAnsiTheme="minorHAnsi" w:cstheme="minorHAnsi"/>
                <w:bCs/>
                <w:sz w:val="22"/>
                <w:szCs w:val="22"/>
                <w:lang w:val="fr-FR" w:eastAsia="fr-FR"/>
              </w:rPr>
              <w:t xml:space="preserve"> du CMB-KM et aux cibles</w:t>
            </w:r>
            <w:r w:rsidR="00F4210F" w:rsidRPr="001961B1">
              <w:rPr>
                <w:rFonts w:asciiTheme="minorHAnsi" w:hAnsiTheme="minorHAnsi" w:cstheme="minorHAnsi"/>
                <w:bCs/>
                <w:sz w:val="22"/>
                <w:szCs w:val="22"/>
                <w:lang w:val="fr-FR" w:eastAsia="fr-FR"/>
              </w:rPr>
              <w:t xml:space="preserve"> </w:t>
            </w:r>
            <w:r w:rsidR="00A45E1C" w:rsidRPr="001961B1">
              <w:rPr>
                <w:rFonts w:asciiTheme="minorHAnsi" w:hAnsiTheme="minorHAnsi" w:cstheme="minorHAnsi"/>
                <w:bCs/>
                <w:sz w:val="22"/>
                <w:szCs w:val="22"/>
                <w:lang w:val="fr-FR" w:eastAsia="fr-FR"/>
              </w:rPr>
              <w:t>1.4</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5.a</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6.5</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8.4</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11.b</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14.7</w:t>
            </w:r>
            <w:r w:rsidR="00D647F7" w:rsidRPr="001961B1">
              <w:rPr>
                <w:rFonts w:asciiTheme="minorHAnsi" w:hAnsiTheme="minorHAnsi" w:cstheme="minorHAnsi"/>
                <w:bCs/>
                <w:sz w:val="22"/>
                <w:szCs w:val="22"/>
                <w:lang w:val="fr-FR" w:eastAsia="fr-FR"/>
              </w:rPr>
              <w:t xml:space="preserve"> </w:t>
            </w:r>
            <w:r w:rsidR="00F622B7" w:rsidRPr="001961B1">
              <w:rPr>
                <w:rFonts w:asciiTheme="minorHAnsi" w:hAnsiTheme="minorHAnsi" w:cstheme="minorHAnsi"/>
                <w:bCs/>
                <w:sz w:val="22"/>
                <w:szCs w:val="22"/>
                <w:lang w:val="fr-FR" w:eastAsia="fr-FR"/>
              </w:rPr>
              <w:t>et</w:t>
            </w:r>
            <w:r w:rsidR="00A45E1C" w:rsidRPr="001961B1">
              <w:rPr>
                <w:rFonts w:asciiTheme="minorHAnsi" w:hAnsiTheme="minorHAnsi" w:cstheme="minorHAnsi"/>
                <w:bCs/>
                <w:sz w:val="22"/>
                <w:szCs w:val="22"/>
                <w:lang w:val="fr-FR" w:eastAsia="fr-FR"/>
              </w:rPr>
              <w:t xml:space="preserve"> 14.c</w:t>
            </w:r>
            <w:r w:rsidR="00F622B7" w:rsidRPr="001961B1">
              <w:rPr>
                <w:rFonts w:asciiTheme="minorHAnsi" w:hAnsiTheme="minorHAnsi" w:cstheme="minorHAnsi"/>
                <w:bCs/>
                <w:sz w:val="22"/>
                <w:szCs w:val="22"/>
                <w:lang w:val="fr-FR" w:eastAsia="fr-FR"/>
              </w:rPr>
              <w:t xml:space="preserve"> des ODD</w:t>
            </w:r>
            <w:r w:rsidR="00D647F7" w:rsidRPr="001961B1">
              <w:rPr>
                <w:rFonts w:asciiTheme="minorHAnsi" w:hAnsiTheme="minorHAnsi" w:cstheme="minorHAnsi"/>
                <w:bCs/>
                <w:sz w:val="22"/>
                <w:szCs w:val="22"/>
                <w:lang w:val="fr-FR" w:eastAsia="fr-FR"/>
              </w:rPr>
              <w:t>.</w:t>
            </w:r>
          </w:p>
        </w:tc>
      </w:tr>
    </w:tbl>
    <w:p w14:paraId="0974B0FB" w14:textId="77777777" w:rsidR="00F207B9" w:rsidRPr="001961B1" w:rsidRDefault="00F207B9" w:rsidP="00D1463B">
      <w:pPr>
        <w:keepNext/>
        <w:rPr>
          <w:rFonts w:asciiTheme="minorHAnsi" w:hAnsiTheme="minorHAnsi" w:cstheme="minorHAnsi"/>
          <w:b/>
          <w:sz w:val="22"/>
          <w:szCs w:val="22"/>
          <w:lang w:val="fr-FR" w:eastAsia="fr-FR"/>
        </w:rPr>
      </w:pPr>
    </w:p>
    <w:p w14:paraId="0EDBEFAF" w14:textId="7B2DEAAB" w:rsidR="00B831AF" w:rsidRPr="001961B1" w:rsidRDefault="007251E6" w:rsidP="00D1463B">
      <w:pPr>
        <w:keepNext/>
        <w:rPr>
          <w:rFonts w:asciiTheme="minorHAnsi" w:hAnsiTheme="minorHAnsi" w:cstheme="minorHAnsi"/>
          <w:bCs/>
          <w:i/>
          <w:iCs/>
          <w:sz w:val="22"/>
          <w:szCs w:val="22"/>
          <w:u w:val="single"/>
          <w:lang w:val="fr-FR" w:eastAsia="fr-FR"/>
        </w:rPr>
      </w:pPr>
      <w:r w:rsidRPr="001961B1">
        <w:rPr>
          <w:rFonts w:asciiTheme="minorHAnsi" w:hAnsiTheme="minorHAnsi" w:cstheme="minorHAnsi"/>
          <w:bCs/>
          <w:i/>
          <w:iCs/>
          <w:sz w:val="22"/>
          <w:szCs w:val="22"/>
          <w:u w:val="single"/>
          <w:lang w:val="fr-FR" w:eastAsia="fr-FR"/>
        </w:rPr>
        <w:t>M</w:t>
      </w:r>
      <w:r w:rsidR="00B831AF" w:rsidRPr="001961B1">
        <w:rPr>
          <w:rFonts w:asciiTheme="minorHAnsi" w:hAnsiTheme="minorHAnsi" w:cstheme="minorHAnsi"/>
          <w:bCs/>
          <w:i/>
          <w:iCs/>
          <w:sz w:val="22"/>
          <w:szCs w:val="22"/>
          <w:u w:val="single"/>
          <w:lang w:val="fr-FR" w:eastAsia="fr-FR"/>
        </w:rPr>
        <w:t>essage</w:t>
      </w:r>
      <w:r w:rsidRPr="001961B1">
        <w:rPr>
          <w:rFonts w:asciiTheme="minorHAnsi" w:hAnsiTheme="minorHAnsi" w:cstheme="minorHAnsi"/>
          <w:bCs/>
          <w:i/>
          <w:iCs/>
          <w:sz w:val="22"/>
          <w:szCs w:val="22"/>
          <w:u w:val="single"/>
          <w:lang w:val="fr-FR" w:eastAsia="fr-FR"/>
        </w:rPr>
        <w:t xml:space="preserve"> clé</w:t>
      </w:r>
      <w:r w:rsidR="00B831AF" w:rsidRPr="001961B1">
        <w:rPr>
          <w:rFonts w:asciiTheme="minorHAnsi" w:hAnsiTheme="minorHAnsi" w:cstheme="minorHAnsi"/>
          <w:bCs/>
          <w:i/>
          <w:iCs/>
          <w:sz w:val="22"/>
          <w:szCs w:val="22"/>
          <w:u w:val="single"/>
          <w:lang w:val="fr-FR" w:eastAsia="fr-FR"/>
        </w:rPr>
        <w:t xml:space="preserve"> </w:t>
      </w:r>
    </w:p>
    <w:p w14:paraId="49FE34E1" w14:textId="77777777" w:rsidR="00F207B9" w:rsidRPr="001961B1" w:rsidRDefault="00F207B9" w:rsidP="00D1463B">
      <w:pPr>
        <w:keepNext/>
        <w:rPr>
          <w:rFonts w:asciiTheme="minorHAnsi" w:hAnsiTheme="minorHAnsi" w:cstheme="minorHAnsi"/>
          <w:sz w:val="22"/>
          <w:szCs w:val="22"/>
          <w:lang w:val="fr-FR" w:eastAsia="fr-FR"/>
        </w:rPr>
      </w:pPr>
    </w:p>
    <w:p w14:paraId="52DBB8A3" w14:textId="79D985B8" w:rsidR="00337200"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8C23BF" w:rsidRPr="001961B1">
        <w:rPr>
          <w:rFonts w:asciiTheme="minorHAnsi" w:hAnsiTheme="minorHAnsi" w:cstheme="minorHAnsi"/>
          <w:sz w:val="22"/>
          <w:szCs w:val="22"/>
          <w:lang w:val="fr-FR"/>
        </w:rPr>
        <w:t xml:space="preserve">Les </w:t>
      </w:r>
      <w:r w:rsidR="00322B42" w:rsidRPr="001961B1">
        <w:rPr>
          <w:rFonts w:asciiTheme="minorHAnsi" w:hAnsiTheme="minorHAnsi" w:cstheme="minorHAnsi"/>
          <w:sz w:val="22"/>
          <w:szCs w:val="22"/>
          <w:lang w:val="fr-FR"/>
        </w:rPr>
        <w:t xml:space="preserve">progrès </w:t>
      </w:r>
      <w:r w:rsidR="008C23BF" w:rsidRPr="001961B1">
        <w:rPr>
          <w:rFonts w:asciiTheme="minorHAnsi" w:hAnsiTheme="minorHAnsi" w:cstheme="minorHAnsi"/>
          <w:sz w:val="22"/>
          <w:szCs w:val="22"/>
          <w:lang w:val="fr-FR"/>
        </w:rPr>
        <w:t>sont globalement constants</w:t>
      </w:r>
      <w:r w:rsidR="00322B42" w:rsidRPr="001961B1">
        <w:rPr>
          <w:rFonts w:asciiTheme="minorHAnsi" w:hAnsiTheme="minorHAnsi" w:cstheme="minorHAnsi"/>
          <w:sz w:val="22"/>
          <w:szCs w:val="22"/>
          <w:lang w:val="fr-FR"/>
        </w:rPr>
        <w:t xml:space="preserve"> en matière de promotion de l’utilisation rationnelle des zones humides par une gestion intégrée des ressources, y compris sur la base de politiques pour les zones humides ou d’instruments équivalents, l’amendement de la législation ou des politiques et de nouveaux plans et projets.</w:t>
      </w:r>
      <w:r w:rsidR="00391B1F" w:rsidRPr="001961B1">
        <w:rPr>
          <w:rFonts w:asciiTheme="minorHAnsi" w:hAnsiTheme="minorHAnsi" w:cstheme="minorHAnsi"/>
          <w:sz w:val="22"/>
          <w:szCs w:val="22"/>
          <w:lang w:val="fr-FR"/>
        </w:rPr>
        <w:t xml:space="preserve"> </w:t>
      </w:r>
    </w:p>
    <w:p w14:paraId="488377E9" w14:textId="77777777" w:rsidR="00461A6A" w:rsidRPr="001961B1" w:rsidRDefault="00461A6A" w:rsidP="00A338FF">
      <w:pPr>
        <w:rPr>
          <w:rFonts w:asciiTheme="minorHAnsi" w:hAnsiTheme="minorHAnsi" w:cstheme="minorHAnsi"/>
          <w:sz w:val="22"/>
          <w:szCs w:val="22"/>
          <w:lang w:val="fr-FR" w:eastAsia="fr-FR"/>
        </w:rPr>
      </w:pPr>
    </w:p>
    <w:tbl>
      <w:tblPr>
        <w:tblStyle w:val="TableGrid28"/>
        <w:tblW w:w="9353" w:type="dxa"/>
        <w:tblLook w:val="04A0" w:firstRow="1" w:lastRow="0" w:firstColumn="1" w:lastColumn="0" w:noHBand="0" w:noVBand="1"/>
      </w:tblPr>
      <w:tblGrid>
        <w:gridCol w:w="4426"/>
        <w:gridCol w:w="1130"/>
        <w:gridCol w:w="820"/>
        <w:gridCol w:w="820"/>
        <w:gridCol w:w="820"/>
        <w:gridCol w:w="1337"/>
      </w:tblGrid>
      <w:tr w:rsidR="00107172" w:rsidRPr="001961B1" w14:paraId="2FF392A8" w14:textId="77777777" w:rsidTr="00567061">
        <w:trPr>
          <w:cantSplit/>
        </w:trPr>
        <w:tc>
          <w:tcPr>
            <w:tcW w:w="0" w:type="auto"/>
            <w:vAlign w:val="center"/>
            <w:hideMark/>
          </w:tcPr>
          <w:p w14:paraId="433A063B" w14:textId="125EB186"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D31C55"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hideMark/>
          </w:tcPr>
          <w:p w14:paraId="454F1A2D" w14:textId="16D8E11C" w:rsidR="00107172" w:rsidRPr="001961B1" w:rsidRDefault="00D31C5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hideMark/>
          </w:tcPr>
          <w:p w14:paraId="06AC0E9C"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0" w:type="auto"/>
            <w:vAlign w:val="center"/>
            <w:hideMark/>
          </w:tcPr>
          <w:p w14:paraId="11B93D7B"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0" w:type="auto"/>
            <w:vAlign w:val="center"/>
            <w:hideMark/>
          </w:tcPr>
          <w:p w14:paraId="0A78641D"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0" w:type="auto"/>
            <w:vAlign w:val="center"/>
            <w:hideMark/>
          </w:tcPr>
          <w:p w14:paraId="47A56A80" w14:textId="6BFE97ED"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w:t>
            </w:r>
            <w:r w:rsidR="00D31C55" w:rsidRPr="001961B1">
              <w:rPr>
                <w:rFonts w:asciiTheme="minorHAnsi" w:eastAsia="Aptos" w:hAnsiTheme="minorHAnsi" w:cstheme="minorHAnsi"/>
                <w:b/>
                <w:bCs/>
                <w:sz w:val="22"/>
                <w:szCs w:val="22"/>
              </w:rPr>
              <w:t>endance</w:t>
            </w:r>
          </w:p>
        </w:tc>
      </w:tr>
      <w:tr w:rsidR="00107172" w:rsidRPr="001961B1" w14:paraId="4474D0B3" w14:textId="77777777" w:rsidTr="00567061">
        <w:trPr>
          <w:cantSplit/>
        </w:trPr>
        <w:tc>
          <w:tcPr>
            <w:tcW w:w="0" w:type="auto"/>
          </w:tcPr>
          <w:p w14:paraId="2E4E0EEC" w14:textId="7F07D5ED"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251E6" w:rsidRPr="001961B1">
              <w:rPr>
                <w:rFonts w:asciiTheme="minorHAnsi" w:eastAsia="Aptos" w:hAnsiTheme="minorHAnsi" w:cstheme="minorHAnsi"/>
                <w:sz w:val="22"/>
                <w:szCs w:val="22"/>
                <w:lang w:val="fr-FR"/>
              </w:rPr>
              <w:t>de Parties ayant adopté des politiques pour les zones humides ou instruments équivalents pour promouvoir l’utilisation rationnelle de leurs zones humides</w:t>
            </w:r>
            <w:r w:rsidRPr="001961B1">
              <w:rPr>
                <w:rFonts w:asciiTheme="minorHAnsi" w:eastAsia="Aptos" w:hAnsiTheme="minorHAnsi" w:cstheme="minorHAnsi"/>
                <w:sz w:val="22"/>
                <w:szCs w:val="22"/>
                <w:lang w:val="fr-FR"/>
              </w:rPr>
              <w:t>.</w:t>
            </w:r>
          </w:p>
        </w:tc>
        <w:tc>
          <w:tcPr>
            <w:tcW w:w="0" w:type="auto"/>
          </w:tcPr>
          <w:p w14:paraId="11CEADCF" w14:textId="17C1A689"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55</w:t>
            </w:r>
            <w:r w:rsidR="00322B42" w:rsidRPr="001961B1">
              <w:rPr>
                <w:rFonts w:asciiTheme="minorHAnsi" w:eastAsia="Aptos" w:hAnsiTheme="minorHAnsi" w:cstheme="minorHAnsi"/>
                <w:b/>
                <w:bCs/>
                <w:sz w:val="22"/>
                <w:szCs w:val="22"/>
              </w:rPr>
              <w:t xml:space="preserve"> %</w:t>
            </w:r>
          </w:p>
        </w:tc>
        <w:tc>
          <w:tcPr>
            <w:tcW w:w="0" w:type="auto"/>
          </w:tcPr>
          <w:p w14:paraId="40EEA2AF" w14:textId="5F38F3E6"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52</w:t>
            </w:r>
            <w:r w:rsidR="00322B42" w:rsidRPr="001961B1">
              <w:rPr>
                <w:rFonts w:asciiTheme="minorHAnsi" w:eastAsia="Aptos" w:hAnsiTheme="minorHAnsi" w:cstheme="minorHAnsi"/>
                <w:b/>
                <w:bCs/>
                <w:sz w:val="22"/>
                <w:szCs w:val="22"/>
              </w:rPr>
              <w:t xml:space="preserve"> %</w:t>
            </w:r>
          </w:p>
        </w:tc>
        <w:tc>
          <w:tcPr>
            <w:tcW w:w="0" w:type="auto"/>
          </w:tcPr>
          <w:p w14:paraId="1DE3EE2A" w14:textId="2141806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68</w:t>
            </w:r>
            <w:r w:rsidR="00322B42" w:rsidRPr="001961B1">
              <w:rPr>
                <w:rFonts w:asciiTheme="minorHAnsi" w:eastAsia="Aptos" w:hAnsiTheme="minorHAnsi" w:cstheme="minorHAnsi"/>
                <w:b/>
                <w:bCs/>
                <w:sz w:val="22"/>
                <w:szCs w:val="22"/>
              </w:rPr>
              <w:t xml:space="preserve"> %</w:t>
            </w:r>
          </w:p>
        </w:tc>
        <w:tc>
          <w:tcPr>
            <w:tcW w:w="0" w:type="auto"/>
          </w:tcPr>
          <w:p w14:paraId="4C348BE3" w14:textId="108DA284"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61</w:t>
            </w:r>
            <w:r w:rsidR="00322B42" w:rsidRPr="001961B1">
              <w:rPr>
                <w:rFonts w:asciiTheme="minorHAnsi" w:eastAsia="Aptos" w:hAnsiTheme="minorHAnsi" w:cstheme="minorHAnsi"/>
                <w:b/>
                <w:bCs/>
                <w:sz w:val="22"/>
                <w:szCs w:val="22"/>
              </w:rPr>
              <w:t xml:space="preserve"> %</w:t>
            </w:r>
          </w:p>
        </w:tc>
        <w:tc>
          <w:tcPr>
            <w:tcW w:w="0" w:type="auto"/>
          </w:tcPr>
          <w:p w14:paraId="16E75A03" w14:textId="4603385C" w:rsidR="00107172" w:rsidRPr="001961B1" w:rsidRDefault="00567061" w:rsidP="00CD3F6B">
            <w:pPr>
              <w:rPr>
                <w:rFonts w:asciiTheme="minorHAnsi" w:eastAsia="Aptos" w:hAnsiTheme="minorHAnsi" w:cstheme="minorHAnsi"/>
                <w:sz w:val="22"/>
                <w:szCs w:val="22"/>
              </w:rPr>
            </w:pPr>
            <w:r w:rsidRPr="001961B1">
              <w:rPr>
                <w:rFonts w:asciiTheme="minorHAnsi" w:hAnsiTheme="minorHAnsi" w:cstheme="minorHAnsi"/>
                <w:noProof/>
                <w:sz w:val="22"/>
                <w:szCs w:val="22"/>
                <w:lang w:val="en-CA" w:eastAsia="en-CA"/>
              </w:rPr>
              <w:drawing>
                <wp:inline distT="0" distB="0" distL="0" distR="0" wp14:anchorId="47ACF1C1" wp14:editId="50C365D5">
                  <wp:extent cx="712200" cy="432000"/>
                  <wp:effectExtent l="0" t="0" r="0" b="0"/>
                  <wp:docPr id="6475954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6D900ED7" w14:textId="77777777" w:rsidTr="00567061">
        <w:trPr>
          <w:cantSplit/>
        </w:trPr>
        <w:tc>
          <w:tcPr>
            <w:tcW w:w="0" w:type="auto"/>
          </w:tcPr>
          <w:p w14:paraId="507731ED" w14:textId="2B34BE0F"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251E6" w:rsidRPr="001961B1">
              <w:rPr>
                <w:rFonts w:asciiTheme="minorHAnsi" w:eastAsia="Aptos" w:hAnsiTheme="minorHAnsi" w:cstheme="minorHAnsi"/>
                <w:sz w:val="22"/>
                <w:szCs w:val="22"/>
                <w:lang w:val="fr-FR"/>
              </w:rPr>
              <w:t>de Parties considérant les zones humides comme une infrastructure hydrologique naturelle indissociable de la gestion des ressources en eau à l’échelle du bassin hydrographique</w:t>
            </w:r>
            <w:r w:rsidRPr="001961B1">
              <w:rPr>
                <w:rFonts w:asciiTheme="minorHAnsi" w:eastAsia="Aptos" w:hAnsiTheme="minorHAnsi" w:cstheme="minorHAnsi"/>
                <w:sz w:val="22"/>
                <w:szCs w:val="22"/>
                <w:lang w:val="fr-FR"/>
              </w:rPr>
              <w:t>.</w:t>
            </w:r>
          </w:p>
        </w:tc>
        <w:tc>
          <w:tcPr>
            <w:tcW w:w="0" w:type="auto"/>
          </w:tcPr>
          <w:p w14:paraId="66DCD924" w14:textId="386712B3"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71</w:t>
            </w:r>
            <w:r w:rsidR="00322B42" w:rsidRPr="001961B1">
              <w:rPr>
                <w:rFonts w:asciiTheme="minorHAnsi" w:eastAsia="Aptos" w:hAnsiTheme="minorHAnsi" w:cstheme="minorHAnsi"/>
                <w:b/>
                <w:bCs/>
                <w:sz w:val="22"/>
                <w:szCs w:val="22"/>
              </w:rPr>
              <w:t xml:space="preserve"> %</w:t>
            </w:r>
          </w:p>
        </w:tc>
        <w:tc>
          <w:tcPr>
            <w:tcW w:w="0" w:type="auto"/>
          </w:tcPr>
          <w:p w14:paraId="41831E55" w14:textId="2A1A828C"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63</w:t>
            </w:r>
            <w:r w:rsidR="00322B42" w:rsidRPr="001961B1">
              <w:rPr>
                <w:rFonts w:asciiTheme="minorHAnsi" w:eastAsia="Aptos" w:hAnsiTheme="minorHAnsi" w:cstheme="minorHAnsi"/>
                <w:b/>
                <w:bCs/>
                <w:sz w:val="22"/>
                <w:szCs w:val="22"/>
              </w:rPr>
              <w:t xml:space="preserve"> %</w:t>
            </w:r>
          </w:p>
        </w:tc>
        <w:tc>
          <w:tcPr>
            <w:tcW w:w="0" w:type="auto"/>
          </w:tcPr>
          <w:p w14:paraId="5E2F7E11" w14:textId="199447A2"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75</w:t>
            </w:r>
            <w:r w:rsidR="00322B42" w:rsidRPr="001961B1">
              <w:rPr>
                <w:rFonts w:asciiTheme="minorHAnsi" w:eastAsia="Aptos" w:hAnsiTheme="minorHAnsi" w:cstheme="minorHAnsi"/>
                <w:b/>
                <w:bCs/>
                <w:sz w:val="22"/>
                <w:szCs w:val="22"/>
              </w:rPr>
              <w:t xml:space="preserve"> %</w:t>
            </w:r>
          </w:p>
        </w:tc>
        <w:tc>
          <w:tcPr>
            <w:tcW w:w="0" w:type="auto"/>
          </w:tcPr>
          <w:p w14:paraId="5F042E30" w14:textId="7FAE08D1"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80</w:t>
            </w:r>
            <w:r w:rsidR="00322B42" w:rsidRPr="001961B1">
              <w:rPr>
                <w:rFonts w:asciiTheme="minorHAnsi" w:eastAsia="Aptos" w:hAnsiTheme="minorHAnsi" w:cstheme="minorHAnsi"/>
                <w:b/>
                <w:bCs/>
                <w:sz w:val="22"/>
                <w:szCs w:val="22"/>
              </w:rPr>
              <w:t xml:space="preserve"> %</w:t>
            </w:r>
          </w:p>
        </w:tc>
        <w:tc>
          <w:tcPr>
            <w:tcW w:w="0" w:type="auto"/>
          </w:tcPr>
          <w:p w14:paraId="3E6CC360" w14:textId="49EE4D00" w:rsidR="00107172" w:rsidRPr="001961B1" w:rsidRDefault="0094316A"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1844900" wp14:editId="53EDF791">
                  <wp:extent cx="712200" cy="432000"/>
                  <wp:effectExtent l="0" t="0" r="0" b="0"/>
                  <wp:docPr id="20272503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6DBF17A7" w14:textId="77777777" w:rsidR="00FB380C" w:rsidRPr="001961B1" w:rsidRDefault="00FB380C" w:rsidP="00CD3F6B">
      <w:pPr>
        <w:rPr>
          <w:rFonts w:asciiTheme="minorHAnsi" w:hAnsiTheme="minorHAnsi" w:cstheme="minorHAnsi"/>
          <w:b/>
          <w:bCs/>
          <w:sz w:val="22"/>
          <w:szCs w:val="22"/>
        </w:rPr>
      </w:pPr>
    </w:p>
    <w:p w14:paraId="13C39302" w14:textId="0490FBAB" w:rsidR="000037C1"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735EC3" w:rsidRPr="001961B1">
        <w:rPr>
          <w:rFonts w:asciiTheme="minorHAnsi" w:hAnsiTheme="minorHAnsi" w:cstheme="minorHAnsi"/>
          <w:i/>
          <w:iCs/>
          <w:sz w:val="22"/>
          <w:szCs w:val="22"/>
          <w:u w:val="single"/>
          <w:lang w:val="fr-FR"/>
        </w:rPr>
        <w:t xml:space="preserve"> </w:t>
      </w:r>
    </w:p>
    <w:p w14:paraId="026A0805" w14:textId="77777777" w:rsidR="00461A6A" w:rsidRPr="001961B1" w:rsidRDefault="00461A6A" w:rsidP="00D1463B">
      <w:pPr>
        <w:keepNext/>
        <w:rPr>
          <w:rFonts w:asciiTheme="minorHAnsi" w:hAnsiTheme="minorHAnsi" w:cstheme="minorHAnsi"/>
          <w:b/>
          <w:bCs/>
          <w:sz w:val="22"/>
          <w:szCs w:val="22"/>
          <w:lang w:val="fr-FR"/>
        </w:rPr>
      </w:pPr>
    </w:p>
    <w:p w14:paraId="41057860" w14:textId="400978B7" w:rsidR="00824137"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7E6DBE" w:rsidRPr="001961B1">
        <w:rPr>
          <w:rFonts w:asciiTheme="minorHAnsi" w:hAnsiTheme="minorHAnsi" w:cstheme="minorHAnsi"/>
          <w:sz w:val="22"/>
          <w:szCs w:val="22"/>
          <w:lang w:val="fr-FR"/>
        </w:rPr>
        <w:t xml:space="preserve">Au fil des trois périodes triennales, on a pu noter une augmentation aussi bien de la proportion de Parties contractantes ayant adopté </w:t>
      </w:r>
      <w:r w:rsidR="00486F73" w:rsidRPr="001961B1">
        <w:rPr>
          <w:rFonts w:asciiTheme="minorHAnsi" w:hAnsiTheme="minorHAnsi" w:cstheme="minorHAnsi"/>
          <w:sz w:val="22"/>
          <w:szCs w:val="22"/>
          <w:lang w:val="fr-FR"/>
        </w:rPr>
        <w:t xml:space="preserve">des politiques pour les zones humides ou instruments équivalents qui encouragent l’utilisation rationnelle de leurs zones humides, </w:t>
      </w:r>
      <w:r w:rsidR="00431ABF" w:rsidRPr="001961B1">
        <w:rPr>
          <w:rFonts w:asciiTheme="minorHAnsi" w:hAnsiTheme="minorHAnsi" w:cstheme="minorHAnsi"/>
          <w:sz w:val="22"/>
          <w:szCs w:val="22"/>
          <w:lang w:val="fr-FR"/>
        </w:rPr>
        <w:t>que de</w:t>
      </w:r>
      <w:r w:rsidR="00486F73" w:rsidRPr="001961B1">
        <w:rPr>
          <w:rFonts w:asciiTheme="minorHAnsi" w:hAnsiTheme="minorHAnsi" w:cstheme="minorHAnsi"/>
          <w:sz w:val="22"/>
          <w:szCs w:val="22"/>
          <w:lang w:val="fr-FR"/>
        </w:rPr>
        <w:t xml:space="preserve"> la proportion de Parties </w:t>
      </w:r>
      <w:r w:rsidR="00431ABF" w:rsidRPr="001961B1">
        <w:rPr>
          <w:rFonts w:asciiTheme="minorHAnsi" w:hAnsiTheme="minorHAnsi" w:cstheme="minorHAnsi"/>
          <w:sz w:val="22"/>
          <w:szCs w:val="22"/>
          <w:lang w:val="fr-FR"/>
        </w:rPr>
        <w:t>considérant</w:t>
      </w:r>
      <w:r w:rsidR="00486F73" w:rsidRPr="001961B1">
        <w:rPr>
          <w:rFonts w:asciiTheme="minorHAnsi" w:hAnsiTheme="minorHAnsi" w:cstheme="minorHAnsi"/>
          <w:sz w:val="22"/>
          <w:szCs w:val="22"/>
          <w:lang w:val="fr-FR"/>
        </w:rPr>
        <w:t xml:space="preserve"> les zones humides comme une infrastructure </w:t>
      </w:r>
      <w:r w:rsidR="00431ABF" w:rsidRPr="001961B1">
        <w:rPr>
          <w:rFonts w:asciiTheme="minorHAnsi" w:hAnsiTheme="minorHAnsi" w:cstheme="minorHAnsi"/>
          <w:sz w:val="22"/>
          <w:szCs w:val="22"/>
          <w:lang w:val="fr-FR"/>
        </w:rPr>
        <w:t xml:space="preserve">aquatique </w:t>
      </w:r>
      <w:r w:rsidR="00486F73" w:rsidRPr="001961B1">
        <w:rPr>
          <w:rFonts w:asciiTheme="minorHAnsi" w:hAnsiTheme="minorHAnsi" w:cstheme="minorHAnsi"/>
          <w:sz w:val="22"/>
          <w:szCs w:val="22"/>
          <w:lang w:val="fr-FR"/>
        </w:rPr>
        <w:t xml:space="preserve">naturelle, </w:t>
      </w:r>
      <w:r w:rsidR="00431ABF" w:rsidRPr="001961B1">
        <w:rPr>
          <w:rFonts w:asciiTheme="minorHAnsi" w:hAnsiTheme="minorHAnsi" w:cstheme="minorHAnsi"/>
          <w:sz w:val="22"/>
          <w:szCs w:val="22"/>
          <w:lang w:val="fr-FR"/>
        </w:rPr>
        <w:t>partie intégrante</w:t>
      </w:r>
      <w:r w:rsidR="00486F73" w:rsidRPr="001961B1">
        <w:rPr>
          <w:rFonts w:asciiTheme="minorHAnsi" w:hAnsiTheme="minorHAnsi" w:cstheme="minorHAnsi"/>
          <w:sz w:val="22"/>
          <w:szCs w:val="22"/>
          <w:lang w:val="fr-FR"/>
        </w:rPr>
        <w:t xml:space="preserve"> de la gestion des ressources en eau à l’échelle du bassin versant. Les variations entre les régions sont relativement modérées.</w:t>
      </w:r>
    </w:p>
    <w:p w14:paraId="5736DFB7" w14:textId="77777777" w:rsidR="00824137" w:rsidRPr="001961B1" w:rsidRDefault="00824137" w:rsidP="000E3338">
      <w:pPr>
        <w:ind w:left="567" w:hanging="567"/>
        <w:rPr>
          <w:rFonts w:asciiTheme="minorHAnsi" w:hAnsiTheme="minorHAnsi" w:cstheme="minorHAnsi"/>
          <w:sz w:val="22"/>
          <w:szCs w:val="22"/>
          <w:lang w:val="fr-FR"/>
        </w:rPr>
      </w:pPr>
    </w:p>
    <w:p w14:paraId="7DC1A9EF" w14:textId="0C0421A8" w:rsidR="002B3103"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w:t>
      </w:r>
      <w:r w:rsidR="002E1E29" w:rsidRPr="001961B1">
        <w:rPr>
          <w:rFonts w:asciiTheme="minorHAnsi" w:hAnsiTheme="minorHAnsi" w:cstheme="minorHAnsi"/>
          <w:sz w:val="22"/>
          <w:szCs w:val="22"/>
          <w:lang w:val="fr-FR"/>
        </w:rPr>
        <w:t>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01203C" w:rsidRPr="001961B1">
        <w:rPr>
          <w:rFonts w:asciiTheme="minorHAnsi" w:hAnsiTheme="minorHAnsi" w:cstheme="minorHAnsi"/>
          <w:sz w:val="22"/>
          <w:szCs w:val="22"/>
          <w:lang w:val="fr-FR"/>
        </w:rPr>
        <w:t>Le</w:t>
      </w:r>
      <w:r w:rsidR="00AA142F" w:rsidRPr="001961B1">
        <w:rPr>
          <w:rFonts w:asciiTheme="minorHAnsi" w:hAnsiTheme="minorHAnsi" w:cstheme="minorHAnsi"/>
          <w:sz w:val="22"/>
          <w:szCs w:val="22"/>
          <w:lang w:val="fr-FR"/>
        </w:rPr>
        <w:t xml:space="preserve"> nombre de Parties contractantes </w:t>
      </w:r>
      <w:r w:rsidR="0001203C" w:rsidRPr="001961B1">
        <w:rPr>
          <w:rFonts w:asciiTheme="minorHAnsi" w:hAnsiTheme="minorHAnsi" w:cstheme="minorHAnsi"/>
          <w:sz w:val="22"/>
          <w:szCs w:val="22"/>
          <w:lang w:val="fr-FR"/>
        </w:rPr>
        <w:t xml:space="preserve">qui </w:t>
      </w:r>
      <w:r w:rsidR="00AA142F" w:rsidRPr="001961B1">
        <w:rPr>
          <w:rFonts w:asciiTheme="minorHAnsi" w:hAnsiTheme="minorHAnsi" w:cstheme="minorHAnsi"/>
          <w:sz w:val="22"/>
          <w:szCs w:val="22"/>
          <w:lang w:val="fr-FR"/>
        </w:rPr>
        <w:t>signal</w:t>
      </w:r>
      <w:r w:rsidR="0001203C" w:rsidRPr="001961B1">
        <w:rPr>
          <w:rFonts w:asciiTheme="minorHAnsi" w:hAnsiTheme="minorHAnsi" w:cstheme="minorHAnsi"/>
          <w:sz w:val="22"/>
          <w:szCs w:val="22"/>
          <w:lang w:val="fr-FR"/>
        </w:rPr>
        <w:t>e</w:t>
      </w:r>
      <w:r w:rsidR="00AA142F" w:rsidRPr="001961B1">
        <w:rPr>
          <w:rFonts w:asciiTheme="minorHAnsi" w:hAnsiTheme="minorHAnsi" w:cstheme="minorHAnsi"/>
          <w:sz w:val="22"/>
          <w:szCs w:val="22"/>
          <w:lang w:val="fr-FR"/>
        </w:rPr>
        <w:t xml:space="preserve">nt </w:t>
      </w:r>
      <w:r w:rsidR="0001203C" w:rsidRPr="001961B1">
        <w:rPr>
          <w:rFonts w:asciiTheme="minorHAnsi" w:hAnsiTheme="minorHAnsi" w:cstheme="minorHAnsi"/>
          <w:sz w:val="22"/>
          <w:szCs w:val="22"/>
          <w:lang w:val="fr-FR"/>
        </w:rPr>
        <w:t>avoir modifié leur</w:t>
      </w:r>
      <w:r w:rsidR="00AA142F" w:rsidRPr="001961B1">
        <w:rPr>
          <w:rFonts w:asciiTheme="minorHAnsi" w:hAnsiTheme="minorHAnsi" w:cstheme="minorHAnsi"/>
          <w:sz w:val="22"/>
          <w:szCs w:val="22"/>
          <w:lang w:val="fr-FR"/>
        </w:rPr>
        <w:t xml:space="preserve"> législation ou </w:t>
      </w:r>
      <w:r w:rsidR="0001203C" w:rsidRPr="001961B1">
        <w:rPr>
          <w:rFonts w:asciiTheme="minorHAnsi" w:hAnsiTheme="minorHAnsi" w:cstheme="minorHAnsi"/>
          <w:sz w:val="22"/>
          <w:szCs w:val="22"/>
          <w:lang w:val="fr-FR"/>
        </w:rPr>
        <w:t>les</w:t>
      </w:r>
      <w:r w:rsidR="00AA142F" w:rsidRPr="001961B1">
        <w:rPr>
          <w:rFonts w:asciiTheme="minorHAnsi" w:hAnsiTheme="minorHAnsi" w:cstheme="minorHAnsi"/>
          <w:sz w:val="22"/>
          <w:szCs w:val="22"/>
          <w:lang w:val="fr-FR"/>
        </w:rPr>
        <w:t xml:space="preserve"> politiques existantes pour refléter leurs engagements en vertu de la Convention</w:t>
      </w:r>
      <w:r w:rsidR="0001203C" w:rsidRPr="001961B1">
        <w:rPr>
          <w:rFonts w:asciiTheme="minorHAnsi" w:hAnsiTheme="minorHAnsi" w:cstheme="minorHAnsi"/>
          <w:sz w:val="22"/>
          <w:szCs w:val="22"/>
          <w:lang w:val="fr-FR"/>
        </w:rPr>
        <w:t xml:space="preserve"> a beaucoup augmenté</w:t>
      </w:r>
      <w:r w:rsidR="00AA142F" w:rsidRPr="001961B1">
        <w:rPr>
          <w:rFonts w:asciiTheme="minorHAnsi" w:hAnsiTheme="minorHAnsi" w:cstheme="minorHAnsi"/>
          <w:sz w:val="22"/>
          <w:szCs w:val="22"/>
          <w:lang w:val="fr-FR"/>
        </w:rPr>
        <w:t xml:space="preserve">, de 36 % à la COP13 à 47 % pour la COP15. Les Parties signalent également une augmentation des travaux de recherche pour </w:t>
      </w:r>
      <w:r w:rsidR="0001203C" w:rsidRPr="001961B1">
        <w:rPr>
          <w:rFonts w:asciiTheme="minorHAnsi" w:hAnsiTheme="minorHAnsi" w:cstheme="minorHAnsi"/>
          <w:sz w:val="22"/>
          <w:szCs w:val="22"/>
          <w:lang w:val="fr-FR"/>
        </w:rPr>
        <w:t>soutenir</w:t>
      </w:r>
      <w:r w:rsidR="00AA142F" w:rsidRPr="001961B1">
        <w:rPr>
          <w:rFonts w:asciiTheme="minorHAnsi" w:hAnsiTheme="minorHAnsi" w:cstheme="minorHAnsi"/>
          <w:sz w:val="22"/>
          <w:szCs w:val="22"/>
          <w:lang w:val="fr-FR"/>
        </w:rPr>
        <w:t xml:space="preserve"> les politiques et plans pour les zones humides axés sur l’évaluation des services écosystémiques. </w:t>
      </w:r>
    </w:p>
    <w:p w14:paraId="3208A7B8" w14:textId="77777777" w:rsidR="002B3103" w:rsidRPr="001961B1" w:rsidRDefault="002B3103" w:rsidP="000E3338">
      <w:pPr>
        <w:ind w:left="567" w:hanging="567"/>
        <w:rPr>
          <w:rFonts w:asciiTheme="minorHAnsi" w:hAnsiTheme="minorHAnsi" w:cstheme="minorHAnsi"/>
          <w:sz w:val="22"/>
          <w:szCs w:val="22"/>
          <w:lang w:val="fr-FR"/>
        </w:rPr>
      </w:pPr>
    </w:p>
    <w:p w14:paraId="53D068FE" w14:textId="3B330205" w:rsidR="00AA4896" w:rsidRPr="001961B1" w:rsidRDefault="002E1E29"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59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rPr>
        <w:t>Au moment de</w:t>
      </w:r>
      <w:r w:rsidR="00FF0475" w:rsidRPr="001961B1">
        <w:rPr>
          <w:rFonts w:asciiTheme="minorHAnsi" w:hAnsiTheme="minorHAnsi" w:cstheme="minorHAnsi"/>
          <w:sz w:val="22"/>
          <w:szCs w:val="22"/>
          <w:lang w:val="fr-FR"/>
        </w:rPr>
        <w:t xml:space="preserve"> la </w:t>
      </w:r>
      <w:r w:rsidR="008601D3" w:rsidRPr="001961B1">
        <w:rPr>
          <w:rFonts w:asciiTheme="minorHAnsi" w:hAnsiTheme="minorHAnsi" w:cstheme="minorHAnsi"/>
          <w:sz w:val="22"/>
          <w:szCs w:val="22"/>
          <w:lang w:val="fr-FR"/>
        </w:rPr>
        <w:t>COP15</w:t>
      </w:r>
      <w:r w:rsidR="00882EFD" w:rsidRPr="001961B1">
        <w:rPr>
          <w:rFonts w:asciiTheme="minorHAnsi" w:hAnsiTheme="minorHAnsi" w:cstheme="minorHAnsi"/>
          <w:sz w:val="22"/>
          <w:szCs w:val="22"/>
          <w:lang w:val="fr-FR"/>
        </w:rPr>
        <w:t>,</w:t>
      </w:r>
      <w:r w:rsidR="008601D3" w:rsidRPr="001961B1">
        <w:rPr>
          <w:rFonts w:asciiTheme="minorHAnsi" w:hAnsiTheme="minorHAnsi" w:cstheme="minorHAnsi"/>
          <w:sz w:val="22"/>
          <w:szCs w:val="22"/>
          <w:lang w:val="fr-FR"/>
        </w:rPr>
        <w:t xml:space="preserve"> </w:t>
      </w:r>
      <w:r w:rsidR="008E02C2" w:rsidRPr="001961B1">
        <w:rPr>
          <w:rFonts w:asciiTheme="minorHAnsi" w:hAnsiTheme="minorHAnsi" w:cstheme="minorHAnsi"/>
          <w:sz w:val="22"/>
          <w:szCs w:val="22"/>
          <w:lang w:val="fr-FR"/>
        </w:rPr>
        <w:t>46</w:t>
      </w:r>
      <w:r w:rsidR="00FF0475" w:rsidRPr="001961B1">
        <w:rPr>
          <w:rFonts w:asciiTheme="minorHAnsi" w:hAnsiTheme="minorHAnsi" w:cstheme="minorHAnsi"/>
          <w:sz w:val="22"/>
          <w:szCs w:val="22"/>
          <w:lang w:val="fr-FR"/>
        </w:rPr>
        <w:t> </w:t>
      </w:r>
      <w:r w:rsidR="008E02C2" w:rsidRPr="001961B1">
        <w:rPr>
          <w:rFonts w:asciiTheme="minorHAnsi" w:hAnsiTheme="minorHAnsi" w:cstheme="minorHAnsi"/>
          <w:sz w:val="22"/>
          <w:szCs w:val="22"/>
          <w:lang w:val="fr-FR"/>
        </w:rPr>
        <w:t xml:space="preserve">% </w:t>
      </w:r>
      <w:r w:rsidR="00FF0475" w:rsidRPr="001961B1">
        <w:rPr>
          <w:rFonts w:asciiTheme="minorHAnsi" w:hAnsiTheme="minorHAnsi" w:cstheme="minorHAnsi"/>
          <w:sz w:val="22"/>
          <w:szCs w:val="22"/>
          <w:lang w:val="fr-FR"/>
        </w:rPr>
        <w:t xml:space="preserve">des Parties contractantes signalent avoir formulé des politiques, des plans ou des projets pour soutenir et renforcer le rôle des zones humides en </w:t>
      </w:r>
      <w:r w:rsidR="00FF0475" w:rsidRPr="001961B1">
        <w:rPr>
          <w:rFonts w:asciiTheme="minorHAnsi" w:hAnsiTheme="minorHAnsi" w:cstheme="minorHAnsi"/>
          <w:sz w:val="22"/>
          <w:szCs w:val="22"/>
          <w:lang w:val="fr-FR"/>
        </w:rPr>
        <w:lastRenderedPageBreak/>
        <w:t>appui et pour le maintien de systèmes agricoles viables, par rapport à 37 % à la COP13. En outre, 28 % d</w:t>
      </w:r>
      <w:r w:rsidR="003E3472" w:rsidRPr="001961B1">
        <w:rPr>
          <w:rFonts w:asciiTheme="minorHAnsi" w:hAnsiTheme="minorHAnsi" w:cstheme="minorHAnsi"/>
          <w:sz w:val="22"/>
          <w:szCs w:val="22"/>
          <w:lang w:val="fr-FR"/>
        </w:rPr>
        <w:t>’autres Parties</w:t>
      </w:r>
      <w:r w:rsidR="00FF0475" w:rsidRPr="001961B1">
        <w:rPr>
          <w:rFonts w:asciiTheme="minorHAnsi" w:hAnsiTheme="minorHAnsi" w:cstheme="minorHAnsi"/>
          <w:sz w:val="22"/>
          <w:szCs w:val="22"/>
          <w:lang w:val="fr-FR"/>
        </w:rPr>
        <w:t xml:space="preserve"> signalent avoir partiellement formulé de tels politiques, plans ou projets et 58 % signalent des travaux de recherche pour soutenir les politiques et plans pour les zones humides axés sur des interactions agriculture-zones humides. </w:t>
      </w:r>
      <w:r w:rsidR="003E3472" w:rsidRPr="001961B1">
        <w:rPr>
          <w:rFonts w:asciiTheme="minorHAnsi" w:hAnsiTheme="minorHAnsi" w:cstheme="minorHAnsi"/>
          <w:sz w:val="22"/>
          <w:szCs w:val="22"/>
          <w:lang w:val="fr-FR"/>
        </w:rPr>
        <w:t>Le nombre</w:t>
      </w:r>
      <w:r w:rsidR="00FF0475" w:rsidRPr="001961B1">
        <w:rPr>
          <w:rFonts w:asciiTheme="minorHAnsi" w:hAnsiTheme="minorHAnsi" w:cstheme="minorHAnsi"/>
          <w:sz w:val="22"/>
          <w:szCs w:val="22"/>
          <w:lang w:val="fr-FR"/>
        </w:rPr>
        <w:t xml:space="preserve"> de Parties signalant des efforts </w:t>
      </w:r>
      <w:r w:rsidR="00382BAE" w:rsidRPr="001961B1">
        <w:rPr>
          <w:rFonts w:asciiTheme="minorHAnsi" w:hAnsiTheme="minorHAnsi" w:cstheme="minorHAnsi"/>
          <w:sz w:val="22"/>
          <w:szCs w:val="22"/>
          <w:lang w:val="fr-FR"/>
        </w:rPr>
        <w:t xml:space="preserve">déployés </w:t>
      </w:r>
      <w:r w:rsidR="00FF0475" w:rsidRPr="001961B1">
        <w:rPr>
          <w:rFonts w:asciiTheme="minorHAnsi" w:hAnsiTheme="minorHAnsi" w:cstheme="minorHAnsi"/>
          <w:sz w:val="22"/>
          <w:szCs w:val="22"/>
          <w:lang w:val="fr-FR"/>
        </w:rPr>
        <w:t>pour conserver et utiliser de manière durable les zones humides péri-urbaines</w:t>
      </w:r>
      <w:r w:rsidR="003E3472" w:rsidRPr="001961B1">
        <w:rPr>
          <w:rFonts w:asciiTheme="minorHAnsi" w:hAnsiTheme="minorHAnsi" w:cstheme="minorHAnsi"/>
          <w:sz w:val="22"/>
          <w:szCs w:val="22"/>
          <w:lang w:val="fr-FR"/>
        </w:rPr>
        <w:t xml:space="preserve"> a fortement augmenté</w:t>
      </w:r>
      <w:r w:rsidR="00FF0475" w:rsidRPr="001961B1">
        <w:rPr>
          <w:rFonts w:asciiTheme="minorHAnsi" w:hAnsiTheme="minorHAnsi" w:cstheme="minorHAnsi"/>
          <w:sz w:val="22"/>
          <w:szCs w:val="22"/>
          <w:lang w:val="fr-FR"/>
        </w:rPr>
        <w:t xml:space="preserve">, de 5 % à la COP13 à 44 % </w:t>
      </w:r>
      <w:r w:rsidR="00CD0FB3" w:rsidRPr="001961B1">
        <w:rPr>
          <w:rFonts w:asciiTheme="minorHAnsi" w:hAnsiTheme="minorHAnsi" w:cstheme="minorHAnsi"/>
          <w:sz w:val="22"/>
          <w:szCs w:val="22"/>
          <w:lang w:val="fr-FR"/>
        </w:rPr>
        <w:t>au moment de</w:t>
      </w:r>
      <w:r w:rsidR="00FF0475" w:rsidRPr="001961B1">
        <w:rPr>
          <w:rFonts w:asciiTheme="minorHAnsi" w:hAnsiTheme="minorHAnsi" w:cstheme="minorHAnsi"/>
          <w:sz w:val="22"/>
          <w:szCs w:val="22"/>
          <w:lang w:val="fr-FR"/>
        </w:rPr>
        <w:t xml:space="preserve"> la COP15. On observe une augmentation constante dans la proportion de Parties ayant établi des politiques ou des lignes directrices pour renforcer le rôle des zones humides dans les efforts d’atténuation et d’adaptation aux changements climatiques, mais très peu de progrès pour inclure des mesures relatives aux zones humides dans les </w:t>
      </w:r>
      <w:r w:rsidR="00C47FD6" w:rsidRPr="001961B1">
        <w:rPr>
          <w:rFonts w:asciiTheme="minorHAnsi" w:hAnsiTheme="minorHAnsi" w:cstheme="minorHAnsi"/>
          <w:sz w:val="22"/>
          <w:szCs w:val="22"/>
          <w:lang w:val="fr-FR"/>
        </w:rPr>
        <w:t>C</w:t>
      </w:r>
      <w:r w:rsidR="00FF0475" w:rsidRPr="001961B1">
        <w:rPr>
          <w:rFonts w:asciiTheme="minorHAnsi" w:hAnsiTheme="minorHAnsi" w:cstheme="minorHAnsi"/>
          <w:sz w:val="22"/>
          <w:szCs w:val="22"/>
          <w:lang w:val="fr-FR"/>
        </w:rPr>
        <w:t>ontributions déterminées au niveau natio</w:t>
      </w:r>
      <w:r w:rsidR="00C47FD6" w:rsidRPr="001961B1">
        <w:rPr>
          <w:rFonts w:asciiTheme="minorHAnsi" w:hAnsiTheme="minorHAnsi" w:cstheme="minorHAnsi"/>
          <w:sz w:val="22"/>
          <w:szCs w:val="22"/>
          <w:lang w:val="fr-FR"/>
        </w:rPr>
        <w:t>nal et autres stratégies et plans pour l’atténuation et l’adaptation aux changements climatiques. Le nombre de Parties signalant des efforts de conservation des petites zones humides est en augmentation.</w:t>
      </w:r>
      <w:r w:rsidR="00E67531" w:rsidRPr="001961B1">
        <w:rPr>
          <w:rFonts w:asciiTheme="minorHAnsi" w:hAnsiTheme="minorHAnsi" w:cstheme="minorHAnsi"/>
          <w:sz w:val="22"/>
          <w:szCs w:val="22"/>
          <w:lang w:val="fr-FR"/>
        </w:rPr>
        <w:t xml:space="preserve"> </w:t>
      </w:r>
    </w:p>
    <w:p w14:paraId="29A26417" w14:textId="77777777" w:rsidR="00221EE7" w:rsidRPr="001961B1" w:rsidRDefault="00221EE7" w:rsidP="000E3338">
      <w:pPr>
        <w:ind w:left="567" w:hanging="567"/>
        <w:rPr>
          <w:rFonts w:asciiTheme="minorHAnsi" w:hAnsiTheme="minorHAnsi" w:cstheme="minorHAnsi"/>
          <w:sz w:val="22"/>
          <w:szCs w:val="22"/>
          <w:lang w:val="fr-FR"/>
        </w:rPr>
      </w:pPr>
    </w:p>
    <w:p w14:paraId="59B2546F" w14:textId="4D2814E5" w:rsidR="00461A6A"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0</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F63213" w:rsidRPr="001961B1">
        <w:rPr>
          <w:rFonts w:asciiTheme="minorHAnsi" w:hAnsiTheme="minorHAnsi" w:cstheme="minorHAnsi"/>
          <w:sz w:val="22"/>
          <w:szCs w:val="22"/>
          <w:lang w:val="fr-FR"/>
        </w:rPr>
        <w:t>Les progrès sont freinés par d</w:t>
      </w:r>
      <w:r w:rsidR="00C47FD6" w:rsidRPr="001961B1">
        <w:rPr>
          <w:rFonts w:asciiTheme="minorHAnsi" w:hAnsiTheme="minorHAnsi" w:cstheme="minorHAnsi"/>
          <w:sz w:val="22"/>
          <w:szCs w:val="22"/>
          <w:lang w:val="fr-FR"/>
        </w:rPr>
        <w:t xml:space="preserve">es obstacles persistants identifiés par les Parties contractantes dans leurs réponses </w:t>
      </w:r>
      <w:r w:rsidR="00F63213" w:rsidRPr="001961B1">
        <w:rPr>
          <w:rFonts w:asciiTheme="minorHAnsi" w:hAnsiTheme="minorHAnsi" w:cstheme="minorHAnsi"/>
          <w:sz w:val="22"/>
          <w:szCs w:val="22"/>
          <w:lang w:val="fr-FR"/>
        </w:rPr>
        <w:t>narratives</w:t>
      </w:r>
      <w:r w:rsidR="00C47FD6" w:rsidRPr="001961B1">
        <w:rPr>
          <w:rFonts w:asciiTheme="minorHAnsi" w:hAnsiTheme="minorHAnsi" w:cstheme="minorHAnsi"/>
          <w:sz w:val="22"/>
          <w:szCs w:val="22"/>
          <w:lang w:val="fr-FR"/>
        </w:rPr>
        <w:t xml:space="preserve"> dans les Rapports nationaux</w:t>
      </w:r>
      <w:r w:rsidR="00F63213" w:rsidRPr="001961B1">
        <w:rPr>
          <w:rFonts w:asciiTheme="minorHAnsi" w:hAnsiTheme="minorHAnsi" w:cstheme="minorHAnsi"/>
          <w:sz w:val="22"/>
          <w:szCs w:val="22"/>
          <w:lang w:val="fr-FR"/>
        </w:rPr>
        <w:t> :</w:t>
      </w:r>
      <w:r w:rsidR="00C47FD6" w:rsidRPr="001961B1">
        <w:rPr>
          <w:rFonts w:asciiTheme="minorHAnsi" w:hAnsiTheme="minorHAnsi" w:cstheme="minorHAnsi"/>
          <w:sz w:val="22"/>
          <w:szCs w:val="22"/>
          <w:lang w:val="fr-FR"/>
        </w:rPr>
        <w:t xml:space="preserve"> ressources financières limitées, cadres institutionnels </w:t>
      </w:r>
      <w:r w:rsidR="00F63213" w:rsidRPr="001961B1">
        <w:rPr>
          <w:rFonts w:asciiTheme="minorHAnsi" w:hAnsiTheme="minorHAnsi" w:cstheme="minorHAnsi"/>
          <w:sz w:val="22"/>
          <w:szCs w:val="22"/>
          <w:lang w:val="fr-FR"/>
        </w:rPr>
        <w:t>faibles</w:t>
      </w:r>
      <w:r w:rsidR="00C47FD6" w:rsidRPr="001961B1">
        <w:rPr>
          <w:rFonts w:asciiTheme="minorHAnsi" w:hAnsiTheme="minorHAnsi" w:cstheme="minorHAnsi"/>
          <w:sz w:val="22"/>
          <w:szCs w:val="22"/>
          <w:lang w:val="fr-FR"/>
        </w:rPr>
        <w:t xml:space="preserve"> et capacité technique insuffisante. Parmi les recommandations visant à surmonter ces problèmes, il y a la fourniture d’un appui technique et financier ciblé et la promotion d’un apprentissage </w:t>
      </w:r>
      <w:r w:rsidR="00F63213" w:rsidRPr="001961B1">
        <w:rPr>
          <w:rFonts w:asciiTheme="minorHAnsi" w:hAnsiTheme="minorHAnsi" w:cstheme="minorHAnsi"/>
          <w:sz w:val="22"/>
          <w:szCs w:val="22"/>
          <w:lang w:val="fr-FR"/>
        </w:rPr>
        <w:t>entre</w:t>
      </w:r>
      <w:r w:rsidR="00C47FD6" w:rsidRPr="001961B1">
        <w:rPr>
          <w:rFonts w:asciiTheme="minorHAnsi" w:hAnsiTheme="minorHAnsi" w:cstheme="minorHAnsi"/>
          <w:sz w:val="22"/>
          <w:szCs w:val="22"/>
          <w:lang w:val="fr-FR"/>
        </w:rPr>
        <w:t xml:space="preserve"> pair</w:t>
      </w:r>
      <w:r w:rsidR="00F63213" w:rsidRPr="001961B1">
        <w:rPr>
          <w:rFonts w:asciiTheme="minorHAnsi" w:hAnsiTheme="minorHAnsi" w:cstheme="minorHAnsi"/>
          <w:sz w:val="22"/>
          <w:szCs w:val="22"/>
          <w:lang w:val="fr-FR"/>
        </w:rPr>
        <w:t>s</w:t>
      </w:r>
      <w:r w:rsidR="00C47FD6" w:rsidRPr="001961B1">
        <w:rPr>
          <w:rFonts w:asciiTheme="minorHAnsi" w:hAnsiTheme="minorHAnsi" w:cstheme="minorHAnsi"/>
          <w:sz w:val="22"/>
          <w:szCs w:val="22"/>
          <w:lang w:val="fr-FR"/>
        </w:rPr>
        <w:t xml:space="preserve"> pour échanger </w:t>
      </w:r>
      <w:r w:rsidR="00B32B6D" w:rsidRPr="001961B1">
        <w:rPr>
          <w:rFonts w:asciiTheme="minorHAnsi" w:hAnsiTheme="minorHAnsi" w:cstheme="minorHAnsi"/>
          <w:sz w:val="22"/>
          <w:szCs w:val="22"/>
          <w:lang w:val="fr-FR"/>
        </w:rPr>
        <w:t>des stratégies efficaces entre les pays.</w:t>
      </w:r>
    </w:p>
    <w:p w14:paraId="2D2C56B5" w14:textId="77777777" w:rsidR="00221EE7" w:rsidRPr="001961B1" w:rsidRDefault="00221EE7" w:rsidP="00A338FF">
      <w:pPr>
        <w:rPr>
          <w:rFonts w:asciiTheme="minorHAnsi" w:hAnsiTheme="minorHAnsi" w:cstheme="minorHAnsi"/>
          <w:sz w:val="22"/>
          <w:szCs w:val="22"/>
          <w:lang w:val="fr-FR"/>
        </w:rPr>
      </w:pPr>
    </w:p>
    <w:p w14:paraId="666D747E" w14:textId="1849D1EC" w:rsidR="002F4351" w:rsidRPr="001961B1" w:rsidRDefault="002F4351" w:rsidP="00CD3F6B">
      <w:pPr>
        <w:rPr>
          <w:rFonts w:asciiTheme="minorHAnsi" w:hAnsiTheme="minorHAnsi" w:cstheme="minorHAnsi"/>
          <w:b/>
          <w:sz w:val="22"/>
          <w:szCs w:val="22"/>
          <w:highlight w:val="yellow"/>
          <w:lang w:val="fr-FR" w:eastAsia="fr-FR"/>
        </w:rPr>
      </w:pPr>
    </w:p>
    <w:tbl>
      <w:tblPr>
        <w:tblStyle w:val="TableGrid16"/>
        <w:tblW w:w="9351" w:type="dxa"/>
        <w:tblLook w:val="04A0" w:firstRow="1" w:lastRow="0" w:firstColumn="1" w:lastColumn="0" w:noHBand="0" w:noVBand="1"/>
      </w:tblPr>
      <w:tblGrid>
        <w:gridCol w:w="9351"/>
      </w:tblGrid>
      <w:tr w:rsidR="002F4351" w:rsidRPr="001961B1" w14:paraId="4E520F0F" w14:textId="77777777" w:rsidTr="004D229D">
        <w:tc>
          <w:tcPr>
            <w:tcW w:w="9351" w:type="dxa"/>
            <w:vAlign w:val="center"/>
          </w:tcPr>
          <w:p w14:paraId="630717AF" w14:textId="04B7F61D" w:rsidR="002F4351" w:rsidRPr="001961B1" w:rsidRDefault="00D31C5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2F4351" w:rsidRPr="001961B1">
              <w:rPr>
                <w:rFonts w:asciiTheme="minorHAnsi" w:hAnsiTheme="minorHAnsi" w:cstheme="minorHAnsi"/>
                <w:b/>
                <w:sz w:val="22"/>
                <w:szCs w:val="22"/>
                <w:lang w:val="fr-FR" w:eastAsia="fr-FR"/>
              </w:rPr>
              <w:t xml:space="preserve"> 10. </w:t>
            </w:r>
            <w:r w:rsidRPr="001961B1">
              <w:rPr>
                <w:rFonts w:asciiTheme="minorHAnsi" w:hAnsiTheme="minorHAnsi" w:cstheme="minorHAnsi"/>
                <w:b/>
                <w:sz w:val="22"/>
                <w:szCs w:val="22"/>
                <w:lang w:val="fr-FR" w:eastAsia="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r w:rsidR="002F4351" w:rsidRPr="001961B1">
              <w:rPr>
                <w:rFonts w:asciiTheme="minorHAnsi" w:hAnsiTheme="minorHAnsi" w:cstheme="minorHAnsi"/>
                <w:b/>
                <w:sz w:val="22"/>
                <w:szCs w:val="22"/>
                <w:lang w:val="fr-FR" w:eastAsia="fr-FR"/>
              </w:rPr>
              <w:t>.</w:t>
            </w:r>
          </w:p>
          <w:p w14:paraId="74FDF94E" w14:textId="7CE43EF1" w:rsidR="002F4351"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Contribution à la cible</w:t>
            </w:r>
            <w:r w:rsidR="007251E6" w:rsidRPr="001961B1">
              <w:rPr>
                <w:rFonts w:asciiTheme="minorHAnsi" w:hAnsiTheme="minorHAnsi" w:cstheme="minorHAnsi"/>
                <w:bCs/>
                <w:sz w:val="22"/>
                <w:szCs w:val="22"/>
                <w:lang w:val="fr-FR" w:eastAsia="fr-FR"/>
              </w:rPr>
              <w:t xml:space="preserve"> 22 du CMB-KM et aux cibles</w:t>
            </w:r>
            <w:r w:rsidR="005919ED" w:rsidRPr="001961B1">
              <w:rPr>
                <w:rFonts w:asciiTheme="minorHAnsi" w:hAnsiTheme="minorHAnsi" w:cstheme="minorHAnsi"/>
                <w:bCs/>
                <w:sz w:val="22"/>
                <w:szCs w:val="22"/>
                <w:lang w:val="fr-FR" w:eastAsia="fr-FR"/>
              </w:rPr>
              <w:t xml:space="preserve"> </w:t>
            </w:r>
            <w:r w:rsidR="00A45E1C" w:rsidRPr="001961B1">
              <w:rPr>
                <w:rFonts w:asciiTheme="minorHAnsi" w:hAnsiTheme="minorHAnsi" w:cstheme="minorHAnsi"/>
                <w:bCs/>
                <w:sz w:val="22"/>
                <w:szCs w:val="22"/>
                <w:lang w:val="fr-FR" w:eastAsia="fr-FR"/>
              </w:rPr>
              <w:t>2.3</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2.5</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5.5</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5.a</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6.b</w:t>
            </w:r>
            <w:r w:rsidR="00480780" w:rsidRPr="001961B1">
              <w:rPr>
                <w:rFonts w:asciiTheme="minorHAnsi" w:hAnsiTheme="minorHAnsi" w:cstheme="minorHAnsi"/>
                <w:bCs/>
                <w:sz w:val="22"/>
                <w:szCs w:val="22"/>
                <w:lang w:val="fr-FR" w:eastAsia="fr-FR"/>
              </w:rPr>
              <w:t>,</w:t>
            </w:r>
            <w:r w:rsidR="00A45E1C" w:rsidRPr="001961B1">
              <w:rPr>
                <w:rFonts w:asciiTheme="minorHAnsi" w:hAnsiTheme="minorHAnsi" w:cstheme="minorHAnsi"/>
                <w:bCs/>
                <w:sz w:val="22"/>
                <w:szCs w:val="22"/>
                <w:lang w:val="fr-FR" w:eastAsia="fr-FR"/>
              </w:rPr>
              <w:t xml:space="preserve"> 12.8</w:t>
            </w:r>
            <w:r w:rsidR="005919ED" w:rsidRPr="001961B1">
              <w:rPr>
                <w:rFonts w:asciiTheme="minorHAnsi" w:hAnsiTheme="minorHAnsi" w:cstheme="minorHAnsi"/>
                <w:bCs/>
                <w:sz w:val="22"/>
                <w:szCs w:val="22"/>
                <w:lang w:val="fr-FR" w:eastAsia="fr-FR"/>
              </w:rPr>
              <w:t xml:space="preserve"> </w:t>
            </w:r>
            <w:r w:rsidR="007251E6" w:rsidRPr="001961B1">
              <w:rPr>
                <w:rFonts w:asciiTheme="minorHAnsi" w:hAnsiTheme="minorHAnsi" w:cstheme="minorHAnsi"/>
                <w:bCs/>
                <w:sz w:val="22"/>
                <w:szCs w:val="22"/>
                <w:lang w:val="fr-FR" w:eastAsia="fr-FR"/>
              </w:rPr>
              <w:t>et</w:t>
            </w:r>
            <w:r w:rsidR="00A45E1C" w:rsidRPr="001961B1">
              <w:rPr>
                <w:rFonts w:asciiTheme="minorHAnsi" w:hAnsiTheme="minorHAnsi" w:cstheme="minorHAnsi"/>
                <w:bCs/>
                <w:sz w:val="22"/>
                <w:szCs w:val="22"/>
                <w:lang w:val="fr-FR" w:eastAsia="fr-FR"/>
              </w:rPr>
              <w:t xml:space="preserve"> 15.c</w:t>
            </w:r>
            <w:r w:rsidR="007251E6" w:rsidRPr="001961B1">
              <w:rPr>
                <w:rFonts w:asciiTheme="minorHAnsi" w:hAnsiTheme="minorHAnsi" w:cstheme="minorHAnsi"/>
                <w:bCs/>
                <w:sz w:val="22"/>
                <w:szCs w:val="22"/>
                <w:lang w:val="fr-FR" w:eastAsia="fr-FR"/>
              </w:rPr>
              <w:t xml:space="preserve"> des ODD</w:t>
            </w:r>
            <w:r w:rsidR="005919ED" w:rsidRPr="001961B1">
              <w:rPr>
                <w:rFonts w:asciiTheme="minorHAnsi" w:hAnsiTheme="minorHAnsi" w:cstheme="minorHAnsi"/>
                <w:bCs/>
                <w:sz w:val="22"/>
                <w:szCs w:val="22"/>
                <w:lang w:val="fr-FR" w:eastAsia="fr-FR"/>
              </w:rPr>
              <w:t>.</w:t>
            </w:r>
          </w:p>
        </w:tc>
      </w:tr>
    </w:tbl>
    <w:p w14:paraId="1923574C" w14:textId="69B4BC78" w:rsidR="00C15C1D" w:rsidRPr="001961B1" w:rsidRDefault="00C15C1D" w:rsidP="00D1463B">
      <w:pPr>
        <w:keepNext/>
        <w:rPr>
          <w:rFonts w:asciiTheme="minorHAnsi" w:hAnsiTheme="minorHAnsi" w:cstheme="minorHAnsi"/>
          <w:b/>
          <w:sz w:val="22"/>
          <w:szCs w:val="22"/>
          <w:lang w:val="fr-FR" w:eastAsia="fr-FR"/>
        </w:rPr>
      </w:pPr>
    </w:p>
    <w:p w14:paraId="35D3BA16" w14:textId="16DFF098" w:rsidR="00E75373"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E75373" w:rsidRPr="001961B1">
        <w:rPr>
          <w:rFonts w:asciiTheme="minorHAnsi" w:hAnsiTheme="minorHAnsi" w:cstheme="minorHAnsi"/>
          <w:i/>
          <w:iCs/>
          <w:sz w:val="22"/>
          <w:szCs w:val="22"/>
          <w:u w:val="single"/>
          <w:lang w:val="fr-FR"/>
        </w:rPr>
        <w:t xml:space="preserve"> </w:t>
      </w:r>
    </w:p>
    <w:p w14:paraId="6473DA89" w14:textId="77777777" w:rsidR="00F207B9" w:rsidRPr="001961B1" w:rsidRDefault="00F207B9" w:rsidP="00D1463B">
      <w:pPr>
        <w:keepNext/>
        <w:rPr>
          <w:rFonts w:asciiTheme="minorHAnsi" w:hAnsiTheme="minorHAnsi" w:cstheme="minorHAnsi"/>
          <w:sz w:val="22"/>
          <w:szCs w:val="22"/>
          <w:lang w:val="fr-FR"/>
        </w:rPr>
      </w:pPr>
    </w:p>
    <w:p w14:paraId="4FA0ECE2" w14:textId="0E92BEF1" w:rsidR="008B4619"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1</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B12553" w:rsidRPr="001961B1">
        <w:rPr>
          <w:rFonts w:asciiTheme="minorHAnsi" w:hAnsiTheme="minorHAnsi" w:cstheme="minorHAnsi"/>
          <w:sz w:val="22"/>
          <w:szCs w:val="22"/>
          <w:lang w:val="fr-FR"/>
        </w:rPr>
        <w:t xml:space="preserve">L’intégration des connaissances traditionnelles dans la gestion des zones humides et la participation des peuples autochtones et communautés locales </w:t>
      </w:r>
      <w:r w:rsidR="00CA0298" w:rsidRPr="001961B1">
        <w:rPr>
          <w:rFonts w:asciiTheme="minorHAnsi" w:hAnsiTheme="minorHAnsi" w:cstheme="minorHAnsi"/>
          <w:sz w:val="22"/>
          <w:szCs w:val="22"/>
          <w:lang w:val="fr-FR"/>
        </w:rPr>
        <w:t>à</w:t>
      </w:r>
      <w:r w:rsidR="00B12553" w:rsidRPr="001961B1">
        <w:rPr>
          <w:rFonts w:asciiTheme="minorHAnsi" w:hAnsiTheme="minorHAnsi" w:cstheme="minorHAnsi"/>
          <w:sz w:val="22"/>
          <w:szCs w:val="22"/>
          <w:lang w:val="fr-FR"/>
        </w:rPr>
        <w:t xml:space="preserve"> la mise en œuvre de la Convention augmente</w:t>
      </w:r>
      <w:r w:rsidR="00CA0298" w:rsidRPr="001961B1">
        <w:rPr>
          <w:rFonts w:asciiTheme="minorHAnsi" w:hAnsiTheme="minorHAnsi" w:cstheme="minorHAnsi"/>
          <w:sz w:val="22"/>
          <w:szCs w:val="22"/>
          <w:lang w:val="fr-FR"/>
        </w:rPr>
        <w:t>nt</w:t>
      </w:r>
      <w:r w:rsidR="00B12553" w:rsidRPr="001961B1">
        <w:rPr>
          <w:rFonts w:asciiTheme="minorHAnsi" w:hAnsiTheme="minorHAnsi" w:cstheme="minorHAnsi"/>
          <w:sz w:val="22"/>
          <w:szCs w:val="22"/>
          <w:lang w:val="fr-FR"/>
        </w:rPr>
        <w:t xml:space="preserve"> de manière générale et de nombreuses Parties contractantes utilisent les lignes directrices de la Convention. Les cadres législatifs sont encore partiels et en développement dans la plupart des cas.</w:t>
      </w:r>
      <w:r w:rsidR="003C2466" w:rsidRPr="001961B1">
        <w:rPr>
          <w:rFonts w:asciiTheme="minorHAnsi" w:hAnsiTheme="minorHAnsi" w:cstheme="minorHAnsi"/>
          <w:sz w:val="22"/>
          <w:szCs w:val="22"/>
          <w:lang w:val="fr-FR"/>
        </w:rPr>
        <w:t xml:space="preserve"> </w:t>
      </w:r>
    </w:p>
    <w:p w14:paraId="297069D7" w14:textId="554DEAED" w:rsidR="0079009B" w:rsidRPr="001961B1" w:rsidRDefault="0079009B" w:rsidP="00CD3F6B">
      <w:pPr>
        <w:rPr>
          <w:rFonts w:asciiTheme="minorHAnsi" w:hAnsiTheme="minorHAnsi" w:cstheme="minorHAnsi"/>
          <w:b/>
          <w:bCs/>
          <w:color w:val="000000" w:themeColor="text1"/>
          <w:kern w:val="2"/>
          <w:sz w:val="22"/>
          <w:szCs w:val="22"/>
          <w:lang w:val="fr-FR"/>
          <w14:ligatures w14:val="standardContextual"/>
        </w:rPr>
      </w:pPr>
    </w:p>
    <w:tbl>
      <w:tblPr>
        <w:tblStyle w:val="TableGrid12"/>
        <w:tblW w:w="9356" w:type="dxa"/>
        <w:tblLook w:val="04A0" w:firstRow="1" w:lastRow="0" w:firstColumn="1" w:lastColumn="0" w:noHBand="0" w:noVBand="1"/>
      </w:tblPr>
      <w:tblGrid>
        <w:gridCol w:w="4572"/>
        <w:gridCol w:w="1241"/>
        <w:gridCol w:w="820"/>
        <w:gridCol w:w="820"/>
        <w:gridCol w:w="820"/>
        <w:gridCol w:w="1083"/>
      </w:tblGrid>
      <w:tr w:rsidR="00B12553" w:rsidRPr="001961B1" w14:paraId="695615BA" w14:textId="77777777" w:rsidTr="00567061">
        <w:trPr>
          <w:cantSplit/>
        </w:trPr>
        <w:tc>
          <w:tcPr>
            <w:tcW w:w="0" w:type="auto"/>
            <w:vAlign w:val="center"/>
          </w:tcPr>
          <w:p w14:paraId="58B9F910" w14:textId="1E8DA1BB" w:rsidR="006221EE" w:rsidRPr="001961B1" w:rsidRDefault="00567061" w:rsidP="0078307B">
            <w:pPr>
              <w:keepNext/>
              <w:jc w:val="center"/>
              <w:rPr>
                <w:rFonts w:asciiTheme="minorHAnsi" w:eastAsia="Aptos" w:hAnsiTheme="minorHAnsi" w:cstheme="minorHAnsi"/>
                <w:sz w:val="22"/>
                <w:szCs w:val="22"/>
                <w:lang w:val="fr-FR"/>
              </w:rPr>
            </w:pPr>
            <w:r w:rsidRPr="001961B1">
              <w:rPr>
                <w:rFonts w:asciiTheme="minorHAnsi" w:eastAsia="Aptos" w:hAnsiTheme="minorHAnsi" w:cstheme="minorHAnsi"/>
                <w:b/>
                <w:bCs/>
                <w:sz w:val="22"/>
                <w:szCs w:val="22"/>
                <w:lang w:val="fr-FR"/>
              </w:rPr>
              <w:t>Indicat</w:t>
            </w:r>
            <w:r w:rsidR="00D31C55"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tcPr>
          <w:p w14:paraId="538619FD" w14:textId="620B4FCC" w:rsidR="006221EE" w:rsidRPr="001961B1" w:rsidRDefault="00D31C5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tcPr>
          <w:p w14:paraId="7194C67B" w14:textId="1FE29BF7" w:rsidR="006221EE" w:rsidRPr="001961B1" w:rsidRDefault="006221EE"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0" w:type="auto"/>
            <w:vAlign w:val="center"/>
          </w:tcPr>
          <w:p w14:paraId="738F5D8F" w14:textId="55D6CA90" w:rsidR="006221EE" w:rsidRPr="001961B1" w:rsidRDefault="006221EE"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0" w:type="auto"/>
            <w:vAlign w:val="center"/>
          </w:tcPr>
          <w:p w14:paraId="5E0520F9" w14:textId="3B50F02E" w:rsidR="006221EE" w:rsidRPr="001961B1" w:rsidRDefault="006221EE"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0" w:type="auto"/>
            <w:vAlign w:val="center"/>
          </w:tcPr>
          <w:p w14:paraId="05CECB33" w14:textId="0505FA39" w:rsidR="006221EE" w:rsidRPr="001961B1" w:rsidRDefault="006221EE" w:rsidP="0078307B">
            <w:pPr>
              <w:keepNext/>
              <w:jc w:val="center"/>
              <w:rPr>
                <w:rFonts w:asciiTheme="minorHAnsi" w:eastAsia="Aptos" w:hAnsiTheme="minorHAnsi" w:cstheme="minorHAnsi"/>
                <w:b/>
                <w:bCs/>
                <w:noProof/>
                <w:sz w:val="22"/>
                <w:szCs w:val="22"/>
                <w:lang w:val="fr-FR"/>
              </w:rPr>
            </w:pPr>
            <w:r w:rsidRPr="001961B1">
              <w:rPr>
                <w:rFonts w:asciiTheme="minorHAnsi" w:eastAsia="Aptos" w:hAnsiTheme="minorHAnsi" w:cstheme="minorHAnsi"/>
                <w:b/>
                <w:bCs/>
                <w:noProof/>
                <w:sz w:val="22"/>
                <w:szCs w:val="22"/>
                <w:lang w:val="fr-FR"/>
              </w:rPr>
              <w:t>T</w:t>
            </w:r>
            <w:r w:rsidR="00D31C55" w:rsidRPr="001961B1">
              <w:rPr>
                <w:rFonts w:asciiTheme="minorHAnsi" w:eastAsia="Aptos" w:hAnsiTheme="minorHAnsi" w:cstheme="minorHAnsi"/>
                <w:b/>
                <w:bCs/>
                <w:noProof/>
                <w:sz w:val="22"/>
                <w:szCs w:val="22"/>
                <w:lang w:val="fr-FR"/>
              </w:rPr>
              <w:t>endance</w:t>
            </w:r>
          </w:p>
        </w:tc>
      </w:tr>
      <w:tr w:rsidR="00B12553" w:rsidRPr="001961B1" w14:paraId="4BC8479C" w14:textId="77777777" w:rsidTr="00567061">
        <w:trPr>
          <w:cantSplit/>
        </w:trPr>
        <w:tc>
          <w:tcPr>
            <w:tcW w:w="0" w:type="auto"/>
            <w:vAlign w:val="center"/>
            <w:hideMark/>
          </w:tcPr>
          <w:p w14:paraId="6E58D608" w14:textId="71155A1D" w:rsidR="006221EE" w:rsidRPr="001961B1" w:rsidRDefault="006221EE"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10.3 </w:t>
            </w:r>
            <w:r w:rsidR="00CA0298" w:rsidRPr="001961B1">
              <w:rPr>
                <w:rFonts w:asciiTheme="minorHAnsi" w:eastAsia="Aptos" w:hAnsiTheme="minorHAnsi" w:cstheme="minorHAnsi"/>
                <w:sz w:val="22"/>
                <w:szCs w:val="22"/>
                <w:lang w:val="fr-FR"/>
              </w:rPr>
              <w:t xml:space="preserve">Des études de cas sur la participation des peuples autochtones à des projets ou des expériences réussies concernant les aspects culturels des zones humides ont-elles été compilées ? (Résolutions VIII.19 et IX.21) </w:t>
            </w:r>
            <w:r w:rsidRPr="001961B1">
              <w:rPr>
                <w:rFonts w:asciiTheme="minorHAnsi" w:eastAsia="Aptos" w:hAnsiTheme="minorHAnsi" w:cstheme="minorHAnsi"/>
                <w:sz w:val="22"/>
                <w:szCs w:val="22"/>
                <w:lang w:val="fr-FR"/>
              </w:rPr>
              <w:t>*</w:t>
            </w:r>
          </w:p>
        </w:tc>
        <w:tc>
          <w:tcPr>
            <w:tcW w:w="0" w:type="auto"/>
          </w:tcPr>
          <w:p w14:paraId="6C3CCC61" w14:textId="11ED4807" w:rsidR="006221EE" w:rsidRPr="001961B1" w:rsidRDefault="00BD6015"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No</w:t>
            </w:r>
            <w:r w:rsidR="00B12553" w:rsidRPr="001961B1">
              <w:rPr>
                <w:rFonts w:asciiTheme="minorHAnsi" w:eastAsia="Aptos" w:hAnsiTheme="minorHAnsi" w:cstheme="minorHAnsi"/>
                <w:b/>
                <w:bCs/>
                <w:sz w:val="22"/>
                <w:szCs w:val="22"/>
                <w:lang w:val="fr-FR"/>
              </w:rPr>
              <w:t>n disponible</w:t>
            </w:r>
          </w:p>
        </w:tc>
        <w:tc>
          <w:tcPr>
            <w:tcW w:w="0" w:type="auto"/>
            <w:hideMark/>
          </w:tcPr>
          <w:p w14:paraId="6117D6E2" w14:textId="464D25A2"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32</w:t>
            </w:r>
            <w:r w:rsidR="00B12553"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hideMark/>
          </w:tcPr>
          <w:p w14:paraId="6A9B7E2E" w14:textId="18A99AAF"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45</w:t>
            </w:r>
            <w:r w:rsidR="00B12553"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hideMark/>
          </w:tcPr>
          <w:p w14:paraId="6A44A1FF" w14:textId="3D9FF574"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40</w:t>
            </w:r>
            <w:r w:rsidR="00B12553"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vAlign w:val="center"/>
            <w:hideMark/>
          </w:tcPr>
          <w:p w14:paraId="66079411" w14:textId="21294A55" w:rsidR="006221EE" w:rsidRPr="001961B1" w:rsidRDefault="00F47A72" w:rsidP="00567061">
            <w:pPr>
              <w:jc w:val="center"/>
              <w:rPr>
                <w:rFonts w:asciiTheme="minorHAnsi" w:eastAsia="Aptos" w:hAnsiTheme="minorHAnsi" w:cstheme="minorHAnsi"/>
                <w:b/>
                <w:bCs/>
                <w:sz w:val="22"/>
                <w:szCs w:val="22"/>
                <w:lang w:val="fr-FR"/>
              </w:rPr>
            </w:pPr>
            <w:r w:rsidRPr="001961B1">
              <w:rPr>
                <w:rFonts w:asciiTheme="minorHAnsi" w:hAnsiTheme="minorHAnsi" w:cstheme="minorHAnsi"/>
                <w:noProof/>
                <w:sz w:val="22"/>
                <w:szCs w:val="22"/>
                <w:lang w:val="fr-FR" w:eastAsia="en-CA"/>
              </w:rPr>
              <w:drawing>
                <wp:inline distT="0" distB="0" distL="0" distR="0" wp14:anchorId="135322BD" wp14:editId="0B488A9B">
                  <wp:extent cx="415800" cy="432000"/>
                  <wp:effectExtent l="0" t="0" r="3810" b="0"/>
                  <wp:docPr id="15994407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B12553" w:rsidRPr="001961B1" w14:paraId="219ADFA6" w14:textId="77777777" w:rsidTr="00567061">
        <w:trPr>
          <w:cantSplit/>
        </w:trPr>
        <w:tc>
          <w:tcPr>
            <w:tcW w:w="0" w:type="auto"/>
            <w:vAlign w:val="center"/>
          </w:tcPr>
          <w:p w14:paraId="5D701A0A" w14:textId="36C848A2" w:rsidR="006221EE" w:rsidRPr="001961B1" w:rsidRDefault="006221EE"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10.5 </w:t>
            </w:r>
            <w:r w:rsidR="00CA0298" w:rsidRPr="001961B1">
              <w:rPr>
                <w:rFonts w:asciiTheme="minorHAnsi" w:eastAsia="Aptos" w:hAnsiTheme="minorHAnsi" w:cstheme="minorHAnsi"/>
                <w:sz w:val="22"/>
                <w:szCs w:val="22"/>
                <w:lang w:val="fr-FR"/>
              </w:rPr>
              <w:t>Les connaissances et pratiques de gestion traditionnelles concernant l’utilisation rationnelle des zones humides ont-elles été documentées et leur application a-t-elle été encouragée ?</w:t>
            </w:r>
            <w:r w:rsidR="00B12553" w:rsidRPr="001961B1">
              <w:rPr>
                <w:rFonts w:asciiTheme="minorHAnsi" w:eastAsia="Aptos" w:hAnsiTheme="minorHAnsi" w:cstheme="minorHAnsi"/>
                <w:sz w:val="22"/>
                <w:szCs w:val="22"/>
                <w:lang w:val="fr-FR"/>
              </w:rPr>
              <w:t xml:space="preserve">* </w:t>
            </w:r>
          </w:p>
        </w:tc>
        <w:tc>
          <w:tcPr>
            <w:tcW w:w="0" w:type="auto"/>
          </w:tcPr>
          <w:p w14:paraId="3DCE3E41" w14:textId="28B69CEC" w:rsidR="006221EE" w:rsidRPr="001961B1" w:rsidRDefault="00A2691D"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Non disponible</w:t>
            </w:r>
          </w:p>
        </w:tc>
        <w:tc>
          <w:tcPr>
            <w:tcW w:w="0" w:type="auto"/>
          </w:tcPr>
          <w:p w14:paraId="30A3E0D4" w14:textId="3B513AF9"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37</w:t>
            </w:r>
            <w:r w:rsidR="00A2691D"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19F4EDC6" w14:textId="36502418"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50</w:t>
            </w:r>
            <w:r w:rsidR="00A2691D"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tcPr>
          <w:p w14:paraId="645286B7" w14:textId="3B858B0E" w:rsidR="006221EE" w:rsidRPr="001961B1" w:rsidRDefault="006221EE"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44</w:t>
            </w:r>
            <w:r w:rsidR="00A2691D"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w:t>
            </w:r>
          </w:p>
        </w:tc>
        <w:tc>
          <w:tcPr>
            <w:tcW w:w="0" w:type="auto"/>
            <w:vAlign w:val="center"/>
          </w:tcPr>
          <w:p w14:paraId="4D0706C0" w14:textId="421663B0" w:rsidR="006221EE" w:rsidRPr="001961B1" w:rsidRDefault="00DC6297" w:rsidP="00567061">
            <w:pPr>
              <w:jc w:val="center"/>
              <w:rPr>
                <w:rFonts w:asciiTheme="minorHAnsi" w:eastAsia="Aptos" w:hAnsiTheme="minorHAnsi" w:cstheme="minorHAnsi"/>
                <w:noProof/>
                <w:sz w:val="22"/>
                <w:szCs w:val="22"/>
                <w:lang w:val="fr-FR"/>
              </w:rPr>
            </w:pPr>
            <w:r w:rsidRPr="001961B1">
              <w:rPr>
                <w:rFonts w:asciiTheme="minorHAnsi" w:hAnsiTheme="minorHAnsi" w:cstheme="minorHAnsi"/>
                <w:noProof/>
                <w:sz w:val="22"/>
                <w:szCs w:val="22"/>
                <w:lang w:val="fr-FR" w:eastAsia="en-CA"/>
              </w:rPr>
              <w:drawing>
                <wp:inline distT="0" distB="0" distL="0" distR="0" wp14:anchorId="093CBCC7" wp14:editId="69EBC761">
                  <wp:extent cx="415800" cy="432000"/>
                  <wp:effectExtent l="0" t="0" r="3810" b="0"/>
                  <wp:docPr id="3960017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70E310C4" w14:textId="5755F241" w:rsidR="00477AF4" w:rsidRPr="001961B1" w:rsidRDefault="00B77878"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lastRenderedPageBreak/>
        <w:t xml:space="preserve">* </w:t>
      </w:r>
      <w:r w:rsidR="00EF5843" w:rsidRPr="001961B1">
        <w:rPr>
          <w:rFonts w:asciiTheme="minorHAnsi" w:hAnsiTheme="minorHAnsi" w:cstheme="minorHAnsi"/>
          <w:sz w:val="22"/>
          <w:szCs w:val="22"/>
          <w:lang w:val="fr-FR"/>
        </w:rPr>
        <w:t xml:space="preserve">Aucun indicateur pour l’objectif 10 n’a été défini dans le PS4. Des données sont fournies </w:t>
      </w:r>
      <w:r w:rsidR="00382BAE" w:rsidRPr="001961B1">
        <w:rPr>
          <w:rFonts w:asciiTheme="minorHAnsi" w:hAnsiTheme="minorHAnsi" w:cstheme="minorHAnsi"/>
          <w:sz w:val="22"/>
          <w:szCs w:val="22"/>
          <w:lang w:val="fr-FR"/>
        </w:rPr>
        <w:t>po</w:t>
      </w:r>
      <w:r w:rsidR="00EF5843" w:rsidRPr="001961B1">
        <w:rPr>
          <w:rFonts w:asciiTheme="minorHAnsi" w:hAnsiTheme="minorHAnsi" w:cstheme="minorHAnsi"/>
          <w:sz w:val="22"/>
          <w:szCs w:val="22"/>
          <w:lang w:val="fr-FR"/>
        </w:rPr>
        <w:t xml:space="preserve">ur deux questions </w:t>
      </w:r>
      <w:r w:rsidR="00382BAE" w:rsidRPr="001961B1">
        <w:rPr>
          <w:rFonts w:asciiTheme="minorHAnsi" w:hAnsiTheme="minorHAnsi" w:cstheme="minorHAnsi"/>
          <w:sz w:val="22"/>
          <w:szCs w:val="22"/>
          <w:lang w:val="fr-FR"/>
        </w:rPr>
        <w:t>deux questions figurant dans le Formulaire de Rapport national, concernant l’objectif pour lequel une série temporelle est disponible</w:t>
      </w:r>
      <w:r w:rsidR="00EF5843" w:rsidRPr="001961B1">
        <w:rPr>
          <w:rFonts w:asciiTheme="minorHAnsi" w:hAnsiTheme="minorHAnsi" w:cstheme="minorHAnsi"/>
          <w:sz w:val="22"/>
          <w:szCs w:val="22"/>
          <w:lang w:val="fr-FR"/>
        </w:rPr>
        <w:t>. Aucune référence pré-COP13 n’est disponible.</w:t>
      </w:r>
      <w:r w:rsidR="00AB2083" w:rsidRPr="001961B1">
        <w:rPr>
          <w:rFonts w:asciiTheme="minorHAnsi" w:hAnsiTheme="minorHAnsi" w:cstheme="minorHAnsi"/>
          <w:sz w:val="22"/>
          <w:szCs w:val="22"/>
          <w:lang w:val="fr-FR"/>
        </w:rPr>
        <w:t xml:space="preserve"> </w:t>
      </w:r>
    </w:p>
    <w:p w14:paraId="6E46EBBF" w14:textId="77777777" w:rsidR="00B77878" w:rsidRPr="001961B1" w:rsidRDefault="00B77878" w:rsidP="00CD3F6B">
      <w:pPr>
        <w:rPr>
          <w:rFonts w:asciiTheme="minorHAnsi" w:hAnsiTheme="minorHAnsi" w:cstheme="minorHAnsi"/>
          <w:b/>
          <w:bCs/>
          <w:sz w:val="22"/>
          <w:szCs w:val="22"/>
          <w:lang w:val="fr-FR"/>
        </w:rPr>
      </w:pPr>
    </w:p>
    <w:p w14:paraId="7E4CB5BF" w14:textId="2C95E0E7" w:rsidR="00B21DA2"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36082E" w:rsidRPr="001961B1">
        <w:rPr>
          <w:rFonts w:asciiTheme="minorHAnsi" w:hAnsiTheme="minorHAnsi" w:cstheme="minorHAnsi"/>
          <w:i/>
          <w:iCs/>
          <w:sz w:val="22"/>
          <w:szCs w:val="22"/>
          <w:u w:val="single"/>
          <w:lang w:val="fr-FR"/>
        </w:rPr>
        <w:t xml:space="preserve"> </w:t>
      </w:r>
    </w:p>
    <w:p w14:paraId="6A1F75BF" w14:textId="77777777" w:rsidR="008A5E8C" w:rsidRPr="001961B1" w:rsidRDefault="008A5E8C" w:rsidP="00D1463B">
      <w:pPr>
        <w:keepNext/>
        <w:rPr>
          <w:rFonts w:asciiTheme="minorHAnsi" w:hAnsiTheme="minorHAnsi" w:cstheme="minorHAnsi"/>
          <w:b/>
          <w:bCs/>
          <w:sz w:val="22"/>
          <w:szCs w:val="22"/>
          <w:lang w:val="fr-FR"/>
        </w:rPr>
      </w:pPr>
    </w:p>
    <w:p w14:paraId="3DF2CEF6" w14:textId="435D007C" w:rsidR="00637946"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D171A4" w:rsidRPr="001961B1">
        <w:rPr>
          <w:rFonts w:asciiTheme="minorHAnsi" w:hAnsiTheme="minorHAnsi" w:cstheme="minorHAnsi"/>
          <w:sz w:val="22"/>
          <w:szCs w:val="22"/>
          <w:lang w:val="fr-FR"/>
        </w:rPr>
        <w:t xml:space="preserve">Les </w:t>
      </w:r>
      <w:r w:rsidR="007F4AFD" w:rsidRPr="001961B1">
        <w:rPr>
          <w:rFonts w:asciiTheme="minorHAnsi" w:hAnsiTheme="minorHAnsi" w:cstheme="minorHAnsi"/>
          <w:sz w:val="22"/>
          <w:szCs w:val="22"/>
          <w:lang w:val="fr-FR"/>
        </w:rPr>
        <w:t>R</w:t>
      </w:r>
      <w:r w:rsidR="00D171A4" w:rsidRPr="001961B1">
        <w:rPr>
          <w:rFonts w:asciiTheme="minorHAnsi" w:hAnsiTheme="minorHAnsi" w:cstheme="minorHAnsi"/>
          <w:sz w:val="22"/>
          <w:szCs w:val="22"/>
          <w:lang w:val="fr-FR"/>
        </w:rPr>
        <w:t xml:space="preserve">apports nationaux </w:t>
      </w:r>
      <w:r w:rsidR="00923F17" w:rsidRPr="001961B1">
        <w:rPr>
          <w:rFonts w:asciiTheme="minorHAnsi" w:hAnsiTheme="minorHAnsi" w:cstheme="minorHAnsi"/>
          <w:sz w:val="22"/>
          <w:szCs w:val="22"/>
          <w:lang w:val="fr-FR"/>
        </w:rPr>
        <w:t xml:space="preserve">décrivent des avancées progressives </w:t>
      </w:r>
      <w:r w:rsidR="00382BAE" w:rsidRPr="001961B1">
        <w:rPr>
          <w:rFonts w:asciiTheme="minorHAnsi" w:hAnsiTheme="minorHAnsi" w:cstheme="minorHAnsi"/>
          <w:sz w:val="22"/>
          <w:szCs w:val="22"/>
          <w:lang w:val="fr-FR"/>
        </w:rPr>
        <w:t>concernant</w:t>
      </w:r>
      <w:r w:rsidR="00923F17" w:rsidRPr="001961B1">
        <w:rPr>
          <w:rFonts w:asciiTheme="minorHAnsi" w:hAnsiTheme="minorHAnsi" w:cstheme="minorHAnsi"/>
          <w:sz w:val="22"/>
          <w:szCs w:val="22"/>
          <w:lang w:val="fr-FR"/>
        </w:rPr>
        <w:t xml:space="preserve"> l’intégration des savoirs</w:t>
      </w:r>
      <w:r w:rsidR="00F0542E" w:rsidRPr="001961B1">
        <w:rPr>
          <w:rFonts w:asciiTheme="minorHAnsi" w:hAnsiTheme="minorHAnsi" w:cstheme="minorHAnsi"/>
          <w:sz w:val="22"/>
          <w:szCs w:val="22"/>
          <w:lang w:val="fr-FR"/>
        </w:rPr>
        <w:t xml:space="preserve"> des peuples autochtones et des communautés locales dans la gestion des zones humides. </w:t>
      </w:r>
      <w:r w:rsidR="00CD0FB3" w:rsidRPr="001961B1">
        <w:rPr>
          <w:rFonts w:asciiTheme="minorHAnsi" w:hAnsiTheme="minorHAnsi" w:cstheme="minorHAnsi"/>
          <w:sz w:val="22"/>
          <w:szCs w:val="22"/>
          <w:lang w:val="fr-FR"/>
        </w:rPr>
        <w:t>Au moment de</w:t>
      </w:r>
      <w:r w:rsidR="00F0542E" w:rsidRPr="001961B1">
        <w:rPr>
          <w:rFonts w:asciiTheme="minorHAnsi" w:hAnsiTheme="minorHAnsi" w:cstheme="minorHAnsi"/>
          <w:sz w:val="22"/>
          <w:szCs w:val="22"/>
          <w:lang w:val="fr-FR"/>
        </w:rPr>
        <w:t xml:space="preserve"> la COP15, 19 % des Parties contractantes ont adopté une législation nationale </w:t>
      </w:r>
      <w:r w:rsidR="00923F17" w:rsidRPr="001961B1">
        <w:rPr>
          <w:rFonts w:asciiTheme="minorHAnsi" w:hAnsiTheme="minorHAnsi" w:cstheme="minorHAnsi"/>
          <w:sz w:val="22"/>
          <w:szCs w:val="22"/>
          <w:lang w:val="fr-FR"/>
        </w:rPr>
        <w:t>associant</w:t>
      </w:r>
      <w:r w:rsidR="00F0542E" w:rsidRPr="001961B1">
        <w:rPr>
          <w:rFonts w:asciiTheme="minorHAnsi" w:hAnsiTheme="minorHAnsi" w:cstheme="minorHAnsi"/>
          <w:sz w:val="22"/>
          <w:szCs w:val="22"/>
          <w:lang w:val="fr-FR"/>
        </w:rPr>
        <w:t xml:space="preserve"> les peuples autochtones et les communautés locales à tous les niveaux pertinents de la gestion des zones humides ou des zones humides d’importance internationale, et 28 % d’autres Parties contractantes l’ont partiellement fait. Ces chiffres sont considérablement plus élevés en Océanie, Amérique latine et </w:t>
      </w:r>
      <w:r w:rsidR="00A27A89" w:rsidRPr="001961B1">
        <w:rPr>
          <w:rFonts w:asciiTheme="minorHAnsi" w:hAnsiTheme="minorHAnsi" w:cstheme="minorHAnsi"/>
          <w:sz w:val="22"/>
          <w:szCs w:val="22"/>
          <w:lang w:val="fr-FR"/>
        </w:rPr>
        <w:t>Caraïbes</w:t>
      </w:r>
      <w:r w:rsidR="00F0542E" w:rsidRPr="001961B1">
        <w:rPr>
          <w:rFonts w:asciiTheme="minorHAnsi" w:hAnsiTheme="minorHAnsi" w:cstheme="minorHAnsi"/>
          <w:sz w:val="22"/>
          <w:szCs w:val="22"/>
          <w:lang w:val="fr-FR"/>
        </w:rPr>
        <w:t xml:space="preserve"> et Amérique du Nord.</w:t>
      </w:r>
      <w:r w:rsidR="007E2CDB" w:rsidRPr="001961B1">
        <w:rPr>
          <w:rFonts w:asciiTheme="minorHAnsi" w:hAnsiTheme="minorHAnsi" w:cstheme="minorHAnsi"/>
          <w:sz w:val="22"/>
          <w:szCs w:val="22"/>
          <w:lang w:val="fr-FR"/>
        </w:rPr>
        <w:t xml:space="preserve"> </w:t>
      </w:r>
    </w:p>
    <w:p w14:paraId="009C79EE" w14:textId="77777777" w:rsidR="00637946" w:rsidRPr="001961B1" w:rsidRDefault="00637946" w:rsidP="000E3338">
      <w:pPr>
        <w:ind w:left="567" w:hanging="567"/>
        <w:rPr>
          <w:rFonts w:asciiTheme="minorHAnsi" w:hAnsiTheme="minorHAnsi" w:cstheme="minorHAnsi"/>
          <w:sz w:val="22"/>
          <w:szCs w:val="22"/>
          <w:lang w:val="fr-FR"/>
        </w:rPr>
      </w:pPr>
    </w:p>
    <w:p w14:paraId="5E99224F" w14:textId="5A317D0F" w:rsidR="0011203E"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F0542E" w:rsidRPr="001961B1">
        <w:rPr>
          <w:rFonts w:asciiTheme="minorHAnsi" w:hAnsiTheme="minorHAnsi" w:cstheme="minorHAnsi"/>
          <w:sz w:val="22"/>
          <w:szCs w:val="22"/>
          <w:lang w:val="fr-FR"/>
        </w:rPr>
        <w:t>La plupart des Parties contractantes ayant une législation nationale de ce type signalent également utiliser les principes directeurs relatifs à la prise en compte des valeurs culturelles des zones humides, y compris des connaissances traditionnelles</w:t>
      </w:r>
      <w:r w:rsidR="004A597E" w:rsidRPr="001961B1">
        <w:rPr>
          <w:rFonts w:asciiTheme="minorHAnsi" w:hAnsiTheme="minorHAnsi" w:cstheme="minorHAnsi"/>
          <w:sz w:val="22"/>
          <w:szCs w:val="22"/>
          <w:lang w:val="fr-FR"/>
        </w:rPr>
        <w:t>,</w:t>
      </w:r>
      <w:r w:rsidR="00F0542E" w:rsidRPr="001961B1">
        <w:rPr>
          <w:rFonts w:asciiTheme="minorHAnsi" w:hAnsiTheme="minorHAnsi" w:cstheme="minorHAnsi"/>
          <w:sz w:val="22"/>
          <w:szCs w:val="22"/>
          <w:lang w:val="fr-FR"/>
        </w:rPr>
        <w:t xml:space="preserve"> dans la gestion efficace des sites (Résolution </w:t>
      </w:r>
      <w:r w:rsidR="008A25D2" w:rsidRPr="001961B1">
        <w:rPr>
          <w:rFonts w:asciiTheme="minorHAnsi" w:hAnsiTheme="minorHAnsi" w:cstheme="minorHAnsi"/>
          <w:sz w:val="22"/>
          <w:szCs w:val="22"/>
          <w:lang w:val="fr-FR"/>
        </w:rPr>
        <w:t>VIII.19)</w:t>
      </w:r>
      <w:r w:rsidR="00BB4C56" w:rsidRPr="001961B1">
        <w:rPr>
          <w:rFonts w:asciiTheme="minorHAnsi" w:hAnsiTheme="minorHAnsi" w:cstheme="minorHAnsi"/>
          <w:sz w:val="22"/>
          <w:szCs w:val="22"/>
          <w:lang w:val="fr-FR"/>
        </w:rPr>
        <w:t xml:space="preserve">. </w:t>
      </w:r>
      <w:r w:rsidR="00F0542E" w:rsidRPr="001961B1">
        <w:rPr>
          <w:rFonts w:asciiTheme="minorHAnsi" w:hAnsiTheme="minorHAnsi" w:cstheme="minorHAnsi"/>
          <w:sz w:val="22"/>
          <w:szCs w:val="22"/>
          <w:lang w:val="fr-FR"/>
        </w:rPr>
        <w:t>Quarante-trois pour cent (</w:t>
      </w:r>
      <w:r w:rsidR="0011203E" w:rsidRPr="001961B1">
        <w:rPr>
          <w:rFonts w:asciiTheme="minorHAnsi" w:hAnsiTheme="minorHAnsi" w:cstheme="minorHAnsi"/>
          <w:sz w:val="22"/>
          <w:szCs w:val="22"/>
          <w:lang w:val="fr-FR"/>
        </w:rPr>
        <w:t>43</w:t>
      </w:r>
      <w:r w:rsidR="00F0542E" w:rsidRPr="001961B1">
        <w:rPr>
          <w:rFonts w:asciiTheme="minorHAnsi" w:hAnsiTheme="minorHAnsi" w:cstheme="minorHAnsi"/>
          <w:sz w:val="22"/>
          <w:szCs w:val="22"/>
          <w:lang w:val="fr-FR"/>
        </w:rPr>
        <w:t> </w:t>
      </w:r>
      <w:r w:rsidR="0011203E" w:rsidRPr="001961B1">
        <w:rPr>
          <w:rFonts w:asciiTheme="minorHAnsi" w:hAnsiTheme="minorHAnsi" w:cstheme="minorHAnsi"/>
          <w:sz w:val="22"/>
          <w:szCs w:val="22"/>
          <w:lang w:val="fr-FR"/>
        </w:rPr>
        <w:t>%</w:t>
      </w:r>
      <w:r w:rsidR="00F0542E" w:rsidRPr="001961B1">
        <w:rPr>
          <w:rFonts w:asciiTheme="minorHAnsi" w:hAnsiTheme="minorHAnsi" w:cstheme="minorHAnsi"/>
          <w:sz w:val="22"/>
          <w:szCs w:val="22"/>
          <w:lang w:val="fr-FR"/>
        </w:rPr>
        <w:t xml:space="preserve">) des Parties ont appliqué les lignes directrices afin </w:t>
      </w:r>
      <w:r w:rsidR="004A597E" w:rsidRPr="001961B1">
        <w:rPr>
          <w:rFonts w:asciiTheme="minorHAnsi" w:hAnsiTheme="minorHAnsi" w:cstheme="minorHAnsi"/>
          <w:sz w:val="22"/>
          <w:szCs w:val="22"/>
          <w:lang w:val="fr-FR"/>
        </w:rPr>
        <w:t>d’instaurer</w:t>
      </w:r>
      <w:r w:rsidR="00F0542E" w:rsidRPr="001961B1">
        <w:rPr>
          <w:rFonts w:asciiTheme="minorHAnsi" w:hAnsiTheme="minorHAnsi" w:cstheme="minorHAnsi"/>
          <w:sz w:val="22"/>
          <w:szCs w:val="22"/>
          <w:lang w:val="fr-FR"/>
        </w:rPr>
        <w:t xml:space="preserve"> et de renforcer la participation des communautés locales et des peuples autochtones à la gestion des zones humides tandis que 12 % </w:t>
      </w:r>
      <w:r w:rsidR="004A597E" w:rsidRPr="001961B1">
        <w:rPr>
          <w:rFonts w:asciiTheme="minorHAnsi" w:hAnsiTheme="minorHAnsi" w:cstheme="minorHAnsi"/>
          <w:sz w:val="22"/>
          <w:szCs w:val="22"/>
          <w:lang w:val="fr-FR"/>
        </w:rPr>
        <w:t>d’autres Parties</w:t>
      </w:r>
      <w:r w:rsidR="00F0542E" w:rsidRPr="001961B1">
        <w:rPr>
          <w:rFonts w:asciiTheme="minorHAnsi" w:hAnsiTheme="minorHAnsi" w:cstheme="minorHAnsi"/>
          <w:sz w:val="22"/>
          <w:szCs w:val="22"/>
          <w:lang w:val="fr-FR"/>
        </w:rPr>
        <w:t xml:space="preserve"> prévoient de le faire.</w:t>
      </w:r>
      <w:r w:rsidR="00AB2083" w:rsidRPr="001961B1">
        <w:rPr>
          <w:rFonts w:asciiTheme="minorHAnsi" w:hAnsiTheme="minorHAnsi" w:cstheme="minorHAnsi"/>
          <w:sz w:val="22"/>
          <w:szCs w:val="22"/>
          <w:lang w:val="fr-FR"/>
        </w:rPr>
        <w:t xml:space="preserve"> </w:t>
      </w:r>
      <w:r w:rsidR="004D73D9" w:rsidRPr="001961B1">
        <w:rPr>
          <w:rFonts w:asciiTheme="minorHAnsi" w:hAnsiTheme="minorHAnsi" w:cstheme="minorHAnsi"/>
          <w:sz w:val="22"/>
          <w:szCs w:val="22"/>
          <w:lang w:val="fr-FR"/>
        </w:rPr>
        <w:t xml:space="preserve"> </w:t>
      </w:r>
    </w:p>
    <w:p w14:paraId="12D121F9" w14:textId="77777777" w:rsidR="00FE0490" w:rsidRPr="001961B1" w:rsidRDefault="00FE0490" w:rsidP="000E3338">
      <w:pPr>
        <w:ind w:left="567" w:hanging="567"/>
        <w:rPr>
          <w:rFonts w:asciiTheme="minorHAnsi" w:hAnsiTheme="minorHAnsi" w:cstheme="minorHAnsi"/>
          <w:sz w:val="22"/>
          <w:szCs w:val="22"/>
          <w:lang w:val="fr-FR"/>
        </w:rPr>
      </w:pPr>
    </w:p>
    <w:p w14:paraId="7C111097" w14:textId="11D77DE9" w:rsidR="00FE0490"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4</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F0542E" w:rsidRPr="001961B1">
        <w:rPr>
          <w:rFonts w:asciiTheme="minorHAnsi" w:hAnsiTheme="minorHAnsi" w:cstheme="minorHAnsi"/>
          <w:sz w:val="22"/>
          <w:szCs w:val="22"/>
          <w:lang w:val="fr-FR"/>
        </w:rPr>
        <w:t xml:space="preserve">De la </w:t>
      </w:r>
      <w:r w:rsidR="00FE0490" w:rsidRPr="001961B1">
        <w:rPr>
          <w:rFonts w:asciiTheme="minorHAnsi" w:hAnsiTheme="minorHAnsi" w:cstheme="minorHAnsi"/>
          <w:sz w:val="22"/>
          <w:szCs w:val="22"/>
          <w:lang w:val="fr-FR"/>
        </w:rPr>
        <w:t xml:space="preserve">COP13 </w:t>
      </w:r>
      <w:r w:rsidR="00F0542E" w:rsidRPr="001961B1">
        <w:rPr>
          <w:rFonts w:asciiTheme="minorHAnsi" w:hAnsiTheme="minorHAnsi" w:cstheme="minorHAnsi"/>
          <w:sz w:val="22"/>
          <w:szCs w:val="22"/>
          <w:lang w:val="fr-FR"/>
        </w:rPr>
        <w:t xml:space="preserve">à la </w:t>
      </w:r>
      <w:r w:rsidR="00FE0490" w:rsidRPr="001961B1">
        <w:rPr>
          <w:rFonts w:asciiTheme="minorHAnsi" w:hAnsiTheme="minorHAnsi" w:cstheme="minorHAnsi"/>
          <w:sz w:val="22"/>
          <w:szCs w:val="22"/>
          <w:lang w:val="fr-FR"/>
        </w:rPr>
        <w:t xml:space="preserve">COP15, </w:t>
      </w:r>
      <w:r w:rsidR="002927A4" w:rsidRPr="001961B1">
        <w:rPr>
          <w:rFonts w:asciiTheme="minorHAnsi" w:hAnsiTheme="minorHAnsi" w:cstheme="minorHAnsi"/>
          <w:sz w:val="22"/>
          <w:szCs w:val="22"/>
          <w:lang w:val="fr-FR"/>
        </w:rPr>
        <w:t>on observe une augmentation générale de la proportion de Parties contractantes qui documentent et encouragent l’application des connaissances et des pratiques de gestion traditionnelles et qui ont compilé des études de cas sur la participation des peuples autochtones. Les Rapports nationaux font de plus en plus référence à des stratégies d’engagement, des efforts de documentation et des pratiques participatives, reflétant une intégration croissante des connaissances traditionnelles et de la participation des peuples autochtones et des communautés locales dans la mise en œuvre de la Convention.</w:t>
      </w:r>
    </w:p>
    <w:p w14:paraId="35B66778" w14:textId="77777777" w:rsidR="00FE0490" w:rsidRPr="001961B1" w:rsidRDefault="00FE0490" w:rsidP="000E3338">
      <w:pPr>
        <w:ind w:left="567" w:hanging="567"/>
        <w:rPr>
          <w:rFonts w:asciiTheme="minorHAnsi" w:hAnsiTheme="minorHAnsi" w:cstheme="minorHAnsi"/>
          <w:sz w:val="22"/>
          <w:szCs w:val="22"/>
          <w:lang w:val="fr-FR"/>
        </w:rPr>
      </w:pPr>
    </w:p>
    <w:p w14:paraId="168C78D5" w14:textId="2CD372C3" w:rsidR="00FE0490"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B1B1A" w:rsidRPr="001961B1">
        <w:rPr>
          <w:rFonts w:asciiTheme="minorHAnsi" w:hAnsiTheme="minorHAnsi" w:cstheme="minorHAnsi"/>
          <w:sz w:val="22"/>
          <w:szCs w:val="22"/>
          <w:lang w:val="fr-FR"/>
        </w:rPr>
        <w:t xml:space="preserve">Les progrès </w:t>
      </w:r>
      <w:r w:rsidR="00AD030E" w:rsidRPr="001961B1">
        <w:rPr>
          <w:rFonts w:asciiTheme="minorHAnsi" w:hAnsiTheme="minorHAnsi" w:cstheme="minorHAnsi"/>
          <w:sz w:val="22"/>
          <w:szCs w:val="22"/>
          <w:lang w:val="fr-FR"/>
        </w:rPr>
        <w:t>dépendent du</w:t>
      </w:r>
      <w:r w:rsidR="00EB1B1A" w:rsidRPr="001961B1">
        <w:rPr>
          <w:rFonts w:asciiTheme="minorHAnsi" w:hAnsiTheme="minorHAnsi" w:cstheme="minorHAnsi"/>
          <w:sz w:val="22"/>
          <w:szCs w:val="22"/>
          <w:lang w:val="fr-FR"/>
        </w:rPr>
        <w:t xml:space="preserve"> contexte</w:t>
      </w:r>
      <w:r w:rsidR="00AD030E" w:rsidRPr="001961B1">
        <w:rPr>
          <w:rFonts w:asciiTheme="minorHAnsi" w:hAnsiTheme="minorHAnsi" w:cstheme="minorHAnsi"/>
          <w:sz w:val="22"/>
          <w:szCs w:val="22"/>
          <w:lang w:val="fr-FR"/>
        </w:rPr>
        <w:t xml:space="preserve"> et sont</w:t>
      </w:r>
      <w:r w:rsidR="00EB1B1A" w:rsidRPr="001961B1">
        <w:rPr>
          <w:rFonts w:asciiTheme="minorHAnsi" w:hAnsiTheme="minorHAnsi" w:cstheme="minorHAnsi"/>
          <w:sz w:val="22"/>
          <w:szCs w:val="22"/>
          <w:lang w:val="fr-FR"/>
        </w:rPr>
        <w:t xml:space="preserve"> parfois variables selon les régions, </w:t>
      </w:r>
      <w:r w:rsidR="00AD030E" w:rsidRPr="001961B1">
        <w:rPr>
          <w:rFonts w:asciiTheme="minorHAnsi" w:hAnsiTheme="minorHAnsi" w:cstheme="minorHAnsi"/>
          <w:sz w:val="22"/>
          <w:szCs w:val="22"/>
          <w:lang w:val="fr-FR"/>
        </w:rPr>
        <w:t>sont tributaires</w:t>
      </w:r>
      <w:r w:rsidR="00EB1B1A" w:rsidRPr="001961B1">
        <w:rPr>
          <w:rFonts w:asciiTheme="minorHAnsi" w:hAnsiTheme="minorHAnsi" w:cstheme="minorHAnsi"/>
          <w:sz w:val="22"/>
          <w:szCs w:val="22"/>
          <w:lang w:val="fr-FR"/>
        </w:rPr>
        <w:t xml:space="preserve"> d’arrangements juridiques et institutionnels et d’une capacité technique et, en général, </w:t>
      </w:r>
      <w:r w:rsidR="00AD030E" w:rsidRPr="001961B1">
        <w:rPr>
          <w:rFonts w:asciiTheme="minorHAnsi" w:hAnsiTheme="minorHAnsi" w:cstheme="minorHAnsi"/>
          <w:sz w:val="22"/>
          <w:szCs w:val="22"/>
          <w:lang w:val="fr-FR"/>
        </w:rPr>
        <w:t>laissent à penser</w:t>
      </w:r>
      <w:r w:rsidR="00EB1B1A" w:rsidRPr="001961B1">
        <w:rPr>
          <w:rFonts w:asciiTheme="minorHAnsi" w:hAnsiTheme="minorHAnsi" w:cstheme="minorHAnsi"/>
          <w:sz w:val="22"/>
          <w:szCs w:val="22"/>
          <w:lang w:val="fr-FR"/>
        </w:rPr>
        <w:t xml:space="preserve"> qu’un engagement local actif améliore l’efficacité. Les Parties contractantes d’Europe citent fréquemment des systèmes de documentation mais mentionnent des lacunes dans l’intégration légale officielle tandis que les Parties d’Afrique soulignent une participation communautaire solide tout en pointant les limit</w:t>
      </w:r>
      <w:r w:rsidR="00382BAE" w:rsidRPr="001961B1">
        <w:rPr>
          <w:rFonts w:asciiTheme="minorHAnsi" w:hAnsiTheme="minorHAnsi" w:cstheme="minorHAnsi"/>
          <w:sz w:val="22"/>
          <w:szCs w:val="22"/>
          <w:lang w:val="fr-FR"/>
        </w:rPr>
        <w:t>es</w:t>
      </w:r>
      <w:r w:rsidR="00EB1B1A" w:rsidRPr="001961B1">
        <w:rPr>
          <w:rFonts w:asciiTheme="minorHAnsi" w:hAnsiTheme="minorHAnsi" w:cstheme="minorHAnsi"/>
          <w:sz w:val="22"/>
          <w:szCs w:val="22"/>
          <w:lang w:val="fr-FR"/>
        </w:rPr>
        <w:t xml:space="preserve"> en matière de ressources et de capacités, et les Parties d’Amérique latine et </w:t>
      </w:r>
      <w:r w:rsidR="00A27A89" w:rsidRPr="001961B1">
        <w:rPr>
          <w:rFonts w:asciiTheme="minorHAnsi" w:hAnsiTheme="minorHAnsi" w:cstheme="minorHAnsi"/>
          <w:sz w:val="22"/>
          <w:szCs w:val="22"/>
          <w:lang w:val="fr-FR"/>
        </w:rPr>
        <w:t>Caraïbes</w:t>
      </w:r>
      <w:r w:rsidR="00EB1B1A" w:rsidRPr="001961B1">
        <w:rPr>
          <w:rFonts w:asciiTheme="minorHAnsi" w:hAnsiTheme="minorHAnsi" w:cstheme="minorHAnsi"/>
          <w:sz w:val="22"/>
          <w:szCs w:val="22"/>
          <w:lang w:val="fr-FR"/>
        </w:rPr>
        <w:t xml:space="preserve"> décrivent des approches pratiques, fondées sur le partenariat, souvent sans le soutien de cadres politiques.</w:t>
      </w:r>
      <w:r w:rsidR="00FE0490" w:rsidRPr="001961B1">
        <w:rPr>
          <w:rFonts w:asciiTheme="minorHAnsi" w:hAnsiTheme="minorHAnsi" w:cstheme="minorHAnsi"/>
          <w:sz w:val="22"/>
          <w:szCs w:val="22"/>
          <w:lang w:val="fr-FR"/>
        </w:rPr>
        <w:t xml:space="preserve"> </w:t>
      </w:r>
    </w:p>
    <w:p w14:paraId="260445EB" w14:textId="77777777" w:rsidR="00FE0490" w:rsidRPr="001961B1" w:rsidRDefault="00FE0490" w:rsidP="000E3338">
      <w:pPr>
        <w:ind w:left="567" w:hanging="567"/>
        <w:rPr>
          <w:rFonts w:asciiTheme="minorHAnsi" w:hAnsiTheme="minorHAnsi" w:cstheme="minorHAnsi"/>
          <w:sz w:val="22"/>
          <w:szCs w:val="22"/>
          <w:lang w:val="fr-FR"/>
        </w:rPr>
      </w:pPr>
    </w:p>
    <w:p w14:paraId="0887BE7A" w14:textId="58F1666E" w:rsidR="008A5E8C"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B1B1A" w:rsidRPr="001961B1">
        <w:rPr>
          <w:rFonts w:asciiTheme="minorHAnsi" w:hAnsiTheme="minorHAnsi" w:cstheme="minorHAnsi"/>
          <w:sz w:val="22"/>
          <w:szCs w:val="22"/>
          <w:lang w:val="fr-FR"/>
        </w:rPr>
        <w:t>Parmi les recommandations visant à accélérer encore les progrès, présentées dans les Rapports nationaux, on peut citer le renforcement des capacités institutionnelles et des cadres juridiques, fournissant un appui spécifique aux régions, y compris un appui financier et encourageant l’échange de connaissances.</w:t>
      </w:r>
      <w:r w:rsidR="00DA68A1" w:rsidRPr="001961B1">
        <w:rPr>
          <w:rFonts w:asciiTheme="minorHAnsi" w:hAnsiTheme="minorHAnsi" w:cstheme="minorHAnsi"/>
          <w:sz w:val="22"/>
          <w:szCs w:val="22"/>
          <w:lang w:val="fr-FR"/>
        </w:rPr>
        <w:t xml:space="preserve"> </w:t>
      </w:r>
    </w:p>
    <w:p w14:paraId="2F13CDCE" w14:textId="77777777" w:rsidR="00F00E08" w:rsidRPr="001961B1" w:rsidRDefault="00F00E08" w:rsidP="00A338FF">
      <w:pPr>
        <w:rPr>
          <w:rFonts w:asciiTheme="minorHAnsi" w:hAnsiTheme="minorHAnsi" w:cstheme="minorHAnsi"/>
          <w:sz w:val="22"/>
          <w:szCs w:val="22"/>
          <w:lang w:val="fr-FR"/>
        </w:rPr>
      </w:pPr>
    </w:p>
    <w:p w14:paraId="67A4E0DE" w14:textId="77777777" w:rsidR="008A5E8C" w:rsidRPr="001961B1" w:rsidRDefault="008A5E8C" w:rsidP="00A338FF">
      <w:pPr>
        <w:rPr>
          <w:rFonts w:asciiTheme="minorHAnsi" w:hAnsiTheme="minorHAnsi" w:cstheme="minorHAnsi"/>
          <w:sz w:val="22"/>
          <w:szCs w:val="22"/>
          <w:lang w:val="fr-FR"/>
        </w:rPr>
      </w:pPr>
    </w:p>
    <w:tbl>
      <w:tblPr>
        <w:tblStyle w:val="TableGrid16"/>
        <w:tblW w:w="9351" w:type="dxa"/>
        <w:tblLook w:val="04A0" w:firstRow="1" w:lastRow="0" w:firstColumn="1" w:lastColumn="0" w:noHBand="0" w:noVBand="1"/>
      </w:tblPr>
      <w:tblGrid>
        <w:gridCol w:w="9351"/>
      </w:tblGrid>
      <w:tr w:rsidR="00C76214" w:rsidRPr="001961B1" w14:paraId="643DC710" w14:textId="77777777" w:rsidTr="004D229D">
        <w:tc>
          <w:tcPr>
            <w:tcW w:w="9351" w:type="dxa"/>
            <w:vAlign w:val="center"/>
          </w:tcPr>
          <w:p w14:paraId="01A34EE4" w14:textId="2977F8CB" w:rsidR="00AA52A8" w:rsidRPr="001961B1" w:rsidRDefault="00D31C5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lastRenderedPageBreak/>
              <w:t>Objectif</w:t>
            </w:r>
            <w:r w:rsidR="00C76214" w:rsidRPr="001961B1">
              <w:rPr>
                <w:rFonts w:asciiTheme="minorHAnsi" w:hAnsiTheme="minorHAnsi" w:cstheme="minorHAnsi"/>
                <w:b/>
                <w:sz w:val="22"/>
                <w:szCs w:val="22"/>
                <w:lang w:val="fr-FR" w:eastAsia="fr-FR"/>
              </w:rPr>
              <w:t xml:space="preserve"> 11. </w:t>
            </w:r>
            <w:r w:rsidRPr="001961B1">
              <w:rPr>
                <w:rFonts w:asciiTheme="minorHAnsi" w:hAnsiTheme="minorHAnsi" w:cstheme="minorHAnsi"/>
                <w:b/>
                <w:sz w:val="22"/>
                <w:szCs w:val="22"/>
                <w:lang w:val="fr-FR" w:eastAsia="fr-FR"/>
              </w:rPr>
              <w:t>Les fonctions, services et avantages des zones humides sont largement démontrés, documentés et diffusés</w:t>
            </w:r>
            <w:r w:rsidR="00C76214" w:rsidRPr="001961B1">
              <w:rPr>
                <w:rFonts w:asciiTheme="minorHAnsi" w:hAnsiTheme="minorHAnsi" w:cstheme="minorHAnsi"/>
                <w:b/>
                <w:sz w:val="22"/>
                <w:szCs w:val="22"/>
                <w:lang w:val="fr-FR" w:eastAsia="fr-FR"/>
              </w:rPr>
              <w:t xml:space="preserve">. </w:t>
            </w:r>
          </w:p>
          <w:p w14:paraId="47C4CEC9" w14:textId="4E5B8798" w:rsidR="00C76214"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aux cibles </w:t>
            </w:r>
            <w:r w:rsidR="00C76214" w:rsidRPr="001961B1">
              <w:rPr>
                <w:rFonts w:asciiTheme="minorHAnsi" w:hAnsiTheme="minorHAnsi" w:cstheme="minorHAnsi"/>
                <w:bCs/>
                <w:sz w:val="22"/>
                <w:szCs w:val="22"/>
                <w:lang w:val="fr-FR" w:eastAsia="fr-FR"/>
              </w:rPr>
              <w:t xml:space="preserve">11, 12 </w:t>
            </w:r>
            <w:r w:rsidR="007775E4" w:rsidRPr="001961B1">
              <w:rPr>
                <w:rFonts w:asciiTheme="minorHAnsi" w:hAnsiTheme="minorHAnsi" w:cstheme="minorHAnsi"/>
                <w:bCs/>
                <w:sz w:val="22"/>
                <w:szCs w:val="22"/>
                <w:lang w:val="fr-FR" w:eastAsia="fr-FR"/>
              </w:rPr>
              <w:t>et</w:t>
            </w:r>
            <w:r w:rsidR="00C76214" w:rsidRPr="001961B1">
              <w:rPr>
                <w:rFonts w:asciiTheme="minorHAnsi" w:hAnsiTheme="minorHAnsi" w:cstheme="minorHAnsi"/>
                <w:bCs/>
                <w:sz w:val="22"/>
                <w:szCs w:val="22"/>
                <w:lang w:val="fr-FR" w:eastAsia="fr-FR"/>
              </w:rPr>
              <w:t xml:space="preserve"> 13</w:t>
            </w:r>
            <w:r w:rsidR="007775E4" w:rsidRPr="001961B1">
              <w:rPr>
                <w:rFonts w:asciiTheme="minorHAnsi" w:hAnsiTheme="minorHAnsi" w:cstheme="minorHAnsi"/>
                <w:bCs/>
                <w:sz w:val="22"/>
                <w:szCs w:val="22"/>
                <w:lang w:val="fr-FR" w:eastAsia="fr-FR"/>
              </w:rPr>
              <w:t xml:space="preserve"> du CMB-KM et aux cibles</w:t>
            </w:r>
            <w:r w:rsidR="00965E77" w:rsidRPr="001961B1">
              <w:rPr>
                <w:rFonts w:asciiTheme="minorHAnsi" w:hAnsiTheme="minorHAnsi" w:cstheme="minorHAnsi"/>
                <w:bCs/>
                <w:sz w:val="22"/>
                <w:szCs w:val="22"/>
                <w:lang w:val="fr-FR" w:eastAsia="fr-FR"/>
              </w:rPr>
              <w:t xml:space="preserve"> </w:t>
            </w:r>
            <w:r w:rsidR="00C85010" w:rsidRPr="001961B1">
              <w:rPr>
                <w:rFonts w:asciiTheme="minorHAnsi" w:hAnsiTheme="minorHAnsi" w:cstheme="minorHAnsi"/>
                <w:bCs/>
                <w:sz w:val="22"/>
                <w:szCs w:val="22"/>
                <w:lang w:val="fr-FR" w:eastAsia="fr-FR"/>
              </w:rPr>
              <w:t>1.5</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14.7</w:t>
            </w:r>
            <w:r w:rsidR="005919ED" w:rsidRPr="001961B1">
              <w:rPr>
                <w:rFonts w:asciiTheme="minorHAnsi" w:hAnsiTheme="minorHAnsi" w:cstheme="minorHAnsi"/>
                <w:bCs/>
                <w:sz w:val="22"/>
                <w:szCs w:val="22"/>
                <w:lang w:val="fr-FR" w:eastAsia="fr-FR"/>
              </w:rPr>
              <w:t xml:space="preserve"> </w:t>
            </w:r>
            <w:r w:rsidR="007775E4" w:rsidRPr="001961B1">
              <w:rPr>
                <w:rFonts w:asciiTheme="minorHAnsi" w:hAnsiTheme="minorHAnsi" w:cstheme="minorHAnsi"/>
                <w:bCs/>
                <w:sz w:val="22"/>
                <w:szCs w:val="22"/>
                <w:lang w:val="fr-FR" w:eastAsia="fr-FR"/>
              </w:rPr>
              <w:t>et</w:t>
            </w:r>
            <w:r w:rsidR="00C85010" w:rsidRPr="001961B1">
              <w:rPr>
                <w:rFonts w:asciiTheme="minorHAnsi" w:hAnsiTheme="minorHAnsi" w:cstheme="minorHAnsi"/>
                <w:bCs/>
                <w:sz w:val="22"/>
                <w:szCs w:val="22"/>
                <w:lang w:val="fr-FR" w:eastAsia="fr-FR"/>
              </w:rPr>
              <w:t xml:space="preserve"> 15.9</w:t>
            </w:r>
            <w:r w:rsidR="007775E4" w:rsidRPr="001961B1">
              <w:rPr>
                <w:rFonts w:asciiTheme="minorHAnsi" w:hAnsiTheme="minorHAnsi" w:cstheme="minorHAnsi"/>
                <w:bCs/>
                <w:sz w:val="22"/>
                <w:szCs w:val="22"/>
                <w:lang w:val="fr-FR" w:eastAsia="fr-FR"/>
              </w:rPr>
              <w:t xml:space="preserve"> des ODD</w:t>
            </w:r>
            <w:r w:rsidR="005919ED" w:rsidRPr="001961B1">
              <w:rPr>
                <w:rFonts w:asciiTheme="minorHAnsi" w:hAnsiTheme="minorHAnsi" w:cstheme="minorHAnsi"/>
                <w:bCs/>
                <w:sz w:val="22"/>
                <w:szCs w:val="22"/>
                <w:lang w:val="fr-FR" w:eastAsia="fr-FR"/>
              </w:rPr>
              <w:t>.</w:t>
            </w:r>
          </w:p>
        </w:tc>
      </w:tr>
    </w:tbl>
    <w:p w14:paraId="707ECC0B" w14:textId="77777777" w:rsidR="00197523" w:rsidRPr="001961B1" w:rsidRDefault="00197523" w:rsidP="008A4C62">
      <w:pPr>
        <w:keepNext/>
        <w:rPr>
          <w:rFonts w:asciiTheme="minorHAnsi" w:hAnsiTheme="minorHAnsi" w:cstheme="minorHAnsi"/>
          <w:b/>
          <w:sz w:val="22"/>
          <w:szCs w:val="22"/>
          <w:lang w:val="fr-FR" w:eastAsia="fr-FR"/>
        </w:rPr>
      </w:pPr>
    </w:p>
    <w:p w14:paraId="351C13FE" w14:textId="15A5DAC7" w:rsidR="007C785B" w:rsidRPr="001961B1" w:rsidRDefault="007251E6" w:rsidP="008A4C62">
      <w:pPr>
        <w:keepNext/>
        <w:rPr>
          <w:rFonts w:asciiTheme="minorHAnsi" w:hAnsiTheme="minorHAnsi" w:cstheme="minorHAnsi"/>
          <w:bCs/>
          <w:i/>
          <w:iCs/>
          <w:sz w:val="22"/>
          <w:szCs w:val="22"/>
          <w:u w:val="single"/>
          <w:lang w:val="fr-FR" w:eastAsia="fr-FR"/>
        </w:rPr>
      </w:pPr>
      <w:r w:rsidRPr="001961B1">
        <w:rPr>
          <w:rFonts w:asciiTheme="minorHAnsi" w:hAnsiTheme="minorHAnsi" w:cstheme="minorHAnsi"/>
          <w:bCs/>
          <w:i/>
          <w:iCs/>
          <w:sz w:val="22"/>
          <w:szCs w:val="22"/>
          <w:u w:val="single"/>
          <w:lang w:val="fr-FR" w:eastAsia="fr-FR"/>
        </w:rPr>
        <w:t>Message clé</w:t>
      </w:r>
      <w:r w:rsidR="007C785B" w:rsidRPr="001961B1">
        <w:rPr>
          <w:rFonts w:asciiTheme="minorHAnsi" w:hAnsiTheme="minorHAnsi" w:cstheme="minorHAnsi"/>
          <w:bCs/>
          <w:i/>
          <w:iCs/>
          <w:sz w:val="22"/>
          <w:szCs w:val="22"/>
          <w:u w:val="single"/>
          <w:lang w:val="fr-FR" w:eastAsia="fr-FR"/>
        </w:rPr>
        <w:t xml:space="preserve"> </w:t>
      </w:r>
    </w:p>
    <w:p w14:paraId="1AF5300E" w14:textId="77777777" w:rsidR="00D1463B" w:rsidRPr="001961B1" w:rsidRDefault="00D1463B" w:rsidP="008A4C62">
      <w:pPr>
        <w:keepNext/>
        <w:ind w:left="426" w:hanging="426"/>
        <w:rPr>
          <w:rFonts w:asciiTheme="minorHAnsi" w:hAnsiTheme="minorHAnsi" w:cstheme="minorHAnsi"/>
          <w:sz w:val="22"/>
          <w:szCs w:val="22"/>
          <w:lang w:val="fr-FR"/>
        </w:rPr>
      </w:pPr>
    </w:p>
    <w:p w14:paraId="00EA440F" w14:textId="43EB76FA" w:rsidR="000D6D30" w:rsidRPr="001961B1" w:rsidRDefault="00515041"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1E4D18" w:rsidRPr="001961B1">
        <w:rPr>
          <w:rFonts w:asciiTheme="minorHAnsi" w:hAnsiTheme="minorHAnsi" w:cstheme="minorHAnsi"/>
          <w:sz w:val="22"/>
          <w:szCs w:val="22"/>
          <w:lang w:val="fr-FR"/>
        </w:rPr>
        <w:t xml:space="preserve">L’évaluation des services écosystémiques et l’intégration des valeurs socioéconomiques et culturelles dans la gestion des zones humides progressent à pas modérés, et beaucoup de Parties contractantes signalent une mise en œuvre partielle. </w:t>
      </w:r>
      <w:r w:rsidR="00120B7D" w:rsidRPr="001961B1">
        <w:rPr>
          <w:rFonts w:asciiTheme="minorHAnsi" w:hAnsiTheme="minorHAnsi" w:cstheme="minorHAnsi"/>
          <w:sz w:val="22"/>
          <w:szCs w:val="22"/>
          <w:lang w:val="fr-FR"/>
        </w:rPr>
        <w:t xml:space="preserve">L’intégration des questions relatives aux zones humides dans les stratégies d’éradication de la pauvreté et la mise en œuvre de mesures pour les zones humides contribuant à l’allègement de la pauvreté, à la sécurité de l’alimentation et de l’eau, </w:t>
      </w:r>
      <w:r w:rsidR="00502782" w:rsidRPr="001961B1">
        <w:rPr>
          <w:rFonts w:asciiTheme="minorHAnsi" w:hAnsiTheme="minorHAnsi" w:cstheme="minorHAnsi"/>
          <w:sz w:val="22"/>
          <w:szCs w:val="22"/>
          <w:lang w:val="fr-FR"/>
        </w:rPr>
        <w:t>ne s’est pas améliorée</w:t>
      </w:r>
      <w:r w:rsidR="00120B7D" w:rsidRPr="001961B1">
        <w:rPr>
          <w:rFonts w:asciiTheme="minorHAnsi" w:hAnsiTheme="minorHAnsi" w:cstheme="minorHAnsi"/>
          <w:sz w:val="22"/>
          <w:szCs w:val="22"/>
          <w:lang w:val="fr-FR"/>
        </w:rPr>
        <w:t xml:space="preserve"> durant la période du PS4 et reste en dessous de la référence.</w:t>
      </w:r>
      <w:r w:rsidR="00965E77" w:rsidRPr="001961B1">
        <w:rPr>
          <w:rFonts w:asciiTheme="minorHAnsi" w:hAnsiTheme="minorHAnsi" w:cstheme="minorHAnsi"/>
          <w:sz w:val="22"/>
          <w:szCs w:val="22"/>
          <w:lang w:val="fr-FR"/>
        </w:rPr>
        <w:t xml:space="preserve"> </w:t>
      </w:r>
    </w:p>
    <w:p w14:paraId="4552E3C7" w14:textId="77777777" w:rsidR="008A5E8C" w:rsidRPr="001961B1" w:rsidRDefault="008A5E8C" w:rsidP="00A338FF">
      <w:pPr>
        <w:rPr>
          <w:rFonts w:asciiTheme="minorHAnsi" w:hAnsiTheme="minorHAnsi" w:cstheme="minorHAnsi"/>
          <w:sz w:val="22"/>
          <w:szCs w:val="22"/>
          <w:lang w:val="fr-FR"/>
        </w:rPr>
      </w:pPr>
    </w:p>
    <w:tbl>
      <w:tblPr>
        <w:tblStyle w:val="TableGrid29"/>
        <w:tblW w:w="9493" w:type="dxa"/>
        <w:tblLayout w:type="fixed"/>
        <w:tblLook w:val="04A0" w:firstRow="1" w:lastRow="0" w:firstColumn="1" w:lastColumn="0" w:noHBand="0" w:noVBand="1"/>
      </w:tblPr>
      <w:tblGrid>
        <w:gridCol w:w="3964"/>
        <w:gridCol w:w="1276"/>
        <w:gridCol w:w="992"/>
        <w:gridCol w:w="993"/>
        <w:gridCol w:w="992"/>
        <w:gridCol w:w="1276"/>
      </w:tblGrid>
      <w:tr w:rsidR="00107172" w:rsidRPr="001961B1" w14:paraId="25C1576B" w14:textId="77777777" w:rsidTr="004A23A9">
        <w:trPr>
          <w:cantSplit/>
        </w:trPr>
        <w:tc>
          <w:tcPr>
            <w:tcW w:w="3964" w:type="dxa"/>
            <w:vAlign w:val="center"/>
            <w:hideMark/>
          </w:tcPr>
          <w:p w14:paraId="164F4AA0" w14:textId="2008342F"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D31C55"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1276" w:type="dxa"/>
            <w:vAlign w:val="center"/>
            <w:hideMark/>
          </w:tcPr>
          <w:p w14:paraId="2E5269BF" w14:textId="01BF5903" w:rsidR="00107172" w:rsidRPr="001961B1" w:rsidRDefault="00D31C5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992" w:type="dxa"/>
            <w:vAlign w:val="center"/>
            <w:hideMark/>
          </w:tcPr>
          <w:p w14:paraId="2AAF904A"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993" w:type="dxa"/>
            <w:vAlign w:val="center"/>
            <w:hideMark/>
          </w:tcPr>
          <w:p w14:paraId="2C3F40CC"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992" w:type="dxa"/>
            <w:vAlign w:val="center"/>
            <w:hideMark/>
          </w:tcPr>
          <w:p w14:paraId="11A5AAC1" w14:textId="77777777" w:rsidR="00107172" w:rsidRPr="001961B1" w:rsidRDefault="00107172"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1276" w:type="dxa"/>
            <w:vAlign w:val="center"/>
            <w:hideMark/>
          </w:tcPr>
          <w:p w14:paraId="1B945D05" w14:textId="52A0CE85" w:rsidR="00107172" w:rsidRPr="001961B1" w:rsidRDefault="00D31C55"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107172" w:rsidRPr="001961B1" w14:paraId="35E0EA8F" w14:textId="77777777" w:rsidTr="004A23A9">
        <w:trPr>
          <w:cantSplit/>
        </w:trPr>
        <w:tc>
          <w:tcPr>
            <w:tcW w:w="3964" w:type="dxa"/>
            <w:hideMark/>
          </w:tcPr>
          <w:p w14:paraId="05436C1B" w14:textId="2A763B95"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de Parties ayant évalué les services écosystémiques de leurs zones humides d’importance internationale</w:t>
            </w:r>
            <w:r w:rsidRPr="001961B1">
              <w:rPr>
                <w:rFonts w:asciiTheme="minorHAnsi" w:eastAsia="Aptos" w:hAnsiTheme="minorHAnsi" w:cstheme="minorHAnsi"/>
                <w:sz w:val="22"/>
                <w:szCs w:val="22"/>
                <w:lang w:val="fr-FR"/>
              </w:rPr>
              <w:t>.</w:t>
            </w:r>
          </w:p>
        </w:tc>
        <w:tc>
          <w:tcPr>
            <w:tcW w:w="1276" w:type="dxa"/>
            <w:hideMark/>
          </w:tcPr>
          <w:p w14:paraId="69C86A77" w14:textId="7B5A25CC"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19</w:t>
            </w:r>
            <w:r w:rsidR="004A23A9" w:rsidRPr="001961B1">
              <w:rPr>
                <w:rFonts w:asciiTheme="minorHAnsi" w:eastAsia="Aptos" w:hAnsiTheme="minorHAnsi" w:cstheme="minorHAnsi"/>
                <w:b/>
                <w:bCs/>
                <w:sz w:val="22"/>
                <w:szCs w:val="22"/>
              </w:rPr>
              <w:t xml:space="preserve"> %</w:t>
            </w:r>
          </w:p>
        </w:tc>
        <w:tc>
          <w:tcPr>
            <w:tcW w:w="992" w:type="dxa"/>
            <w:hideMark/>
          </w:tcPr>
          <w:p w14:paraId="48A94081" w14:textId="74745D03"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24</w:t>
            </w:r>
            <w:r w:rsidR="004A23A9" w:rsidRPr="001961B1">
              <w:rPr>
                <w:rFonts w:asciiTheme="minorHAnsi" w:eastAsia="Aptos" w:hAnsiTheme="minorHAnsi" w:cstheme="minorHAnsi"/>
                <w:b/>
                <w:bCs/>
                <w:sz w:val="22"/>
                <w:szCs w:val="22"/>
              </w:rPr>
              <w:t xml:space="preserve"> %</w:t>
            </w:r>
          </w:p>
        </w:tc>
        <w:tc>
          <w:tcPr>
            <w:tcW w:w="993" w:type="dxa"/>
            <w:hideMark/>
          </w:tcPr>
          <w:p w14:paraId="201C7692" w14:textId="284C83F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4A23A9" w:rsidRPr="001961B1">
              <w:rPr>
                <w:rFonts w:asciiTheme="minorHAnsi" w:eastAsia="Aptos" w:hAnsiTheme="minorHAnsi" w:cstheme="minorHAnsi"/>
                <w:b/>
                <w:bCs/>
                <w:sz w:val="22"/>
                <w:szCs w:val="22"/>
              </w:rPr>
              <w:t xml:space="preserve"> %</w:t>
            </w:r>
          </w:p>
        </w:tc>
        <w:tc>
          <w:tcPr>
            <w:tcW w:w="992" w:type="dxa"/>
            <w:hideMark/>
          </w:tcPr>
          <w:p w14:paraId="7EFD937B" w14:textId="67BA36DA"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22</w:t>
            </w:r>
            <w:r w:rsidR="004A23A9" w:rsidRPr="001961B1">
              <w:rPr>
                <w:rFonts w:asciiTheme="minorHAnsi" w:eastAsia="Aptos" w:hAnsiTheme="minorHAnsi" w:cstheme="minorHAnsi"/>
                <w:b/>
                <w:bCs/>
                <w:sz w:val="22"/>
                <w:szCs w:val="22"/>
              </w:rPr>
              <w:t xml:space="preserve"> %</w:t>
            </w:r>
          </w:p>
        </w:tc>
        <w:tc>
          <w:tcPr>
            <w:tcW w:w="1276" w:type="dxa"/>
            <w:vAlign w:val="center"/>
            <w:hideMark/>
          </w:tcPr>
          <w:p w14:paraId="610FCAB8" w14:textId="614CF767" w:rsidR="00107172" w:rsidRPr="001961B1" w:rsidRDefault="0056495A" w:rsidP="00567061">
            <w:pPr>
              <w:jc w:val="cente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608DE4FB" wp14:editId="2150D0EB">
                  <wp:extent cx="712200" cy="432000"/>
                  <wp:effectExtent l="0" t="0" r="0" b="0"/>
                  <wp:docPr id="12926950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71A83525" w14:textId="77777777" w:rsidTr="004A23A9">
        <w:trPr>
          <w:cantSplit/>
        </w:trPr>
        <w:tc>
          <w:tcPr>
            <w:tcW w:w="3964" w:type="dxa"/>
          </w:tcPr>
          <w:p w14:paraId="10933124" w14:textId="48CFAE7F" w:rsidR="00107172" w:rsidRPr="001961B1" w:rsidRDefault="00107172" w:rsidP="00EB1B1A">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de Parties ayant intégré les questions relatives aux zones humides dans leurs</w:t>
            </w:r>
            <w:r w:rsidR="00EB1B1A"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stratégies d’élimination de la pauvreté</w:t>
            </w:r>
            <w:r w:rsidRPr="001961B1">
              <w:rPr>
                <w:rFonts w:asciiTheme="minorHAnsi" w:eastAsia="Aptos" w:hAnsiTheme="minorHAnsi" w:cstheme="minorHAnsi"/>
                <w:sz w:val="22"/>
                <w:szCs w:val="22"/>
                <w:lang w:val="fr-FR"/>
              </w:rPr>
              <w:t>.</w:t>
            </w:r>
          </w:p>
        </w:tc>
        <w:tc>
          <w:tcPr>
            <w:tcW w:w="1276" w:type="dxa"/>
          </w:tcPr>
          <w:p w14:paraId="5E2B8872" w14:textId="771380A1"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39</w:t>
            </w:r>
            <w:r w:rsidR="004A23A9" w:rsidRPr="001961B1">
              <w:rPr>
                <w:rFonts w:asciiTheme="minorHAnsi" w:eastAsia="Aptos" w:hAnsiTheme="minorHAnsi" w:cstheme="minorHAnsi"/>
                <w:b/>
                <w:bCs/>
                <w:sz w:val="22"/>
                <w:szCs w:val="22"/>
              </w:rPr>
              <w:t xml:space="preserve"> %</w:t>
            </w:r>
          </w:p>
        </w:tc>
        <w:tc>
          <w:tcPr>
            <w:tcW w:w="992" w:type="dxa"/>
          </w:tcPr>
          <w:p w14:paraId="471E69D6" w14:textId="5CB8091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30</w:t>
            </w:r>
            <w:r w:rsidR="004A23A9" w:rsidRPr="001961B1">
              <w:rPr>
                <w:rFonts w:asciiTheme="minorHAnsi" w:eastAsia="Aptos" w:hAnsiTheme="minorHAnsi" w:cstheme="minorHAnsi"/>
                <w:b/>
                <w:bCs/>
                <w:sz w:val="22"/>
                <w:szCs w:val="22"/>
              </w:rPr>
              <w:t xml:space="preserve"> %</w:t>
            </w:r>
          </w:p>
        </w:tc>
        <w:tc>
          <w:tcPr>
            <w:tcW w:w="993" w:type="dxa"/>
          </w:tcPr>
          <w:p w14:paraId="74CF0A36" w14:textId="67ACB62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31</w:t>
            </w:r>
            <w:r w:rsidR="004A23A9" w:rsidRPr="001961B1">
              <w:rPr>
                <w:rFonts w:asciiTheme="minorHAnsi" w:eastAsia="Aptos" w:hAnsiTheme="minorHAnsi" w:cstheme="minorHAnsi"/>
                <w:b/>
                <w:bCs/>
                <w:sz w:val="22"/>
                <w:szCs w:val="22"/>
              </w:rPr>
              <w:t xml:space="preserve"> %</w:t>
            </w:r>
          </w:p>
        </w:tc>
        <w:tc>
          <w:tcPr>
            <w:tcW w:w="992" w:type="dxa"/>
          </w:tcPr>
          <w:p w14:paraId="45C7A0CB" w14:textId="16D90C9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4A23A9" w:rsidRPr="001961B1">
              <w:rPr>
                <w:rFonts w:asciiTheme="minorHAnsi" w:eastAsia="Aptos" w:hAnsiTheme="minorHAnsi" w:cstheme="minorHAnsi"/>
                <w:b/>
                <w:bCs/>
                <w:sz w:val="22"/>
                <w:szCs w:val="22"/>
              </w:rPr>
              <w:t xml:space="preserve"> %</w:t>
            </w:r>
          </w:p>
        </w:tc>
        <w:tc>
          <w:tcPr>
            <w:tcW w:w="1276" w:type="dxa"/>
            <w:vAlign w:val="center"/>
          </w:tcPr>
          <w:p w14:paraId="16706A3C" w14:textId="215FECCC" w:rsidR="00107172" w:rsidRPr="001961B1" w:rsidRDefault="00BD0DBC" w:rsidP="00567061">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BD1AC76" wp14:editId="72CC18EB">
                  <wp:extent cx="712200" cy="432000"/>
                  <wp:effectExtent l="0" t="0" r="0" b="0"/>
                  <wp:docPr id="15928251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7D93448B" w14:textId="77777777" w:rsidTr="004A23A9">
        <w:trPr>
          <w:cantSplit/>
        </w:trPr>
        <w:tc>
          <w:tcPr>
            <w:tcW w:w="3964" w:type="dxa"/>
          </w:tcPr>
          <w:p w14:paraId="5D0BB2DE" w14:textId="66E9FE03" w:rsidR="00107172" w:rsidRPr="001961B1" w:rsidRDefault="00107172" w:rsidP="00EB1B1A">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de Parties ayant mis en œuvre des programmes ou projets qui contribuent aux</w:t>
            </w:r>
            <w:r w:rsidR="00EB1B1A"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objectifs d’allègement de la pauvreté ou des plans pour la sécurité alimentaire et</w:t>
            </w:r>
            <w:r w:rsidR="00EB1B1A" w:rsidRPr="001961B1">
              <w:rPr>
                <w:rFonts w:asciiTheme="minorHAnsi" w:eastAsia="Aptos" w:hAnsiTheme="minorHAnsi" w:cstheme="minorHAnsi"/>
                <w:sz w:val="22"/>
                <w:szCs w:val="22"/>
                <w:lang w:val="fr-FR"/>
              </w:rPr>
              <w:t xml:space="preserve"> </w:t>
            </w:r>
            <w:r w:rsidR="007775E4" w:rsidRPr="001961B1">
              <w:rPr>
                <w:rFonts w:asciiTheme="minorHAnsi" w:eastAsia="Aptos" w:hAnsiTheme="minorHAnsi" w:cstheme="minorHAnsi"/>
                <w:sz w:val="22"/>
                <w:szCs w:val="22"/>
                <w:lang w:val="fr-FR"/>
              </w:rPr>
              <w:t xml:space="preserve">de </w:t>
            </w:r>
            <w:r w:rsidR="004A23A9" w:rsidRPr="001961B1">
              <w:rPr>
                <w:rFonts w:asciiTheme="minorHAnsi" w:eastAsia="Aptos" w:hAnsiTheme="minorHAnsi" w:cstheme="minorHAnsi"/>
                <w:sz w:val="22"/>
                <w:szCs w:val="22"/>
                <w:lang w:val="fr-FR"/>
              </w:rPr>
              <w:t>l’eau</w:t>
            </w:r>
            <w:r w:rsidRPr="001961B1">
              <w:rPr>
                <w:rFonts w:asciiTheme="minorHAnsi" w:eastAsia="Aptos" w:hAnsiTheme="minorHAnsi" w:cstheme="minorHAnsi"/>
                <w:sz w:val="22"/>
                <w:szCs w:val="22"/>
                <w:lang w:val="fr-FR"/>
              </w:rPr>
              <w:t>.</w:t>
            </w:r>
          </w:p>
        </w:tc>
        <w:tc>
          <w:tcPr>
            <w:tcW w:w="1276" w:type="dxa"/>
          </w:tcPr>
          <w:p w14:paraId="53ADA0E8" w14:textId="58D5913B"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42</w:t>
            </w:r>
            <w:r w:rsidR="004A23A9" w:rsidRPr="001961B1">
              <w:rPr>
                <w:rFonts w:asciiTheme="minorHAnsi" w:eastAsia="Aptos" w:hAnsiTheme="minorHAnsi" w:cstheme="minorHAnsi"/>
                <w:b/>
                <w:bCs/>
                <w:sz w:val="22"/>
                <w:szCs w:val="22"/>
              </w:rPr>
              <w:t xml:space="preserve"> %</w:t>
            </w:r>
          </w:p>
        </w:tc>
        <w:tc>
          <w:tcPr>
            <w:tcW w:w="992" w:type="dxa"/>
          </w:tcPr>
          <w:p w14:paraId="4702C6F6" w14:textId="448A5A2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33</w:t>
            </w:r>
            <w:r w:rsidR="004A23A9" w:rsidRPr="001961B1">
              <w:rPr>
                <w:rFonts w:asciiTheme="minorHAnsi" w:eastAsia="Aptos" w:hAnsiTheme="minorHAnsi" w:cstheme="minorHAnsi"/>
                <w:b/>
                <w:bCs/>
                <w:sz w:val="22"/>
                <w:szCs w:val="22"/>
              </w:rPr>
              <w:t xml:space="preserve"> %</w:t>
            </w:r>
          </w:p>
        </w:tc>
        <w:tc>
          <w:tcPr>
            <w:tcW w:w="993" w:type="dxa"/>
          </w:tcPr>
          <w:p w14:paraId="5097ADAC" w14:textId="47DC8B0F"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4A23A9" w:rsidRPr="001961B1">
              <w:rPr>
                <w:rFonts w:asciiTheme="minorHAnsi" w:eastAsia="Aptos" w:hAnsiTheme="minorHAnsi" w:cstheme="minorHAnsi"/>
                <w:b/>
                <w:bCs/>
                <w:sz w:val="22"/>
                <w:szCs w:val="22"/>
              </w:rPr>
              <w:t xml:space="preserve"> %</w:t>
            </w:r>
          </w:p>
        </w:tc>
        <w:tc>
          <w:tcPr>
            <w:tcW w:w="992" w:type="dxa"/>
          </w:tcPr>
          <w:p w14:paraId="65EE854F" w14:textId="224B7276"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30</w:t>
            </w:r>
            <w:r w:rsidR="004A23A9" w:rsidRPr="001961B1">
              <w:rPr>
                <w:rFonts w:asciiTheme="minorHAnsi" w:eastAsia="Aptos" w:hAnsiTheme="minorHAnsi" w:cstheme="minorHAnsi"/>
                <w:b/>
                <w:bCs/>
                <w:sz w:val="22"/>
                <w:szCs w:val="22"/>
              </w:rPr>
              <w:t xml:space="preserve"> %</w:t>
            </w:r>
          </w:p>
        </w:tc>
        <w:tc>
          <w:tcPr>
            <w:tcW w:w="1276" w:type="dxa"/>
            <w:vAlign w:val="center"/>
          </w:tcPr>
          <w:p w14:paraId="0A7D2223" w14:textId="7FEE4DC9" w:rsidR="00107172" w:rsidRPr="001961B1" w:rsidRDefault="00AE459F" w:rsidP="00567061">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F72B572" wp14:editId="4F09AFF1">
                  <wp:extent cx="712200" cy="432000"/>
                  <wp:effectExtent l="0" t="0" r="0" b="0"/>
                  <wp:docPr id="19459967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D1323AF" w14:textId="77777777" w:rsidR="00FB380C" w:rsidRPr="001961B1" w:rsidRDefault="00FB380C" w:rsidP="00CD3F6B">
      <w:pPr>
        <w:rPr>
          <w:rFonts w:asciiTheme="minorHAnsi" w:hAnsiTheme="minorHAnsi" w:cstheme="minorHAnsi"/>
          <w:b/>
          <w:bCs/>
          <w:sz w:val="22"/>
          <w:szCs w:val="22"/>
        </w:rPr>
      </w:pPr>
    </w:p>
    <w:p w14:paraId="0800B93E" w14:textId="4B19ED72" w:rsidR="00FE0490"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D20CE6" w:rsidRPr="001961B1">
        <w:rPr>
          <w:rFonts w:asciiTheme="minorHAnsi" w:hAnsiTheme="minorHAnsi" w:cstheme="minorHAnsi"/>
          <w:i/>
          <w:iCs/>
          <w:sz w:val="22"/>
          <w:szCs w:val="22"/>
          <w:u w:val="single"/>
          <w:lang w:val="fr-FR"/>
        </w:rPr>
        <w:t xml:space="preserve"> </w:t>
      </w:r>
    </w:p>
    <w:p w14:paraId="3069E236" w14:textId="77777777" w:rsidR="00384926" w:rsidRPr="001961B1" w:rsidRDefault="00384926" w:rsidP="00D1463B">
      <w:pPr>
        <w:keepNext/>
        <w:ind w:left="426" w:hanging="426"/>
        <w:rPr>
          <w:rFonts w:asciiTheme="minorHAnsi" w:hAnsiTheme="minorHAnsi" w:cstheme="minorHAnsi"/>
          <w:sz w:val="22"/>
          <w:szCs w:val="22"/>
          <w:lang w:val="fr-FR"/>
        </w:rPr>
      </w:pPr>
    </w:p>
    <w:p w14:paraId="797F79FF" w14:textId="6799A00D" w:rsidR="00A837AD" w:rsidRPr="001961B1" w:rsidRDefault="00515041"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w:t>
      </w:r>
      <w:r w:rsidR="002E1E29" w:rsidRPr="001961B1">
        <w:rPr>
          <w:rFonts w:asciiTheme="minorHAnsi" w:hAnsiTheme="minorHAnsi" w:cstheme="minorHAnsi"/>
          <w:sz w:val="22"/>
          <w:szCs w:val="22"/>
          <w:lang w:val="fr-FR"/>
        </w:rPr>
        <w:t>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542FEB" w:rsidRPr="001961B1">
        <w:rPr>
          <w:rFonts w:asciiTheme="minorHAnsi" w:hAnsiTheme="minorHAnsi" w:cstheme="minorHAnsi"/>
          <w:sz w:val="22"/>
          <w:szCs w:val="22"/>
          <w:lang w:val="fr-FR"/>
        </w:rPr>
        <w:t>Les Rapports nationaux indiquent des progrès généraux dans la reconnaissance et la communication des fonctions, services et avantages des zones humides. La proportion de Parties contractantes signalant avoir entrepris des évaluations des services écosystémiques des zones humides d’importance internationale et autres zones humides a légèrement augmenté durant la période du PS4, mais on note un</w:t>
      </w:r>
      <w:r w:rsidR="007C51A7" w:rsidRPr="001961B1">
        <w:rPr>
          <w:rFonts w:asciiTheme="minorHAnsi" w:hAnsiTheme="minorHAnsi" w:cstheme="minorHAnsi"/>
          <w:sz w:val="22"/>
          <w:szCs w:val="22"/>
          <w:lang w:val="fr-FR"/>
        </w:rPr>
        <w:t xml:space="preserve"> ralentissement</w:t>
      </w:r>
      <w:r w:rsidR="00542FEB" w:rsidRPr="001961B1">
        <w:rPr>
          <w:rFonts w:asciiTheme="minorHAnsi" w:hAnsiTheme="minorHAnsi" w:cstheme="minorHAnsi"/>
          <w:sz w:val="22"/>
          <w:szCs w:val="22"/>
          <w:lang w:val="fr-FR"/>
        </w:rPr>
        <w:t xml:space="preserve"> du rythme depuis la COP14. </w:t>
      </w:r>
      <w:r w:rsidR="007C51A7" w:rsidRPr="001961B1">
        <w:rPr>
          <w:rFonts w:asciiTheme="minorHAnsi" w:hAnsiTheme="minorHAnsi" w:cstheme="minorHAnsi"/>
          <w:sz w:val="22"/>
          <w:szCs w:val="22"/>
          <w:lang w:val="fr-FR"/>
        </w:rPr>
        <w:t>L</w:t>
      </w:r>
      <w:r w:rsidR="00542FEB" w:rsidRPr="001961B1">
        <w:rPr>
          <w:rFonts w:asciiTheme="minorHAnsi" w:hAnsiTheme="minorHAnsi" w:cstheme="minorHAnsi"/>
          <w:sz w:val="22"/>
          <w:szCs w:val="22"/>
          <w:lang w:val="fr-FR"/>
        </w:rPr>
        <w:t>a proportion de Parties signalant des évaluations partielles</w:t>
      </w:r>
      <w:r w:rsidR="007C51A7" w:rsidRPr="001961B1">
        <w:rPr>
          <w:rFonts w:asciiTheme="minorHAnsi" w:hAnsiTheme="minorHAnsi" w:cstheme="minorHAnsi"/>
          <w:sz w:val="22"/>
          <w:szCs w:val="22"/>
          <w:lang w:val="fr-FR"/>
        </w:rPr>
        <w:t xml:space="preserve"> a augmenté</w:t>
      </w:r>
      <w:r w:rsidR="00542FEB" w:rsidRPr="001961B1">
        <w:rPr>
          <w:rFonts w:asciiTheme="minorHAnsi" w:hAnsiTheme="minorHAnsi" w:cstheme="minorHAnsi"/>
          <w:sz w:val="22"/>
          <w:szCs w:val="22"/>
          <w:lang w:val="fr-FR"/>
        </w:rPr>
        <w:t xml:space="preserve">, de 37 % à la COP13 à 49 % </w:t>
      </w:r>
      <w:r w:rsidR="00CD0FB3" w:rsidRPr="001961B1">
        <w:rPr>
          <w:rFonts w:asciiTheme="minorHAnsi" w:hAnsiTheme="minorHAnsi" w:cstheme="minorHAnsi"/>
          <w:sz w:val="22"/>
          <w:szCs w:val="22"/>
          <w:lang w:val="fr-FR"/>
        </w:rPr>
        <w:t>au moment de</w:t>
      </w:r>
      <w:r w:rsidR="00542FEB" w:rsidRPr="001961B1">
        <w:rPr>
          <w:rFonts w:asciiTheme="minorHAnsi" w:hAnsiTheme="minorHAnsi" w:cstheme="minorHAnsi"/>
          <w:sz w:val="22"/>
          <w:szCs w:val="22"/>
          <w:lang w:val="fr-FR"/>
        </w:rPr>
        <w:t xml:space="preserve"> la COP15. Environ la moitié des Parties signalent aussi avoir tenu compte des valeurs socioéconomiques et culturelles des zones humides dans les plans de gestion pour les zones humides d’importance internationale ainsi que pour d’autres zones humides.</w:t>
      </w:r>
      <w:r w:rsidR="00AB2083" w:rsidRPr="001961B1">
        <w:rPr>
          <w:rFonts w:asciiTheme="minorHAnsi" w:hAnsiTheme="minorHAnsi" w:cstheme="minorHAnsi"/>
          <w:sz w:val="22"/>
          <w:szCs w:val="22"/>
          <w:lang w:val="fr-FR"/>
        </w:rPr>
        <w:t xml:space="preserve"> </w:t>
      </w:r>
      <w:r w:rsidR="00A837AD" w:rsidRPr="001961B1">
        <w:rPr>
          <w:rFonts w:asciiTheme="minorHAnsi" w:hAnsiTheme="minorHAnsi" w:cstheme="minorHAnsi"/>
          <w:sz w:val="22"/>
          <w:szCs w:val="22"/>
          <w:lang w:val="fr-FR"/>
        </w:rPr>
        <w:t xml:space="preserve"> </w:t>
      </w:r>
    </w:p>
    <w:p w14:paraId="0D733C25" w14:textId="77777777" w:rsidR="00D96908" w:rsidRPr="001961B1" w:rsidRDefault="00D96908" w:rsidP="00257025">
      <w:pPr>
        <w:ind w:left="567" w:hanging="567"/>
        <w:rPr>
          <w:rFonts w:asciiTheme="minorHAnsi" w:hAnsiTheme="minorHAnsi" w:cstheme="minorHAnsi"/>
          <w:sz w:val="22"/>
          <w:szCs w:val="22"/>
          <w:lang w:val="fr-FR"/>
        </w:rPr>
      </w:pPr>
    </w:p>
    <w:p w14:paraId="3A581F88" w14:textId="4338B8F9" w:rsidR="00D96908" w:rsidRPr="001961B1" w:rsidRDefault="002E1E29"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69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74797C" w:rsidRPr="001961B1">
        <w:rPr>
          <w:rFonts w:asciiTheme="minorHAnsi" w:hAnsiTheme="minorHAnsi" w:cstheme="minorHAnsi"/>
          <w:sz w:val="22"/>
          <w:szCs w:val="22"/>
          <w:lang w:val="fr-FR"/>
        </w:rPr>
        <w:t xml:space="preserve">Dans leurs réponses narratives, les Parties contractantes d’Afrique </w:t>
      </w:r>
      <w:r w:rsidR="00850BAD" w:rsidRPr="001961B1">
        <w:rPr>
          <w:rFonts w:asciiTheme="minorHAnsi" w:hAnsiTheme="minorHAnsi" w:cstheme="minorHAnsi"/>
          <w:sz w:val="22"/>
          <w:szCs w:val="22"/>
          <w:lang w:val="fr-FR"/>
        </w:rPr>
        <w:t xml:space="preserve">citent fréquemment des contraintes financières et techniques ; celles d’Amérique latine et </w:t>
      </w:r>
      <w:r w:rsidR="00A27A89" w:rsidRPr="001961B1">
        <w:rPr>
          <w:rFonts w:asciiTheme="minorHAnsi" w:hAnsiTheme="minorHAnsi" w:cstheme="minorHAnsi"/>
          <w:sz w:val="22"/>
          <w:szCs w:val="22"/>
          <w:lang w:val="fr-FR"/>
        </w:rPr>
        <w:t>Caraïbes</w:t>
      </w:r>
      <w:r w:rsidR="00850BAD" w:rsidRPr="001961B1">
        <w:rPr>
          <w:rFonts w:asciiTheme="minorHAnsi" w:hAnsiTheme="minorHAnsi" w:cstheme="minorHAnsi"/>
          <w:sz w:val="22"/>
          <w:szCs w:val="22"/>
          <w:lang w:val="fr-FR"/>
        </w:rPr>
        <w:t xml:space="preserve"> mettent en évidence le rôle des connaissances traditionnelles et culturelles mais notent des difficultés de gouvernance. Les Rapports nationaux des Parties d’Asie reflètent de plus en plus des innovations politiques tandis que celles d’Océanie soulignent le caractère central des connaissances autochtones mais notent une mise en œuvre incohérente. Les Parties d’Europe font souvent référence à des cadres et méthodologies établis.</w:t>
      </w:r>
    </w:p>
    <w:p w14:paraId="422A47C8" w14:textId="77777777" w:rsidR="00DC4E6E" w:rsidRPr="001961B1" w:rsidRDefault="00DC4E6E" w:rsidP="00257025">
      <w:pPr>
        <w:ind w:left="567" w:hanging="567"/>
        <w:rPr>
          <w:rFonts w:asciiTheme="minorHAnsi" w:hAnsiTheme="minorHAnsi" w:cstheme="minorHAnsi"/>
          <w:sz w:val="22"/>
          <w:szCs w:val="22"/>
          <w:lang w:val="fr-FR"/>
        </w:rPr>
      </w:pPr>
    </w:p>
    <w:p w14:paraId="478ACFFC" w14:textId="67D8D0D1" w:rsidR="00D96908"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0</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850BAD" w:rsidRPr="001961B1">
        <w:rPr>
          <w:rFonts w:asciiTheme="minorHAnsi" w:hAnsiTheme="minorHAnsi" w:cstheme="minorHAnsi"/>
          <w:sz w:val="22"/>
          <w:szCs w:val="22"/>
          <w:lang w:val="fr-FR"/>
        </w:rPr>
        <w:t xml:space="preserve">Toutefois, durant les trois périodes triennales passées, il y a eu peu de progrès </w:t>
      </w:r>
      <w:r w:rsidR="00314518" w:rsidRPr="001961B1">
        <w:rPr>
          <w:rFonts w:asciiTheme="minorHAnsi" w:hAnsiTheme="minorHAnsi" w:cstheme="minorHAnsi"/>
          <w:sz w:val="22"/>
          <w:szCs w:val="22"/>
          <w:lang w:val="fr-FR"/>
        </w:rPr>
        <w:t>d’intégration des</w:t>
      </w:r>
      <w:r w:rsidR="00850BAD" w:rsidRPr="001961B1">
        <w:rPr>
          <w:rFonts w:asciiTheme="minorHAnsi" w:hAnsiTheme="minorHAnsi" w:cstheme="minorHAnsi"/>
          <w:sz w:val="22"/>
          <w:szCs w:val="22"/>
          <w:lang w:val="fr-FR"/>
        </w:rPr>
        <w:t xml:space="preserve"> questions relatives aux zones humides dans les stratégies d’éradication de la pauvreté et </w:t>
      </w:r>
      <w:r w:rsidR="00850BAD" w:rsidRPr="001961B1">
        <w:rPr>
          <w:rFonts w:asciiTheme="minorHAnsi" w:hAnsiTheme="minorHAnsi" w:cstheme="minorHAnsi"/>
          <w:sz w:val="22"/>
          <w:szCs w:val="22"/>
          <w:lang w:val="fr-FR"/>
        </w:rPr>
        <w:lastRenderedPageBreak/>
        <w:t xml:space="preserve">dans la mise en œuvre des programmes ou projets pour les zones humides contribuant à la sécurité alimentaire et de l’eau. Les zones humides sont de plus en plus valorisées mais l’intégration de leurs valeurs dans les politiques et la planification nationales reste limitée. Une proportion considérablement plus élevée de Parties contractantes signale mettre en œuvre des programmes pour les zones humides ou des projets qui </w:t>
      </w:r>
      <w:r w:rsidR="00314518" w:rsidRPr="001961B1">
        <w:rPr>
          <w:rFonts w:asciiTheme="minorHAnsi" w:hAnsiTheme="minorHAnsi" w:cstheme="minorHAnsi"/>
          <w:sz w:val="22"/>
          <w:szCs w:val="22"/>
          <w:lang w:val="fr-FR"/>
        </w:rPr>
        <w:t>apportent</w:t>
      </w:r>
      <w:r w:rsidR="00850BAD" w:rsidRPr="001961B1">
        <w:rPr>
          <w:rFonts w:asciiTheme="minorHAnsi" w:hAnsiTheme="minorHAnsi" w:cstheme="minorHAnsi"/>
          <w:sz w:val="22"/>
          <w:szCs w:val="22"/>
          <w:lang w:val="fr-FR"/>
        </w:rPr>
        <w:t xml:space="preserve"> d’autres avantages en matière de bien­être humain </w:t>
      </w:r>
      <w:r w:rsidR="00A3148C" w:rsidRPr="001961B1">
        <w:rPr>
          <w:rFonts w:asciiTheme="minorHAnsi" w:hAnsiTheme="minorHAnsi" w:cstheme="minorHAnsi"/>
          <w:sz w:val="22"/>
          <w:szCs w:val="22"/>
          <w:lang w:val="fr-FR"/>
        </w:rPr>
        <w:t>(47</w:t>
      </w:r>
      <w:r w:rsidR="00850BAD" w:rsidRPr="001961B1">
        <w:rPr>
          <w:rFonts w:asciiTheme="minorHAnsi" w:hAnsiTheme="minorHAnsi" w:cstheme="minorHAnsi"/>
          <w:sz w:val="22"/>
          <w:szCs w:val="22"/>
          <w:lang w:val="fr-FR"/>
        </w:rPr>
        <w:t> </w:t>
      </w:r>
      <w:r w:rsidR="00A3148C" w:rsidRPr="001961B1">
        <w:rPr>
          <w:rFonts w:asciiTheme="minorHAnsi" w:hAnsiTheme="minorHAnsi" w:cstheme="minorHAnsi"/>
          <w:sz w:val="22"/>
          <w:szCs w:val="22"/>
          <w:lang w:val="fr-FR"/>
        </w:rPr>
        <w:t>%</w:t>
      </w:r>
      <w:r w:rsidR="00314518" w:rsidRPr="001961B1">
        <w:rPr>
          <w:rFonts w:asciiTheme="minorHAnsi" w:hAnsiTheme="minorHAnsi" w:cstheme="minorHAnsi"/>
          <w:sz w:val="22"/>
          <w:szCs w:val="22"/>
          <w:lang w:val="fr-FR"/>
        </w:rPr>
        <w:t xml:space="preserve">) </w:t>
      </w:r>
      <w:r w:rsidR="00850BAD" w:rsidRPr="001961B1">
        <w:rPr>
          <w:rFonts w:asciiTheme="minorHAnsi" w:hAnsiTheme="minorHAnsi" w:cstheme="minorHAnsi"/>
          <w:sz w:val="22"/>
          <w:szCs w:val="22"/>
          <w:lang w:val="fr-FR"/>
        </w:rPr>
        <w:t xml:space="preserve">et 21 % </w:t>
      </w:r>
      <w:r w:rsidR="00314518" w:rsidRPr="001961B1">
        <w:rPr>
          <w:rFonts w:asciiTheme="minorHAnsi" w:hAnsiTheme="minorHAnsi" w:cstheme="minorHAnsi"/>
          <w:sz w:val="22"/>
          <w:szCs w:val="22"/>
          <w:lang w:val="fr-FR"/>
        </w:rPr>
        <w:t>d’autres Parties</w:t>
      </w:r>
      <w:r w:rsidR="00850BAD" w:rsidRPr="001961B1">
        <w:rPr>
          <w:rFonts w:asciiTheme="minorHAnsi" w:hAnsiTheme="minorHAnsi" w:cstheme="minorHAnsi"/>
          <w:sz w:val="22"/>
          <w:szCs w:val="22"/>
          <w:lang w:val="fr-FR"/>
        </w:rPr>
        <w:t xml:space="preserve"> le font de manière partielle. </w:t>
      </w:r>
    </w:p>
    <w:p w14:paraId="2944ACE4" w14:textId="77777777" w:rsidR="008A5E8C" w:rsidRPr="001961B1" w:rsidRDefault="008A5E8C" w:rsidP="00257025">
      <w:pPr>
        <w:ind w:left="567" w:hanging="567"/>
        <w:rPr>
          <w:rFonts w:asciiTheme="minorHAnsi" w:hAnsiTheme="minorHAnsi" w:cstheme="minorHAnsi"/>
          <w:sz w:val="22"/>
          <w:szCs w:val="22"/>
          <w:lang w:val="fr-FR"/>
        </w:rPr>
      </w:pPr>
    </w:p>
    <w:p w14:paraId="1C9278C7" w14:textId="5FA89B5D" w:rsidR="008A5E8C"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1</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850BAD" w:rsidRPr="001961B1">
        <w:rPr>
          <w:rFonts w:asciiTheme="minorHAnsi" w:hAnsiTheme="minorHAnsi" w:cstheme="minorHAnsi"/>
          <w:sz w:val="22"/>
          <w:szCs w:val="22"/>
          <w:lang w:val="fr-FR"/>
        </w:rPr>
        <w:t xml:space="preserve">Les priorités de renforcement de la mise en œuvre future de la Convention émergeant des Rapports nationaux comprennent l’amélioration du renforcement des capacités et la mobilisation de ressources. Plus de la moitié des Parties contractantes mentionnent des ressources financières et techniques limitées, en particulier en Afrique et en Amérique latine et </w:t>
      </w:r>
      <w:r w:rsidR="00A27A89" w:rsidRPr="001961B1">
        <w:rPr>
          <w:rFonts w:asciiTheme="minorHAnsi" w:hAnsiTheme="minorHAnsi" w:cstheme="minorHAnsi"/>
          <w:sz w:val="22"/>
          <w:szCs w:val="22"/>
          <w:lang w:val="fr-FR"/>
        </w:rPr>
        <w:t>Caraïbes</w:t>
      </w:r>
      <w:r w:rsidR="00850BAD" w:rsidRPr="001961B1">
        <w:rPr>
          <w:rFonts w:asciiTheme="minorHAnsi" w:hAnsiTheme="minorHAnsi" w:cstheme="minorHAnsi"/>
          <w:sz w:val="22"/>
          <w:szCs w:val="22"/>
          <w:lang w:val="fr-FR"/>
        </w:rPr>
        <w:t xml:space="preserve">, et l’amélioration de la gouvernance et de la coordination intersectorielle. Les </w:t>
      </w:r>
      <w:r w:rsidR="00AA6248" w:rsidRPr="001961B1">
        <w:rPr>
          <w:rFonts w:asciiTheme="minorHAnsi" w:hAnsiTheme="minorHAnsi" w:cstheme="minorHAnsi"/>
          <w:sz w:val="22"/>
          <w:szCs w:val="22"/>
          <w:lang w:val="fr-FR"/>
        </w:rPr>
        <w:t xml:space="preserve">Parties </w:t>
      </w:r>
      <w:r w:rsidR="00850BAD" w:rsidRPr="001961B1">
        <w:rPr>
          <w:rFonts w:asciiTheme="minorHAnsi" w:hAnsiTheme="minorHAnsi" w:cstheme="minorHAnsi"/>
          <w:sz w:val="22"/>
          <w:szCs w:val="22"/>
          <w:lang w:val="fr-FR"/>
        </w:rPr>
        <w:t xml:space="preserve">d’Océanie et d’Amérique latine et </w:t>
      </w:r>
      <w:r w:rsidR="00A27A89" w:rsidRPr="001961B1">
        <w:rPr>
          <w:rFonts w:asciiTheme="minorHAnsi" w:hAnsiTheme="minorHAnsi" w:cstheme="minorHAnsi"/>
          <w:sz w:val="22"/>
          <w:szCs w:val="22"/>
          <w:lang w:val="fr-FR"/>
        </w:rPr>
        <w:t>Caraïbes</w:t>
      </w:r>
      <w:r w:rsidR="00850BAD" w:rsidRPr="001961B1">
        <w:rPr>
          <w:rFonts w:asciiTheme="minorHAnsi" w:hAnsiTheme="minorHAnsi" w:cstheme="minorHAnsi"/>
          <w:sz w:val="22"/>
          <w:szCs w:val="22"/>
          <w:lang w:val="fr-FR"/>
        </w:rPr>
        <w:t xml:space="preserve"> soulignent tout particulièrement le fait que l’intégration des connaissances autochtones et locales peut</w:t>
      </w:r>
      <w:r w:rsidR="003D6BD8" w:rsidRPr="001961B1">
        <w:rPr>
          <w:rFonts w:asciiTheme="minorHAnsi" w:hAnsiTheme="minorHAnsi" w:cstheme="minorHAnsi"/>
          <w:sz w:val="22"/>
          <w:szCs w:val="22"/>
          <w:lang w:val="fr-FR"/>
        </w:rPr>
        <w:t xml:space="preserve"> favoriser une gestion plus inclusive et plus efficace des zones humides.</w:t>
      </w:r>
      <w:r w:rsidR="007E7537" w:rsidRPr="001961B1">
        <w:rPr>
          <w:rFonts w:asciiTheme="minorHAnsi" w:hAnsiTheme="minorHAnsi" w:cstheme="minorHAnsi"/>
          <w:sz w:val="22"/>
          <w:szCs w:val="22"/>
          <w:lang w:val="fr-FR"/>
        </w:rPr>
        <w:t xml:space="preserve"> </w:t>
      </w:r>
    </w:p>
    <w:p w14:paraId="3A3018C0" w14:textId="77777777" w:rsidR="008A5E8C" w:rsidRPr="001961B1" w:rsidRDefault="008A5E8C" w:rsidP="00A338FF">
      <w:pPr>
        <w:rPr>
          <w:rFonts w:asciiTheme="minorHAnsi" w:hAnsiTheme="minorHAnsi" w:cstheme="minorHAnsi"/>
          <w:sz w:val="22"/>
          <w:szCs w:val="22"/>
          <w:lang w:val="fr-FR"/>
        </w:rPr>
      </w:pPr>
    </w:p>
    <w:p w14:paraId="1997DBD7" w14:textId="77777777" w:rsidR="00C76214" w:rsidRPr="001961B1" w:rsidRDefault="00C76214" w:rsidP="00CD3F6B">
      <w:pPr>
        <w:rPr>
          <w:rFonts w:asciiTheme="minorHAnsi" w:hAnsiTheme="minorHAnsi" w:cstheme="minorHAnsi"/>
          <w:sz w:val="22"/>
          <w:szCs w:val="22"/>
          <w:lang w:val="fr-FR"/>
        </w:rPr>
      </w:pPr>
    </w:p>
    <w:tbl>
      <w:tblPr>
        <w:tblStyle w:val="TableGrid16"/>
        <w:tblW w:w="9354" w:type="dxa"/>
        <w:tblLook w:val="04A0" w:firstRow="1" w:lastRow="0" w:firstColumn="1" w:lastColumn="0" w:noHBand="0" w:noVBand="1"/>
      </w:tblPr>
      <w:tblGrid>
        <w:gridCol w:w="9354"/>
      </w:tblGrid>
      <w:tr w:rsidR="00C76214" w:rsidRPr="001961B1" w14:paraId="078AA56B" w14:textId="77777777" w:rsidTr="003E56FD">
        <w:tc>
          <w:tcPr>
            <w:tcW w:w="9354" w:type="dxa"/>
            <w:vAlign w:val="center"/>
          </w:tcPr>
          <w:p w14:paraId="1FAEF86B" w14:textId="7B07FB1F" w:rsidR="00E30BE2" w:rsidRPr="001961B1" w:rsidRDefault="00D31C5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C76214" w:rsidRPr="001961B1">
              <w:rPr>
                <w:rFonts w:asciiTheme="minorHAnsi" w:hAnsiTheme="minorHAnsi" w:cstheme="minorHAnsi"/>
                <w:b/>
                <w:sz w:val="22"/>
                <w:szCs w:val="22"/>
                <w:lang w:val="fr-FR" w:eastAsia="fr-FR"/>
              </w:rPr>
              <w:t xml:space="preserve"> 12. </w:t>
            </w:r>
            <w:r w:rsidRPr="001961B1">
              <w:rPr>
                <w:rFonts w:asciiTheme="minorHAnsi" w:hAnsiTheme="minorHAnsi" w:cstheme="minorHAnsi"/>
                <w:b/>
                <w:sz w:val="22"/>
                <w:szCs w:val="22"/>
                <w:lang w:val="fr-FR" w:eastAsia="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C76214" w:rsidRPr="001961B1">
              <w:rPr>
                <w:rFonts w:asciiTheme="minorHAnsi" w:hAnsiTheme="minorHAnsi" w:cstheme="minorHAnsi"/>
                <w:b/>
                <w:sz w:val="22"/>
                <w:szCs w:val="22"/>
                <w:lang w:val="fr-FR" w:eastAsia="fr-FR"/>
              </w:rPr>
              <w:t xml:space="preserve">. </w:t>
            </w:r>
          </w:p>
          <w:p w14:paraId="2C745FC4" w14:textId="2C43D2F1" w:rsidR="00C76214"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aux cibles </w:t>
            </w:r>
            <w:r w:rsidR="00C76214" w:rsidRPr="001961B1">
              <w:rPr>
                <w:rFonts w:asciiTheme="minorHAnsi" w:hAnsiTheme="minorHAnsi" w:cstheme="minorHAnsi"/>
                <w:bCs/>
                <w:sz w:val="22"/>
                <w:szCs w:val="22"/>
                <w:lang w:val="fr-FR" w:eastAsia="fr-FR"/>
              </w:rPr>
              <w:t xml:space="preserve">2, 8 </w:t>
            </w:r>
            <w:r w:rsidR="00C413B8" w:rsidRPr="001961B1">
              <w:rPr>
                <w:rFonts w:asciiTheme="minorHAnsi" w:hAnsiTheme="minorHAnsi" w:cstheme="minorHAnsi"/>
                <w:bCs/>
                <w:sz w:val="22"/>
                <w:szCs w:val="22"/>
                <w:lang w:val="fr-FR" w:eastAsia="fr-FR"/>
              </w:rPr>
              <w:t>et</w:t>
            </w:r>
            <w:r w:rsidR="00C76214" w:rsidRPr="001961B1">
              <w:rPr>
                <w:rFonts w:asciiTheme="minorHAnsi" w:hAnsiTheme="minorHAnsi" w:cstheme="minorHAnsi"/>
                <w:bCs/>
                <w:sz w:val="22"/>
                <w:szCs w:val="22"/>
                <w:lang w:val="fr-FR" w:eastAsia="fr-FR"/>
              </w:rPr>
              <w:t xml:space="preserve"> 11</w:t>
            </w:r>
            <w:r w:rsidR="00C413B8" w:rsidRPr="001961B1">
              <w:rPr>
                <w:rFonts w:asciiTheme="minorHAnsi" w:hAnsiTheme="minorHAnsi" w:cstheme="minorHAnsi"/>
                <w:bCs/>
                <w:sz w:val="22"/>
                <w:szCs w:val="22"/>
                <w:lang w:val="fr-FR" w:eastAsia="fr-FR"/>
              </w:rPr>
              <w:t>du CMB-KM et aux cibles</w:t>
            </w:r>
            <w:r w:rsidR="002B6616" w:rsidRPr="001961B1">
              <w:rPr>
                <w:rFonts w:asciiTheme="minorHAnsi" w:hAnsiTheme="minorHAnsi" w:cstheme="minorHAnsi"/>
                <w:bCs/>
                <w:sz w:val="22"/>
                <w:szCs w:val="22"/>
                <w:lang w:val="fr-FR" w:eastAsia="fr-FR"/>
              </w:rPr>
              <w:t xml:space="preserve"> </w:t>
            </w:r>
            <w:r w:rsidR="00C85010" w:rsidRPr="001961B1">
              <w:rPr>
                <w:rFonts w:asciiTheme="minorHAnsi" w:hAnsiTheme="minorHAnsi" w:cstheme="minorHAnsi"/>
                <w:bCs/>
                <w:sz w:val="22"/>
                <w:szCs w:val="22"/>
                <w:lang w:val="fr-FR" w:eastAsia="fr-FR"/>
              </w:rPr>
              <w:t>6.6</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14.2</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14.4</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15.1</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15.2</w:t>
            </w:r>
            <w:r w:rsidR="005919ED" w:rsidRPr="001961B1">
              <w:rPr>
                <w:rFonts w:asciiTheme="minorHAnsi" w:hAnsiTheme="minorHAnsi" w:cstheme="minorHAnsi"/>
                <w:bCs/>
                <w:sz w:val="22"/>
                <w:szCs w:val="22"/>
                <w:lang w:val="fr-FR" w:eastAsia="fr-FR"/>
              </w:rPr>
              <w:t xml:space="preserve"> </w:t>
            </w:r>
            <w:r w:rsidR="00C413B8" w:rsidRPr="001961B1">
              <w:rPr>
                <w:rFonts w:asciiTheme="minorHAnsi" w:hAnsiTheme="minorHAnsi" w:cstheme="minorHAnsi"/>
                <w:bCs/>
                <w:sz w:val="22"/>
                <w:szCs w:val="22"/>
                <w:lang w:val="fr-FR" w:eastAsia="fr-FR"/>
              </w:rPr>
              <w:t>et</w:t>
            </w:r>
            <w:r w:rsidR="00C85010" w:rsidRPr="001961B1">
              <w:rPr>
                <w:rFonts w:asciiTheme="minorHAnsi" w:hAnsiTheme="minorHAnsi" w:cstheme="minorHAnsi"/>
                <w:bCs/>
                <w:sz w:val="22"/>
                <w:szCs w:val="22"/>
                <w:lang w:val="fr-FR" w:eastAsia="fr-FR"/>
              </w:rPr>
              <w:t xml:space="preserve"> 15.3</w:t>
            </w:r>
            <w:r w:rsidR="00C413B8" w:rsidRPr="001961B1">
              <w:rPr>
                <w:rFonts w:asciiTheme="minorHAnsi" w:hAnsiTheme="minorHAnsi" w:cstheme="minorHAnsi"/>
                <w:bCs/>
                <w:sz w:val="22"/>
                <w:szCs w:val="22"/>
                <w:lang w:val="fr-FR" w:eastAsia="fr-FR"/>
              </w:rPr>
              <w:t xml:space="preserve"> des ODD</w:t>
            </w:r>
            <w:r w:rsidR="005919ED" w:rsidRPr="001961B1">
              <w:rPr>
                <w:rFonts w:asciiTheme="minorHAnsi" w:hAnsiTheme="minorHAnsi" w:cstheme="minorHAnsi"/>
                <w:bCs/>
                <w:sz w:val="22"/>
                <w:szCs w:val="22"/>
                <w:lang w:val="fr-FR" w:eastAsia="fr-FR"/>
              </w:rPr>
              <w:t>.</w:t>
            </w:r>
          </w:p>
        </w:tc>
      </w:tr>
    </w:tbl>
    <w:p w14:paraId="478CCDC3" w14:textId="77777777" w:rsidR="00197523" w:rsidRPr="001961B1" w:rsidRDefault="00197523" w:rsidP="00D1463B">
      <w:pPr>
        <w:keepNext/>
        <w:rPr>
          <w:rFonts w:asciiTheme="minorHAnsi" w:hAnsiTheme="minorHAnsi" w:cstheme="minorHAnsi"/>
          <w:sz w:val="22"/>
          <w:szCs w:val="22"/>
          <w:lang w:val="fr-FR"/>
        </w:rPr>
      </w:pPr>
    </w:p>
    <w:p w14:paraId="5450CD9A" w14:textId="62A419CB" w:rsidR="00330EC9"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376E852F" w14:textId="77777777" w:rsidR="00197523" w:rsidRPr="001961B1" w:rsidRDefault="00197523" w:rsidP="00D1463B">
      <w:pPr>
        <w:keepNext/>
        <w:rPr>
          <w:rFonts w:asciiTheme="minorHAnsi" w:hAnsiTheme="minorHAnsi" w:cstheme="minorHAnsi"/>
          <w:sz w:val="22"/>
          <w:szCs w:val="22"/>
          <w:lang w:val="fr-FR"/>
        </w:rPr>
      </w:pPr>
    </w:p>
    <w:p w14:paraId="7D59296E" w14:textId="6FE160D0" w:rsidR="00180DAC"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2</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BF441E" w:rsidRPr="001961B1">
        <w:rPr>
          <w:rFonts w:asciiTheme="minorHAnsi" w:hAnsiTheme="minorHAnsi" w:cstheme="minorHAnsi"/>
          <w:sz w:val="22"/>
          <w:szCs w:val="22"/>
          <w:lang w:val="fr-FR"/>
        </w:rPr>
        <w:t xml:space="preserve">De nombreuses Parties contractantes prennent des mesures en matière de restauration des zones humides, </w:t>
      </w:r>
      <w:r w:rsidR="00314518" w:rsidRPr="001961B1">
        <w:rPr>
          <w:rFonts w:asciiTheme="minorHAnsi" w:hAnsiTheme="minorHAnsi" w:cstheme="minorHAnsi"/>
          <w:sz w:val="22"/>
          <w:szCs w:val="22"/>
          <w:lang w:val="fr-FR"/>
        </w:rPr>
        <w:t xml:space="preserve">mais </w:t>
      </w:r>
      <w:r w:rsidR="00BF441E" w:rsidRPr="001961B1">
        <w:rPr>
          <w:rFonts w:asciiTheme="minorHAnsi" w:hAnsiTheme="minorHAnsi" w:cstheme="minorHAnsi"/>
          <w:sz w:val="22"/>
          <w:szCs w:val="22"/>
          <w:lang w:val="fr-FR"/>
        </w:rPr>
        <w:t xml:space="preserve">les informations sur les sites prioritaires, les objectifs de restauration et les progrès de mise en œuvre, y compris des </w:t>
      </w:r>
      <w:r w:rsidR="00314518" w:rsidRPr="001961B1">
        <w:rPr>
          <w:rFonts w:asciiTheme="minorHAnsi" w:hAnsiTheme="minorHAnsi" w:cstheme="minorHAnsi"/>
          <w:sz w:val="22"/>
          <w:szCs w:val="22"/>
          <w:lang w:val="fr-FR"/>
        </w:rPr>
        <w:t>espaces</w:t>
      </w:r>
      <w:r w:rsidR="00BF441E" w:rsidRPr="001961B1">
        <w:rPr>
          <w:rFonts w:asciiTheme="minorHAnsi" w:hAnsiTheme="minorHAnsi" w:cstheme="minorHAnsi"/>
          <w:sz w:val="22"/>
          <w:szCs w:val="22"/>
          <w:lang w:val="fr-FR"/>
        </w:rPr>
        <w:t xml:space="preserve"> en train d’être restaurés</w:t>
      </w:r>
      <w:r w:rsidR="00314518" w:rsidRPr="001961B1">
        <w:rPr>
          <w:rFonts w:asciiTheme="minorHAnsi" w:hAnsiTheme="minorHAnsi" w:cstheme="minorHAnsi"/>
          <w:sz w:val="22"/>
          <w:szCs w:val="22"/>
          <w:lang w:val="fr-FR"/>
        </w:rPr>
        <w:t>,</w:t>
      </w:r>
      <w:r w:rsidR="00BF441E" w:rsidRPr="001961B1">
        <w:rPr>
          <w:rFonts w:asciiTheme="minorHAnsi" w:hAnsiTheme="minorHAnsi" w:cstheme="minorHAnsi"/>
          <w:sz w:val="22"/>
          <w:szCs w:val="22"/>
          <w:lang w:val="fr-FR"/>
        </w:rPr>
        <w:t xml:space="preserve"> sont variables et souvent limités.</w:t>
      </w:r>
      <w:r w:rsidR="00AB2083" w:rsidRPr="001961B1">
        <w:rPr>
          <w:rFonts w:asciiTheme="minorHAnsi" w:hAnsiTheme="minorHAnsi" w:cstheme="minorHAnsi"/>
          <w:sz w:val="22"/>
          <w:szCs w:val="22"/>
          <w:lang w:val="fr-FR"/>
        </w:rPr>
        <w:t xml:space="preserve"> </w:t>
      </w:r>
      <w:r w:rsidR="003045F9" w:rsidRPr="001961B1">
        <w:rPr>
          <w:rFonts w:asciiTheme="minorHAnsi" w:hAnsiTheme="minorHAnsi" w:cstheme="minorHAnsi"/>
          <w:sz w:val="22"/>
          <w:szCs w:val="22"/>
          <w:lang w:val="fr-FR"/>
        </w:rPr>
        <w:t xml:space="preserve"> </w:t>
      </w:r>
    </w:p>
    <w:p w14:paraId="69AFF4CC" w14:textId="77777777" w:rsidR="008A5E8C" w:rsidRPr="001961B1" w:rsidRDefault="008A5E8C" w:rsidP="00A338FF">
      <w:pPr>
        <w:rPr>
          <w:rFonts w:asciiTheme="minorHAnsi" w:hAnsiTheme="minorHAnsi" w:cstheme="minorHAnsi"/>
          <w:sz w:val="22"/>
          <w:szCs w:val="22"/>
          <w:lang w:val="fr-FR"/>
        </w:rPr>
      </w:pPr>
    </w:p>
    <w:tbl>
      <w:tblPr>
        <w:tblStyle w:val="TableGrid30"/>
        <w:tblW w:w="9353" w:type="dxa"/>
        <w:tblLook w:val="04A0" w:firstRow="1" w:lastRow="0" w:firstColumn="1" w:lastColumn="0" w:noHBand="0" w:noVBand="1"/>
      </w:tblPr>
      <w:tblGrid>
        <w:gridCol w:w="4127"/>
        <w:gridCol w:w="1130"/>
        <w:gridCol w:w="849"/>
        <w:gridCol w:w="849"/>
        <w:gridCol w:w="849"/>
        <w:gridCol w:w="1549"/>
      </w:tblGrid>
      <w:tr w:rsidR="00107172" w:rsidRPr="001961B1" w14:paraId="542B336B" w14:textId="77777777" w:rsidTr="00567061">
        <w:trPr>
          <w:trHeight w:val="454"/>
        </w:trPr>
        <w:tc>
          <w:tcPr>
            <w:tcW w:w="4252" w:type="dxa"/>
            <w:vAlign w:val="center"/>
            <w:hideMark/>
          </w:tcPr>
          <w:p w14:paraId="635AAFEC" w14:textId="53E280D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D31C55"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992" w:type="dxa"/>
            <w:vAlign w:val="center"/>
            <w:hideMark/>
          </w:tcPr>
          <w:p w14:paraId="2DE8F087" w14:textId="254FF373" w:rsidR="00107172" w:rsidRPr="001961B1" w:rsidRDefault="00D31C5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850" w:type="dxa"/>
            <w:vAlign w:val="center"/>
            <w:hideMark/>
          </w:tcPr>
          <w:p w14:paraId="5C603752"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850" w:type="dxa"/>
            <w:vAlign w:val="center"/>
            <w:hideMark/>
          </w:tcPr>
          <w:p w14:paraId="72371B2E"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850" w:type="dxa"/>
            <w:vAlign w:val="center"/>
            <w:hideMark/>
          </w:tcPr>
          <w:p w14:paraId="471A9E1C"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1559" w:type="dxa"/>
            <w:vAlign w:val="center"/>
            <w:hideMark/>
          </w:tcPr>
          <w:p w14:paraId="63306F50" w14:textId="05266C7C" w:rsidR="00107172" w:rsidRPr="001961B1" w:rsidRDefault="00D31C55"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Tendance</w:t>
            </w:r>
          </w:p>
        </w:tc>
      </w:tr>
      <w:tr w:rsidR="00107172" w:rsidRPr="001961B1" w14:paraId="68F00706" w14:textId="77777777" w:rsidTr="00567061">
        <w:trPr>
          <w:trHeight w:val="630"/>
        </w:trPr>
        <w:tc>
          <w:tcPr>
            <w:tcW w:w="4252" w:type="dxa"/>
          </w:tcPr>
          <w:p w14:paraId="1860642B" w14:textId="4433E370"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674253" w:rsidRPr="001961B1">
              <w:rPr>
                <w:rFonts w:asciiTheme="minorHAnsi" w:eastAsia="Aptos" w:hAnsiTheme="minorHAnsi" w:cstheme="minorHAnsi"/>
                <w:sz w:val="22"/>
                <w:szCs w:val="22"/>
                <w:lang w:val="fr-FR"/>
              </w:rPr>
              <w:t>de Parties ayant mis en place des plans [ou des activité</w:t>
            </w:r>
            <w:r w:rsidR="00435C72" w:rsidRPr="001961B1">
              <w:rPr>
                <w:rFonts w:asciiTheme="minorHAnsi" w:eastAsia="Aptos" w:hAnsiTheme="minorHAnsi" w:cstheme="minorHAnsi"/>
                <w:sz w:val="22"/>
                <w:szCs w:val="22"/>
                <w:lang w:val="fr-FR"/>
              </w:rPr>
              <w:t>s</w:t>
            </w:r>
            <w:r w:rsidR="00674253" w:rsidRPr="001961B1">
              <w:rPr>
                <w:rFonts w:asciiTheme="minorHAnsi" w:eastAsia="Aptos" w:hAnsiTheme="minorHAnsi" w:cstheme="minorHAnsi"/>
                <w:sz w:val="22"/>
                <w:szCs w:val="22"/>
                <w:lang w:val="fr-FR"/>
              </w:rPr>
              <w:t>] de restauration pour des sites</w:t>
            </w:r>
            <w:r w:rsidR="00B64F60" w:rsidRPr="001961B1">
              <w:rPr>
                <w:rFonts w:asciiTheme="minorHAnsi" w:eastAsia="Aptos" w:hAnsiTheme="minorHAnsi" w:cstheme="minorHAnsi"/>
                <w:sz w:val="22"/>
                <w:szCs w:val="22"/>
                <w:lang w:val="fr-FR"/>
              </w:rPr>
              <w:t>*</w:t>
            </w:r>
            <w:r w:rsidR="00435C72" w:rsidRPr="001961B1">
              <w:rPr>
                <w:rFonts w:asciiTheme="minorHAnsi" w:eastAsia="Aptos" w:hAnsiTheme="minorHAnsi" w:cstheme="minorHAnsi"/>
                <w:sz w:val="22"/>
                <w:szCs w:val="22"/>
                <w:lang w:val="fr-FR"/>
              </w:rPr>
              <w:t>.</w:t>
            </w:r>
          </w:p>
        </w:tc>
        <w:tc>
          <w:tcPr>
            <w:tcW w:w="992" w:type="dxa"/>
          </w:tcPr>
          <w:p w14:paraId="34024EDD" w14:textId="15224C40"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68</w:t>
            </w:r>
            <w:r w:rsidR="00435C72" w:rsidRPr="001961B1">
              <w:rPr>
                <w:rFonts w:asciiTheme="minorHAnsi" w:eastAsia="Aptos" w:hAnsiTheme="minorHAnsi" w:cstheme="minorHAnsi"/>
                <w:b/>
                <w:bCs/>
                <w:sz w:val="22"/>
                <w:szCs w:val="22"/>
              </w:rPr>
              <w:t xml:space="preserve"> %</w:t>
            </w:r>
          </w:p>
        </w:tc>
        <w:tc>
          <w:tcPr>
            <w:tcW w:w="850" w:type="dxa"/>
          </w:tcPr>
          <w:p w14:paraId="57984D26" w14:textId="602D34E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54</w:t>
            </w:r>
            <w:r w:rsidR="00435C72" w:rsidRPr="001961B1">
              <w:rPr>
                <w:rFonts w:asciiTheme="minorHAnsi" w:eastAsia="Aptos" w:hAnsiTheme="minorHAnsi" w:cstheme="minorHAnsi"/>
                <w:b/>
                <w:bCs/>
                <w:sz w:val="22"/>
                <w:szCs w:val="22"/>
              </w:rPr>
              <w:t xml:space="preserve"> %</w:t>
            </w:r>
          </w:p>
        </w:tc>
        <w:tc>
          <w:tcPr>
            <w:tcW w:w="850" w:type="dxa"/>
          </w:tcPr>
          <w:p w14:paraId="08D494FB" w14:textId="2CB91D7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60</w:t>
            </w:r>
            <w:r w:rsidR="00435C72" w:rsidRPr="001961B1">
              <w:rPr>
                <w:rFonts w:asciiTheme="minorHAnsi" w:eastAsia="Aptos" w:hAnsiTheme="minorHAnsi" w:cstheme="minorHAnsi"/>
                <w:b/>
                <w:bCs/>
                <w:sz w:val="22"/>
                <w:szCs w:val="22"/>
              </w:rPr>
              <w:t xml:space="preserve"> %</w:t>
            </w:r>
          </w:p>
        </w:tc>
        <w:tc>
          <w:tcPr>
            <w:tcW w:w="850" w:type="dxa"/>
          </w:tcPr>
          <w:p w14:paraId="5E64236B" w14:textId="5E5A0FB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44</w:t>
            </w:r>
            <w:r w:rsidR="00435C72" w:rsidRPr="001961B1">
              <w:rPr>
                <w:rFonts w:asciiTheme="minorHAnsi" w:eastAsia="Aptos" w:hAnsiTheme="minorHAnsi" w:cstheme="minorHAnsi"/>
                <w:b/>
                <w:bCs/>
                <w:sz w:val="22"/>
                <w:szCs w:val="22"/>
              </w:rPr>
              <w:t xml:space="preserve"> %</w:t>
            </w:r>
          </w:p>
        </w:tc>
        <w:tc>
          <w:tcPr>
            <w:tcW w:w="1559" w:type="dxa"/>
          </w:tcPr>
          <w:p w14:paraId="42AFAF97" w14:textId="184F6E10" w:rsidR="00107172" w:rsidRPr="001961B1" w:rsidRDefault="00465883" w:rsidP="00CD3F6B">
            <w:pP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2968208C" wp14:editId="6B4753F8">
                  <wp:extent cx="712200" cy="432000"/>
                  <wp:effectExtent l="0" t="0" r="0" b="0"/>
                  <wp:docPr id="15173990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5127AD5D" w14:textId="77777777" w:rsidTr="00567061">
        <w:trPr>
          <w:trHeight w:val="480"/>
        </w:trPr>
        <w:tc>
          <w:tcPr>
            <w:tcW w:w="4252" w:type="dxa"/>
          </w:tcPr>
          <w:p w14:paraId="5B4A62D8" w14:textId="634B906C"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674253" w:rsidRPr="001961B1">
              <w:rPr>
                <w:rFonts w:asciiTheme="minorHAnsi" w:eastAsia="Aptos" w:hAnsiTheme="minorHAnsi" w:cstheme="minorHAnsi"/>
                <w:sz w:val="22"/>
                <w:szCs w:val="22"/>
                <w:lang w:val="fr-FR"/>
              </w:rPr>
              <w:t>de Parties ayant mis en œuvre des programmes de restauration ou de remise en état</w:t>
            </w:r>
            <w:r w:rsidRPr="001961B1">
              <w:rPr>
                <w:rFonts w:asciiTheme="minorHAnsi" w:eastAsia="Aptos" w:hAnsiTheme="minorHAnsi" w:cstheme="minorHAnsi"/>
                <w:sz w:val="22"/>
                <w:szCs w:val="22"/>
                <w:lang w:val="fr-FR"/>
              </w:rPr>
              <w:t>.</w:t>
            </w:r>
          </w:p>
        </w:tc>
        <w:tc>
          <w:tcPr>
            <w:tcW w:w="992" w:type="dxa"/>
          </w:tcPr>
          <w:p w14:paraId="69BEAE07" w14:textId="366B8A83"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70</w:t>
            </w:r>
            <w:r w:rsidR="00435C72" w:rsidRPr="001961B1">
              <w:rPr>
                <w:rFonts w:asciiTheme="minorHAnsi" w:eastAsia="Aptos" w:hAnsiTheme="minorHAnsi" w:cstheme="minorHAnsi"/>
                <w:b/>
                <w:bCs/>
                <w:sz w:val="22"/>
                <w:szCs w:val="22"/>
              </w:rPr>
              <w:t xml:space="preserve"> %</w:t>
            </w:r>
          </w:p>
        </w:tc>
        <w:tc>
          <w:tcPr>
            <w:tcW w:w="850" w:type="dxa"/>
          </w:tcPr>
          <w:p w14:paraId="53273B2D" w14:textId="5DC2538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43</w:t>
            </w:r>
            <w:r w:rsidR="00435C72" w:rsidRPr="001961B1">
              <w:rPr>
                <w:rFonts w:asciiTheme="minorHAnsi" w:eastAsia="Aptos" w:hAnsiTheme="minorHAnsi" w:cstheme="minorHAnsi"/>
                <w:b/>
                <w:bCs/>
                <w:sz w:val="22"/>
                <w:szCs w:val="22"/>
              </w:rPr>
              <w:t xml:space="preserve"> %</w:t>
            </w:r>
          </w:p>
        </w:tc>
        <w:tc>
          <w:tcPr>
            <w:tcW w:w="850" w:type="dxa"/>
          </w:tcPr>
          <w:p w14:paraId="2316181F" w14:textId="6360C39D"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53</w:t>
            </w:r>
            <w:r w:rsidR="00435C72" w:rsidRPr="001961B1">
              <w:rPr>
                <w:rFonts w:asciiTheme="minorHAnsi" w:eastAsia="Aptos" w:hAnsiTheme="minorHAnsi" w:cstheme="minorHAnsi"/>
                <w:b/>
                <w:bCs/>
                <w:sz w:val="22"/>
                <w:szCs w:val="22"/>
              </w:rPr>
              <w:t xml:space="preserve"> %</w:t>
            </w:r>
          </w:p>
        </w:tc>
        <w:tc>
          <w:tcPr>
            <w:tcW w:w="850" w:type="dxa"/>
          </w:tcPr>
          <w:p w14:paraId="21A830E2" w14:textId="540DD899"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54</w:t>
            </w:r>
            <w:r w:rsidR="00435C72" w:rsidRPr="001961B1">
              <w:rPr>
                <w:rFonts w:asciiTheme="minorHAnsi" w:eastAsia="Aptos" w:hAnsiTheme="minorHAnsi" w:cstheme="minorHAnsi"/>
                <w:b/>
                <w:bCs/>
                <w:sz w:val="22"/>
                <w:szCs w:val="22"/>
              </w:rPr>
              <w:t xml:space="preserve"> %</w:t>
            </w:r>
          </w:p>
        </w:tc>
        <w:tc>
          <w:tcPr>
            <w:tcW w:w="1559" w:type="dxa"/>
          </w:tcPr>
          <w:p w14:paraId="4C681CDA" w14:textId="46CC9428" w:rsidR="00107172" w:rsidRPr="001961B1" w:rsidRDefault="00F60809"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3408F499" wp14:editId="53F6087B">
                  <wp:extent cx="712200" cy="432000"/>
                  <wp:effectExtent l="0" t="0" r="0" b="0"/>
                  <wp:docPr id="20543929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1506202" w14:textId="4B76F527" w:rsidR="00FB380C" w:rsidRPr="001961B1" w:rsidRDefault="002629ED"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 xml:space="preserve">* </w:t>
      </w:r>
      <w:r w:rsidR="00674253" w:rsidRPr="001961B1">
        <w:rPr>
          <w:rFonts w:asciiTheme="minorHAnsi" w:hAnsiTheme="minorHAnsi" w:cstheme="minorHAnsi"/>
          <w:sz w:val="22"/>
          <w:szCs w:val="22"/>
          <w:lang w:val="fr-FR"/>
        </w:rPr>
        <w:t>Les données présentées sont un pourcentage des Parties contractantes ayant identifié des zones humides à restaurer en priorité</w:t>
      </w:r>
      <w:r w:rsidR="00E45B68" w:rsidRPr="001961B1">
        <w:rPr>
          <w:rFonts w:asciiTheme="minorHAnsi" w:hAnsiTheme="minorHAnsi" w:cstheme="minorHAnsi"/>
          <w:sz w:val="22"/>
          <w:szCs w:val="22"/>
          <w:lang w:val="fr-FR"/>
        </w:rPr>
        <w:t xml:space="preserve">. </w:t>
      </w:r>
    </w:p>
    <w:p w14:paraId="590B8C42" w14:textId="77777777" w:rsidR="002629ED" w:rsidRPr="001961B1" w:rsidRDefault="002629ED" w:rsidP="00CD3F6B">
      <w:pPr>
        <w:rPr>
          <w:rFonts w:asciiTheme="minorHAnsi" w:hAnsiTheme="minorHAnsi" w:cstheme="minorHAnsi"/>
          <w:sz w:val="22"/>
          <w:szCs w:val="22"/>
          <w:lang w:val="fr-FR"/>
        </w:rPr>
      </w:pPr>
    </w:p>
    <w:p w14:paraId="6DA02C2F" w14:textId="5753D9CC" w:rsidR="00B858B6" w:rsidRPr="001961B1" w:rsidRDefault="007251E6" w:rsidP="00D1463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C2577B" w:rsidRPr="001961B1">
        <w:rPr>
          <w:rFonts w:asciiTheme="minorHAnsi" w:hAnsiTheme="minorHAnsi" w:cstheme="minorHAnsi"/>
          <w:i/>
          <w:iCs/>
          <w:sz w:val="22"/>
          <w:szCs w:val="22"/>
          <w:u w:val="single"/>
          <w:lang w:val="fr-FR"/>
        </w:rPr>
        <w:t xml:space="preserve"> </w:t>
      </w:r>
    </w:p>
    <w:p w14:paraId="5A8B2A4B" w14:textId="77777777" w:rsidR="008A5E8C" w:rsidRPr="001961B1" w:rsidRDefault="008A5E8C" w:rsidP="00D1463B">
      <w:pPr>
        <w:keepNext/>
        <w:rPr>
          <w:rFonts w:asciiTheme="minorHAnsi" w:hAnsiTheme="minorHAnsi" w:cstheme="minorHAnsi"/>
          <w:sz w:val="22"/>
          <w:szCs w:val="22"/>
          <w:lang w:val="fr-FR"/>
        </w:rPr>
      </w:pPr>
    </w:p>
    <w:p w14:paraId="4C3DE9E9" w14:textId="05A2EF81" w:rsidR="00865C39"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3</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rPr>
        <w:t>Au moment de</w:t>
      </w:r>
      <w:r w:rsidR="00F20E47" w:rsidRPr="001961B1">
        <w:rPr>
          <w:rFonts w:asciiTheme="minorHAnsi" w:hAnsiTheme="minorHAnsi" w:cstheme="minorHAnsi"/>
          <w:sz w:val="22"/>
          <w:szCs w:val="22"/>
          <w:lang w:val="fr-FR"/>
        </w:rPr>
        <w:t xml:space="preserve"> la </w:t>
      </w:r>
      <w:r w:rsidR="00D3277B" w:rsidRPr="001961B1">
        <w:rPr>
          <w:rFonts w:asciiTheme="minorHAnsi" w:hAnsiTheme="minorHAnsi" w:cstheme="minorHAnsi"/>
          <w:sz w:val="22"/>
          <w:szCs w:val="22"/>
          <w:lang w:val="fr-FR"/>
        </w:rPr>
        <w:t>COP15</w:t>
      </w:r>
      <w:r w:rsidR="0018709C" w:rsidRPr="001961B1">
        <w:rPr>
          <w:rFonts w:asciiTheme="minorHAnsi" w:hAnsiTheme="minorHAnsi" w:cstheme="minorHAnsi"/>
          <w:sz w:val="22"/>
          <w:szCs w:val="22"/>
          <w:lang w:val="fr-FR"/>
        </w:rPr>
        <w:t>, 4</w:t>
      </w:r>
      <w:r w:rsidR="00F33AD9" w:rsidRPr="001961B1">
        <w:rPr>
          <w:rFonts w:asciiTheme="minorHAnsi" w:hAnsiTheme="minorHAnsi" w:cstheme="minorHAnsi"/>
          <w:sz w:val="22"/>
          <w:szCs w:val="22"/>
          <w:lang w:val="fr-FR"/>
        </w:rPr>
        <w:t>5</w:t>
      </w:r>
      <w:r w:rsidR="00F20E47" w:rsidRPr="001961B1">
        <w:rPr>
          <w:rFonts w:asciiTheme="minorHAnsi" w:hAnsiTheme="minorHAnsi" w:cstheme="minorHAnsi"/>
          <w:sz w:val="22"/>
          <w:szCs w:val="22"/>
          <w:lang w:val="fr-FR"/>
        </w:rPr>
        <w:t> </w:t>
      </w:r>
      <w:r w:rsidR="0018709C" w:rsidRPr="001961B1">
        <w:rPr>
          <w:rFonts w:asciiTheme="minorHAnsi" w:hAnsiTheme="minorHAnsi" w:cstheme="minorHAnsi"/>
          <w:sz w:val="22"/>
          <w:szCs w:val="22"/>
          <w:lang w:val="fr-FR"/>
        </w:rPr>
        <w:t xml:space="preserve">% </w:t>
      </w:r>
      <w:r w:rsidR="00F20E47" w:rsidRPr="001961B1">
        <w:rPr>
          <w:rFonts w:asciiTheme="minorHAnsi" w:hAnsiTheme="minorHAnsi" w:cstheme="minorHAnsi"/>
          <w:sz w:val="22"/>
          <w:szCs w:val="22"/>
          <w:lang w:val="fr-FR"/>
        </w:rPr>
        <w:t xml:space="preserve">des Parties contractantes </w:t>
      </w:r>
      <w:r w:rsidR="005C11A5" w:rsidRPr="001961B1">
        <w:rPr>
          <w:rFonts w:asciiTheme="minorHAnsi" w:hAnsiTheme="minorHAnsi" w:cstheme="minorHAnsi"/>
          <w:sz w:val="22"/>
          <w:szCs w:val="22"/>
          <w:lang w:val="fr-FR"/>
        </w:rPr>
        <w:t>avaient établi</w:t>
      </w:r>
      <w:r w:rsidR="00F20E47" w:rsidRPr="001961B1">
        <w:rPr>
          <w:rFonts w:asciiTheme="minorHAnsi" w:hAnsiTheme="minorHAnsi" w:cstheme="minorHAnsi"/>
          <w:sz w:val="22"/>
          <w:szCs w:val="22"/>
          <w:lang w:val="fr-FR"/>
        </w:rPr>
        <w:t xml:space="preserve"> des objectifs nationaux de restauration des zones humides. Le chiffre est semblable pour la plupart des régions</w:t>
      </w:r>
      <w:r w:rsidR="00034D08" w:rsidRPr="001961B1">
        <w:rPr>
          <w:rFonts w:asciiTheme="minorHAnsi" w:hAnsiTheme="minorHAnsi" w:cstheme="minorHAnsi"/>
          <w:sz w:val="22"/>
          <w:szCs w:val="22"/>
          <w:lang w:val="fr-FR"/>
        </w:rPr>
        <w:t>,</w:t>
      </w:r>
      <w:r w:rsidR="00F20E47" w:rsidRPr="001961B1">
        <w:rPr>
          <w:rFonts w:asciiTheme="minorHAnsi" w:hAnsiTheme="minorHAnsi" w:cstheme="minorHAnsi"/>
          <w:sz w:val="22"/>
          <w:szCs w:val="22"/>
          <w:lang w:val="fr-FR"/>
        </w:rPr>
        <w:t xml:space="preserve"> avec un pourcentage légèrement plus faible pour les Parties d’Afrique. Toutes les Parties d’Amérique du Nord ont établi des objectifs nationaux de restauration. Vingt et un pour cent (21 %) des Parties signalent la mise en place partielle d’objectifs nationaux de restauration et 16 % en sont à l’étape de planification.</w:t>
      </w:r>
      <w:r w:rsidR="00DA5FD8" w:rsidRPr="001961B1">
        <w:rPr>
          <w:rFonts w:asciiTheme="minorHAnsi" w:hAnsiTheme="minorHAnsi" w:cstheme="minorHAnsi"/>
          <w:sz w:val="22"/>
          <w:szCs w:val="22"/>
          <w:lang w:val="fr-FR"/>
        </w:rPr>
        <w:t xml:space="preserve"> </w:t>
      </w:r>
    </w:p>
    <w:p w14:paraId="59D2A3B4" w14:textId="77777777" w:rsidR="00865C39" w:rsidRPr="001961B1" w:rsidRDefault="00865C39" w:rsidP="00257025">
      <w:pPr>
        <w:ind w:left="567" w:hanging="567"/>
        <w:rPr>
          <w:rFonts w:asciiTheme="minorHAnsi" w:hAnsiTheme="minorHAnsi" w:cstheme="minorHAnsi"/>
          <w:sz w:val="22"/>
          <w:szCs w:val="22"/>
          <w:lang w:val="fr-FR"/>
        </w:rPr>
      </w:pPr>
    </w:p>
    <w:p w14:paraId="25E023B9" w14:textId="15B6A8AC" w:rsidR="00E44C0B"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4</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757E0B" w:rsidRPr="001961B1">
        <w:rPr>
          <w:rFonts w:asciiTheme="minorHAnsi" w:hAnsiTheme="minorHAnsi" w:cstheme="minorHAnsi"/>
          <w:sz w:val="22"/>
          <w:szCs w:val="22"/>
          <w:lang w:val="fr-FR"/>
        </w:rPr>
        <w:t>Les Parties contractantes de deux régions, surtout en Europe mais aussi en Asie, ont pris d</w:t>
      </w:r>
      <w:r w:rsidR="0075571D" w:rsidRPr="001961B1">
        <w:rPr>
          <w:rFonts w:asciiTheme="minorHAnsi" w:hAnsiTheme="minorHAnsi" w:cstheme="minorHAnsi"/>
          <w:sz w:val="22"/>
          <w:szCs w:val="22"/>
          <w:lang w:val="fr-FR"/>
        </w:rPr>
        <w:t xml:space="preserve">es engagements quantifiés en matière de </w:t>
      </w:r>
      <w:r w:rsidR="00757E0B" w:rsidRPr="001961B1">
        <w:rPr>
          <w:rFonts w:asciiTheme="minorHAnsi" w:hAnsiTheme="minorHAnsi" w:cstheme="minorHAnsi"/>
          <w:sz w:val="22"/>
          <w:szCs w:val="22"/>
          <w:lang w:val="fr-FR"/>
        </w:rPr>
        <w:t>restauration qui s’élèvent, au total,</w:t>
      </w:r>
      <w:r w:rsidR="0075571D" w:rsidRPr="001961B1">
        <w:rPr>
          <w:rFonts w:asciiTheme="minorHAnsi" w:hAnsiTheme="minorHAnsi" w:cstheme="minorHAnsi"/>
          <w:sz w:val="22"/>
          <w:szCs w:val="22"/>
          <w:lang w:val="fr-FR"/>
        </w:rPr>
        <w:t xml:space="preserve"> à </w:t>
      </w:r>
      <w:r w:rsidR="00732979" w:rsidRPr="001961B1">
        <w:rPr>
          <w:rFonts w:asciiTheme="minorHAnsi" w:hAnsiTheme="minorHAnsi" w:cstheme="minorHAnsi"/>
          <w:sz w:val="22"/>
          <w:szCs w:val="22"/>
          <w:lang w:val="fr-FR"/>
        </w:rPr>
        <w:t>789</w:t>
      </w:r>
      <w:r w:rsidR="0075571D" w:rsidRPr="001961B1">
        <w:rPr>
          <w:rFonts w:asciiTheme="minorHAnsi" w:hAnsiTheme="minorHAnsi" w:cstheme="minorHAnsi"/>
          <w:sz w:val="22"/>
          <w:szCs w:val="22"/>
          <w:lang w:val="fr-FR"/>
        </w:rPr>
        <w:t> </w:t>
      </w:r>
      <w:r w:rsidR="00732979" w:rsidRPr="001961B1">
        <w:rPr>
          <w:rFonts w:asciiTheme="minorHAnsi" w:hAnsiTheme="minorHAnsi" w:cstheme="minorHAnsi"/>
          <w:sz w:val="22"/>
          <w:szCs w:val="22"/>
          <w:lang w:val="fr-FR"/>
        </w:rPr>
        <w:t>638</w:t>
      </w:r>
      <w:r w:rsidR="0075571D" w:rsidRPr="001961B1">
        <w:rPr>
          <w:rFonts w:asciiTheme="minorHAnsi" w:hAnsiTheme="minorHAnsi" w:cstheme="minorHAnsi"/>
          <w:sz w:val="22"/>
          <w:szCs w:val="22"/>
          <w:lang w:val="fr-FR"/>
        </w:rPr>
        <w:t> </w:t>
      </w:r>
      <w:r w:rsidR="00732979" w:rsidRPr="001961B1">
        <w:rPr>
          <w:rFonts w:asciiTheme="minorHAnsi" w:hAnsiTheme="minorHAnsi" w:cstheme="minorHAnsi"/>
          <w:sz w:val="22"/>
          <w:szCs w:val="22"/>
          <w:lang w:val="fr-FR"/>
        </w:rPr>
        <w:t>km²</w:t>
      </w:r>
      <w:r w:rsidR="00A7759E" w:rsidRPr="001961B1">
        <w:rPr>
          <w:rFonts w:asciiTheme="minorHAnsi" w:hAnsiTheme="minorHAnsi" w:cstheme="minorHAnsi"/>
          <w:sz w:val="22"/>
          <w:szCs w:val="22"/>
          <w:lang w:val="fr-FR"/>
        </w:rPr>
        <w:t xml:space="preserve">. </w:t>
      </w:r>
      <w:r w:rsidR="0075571D" w:rsidRPr="001961B1">
        <w:rPr>
          <w:rFonts w:asciiTheme="minorHAnsi" w:hAnsiTheme="minorHAnsi" w:cstheme="minorHAnsi"/>
          <w:sz w:val="22"/>
          <w:szCs w:val="22"/>
          <w:lang w:val="fr-FR"/>
        </w:rPr>
        <w:t xml:space="preserve">Les Parties d’Afrique et d’Amérique du Nord </w:t>
      </w:r>
      <w:r w:rsidR="00757E0B" w:rsidRPr="001961B1">
        <w:rPr>
          <w:rFonts w:asciiTheme="minorHAnsi" w:hAnsiTheme="minorHAnsi" w:cstheme="minorHAnsi"/>
          <w:sz w:val="22"/>
          <w:szCs w:val="22"/>
          <w:lang w:val="fr-FR"/>
        </w:rPr>
        <w:t>signalent</w:t>
      </w:r>
      <w:r w:rsidR="0075571D" w:rsidRPr="001961B1">
        <w:rPr>
          <w:rFonts w:asciiTheme="minorHAnsi" w:hAnsiTheme="minorHAnsi" w:cstheme="minorHAnsi"/>
          <w:sz w:val="22"/>
          <w:szCs w:val="22"/>
          <w:lang w:val="fr-FR"/>
        </w:rPr>
        <w:t xml:space="preserve"> des activités de restauration sans fournir de données quantitatives sur les objectifs ou les engagements</w:t>
      </w:r>
      <w:r w:rsidR="00757E0B" w:rsidRPr="001961B1">
        <w:rPr>
          <w:rFonts w:asciiTheme="minorHAnsi" w:hAnsiTheme="minorHAnsi" w:cstheme="minorHAnsi"/>
          <w:sz w:val="22"/>
          <w:szCs w:val="22"/>
          <w:lang w:val="fr-FR"/>
        </w:rPr>
        <w:t xml:space="preserve"> eux-mêmes</w:t>
      </w:r>
      <w:r w:rsidR="0075571D" w:rsidRPr="001961B1">
        <w:rPr>
          <w:rFonts w:asciiTheme="minorHAnsi" w:hAnsiTheme="minorHAnsi" w:cstheme="minorHAnsi"/>
          <w:sz w:val="22"/>
          <w:szCs w:val="22"/>
          <w:lang w:val="fr-FR"/>
        </w:rPr>
        <w:t xml:space="preserve">. </w:t>
      </w:r>
    </w:p>
    <w:p w14:paraId="4347D631" w14:textId="77777777" w:rsidR="00732979" w:rsidRPr="001961B1" w:rsidRDefault="00732979" w:rsidP="00257025">
      <w:pPr>
        <w:ind w:left="567" w:hanging="567"/>
        <w:rPr>
          <w:rFonts w:asciiTheme="minorHAnsi" w:hAnsiTheme="minorHAnsi" w:cstheme="minorHAnsi"/>
          <w:sz w:val="22"/>
          <w:szCs w:val="22"/>
          <w:lang w:val="fr-FR"/>
        </w:rPr>
      </w:pPr>
    </w:p>
    <w:p w14:paraId="46CFEBCB" w14:textId="40F8CD70" w:rsidR="001249C9"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5</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75571D" w:rsidRPr="001961B1">
        <w:rPr>
          <w:rFonts w:asciiTheme="minorHAnsi" w:hAnsiTheme="minorHAnsi" w:cstheme="minorHAnsi"/>
          <w:sz w:val="22"/>
          <w:szCs w:val="22"/>
          <w:lang w:val="fr-FR"/>
        </w:rPr>
        <w:t xml:space="preserve">Toutefois, la proportion de Parties contractantes ayant </w:t>
      </w:r>
      <w:r w:rsidR="000D3877" w:rsidRPr="001961B1">
        <w:rPr>
          <w:rFonts w:asciiTheme="minorHAnsi" w:hAnsiTheme="minorHAnsi" w:cstheme="minorHAnsi"/>
          <w:sz w:val="22"/>
          <w:szCs w:val="22"/>
          <w:lang w:val="fr-FR"/>
        </w:rPr>
        <w:t>identifié des</w:t>
      </w:r>
      <w:r w:rsidR="0075571D" w:rsidRPr="001961B1">
        <w:rPr>
          <w:rFonts w:asciiTheme="minorHAnsi" w:hAnsiTheme="minorHAnsi" w:cstheme="minorHAnsi"/>
          <w:sz w:val="22"/>
          <w:szCs w:val="22"/>
          <w:lang w:val="fr-FR"/>
        </w:rPr>
        <w:t xml:space="preserve"> sites prioritaires pour la restauration des zones humides a diminué au fil des trois périodes triennales passées, et à la COP15, </w:t>
      </w:r>
      <w:r w:rsidR="000D3877" w:rsidRPr="001961B1">
        <w:rPr>
          <w:rFonts w:asciiTheme="minorHAnsi" w:hAnsiTheme="minorHAnsi" w:cstheme="minorHAnsi"/>
          <w:sz w:val="22"/>
          <w:szCs w:val="22"/>
          <w:lang w:val="fr-FR"/>
        </w:rPr>
        <w:t>est</w:t>
      </w:r>
      <w:r w:rsidR="0075571D" w:rsidRPr="001961B1">
        <w:rPr>
          <w:rFonts w:asciiTheme="minorHAnsi" w:hAnsiTheme="minorHAnsi" w:cstheme="minorHAnsi"/>
          <w:sz w:val="22"/>
          <w:szCs w:val="22"/>
          <w:lang w:val="fr-FR"/>
        </w:rPr>
        <w:t xml:space="preserve"> considérablement </w:t>
      </w:r>
      <w:r w:rsidR="000D3877" w:rsidRPr="001961B1">
        <w:rPr>
          <w:rFonts w:asciiTheme="minorHAnsi" w:hAnsiTheme="minorHAnsi" w:cstheme="minorHAnsi"/>
          <w:sz w:val="22"/>
          <w:szCs w:val="22"/>
          <w:lang w:val="fr-FR"/>
        </w:rPr>
        <w:t>inférieure à</w:t>
      </w:r>
      <w:r w:rsidR="0075571D" w:rsidRPr="001961B1">
        <w:rPr>
          <w:rFonts w:asciiTheme="minorHAnsi" w:hAnsiTheme="minorHAnsi" w:cstheme="minorHAnsi"/>
          <w:sz w:val="22"/>
          <w:szCs w:val="22"/>
          <w:lang w:val="fr-FR"/>
        </w:rPr>
        <w:t xml:space="preserve"> la référence (44 % au lieu de 68 %). La proportion de Parties signalant </w:t>
      </w:r>
      <w:r w:rsidR="000D3877" w:rsidRPr="001961B1">
        <w:rPr>
          <w:rFonts w:asciiTheme="minorHAnsi" w:hAnsiTheme="minorHAnsi" w:cstheme="minorHAnsi"/>
          <w:sz w:val="22"/>
          <w:szCs w:val="22"/>
          <w:lang w:val="fr-FR"/>
        </w:rPr>
        <w:t>avoir partiellement identifié des</w:t>
      </w:r>
      <w:r w:rsidR="0075571D" w:rsidRPr="001961B1">
        <w:rPr>
          <w:rFonts w:asciiTheme="minorHAnsi" w:hAnsiTheme="minorHAnsi" w:cstheme="minorHAnsi"/>
          <w:sz w:val="22"/>
          <w:szCs w:val="22"/>
          <w:lang w:val="fr-FR"/>
        </w:rPr>
        <w:t xml:space="preserve"> sites prioritaires a augmenté pour atteindre 30 % à la COP15. Un peu plus de la moitié des Parties ont mis en œuvre des projets de restauration et de remise en état</w:t>
      </w:r>
      <w:r w:rsidR="000D3877" w:rsidRPr="001961B1">
        <w:rPr>
          <w:rFonts w:asciiTheme="minorHAnsi" w:hAnsiTheme="minorHAnsi" w:cstheme="minorHAnsi"/>
          <w:sz w:val="22"/>
          <w:szCs w:val="22"/>
          <w:lang w:val="fr-FR"/>
        </w:rPr>
        <w:t xml:space="preserve"> et si l’on note</w:t>
      </w:r>
      <w:r w:rsidR="0075571D" w:rsidRPr="001961B1">
        <w:rPr>
          <w:rFonts w:asciiTheme="minorHAnsi" w:hAnsiTheme="minorHAnsi" w:cstheme="minorHAnsi"/>
          <w:sz w:val="22"/>
          <w:szCs w:val="22"/>
          <w:lang w:val="fr-FR"/>
        </w:rPr>
        <w:t xml:space="preserve"> une légère augmentation depuis la COP13</w:t>
      </w:r>
      <w:r w:rsidR="000D3877" w:rsidRPr="001961B1">
        <w:rPr>
          <w:rFonts w:asciiTheme="minorHAnsi" w:hAnsiTheme="minorHAnsi" w:cstheme="minorHAnsi"/>
          <w:sz w:val="22"/>
          <w:szCs w:val="22"/>
          <w:lang w:val="fr-FR"/>
        </w:rPr>
        <w:t>, le chiffre reste bien inférieur à</w:t>
      </w:r>
      <w:r w:rsidR="0075571D" w:rsidRPr="001961B1">
        <w:rPr>
          <w:rFonts w:asciiTheme="minorHAnsi" w:hAnsiTheme="minorHAnsi" w:cstheme="minorHAnsi"/>
          <w:sz w:val="22"/>
          <w:szCs w:val="22"/>
          <w:lang w:val="fr-FR"/>
        </w:rPr>
        <w:t xml:space="preserve"> la référence de 70 % établie dans le PS4. </w:t>
      </w:r>
    </w:p>
    <w:p w14:paraId="163263E4" w14:textId="77777777" w:rsidR="00ED3E2D" w:rsidRPr="001961B1" w:rsidRDefault="00ED3E2D" w:rsidP="00257025">
      <w:pPr>
        <w:ind w:left="567" w:hanging="567"/>
        <w:rPr>
          <w:rFonts w:asciiTheme="minorHAnsi" w:hAnsiTheme="minorHAnsi" w:cstheme="minorHAnsi"/>
          <w:sz w:val="22"/>
          <w:szCs w:val="22"/>
          <w:lang w:val="fr-FR"/>
        </w:rPr>
      </w:pPr>
    </w:p>
    <w:p w14:paraId="1F95478E" w14:textId="426008CD" w:rsidR="00772D31"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6</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75571D" w:rsidRPr="001961B1">
        <w:rPr>
          <w:rFonts w:asciiTheme="minorHAnsi" w:hAnsiTheme="minorHAnsi" w:cstheme="minorHAnsi"/>
          <w:sz w:val="22"/>
          <w:szCs w:val="22"/>
          <w:lang w:val="fr-FR"/>
        </w:rPr>
        <w:t xml:space="preserve">Les Rapports nationaux contiennent des exposés riches en informations sur les efforts de restauration. En Asie, les Parties contractantes </w:t>
      </w:r>
      <w:r w:rsidR="0094572F" w:rsidRPr="001961B1">
        <w:rPr>
          <w:rFonts w:asciiTheme="minorHAnsi" w:hAnsiTheme="minorHAnsi" w:cstheme="minorHAnsi"/>
          <w:sz w:val="22"/>
          <w:szCs w:val="22"/>
          <w:lang w:val="fr-FR"/>
        </w:rPr>
        <w:t xml:space="preserve">citent communément la cartographie par système d’information géographique (SIG) et la sélection de sites avec des informations </w:t>
      </w:r>
      <w:r w:rsidR="00A75200" w:rsidRPr="001961B1">
        <w:rPr>
          <w:rFonts w:asciiTheme="minorHAnsi" w:hAnsiTheme="minorHAnsi" w:cstheme="minorHAnsi"/>
          <w:sz w:val="22"/>
          <w:szCs w:val="22"/>
          <w:lang w:val="fr-FR"/>
        </w:rPr>
        <w:t>communiquées</w:t>
      </w:r>
      <w:r w:rsidR="0094572F" w:rsidRPr="001961B1">
        <w:rPr>
          <w:rFonts w:asciiTheme="minorHAnsi" w:hAnsiTheme="minorHAnsi" w:cstheme="minorHAnsi"/>
          <w:sz w:val="22"/>
          <w:szCs w:val="22"/>
          <w:lang w:val="fr-FR"/>
        </w:rPr>
        <w:t xml:space="preserve"> par les parties prenantes. Les Parties contractantes d’Amérique latine et </w:t>
      </w:r>
      <w:r w:rsidR="00A27A89" w:rsidRPr="001961B1">
        <w:rPr>
          <w:rFonts w:asciiTheme="minorHAnsi" w:hAnsiTheme="minorHAnsi" w:cstheme="minorHAnsi"/>
          <w:sz w:val="22"/>
          <w:szCs w:val="22"/>
          <w:lang w:val="fr-FR"/>
        </w:rPr>
        <w:t>Caraïbes</w:t>
      </w:r>
      <w:r w:rsidR="0094572F" w:rsidRPr="001961B1">
        <w:rPr>
          <w:rFonts w:asciiTheme="minorHAnsi" w:hAnsiTheme="minorHAnsi" w:cstheme="minorHAnsi"/>
          <w:sz w:val="22"/>
          <w:szCs w:val="22"/>
          <w:lang w:val="fr-FR"/>
        </w:rPr>
        <w:t xml:space="preserve"> ainsi que d’Océanie signalent des initiatives pilotes </w:t>
      </w:r>
      <w:r w:rsidR="00A75200" w:rsidRPr="001961B1">
        <w:rPr>
          <w:rFonts w:asciiTheme="minorHAnsi" w:hAnsiTheme="minorHAnsi" w:cstheme="minorHAnsi"/>
          <w:sz w:val="22"/>
          <w:szCs w:val="22"/>
          <w:lang w:val="fr-FR"/>
        </w:rPr>
        <w:t>concluantes</w:t>
      </w:r>
      <w:r w:rsidR="0094572F" w:rsidRPr="001961B1">
        <w:rPr>
          <w:rFonts w:asciiTheme="minorHAnsi" w:hAnsiTheme="minorHAnsi" w:cstheme="minorHAnsi"/>
          <w:sz w:val="22"/>
          <w:szCs w:val="22"/>
          <w:lang w:val="fr-FR"/>
        </w:rPr>
        <w:t xml:space="preserve"> mais notent des problèmes de mise à échelle, </w:t>
      </w:r>
      <w:r w:rsidR="00A75200" w:rsidRPr="001961B1">
        <w:rPr>
          <w:rFonts w:asciiTheme="minorHAnsi" w:hAnsiTheme="minorHAnsi" w:cstheme="minorHAnsi"/>
          <w:sz w:val="22"/>
          <w:szCs w:val="22"/>
          <w:lang w:val="fr-FR"/>
        </w:rPr>
        <w:t>en particulier</w:t>
      </w:r>
      <w:r w:rsidR="0094572F" w:rsidRPr="001961B1">
        <w:rPr>
          <w:rFonts w:asciiTheme="minorHAnsi" w:hAnsiTheme="minorHAnsi" w:cstheme="minorHAnsi"/>
          <w:sz w:val="22"/>
          <w:szCs w:val="22"/>
          <w:lang w:val="fr-FR"/>
        </w:rPr>
        <w:t xml:space="preserve"> un manque de capacités pour l’exécution pleine et entière. Les Parties d’Afrique mentionnent fréquemment </w:t>
      </w:r>
      <w:r w:rsidR="00A75200" w:rsidRPr="001961B1">
        <w:rPr>
          <w:rFonts w:asciiTheme="minorHAnsi" w:hAnsiTheme="minorHAnsi" w:cstheme="minorHAnsi"/>
          <w:sz w:val="22"/>
          <w:szCs w:val="22"/>
          <w:lang w:val="fr-FR"/>
        </w:rPr>
        <w:t>d</w:t>
      </w:r>
      <w:r w:rsidR="0094572F" w:rsidRPr="001961B1">
        <w:rPr>
          <w:rFonts w:asciiTheme="minorHAnsi" w:hAnsiTheme="minorHAnsi" w:cstheme="minorHAnsi"/>
          <w:sz w:val="22"/>
          <w:szCs w:val="22"/>
          <w:lang w:val="fr-FR"/>
        </w:rPr>
        <w:t xml:space="preserve">es contraintes en matière de ressources, </w:t>
      </w:r>
      <w:r w:rsidR="00A75200" w:rsidRPr="001961B1">
        <w:rPr>
          <w:rFonts w:asciiTheme="minorHAnsi" w:hAnsiTheme="minorHAnsi" w:cstheme="minorHAnsi"/>
          <w:sz w:val="22"/>
          <w:szCs w:val="22"/>
          <w:lang w:val="fr-FR"/>
        </w:rPr>
        <w:t>d</w:t>
      </w:r>
      <w:r w:rsidR="0094572F" w:rsidRPr="001961B1">
        <w:rPr>
          <w:rFonts w:asciiTheme="minorHAnsi" w:hAnsiTheme="minorHAnsi" w:cstheme="minorHAnsi"/>
          <w:sz w:val="22"/>
          <w:szCs w:val="22"/>
          <w:lang w:val="fr-FR"/>
        </w:rPr>
        <w:t xml:space="preserve">es systèmes de suivi et </w:t>
      </w:r>
      <w:r w:rsidR="00A75200" w:rsidRPr="001961B1">
        <w:rPr>
          <w:rFonts w:asciiTheme="minorHAnsi" w:hAnsiTheme="minorHAnsi" w:cstheme="minorHAnsi"/>
          <w:sz w:val="22"/>
          <w:szCs w:val="22"/>
          <w:lang w:val="fr-FR"/>
        </w:rPr>
        <w:t>une</w:t>
      </w:r>
      <w:r w:rsidR="0094572F" w:rsidRPr="001961B1">
        <w:rPr>
          <w:rFonts w:asciiTheme="minorHAnsi" w:hAnsiTheme="minorHAnsi" w:cstheme="minorHAnsi"/>
          <w:sz w:val="22"/>
          <w:szCs w:val="22"/>
          <w:lang w:val="fr-FR"/>
        </w:rPr>
        <w:t xml:space="preserve"> coordination </w:t>
      </w:r>
      <w:r w:rsidR="00A75200" w:rsidRPr="001961B1">
        <w:rPr>
          <w:rFonts w:asciiTheme="minorHAnsi" w:hAnsiTheme="minorHAnsi" w:cstheme="minorHAnsi"/>
          <w:sz w:val="22"/>
          <w:szCs w:val="22"/>
          <w:lang w:val="fr-FR"/>
        </w:rPr>
        <w:t>insuffisants</w:t>
      </w:r>
      <w:r w:rsidR="0094572F" w:rsidRPr="001961B1">
        <w:rPr>
          <w:rFonts w:asciiTheme="minorHAnsi" w:hAnsiTheme="minorHAnsi" w:cstheme="minorHAnsi"/>
          <w:sz w:val="22"/>
          <w:szCs w:val="22"/>
          <w:lang w:val="fr-FR"/>
        </w:rPr>
        <w:t>. Soixante-seize pour cent (76 %)</w:t>
      </w:r>
      <w:r w:rsidR="005411D3" w:rsidRPr="001961B1">
        <w:rPr>
          <w:rFonts w:asciiTheme="minorHAnsi" w:hAnsiTheme="minorHAnsi" w:cstheme="minorHAnsi"/>
          <w:sz w:val="22"/>
          <w:szCs w:val="22"/>
          <w:lang w:val="fr-FR"/>
        </w:rPr>
        <w:t xml:space="preserve"> </w:t>
      </w:r>
      <w:r w:rsidR="0094572F" w:rsidRPr="001961B1">
        <w:rPr>
          <w:rFonts w:asciiTheme="minorHAnsi" w:hAnsiTheme="minorHAnsi" w:cstheme="minorHAnsi"/>
          <w:sz w:val="22"/>
          <w:szCs w:val="22"/>
          <w:lang w:val="fr-FR"/>
        </w:rPr>
        <w:t xml:space="preserve">des Parties </w:t>
      </w:r>
      <w:r w:rsidR="00A75200" w:rsidRPr="001961B1">
        <w:rPr>
          <w:rFonts w:asciiTheme="minorHAnsi" w:hAnsiTheme="minorHAnsi" w:cstheme="minorHAnsi"/>
          <w:sz w:val="22"/>
          <w:szCs w:val="22"/>
          <w:lang w:val="fr-FR"/>
        </w:rPr>
        <w:t>mentionnent</w:t>
      </w:r>
      <w:r w:rsidR="005411D3" w:rsidRPr="001961B1">
        <w:rPr>
          <w:rFonts w:asciiTheme="minorHAnsi" w:hAnsiTheme="minorHAnsi" w:cstheme="minorHAnsi"/>
          <w:sz w:val="22"/>
          <w:szCs w:val="22"/>
          <w:lang w:val="fr-FR"/>
        </w:rPr>
        <w:t xml:space="preserve"> des actions de restauration planifiées </w:t>
      </w:r>
      <w:r w:rsidR="00A75200" w:rsidRPr="001961B1">
        <w:rPr>
          <w:rFonts w:asciiTheme="minorHAnsi" w:hAnsiTheme="minorHAnsi" w:cstheme="minorHAnsi"/>
          <w:sz w:val="22"/>
          <w:szCs w:val="22"/>
          <w:lang w:val="fr-FR"/>
        </w:rPr>
        <w:t>qu’elles décrivent dans leurs</w:t>
      </w:r>
      <w:r w:rsidR="005411D3" w:rsidRPr="001961B1">
        <w:rPr>
          <w:rFonts w:asciiTheme="minorHAnsi" w:hAnsiTheme="minorHAnsi" w:cstheme="minorHAnsi"/>
          <w:sz w:val="22"/>
          <w:szCs w:val="22"/>
          <w:lang w:val="fr-FR"/>
        </w:rPr>
        <w:t xml:space="preserve"> exposés détaillés. Toutefois, les Parties </w:t>
      </w:r>
      <w:r w:rsidR="00A75200" w:rsidRPr="001961B1">
        <w:rPr>
          <w:rFonts w:asciiTheme="minorHAnsi" w:hAnsiTheme="minorHAnsi" w:cstheme="minorHAnsi"/>
          <w:sz w:val="22"/>
          <w:szCs w:val="22"/>
          <w:lang w:val="fr-FR"/>
        </w:rPr>
        <w:t xml:space="preserve">qui ne </w:t>
      </w:r>
      <w:r w:rsidR="005411D3" w:rsidRPr="001961B1">
        <w:rPr>
          <w:rFonts w:asciiTheme="minorHAnsi" w:hAnsiTheme="minorHAnsi" w:cstheme="minorHAnsi"/>
          <w:sz w:val="22"/>
          <w:szCs w:val="22"/>
          <w:lang w:val="fr-FR"/>
        </w:rPr>
        <w:t>signal</w:t>
      </w:r>
      <w:r w:rsidR="00A75200" w:rsidRPr="001961B1">
        <w:rPr>
          <w:rFonts w:asciiTheme="minorHAnsi" w:hAnsiTheme="minorHAnsi" w:cstheme="minorHAnsi"/>
          <w:sz w:val="22"/>
          <w:szCs w:val="22"/>
          <w:lang w:val="fr-FR"/>
        </w:rPr>
        <w:t>e</w:t>
      </w:r>
      <w:r w:rsidR="005411D3" w:rsidRPr="001961B1">
        <w:rPr>
          <w:rFonts w:asciiTheme="minorHAnsi" w:hAnsiTheme="minorHAnsi" w:cstheme="minorHAnsi"/>
          <w:sz w:val="22"/>
          <w:szCs w:val="22"/>
          <w:lang w:val="fr-FR"/>
        </w:rPr>
        <w:t xml:space="preserve">nt pas de progrès en matière de restauration fournissent rarement des informations sur les </w:t>
      </w:r>
      <w:r w:rsidR="00A75200" w:rsidRPr="001961B1">
        <w:rPr>
          <w:rFonts w:asciiTheme="minorHAnsi" w:hAnsiTheme="minorHAnsi" w:cstheme="minorHAnsi"/>
          <w:sz w:val="22"/>
          <w:szCs w:val="22"/>
          <w:lang w:val="fr-FR"/>
        </w:rPr>
        <w:t>obstacles</w:t>
      </w:r>
      <w:r w:rsidR="005411D3" w:rsidRPr="001961B1">
        <w:rPr>
          <w:rFonts w:asciiTheme="minorHAnsi" w:hAnsiTheme="minorHAnsi" w:cstheme="minorHAnsi"/>
          <w:sz w:val="22"/>
          <w:szCs w:val="22"/>
          <w:lang w:val="fr-FR"/>
        </w:rPr>
        <w:t xml:space="preserve"> possibles.</w:t>
      </w:r>
    </w:p>
    <w:p w14:paraId="7B857401" w14:textId="77777777" w:rsidR="00B169F7" w:rsidRPr="001961B1" w:rsidRDefault="00B169F7" w:rsidP="00257025">
      <w:pPr>
        <w:ind w:left="567" w:hanging="567"/>
        <w:rPr>
          <w:rFonts w:asciiTheme="minorHAnsi" w:hAnsiTheme="minorHAnsi" w:cstheme="minorHAnsi"/>
          <w:sz w:val="22"/>
          <w:szCs w:val="22"/>
          <w:lang w:val="fr-FR"/>
        </w:rPr>
      </w:pPr>
    </w:p>
    <w:p w14:paraId="02F035C0" w14:textId="18D12D96" w:rsidR="00217302"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7</w:t>
      </w:r>
      <w:r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0145B1" w:rsidRPr="001961B1">
        <w:rPr>
          <w:rFonts w:asciiTheme="minorHAnsi" w:hAnsiTheme="minorHAnsi" w:cstheme="minorHAnsi"/>
          <w:sz w:val="22"/>
          <w:szCs w:val="22"/>
          <w:lang w:val="fr-FR"/>
        </w:rPr>
        <w:t>P</w:t>
      </w:r>
      <w:r w:rsidR="00E55949" w:rsidRPr="001961B1">
        <w:rPr>
          <w:rFonts w:asciiTheme="minorHAnsi" w:hAnsiTheme="minorHAnsi" w:cstheme="minorHAnsi"/>
          <w:sz w:val="22"/>
          <w:szCs w:val="22"/>
          <w:lang w:val="fr-FR"/>
        </w:rPr>
        <w:t xml:space="preserve">our remplir efficacement le rôle important de la Convention </w:t>
      </w:r>
      <w:r w:rsidR="000145B1" w:rsidRPr="001961B1">
        <w:rPr>
          <w:rFonts w:asciiTheme="minorHAnsi" w:hAnsiTheme="minorHAnsi" w:cstheme="minorHAnsi"/>
          <w:sz w:val="22"/>
          <w:szCs w:val="22"/>
          <w:lang w:val="fr-FR"/>
        </w:rPr>
        <w:t>relatif à</w:t>
      </w:r>
      <w:r w:rsidR="00E55949" w:rsidRPr="001961B1">
        <w:rPr>
          <w:rFonts w:asciiTheme="minorHAnsi" w:hAnsiTheme="minorHAnsi" w:cstheme="minorHAnsi"/>
          <w:sz w:val="22"/>
          <w:szCs w:val="22"/>
          <w:lang w:val="fr-FR"/>
        </w:rPr>
        <w:t xml:space="preserve"> l’exécution de l’objectif 2 du CMB­KM sur la restauration, en se concentrant sur les eaux intérieures dégradées et les écosystèmes côtiers et marins</w:t>
      </w:r>
      <w:r w:rsidR="000145B1" w:rsidRPr="001961B1">
        <w:rPr>
          <w:rFonts w:asciiTheme="minorHAnsi" w:hAnsiTheme="minorHAnsi" w:cstheme="minorHAnsi"/>
          <w:sz w:val="22"/>
          <w:szCs w:val="22"/>
          <w:lang w:val="fr-FR"/>
        </w:rPr>
        <w:t xml:space="preserve">, il importe </w:t>
      </w:r>
      <w:r w:rsidR="00B96F6E" w:rsidRPr="001961B1">
        <w:rPr>
          <w:rFonts w:asciiTheme="minorHAnsi" w:hAnsiTheme="minorHAnsi" w:cstheme="minorHAnsi"/>
          <w:sz w:val="22"/>
          <w:szCs w:val="22"/>
          <w:lang w:val="fr-FR"/>
        </w:rPr>
        <w:t>de</w:t>
      </w:r>
      <w:r w:rsidR="000145B1" w:rsidRPr="001961B1">
        <w:rPr>
          <w:rFonts w:asciiTheme="minorHAnsi" w:hAnsiTheme="minorHAnsi" w:cstheme="minorHAnsi"/>
          <w:sz w:val="22"/>
          <w:szCs w:val="22"/>
          <w:lang w:val="fr-FR"/>
        </w:rPr>
        <w:t xml:space="preserve"> fixer des objectifs, planifier et mettre en œuvre la restauration des zones humides</w:t>
      </w:r>
      <w:r w:rsidR="00B96F6E" w:rsidRPr="001961B1">
        <w:rPr>
          <w:rFonts w:asciiTheme="minorHAnsi" w:hAnsiTheme="minorHAnsi" w:cstheme="minorHAnsi"/>
          <w:sz w:val="22"/>
          <w:szCs w:val="22"/>
          <w:lang w:val="fr-FR"/>
        </w:rPr>
        <w:t xml:space="preserve"> de toute urgence</w:t>
      </w:r>
      <w:r w:rsidR="00E55949" w:rsidRPr="001961B1">
        <w:rPr>
          <w:rFonts w:asciiTheme="minorHAnsi" w:hAnsiTheme="minorHAnsi" w:cstheme="minorHAnsi"/>
          <w:sz w:val="22"/>
          <w:szCs w:val="22"/>
          <w:lang w:val="fr-FR"/>
        </w:rPr>
        <w:t xml:space="preserve">. Parmi les </w:t>
      </w:r>
      <w:r w:rsidR="00BC1FD6" w:rsidRPr="001961B1">
        <w:rPr>
          <w:rFonts w:asciiTheme="minorHAnsi" w:hAnsiTheme="minorHAnsi" w:cstheme="minorHAnsi"/>
          <w:sz w:val="22"/>
          <w:szCs w:val="22"/>
          <w:lang w:val="fr-FR"/>
        </w:rPr>
        <w:t xml:space="preserve">principales </w:t>
      </w:r>
      <w:r w:rsidR="00E55949" w:rsidRPr="001961B1">
        <w:rPr>
          <w:rFonts w:asciiTheme="minorHAnsi" w:hAnsiTheme="minorHAnsi" w:cstheme="minorHAnsi"/>
          <w:sz w:val="22"/>
          <w:szCs w:val="22"/>
          <w:lang w:val="fr-FR"/>
        </w:rPr>
        <w:t xml:space="preserve">mesures d’amélioration de la restauration future des zones humides </w:t>
      </w:r>
      <w:r w:rsidR="00BC1FD6" w:rsidRPr="001961B1">
        <w:rPr>
          <w:rFonts w:asciiTheme="minorHAnsi" w:hAnsiTheme="minorHAnsi" w:cstheme="minorHAnsi"/>
          <w:sz w:val="22"/>
          <w:szCs w:val="22"/>
          <w:lang w:val="fr-FR"/>
        </w:rPr>
        <w:t>mentionnées dans les</w:t>
      </w:r>
      <w:r w:rsidR="00E55949" w:rsidRPr="001961B1">
        <w:rPr>
          <w:rFonts w:asciiTheme="minorHAnsi" w:hAnsiTheme="minorHAnsi" w:cstheme="minorHAnsi"/>
          <w:sz w:val="22"/>
          <w:szCs w:val="22"/>
          <w:lang w:val="fr-FR"/>
        </w:rPr>
        <w:t xml:space="preserve"> réponses narratives des Parties contractantes</w:t>
      </w:r>
      <w:r w:rsidR="00BC1FD6" w:rsidRPr="001961B1">
        <w:rPr>
          <w:rFonts w:asciiTheme="minorHAnsi" w:hAnsiTheme="minorHAnsi" w:cstheme="minorHAnsi"/>
          <w:sz w:val="22"/>
          <w:szCs w:val="22"/>
          <w:lang w:val="fr-FR"/>
        </w:rPr>
        <w:t>,</w:t>
      </w:r>
      <w:r w:rsidR="00E55949" w:rsidRPr="001961B1">
        <w:rPr>
          <w:rFonts w:asciiTheme="minorHAnsi" w:hAnsiTheme="minorHAnsi" w:cstheme="minorHAnsi"/>
          <w:sz w:val="22"/>
          <w:szCs w:val="22"/>
          <w:lang w:val="fr-FR"/>
        </w:rPr>
        <w:t xml:space="preserve"> dans les Rapports nationaux, on peut citer : </w:t>
      </w:r>
      <w:r w:rsidR="009B3C5F" w:rsidRPr="001961B1">
        <w:rPr>
          <w:rFonts w:asciiTheme="minorHAnsi" w:hAnsiTheme="minorHAnsi" w:cstheme="minorHAnsi"/>
          <w:sz w:val="22"/>
          <w:szCs w:val="22"/>
          <w:lang w:val="fr-FR"/>
        </w:rPr>
        <w:t xml:space="preserve">un appui technique et financier accru pour les régions où il reste des lacunes </w:t>
      </w:r>
      <w:r w:rsidR="00BC1FD6" w:rsidRPr="001961B1">
        <w:rPr>
          <w:rFonts w:asciiTheme="minorHAnsi" w:hAnsiTheme="minorHAnsi" w:cstheme="minorHAnsi"/>
          <w:sz w:val="22"/>
          <w:szCs w:val="22"/>
          <w:lang w:val="fr-FR"/>
        </w:rPr>
        <w:t>dans les</w:t>
      </w:r>
      <w:r w:rsidR="009B3C5F" w:rsidRPr="001961B1">
        <w:rPr>
          <w:rFonts w:asciiTheme="minorHAnsi" w:hAnsiTheme="minorHAnsi" w:cstheme="minorHAnsi"/>
          <w:sz w:val="22"/>
          <w:szCs w:val="22"/>
          <w:lang w:val="fr-FR"/>
        </w:rPr>
        <w:t xml:space="preserve"> capacités ; </w:t>
      </w:r>
      <w:r w:rsidR="00BC1FD6" w:rsidRPr="001961B1">
        <w:rPr>
          <w:rFonts w:asciiTheme="minorHAnsi" w:hAnsiTheme="minorHAnsi" w:cstheme="minorHAnsi"/>
          <w:sz w:val="22"/>
          <w:szCs w:val="22"/>
          <w:lang w:val="fr-FR"/>
        </w:rPr>
        <w:t xml:space="preserve">la </w:t>
      </w:r>
      <w:r w:rsidR="009B3C5F" w:rsidRPr="001961B1">
        <w:rPr>
          <w:rFonts w:asciiTheme="minorHAnsi" w:hAnsiTheme="minorHAnsi" w:cstheme="minorHAnsi"/>
          <w:sz w:val="22"/>
          <w:szCs w:val="22"/>
          <w:lang w:val="fr-FR"/>
        </w:rPr>
        <w:t xml:space="preserve">promotion de l’apprentissage </w:t>
      </w:r>
      <w:r w:rsidR="00BC1FD6" w:rsidRPr="001961B1">
        <w:rPr>
          <w:rFonts w:asciiTheme="minorHAnsi" w:hAnsiTheme="minorHAnsi" w:cstheme="minorHAnsi"/>
          <w:sz w:val="22"/>
          <w:szCs w:val="22"/>
          <w:lang w:val="fr-FR"/>
        </w:rPr>
        <w:t>entre</w:t>
      </w:r>
      <w:r w:rsidR="009B3C5F" w:rsidRPr="001961B1">
        <w:rPr>
          <w:rFonts w:asciiTheme="minorHAnsi" w:hAnsiTheme="minorHAnsi" w:cstheme="minorHAnsi"/>
          <w:sz w:val="22"/>
          <w:szCs w:val="22"/>
          <w:lang w:val="fr-FR"/>
        </w:rPr>
        <w:t xml:space="preserve"> pairs </w:t>
      </w:r>
      <w:r w:rsidR="00BC1FD6" w:rsidRPr="001961B1">
        <w:rPr>
          <w:rFonts w:asciiTheme="minorHAnsi" w:hAnsiTheme="minorHAnsi" w:cstheme="minorHAnsi"/>
          <w:sz w:val="22"/>
          <w:szCs w:val="22"/>
          <w:lang w:val="fr-FR"/>
        </w:rPr>
        <w:t>à l’issue</w:t>
      </w:r>
      <w:r w:rsidR="009B3C5F" w:rsidRPr="001961B1">
        <w:rPr>
          <w:rFonts w:asciiTheme="minorHAnsi" w:hAnsiTheme="minorHAnsi" w:cstheme="minorHAnsi"/>
          <w:sz w:val="22"/>
          <w:szCs w:val="22"/>
          <w:lang w:val="fr-FR"/>
        </w:rPr>
        <w:t xml:space="preserve"> d’initiatives </w:t>
      </w:r>
      <w:r w:rsidR="00BC1FD6" w:rsidRPr="001961B1">
        <w:rPr>
          <w:rFonts w:asciiTheme="minorHAnsi" w:hAnsiTheme="minorHAnsi" w:cstheme="minorHAnsi"/>
          <w:sz w:val="22"/>
          <w:szCs w:val="22"/>
          <w:lang w:val="fr-FR"/>
        </w:rPr>
        <w:t>réussies</w:t>
      </w:r>
      <w:r w:rsidR="009B3C5F" w:rsidRPr="001961B1">
        <w:rPr>
          <w:rFonts w:asciiTheme="minorHAnsi" w:hAnsiTheme="minorHAnsi" w:cstheme="minorHAnsi"/>
          <w:sz w:val="22"/>
          <w:szCs w:val="22"/>
          <w:lang w:val="fr-FR"/>
        </w:rPr>
        <w:t xml:space="preserve"> ; </w:t>
      </w:r>
      <w:r w:rsidR="00BC1FD6" w:rsidRPr="001961B1">
        <w:rPr>
          <w:rFonts w:asciiTheme="minorHAnsi" w:hAnsiTheme="minorHAnsi" w:cstheme="minorHAnsi"/>
          <w:sz w:val="22"/>
          <w:szCs w:val="22"/>
          <w:lang w:val="fr-FR"/>
        </w:rPr>
        <w:t xml:space="preserve">la </w:t>
      </w:r>
      <w:r w:rsidR="009B3C5F" w:rsidRPr="001961B1">
        <w:rPr>
          <w:rFonts w:asciiTheme="minorHAnsi" w:hAnsiTheme="minorHAnsi" w:cstheme="minorHAnsi"/>
          <w:sz w:val="22"/>
          <w:szCs w:val="22"/>
          <w:lang w:val="fr-FR"/>
        </w:rPr>
        <w:t>normalisation accrue des rapports</w:t>
      </w:r>
      <w:r w:rsidR="00BC1FD6" w:rsidRPr="001961B1">
        <w:rPr>
          <w:rFonts w:asciiTheme="minorHAnsi" w:hAnsiTheme="minorHAnsi" w:cstheme="minorHAnsi"/>
          <w:sz w:val="22"/>
          <w:szCs w:val="22"/>
          <w:lang w:val="fr-FR"/>
        </w:rPr>
        <w:t xml:space="preserve"> </w:t>
      </w:r>
      <w:r w:rsidR="0093545B" w:rsidRPr="001961B1">
        <w:rPr>
          <w:rFonts w:asciiTheme="minorHAnsi" w:hAnsiTheme="minorHAnsi" w:cstheme="minorHAnsi"/>
          <w:sz w:val="22"/>
          <w:szCs w:val="22"/>
          <w:lang w:val="fr-FR"/>
        </w:rPr>
        <w:t>avec</w:t>
      </w:r>
      <w:r w:rsidR="00BC1FD6" w:rsidRPr="001961B1">
        <w:rPr>
          <w:rFonts w:asciiTheme="minorHAnsi" w:hAnsiTheme="minorHAnsi" w:cstheme="minorHAnsi"/>
          <w:sz w:val="22"/>
          <w:szCs w:val="22"/>
          <w:lang w:val="fr-FR"/>
        </w:rPr>
        <w:t xml:space="preserve"> de plus en plus</w:t>
      </w:r>
      <w:r w:rsidR="009B3C5F" w:rsidRPr="001961B1">
        <w:rPr>
          <w:rFonts w:asciiTheme="minorHAnsi" w:hAnsiTheme="minorHAnsi" w:cstheme="minorHAnsi"/>
          <w:sz w:val="22"/>
          <w:szCs w:val="22"/>
          <w:lang w:val="fr-FR"/>
        </w:rPr>
        <w:t xml:space="preserve"> de descriptions narratives obligatoires pour améliorer la compréhension des obstacles </w:t>
      </w:r>
      <w:r w:rsidR="0093545B" w:rsidRPr="001961B1">
        <w:rPr>
          <w:rFonts w:asciiTheme="minorHAnsi" w:hAnsiTheme="minorHAnsi" w:cstheme="minorHAnsi"/>
          <w:sz w:val="22"/>
          <w:szCs w:val="22"/>
          <w:lang w:val="fr-FR"/>
        </w:rPr>
        <w:t>à la</w:t>
      </w:r>
      <w:r w:rsidR="009B3C5F" w:rsidRPr="001961B1">
        <w:rPr>
          <w:rFonts w:asciiTheme="minorHAnsi" w:hAnsiTheme="minorHAnsi" w:cstheme="minorHAnsi"/>
          <w:sz w:val="22"/>
          <w:szCs w:val="22"/>
          <w:lang w:val="fr-FR"/>
        </w:rPr>
        <w:t xml:space="preserve"> mise en œuvre ; </w:t>
      </w:r>
      <w:r w:rsidR="0093545B" w:rsidRPr="001961B1">
        <w:rPr>
          <w:rFonts w:asciiTheme="minorHAnsi" w:hAnsiTheme="minorHAnsi" w:cstheme="minorHAnsi"/>
          <w:sz w:val="22"/>
          <w:szCs w:val="22"/>
          <w:lang w:val="fr-FR"/>
        </w:rPr>
        <w:t xml:space="preserve">un </w:t>
      </w:r>
      <w:r w:rsidR="009B3C5F" w:rsidRPr="001961B1">
        <w:rPr>
          <w:rFonts w:asciiTheme="minorHAnsi" w:hAnsiTheme="minorHAnsi" w:cstheme="minorHAnsi"/>
          <w:sz w:val="22"/>
          <w:szCs w:val="22"/>
          <w:lang w:val="fr-FR"/>
        </w:rPr>
        <w:t xml:space="preserve">investissement dans le développement de systèmes de suivi, sachant que de nombreuses Parties citent </w:t>
      </w:r>
      <w:r w:rsidR="0093545B" w:rsidRPr="001961B1">
        <w:rPr>
          <w:rFonts w:asciiTheme="minorHAnsi" w:hAnsiTheme="minorHAnsi" w:cstheme="minorHAnsi"/>
          <w:sz w:val="22"/>
          <w:szCs w:val="22"/>
          <w:lang w:val="fr-FR"/>
        </w:rPr>
        <w:t>d</w:t>
      </w:r>
      <w:r w:rsidR="009B3C5F" w:rsidRPr="001961B1">
        <w:rPr>
          <w:rFonts w:asciiTheme="minorHAnsi" w:hAnsiTheme="minorHAnsi" w:cstheme="minorHAnsi"/>
          <w:sz w:val="22"/>
          <w:szCs w:val="22"/>
          <w:lang w:val="fr-FR"/>
        </w:rPr>
        <w:t xml:space="preserve">es difficultés </w:t>
      </w:r>
      <w:r w:rsidR="0093545B" w:rsidRPr="001961B1">
        <w:rPr>
          <w:rFonts w:asciiTheme="minorHAnsi" w:hAnsiTheme="minorHAnsi" w:cstheme="minorHAnsi"/>
          <w:sz w:val="22"/>
          <w:szCs w:val="22"/>
          <w:lang w:val="fr-FR"/>
        </w:rPr>
        <w:t>concernant le</w:t>
      </w:r>
      <w:r w:rsidR="009B3C5F" w:rsidRPr="001961B1">
        <w:rPr>
          <w:rFonts w:asciiTheme="minorHAnsi" w:hAnsiTheme="minorHAnsi" w:cstheme="minorHAnsi"/>
          <w:sz w:val="22"/>
          <w:szCs w:val="22"/>
          <w:lang w:val="fr-FR"/>
        </w:rPr>
        <w:t xml:space="preserve"> suivi et </w:t>
      </w:r>
      <w:r w:rsidR="0093545B" w:rsidRPr="001961B1">
        <w:rPr>
          <w:rFonts w:asciiTheme="minorHAnsi" w:hAnsiTheme="minorHAnsi" w:cstheme="minorHAnsi"/>
          <w:sz w:val="22"/>
          <w:szCs w:val="22"/>
          <w:lang w:val="fr-FR"/>
        </w:rPr>
        <w:t>l</w:t>
      </w:r>
      <w:r w:rsidR="009B3C5F" w:rsidRPr="001961B1">
        <w:rPr>
          <w:rFonts w:asciiTheme="minorHAnsi" w:hAnsiTheme="minorHAnsi" w:cstheme="minorHAnsi"/>
          <w:sz w:val="22"/>
          <w:szCs w:val="22"/>
          <w:lang w:val="fr-FR"/>
        </w:rPr>
        <w:t xml:space="preserve">’évaluation ; et </w:t>
      </w:r>
      <w:r w:rsidR="0093545B" w:rsidRPr="001961B1">
        <w:rPr>
          <w:rFonts w:asciiTheme="minorHAnsi" w:hAnsiTheme="minorHAnsi" w:cstheme="minorHAnsi"/>
          <w:sz w:val="22"/>
          <w:szCs w:val="22"/>
          <w:lang w:val="fr-FR"/>
        </w:rPr>
        <w:t xml:space="preserve">le </w:t>
      </w:r>
      <w:r w:rsidR="009B3C5F" w:rsidRPr="001961B1">
        <w:rPr>
          <w:rFonts w:asciiTheme="minorHAnsi" w:hAnsiTheme="minorHAnsi" w:cstheme="minorHAnsi"/>
          <w:sz w:val="22"/>
          <w:szCs w:val="22"/>
          <w:lang w:val="fr-FR"/>
        </w:rPr>
        <w:t xml:space="preserve">renforcement du financement à long terme par des mécanismes dédiés. Le rapport du Programme des Nations Unies pour l’environnement (PNUE) </w:t>
      </w:r>
      <w:r w:rsidR="00957EFA" w:rsidRPr="001961B1">
        <w:rPr>
          <w:rFonts w:asciiTheme="minorHAnsi" w:hAnsiTheme="minorHAnsi" w:cstheme="minorHAnsi"/>
          <w:sz w:val="22"/>
          <w:szCs w:val="22"/>
          <w:lang w:val="fr-FR"/>
        </w:rPr>
        <w:t xml:space="preserve">et de l’Organisation des Nations Unies pour l’alimentation et l’agriculture (FAO) </w:t>
      </w:r>
      <w:r w:rsidR="00EC412B" w:rsidRPr="001961B1">
        <w:rPr>
          <w:rFonts w:asciiTheme="minorHAnsi" w:hAnsiTheme="minorHAnsi" w:cstheme="minorHAnsi"/>
          <w:sz w:val="22"/>
          <w:szCs w:val="22"/>
          <w:lang w:val="fr-FR"/>
        </w:rPr>
        <w:t>intitulé</w:t>
      </w:r>
      <w:r w:rsidR="009049EA" w:rsidRPr="001961B1">
        <w:rPr>
          <w:rFonts w:asciiTheme="minorHAnsi" w:hAnsiTheme="minorHAnsi" w:cstheme="minorHAnsi"/>
          <w:sz w:val="22"/>
          <w:szCs w:val="22"/>
          <w:lang w:val="fr-FR"/>
        </w:rPr>
        <w:t xml:space="preserve"> </w:t>
      </w:r>
      <w:r w:rsidR="009049EA" w:rsidRPr="001961B1">
        <w:rPr>
          <w:rFonts w:asciiTheme="minorHAnsi" w:hAnsiTheme="minorHAnsi" w:cstheme="minorHAnsi"/>
          <w:i/>
          <w:iCs/>
          <w:sz w:val="22"/>
          <w:szCs w:val="22"/>
          <w:lang w:val="fr-FR"/>
        </w:rPr>
        <w:t>Progress of the United Nations Decade on Ecosystem Restoration 2021–2030</w:t>
      </w:r>
      <w:r w:rsidR="009049EA" w:rsidRPr="001961B1">
        <w:rPr>
          <w:rFonts w:asciiTheme="minorHAnsi" w:hAnsiTheme="minorHAnsi" w:cstheme="minorHAnsi"/>
          <w:sz w:val="22"/>
          <w:szCs w:val="22"/>
          <w:vertAlign w:val="superscript"/>
          <w:lang w:val="fr-FR"/>
        </w:rPr>
        <w:footnoteReference w:id="10"/>
      </w:r>
      <w:r w:rsidR="00C44E3C" w:rsidRPr="001961B1">
        <w:rPr>
          <w:rFonts w:asciiTheme="minorHAnsi" w:hAnsiTheme="minorHAnsi" w:cstheme="minorHAnsi"/>
          <w:sz w:val="22"/>
          <w:szCs w:val="22"/>
          <w:lang w:val="fr-FR"/>
        </w:rPr>
        <w:t xml:space="preserve"> </w:t>
      </w:r>
      <w:r w:rsidR="00EC412B" w:rsidRPr="001961B1">
        <w:rPr>
          <w:rFonts w:asciiTheme="minorHAnsi" w:hAnsiTheme="minorHAnsi" w:cstheme="minorHAnsi"/>
          <w:sz w:val="22"/>
          <w:szCs w:val="22"/>
          <w:lang w:val="fr-FR"/>
        </w:rPr>
        <w:t xml:space="preserve">(Progrès de la décennie des Nations Unies sur la restauration des écosystèmes 2021-2030) </w:t>
      </w:r>
      <w:r w:rsidR="00D64DC1" w:rsidRPr="001961B1">
        <w:rPr>
          <w:rFonts w:asciiTheme="minorHAnsi" w:hAnsiTheme="minorHAnsi" w:cstheme="minorHAnsi"/>
          <w:sz w:val="22"/>
          <w:szCs w:val="22"/>
          <w:lang w:val="fr-FR"/>
        </w:rPr>
        <w:t>identifie</w:t>
      </w:r>
      <w:r w:rsidR="00957EFA" w:rsidRPr="001961B1">
        <w:rPr>
          <w:rFonts w:asciiTheme="minorHAnsi" w:hAnsiTheme="minorHAnsi" w:cstheme="minorHAnsi"/>
          <w:sz w:val="22"/>
          <w:szCs w:val="22"/>
          <w:lang w:val="fr-FR"/>
        </w:rPr>
        <w:t xml:space="preserve"> des difficultés semblables et souligne la nécessité de renforcer les cadres de gouvernance, d’augmenter les investissements financiers et </w:t>
      </w:r>
      <w:r w:rsidR="005C11A5" w:rsidRPr="001961B1">
        <w:rPr>
          <w:rFonts w:asciiTheme="minorHAnsi" w:hAnsiTheme="minorHAnsi" w:cstheme="minorHAnsi"/>
          <w:sz w:val="22"/>
          <w:szCs w:val="22"/>
          <w:lang w:val="fr-FR"/>
        </w:rPr>
        <w:t>d’améliorer</w:t>
      </w:r>
      <w:r w:rsidR="00957EFA" w:rsidRPr="001961B1">
        <w:rPr>
          <w:rFonts w:asciiTheme="minorHAnsi" w:hAnsiTheme="minorHAnsi" w:cstheme="minorHAnsi"/>
          <w:sz w:val="22"/>
          <w:szCs w:val="22"/>
          <w:lang w:val="fr-FR"/>
        </w:rPr>
        <w:t xml:space="preserve"> l’engagement des parties prenantes</w:t>
      </w:r>
      <w:r w:rsidR="0093545B" w:rsidRPr="001961B1">
        <w:rPr>
          <w:rFonts w:asciiTheme="minorHAnsi" w:hAnsiTheme="minorHAnsi" w:cstheme="minorHAnsi"/>
          <w:sz w:val="22"/>
          <w:szCs w:val="22"/>
          <w:lang w:val="fr-FR"/>
        </w:rPr>
        <w:t>,</w:t>
      </w:r>
      <w:r w:rsidR="00957EFA" w:rsidRPr="001961B1">
        <w:rPr>
          <w:rFonts w:asciiTheme="minorHAnsi" w:hAnsiTheme="minorHAnsi" w:cstheme="minorHAnsi"/>
          <w:sz w:val="22"/>
          <w:szCs w:val="22"/>
          <w:lang w:val="fr-FR"/>
        </w:rPr>
        <w:t xml:space="preserve"> pour atteindre efficacement les objectifs de restauration.</w:t>
      </w:r>
      <w:r w:rsidR="00AB2083" w:rsidRPr="001961B1">
        <w:rPr>
          <w:rFonts w:asciiTheme="minorHAnsi" w:hAnsiTheme="minorHAnsi" w:cstheme="minorHAnsi"/>
          <w:sz w:val="22"/>
          <w:szCs w:val="22"/>
          <w:lang w:val="fr-FR"/>
        </w:rPr>
        <w:t xml:space="preserve"> </w:t>
      </w:r>
    </w:p>
    <w:p w14:paraId="63821FB5" w14:textId="77777777" w:rsidR="00CD3F6B" w:rsidRPr="001961B1" w:rsidRDefault="00CD3F6B" w:rsidP="00257025">
      <w:pPr>
        <w:ind w:left="567" w:hanging="567"/>
        <w:rPr>
          <w:rFonts w:asciiTheme="minorHAnsi" w:hAnsiTheme="minorHAnsi" w:cstheme="minorHAnsi"/>
          <w:sz w:val="22"/>
          <w:szCs w:val="22"/>
          <w:lang w:val="fr-FR"/>
        </w:rPr>
      </w:pPr>
    </w:p>
    <w:p w14:paraId="4CE83080" w14:textId="47D1B157" w:rsidR="008A5E8C"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w:t>
      </w:r>
      <w:r w:rsidR="002E1E29" w:rsidRPr="001961B1">
        <w:rPr>
          <w:rFonts w:asciiTheme="minorHAnsi" w:hAnsiTheme="minorHAnsi" w:cstheme="minorHAnsi"/>
          <w:sz w:val="22"/>
          <w:szCs w:val="22"/>
          <w:lang w:val="fr-FR"/>
        </w:rPr>
        <w:t>8</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957EFA" w:rsidRPr="001961B1">
        <w:rPr>
          <w:rFonts w:asciiTheme="minorHAnsi" w:hAnsiTheme="minorHAnsi" w:cstheme="minorHAnsi"/>
          <w:sz w:val="22"/>
          <w:szCs w:val="22"/>
          <w:lang w:val="fr-FR"/>
        </w:rPr>
        <w:t xml:space="preserve">D’autres informations sont contenues dans le rapport du Secrétariat à la COP15 sur l’évaluation des progrès en matière de restauration des zones humides qui figure dans le document </w:t>
      </w:r>
      <w:r w:rsidR="009D4BA8" w:rsidRPr="001961B1">
        <w:rPr>
          <w:rFonts w:asciiTheme="minorHAnsi" w:hAnsiTheme="minorHAnsi" w:cstheme="minorHAnsi"/>
          <w:sz w:val="22"/>
          <w:szCs w:val="22"/>
          <w:lang w:val="fr-FR"/>
        </w:rPr>
        <w:t xml:space="preserve">COP15 Doc.14 </w:t>
      </w:r>
      <w:r w:rsidR="00957EFA" w:rsidRPr="001961B1">
        <w:rPr>
          <w:rFonts w:asciiTheme="minorHAnsi" w:hAnsiTheme="minorHAnsi" w:cstheme="minorHAnsi"/>
          <w:sz w:val="22"/>
          <w:szCs w:val="22"/>
          <w:lang w:val="fr-FR"/>
        </w:rPr>
        <w:t>et le document d’information</w:t>
      </w:r>
      <w:r w:rsidR="002339A4" w:rsidRPr="001961B1">
        <w:rPr>
          <w:rFonts w:asciiTheme="minorHAnsi" w:hAnsiTheme="minorHAnsi" w:cstheme="minorHAnsi"/>
          <w:sz w:val="22"/>
          <w:szCs w:val="22"/>
          <w:lang w:val="fr-FR"/>
        </w:rPr>
        <w:t xml:space="preserve"> </w:t>
      </w:r>
      <w:r w:rsidR="009D4BA8" w:rsidRPr="001961B1">
        <w:rPr>
          <w:rFonts w:asciiTheme="minorHAnsi" w:hAnsiTheme="minorHAnsi" w:cstheme="minorHAnsi"/>
          <w:sz w:val="22"/>
          <w:szCs w:val="22"/>
          <w:lang w:val="fr-FR"/>
        </w:rPr>
        <w:t>COP15</w:t>
      </w:r>
      <w:r w:rsidR="00957EFA" w:rsidRPr="001961B1">
        <w:rPr>
          <w:rFonts w:asciiTheme="minorHAnsi" w:hAnsiTheme="minorHAnsi" w:cstheme="minorHAnsi"/>
          <w:sz w:val="22"/>
          <w:szCs w:val="22"/>
          <w:lang w:val="fr-FR"/>
        </w:rPr>
        <w:t> </w:t>
      </w:r>
      <w:r w:rsidR="009D4BA8" w:rsidRPr="001961B1">
        <w:rPr>
          <w:rFonts w:asciiTheme="minorHAnsi" w:hAnsiTheme="minorHAnsi" w:cstheme="minorHAnsi"/>
          <w:sz w:val="22"/>
          <w:szCs w:val="22"/>
          <w:lang w:val="fr-FR"/>
        </w:rPr>
        <w:t>Inf.</w:t>
      </w:r>
      <w:r w:rsidR="002339A4" w:rsidRPr="001961B1">
        <w:rPr>
          <w:rFonts w:asciiTheme="minorHAnsi" w:hAnsiTheme="minorHAnsi" w:cstheme="minorHAnsi"/>
          <w:sz w:val="22"/>
          <w:szCs w:val="22"/>
          <w:lang w:val="fr-FR"/>
        </w:rPr>
        <w:t>3</w:t>
      </w:r>
      <w:r w:rsidR="009D4BA8" w:rsidRPr="001961B1">
        <w:rPr>
          <w:rFonts w:asciiTheme="minorHAnsi" w:hAnsiTheme="minorHAnsi" w:cstheme="minorHAnsi"/>
          <w:sz w:val="22"/>
          <w:szCs w:val="22"/>
          <w:lang w:val="fr-FR"/>
        </w:rPr>
        <w:t>.</w:t>
      </w:r>
    </w:p>
    <w:p w14:paraId="3B565242" w14:textId="77777777" w:rsidR="008A5E8C" w:rsidRPr="001961B1" w:rsidRDefault="008A5E8C" w:rsidP="00A338FF">
      <w:pPr>
        <w:rPr>
          <w:rFonts w:asciiTheme="minorHAnsi" w:hAnsiTheme="minorHAnsi" w:cstheme="minorHAnsi"/>
          <w:sz w:val="22"/>
          <w:szCs w:val="22"/>
          <w:lang w:val="fr-FR"/>
        </w:rPr>
      </w:pPr>
    </w:p>
    <w:p w14:paraId="37193E74" w14:textId="77777777" w:rsidR="00C76214" w:rsidRPr="001961B1" w:rsidRDefault="00C76214" w:rsidP="00CD3F6B">
      <w:pPr>
        <w:rPr>
          <w:rFonts w:asciiTheme="minorHAnsi" w:hAnsiTheme="minorHAnsi" w:cstheme="minorHAnsi"/>
          <w:bCs/>
          <w:sz w:val="22"/>
          <w:szCs w:val="22"/>
          <w:lang w:val="fr-FR" w:eastAsia="fr-FR"/>
        </w:rPr>
      </w:pPr>
    </w:p>
    <w:tbl>
      <w:tblPr>
        <w:tblStyle w:val="TableGrid16"/>
        <w:tblW w:w="9351" w:type="dxa"/>
        <w:tblLook w:val="04A0" w:firstRow="1" w:lastRow="0" w:firstColumn="1" w:lastColumn="0" w:noHBand="0" w:noVBand="1"/>
      </w:tblPr>
      <w:tblGrid>
        <w:gridCol w:w="9351"/>
      </w:tblGrid>
      <w:tr w:rsidR="00C76214" w:rsidRPr="001961B1" w14:paraId="0DA022CA" w14:textId="77777777" w:rsidTr="00FB474E">
        <w:tc>
          <w:tcPr>
            <w:tcW w:w="9351" w:type="dxa"/>
            <w:shd w:val="clear" w:color="auto" w:fill="auto"/>
            <w:vAlign w:val="center"/>
          </w:tcPr>
          <w:p w14:paraId="5401EC25" w14:textId="23F94229" w:rsidR="00C76214" w:rsidRPr="001961B1" w:rsidRDefault="00D31C55"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C76214" w:rsidRPr="001961B1">
              <w:rPr>
                <w:rFonts w:asciiTheme="minorHAnsi" w:hAnsiTheme="minorHAnsi" w:cstheme="minorHAnsi"/>
                <w:b/>
                <w:sz w:val="22"/>
                <w:szCs w:val="22"/>
                <w:lang w:val="fr-FR" w:eastAsia="fr-FR"/>
              </w:rPr>
              <w:t xml:space="preserve"> 13. </w:t>
            </w:r>
            <w:r w:rsidRPr="001961B1">
              <w:rPr>
                <w:rFonts w:asciiTheme="minorHAnsi" w:hAnsiTheme="minorHAnsi" w:cstheme="minorHAnsi"/>
                <w:b/>
                <w:sz w:val="22"/>
                <w:szCs w:val="22"/>
                <w:lang w:val="fr-FR" w:eastAsia="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C76214" w:rsidRPr="001961B1">
              <w:rPr>
                <w:rFonts w:asciiTheme="minorHAnsi" w:hAnsiTheme="minorHAnsi" w:cstheme="minorHAnsi"/>
                <w:b/>
                <w:sz w:val="22"/>
                <w:szCs w:val="22"/>
                <w:lang w:val="fr-FR" w:eastAsia="fr-FR"/>
              </w:rPr>
              <w:t>.</w:t>
            </w:r>
          </w:p>
          <w:p w14:paraId="353A035F" w14:textId="71412911" w:rsidR="00C76214"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aux cibles </w:t>
            </w:r>
            <w:r w:rsidR="00C76214" w:rsidRPr="001961B1">
              <w:rPr>
                <w:rFonts w:asciiTheme="minorHAnsi" w:hAnsiTheme="minorHAnsi" w:cstheme="minorHAnsi"/>
                <w:bCs/>
                <w:sz w:val="22"/>
                <w:szCs w:val="22"/>
                <w:lang w:val="fr-FR" w:eastAsia="fr-FR"/>
              </w:rPr>
              <w:t>10</w:t>
            </w:r>
            <w:r w:rsidR="005919ED" w:rsidRPr="001961B1">
              <w:rPr>
                <w:rFonts w:asciiTheme="minorHAnsi" w:hAnsiTheme="minorHAnsi" w:cstheme="minorHAnsi"/>
                <w:bCs/>
                <w:sz w:val="22"/>
                <w:szCs w:val="22"/>
                <w:lang w:val="fr-FR" w:eastAsia="fr-FR"/>
              </w:rPr>
              <w:t xml:space="preserve">, 14 </w:t>
            </w:r>
            <w:r w:rsidR="00674253" w:rsidRPr="001961B1">
              <w:rPr>
                <w:rFonts w:asciiTheme="minorHAnsi" w:hAnsiTheme="minorHAnsi" w:cstheme="minorHAnsi"/>
                <w:bCs/>
                <w:sz w:val="22"/>
                <w:szCs w:val="22"/>
                <w:lang w:val="fr-FR" w:eastAsia="fr-FR"/>
              </w:rPr>
              <w:t>et</w:t>
            </w:r>
            <w:r w:rsidR="005919ED" w:rsidRPr="001961B1">
              <w:rPr>
                <w:rFonts w:asciiTheme="minorHAnsi" w:hAnsiTheme="minorHAnsi" w:cstheme="minorHAnsi"/>
                <w:bCs/>
                <w:sz w:val="22"/>
                <w:szCs w:val="22"/>
                <w:lang w:val="fr-FR" w:eastAsia="fr-FR"/>
              </w:rPr>
              <w:t xml:space="preserve"> 15</w:t>
            </w:r>
            <w:r w:rsidR="00674253" w:rsidRPr="001961B1">
              <w:rPr>
                <w:rFonts w:asciiTheme="minorHAnsi" w:hAnsiTheme="minorHAnsi" w:cstheme="minorHAnsi"/>
                <w:bCs/>
                <w:sz w:val="22"/>
                <w:szCs w:val="22"/>
                <w:lang w:val="fr-FR" w:eastAsia="fr-FR"/>
              </w:rPr>
              <w:t xml:space="preserve"> du CMB-KM et aux cibles</w:t>
            </w:r>
            <w:r w:rsidR="005919ED" w:rsidRPr="001961B1">
              <w:rPr>
                <w:rFonts w:asciiTheme="minorHAnsi" w:hAnsiTheme="minorHAnsi" w:cstheme="minorHAnsi"/>
                <w:bCs/>
                <w:sz w:val="22"/>
                <w:szCs w:val="22"/>
                <w:lang w:val="fr-FR" w:eastAsia="fr-FR"/>
              </w:rPr>
              <w:t xml:space="preserve"> </w:t>
            </w:r>
            <w:r w:rsidR="00C85010" w:rsidRPr="001961B1">
              <w:rPr>
                <w:rFonts w:asciiTheme="minorHAnsi" w:hAnsiTheme="minorHAnsi" w:cstheme="minorHAnsi"/>
                <w:bCs/>
                <w:sz w:val="22"/>
                <w:szCs w:val="22"/>
                <w:lang w:val="fr-FR" w:eastAsia="fr-FR"/>
              </w:rPr>
              <w:t>1.b</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2.4</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6.5</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8.3</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8.9</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11.3</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11.4</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11.a</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11.b</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12b</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13.2</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14.4</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14.5</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14.c</w:t>
            </w:r>
            <w:r w:rsidR="005919ED" w:rsidRPr="001961B1">
              <w:rPr>
                <w:rFonts w:asciiTheme="minorHAnsi" w:hAnsiTheme="minorHAnsi" w:cstheme="minorHAnsi"/>
                <w:bCs/>
                <w:sz w:val="22"/>
                <w:szCs w:val="22"/>
                <w:lang w:val="fr-FR" w:eastAsia="fr-FR"/>
              </w:rPr>
              <w:t xml:space="preserve"> </w:t>
            </w:r>
            <w:r w:rsidR="00674253" w:rsidRPr="001961B1">
              <w:rPr>
                <w:rFonts w:asciiTheme="minorHAnsi" w:hAnsiTheme="minorHAnsi" w:cstheme="minorHAnsi"/>
                <w:bCs/>
                <w:sz w:val="22"/>
                <w:szCs w:val="22"/>
                <w:lang w:val="fr-FR" w:eastAsia="fr-FR"/>
              </w:rPr>
              <w:t>et</w:t>
            </w:r>
            <w:r w:rsidR="00C85010" w:rsidRPr="001961B1">
              <w:rPr>
                <w:rFonts w:asciiTheme="minorHAnsi" w:hAnsiTheme="minorHAnsi" w:cstheme="minorHAnsi"/>
                <w:bCs/>
                <w:sz w:val="22"/>
                <w:szCs w:val="22"/>
                <w:lang w:val="fr-FR" w:eastAsia="fr-FR"/>
              </w:rPr>
              <w:t xml:space="preserve"> 15.9</w:t>
            </w:r>
            <w:r w:rsidR="00674253" w:rsidRPr="001961B1">
              <w:rPr>
                <w:rFonts w:asciiTheme="minorHAnsi" w:hAnsiTheme="minorHAnsi" w:cstheme="minorHAnsi"/>
                <w:bCs/>
                <w:sz w:val="22"/>
                <w:szCs w:val="22"/>
                <w:lang w:val="fr-FR" w:eastAsia="fr-FR"/>
              </w:rPr>
              <w:t xml:space="preserve"> des ODD</w:t>
            </w:r>
            <w:r w:rsidR="005919ED" w:rsidRPr="001961B1">
              <w:rPr>
                <w:rFonts w:asciiTheme="minorHAnsi" w:hAnsiTheme="minorHAnsi" w:cstheme="minorHAnsi"/>
                <w:bCs/>
                <w:sz w:val="22"/>
                <w:szCs w:val="22"/>
                <w:lang w:val="fr-FR" w:eastAsia="fr-FR"/>
              </w:rPr>
              <w:t>.</w:t>
            </w:r>
          </w:p>
        </w:tc>
      </w:tr>
    </w:tbl>
    <w:p w14:paraId="18B5B54D" w14:textId="77777777" w:rsidR="00C76214" w:rsidRPr="001961B1" w:rsidRDefault="00C76214" w:rsidP="000D551C">
      <w:pPr>
        <w:keepNext/>
        <w:rPr>
          <w:rFonts w:asciiTheme="minorHAnsi" w:hAnsiTheme="minorHAnsi" w:cstheme="minorHAnsi"/>
          <w:b/>
          <w:sz w:val="22"/>
          <w:szCs w:val="22"/>
          <w:lang w:val="fr-FR" w:eastAsia="fr-FR"/>
        </w:rPr>
      </w:pPr>
    </w:p>
    <w:p w14:paraId="0DF86C1F" w14:textId="2A56F0C6" w:rsidR="00B71E1C"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033D4D" w:rsidRPr="001961B1">
        <w:rPr>
          <w:rFonts w:asciiTheme="minorHAnsi" w:hAnsiTheme="minorHAnsi" w:cstheme="minorHAnsi"/>
          <w:i/>
          <w:iCs/>
          <w:sz w:val="22"/>
          <w:szCs w:val="22"/>
          <w:u w:val="single"/>
          <w:lang w:val="fr-FR"/>
        </w:rPr>
        <w:t xml:space="preserve"> </w:t>
      </w:r>
    </w:p>
    <w:p w14:paraId="5F23C7B7" w14:textId="77777777" w:rsidR="00197523" w:rsidRPr="001961B1" w:rsidRDefault="00197523" w:rsidP="000D551C">
      <w:pPr>
        <w:keepNext/>
        <w:rPr>
          <w:rFonts w:asciiTheme="minorHAnsi" w:hAnsiTheme="minorHAnsi" w:cstheme="minorHAnsi"/>
          <w:sz w:val="22"/>
          <w:szCs w:val="22"/>
          <w:lang w:val="fr-FR"/>
        </w:rPr>
      </w:pPr>
    </w:p>
    <w:p w14:paraId="5B2E9FF5" w14:textId="2AD5330B" w:rsidR="002E28E1" w:rsidRPr="001961B1" w:rsidRDefault="002E1E29"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79</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F8200C" w:rsidRPr="001961B1">
        <w:rPr>
          <w:rFonts w:asciiTheme="minorHAnsi" w:hAnsiTheme="minorHAnsi" w:cstheme="minorHAnsi"/>
          <w:sz w:val="22"/>
          <w:szCs w:val="22"/>
          <w:lang w:val="fr-FR"/>
        </w:rPr>
        <w:t xml:space="preserve">Les outils essentiels de soutien aux décisions et de planification tels que l’évaluation d’impact sur l’environnement (EIE) et l’évaluation stratégique environnementale (ESE) sont très largement utilisés et soutiennent les mesures visant à la durabilité dans les secteurs qui touchent les zones humides. La plupart des Parties contractantes prennent des mesures pour améliorer la durabilité des zones humides affectées par des secteurs clés, notamment l’agriculture, le tourisme, </w:t>
      </w:r>
      <w:r w:rsidR="008314F3" w:rsidRPr="001961B1">
        <w:rPr>
          <w:rFonts w:asciiTheme="minorHAnsi" w:hAnsiTheme="minorHAnsi" w:cstheme="minorHAnsi"/>
          <w:sz w:val="22"/>
          <w:szCs w:val="22"/>
          <w:lang w:val="fr-FR"/>
        </w:rPr>
        <w:t>l’urbanisation</w:t>
      </w:r>
      <w:r w:rsidR="00F8200C" w:rsidRPr="001961B1">
        <w:rPr>
          <w:rFonts w:asciiTheme="minorHAnsi" w:hAnsiTheme="minorHAnsi" w:cstheme="minorHAnsi"/>
          <w:sz w:val="22"/>
          <w:szCs w:val="22"/>
          <w:lang w:val="fr-FR"/>
        </w:rPr>
        <w:t xml:space="preserve"> et l’infrastructure.</w:t>
      </w:r>
    </w:p>
    <w:p w14:paraId="0B9E068C" w14:textId="6E6D7273" w:rsidR="00305888" w:rsidRPr="001961B1" w:rsidRDefault="00305888" w:rsidP="00CD3F6B">
      <w:pPr>
        <w:keepNext/>
        <w:keepLines/>
        <w:tabs>
          <w:tab w:val="right" w:pos="9026"/>
        </w:tabs>
        <w:outlineLvl w:val="2"/>
        <w:rPr>
          <w:rFonts w:asciiTheme="minorHAnsi" w:hAnsiTheme="minorHAnsi" w:cstheme="minorHAnsi"/>
          <w:b/>
          <w:bCs/>
          <w:color w:val="000000" w:themeColor="text1"/>
          <w:kern w:val="2"/>
          <w:sz w:val="22"/>
          <w:szCs w:val="22"/>
          <w:lang w:val="fr-FR"/>
          <w14:ligatures w14:val="standardContextual"/>
        </w:rPr>
      </w:pPr>
    </w:p>
    <w:tbl>
      <w:tblPr>
        <w:tblStyle w:val="TableGrid11"/>
        <w:tblW w:w="9353" w:type="dxa"/>
        <w:tblLook w:val="04A0" w:firstRow="1" w:lastRow="0" w:firstColumn="1" w:lastColumn="0" w:noHBand="0" w:noVBand="1"/>
      </w:tblPr>
      <w:tblGrid>
        <w:gridCol w:w="4316"/>
        <w:gridCol w:w="1240"/>
        <w:gridCol w:w="820"/>
        <w:gridCol w:w="820"/>
        <w:gridCol w:w="820"/>
        <w:gridCol w:w="1337"/>
      </w:tblGrid>
      <w:tr w:rsidR="00DC193E" w:rsidRPr="001961B1" w14:paraId="082FF4BE" w14:textId="77777777" w:rsidTr="00567061">
        <w:trPr>
          <w:cantSplit/>
        </w:trPr>
        <w:tc>
          <w:tcPr>
            <w:tcW w:w="0" w:type="auto"/>
            <w:vAlign w:val="center"/>
          </w:tcPr>
          <w:p w14:paraId="5D9A2EF0" w14:textId="6E7AC589" w:rsidR="00DC193E" w:rsidRPr="001961B1" w:rsidRDefault="00567061" w:rsidP="0078307B">
            <w:pPr>
              <w:keepNext/>
              <w:jc w:val="center"/>
              <w:rPr>
                <w:rFonts w:asciiTheme="minorHAnsi" w:eastAsia="Aptos" w:hAnsiTheme="minorHAnsi" w:cstheme="minorHAnsi"/>
                <w:sz w:val="22"/>
                <w:szCs w:val="22"/>
                <w:lang w:val="fr-FR"/>
              </w:rPr>
            </w:pPr>
            <w:r w:rsidRPr="001961B1">
              <w:rPr>
                <w:rFonts w:asciiTheme="minorHAnsi" w:eastAsia="Aptos" w:hAnsiTheme="minorHAnsi" w:cstheme="minorHAnsi"/>
                <w:b/>
                <w:bCs/>
                <w:sz w:val="22"/>
                <w:szCs w:val="22"/>
                <w:lang w:val="fr-FR"/>
              </w:rPr>
              <w:t>Indicat</w:t>
            </w:r>
            <w:r w:rsidR="00D31C55"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tcPr>
          <w:p w14:paraId="2893C71C" w14:textId="032E7B52" w:rsidR="00DC193E" w:rsidRPr="001961B1" w:rsidRDefault="00D31C55" w:rsidP="0078307B">
            <w:pPr>
              <w:keepNext/>
              <w:jc w:val="center"/>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Référence</w:t>
            </w:r>
            <w:r w:rsidR="00DC193E" w:rsidRPr="001961B1">
              <w:rPr>
                <w:rFonts w:asciiTheme="minorHAnsi" w:hAnsiTheme="minorHAnsi" w:cstheme="minorHAnsi"/>
                <w:b/>
                <w:bCs/>
                <w:sz w:val="22"/>
                <w:szCs w:val="22"/>
                <w:lang w:val="fr-FR"/>
              </w:rPr>
              <w:t>*</w:t>
            </w:r>
          </w:p>
        </w:tc>
        <w:tc>
          <w:tcPr>
            <w:tcW w:w="0" w:type="auto"/>
            <w:vAlign w:val="center"/>
          </w:tcPr>
          <w:p w14:paraId="7F078423" w14:textId="6C7A3D6F" w:rsidR="00DC193E" w:rsidRPr="001961B1" w:rsidRDefault="00DC193E" w:rsidP="0078307B">
            <w:pPr>
              <w:keepNext/>
              <w:jc w:val="center"/>
              <w:rPr>
                <w:rFonts w:asciiTheme="minorHAnsi" w:eastAsia="Aptos" w:hAnsiTheme="minorHAnsi" w:cstheme="minorHAnsi"/>
                <w:b/>
                <w:bCs/>
                <w:sz w:val="22"/>
                <w:szCs w:val="22"/>
                <w:lang w:val="fr-FR"/>
              </w:rPr>
            </w:pPr>
            <w:r w:rsidRPr="001961B1">
              <w:rPr>
                <w:rFonts w:asciiTheme="minorHAnsi" w:hAnsiTheme="minorHAnsi" w:cstheme="minorHAnsi"/>
                <w:b/>
                <w:bCs/>
                <w:sz w:val="22"/>
                <w:szCs w:val="22"/>
                <w:lang w:val="fr-FR"/>
              </w:rPr>
              <w:t>COP13</w:t>
            </w:r>
          </w:p>
        </w:tc>
        <w:tc>
          <w:tcPr>
            <w:tcW w:w="0" w:type="auto"/>
            <w:vAlign w:val="center"/>
          </w:tcPr>
          <w:p w14:paraId="5E653E3B" w14:textId="77777777" w:rsidR="00DC193E" w:rsidRPr="001961B1" w:rsidRDefault="00DC193E" w:rsidP="0078307B">
            <w:pPr>
              <w:keepNext/>
              <w:jc w:val="center"/>
              <w:rPr>
                <w:rFonts w:asciiTheme="minorHAnsi" w:eastAsia="Aptos" w:hAnsiTheme="minorHAnsi" w:cstheme="minorHAnsi"/>
                <w:b/>
                <w:bCs/>
                <w:sz w:val="22"/>
                <w:szCs w:val="22"/>
                <w:lang w:val="fr-FR"/>
              </w:rPr>
            </w:pPr>
            <w:r w:rsidRPr="001961B1">
              <w:rPr>
                <w:rFonts w:asciiTheme="minorHAnsi" w:hAnsiTheme="minorHAnsi" w:cstheme="minorHAnsi"/>
                <w:b/>
                <w:bCs/>
                <w:sz w:val="22"/>
                <w:szCs w:val="22"/>
                <w:lang w:val="fr-FR"/>
              </w:rPr>
              <w:t>COP14</w:t>
            </w:r>
          </w:p>
        </w:tc>
        <w:tc>
          <w:tcPr>
            <w:tcW w:w="0" w:type="auto"/>
            <w:vAlign w:val="center"/>
          </w:tcPr>
          <w:p w14:paraId="6D113FAA" w14:textId="77777777" w:rsidR="00DC193E" w:rsidRPr="001961B1" w:rsidRDefault="00DC193E" w:rsidP="0078307B">
            <w:pPr>
              <w:keepNext/>
              <w:jc w:val="center"/>
              <w:rPr>
                <w:rFonts w:asciiTheme="minorHAnsi" w:eastAsia="Aptos" w:hAnsiTheme="minorHAnsi" w:cstheme="minorHAnsi"/>
                <w:b/>
                <w:bCs/>
                <w:sz w:val="22"/>
                <w:szCs w:val="22"/>
                <w:lang w:val="fr-FR"/>
              </w:rPr>
            </w:pPr>
            <w:r w:rsidRPr="001961B1">
              <w:rPr>
                <w:rFonts w:asciiTheme="minorHAnsi" w:hAnsiTheme="minorHAnsi" w:cstheme="minorHAnsi"/>
                <w:b/>
                <w:bCs/>
                <w:sz w:val="22"/>
                <w:szCs w:val="22"/>
                <w:lang w:val="fr-FR"/>
              </w:rPr>
              <w:t>COP15</w:t>
            </w:r>
          </w:p>
        </w:tc>
        <w:tc>
          <w:tcPr>
            <w:tcW w:w="0" w:type="auto"/>
            <w:vAlign w:val="center"/>
          </w:tcPr>
          <w:p w14:paraId="49C43B9E" w14:textId="2D2683E3" w:rsidR="00DC193E" w:rsidRPr="001961B1" w:rsidRDefault="00DC193E" w:rsidP="0078307B">
            <w:pPr>
              <w:keepNext/>
              <w:jc w:val="center"/>
              <w:rPr>
                <w:rFonts w:asciiTheme="minorHAnsi" w:eastAsia="Aptos" w:hAnsiTheme="minorHAnsi" w:cstheme="minorHAnsi"/>
                <w:b/>
                <w:bCs/>
                <w:noProof/>
                <w:sz w:val="22"/>
                <w:szCs w:val="22"/>
                <w:lang w:val="fr-FR"/>
              </w:rPr>
            </w:pPr>
            <w:r w:rsidRPr="001961B1">
              <w:rPr>
                <w:rFonts w:asciiTheme="minorHAnsi" w:eastAsia="Aptos" w:hAnsiTheme="minorHAnsi" w:cstheme="minorHAnsi"/>
                <w:b/>
                <w:bCs/>
                <w:noProof/>
                <w:sz w:val="22"/>
                <w:szCs w:val="22"/>
                <w:lang w:val="fr-FR"/>
              </w:rPr>
              <w:t>T</w:t>
            </w:r>
            <w:r w:rsidR="00D31C55" w:rsidRPr="001961B1">
              <w:rPr>
                <w:rFonts w:asciiTheme="minorHAnsi" w:eastAsia="Aptos" w:hAnsiTheme="minorHAnsi" w:cstheme="minorHAnsi"/>
                <w:b/>
                <w:bCs/>
                <w:noProof/>
                <w:sz w:val="22"/>
                <w:szCs w:val="22"/>
                <w:lang w:val="fr-FR"/>
              </w:rPr>
              <w:t>endance</w:t>
            </w:r>
          </w:p>
        </w:tc>
      </w:tr>
      <w:tr w:rsidR="00DC193E" w:rsidRPr="001961B1" w14:paraId="5CA5A11D" w14:textId="77777777" w:rsidTr="00567061">
        <w:trPr>
          <w:cantSplit/>
        </w:trPr>
        <w:tc>
          <w:tcPr>
            <w:tcW w:w="0" w:type="auto"/>
            <w:vAlign w:val="center"/>
          </w:tcPr>
          <w:p w14:paraId="32CCD66B" w14:textId="7B6BADEA" w:rsidR="00DC193E" w:rsidRPr="001961B1" w:rsidRDefault="00DC193E"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F16AF7" w:rsidRPr="001961B1">
              <w:rPr>
                <w:rFonts w:asciiTheme="minorHAnsi" w:eastAsia="Aptos" w:hAnsiTheme="minorHAnsi" w:cstheme="minorHAnsi"/>
                <w:sz w:val="22"/>
                <w:szCs w:val="22"/>
                <w:lang w:val="fr-FR"/>
              </w:rPr>
              <w:t xml:space="preserve">de Parties ayant l’obligation juridique de réaliser des évaluations d’impact sur l’environnement pour les projets de développement pouvant avoir des impacts sur les zones humides. </w:t>
            </w:r>
          </w:p>
        </w:tc>
        <w:tc>
          <w:tcPr>
            <w:tcW w:w="0" w:type="auto"/>
          </w:tcPr>
          <w:p w14:paraId="0D2F2625" w14:textId="15E6E784" w:rsidR="00DC193E" w:rsidRPr="001961B1" w:rsidRDefault="00BF1F29"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86</w:t>
            </w:r>
            <w:r w:rsidR="00463EDB" w:rsidRPr="001961B1">
              <w:rPr>
                <w:rFonts w:asciiTheme="minorHAnsi" w:eastAsia="Aptos" w:hAnsiTheme="minorHAnsi" w:cstheme="minorHAnsi"/>
                <w:b/>
                <w:bCs/>
                <w:sz w:val="22"/>
                <w:szCs w:val="22"/>
                <w:lang w:val="fr-FR"/>
              </w:rPr>
              <w:t xml:space="preserve"> %</w:t>
            </w:r>
          </w:p>
        </w:tc>
        <w:tc>
          <w:tcPr>
            <w:tcW w:w="0" w:type="auto"/>
          </w:tcPr>
          <w:p w14:paraId="774AA5F4" w14:textId="2CEE6742" w:rsidR="00DC193E" w:rsidRPr="001961B1" w:rsidRDefault="00BF1F29"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81</w:t>
            </w:r>
            <w:r w:rsidR="00463EDB" w:rsidRPr="001961B1">
              <w:rPr>
                <w:rFonts w:asciiTheme="minorHAnsi" w:eastAsia="Aptos" w:hAnsiTheme="minorHAnsi" w:cstheme="minorHAnsi"/>
                <w:b/>
                <w:bCs/>
                <w:sz w:val="22"/>
                <w:szCs w:val="22"/>
                <w:lang w:val="fr-FR"/>
              </w:rPr>
              <w:t xml:space="preserve"> %</w:t>
            </w:r>
          </w:p>
        </w:tc>
        <w:tc>
          <w:tcPr>
            <w:tcW w:w="0" w:type="auto"/>
          </w:tcPr>
          <w:p w14:paraId="05CD6EBD" w14:textId="598E524B" w:rsidR="00DC193E" w:rsidRPr="001961B1" w:rsidRDefault="00BF1F29"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89</w:t>
            </w:r>
            <w:r w:rsidR="00463EDB" w:rsidRPr="001961B1">
              <w:rPr>
                <w:rFonts w:asciiTheme="minorHAnsi" w:eastAsia="Aptos" w:hAnsiTheme="minorHAnsi" w:cstheme="minorHAnsi"/>
                <w:b/>
                <w:bCs/>
                <w:sz w:val="22"/>
                <w:szCs w:val="22"/>
                <w:lang w:val="fr-FR"/>
              </w:rPr>
              <w:t xml:space="preserve"> % </w:t>
            </w:r>
          </w:p>
        </w:tc>
        <w:tc>
          <w:tcPr>
            <w:tcW w:w="0" w:type="auto"/>
          </w:tcPr>
          <w:p w14:paraId="351E0E1F" w14:textId="1BC72986" w:rsidR="00DC193E" w:rsidRPr="001961B1" w:rsidRDefault="00BF1F29"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91</w:t>
            </w:r>
            <w:r w:rsidR="00463EDB" w:rsidRPr="001961B1">
              <w:rPr>
                <w:rFonts w:asciiTheme="minorHAnsi" w:eastAsia="Aptos" w:hAnsiTheme="minorHAnsi" w:cstheme="minorHAnsi"/>
                <w:b/>
                <w:bCs/>
                <w:sz w:val="22"/>
                <w:szCs w:val="22"/>
                <w:lang w:val="fr-FR"/>
              </w:rPr>
              <w:t xml:space="preserve"> %</w:t>
            </w:r>
          </w:p>
        </w:tc>
        <w:tc>
          <w:tcPr>
            <w:tcW w:w="0" w:type="auto"/>
            <w:vAlign w:val="center"/>
          </w:tcPr>
          <w:p w14:paraId="5D107D59" w14:textId="6D40E621" w:rsidR="00DC193E" w:rsidRPr="001961B1" w:rsidRDefault="00D2275B" w:rsidP="00CD3F6B">
            <w:pPr>
              <w:rPr>
                <w:rFonts w:asciiTheme="minorHAnsi" w:eastAsia="Aptos" w:hAnsiTheme="minorHAnsi" w:cstheme="minorHAnsi"/>
                <w:b/>
                <w:bCs/>
                <w:sz w:val="22"/>
                <w:szCs w:val="22"/>
                <w:lang w:val="fr-FR"/>
              </w:rPr>
            </w:pPr>
            <w:r w:rsidRPr="001961B1">
              <w:rPr>
                <w:rFonts w:asciiTheme="minorHAnsi" w:hAnsiTheme="minorHAnsi" w:cstheme="minorHAnsi"/>
                <w:noProof/>
                <w:sz w:val="22"/>
                <w:szCs w:val="22"/>
                <w:lang w:val="fr-FR" w:eastAsia="en-CA"/>
              </w:rPr>
              <w:drawing>
                <wp:inline distT="0" distB="0" distL="0" distR="0" wp14:anchorId="773D82EA" wp14:editId="142A1852">
                  <wp:extent cx="712200" cy="432000"/>
                  <wp:effectExtent l="0" t="0" r="0" b="0"/>
                  <wp:docPr id="993704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6B755D" w:rsidRPr="001961B1" w14:paraId="5EE64DEA" w14:textId="77777777" w:rsidTr="00567061">
        <w:trPr>
          <w:cantSplit/>
        </w:trPr>
        <w:tc>
          <w:tcPr>
            <w:tcW w:w="0" w:type="auto"/>
            <w:vAlign w:val="center"/>
          </w:tcPr>
          <w:p w14:paraId="5922B0F2" w14:textId="15748F37" w:rsidR="006B755D" w:rsidRPr="001961B1" w:rsidRDefault="006B755D"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F16AF7" w:rsidRPr="001961B1">
              <w:rPr>
                <w:rFonts w:asciiTheme="minorHAnsi" w:eastAsia="Aptos" w:hAnsiTheme="minorHAnsi" w:cstheme="minorHAnsi"/>
                <w:sz w:val="22"/>
                <w:szCs w:val="22"/>
                <w:lang w:val="fr-FR"/>
              </w:rPr>
              <w:t xml:space="preserve">de Parties appliquant des évaluations stratégiques environnementales lorsqu’elles examinent les politiques, programmes et plans pouvant avoir des impacts sur les zones humides. </w:t>
            </w:r>
          </w:p>
        </w:tc>
        <w:tc>
          <w:tcPr>
            <w:tcW w:w="0" w:type="auto"/>
          </w:tcPr>
          <w:p w14:paraId="243DB642" w14:textId="4446DE15" w:rsidR="006B755D" w:rsidRPr="001961B1" w:rsidRDefault="006B755D"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55</w:t>
            </w:r>
            <w:r w:rsidR="00463EDB" w:rsidRPr="001961B1">
              <w:rPr>
                <w:rFonts w:asciiTheme="minorHAnsi" w:eastAsia="Aptos" w:hAnsiTheme="minorHAnsi" w:cstheme="minorHAnsi"/>
                <w:b/>
                <w:bCs/>
                <w:sz w:val="22"/>
                <w:szCs w:val="22"/>
                <w:lang w:val="fr-FR"/>
              </w:rPr>
              <w:t xml:space="preserve"> %</w:t>
            </w:r>
          </w:p>
        </w:tc>
        <w:tc>
          <w:tcPr>
            <w:tcW w:w="0" w:type="auto"/>
          </w:tcPr>
          <w:p w14:paraId="22EB24D5" w14:textId="5DE2CED1" w:rsidR="006B755D" w:rsidRPr="001961B1" w:rsidRDefault="006B755D"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51</w:t>
            </w:r>
            <w:r w:rsidR="00463EDB" w:rsidRPr="001961B1">
              <w:rPr>
                <w:rFonts w:asciiTheme="minorHAnsi" w:eastAsia="Aptos" w:hAnsiTheme="minorHAnsi" w:cstheme="minorHAnsi"/>
                <w:b/>
                <w:bCs/>
                <w:sz w:val="22"/>
                <w:szCs w:val="22"/>
                <w:lang w:val="fr-FR"/>
              </w:rPr>
              <w:t xml:space="preserve"> %</w:t>
            </w:r>
          </w:p>
        </w:tc>
        <w:tc>
          <w:tcPr>
            <w:tcW w:w="0" w:type="auto"/>
          </w:tcPr>
          <w:p w14:paraId="31F0CEF4" w14:textId="6805DCBB" w:rsidR="006B755D" w:rsidRPr="001961B1" w:rsidRDefault="006B755D"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62</w:t>
            </w:r>
            <w:r w:rsidR="00463EDB" w:rsidRPr="001961B1">
              <w:rPr>
                <w:rFonts w:asciiTheme="minorHAnsi" w:eastAsia="Aptos" w:hAnsiTheme="minorHAnsi" w:cstheme="minorHAnsi"/>
                <w:b/>
                <w:bCs/>
                <w:sz w:val="22"/>
                <w:szCs w:val="22"/>
                <w:lang w:val="fr-FR"/>
              </w:rPr>
              <w:t xml:space="preserve"> %</w:t>
            </w:r>
          </w:p>
        </w:tc>
        <w:tc>
          <w:tcPr>
            <w:tcW w:w="0" w:type="auto"/>
          </w:tcPr>
          <w:p w14:paraId="7E403CBB" w14:textId="2F1A717B" w:rsidR="006B755D" w:rsidRPr="001961B1" w:rsidRDefault="006B755D"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69</w:t>
            </w:r>
            <w:r w:rsidR="00463EDB" w:rsidRPr="001961B1">
              <w:rPr>
                <w:rFonts w:asciiTheme="minorHAnsi" w:eastAsia="Aptos" w:hAnsiTheme="minorHAnsi" w:cstheme="minorHAnsi"/>
                <w:b/>
                <w:bCs/>
                <w:sz w:val="22"/>
                <w:szCs w:val="22"/>
                <w:lang w:val="fr-FR"/>
              </w:rPr>
              <w:t xml:space="preserve"> %</w:t>
            </w:r>
          </w:p>
        </w:tc>
        <w:tc>
          <w:tcPr>
            <w:tcW w:w="0" w:type="auto"/>
            <w:vAlign w:val="center"/>
          </w:tcPr>
          <w:p w14:paraId="0166C6D3" w14:textId="703264A3" w:rsidR="006B755D" w:rsidRPr="001961B1" w:rsidRDefault="00D2275B" w:rsidP="00CD3F6B">
            <w:pPr>
              <w:rPr>
                <w:rFonts w:asciiTheme="minorHAnsi" w:eastAsia="Aptos" w:hAnsiTheme="minorHAnsi" w:cstheme="minorHAnsi"/>
                <w:b/>
                <w:bCs/>
                <w:sz w:val="22"/>
                <w:szCs w:val="22"/>
                <w:lang w:val="fr-FR"/>
              </w:rPr>
            </w:pPr>
            <w:r w:rsidRPr="001961B1">
              <w:rPr>
                <w:rFonts w:asciiTheme="minorHAnsi" w:hAnsiTheme="minorHAnsi" w:cstheme="minorHAnsi"/>
                <w:noProof/>
                <w:sz w:val="22"/>
                <w:szCs w:val="22"/>
                <w:lang w:val="fr-FR" w:eastAsia="en-CA"/>
              </w:rPr>
              <w:drawing>
                <wp:inline distT="0" distB="0" distL="0" distR="0" wp14:anchorId="7C19E49C" wp14:editId="6AC1B129">
                  <wp:extent cx="712200" cy="432000"/>
                  <wp:effectExtent l="0" t="0" r="0" b="0"/>
                  <wp:docPr id="12371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F76A2C4" w14:textId="48AD0016" w:rsidR="000661AE" w:rsidRPr="001961B1" w:rsidRDefault="000661AE"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F16AF7" w:rsidRPr="001961B1">
        <w:rPr>
          <w:rFonts w:asciiTheme="minorHAnsi" w:hAnsiTheme="minorHAnsi" w:cstheme="minorHAnsi"/>
          <w:sz w:val="22"/>
          <w:szCs w:val="22"/>
          <w:lang w:val="fr-FR"/>
        </w:rPr>
        <w:t xml:space="preserve"> Aucun indicateur pour l’objectif 13 n’a été défini dans le PS4. Les données sont fournies </w:t>
      </w:r>
      <w:r w:rsidR="002F12E7" w:rsidRPr="001961B1">
        <w:rPr>
          <w:rFonts w:asciiTheme="minorHAnsi" w:hAnsiTheme="minorHAnsi" w:cstheme="minorHAnsi"/>
          <w:sz w:val="22"/>
          <w:szCs w:val="22"/>
          <w:lang w:val="fr-FR"/>
        </w:rPr>
        <w:t>pour</w:t>
      </w:r>
      <w:r w:rsidR="00F16AF7" w:rsidRPr="001961B1">
        <w:rPr>
          <w:rFonts w:asciiTheme="minorHAnsi" w:hAnsiTheme="minorHAnsi" w:cstheme="minorHAnsi"/>
          <w:sz w:val="22"/>
          <w:szCs w:val="22"/>
          <w:lang w:val="fr-FR"/>
        </w:rPr>
        <w:t xml:space="preserve"> </w:t>
      </w:r>
      <w:bookmarkStart w:id="7" w:name="_Hlk197774761"/>
      <w:r w:rsidR="00F16AF7" w:rsidRPr="001961B1">
        <w:rPr>
          <w:rFonts w:asciiTheme="minorHAnsi" w:hAnsiTheme="minorHAnsi" w:cstheme="minorHAnsi"/>
          <w:sz w:val="22"/>
          <w:szCs w:val="22"/>
          <w:lang w:val="fr-FR"/>
        </w:rPr>
        <w:t xml:space="preserve">deux questions figurant dans le </w:t>
      </w:r>
      <w:r w:rsidR="00CD0FB3" w:rsidRPr="001961B1">
        <w:rPr>
          <w:rFonts w:asciiTheme="minorHAnsi" w:hAnsiTheme="minorHAnsi" w:cstheme="minorHAnsi"/>
          <w:sz w:val="22"/>
          <w:szCs w:val="22"/>
          <w:lang w:val="fr-FR"/>
        </w:rPr>
        <w:t>F</w:t>
      </w:r>
      <w:r w:rsidR="00F16AF7" w:rsidRPr="001961B1">
        <w:rPr>
          <w:rFonts w:asciiTheme="minorHAnsi" w:hAnsiTheme="minorHAnsi" w:cstheme="minorHAnsi"/>
          <w:sz w:val="22"/>
          <w:szCs w:val="22"/>
          <w:lang w:val="fr-FR"/>
        </w:rPr>
        <w:t xml:space="preserve">ormulaire de </w:t>
      </w:r>
      <w:r w:rsidR="00CD0FB3" w:rsidRPr="001961B1">
        <w:rPr>
          <w:rFonts w:asciiTheme="minorHAnsi" w:hAnsiTheme="minorHAnsi" w:cstheme="minorHAnsi"/>
          <w:sz w:val="22"/>
          <w:szCs w:val="22"/>
          <w:lang w:val="fr-FR"/>
        </w:rPr>
        <w:t>R</w:t>
      </w:r>
      <w:r w:rsidR="00F16AF7" w:rsidRPr="001961B1">
        <w:rPr>
          <w:rFonts w:asciiTheme="minorHAnsi" w:hAnsiTheme="minorHAnsi" w:cstheme="minorHAnsi"/>
          <w:sz w:val="22"/>
          <w:szCs w:val="22"/>
          <w:lang w:val="fr-FR"/>
        </w:rPr>
        <w:t>apport national pour la COP15</w:t>
      </w:r>
      <w:r w:rsidR="002F12E7" w:rsidRPr="001961B1">
        <w:rPr>
          <w:rFonts w:asciiTheme="minorHAnsi" w:hAnsiTheme="minorHAnsi" w:cstheme="minorHAnsi"/>
          <w:sz w:val="22"/>
          <w:szCs w:val="22"/>
          <w:lang w:val="fr-FR"/>
        </w:rPr>
        <w:t>,</w:t>
      </w:r>
      <w:r w:rsidR="00F16AF7" w:rsidRPr="001961B1">
        <w:rPr>
          <w:rFonts w:asciiTheme="minorHAnsi" w:hAnsiTheme="minorHAnsi" w:cstheme="minorHAnsi"/>
          <w:sz w:val="22"/>
          <w:szCs w:val="22"/>
          <w:lang w:val="fr-FR"/>
        </w:rPr>
        <w:t xml:space="preserve"> concernant l’objectif pour lequel une série temporelle est disponible </w:t>
      </w:r>
      <w:bookmarkEnd w:id="7"/>
      <w:r w:rsidR="00DC193E" w:rsidRPr="001961B1">
        <w:rPr>
          <w:rFonts w:asciiTheme="minorHAnsi" w:hAnsiTheme="minorHAnsi" w:cstheme="minorHAnsi"/>
          <w:sz w:val="22"/>
          <w:szCs w:val="22"/>
          <w:lang w:val="fr-FR"/>
        </w:rPr>
        <w:t>(</w:t>
      </w:r>
      <w:r w:rsidR="00BF37B3" w:rsidRPr="001961B1">
        <w:rPr>
          <w:rFonts w:asciiTheme="minorHAnsi" w:hAnsiTheme="minorHAnsi" w:cstheme="minorHAnsi"/>
          <w:sz w:val="22"/>
          <w:szCs w:val="22"/>
          <w:lang w:val="fr-FR"/>
        </w:rPr>
        <w:t xml:space="preserve">13.2 </w:t>
      </w:r>
      <w:r w:rsidR="00F16AF7" w:rsidRPr="001961B1">
        <w:rPr>
          <w:rFonts w:asciiTheme="minorHAnsi" w:hAnsiTheme="minorHAnsi" w:cstheme="minorHAnsi"/>
          <w:sz w:val="22"/>
          <w:szCs w:val="22"/>
          <w:lang w:val="fr-FR"/>
        </w:rPr>
        <w:t>et</w:t>
      </w:r>
      <w:r w:rsidR="00BF37B3" w:rsidRPr="001961B1">
        <w:rPr>
          <w:rFonts w:asciiTheme="minorHAnsi" w:hAnsiTheme="minorHAnsi" w:cstheme="minorHAnsi"/>
          <w:sz w:val="22"/>
          <w:szCs w:val="22"/>
          <w:lang w:val="fr-FR"/>
        </w:rPr>
        <w:t xml:space="preserve"> 13.3</w:t>
      </w:r>
      <w:r w:rsidR="00DC193E" w:rsidRPr="001961B1">
        <w:rPr>
          <w:rFonts w:asciiTheme="minorHAnsi" w:hAnsiTheme="minorHAnsi" w:cstheme="minorHAnsi"/>
          <w:sz w:val="22"/>
          <w:szCs w:val="22"/>
          <w:lang w:val="fr-FR"/>
        </w:rPr>
        <w:t>)</w:t>
      </w:r>
      <w:r w:rsidR="008C6D65" w:rsidRPr="001961B1">
        <w:rPr>
          <w:rFonts w:asciiTheme="minorHAnsi" w:hAnsiTheme="minorHAnsi" w:cstheme="minorHAnsi"/>
          <w:sz w:val="22"/>
          <w:szCs w:val="22"/>
          <w:lang w:val="fr-FR"/>
        </w:rPr>
        <w:t xml:space="preserve">, </w:t>
      </w:r>
      <w:r w:rsidR="00F16AF7" w:rsidRPr="001961B1">
        <w:rPr>
          <w:rFonts w:asciiTheme="minorHAnsi" w:hAnsiTheme="minorHAnsi" w:cstheme="minorHAnsi"/>
          <w:sz w:val="22"/>
          <w:szCs w:val="22"/>
          <w:lang w:val="fr-FR"/>
        </w:rPr>
        <w:t>avec la COP12 comme référence.</w:t>
      </w:r>
      <w:r w:rsidRPr="001961B1">
        <w:rPr>
          <w:rFonts w:asciiTheme="minorHAnsi" w:hAnsiTheme="minorHAnsi" w:cstheme="minorHAnsi"/>
          <w:sz w:val="22"/>
          <w:szCs w:val="22"/>
          <w:lang w:val="fr-FR"/>
        </w:rPr>
        <w:t xml:space="preserve"> </w:t>
      </w:r>
    </w:p>
    <w:p w14:paraId="7BA6EDB3" w14:textId="77777777" w:rsidR="00CD7EBD" w:rsidRPr="001961B1" w:rsidRDefault="00CD7EBD" w:rsidP="00CD3F6B">
      <w:pPr>
        <w:rPr>
          <w:rFonts w:asciiTheme="minorHAnsi" w:hAnsiTheme="minorHAnsi" w:cstheme="minorHAnsi"/>
          <w:b/>
          <w:bCs/>
          <w:sz w:val="22"/>
          <w:szCs w:val="22"/>
          <w:lang w:val="fr-FR"/>
        </w:rPr>
      </w:pPr>
    </w:p>
    <w:p w14:paraId="3D20FCC9" w14:textId="4DBD9B1A" w:rsidR="00ED3E2D"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E41B6A" w:rsidRPr="001961B1">
        <w:rPr>
          <w:rFonts w:asciiTheme="minorHAnsi" w:hAnsiTheme="minorHAnsi" w:cstheme="minorHAnsi"/>
          <w:i/>
          <w:iCs/>
          <w:sz w:val="22"/>
          <w:szCs w:val="22"/>
          <w:u w:val="single"/>
          <w:lang w:val="fr-FR"/>
        </w:rPr>
        <w:t xml:space="preserve"> </w:t>
      </w:r>
    </w:p>
    <w:p w14:paraId="25157025" w14:textId="77777777" w:rsidR="00C76214" w:rsidRPr="001961B1" w:rsidRDefault="00C76214" w:rsidP="000D551C">
      <w:pPr>
        <w:keepNext/>
        <w:rPr>
          <w:rFonts w:asciiTheme="minorHAnsi" w:hAnsiTheme="minorHAnsi" w:cstheme="minorHAnsi"/>
          <w:sz w:val="22"/>
          <w:szCs w:val="22"/>
          <w:lang w:val="fr-FR"/>
        </w:rPr>
      </w:pPr>
    </w:p>
    <w:p w14:paraId="7A2CD05E" w14:textId="506B9452" w:rsidR="005A5DB7"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8</w:t>
      </w:r>
      <w:r w:rsidR="002E1E29" w:rsidRPr="001961B1">
        <w:rPr>
          <w:rFonts w:asciiTheme="minorHAnsi" w:hAnsiTheme="minorHAnsi" w:cstheme="minorHAnsi"/>
          <w:sz w:val="22"/>
          <w:szCs w:val="22"/>
          <w:lang w:val="fr-FR"/>
        </w:rPr>
        <w:t>0</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CD0FB3" w:rsidRPr="001961B1">
        <w:rPr>
          <w:rFonts w:asciiTheme="minorHAnsi" w:hAnsiTheme="minorHAnsi" w:cstheme="minorHAnsi"/>
          <w:sz w:val="22"/>
          <w:szCs w:val="22"/>
          <w:lang w:val="fr-FR"/>
        </w:rPr>
        <w:t>Au moment de</w:t>
      </w:r>
      <w:r w:rsidR="00F16AF7" w:rsidRPr="001961B1">
        <w:rPr>
          <w:rFonts w:asciiTheme="minorHAnsi" w:hAnsiTheme="minorHAnsi" w:cstheme="minorHAnsi"/>
          <w:sz w:val="22"/>
          <w:szCs w:val="22"/>
          <w:lang w:val="fr-FR"/>
        </w:rPr>
        <w:t xml:space="preserve"> la </w:t>
      </w:r>
      <w:r w:rsidR="000A49C2" w:rsidRPr="001961B1">
        <w:rPr>
          <w:rFonts w:asciiTheme="minorHAnsi" w:hAnsiTheme="minorHAnsi" w:cstheme="minorHAnsi"/>
          <w:sz w:val="22"/>
          <w:szCs w:val="22"/>
          <w:lang w:val="fr-FR"/>
        </w:rPr>
        <w:t>COP15</w:t>
      </w:r>
      <w:r w:rsidR="009C437D" w:rsidRPr="001961B1">
        <w:rPr>
          <w:rFonts w:asciiTheme="minorHAnsi" w:hAnsiTheme="minorHAnsi" w:cstheme="minorHAnsi"/>
          <w:sz w:val="22"/>
          <w:szCs w:val="22"/>
          <w:lang w:val="fr-FR"/>
        </w:rPr>
        <w:t xml:space="preserve">, </w:t>
      </w:r>
      <w:r w:rsidR="005C11A5" w:rsidRPr="001961B1">
        <w:rPr>
          <w:rFonts w:asciiTheme="minorHAnsi" w:hAnsiTheme="minorHAnsi" w:cstheme="minorHAnsi"/>
          <w:sz w:val="22"/>
          <w:szCs w:val="22"/>
          <w:lang w:val="fr-FR"/>
        </w:rPr>
        <w:t xml:space="preserve">pour </w:t>
      </w:r>
      <w:r w:rsidR="00F16AF7" w:rsidRPr="001961B1">
        <w:rPr>
          <w:rFonts w:asciiTheme="minorHAnsi" w:hAnsiTheme="minorHAnsi" w:cstheme="minorHAnsi"/>
          <w:sz w:val="22"/>
          <w:szCs w:val="22"/>
          <w:lang w:val="fr-FR"/>
        </w:rPr>
        <w:t xml:space="preserve">plus de </w:t>
      </w:r>
      <w:r w:rsidR="009C437D" w:rsidRPr="001961B1">
        <w:rPr>
          <w:rFonts w:asciiTheme="minorHAnsi" w:hAnsiTheme="minorHAnsi" w:cstheme="minorHAnsi"/>
          <w:sz w:val="22"/>
          <w:szCs w:val="22"/>
          <w:lang w:val="fr-FR"/>
        </w:rPr>
        <w:t>90</w:t>
      </w:r>
      <w:r w:rsidR="00F16AF7" w:rsidRPr="001961B1">
        <w:rPr>
          <w:rFonts w:asciiTheme="minorHAnsi" w:hAnsiTheme="minorHAnsi" w:cstheme="minorHAnsi"/>
          <w:sz w:val="22"/>
          <w:szCs w:val="22"/>
          <w:lang w:val="fr-FR"/>
        </w:rPr>
        <w:t> </w:t>
      </w:r>
      <w:r w:rsidR="009C437D" w:rsidRPr="001961B1">
        <w:rPr>
          <w:rFonts w:asciiTheme="minorHAnsi" w:hAnsiTheme="minorHAnsi" w:cstheme="minorHAnsi"/>
          <w:sz w:val="22"/>
          <w:szCs w:val="22"/>
          <w:lang w:val="fr-FR"/>
        </w:rPr>
        <w:t xml:space="preserve">% </w:t>
      </w:r>
      <w:r w:rsidR="00F16AF7" w:rsidRPr="001961B1">
        <w:rPr>
          <w:rFonts w:asciiTheme="minorHAnsi" w:hAnsiTheme="minorHAnsi" w:cstheme="minorHAnsi"/>
          <w:sz w:val="22"/>
          <w:szCs w:val="22"/>
          <w:lang w:val="fr-FR"/>
        </w:rPr>
        <w:t>des Parties contractantes</w:t>
      </w:r>
      <w:r w:rsidR="005C11A5" w:rsidRPr="001961B1">
        <w:rPr>
          <w:rFonts w:asciiTheme="minorHAnsi" w:hAnsiTheme="minorHAnsi" w:cstheme="minorHAnsi"/>
          <w:sz w:val="22"/>
          <w:szCs w:val="22"/>
          <w:lang w:val="fr-FR"/>
        </w:rPr>
        <w:t>, la réalisation d’</w:t>
      </w:r>
      <w:r w:rsidR="00F16AF7" w:rsidRPr="001961B1">
        <w:rPr>
          <w:rFonts w:asciiTheme="minorHAnsi" w:hAnsiTheme="minorHAnsi" w:cstheme="minorHAnsi"/>
          <w:sz w:val="22"/>
          <w:szCs w:val="22"/>
          <w:lang w:val="fr-FR"/>
        </w:rPr>
        <w:t>EIE pour les projets de développement dans des secteurs clés pouvant avoir des impacts sur les zones humides</w:t>
      </w:r>
      <w:r w:rsidR="005C11A5" w:rsidRPr="001961B1">
        <w:rPr>
          <w:rFonts w:asciiTheme="minorHAnsi" w:hAnsiTheme="minorHAnsi" w:cstheme="minorHAnsi"/>
          <w:sz w:val="22"/>
          <w:szCs w:val="22"/>
          <w:lang w:val="fr-FR"/>
        </w:rPr>
        <w:t xml:space="preserve"> est une obligation </w:t>
      </w:r>
      <w:r w:rsidR="00955DE5" w:rsidRPr="001961B1">
        <w:rPr>
          <w:rFonts w:asciiTheme="minorHAnsi" w:hAnsiTheme="minorHAnsi" w:cstheme="minorHAnsi"/>
          <w:sz w:val="22"/>
          <w:szCs w:val="22"/>
          <w:lang w:val="fr-FR"/>
        </w:rPr>
        <w:t>légale</w:t>
      </w:r>
      <w:r w:rsidR="00F16AF7" w:rsidRPr="001961B1">
        <w:rPr>
          <w:rFonts w:asciiTheme="minorHAnsi" w:hAnsiTheme="minorHAnsi" w:cstheme="minorHAnsi"/>
          <w:sz w:val="22"/>
          <w:szCs w:val="22"/>
          <w:lang w:val="fr-FR"/>
        </w:rPr>
        <w:t xml:space="preserve">. Cela représente une augmentation depuis la COP13 </w:t>
      </w:r>
      <w:r w:rsidR="00BF7E2B" w:rsidRPr="001961B1">
        <w:rPr>
          <w:rFonts w:asciiTheme="minorHAnsi" w:hAnsiTheme="minorHAnsi" w:cstheme="minorHAnsi"/>
          <w:sz w:val="22"/>
          <w:szCs w:val="22"/>
          <w:lang w:val="fr-FR"/>
        </w:rPr>
        <w:t>(</w:t>
      </w:r>
      <w:r w:rsidR="00C87F2A" w:rsidRPr="001961B1">
        <w:rPr>
          <w:rFonts w:asciiTheme="minorHAnsi" w:hAnsiTheme="minorHAnsi" w:cstheme="minorHAnsi"/>
          <w:sz w:val="22"/>
          <w:szCs w:val="22"/>
          <w:lang w:val="fr-FR"/>
        </w:rPr>
        <w:t>8</w:t>
      </w:r>
      <w:r w:rsidR="00BF7E2B" w:rsidRPr="001961B1">
        <w:rPr>
          <w:rFonts w:asciiTheme="minorHAnsi" w:hAnsiTheme="minorHAnsi" w:cstheme="minorHAnsi"/>
          <w:sz w:val="22"/>
          <w:szCs w:val="22"/>
          <w:lang w:val="fr-FR"/>
        </w:rPr>
        <w:t>1</w:t>
      </w:r>
      <w:r w:rsidR="00F16AF7" w:rsidRPr="001961B1">
        <w:rPr>
          <w:rFonts w:asciiTheme="minorHAnsi" w:hAnsiTheme="minorHAnsi" w:cstheme="minorHAnsi"/>
          <w:sz w:val="22"/>
          <w:szCs w:val="22"/>
          <w:lang w:val="fr-FR"/>
        </w:rPr>
        <w:t> </w:t>
      </w:r>
      <w:r w:rsidR="00BF7E2B" w:rsidRPr="001961B1">
        <w:rPr>
          <w:rFonts w:asciiTheme="minorHAnsi" w:hAnsiTheme="minorHAnsi" w:cstheme="minorHAnsi"/>
          <w:sz w:val="22"/>
          <w:szCs w:val="22"/>
          <w:lang w:val="fr-FR"/>
        </w:rPr>
        <w:t xml:space="preserve">%). </w:t>
      </w:r>
      <w:r w:rsidR="00F16AF7" w:rsidRPr="001961B1">
        <w:rPr>
          <w:rFonts w:asciiTheme="minorHAnsi" w:hAnsiTheme="minorHAnsi" w:cstheme="minorHAnsi"/>
          <w:sz w:val="22"/>
          <w:szCs w:val="22"/>
          <w:lang w:val="fr-FR"/>
        </w:rPr>
        <w:t>Soixante-neuf pour cent (</w:t>
      </w:r>
      <w:r w:rsidR="002F6A5C" w:rsidRPr="001961B1">
        <w:rPr>
          <w:rFonts w:asciiTheme="minorHAnsi" w:hAnsiTheme="minorHAnsi" w:cstheme="minorHAnsi"/>
          <w:sz w:val="22"/>
          <w:szCs w:val="22"/>
          <w:lang w:val="fr-FR"/>
        </w:rPr>
        <w:t>69</w:t>
      </w:r>
      <w:r w:rsidR="00F16AF7" w:rsidRPr="001961B1">
        <w:rPr>
          <w:rFonts w:asciiTheme="minorHAnsi" w:hAnsiTheme="minorHAnsi" w:cstheme="minorHAnsi"/>
          <w:sz w:val="22"/>
          <w:szCs w:val="22"/>
          <w:lang w:val="fr-FR"/>
        </w:rPr>
        <w:t> </w:t>
      </w:r>
      <w:r w:rsidR="00C92307" w:rsidRPr="001961B1">
        <w:rPr>
          <w:rFonts w:asciiTheme="minorHAnsi" w:hAnsiTheme="minorHAnsi" w:cstheme="minorHAnsi"/>
          <w:sz w:val="22"/>
          <w:szCs w:val="22"/>
          <w:lang w:val="fr-FR"/>
        </w:rPr>
        <w:t>%</w:t>
      </w:r>
      <w:r w:rsidR="00F16AF7" w:rsidRPr="001961B1">
        <w:rPr>
          <w:rFonts w:asciiTheme="minorHAnsi" w:hAnsiTheme="minorHAnsi" w:cstheme="minorHAnsi"/>
          <w:sz w:val="22"/>
          <w:szCs w:val="22"/>
          <w:lang w:val="fr-FR"/>
        </w:rPr>
        <w:t xml:space="preserve">) de Parties </w:t>
      </w:r>
      <w:r w:rsidR="00E2461F" w:rsidRPr="001961B1">
        <w:rPr>
          <w:rFonts w:asciiTheme="minorHAnsi" w:hAnsiTheme="minorHAnsi" w:cstheme="minorHAnsi"/>
          <w:sz w:val="22"/>
          <w:szCs w:val="22"/>
          <w:lang w:val="fr-FR"/>
        </w:rPr>
        <w:t>réalisent</w:t>
      </w:r>
      <w:r w:rsidR="00F16AF7" w:rsidRPr="001961B1">
        <w:rPr>
          <w:rFonts w:asciiTheme="minorHAnsi" w:hAnsiTheme="minorHAnsi" w:cstheme="minorHAnsi"/>
          <w:sz w:val="22"/>
          <w:szCs w:val="22"/>
          <w:lang w:val="fr-FR"/>
        </w:rPr>
        <w:t xml:space="preserve"> des </w:t>
      </w:r>
      <w:r w:rsidR="00E2461F" w:rsidRPr="001961B1">
        <w:rPr>
          <w:rFonts w:asciiTheme="minorHAnsi" w:hAnsiTheme="minorHAnsi" w:cstheme="minorHAnsi"/>
          <w:sz w:val="22"/>
          <w:szCs w:val="22"/>
          <w:lang w:val="fr-FR"/>
        </w:rPr>
        <w:t>ESE lorsqu’elles</w:t>
      </w:r>
      <w:r w:rsidR="00F16AF7" w:rsidRPr="001961B1">
        <w:rPr>
          <w:rFonts w:asciiTheme="minorHAnsi" w:hAnsiTheme="minorHAnsi" w:cstheme="minorHAnsi"/>
          <w:sz w:val="22"/>
          <w:szCs w:val="22"/>
          <w:lang w:val="fr-FR"/>
        </w:rPr>
        <w:t xml:space="preserve"> examinent les politiques, programmes et plans pouvant avoir des impacts sur les zones humides, ce qui est aussi un</w:t>
      </w:r>
      <w:r w:rsidR="00E2461F" w:rsidRPr="001961B1">
        <w:rPr>
          <w:rFonts w:asciiTheme="minorHAnsi" w:hAnsiTheme="minorHAnsi" w:cstheme="minorHAnsi"/>
          <w:sz w:val="22"/>
          <w:szCs w:val="22"/>
          <w:lang w:val="fr-FR"/>
        </w:rPr>
        <w:t xml:space="preserve"> chiffre en</w:t>
      </w:r>
      <w:r w:rsidR="00F16AF7" w:rsidRPr="001961B1">
        <w:rPr>
          <w:rFonts w:asciiTheme="minorHAnsi" w:hAnsiTheme="minorHAnsi" w:cstheme="minorHAnsi"/>
          <w:sz w:val="22"/>
          <w:szCs w:val="22"/>
          <w:lang w:val="fr-FR"/>
        </w:rPr>
        <w:t xml:space="preserve"> augmentation pour les trois périodes triennales passées, </w:t>
      </w:r>
      <w:r w:rsidR="00E2461F" w:rsidRPr="001961B1">
        <w:rPr>
          <w:rFonts w:asciiTheme="minorHAnsi" w:hAnsiTheme="minorHAnsi" w:cstheme="minorHAnsi"/>
          <w:sz w:val="22"/>
          <w:szCs w:val="22"/>
          <w:lang w:val="fr-FR"/>
        </w:rPr>
        <w:t>par rapport à</w:t>
      </w:r>
      <w:r w:rsidR="00F16AF7" w:rsidRPr="001961B1">
        <w:rPr>
          <w:rFonts w:asciiTheme="minorHAnsi" w:hAnsiTheme="minorHAnsi" w:cstheme="minorHAnsi"/>
          <w:sz w:val="22"/>
          <w:szCs w:val="22"/>
          <w:lang w:val="fr-FR"/>
        </w:rPr>
        <w:t xml:space="preserve"> 51 % à la </w:t>
      </w:r>
      <w:r w:rsidR="001D005E" w:rsidRPr="001961B1">
        <w:rPr>
          <w:rFonts w:asciiTheme="minorHAnsi" w:hAnsiTheme="minorHAnsi" w:cstheme="minorHAnsi"/>
          <w:sz w:val="22"/>
          <w:szCs w:val="22"/>
          <w:lang w:val="fr-FR"/>
        </w:rPr>
        <w:t>COP13</w:t>
      </w:r>
      <w:r w:rsidR="00742178" w:rsidRPr="001961B1">
        <w:rPr>
          <w:rFonts w:asciiTheme="minorHAnsi" w:hAnsiTheme="minorHAnsi" w:cstheme="minorHAnsi"/>
          <w:sz w:val="22"/>
          <w:szCs w:val="22"/>
          <w:lang w:val="fr-FR"/>
        </w:rPr>
        <w:t>.</w:t>
      </w:r>
      <w:r w:rsidR="001D005E" w:rsidRPr="001961B1">
        <w:rPr>
          <w:rFonts w:asciiTheme="minorHAnsi" w:hAnsiTheme="minorHAnsi" w:cstheme="minorHAnsi"/>
          <w:sz w:val="22"/>
          <w:szCs w:val="22"/>
          <w:lang w:val="fr-FR"/>
        </w:rPr>
        <w:t xml:space="preserve"> </w:t>
      </w:r>
      <w:r w:rsidR="00F16AF7" w:rsidRPr="001961B1">
        <w:rPr>
          <w:rFonts w:asciiTheme="minorHAnsi" w:hAnsiTheme="minorHAnsi" w:cstheme="minorHAnsi"/>
          <w:sz w:val="22"/>
          <w:szCs w:val="22"/>
          <w:lang w:val="fr-FR"/>
        </w:rPr>
        <w:t>Seize pour cent (</w:t>
      </w:r>
      <w:r w:rsidR="001D005E" w:rsidRPr="001961B1">
        <w:rPr>
          <w:rFonts w:asciiTheme="minorHAnsi" w:hAnsiTheme="minorHAnsi" w:cstheme="minorHAnsi"/>
          <w:sz w:val="22"/>
          <w:szCs w:val="22"/>
          <w:lang w:val="fr-FR"/>
        </w:rPr>
        <w:t>16</w:t>
      </w:r>
      <w:r w:rsidR="00F16AF7" w:rsidRPr="001961B1">
        <w:rPr>
          <w:rFonts w:asciiTheme="minorHAnsi" w:hAnsiTheme="minorHAnsi" w:cstheme="minorHAnsi"/>
          <w:sz w:val="22"/>
          <w:szCs w:val="22"/>
          <w:lang w:val="fr-FR"/>
        </w:rPr>
        <w:t> </w:t>
      </w:r>
      <w:r w:rsidR="00730500" w:rsidRPr="001961B1">
        <w:rPr>
          <w:rFonts w:asciiTheme="minorHAnsi" w:hAnsiTheme="minorHAnsi" w:cstheme="minorHAnsi"/>
          <w:sz w:val="22"/>
          <w:szCs w:val="22"/>
          <w:lang w:val="fr-FR"/>
        </w:rPr>
        <w:t>%</w:t>
      </w:r>
      <w:r w:rsidR="00F16AF7" w:rsidRPr="001961B1">
        <w:rPr>
          <w:rFonts w:asciiTheme="minorHAnsi" w:hAnsiTheme="minorHAnsi" w:cstheme="minorHAnsi"/>
          <w:sz w:val="22"/>
          <w:szCs w:val="22"/>
          <w:lang w:val="fr-FR"/>
        </w:rPr>
        <w:t>) d</w:t>
      </w:r>
      <w:r w:rsidR="00E2461F" w:rsidRPr="001961B1">
        <w:rPr>
          <w:rFonts w:asciiTheme="minorHAnsi" w:hAnsiTheme="minorHAnsi" w:cstheme="minorHAnsi"/>
          <w:sz w:val="22"/>
          <w:szCs w:val="22"/>
          <w:lang w:val="fr-FR"/>
        </w:rPr>
        <w:t>’autres</w:t>
      </w:r>
      <w:r w:rsidR="00F16AF7" w:rsidRPr="001961B1">
        <w:rPr>
          <w:rFonts w:asciiTheme="minorHAnsi" w:hAnsiTheme="minorHAnsi" w:cstheme="minorHAnsi"/>
          <w:sz w:val="22"/>
          <w:szCs w:val="22"/>
          <w:lang w:val="fr-FR"/>
        </w:rPr>
        <w:t xml:space="preserve"> Parties </w:t>
      </w:r>
      <w:r w:rsidR="00FC6DB4" w:rsidRPr="001961B1">
        <w:rPr>
          <w:rFonts w:asciiTheme="minorHAnsi" w:hAnsiTheme="minorHAnsi" w:cstheme="minorHAnsi"/>
          <w:sz w:val="22"/>
          <w:szCs w:val="22"/>
          <w:lang w:val="fr-FR"/>
        </w:rPr>
        <w:t xml:space="preserve">indiquent </w:t>
      </w:r>
      <w:r w:rsidR="00E2461F" w:rsidRPr="001961B1">
        <w:rPr>
          <w:rFonts w:asciiTheme="minorHAnsi" w:hAnsiTheme="minorHAnsi" w:cstheme="minorHAnsi"/>
          <w:sz w:val="22"/>
          <w:szCs w:val="22"/>
          <w:lang w:val="fr-FR"/>
        </w:rPr>
        <w:t>l’avoir fait</w:t>
      </w:r>
      <w:r w:rsidR="00FC6DB4" w:rsidRPr="001961B1">
        <w:rPr>
          <w:rFonts w:asciiTheme="minorHAnsi" w:hAnsiTheme="minorHAnsi" w:cstheme="minorHAnsi"/>
          <w:sz w:val="22"/>
          <w:szCs w:val="22"/>
          <w:lang w:val="fr-FR"/>
        </w:rPr>
        <w:t xml:space="preserve"> partielle</w:t>
      </w:r>
      <w:r w:rsidR="00E2461F" w:rsidRPr="001961B1">
        <w:rPr>
          <w:rFonts w:asciiTheme="minorHAnsi" w:hAnsiTheme="minorHAnsi" w:cstheme="minorHAnsi"/>
          <w:sz w:val="22"/>
          <w:szCs w:val="22"/>
          <w:lang w:val="fr-FR"/>
        </w:rPr>
        <w:t>ment</w:t>
      </w:r>
      <w:r w:rsidR="00FC6DB4" w:rsidRPr="001961B1">
        <w:rPr>
          <w:rFonts w:asciiTheme="minorHAnsi" w:hAnsiTheme="minorHAnsi" w:cstheme="minorHAnsi"/>
          <w:sz w:val="22"/>
          <w:szCs w:val="22"/>
          <w:lang w:val="fr-FR"/>
        </w:rPr>
        <w:t>. Les obligations en matière d’EIE sont généralement élevées dans les régions, mais l’application de ESE</w:t>
      </w:r>
      <w:r w:rsidR="00730500" w:rsidRPr="001961B1">
        <w:rPr>
          <w:rFonts w:asciiTheme="minorHAnsi" w:hAnsiTheme="minorHAnsi" w:cstheme="minorHAnsi"/>
          <w:sz w:val="22"/>
          <w:szCs w:val="22"/>
          <w:lang w:val="fr-FR"/>
        </w:rPr>
        <w:t xml:space="preserve"> </w:t>
      </w:r>
      <w:r w:rsidR="00FC6DB4" w:rsidRPr="001961B1">
        <w:rPr>
          <w:rFonts w:asciiTheme="minorHAnsi" w:hAnsiTheme="minorHAnsi" w:cstheme="minorHAnsi"/>
          <w:sz w:val="22"/>
          <w:szCs w:val="22"/>
          <w:lang w:val="fr-FR"/>
        </w:rPr>
        <w:t xml:space="preserve">présente quelques variations avec des taux plus élevés en Europe </w:t>
      </w:r>
      <w:r w:rsidR="007A519D" w:rsidRPr="001961B1">
        <w:rPr>
          <w:rFonts w:asciiTheme="minorHAnsi" w:hAnsiTheme="minorHAnsi" w:cstheme="minorHAnsi"/>
          <w:sz w:val="22"/>
          <w:szCs w:val="22"/>
          <w:lang w:val="fr-FR"/>
        </w:rPr>
        <w:t>(</w:t>
      </w:r>
      <w:r w:rsidR="00017534" w:rsidRPr="001961B1">
        <w:rPr>
          <w:rFonts w:asciiTheme="minorHAnsi" w:hAnsiTheme="minorHAnsi" w:cstheme="minorHAnsi"/>
          <w:sz w:val="22"/>
          <w:szCs w:val="22"/>
          <w:lang w:val="fr-FR"/>
        </w:rPr>
        <w:t>88</w:t>
      </w:r>
      <w:r w:rsidR="00FC6DB4" w:rsidRPr="001961B1">
        <w:rPr>
          <w:rFonts w:asciiTheme="minorHAnsi" w:hAnsiTheme="minorHAnsi" w:cstheme="minorHAnsi"/>
          <w:sz w:val="22"/>
          <w:szCs w:val="22"/>
          <w:lang w:val="fr-FR"/>
        </w:rPr>
        <w:t> </w:t>
      </w:r>
      <w:r w:rsidR="005A5DB7" w:rsidRPr="001961B1">
        <w:rPr>
          <w:rFonts w:asciiTheme="minorHAnsi" w:hAnsiTheme="minorHAnsi" w:cstheme="minorHAnsi"/>
          <w:sz w:val="22"/>
          <w:szCs w:val="22"/>
          <w:lang w:val="fr-FR"/>
        </w:rPr>
        <w:t>%</w:t>
      </w:r>
      <w:r w:rsidR="007A519D" w:rsidRPr="001961B1">
        <w:rPr>
          <w:rFonts w:asciiTheme="minorHAnsi" w:hAnsiTheme="minorHAnsi" w:cstheme="minorHAnsi"/>
          <w:sz w:val="22"/>
          <w:szCs w:val="22"/>
          <w:lang w:val="fr-FR"/>
        </w:rPr>
        <w:t>)</w:t>
      </w:r>
      <w:r w:rsidR="00B64702" w:rsidRPr="001961B1">
        <w:rPr>
          <w:rFonts w:asciiTheme="minorHAnsi" w:hAnsiTheme="minorHAnsi" w:cstheme="minorHAnsi"/>
          <w:sz w:val="22"/>
          <w:szCs w:val="22"/>
          <w:lang w:val="fr-FR"/>
        </w:rPr>
        <w:t xml:space="preserve"> </w:t>
      </w:r>
      <w:r w:rsidR="00FC6DB4" w:rsidRPr="001961B1">
        <w:rPr>
          <w:rFonts w:asciiTheme="minorHAnsi" w:hAnsiTheme="minorHAnsi" w:cstheme="minorHAnsi"/>
          <w:sz w:val="22"/>
          <w:szCs w:val="22"/>
          <w:lang w:val="fr-FR"/>
        </w:rPr>
        <w:t>que dans d’autres régions (entre</w:t>
      </w:r>
      <w:r w:rsidR="006F4D59" w:rsidRPr="001961B1">
        <w:rPr>
          <w:rFonts w:asciiTheme="minorHAnsi" w:hAnsiTheme="minorHAnsi" w:cstheme="minorHAnsi"/>
          <w:sz w:val="22"/>
          <w:szCs w:val="22"/>
          <w:lang w:val="fr-FR"/>
        </w:rPr>
        <w:t xml:space="preserve"> </w:t>
      </w:r>
      <w:r w:rsidR="00231E16" w:rsidRPr="001961B1">
        <w:rPr>
          <w:rFonts w:asciiTheme="minorHAnsi" w:hAnsiTheme="minorHAnsi" w:cstheme="minorHAnsi"/>
          <w:sz w:val="22"/>
          <w:szCs w:val="22"/>
          <w:lang w:val="fr-FR"/>
        </w:rPr>
        <w:t>50</w:t>
      </w:r>
      <w:r w:rsidR="00FC6DB4" w:rsidRPr="001961B1">
        <w:rPr>
          <w:rFonts w:asciiTheme="minorHAnsi" w:hAnsiTheme="minorHAnsi" w:cstheme="minorHAnsi"/>
          <w:sz w:val="22"/>
          <w:szCs w:val="22"/>
          <w:lang w:val="fr-FR"/>
        </w:rPr>
        <w:t> </w:t>
      </w:r>
      <w:r w:rsidR="00833AF9" w:rsidRPr="001961B1">
        <w:rPr>
          <w:rFonts w:asciiTheme="minorHAnsi" w:hAnsiTheme="minorHAnsi" w:cstheme="minorHAnsi"/>
          <w:sz w:val="22"/>
          <w:szCs w:val="22"/>
          <w:lang w:val="fr-FR"/>
        </w:rPr>
        <w:t>%</w:t>
      </w:r>
      <w:r w:rsidR="00231E16" w:rsidRPr="001961B1">
        <w:rPr>
          <w:rFonts w:asciiTheme="minorHAnsi" w:hAnsiTheme="minorHAnsi" w:cstheme="minorHAnsi"/>
          <w:sz w:val="22"/>
          <w:szCs w:val="22"/>
          <w:lang w:val="fr-FR"/>
        </w:rPr>
        <w:t xml:space="preserve"> </w:t>
      </w:r>
      <w:r w:rsidR="00FC6DB4" w:rsidRPr="001961B1">
        <w:rPr>
          <w:rFonts w:asciiTheme="minorHAnsi" w:hAnsiTheme="minorHAnsi" w:cstheme="minorHAnsi"/>
          <w:sz w:val="22"/>
          <w:szCs w:val="22"/>
          <w:lang w:val="fr-FR"/>
        </w:rPr>
        <w:t>et</w:t>
      </w:r>
      <w:r w:rsidR="00B55619" w:rsidRPr="001961B1">
        <w:rPr>
          <w:rFonts w:asciiTheme="minorHAnsi" w:hAnsiTheme="minorHAnsi" w:cstheme="minorHAnsi"/>
          <w:sz w:val="22"/>
          <w:szCs w:val="22"/>
          <w:lang w:val="fr-FR"/>
        </w:rPr>
        <w:t xml:space="preserve"> </w:t>
      </w:r>
      <w:r w:rsidR="00231E16" w:rsidRPr="001961B1">
        <w:rPr>
          <w:rFonts w:asciiTheme="minorHAnsi" w:hAnsiTheme="minorHAnsi" w:cstheme="minorHAnsi"/>
          <w:sz w:val="22"/>
          <w:szCs w:val="22"/>
          <w:lang w:val="fr-FR"/>
        </w:rPr>
        <w:t>70</w:t>
      </w:r>
      <w:r w:rsidR="00FC6DB4" w:rsidRPr="001961B1">
        <w:rPr>
          <w:rFonts w:asciiTheme="minorHAnsi" w:hAnsiTheme="minorHAnsi" w:cstheme="minorHAnsi"/>
          <w:sz w:val="22"/>
          <w:szCs w:val="22"/>
          <w:lang w:val="fr-FR"/>
        </w:rPr>
        <w:t> </w:t>
      </w:r>
      <w:r w:rsidR="00B55619" w:rsidRPr="001961B1">
        <w:rPr>
          <w:rFonts w:asciiTheme="minorHAnsi" w:hAnsiTheme="minorHAnsi" w:cstheme="minorHAnsi"/>
          <w:sz w:val="22"/>
          <w:szCs w:val="22"/>
          <w:lang w:val="fr-FR"/>
        </w:rPr>
        <w:t>%</w:t>
      </w:r>
      <w:r w:rsidR="006F4D59" w:rsidRPr="001961B1">
        <w:rPr>
          <w:rFonts w:asciiTheme="minorHAnsi" w:hAnsiTheme="minorHAnsi" w:cstheme="minorHAnsi"/>
          <w:sz w:val="22"/>
          <w:szCs w:val="22"/>
          <w:lang w:val="fr-FR"/>
        </w:rPr>
        <w:t xml:space="preserve">). </w:t>
      </w:r>
    </w:p>
    <w:p w14:paraId="08AF3C8B" w14:textId="77777777" w:rsidR="005A5DB7" w:rsidRPr="001961B1" w:rsidRDefault="005A5DB7" w:rsidP="00257025">
      <w:pPr>
        <w:ind w:left="567" w:hanging="567"/>
        <w:rPr>
          <w:rFonts w:asciiTheme="minorHAnsi" w:hAnsiTheme="minorHAnsi" w:cstheme="minorHAnsi"/>
          <w:sz w:val="22"/>
          <w:szCs w:val="22"/>
          <w:lang w:val="fr-FR"/>
        </w:rPr>
      </w:pPr>
    </w:p>
    <w:p w14:paraId="39EE4DE4" w14:textId="57580D8A" w:rsidR="0009645F"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8</w:t>
      </w:r>
      <w:r w:rsidR="002E1E29" w:rsidRPr="001961B1">
        <w:rPr>
          <w:rFonts w:asciiTheme="minorHAnsi" w:hAnsiTheme="minorHAnsi" w:cstheme="minorHAnsi"/>
          <w:sz w:val="22"/>
          <w:szCs w:val="22"/>
          <w:lang w:val="fr-FR"/>
        </w:rPr>
        <w:t>1</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107E09" w:rsidRPr="001961B1">
        <w:rPr>
          <w:rFonts w:asciiTheme="minorHAnsi" w:hAnsiTheme="minorHAnsi" w:cstheme="minorHAnsi"/>
          <w:sz w:val="22"/>
          <w:szCs w:val="22"/>
          <w:lang w:val="fr-FR"/>
        </w:rPr>
        <w:t xml:space="preserve">De nombreuses Parties contractantes signalent aussi des mesures prises ou prévues pour renforcer la durabilité des zones humides lorsqu’elles sont affectées par des secteurs </w:t>
      </w:r>
      <w:r w:rsidR="0087543D" w:rsidRPr="001961B1">
        <w:rPr>
          <w:rFonts w:asciiTheme="minorHAnsi" w:hAnsiTheme="minorHAnsi" w:cstheme="minorHAnsi"/>
          <w:sz w:val="22"/>
          <w:szCs w:val="22"/>
          <w:lang w:val="fr-FR"/>
        </w:rPr>
        <w:t xml:space="preserve">d’activités </w:t>
      </w:r>
      <w:r w:rsidR="00107E09" w:rsidRPr="001961B1">
        <w:rPr>
          <w:rFonts w:asciiTheme="minorHAnsi" w:hAnsiTheme="minorHAnsi" w:cstheme="minorHAnsi"/>
          <w:sz w:val="22"/>
          <w:szCs w:val="22"/>
          <w:lang w:val="fr-FR"/>
        </w:rPr>
        <w:t xml:space="preserve">clés : plus de 75 % de Parties pour ce qui concerne la pêche, le tourisme et </w:t>
      </w:r>
      <w:r w:rsidR="008314F3" w:rsidRPr="001961B1">
        <w:rPr>
          <w:rFonts w:asciiTheme="minorHAnsi" w:hAnsiTheme="minorHAnsi" w:cstheme="minorHAnsi"/>
          <w:sz w:val="22"/>
          <w:szCs w:val="22"/>
          <w:lang w:val="fr-FR"/>
        </w:rPr>
        <w:t>l’urbanisation</w:t>
      </w:r>
      <w:r w:rsidR="00107E09" w:rsidRPr="001961B1">
        <w:rPr>
          <w:rFonts w:asciiTheme="minorHAnsi" w:hAnsiTheme="minorHAnsi" w:cstheme="minorHAnsi"/>
          <w:sz w:val="22"/>
          <w:szCs w:val="22"/>
          <w:lang w:val="fr-FR"/>
        </w:rPr>
        <w:t> ; plus de 65 % pour l’agriculture, l’aquaculture, la foresterie et l’infrastructure</w:t>
      </w:r>
      <w:r w:rsidR="008633BA" w:rsidRPr="001961B1">
        <w:rPr>
          <w:rFonts w:asciiTheme="minorHAnsi" w:hAnsiTheme="minorHAnsi" w:cstheme="minorHAnsi"/>
          <w:sz w:val="22"/>
          <w:szCs w:val="22"/>
          <w:lang w:val="fr-FR"/>
        </w:rPr>
        <w:t xml:space="preserve">, et </w:t>
      </w:r>
      <w:r w:rsidR="0087543D" w:rsidRPr="001961B1">
        <w:rPr>
          <w:rFonts w:asciiTheme="minorHAnsi" w:hAnsiTheme="minorHAnsi" w:cstheme="minorHAnsi"/>
          <w:sz w:val="22"/>
          <w:szCs w:val="22"/>
          <w:lang w:val="fr-FR"/>
        </w:rPr>
        <w:t>un peu moins</w:t>
      </w:r>
      <w:r w:rsidR="008633BA" w:rsidRPr="001961B1">
        <w:rPr>
          <w:rFonts w:asciiTheme="minorHAnsi" w:hAnsiTheme="minorHAnsi" w:cstheme="minorHAnsi"/>
          <w:sz w:val="22"/>
          <w:szCs w:val="22"/>
          <w:lang w:val="fr-FR"/>
        </w:rPr>
        <w:t xml:space="preserve"> pour l’industrie, l’énergie et les mines. Les réponses narratives attribuent ces </w:t>
      </w:r>
      <w:r w:rsidR="008633BA" w:rsidRPr="001961B1">
        <w:rPr>
          <w:rFonts w:asciiTheme="minorHAnsi" w:hAnsiTheme="minorHAnsi" w:cstheme="minorHAnsi"/>
          <w:sz w:val="22"/>
          <w:szCs w:val="22"/>
          <w:lang w:val="fr-FR"/>
        </w:rPr>
        <w:lastRenderedPageBreak/>
        <w:t>gains à des réformes juridiques, à un alignement réglementaire croissant avec les Objectifs de développement durable, la sensibilisation institutionnelle et la coordination intersectorielle, et des progrès en matière de mise en œuvre des projets.</w:t>
      </w:r>
      <w:r w:rsidR="00AB2083" w:rsidRPr="001961B1">
        <w:rPr>
          <w:rFonts w:asciiTheme="minorHAnsi" w:hAnsiTheme="minorHAnsi" w:cstheme="minorHAnsi"/>
          <w:sz w:val="22"/>
          <w:szCs w:val="22"/>
          <w:lang w:val="fr-FR"/>
        </w:rPr>
        <w:t xml:space="preserve"> </w:t>
      </w:r>
    </w:p>
    <w:p w14:paraId="61D399F6" w14:textId="77777777" w:rsidR="00767014" w:rsidRPr="001961B1" w:rsidRDefault="00767014" w:rsidP="00257025">
      <w:pPr>
        <w:ind w:left="567" w:hanging="567"/>
        <w:rPr>
          <w:rFonts w:asciiTheme="minorHAnsi" w:hAnsiTheme="minorHAnsi" w:cstheme="minorHAnsi"/>
          <w:sz w:val="22"/>
          <w:szCs w:val="22"/>
          <w:lang w:val="fr-FR"/>
        </w:rPr>
      </w:pPr>
    </w:p>
    <w:p w14:paraId="7516342B" w14:textId="6444DD8D" w:rsidR="00371313"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8</w:t>
      </w:r>
      <w:r w:rsidR="002E1E29" w:rsidRPr="001961B1">
        <w:rPr>
          <w:rFonts w:asciiTheme="minorHAnsi" w:hAnsiTheme="minorHAnsi" w:cstheme="minorHAnsi"/>
          <w:sz w:val="22"/>
          <w:szCs w:val="22"/>
          <w:lang w:val="fr-FR"/>
        </w:rPr>
        <w:t>2</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400EFF" w:rsidRPr="001961B1">
        <w:rPr>
          <w:rFonts w:asciiTheme="minorHAnsi" w:hAnsiTheme="minorHAnsi" w:cstheme="minorHAnsi"/>
          <w:sz w:val="22"/>
          <w:szCs w:val="22"/>
          <w:lang w:val="fr-FR"/>
        </w:rPr>
        <w:t>L</w:t>
      </w:r>
      <w:r w:rsidR="00540421" w:rsidRPr="001961B1">
        <w:rPr>
          <w:rFonts w:asciiTheme="minorHAnsi" w:hAnsiTheme="minorHAnsi" w:cstheme="minorHAnsi"/>
          <w:sz w:val="22"/>
          <w:szCs w:val="22"/>
          <w:lang w:val="fr-FR"/>
        </w:rPr>
        <w:t>es Parties contractantes</w:t>
      </w:r>
      <w:r w:rsidR="00400EFF" w:rsidRPr="001961B1">
        <w:rPr>
          <w:rFonts w:asciiTheme="minorHAnsi" w:hAnsiTheme="minorHAnsi" w:cstheme="minorHAnsi"/>
          <w:sz w:val="22"/>
          <w:szCs w:val="22"/>
          <w:lang w:val="fr-FR"/>
        </w:rPr>
        <w:t xml:space="preserve"> font état de quelques obstacles communs</w:t>
      </w:r>
      <w:r w:rsidR="00540421" w:rsidRPr="001961B1">
        <w:rPr>
          <w:rFonts w:asciiTheme="minorHAnsi" w:hAnsiTheme="minorHAnsi" w:cstheme="minorHAnsi"/>
          <w:sz w:val="22"/>
          <w:szCs w:val="22"/>
          <w:lang w:val="fr-FR"/>
        </w:rPr>
        <w:t xml:space="preserve">, </w:t>
      </w:r>
      <w:r w:rsidR="00400EFF" w:rsidRPr="001961B1">
        <w:rPr>
          <w:rFonts w:asciiTheme="minorHAnsi" w:hAnsiTheme="minorHAnsi" w:cstheme="minorHAnsi"/>
          <w:sz w:val="22"/>
          <w:szCs w:val="22"/>
          <w:lang w:val="fr-FR"/>
        </w:rPr>
        <w:t>notamment des</w:t>
      </w:r>
      <w:r w:rsidR="00540421" w:rsidRPr="001961B1">
        <w:rPr>
          <w:rFonts w:asciiTheme="minorHAnsi" w:hAnsiTheme="minorHAnsi" w:cstheme="minorHAnsi"/>
          <w:sz w:val="22"/>
          <w:szCs w:val="22"/>
          <w:lang w:val="fr-FR"/>
        </w:rPr>
        <w:t xml:space="preserve"> cadres juridiques </w:t>
      </w:r>
      <w:r w:rsidR="00400EFF" w:rsidRPr="001961B1">
        <w:rPr>
          <w:rFonts w:asciiTheme="minorHAnsi" w:hAnsiTheme="minorHAnsi" w:cstheme="minorHAnsi"/>
          <w:sz w:val="22"/>
          <w:szCs w:val="22"/>
          <w:lang w:val="fr-FR"/>
        </w:rPr>
        <w:t>insuffisants</w:t>
      </w:r>
      <w:r w:rsidR="00540421" w:rsidRPr="001961B1">
        <w:rPr>
          <w:rFonts w:asciiTheme="minorHAnsi" w:hAnsiTheme="minorHAnsi" w:cstheme="minorHAnsi"/>
          <w:sz w:val="22"/>
          <w:szCs w:val="22"/>
          <w:lang w:val="fr-FR"/>
        </w:rPr>
        <w:t xml:space="preserve"> et </w:t>
      </w:r>
      <w:r w:rsidR="00400EFF" w:rsidRPr="001961B1">
        <w:rPr>
          <w:rFonts w:asciiTheme="minorHAnsi" w:hAnsiTheme="minorHAnsi" w:cstheme="minorHAnsi"/>
          <w:sz w:val="22"/>
          <w:szCs w:val="22"/>
          <w:lang w:val="fr-FR"/>
        </w:rPr>
        <w:t>d</w:t>
      </w:r>
      <w:r w:rsidR="00540421" w:rsidRPr="001961B1">
        <w:rPr>
          <w:rFonts w:asciiTheme="minorHAnsi" w:hAnsiTheme="minorHAnsi" w:cstheme="minorHAnsi"/>
          <w:sz w:val="22"/>
          <w:szCs w:val="22"/>
          <w:lang w:val="fr-FR"/>
        </w:rPr>
        <w:t>es lacunes en matière de financement (en particulier en Afrique et en Océanie)</w:t>
      </w:r>
      <w:r w:rsidR="00D3520C" w:rsidRPr="001961B1">
        <w:rPr>
          <w:rFonts w:asciiTheme="minorHAnsi" w:hAnsiTheme="minorHAnsi" w:cstheme="minorHAnsi"/>
          <w:sz w:val="22"/>
          <w:szCs w:val="22"/>
          <w:lang w:val="fr-FR"/>
        </w:rPr>
        <w:t xml:space="preserve">, </w:t>
      </w:r>
      <w:r w:rsidR="00400EFF" w:rsidRPr="001961B1">
        <w:rPr>
          <w:rFonts w:asciiTheme="minorHAnsi" w:hAnsiTheme="minorHAnsi" w:cstheme="minorHAnsi"/>
          <w:sz w:val="22"/>
          <w:szCs w:val="22"/>
          <w:lang w:val="fr-FR"/>
        </w:rPr>
        <w:t>d</w:t>
      </w:r>
      <w:r w:rsidR="00D3520C" w:rsidRPr="001961B1">
        <w:rPr>
          <w:rFonts w:asciiTheme="minorHAnsi" w:hAnsiTheme="minorHAnsi" w:cstheme="minorHAnsi"/>
          <w:sz w:val="22"/>
          <w:szCs w:val="22"/>
          <w:lang w:val="fr-FR"/>
        </w:rPr>
        <w:t xml:space="preserve">es difficultés réglementaires et techniques (en Asie), la nécessité d’améliorer le suivi et la coordination (en Europe) et la capacité technique limitée (en Amérique latine et </w:t>
      </w:r>
      <w:r w:rsidR="00A27A89" w:rsidRPr="001961B1">
        <w:rPr>
          <w:rFonts w:asciiTheme="minorHAnsi" w:hAnsiTheme="minorHAnsi" w:cstheme="minorHAnsi"/>
          <w:sz w:val="22"/>
          <w:szCs w:val="22"/>
          <w:lang w:val="fr-FR"/>
        </w:rPr>
        <w:t>Caraïbes</w:t>
      </w:r>
      <w:r w:rsidR="00D3520C" w:rsidRPr="001961B1">
        <w:rPr>
          <w:rFonts w:asciiTheme="minorHAnsi" w:hAnsiTheme="minorHAnsi" w:cstheme="minorHAnsi"/>
          <w:sz w:val="22"/>
          <w:szCs w:val="22"/>
          <w:lang w:val="fr-FR"/>
        </w:rPr>
        <w:t xml:space="preserve">). </w:t>
      </w:r>
      <w:r w:rsidR="00400EFF" w:rsidRPr="001961B1">
        <w:rPr>
          <w:rFonts w:asciiTheme="minorHAnsi" w:hAnsiTheme="minorHAnsi" w:cstheme="minorHAnsi"/>
          <w:sz w:val="22"/>
          <w:szCs w:val="22"/>
          <w:lang w:val="fr-FR"/>
        </w:rPr>
        <w:t>P</w:t>
      </w:r>
      <w:r w:rsidR="00D3520C" w:rsidRPr="001961B1">
        <w:rPr>
          <w:rFonts w:asciiTheme="minorHAnsi" w:hAnsiTheme="minorHAnsi" w:cstheme="minorHAnsi"/>
          <w:sz w:val="22"/>
          <w:szCs w:val="22"/>
          <w:lang w:val="fr-FR"/>
        </w:rPr>
        <w:t>our surmonter les obstacles</w:t>
      </w:r>
      <w:r w:rsidR="00400EFF" w:rsidRPr="001961B1">
        <w:rPr>
          <w:rFonts w:asciiTheme="minorHAnsi" w:hAnsiTheme="minorHAnsi" w:cstheme="minorHAnsi"/>
          <w:sz w:val="22"/>
          <w:szCs w:val="22"/>
          <w:lang w:val="fr-FR"/>
        </w:rPr>
        <w:t>, les actions recommandées</w:t>
      </w:r>
      <w:r w:rsidR="00D3520C" w:rsidRPr="001961B1">
        <w:rPr>
          <w:rFonts w:asciiTheme="minorHAnsi" w:hAnsiTheme="minorHAnsi" w:cstheme="minorHAnsi"/>
          <w:sz w:val="22"/>
          <w:szCs w:val="22"/>
          <w:lang w:val="fr-FR"/>
        </w:rPr>
        <w:t xml:space="preserve"> comprennent l’amélioration des cadres juridiques, l’augmentation du financement en particulier dans les régions en développement, le renforcement de la capacité institutionnelle et technique et la promotion de la coordination intersectorielle.</w:t>
      </w:r>
      <w:r w:rsidR="00AB2083" w:rsidRPr="001961B1">
        <w:rPr>
          <w:rFonts w:asciiTheme="minorHAnsi" w:hAnsiTheme="minorHAnsi" w:cstheme="minorHAnsi"/>
          <w:sz w:val="22"/>
          <w:szCs w:val="22"/>
          <w:lang w:val="fr-FR"/>
        </w:rPr>
        <w:t xml:space="preserve"> </w:t>
      </w:r>
      <w:r w:rsidR="00DE2F07" w:rsidRPr="001961B1">
        <w:rPr>
          <w:rFonts w:asciiTheme="minorHAnsi" w:hAnsiTheme="minorHAnsi" w:cstheme="minorHAnsi"/>
          <w:sz w:val="22"/>
          <w:szCs w:val="22"/>
          <w:lang w:val="fr-FR"/>
        </w:rPr>
        <w:t xml:space="preserve"> </w:t>
      </w:r>
    </w:p>
    <w:p w14:paraId="76720EB4" w14:textId="77777777" w:rsidR="00C76214" w:rsidRPr="001961B1" w:rsidRDefault="00C76214" w:rsidP="00CD3F6B">
      <w:pPr>
        <w:rPr>
          <w:rFonts w:asciiTheme="minorHAnsi" w:hAnsiTheme="minorHAnsi" w:cstheme="minorHAnsi"/>
          <w:sz w:val="22"/>
          <w:szCs w:val="22"/>
          <w:lang w:val="fr-FR"/>
        </w:rPr>
      </w:pPr>
    </w:p>
    <w:p w14:paraId="1B3903E5" w14:textId="77777777" w:rsidR="00C3536E" w:rsidRPr="001961B1" w:rsidRDefault="00C3536E" w:rsidP="00CD3F6B">
      <w:pPr>
        <w:rPr>
          <w:rFonts w:asciiTheme="minorHAnsi" w:hAnsiTheme="minorHAnsi" w:cstheme="minorHAnsi"/>
          <w:sz w:val="22"/>
          <w:szCs w:val="22"/>
          <w:lang w:val="fr-FR"/>
        </w:rPr>
      </w:pPr>
    </w:p>
    <w:p w14:paraId="2FF5609F" w14:textId="4879211B" w:rsidR="00AD0A3E" w:rsidRPr="001961B1" w:rsidRDefault="00D31C55" w:rsidP="000D551C">
      <w:pPr>
        <w:keepNext/>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But</w:t>
      </w:r>
      <w:r w:rsidR="00AD0A3E" w:rsidRPr="001961B1">
        <w:rPr>
          <w:rFonts w:asciiTheme="minorHAnsi" w:hAnsiTheme="minorHAnsi" w:cstheme="minorHAnsi"/>
          <w:b/>
          <w:sz w:val="22"/>
          <w:szCs w:val="22"/>
          <w:lang w:val="fr-FR" w:eastAsia="fr-FR"/>
        </w:rPr>
        <w:t xml:space="preserve"> 4</w:t>
      </w:r>
      <w:r w:rsidRPr="001961B1">
        <w:rPr>
          <w:rFonts w:asciiTheme="minorHAnsi" w:hAnsiTheme="minorHAnsi" w:cstheme="minorHAnsi"/>
          <w:b/>
          <w:sz w:val="22"/>
          <w:szCs w:val="22"/>
          <w:lang w:val="fr-FR" w:eastAsia="fr-FR"/>
        </w:rPr>
        <w:t xml:space="preserve"> </w:t>
      </w:r>
      <w:r w:rsidR="00AD0A3E"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Améliorer la mise en œuvre</w:t>
      </w:r>
    </w:p>
    <w:p w14:paraId="61EEF491" w14:textId="77777777" w:rsidR="00C76214" w:rsidRPr="001961B1" w:rsidRDefault="00C76214" w:rsidP="000D551C">
      <w:pPr>
        <w:keepNext/>
        <w:rPr>
          <w:rFonts w:asciiTheme="minorHAnsi" w:hAnsiTheme="minorHAnsi" w:cstheme="minorHAnsi"/>
          <w:sz w:val="22"/>
          <w:szCs w:val="22"/>
          <w:u w:val="single"/>
          <w:lang w:val="fr-FR" w:eastAsia="fr-FR"/>
        </w:rPr>
      </w:pPr>
    </w:p>
    <w:tbl>
      <w:tblPr>
        <w:tblStyle w:val="TableGrid16"/>
        <w:tblW w:w="9351" w:type="dxa"/>
        <w:tblLook w:val="04A0" w:firstRow="1" w:lastRow="0" w:firstColumn="1" w:lastColumn="0" w:noHBand="0" w:noVBand="1"/>
      </w:tblPr>
      <w:tblGrid>
        <w:gridCol w:w="9351"/>
      </w:tblGrid>
      <w:tr w:rsidR="00C76214" w:rsidRPr="001961B1" w14:paraId="5561667F" w14:textId="77777777" w:rsidTr="004D229D">
        <w:tc>
          <w:tcPr>
            <w:tcW w:w="9351" w:type="dxa"/>
            <w:vAlign w:val="center"/>
          </w:tcPr>
          <w:p w14:paraId="5701D030" w14:textId="1C39A8B0" w:rsidR="00C76214" w:rsidRPr="001961B1" w:rsidRDefault="00D31C55" w:rsidP="008A3659">
            <w:pPr>
              <w:keepNext/>
              <w:spacing w:before="120" w:after="120"/>
              <w:rPr>
                <w:rFonts w:asciiTheme="minorHAnsi" w:hAnsiTheme="minorHAnsi" w:cstheme="minorHAnsi"/>
                <w:b/>
                <w:bCs/>
                <w:sz w:val="22"/>
                <w:szCs w:val="22"/>
                <w:lang w:val="fr-FR"/>
              </w:rPr>
            </w:pPr>
            <w:r w:rsidRPr="001961B1">
              <w:rPr>
                <w:rFonts w:asciiTheme="minorHAnsi" w:hAnsiTheme="minorHAnsi" w:cstheme="minorHAnsi"/>
                <w:b/>
                <w:bCs/>
                <w:sz w:val="22"/>
                <w:szCs w:val="22"/>
                <w:lang w:val="fr-FR"/>
              </w:rPr>
              <w:t>Objectif</w:t>
            </w:r>
            <w:r w:rsidR="00C76214" w:rsidRPr="001961B1">
              <w:rPr>
                <w:rFonts w:asciiTheme="minorHAnsi" w:hAnsiTheme="minorHAnsi" w:cstheme="minorHAnsi"/>
                <w:b/>
                <w:bCs/>
                <w:sz w:val="22"/>
                <w:szCs w:val="22"/>
                <w:lang w:val="fr-FR"/>
              </w:rPr>
              <w:t xml:space="preserve"> 14</w:t>
            </w:r>
            <w:r w:rsidRPr="001961B1">
              <w:rPr>
                <w:rFonts w:asciiTheme="minorHAnsi" w:hAnsiTheme="minorHAnsi" w:cstheme="minorHAnsi"/>
                <w:b/>
                <w:bCs/>
                <w:sz w:val="22"/>
                <w:szCs w:val="22"/>
                <w:lang w:val="fr-FR"/>
              </w:rPr>
              <w:t> </w:t>
            </w:r>
            <w:r w:rsidR="00C76214" w:rsidRPr="001961B1">
              <w:rPr>
                <w:rFonts w:asciiTheme="minorHAnsi" w:hAnsiTheme="minorHAnsi" w:cstheme="minorHAnsi"/>
                <w:b/>
                <w:bCs/>
                <w:sz w:val="22"/>
                <w:szCs w:val="22"/>
                <w:lang w:val="fr-FR"/>
              </w:rPr>
              <w:t xml:space="preserve">: </w:t>
            </w:r>
            <w:r w:rsidR="00630F8A" w:rsidRPr="001961B1">
              <w:rPr>
                <w:rFonts w:asciiTheme="minorHAnsi" w:hAnsiTheme="minorHAnsi" w:cstheme="minorHAnsi"/>
                <w:b/>
                <w:bCs/>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C76214" w:rsidRPr="001961B1">
              <w:rPr>
                <w:rFonts w:asciiTheme="minorHAnsi" w:hAnsiTheme="minorHAnsi" w:cstheme="minorHAnsi"/>
                <w:b/>
                <w:bCs/>
                <w:sz w:val="22"/>
                <w:szCs w:val="22"/>
                <w:lang w:val="fr-FR"/>
              </w:rPr>
              <w:t>.</w:t>
            </w:r>
          </w:p>
          <w:p w14:paraId="11F093C3" w14:textId="6DD90C43" w:rsidR="00991441" w:rsidRPr="001961B1" w:rsidRDefault="00D31C55" w:rsidP="008A3659">
            <w:pPr>
              <w:keepNext/>
              <w:spacing w:before="120" w:after="120"/>
              <w:rPr>
                <w:rFonts w:asciiTheme="minorHAnsi" w:hAnsiTheme="minorHAnsi" w:cstheme="minorHAnsi"/>
                <w:sz w:val="22"/>
                <w:szCs w:val="22"/>
                <w:highlight w:val="yellow"/>
                <w:lang w:val="fr-FR"/>
              </w:rPr>
            </w:pPr>
            <w:r w:rsidRPr="001961B1">
              <w:rPr>
                <w:rFonts w:asciiTheme="minorHAnsi" w:hAnsiTheme="minorHAnsi" w:cstheme="minorHAnsi"/>
                <w:bCs/>
                <w:sz w:val="22"/>
                <w:szCs w:val="22"/>
                <w:lang w:val="fr-FR" w:eastAsia="fr-FR"/>
              </w:rPr>
              <w:t xml:space="preserve">Contribution aux cibles </w:t>
            </w:r>
            <w:r w:rsidR="002400EF" w:rsidRPr="001961B1">
              <w:rPr>
                <w:rFonts w:asciiTheme="minorHAnsi" w:hAnsiTheme="minorHAnsi" w:cstheme="minorHAnsi"/>
                <w:bCs/>
                <w:sz w:val="22"/>
                <w:szCs w:val="22"/>
                <w:lang w:val="fr-FR" w:eastAsia="fr-FR"/>
              </w:rPr>
              <w:t>2</w:t>
            </w:r>
            <w:r w:rsidR="00C85010" w:rsidRPr="001961B1">
              <w:rPr>
                <w:rFonts w:asciiTheme="minorHAnsi" w:hAnsiTheme="minorHAnsi" w:cstheme="minorHAnsi"/>
                <w:bCs/>
                <w:sz w:val="22"/>
                <w:szCs w:val="22"/>
                <w:lang w:val="fr-FR" w:eastAsia="fr-FR"/>
              </w:rPr>
              <w:t>0</w:t>
            </w:r>
            <w:r w:rsidR="005919ED" w:rsidRPr="001961B1">
              <w:rPr>
                <w:rFonts w:asciiTheme="minorHAnsi" w:hAnsiTheme="minorHAnsi" w:cstheme="minorHAnsi"/>
                <w:bCs/>
                <w:sz w:val="22"/>
                <w:szCs w:val="22"/>
                <w:lang w:val="fr-FR" w:eastAsia="fr-FR"/>
              </w:rPr>
              <w:t xml:space="preserve"> </w:t>
            </w:r>
            <w:r w:rsidR="00630F8A" w:rsidRPr="001961B1">
              <w:rPr>
                <w:rFonts w:asciiTheme="minorHAnsi" w:hAnsiTheme="minorHAnsi" w:cstheme="minorHAnsi"/>
                <w:bCs/>
                <w:sz w:val="22"/>
                <w:szCs w:val="22"/>
                <w:lang w:val="fr-FR" w:eastAsia="fr-FR"/>
              </w:rPr>
              <w:t>et</w:t>
            </w:r>
            <w:r w:rsidR="00C85010" w:rsidRPr="001961B1">
              <w:rPr>
                <w:rFonts w:asciiTheme="minorHAnsi" w:hAnsiTheme="minorHAnsi" w:cstheme="minorHAnsi"/>
                <w:bCs/>
                <w:sz w:val="22"/>
                <w:szCs w:val="22"/>
                <w:lang w:val="fr-FR" w:eastAsia="fr-FR"/>
              </w:rPr>
              <w:t xml:space="preserve"> 21 </w:t>
            </w:r>
            <w:r w:rsidR="003E04DF" w:rsidRPr="001961B1">
              <w:rPr>
                <w:rFonts w:asciiTheme="minorHAnsi" w:hAnsiTheme="minorHAnsi" w:cstheme="minorHAnsi"/>
                <w:bCs/>
                <w:sz w:val="22"/>
                <w:szCs w:val="22"/>
                <w:lang w:val="fr-FR" w:eastAsia="fr-FR"/>
              </w:rPr>
              <w:t>du CMB-KM et aux cibles</w:t>
            </w:r>
            <w:r w:rsidR="00991441" w:rsidRPr="001961B1">
              <w:rPr>
                <w:rFonts w:asciiTheme="minorHAnsi" w:hAnsiTheme="minorHAnsi" w:cstheme="minorHAnsi"/>
                <w:bCs/>
                <w:sz w:val="22"/>
                <w:szCs w:val="22"/>
                <w:lang w:val="fr-FR" w:eastAsia="fr-FR"/>
              </w:rPr>
              <w:t xml:space="preserve"> </w:t>
            </w:r>
            <w:r w:rsidR="00C85010" w:rsidRPr="001961B1">
              <w:rPr>
                <w:rFonts w:asciiTheme="minorHAnsi" w:hAnsiTheme="minorHAnsi" w:cstheme="minorHAnsi"/>
                <w:bCs/>
                <w:sz w:val="22"/>
                <w:szCs w:val="22"/>
                <w:lang w:val="fr-FR" w:eastAsia="fr-FR"/>
              </w:rPr>
              <w:t>9.5</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9.a</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14.3</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14.4</w:t>
            </w:r>
            <w:r w:rsidR="00480780" w:rsidRPr="001961B1">
              <w:rPr>
                <w:rFonts w:asciiTheme="minorHAnsi" w:hAnsiTheme="minorHAnsi" w:cstheme="minorHAnsi"/>
                <w:bCs/>
                <w:sz w:val="22"/>
                <w:szCs w:val="22"/>
                <w:lang w:val="fr-FR" w:eastAsia="fr-FR"/>
              </w:rPr>
              <w:t>,</w:t>
            </w:r>
            <w:r w:rsidR="00C85010" w:rsidRPr="001961B1">
              <w:rPr>
                <w:rFonts w:asciiTheme="minorHAnsi" w:hAnsiTheme="minorHAnsi" w:cstheme="minorHAnsi"/>
                <w:bCs/>
                <w:sz w:val="22"/>
                <w:szCs w:val="22"/>
                <w:lang w:val="fr-FR" w:eastAsia="fr-FR"/>
              </w:rPr>
              <w:t xml:space="preserve"> 14.5</w:t>
            </w:r>
            <w:r w:rsidR="005919ED" w:rsidRPr="001961B1">
              <w:rPr>
                <w:rFonts w:asciiTheme="minorHAnsi" w:hAnsiTheme="minorHAnsi" w:cstheme="minorHAnsi"/>
                <w:bCs/>
                <w:sz w:val="22"/>
                <w:szCs w:val="22"/>
                <w:lang w:val="fr-FR" w:eastAsia="fr-FR"/>
              </w:rPr>
              <w:t xml:space="preserve"> </w:t>
            </w:r>
            <w:r w:rsidR="003E04DF" w:rsidRPr="001961B1">
              <w:rPr>
                <w:rFonts w:asciiTheme="minorHAnsi" w:hAnsiTheme="minorHAnsi" w:cstheme="minorHAnsi"/>
                <w:bCs/>
                <w:sz w:val="22"/>
                <w:szCs w:val="22"/>
                <w:lang w:val="fr-FR" w:eastAsia="fr-FR"/>
              </w:rPr>
              <w:t>et</w:t>
            </w:r>
            <w:r w:rsidR="00C85010" w:rsidRPr="001961B1">
              <w:rPr>
                <w:rFonts w:asciiTheme="minorHAnsi" w:hAnsiTheme="minorHAnsi" w:cstheme="minorHAnsi"/>
                <w:bCs/>
                <w:sz w:val="22"/>
                <w:szCs w:val="22"/>
                <w:lang w:val="fr-FR" w:eastAsia="fr-FR"/>
              </w:rPr>
              <w:t xml:space="preserve"> 17.6</w:t>
            </w:r>
            <w:r w:rsidR="003E04DF" w:rsidRPr="001961B1">
              <w:rPr>
                <w:rFonts w:asciiTheme="minorHAnsi" w:hAnsiTheme="minorHAnsi" w:cstheme="minorHAnsi"/>
                <w:bCs/>
                <w:sz w:val="22"/>
                <w:szCs w:val="22"/>
                <w:lang w:val="fr-FR" w:eastAsia="fr-FR"/>
              </w:rPr>
              <w:t xml:space="preserve"> des ODD</w:t>
            </w:r>
            <w:r w:rsidR="005919ED" w:rsidRPr="001961B1">
              <w:rPr>
                <w:rFonts w:asciiTheme="minorHAnsi" w:hAnsiTheme="minorHAnsi" w:cstheme="minorHAnsi"/>
                <w:bCs/>
                <w:sz w:val="22"/>
                <w:szCs w:val="22"/>
                <w:lang w:val="fr-FR" w:eastAsia="fr-FR"/>
              </w:rPr>
              <w:t>.</w:t>
            </w:r>
          </w:p>
        </w:tc>
      </w:tr>
    </w:tbl>
    <w:p w14:paraId="578D0BF4" w14:textId="77777777" w:rsidR="002D18E5" w:rsidRPr="001961B1" w:rsidRDefault="002D18E5" w:rsidP="000D551C">
      <w:pPr>
        <w:keepNext/>
        <w:rPr>
          <w:rFonts w:asciiTheme="minorHAnsi" w:hAnsiTheme="minorHAnsi" w:cstheme="minorHAnsi"/>
          <w:b/>
          <w:sz w:val="22"/>
          <w:szCs w:val="22"/>
          <w:lang w:val="fr-FR" w:eastAsia="fr-FR"/>
        </w:rPr>
      </w:pPr>
    </w:p>
    <w:p w14:paraId="24C3207A" w14:textId="42AE27B3" w:rsidR="0071600E" w:rsidRPr="001961B1" w:rsidRDefault="007251E6" w:rsidP="000D551C">
      <w:pPr>
        <w:keepNext/>
        <w:rPr>
          <w:rFonts w:asciiTheme="minorHAnsi" w:hAnsiTheme="minorHAnsi" w:cstheme="minorHAnsi"/>
          <w:bCs/>
          <w:i/>
          <w:iCs/>
          <w:sz w:val="22"/>
          <w:szCs w:val="22"/>
          <w:u w:val="single"/>
          <w:lang w:val="fr-FR" w:eastAsia="fr-FR"/>
        </w:rPr>
      </w:pPr>
      <w:r w:rsidRPr="001961B1">
        <w:rPr>
          <w:rFonts w:asciiTheme="minorHAnsi" w:hAnsiTheme="minorHAnsi" w:cstheme="minorHAnsi"/>
          <w:bCs/>
          <w:i/>
          <w:iCs/>
          <w:sz w:val="22"/>
          <w:szCs w:val="22"/>
          <w:u w:val="single"/>
          <w:lang w:val="fr-FR" w:eastAsia="fr-FR"/>
        </w:rPr>
        <w:t>Message clé</w:t>
      </w:r>
    </w:p>
    <w:p w14:paraId="111D801A" w14:textId="77777777" w:rsidR="004921BD" w:rsidRPr="001961B1" w:rsidRDefault="004921BD" w:rsidP="00257025">
      <w:pPr>
        <w:keepNext/>
        <w:ind w:left="567" w:hanging="567"/>
        <w:rPr>
          <w:rFonts w:asciiTheme="minorHAnsi" w:hAnsiTheme="minorHAnsi" w:cstheme="minorHAnsi"/>
          <w:sz w:val="22"/>
          <w:szCs w:val="22"/>
          <w:lang w:val="fr-FR"/>
        </w:rPr>
      </w:pPr>
    </w:p>
    <w:p w14:paraId="33C82489" w14:textId="2832B894" w:rsidR="004921BD"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8</w:t>
      </w:r>
      <w:r w:rsidR="002E1E29" w:rsidRPr="001961B1">
        <w:rPr>
          <w:rFonts w:asciiTheme="minorHAnsi" w:hAnsiTheme="minorHAnsi" w:cstheme="minorHAnsi"/>
          <w:sz w:val="22"/>
          <w:szCs w:val="22"/>
          <w:lang w:val="fr-FR"/>
        </w:rPr>
        <w:t>3</w:t>
      </w:r>
      <w:r w:rsidR="00515041" w:rsidRPr="001961B1">
        <w:rPr>
          <w:rFonts w:asciiTheme="minorHAnsi" w:hAnsiTheme="minorHAnsi" w:cstheme="minorHAnsi"/>
          <w:sz w:val="22"/>
          <w:szCs w:val="22"/>
          <w:lang w:val="fr-FR"/>
        </w:rPr>
        <w:t>.</w:t>
      </w:r>
      <w:r w:rsidR="00515041" w:rsidRPr="001961B1">
        <w:rPr>
          <w:rFonts w:asciiTheme="minorHAnsi" w:hAnsiTheme="minorHAnsi" w:cstheme="minorHAnsi"/>
          <w:sz w:val="22"/>
          <w:szCs w:val="22"/>
          <w:lang w:val="fr-FR"/>
        </w:rPr>
        <w:tab/>
      </w:r>
      <w:r w:rsidR="0083212C" w:rsidRPr="001961B1">
        <w:rPr>
          <w:rFonts w:asciiTheme="minorHAnsi" w:hAnsiTheme="minorHAnsi" w:cstheme="minorHAnsi"/>
          <w:sz w:val="22"/>
          <w:szCs w:val="22"/>
          <w:lang w:val="fr-FR"/>
        </w:rPr>
        <w:t xml:space="preserve">Le Groupe d’évaluation scientifique et technique (GEST) a </w:t>
      </w:r>
      <w:r w:rsidR="00642313" w:rsidRPr="001961B1">
        <w:rPr>
          <w:rFonts w:asciiTheme="minorHAnsi" w:hAnsiTheme="minorHAnsi" w:cstheme="minorHAnsi"/>
          <w:sz w:val="22"/>
          <w:szCs w:val="22"/>
          <w:lang w:val="fr-FR"/>
        </w:rPr>
        <w:t>produit</w:t>
      </w:r>
      <w:r w:rsidR="0083212C" w:rsidRPr="001961B1">
        <w:rPr>
          <w:rFonts w:asciiTheme="minorHAnsi" w:hAnsiTheme="minorHAnsi" w:cstheme="minorHAnsi"/>
          <w:sz w:val="22"/>
          <w:szCs w:val="22"/>
          <w:lang w:val="fr-FR"/>
        </w:rPr>
        <w:t xml:space="preserve"> un nombre important de </w:t>
      </w:r>
      <w:r w:rsidR="00642313" w:rsidRPr="001961B1">
        <w:rPr>
          <w:rFonts w:asciiTheme="minorHAnsi" w:hAnsiTheme="minorHAnsi" w:cstheme="minorHAnsi"/>
          <w:sz w:val="22"/>
          <w:szCs w:val="22"/>
          <w:lang w:val="fr-FR"/>
        </w:rPr>
        <w:t xml:space="preserve">publications </w:t>
      </w:r>
      <w:r w:rsidR="0083212C" w:rsidRPr="001961B1">
        <w:rPr>
          <w:rFonts w:asciiTheme="minorHAnsi" w:hAnsiTheme="minorHAnsi" w:cstheme="minorHAnsi"/>
          <w:sz w:val="22"/>
          <w:szCs w:val="22"/>
          <w:lang w:val="fr-FR"/>
        </w:rPr>
        <w:t>scientifiques et techniques en ligne concernant les priorités du Plan stratégique, soutenant la mise en œuvre de la Convention au niveau national et contribuant à d’autres buts et objectifs mondiaux. Les produits du GEST sont accessibles au public dans les trois langues officielles de la Convention et largement diffusés</w:t>
      </w:r>
      <w:r w:rsidR="00993E4D" w:rsidRPr="001961B1">
        <w:rPr>
          <w:rFonts w:asciiTheme="minorHAnsi" w:hAnsiTheme="minorHAnsi" w:cstheme="minorHAnsi"/>
          <w:sz w:val="22"/>
          <w:szCs w:val="22"/>
          <w:lang w:val="fr-FR"/>
        </w:rPr>
        <w:t>. Il est cependant</w:t>
      </w:r>
      <w:r w:rsidR="0083212C" w:rsidRPr="001961B1">
        <w:rPr>
          <w:rFonts w:asciiTheme="minorHAnsi" w:hAnsiTheme="minorHAnsi" w:cstheme="minorHAnsi"/>
          <w:sz w:val="22"/>
          <w:szCs w:val="22"/>
          <w:lang w:val="fr-FR"/>
        </w:rPr>
        <w:t xml:space="preserve"> difficile d’évaluer </w:t>
      </w:r>
      <w:r w:rsidR="00993E4D" w:rsidRPr="001961B1">
        <w:rPr>
          <w:rFonts w:asciiTheme="minorHAnsi" w:hAnsiTheme="minorHAnsi" w:cstheme="minorHAnsi"/>
          <w:sz w:val="22"/>
          <w:szCs w:val="22"/>
          <w:lang w:val="fr-FR"/>
        </w:rPr>
        <w:t>dans quelle</w:t>
      </w:r>
      <w:r w:rsidR="0083212C" w:rsidRPr="001961B1">
        <w:rPr>
          <w:rFonts w:asciiTheme="minorHAnsi" w:hAnsiTheme="minorHAnsi" w:cstheme="minorHAnsi"/>
          <w:sz w:val="22"/>
          <w:szCs w:val="22"/>
          <w:lang w:val="fr-FR"/>
        </w:rPr>
        <w:t xml:space="preserve"> mesure ils sont utilisés.</w:t>
      </w:r>
    </w:p>
    <w:p w14:paraId="379D4DBC" w14:textId="77777777" w:rsidR="00024353" w:rsidRPr="001961B1" w:rsidRDefault="00024353" w:rsidP="00257025">
      <w:pPr>
        <w:ind w:left="567" w:hanging="567"/>
        <w:rPr>
          <w:rFonts w:asciiTheme="minorHAnsi" w:hAnsiTheme="minorHAnsi" w:cstheme="minorHAnsi"/>
          <w:sz w:val="22"/>
          <w:szCs w:val="22"/>
          <w:lang w:val="fr-FR"/>
        </w:rPr>
      </w:pPr>
    </w:p>
    <w:tbl>
      <w:tblPr>
        <w:tblStyle w:val="TableGrid31"/>
        <w:tblW w:w="9353" w:type="dxa"/>
        <w:tblLook w:val="04A0" w:firstRow="1" w:lastRow="0" w:firstColumn="1" w:lastColumn="0" w:noHBand="0" w:noVBand="1"/>
      </w:tblPr>
      <w:tblGrid>
        <w:gridCol w:w="4301"/>
        <w:gridCol w:w="1130"/>
        <w:gridCol w:w="824"/>
        <w:gridCol w:w="824"/>
        <w:gridCol w:w="931"/>
        <w:gridCol w:w="1343"/>
      </w:tblGrid>
      <w:tr w:rsidR="00024353" w:rsidRPr="001961B1" w14:paraId="46D1FBEF" w14:textId="77777777" w:rsidTr="00110144">
        <w:trPr>
          <w:cantSplit/>
        </w:trPr>
        <w:tc>
          <w:tcPr>
            <w:tcW w:w="0" w:type="auto"/>
            <w:vAlign w:val="center"/>
            <w:hideMark/>
          </w:tcPr>
          <w:p w14:paraId="0B09DB64" w14:textId="040FF0FF" w:rsidR="00024353" w:rsidRPr="001961B1" w:rsidRDefault="00024353" w:rsidP="00110144">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630F8A"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hideMark/>
          </w:tcPr>
          <w:p w14:paraId="14323DD5" w14:textId="2B980C56" w:rsidR="00024353" w:rsidRPr="001961B1" w:rsidRDefault="00630F8A" w:rsidP="00110144">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hideMark/>
          </w:tcPr>
          <w:p w14:paraId="667AD830" w14:textId="77777777" w:rsidR="00024353" w:rsidRPr="001961B1" w:rsidRDefault="00024353"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0" w:type="auto"/>
            <w:vAlign w:val="center"/>
            <w:hideMark/>
          </w:tcPr>
          <w:p w14:paraId="11C4920A" w14:textId="77777777" w:rsidR="00024353" w:rsidRPr="001961B1" w:rsidRDefault="00024353"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0" w:type="auto"/>
            <w:vAlign w:val="center"/>
            <w:hideMark/>
          </w:tcPr>
          <w:p w14:paraId="3D2352FD" w14:textId="77777777" w:rsidR="00024353" w:rsidRPr="001961B1" w:rsidRDefault="00024353"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0" w:type="auto"/>
            <w:vAlign w:val="center"/>
            <w:hideMark/>
          </w:tcPr>
          <w:p w14:paraId="0F338715" w14:textId="51A7C56F" w:rsidR="00024353" w:rsidRPr="001961B1" w:rsidRDefault="00024353" w:rsidP="00110144">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w:t>
            </w:r>
            <w:r w:rsidR="00630F8A" w:rsidRPr="001961B1">
              <w:rPr>
                <w:rFonts w:asciiTheme="minorHAnsi" w:eastAsia="Aptos" w:hAnsiTheme="minorHAnsi" w:cstheme="minorHAnsi"/>
                <w:b/>
                <w:bCs/>
                <w:sz w:val="22"/>
                <w:szCs w:val="22"/>
              </w:rPr>
              <w:t>endance</w:t>
            </w:r>
          </w:p>
        </w:tc>
      </w:tr>
      <w:tr w:rsidR="00024353" w:rsidRPr="001961B1" w14:paraId="46C5AD5B" w14:textId="77777777" w:rsidTr="00110144">
        <w:trPr>
          <w:cantSplit/>
        </w:trPr>
        <w:tc>
          <w:tcPr>
            <w:tcW w:w="0" w:type="auto"/>
          </w:tcPr>
          <w:p w14:paraId="00BAC85C" w14:textId="6F4B1A18" w:rsidR="00024353" w:rsidRPr="001961B1" w:rsidRDefault="003E04DF"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fois où des pages d’orientations scientifiques et techniques du site web de la Convention de Ramsar ont été consultées et sous-totaux y afférents par pays et Régions Ramsar indiquant l’origine de ces consultations</w:t>
            </w:r>
            <w:r w:rsidR="00024353" w:rsidRPr="001961B1">
              <w:rPr>
                <w:rFonts w:asciiTheme="minorHAnsi" w:eastAsia="Aptos" w:hAnsiTheme="minorHAnsi" w:cstheme="minorHAnsi"/>
                <w:sz w:val="22"/>
                <w:szCs w:val="22"/>
                <w:lang w:val="fr-FR"/>
              </w:rPr>
              <w:t>*</w:t>
            </w:r>
            <w:r w:rsidR="00D3520C" w:rsidRPr="001961B1">
              <w:rPr>
                <w:rFonts w:asciiTheme="minorHAnsi" w:eastAsia="Aptos" w:hAnsiTheme="minorHAnsi" w:cstheme="minorHAnsi"/>
                <w:sz w:val="22"/>
                <w:szCs w:val="22"/>
                <w:lang w:val="fr-FR"/>
              </w:rPr>
              <w:t>.</w:t>
            </w:r>
          </w:p>
        </w:tc>
        <w:tc>
          <w:tcPr>
            <w:tcW w:w="0" w:type="auto"/>
          </w:tcPr>
          <w:p w14:paraId="18A51E4F"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N/A</w:t>
            </w:r>
          </w:p>
        </w:tc>
        <w:tc>
          <w:tcPr>
            <w:tcW w:w="0" w:type="auto"/>
          </w:tcPr>
          <w:p w14:paraId="1188689D" w14:textId="46C0068D"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13</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234</w:t>
            </w:r>
          </w:p>
        </w:tc>
        <w:tc>
          <w:tcPr>
            <w:tcW w:w="0" w:type="auto"/>
          </w:tcPr>
          <w:p w14:paraId="3921F895" w14:textId="22B96FF8"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22</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772</w:t>
            </w:r>
          </w:p>
        </w:tc>
        <w:tc>
          <w:tcPr>
            <w:tcW w:w="0" w:type="auto"/>
          </w:tcPr>
          <w:p w14:paraId="674A4E65" w14:textId="601A5161"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4</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240*</w:t>
            </w:r>
            <w:r w:rsidRPr="001961B1">
              <w:rPr>
                <w:rFonts w:asciiTheme="minorHAnsi" w:eastAsia="Aptos" w:hAnsiTheme="minorHAnsi" w:cstheme="minorHAnsi"/>
                <w:b/>
                <w:bCs/>
                <w:sz w:val="22"/>
                <w:szCs w:val="22"/>
              </w:rPr>
              <w:t>*</w:t>
            </w:r>
          </w:p>
        </w:tc>
        <w:tc>
          <w:tcPr>
            <w:tcW w:w="0" w:type="auto"/>
            <w:vAlign w:val="center"/>
          </w:tcPr>
          <w:p w14:paraId="28AE6E2E" w14:textId="77777777" w:rsidR="00024353" w:rsidRPr="001961B1" w:rsidRDefault="00024353" w:rsidP="00110144">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13B10BC6" wp14:editId="0A1D612E">
                  <wp:extent cx="277254" cy="432000"/>
                  <wp:effectExtent l="0" t="0" r="8890" b="0"/>
                  <wp:docPr id="602278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1961B1" w14:paraId="607EA76D" w14:textId="77777777" w:rsidTr="00110144">
        <w:trPr>
          <w:cantSplit/>
        </w:trPr>
        <w:tc>
          <w:tcPr>
            <w:tcW w:w="0" w:type="auto"/>
          </w:tcPr>
          <w:p w14:paraId="28986350" w14:textId="50ED40F4" w:rsidR="00024353" w:rsidRPr="001961B1" w:rsidRDefault="003E04DF"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fois où des documents d’information du GEST ont été téléchargés du site web de la Convention de Ramsar et sous-totaux y</w:t>
            </w:r>
            <w:r w:rsidR="00325F4D" w:rsidRPr="001961B1">
              <w:rPr>
                <w:rFonts w:asciiTheme="minorHAnsi" w:eastAsia="Aptos" w:hAnsiTheme="minorHAnsi" w:cstheme="minorHAnsi"/>
                <w:sz w:val="22"/>
                <w:szCs w:val="22"/>
                <w:lang w:val="fr-FR"/>
              </w:rPr>
              <w:t> </w:t>
            </w:r>
            <w:r w:rsidRPr="001961B1">
              <w:rPr>
                <w:rFonts w:asciiTheme="minorHAnsi" w:eastAsia="Aptos" w:hAnsiTheme="minorHAnsi" w:cstheme="minorHAnsi"/>
                <w:sz w:val="22"/>
                <w:szCs w:val="22"/>
                <w:lang w:val="fr-FR"/>
              </w:rPr>
              <w:t>afférents par pays et Régions Ramsar indiquant l’origine de ces téléchargements</w:t>
            </w:r>
            <w:r w:rsidR="00024353" w:rsidRPr="001961B1">
              <w:rPr>
                <w:rFonts w:asciiTheme="minorHAnsi" w:eastAsia="Aptos" w:hAnsiTheme="minorHAnsi" w:cstheme="minorHAnsi"/>
                <w:sz w:val="22"/>
                <w:szCs w:val="22"/>
                <w:lang w:val="fr-FR"/>
              </w:rPr>
              <w:t>*</w:t>
            </w:r>
            <w:r w:rsidR="00D3520C" w:rsidRPr="001961B1">
              <w:rPr>
                <w:rFonts w:asciiTheme="minorHAnsi" w:eastAsia="Aptos" w:hAnsiTheme="minorHAnsi" w:cstheme="minorHAnsi"/>
                <w:sz w:val="22"/>
                <w:szCs w:val="22"/>
                <w:lang w:val="fr-FR"/>
              </w:rPr>
              <w:t>.</w:t>
            </w:r>
          </w:p>
        </w:tc>
        <w:tc>
          <w:tcPr>
            <w:tcW w:w="0" w:type="auto"/>
          </w:tcPr>
          <w:p w14:paraId="7926B313"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N/A</w:t>
            </w:r>
          </w:p>
        </w:tc>
        <w:tc>
          <w:tcPr>
            <w:tcW w:w="0" w:type="auto"/>
          </w:tcPr>
          <w:p w14:paraId="5CB0D6E3" w14:textId="4C3E0399"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11</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337</w:t>
            </w:r>
          </w:p>
        </w:tc>
        <w:tc>
          <w:tcPr>
            <w:tcW w:w="0" w:type="auto"/>
          </w:tcPr>
          <w:p w14:paraId="0730AD64" w14:textId="27F54DC3"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14</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198</w:t>
            </w:r>
          </w:p>
        </w:tc>
        <w:tc>
          <w:tcPr>
            <w:tcW w:w="0" w:type="auto"/>
          </w:tcPr>
          <w:p w14:paraId="71789085" w14:textId="5995399F"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1</w:t>
            </w:r>
            <w:r w:rsidR="00325F4D" w:rsidRPr="001961B1">
              <w:rPr>
                <w:rFonts w:asciiTheme="minorHAnsi" w:eastAsia="Aptos" w:hAnsiTheme="minorHAnsi" w:cstheme="minorHAnsi"/>
                <w:sz w:val="22"/>
                <w:szCs w:val="22"/>
              </w:rPr>
              <w:t xml:space="preserve"> </w:t>
            </w:r>
            <w:r w:rsidRPr="001961B1">
              <w:rPr>
                <w:rFonts w:asciiTheme="minorHAnsi" w:eastAsia="Aptos" w:hAnsiTheme="minorHAnsi" w:cstheme="minorHAnsi"/>
                <w:sz w:val="22"/>
                <w:szCs w:val="22"/>
              </w:rPr>
              <w:t>954</w:t>
            </w:r>
            <w:r w:rsidRPr="001961B1">
              <w:rPr>
                <w:rFonts w:asciiTheme="minorHAnsi" w:eastAsia="Aptos" w:hAnsiTheme="minorHAnsi" w:cstheme="minorHAnsi"/>
                <w:b/>
                <w:bCs/>
                <w:sz w:val="22"/>
                <w:szCs w:val="22"/>
              </w:rPr>
              <w:t>**</w:t>
            </w:r>
          </w:p>
        </w:tc>
        <w:tc>
          <w:tcPr>
            <w:tcW w:w="0" w:type="auto"/>
            <w:vAlign w:val="center"/>
          </w:tcPr>
          <w:p w14:paraId="394D2B30" w14:textId="77777777" w:rsidR="00024353" w:rsidRPr="001961B1" w:rsidRDefault="00024353" w:rsidP="00110144">
            <w:pPr>
              <w:jc w:val="center"/>
              <w:rPr>
                <w:rFonts w:asciiTheme="minorHAnsi" w:eastAsia="Aptos" w:hAnsiTheme="minorHAnsi" w:cstheme="minorHAnsi"/>
                <w:noProof/>
                <w:sz w:val="22"/>
                <w:szCs w:val="22"/>
                <w:highlight w:val="yellow"/>
              </w:rPr>
            </w:pPr>
            <w:r w:rsidRPr="001961B1">
              <w:rPr>
                <w:rFonts w:asciiTheme="minorHAnsi" w:hAnsiTheme="minorHAnsi" w:cstheme="minorHAnsi"/>
                <w:noProof/>
                <w:sz w:val="22"/>
                <w:szCs w:val="22"/>
                <w:lang w:val="en-CA" w:eastAsia="en-CA"/>
              </w:rPr>
              <w:drawing>
                <wp:inline distT="0" distB="0" distL="0" distR="0" wp14:anchorId="2425E8AC" wp14:editId="5D5BC27C">
                  <wp:extent cx="277254" cy="432000"/>
                  <wp:effectExtent l="0" t="0" r="8890" b="0"/>
                  <wp:docPr id="1949433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1961B1" w14:paraId="3FB01A64" w14:textId="77777777" w:rsidTr="00110144">
        <w:trPr>
          <w:cantSplit/>
        </w:trPr>
        <w:tc>
          <w:tcPr>
            <w:tcW w:w="0" w:type="auto"/>
          </w:tcPr>
          <w:p w14:paraId="75E9FC60" w14:textId="43C3A6CE" w:rsidR="00024353" w:rsidRPr="001961B1" w:rsidRDefault="003E04DF"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fois où des Manuels Ramsar pertinents ont été téléchargés à partir du site web de la Convention de Ramsar et sous-totaux y afférents par pays et Régions Ramsar quant à l’origine de ces téléchargements</w:t>
            </w:r>
            <w:r w:rsidR="00024353" w:rsidRPr="001961B1">
              <w:rPr>
                <w:rFonts w:asciiTheme="minorHAnsi" w:eastAsia="Aptos" w:hAnsiTheme="minorHAnsi" w:cstheme="minorHAnsi"/>
                <w:sz w:val="22"/>
                <w:szCs w:val="22"/>
                <w:lang w:val="fr-FR"/>
              </w:rPr>
              <w:t>.</w:t>
            </w:r>
          </w:p>
        </w:tc>
        <w:tc>
          <w:tcPr>
            <w:tcW w:w="0" w:type="auto"/>
          </w:tcPr>
          <w:p w14:paraId="2C83F1C7"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N/A</w:t>
            </w:r>
          </w:p>
        </w:tc>
        <w:tc>
          <w:tcPr>
            <w:tcW w:w="0" w:type="auto"/>
          </w:tcPr>
          <w:p w14:paraId="5CDF1F5B" w14:textId="2389340E"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32</w:t>
            </w:r>
            <w:r w:rsidR="00325F4D" w:rsidRPr="001961B1">
              <w:rPr>
                <w:rFonts w:asciiTheme="minorHAnsi" w:eastAsia="Aptos" w:hAnsiTheme="minorHAnsi" w:cstheme="minorHAnsi"/>
                <w:sz w:val="22"/>
                <w:szCs w:val="22"/>
              </w:rPr>
              <w:t> </w:t>
            </w:r>
            <w:r w:rsidRPr="001961B1">
              <w:rPr>
                <w:rFonts w:asciiTheme="minorHAnsi" w:eastAsia="Aptos" w:hAnsiTheme="minorHAnsi" w:cstheme="minorHAnsi"/>
                <w:sz w:val="22"/>
                <w:szCs w:val="22"/>
              </w:rPr>
              <w:t>074</w:t>
            </w:r>
          </w:p>
        </w:tc>
        <w:tc>
          <w:tcPr>
            <w:tcW w:w="0" w:type="auto"/>
          </w:tcPr>
          <w:p w14:paraId="76C2CB82" w14:textId="24A55F69"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42</w:t>
            </w:r>
            <w:r w:rsidR="00325F4D" w:rsidRPr="001961B1">
              <w:rPr>
                <w:rFonts w:asciiTheme="minorHAnsi" w:eastAsia="Aptos" w:hAnsiTheme="minorHAnsi" w:cstheme="minorHAnsi"/>
                <w:sz w:val="22"/>
                <w:szCs w:val="22"/>
              </w:rPr>
              <w:t> </w:t>
            </w:r>
            <w:r w:rsidRPr="001961B1">
              <w:rPr>
                <w:rFonts w:asciiTheme="minorHAnsi" w:eastAsia="Aptos" w:hAnsiTheme="minorHAnsi" w:cstheme="minorHAnsi"/>
                <w:sz w:val="22"/>
                <w:szCs w:val="22"/>
              </w:rPr>
              <w:t>954</w:t>
            </w:r>
          </w:p>
        </w:tc>
        <w:tc>
          <w:tcPr>
            <w:tcW w:w="0" w:type="auto"/>
          </w:tcPr>
          <w:p w14:paraId="2A06382F" w14:textId="6EB363FA"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8</w:t>
            </w:r>
            <w:r w:rsidR="00325F4D" w:rsidRPr="001961B1">
              <w:rPr>
                <w:rFonts w:asciiTheme="minorHAnsi" w:eastAsia="Aptos" w:hAnsiTheme="minorHAnsi" w:cstheme="minorHAnsi"/>
                <w:sz w:val="22"/>
                <w:szCs w:val="22"/>
              </w:rPr>
              <w:t> </w:t>
            </w:r>
            <w:r w:rsidRPr="001961B1">
              <w:rPr>
                <w:rFonts w:asciiTheme="minorHAnsi" w:eastAsia="Aptos" w:hAnsiTheme="minorHAnsi" w:cstheme="minorHAnsi"/>
                <w:sz w:val="22"/>
                <w:szCs w:val="22"/>
              </w:rPr>
              <w:t>022</w:t>
            </w:r>
            <w:r w:rsidRPr="001961B1">
              <w:rPr>
                <w:rFonts w:asciiTheme="minorHAnsi" w:eastAsia="Aptos" w:hAnsiTheme="minorHAnsi" w:cstheme="minorHAnsi"/>
                <w:b/>
                <w:bCs/>
                <w:sz w:val="22"/>
                <w:szCs w:val="22"/>
              </w:rPr>
              <w:t>**</w:t>
            </w:r>
          </w:p>
        </w:tc>
        <w:tc>
          <w:tcPr>
            <w:tcW w:w="0" w:type="auto"/>
            <w:vAlign w:val="center"/>
          </w:tcPr>
          <w:p w14:paraId="4BA62396" w14:textId="77777777" w:rsidR="00024353" w:rsidRPr="001961B1" w:rsidRDefault="00024353" w:rsidP="00110144">
            <w:pPr>
              <w:jc w:val="center"/>
              <w:rPr>
                <w:rFonts w:asciiTheme="minorHAnsi"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2440EB23" wp14:editId="69895A41">
                  <wp:extent cx="277254" cy="432000"/>
                  <wp:effectExtent l="0" t="0" r="8890" b="0"/>
                  <wp:docPr id="1165978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1961B1" w14:paraId="4E57A711" w14:textId="77777777" w:rsidTr="00110144">
        <w:trPr>
          <w:cantSplit/>
        </w:trPr>
        <w:tc>
          <w:tcPr>
            <w:tcW w:w="0" w:type="auto"/>
          </w:tcPr>
          <w:p w14:paraId="61F1538E" w14:textId="635AD007" w:rsidR="00024353" w:rsidRPr="001961B1" w:rsidRDefault="003E04DF" w:rsidP="0011014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lastRenderedPageBreak/>
              <w:t>Nombre d’outils pratiques et de documents d’orientation pour la conservation et l’utilisation rationnelle des zones humides et autres documents scientifiques clés qui ont été élaborés soit par le GEST, soit par les Parties ou d’autres, et sont disponibles sur le site web de la Convention</w:t>
            </w:r>
            <w:r w:rsidR="00024353" w:rsidRPr="001961B1">
              <w:rPr>
                <w:rFonts w:asciiTheme="minorHAnsi" w:eastAsia="Aptos" w:hAnsiTheme="minorHAnsi" w:cstheme="minorHAnsi"/>
                <w:sz w:val="22"/>
                <w:szCs w:val="22"/>
                <w:lang w:val="fr-FR"/>
              </w:rPr>
              <w:t>.</w:t>
            </w:r>
          </w:p>
        </w:tc>
        <w:tc>
          <w:tcPr>
            <w:tcW w:w="0" w:type="auto"/>
          </w:tcPr>
          <w:p w14:paraId="021F57A4"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19</w:t>
            </w:r>
          </w:p>
        </w:tc>
        <w:tc>
          <w:tcPr>
            <w:tcW w:w="0" w:type="auto"/>
          </w:tcPr>
          <w:p w14:paraId="0771D505"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29</w:t>
            </w:r>
          </w:p>
        </w:tc>
        <w:tc>
          <w:tcPr>
            <w:tcW w:w="0" w:type="auto"/>
          </w:tcPr>
          <w:p w14:paraId="3505DB44"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37</w:t>
            </w:r>
          </w:p>
        </w:tc>
        <w:tc>
          <w:tcPr>
            <w:tcW w:w="0" w:type="auto"/>
          </w:tcPr>
          <w:p w14:paraId="3CB97DE3" w14:textId="77777777" w:rsidR="00024353" w:rsidRPr="001961B1" w:rsidRDefault="00024353" w:rsidP="00110144">
            <w:pPr>
              <w:jc w:val="center"/>
              <w:rPr>
                <w:rFonts w:asciiTheme="minorHAnsi" w:eastAsia="Aptos" w:hAnsiTheme="minorHAnsi" w:cstheme="minorHAnsi"/>
                <w:sz w:val="22"/>
                <w:szCs w:val="22"/>
              </w:rPr>
            </w:pPr>
            <w:r w:rsidRPr="001961B1">
              <w:rPr>
                <w:rFonts w:asciiTheme="minorHAnsi" w:eastAsia="Aptos" w:hAnsiTheme="minorHAnsi" w:cstheme="minorHAnsi"/>
                <w:sz w:val="22"/>
                <w:szCs w:val="22"/>
              </w:rPr>
              <w:t>42</w:t>
            </w:r>
          </w:p>
        </w:tc>
        <w:tc>
          <w:tcPr>
            <w:tcW w:w="0" w:type="auto"/>
            <w:vAlign w:val="center"/>
          </w:tcPr>
          <w:p w14:paraId="331F2EEA" w14:textId="77777777" w:rsidR="00024353" w:rsidRPr="001961B1" w:rsidRDefault="00024353" w:rsidP="00110144">
            <w:pPr>
              <w:jc w:val="center"/>
              <w:rPr>
                <w:rFonts w:asciiTheme="minorHAnsi"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55866D3" wp14:editId="51BD79A8">
                  <wp:extent cx="715700" cy="432000"/>
                  <wp:effectExtent l="0" t="0" r="0" b="0"/>
                  <wp:docPr id="709668380" name="Picture 4" descr="A green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68380" name="Picture 4" descr="A green line with circles&#10;&#10;AI-generated content may be incorre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bl>
    <w:p w14:paraId="77ACEE06" w14:textId="0C18D00B" w:rsidR="00024353" w:rsidRPr="001961B1" w:rsidRDefault="00024353" w:rsidP="00024353">
      <w:pPr>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 xml:space="preserve">* </w:t>
      </w:r>
      <w:r w:rsidR="002427B3" w:rsidRPr="001961B1">
        <w:rPr>
          <w:rFonts w:asciiTheme="minorHAnsi" w:hAnsiTheme="minorHAnsi" w:cstheme="minorHAnsi"/>
          <w:sz w:val="22"/>
          <w:szCs w:val="22"/>
          <w:lang w:val="fr-FR" w:eastAsia="fr-FR"/>
        </w:rPr>
        <w:t>Données par pays et région non disponibles.</w:t>
      </w:r>
    </w:p>
    <w:p w14:paraId="4034532B" w14:textId="65C93395" w:rsidR="00024353" w:rsidRPr="001961B1" w:rsidRDefault="00024353" w:rsidP="00024353">
      <w:pPr>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 xml:space="preserve">** </w:t>
      </w:r>
      <w:r w:rsidR="002427B3" w:rsidRPr="001961B1">
        <w:rPr>
          <w:rFonts w:asciiTheme="minorHAnsi" w:hAnsiTheme="minorHAnsi" w:cstheme="minorHAnsi"/>
          <w:sz w:val="22"/>
          <w:szCs w:val="22"/>
          <w:lang w:val="fr-FR" w:eastAsia="fr-FR"/>
        </w:rPr>
        <w:t xml:space="preserve">Les données sur les téléchargements et les pages visitées </w:t>
      </w:r>
      <w:r w:rsidR="00642313" w:rsidRPr="001961B1">
        <w:rPr>
          <w:rFonts w:asciiTheme="minorHAnsi" w:hAnsiTheme="minorHAnsi" w:cstheme="minorHAnsi"/>
          <w:sz w:val="22"/>
          <w:szCs w:val="22"/>
          <w:lang w:val="fr-FR" w:eastAsia="fr-FR"/>
        </w:rPr>
        <w:t>en</w:t>
      </w:r>
      <w:r w:rsidR="002427B3" w:rsidRPr="001961B1">
        <w:rPr>
          <w:rFonts w:asciiTheme="minorHAnsi" w:hAnsiTheme="minorHAnsi" w:cstheme="minorHAnsi"/>
          <w:sz w:val="22"/>
          <w:szCs w:val="22"/>
          <w:lang w:val="fr-FR" w:eastAsia="fr-FR"/>
        </w:rPr>
        <w:t xml:space="preserve"> </w:t>
      </w:r>
      <w:r w:rsidRPr="001961B1">
        <w:rPr>
          <w:rFonts w:asciiTheme="minorHAnsi" w:hAnsiTheme="minorHAnsi" w:cstheme="minorHAnsi"/>
          <w:sz w:val="22"/>
          <w:szCs w:val="22"/>
          <w:lang w:val="fr-FR" w:eastAsia="fr-FR"/>
        </w:rPr>
        <w:t xml:space="preserve">2023–2025 </w:t>
      </w:r>
      <w:r w:rsidR="002427B3" w:rsidRPr="001961B1">
        <w:rPr>
          <w:rFonts w:asciiTheme="minorHAnsi" w:hAnsiTheme="minorHAnsi" w:cstheme="minorHAnsi"/>
          <w:sz w:val="22"/>
          <w:szCs w:val="22"/>
          <w:lang w:val="fr-FR" w:eastAsia="fr-FR"/>
        </w:rPr>
        <w:t xml:space="preserve">ne sont pas directement comparables avec </w:t>
      </w:r>
      <w:r w:rsidR="00642313" w:rsidRPr="001961B1">
        <w:rPr>
          <w:rFonts w:asciiTheme="minorHAnsi" w:hAnsiTheme="minorHAnsi" w:cstheme="minorHAnsi"/>
          <w:sz w:val="22"/>
          <w:szCs w:val="22"/>
          <w:lang w:val="fr-FR" w:eastAsia="fr-FR"/>
        </w:rPr>
        <w:t>celles des</w:t>
      </w:r>
      <w:r w:rsidR="002427B3" w:rsidRPr="001961B1">
        <w:rPr>
          <w:rFonts w:asciiTheme="minorHAnsi" w:hAnsiTheme="minorHAnsi" w:cstheme="minorHAnsi"/>
          <w:sz w:val="22"/>
          <w:szCs w:val="22"/>
          <w:lang w:val="fr-FR" w:eastAsia="fr-FR"/>
        </w:rPr>
        <w:t xml:space="preserve"> périodes triennales précédentes en raison de changements dans les méthodes de </w:t>
      </w:r>
      <w:r w:rsidR="00993E4D" w:rsidRPr="001961B1">
        <w:rPr>
          <w:rFonts w:asciiTheme="minorHAnsi" w:hAnsiTheme="minorHAnsi" w:cstheme="minorHAnsi"/>
          <w:sz w:val="22"/>
          <w:szCs w:val="22"/>
          <w:lang w:val="fr-FR" w:eastAsia="fr-FR"/>
        </w:rPr>
        <w:t>suivi</w:t>
      </w:r>
      <w:r w:rsidR="002427B3" w:rsidRPr="001961B1">
        <w:rPr>
          <w:rFonts w:asciiTheme="minorHAnsi" w:hAnsiTheme="minorHAnsi" w:cstheme="minorHAnsi"/>
          <w:sz w:val="22"/>
          <w:szCs w:val="22"/>
          <w:lang w:val="fr-FR" w:eastAsia="fr-FR"/>
        </w:rPr>
        <w:t xml:space="preserve"> par </w:t>
      </w:r>
      <w:r w:rsidRPr="001961B1">
        <w:rPr>
          <w:rFonts w:asciiTheme="minorHAnsi" w:hAnsiTheme="minorHAnsi" w:cstheme="minorHAnsi"/>
          <w:sz w:val="22"/>
          <w:szCs w:val="22"/>
          <w:lang w:val="fr-FR" w:eastAsia="fr-FR"/>
        </w:rPr>
        <w:t xml:space="preserve">Google </w:t>
      </w:r>
      <w:r w:rsidR="0025010B" w:rsidRPr="001961B1">
        <w:rPr>
          <w:rFonts w:asciiTheme="minorHAnsi" w:hAnsiTheme="minorHAnsi" w:cstheme="minorHAnsi"/>
          <w:sz w:val="22"/>
          <w:szCs w:val="22"/>
          <w:lang w:val="fr-FR" w:eastAsia="fr-FR"/>
        </w:rPr>
        <w:t>A</w:t>
      </w:r>
      <w:r w:rsidRPr="001961B1">
        <w:rPr>
          <w:rFonts w:asciiTheme="minorHAnsi" w:hAnsiTheme="minorHAnsi" w:cstheme="minorHAnsi"/>
          <w:sz w:val="22"/>
          <w:szCs w:val="22"/>
          <w:lang w:val="fr-FR" w:eastAsia="fr-FR"/>
        </w:rPr>
        <w:t xml:space="preserve">nalytics </w:t>
      </w:r>
      <w:r w:rsidR="002427B3" w:rsidRPr="001961B1">
        <w:rPr>
          <w:rFonts w:asciiTheme="minorHAnsi" w:hAnsiTheme="minorHAnsi" w:cstheme="minorHAnsi"/>
          <w:sz w:val="22"/>
          <w:szCs w:val="22"/>
          <w:lang w:val="fr-FR" w:eastAsia="fr-FR"/>
        </w:rPr>
        <w:t>et le lancement d’un nouveau site</w:t>
      </w:r>
      <w:r w:rsidR="004E2E56" w:rsidRPr="001961B1">
        <w:rPr>
          <w:rFonts w:asciiTheme="minorHAnsi" w:hAnsiTheme="minorHAnsi" w:cstheme="minorHAnsi"/>
          <w:sz w:val="22"/>
          <w:szCs w:val="22"/>
          <w:lang w:val="fr-FR" w:eastAsia="fr-FR"/>
        </w:rPr>
        <w:t xml:space="preserve"> Web</w:t>
      </w:r>
      <w:r w:rsidR="002427B3" w:rsidRPr="001961B1">
        <w:rPr>
          <w:rFonts w:asciiTheme="minorHAnsi" w:hAnsiTheme="minorHAnsi" w:cstheme="minorHAnsi"/>
          <w:sz w:val="22"/>
          <w:szCs w:val="22"/>
          <w:lang w:val="fr-FR" w:eastAsia="fr-FR"/>
        </w:rPr>
        <w:t xml:space="preserve"> de la Convention vers le milieu de 2023, qui </w:t>
      </w:r>
      <w:r w:rsidR="00993E4D" w:rsidRPr="001961B1">
        <w:rPr>
          <w:rFonts w:asciiTheme="minorHAnsi" w:hAnsiTheme="minorHAnsi" w:cstheme="minorHAnsi"/>
          <w:sz w:val="22"/>
          <w:szCs w:val="22"/>
          <w:lang w:val="fr-FR" w:eastAsia="fr-FR"/>
        </w:rPr>
        <w:t>ont</w:t>
      </w:r>
      <w:r w:rsidR="002427B3" w:rsidRPr="001961B1">
        <w:rPr>
          <w:rFonts w:asciiTheme="minorHAnsi" w:hAnsiTheme="minorHAnsi" w:cstheme="minorHAnsi"/>
          <w:sz w:val="22"/>
          <w:szCs w:val="22"/>
          <w:lang w:val="fr-FR" w:eastAsia="fr-FR"/>
        </w:rPr>
        <w:t xml:space="preserve"> limité la continuité </w:t>
      </w:r>
      <w:r w:rsidR="00993E4D" w:rsidRPr="001961B1">
        <w:rPr>
          <w:rFonts w:asciiTheme="minorHAnsi" w:hAnsiTheme="minorHAnsi" w:cstheme="minorHAnsi"/>
          <w:sz w:val="22"/>
          <w:szCs w:val="22"/>
          <w:lang w:val="fr-FR" w:eastAsia="fr-FR"/>
        </w:rPr>
        <w:t>permettant une</w:t>
      </w:r>
      <w:r w:rsidR="002427B3" w:rsidRPr="001961B1">
        <w:rPr>
          <w:rFonts w:asciiTheme="minorHAnsi" w:hAnsiTheme="minorHAnsi" w:cstheme="minorHAnsi"/>
          <w:sz w:val="22"/>
          <w:szCs w:val="22"/>
          <w:lang w:val="fr-FR" w:eastAsia="fr-FR"/>
        </w:rPr>
        <w:t xml:space="preserve"> analyse des tendances. Les graphiques de tendance présentés </w:t>
      </w:r>
      <w:r w:rsidR="00993E4D" w:rsidRPr="001961B1">
        <w:rPr>
          <w:rFonts w:asciiTheme="minorHAnsi" w:hAnsiTheme="minorHAnsi" w:cstheme="minorHAnsi"/>
          <w:sz w:val="22"/>
          <w:szCs w:val="22"/>
          <w:lang w:val="fr-FR" w:eastAsia="fr-FR"/>
        </w:rPr>
        <w:t xml:space="preserve">se fondent </w:t>
      </w:r>
      <w:r w:rsidR="002427B3" w:rsidRPr="001961B1">
        <w:rPr>
          <w:rFonts w:asciiTheme="minorHAnsi" w:hAnsiTheme="minorHAnsi" w:cstheme="minorHAnsi"/>
          <w:sz w:val="22"/>
          <w:szCs w:val="22"/>
          <w:lang w:val="fr-FR" w:eastAsia="fr-FR"/>
        </w:rPr>
        <w:t>sur les données</w:t>
      </w:r>
      <w:r w:rsidR="00993E4D" w:rsidRPr="001961B1">
        <w:rPr>
          <w:rFonts w:asciiTheme="minorHAnsi" w:hAnsiTheme="minorHAnsi" w:cstheme="minorHAnsi"/>
          <w:sz w:val="22"/>
          <w:szCs w:val="22"/>
          <w:lang w:val="fr-FR" w:eastAsia="fr-FR"/>
        </w:rPr>
        <w:t xml:space="preserve"> relatives à</w:t>
      </w:r>
      <w:r w:rsidR="002427B3" w:rsidRPr="001961B1">
        <w:rPr>
          <w:rFonts w:asciiTheme="minorHAnsi" w:hAnsiTheme="minorHAnsi" w:cstheme="minorHAnsi"/>
          <w:sz w:val="22"/>
          <w:szCs w:val="22"/>
          <w:lang w:val="fr-FR" w:eastAsia="fr-FR"/>
        </w:rPr>
        <w:t xml:space="preserve"> la COP13 et </w:t>
      </w:r>
      <w:r w:rsidR="00993E4D" w:rsidRPr="001961B1">
        <w:rPr>
          <w:rFonts w:asciiTheme="minorHAnsi" w:hAnsiTheme="minorHAnsi" w:cstheme="minorHAnsi"/>
          <w:sz w:val="22"/>
          <w:szCs w:val="22"/>
          <w:lang w:val="fr-FR" w:eastAsia="fr-FR"/>
        </w:rPr>
        <w:t xml:space="preserve">à </w:t>
      </w:r>
      <w:r w:rsidR="002427B3" w:rsidRPr="001961B1">
        <w:rPr>
          <w:rFonts w:asciiTheme="minorHAnsi" w:hAnsiTheme="minorHAnsi" w:cstheme="minorHAnsi"/>
          <w:sz w:val="22"/>
          <w:szCs w:val="22"/>
          <w:lang w:val="fr-FR" w:eastAsia="fr-FR"/>
        </w:rPr>
        <w:t xml:space="preserve">la COP14. </w:t>
      </w:r>
    </w:p>
    <w:p w14:paraId="7700A912" w14:textId="77777777" w:rsidR="00AD5385" w:rsidRPr="001961B1" w:rsidRDefault="00AD5385" w:rsidP="00CD3F6B">
      <w:pPr>
        <w:rPr>
          <w:rFonts w:asciiTheme="minorHAnsi" w:eastAsia="Calibri" w:hAnsiTheme="minorHAnsi" w:cstheme="minorHAnsi"/>
          <w:sz w:val="22"/>
          <w:szCs w:val="22"/>
          <w:lang w:val="fr-FR"/>
        </w:rPr>
      </w:pPr>
    </w:p>
    <w:p w14:paraId="7B1A7776" w14:textId="151FEBDA" w:rsidR="0078307B" w:rsidRPr="001961B1" w:rsidRDefault="007251E6" w:rsidP="0078307B">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78307B" w:rsidRPr="001961B1">
        <w:rPr>
          <w:rFonts w:asciiTheme="minorHAnsi" w:hAnsiTheme="minorHAnsi" w:cstheme="minorHAnsi"/>
          <w:i/>
          <w:iCs/>
          <w:sz w:val="22"/>
          <w:szCs w:val="22"/>
          <w:u w:val="single"/>
          <w:lang w:val="fr-FR"/>
        </w:rPr>
        <w:t xml:space="preserve"> </w:t>
      </w:r>
    </w:p>
    <w:p w14:paraId="5627419B" w14:textId="77777777" w:rsidR="0078307B" w:rsidRPr="001961B1" w:rsidRDefault="0078307B" w:rsidP="00A338FF">
      <w:pPr>
        <w:keepNext/>
        <w:ind w:left="425" w:hanging="425"/>
        <w:rPr>
          <w:rFonts w:asciiTheme="minorHAnsi" w:hAnsiTheme="minorHAnsi" w:cstheme="minorHAnsi"/>
          <w:sz w:val="22"/>
          <w:szCs w:val="22"/>
          <w:lang w:val="fr-FR" w:eastAsia="fr-FR"/>
        </w:rPr>
      </w:pPr>
    </w:p>
    <w:p w14:paraId="0BC09CD6" w14:textId="3B219518" w:rsidR="003A0EDF"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w:t>
      </w:r>
      <w:r w:rsidR="002E1E29" w:rsidRPr="001961B1">
        <w:rPr>
          <w:rFonts w:asciiTheme="minorHAnsi" w:hAnsiTheme="minorHAnsi" w:cstheme="minorHAnsi"/>
          <w:sz w:val="22"/>
          <w:szCs w:val="22"/>
          <w:lang w:val="fr-FR" w:eastAsia="fr-FR"/>
        </w:rPr>
        <w:t>4</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EF495B" w:rsidRPr="001961B1">
        <w:rPr>
          <w:rFonts w:asciiTheme="minorHAnsi" w:hAnsiTheme="minorHAnsi" w:cstheme="minorHAnsi"/>
          <w:sz w:val="22"/>
          <w:szCs w:val="22"/>
          <w:lang w:val="fr-FR" w:eastAsia="fr-FR"/>
        </w:rPr>
        <w:t xml:space="preserve">Le GEST prépare des orientations scientifiques et des méthodologies techniques conformément à son plan de travail triennal tel qu’il a été approuvé par le Comité permanent. Dix produits ont à ce jour été finalisés durant la période triennale </w:t>
      </w:r>
      <w:r w:rsidR="004B4881" w:rsidRPr="001961B1">
        <w:rPr>
          <w:rFonts w:asciiTheme="minorHAnsi" w:hAnsiTheme="minorHAnsi" w:cstheme="minorHAnsi"/>
          <w:sz w:val="22"/>
          <w:szCs w:val="22"/>
          <w:lang w:val="fr-FR" w:eastAsia="fr-FR"/>
        </w:rPr>
        <w:t>2023</w:t>
      </w:r>
      <w:r w:rsidR="00EF495B" w:rsidRPr="001961B1">
        <w:rPr>
          <w:rFonts w:asciiTheme="minorHAnsi" w:hAnsiTheme="minorHAnsi" w:cstheme="minorHAnsi"/>
          <w:sz w:val="22"/>
          <w:szCs w:val="22"/>
          <w:lang w:val="fr-FR" w:eastAsia="fr-FR"/>
        </w:rPr>
        <w:t>­</w:t>
      </w:r>
      <w:r w:rsidR="004B4881" w:rsidRPr="001961B1">
        <w:rPr>
          <w:rFonts w:asciiTheme="minorHAnsi" w:hAnsiTheme="minorHAnsi" w:cstheme="minorHAnsi"/>
          <w:sz w:val="22"/>
          <w:szCs w:val="22"/>
          <w:lang w:val="fr-FR" w:eastAsia="fr-FR"/>
        </w:rPr>
        <w:t>2025</w:t>
      </w:r>
      <w:r w:rsidR="003A0EDF" w:rsidRPr="001961B1">
        <w:rPr>
          <w:rFonts w:asciiTheme="minorHAnsi" w:hAnsiTheme="minorHAnsi" w:cstheme="minorHAnsi"/>
          <w:sz w:val="22"/>
          <w:szCs w:val="22"/>
          <w:lang w:val="fr-FR" w:eastAsia="fr-FR"/>
        </w:rPr>
        <w:t xml:space="preserve">, </w:t>
      </w:r>
      <w:r w:rsidR="00EF495B" w:rsidRPr="001961B1">
        <w:rPr>
          <w:rFonts w:asciiTheme="minorHAnsi" w:hAnsiTheme="minorHAnsi" w:cstheme="minorHAnsi"/>
          <w:sz w:val="22"/>
          <w:szCs w:val="22"/>
          <w:lang w:val="fr-FR" w:eastAsia="fr-FR"/>
        </w:rPr>
        <w:t>et huit autres sont en préparation pour publication avant la COP15. Ce chiffre est à comparer avec sept produits entre 2019 et 2022, et 15 entre 2016 et 2018.</w:t>
      </w:r>
      <w:r w:rsidR="006C1A53" w:rsidRPr="001961B1">
        <w:rPr>
          <w:rFonts w:asciiTheme="minorHAnsi" w:hAnsiTheme="minorHAnsi" w:cstheme="minorHAnsi"/>
          <w:sz w:val="22"/>
          <w:szCs w:val="22"/>
          <w:lang w:val="fr-FR"/>
        </w:rPr>
        <w:t xml:space="preserve"> </w:t>
      </w:r>
    </w:p>
    <w:p w14:paraId="774D62D4" w14:textId="77777777" w:rsidR="003A0EDF" w:rsidRPr="001961B1" w:rsidRDefault="003A0EDF" w:rsidP="00257025">
      <w:pPr>
        <w:ind w:left="567" w:hanging="567"/>
        <w:rPr>
          <w:rFonts w:asciiTheme="minorHAnsi" w:hAnsiTheme="minorHAnsi" w:cstheme="minorHAnsi"/>
          <w:sz w:val="22"/>
          <w:szCs w:val="22"/>
          <w:lang w:val="fr-FR" w:eastAsia="fr-FR"/>
        </w:rPr>
      </w:pPr>
    </w:p>
    <w:p w14:paraId="6DDE40DE" w14:textId="4B54C65D" w:rsidR="00A13B80"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w:t>
      </w:r>
      <w:r w:rsidR="002E1E29" w:rsidRPr="001961B1">
        <w:rPr>
          <w:rFonts w:asciiTheme="minorHAnsi" w:hAnsiTheme="minorHAnsi" w:cstheme="minorHAnsi"/>
          <w:sz w:val="22"/>
          <w:szCs w:val="22"/>
          <w:lang w:val="fr-FR" w:eastAsia="fr-FR"/>
        </w:rPr>
        <w:t>5</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4E2E56" w:rsidRPr="001961B1">
        <w:rPr>
          <w:rFonts w:asciiTheme="minorHAnsi" w:hAnsiTheme="minorHAnsi" w:cstheme="minorHAnsi"/>
          <w:sz w:val="22"/>
          <w:szCs w:val="22"/>
          <w:lang w:val="fr-FR" w:eastAsia="fr-FR"/>
        </w:rPr>
        <w:t>Le</w:t>
      </w:r>
      <w:r w:rsidR="00D17443" w:rsidRPr="001961B1">
        <w:rPr>
          <w:rFonts w:asciiTheme="minorHAnsi" w:hAnsiTheme="minorHAnsi" w:cstheme="minorHAnsi"/>
          <w:sz w:val="22"/>
          <w:szCs w:val="22"/>
          <w:lang w:val="fr-FR" w:eastAsia="fr-FR"/>
        </w:rPr>
        <w:t xml:space="preserve"> </w:t>
      </w:r>
      <w:r w:rsidR="004E2E56" w:rsidRPr="001961B1">
        <w:rPr>
          <w:rFonts w:asciiTheme="minorHAnsi" w:hAnsiTheme="minorHAnsi" w:cstheme="minorHAnsi"/>
          <w:sz w:val="22"/>
          <w:szCs w:val="22"/>
          <w:lang w:val="fr-FR" w:eastAsia="fr-FR"/>
        </w:rPr>
        <w:t>nombre</w:t>
      </w:r>
      <w:r w:rsidR="00D17443" w:rsidRPr="001961B1">
        <w:rPr>
          <w:rFonts w:asciiTheme="minorHAnsi" w:hAnsiTheme="minorHAnsi" w:cstheme="minorHAnsi"/>
          <w:sz w:val="22"/>
          <w:szCs w:val="22"/>
          <w:lang w:val="fr-FR" w:eastAsia="fr-FR"/>
        </w:rPr>
        <w:t xml:space="preserve"> de pages consultées et téléchargées pour les produits du GEST </w:t>
      </w:r>
      <w:r w:rsidR="004E2E56" w:rsidRPr="001961B1">
        <w:rPr>
          <w:rFonts w:asciiTheme="minorHAnsi" w:hAnsiTheme="minorHAnsi" w:cstheme="minorHAnsi"/>
          <w:sz w:val="22"/>
          <w:szCs w:val="22"/>
          <w:lang w:val="fr-FR" w:eastAsia="fr-FR"/>
        </w:rPr>
        <w:t xml:space="preserve">a globalement augmenté </w:t>
      </w:r>
      <w:r w:rsidR="00D17443" w:rsidRPr="001961B1">
        <w:rPr>
          <w:rFonts w:asciiTheme="minorHAnsi" w:hAnsiTheme="minorHAnsi" w:cstheme="minorHAnsi"/>
          <w:sz w:val="22"/>
          <w:szCs w:val="22"/>
          <w:lang w:val="fr-FR" w:eastAsia="fr-FR"/>
        </w:rPr>
        <w:t xml:space="preserve">entre la COP13 et la COP14. Toutefois, il n’y a pas de données comparables disponibles pour la présente période triennale en raison de changements dans les méthodes de </w:t>
      </w:r>
      <w:r w:rsidR="004E2E56" w:rsidRPr="001961B1">
        <w:rPr>
          <w:rFonts w:asciiTheme="minorHAnsi" w:hAnsiTheme="minorHAnsi" w:cstheme="minorHAnsi"/>
          <w:sz w:val="22"/>
          <w:szCs w:val="22"/>
          <w:lang w:val="fr-FR" w:eastAsia="fr-FR"/>
        </w:rPr>
        <w:t>suivi</w:t>
      </w:r>
      <w:r w:rsidR="00D17443" w:rsidRPr="001961B1">
        <w:rPr>
          <w:rFonts w:asciiTheme="minorHAnsi" w:hAnsiTheme="minorHAnsi" w:cstheme="minorHAnsi"/>
          <w:sz w:val="22"/>
          <w:szCs w:val="22"/>
          <w:lang w:val="fr-FR" w:eastAsia="fr-FR"/>
        </w:rPr>
        <w:t xml:space="preserve"> et du lancement du nouveau site </w:t>
      </w:r>
      <w:r w:rsidR="004E2E56" w:rsidRPr="001961B1">
        <w:rPr>
          <w:rFonts w:asciiTheme="minorHAnsi" w:hAnsiTheme="minorHAnsi" w:cstheme="minorHAnsi"/>
          <w:sz w:val="22"/>
          <w:szCs w:val="22"/>
          <w:lang w:val="fr-FR" w:eastAsia="fr-FR"/>
        </w:rPr>
        <w:t>W</w:t>
      </w:r>
      <w:r w:rsidR="00D17443" w:rsidRPr="001961B1">
        <w:rPr>
          <w:rFonts w:asciiTheme="minorHAnsi" w:hAnsiTheme="minorHAnsi" w:cstheme="minorHAnsi"/>
          <w:sz w:val="22"/>
          <w:szCs w:val="22"/>
          <w:lang w:val="fr-FR" w:eastAsia="fr-FR"/>
        </w:rPr>
        <w:t>eb de la Convention vers le milieu de 2023.</w:t>
      </w:r>
      <w:r w:rsidR="006309EB" w:rsidRPr="001961B1">
        <w:rPr>
          <w:rFonts w:asciiTheme="minorHAnsi" w:hAnsiTheme="minorHAnsi" w:cstheme="minorHAnsi"/>
          <w:sz w:val="22"/>
          <w:szCs w:val="22"/>
          <w:lang w:val="fr-FR" w:eastAsia="fr-FR"/>
        </w:rPr>
        <w:t xml:space="preserve"> </w:t>
      </w:r>
    </w:p>
    <w:p w14:paraId="0035370C" w14:textId="77777777" w:rsidR="006309EB" w:rsidRPr="001961B1" w:rsidRDefault="006309EB" w:rsidP="00257025">
      <w:pPr>
        <w:ind w:left="567" w:hanging="567"/>
        <w:rPr>
          <w:rFonts w:asciiTheme="minorHAnsi" w:hAnsiTheme="minorHAnsi" w:cstheme="minorHAnsi"/>
          <w:sz w:val="22"/>
          <w:szCs w:val="22"/>
          <w:lang w:val="fr-FR" w:eastAsia="fr-FR"/>
        </w:rPr>
      </w:pPr>
    </w:p>
    <w:p w14:paraId="11F56F2E" w14:textId="66F6AB77" w:rsidR="00A13B80"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w:t>
      </w:r>
      <w:r w:rsidR="002E1E29" w:rsidRPr="001961B1">
        <w:rPr>
          <w:rFonts w:asciiTheme="minorHAnsi" w:hAnsiTheme="minorHAnsi" w:cstheme="minorHAnsi"/>
          <w:sz w:val="22"/>
          <w:szCs w:val="22"/>
          <w:lang w:val="fr-FR" w:eastAsia="fr-FR"/>
        </w:rPr>
        <w:t>6</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0B250B" w:rsidRPr="001961B1">
        <w:rPr>
          <w:rFonts w:asciiTheme="minorHAnsi" w:hAnsiTheme="minorHAnsi" w:cstheme="minorHAnsi"/>
          <w:sz w:val="22"/>
          <w:szCs w:val="22"/>
          <w:lang w:val="fr-FR" w:eastAsia="fr-FR"/>
        </w:rPr>
        <w:t>Les produits les plus téléchargés</w:t>
      </w:r>
      <w:r w:rsidR="000F0799" w:rsidRPr="001961B1">
        <w:rPr>
          <w:rFonts w:asciiTheme="minorHAnsi" w:hAnsiTheme="minorHAnsi" w:cstheme="minorHAnsi"/>
          <w:sz w:val="22"/>
          <w:szCs w:val="22"/>
          <w:lang w:val="fr-FR" w:eastAsia="fr-FR"/>
        </w:rPr>
        <w:t>,</w:t>
      </w:r>
      <w:r w:rsidR="000B250B" w:rsidRPr="001961B1">
        <w:rPr>
          <w:rFonts w:asciiTheme="minorHAnsi" w:hAnsiTheme="minorHAnsi" w:cstheme="minorHAnsi"/>
          <w:sz w:val="22"/>
          <w:szCs w:val="22"/>
          <w:lang w:val="fr-FR" w:eastAsia="fr-FR"/>
        </w:rPr>
        <w:t xml:space="preserve"> dans la période de 2023 à 2025</w:t>
      </w:r>
      <w:r w:rsidR="000F0799" w:rsidRPr="001961B1">
        <w:rPr>
          <w:rFonts w:asciiTheme="minorHAnsi" w:hAnsiTheme="minorHAnsi" w:cstheme="minorHAnsi"/>
          <w:sz w:val="22"/>
          <w:szCs w:val="22"/>
          <w:lang w:val="fr-FR" w:eastAsia="fr-FR"/>
        </w:rPr>
        <w:t>,</w:t>
      </w:r>
      <w:r w:rsidR="000B250B" w:rsidRPr="001961B1">
        <w:rPr>
          <w:rFonts w:asciiTheme="minorHAnsi" w:hAnsiTheme="minorHAnsi" w:cstheme="minorHAnsi"/>
          <w:sz w:val="22"/>
          <w:szCs w:val="22"/>
          <w:lang w:val="fr-FR" w:eastAsia="fr-FR"/>
        </w:rPr>
        <w:t xml:space="preserve"> comprennent les Perspectives mondiales des zones humides et les Manuels (voir tableau 2 ci</w:t>
      </w:r>
      <w:r w:rsidR="004935D9" w:rsidRPr="001961B1">
        <w:rPr>
          <w:rFonts w:asciiTheme="minorHAnsi" w:hAnsiTheme="minorHAnsi" w:cstheme="minorHAnsi"/>
          <w:sz w:val="22"/>
          <w:szCs w:val="22"/>
          <w:lang w:val="fr-FR" w:eastAsia="fr-FR"/>
        </w:rPr>
        <w:t xml:space="preserve">­dessous). </w:t>
      </w:r>
      <w:r w:rsidR="001F478E" w:rsidRPr="001961B1">
        <w:rPr>
          <w:rFonts w:asciiTheme="minorHAnsi" w:hAnsiTheme="minorHAnsi" w:cstheme="minorHAnsi"/>
          <w:sz w:val="22"/>
          <w:szCs w:val="22"/>
          <w:lang w:val="fr-FR" w:eastAsia="fr-FR"/>
        </w:rPr>
        <w:t xml:space="preserve">Le document d’information intitulé </w:t>
      </w:r>
      <w:r w:rsidR="001F478E" w:rsidRPr="001961B1">
        <w:rPr>
          <w:rFonts w:asciiTheme="minorHAnsi" w:hAnsiTheme="minorHAnsi" w:cstheme="minorHAnsi"/>
          <w:i/>
          <w:iCs/>
          <w:sz w:val="22"/>
          <w:szCs w:val="22"/>
          <w:lang w:val="fr-FR"/>
        </w:rPr>
        <w:t xml:space="preserve">Cadre mondial de la biodiversité de Kunming-Montréal : Changer l’échelle de la conservation, la restauration et l’utilisation rationnelle des zones humides dans les SPANB </w:t>
      </w:r>
      <w:r w:rsidR="004935D9" w:rsidRPr="001961B1">
        <w:rPr>
          <w:rFonts w:asciiTheme="minorHAnsi" w:hAnsiTheme="minorHAnsi" w:cstheme="minorHAnsi"/>
          <w:sz w:val="22"/>
          <w:szCs w:val="22"/>
          <w:lang w:val="fr-FR"/>
        </w:rPr>
        <w:t>a été téléchargé plus de 700 fois dans la période de temps relativement courte depuis sa publication en 2024, et le Rapport technique 12 associé </w:t>
      </w:r>
      <w:r w:rsidR="00A13B80" w:rsidRPr="001961B1">
        <w:rPr>
          <w:rFonts w:asciiTheme="minorHAnsi" w:hAnsiTheme="minorHAnsi" w:cstheme="minorHAnsi"/>
          <w:color w:val="000000"/>
          <w:sz w:val="22"/>
          <w:szCs w:val="22"/>
          <w:lang w:val="fr-FR"/>
        </w:rPr>
        <w:t xml:space="preserve">: </w:t>
      </w:r>
      <w:r w:rsidR="006B0A42" w:rsidRPr="001961B1">
        <w:rPr>
          <w:rFonts w:asciiTheme="minorHAnsi" w:hAnsiTheme="minorHAnsi" w:cstheme="minorHAnsi"/>
          <w:i/>
          <w:iCs/>
          <w:color w:val="000000"/>
          <w:sz w:val="22"/>
          <w:szCs w:val="22"/>
          <w:lang w:val="fr-FR"/>
        </w:rPr>
        <w:t>Intensifier les efforts de conservation et de restauration des zones humides pour mettre en œuvre le Cadre mondial de la biodiversité de Kunming-Montréal</w:t>
      </w:r>
      <w:r w:rsidR="004935D9" w:rsidRPr="001961B1">
        <w:rPr>
          <w:rFonts w:asciiTheme="minorHAnsi" w:hAnsiTheme="minorHAnsi" w:cstheme="minorHAnsi"/>
          <w:i/>
          <w:iCs/>
          <w:color w:val="000000"/>
          <w:sz w:val="22"/>
          <w:szCs w:val="22"/>
          <w:lang w:val="fr-FR"/>
        </w:rPr>
        <w:t> </w:t>
      </w:r>
      <w:r w:rsidR="006B0A42" w:rsidRPr="001961B1">
        <w:rPr>
          <w:rFonts w:asciiTheme="minorHAnsi" w:hAnsiTheme="minorHAnsi" w:cstheme="minorHAnsi"/>
          <w:i/>
          <w:iCs/>
          <w:color w:val="000000"/>
          <w:sz w:val="22"/>
          <w:szCs w:val="22"/>
          <w:lang w:val="fr-FR"/>
        </w:rPr>
        <w:t>:</w:t>
      </w:r>
      <w:r w:rsidR="006B0A42" w:rsidRPr="001961B1">
        <w:rPr>
          <w:rFonts w:asciiTheme="minorHAnsi" w:hAnsiTheme="minorHAnsi" w:cstheme="minorHAnsi"/>
          <w:sz w:val="22"/>
          <w:szCs w:val="22"/>
          <w:lang w:val="fr-FR"/>
        </w:rPr>
        <w:t xml:space="preserve"> </w:t>
      </w:r>
      <w:r w:rsidR="006B0A42" w:rsidRPr="001961B1">
        <w:rPr>
          <w:rFonts w:asciiTheme="minorHAnsi" w:hAnsiTheme="minorHAnsi" w:cstheme="minorHAnsi"/>
          <w:i/>
          <w:iCs/>
          <w:color w:val="000000"/>
          <w:sz w:val="22"/>
          <w:szCs w:val="22"/>
          <w:lang w:val="fr-FR"/>
        </w:rPr>
        <w:t xml:space="preserve">Orientations sur les moyens d’inscrire les zones humides dans les Stratégies et plans d’action nationaux pour la biodiversité (SPANB) </w:t>
      </w:r>
      <w:r w:rsidR="004935D9" w:rsidRPr="001961B1">
        <w:rPr>
          <w:rFonts w:asciiTheme="minorHAnsi" w:hAnsiTheme="minorHAnsi" w:cstheme="minorHAnsi"/>
          <w:color w:val="000000"/>
          <w:sz w:val="22"/>
          <w:szCs w:val="22"/>
          <w:lang w:val="fr-FR"/>
        </w:rPr>
        <w:t xml:space="preserve">a été téléchargé plus de 350 fois. La page d’accueil du GEST a reçu un total de </w:t>
      </w:r>
      <w:r w:rsidR="00A13B80" w:rsidRPr="001961B1">
        <w:rPr>
          <w:rFonts w:asciiTheme="minorHAnsi" w:hAnsiTheme="minorHAnsi" w:cstheme="minorHAnsi"/>
          <w:sz w:val="22"/>
          <w:szCs w:val="22"/>
          <w:lang w:val="fr-FR" w:eastAsia="fr-FR"/>
        </w:rPr>
        <w:t>4240</w:t>
      </w:r>
      <w:r w:rsidR="004935D9" w:rsidRPr="001961B1">
        <w:rPr>
          <w:rFonts w:asciiTheme="minorHAnsi" w:hAnsiTheme="minorHAnsi" w:cstheme="minorHAnsi"/>
          <w:sz w:val="22"/>
          <w:szCs w:val="22"/>
          <w:lang w:val="fr-FR" w:eastAsia="fr-FR"/>
        </w:rPr>
        <w:t xml:space="preserve"> visites uniques durant la période du 15 juin 2023 au 9 avril 2025, y compris </w:t>
      </w:r>
      <w:r w:rsidR="00A13B80" w:rsidRPr="001961B1">
        <w:rPr>
          <w:rFonts w:asciiTheme="minorHAnsi" w:hAnsiTheme="minorHAnsi" w:cstheme="minorHAnsi"/>
          <w:sz w:val="22"/>
          <w:szCs w:val="22"/>
          <w:lang w:val="fr-FR" w:eastAsia="fr-FR"/>
        </w:rPr>
        <w:t>3536</w:t>
      </w:r>
      <w:r w:rsidR="004935D9" w:rsidRPr="001961B1">
        <w:rPr>
          <w:rFonts w:asciiTheme="minorHAnsi" w:hAnsiTheme="minorHAnsi" w:cstheme="minorHAnsi"/>
          <w:sz w:val="22"/>
          <w:szCs w:val="22"/>
          <w:lang w:val="fr-FR" w:eastAsia="fr-FR"/>
        </w:rPr>
        <w:t> visites aux pages en anglais, 403 aux pages en espagnol et 301 aux pages en français.</w:t>
      </w:r>
      <w:r w:rsidR="00AB2083" w:rsidRPr="001961B1">
        <w:rPr>
          <w:rFonts w:asciiTheme="minorHAnsi" w:hAnsiTheme="minorHAnsi" w:cstheme="minorHAnsi"/>
          <w:sz w:val="22"/>
          <w:szCs w:val="22"/>
          <w:lang w:val="fr-FR" w:eastAsia="fr-FR"/>
        </w:rPr>
        <w:t xml:space="preserve"> </w:t>
      </w:r>
    </w:p>
    <w:p w14:paraId="0FB6F2AF" w14:textId="77777777" w:rsidR="00A13B80" w:rsidRPr="001961B1" w:rsidRDefault="00A13B80" w:rsidP="00CD3F6B">
      <w:pPr>
        <w:rPr>
          <w:rFonts w:asciiTheme="minorHAnsi" w:hAnsiTheme="minorHAnsi" w:cstheme="minorHAnsi"/>
          <w:iCs/>
          <w:sz w:val="22"/>
          <w:szCs w:val="22"/>
          <w:highlight w:val="yellow"/>
          <w:lang w:val="fr-FR"/>
        </w:rPr>
      </w:pPr>
    </w:p>
    <w:p w14:paraId="7888D52C" w14:textId="4AECCB54" w:rsidR="00A13B80" w:rsidRPr="001961B1" w:rsidRDefault="00A13B80" w:rsidP="00E23A98">
      <w:pPr>
        <w:keepNext/>
        <w:rPr>
          <w:rFonts w:asciiTheme="minorHAnsi" w:hAnsiTheme="minorHAnsi" w:cstheme="minorHAnsi"/>
          <w:i/>
          <w:sz w:val="22"/>
          <w:szCs w:val="22"/>
          <w:lang w:val="fr-FR"/>
        </w:rPr>
      </w:pPr>
      <w:r w:rsidRPr="001961B1">
        <w:rPr>
          <w:rFonts w:asciiTheme="minorHAnsi" w:hAnsiTheme="minorHAnsi" w:cstheme="minorHAnsi"/>
          <w:i/>
          <w:sz w:val="22"/>
          <w:szCs w:val="22"/>
          <w:lang w:val="fr-FR"/>
        </w:rPr>
        <w:t>Table</w:t>
      </w:r>
      <w:r w:rsidR="004935D9" w:rsidRPr="001961B1">
        <w:rPr>
          <w:rFonts w:asciiTheme="minorHAnsi" w:hAnsiTheme="minorHAnsi" w:cstheme="minorHAnsi"/>
          <w:i/>
          <w:sz w:val="22"/>
          <w:szCs w:val="22"/>
          <w:lang w:val="fr-FR"/>
        </w:rPr>
        <w:t>au</w:t>
      </w:r>
      <w:r w:rsidRPr="001961B1">
        <w:rPr>
          <w:rFonts w:asciiTheme="minorHAnsi" w:hAnsiTheme="minorHAnsi" w:cstheme="minorHAnsi"/>
          <w:i/>
          <w:sz w:val="22"/>
          <w:szCs w:val="22"/>
          <w:lang w:val="fr-FR"/>
        </w:rPr>
        <w:t xml:space="preserve"> </w:t>
      </w:r>
      <w:r w:rsidR="0053206B" w:rsidRPr="001961B1">
        <w:rPr>
          <w:rFonts w:asciiTheme="minorHAnsi" w:hAnsiTheme="minorHAnsi" w:cstheme="minorHAnsi"/>
          <w:i/>
          <w:sz w:val="22"/>
          <w:szCs w:val="22"/>
          <w:lang w:val="fr-FR"/>
        </w:rPr>
        <w:t>2</w:t>
      </w:r>
      <w:r w:rsidR="004935D9" w:rsidRPr="001961B1">
        <w:rPr>
          <w:rFonts w:asciiTheme="minorHAnsi" w:hAnsiTheme="minorHAnsi" w:cstheme="minorHAnsi"/>
          <w:i/>
          <w:sz w:val="22"/>
          <w:szCs w:val="22"/>
          <w:lang w:val="fr-FR"/>
        </w:rPr>
        <w:t> </w:t>
      </w:r>
      <w:r w:rsidR="0053206B" w:rsidRPr="001961B1">
        <w:rPr>
          <w:rFonts w:asciiTheme="minorHAnsi" w:hAnsiTheme="minorHAnsi" w:cstheme="minorHAnsi"/>
          <w:i/>
          <w:sz w:val="22"/>
          <w:szCs w:val="22"/>
          <w:lang w:val="fr-FR"/>
        </w:rPr>
        <w:t>:</w:t>
      </w:r>
      <w:r w:rsidRPr="001961B1">
        <w:rPr>
          <w:rFonts w:asciiTheme="minorHAnsi" w:hAnsiTheme="minorHAnsi" w:cstheme="minorHAnsi"/>
          <w:i/>
          <w:sz w:val="22"/>
          <w:szCs w:val="22"/>
          <w:lang w:val="fr-FR"/>
        </w:rPr>
        <w:t xml:space="preserve"> </w:t>
      </w:r>
      <w:r w:rsidR="004935D9" w:rsidRPr="001961B1">
        <w:rPr>
          <w:rFonts w:asciiTheme="minorHAnsi" w:hAnsiTheme="minorHAnsi" w:cstheme="minorHAnsi"/>
          <w:i/>
          <w:sz w:val="22"/>
          <w:szCs w:val="22"/>
          <w:lang w:val="fr-FR"/>
        </w:rPr>
        <w:t xml:space="preserve">Nombre total de téléchargements uniques pour tous les types de produits du GEST : 15 juin 2023 au 9 avril 2025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520"/>
        <w:gridCol w:w="1519"/>
        <w:gridCol w:w="1520"/>
        <w:gridCol w:w="1235"/>
      </w:tblGrid>
      <w:tr w:rsidR="00567061" w:rsidRPr="001961B1" w14:paraId="3745AC2C" w14:textId="4B989D2F" w:rsidTr="0078307B">
        <w:trPr>
          <w:trHeight w:val="280"/>
        </w:trPr>
        <w:tc>
          <w:tcPr>
            <w:tcW w:w="3278" w:type="dxa"/>
            <w:shd w:val="clear" w:color="auto" w:fill="auto"/>
            <w:noWrap/>
            <w:vAlign w:val="center"/>
            <w:hideMark/>
          </w:tcPr>
          <w:p w14:paraId="346702A1" w14:textId="77777777" w:rsidR="00567061" w:rsidRPr="001961B1" w:rsidRDefault="00567061" w:rsidP="0078307B">
            <w:pPr>
              <w:keepNext/>
              <w:jc w:val="center"/>
              <w:rPr>
                <w:rFonts w:asciiTheme="minorHAnsi" w:hAnsiTheme="minorHAnsi" w:cstheme="minorHAnsi"/>
                <w:b/>
                <w:sz w:val="22"/>
                <w:szCs w:val="22"/>
              </w:rPr>
            </w:pPr>
            <w:r w:rsidRPr="001961B1">
              <w:rPr>
                <w:rFonts w:asciiTheme="minorHAnsi" w:hAnsiTheme="minorHAnsi" w:cstheme="minorHAnsi"/>
                <w:b/>
                <w:sz w:val="22"/>
                <w:szCs w:val="22"/>
              </w:rPr>
              <w:t>Type</w:t>
            </w:r>
          </w:p>
        </w:tc>
        <w:tc>
          <w:tcPr>
            <w:tcW w:w="1520" w:type="dxa"/>
            <w:shd w:val="clear" w:color="auto" w:fill="auto"/>
            <w:noWrap/>
            <w:vAlign w:val="center"/>
            <w:hideMark/>
          </w:tcPr>
          <w:p w14:paraId="2221A1A8" w14:textId="57DA6F3D" w:rsidR="00567061" w:rsidRPr="001961B1" w:rsidRDefault="00630F8A" w:rsidP="0078307B">
            <w:pPr>
              <w:keepNext/>
              <w:jc w:val="center"/>
              <w:rPr>
                <w:rFonts w:asciiTheme="minorHAnsi" w:hAnsiTheme="minorHAnsi" w:cstheme="minorHAnsi"/>
                <w:b/>
                <w:color w:val="000000"/>
                <w:sz w:val="22"/>
                <w:szCs w:val="22"/>
                <w:lang w:val="fr-FR"/>
              </w:rPr>
            </w:pPr>
            <w:r w:rsidRPr="001961B1">
              <w:rPr>
                <w:rFonts w:asciiTheme="minorHAnsi" w:hAnsiTheme="minorHAnsi" w:cstheme="minorHAnsi"/>
                <w:b/>
                <w:color w:val="000000"/>
                <w:sz w:val="22"/>
                <w:szCs w:val="22"/>
                <w:lang w:val="fr-FR"/>
              </w:rPr>
              <w:t>Anglais</w:t>
            </w:r>
          </w:p>
        </w:tc>
        <w:tc>
          <w:tcPr>
            <w:tcW w:w="1519" w:type="dxa"/>
            <w:shd w:val="clear" w:color="auto" w:fill="auto"/>
            <w:noWrap/>
            <w:vAlign w:val="center"/>
            <w:hideMark/>
          </w:tcPr>
          <w:p w14:paraId="7F437CF9" w14:textId="1C003ED4" w:rsidR="00567061" w:rsidRPr="001961B1" w:rsidRDefault="00567061" w:rsidP="0078307B">
            <w:pPr>
              <w:keepNext/>
              <w:jc w:val="center"/>
              <w:rPr>
                <w:rFonts w:asciiTheme="minorHAnsi" w:hAnsiTheme="minorHAnsi" w:cstheme="minorHAnsi"/>
                <w:b/>
                <w:color w:val="000000"/>
                <w:sz w:val="22"/>
                <w:szCs w:val="22"/>
                <w:lang w:val="fr-FR"/>
              </w:rPr>
            </w:pPr>
            <w:r w:rsidRPr="001961B1">
              <w:rPr>
                <w:rFonts w:asciiTheme="minorHAnsi" w:hAnsiTheme="minorHAnsi" w:cstheme="minorHAnsi"/>
                <w:b/>
                <w:color w:val="000000"/>
                <w:sz w:val="22"/>
                <w:szCs w:val="22"/>
                <w:lang w:val="fr-FR"/>
              </w:rPr>
              <w:t>Fr</w:t>
            </w:r>
            <w:r w:rsidR="00630F8A" w:rsidRPr="001961B1">
              <w:rPr>
                <w:rFonts w:asciiTheme="minorHAnsi" w:hAnsiTheme="minorHAnsi" w:cstheme="minorHAnsi"/>
                <w:b/>
                <w:color w:val="000000"/>
                <w:sz w:val="22"/>
                <w:szCs w:val="22"/>
                <w:lang w:val="fr-FR"/>
              </w:rPr>
              <w:t>ançais</w:t>
            </w:r>
          </w:p>
        </w:tc>
        <w:tc>
          <w:tcPr>
            <w:tcW w:w="1520" w:type="dxa"/>
            <w:shd w:val="clear" w:color="auto" w:fill="auto"/>
            <w:noWrap/>
            <w:vAlign w:val="center"/>
            <w:hideMark/>
          </w:tcPr>
          <w:p w14:paraId="5B1E5F95" w14:textId="737FAC0F" w:rsidR="00567061" w:rsidRPr="001961B1" w:rsidRDefault="00630F8A" w:rsidP="0078307B">
            <w:pPr>
              <w:keepNext/>
              <w:jc w:val="center"/>
              <w:rPr>
                <w:rFonts w:asciiTheme="minorHAnsi" w:hAnsiTheme="minorHAnsi" w:cstheme="minorHAnsi"/>
                <w:b/>
                <w:color w:val="000000"/>
                <w:sz w:val="22"/>
                <w:szCs w:val="22"/>
                <w:lang w:val="fr-FR"/>
              </w:rPr>
            </w:pPr>
            <w:r w:rsidRPr="001961B1">
              <w:rPr>
                <w:rFonts w:asciiTheme="minorHAnsi" w:hAnsiTheme="minorHAnsi" w:cstheme="minorHAnsi"/>
                <w:b/>
                <w:color w:val="000000"/>
                <w:sz w:val="22"/>
                <w:szCs w:val="22"/>
                <w:lang w:val="fr-FR"/>
              </w:rPr>
              <w:t>Espagnol</w:t>
            </w:r>
          </w:p>
        </w:tc>
        <w:tc>
          <w:tcPr>
            <w:tcW w:w="1520" w:type="dxa"/>
            <w:vAlign w:val="center"/>
          </w:tcPr>
          <w:p w14:paraId="38D2E8D2" w14:textId="7E8D8F9D" w:rsidR="00567061" w:rsidRPr="001961B1" w:rsidRDefault="00567061" w:rsidP="0078307B">
            <w:pPr>
              <w:keepNext/>
              <w:jc w:val="center"/>
              <w:rPr>
                <w:rFonts w:asciiTheme="minorHAnsi" w:hAnsiTheme="minorHAnsi" w:cstheme="minorHAnsi"/>
                <w:b/>
                <w:color w:val="000000"/>
                <w:sz w:val="22"/>
                <w:szCs w:val="22"/>
                <w:lang w:val="fr-FR"/>
              </w:rPr>
            </w:pPr>
            <w:r w:rsidRPr="001961B1">
              <w:rPr>
                <w:rFonts w:asciiTheme="minorHAnsi" w:hAnsiTheme="minorHAnsi" w:cstheme="minorHAnsi"/>
                <w:b/>
                <w:color w:val="000000"/>
                <w:sz w:val="22"/>
                <w:szCs w:val="22"/>
                <w:lang w:val="fr-FR"/>
              </w:rPr>
              <w:t>Total</w:t>
            </w:r>
          </w:p>
        </w:tc>
      </w:tr>
      <w:tr w:rsidR="00567061" w:rsidRPr="001961B1" w14:paraId="7D12C6BA" w14:textId="0E3A847A" w:rsidTr="0078307B">
        <w:trPr>
          <w:trHeight w:val="310"/>
        </w:trPr>
        <w:tc>
          <w:tcPr>
            <w:tcW w:w="3278" w:type="dxa"/>
            <w:shd w:val="clear" w:color="auto" w:fill="auto"/>
            <w:noWrap/>
            <w:vAlign w:val="center"/>
          </w:tcPr>
          <w:p w14:paraId="06EAF40C" w14:textId="0F4F7ACD" w:rsidR="00567061" w:rsidRPr="001961B1" w:rsidRDefault="003E04DF" w:rsidP="00567061">
            <w:pPr>
              <w:rPr>
                <w:rFonts w:asciiTheme="minorHAnsi" w:hAnsiTheme="minorHAnsi" w:cstheme="minorHAnsi"/>
                <w:color w:val="000000"/>
                <w:sz w:val="22"/>
                <w:szCs w:val="22"/>
                <w:lang w:val="fr-FR"/>
              </w:rPr>
            </w:pPr>
            <w:r w:rsidRPr="001961B1">
              <w:rPr>
                <w:rFonts w:asciiTheme="minorHAnsi" w:hAnsiTheme="minorHAnsi" w:cstheme="minorHAnsi"/>
                <w:color w:val="000000"/>
                <w:sz w:val="22"/>
                <w:szCs w:val="22"/>
                <w:lang w:val="fr-FR"/>
              </w:rPr>
              <w:t>Perspectives mondiales des zones humides</w:t>
            </w:r>
          </w:p>
        </w:tc>
        <w:tc>
          <w:tcPr>
            <w:tcW w:w="1520" w:type="dxa"/>
            <w:shd w:val="clear" w:color="auto" w:fill="auto"/>
            <w:noWrap/>
            <w:vAlign w:val="center"/>
          </w:tcPr>
          <w:p w14:paraId="061F6378" w14:textId="143C1D6C"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3</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824</w:t>
            </w:r>
          </w:p>
        </w:tc>
        <w:tc>
          <w:tcPr>
            <w:tcW w:w="1519" w:type="dxa"/>
            <w:shd w:val="clear" w:color="auto" w:fill="auto"/>
            <w:noWrap/>
            <w:vAlign w:val="center"/>
          </w:tcPr>
          <w:p w14:paraId="7D37B98C"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861</w:t>
            </w:r>
          </w:p>
        </w:tc>
        <w:tc>
          <w:tcPr>
            <w:tcW w:w="1520" w:type="dxa"/>
            <w:shd w:val="clear" w:color="auto" w:fill="auto"/>
            <w:noWrap/>
            <w:vAlign w:val="center"/>
          </w:tcPr>
          <w:p w14:paraId="5DD63096" w14:textId="29F2A712"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2</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068</w:t>
            </w:r>
          </w:p>
        </w:tc>
        <w:tc>
          <w:tcPr>
            <w:tcW w:w="1520" w:type="dxa"/>
            <w:vAlign w:val="center"/>
          </w:tcPr>
          <w:p w14:paraId="75F8FB08" w14:textId="689C20F9"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b/>
                <w:sz w:val="22"/>
                <w:szCs w:val="22"/>
              </w:rPr>
              <w:t>6</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753</w:t>
            </w:r>
          </w:p>
        </w:tc>
      </w:tr>
      <w:tr w:rsidR="00567061" w:rsidRPr="001961B1" w14:paraId="4E2FF83A" w14:textId="6BC36361" w:rsidTr="0078307B">
        <w:trPr>
          <w:trHeight w:val="310"/>
        </w:trPr>
        <w:tc>
          <w:tcPr>
            <w:tcW w:w="3278" w:type="dxa"/>
            <w:shd w:val="clear" w:color="auto" w:fill="auto"/>
            <w:noWrap/>
            <w:vAlign w:val="center"/>
          </w:tcPr>
          <w:p w14:paraId="545EBE69" w14:textId="7FBBBFF6" w:rsidR="00567061" w:rsidRPr="001961B1" w:rsidRDefault="005C2117" w:rsidP="00567061">
            <w:pPr>
              <w:rPr>
                <w:rFonts w:asciiTheme="minorHAnsi" w:hAnsiTheme="minorHAnsi" w:cstheme="minorHAnsi"/>
                <w:color w:val="000000"/>
                <w:sz w:val="22"/>
                <w:szCs w:val="22"/>
                <w:lang w:val="fr-FR"/>
              </w:rPr>
            </w:pPr>
            <w:r w:rsidRPr="001961B1">
              <w:rPr>
                <w:rFonts w:asciiTheme="minorHAnsi" w:hAnsiTheme="minorHAnsi" w:cstheme="minorHAnsi"/>
                <w:sz w:val="22"/>
                <w:szCs w:val="22"/>
                <w:lang w:val="fr-FR"/>
              </w:rPr>
              <w:t>Notes d’orientation</w:t>
            </w:r>
          </w:p>
        </w:tc>
        <w:tc>
          <w:tcPr>
            <w:tcW w:w="1520" w:type="dxa"/>
            <w:shd w:val="clear" w:color="auto" w:fill="auto"/>
            <w:noWrap/>
            <w:vAlign w:val="center"/>
          </w:tcPr>
          <w:p w14:paraId="288C3F7E"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908</w:t>
            </w:r>
          </w:p>
        </w:tc>
        <w:tc>
          <w:tcPr>
            <w:tcW w:w="1519" w:type="dxa"/>
            <w:shd w:val="clear" w:color="auto" w:fill="auto"/>
            <w:noWrap/>
            <w:vAlign w:val="center"/>
          </w:tcPr>
          <w:p w14:paraId="276C8AAF"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106</w:t>
            </w:r>
          </w:p>
        </w:tc>
        <w:tc>
          <w:tcPr>
            <w:tcW w:w="1520" w:type="dxa"/>
            <w:shd w:val="clear" w:color="auto" w:fill="auto"/>
            <w:noWrap/>
            <w:vAlign w:val="center"/>
          </w:tcPr>
          <w:p w14:paraId="0A11211C"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139</w:t>
            </w:r>
          </w:p>
        </w:tc>
        <w:tc>
          <w:tcPr>
            <w:tcW w:w="1520" w:type="dxa"/>
            <w:vAlign w:val="center"/>
          </w:tcPr>
          <w:p w14:paraId="41C87BA5" w14:textId="3920C4F9"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b/>
                <w:sz w:val="22"/>
                <w:szCs w:val="22"/>
              </w:rPr>
              <w:t>1</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153</w:t>
            </w:r>
          </w:p>
        </w:tc>
      </w:tr>
      <w:tr w:rsidR="00567061" w:rsidRPr="001961B1" w14:paraId="363D36F1" w14:textId="433C4913" w:rsidTr="0078307B">
        <w:trPr>
          <w:trHeight w:val="310"/>
        </w:trPr>
        <w:tc>
          <w:tcPr>
            <w:tcW w:w="3278" w:type="dxa"/>
            <w:shd w:val="clear" w:color="auto" w:fill="auto"/>
            <w:noWrap/>
            <w:vAlign w:val="center"/>
          </w:tcPr>
          <w:p w14:paraId="2152A6BC" w14:textId="60CCDF32" w:rsidR="00567061" w:rsidRPr="001961B1" w:rsidRDefault="003E04DF" w:rsidP="00567061">
            <w:pPr>
              <w:rPr>
                <w:rFonts w:asciiTheme="minorHAnsi" w:hAnsiTheme="minorHAnsi" w:cstheme="minorHAnsi"/>
                <w:sz w:val="22"/>
                <w:szCs w:val="22"/>
                <w:lang w:val="fr-FR"/>
              </w:rPr>
            </w:pPr>
            <w:r w:rsidRPr="001961B1">
              <w:rPr>
                <w:rFonts w:asciiTheme="minorHAnsi" w:hAnsiTheme="minorHAnsi" w:cstheme="minorHAnsi"/>
                <w:sz w:val="22"/>
                <w:szCs w:val="22"/>
                <w:lang w:val="fr-FR"/>
              </w:rPr>
              <w:t>Notes d’information</w:t>
            </w:r>
          </w:p>
        </w:tc>
        <w:tc>
          <w:tcPr>
            <w:tcW w:w="1520" w:type="dxa"/>
            <w:shd w:val="clear" w:color="auto" w:fill="auto"/>
            <w:noWrap/>
            <w:vAlign w:val="center"/>
          </w:tcPr>
          <w:p w14:paraId="12DA933E" w14:textId="37236DF6"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1</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417</w:t>
            </w:r>
          </w:p>
        </w:tc>
        <w:tc>
          <w:tcPr>
            <w:tcW w:w="1519" w:type="dxa"/>
            <w:shd w:val="clear" w:color="auto" w:fill="auto"/>
            <w:noWrap/>
            <w:vAlign w:val="center"/>
          </w:tcPr>
          <w:p w14:paraId="664F6C7D"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206</w:t>
            </w:r>
          </w:p>
        </w:tc>
        <w:tc>
          <w:tcPr>
            <w:tcW w:w="1520" w:type="dxa"/>
            <w:shd w:val="clear" w:color="auto" w:fill="auto"/>
            <w:noWrap/>
            <w:vAlign w:val="center"/>
          </w:tcPr>
          <w:p w14:paraId="1001F5BE"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331</w:t>
            </w:r>
          </w:p>
        </w:tc>
        <w:tc>
          <w:tcPr>
            <w:tcW w:w="1520" w:type="dxa"/>
            <w:vAlign w:val="center"/>
          </w:tcPr>
          <w:p w14:paraId="7ACC3976" w14:textId="2227B7F9"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b/>
                <w:sz w:val="22"/>
                <w:szCs w:val="22"/>
              </w:rPr>
              <w:t>1</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954</w:t>
            </w:r>
          </w:p>
        </w:tc>
      </w:tr>
      <w:tr w:rsidR="00567061" w:rsidRPr="001961B1" w14:paraId="647B0D35" w14:textId="07C562B9" w:rsidTr="0078307B">
        <w:trPr>
          <w:trHeight w:val="310"/>
        </w:trPr>
        <w:tc>
          <w:tcPr>
            <w:tcW w:w="3278" w:type="dxa"/>
            <w:shd w:val="clear" w:color="auto" w:fill="auto"/>
            <w:noWrap/>
            <w:vAlign w:val="center"/>
            <w:hideMark/>
          </w:tcPr>
          <w:p w14:paraId="657188E0" w14:textId="7A48BD42" w:rsidR="00567061" w:rsidRPr="001961B1" w:rsidRDefault="003E04DF" w:rsidP="00567061">
            <w:pPr>
              <w:rPr>
                <w:rFonts w:asciiTheme="minorHAnsi" w:hAnsiTheme="minorHAnsi" w:cstheme="minorHAnsi"/>
                <w:color w:val="000000"/>
                <w:sz w:val="22"/>
                <w:szCs w:val="22"/>
                <w:lang w:val="fr-FR"/>
              </w:rPr>
            </w:pPr>
            <w:r w:rsidRPr="001961B1">
              <w:rPr>
                <w:rFonts w:asciiTheme="minorHAnsi" w:hAnsiTheme="minorHAnsi" w:cstheme="minorHAnsi"/>
                <w:sz w:val="22"/>
                <w:szCs w:val="22"/>
                <w:lang w:val="fr-FR"/>
              </w:rPr>
              <w:t>Rapports techniques</w:t>
            </w:r>
          </w:p>
        </w:tc>
        <w:tc>
          <w:tcPr>
            <w:tcW w:w="1520" w:type="dxa"/>
            <w:shd w:val="clear" w:color="auto" w:fill="auto"/>
            <w:noWrap/>
            <w:vAlign w:val="center"/>
          </w:tcPr>
          <w:p w14:paraId="50FA98A6" w14:textId="161CFCBB"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1</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658</w:t>
            </w:r>
          </w:p>
        </w:tc>
        <w:tc>
          <w:tcPr>
            <w:tcW w:w="1519" w:type="dxa"/>
            <w:shd w:val="clear" w:color="auto" w:fill="auto"/>
            <w:noWrap/>
            <w:vAlign w:val="center"/>
          </w:tcPr>
          <w:p w14:paraId="38BEF4B1"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166</w:t>
            </w:r>
          </w:p>
        </w:tc>
        <w:tc>
          <w:tcPr>
            <w:tcW w:w="1520" w:type="dxa"/>
            <w:shd w:val="clear" w:color="auto" w:fill="auto"/>
            <w:noWrap/>
            <w:vAlign w:val="center"/>
          </w:tcPr>
          <w:p w14:paraId="10BE02B8"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343</w:t>
            </w:r>
          </w:p>
        </w:tc>
        <w:tc>
          <w:tcPr>
            <w:tcW w:w="1520" w:type="dxa"/>
            <w:vAlign w:val="center"/>
          </w:tcPr>
          <w:p w14:paraId="3A691A9D" w14:textId="4C64F0B8"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b/>
                <w:sz w:val="22"/>
                <w:szCs w:val="22"/>
              </w:rPr>
              <w:t>2</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167</w:t>
            </w:r>
          </w:p>
        </w:tc>
      </w:tr>
      <w:tr w:rsidR="00567061" w:rsidRPr="001961B1" w14:paraId="20A3CAF9" w14:textId="6D2ED6D8" w:rsidTr="0078307B">
        <w:trPr>
          <w:trHeight w:val="310"/>
        </w:trPr>
        <w:tc>
          <w:tcPr>
            <w:tcW w:w="3278" w:type="dxa"/>
            <w:shd w:val="clear" w:color="auto" w:fill="auto"/>
            <w:noWrap/>
            <w:vAlign w:val="center"/>
          </w:tcPr>
          <w:p w14:paraId="5FB68537" w14:textId="7CD9ECE4" w:rsidR="00567061" w:rsidRPr="001961B1" w:rsidRDefault="003E04DF" w:rsidP="00567061">
            <w:pPr>
              <w:rPr>
                <w:rFonts w:asciiTheme="minorHAnsi" w:hAnsiTheme="minorHAnsi" w:cstheme="minorHAnsi"/>
                <w:sz w:val="22"/>
                <w:szCs w:val="22"/>
                <w:lang w:val="fr-FR"/>
              </w:rPr>
            </w:pPr>
            <w:r w:rsidRPr="001961B1">
              <w:rPr>
                <w:rFonts w:asciiTheme="minorHAnsi" w:hAnsiTheme="minorHAnsi" w:cstheme="minorHAnsi"/>
                <w:sz w:val="22"/>
                <w:szCs w:val="22"/>
                <w:lang w:val="fr-FR"/>
              </w:rPr>
              <w:t>Manuel</w:t>
            </w:r>
            <w:r w:rsidR="00567061" w:rsidRPr="001961B1">
              <w:rPr>
                <w:rFonts w:asciiTheme="minorHAnsi" w:hAnsiTheme="minorHAnsi" w:cstheme="minorHAnsi"/>
                <w:sz w:val="22"/>
                <w:szCs w:val="22"/>
                <w:lang w:val="fr-FR"/>
              </w:rPr>
              <w:t>s</w:t>
            </w:r>
          </w:p>
        </w:tc>
        <w:tc>
          <w:tcPr>
            <w:tcW w:w="1520" w:type="dxa"/>
            <w:shd w:val="clear" w:color="auto" w:fill="auto"/>
            <w:noWrap/>
            <w:vAlign w:val="center"/>
          </w:tcPr>
          <w:p w14:paraId="37B03014" w14:textId="0AECA4A0"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4</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497</w:t>
            </w:r>
          </w:p>
        </w:tc>
        <w:tc>
          <w:tcPr>
            <w:tcW w:w="1519" w:type="dxa"/>
            <w:shd w:val="clear" w:color="auto" w:fill="auto"/>
            <w:noWrap/>
            <w:vAlign w:val="center"/>
          </w:tcPr>
          <w:p w14:paraId="7D31431B" w14:textId="77777777"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747</w:t>
            </w:r>
          </w:p>
        </w:tc>
        <w:tc>
          <w:tcPr>
            <w:tcW w:w="1520" w:type="dxa"/>
            <w:shd w:val="clear" w:color="auto" w:fill="auto"/>
            <w:noWrap/>
            <w:vAlign w:val="center"/>
          </w:tcPr>
          <w:p w14:paraId="65E86CD3" w14:textId="11022038"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sz w:val="22"/>
                <w:szCs w:val="22"/>
              </w:rPr>
              <w:t>2</w:t>
            </w:r>
            <w:r w:rsidR="00FD1F16" w:rsidRPr="001961B1">
              <w:rPr>
                <w:rFonts w:asciiTheme="minorHAnsi" w:hAnsiTheme="minorHAnsi" w:cstheme="minorHAnsi"/>
                <w:sz w:val="22"/>
                <w:szCs w:val="22"/>
              </w:rPr>
              <w:t xml:space="preserve"> </w:t>
            </w:r>
            <w:r w:rsidRPr="001961B1">
              <w:rPr>
                <w:rFonts w:asciiTheme="minorHAnsi" w:hAnsiTheme="minorHAnsi" w:cstheme="minorHAnsi"/>
                <w:sz w:val="22"/>
                <w:szCs w:val="22"/>
              </w:rPr>
              <w:t>778</w:t>
            </w:r>
          </w:p>
        </w:tc>
        <w:tc>
          <w:tcPr>
            <w:tcW w:w="1520" w:type="dxa"/>
            <w:vAlign w:val="center"/>
          </w:tcPr>
          <w:p w14:paraId="38F50631" w14:textId="61EC298B" w:rsidR="00567061" w:rsidRPr="001961B1" w:rsidRDefault="00567061" w:rsidP="00567061">
            <w:pPr>
              <w:jc w:val="right"/>
              <w:rPr>
                <w:rFonts w:asciiTheme="minorHAnsi" w:hAnsiTheme="minorHAnsi" w:cstheme="minorHAnsi"/>
                <w:sz w:val="22"/>
                <w:szCs w:val="22"/>
              </w:rPr>
            </w:pPr>
            <w:r w:rsidRPr="001961B1">
              <w:rPr>
                <w:rFonts w:asciiTheme="minorHAnsi" w:hAnsiTheme="minorHAnsi" w:cstheme="minorHAnsi"/>
                <w:b/>
                <w:sz w:val="22"/>
                <w:szCs w:val="22"/>
              </w:rPr>
              <w:t>8</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022</w:t>
            </w:r>
          </w:p>
        </w:tc>
      </w:tr>
      <w:tr w:rsidR="00567061" w:rsidRPr="001961B1" w14:paraId="483D36E3" w14:textId="2AFB6B08" w:rsidTr="0078307B">
        <w:trPr>
          <w:trHeight w:val="310"/>
        </w:trPr>
        <w:tc>
          <w:tcPr>
            <w:tcW w:w="3278" w:type="dxa"/>
            <w:shd w:val="clear" w:color="auto" w:fill="auto"/>
            <w:noWrap/>
            <w:vAlign w:val="center"/>
          </w:tcPr>
          <w:p w14:paraId="46AE70A6" w14:textId="77777777" w:rsidR="00567061" w:rsidRPr="001961B1" w:rsidRDefault="00567061" w:rsidP="00567061">
            <w:pPr>
              <w:rPr>
                <w:rFonts w:asciiTheme="minorHAnsi" w:hAnsiTheme="minorHAnsi" w:cstheme="minorHAnsi"/>
                <w:b/>
                <w:color w:val="000000"/>
                <w:sz w:val="22"/>
                <w:szCs w:val="22"/>
              </w:rPr>
            </w:pPr>
            <w:r w:rsidRPr="001961B1">
              <w:rPr>
                <w:rFonts w:asciiTheme="minorHAnsi" w:hAnsiTheme="minorHAnsi" w:cstheme="minorHAnsi"/>
                <w:b/>
                <w:color w:val="000000"/>
                <w:sz w:val="22"/>
                <w:szCs w:val="22"/>
              </w:rPr>
              <w:t>Total</w:t>
            </w:r>
          </w:p>
        </w:tc>
        <w:tc>
          <w:tcPr>
            <w:tcW w:w="1520" w:type="dxa"/>
            <w:shd w:val="clear" w:color="auto" w:fill="auto"/>
            <w:noWrap/>
            <w:vAlign w:val="bottom"/>
          </w:tcPr>
          <w:p w14:paraId="67AA2EE4" w14:textId="4B174DB0" w:rsidR="00567061" w:rsidRPr="001961B1" w:rsidRDefault="00567061" w:rsidP="00567061">
            <w:pPr>
              <w:jc w:val="right"/>
              <w:rPr>
                <w:rFonts w:asciiTheme="minorHAnsi" w:hAnsiTheme="minorHAnsi" w:cstheme="minorHAnsi"/>
                <w:b/>
                <w:sz w:val="22"/>
                <w:szCs w:val="22"/>
              </w:rPr>
            </w:pPr>
            <w:r w:rsidRPr="001961B1">
              <w:rPr>
                <w:rFonts w:asciiTheme="minorHAnsi" w:hAnsiTheme="minorHAnsi" w:cstheme="minorHAnsi"/>
                <w:b/>
                <w:sz w:val="22"/>
                <w:szCs w:val="22"/>
              </w:rPr>
              <w:t>12</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304</w:t>
            </w:r>
          </w:p>
        </w:tc>
        <w:tc>
          <w:tcPr>
            <w:tcW w:w="1519" w:type="dxa"/>
            <w:shd w:val="clear" w:color="auto" w:fill="auto"/>
            <w:noWrap/>
            <w:vAlign w:val="bottom"/>
          </w:tcPr>
          <w:p w14:paraId="06D5BE44" w14:textId="6801C295" w:rsidR="00567061" w:rsidRPr="001961B1" w:rsidRDefault="00567061" w:rsidP="00567061">
            <w:pPr>
              <w:jc w:val="right"/>
              <w:rPr>
                <w:rFonts w:asciiTheme="minorHAnsi" w:hAnsiTheme="minorHAnsi" w:cstheme="minorHAnsi"/>
                <w:b/>
                <w:sz w:val="22"/>
                <w:szCs w:val="22"/>
              </w:rPr>
            </w:pPr>
            <w:r w:rsidRPr="001961B1">
              <w:rPr>
                <w:rFonts w:asciiTheme="minorHAnsi" w:hAnsiTheme="minorHAnsi" w:cstheme="minorHAnsi"/>
                <w:b/>
                <w:sz w:val="22"/>
                <w:szCs w:val="22"/>
              </w:rPr>
              <w:t>2</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086</w:t>
            </w:r>
          </w:p>
        </w:tc>
        <w:tc>
          <w:tcPr>
            <w:tcW w:w="1520" w:type="dxa"/>
            <w:shd w:val="clear" w:color="auto" w:fill="auto"/>
            <w:noWrap/>
            <w:vAlign w:val="bottom"/>
          </w:tcPr>
          <w:p w14:paraId="50F0FD96" w14:textId="66564354" w:rsidR="00567061" w:rsidRPr="001961B1" w:rsidRDefault="00567061" w:rsidP="00567061">
            <w:pPr>
              <w:jc w:val="right"/>
              <w:rPr>
                <w:rFonts w:asciiTheme="minorHAnsi" w:hAnsiTheme="minorHAnsi" w:cstheme="minorHAnsi"/>
                <w:b/>
                <w:sz w:val="22"/>
                <w:szCs w:val="22"/>
              </w:rPr>
            </w:pPr>
            <w:r w:rsidRPr="001961B1">
              <w:rPr>
                <w:rFonts w:asciiTheme="minorHAnsi" w:hAnsiTheme="minorHAnsi" w:cstheme="minorHAnsi"/>
                <w:b/>
                <w:sz w:val="22"/>
                <w:szCs w:val="22"/>
              </w:rPr>
              <w:t>5</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659</w:t>
            </w:r>
          </w:p>
        </w:tc>
        <w:tc>
          <w:tcPr>
            <w:tcW w:w="1520" w:type="dxa"/>
            <w:vAlign w:val="bottom"/>
          </w:tcPr>
          <w:p w14:paraId="0A45D499" w14:textId="435A1B01" w:rsidR="00567061" w:rsidRPr="001961B1" w:rsidRDefault="00567061" w:rsidP="00567061">
            <w:pPr>
              <w:jc w:val="right"/>
              <w:rPr>
                <w:rFonts w:asciiTheme="minorHAnsi" w:hAnsiTheme="minorHAnsi" w:cstheme="minorHAnsi"/>
                <w:b/>
                <w:sz w:val="22"/>
                <w:szCs w:val="22"/>
              </w:rPr>
            </w:pPr>
            <w:r w:rsidRPr="001961B1">
              <w:rPr>
                <w:rFonts w:asciiTheme="minorHAnsi" w:hAnsiTheme="minorHAnsi" w:cstheme="minorHAnsi"/>
                <w:b/>
                <w:sz w:val="22"/>
                <w:szCs w:val="22"/>
              </w:rPr>
              <w:t>20</w:t>
            </w:r>
            <w:r w:rsidR="00FD1F16" w:rsidRPr="001961B1">
              <w:rPr>
                <w:rFonts w:asciiTheme="minorHAnsi" w:hAnsiTheme="minorHAnsi" w:cstheme="minorHAnsi"/>
                <w:b/>
                <w:sz w:val="22"/>
                <w:szCs w:val="22"/>
              </w:rPr>
              <w:t xml:space="preserve"> </w:t>
            </w:r>
            <w:r w:rsidRPr="001961B1">
              <w:rPr>
                <w:rFonts w:asciiTheme="minorHAnsi" w:hAnsiTheme="minorHAnsi" w:cstheme="minorHAnsi"/>
                <w:b/>
                <w:sz w:val="22"/>
                <w:szCs w:val="22"/>
              </w:rPr>
              <w:t>049</w:t>
            </w:r>
          </w:p>
        </w:tc>
      </w:tr>
    </w:tbl>
    <w:p w14:paraId="6AA1A2BF" w14:textId="77777777" w:rsidR="003A0EDF" w:rsidRPr="001961B1" w:rsidRDefault="003A0EDF" w:rsidP="00CD3F6B">
      <w:pPr>
        <w:ind w:left="426" w:hanging="426"/>
        <w:rPr>
          <w:rFonts w:asciiTheme="minorHAnsi" w:hAnsiTheme="minorHAnsi" w:cstheme="minorHAnsi"/>
          <w:sz w:val="22"/>
          <w:szCs w:val="22"/>
          <w:lang w:eastAsia="fr-FR"/>
        </w:rPr>
      </w:pPr>
    </w:p>
    <w:p w14:paraId="55ED7B9C" w14:textId="554EF143" w:rsidR="003A0EDF" w:rsidRPr="001961B1" w:rsidRDefault="002E1E29"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87.</w:t>
      </w:r>
      <w:r w:rsidR="00515041" w:rsidRPr="001961B1">
        <w:rPr>
          <w:rFonts w:asciiTheme="minorHAnsi" w:hAnsiTheme="minorHAnsi" w:cstheme="minorHAnsi"/>
          <w:sz w:val="22"/>
          <w:szCs w:val="22"/>
          <w:lang w:val="fr-FR" w:eastAsia="fr-FR"/>
        </w:rPr>
        <w:tab/>
      </w:r>
      <w:r w:rsidR="00042988" w:rsidRPr="001961B1">
        <w:rPr>
          <w:rFonts w:asciiTheme="minorHAnsi" w:hAnsiTheme="minorHAnsi" w:cstheme="minorHAnsi"/>
          <w:sz w:val="22"/>
          <w:szCs w:val="22"/>
          <w:lang w:val="fr-FR" w:eastAsia="fr-FR"/>
        </w:rPr>
        <w:t>Pour favoriser l’</w:t>
      </w:r>
      <w:r w:rsidR="00564E97" w:rsidRPr="001961B1">
        <w:rPr>
          <w:rFonts w:asciiTheme="minorHAnsi" w:hAnsiTheme="minorHAnsi" w:cstheme="minorHAnsi"/>
          <w:sz w:val="22"/>
          <w:szCs w:val="22"/>
          <w:lang w:val="fr-FR" w:eastAsia="fr-FR"/>
        </w:rPr>
        <w:t>utilisation</w:t>
      </w:r>
      <w:r w:rsidR="00042988" w:rsidRPr="001961B1">
        <w:rPr>
          <w:rFonts w:asciiTheme="minorHAnsi" w:hAnsiTheme="minorHAnsi" w:cstheme="minorHAnsi"/>
          <w:sz w:val="22"/>
          <w:szCs w:val="22"/>
          <w:lang w:val="fr-FR" w:eastAsia="fr-FR"/>
        </w:rPr>
        <w:t xml:space="preserve">, le GEST a soutenu </w:t>
      </w:r>
      <w:r w:rsidR="00564E97" w:rsidRPr="001961B1">
        <w:rPr>
          <w:rFonts w:asciiTheme="minorHAnsi" w:hAnsiTheme="minorHAnsi" w:cstheme="minorHAnsi"/>
          <w:sz w:val="22"/>
          <w:szCs w:val="22"/>
          <w:lang w:val="fr-FR" w:eastAsia="fr-FR"/>
        </w:rPr>
        <w:t>des activités de</w:t>
      </w:r>
      <w:r w:rsidR="00042988" w:rsidRPr="001961B1">
        <w:rPr>
          <w:rFonts w:asciiTheme="minorHAnsi" w:hAnsiTheme="minorHAnsi" w:cstheme="minorHAnsi"/>
          <w:sz w:val="22"/>
          <w:szCs w:val="22"/>
          <w:lang w:val="fr-FR" w:eastAsia="fr-FR"/>
        </w:rPr>
        <w:t xml:space="preserve"> diffusion et de renforcement des capacités telles que </w:t>
      </w:r>
      <w:r w:rsidR="00564E97" w:rsidRPr="001961B1">
        <w:rPr>
          <w:rFonts w:asciiTheme="minorHAnsi" w:hAnsiTheme="minorHAnsi" w:cstheme="minorHAnsi"/>
          <w:sz w:val="22"/>
          <w:szCs w:val="22"/>
          <w:lang w:val="fr-FR" w:eastAsia="fr-FR"/>
        </w:rPr>
        <w:t>d</w:t>
      </w:r>
      <w:r w:rsidR="00042988" w:rsidRPr="001961B1">
        <w:rPr>
          <w:rFonts w:asciiTheme="minorHAnsi" w:hAnsiTheme="minorHAnsi" w:cstheme="minorHAnsi"/>
          <w:sz w:val="22"/>
          <w:szCs w:val="22"/>
          <w:lang w:val="fr-FR" w:eastAsia="fr-FR"/>
        </w:rPr>
        <w:t xml:space="preserve">es </w:t>
      </w:r>
      <w:r w:rsidR="005A7CEB" w:rsidRPr="001961B1">
        <w:rPr>
          <w:rFonts w:asciiTheme="minorHAnsi" w:hAnsiTheme="minorHAnsi" w:cstheme="minorHAnsi"/>
          <w:sz w:val="22"/>
          <w:szCs w:val="22"/>
          <w:lang w:val="fr-FR" w:eastAsia="fr-FR"/>
        </w:rPr>
        <w:t>webinaires</w:t>
      </w:r>
      <w:r w:rsidR="00042988" w:rsidRPr="001961B1">
        <w:rPr>
          <w:rFonts w:asciiTheme="minorHAnsi" w:hAnsiTheme="minorHAnsi" w:cstheme="minorHAnsi"/>
          <w:sz w:val="22"/>
          <w:szCs w:val="22"/>
          <w:lang w:val="fr-FR" w:eastAsia="fr-FR"/>
        </w:rPr>
        <w:t>. Par exemple, un cours conjoint en ligne avec la FAO intitulé « </w:t>
      </w:r>
      <w:r w:rsidR="003A0EDF" w:rsidRPr="001961B1">
        <w:rPr>
          <w:rFonts w:asciiTheme="minorHAnsi" w:hAnsiTheme="minorHAnsi" w:cstheme="minorHAnsi"/>
          <w:sz w:val="22"/>
          <w:szCs w:val="22"/>
          <w:lang w:val="fr-FR" w:eastAsia="fr-FR"/>
        </w:rPr>
        <w:t xml:space="preserve">Wetlands and </w:t>
      </w:r>
      <w:r w:rsidR="00770E5B" w:rsidRPr="001961B1">
        <w:rPr>
          <w:rFonts w:asciiTheme="minorHAnsi" w:hAnsiTheme="minorHAnsi" w:cstheme="minorHAnsi"/>
          <w:sz w:val="22"/>
          <w:szCs w:val="22"/>
          <w:lang w:val="fr-FR" w:eastAsia="fr-FR"/>
        </w:rPr>
        <w:t>a</w:t>
      </w:r>
      <w:r w:rsidR="003A0EDF" w:rsidRPr="001961B1">
        <w:rPr>
          <w:rFonts w:asciiTheme="minorHAnsi" w:hAnsiTheme="minorHAnsi" w:cstheme="minorHAnsi"/>
          <w:sz w:val="22"/>
          <w:szCs w:val="22"/>
          <w:lang w:val="fr-FR" w:eastAsia="fr-FR"/>
        </w:rPr>
        <w:t xml:space="preserve">griculture - </w:t>
      </w:r>
      <w:r w:rsidR="00770E5B" w:rsidRPr="001961B1">
        <w:rPr>
          <w:rFonts w:asciiTheme="minorHAnsi" w:hAnsiTheme="minorHAnsi" w:cstheme="minorHAnsi"/>
          <w:sz w:val="22"/>
          <w:szCs w:val="22"/>
          <w:lang w:val="fr-FR" w:eastAsia="fr-FR"/>
        </w:rPr>
        <w:t>p</w:t>
      </w:r>
      <w:r w:rsidR="003A0EDF" w:rsidRPr="001961B1">
        <w:rPr>
          <w:rFonts w:asciiTheme="minorHAnsi" w:hAnsiTheme="minorHAnsi" w:cstheme="minorHAnsi"/>
          <w:sz w:val="22"/>
          <w:szCs w:val="22"/>
          <w:lang w:val="fr-FR" w:eastAsia="fr-FR"/>
        </w:rPr>
        <w:t xml:space="preserve">athways to </w:t>
      </w:r>
      <w:r w:rsidR="00770E5B" w:rsidRPr="001961B1">
        <w:rPr>
          <w:rFonts w:asciiTheme="minorHAnsi" w:hAnsiTheme="minorHAnsi" w:cstheme="minorHAnsi"/>
          <w:sz w:val="22"/>
          <w:szCs w:val="22"/>
          <w:lang w:val="fr-FR" w:eastAsia="fr-FR"/>
        </w:rPr>
        <w:t>s</w:t>
      </w:r>
      <w:r w:rsidR="003A0EDF" w:rsidRPr="001961B1">
        <w:rPr>
          <w:rFonts w:asciiTheme="minorHAnsi" w:hAnsiTheme="minorHAnsi" w:cstheme="minorHAnsi"/>
          <w:sz w:val="22"/>
          <w:szCs w:val="22"/>
          <w:lang w:val="fr-FR" w:eastAsia="fr-FR"/>
        </w:rPr>
        <w:t>ustainability</w:t>
      </w:r>
      <w:r w:rsidR="00042988" w:rsidRPr="001961B1">
        <w:rPr>
          <w:rFonts w:asciiTheme="minorHAnsi" w:hAnsiTheme="minorHAnsi" w:cstheme="minorHAnsi"/>
          <w:sz w:val="22"/>
          <w:szCs w:val="22"/>
          <w:lang w:val="fr-FR" w:eastAsia="fr-FR"/>
        </w:rPr>
        <w:t> »</w:t>
      </w:r>
      <w:r w:rsidR="001E4829" w:rsidRPr="001961B1">
        <w:rPr>
          <w:rFonts w:asciiTheme="minorHAnsi" w:hAnsiTheme="minorHAnsi" w:cstheme="minorHAnsi"/>
          <w:sz w:val="22"/>
          <w:szCs w:val="22"/>
          <w:lang w:val="fr-FR" w:eastAsia="fr-FR"/>
        </w:rPr>
        <w:t xml:space="preserve"> </w:t>
      </w:r>
      <w:r w:rsidR="005A7CEB" w:rsidRPr="001961B1">
        <w:rPr>
          <w:rFonts w:asciiTheme="minorHAnsi" w:hAnsiTheme="minorHAnsi" w:cstheme="minorHAnsi"/>
          <w:sz w:val="22"/>
          <w:szCs w:val="22"/>
          <w:lang w:val="fr-FR" w:eastAsia="fr-FR"/>
        </w:rPr>
        <w:t xml:space="preserve">a été lancé sur l’Académie </w:t>
      </w:r>
      <w:r w:rsidR="001E4829" w:rsidRPr="001961B1">
        <w:rPr>
          <w:rFonts w:asciiTheme="minorHAnsi" w:hAnsiTheme="minorHAnsi" w:cstheme="minorHAnsi"/>
          <w:sz w:val="22"/>
          <w:szCs w:val="22"/>
          <w:lang w:val="fr-FR" w:eastAsia="fr-FR"/>
        </w:rPr>
        <w:t>numérique</w:t>
      </w:r>
      <w:r w:rsidR="005A7CEB" w:rsidRPr="001961B1">
        <w:rPr>
          <w:rFonts w:asciiTheme="minorHAnsi" w:hAnsiTheme="minorHAnsi" w:cstheme="minorHAnsi"/>
          <w:sz w:val="22"/>
          <w:szCs w:val="22"/>
          <w:lang w:val="fr-FR" w:eastAsia="fr-FR"/>
        </w:rPr>
        <w:t xml:space="preserve"> de la FAO, et 649 personnes ont terminé le cours à ce jour. Un cours d’introduction sur le GEST a également été mis à disposition sur la plateforme </w:t>
      </w:r>
      <w:r w:rsidR="003A0EDF" w:rsidRPr="001961B1">
        <w:rPr>
          <w:rFonts w:asciiTheme="minorHAnsi" w:hAnsiTheme="minorHAnsi" w:cstheme="minorHAnsi"/>
          <w:sz w:val="22"/>
          <w:szCs w:val="22"/>
          <w:lang w:val="fr-FR" w:eastAsia="fr-FR"/>
        </w:rPr>
        <w:t xml:space="preserve">InforMEA. </w:t>
      </w:r>
      <w:r w:rsidR="005A7CEB" w:rsidRPr="001961B1">
        <w:rPr>
          <w:rFonts w:asciiTheme="minorHAnsi" w:hAnsiTheme="minorHAnsi" w:cstheme="minorHAnsi"/>
          <w:sz w:val="22"/>
          <w:szCs w:val="22"/>
          <w:lang w:val="fr-FR" w:eastAsia="fr-FR"/>
        </w:rPr>
        <w:t>Deux webinaires sur l’intégration des zones humides dans les SPANB ont eu lieu en 2024, avec 545 participants et 215 </w:t>
      </w:r>
      <w:r w:rsidR="001E4829" w:rsidRPr="001961B1">
        <w:rPr>
          <w:rFonts w:asciiTheme="minorHAnsi" w:hAnsiTheme="minorHAnsi" w:cstheme="minorHAnsi"/>
          <w:sz w:val="22"/>
          <w:szCs w:val="22"/>
          <w:lang w:val="fr-FR" w:eastAsia="fr-FR"/>
        </w:rPr>
        <w:t>visites</w:t>
      </w:r>
      <w:r w:rsidR="005A7CEB" w:rsidRPr="001961B1">
        <w:rPr>
          <w:rFonts w:asciiTheme="minorHAnsi" w:hAnsiTheme="minorHAnsi" w:cstheme="minorHAnsi"/>
          <w:sz w:val="22"/>
          <w:szCs w:val="22"/>
          <w:lang w:val="fr-FR" w:eastAsia="fr-FR"/>
        </w:rPr>
        <w:t xml:space="preserve"> sur </w:t>
      </w:r>
      <w:r w:rsidR="003A0EDF" w:rsidRPr="001961B1">
        <w:rPr>
          <w:rFonts w:asciiTheme="minorHAnsi" w:hAnsiTheme="minorHAnsi" w:cstheme="minorHAnsi"/>
          <w:sz w:val="22"/>
          <w:szCs w:val="22"/>
          <w:lang w:val="fr-FR" w:eastAsia="fr-FR"/>
        </w:rPr>
        <w:t xml:space="preserve">YouTube </w:t>
      </w:r>
      <w:r w:rsidR="005A7CEB" w:rsidRPr="001961B1">
        <w:rPr>
          <w:rFonts w:asciiTheme="minorHAnsi" w:hAnsiTheme="minorHAnsi" w:cstheme="minorHAnsi"/>
          <w:sz w:val="22"/>
          <w:szCs w:val="22"/>
          <w:lang w:val="fr-FR" w:eastAsia="fr-FR"/>
        </w:rPr>
        <w:t>en date d’avril </w:t>
      </w:r>
      <w:r w:rsidR="003A0EDF" w:rsidRPr="001961B1">
        <w:rPr>
          <w:rFonts w:asciiTheme="minorHAnsi" w:hAnsiTheme="minorHAnsi" w:cstheme="minorHAnsi"/>
          <w:sz w:val="22"/>
          <w:szCs w:val="22"/>
          <w:lang w:val="fr-FR" w:eastAsia="fr-FR"/>
        </w:rPr>
        <w:t>2025.</w:t>
      </w:r>
    </w:p>
    <w:p w14:paraId="12AC040A" w14:textId="77777777" w:rsidR="003A0EDF" w:rsidRPr="001961B1" w:rsidRDefault="003A0EDF" w:rsidP="00257025">
      <w:pPr>
        <w:ind w:left="567" w:hanging="567"/>
        <w:rPr>
          <w:rFonts w:asciiTheme="minorHAnsi" w:hAnsiTheme="minorHAnsi" w:cstheme="minorHAnsi"/>
          <w:sz w:val="22"/>
          <w:szCs w:val="22"/>
          <w:lang w:val="fr-FR" w:eastAsia="fr-FR"/>
        </w:rPr>
      </w:pPr>
    </w:p>
    <w:p w14:paraId="6C23AA7A" w14:textId="21D3A82E" w:rsidR="003A0EDF"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w:t>
      </w:r>
      <w:r w:rsidR="002E1E29" w:rsidRPr="001961B1">
        <w:rPr>
          <w:rFonts w:asciiTheme="minorHAnsi" w:hAnsiTheme="minorHAnsi" w:cstheme="minorHAnsi"/>
          <w:sz w:val="22"/>
          <w:szCs w:val="22"/>
          <w:lang w:val="fr-FR" w:eastAsia="fr-FR"/>
        </w:rPr>
        <w:t>8</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5F1DA3" w:rsidRPr="001961B1">
        <w:rPr>
          <w:rFonts w:asciiTheme="minorHAnsi" w:hAnsiTheme="minorHAnsi" w:cstheme="minorHAnsi"/>
          <w:sz w:val="22"/>
          <w:szCs w:val="22"/>
          <w:lang w:val="fr-FR" w:eastAsia="fr-FR"/>
        </w:rPr>
        <w:t>De nombreuses personnes ont participé à la préparation des orientations scientifiques et des méthodologies techniques des produits du GEST, notamment p</w:t>
      </w:r>
      <w:r w:rsidR="009C3157" w:rsidRPr="001961B1">
        <w:rPr>
          <w:rFonts w:asciiTheme="minorHAnsi" w:hAnsiTheme="minorHAnsi" w:cstheme="minorHAnsi"/>
          <w:sz w:val="22"/>
          <w:szCs w:val="22"/>
          <w:lang w:val="fr-FR" w:eastAsia="fr-FR"/>
        </w:rPr>
        <w:t>lusieurs experts représentant les Organisations internationales partenaires de la Convention (OIP) et d’autres observateurs ainsi que des Correspondants nationaux</w:t>
      </w:r>
      <w:r w:rsidR="005F1DA3" w:rsidRPr="001961B1">
        <w:rPr>
          <w:rFonts w:asciiTheme="minorHAnsi" w:hAnsiTheme="minorHAnsi" w:cstheme="minorHAnsi"/>
          <w:sz w:val="22"/>
          <w:szCs w:val="22"/>
          <w:lang w:val="fr-FR" w:eastAsia="fr-FR"/>
        </w:rPr>
        <w:t xml:space="preserve"> du</w:t>
      </w:r>
      <w:r w:rsidR="009C3157" w:rsidRPr="001961B1">
        <w:rPr>
          <w:rFonts w:asciiTheme="minorHAnsi" w:hAnsiTheme="minorHAnsi" w:cstheme="minorHAnsi"/>
          <w:sz w:val="22"/>
          <w:szCs w:val="22"/>
          <w:lang w:val="fr-FR" w:eastAsia="fr-FR"/>
        </w:rPr>
        <w:t xml:space="preserve"> GEST. Le </w:t>
      </w:r>
      <w:r w:rsidR="005F1DA3" w:rsidRPr="001961B1">
        <w:rPr>
          <w:rFonts w:asciiTheme="minorHAnsi" w:hAnsiTheme="minorHAnsi" w:cstheme="minorHAnsi"/>
          <w:sz w:val="22"/>
          <w:szCs w:val="22"/>
          <w:lang w:val="fr-FR" w:eastAsia="fr-FR"/>
        </w:rPr>
        <w:t xml:space="preserve">redémarrage </w:t>
      </w:r>
      <w:r w:rsidR="009C3157" w:rsidRPr="001961B1">
        <w:rPr>
          <w:rFonts w:asciiTheme="minorHAnsi" w:hAnsiTheme="minorHAnsi" w:cstheme="minorHAnsi"/>
          <w:sz w:val="22"/>
          <w:szCs w:val="22"/>
          <w:lang w:val="fr-FR" w:eastAsia="fr-FR"/>
        </w:rPr>
        <w:t xml:space="preserve">de l’Espace de travail du GEST a renforcé la collaboration </w:t>
      </w:r>
      <w:r w:rsidR="005F1DA3" w:rsidRPr="001961B1">
        <w:rPr>
          <w:rFonts w:asciiTheme="minorHAnsi" w:hAnsiTheme="minorHAnsi" w:cstheme="minorHAnsi"/>
          <w:sz w:val="22"/>
          <w:szCs w:val="22"/>
          <w:lang w:val="fr-FR" w:eastAsia="fr-FR"/>
        </w:rPr>
        <w:t>relative à</w:t>
      </w:r>
      <w:r w:rsidR="009C3157" w:rsidRPr="001961B1">
        <w:rPr>
          <w:rFonts w:asciiTheme="minorHAnsi" w:hAnsiTheme="minorHAnsi" w:cstheme="minorHAnsi"/>
          <w:sz w:val="22"/>
          <w:szCs w:val="22"/>
          <w:lang w:val="fr-FR" w:eastAsia="fr-FR"/>
        </w:rPr>
        <w:t xml:space="preserve"> la préparation des produits du GEST</w:t>
      </w:r>
      <w:r w:rsidR="005F1DA3" w:rsidRPr="001961B1">
        <w:rPr>
          <w:rFonts w:asciiTheme="minorHAnsi" w:hAnsiTheme="minorHAnsi" w:cstheme="minorHAnsi"/>
          <w:sz w:val="22"/>
          <w:szCs w:val="22"/>
          <w:lang w:val="fr-FR" w:eastAsia="fr-FR"/>
        </w:rPr>
        <w:t xml:space="preserve"> en</w:t>
      </w:r>
      <w:r w:rsidR="009C3157" w:rsidRPr="001961B1">
        <w:rPr>
          <w:rFonts w:asciiTheme="minorHAnsi" w:hAnsiTheme="minorHAnsi" w:cstheme="minorHAnsi"/>
          <w:sz w:val="22"/>
          <w:szCs w:val="22"/>
          <w:lang w:val="fr-FR" w:eastAsia="fr-FR"/>
        </w:rPr>
        <w:t xml:space="preserve"> fournissant une plateforme en ligne pour le partage de documents et d’informations et le suivi des progrès. L’introduction du Communiqué du GEST, un bulletin </w:t>
      </w:r>
      <w:r w:rsidR="003E3472" w:rsidRPr="001961B1">
        <w:rPr>
          <w:rFonts w:asciiTheme="minorHAnsi" w:hAnsiTheme="minorHAnsi" w:cstheme="minorHAnsi"/>
          <w:sz w:val="22"/>
          <w:szCs w:val="22"/>
          <w:lang w:val="fr-FR" w:eastAsia="fr-FR"/>
        </w:rPr>
        <w:t>semestriel</w:t>
      </w:r>
      <w:r w:rsidR="005F1DA3" w:rsidRPr="001961B1">
        <w:rPr>
          <w:rFonts w:asciiTheme="minorHAnsi" w:hAnsiTheme="minorHAnsi" w:cstheme="minorHAnsi"/>
          <w:sz w:val="22"/>
          <w:szCs w:val="22"/>
          <w:lang w:val="fr-FR" w:eastAsia="fr-FR"/>
        </w:rPr>
        <w:t>,</w:t>
      </w:r>
      <w:r w:rsidR="009C3157" w:rsidRPr="001961B1">
        <w:rPr>
          <w:rFonts w:asciiTheme="minorHAnsi" w:hAnsiTheme="minorHAnsi" w:cstheme="minorHAnsi"/>
          <w:sz w:val="22"/>
          <w:szCs w:val="22"/>
          <w:lang w:val="fr-FR" w:eastAsia="fr-FR"/>
        </w:rPr>
        <w:t xml:space="preserve"> a également amélioré la communication, les mises à jour et l’engagement des parties prenantes.</w:t>
      </w:r>
    </w:p>
    <w:p w14:paraId="25555814" w14:textId="77777777" w:rsidR="003A0EDF" w:rsidRPr="001961B1" w:rsidRDefault="003A0EDF" w:rsidP="00257025">
      <w:pPr>
        <w:ind w:left="567" w:hanging="567"/>
        <w:rPr>
          <w:rFonts w:asciiTheme="minorHAnsi" w:hAnsiTheme="minorHAnsi" w:cstheme="minorHAnsi"/>
          <w:sz w:val="22"/>
          <w:szCs w:val="22"/>
          <w:lang w:val="fr-FR" w:eastAsia="fr-FR"/>
        </w:rPr>
      </w:pPr>
    </w:p>
    <w:p w14:paraId="246E88F3" w14:textId="0FDF105B" w:rsidR="0035467F" w:rsidRPr="001961B1" w:rsidRDefault="002E1E29"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89</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6E061E" w:rsidRPr="001961B1">
        <w:rPr>
          <w:rFonts w:asciiTheme="minorHAnsi" w:hAnsiTheme="minorHAnsi" w:cstheme="minorHAnsi"/>
          <w:sz w:val="22"/>
          <w:szCs w:val="22"/>
          <w:lang w:val="fr-FR" w:eastAsia="fr-FR"/>
        </w:rPr>
        <w:t xml:space="preserve">Le nombre de produits du GEST a augmenté mais il est nécessaire </w:t>
      </w:r>
      <w:r w:rsidR="00516AC3" w:rsidRPr="001961B1">
        <w:rPr>
          <w:rFonts w:asciiTheme="minorHAnsi" w:hAnsiTheme="minorHAnsi" w:cstheme="minorHAnsi"/>
          <w:sz w:val="22"/>
          <w:szCs w:val="22"/>
          <w:lang w:val="fr-FR" w:eastAsia="fr-FR"/>
        </w:rPr>
        <w:t>d’améliorer</w:t>
      </w:r>
      <w:r w:rsidR="006E061E" w:rsidRPr="001961B1">
        <w:rPr>
          <w:rFonts w:asciiTheme="minorHAnsi" w:hAnsiTheme="minorHAnsi" w:cstheme="minorHAnsi"/>
          <w:sz w:val="22"/>
          <w:szCs w:val="22"/>
          <w:lang w:val="fr-FR" w:eastAsia="fr-FR"/>
        </w:rPr>
        <w:t xml:space="preserve"> le suivi de leur utilisation</w:t>
      </w:r>
      <w:r w:rsidR="00642313" w:rsidRPr="001961B1">
        <w:rPr>
          <w:rFonts w:asciiTheme="minorHAnsi" w:hAnsiTheme="minorHAnsi" w:cstheme="minorHAnsi"/>
          <w:sz w:val="22"/>
          <w:szCs w:val="22"/>
          <w:lang w:val="fr-FR" w:eastAsia="fr-FR"/>
        </w:rPr>
        <w:t>,</w:t>
      </w:r>
      <w:r w:rsidR="006E061E" w:rsidRPr="001961B1">
        <w:rPr>
          <w:rFonts w:asciiTheme="minorHAnsi" w:hAnsiTheme="minorHAnsi" w:cstheme="minorHAnsi"/>
          <w:sz w:val="22"/>
          <w:szCs w:val="22"/>
          <w:lang w:val="fr-FR" w:eastAsia="fr-FR"/>
        </w:rPr>
        <w:t xml:space="preserve"> par exemple</w:t>
      </w:r>
      <w:r w:rsidR="00642313" w:rsidRPr="001961B1">
        <w:rPr>
          <w:rFonts w:asciiTheme="minorHAnsi" w:hAnsiTheme="minorHAnsi" w:cstheme="minorHAnsi"/>
          <w:sz w:val="22"/>
          <w:szCs w:val="22"/>
          <w:lang w:val="fr-FR" w:eastAsia="fr-FR"/>
        </w:rPr>
        <w:t>,</w:t>
      </w:r>
      <w:r w:rsidR="006E061E" w:rsidRPr="001961B1">
        <w:rPr>
          <w:rFonts w:asciiTheme="minorHAnsi" w:hAnsiTheme="minorHAnsi" w:cstheme="minorHAnsi"/>
          <w:sz w:val="22"/>
          <w:szCs w:val="22"/>
          <w:lang w:val="fr-FR" w:eastAsia="fr-FR"/>
        </w:rPr>
        <w:t xml:space="preserve"> dans le contexte des processus politiques nationaux, des activités de </w:t>
      </w:r>
      <w:r w:rsidR="00F3694F" w:rsidRPr="001961B1">
        <w:rPr>
          <w:rFonts w:asciiTheme="minorHAnsi" w:hAnsiTheme="minorHAnsi" w:cstheme="minorHAnsi"/>
          <w:sz w:val="22"/>
          <w:szCs w:val="22"/>
          <w:lang w:val="fr-FR" w:eastAsia="fr-FR"/>
        </w:rPr>
        <w:t xml:space="preserve">formation et des activités ou documents d’autres accords multilatéraux sur l’environnement (AME). Les indicateurs existants fournissent une mesure partielle de la diffusion mais donnent un aperçu limité sur les </w:t>
      </w:r>
      <w:r w:rsidR="00516AC3" w:rsidRPr="001961B1">
        <w:rPr>
          <w:rFonts w:asciiTheme="minorHAnsi" w:hAnsiTheme="minorHAnsi" w:cstheme="minorHAnsi"/>
          <w:sz w:val="22"/>
          <w:szCs w:val="22"/>
          <w:lang w:val="fr-FR" w:eastAsia="fr-FR"/>
        </w:rPr>
        <w:t>publics</w:t>
      </w:r>
      <w:r w:rsidR="00F3694F" w:rsidRPr="001961B1">
        <w:rPr>
          <w:rFonts w:asciiTheme="minorHAnsi" w:hAnsiTheme="minorHAnsi" w:cstheme="minorHAnsi"/>
          <w:sz w:val="22"/>
          <w:szCs w:val="22"/>
          <w:lang w:val="fr-FR" w:eastAsia="fr-FR"/>
        </w:rPr>
        <w:t xml:space="preserve"> touchés, la pertinence ou l’utilisation des produits. </w:t>
      </w:r>
      <w:r w:rsidR="00516AC3" w:rsidRPr="001961B1">
        <w:rPr>
          <w:rFonts w:asciiTheme="minorHAnsi" w:hAnsiTheme="minorHAnsi" w:cstheme="minorHAnsi"/>
          <w:sz w:val="22"/>
          <w:szCs w:val="22"/>
          <w:lang w:val="fr-FR" w:eastAsia="fr-FR"/>
        </w:rPr>
        <w:t>À l’avenir, le</w:t>
      </w:r>
      <w:r w:rsidR="00F3694F" w:rsidRPr="001961B1">
        <w:rPr>
          <w:rFonts w:asciiTheme="minorHAnsi" w:hAnsiTheme="minorHAnsi" w:cstheme="minorHAnsi"/>
          <w:sz w:val="22"/>
          <w:szCs w:val="22"/>
          <w:lang w:val="fr-FR" w:eastAsia="fr-FR"/>
        </w:rPr>
        <w:t xml:space="preserve"> suivi pourrait bénéficier </w:t>
      </w:r>
      <w:r w:rsidR="00516AC3" w:rsidRPr="001961B1">
        <w:rPr>
          <w:rFonts w:asciiTheme="minorHAnsi" w:hAnsiTheme="minorHAnsi" w:cstheme="minorHAnsi"/>
          <w:sz w:val="22"/>
          <w:szCs w:val="22"/>
          <w:lang w:val="fr-FR" w:eastAsia="fr-FR"/>
        </w:rPr>
        <w:t>d’</w:t>
      </w:r>
      <w:r w:rsidR="00F3694F" w:rsidRPr="001961B1">
        <w:rPr>
          <w:rFonts w:asciiTheme="minorHAnsi" w:hAnsiTheme="minorHAnsi" w:cstheme="minorHAnsi"/>
          <w:sz w:val="22"/>
          <w:szCs w:val="22"/>
          <w:lang w:val="fr-FR" w:eastAsia="fr-FR"/>
        </w:rPr>
        <w:t>autres</w:t>
      </w:r>
      <w:r w:rsidR="00516AC3" w:rsidRPr="001961B1">
        <w:rPr>
          <w:rFonts w:asciiTheme="minorHAnsi" w:hAnsiTheme="minorHAnsi" w:cstheme="minorHAnsi"/>
          <w:sz w:val="22"/>
          <w:szCs w:val="22"/>
          <w:lang w:val="fr-FR" w:eastAsia="fr-FR"/>
        </w:rPr>
        <w:t xml:space="preserve"> mesures</w:t>
      </w:r>
      <w:r w:rsidR="00F3694F" w:rsidRPr="001961B1">
        <w:rPr>
          <w:rFonts w:asciiTheme="minorHAnsi" w:hAnsiTheme="minorHAnsi" w:cstheme="minorHAnsi"/>
          <w:sz w:val="22"/>
          <w:szCs w:val="22"/>
          <w:lang w:val="fr-FR" w:eastAsia="fr-FR"/>
        </w:rPr>
        <w:t xml:space="preserve"> </w:t>
      </w:r>
      <w:r w:rsidR="00516AC3" w:rsidRPr="001961B1">
        <w:rPr>
          <w:rFonts w:asciiTheme="minorHAnsi" w:hAnsiTheme="minorHAnsi" w:cstheme="minorHAnsi"/>
          <w:sz w:val="22"/>
          <w:szCs w:val="22"/>
          <w:lang w:val="fr-FR" w:eastAsia="fr-FR"/>
        </w:rPr>
        <w:t>comprenant éventuellement</w:t>
      </w:r>
      <w:r w:rsidR="00F3694F" w:rsidRPr="001961B1">
        <w:rPr>
          <w:rFonts w:asciiTheme="minorHAnsi" w:hAnsiTheme="minorHAnsi" w:cstheme="minorHAnsi"/>
          <w:sz w:val="22"/>
          <w:szCs w:val="22"/>
          <w:lang w:val="fr-FR" w:eastAsia="fr-FR"/>
        </w:rPr>
        <w:t xml:space="preserve"> des références dans les Rapports nationaux ou la documentation d’autres AME.</w:t>
      </w:r>
    </w:p>
    <w:p w14:paraId="5034FA8D" w14:textId="77777777" w:rsidR="00667ED5" w:rsidRPr="001961B1" w:rsidRDefault="00667ED5" w:rsidP="00CD3F6B">
      <w:pPr>
        <w:rPr>
          <w:rFonts w:asciiTheme="minorHAnsi" w:eastAsia="Aptos" w:hAnsiTheme="minorHAnsi" w:cstheme="minorHAnsi"/>
          <w:sz w:val="22"/>
          <w:szCs w:val="22"/>
          <w:lang w:val="fr-FR"/>
          <w14:ligatures w14:val="standardContextual"/>
        </w:rPr>
      </w:pPr>
    </w:p>
    <w:p w14:paraId="071A8006" w14:textId="77777777" w:rsidR="003E56FD" w:rsidRPr="001961B1" w:rsidRDefault="003E56FD" w:rsidP="00CD3F6B">
      <w:pPr>
        <w:rPr>
          <w:rFonts w:asciiTheme="minorHAnsi" w:eastAsia="Aptos" w:hAnsiTheme="minorHAnsi" w:cstheme="minorHAnsi"/>
          <w:sz w:val="22"/>
          <w:szCs w:val="22"/>
          <w:lang w:val="fr-FR"/>
          <w14:ligatures w14:val="standardContextual"/>
        </w:rPr>
      </w:pPr>
    </w:p>
    <w:tbl>
      <w:tblPr>
        <w:tblStyle w:val="TableGrid16"/>
        <w:tblW w:w="9351" w:type="dxa"/>
        <w:tblLook w:val="04A0" w:firstRow="1" w:lastRow="0" w:firstColumn="1" w:lastColumn="0" w:noHBand="0" w:noVBand="1"/>
      </w:tblPr>
      <w:tblGrid>
        <w:gridCol w:w="9351"/>
      </w:tblGrid>
      <w:tr w:rsidR="00C76214" w:rsidRPr="001961B1" w14:paraId="5EF8F4D9" w14:textId="77777777" w:rsidTr="004D229D">
        <w:tc>
          <w:tcPr>
            <w:tcW w:w="9351" w:type="dxa"/>
            <w:vAlign w:val="center"/>
          </w:tcPr>
          <w:p w14:paraId="4A81DC06" w14:textId="722D79E9" w:rsidR="00C76214" w:rsidRPr="001961B1" w:rsidRDefault="00630F8A"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C76214" w:rsidRPr="001961B1">
              <w:rPr>
                <w:rFonts w:asciiTheme="minorHAnsi" w:hAnsiTheme="minorHAnsi" w:cstheme="minorHAnsi"/>
                <w:b/>
                <w:sz w:val="22"/>
                <w:szCs w:val="22"/>
                <w:lang w:val="fr-FR" w:eastAsia="fr-FR"/>
              </w:rPr>
              <w:t xml:space="preserve"> 15. </w:t>
            </w:r>
            <w:r w:rsidRPr="001961B1">
              <w:rPr>
                <w:rFonts w:asciiTheme="minorHAnsi" w:hAnsiTheme="minorHAnsi" w:cstheme="minorHAnsi"/>
                <w:b/>
                <w:sz w:val="22"/>
                <w:szCs w:val="22"/>
                <w:lang w:val="fr-FR" w:eastAsia="fr-FR"/>
              </w:rPr>
              <w:t>Les Initiatives régionales Ramsar, avec la participation et l’appui actifs des Parties de chaque région, sont renforcées et deviennent des outils efficaces, contribuant à l’application pleine et entière de la Convention</w:t>
            </w:r>
            <w:r w:rsidR="00C76214" w:rsidRPr="001961B1">
              <w:rPr>
                <w:rFonts w:asciiTheme="minorHAnsi" w:hAnsiTheme="minorHAnsi" w:cstheme="minorHAnsi"/>
                <w:b/>
                <w:sz w:val="22"/>
                <w:szCs w:val="22"/>
                <w:lang w:val="fr-FR" w:eastAsia="fr-FR"/>
              </w:rPr>
              <w:t>.</w:t>
            </w:r>
          </w:p>
          <w:p w14:paraId="41E08FC9" w14:textId="16D8384D" w:rsidR="00CA1EAE" w:rsidRPr="001961B1" w:rsidRDefault="00D31C55" w:rsidP="008A3659">
            <w:pPr>
              <w:keepNext/>
              <w:spacing w:before="120" w:after="120"/>
              <w:rPr>
                <w:rFonts w:asciiTheme="minorHAnsi" w:hAnsiTheme="minorHAnsi" w:cstheme="minorHAnsi"/>
                <w:bCs/>
                <w:sz w:val="22"/>
                <w:szCs w:val="22"/>
                <w:highlight w:val="yellow"/>
                <w:lang w:val="fr-FR"/>
              </w:rPr>
            </w:pPr>
            <w:r w:rsidRPr="001961B1">
              <w:rPr>
                <w:rFonts w:asciiTheme="minorHAnsi" w:hAnsiTheme="minorHAnsi" w:cstheme="minorHAnsi"/>
                <w:bCs/>
                <w:sz w:val="22"/>
                <w:szCs w:val="22"/>
                <w:lang w:val="fr-FR"/>
              </w:rPr>
              <w:t xml:space="preserve">Contribution aux cibles </w:t>
            </w:r>
            <w:r w:rsidR="002659BD" w:rsidRPr="001961B1">
              <w:rPr>
                <w:rFonts w:asciiTheme="minorHAnsi" w:hAnsiTheme="minorHAnsi" w:cstheme="minorHAnsi"/>
                <w:bCs/>
                <w:sz w:val="22"/>
                <w:szCs w:val="22"/>
                <w:lang w:val="fr-FR"/>
              </w:rPr>
              <w:t xml:space="preserve">1.b, 2.5, 6.5, 6.6, 9.1, 11.a, 14.2, 15.1, 17.6, 17.7 </w:t>
            </w:r>
            <w:r w:rsidR="00630F8A" w:rsidRPr="001961B1">
              <w:rPr>
                <w:rFonts w:asciiTheme="minorHAnsi" w:hAnsiTheme="minorHAnsi" w:cstheme="minorHAnsi"/>
                <w:bCs/>
                <w:sz w:val="22"/>
                <w:szCs w:val="22"/>
                <w:lang w:val="fr-FR"/>
              </w:rPr>
              <w:t>et</w:t>
            </w:r>
            <w:r w:rsidR="002659BD" w:rsidRPr="001961B1">
              <w:rPr>
                <w:rFonts w:asciiTheme="minorHAnsi" w:hAnsiTheme="minorHAnsi" w:cstheme="minorHAnsi"/>
                <w:bCs/>
                <w:sz w:val="22"/>
                <w:szCs w:val="22"/>
                <w:lang w:val="fr-FR"/>
              </w:rPr>
              <w:t xml:space="preserve"> 17.9</w:t>
            </w:r>
            <w:r w:rsidR="0073229A" w:rsidRPr="001961B1">
              <w:rPr>
                <w:rFonts w:asciiTheme="minorHAnsi" w:hAnsiTheme="minorHAnsi" w:cstheme="minorHAnsi"/>
                <w:bCs/>
                <w:sz w:val="22"/>
                <w:szCs w:val="22"/>
                <w:lang w:val="fr-FR"/>
              </w:rPr>
              <w:t xml:space="preserve"> des ODD</w:t>
            </w:r>
            <w:r w:rsidR="002659BD" w:rsidRPr="001961B1">
              <w:rPr>
                <w:rFonts w:asciiTheme="minorHAnsi" w:hAnsiTheme="minorHAnsi" w:cstheme="minorHAnsi"/>
                <w:bCs/>
                <w:sz w:val="22"/>
                <w:szCs w:val="22"/>
                <w:lang w:val="fr-FR"/>
              </w:rPr>
              <w:t xml:space="preserve">. </w:t>
            </w:r>
          </w:p>
        </w:tc>
      </w:tr>
    </w:tbl>
    <w:p w14:paraId="6BCDCEFD" w14:textId="77777777" w:rsidR="0064738E" w:rsidRPr="001961B1" w:rsidRDefault="0064738E" w:rsidP="000D551C">
      <w:pPr>
        <w:keepNext/>
        <w:rPr>
          <w:rFonts w:asciiTheme="minorHAnsi" w:hAnsiTheme="minorHAnsi" w:cstheme="minorHAnsi"/>
          <w:b/>
          <w:bCs/>
          <w:sz w:val="22"/>
          <w:szCs w:val="22"/>
          <w:lang w:val="fr-FR"/>
        </w:rPr>
      </w:pPr>
    </w:p>
    <w:p w14:paraId="15B913E4" w14:textId="6505B608" w:rsidR="002B138C"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7BA264D9" w14:textId="77777777" w:rsidR="0064738E" w:rsidRPr="001961B1" w:rsidRDefault="0064738E" w:rsidP="000D551C">
      <w:pPr>
        <w:keepNext/>
        <w:rPr>
          <w:rFonts w:asciiTheme="minorHAnsi" w:hAnsiTheme="minorHAnsi" w:cstheme="minorHAnsi"/>
          <w:sz w:val="22"/>
          <w:szCs w:val="22"/>
          <w:lang w:val="fr-FR" w:eastAsia="fr-FR"/>
        </w:rPr>
      </w:pPr>
    </w:p>
    <w:p w14:paraId="22912972" w14:textId="232A4D05" w:rsidR="00D877CE"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0</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123A8C" w:rsidRPr="001961B1">
        <w:rPr>
          <w:rFonts w:asciiTheme="minorHAnsi" w:hAnsiTheme="minorHAnsi" w:cstheme="minorHAnsi"/>
          <w:sz w:val="22"/>
          <w:szCs w:val="22"/>
          <w:lang w:val="fr-FR" w:eastAsia="fr-FR"/>
        </w:rPr>
        <w:t xml:space="preserve">Le nombre d’Initiatives régionales Ramsar a augmenté tandis que l’engagement des Parties contractantes dans les IRR reste globalement stable. </w:t>
      </w:r>
      <w:r w:rsidR="00C0542C" w:rsidRPr="001961B1">
        <w:rPr>
          <w:rFonts w:asciiTheme="minorHAnsi" w:hAnsiTheme="minorHAnsi" w:cstheme="minorHAnsi"/>
          <w:sz w:val="22"/>
          <w:szCs w:val="22"/>
          <w:lang w:val="fr-FR" w:eastAsia="fr-FR"/>
        </w:rPr>
        <w:t>L’</w:t>
      </w:r>
      <w:r w:rsidR="00123A8C" w:rsidRPr="001961B1">
        <w:rPr>
          <w:rFonts w:asciiTheme="minorHAnsi" w:hAnsiTheme="minorHAnsi" w:cstheme="minorHAnsi"/>
          <w:sz w:val="22"/>
          <w:szCs w:val="22"/>
          <w:lang w:val="fr-FR" w:eastAsia="fr-FR"/>
        </w:rPr>
        <w:t xml:space="preserve">augmentation </w:t>
      </w:r>
      <w:r w:rsidR="00C0542C" w:rsidRPr="001961B1">
        <w:rPr>
          <w:rFonts w:asciiTheme="minorHAnsi" w:hAnsiTheme="minorHAnsi" w:cstheme="minorHAnsi"/>
          <w:sz w:val="22"/>
          <w:szCs w:val="22"/>
          <w:lang w:val="fr-FR" w:eastAsia="fr-FR"/>
        </w:rPr>
        <w:t>des</w:t>
      </w:r>
      <w:r w:rsidR="00123A8C" w:rsidRPr="001961B1">
        <w:rPr>
          <w:rFonts w:asciiTheme="minorHAnsi" w:hAnsiTheme="minorHAnsi" w:cstheme="minorHAnsi"/>
          <w:sz w:val="22"/>
          <w:szCs w:val="22"/>
          <w:lang w:val="fr-FR" w:eastAsia="fr-FR"/>
        </w:rPr>
        <w:t xml:space="preserve"> dépenses totales mondiale</w:t>
      </w:r>
      <w:r w:rsidR="00C0542C" w:rsidRPr="001961B1">
        <w:rPr>
          <w:rFonts w:asciiTheme="minorHAnsi" w:hAnsiTheme="minorHAnsi" w:cstheme="minorHAnsi"/>
          <w:sz w:val="22"/>
          <w:szCs w:val="22"/>
          <w:lang w:val="fr-FR" w:eastAsia="fr-FR"/>
        </w:rPr>
        <w:t>s</w:t>
      </w:r>
      <w:r w:rsidR="00123A8C" w:rsidRPr="001961B1">
        <w:rPr>
          <w:rFonts w:asciiTheme="minorHAnsi" w:hAnsiTheme="minorHAnsi" w:cstheme="minorHAnsi"/>
          <w:sz w:val="22"/>
          <w:szCs w:val="22"/>
          <w:lang w:val="fr-FR" w:eastAsia="fr-FR"/>
        </w:rPr>
        <w:t xml:space="preserve"> des IRR suppose une croissance notable des activités mais les progrès de mise en œuvre varient entre les IRR et certaines ont </w:t>
      </w:r>
      <w:r w:rsidR="00C0542C" w:rsidRPr="001961B1">
        <w:rPr>
          <w:rFonts w:asciiTheme="minorHAnsi" w:hAnsiTheme="minorHAnsi" w:cstheme="minorHAnsi"/>
          <w:sz w:val="22"/>
          <w:szCs w:val="22"/>
          <w:lang w:val="fr-FR" w:eastAsia="fr-FR"/>
        </w:rPr>
        <w:t>eu</w:t>
      </w:r>
      <w:r w:rsidR="00123A8C" w:rsidRPr="001961B1">
        <w:rPr>
          <w:rFonts w:asciiTheme="minorHAnsi" w:hAnsiTheme="minorHAnsi" w:cstheme="minorHAnsi"/>
          <w:sz w:val="22"/>
          <w:szCs w:val="22"/>
          <w:lang w:val="fr-FR" w:eastAsia="fr-FR"/>
        </w:rPr>
        <w:t xml:space="preserve"> des difficultés </w:t>
      </w:r>
      <w:r w:rsidR="00C0542C" w:rsidRPr="001961B1">
        <w:rPr>
          <w:rFonts w:asciiTheme="minorHAnsi" w:hAnsiTheme="minorHAnsi" w:cstheme="minorHAnsi"/>
          <w:sz w:val="22"/>
          <w:szCs w:val="22"/>
          <w:lang w:val="fr-FR" w:eastAsia="fr-FR"/>
        </w:rPr>
        <w:t>à</w:t>
      </w:r>
      <w:r w:rsidR="00123A8C" w:rsidRPr="001961B1">
        <w:rPr>
          <w:rFonts w:asciiTheme="minorHAnsi" w:hAnsiTheme="minorHAnsi" w:cstheme="minorHAnsi"/>
          <w:sz w:val="22"/>
          <w:szCs w:val="22"/>
          <w:lang w:val="fr-FR" w:eastAsia="fr-FR"/>
        </w:rPr>
        <w:t xml:space="preserve"> maintenir leurs opérations.</w:t>
      </w:r>
    </w:p>
    <w:p w14:paraId="318272EE" w14:textId="77777777" w:rsidR="00F14FD8" w:rsidRPr="001961B1" w:rsidRDefault="00F14FD8" w:rsidP="00CD3F6B">
      <w:pPr>
        <w:pStyle w:val="ListParagraph"/>
        <w:spacing w:after="0" w:line="240" w:lineRule="auto"/>
        <w:rPr>
          <w:rFonts w:cstheme="minorHAnsi"/>
          <w:lang w:val="fr-FR"/>
        </w:rPr>
      </w:pPr>
    </w:p>
    <w:tbl>
      <w:tblPr>
        <w:tblStyle w:val="TableGrid31"/>
        <w:tblW w:w="9353" w:type="dxa"/>
        <w:tblLook w:val="04A0" w:firstRow="1" w:lastRow="0" w:firstColumn="1" w:lastColumn="0" w:noHBand="0" w:noVBand="1"/>
      </w:tblPr>
      <w:tblGrid>
        <w:gridCol w:w="4426"/>
        <w:gridCol w:w="1130"/>
        <w:gridCol w:w="820"/>
        <w:gridCol w:w="820"/>
        <w:gridCol w:w="820"/>
        <w:gridCol w:w="1337"/>
      </w:tblGrid>
      <w:tr w:rsidR="00107172" w:rsidRPr="001961B1" w14:paraId="7F0F8514" w14:textId="77777777" w:rsidTr="00567061">
        <w:trPr>
          <w:cantSplit/>
        </w:trPr>
        <w:tc>
          <w:tcPr>
            <w:tcW w:w="0" w:type="auto"/>
            <w:vAlign w:val="center"/>
            <w:hideMark/>
          </w:tcPr>
          <w:p w14:paraId="54C1C8A6" w14:textId="5311FE8B"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630F8A"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hideMark/>
          </w:tcPr>
          <w:p w14:paraId="6CEE6A1A"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COP12</w:t>
            </w:r>
          </w:p>
          <w:p w14:paraId="658FFE5B" w14:textId="3E692EC2" w:rsidR="00107172" w:rsidRPr="001961B1" w:rsidRDefault="00630F8A"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hideMark/>
          </w:tcPr>
          <w:p w14:paraId="601DC30C"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0" w:type="auto"/>
            <w:vAlign w:val="center"/>
            <w:hideMark/>
          </w:tcPr>
          <w:p w14:paraId="70D082F7"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0" w:type="auto"/>
            <w:vAlign w:val="center"/>
            <w:hideMark/>
          </w:tcPr>
          <w:p w14:paraId="0A3D353F"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0" w:type="auto"/>
            <w:vAlign w:val="center"/>
            <w:hideMark/>
          </w:tcPr>
          <w:p w14:paraId="69305A92" w14:textId="00620EB5" w:rsidR="00107172" w:rsidRPr="001961B1" w:rsidRDefault="00630F8A"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Tendance</w:t>
            </w:r>
          </w:p>
        </w:tc>
      </w:tr>
      <w:tr w:rsidR="00107172" w:rsidRPr="001961B1" w14:paraId="42BF2386" w14:textId="77777777" w:rsidTr="00567061">
        <w:trPr>
          <w:cantSplit/>
        </w:trPr>
        <w:tc>
          <w:tcPr>
            <w:tcW w:w="0" w:type="auto"/>
          </w:tcPr>
          <w:p w14:paraId="422F0A4B" w14:textId="6A4D5D4C" w:rsidR="00107172" w:rsidRPr="001961B1" w:rsidRDefault="00107172"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73229A" w:rsidRPr="001961B1">
              <w:rPr>
                <w:rFonts w:asciiTheme="minorHAnsi" w:eastAsia="Aptos" w:hAnsiTheme="minorHAnsi" w:cstheme="minorHAnsi"/>
                <w:sz w:val="22"/>
                <w:szCs w:val="22"/>
                <w:lang w:val="fr-FR"/>
              </w:rPr>
              <w:t>de Parties ayant participé à l’élaboration et à la mise en œuvre d’une initiative régionale dans le cadre de la Convention</w:t>
            </w:r>
            <w:r w:rsidRPr="001961B1">
              <w:rPr>
                <w:rFonts w:asciiTheme="minorHAnsi" w:eastAsia="Aptos" w:hAnsiTheme="minorHAnsi" w:cstheme="minorHAnsi"/>
                <w:sz w:val="22"/>
                <w:szCs w:val="22"/>
                <w:lang w:val="fr-FR"/>
              </w:rPr>
              <w:t>.</w:t>
            </w:r>
          </w:p>
        </w:tc>
        <w:tc>
          <w:tcPr>
            <w:tcW w:w="0" w:type="auto"/>
          </w:tcPr>
          <w:p w14:paraId="2AF91048" w14:textId="116FC1BB"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68</w:t>
            </w:r>
            <w:r w:rsidR="00F3694F"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2FF26430" w14:textId="0767CE6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59</w:t>
            </w:r>
            <w:r w:rsidR="00F3694F"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00FA4A9A" w14:textId="3465B9A8"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66</w:t>
            </w:r>
            <w:r w:rsidR="00F3694F"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1D0C9C29" w14:textId="3D902804"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67</w:t>
            </w:r>
            <w:r w:rsidR="00F3694F"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vAlign w:val="center"/>
          </w:tcPr>
          <w:p w14:paraId="07CF9CCD" w14:textId="4E77954D" w:rsidR="00107172" w:rsidRPr="001961B1" w:rsidRDefault="00137552" w:rsidP="00567061">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30EA5EFB" wp14:editId="173E7AD2">
                  <wp:extent cx="712200" cy="432000"/>
                  <wp:effectExtent l="0" t="0" r="0" b="0"/>
                  <wp:docPr id="115535990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030AB5" w:rsidRPr="001961B1" w14:paraId="702871CA" w14:textId="77777777" w:rsidTr="00567061">
        <w:trPr>
          <w:cantSplit/>
        </w:trPr>
        <w:tc>
          <w:tcPr>
            <w:tcW w:w="0" w:type="auto"/>
          </w:tcPr>
          <w:p w14:paraId="75B59B6C" w14:textId="0B43D2E4" w:rsidR="00030AB5" w:rsidRPr="001961B1" w:rsidRDefault="0073229A"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d’initiatives régionales mises en œuvre avec succès</w:t>
            </w:r>
            <w:r w:rsidR="00030AB5" w:rsidRPr="001961B1">
              <w:rPr>
                <w:rFonts w:asciiTheme="minorHAnsi" w:eastAsia="Aptos" w:hAnsiTheme="minorHAnsi" w:cstheme="minorHAnsi"/>
                <w:sz w:val="22"/>
                <w:szCs w:val="22"/>
                <w:lang w:val="fr-FR"/>
              </w:rPr>
              <w:t>.</w:t>
            </w:r>
          </w:p>
        </w:tc>
        <w:tc>
          <w:tcPr>
            <w:tcW w:w="0" w:type="auto"/>
          </w:tcPr>
          <w:p w14:paraId="2247BD64" w14:textId="6611AABC" w:rsidR="00030AB5" w:rsidRPr="001961B1" w:rsidRDefault="00030AB5" w:rsidP="00567061">
            <w:pPr>
              <w:jc w:val="center"/>
              <w:rPr>
                <w:rFonts w:asciiTheme="minorHAnsi" w:eastAsia="Aptos" w:hAnsiTheme="minorHAnsi" w:cstheme="minorHAnsi"/>
                <w:sz w:val="22"/>
                <w:szCs w:val="22"/>
              </w:rPr>
            </w:pPr>
            <w:r w:rsidRPr="001961B1">
              <w:rPr>
                <w:rFonts w:asciiTheme="minorHAnsi" w:eastAsia="Aptos" w:hAnsiTheme="minorHAnsi" w:cstheme="minorHAnsi"/>
                <w:b/>
                <w:sz w:val="22"/>
                <w:szCs w:val="22"/>
              </w:rPr>
              <w:t>15</w:t>
            </w:r>
          </w:p>
        </w:tc>
        <w:tc>
          <w:tcPr>
            <w:tcW w:w="0" w:type="auto"/>
          </w:tcPr>
          <w:p w14:paraId="35395A27" w14:textId="1482C84C" w:rsidR="00030AB5" w:rsidRPr="001961B1" w:rsidRDefault="00EB6EAA" w:rsidP="00567061">
            <w:pPr>
              <w:jc w:val="center"/>
              <w:rPr>
                <w:rFonts w:asciiTheme="minorHAnsi" w:eastAsia="Aptos" w:hAnsiTheme="minorHAnsi" w:cstheme="minorHAnsi"/>
                <w:b/>
                <w:sz w:val="22"/>
                <w:szCs w:val="22"/>
              </w:rPr>
            </w:pPr>
            <w:r w:rsidRPr="001961B1">
              <w:rPr>
                <w:rFonts w:asciiTheme="minorHAnsi" w:eastAsia="Aptos" w:hAnsiTheme="minorHAnsi" w:cstheme="minorHAnsi"/>
                <w:b/>
                <w:sz w:val="22"/>
                <w:szCs w:val="22"/>
              </w:rPr>
              <w:t>19</w:t>
            </w:r>
          </w:p>
        </w:tc>
        <w:tc>
          <w:tcPr>
            <w:tcW w:w="0" w:type="auto"/>
          </w:tcPr>
          <w:p w14:paraId="7444662D" w14:textId="72F7D01E" w:rsidR="00030AB5" w:rsidRPr="001961B1" w:rsidRDefault="0051463A" w:rsidP="00567061">
            <w:pPr>
              <w:jc w:val="center"/>
              <w:rPr>
                <w:rFonts w:asciiTheme="minorHAnsi" w:eastAsia="Aptos" w:hAnsiTheme="minorHAnsi" w:cstheme="minorHAnsi"/>
                <w:b/>
                <w:sz w:val="22"/>
                <w:szCs w:val="22"/>
              </w:rPr>
            </w:pPr>
            <w:r w:rsidRPr="001961B1">
              <w:rPr>
                <w:rFonts w:asciiTheme="minorHAnsi" w:eastAsia="Aptos" w:hAnsiTheme="minorHAnsi" w:cstheme="minorHAnsi"/>
                <w:b/>
                <w:sz w:val="22"/>
                <w:szCs w:val="22"/>
              </w:rPr>
              <w:t>20</w:t>
            </w:r>
          </w:p>
        </w:tc>
        <w:tc>
          <w:tcPr>
            <w:tcW w:w="0" w:type="auto"/>
          </w:tcPr>
          <w:p w14:paraId="42D48B59" w14:textId="6EDC2ACC" w:rsidR="00030AB5" w:rsidRPr="001961B1" w:rsidRDefault="008C5DAD" w:rsidP="00567061">
            <w:pPr>
              <w:jc w:val="center"/>
              <w:rPr>
                <w:rFonts w:asciiTheme="minorHAnsi" w:eastAsia="Aptos" w:hAnsiTheme="minorHAnsi" w:cstheme="minorHAnsi"/>
                <w:b/>
                <w:sz w:val="22"/>
                <w:szCs w:val="22"/>
              </w:rPr>
            </w:pPr>
            <w:r w:rsidRPr="001961B1">
              <w:rPr>
                <w:rFonts w:asciiTheme="minorHAnsi" w:eastAsia="Aptos" w:hAnsiTheme="minorHAnsi" w:cstheme="minorHAnsi"/>
                <w:b/>
                <w:sz w:val="22"/>
                <w:szCs w:val="22"/>
              </w:rPr>
              <w:t>22</w:t>
            </w:r>
          </w:p>
        </w:tc>
        <w:tc>
          <w:tcPr>
            <w:tcW w:w="0" w:type="auto"/>
          </w:tcPr>
          <w:p w14:paraId="6EF2B576" w14:textId="3A9CA0B1" w:rsidR="00030AB5" w:rsidRPr="001961B1" w:rsidRDefault="002839A4" w:rsidP="00CD3F6B">
            <w:pPr>
              <w:rPr>
                <w:rFonts w:asciiTheme="minorHAnsi" w:eastAsia="Aptos" w:hAnsiTheme="minorHAnsi" w:cstheme="minorHAnsi"/>
                <w:noProof/>
                <w:sz w:val="22"/>
                <w:szCs w:val="22"/>
                <w:highlight w:val="yellow"/>
              </w:rPr>
            </w:pPr>
            <w:r w:rsidRPr="001961B1">
              <w:rPr>
                <w:rFonts w:asciiTheme="minorHAnsi" w:hAnsiTheme="minorHAnsi" w:cstheme="minorHAnsi"/>
                <w:noProof/>
                <w:sz w:val="22"/>
                <w:szCs w:val="22"/>
                <w:lang w:val="en-CA" w:eastAsia="en-CA"/>
              </w:rPr>
              <w:drawing>
                <wp:inline distT="0" distB="0" distL="0" distR="0" wp14:anchorId="184645AC" wp14:editId="7B629D98">
                  <wp:extent cx="712200" cy="432000"/>
                  <wp:effectExtent l="0" t="0" r="0" b="0"/>
                  <wp:docPr id="1394458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855FA70" w14:textId="77777777" w:rsidR="00F14FD8" w:rsidRPr="001961B1" w:rsidRDefault="00F14FD8" w:rsidP="00CD3F6B">
      <w:pPr>
        <w:rPr>
          <w:rFonts w:asciiTheme="minorHAnsi" w:hAnsiTheme="minorHAnsi" w:cstheme="minorHAnsi"/>
          <w:b/>
          <w:bCs/>
          <w:sz w:val="22"/>
          <w:szCs w:val="22"/>
        </w:rPr>
      </w:pPr>
    </w:p>
    <w:p w14:paraId="1EB55609" w14:textId="33FBABF3" w:rsidR="0009645F"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lastRenderedPageBreak/>
        <w:t>Résumé des progrès</w:t>
      </w:r>
      <w:r w:rsidR="0064738E" w:rsidRPr="001961B1">
        <w:rPr>
          <w:rFonts w:asciiTheme="minorHAnsi" w:hAnsiTheme="minorHAnsi" w:cstheme="minorHAnsi"/>
          <w:i/>
          <w:iCs/>
          <w:sz w:val="22"/>
          <w:szCs w:val="22"/>
          <w:u w:val="single"/>
          <w:lang w:val="fr-FR"/>
        </w:rPr>
        <w:t xml:space="preserve"> </w:t>
      </w:r>
    </w:p>
    <w:p w14:paraId="6BA6FEFB" w14:textId="77777777" w:rsidR="00BA6EF2" w:rsidRPr="001961B1" w:rsidRDefault="00BA6EF2" w:rsidP="000D551C">
      <w:pPr>
        <w:keepNext/>
        <w:rPr>
          <w:rFonts w:asciiTheme="minorHAnsi" w:hAnsiTheme="minorHAnsi" w:cstheme="minorHAnsi"/>
          <w:sz w:val="22"/>
          <w:szCs w:val="22"/>
          <w:lang w:val="fr-FR" w:eastAsia="fr-FR"/>
        </w:rPr>
      </w:pPr>
    </w:p>
    <w:p w14:paraId="71056524" w14:textId="5321FC27" w:rsidR="00D04F25"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1</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123A8C" w:rsidRPr="001961B1">
        <w:rPr>
          <w:rFonts w:asciiTheme="minorHAnsi" w:hAnsiTheme="minorHAnsi" w:cstheme="minorHAnsi"/>
          <w:sz w:val="22"/>
          <w:szCs w:val="22"/>
          <w:lang w:val="fr-FR" w:eastAsia="fr-FR"/>
        </w:rPr>
        <w:t xml:space="preserve">Le nombre d’IRR est passé de 15 à 22 durant la période du PS4. De nouvelles IRR ont </w:t>
      </w:r>
      <w:r w:rsidR="006A3AC7" w:rsidRPr="001961B1">
        <w:rPr>
          <w:rFonts w:asciiTheme="minorHAnsi" w:hAnsiTheme="minorHAnsi" w:cstheme="minorHAnsi"/>
          <w:sz w:val="22"/>
          <w:szCs w:val="22"/>
          <w:lang w:val="fr-FR" w:eastAsia="fr-FR"/>
        </w:rPr>
        <w:t>vu le jour</w:t>
      </w:r>
      <w:r w:rsidR="00123A8C" w:rsidRPr="001961B1">
        <w:rPr>
          <w:rFonts w:asciiTheme="minorHAnsi" w:hAnsiTheme="minorHAnsi" w:cstheme="minorHAnsi"/>
          <w:sz w:val="22"/>
          <w:szCs w:val="22"/>
          <w:lang w:val="fr-FR" w:eastAsia="fr-FR"/>
        </w:rPr>
        <w:t xml:space="preserve"> en Afrique, en Asie, en Europe et en Amérique latine et </w:t>
      </w:r>
      <w:r w:rsidR="00A27A89" w:rsidRPr="001961B1">
        <w:rPr>
          <w:rFonts w:asciiTheme="minorHAnsi" w:hAnsiTheme="minorHAnsi" w:cstheme="minorHAnsi"/>
          <w:sz w:val="22"/>
          <w:szCs w:val="22"/>
          <w:lang w:val="fr-FR" w:eastAsia="fr-FR"/>
        </w:rPr>
        <w:t>Caraïbes</w:t>
      </w:r>
      <w:r w:rsidR="00123A8C" w:rsidRPr="001961B1">
        <w:rPr>
          <w:rFonts w:asciiTheme="minorHAnsi" w:hAnsiTheme="minorHAnsi" w:cstheme="minorHAnsi"/>
          <w:sz w:val="22"/>
          <w:szCs w:val="22"/>
          <w:lang w:val="fr-FR" w:eastAsia="fr-FR"/>
        </w:rPr>
        <w:t xml:space="preserve">, et se concentrent sur les zones humides de haute altitude, les rivières/bassins hydrographiques et les mangroves. </w:t>
      </w:r>
    </w:p>
    <w:p w14:paraId="4A64D886" w14:textId="014D15BA" w:rsidR="00CB5B9A" w:rsidRPr="001961B1" w:rsidRDefault="00CB5B9A" w:rsidP="00257025">
      <w:pPr>
        <w:ind w:left="567" w:hanging="567"/>
        <w:rPr>
          <w:rFonts w:asciiTheme="minorHAnsi" w:hAnsiTheme="minorHAnsi" w:cstheme="minorHAnsi"/>
          <w:sz w:val="22"/>
          <w:szCs w:val="22"/>
          <w:lang w:val="fr-FR" w:eastAsia="fr-FR"/>
        </w:rPr>
      </w:pPr>
    </w:p>
    <w:p w14:paraId="39389D2A" w14:textId="45B158EC" w:rsidR="00A0156D"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2</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CD0FB3" w:rsidRPr="001961B1">
        <w:rPr>
          <w:rFonts w:asciiTheme="minorHAnsi" w:hAnsiTheme="minorHAnsi" w:cstheme="minorHAnsi"/>
          <w:sz w:val="22"/>
          <w:szCs w:val="22"/>
          <w:lang w:val="fr-FR" w:eastAsia="fr-FR"/>
        </w:rPr>
        <w:t>Au moment de</w:t>
      </w:r>
      <w:r w:rsidR="00416DF3" w:rsidRPr="001961B1">
        <w:rPr>
          <w:rFonts w:asciiTheme="minorHAnsi" w:hAnsiTheme="minorHAnsi" w:cstheme="minorHAnsi"/>
          <w:sz w:val="22"/>
          <w:szCs w:val="22"/>
          <w:lang w:val="fr-FR" w:eastAsia="fr-FR"/>
        </w:rPr>
        <w:t xml:space="preserve"> la </w:t>
      </w:r>
      <w:r w:rsidR="00CB5B9A" w:rsidRPr="001961B1">
        <w:rPr>
          <w:rFonts w:asciiTheme="minorHAnsi" w:hAnsiTheme="minorHAnsi" w:cstheme="minorHAnsi"/>
          <w:sz w:val="22"/>
          <w:szCs w:val="22"/>
          <w:lang w:val="fr-FR" w:eastAsia="fr-FR"/>
        </w:rPr>
        <w:t>COP15, 67</w:t>
      </w:r>
      <w:r w:rsidR="00416DF3" w:rsidRPr="001961B1">
        <w:rPr>
          <w:rFonts w:asciiTheme="minorHAnsi" w:hAnsiTheme="minorHAnsi" w:cstheme="minorHAnsi"/>
          <w:sz w:val="22"/>
          <w:szCs w:val="22"/>
          <w:lang w:val="fr-FR" w:eastAsia="fr-FR"/>
        </w:rPr>
        <w:t> </w:t>
      </w:r>
      <w:r w:rsidR="00CB5B9A" w:rsidRPr="001961B1">
        <w:rPr>
          <w:rFonts w:asciiTheme="minorHAnsi" w:hAnsiTheme="minorHAnsi" w:cstheme="minorHAnsi"/>
          <w:sz w:val="22"/>
          <w:szCs w:val="22"/>
          <w:lang w:val="fr-FR" w:eastAsia="fr-FR"/>
        </w:rPr>
        <w:t xml:space="preserve">% </w:t>
      </w:r>
      <w:r w:rsidR="00416DF3" w:rsidRPr="001961B1">
        <w:rPr>
          <w:rFonts w:asciiTheme="minorHAnsi" w:hAnsiTheme="minorHAnsi" w:cstheme="minorHAnsi"/>
          <w:sz w:val="22"/>
          <w:szCs w:val="22"/>
          <w:lang w:val="fr-FR" w:eastAsia="fr-FR"/>
        </w:rPr>
        <w:t xml:space="preserve">des Parties contractantes signalent avoir pris part </w:t>
      </w:r>
      <w:r w:rsidR="00642313" w:rsidRPr="001961B1">
        <w:rPr>
          <w:rFonts w:asciiTheme="minorHAnsi" w:hAnsiTheme="minorHAnsi" w:cstheme="minorHAnsi"/>
          <w:sz w:val="22"/>
          <w:szCs w:val="22"/>
          <w:lang w:val="fr-FR" w:eastAsia="fr-FR"/>
        </w:rPr>
        <w:t>à la conception</w:t>
      </w:r>
      <w:r w:rsidR="00416DF3" w:rsidRPr="001961B1">
        <w:rPr>
          <w:rFonts w:asciiTheme="minorHAnsi" w:hAnsiTheme="minorHAnsi" w:cstheme="minorHAnsi"/>
          <w:sz w:val="22"/>
          <w:szCs w:val="22"/>
          <w:lang w:val="fr-FR" w:eastAsia="fr-FR"/>
        </w:rPr>
        <w:t xml:space="preserve"> et à la mise en œuvre </w:t>
      </w:r>
      <w:r w:rsidR="00B5224E" w:rsidRPr="001961B1">
        <w:rPr>
          <w:rFonts w:asciiTheme="minorHAnsi" w:hAnsiTheme="minorHAnsi" w:cstheme="minorHAnsi"/>
          <w:sz w:val="22"/>
          <w:szCs w:val="22"/>
          <w:lang w:val="fr-FR" w:eastAsia="fr-FR"/>
        </w:rPr>
        <w:t xml:space="preserve">d’IRR. Cela représente une légère augmentation par rapport aux trois périodes triennales passées et la parité avec la référence établie dans le PS4. Les taux de participation aux IRR </w:t>
      </w:r>
      <w:r w:rsidR="00F3370D" w:rsidRPr="001961B1">
        <w:rPr>
          <w:rFonts w:asciiTheme="minorHAnsi" w:hAnsiTheme="minorHAnsi" w:cstheme="minorHAnsi"/>
          <w:sz w:val="22"/>
          <w:szCs w:val="22"/>
          <w:lang w:val="fr-FR" w:eastAsia="fr-FR"/>
        </w:rPr>
        <w:t xml:space="preserve">signalés </w:t>
      </w:r>
      <w:r w:rsidR="00B5224E" w:rsidRPr="001961B1">
        <w:rPr>
          <w:rFonts w:asciiTheme="minorHAnsi" w:hAnsiTheme="minorHAnsi" w:cstheme="minorHAnsi"/>
          <w:sz w:val="22"/>
          <w:szCs w:val="22"/>
          <w:lang w:val="fr-FR" w:eastAsia="fr-FR"/>
        </w:rPr>
        <w:t xml:space="preserve">varient selon les régions et sont plus élevés en Amérique latine et </w:t>
      </w:r>
      <w:r w:rsidR="00A27A89" w:rsidRPr="001961B1">
        <w:rPr>
          <w:rFonts w:asciiTheme="minorHAnsi" w:hAnsiTheme="minorHAnsi" w:cstheme="minorHAnsi"/>
          <w:sz w:val="22"/>
          <w:szCs w:val="22"/>
          <w:lang w:val="fr-FR" w:eastAsia="fr-FR"/>
        </w:rPr>
        <w:t>Caraïbes</w:t>
      </w:r>
      <w:r w:rsidR="00B5224E" w:rsidRPr="001961B1">
        <w:rPr>
          <w:rFonts w:asciiTheme="minorHAnsi" w:hAnsiTheme="minorHAnsi" w:cstheme="minorHAnsi"/>
          <w:sz w:val="22"/>
          <w:szCs w:val="22"/>
          <w:lang w:val="fr-FR" w:eastAsia="fr-FR"/>
        </w:rPr>
        <w:t xml:space="preserve"> </w:t>
      </w:r>
      <w:r w:rsidR="00076F64" w:rsidRPr="001961B1">
        <w:rPr>
          <w:rFonts w:asciiTheme="minorHAnsi" w:hAnsiTheme="minorHAnsi" w:cstheme="minorHAnsi"/>
          <w:sz w:val="22"/>
          <w:szCs w:val="22"/>
          <w:lang w:val="fr-FR" w:eastAsia="fr-FR"/>
        </w:rPr>
        <w:t>(</w:t>
      </w:r>
      <w:r w:rsidR="003013E7" w:rsidRPr="001961B1">
        <w:rPr>
          <w:rFonts w:asciiTheme="minorHAnsi" w:hAnsiTheme="minorHAnsi" w:cstheme="minorHAnsi"/>
          <w:sz w:val="22"/>
          <w:szCs w:val="22"/>
          <w:lang w:val="fr-FR" w:eastAsia="fr-FR"/>
        </w:rPr>
        <w:t>76</w:t>
      </w:r>
      <w:r w:rsidR="00B5224E" w:rsidRPr="001961B1">
        <w:rPr>
          <w:rFonts w:asciiTheme="minorHAnsi" w:hAnsiTheme="minorHAnsi" w:cstheme="minorHAnsi"/>
          <w:sz w:val="22"/>
          <w:szCs w:val="22"/>
          <w:lang w:val="fr-FR" w:eastAsia="fr-FR"/>
        </w:rPr>
        <w:t> </w:t>
      </w:r>
      <w:r w:rsidR="003013E7" w:rsidRPr="001961B1">
        <w:rPr>
          <w:rFonts w:asciiTheme="minorHAnsi" w:hAnsiTheme="minorHAnsi" w:cstheme="minorHAnsi"/>
          <w:sz w:val="22"/>
          <w:szCs w:val="22"/>
          <w:lang w:val="fr-FR" w:eastAsia="fr-FR"/>
        </w:rPr>
        <w:t xml:space="preserve">% </w:t>
      </w:r>
      <w:r w:rsidR="00B5224E" w:rsidRPr="001961B1">
        <w:rPr>
          <w:rFonts w:asciiTheme="minorHAnsi" w:hAnsiTheme="minorHAnsi" w:cstheme="minorHAnsi"/>
          <w:sz w:val="22"/>
          <w:szCs w:val="22"/>
          <w:lang w:val="fr-FR" w:eastAsia="fr-FR"/>
        </w:rPr>
        <w:t xml:space="preserve">mais en déclin au fil des trois périodes triennales passées) qu’en Afrique, Asie et Europe (généralement entre 60 % et 70 %) et en Océanie et Amérique du Nord (où il n’y a pas de tendance claire compte tenu du nombre relativement bas de Parties et/ou de taux d’établissement de rapport variables). </w:t>
      </w:r>
    </w:p>
    <w:p w14:paraId="0AB243A6" w14:textId="77777777" w:rsidR="00A0156D" w:rsidRPr="001961B1" w:rsidRDefault="00A0156D" w:rsidP="00257025">
      <w:pPr>
        <w:ind w:left="567" w:hanging="567"/>
        <w:rPr>
          <w:rFonts w:asciiTheme="minorHAnsi" w:hAnsiTheme="minorHAnsi" w:cstheme="minorHAnsi"/>
          <w:sz w:val="22"/>
          <w:szCs w:val="22"/>
          <w:lang w:val="fr-FR" w:eastAsia="fr-FR"/>
        </w:rPr>
      </w:pPr>
    </w:p>
    <w:p w14:paraId="2F694ACB" w14:textId="70B97B13" w:rsidR="00942B2B"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3</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A27A89" w:rsidRPr="001961B1">
        <w:rPr>
          <w:rFonts w:asciiTheme="minorHAnsi" w:hAnsiTheme="minorHAnsi" w:cstheme="minorHAnsi"/>
          <w:sz w:val="22"/>
          <w:szCs w:val="22"/>
          <w:lang w:val="fr-FR" w:eastAsia="fr-FR"/>
        </w:rPr>
        <w:t xml:space="preserve">Il y a peu de changement dans la proportion de Parties contractantes ayant soutenu ou participé au développement d’autres centres régionaux de formation et de recherche sur les zones humides, qui </w:t>
      </w:r>
      <w:r w:rsidR="00CD0FB3" w:rsidRPr="001961B1">
        <w:rPr>
          <w:rFonts w:asciiTheme="minorHAnsi" w:hAnsiTheme="minorHAnsi" w:cstheme="minorHAnsi"/>
          <w:sz w:val="22"/>
          <w:szCs w:val="22"/>
          <w:lang w:val="fr-FR" w:eastAsia="fr-FR"/>
        </w:rPr>
        <w:t>au moment de</w:t>
      </w:r>
      <w:r w:rsidR="00A27A89" w:rsidRPr="001961B1">
        <w:rPr>
          <w:rFonts w:asciiTheme="minorHAnsi" w:hAnsiTheme="minorHAnsi" w:cstheme="minorHAnsi"/>
          <w:sz w:val="22"/>
          <w:szCs w:val="22"/>
          <w:lang w:val="fr-FR" w:eastAsia="fr-FR"/>
        </w:rPr>
        <w:t xml:space="preserve"> la COP15 est de 35 % ; ce taux est plus élevé en Asie, proche de la moyenne mondiale en Afrique et en Europe et </w:t>
      </w:r>
      <w:r w:rsidR="00F3370D" w:rsidRPr="001961B1">
        <w:rPr>
          <w:rFonts w:asciiTheme="minorHAnsi" w:hAnsiTheme="minorHAnsi" w:cstheme="minorHAnsi"/>
          <w:sz w:val="22"/>
          <w:szCs w:val="22"/>
          <w:lang w:val="fr-FR" w:eastAsia="fr-FR"/>
        </w:rPr>
        <w:t xml:space="preserve">le </w:t>
      </w:r>
      <w:r w:rsidR="00A27A89" w:rsidRPr="001961B1">
        <w:rPr>
          <w:rFonts w:asciiTheme="minorHAnsi" w:hAnsiTheme="minorHAnsi" w:cstheme="minorHAnsi"/>
          <w:sz w:val="22"/>
          <w:szCs w:val="22"/>
          <w:lang w:val="fr-FR" w:eastAsia="fr-FR"/>
        </w:rPr>
        <w:t xml:space="preserve">plus bas en Amérique latine et Caraïbes. </w:t>
      </w:r>
    </w:p>
    <w:p w14:paraId="1F114E17" w14:textId="77777777" w:rsidR="00355408" w:rsidRPr="001961B1" w:rsidRDefault="00355408" w:rsidP="00257025">
      <w:pPr>
        <w:ind w:left="567" w:hanging="567"/>
        <w:rPr>
          <w:rFonts w:asciiTheme="minorHAnsi" w:hAnsiTheme="minorHAnsi" w:cstheme="minorHAnsi"/>
          <w:sz w:val="22"/>
          <w:szCs w:val="22"/>
          <w:lang w:val="fr-FR" w:eastAsia="fr-FR"/>
        </w:rPr>
      </w:pPr>
    </w:p>
    <w:p w14:paraId="65B34E18" w14:textId="38880416" w:rsidR="0045278A"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4</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482F15" w:rsidRPr="001961B1">
        <w:rPr>
          <w:rFonts w:asciiTheme="minorHAnsi" w:hAnsiTheme="minorHAnsi" w:cstheme="minorHAnsi"/>
          <w:sz w:val="22"/>
          <w:szCs w:val="22"/>
          <w:lang w:val="fr-FR" w:eastAsia="fr-FR"/>
        </w:rPr>
        <w:t xml:space="preserve">Alors que les tendances globales de la </w:t>
      </w:r>
      <w:r w:rsidR="00AB5734" w:rsidRPr="001961B1">
        <w:rPr>
          <w:rFonts w:asciiTheme="minorHAnsi" w:hAnsiTheme="minorHAnsi" w:cstheme="minorHAnsi"/>
          <w:sz w:val="22"/>
          <w:szCs w:val="22"/>
          <w:lang w:val="fr-FR" w:eastAsia="fr-FR"/>
        </w:rPr>
        <w:t xml:space="preserve">COP13 </w:t>
      </w:r>
      <w:r w:rsidR="00482F15" w:rsidRPr="001961B1">
        <w:rPr>
          <w:rFonts w:asciiTheme="minorHAnsi" w:hAnsiTheme="minorHAnsi" w:cstheme="minorHAnsi"/>
          <w:sz w:val="22"/>
          <w:szCs w:val="22"/>
          <w:lang w:val="fr-FR" w:eastAsia="fr-FR"/>
        </w:rPr>
        <w:t>à la</w:t>
      </w:r>
      <w:r w:rsidR="00AB5734" w:rsidRPr="001961B1">
        <w:rPr>
          <w:rFonts w:asciiTheme="minorHAnsi" w:hAnsiTheme="minorHAnsi" w:cstheme="minorHAnsi"/>
          <w:sz w:val="22"/>
          <w:szCs w:val="22"/>
          <w:lang w:val="fr-FR" w:eastAsia="fr-FR"/>
        </w:rPr>
        <w:t xml:space="preserve"> COP15 </w:t>
      </w:r>
      <w:r w:rsidR="00482F15" w:rsidRPr="001961B1">
        <w:rPr>
          <w:rFonts w:asciiTheme="minorHAnsi" w:hAnsiTheme="minorHAnsi" w:cstheme="minorHAnsi"/>
          <w:sz w:val="22"/>
          <w:szCs w:val="22"/>
          <w:lang w:val="fr-FR" w:eastAsia="fr-FR"/>
        </w:rPr>
        <w:t>montrent une croissance du nombre d’IRR et des niveaux cohérents d’engagement régional, les progrès de mise en œuvre d’IRR individuelles varient considérablement, notamment en raison de différences dans la capacité institutionnelle et les dispositions de gouvernance, de contraintes en matière de coordination entre les pays participants et de ressources financières limitées de certaines IRR</w:t>
      </w:r>
      <w:r w:rsidR="004466BD" w:rsidRPr="001961B1">
        <w:rPr>
          <w:rStyle w:val="FootnoteReference"/>
          <w:rFonts w:asciiTheme="minorHAnsi" w:hAnsiTheme="minorHAnsi" w:cstheme="minorHAnsi"/>
          <w:sz w:val="22"/>
          <w:szCs w:val="22"/>
          <w:lang w:val="fr-FR" w:eastAsia="fr-FR"/>
        </w:rPr>
        <w:footnoteReference w:id="11"/>
      </w:r>
      <w:r w:rsidR="00482F15" w:rsidRPr="001961B1">
        <w:rPr>
          <w:rFonts w:asciiTheme="minorHAnsi" w:hAnsiTheme="minorHAnsi" w:cstheme="minorHAnsi"/>
          <w:sz w:val="22"/>
          <w:szCs w:val="22"/>
          <w:lang w:val="fr-FR" w:eastAsia="fr-FR"/>
        </w:rPr>
        <w:t>.</w:t>
      </w:r>
      <w:r w:rsidR="00630BF4" w:rsidRPr="001961B1">
        <w:rPr>
          <w:rFonts w:asciiTheme="minorHAnsi" w:hAnsiTheme="minorHAnsi" w:cstheme="minorHAnsi"/>
          <w:sz w:val="22"/>
          <w:szCs w:val="22"/>
          <w:lang w:val="fr-FR" w:eastAsia="fr-FR"/>
        </w:rPr>
        <w:t xml:space="preserve"> </w:t>
      </w:r>
    </w:p>
    <w:p w14:paraId="5D4A42ED" w14:textId="77777777" w:rsidR="00811F0F" w:rsidRPr="001961B1" w:rsidRDefault="00811F0F" w:rsidP="00257025">
      <w:pPr>
        <w:ind w:left="567" w:hanging="567"/>
        <w:rPr>
          <w:rFonts w:asciiTheme="minorHAnsi" w:hAnsiTheme="minorHAnsi" w:cstheme="minorHAnsi"/>
          <w:sz w:val="22"/>
          <w:szCs w:val="22"/>
          <w:lang w:val="fr-FR" w:eastAsia="fr-FR"/>
        </w:rPr>
      </w:pPr>
    </w:p>
    <w:p w14:paraId="417D2565" w14:textId="4EC5613C" w:rsidR="00DE7708"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5</w:t>
      </w:r>
      <w:r w:rsidR="00515041" w:rsidRPr="001961B1">
        <w:rPr>
          <w:rFonts w:asciiTheme="minorHAnsi" w:hAnsiTheme="minorHAnsi" w:cstheme="minorHAnsi"/>
          <w:sz w:val="22"/>
          <w:szCs w:val="22"/>
          <w:lang w:val="fr-FR" w:eastAsia="fr-FR"/>
        </w:rPr>
        <w:t>.</w:t>
      </w:r>
      <w:r w:rsidR="00515041" w:rsidRPr="001961B1">
        <w:rPr>
          <w:rFonts w:asciiTheme="minorHAnsi" w:hAnsiTheme="minorHAnsi" w:cstheme="minorHAnsi"/>
          <w:sz w:val="22"/>
          <w:szCs w:val="22"/>
          <w:lang w:val="fr-FR" w:eastAsia="fr-FR"/>
        </w:rPr>
        <w:tab/>
      </w:r>
      <w:r w:rsidR="008B68D1" w:rsidRPr="001961B1">
        <w:rPr>
          <w:rFonts w:asciiTheme="minorHAnsi" w:hAnsiTheme="minorHAnsi" w:cstheme="minorHAnsi"/>
          <w:sz w:val="22"/>
          <w:szCs w:val="22"/>
          <w:lang w:val="fr-FR" w:eastAsia="fr-FR"/>
        </w:rPr>
        <w:t>Pour renforcer encore les IRR, il est</w:t>
      </w:r>
      <w:r w:rsidR="00482F15" w:rsidRPr="001961B1">
        <w:rPr>
          <w:rFonts w:asciiTheme="minorHAnsi" w:hAnsiTheme="minorHAnsi" w:cstheme="minorHAnsi"/>
          <w:sz w:val="22"/>
          <w:szCs w:val="22"/>
          <w:lang w:val="fr-FR" w:eastAsia="fr-FR"/>
        </w:rPr>
        <w:t xml:space="preserve"> recommand</w:t>
      </w:r>
      <w:r w:rsidR="008B68D1" w:rsidRPr="001961B1">
        <w:rPr>
          <w:rFonts w:asciiTheme="minorHAnsi" w:hAnsiTheme="minorHAnsi" w:cstheme="minorHAnsi"/>
          <w:sz w:val="22"/>
          <w:szCs w:val="22"/>
          <w:lang w:val="fr-FR" w:eastAsia="fr-FR"/>
        </w:rPr>
        <w:t>é d’investir de manière ciblée</w:t>
      </w:r>
      <w:r w:rsidR="00482F15" w:rsidRPr="001961B1">
        <w:rPr>
          <w:rFonts w:asciiTheme="minorHAnsi" w:hAnsiTheme="minorHAnsi" w:cstheme="minorHAnsi"/>
          <w:sz w:val="22"/>
          <w:szCs w:val="22"/>
          <w:lang w:val="fr-FR" w:eastAsia="fr-FR"/>
        </w:rPr>
        <w:t xml:space="preserve"> dans les centres régionaux pour améliorer la formation et l’échange technique, et </w:t>
      </w:r>
      <w:r w:rsidR="008B68D1" w:rsidRPr="001961B1">
        <w:rPr>
          <w:rFonts w:asciiTheme="minorHAnsi" w:hAnsiTheme="minorHAnsi" w:cstheme="minorHAnsi"/>
          <w:sz w:val="22"/>
          <w:szCs w:val="22"/>
          <w:lang w:val="fr-FR" w:eastAsia="fr-FR"/>
        </w:rPr>
        <w:t>d’utiliser des</w:t>
      </w:r>
      <w:r w:rsidR="00482F15" w:rsidRPr="001961B1">
        <w:rPr>
          <w:rFonts w:asciiTheme="minorHAnsi" w:hAnsiTheme="minorHAnsi" w:cstheme="minorHAnsi"/>
          <w:sz w:val="22"/>
          <w:szCs w:val="22"/>
          <w:lang w:val="fr-FR" w:eastAsia="fr-FR"/>
        </w:rPr>
        <w:t xml:space="preserve"> canaux de renforcement des capacités flexibles, comme les plateformes numériques et l’apprentissage </w:t>
      </w:r>
      <w:r w:rsidR="008B68D1" w:rsidRPr="001961B1">
        <w:rPr>
          <w:rFonts w:asciiTheme="minorHAnsi" w:hAnsiTheme="minorHAnsi" w:cstheme="minorHAnsi"/>
          <w:sz w:val="22"/>
          <w:szCs w:val="22"/>
          <w:lang w:val="fr-FR" w:eastAsia="fr-FR"/>
        </w:rPr>
        <w:t>entre</w:t>
      </w:r>
      <w:r w:rsidR="00482F15" w:rsidRPr="001961B1">
        <w:rPr>
          <w:rFonts w:asciiTheme="minorHAnsi" w:hAnsiTheme="minorHAnsi" w:cstheme="minorHAnsi"/>
          <w:sz w:val="22"/>
          <w:szCs w:val="22"/>
          <w:lang w:val="fr-FR" w:eastAsia="fr-FR"/>
        </w:rPr>
        <w:t xml:space="preserve"> pairs, qui pourraient </w:t>
      </w:r>
      <w:r w:rsidR="008B68D1" w:rsidRPr="001961B1">
        <w:rPr>
          <w:rFonts w:asciiTheme="minorHAnsi" w:hAnsiTheme="minorHAnsi" w:cstheme="minorHAnsi"/>
          <w:sz w:val="22"/>
          <w:szCs w:val="22"/>
          <w:lang w:val="fr-FR" w:eastAsia="fr-FR"/>
        </w:rPr>
        <w:t>offrir des solutions</w:t>
      </w:r>
      <w:r w:rsidR="00482F15" w:rsidRPr="001961B1">
        <w:rPr>
          <w:rFonts w:asciiTheme="minorHAnsi" w:hAnsiTheme="minorHAnsi" w:cstheme="minorHAnsi"/>
          <w:sz w:val="22"/>
          <w:szCs w:val="22"/>
          <w:lang w:val="fr-FR" w:eastAsia="fr-FR"/>
        </w:rPr>
        <w:t xml:space="preserve"> d’un bon rapport coût-efficacité face aux contraintes financières.</w:t>
      </w:r>
      <w:r w:rsidR="00FA0B43" w:rsidRPr="001961B1">
        <w:rPr>
          <w:rFonts w:asciiTheme="minorHAnsi" w:hAnsiTheme="minorHAnsi" w:cstheme="minorHAnsi"/>
          <w:sz w:val="22"/>
          <w:szCs w:val="22"/>
          <w:lang w:val="fr-FR" w:eastAsia="fr-FR"/>
        </w:rPr>
        <w:t xml:space="preserve"> </w:t>
      </w:r>
    </w:p>
    <w:p w14:paraId="79106A4E" w14:textId="77777777" w:rsidR="00DE7708" w:rsidRPr="001961B1" w:rsidRDefault="00DE7708" w:rsidP="00A338FF">
      <w:pPr>
        <w:rPr>
          <w:rFonts w:asciiTheme="minorHAnsi" w:hAnsiTheme="minorHAnsi" w:cstheme="minorHAnsi"/>
          <w:sz w:val="22"/>
          <w:szCs w:val="22"/>
          <w:lang w:val="fr-FR"/>
        </w:rPr>
      </w:pPr>
    </w:p>
    <w:p w14:paraId="206BFE08" w14:textId="77777777" w:rsidR="00F14FD8" w:rsidRPr="001961B1" w:rsidRDefault="00F14FD8" w:rsidP="00CD3F6B">
      <w:pPr>
        <w:rPr>
          <w:rFonts w:asciiTheme="minorHAnsi" w:hAnsiTheme="minorHAnsi" w:cstheme="minorHAnsi"/>
          <w:sz w:val="22"/>
          <w:szCs w:val="22"/>
          <w:lang w:val="fr-FR"/>
        </w:rPr>
      </w:pPr>
    </w:p>
    <w:tbl>
      <w:tblPr>
        <w:tblStyle w:val="TableGrid16"/>
        <w:tblW w:w="9354" w:type="dxa"/>
        <w:tblLook w:val="04A0" w:firstRow="1" w:lastRow="0" w:firstColumn="1" w:lastColumn="0" w:noHBand="0" w:noVBand="1"/>
      </w:tblPr>
      <w:tblGrid>
        <w:gridCol w:w="9354"/>
      </w:tblGrid>
      <w:tr w:rsidR="00180A86" w:rsidRPr="001961B1" w14:paraId="618D74E8" w14:textId="77777777" w:rsidTr="003E56FD">
        <w:tc>
          <w:tcPr>
            <w:tcW w:w="9354" w:type="dxa"/>
            <w:shd w:val="clear" w:color="auto" w:fill="auto"/>
            <w:vAlign w:val="center"/>
          </w:tcPr>
          <w:p w14:paraId="3657FBFE" w14:textId="2CD1CDB3" w:rsidR="00180A86" w:rsidRPr="001961B1" w:rsidRDefault="00630F8A"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180A86" w:rsidRPr="001961B1">
              <w:rPr>
                <w:rFonts w:asciiTheme="minorHAnsi" w:hAnsiTheme="minorHAnsi" w:cstheme="minorHAnsi"/>
                <w:b/>
                <w:sz w:val="22"/>
                <w:szCs w:val="22"/>
                <w:lang w:val="fr-FR" w:eastAsia="fr-FR"/>
              </w:rPr>
              <w:t xml:space="preserve"> 16. </w:t>
            </w:r>
            <w:r w:rsidRPr="001961B1">
              <w:rPr>
                <w:rFonts w:asciiTheme="minorHAnsi" w:hAnsiTheme="minorHAnsi" w:cstheme="minorHAnsi"/>
                <w:b/>
                <w:sz w:val="22"/>
                <w:szCs w:val="22"/>
                <w:lang w:val="fr-FR" w:eastAsia="fr-FR"/>
              </w:rPr>
              <w:t>La conservation et l’utilisation rationnelle des zones humides sont connues de tous grâce à la communication, au renforcement des capacités, à l’éducation, la sensibilisation et la participation du public</w:t>
            </w:r>
            <w:r w:rsidR="00180A86" w:rsidRPr="001961B1">
              <w:rPr>
                <w:rFonts w:asciiTheme="minorHAnsi" w:hAnsiTheme="minorHAnsi" w:cstheme="minorHAnsi"/>
                <w:b/>
                <w:sz w:val="22"/>
                <w:szCs w:val="22"/>
                <w:lang w:val="fr-FR" w:eastAsia="fr-FR"/>
              </w:rPr>
              <w:t xml:space="preserve">. </w:t>
            </w:r>
          </w:p>
          <w:p w14:paraId="67D13FE7" w14:textId="132C9A8B" w:rsidR="00180A86"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à la cible </w:t>
            </w:r>
            <w:r w:rsidR="00180A86" w:rsidRPr="001961B1">
              <w:rPr>
                <w:rFonts w:asciiTheme="minorHAnsi" w:hAnsiTheme="minorHAnsi" w:cstheme="minorHAnsi"/>
                <w:bCs/>
                <w:sz w:val="22"/>
                <w:szCs w:val="22"/>
                <w:lang w:val="fr-FR" w:eastAsia="fr-FR"/>
              </w:rPr>
              <w:t>21</w:t>
            </w:r>
            <w:r w:rsidR="002659BD" w:rsidRPr="001961B1">
              <w:rPr>
                <w:rFonts w:asciiTheme="minorHAnsi" w:hAnsiTheme="minorHAnsi" w:cstheme="minorHAnsi"/>
                <w:bCs/>
                <w:sz w:val="22"/>
                <w:szCs w:val="22"/>
                <w:lang w:val="fr-FR" w:eastAsia="fr-FR"/>
              </w:rPr>
              <w:t xml:space="preserve"> </w:t>
            </w:r>
            <w:r w:rsidR="0073229A" w:rsidRPr="001961B1">
              <w:rPr>
                <w:rFonts w:asciiTheme="minorHAnsi" w:hAnsiTheme="minorHAnsi" w:cstheme="minorHAnsi"/>
                <w:bCs/>
                <w:sz w:val="22"/>
                <w:szCs w:val="22"/>
                <w:lang w:val="fr-FR" w:eastAsia="fr-FR"/>
              </w:rPr>
              <w:t xml:space="preserve">du CMB-KM </w:t>
            </w:r>
            <w:r w:rsidR="00630F8A" w:rsidRPr="001961B1">
              <w:rPr>
                <w:rFonts w:asciiTheme="minorHAnsi" w:hAnsiTheme="minorHAnsi" w:cstheme="minorHAnsi"/>
                <w:bCs/>
                <w:sz w:val="22"/>
                <w:szCs w:val="22"/>
                <w:lang w:val="fr-FR" w:eastAsia="fr-FR"/>
              </w:rPr>
              <w:t>et aux</w:t>
            </w:r>
            <w:r w:rsidR="002659BD" w:rsidRPr="001961B1">
              <w:rPr>
                <w:rFonts w:asciiTheme="minorHAnsi" w:hAnsiTheme="minorHAnsi" w:cstheme="minorHAnsi"/>
                <w:bCs/>
                <w:sz w:val="22"/>
                <w:szCs w:val="22"/>
                <w:lang w:val="fr-FR" w:eastAsia="fr-FR"/>
              </w:rPr>
              <w:t xml:space="preserve"> </w:t>
            </w:r>
            <w:r w:rsidR="0073229A" w:rsidRPr="001961B1">
              <w:rPr>
                <w:rFonts w:asciiTheme="minorHAnsi" w:hAnsiTheme="minorHAnsi" w:cstheme="minorHAnsi"/>
                <w:bCs/>
                <w:sz w:val="22"/>
                <w:szCs w:val="22"/>
                <w:lang w:val="fr-FR" w:eastAsia="fr-FR"/>
              </w:rPr>
              <w:t>cibles</w:t>
            </w:r>
            <w:r w:rsidR="002659BD" w:rsidRPr="001961B1">
              <w:rPr>
                <w:rFonts w:asciiTheme="minorHAnsi" w:hAnsiTheme="minorHAnsi" w:cstheme="minorHAnsi"/>
                <w:bCs/>
                <w:sz w:val="22"/>
                <w:szCs w:val="22"/>
                <w:lang w:val="fr-FR" w:eastAsia="fr-FR"/>
              </w:rPr>
              <w:t xml:space="preserve"> </w:t>
            </w:r>
            <w:r w:rsidR="004D3B09" w:rsidRPr="001961B1">
              <w:rPr>
                <w:rFonts w:asciiTheme="minorHAnsi" w:hAnsiTheme="minorHAnsi" w:cstheme="minorHAnsi"/>
                <w:bCs/>
                <w:sz w:val="22"/>
                <w:szCs w:val="22"/>
                <w:lang w:val="fr-FR" w:eastAsia="fr-FR"/>
              </w:rPr>
              <w:t>2.4</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4.7</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4.a</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6.a</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11.3</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13.1</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13.3</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15.7</w:t>
            </w:r>
            <w:r w:rsidR="002659BD" w:rsidRPr="001961B1">
              <w:rPr>
                <w:rFonts w:asciiTheme="minorHAnsi" w:hAnsiTheme="minorHAnsi" w:cstheme="minorHAnsi"/>
                <w:bCs/>
                <w:sz w:val="22"/>
                <w:szCs w:val="22"/>
                <w:lang w:val="fr-FR" w:eastAsia="fr-FR"/>
              </w:rPr>
              <w:t xml:space="preserve"> </w:t>
            </w:r>
            <w:r w:rsidR="0073229A" w:rsidRPr="001961B1">
              <w:rPr>
                <w:rFonts w:asciiTheme="minorHAnsi" w:hAnsiTheme="minorHAnsi" w:cstheme="minorHAnsi"/>
                <w:bCs/>
                <w:sz w:val="22"/>
                <w:szCs w:val="22"/>
                <w:lang w:val="fr-FR" w:eastAsia="fr-FR"/>
              </w:rPr>
              <w:t>et</w:t>
            </w:r>
            <w:r w:rsidR="004D3B09" w:rsidRPr="001961B1">
              <w:rPr>
                <w:rFonts w:asciiTheme="minorHAnsi" w:hAnsiTheme="minorHAnsi" w:cstheme="minorHAnsi"/>
                <w:bCs/>
                <w:sz w:val="22"/>
                <w:szCs w:val="22"/>
                <w:lang w:val="fr-FR" w:eastAsia="fr-FR"/>
              </w:rPr>
              <w:t xml:space="preserve"> 17.9</w:t>
            </w:r>
            <w:r w:rsidR="0073229A" w:rsidRPr="001961B1">
              <w:rPr>
                <w:rFonts w:asciiTheme="minorHAnsi" w:hAnsiTheme="minorHAnsi" w:cstheme="minorHAnsi"/>
                <w:bCs/>
                <w:sz w:val="22"/>
                <w:szCs w:val="22"/>
                <w:lang w:val="fr-FR" w:eastAsia="fr-FR"/>
              </w:rPr>
              <w:t xml:space="preserve"> des ODD</w:t>
            </w:r>
            <w:r w:rsidR="002659BD" w:rsidRPr="001961B1">
              <w:rPr>
                <w:rFonts w:asciiTheme="minorHAnsi" w:hAnsiTheme="minorHAnsi" w:cstheme="minorHAnsi"/>
                <w:bCs/>
                <w:sz w:val="22"/>
                <w:szCs w:val="22"/>
                <w:lang w:val="fr-FR" w:eastAsia="fr-FR"/>
              </w:rPr>
              <w:t>.</w:t>
            </w:r>
          </w:p>
        </w:tc>
      </w:tr>
    </w:tbl>
    <w:p w14:paraId="512A88DC" w14:textId="77777777" w:rsidR="00180A86" w:rsidRPr="001961B1" w:rsidRDefault="00180A86" w:rsidP="000D551C">
      <w:pPr>
        <w:keepNext/>
        <w:rPr>
          <w:rFonts w:asciiTheme="minorHAnsi" w:hAnsiTheme="minorHAnsi" w:cstheme="minorHAnsi"/>
          <w:b/>
          <w:bCs/>
          <w:sz w:val="22"/>
          <w:szCs w:val="22"/>
          <w:lang w:val="fr-FR"/>
        </w:rPr>
      </w:pPr>
    </w:p>
    <w:p w14:paraId="3F255667" w14:textId="59BFFDB8" w:rsidR="00FA0B43"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FA0B43" w:rsidRPr="001961B1">
        <w:rPr>
          <w:rFonts w:asciiTheme="minorHAnsi" w:hAnsiTheme="minorHAnsi" w:cstheme="minorHAnsi"/>
          <w:i/>
          <w:iCs/>
          <w:sz w:val="22"/>
          <w:szCs w:val="22"/>
          <w:u w:val="single"/>
          <w:lang w:val="fr-FR"/>
        </w:rPr>
        <w:t xml:space="preserve"> </w:t>
      </w:r>
    </w:p>
    <w:p w14:paraId="77015AD7" w14:textId="77777777" w:rsidR="002833B0" w:rsidRPr="001961B1" w:rsidRDefault="002833B0" w:rsidP="000D551C">
      <w:pPr>
        <w:keepNext/>
        <w:rPr>
          <w:rFonts w:asciiTheme="minorHAnsi" w:hAnsiTheme="minorHAnsi" w:cstheme="minorHAnsi"/>
          <w:sz w:val="22"/>
          <w:szCs w:val="22"/>
          <w:lang w:val="fr-FR" w:eastAsia="fr-FR"/>
        </w:rPr>
      </w:pPr>
    </w:p>
    <w:p w14:paraId="6D306D37" w14:textId="242FBF09" w:rsidR="0035473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6</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482F15" w:rsidRPr="001961B1">
        <w:rPr>
          <w:rFonts w:asciiTheme="minorHAnsi" w:hAnsiTheme="minorHAnsi" w:cstheme="minorHAnsi"/>
          <w:sz w:val="22"/>
          <w:szCs w:val="22"/>
          <w:lang w:val="fr-FR" w:eastAsia="fr-FR"/>
        </w:rPr>
        <w:t xml:space="preserve">La portée et l’impact de la Journée mondiale des zones humides </w:t>
      </w:r>
      <w:r w:rsidR="009E2587" w:rsidRPr="001961B1">
        <w:rPr>
          <w:rFonts w:asciiTheme="minorHAnsi" w:hAnsiTheme="minorHAnsi" w:cstheme="minorHAnsi"/>
          <w:sz w:val="22"/>
          <w:szCs w:val="22"/>
          <w:lang w:val="fr-FR" w:eastAsia="fr-FR"/>
        </w:rPr>
        <w:t>ne cessent</w:t>
      </w:r>
      <w:r w:rsidR="00482F15" w:rsidRPr="001961B1">
        <w:rPr>
          <w:rFonts w:asciiTheme="minorHAnsi" w:hAnsiTheme="minorHAnsi" w:cstheme="minorHAnsi"/>
          <w:sz w:val="22"/>
          <w:szCs w:val="22"/>
          <w:lang w:val="fr-FR" w:eastAsia="fr-FR"/>
        </w:rPr>
        <w:t xml:space="preserve"> </w:t>
      </w:r>
      <w:r w:rsidR="009E2587" w:rsidRPr="001961B1">
        <w:rPr>
          <w:rFonts w:asciiTheme="minorHAnsi" w:hAnsiTheme="minorHAnsi" w:cstheme="minorHAnsi"/>
          <w:sz w:val="22"/>
          <w:szCs w:val="22"/>
          <w:lang w:val="fr-FR" w:eastAsia="fr-FR"/>
        </w:rPr>
        <w:t>de croître</w:t>
      </w:r>
      <w:r w:rsidR="00482F15" w:rsidRPr="001961B1">
        <w:rPr>
          <w:rFonts w:asciiTheme="minorHAnsi" w:hAnsiTheme="minorHAnsi" w:cstheme="minorHAnsi"/>
          <w:sz w:val="22"/>
          <w:szCs w:val="22"/>
          <w:lang w:val="fr-FR" w:eastAsia="fr-FR"/>
        </w:rPr>
        <w:t xml:space="preserve"> et l’engagement des Parties contractantes est constamment élevé. Un nombre </w:t>
      </w:r>
      <w:r w:rsidR="009E2587" w:rsidRPr="001961B1">
        <w:rPr>
          <w:rFonts w:asciiTheme="minorHAnsi" w:hAnsiTheme="minorHAnsi" w:cstheme="minorHAnsi"/>
          <w:sz w:val="22"/>
          <w:szCs w:val="22"/>
          <w:lang w:val="fr-FR" w:eastAsia="fr-FR"/>
        </w:rPr>
        <w:t xml:space="preserve">toujours plus grand </w:t>
      </w:r>
      <w:r w:rsidR="00482F15" w:rsidRPr="001961B1">
        <w:rPr>
          <w:rFonts w:asciiTheme="minorHAnsi" w:hAnsiTheme="minorHAnsi" w:cstheme="minorHAnsi"/>
          <w:sz w:val="22"/>
          <w:szCs w:val="22"/>
          <w:lang w:val="fr-FR" w:eastAsia="fr-FR"/>
        </w:rPr>
        <w:t xml:space="preserve">de centres </w:t>
      </w:r>
      <w:r w:rsidR="00642313" w:rsidRPr="001961B1">
        <w:rPr>
          <w:rFonts w:asciiTheme="minorHAnsi" w:hAnsiTheme="minorHAnsi" w:cstheme="minorHAnsi"/>
          <w:sz w:val="22"/>
          <w:szCs w:val="22"/>
          <w:lang w:val="fr-FR" w:eastAsia="fr-FR"/>
        </w:rPr>
        <w:t>d’accueil des</w:t>
      </w:r>
      <w:r w:rsidR="00482F15" w:rsidRPr="001961B1">
        <w:rPr>
          <w:rFonts w:asciiTheme="minorHAnsi" w:hAnsiTheme="minorHAnsi" w:cstheme="minorHAnsi"/>
          <w:sz w:val="22"/>
          <w:szCs w:val="22"/>
          <w:lang w:val="fr-FR" w:eastAsia="fr-FR"/>
        </w:rPr>
        <w:t xml:space="preserve"> visiteurs dans les zones humides et de centres d’éducation aux zones humides soutient également </w:t>
      </w:r>
      <w:r w:rsidR="0025010B" w:rsidRPr="001961B1">
        <w:rPr>
          <w:rFonts w:asciiTheme="minorHAnsi" w:hAnsiTheme="minorHAnsi" w:cstheme="minorHAnsi"/>
          <w:sz w:val="22"/>
          <w:szCs w:val="22"/>
          <w:lang w:val="fr-FR" w:eastAsia="fr-FR"/>
        </w:rPr>
        <w:t xml:space="preserve">cette </w:t>
      </w:r>
      <w:r w:rsidR="009E2587" w:rsidRPr="001961B1">
        <w:rPr>
          <w:rFonts w:asciiTheme="minorHAnsi" w:hAnsiTheme="minorHAnsi" w:cstheme="minorHAnsi"/>
          <w:sz w:val="22"/>
          <w:szCs w:val="22"/>
          <w:lang w:val="fr-FR" w:eastAsia="fr-FR"/>
        </w:rPr>
        <w:t>tendance</w:t>
      </w:r>
      <w:r w:rsidR="0025010B" w:rsidRPr="001961B1">
        <w:rPr>
          <w:rFonts w:asciiTheme="minorHAnsi" w:hAnsiTheme="minorHAnsi" w:cstheme="minorHAnsi"/>
          <w:sz w:val="22"/>
          <w:szCs w:val="22"/>
          <w:lang w:val="fr-FR" w:eastAsia="fr-FR"/>
        </w:rPr>
        <w:t xml:space="preserve">. Toutefois, le développement limité des </w:t>
      </w:r>
      <w:r w:rsidR="0025010B" w:rsidRPr="001961B1">
        <w:rPr>
          <w:rFonts w:asciiTheme="minorHAnsi" w:hAnsiTheme="minorHAnsi" w:cstheme="minorHAnsi"/>
          <w:sz w:val="22"/>
          <w:szCs w:val="22"/>
          <w:lang w:val="fr-FR" w:eastAsia="fr-FR"/>
        </w:rPr>
        <w:lastRenderedPageBreak/>
        <w:t xml:space="preserve">plans d’action nationaux pour la communication, le </w:t>
      </w:r>
      <w:r w:rsidR="00642313" w:rsidRPr="001961B1">
        <w:rPr>
          <w:rFonts w:asciiTheme="minorHAnsi" w:hAnsiTheme="minorHAnsi" w:cstheme="minorHAnsi"/>
          <w:sz w:val="22"/>
          <w:szCs w:val="22"/>
          <w:lang w:val="fr-FR" w:eastAsia="fr-FR"/>
        </w:rPr>
        <w:t>renforcement</w:t>
      </w:r>
      <w:r w:rsidR="0025010B" w:rsidRPr="001961B1">
        <w:rPr>
          <w:rFonts w:asciiTheme="minorHAnsi" w:hAnsiTheme="minorHAnsi" w:cstheme="minorHAnsi"/>
          <w:sz w:val="22"/>
          <w:szCs w:val="22"/>
          <w:lang w:val="fr-FR" w:eastAsia="fr-FR"/>
        </w:rPr>
        <w:t xml:space="preserve"> des capacités, l’éducation, la sensibilisation</w:t>
      </w:r>
      <w:r w:rsidR="009E2587" w:rsidRPr="001961B1">
        <w:rPr>
          <w:rFonts w:asciiTheme="minorHAnsi" w:hAnsiTheme="minorHAnsi" w:cstheme="minorHAnsi"/>
          <w:sz w:val="22"/>
          <w:szCs w:val="22"/>
          <w:lang w:val="fr-FR" w:eastAsia="fr-FR"/>
        </w:rPr>
        <w:t xml:space="preserve"> et la participation</w:t>
      </w:r>
      <w:r w:rsidR="0025010B" w:rsidRPr="001961B1">
        <w:rPr>
          <w:rFonts w:asciiTheme="minorHAnsi" w:hAnsiTheme="minorHAnsi" w:cstheme="minorHAnsi"/>
          <w:sz w:val="22"/>
          <w:szCs w:val="22"/>
          <w:lang w:val="fr-FR" w:eastAsia="fr-FR"/>
        </w:rPr>
        <w:t xml:space="preserve"> (CESP) limite parfois la sensibilisation et le </w:t>
      </w:r>
      <w:r w:rsidR="00642313" w:rsidRPr="001961B1">
        <w:rPr>
          <w:rFonts w:asciiTheme="minorHAnsi" w:hAnsiTheme="minorHAnsi" w:cstheme="minorHAnsi"/>
          <w:sz w:val="22"/>
          <w:szCs w:val="22"/>
          <w:lang w:val="fr-FR" w:eastAsia="fr-FR"/>
        </w:rPr>
        <w:t>développement</w:t>
      </w:r>
      <w:r w:rsidR="0025010B" w:rsidRPr="001961B1">
        <w:rPr>
          <w:rFonts w:asciiTheme="minorHAnsi" w:hAnsiTheme="minorHAnsi" w:cstheme="minorHAnsi"/>
          <w:sz w:val="22"/>
          <w:szCs w:val="22"/>
          <w:lang w:val="fr-FR" w:eastAsia="fr-FR"/>
        </w:rPr>
        <w:t xml:space="preserve"> des capacités </w:t>
      </w:r>
      <w:r w:rsidR="00642313" w:rsidRPr="001961B1">
        <w:rPr>
          <w:rFonts w:asciiTheme="minorHAnsi" w:hAnsiTheme="minorHAnsi" w:cstheme="minorHAnsi"/>
          <w:sz w:val="22"/>
          <w:szCs w:val="22"/>
          <w:lang w:val="fr-FR" w:eastAsia="fr-FR"/>
        </w:rPr>
        <w:t>soutenant</w:t>
      </w:r>
      <w:r w:rsidR="0025010B" w:rsidRPr="001961B1">
        <w:rPr>
          <w:rFonts w:asciiTheme="minorHAnsi" w:hAnsiTheme="minorHAnsi" w:cstheme="minorHAnsi"/>
          <w:sz w:val="22"/>
          <w:szCs w:val="22"/>
          <w:lang w:val="fr-FR" w:eastAsia="fr-FR"/>
        </w:rPr>
        <w:t xml:space="preserve"> l’intégration de la mission de la Convention</w:t>
      </w:r>
      <w:r w:rsidR="00354732" w:rsidRPr="001961B1">
        <w:rPr>
          <w:rFonts w:asciiTheme="minorHAnsi" w:hAnsiTheme="minorHAnsi" w:cstheme="minorHAnsi"/>
          <w:sz w:val="22"/>
          <w:szCs w:val="22"/>
          <w:lang w:val="fr-FR" w:eastAsia="fr-FR"/>
        </w:rPr>
        <w:t>.</w:t>
      </w:r>
    </w:p>
    <w:p w14:paraId="76DF16B0" w14:textId="2D0B05D9" w:rsidR="00FA0B43" w:rsidRPr="001961B1" w:rsidRDefault="00FA0B43" w:rsidP="00A338FF">
      <w:pPr>
        <w:rPr>
          <w:rFonts w:asciiTheme="minorHAnsi" w:hAnsiTheme="minorHAnsi" w:cstheme="minorHAnsi"/>
          <w:sz w:val="22"/>
          <w:szCs w:val="22"/>
          <w:lang w:val="fr-FR"/>
        </w:rPr>
      </w:pPr>
    </w:p>
    <w:tbl>
      <w:tblPr>
        <w:tblStyle w:val="TableGrid32"/>
        <w:tblW w:w="9365" w:type="dxa"/>
        <w:tblInd w:w="-5" w:type="dxa"/>
        <w:tblLook w:val="04A0" w:firstRow="1" w:lastRow="0" w:firstColumn="1" w:lastColumn="0" w:noHBand="0" w:noVBand="1"/>
      </w:tblPr>
      <w:tblGrid>
        <w:gridCol w:w="3416"/>
        <w:gridCol w:w="1256"/>
        <w:gridCol w:w="935"/>
        <w:gridCol w:w="1152"/>
        <w:gridCol w:w="1203"/>
        <w:gridCol w:w="1403"/>
      </w:tblGrid>
      <w:tr w:rsidR="00107172" w:rsidRPr="001961B1" w14:paraId="78900219" w14:textId="77777777" w:rsidTr="00C32CF1">
        <w:trPr>
          <w:cantSplit/>
          <w:tblHeader/>
        </w:trPr>
        <w:tc>
          <w:tcPr>
            <w:tcW w:w="3417" w:type="dxa"/>
            <w:shd w:val="clear" w:color="auto" w:fill="auto"/>
            <w:vAlign w:val="center"/>
            <w:hideMark/>
          </w:tcPr>
          <w:p w14:paraId="29D55664" w14:textId="7953CEE8" w:rsidR="00107172" w:rsidRPr="001961B1" w:rsidRDefault="00107172" w:rsidP="0078307B">
            <w:pPr>
              <w:keepNext/>
              <w:jc w:val="center"/>
              <w:rPr>
                <w:rFonts w:asciiTheme="minorHAnsi" w:eastAsia="Aptos" w:hAnsiTheme="minorHAnsi" w:cstheme="minorHAnsi"/>
                <w:b/>
                <w:bCs/>
                <w:sz w:val="22"/>
                <w:szCs w:val="22"/>
                <w:lang w:val="fr-FR"/>
              </w:rPr>
            </w:pPr>
            <w:bookmarkStart w:id="8" w:name="_Hlk196928619"/>
            <w:r w:rsidRPr="001961B1">
              <w:rPr>
                <w:rFonts w:asciiTheme="minorHAnsi" w:eastAsia="Aptos" w:hAnsiTheme="minorHAnsi" w:cstheme="minorHAnsi"/>
                <w:b/>
                <w:bCs/>
                <w:sz w:val="22"/>
                <w:szCs w:val="22"/>
                <w:lang w:val="fr-FR"/>
              </w:rPr>
              <w:t>Indicat</w:t>
            </w:r>
            <w:r w:rsidR="00630F8A"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shd w:val="clear" w:color="auto" w:fill="auto"/>
            <w:vAlign w:val="center"/>
            <w:hideMark/>
          </w:tcPr>
          <w:p w14:paraId="18882C15" w14:textId="7B917449" w:rsidR="00107172" w:rsidRPr="001961B1" w:rsidRDefault="00630F8A"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shd w:val="clear" w:color="auto" w:fill="auto"/>
            <w:vAlign w:val="center"/>
            <w:hideMark/>
          </w:tcPr>
          <w:p w14:paraId="3B0FD3C2"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0" w:type="auto"/>
            <w:shd w:val="clear" w:color="auto" w:fill="auto"/>
            <w:vAlign w:val="center"/>
            <w:hideMark/>
          </w:tcPr>
          <w:p w14:paraId="693B80CE"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0" w:type="auto"/>
            <w:shd w:val="clear" w:color="auto" w:fill="auto"/>
            <w:vAlign w:val="center"/>
            <w:hideMark/>
          </w:tcPr>
          <w:p w14:paraId="2AC95C0B" w14:textId="77777777" w:rsidR="00107172" w:rsidRPr="001961B1" w:rsidRDefault="00107172"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0" w:type="auto"/>
            <w:shd w:val="clear" w:color="auto" w:fill="auto"/>
            <w:vAlign w:val="center"/>
            <w:hideMark/>
          </w:tcPr>
          <w:p w14:paraId="09DCD97B" w14:textId="0351FA8C" w:rsidR="00107172" w:rsidRPr="001961B1" w:rsidRDefault="00630F8A"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Tendance</w:t>
            </w:r>
          </w:p>
        </w:tc>
      </w:tr>
      <w:tr w:rsidR="00107172" w:rsidRPr="001961B1" w14:paraId="025BDBB2" w14:textId="77777777" w:rsidTr="00770E5B">
        <w:trPr>
          <w:cantSplit/>
        </w:trPr>
        <w:tc>
          <w:tcPr>
            <w:tcW w:w="3417" w:type="dxa"/>
            <w:shd w:val="clear" w:color="auto" w:fill="auto"/>
          </w:tcPr>
          <w:p w14:paraId="47AD5EAF" w14:textId="4BAB312E" w:rsidR="00107172" w:rsidRPr="001961B1" w:rsidRDefault="00107172"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contractantes ayant des activités pour la JMZ</w:t>
            </w:r>
            <w:r w:rsidRPr="001961B1">
              <w:rPr>
                <w:rFonts w:asciiTheme="minorHAnsi" w:eastAsia="Aptos" w:hAnsiTheme="minorHAnsi" w:cstheme="minorHAnsi"/>
                <w:sz w:val="22"/>
                <w:szCs w:val="22"/>
                <w:lang w:val="fr-FR"/>
              </w:rPr>
              <w:t>.</w:t>
            </w:r>
          </w:p>
        </w:tc>
        <w:tc>
          <w:tcPr>
            <w:tcW w:w="0" w:type="auto"/>
            <w:shd w:val="clear" w:color="auto" w:fill="auto"/>
          </w:tcPr>
          <w:p w14:paraId="2E65D502" w14:textId="4700D4BA"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89</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13A96A0C" w14:textId="0F8A9429"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87</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65560A4D" w14:textId="2D3AECF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91</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0D611CD" w14:textId="22F97624" w:rsidR="00107172" w:rsidRPr="001961B1" w:rsidRDefault="22B9F450"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88</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1F75B98B" w14:textId="1F6C3702" w:rsidR="00107172" w:rsidRPr="001961B1" w:rsidRDefault="006849D1" w:rsidP="00567061">
            <w:pP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781ADAD1" wp14:editId="454D216A">
                  <wp:extent cx="712200" cy="432000"/>
                  <wp:effectExtent l="0" t="0" r="0" b="0"/>
                  <wp:docPr id="16596001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1F785C99" w14:textId="77777777" w:rsidTr="00770E5B">
        <w:trPr>
          <w:cantSplit/>
        </w:trPr>
        <w:tc>
          <w:tcPr>
            <w:tcW w:w="3417" w:type="dxa"/>
            <w:shd w:val="clear" w:color="auto" w:fill="auto"/>
          </w:tcPr>
          <w:p w14:paraId="1907F91C" w14:textId="768276C0" w:rsidR="00107172" w:rsidRPr="001961B1" w:rsidRDefault="00107172"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ayant un Correspondant national CESP gouvernemental</w:t>
            </w:r>
            <w:r w:rsidR="00573473" w:rsidRPr="001961B1">
              <w:rPr>
                <w:rFonts w:asciiTheme="minorHAnsi" w:eastAsia="Aptos" w:hAnsiTheme="minorHAnsi" w:cstheme="minorHAnsi"/>
                <w:sz w:val="22"/>
                <w:szCs w:val="22"/>
                <w:lang w:val="fr-FR"/>
              </w:rPr>
              <w:t>.</w:t>
            </w:r>
          </w:p>
        </w:tc>
        <w:tc>
          <w:tcPr>
            <w:tcW w:w="0" w:type="auto"/>
            <w:shd w:val="clear" w:color="auto" w:fill="auto"/>
          </w:tcPr>
          <w:p w14:paraId="430DFE9A" w14:textId="4DCD2569"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80</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0AED2A92" w14:textId="5907385B"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74</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4786E799" w14:textId="65058F8D"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76</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6244BD95" w14:textId="23E67072"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79</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0229FA6A" w14:textId="00C959DC" w:rsidR="00107172" w:rsidRPr="001961B1" w:rsidRDefault="00E631CF" w:rsidP="00567061">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685342E1" wp14:editId="7AE0C811">
                  <wp:extent cx="753745" cy="457200"/>
                  <wp:effectExtent l="0" t="0" r="0" b="0"/>
                  <wp:docPr id="967288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53745" cy="457200"/>
                          </a:xfrm>
                          <a:prstGeom prst="rect">
                            <a:avLst/>
                          </a:prstGeom>
                          <a:noFill/>
                          <a:ln>
                            <a:noFill/>
                          </a:ln>
                        </pic:spPr>
                      </pic:pic>
                    </a:graphicData>
                  </a:graphic>
                </wp:inline>
              </w:drawing>
            </w:r>
          </w:p>
        </w:tc>
      </w:tr>
      <w:tr w:rsidR="00107172" w:rsidRPr="001961B1" w14:paraId="24779F6E" w14:textId="77777777" w:rsidTr="00770E5B">
        <w:trPr>
          <w:cantSplit/>
        </w:trPr>
        <w:tc>
          <w:tcPr>
            <w:tcW w:w="3417" w:type="dxa"/>
            <w:shd w:val="clear" w:color="auto" w:fill="auto"/>
          </w:tcPr>
          <w:p w14:paraId="678513E0" w14:textId="48034BE8" w:rsidR="00107172" w:rsidRPr="001961B1" w:rsidRDefault="00107172"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ayant un Correspondant national CESP non gouvernemental</w:t>
            </w:r>
            <w:r w:rsidR="00573473" w:rsidRPr="001961B1">
              <w:rPr>
                <w:rFonts w:asciiTheme="minorHAnsi" w:eastAsia="Aptos" w:hAnsiTheme="minorHAnsi" w:cstheme="minorHAnsi"/>
                <w:sz w:val="22"/>
                <w:szCs w:val="22"/>
                <w:lang w:val="fr-FR"/>
              </w:rPr>
              <w:t>.</w:t>
            </w:r>
          </w:p>
        </w:tc>
        <w:tc>
          <w:tcPr>
            <w:tcW w:w="0" w:type="auto"/>
            <w:shd w:val="clear" w:color="auto" w:fill="auto"/>
          </w:tcPr>
          <w:p w14:paraId="179AFD00" w14:textId="42F2419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69</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2FE8B3DB" w14:textId="4E5775A8"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64</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0D489DA5" w14:textId="7D41786B"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69</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5D4888D" w14:textId="7BBD12F4"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68</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587593F" w14:textId="734EE181" w:rsidR="00107172" w:rsidRPr="001961B1" w:rsidRDefault="00CC756D" w:rsidP="00567061">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30D979E" wp14:editId="32F13EDD">
                  <wp:extent cx="712200" cy="432000"/>
                  <wp:effectExtent l="0" t="0" r="0" b="0"/>
                  <wp:docPr id="5547327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78419135" w14:textId="77777777" w:rsidTr="00770E5B">
        <w:trPr>
          <w:cantSplit/>
        </w:trPr>
        <w:tc>
          <w:tcPr>
            <w:tcW w:w="3417" w:type="dxa"/>
            <w:shd w:val="clear" w:color="auto" w:fill="auto"/>
          </w:tcPr>
          <w:p w14:paraId="1C2BF4C3" w14:textId="2A5395FC" w:rsidR="00107172" w:rsidRPr="001961B1" w:rsidRDefault="00107172"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contractantes ayant des plans nationaux établis pour la CESP relative aux zones humides</w:t>
            </w:r>
            <w:r w:rsidRPr="001961B1">
              <w:rPr>
                <w:rFonts w:asciiTheme="minorHAnsi" w:eastAsia="Aptos" w:hAnsiTheme="minorHAnsi" w:cstheme="minorHAnsi"/>
                <w:sz w:val="22"/>
                <w:szCs w:val="22"/>
                <w:lang w:val="fr-FR"/>
              </w:rPr>
              <w:t>.</w:t>
            </w:r>
          </w:p>
        </w:tc>
        <w:tc>
          <w:tcPr>
            <w:tcW w:w="0" w:type="auto"/>
            <w:shd w:val="clear" w:color="auto" w:fill="auto"/>
          </w:tcPr>
          <w:p w14:paraId="5269696C" w14:textId="0331C375"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27</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0FE2E13" w14:textId="2FCD83C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24</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223A6094" w14:textId="4EA03BDA"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35</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497C0CB" w14:textId="46F2631E"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482F15" w:rsidRPr="001961B1">
              <w:rPr>
                <w:rFonts w:asciiTheme="minorHAnsi" w:eastAsia="Aptos" w:hAnsiTheme="minorHAnsi" w:cstheme="minorHAnsi"/>
                <w:b/>
                <w:bCs/>
                <w:sz w:val="22"/>
                <w:szCs w:val="22"/>
              </w:rPr>
              <w:t xml:space="preserve"> %</w:t>
            </w:r>
          </w:p>
        </w:tc>
        <w:tc>
          <w:tcPr>
            <w:tcW w:w="0" w:type="auto"/>
            <w:shd w:val="clear" w:color="auto" w:fill="auto"/>
          </w:tcPr>
          <w:p w14:paraId="3CCBF9F9" w14:textId="2C439912" w:rsidR="00107172" w:rsidRPr="001961B1" w:rsidRDefault="00D26562" w:rsidP="00567061">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73E3C1F8" wp14:editId="51169ED7">
                  <wp:extent cx="712200" cy="432000"/>
                  <wp:effectExtent l="0" t="0" r="0" b="0"/>
                  <wp:docPr id="19030335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1514D18B" w14:textId="77777777" w:rsidTr="00770E5B">
        <w:trPr>
          <w:cantSplit/>
        </w:trPr>
        <w:tc>
          <w:tcPr>
            <w:tcW w:w="3417" w:type="dxa"/>
            <w:shd w:val="clear" w:color="auto" w:fill="auto"/>
          </w:tcPr>
          <w:p w14:paraId="066C9099" w14:textId="06A202C9" w:rsidR="00107172" w:rsidRPr="001961B1" w:rsidRDefault="00C93951"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centres (centres d’accueil des visiteurs, centres d’interprétation, centres d’éducation) établis dans les zones humides d’importance i</w:t>
            </w:r>
            <w:r w:rsidR="00573473" w:rsidRPr="001961B1">
              <w:rPr>
                <w:rFonts w:asciiTheme="minorHAnsi" w:eastAsia="Aptos" w:hAnsiTheme="minorHAnsi" w:cstheme="minorHAnsi"/>
                <w:sz w:val="22"/>
                <w:szCs w:val="22"/>
                <w:lang w:val="fr-FR"/>
              </w:rPr>
              <w:t>nternationale</w:t>
            </w:r>
            <w:r w:rsidR="00107172" w:rsidRPr="001961B1">
              <w:rPr>
                <w:rFonts w:asciiTheme="minorHAnsi" w:eastAsia="Aptos" w:hAnsiTheme="minorHAnsi" w:cstheme="minorHAnsi"/>
                <w:sz w:val="22"/>
                <w:szCs w:val="22"/>
                <w:lang w:val="fr-FR"/>
              </w:rPr>
              <w:t>.</w:t>
            </w:r>
          </w:p>
        </w:tc>
        <w:tc>
          <w:tcPr>
            <w:tcW w:w="0" w:type="auto"/>
            <w:shd w:val="clear" w:color="auto" w:fill="auto"/>
          </w:tcPr>
          <w:p w14:paraId="638791B4" w14:textId="7777777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636</w:t>
            </w:r>
          </w:p>
        </w:tc>
        <w:tc>
          <w:tcPr>
            <w:tcW w:w="0" w:type="auto"/>
            <w:shd w:val="clear" w:color="auto" w:fill="auto"/>
          </w:tcPr>
          <w:p w14:paraId="62ED9A27" w14:textId="49DE32DD" w:rsidR="00107172" w:rsidRPr="001961B1" w:rsidRDefault="00971D63"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747</w:t>
            </w:r>
          </w:p>
        </w:tc>
        <w:tc>
          <w:tcPr>
            <w:tcW w:w="0" w:type="auto"/>
            <w:shd w:val="clear" w:color="auto" w:fill="auto"/>
          </w:tcPr>
          <w:p w14:paraId="503FBC5C" w14:textId="6C52312F" w:rsidR="00107172" w:rsidRPr="001961B1" w:rsidRDefault="003657C9"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951</w:t>
            </w:r>
          </w:p>
        </w:tc>
        <w:tc>
          <w:tcPr>
            <w:tcW w:w="0" w:type="auto"/>
            <w:shd w:val="clear" w:color="auto" w:fill="auto"/>
          </w:tcPr>
          <w:p w14:paraId="3829E85E" w14:textId="2835BD4E" w:rsidR="00107172" w:rsidRPr="001961B1" w:rsidRDefault="00207F40"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968</w:t>
            </w:r>
          </w:p>
        </w:tc>
        <w:tc>
          <w:tcPr>
            <w:tcW w:w="0" w:type="auto"/>
            <w:shd w:val="clear" w:color="auto" w:fill="auto"/>
          </w:tcPr>
          <w:p w14:paraId="3AC43AE9" w14:textId="16AF7D9A" w:rsidR="00107172" w:rsidRPr="001961B1" w:rsidRDefault="00806C5F" w:rsidP="00567061">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471655BA" wp14:editId="5F24306F">
                  <wp:extent cx="712200" cy="432000"/>
                  <wp:effectExtent l="0" t="0" r="0" b="0"/>
                  <wp:docPr id="18073071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1961B1" w14:paraId="124709C1" w14:textId="77777777" w:rsidTr="00770E5B">
        <w:trPr>
          <w:cantSplit/>
        </w:trPr>
        <w:tc>
          <w:tcPr>
            <w:tcW w:w="3417" w:type="dxa"/>
            <w:shd w:val="clear" w:color="auto" w:fill="auto"/>
          </w:tcPr>
          <w:p w14:paraId="5AB76D41" w14:textId="49CCABD0" w:rsidR="00107172" w:rsidRPr="001961B1" w:rsidRDefault="00C93951" w:rsidP="00567061">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centres établis dans d’autres zones humides</w:t>
            </w:r>
            <w:r w:rsidR="00107172" w:rsidRPr="001961B1">
              <w:rPr>
                <w:rFonts w:asciiTheme="minorHAnsi" w:eastAsia="Aptos" w:hAnsiTheme="minorHAnsi" w:cstheme="minorHAnsi"/>
                <w:sz w:val="22"/>
                <w:szCs w:val="22"/>
                <w:lang w:val="fr-FR"/>
              </w:rPr>
              <w:t>.</w:t>
            </w:r>
          </w:p>
        </w:tc>
        <w:tc>
          <w:tcPr>
            <w:tcW w:w="0" w:type="auto"/>
            <w:shd w:val="clear" w:color="auto" w:fill="auto"/>
          </w:tcPr>
          <w:p w14:paraId="45AD9EA4" w14:textId="77777777" w:rsidR="00107172" w:rsidRPr="001961B1" w:rsidRDefault="00107172"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309</w:t>
            </w:r>
          </w:p>
        </w:tc>
        <w:tc>
          <w:tcPr>
            <w:tcW w:w="0" w:type="auto"/>
            <w:shd w:val="clear" w:color="auto" w:fill="auto"/>
          </w:tcPr>
          <w:p w14:paraId="30ABC794" w14:textId="3FF8897B" w:rsidR="00107172" w:rsidRPr="001961B1" w:rsidRDefault="00AB7E63"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349</w:t>
            </w:r>
          </w:p>
        </w:tc>
        <w:tc>
          <w:tcPr>
            <w:tcW w:w="0" w:type="auto"/>
            <w:shd w:val="clear" w:color="auto" w:fill="auto"/>
          </w:tcPr>
          <w:p w14:paraId="491455FA" w14:textId="3CBF19D0" w:rsidR="00107172" w:rsidRPr="001961B1" w:rsidRDefault="008B05D7"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520</w:t>
            </w:r>
          </w:p>
        </w:tc>
        <w:tc>
          <w:tcPr>
            <w:tcW w:w="0" w:type="auto"/>
            <w:shd w:val="clear" w:color="auto" w:fill="auto"/>
          </w:tcPr>
          <w:p w14:paraId="2C33302A" w14:textId="0A4E0A25" w:rsidR="00107172" w:rsidRPr="001961B1" w:rsidRDefault="00E222B5" w:rsidP="00567061">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537</w:t>
            </w:r>
          </w:p>
        </w:tc>
        <w:tc>
          <w:tcPr>
            <w:tcW w:w="0" w:type="auto"/>
            <w:shd w:val="clear" w:color="auto" w:fill="auto"/>
          </w:tcPr>
          <w:p w14:paraId="42CB74A7" w14:textId="595A2338" w:rsidR="00107172" w:rsidRPr="001961B1" w:rsidRDefault="004C3E9C" w:rsidP="00567061">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165A203A" wp14:editId="4148DD99">
                  <wp:extent cx="712200" cy="432000"/>
                  <wp:effectExtent l="0" t="0" r="0" b="0"/>
                  <wp:docPr id="4954679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770E5B" w:rsidRPr="001961B1" w14:paraId="06A6F599" w14:textId="77777777" w:rsidTr="00770E5B">
        <w:trPr>
          <w:cantSplit/>
        </w:trPr>
        <w:tc>
          <w:tcPr>
            <w:tcW w:w="3417" w:type="dxa"/>
            <w:shd w:val="clear" w:color="auto" w:fill="auto"/>
          </w:tcPr>
          <w:p w14:paraId="0B448CCB" w14:textId="0B2891BB" w:rsidR="0057784F" w:rsidRPr="001961B1" w:rsidRDefault="00025814" w:rsidP="00025814">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w:t>
            </w:r>
            <w:r w:rsidR="0025010B" w:rsidRPr="001961B1">
              <w:rPr>
                <w:rFonts w:asciiTheme="minorHAnsi" w:eastAsia="Aptos" w:hAnsiTheme="minorHAnsi" w:cstheme="minorHAnsi"/>
                <w:sz w:val="22"/>
                <w:szCs w:val="22"/>
                <w:lang w:val="fr-FR"/>
              </w:rPr>
              <w:t>ombre d’activités ou d’événements de la Journée mondiale des zones humides signalés au Secrétariat.</w:t>
            </w:r>
          </w:p>
          <w:p w14:paraId="037B18C5" w14:textId="03538095" w:rsidR="009A65AF" w:rsidRPr="001961B1" w:rsidRDefault="0057784F" w:rsidP="0057784F">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Source</w:t>
            </w:r>
            <w:r w:rsidR="0025010B" w:rsidRPr="001961B1">
              <w:rPr>
                <w:rFonts w:asciiTheme="minorHAnsi" w:eastAsia="Aptos" w:hAnsiTheme="minorHAnsi" w:cstheme="minorHAnsi"/>
                <w:sz w:val="22"/>
                <w:szCs w:val="22"/>
                <w:lang w:val="fr-FR"/>
              </w:rPr>
              <w:t> </w:t>
            </w:r>
            <w:r w:rsidRPr="001961B1">
              <w:rPr>
                <w:rFonts w:asciiTheme="minorHAnsi" w:eastAsia="Aptos" w:hAnsiTheme="minorHAnsi" w:cstheme="minorHAnsi"/>
                <w:sz w:val="22"/>
                <w:szCs w:val="22"/>
                <w:lang w:val="fr-FR"/>
              </w:rPr>
              <w:t xml:space="preserve">: </w:t>
            </w:r>
            <w:r w:rsidR="0025010B" w:rsidRPr="001961B1">
              <w:rPr>
                <w:rFonts w:asciiTheme="minorHAnsi" w:eastAsia="Aptos" w:hAnsiTheme="minorHAnsi" w:cstheme="minorHAnsi"/>
                <w:sz w:val="22"/>
                <w:szCs w:val="22"/>
                <w:lang w:val="fr-FR"/>
              </w:rPr>
              <w:t xml:space="preserve">Site </w:t>
            </w:r>
            <w:r w:rsidR="009E2587" w:rsidRPr="001961B1">
              <w:rPr>
                <w:rFonts w:asciiTheme="minorHAnsi" w:eastAsia="Aptos" w:hAnsiTheme="minorHAnsi" w:cstheme="minorHAnsi"/>
                <w:sz w:val="22"/>
                <w:szCs w:val="22"/>
                <w:lang w:val="fr-FR"/>
              </w:rPr>
              <w:t>W</w:t>
            </w:r>
            <w:r w:rsidR="0025010B" w:rsidRPr="001961B1">
              <w:rPr>
                <w:rFonts w:asciiTheme="minorHAnsi" w:eastAsia="Aptos" w:hAnsiTheme="minorHAnsi" w:cstheme="minorHAnsi"/>
                <w:sz w:val="22"/>
                <w:szCs w:val="22"/>
                <w:lang w:val="fr-FR"/>
              </w:rPr>
              <w:t xml:space="preserve">eb de la Journée mondiale des zones humides </w:t>
            </w:r>
          </w:p>
        </w:tc>
        <w:tc>
          <w:tcPr>
            <w:tcW w:w="0" w:type="auto"/>
            <w:shd w:val="clear" w:color="auto" w:fill="auto"/>
          </w:tcPr>
          <w:p w14:paraId="2471FCBC" w14:textId="067CE7E4" w:rsidR="009A65AF" w:rsidRPr="001961B1" w:rsidRDefault="001F0D25"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1</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349</w:t>
            </w:r>
          </w:p>
        </w:tc>
        <w:tc>
          <w:tcPr>
            <w:tcW w:w="0" w:type="auto"/>
            <w:shd w:val="clear" w:color="auto" w:fill="auto"/>
          </w:tcPr>
          <w:p w14:paraId="43F9707E" w14:textId="162E5857" w:rsidR="009A65AF" w:rsidRPr="001961B1" w:rsidRDefault="005B4428"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1</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507</w:t>
            </w:r>
          </w:p>
        </w:tc>
        <w:tc>
          <w:tcPr>
            <w:tcW w:w="0" w:type="auto"/>
            <w:shd w:val="clear" w:color="auto" w:fill="auto"/>
          </w:tcPr>
          <w:p w14:paraId="535D7474" w14:textId="11062A75" w:rsidR="009A65AF" w:rsidRPr="001961B1" w:rsidRDefault="005C46D3"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1</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591</w:t>
            </w:r>
          </w:p>
        </w:tc>
        <w:tc>
          <w:tcPr>
            <w:tcW w:w="0" w:type="auto"/>
            <w:shd w:val="clear" w:color="auto" w:fill="auto"/>
          </w:tcPr>
          <w:p w14:paraId="43496872" w14:textId="349912F8" w:rsidR="009A65AF" w:rsidRPr="001961B1" w:rsidRDefault="00777F9A"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1</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975</w:t>
            </w:r>
          </w:p>
        </w:tc>
        <w:tc>
          <w:tcPr>
            <w:tcW w:w="0" w:type="auto"/>
            <w:shd w:val="clear" w:color="auto" w:fill="auto"/>
          </w:tcPr>
          <w:p w14:paraId="7238C33D" w14:textId="42D80EC9" w:rsidR="009A65AF" w:rsidRPr="001961B1" w:rsidRDefault="00FD2206" w:rsidP="00567061">
            <w:pPr>
              <w:rPr>
                <w:rFonts w:asciiTheme="minorHAnsi" w:hAnsiTheme="minorHAnsi" w:cstheme="minorHAnsi"/>
                <w:noProof/>
                <w:sz w:val="22"/>
                <w:szCs w:val="22"/>
                <w:lang w:val="fr-FR"/>
              </w:rPr>
            </w:pPr>
            <w:r w:rsidRPr="001961B1">
              <w:rPr>
                <w:rFonts w:asciiTheme="minorHAnsi" w:hAnsiTheme="minorHAnsi" w:cstheme="minorHAnsi"/>
                <w:noProof/>
                <w:sz w:val="22"/>
                <w:szCs w:val="22"/>
                <w:lang w:val="fr-FR" w:eastAsia="en-CA"/>
              </w:rPr>
              <w:drawing>
                <wp:inline distT="0" distB="0" distL="0" distR="0" wp14:anchorId="360E0150" wp14:editId="110C7518">
                  <wp:extent cx="712800" cy="432000"/>
                  <wp:effectExtent l="0" t="0" r="0" b="0"/>
                  <wp:docPr id="1019312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770E5B" w:rsidRPr="001961B1" w14:paraId="2F5D7A4A" w14:textId="77777777" w:rsidTr="00770E5B">
        <w:trPr>
          <w:cantSplit/>
        </w:trPr>
        <w:tc>
          <w:tcPr>
            <w:tcW w:w="3417" w:type="dxa"/>
            <w:shd w:val="clear" w:color="auto" w:fill="auto"/>
          </w:tcPr>
          <w:p w14:paraId="4778ED6E" w14:textId="6992D287" w:rsidR="00595358" w:rsidRPr="001961B1" w:rsidRDefault="002560B3" w:rsidP="002560B3">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w:t>
            </w:r>
            <w:r w:rsidR="0025010B" w:rsidRPr="001961B1">
              <w:rPr>
                <w:rFonts w:asciiTheme="minorHAnsi" w:eastAsia="Aptos" w:hAnsiTheme="minorHAnsi" w:cstheme="minorHAnsi"/>
                <w:sz w:val="22"/>
                <w:szCs w:val="22"/>
                <w:lang w:val="fr-FR"/>
              </w:rPr>
              <w:t xml:space="preserve">ombre de visites au </w:t>
            </w:r>
            <w:r w:rsidR="00404F57" w:rsidRPr="001961B1">
              <w:rPr>
                <w:rFonts w:asciiTheme="minorHAnsi" w:eastAsia="Aptos" w:hAnsiTheme="minorHAnsi" w:cstheme="minorHAnsi"/>
                <w:sz w:val="22"/>
                <w:szCs w:val="22"/>
                <w:lang w:val="fr-FR"/>
              </w:rPr>
              <w:t>s</w:t>
            </w:r>
            <w:r w:rsidR="0025010B" w:rsidRPr="001961B1">
              <w:rPr>
                <w:rFonts w:asciiTheme="minorHAnsi" w:eastAsia="Aptos" w:hAnsiTheme="minorHAnsi" w:cstheme="minorHAnsi"/>
                <w:sz w:val="22"/>
                <w:szCs w:val="22"/>
                <w:lang w:val="fr-FR"/>
              </w:rPr>
              <w:t xml:space="preserve">ite </w:t>
            </w:r>
            <w:r w:rsidR="009E2587" w:rsidRPr="001961B1">
              <w:rPr>
                <w:rFonts w:asciiTheme="minorHAnsi" w:eastAsia="Aptos" w:hAnsiTheme="minorHAnsi" w:cstheme="minorHAnsi"/>
                <w:sz w:val="22"/>
                <w:szCs w:val="22"/>
                <w:lang w:val="fr-FR"/>
              </w:rPr>
              <w:t>W</w:t>
            </w:r>
            <w:r w:rsidR="0025010B" w:rsidRPr="001961B1">
              <w:rPr>
                <w:rFonts w:asciiTheme="minorHAnsi" w:eastAsia="Aptos" w:hAnsiTheme="minorHAnsi" w:cstheme="minorHAnsi"/>
                <w:sz w:val="22"/>
                <w:szCs w:val="22"/>
                <w:lang w:val="fr-FR"/>
              </w:rPr>
              <w:t>eb de la JMZ (pour les années de COP uniquement, et non pour la totalité de la période triennale)</w:t>
            </w:r>
          </w:p>
          <w:p w14:paraId="5E2B1E6E" w14:textId="57D7B8E4" w:rsidR="002560B3" w:rsidRPr="001961B1" w:rsidRDefault="002560B3" w:rsidP="002560B3">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Source</w:t>
            </w:r>
            <w:r w:rsidR="0025010B" w:rsidRPr="001961B1">
              <w:rPr>
                <w:rFonts w:asciiTheme="minorHAnsi" w:eastAsia="Aptos" w:hAnsiTheme="minorHAnsi" w:cstheme="minorHAnsi"/>
                <w:sz w:val="22"/>
                <w:szCs w:val="22"/>
                <w:lang w:val="fr-FR"/>
              </w:rPr>
              <w:t xml:space="preserve"> </w:t>
            </w:r>
            <w:r w:rsidRPr="001961B1">
              <w:rPr>
                <w:rFonts w:asciiTheme="minorHAnsi" w:eastAsia="Aptos" w:hAnsiTheme="minorHAnsi" w:cstheme="minorHAnsi"/>
                <w:sz w:val="22"/>
                <w:szCs w:val="22"/>
                <w:lang w:val="fr-FR"/>
              </w:rPr>
              <w:t xml:space="preserve">: Google </w:t>
            </w:r>
            <w:r w:rsidR="0025010B" w:rsidRPr="001961B1">
              <w:rPr>
                <w:rFonts w:asciiTheme="minorHAnsi" w:eastAsia="Aptos" w:hAnsiTheme="minorHAnsi" w:cstheme="minorHAnsi"/>
                <w:sz w:val="22"/>
                <w:szCs w:val="22"/>
                <w:lang w:val="fr-FR"/>
              </w:rPr>
              <w:t>A</w:t>
            </w:r>
            <w:r w:rsidRPr="001961B1">
              <w:rPr>
                <w:rFonts w:asciiTheme="minorHAnsi" w:eastAsia="Aptos" w:hAnsiTheme="minorHAnsi" w:cstheme="minorHAnsi"/>
                <w:sz w:val="22"/>
                <w:szCs w:val="22"/>
                <w:lang w:val="fr-FR"/>
              </w:rPr>
              <w:t>nalytics</w:t>
            </w:r>
            <w:r w:rsidR="00AB2083" w:rsidRPr="001961B1">
              <w:rPr>
                <w:rFonts w:asciiTheme="minorHAnsi" w:eastAsia="Aptos" w:hAnsiTheme="minorHAnsi" w:cstheme="minorHAnsi"/>
                <w:sz w:val="22"/>
                <w:szCs w:val="22"/>
                <w:lang w:val="fr-FR"/>
              </w:rPr>
              <w:t xml:space="preserve"> </w:t>
            </w:r>
          </w:p>
        </w:tc>
        <w:tc>
          <w:tcPr>
            <w:tcW w:w="0" w:type="auto"/>
            <w:shd w:val="clear" w:color="auto" w:fill="auto"/>
          </w:tcPr>
          <w:p w14:paraId="373B48EA" w14:textId="26146240" w:rsidR="002560B3" w:rsidRPr="001961B1" w:rsidRDefault="00B76434" w:rsidP="00567061">
            <w:pPr>
              <w:jc w:val="cente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58</w:t>
            </w:r>
            <w:r w:rsidR="00482F15" w:rsidRPr="001961B1">
              <w:rPr>
                <w:rFonts w:asciiTheme="minorHAnsi" w:eastAsia="Aptos" w:hAnsiTheme="minorHAnsi" w:cstheme="minorHAnsi"/>
                <w:sz w:val="22"/>
                <w:szCs w:val="22"/>
                <w:lang w:val="fr-FR"/>
              </w:rPr>
              <w:t xml:space="preserve"> </w:t>
            </w:r>
            <w:r w:rsidRPr="001961B1">
              <w:rPr>
                <w:rFonts w:asciiTheme="minorHAnsi" w:eastAsia="Aptos" w:hAnsiTheme="minorHAnsi" w:cstheme="minorHAnsi"/>
                <w:sz w:val="22"/>
                <w:szCs w:val="22"/>
                <w:lang w:val="fr-FR"/>
              </w:rPr>
              <w:t>566</w:t>
            </w:r>
          </w:p>
        </w:tc>
        <w:tc>
          <w:tcPr>
            <w:tcW w:w="0" w:type="auto"/>
            <w:shd w:val="clear" w:color="auto" w:fill="auto"/>
          </w:tcPr>
          <w:p w14:paraId="78690282" w14:textId="3C632DDD" w:rsidR="002560B3" w:rsidRPr="001961B1" w:rsidRDefault="00FA355F"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200</w:t>
            </w:r>
            <w:r w:rsidR="00482F15" w:rsidRPr="001961B1">
              <w:rPr>
                <w:rFonts w:asciiTheme="minorHAnsi" w:eastAsia="Aptos" w:hAnsiTheme="minorHAnsi" w:cstheme="minorHAnsi"/>
                <w:b/>
                <w:bCs/>
                <w:sz w:val="22"/>
                <w:szCs w:val="22"/>
                <w:lang w:val="fr-FR"/>
              </w:rPr>
              <w:t> </w:t>
            </w:r>
            <w:r w:rsidRPr="001961B1">
              <w:rPr>
                <w:rFonts w:asciiTheme="minorHAnsi" w:eastAsia="Aptos" w:hAnsiTheme="minorHAnsi" w:cstheme="minorHAnsi"/>
                <w:b/>
                <w:bCs/>
                <w:sz w:val="22"/>
                <w:szCs w:val="22"/>
                <w:lang w:val="fr-FR"/>
              </w:rPr>
              <w:t>000</w:t>
            </w:r>
          </w:p>
        </w:tc>
        <w:tc>
          <w:tcPr>
            <w:tcW w:w="0" w:type="auto"/>
            <w:shd w:val="clear" w:color="auto" w:fill="auto"/>
          </w:tcPr>
          <w:p w14:paraId="6F923CB2" w14:textId="7B57D78D" w:rsidR="002560B3" w:rsidRPr="001961B1" w:rsidRDefault="00CB17FB"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73</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000</w:t>
            </w:r>
          </w:p>
        </w:tc>
        <w:tc>
          <w:tcPr>
            <w:tcW w:w="0" w:type="auto"/>
            <w:shd w:val="clear" w:color="auto" w:fill="auto"/>
          </w:tcPr>
          <w:p w14:paraId="582F6216" w14:textId="239D2204" w:rsidR="002560B3" w:rsidRPr="001961B1" w:rsidRDefault="004B776F"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90</w:t>
            </w:r>
            <w:r w:rsidR="00482F15" w:rsidRPr="001961B1">
              <w:rPr>
                <w:rFonts w:asciiTheme="minorHAnsi" w:eastAsia="Aptos" w:hAnsiTheme="minorHAnsi" w:cstheme="minorHAnsi"/>
                <w:b/>
                <w:bCs/>
                <w:sz w:val="22"/>
                <w:szCs w:val="22"/>
                <w:lang w:val="fr-FR"/>
              </w:rPr>
              <w:t xml:space="preserve"> </w:t>
            </w:r>
            <w:r w:rsidRPr="001961B1">
              <w:rPr>
                <w:rFonts w:asciiTheme="minorHAnsi" w:eastAsia="Aptos" w:hAnsiTheme="minorHAnsi" w:cstheme="minorHAnsi"/>
                <w:b/>
                <w:bCs/>
                <w:sz w:val="22"/>
                <w:szCs w:val="22"/>
                <w:lang w:val="fr-FR"/>
              </w:rPr>
              <w:t>000</w:t>
            </w:r>
          </w:p>
        </w:tc>
        <w:tc>
          <w:tcPr>
            <w:tcW w:w="0" w:type="auto"/>
            <w:shd w:val="clear" w:color="auto" w:fill="auto"/>
          </w:tcPr>
          <w:p w14:paraId="2CD2D5B6" w14:textId="63C9DFCC" w:rsidR="002560B3" w:rsidRPr="001961B1" w:rsidRDefault="00A73807" w:rsidP="00567061">
            <w:pPr>
              <w:rPr>
                <w:rFonts w:asciiTheme="minorHAnsi" w:hAnsiTheme="minorHAnsi" w:cstheme="minorHAnsi"/>
                <w:noProof/>
                <w:sz w:val="22"/>
                <w:szCs w:val="22"/>
                <w:lang w:val="fr-FR"/>
              </w:rPr>
            </w:pPr>
            <w:r w:rsidRPr="001961B1">
              <w:rPr>
                <w:rFonts w:asciiTheme="minorHAnsi" w:hAnsiTheme="minorHAnsi" w:cstheme="minorHAnsi"/>
                <w:noProof/>
                <w:sz w:val="22"/>
                <w:szCs w:val="22"/>
                <w:lang w:val="fr-FR" w:eastAsia="en-CA"/>
              </w:rPr>
              <w:drawing>
                <wp:inline distT="0" distB="0" distL="0" distR="0" wp14:anchorId="276F9DEF" wp14:editId="008A4216">
                  <wp:extent cx="712800" cy="432000"/>
                  <wp:effectExtent l="0" t="0" r="0" b="0"/>
                  <wp:docPr id="26104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823E4E" w:rsidRPr="001961B1" w14:paraId="03E3B1A9" w14:textId="77777777" w:rsidTr="00770E5B">
        <w:trPr>
          <w:cantSplit/>
        </w:trPr>
        <w:tc>
          <w:tcPr>
            <w:tcW w:w="3417" w:type="dxa"/>
            <w:shd w:val="clear" w:color="auto" w:fill="auto"/>
          </w:tcPr>
          <w:p w14:paraId="379C3695" w14:textId="61D6CC12" w:rsidR="003D1648" w:rsidRPr="001961B1" w:rsidRDefault="003D1648" w:rsidP="00D203EE">
            <w:pPr>
              <w:textAlignment w:val="baseline"/>
              <w:rPr>
                <w:rFonts w:asciiTheme="minorHAnsi" w:hAnsiTheme="minorHAnsi" w:cstheme="minorHAnsi"/>
                <w:sz w:val="22"/>
                <w:szCs w:val="22"/>
                <w:lang w:val="fr-FR"/>
              </w:rPr>
            </w:pPr>
            <w:r w:rsidRPr="001961B1">
              <w:rPr>
                <w:rFonts w:asciiTheme="minorHAnsi" w:hAnsiTheme="minorHAnsi" w:cstheme="minorHAnsi"/>
                <w:sz w:val="22"/>
                <w:szCs w:val="22"/>
                <w:lang w:val="fr-FR"/>
              </w:rPr>
              <w:t>N</w:t>
            </w:r>
            <w:r w:rsidR="0025010B" w:rsidRPr="001961B1">
              <w:rPr>
                <w:rFonts w:asciiTheme="minorHAnsi" w:hAnsiTheme="minorHAnsi" w:cstheme="minorHAnsi"/>
                <w:sz w:val="22"/>
                <w:szCs w:val="22"/>
                <w:lang w:val="fr-FR"/>
              </w:rPr>
              <w:t>ombre de liens vers les réseaux sociaux sur la Journée mondiale des zones humides.</w:t>
            </w:r>
          </w:p>
          <w:p w14:paraId="0CFBA17A" w14:textId="59C8D4E3" w:rsidR="00823E4E" w:rsidRPr="001961B1" w:rsidRDefault="00F16ECF" w:rsidP="00770E5B">
            <w:pPr>
              <w:textAlignment w:val="baseline"/>
              <w:rPr>
                <w:rFonts w:asciiTheme="minorHAnsi" w:eastAsia="Aptos" w:hAnsiTheme="minorHAnsi" w:cstheme="minorHAnsi"/>
                <w:sz w:val="22"/>
                <w:szCs w:val="22"/>
                <w:lang w:val="fr-FR"/>
              </w:rPr>
            </w:pPr>
            <w:r w:rsidRPr="001961B1">
              <w:rPr>
                <w:rFonts w:asciiTheme="minorHAnsi" w:hAnsiTheme="minorHAnsi" w:cstheme="minorHAnsi"/>
                <w:sz w:val="22"/>
                <w:szCs w:val="22"/>
                <w:lang w:val="fr-FR"/>
              </w:rPr>
              <w:t>[</w:t>
            </w:r>
            <w:r w:rsidR="0025010B" w:rsidRPr="001961B1">
              <w:rPr>
                <w:rFonts w:asciiTheme="minorHAnsi" w:hAnsiTheme="minorHAnsi" w:cstheme="minorHAnsi"/>
                <w:sz w:val="22"/>
                <w:szCs w:val="22"/>
                <w:lang w:val="fr-FR"/>
              </w:rPr>
              <w:t xml:space="preserve">Les </w:t>
            </w:r>
            <w:r w:rsidR="00DB2098" w:rsidRPr="001961B1">
              <w:rPr>
                <w:rFonts w:asciiTheme="minorHAnsi" w:hAnsiTheme="minorHAnsi" w:cstheme="minorHAnsi"/>
                <w:sz w:val="22"/>
                <w:szCs w:val="22"/>
                <w:lang w:val="fr-FR"/>
              </w:rPr>
              <w:t>d</w:t>
            </w:r>
            <w:r w:rsidR="0025010B" w:rsidRPr="001961B1">
              <w:rPr>
                <w:rFonts w:asciiTheme="minorHAnsi" w:hAnsiTheme="minorHAnsi" w:cstheme="minorHAnsi"/>
                <w:sz w:val="22"/>
                <w:szCs w:val="22"/>
                <w:lang w:val="fr-FR"/>
              </w:rPr>
              <w:t xml:space="preserve">onnées présentées concernent les liens vers les réseaux sociaux consultés </w:t>
            </w:r>
            <w:r w:rsidR="00D203EE" w:rsidRPr="001961B1">
              <w:rPr>
                <w:rFonts w:asciiTheme="minorHAnsi" w:hAnsiTheme="minorHAnsi" w:cstheme="minorHAnsi"/>
                <w:sz w:val="22"/>
                <w:szCs w:val="22"/>
                <w:lang w:val="fr-FR"/>
              </w:rPr>
              <w:t>(Facebook, Twitter</w:t>
            </w:r>
            <w:r w:rsidR="00DB2098" w:rsidRPr="001961B1">
              <w:rPr>
                <w:rFonts w:asciiTheme="minorHAnsi" w:hAnsiTheme="minorHAnsi" w:cstheme="minorHAnsi"/>
                <w:sz w:val="22"/>
                <w:szCs w:val="22"/>
                <w:lang w:val="fr-FR"/>
              </w:rPr>
              <w:t>/X</w:t>
            </w:r>
            <w:r w:rsidR="00D203EE" w:rsidRPr="001961B1">
              <w:rPr>
                <w:rFonts w:asciiTheme="minorHAnsi" w:hAnsiTheme="minorHAnsi" w:cstheme="minorHAnsi"/>
                <w:sz w:val="22"/>
                <w:szCs w:val="22"/>
                <w:lang w:val="fr-FR"/>
              </w:rPr>
              <w:t xml:space="preserve">, Instagram </w:t>
            </w:r>
            <w:r w:rsidR="0025010B" w:rsidRPr="001961B1">
              <w:rPr>
                <w:rFonts w:asciiTheme="minorHAnsi" w:hAnsiTheme="minorHAnsi" w:cstheme="minorHAnsi"/>
                <w:sz w:val="22"/>
                <w:szCs w:val="22"/>
                <w:lang w:val="fr-FR"/>
              </w:rPr>
              <w:t>et</w:t>
            </w:r>
            <w:r w:rsidR="00D203EE" w:rsidRPr="001961B1">
              <w:rPr>
                <w:rFonts w:asciiTheme="minorHAnsi" w:hAnsiTheme="minorHAnsi" w:cstheme="minorHAnsi"/>
                <w:sz w:val="22"/>
                <w:szCs w:val="22"/>
                <w:lang w:val="fr-FR"/>
              </w:rPr>
              <w:t xml:space="preserve"> YouTube)</w:t>
            </w:r>
            <w:r w:rsidR="00DB2098" w:rsidRPr="001961B1">
              <w:rPr>
                <w:rFonts w:asciiTheme="minorHAnsi" w:hAnsiTheme="minorHAnsi" w:cstheme="minorHAnsi"/>
                <w:sz w:val="22"/>
                <w:szCs w:val="22"/>
                <w:lang w:val="fr-FR"/>
              </w:rPr>
              <w:t xml:space="preserve"> </w:t>
            </w:r>
            <w:r w:rsidR="009E2587" w:rsidRPr="001961B1">
              <w:rPr>
                <w:rFonts w:asciiTheme="minorHAnsi" w:hAnsiTheme="minorHAnsi" w:cstheme="minorHAnsi"/>
                <w:sz w:val="22"/>
                <w:szCs w:val="22"/>
                <w:lang w:val="fr-FR"/>
              </w:rPr>
              <w:t>d’après</w:t>
            </w:r>
            <w:r w:rsidR="0025010B" w:rsidRPr="001961B1">
              <w:rPr>
                <w:rFonts w:asciiTheme="minorHAnsi" w:hAnsiTheme="minorHAnsi" w:cstheme="minorHAnsi"/>
                <w:sz w:val="22"/>
                <w:szCs w:val="22"/>
                <w:lang w:val="fr-FR"/>
              </w:rPr>
              <w:t xml:space="preserve"> </w:t>
            </w:r>
            <w:r w:rsidR="00D203EE" w:rsidRPr="001961B1">
              <w:rPr>
                <w:rFonts w:asciiTheme="minorHAnsi" w:hAnsiTheme="minorHAnsi" w:cstheme="minorHAnsi"/>
                <w:i/>
                <w:iCs/>
                <w:sz w:val="22"/>
                <w:szCs w:val="22"/>
                <w:lang w:val="fr-FR"/>
              </w:rPr>
              <w:t>Meltwater</w:t>
            </w:r>
            <w:r w:rsidR="00D84DC8" w:rsidRPr="001961B1">
              <w:rPr>
                <w:rFonts w:asciiTheme="minorHAnsi" w:hAnsiTheme="minorHAnsi" w:cstheme="minorHAnsi"/>
                <w:sz w:val="22"/>
                <w:szCs w:val="22"/>
                <w:lang w:val="fr-FR"/>
              </w:rPr>
              <w:t>]</w:t>
            </w:r>
          </w:p>
        </w:tc>
        <w:tc>
          <w:tcPr>
            <w:tcW w:w="0" w:type="auto"/>
            <w:shd w:val="clear" w:color="auto" w:fill="auto"/>
          </w:tcPr>
          <w:p w14:paraId="2C6E6C36" w14:textId="5C8FB302" w:rsidR="00823E4E" w:rsidRPr="001961B1" w:rsidRDefault="00E54763"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sz w:val="22"/>
                <w:szCs w:val="22"/>
                <w:lang w:val="fr-FR"/>
              </w:rPr>
              <w:t>496 million</w:t>
            </w:r>
            <w:r w:rsidR="00C93951" w:rsidRPr="001961B1">
              <w:rPr>
                <w:rFonts w:asciiTheme="minorHAnsi" w:eastAsia="Aptos" w:hAnsiTheme="minorHAnsi" w:cstheme="minorHAnsi"/>
                <w:sz w:val="22"/>
                <w:szCs w:val="22"/>
                <w:lang w:val="fr-FR"/>
              </w:rPr>
              <w:t>s</w:t>
            </w:r>
            <w:r w:rsidR="000F7182" w:rsidRPr="001961B1">
              <w:rPr>
                <w:rFonts w:asciiTheme="minorHAnsi" w:eastAsia="Aptos" w:hAnsiTheme="minorHAnsi" w:cstheme="minorHAnsi"/>
                <w:sz w:val="22"/>
                <w:szCs w:val="22"/>
                <w:lang w:val="fr-FR"/>
              </w:rPr>
              <w:t>*</w:t>
            </w:r>
          </w:p>
        </w:tc>
        <w:tc>
          <w:tcPr>
            <w:tcW w:w="0" w:type="auto"/>
            <w:shd w:val="clear" w:color="auto" w:fill="auto"/>
          </w:tcPr>
          <w:p w14:paraId="233A1183" w14:textId="71BF8CC2" w:rsidR="00823E4E" w:rsidRPr="001961B1" w:rsidRDefault="000F7182"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w:t>
            </w:r>
          </w:p>
        </w:tc>
        <w:tc>
          <w:tcPr>
            <w:tcW w:w="0" w:type="auto"/>
            <w:shd w:val="clear" w:color="auto" w:fill="auto"/>
          </w:tcPr>
          <w:p w14:paraId="05BE836B" w14:textId="2F7BA805" w:rsidR="00823E4E" w:rsidRPr="001961B1" w:rsidRDefault="00550FCA"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3</w:t>
            </w:r>
            <w:r w:rsidR="00C93951" w:rsidRPr="001961B1">
              <w:rPr>
                <w:rFonts w:asciiTheme="minorHAnsi" w:eastAsia="Aptos" w:hAnsiTheme="minorHAnsi" w:cstheme="minorHAnsi"/>
                <w:b/>
                <w:bCs/>
                <w:sz w:val="22"/>
                <w:szCs w:val="22"/>
                <w:lang w:val="fr-FR"/>
              </w:rPr>
              <w:t>,</w:t>
            </w:r>
            <w:r w:rsidRPr="001961B1">
              <w:rPr>
                <w:rFonts w:asciiTheme="minorHAnsi" w:eastAsia="Aptos" w:hAnsiTheme="minorHAnsi" w:cstheme="minorHAnsi"/>
                <w:b/>
                <w:bCs/>
                <w:sz w:val="22"/>
                <w:szCs w:val="22"/>
                <w:lang w:val="fr-FR"/>
              </w:rPr>
              <w:t xml:space="preserve">5 </w:t>
            </w:r>
            <w:r w:rsidR="00C93951" w:rsidRPr="001961B1">
              <w:rPr>
                <w:rFonts w:asciiTheme="minorHAnsi" w:eastAsia="Aptos" w:hAnsiTheme="minorHAnsi" w:cstheme="minorHAnsi"/>
                <w:b/>
                <w:bCs/>
                <w:sz w:val="22"/>
                <w:szCs w:val="22"/>
                <w:lang w:val="fr-FR"/>
              </w:rPr>
              <w:t>milliards</w:t>
            </w:r>
          </w:p>
        </w:tc>
        <w:tc>
          <w:tcPr>
            <w:tcW w:w="0" w:type="auto"/>
            <w:shd w:val="clear" w:color="auto" w:fill="auto"/>
          </w:tcPr>
          <w:p w14:paraId="78C45584" w14:textId="058F0199" w:rsidR="00823E4E" w:rsidRPr="001961B1" w:rsidRDefault="00597226" w:rsidP="00567061">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6</w:t>
            </w:r>
            <w:r w:rsidR="00C93951" w:rsidRPr="001961B1">
              <w:rPr>
                <w:rFonts w:asciiTheme="minorHAnsi" w:eastAsia="Aptos" w:hAnsiTheme="minorHAnsi" w:cstheme="minorHAnsi"/>
                <w:b/>
                <w:bCs/>
                <w:sz w:val="22"/>
                <w:szCs w:val="22"/>
                <w:lang w:val="fr-FR"/>
              </w:rPr>
              <w:t>,</w:t>
            </w:r>
            <w:r w:rsidRPr="001961B1">
              <w:rPr>
                <w:rFonts w:asciiTheme="minorHAnsi" w:eastAsia="Aptos" w:hAnsiTheme="minorHAnsi" w:cstheme="minorHAnsi"/>
                <w:b/>
                <w:bCs/>
                <w:sz w:val="22"/>
                <w:szCs w:val="22"/>
                <w:lang w:val="fr-FR"/>
              </w:rPr>
              <w:t xml:space="preserve">72 </w:t>
            </w:r>
            <w:r w:rsidR="00C93951" w:rsidRPr="001961B1">
              <w:rPr>
                <w:rFonts w:asciiTheme="minorHAnsi" w:eastAsia="Aptos" w:hAnsiTheme="minorHAnsi" w:cstheme="minorHAnsi"/>
                <w:b/>
                <w:bCs/>
                <w:sz w:val="22"/>
                <w:szCs w:val="22"/>
                <w:lang w:val="fr-FR"/>
              </w:rPr>
              <w:t>milliards</w:t>
            </w:r>
          </w:p>
        </w:tc>
        <w:tc>
          <w:tcPr>
            <w:tcW w:w="0" w:type="auto"/>
            <w:shd w:val="clear" w:color="auto" w:fill="auto"/>
          </w:tcPr>
          <w:p w14:paraId="1F11AB41" w14:textId="2D3D6516" w:rsidR="00823E4E" w:rsidRPr="001961B1" w:rsidRDefault="00A76BCC" w:rsidP="00567061">
            <w:pPr>
              <w:rPr>
                <w:rFonts w:asciiTheme="minorHAnsi" w:hAnsiTheme="minorHAnsi" w:cstheme="minorHAnsi"/>
                <w:noProof/>
                <w:sz w:val="22"/>
                <w:szCs w:val="22"/>
                <w:lang w:val="fr-FR"/>
              </w:rPr>
            </w:pPr>
            <w:r w:rsidRPr="001961B1">
              <w:rPr>
                <w:rFonts w:asciiTheme="minorHAnsi" w:hAnsiTheme="minorHAnsi" w:cstheme="minorHAnsi"/>
                <w:noProof/>
                <w:sz w:val="22"/>
                <w:szCs w:val="22"/>
                <w:lang w:val="fr-FR" w:eastAsia="en-CA"/>
              </w:rPr>
              <w:drawing>
                <wp:inline distT="0" distB="0" distL="0" distR="0" wp14:anchorId="778263C0" wp14:editId="0D12A8AA">
                  <wp:extent cx="568800" cy="432000"/>
                  <wp:effectExtent l="0" t="0" r="0" b="0"/>
                  <wp:docPr id="1337483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800" cy="432000"/>
                          </a:xfrm>
                          <a:prstGeom prst="rect">
                            <a:avLst/>
                          </a:prstGeom>
                          <a:noFill/>
                          <a:ln>
                            <a:noFill/>
                          </a:ln>
                        </pic:spPr>
                      </pic:pic>
                    </a:graphicData>
                  </a:graphic>
                </wp:inline>
              </w:drawing>
            </w:r>
          </w:p>
        </w:tc>
      </w:tr>
    </w:tbl>
    <w:bookmarkEnd w:id="8"/>
    <w:p w14:paraId="119C0674" w14:textId="1EBEC33F" w:rsidR="00266990" w:rsidRPr="001961B1" w:rsidRDefault="00266990" w:rsidP="006C3109">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F86F76" w:rsidRPr="001961B1">
        <w:rPr>
          <w:rFonts w:asciiTheme="minorHAnsi" w:hAnsiTheme="minorHAnsi" w:cstheme="minorHAnsi"/>
          <w:sz w:val="22"/>
          <w:szCs w:val="22"/>
          <w:lang w:val="fr-FR"/>
        </w:rPr>
        <w:t xml:space="preserve"> </w:t>
      </w:r>
      <w:r w:rsidR="00B54A6A" w:rsidRPr="001961B1">
        <w:rPr>
          <w:rFonts w:asciiTheme="minorHAnsi" w:hAnsiTheme="minorHAnsi" w:cstheme="minorHAnsi"/>
          <w:sz w:val="22"/>
          <w:szCs w:val="22"/>
          <w:lang w:val="fr-FR"/>
        </w:rPr>
        <w:t xml:space="preserve">La méthode visant à suivre les liens vers les réseaux sociaux a changé en 2019. Les données sont présentées pour la COP14 et la COP15 par rapport à la référence de 2019 à l’aide de </w:t>
      </w:r>
      <w:r w:rsidR="007A08F6" w:rsidRPr="001961B1">
        <w:rPr>
          <w:rFonts w:asciiTheme="minorHAnsi" w:hAnsiTheme="minorHAnsi" w:cstheme="minorHAnsi"/>
          <w:i/>
          <w:iCs/>
          <w:sz w:val="22"/>
          <w:szCs w:val="22"/>
          <w:lang w:val="fr-FR"/>
        </w:rPr>
        <w:t>Meltwater</w:t>
      </w:r>
      <w:r w:rsidR="007A08F6" w:rsidRPr="001961B1">
        <w:rPr>
          <w:rFonts w:asciiTheme="minorHAnsi" w:hAnsiTheme="minorHAnsi" w:cstheme="minorHAnsi"/>
          <w:sz w:val="22"/>
          <w:szCs w:val="22"/>
          <w:lang w:val="fr-FR"/>
        </w:rPr>
        <w:t xml:space="preserve">. </w:t>
      </w:r>
    </w:p>
    <w:p w14:paraId="615A6658" w14:textId="2437C885" w:rsidR="006C3109" w:rsidRPr="001961B1" w:rsidRDefault="00C32CF1" w:rsidP="006C3109">
      <w:pPr>
        <w:rPr>
          <w:rFonts w:asciiTheme="minorHAnsi" w:hAnsiTheme="minorHAnsi" w:cstheme="minorHAnsi"/>
          <w:sz w:val="22"/>
          <w:szCs w:val="22"/>
          <w:lang w:val="fr-FR"/>
        </w:rPr>
      </w:pPr>
      <w:r w:rsidRPr="001961B1">
        <w:rPr>
          <w:rFonts w:asciiTheme="minorHAnsi" w:hAnsiTheme="minorHAnsi" w:cstheme="minorHAnsi"/>
          <w:sz w:val="22"/>
          <w:szCs w:val="22"/>
          <w:lang w:val="fr-FR"/>
        </w:rPr>
        <w:t>Note</w:t>
      </w:r>
      <w:r w:rsidR="007F1229" w:rsidRPr="001961B1">
        <w:rPr>
          <w:rFonts w:asciiTheme="minorHAnsi" w:hAnsiTheme="minorHAnsi" w:cstheme="minorHAnsi"/>
          <w:sz w:val="22"/>
          <w:szCs w:val="22"/>
          <w:lang w:val="fr-FR"/>
        </w:rPr>
        <w:t> </w:t>
      </w:r>
      <w:r w:rsidRPr="001961B1">
        <w:rPr>
          <w:rFonts w:asciiTheme="minorHAnsi" w:hAnsiTheme="minorHAnsi" w:cstheme="minorHAnsi"/>
          <w:sz w:val="22"/>
          <w:szCs w:val="22"/>
          <w:lang w:val="fr-FR"/>
        </w:rPr>
        <w:t>:</w:t>
      </w:r>
      <w:r w:rsidRPr="001961B1">
        <w:rPr>
          <w:rFonts w:asciiTheme="minorHAnsi" w:hAnsiTheme="minorHAnsi" w:cstheme="minorHAnsi"/>
          <w:b/>
          <w:bCs/>
          <w:sz w:val="22"/>
          <w:szCs w:val="22"/>
          <w:lang w:val="fr-FR"/>
        </w:rPr>
        <w:t xml:space="preserve"> </w:t>
      </w:r>
      <w:r w:rsidR="00642313" w:rsidRPr="001961B1">
        <w:rPr>
          <w:rFonts w:asciiTheme="minorHAnsi" w:hAnsiTheme="minorHAnsi" w:cstheme="minorHAnsi"/>
          <w:sz w:val="22"/>
          <w:szCs w:val="22"/>
          <w:lang w:val="fr-FR"/>
        </w:rPr>
        <w:t>Il n’y a pas de</w:t>
      </w:r>
      <w:r w:rsidR="00642313" w:rsidRPr="001961B1">
        <w:rPr>
          <w:rFonts w:asciiTheme="minorHAnsi" w:hAnsiTheme="minorHAnsi" w:cstheme="minorHAnsi"/>
          <w:b/>
          <w:bCs/>
          <w:sz w:val="22"/>
          <w:szCs w:val="22"/>
          <w:lang w:val="fr-FR"/>
        </w:rPr>
        <w:t xml:space="preserve"> </w:t>
      </w:r>
      <w:r w:rsidR="007F1229" w:rsidRPr="001961B1">
        <w:rPr>
          <w:rFonts w:asciiTheme="minorHAnsi" w:hAnsiTheme="minorHAnsi" w:cstheme="minorHAnsi"/>
          <w:sz w:val="22"/>
          <w:szCs w:val="22"/>
          <w:lang w:val="fr-FR"/>
        </w:rPr>
        <w:t xml:space="preserve">données cohérentes disponibles pour deux indicateurs </w:t>
      </w:r>
      <w:r w:rsidR="00642313" w:rsidRPr="001961B1">
        <w:rPr>
          <w:rFonts w:asciiTheme="minorHAnsi" w:hAnsiTheme="minorHAnsi" w:cstheme="minorHAnsi"/>
          <w:sz w:val="22"/>
          <w:szCs w:val="22"/>
          <w:lang w:val="fr-FR"/>
        </w:rPr>
        <w:t>du</w:t>
      </w:r>
      <w:r w:rsidR="007F1229" w:rsidRPr="001961B1">
        <w:rPr>
          <w:rFonts w:asciiTheme="minorHAnsi" w:hAnsiTheme="minorHAnsi" w:cstheme="minorHAnsi"/>
          <w:sz w:val="22"/>
          <w:szCs w:val="22"/>
          <w:lang w:val="fr-FR"/>
        </w:rPr>
        <w:t xml:space="preserve"> PS4 ; « Nombre de références internet aux activités de la Journée mondiale des zones humides » et « Nombre de références internet à la Convention de Ramsar ». </w:t>
      </w:r>
    </w:p>
    <w:p w14:paraId="50513641" w14:textId="77777777" w:rsidR="00F20EE6" w:rsidRPr="001961B1" w:rsidRDefault="00F20EE6" w:rsidP="00CD3F6B">
      <w:pPr>
        <w:rPr>
          <w:rFonts w:asciiTheme="minorHAnsi" w:hAnsiTheme="minorHAnsi" w:cstheme="minorHAnsi"/>
          <w:b/>
          <w:sz w:val="22"/>
          <w:szCs w:val="22"/>
          <w:lang w:val="fr-FR"/>
        </w:rPr>
      </w:pPr>
    </w:p>
    <w:p w14:paraId="4F8CD88C" w14:textId="69177652" w:rsidR="00811F0F"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lastRenderedPageBreak/>
        <w:t>Résumé des progrès</w:t>
      </w:r>
      <w:r w:rsidR="00BB616A" w:rsidRPr="001961B1">
        <w:rPr>
          <w:rFonts w:asciiTheme="minorHAnsi" w:hAnsiTheme="minorHAnsi" w:cstheme="minorHAnsi"/>
          <w:i/>
          <w:iCs/>
          <w:sz w:val="22"/>
          <w:szCs w:val="22"/>
          <w:u w:val="single"/>
          <w:lang w:val="fr-FR"/>
        </w:rPr>
        <w:t xml:space="preserve"> </w:t>
      </w:r>
    </w:p>
    <w:p w14:paraId="0B76D96D" w14:textId="77777777" w:rsidR="00FF5E09" w:rsidRPr="001961B1" w:rsidRDefault="00FF5E09" w:rsidP="000D551C">
      <w:pPr>
        <w:keepNext/>
        <w:rPr>
          <w:rFonts w:asciiTheme="minorHAnsi" w:hAnsiTheme="minorHAnsi" w:cstheme="minorHAnsi"/>
          <w:sz w:val="22"/>
          <w:szCs w:val="22"/>
          <w:lang w:val="fr-FR" w:eastAsia="fr-FR"/>
        </w:rPr>
      </w:pPr>
    </w:p>
    <w:p w14:paraId="1EAD01E7" w14:textId="29E2D9D3" w:rsidR="004D0B6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7</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404F57" w:rsidRPr="001961B1">
        <w:rPr>
          <w:rFonts w:asciiTheme="minorHAnsi" w:hAnsiTheme="minorHAnsi" w:cstheme="minorHAnsi"/>
          <w:sz w:val="22"/>
          <w:szCs w:val="22"/>
          <w:lang w:val="fr-FR" w:eastAsia="fr-FR"/>
        </w:rPr>
        <w:t>La Journée mondiale des zones humides (JMZ)</w:t>
      </w:r>
      <w:r w:rsidR="00FE0DAC" w:rsidRPr="001961B1">
        <w:rPr>
          <w:rFonts w:asciiTheme="minorHAnsi" w:hAnsiTheme="minorHAnsi" w:cstheme="minorHAnsi"/>
          <w:sz w:val="22"/>
          <w:szCs w:val="22"/>
          <w:lang w:val="fr-FR" w:eastAsia="fr-FR"/>
        </w:rPr>
        <w:t>,</w:t>
      </w:r>
      <w:r w:rsidR="00404F57" w:rsidRPr="001961B1">
        <w:rPr>
          <w:rFonts w:asciiTheme="minorHAnsi" w:hAnsiTheme="minorHAnsi" w:cstheme="minorHAnsi"/>
          <w:sz w:val="22"/>
          <w:szCs w:val="22"/>
          <w:lang w:val="fr-FR" w:eastAsia="fr-FR"/>
        </w:rPr>
        <w:t xml:space="preserve"> </w:t>
      </w:r>
      <w:r w:rsidR="00FE0DAC" w:rsidRPr="001961B1">
        <w:rPr>
          <w:rFonts w:asciiTheme="minorHAnsi" w:hAnsiTheme="minorHAnsi" w:cstheme="minorHAnsi"/>
          <w:sz w:val="22"/>
          <w:szCs w:val="22"/>
          <w:lang w:val="fr-FR" w:eastAsia="fr-FR"/>
        </w:rPr>
        <w:t xml:space="preserve">qui est un moyen essentiel de sensibiliser aux zones humides au niveau national, </w:t>
      </w:r>
      <w:r w:rsidR="00404F57" w:rsidRPr="001961B1">
        <w:rPr>
          <w:rFonts w:asciiTheme="minorHAnsi" w:hAnsiTheme="minorHAnsi" w:cstheme="minorHAnsi"/>
          <w:sz w:val="22"/>
          <w:szCs w:val="22"/>
          <w:lang w:val="fr-FR" w:eastAsia="fr-FR"/>
        </w:rPr>
        <w:t xml:space="preserve">continue d’être largement célébrée par près de 90 % des Parties contractantes. Toutefois, toutes les Parties contractantes n’enregistrent pas leurs activités de JMZ sur le site </w:t>
      </w:r>
      <w:r w:rsidR="00FE0DAC" w:rsidRPr="001961B1">
        <w:rPr>
          <w:rFonts w:asciiTheme="minorHAnsi" w:hAnsiTheme="minorHAnsi" w:cstheme="minorHAnsi"/>
          <w:sz w:val="22"/>
          <w:szCs w:val="22"/>
          <w:lang w:val="fr-FR" w:eastAsia="fr-FR"/>
        </w:rPr>
        <w:t>W</w:t>
      </w:r>
      <w:r w:rsidR="00404F57" w:rsidRPr="001961B1">
        <w:rPr>
          <w:rFonts w:asciiTheme="minorHAnsi" w:hAnsiTheme="minorHAnsi" w:cstheme="minorHAnsi"/>
          <w:sz w:val="22"/>
          <w:szCs w:val="22"/>
          <w:lang w:val="fr-FR" w:eastAsia="fr-FR"/>
        </w:rPr>
        <w:t xml:space="preserve">eb de la JMZ. La mise en œuvre de la campagne </w:t>
      </w:r>
      <w:r w:rsidR="00642313" w:rsidRPr="001961B1">
        <w:rPr>
          <w:rFonts w:asciiTheme="minorHAnsi" w:hAnsiTheme="minorHAnsi" w:cstheme="minorHAnsi"/>
          <w:sz w:val="22"/>
          <w:szCs w:val="22"/>
          <w:lang w:val="fr-FR" w:eastAsia="fr-FR"/>
        </w:rPr>
        <w:t>de la</w:t>
      </w:r>
      <w:r w:rsidR="00404F57" w:rsidRPr="001961B1">
        <w:rPr>
          <w:rFonts w:asciiTheme="minorHAnsi" w:hAnsiTheme="minorHAnsi" w:cstheme="minorHAnsi"/>
          <w:sz w:val="22"/>
          <w:szCs w:val="22"/>
          <w:lang w:val="fr-FR" w:eastAsia="fr-FR"/>
        </w:rPr>
        <w:t xml:space="preserve"> JMZ sur les plateformes de réseaux sociaux a obtenu des résultats très positifs, atteignant 3,5 milliards d’utilisateurs potentiels en 2022, 3,13 milliards en 2023 et 2,5 milliards en 20</w:t>
      </w:r>
      <w:r w:rsidR="006F5735" w:rsidRPr="001961B1">
        <w:rPr>
          <w:rFonts w:asciiTheme="minorHAnsi" w:hAnsiTheme="minorHAnsi" w:cstheme="minorHAnsi"/>
          <w:sz w:val="22"/>
          <w:szCs w:val="22"/>
          <w:lang w:val="fr-FR" w:eastAsia="fr-FR"/>
        </w:rPr>
        <w:t xml:space="preserve">24. </w:t>
      </w:r>
      <w:r w:rsidR="00A0217C" w:rsidRPr="001961B1">
        <w:rPr>
          <w:rFonts w:asciiTheme="minorHAnsi" w:hAnsiTheme="minorHAnsi" w:cstheme="minorHAnsi"/>
          <w:sz w:val="22"/>
          <w:szCs w:val="22"/>
          <w:lang w:val="fr-FR" w:eastAsia="fr-FR"/>
        </w:rPr>
        <w:t xml:space="preserve">En 2025, </w:t>
      </w:r>
      <w:r w:rsidR="00474B52" w:rsidRPr="001961B1">
        <w:rPr>
          <w:rFonts w:asciiTheme="minorHAnsi" w:hAnsiTheme="minorHAnsi" w:cstheme="minorHAnsi"/>
          <w:sz w:val="22"/>
          <w:szCs w:val="22"/>
          <w:lang w:val="fr-FR" w:eastAsia="fr-FR"/>
        </w:rPr>
        <w:t xml:space="preserve">ce chiffre a </w:t>
      </w:r>
      <w:r w:rsidR="00FE0DAC" w:rsidRPr="001961B1">
        <w:rPr>
          <w:rFonts w:asciiTheme="minorHAnsi" w:hAnsiTheme="minorHAnsi" w:cstheme="minorHAnsi"/>
          <w:sz w:val="22"/>
          <w:szCs w:val="22"/>
          <w:lang w:val="fr-FR" w:eastAsia="fr-FR"/>
        </w:rPr>
        <w:t>bondi jusqu’</w:t>
      </w:r>
      <w:r w:rsidR="00474B52" w:rsidRPr="001961B1">
        <w:rPr>
          <w:rFonts w:asciiTheme="minorHAnsi" w:hAnsiTheme="minorHAnsi" w:cstheme="minorHAnsi"/>
          <w:sz w:val="22"/>
          <w:szCs w:val="22"/>
          <w:lang w:val="fr-FR" w:eastAsia="fr-FR"/>
        </w:rPr>
        <w:t xml:space="preserve">à 6,72 milliards, élargissant considérablement la portée de la campagne et l’engagement. Le 2 février 2025, la JMZ a également été annoncée sur des plateformes telles que X et </w:t>
      </w:r>
      <w:r w:rsidR="004D0B62" w:rsidRPr="001961B1">
        <w:rPr>
          <w:rFonts w:asciiTheme="minorHAnsi" w:hAnsiTheme="minorHAnsi" w:cstheme="minorHAnsi"/>
          <w:sz w:val="22"/>
          <w:szCs w:val="22"/>
          <w:lang w:val="fr-FR" w:eastAsia="fr-FR"/>
        </w:rPr>
        <w:t>Instagram</w:t>
      </w:r>
      <w:r w:rsidR="00474B52" w:rsidRPr="001961B1">
        <w:rPr>
          <w:rFonts w:asciiTheme="minorHAnsi" w:hAnsiTheme="minorHAnsi" w:cstheme="minorHAnsi"/>
          <w:sz w:val="22"/>
          <w:szCs w:val="22"/>
          <w:lang w:val="fr-FR" w:eastAsia="fr-FR"/>
        </w:rPr>
        <w:t xml:space="preserve"> pour augmenter sa visibilité.</w:t>
      </w:r>
    </w:p>
    <w:p w14:paraId="2949247F" w14:textId="77777777" w:rsidR="002B7E51" w:rsidRPr="001961B1" w:rsidRDefault="002B7E51" w:rsidP="00257025">
      <w:pPr>
        <w:ind w:left="567" w:hanging="567"/>
        <w:rPr>
          <w:rFonts w:asciiTheme="minorHAnsi" w:hAnsiTheme="minorHAnsi" w:cstheme="minorHAnsi"/>
          <w:sz w:val="22"/>
          <w:szCs w:val="22"/>
          <w:lang w:val="fr-FR" w:eastAsia="fr-FR"/>
        </w:rPr>
      </w:pPr>
    </w:p>
    <w:p w14:paraId="34F6DEFE" w14:textId="41A1E558" w:rsidR="00F07DF8"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9</w:t>
      </w:r>
      <w:r w:rsidR="002E1E29" w:rsidRPr="001961B1">
        <w:rPr>
          <w:rFonts w:asciiTheme="minorHAnsi" w:hAnsiTheme="minorHAnsi" w:cstheme="minorHAnsi"/>
          <w:sz w:val="22"/>
          <w:szCs w:val="22"/>
          <w:lang w:val="fr-FR" w:eastAsia="fr-FR"/>
        </w:rPr>
        <w:t>8</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474B52" w:rsidRPr="001961B1">
        <w:rPr>
          <w:rFonts w:asciiTheme="minorHAnsi" w:hAnsiTheme="minorHAnsi" w:cstheme="minorHAnsi"/>
          <w:sz w:val="22"/>
          <w:szCs w:val="22"/>
          <w:lang w:val="fr-FR" w:eastAsia="fr-FR"/>
        </w:rPr>
        <w:t xml:space="preserve">La vaste majorité des Parties contractantes participent </w:t>
      </w:r>
      <w:r w:rsidR="00FE0DAC" w:rsidRPr="001961B1">
        <w:rPr>
          <w:rFonts w:asciiTheme="minorHAnsi" w:hAnsiTheme="minorHAnsi" w:cstheme="minorHAnsi"/>
          <w:sz w:val="22"/>
          <w:szCs w:val="22"/>
          <w:lang w:val="fr-FR" w:eastAsia="fr-FR"/>
        </w:rPr>
        <w:t>régulièrement</w:t>
      </w:r>
      <w:r w:rsidR="00474B52" w:rsidRPr="001961B1">
        <w:rPr>
          <w:rFonts w:asciiTheme="minorHAnsi" w:hAnsiTheme="minorHAnsi" w:cstheme="minorHAnsi"/>
          <w:sz w:val="22"/>
          <w:szCs w:val="22"/>
          <w:lang w:val="fr-FR" w:eastAsia="fr-FR"/>
        </w:rPr>
        <w:t xml:space="preserve"> à la JMZ, organisant des activités </w:t>
      </w:r>
      <w:r w:rsidR="00FE0DAC" w:rsidRPr="001961B1">
        <w:rPr>
          <w:rFonts w:asciiTheme="minorHAnsi" w:hAnsiTheme="minorHAnsi" w:cstheme="minorHAnsi"/>
          <w:sz w:val="22"/>
          <w:szCs w:val="22"/>
          <w:lang w:val="fr-FR" w:eastAsia="fr-FR"/>
        </w:rPr>
        <w:t>sponsorisées</w:t>
      </w:r>
      <w:r w:rsidR="00474B52" w:rsidRPr="001961B1">
        <w:rPr>
          <w:rFonts w:asciiTheme="minorHAnsi" w:hAnsiTheme="minorHAnsi" w:cstheme="minorHAnsi"/>
          <w:sz w:val="22"/>
          <w:szCs w:val="22"/>
          <w:lang w:val="fr-FR" w:eastAsia="fr-FR"/>
        </w:rPr>
        <w:t xml:space="preserve"> et</w:t>
      </w:r>
      <w:r w:rsidR="00FE0DAC" w:rsidRPr="001961B1">
        <w:rPr>
          <w:rFonts w:asciiTheme="minorHAnsi" w:hAnsiTheme="minorHAnsi" w:cstheme="minorHAnsi"/>
          <w:sz w:val="22"/>
          <w:szCs w:val="22"/>
          <w:lang w:val="fr-FR" w:eastAsia="fr-FR"/>
        </w:rPr>
        <w:t xml:space="preserve"> </w:t>
      </w:r>
      <w:r w:rsidR="00474B52" w:rsidRPr="001961B1">
        <w:rPr>
          <w:rFonts w:asciiTheme="minorHAnsi" w:hAnsiTheme="minorHAnsi" w:cstheme="minorHAnsi"/>
          <w:sz w:val="22"/>
          <w:szCs w:val="22"/>
          <w:lang w:val="fr-FR" w:eastAsia="fr-FR"/>
        </w:rPr>
        <w:t xml:space="preserve">autres qui renforcent sa portée et son impact. </w:t>
      </w:r>
    </w:p>
    <w:p w14:paraId="28F7CB0F" w14:textId="77777777" w:rsidR="00F07DF8" w:rsidRPr="001961B1" w:rsidRDefault="00F07DF8" w:rsidP="00257025">
      <w:pPr>
        <w:ind w:left="567" w:hanging="567"/>
        <w:rPr>
          <w:rFonts w:asciiTheme="minorHAnsi" w:hAnsiTheme="minorHAnsi" w:cstheme="minorHAnsi"/>
          <w:sz w:val="22"/>
          <w:szCs w:val="22"/>
          <w:lang w:val="fr-FR" w:eastAsia="fr-FR"/>
        </w:rPr>
      </w:pPr>
    </w:p>
    <w:p w14:paraId="64602273" w14:textId="700C18F3" w:rsidR="002B7E51" w:rsidRPr="001961B1" w:rsidRDefault="00780A24"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 xml:space="preserve"> </w:t>
      </w:r>
      <w:r w:rsidR="00C32CF1" w:rsidRPr="001961B1">
        <w:rPr>
          <w:rFonts w:asciiTheme="minorHAnsi" w:hAnsiTheme="minorHAnsi" w:cstheme="minorHAnsi"/>
          <w:sz w:val="22"/>
          <w:szCs w:val="22"/>
          <w:lang w:val="fr-FR" w:eastAsia="fr-FR"/>
        </w:rPr>
        <w:t>99.</w:t>
      </w:r>
      <w:r w:rsidR="00DB458C" w:rsidRPr="001961B1">
        <w:rPr>
          <w:rFonts w:asciiTheme="minorHAnsi" w:hAnsiTheme="minorHAnsi" w:cstheme="minorHAnsi"/>
          <w:sz w:val="22"/>
          <w:szCs w:val="22"/>
          <w:lang w:val="fr-FR" w:eastAsia="fr-FR"/>
        </w:rPr>
        <w:tab/>
      </w:r>
      <w:r w:rsidR="00474B52" w:rsidRPr="001961B1">
        <w:rPr>
          <w:rFonts w:asciiTheme="minorHAnsi" w:hAnsiTheme="minorHAnsi" w:cstheme="minorHAnsi"/>
          <w:sz w:val="22"/>
          <w:szCs w:val="22"/>
          <w:lang w:val="fr-FR" w:eastAsia="fr-FR"/>
        </w:rPr>
        <w:t xml:space="preserve">La </w:t>
      </w:r>
      <w:r w:rsidR="00FE0DAC" w:rsidRPr="001961B1">
        <w:rPr>
          <w:rFonts w:asciiTheme="minorHAnsi" w:hAnsiTheme="minorHAnsi" w:cstheme="minorHAnsi"/>
          <w:sz w:val="22"/>
          <w:szCs w:val="22"/>
          <w:lang w:val="fr-FR" w:eastAsia="fr-FR"/>
        </w:rPr>
        <w:t>multiplication des</w:t>
      </w:r>
      <w:r w:rsidR="00474B52" w:rsidRPr="001961B1">
        <w:rPr>
          <w:rFonts w:asciiTheme="minorHAnsi" w:hAnsiTheme="minorHAnsi" w:cstheme="minorHAnsi"/>
          <w:sz w:val="22"/>
          <w:szCs w:val="22"/>
          <w:lang w:val="fr-FR" w:eastAsia="fr-FR"/>
        </w:rPr>
        <w:t xml:space="preserve"> centres pour les visiteurs et </w:t>
      </w:r>
      <w:r w:rsidR="00FE0DAC" w:rsidRPr="001961B1">
        <w:rPr>
          <w:rFonts w:asciiTheme="minorHAnsi" w:hAnsiTheme="minorHAnsi" w:cstheme="minorHAnsi"/>
          <w:sz w:val="22"/>
          <w:szCs w:val="22"/>
          <w:lang w:val="fr-FR" w:eastAsia="fr-FR"/>
        </w:rPr>
        <w:t>l</w:t>
      </w:r>
      <w:r w:rsidR="00474B52" w:rsidRPr="001961B1">
        <w:rPr>
          <w:rFonts w:asciiTheme="minorHAnsi" w:hAnsiTheme="minorHAnsi" w:cstheme="minorHAnsi"/>
          <w:sz w:val="22"/>
          <w:szCs w:val="22"/>
          <w:lang w:val="fr-FR" w:eastAsia="fr-FR"/>
        </w:rPr>
        <w:t xml:space="preserve">’éducation aux zones humides est </w:t>
      </w:r>
      <w:r w:rsidR="00FE0DAC" w:rsidRPr="001961B1">
        <w:rPr>
          <w:rFonts w:asciiTheme="minorHAnsi" w:hAnsiTheme="minorHAnsi" w:cstheme="minorHAnsi"/>
          <w:sz w:val="22"/>
          <w:szCs w:val="22"/>
          <w:lang w:val="fr-FR" w:eastAsia="fr-FR"/>
        </w:rPr>
        <w:t>solide</w:t>
      </w:r>
      <w:r w:rsidR="00474B52" w:rsidRPr="001961B1">
        <w:rPr>
          <w:rFonts w:asciiTheme="minorHAnsi" w:hAnsiTheme="minorHAnsi" w:cstheme="minorHAnsi"/>
          <w:sz w:val="22"/>
          <w:szCs w:val="22"/>
          <w:lang w:val="fr-FR" w:eastAsia="fr-FR"/>
        </w:rPr>
        <w:t xml:space="preserve"> dans les zones humides d’importance internationale ainsi que dans d’autres zones humides. Toutefois, les centres ont souvent des </w:t>
      </w:r>
      <w:r w:rsidR="00FE0DAC" w:rsidRPr="001961B1">
        <w:rPr>
          <w:rFonts w:asciiTheme="minorHAnsi" w:hAnsiTheme="minorHAnsi" w:cstheme="minorHAnsi"/>
          <w:sz w:val="22"/>
          <w:szCs w:val="22"/>
          <w:lang w:val="fr-FR" w:eastAsia="fr-FR"/>
        </w:rPr>
        <w:t>problèmes permanents au</w:t>
      </w:r>
      <w:r w:rsidR="00474B52" w:rsidRPr="001961B1">
        <w:rPr>
          <w:rFonts w:asciiTheme="minorHAnsi" w:hAnsiTheme="minorHAnsi" w:cstheme="minorHAnsi"/>
          <w:sz w:val="22"/>
          <w:szCs w:val="22"/>
          <w:lang w:val="fr-FR" w:eastAsia="fr-FR"/>
        </w:rPr>
        <w:t xml:space="preserve"> niveau de l’entretien et du fonctionnement. </w:t>
      </w:r>
    </w:p>
    <w:p w14:paraId="399145A8" w14:textId="77777777" w:rsidR="006E6CC3" w:rsidRPr="001961B1" w:rsidRDefault="006E6CC3" w:rsidP="00257025">
      <w:pPr>
        <w:ind w:left="567" w:hanging="567"/>
        <w:rPr>
          <w:rFonts w:asciiTheme="minorHAnsi" w:hAnsiTheme="minorHAnsi" w:cstheme="minorHAnsi"/>
          <w:sz w:val="22"/>
          <w:szCs w:val="22"/>
          <w:lang w:val="fr-FR" w:eastAsia="fr-FR"/>
        </w:rPr>
      </w:pPr>
    </w:p>
    <w:p w14:paraId="205D0EE2" w14:textId="1331D9CC" w:rsidR="00A33C59" w:rsidRPr="001961B1" w:rsidRDefault="00C32CF1"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100</w:t>
      </w:r>
      <w:r w:rsidR="000E3338" w:rsidRPr="001961B1">
        <w:rPr>
          <w:rFonts w:asciiTheme="minorHAnsi" w:hAnsiTheme="minorHAnsi" w:cstheme="minorHAnsi"/>
          <w:sz w:val="22"/>
          <w:szCs w:val="22"/>
          <w:lang w:val="fr-FR" w:eastAsia="fr-FR"/>
        </w:rPr>
        <w:t>.</w:t>
      </w:r>
      <w:r w:rsidR="000E3338" w:rsidRPr="001961B1">
        <w:rPr>
          <w:rFonts w:asciiTheme="minorHAnsi" w:hAnsiTheme="minorHAnsi" w:cstheme="minorHAnsi"/>
          <w:sz w:val="22"/>
          <w:szCs w:val="22"/>
          <w:lang w:val="fr-FR" w:eastAsia="fr-FR"/>
        </w:rPr>
        <w:tab/>
      </w:r>
      <w:r w:rsidR="00474B52" w:rsidRPr="001961B1">
        <w:rPr>
          <w:rFonts w:asciiTheme="minorHAnsi" w:hAnsiTheme="minorHAnsi" w:cstheme="minorHAnsi"/>
          <w:sz w:val="22"/>
          <w:szCs w:val="22"/>
          <w:lang w:val="fr-FR" w:eastAsia="fr-FR"/>
        </w:rPr>
        <w:t xml:space="preserve">Depuis la </w:t>
      </w:r>
      <w:r w:rsidR="00DE7708" w:rsidRPr="001961B1">
        <w:rPr>
          <w:rFonts w:asciiTheme="minorHAnsi" w:hAnsiTheme="minorHAnsi" w:cstheme="minorHAnsi"/>
          <w:sz w:val="22"/>
          <w:szCs w:val="22"/>
          <w:lang w:val="fr-FR" w:eastAsia="fr-FR"/>
        </w:rPr>
        <w:t xml:space="preserve">COP13, </w:t>
      </w:r>
      <w:r w:rsidR="003C1C3B" w:rsidRPr="001961B1">
        <w:rPr>
          <w:rFonts w:asciiTheme="minorHAnsi" w:hAnsiTheme="minorHAnsi" w:cstheme="minorHAnsi"/>
          <w:sz w:val="22"/>
          <w:szCs w:val="22"/>
          <w:lang w:val="fr-FR" w:eastAsia="fr-FR"/>
        </w:rPr>
        <w:t>la plupart des Parties contractantes ont des Correspondants CESP</w:t>
      </w:r>
      <w:r w:rsidR="00B32F9A" w:rsidRPr="001961B1">
        <w:rPr>
          <w:rFonts w:asciiTheme="minorHAnsi" w:hAnsiTheme="minorHAnsi" w:cstheme="minorHAnsi"/>
          <w:sz w:val="22"/>
          <w:szCs w:val="22"/>
          <w:lang w:val="fr-FR" w:eastAsia="fr-FR"/>
        </w:rPr>
        <w:t> :</w:t>
      </w:r>
      <w:r w:rsidR="003C1C3B" w:rsidRPr="001961B1">
        <w:rPr>
          <w:rFonts w:asciiTheme="minorHAnsi" w:hAnsiTheme="minorHAnsi" w:cstheme="minorHAnsi"/>
          <w:sz w:val="22"/>
          <w:szCs w:val="22"/>
          <w:lang w:val="fr-FR" w:eastAsia="fr-FR"/>
        </w:rPr>
        <w:t xml:space="preserve"> 80 % </w:t>
      </w:r>
      <w:r w:rsidR="00B32F9A" w:rsidRPr="001961B1">
        <w:rPr>
          <w:rFonts w:asciiTheme="minorHAnsi" w:hAnsiTheme="minorHAnsi" w:cstheme="minorHAnsi"/>
          <w:sz w:val="22"/>
          <w:szCs w:val="22"/>
          <w:lang w:val="fr-FR" w:eastAsia="fr-FR"/>
        </w:rPr>
        <w:t>ont</w:t>
      </w:r>
      <w:r w:rsidR="003C1C3B" w:rsidRPr="001961B1">
        <w:rPr>
          <w:rFonts w:asciiTheme="minorHAnsi" w:hAnsiTheme="minorHAnsi" w:cstheme="minorHAnsi"/>
          <w:sz w:val="22"/>
          <w:szCs w:val="22"/>
          <w:lang w:val="fr-FR" w:eastAsia="fr-FR"/>
        </w:rPr>
        <w:t xml:space="preserve"> un correspondant gouvernemental et 69 % un correspondant non gouvernemental. Plus de la moitié des Parties disposent de mécanismes de communication (autres qu’un comité national) pour partager </w:t>
      </w:r>
      <w:r w:rsidR="00B32F9A" w:rsidRPr="001961B1">
        <w:rPr>
          <w:rFonts w:asciiTheme="minorHAnsi" w:hAnsiTheme="minorHAnsi" w:cstheme="minorHAnsi"/>
          <w:sz w:val="22"/>
          <w:szCs w:val="22"/>
          <w:lang w:val="fr-FR" w:eastAsia="fr-FR"/>
        </w:rPr>
        <w:t>d</w:t>
      </w:r>
      <w:r w:rsidR="003C1C3B" w:rsidRPr="001961B1">
        <w:rPr>
          <w:rFonts w:asciiTheme="minorHAnsi" w:hAnsiTheme="minorHAnsi" w:cstheme="minorHAnsi"/>
          <w:sz w:val="22"/>
          <w:szCs w:val="22"/>
          <w:lang w:val="fr-FR" w:eastAsia="fr-FR"/>
        </w:rPr>
        <w:t>es informations avec les administrateurs de sites, les points focaux des AME</w:t>
      </w:r>
      <w:r w:rsidR="00B32F9A" w:rsidRPr="001961B1">
        <w:rPr>
          <w:rFonts w:asciiTheme="minorHAnsi" w:hAnsiTheme="minorHAnsi" w:cstheme="minorHAnsi"/>
          <w:sz w:val="22"/>
          <w:szCs w:val="22"/>
          <w:lang w:val="fr-FR" w:eastAsia="fr-FR"/>
        </w:rPr>
        <w:t>,</w:t>
      </w:r>
      <w:r w:rsidR="003C1C3B" w:rsidRPr="001961B1">
        <w:rPr>
          <w:rFonts w:asciiTheme="minorHAnsi" w:hAnsiTheme="minorHAnsi" w:cstheme="minorHAnsi"/>
          <w:sz w:val="22"/>
          <w:szCs w:val="22"/>
          <w:lang w:val="fr-FR" w:eastAsia="fr-FR"/>
        </w:rPr>
        <w:t xml:space="preserve"> </w:t>
      </w:r>
      <w:r w:rsidR="00B32F9A" w:rsidRPr="001961B1">
        <w:rPr>
          <w:rFonts w:asciiTheme="minorHAnsi" w:hAnsiTheme="minorHAnsi" w:cstheme="minorHAnsi"/>
          <w:sz w:val="22"/>
          <w:szCs w:val="22"/>
          <w:lang w:val="fr-FR" w:eastAsia="fr-FR"/>
        </w:rPr>
        <w:t>les</w:t>
      </w:r>
      <w:r w:rsidR="003C1C3B" w:rsidRPr="001961B1">
        <w:rPr>
          <w:rFonts w:asciiTheme="minorHAnsi" w:hAnsiTheme="minorHAnsi" w:cstheme="minorHAnsi"/>
          <w:sz w:val="22"/>
          <w:szCs w:val="22"/>
          <w:lang w:val="fr-FR" w:eastAsia="fr-FR"/>
        </w:rPr>
        <w:t xml:space="preserve"> ministères et </w:t>
      </w:r>
      <w:r w:rsidR="00B32F9A" w:rsidRPr="001961B1">
        <w:rPr>
          <w:rFonts w:asciiTheme="minorHAnsi" w:hAnsiTheme="minorHAnsi" w:cstheme="minorHAnsi"/>
          <w:sz w:val="22"/>
          <w:szCs w:val="22"/>
          <w:lang w:val="fr-FR" w:eastAsia="fr-FR"/>
        </w:rPr>
        <w:t>organismes</w:t>
      </w:r>
      <w:r w:rsidR="003C1C3B" w:rsidRPr="001961B1">
        <w:rPr>
          <w:rFonts w:asciiTheme="minorHAnsi" w:hAnsiTheme="minorHAnsi" w:cstheme="minorHAnsi"/>
          <w:sz w:val="22"/>
          <w:szCs w:val="22"/>
          <w:lang w:val="fr-FR" w:eastAsia="fr-FR"/>
        </w:rPr>
        <w:t>.</w:t>
      </w:r>
      <w:r w:rsidR="009322B5" w:rsidRPr="001961B1">
        <w:rPr>
          <w:rFonts w:asciiTheme="minorHAnsi" w:hAnsiTheme="minorHAnsi" w:cstheme="minorHAnsi"/>
          <w:sz w:val="22"/>
          <w:szCs w:val="22"/>
          <w:lang w:val="fr-FR" w:eastAsia="fr-FR"/>
        </w:rPr>
        <w:t xml:space="preserve"> </w:t>
      </w:r>
    </w:p>
    <w:p w14:paraId="3E19E1F1" w14:textId="72166A13" w:rsidR="5B6B0E19" w:rsidRPr="001961B1" w:rsidRDefault="5B6B0E19" w:rsidP="00257025">
      <w:pPr>
        <w:ind w:left="567" w:hanging="567"/>
        <w:rPr>
          <w:rFonts w:asciiTheme="minorHAnsi" w:hAnsiTheme="minorHAnsi" w:cstheme="minorHAnsi"/>
          <w:sz w:val="22"/>
          <w:szCs w:val="22"/>
          <w:lang w:val="fr-FR" w:eastAsia="fr-FR"/>
        </w:rPr>
      </w:pPr>
    </w:p>
    <w:p w14:paraId="718B3BFA" w14:textId="4A8D6090" w:rsidR="00622C27"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1</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3C1C3B" w:rsidRPr="001961B1">
        <w:rPr>
          <w:rFonts w:asciiTheme="minorHAnsi" w:hAnsiTheme="minorHAnsi" w:cstheme="minorHAnsi"/>
          <w:sz w:val="22"/>
          <w:szCs w:val="22"/>
          <w:lang w:val="fr-FR" w:eastAsia="fr-FR"/>
        </w:rPr>
        <w:t xml:space="preserve">Toutefois, </w:t>
      </w:r>
      <w:r w:rsidR="00CD0FB3" w:rsidRPr="001961B1">
        <w:rPr>
          <w:rFonts w:asciiTheme="minorHAnsi" w:hAnsiTheme="minorHAnsi" w:cstheme="minorHAnsi"/>
          <w:sz w:val="22"/>
          <w:szCs w:val="22"/>
          <w:lang w:val="fr-FR" w:eastAsia="fr-FR"/>
        </w:rPr>
        <w:t>au moment de</w:t>
      </w:r>
      <w:r w:rsidR="003C1C3B" w:rsidRPr="001961B1">
        <w:rPr>
          <w:rFonts w:asciiTheme="minorHAnsi" w:hAnsiTheme="minorHAnsi" w:cstheme="minorHAnsi"/>
          <w:sz w:val="22"/>
          <w:szCs w:val="22"/>
          <w:lang w:val="fr-FR" w:eastAsia="fr-FR"/>
        </w:rPr>
        <w:t xml:space="preserve"> la COP15, moins d’un tiers des Parties contractantes </w:t>
      </w:r>
      <w:r w:rsidR="00B32F9A" w:rsidRPr="001961B1">
        <w:rPr>
          <w:rFonts w:asciiTheme="minorHAnsi" w:hAnsiTheme="minorHAnsi" w:cstheme="minorHAnsi"/>
          <w:sz w:val="22"/>
          <w:szCs w:val="22"/>
          <w:lang w:val="fr-FR" w:eastAsia="fr-FR"/>
        </w:rPr>
        <w:t>a</w:t>
      </w:r>
      <w:r w:rsidR="003C1C3B" w:rsidRPr="001961B1">
        <w:rPr>
          <w:rFonts w:asciiTheme="minorHAnsi" w:hAnsiTheme="minorHAnsi" w:cstheme="minorHAnsi"/>
          <w:sz w:val="22"/>
          <w:szCs w:val="22"/>
          <w:lang w:val="fr-FR" w:eastAsia="fr-FR"/>
        </w:rPr>
        <w:t xml:space="preserve"> des plans d’action nationaux </w:t>
      </w:r>
      <w:r w:rsidR="00B32F9A" w:rsidRPr="001961B1">
        <w:rPr>
          <w:rFonts w:asciiTheme="minorHAnsi" w:hAnsiTheme="minorHAnsi" w:cstheme="minorHAnsi"/>
          <w:sz w:val="22"/>
          <w:szCs w:val="22"/>
          <w:lang w:val="fr-FR" w:eastAsia="fr-FR"/>
        </w:rPr>
        <w:t xml:space="preserve">de </w:t>
      </w:r>
      <w:r w:rsidR="003C1C3B" w:rsidRPr="001961B1">
        <w:rPr>
          <w:rFonts w:asciiTheme="minorHAnsi" w:hAnsiTheme="minorHAnsi" w:cstheme="minorHAnsi"/>
          <w:sz w:val="22"/>
          <w:szCs w:val="22"/>
          <w:lang w:val="fr-FR" w:eastAsia="fr-FR"/>
        </w:rPr>
        <w:t xml:space="preserve">CESP, et </w:t>
      </w:r>
      <w:r w:rsidR="00B32F9A" w:rsidRPr="001961B1">
        <w:rPr>
          <w:rFonts w:asciiTheme="minorHAnsi" w:hAnsiTheme="minorHAnsi" w:cstheme="minorHAnsi"/>
          <w:sz w:val="22"/>
          <w:szCs w:val="22"/>
          <w:lang w:val="fr-FR" w:eastAsia="fr-FR"/>
        </w:rPr>
        <w:t>les</w:t>
      </w:r>
      <w:r w:rsidR="003C1C3B" w:rsidRPr="001961B1">
        <w:rPr>
          <w:rFonts w:asciiTheme="minorHAnsi" w:hAnsiTheme="minorHAnsi" w:cstheme="minorHAnsi"/>
          <w:sz w:val="22"/>
          <w:szCs w:val="22"/>
          <w:lang w:val="fr-FR" w:eastAsia="fr-FR"/>
        </w:rPr>
        <w:t xml:space="preserve"> progrès </w:t>
      </w:r>
      <w:r w:rsidR="00B32F9A" w:rsidRPr="001961B1">
        <w:rPr>
          <w:rFonts w:asciiTheme="minorHAnsi" w:hAnsiTheme="minorHAnsi" w:cstheme="minorHAnsi"/>
          <w:sz w:val="22"/>
          <w:szCs w:val="22"/>
          <w:lang w:val="fr-FR" w:eastAsia="fr-FR"/>
        </w:rPr>
        <w:t xml:space="preserve">ont été </w:t>
      </w:r>
      <w:r w:rsidR="003C1C3B" w:rsidRPr="001961B1">
        <w:rPr>
          <w:rFonts w:asciiTheme="minorHAnsi" w:hAnsiTheme="minorHAnsi" w:cstheme="minorHAnsi"/>
          <w:sz w:val="22"/>
          <w:szCs w:val="22"/>
          <w:lang w:val="fr-FR" w:eastAsia="fr-FR"/>
        </w:rPr>
        <w:t>relativement limités durant la période du PS4. Un autre tiers de</w:t>
      </w:r>
      <w:r w:rsidR="00332BA5" w:rsidRPr="001961B1">
        <w:rPr>
          <w:rFonts w:asciiTheme="minorHAnsi" w:hAnsiTheme="minorHAnsi" w:cstheme="minorHAnsi"/>
          <w:sz w:val="22"/>
          <w:szCs w:val="22"/>
          <w:lang w:val="fr-FR" w:eastAsia="fr-FR"/>
        </w:rPr>
        <w:t>s</w:t>
      </w:r>
      <w:r w:rsidR="003C1C3B" w:rsidRPr="001961B1">
        <w:rPr>
          <w:rFonts w:asciiTheme="minorHAnsi" w:hAnsiTheme="minorHAnsi" w:cstheme="minorHAnsi"/>
          <w:sz w:val="22"/>
          <w:szCs w:val="22"/>
          <w:lang w:val="fr-FR" w:eastAsia="fr-FR"/>
        </w:rPr>
        <w:t xml:space="preserve"> Parties </w:t>
      </w:r>
      <w:r w:rsidR="00332BA5" w:rsidRPr="001961B1">
        <w:rPr>
          <w:rFonts w:asciiTheme="minorHAnsi" w:hAnsiTheme="minorHAnsi" w:cstheme="minorHAnsi"/>
          <w:sz w:val="22"/>
          <w:szCs w:val="22"/>
          <w:lang w:val="fr-FR" w:eastAsia="fr-FR"/>
        </w:rPr>
        <w:t>annonce</w:t>
      </w:r>
      <w:r w:rsidR="003C1C3B" w:rsidRPr="001961B1">
        <w:rPr>
          <w:rFonts w:asciiTheme="minorHAnsi" w:hAnsiTheme="minorHAnsi" w:cstheme="minorHAnsi"/>
          <w:sz w:val="22"/>
          <w:szCs w:val="22"/>
          <w:lang w:val="fr-FR" w:eastAsia="fr-FR"/>
        </w:rPr>
        <w:t xml:space="preserve"> </w:t>
      </w:r>
      <w:r w:rsidR="00332BA5" w:rsidRPr="001961B1">
        <w:rPr>
          <w:rFonts w:asciiTheme="minorHAnsi" w:hAnsiTheme="minorHAnsi" w:cstheme="minorHAnsi"/>
          <w:sz w:val="22"/>
          <w:szCs w:val="22"/>
          <w:lang w:val="fr-FR" w:eastAsia="fr-FR"/>
        </w:rPr>
        <w:t xml:space="preserve">avoir </w:t>
      </w:r>
      <w:r w:rsidR="00B32F9A" w:rsidRPr="001961B1">
        <w:rPr>
          <w:rFonts w:asciiTheme="minorHAnsi" w:hAnsiTheme="minorHAnsi" w:cstheme="minorHAnsi"/>
          <w:sz w:val="22"/>
          <w:szCs w:val="22"/>
          <w:lang w:val="fr-FR" w:eastAsia="fr-FR"/>
        </w:rPr>
        <w:t>un</w:t>
      </w:r>
      <w:r w:rsidR="00332BA5" w:rsidRPr="001961B1">
        <w:rPr>
          <w:rFonts w:asciiTheme="minorHAnsi" w:hAnsiTheme="minorHAnsi" w:cstheme="minorHAnsi"/>
          <w:sz w:val="22"/>
          <w:szCs w:val="22"/>
          <w:lang w:val="fr-FR" w:eastAsia="fr-FR"/>
        </w:rPr>
        <w:t xml:space="preserve"> plan d’action nationa</w:t>
      </w:r>
      <w:r w:rsidR="00B32F9A" w:rsidRPr="001961B1">
        <w:rPr>
          <w:rFonts w:asciiTheme="minorHAnsi" w:hAnsiTheme="minorHAnsi" w:cstheme="minorHAnsi"/>
          <w:sz w:val="22"/>
          <w:szCs w:val="22"/>
          <w:lang w:val="fr-FR" w:eastAsia="fr-FR"/>
        </w:rPr>
        <w:t>l</w:t>
      </w:r>
      <w:r w:rsidR="00332BA5" w:rsidRPr="001961B1">
        <w:rPr>
          <w:rFonts w:asciiTheme="minorHAnsi" w:hAnsiTheme="minorHAnsi" w:cstheme="minorHAnsi"/>
          <w:sz w:val="22"/>
          <w:szCs w:val="22"/>
          <w:lang w:val="fr-FR" w:eastAsia="fr-FR"/>
        </w:rPr>
        <w:t xml:space="preserve"> de CESP en progrès. Les plans CESP aux niveaux local/des sites sont plus répandus. Un nombre croissant de Parties indique que des éléments de CESP sont de plus en plus intégrés dans les stratégies pour les zones humides ou la biodiversité et non plus </w:t>
      </w:r>
      <w:r w:rsidR="00B32F9A" w:rsidRPr="001961B1">
        <w:rPr>
          <w:rFonts w:asciiTheme="minorHAnsi" w:hAnsiTheme="minorHAnsi" w:cstheme="minorHAnsi"/>
          <w:sz w:val="22"/>
          <w:szCs w:val="22"/>
          <w:lang w:val="fr-FR" w:eastAsia="fr-FR"/>
        </w:rPr>
        <w:t>sous forme de</w:t>
      </w:r>
      <w:r w:rsidR="00332BA5" w:rsidRPr="001961B1">
        <w:rPr>
          <w:rFonts w:asciiTheme="minorHAnsi" w:hAnsiTheme="minorHAnsi" w:cstheme="minorHAnsi"/>
          <w:sz w:val="22"/>
          <w:szCs w:val="22"/>
          <w:lang w:val="fr-FR" w:eastAsia="fr-FR"/>
        </w:rPr>
        <w:t xml:space="preserve"> plans à part entière.</w:t>
      </w:r>
    </w:p>
    <w:p w14:paraId="22C6BB95" w14:textId="6DB4027A" w:rsidR="3112C721" w:rsidRPr="001961B1" w:rsidRDefault="3112C721" w:rsidP="00257025">
      <w:pPr>
        <w:ind w:left="567" w:hanging="567"/>
        <w:rPr>
          <w:rFonts w:asciiTheme="minorHAnsi" w:hAnsiTheme="minorHAnsi" w:cstheme="minorHAnsi"/>
          <w:sz w:val="22"/>
          <w:szCs w:val="22"/>
          <w:lang w:val="fr-FR" w:eastAsia="fr-FR"/>
        </w:rPr>
      </w:pPr>
    </w:p>
    <w:p w14:paraId="0B92602F" w14:textId="503D6916" w:rsidR="3645A72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2</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332BA5" w:rsidRPr="001961B1">
        <w:rPr>
          <w:rFonts w:asciiTheme="minorHAnsi" w:hAnsiTheme="minorHAnsi" w:cstheme="minorHAnsi"/>
          <w:sz w:val="22"/>
          <w:szCs w:val="22"/>
          <w:lang w:val="fr-FR" w:eastAsia="fr-FR"/>
        </w:rPr>
        <w:t xml:space="preserve">Entre le 15 juin 2023 et le 15 avril 2025, les pages </w:t>
      </w:r>
      <w:r w:rsidR="00B32F9A" w:rsidRPr="001961B1">
        <w:rPr>
          <w:rFonts w:asciiTheme="minorHAnsi" w:hAnsiTheme="minorHAnsi" w:cstheme="minorHAnsi"/>
          <w:sz w:val="22"/>
          <w:szCs w:val="22"/>
          <w:lang w:val="fr-FR" w:eastAsia="fr-FR"/>
        </w:rPr>
        <w:t>W</w:t>
      </w:r>
      <w:r w:rsidR="00332BA5" w:rsidRPr="001961B1">
        <w:rPr>
          <w:rFonts w:asciiTheme="minorHAnsi" w:hAnsiTheme="minorHAnsi" w:cstheme="minorHAnsi"/>
          <w:sz w:val="22"/>
          <w:szCs w:val="22"/>
          <w:lang w:val="fr-FR" w:eastAsia="fr-FR"/>
        </w:rPr>
        <w:t xml:space="preserve">eb relatives à la CESP ont enregistré </w:t>
      </w:r>
      <w:r w:rsidR="00B32F9A" w:rsidRPr="001961B1">
        <w:rPr>
          <w:rFonts w:asciiTheme="minorHAnsi" w:hAnsiTheme="minorHAnsi" w:cstheme="minorHAnsi"/>
          <w:sz w:val="22"/>
          <w:szCs w:val="22"/>
          <w:lang w:val="fr-FR" w:eastAsia="fr-FR"/>
        </w:rPr>
        <w:t>ce qui suit</w:t>
      </w:r>
      <w:r w:rsidR="00332BA5" w:rsidRPr="001961B1">
        <w:rPr>
          <w:rFonts w:asciiTheme="minorHAnsi" w:hAnsiTheme="minorHAnsi" w:cstheme="minorHAnsi"/>
          <w:sz w:val="22"/>
          <w:szCs w:val="22"/>
          <w:lang w:val="fr-FR" w:eastAsia="fr-FR"/>
        </w:rPr>
        <w:t xml:space="preserve"> : la page principale </w:t>
      </w:r>
      <w:r w:rsidR="00B32F9A" w:rsidRPr="001961B1">
        <w:rPr>
          <w:rFonts w:asciiTheme="minorHAnsi" w:hAnsiTheme="minorHAnsi" w:cstheme="minorHAnsi"/>
          <w:sz w:val="22"/>
          <w:szCs w:val="22"/>
          <w:lang w:val="fr-FR" w:eastAsia="fr-FR"/>
        </w:rPr>
        <w:t xml:space="preserve">sur les </w:t>
      </w:r>
      <w:r w:rsidR="00332BA5" w:rsidRPr="001961B1">
        <w:rPr>
          <w:rFonts w:asciiTheme="minorHAnsi" w:hAnsiTheme="minorHAnsi" w:cstheme="minorHAnsi"/>
          <w:sz w:val="22"/>
          <w:szCs w:val="22"/>
          <w:lang w:val="fr-FR" w:eastAsia="fr-FR"/>
        </w:rPr>
        <w:t xml:space="preserve">activités du Programme de CESP a reçu </w:t>
      </w:r>
      <w:r w:rsidR="3645A722" w:rsidRPr="001961B1">
        <w:rPr>
          <w:rFonts w:asciiTheme="minorHAnsi" w:hAnsiTheme="minorHAnsi" w:cstheme="minorHAnsi"/>
          <w:sz w:val="22"/>
          <w:szCs w:val="22"/>
          <w:lang w:val="fr-FR" w:eastAsia="fr-FR"/>
        </w:rPr>
        <w:t>2295</w:t>
      </w:r>
      <w:r w:rsidR="00332BA5" w:rsidRPr="001961B1">
        <w:rPr>
          <w:rFonts w:asciiTheme="minorHAnsi" w:hAnsiTheme="minorHAnsi" w:cstheme="minorHAnsi"/>
          <w:sz w:val="22"/>
          <w:szCs w:val="22"/>
          <w:lang w:val="fr-FR" w:eastAsia="fr-FR"/>
        </w:rPr>
        <w:t> </w:t>
      </w:r>
      <w:r w:rsidR="00B32F9A" w:rsidRPr="001961B1">
        <w:rPr>
          <w:rFonts w:asciiTheme="minorHAnsi" w:hAnsiTheme="minorHAnsi" w:cstheme="minorHAnsi"/>
          <w:sz w:val="22"/>
          <w:szCs w:val="22"/>
          <w:lang w:val="fr-FR" w:eastAsia="fr-FR"/>
        </w:rPr>
        <w:t>visites</w:t>
      </w:r>
      <w:r w:rsidR="00332BA5" w:rsidRPr="001961B1">
        <w:rPr>
          <w:rFonts w:asciiTheme="minorHAnsi" w:hAnsiTheme="minorHAnsi" w:cstheme="minorHAnsi"/>
          <w:sz w:val="22"/>
          <w:szCs w:val="22"/>
          <w:lang w:val="fr-FR" w:eastAsia="fr-FR"/>
        </w:rPr>
        <w:t>, la page sur les ressources et activités de CESP 489 </w:t>
      </w:r>
      <w:r w:rsidR="00B32F9A" w:rsidRPr="001961B1">
        <w:rPr>
          <w:rFonts w:asciiTheme="minorHAnsi" w:hAnsiTheme="minorHAnsi" w:cstheme="minorHAnsi"/>
          <w:sz w:val="22"/>
          <w:szCs w:val="22"/>
          <w:lang w:val="fr-FR" w:eastAsia="fr-FR"/>
        </w:rPr>
        <w:t>visites</w:t>
      </w:r>
      <w:r w:rsidR="00332BA5" w:rsidRPr="001961B1">
        <w:rPr>
          <w:rFonts w:asciiTheme="minorHAnsi" w:hAnsiTheme="minorHAnsi" w:cstheme="minorHAnsi"/>
          <w:sz w:val="22"/>
          <w:szCs w:val="22"/>
          <w:lang w:val="fr-FR" w:eastAsia="fr-FR"/>
        </w:rPr>
        <w:t xml:space="preserve"> et la nouvelle page sur les ressources de CESP 132 </w:t>
      </w:r>
      <w:r w:rsidR="00B32F9A" w:rsidRPr="001961B1">
        <w:rPr>
          <w:rFonts w:asciiTheme="minorHAnsi" w:hAnsiTheme="minorHAnsi" w:cstheme="minorHAnsi"/>
          <w:sz w:val="22"/>
          <w:szCs w:val="22"/>
          <w:lang w:val="fr-FR" w:eastAsia="fr-FR"/>
        </w:rPr>
        <w:t>visites</w:t>
      </w:r>
      <w:r w:rsidR="00332BA5" w:rsidRPr="001961B1">
        <w:rPr>
          <w:rFonts w:asciiTheme="minorHAnsi" w:hAnsiTheme="minorHAnsi" w:cstheme="minorHAnsi"/>
          <w:sz w:val="22"/>
          <w:szCs w:val="22"/>
          <w:lang w:val="fr-FR" w:eastAsia="fr-FR"/>
        </w:rPr>
        <w:t>.</w:t>
      </w:r>
      <w:r w:rsidR="00AB2083" w:rsidRPr="001961B1">
        <w:rPr>
          <w:rFonts w:asciiTheme="minorHAnsi" w:hAnsiTheme="minorHAnsi" w:cstheme="minorHAnsi"/>
          <w:sz w:val="22"/>
          <w:szCs w:val="22"/>
          <w:lang w:val="fr-FR" w:eastAsia="fr-FR"/>
        </w:rPr>
        <w:t xml:space="preserve"> </w:t>
      </w:r>
    </w:p>
    <w:p w14:paraId="79EFF4C4" w14:textId="77777777" w:rsidR="00DE7708" w:rsidRPr="001961B1" w:rsidRDefault="00DE7708" w:rsidP="00257025">
      <w:pPr>
        <w:ind w:left="567" w:hanging="567"/>
        <w:rPr>
          <w:rFonts w:asciiTheme="minorHAnsi" w:hAnsiTheme="minorHAnsi" w:cstheme="minorHAnsi"/>
          <w:sz w:val="22"/>
          <w:szCs w:val="22"/>
          <w:lang w:val="fr-FR" w:eastAsia="fr-FR"/>
        </w:rPr>
      </w:pPr>
    </w:p>
    <w:p w14:paraId="4969A548" w14:textId="03EC3CE6" w:rsidR="00DE7708"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3</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332BA5" w:rsidRPr="001961B1">
        <w:rPr>
          <w:rFonts w:asciiTheme="minorHAnsi" w:hAnsiTheme="minorHAnsi" w:cstheme="minorHAnsi"/>
          <w:sz w:val="22"/>
          <w:szCs w:val="22"/>
          <w:lang w:val="fr-FR" w:eastAsia="fr-FR"/>
        </w:rPr>
        <w:t xml:space="preserve">Les réponses narratives suggèrent que la mise en œuvre de la CESP reste fragmentée </w:t>
      </w:r>
      <w:r w:rsidR="00B32F9A" w:rsidRPr="001961B1">
        <w:rPr>
          <w:rFonts w:asciiTheme="minorHAnsi" w:hAnsiTheme="minorHAnsi" w:cstheme="minorHAnsi"/>
          <w:sz w:val="22"/>
          <w:szCs w:val="22"/>
          <w:lang w:val="fr-FR" w:eastAsia="fr-FR"/>
        </w:rPr>
        <w:t>faute</w:t>
      </w:r>
      <w:r w:rsidR="00332BA5" w:rsidRPr="001961B1">
        <w:rPr>
          <w:rFonts w:asciiTheme="minorHAnsi" w:hAnsiTheme="minorHAnsi" w:cstheme="minorHAnsi"/>
          <w:sz w:val="22"/>
          <w:szCs w:val="22"/>
          <w:lang w:val="fr-FR" w:eastAsia="fr-FR"/>
        </w:rPr>
        <w:t xml:space="preserve"> de plans d’action ou </w:t>
      </w:r>
      <w:r w:rsidR="00B32F9A" w:rsidRPr="001961B1">
        <w:rPr>
          <w:rFonts w:asciiTheme="minorHAnsi" w:hAnsiTheme="minorHAnsi" w:cstheme="minorHAnsi"/>
          <w:sz w:val="22"/>
          <w:szCs w:val="22"/>
          <w:lang w:val="fr-FR" w:eastAsia="fr-FR"/>
        </w:rPr>
        <w:t xml:space="preserve">de plans suffisamment </w:t>
      </w:r>
      <w:r w:rsidR="00332BA5" w:rsidRPr="001961B1">
        <w:rPr>
          <w:rFonts w:asciiTheme="minorHAnsi" w:hAnsiTheme="minorHAnsi" w:cstheme="minorHAnsi"/>
          <w:sz w:val="22"/>
          <w:szCs w:val="22"/>
          <w:lang w:val="fr-FR" w:eastAsia="fr-FR"/>
        </w:rPr>
        <w:t xml:space="preserve">développés et </w:t>
      </w:r>
      <w:r w:rsidR="00642313" w:rsidRPr="001961B1">
        <w:rPr>
          <w:rFonts w:asciiTheme="minorHAnsi" w:hAnsiTheme="minorHAnsi" w:cstheme="minorHAnsi"/>
          <w:sz w:val="22"/>
          <w:szCs w:val="22"/>
          <w:lang w:val="fr-FR" w:eastAsia="fr-FR"/>
        </w:rPr>
        <w:t xml:space="preserve">parce que les </w:t>
      </w:r>
      <w:r w:rsidR="00332BA5" w:rsidRPr="001961B1">
        <w:rPr>
          <w:rFonts w:asciiTheme="minorHAnsi" w:hAnsiTheme="minorHAnsi" w:cstheme="minorHAnsi"/>
          <w:sz w:val="22"/>
          <w:szCs w:val="22"/>
          <w:lang w:val="fr-FR" w:eastAsia="fr-FR"/>
        </w:rPr>
        <w:t xml:space="preserve">activités </w:t>
      </w:r>
      <w:r w:rsidR="00B32F9A" w:rsidRPr="001961B1">
        <w:rPr>
          <w:rFonts w:asciiTheme="minorHAnsi" w:hAnsiTheme="minorHAnsi" w:cstheme="minorHAnsi"/>
          <w:sz w:val="22"/>
          <w:szCs w:val="22"/>
          <w:lang w:val="fr-FR" w:eastAsia="fr-FR"/>
        </w:rPr>
        <w:t xml:space="preserve">de sensibilisation </w:t>
      </w:r>
      <w:r w:rsidR="00642313" w:rsidRPr="001961B1">
        <w:rPr>
          <w:rFonts w:asciiTheme="minorHAnsi" w:hAnsiTheme="minorHAnsi" w:cstheme="minorHAnsi"/>
          <w:sz w:val="22"/>
          <w:szCs w:val="22"/>
          <w:lang w:val="fr-FR" w:eastAsia="fr-FR"/>
        </w:rPr>
        <w:t xml:space="preserve">tout en étant </w:t>
      </w:r>
      <w:r w:rsidR="00332BA5" w:rsidRPr="001961B1">
        <w:rPr>
          <w:rFonts w:asciiTheme="minorHAnsi" w:hAnsiTheme="minorHAnsi" w:cstheme="minorHAnsi"/>
          <w:sz w:val="22"/>
          <w:szCs w:val="22"/>
          <w:lang w:val="fr-FR" w:eastAsia="fr-FR"/>
        </w:rPr>
        <w:t xml:space="preserve">largement </w:t>
      </w:r>
      <w:r w:rsidR="00B32F9A" w:rsidRPr="001961B1">
        <w:rPr>
          <w:rFonts w:asciiTheme="minorHAnsi" w:hAnsiTheme="minorHAnsi" w:cstheme="minorHAnsi"/>
          <w:sz w:val="22"/>
          <w:szCs w:val="22"/>
          <w:lang w:val="fr-FR" w:eastAsia="fr-FR"/>
        </w:rPr>
        <w:t>diffusées</w:t>
      </w:r>
      <w:r w:rsidR="00332BA5" w:rsidRPr="001961B1">
        <w:rPr>
          <w:rFonts w:asciiTheme="minorHAnsi" w:hAnsiTheme="minorHAnsi" w:cstheme="minorHAnsi"/>
          <w:sz w:val="22"/>
          <w:szCs w:val="22"/>
          <w:lang w:val="fr-FR" w:eastAsia="fr-FR"/>
        </w:rPr>
        <w:t xml:space="preserve"> </w:t>
      </w:r>
      <w:r w:rsidR="00642313" w:rsidRPr="001961B1">
        <w:rPr>
          <w:rFonts w:asciiTheme="minorHAnsi" w:hAnsiTheme="minorHAnsi" w:cstheme="minorHAnsi"/>
          <w:sz w:val="22"/>
          <w:szCs w:val="22"/>
          <w:lang w:val="fr-FR" w:eastAsia="fr-FR"/>
        </w:rPr>
        <w:t xml:space="preserve">sont </w:t>
      </w:r>
      <w:r w:rsidR="00332BA5" w:rsidRPr="001961B1">
        <w:rPr>
          <w:rFonts w:asciiTheme="minorHAnsi" w:hAnsiTheme="minorHAnsi" w:cstheme="minorHAnsi"/>
          <w:sz w:val="22"/>
          <w:szCs w:val="22"/>
          <w:lang w:val="fr-FR" w:eastAsia="fr-FR"/>
        </w:rPr>
        <w:t xml:space="preserve">de courte durée. Si les initiatives telles que les programmes scolaires et les campagnes publiques sont communes, elles sont souvent isolées et </w:t>
      </w:r>
      <w:r w:rsidR="00717B78" w:rsidRPr="001961B1">
        <w:rPr>
          <w:rFonts w:asciiTheme="minorHAnsi" w:hAnsiTheme="minorHAnsi" w:cstheme="minorHAnsi"/>
          <w:sz w:val="22"/>
          <w:szCs w:val="22"/>
          <w:lang w:val="fr-FR" w:eastAsia="fr-FR"/>
        </w:rPr>
        <w:t>il n’y a</w:t>
      </w:r>
      <w:r w:rsidR="00332BA5" w:rsidRPr="001961B1">
        <w:rPr>
          <w:rFonts w:asciiTheme="minorHAnsi" w:hAnsiTheme="minorHAnsi" w:cstheme="minorHAnsi"/>
          <w:sz w:val="22"/>
          <w:szCs w:val="22"/>
          <w:lang w:val="fr-FR" w:eastAsia="fr-FR"/>
        </w:rPr>
        <w:t xml:space="preserve"> pas de mécanismes </w:t>
      </w:r>
      <w:r w:rsidR="00717B78" w:rsidRPr="001961B1">
        <w:rPr>
          <w:rFonts w:asciiTheme="minorHAnsi" w:hAnsiTheme="minorHAnsi" w:cstheme="minorHAnsi"/>
          <w:sz w:val="22"/>
          <w:szCs w:val="22"/>
          <w:lang w:val="fr-FR" w:eastAsia="fr-FR"/>
        </w:rPr>
        <w:t>permettant</w:t>
      </w:r>
      <w:r w:rsidR="00332BA5" w:rsidRPr="001961B1">
        <w:rPr>
          <w:rFonts w:asciiTheme="minorHAnsi" w:hAnsiTheme="minorHAnsi" w:cstheme="minorHAnsi"/>
          <w:sz w:val="22"/>
          <w:szCs w:val="22"/>
          <w:lang w:val="fr-FR" w:eastAsia="fr-FR"/>
        </w:rPr>
        <w:t xml:space="preserve"> </w:t>
      </w:r>
      <w:r w:rsidR="00717B78" w:rsidRPr="001961B1">
        <w:rPr>
          <w:rFonts w:asciiTheme="minorHAnsi" w:hAnsiTheme="minorHAnsi" w:cstheme="minorHAnsi"/>
          <w:sz w:val="22"/>
          <w:szCs w:val="22"/>
          <w:lang w:val="fr-FR" w:eastAsia="fr-FR"/>
        </w:rPr>
        <w:t>d’</w:t>
      </w:r>
      <w:r w:rsidR="00332BA5" w:rsidRPr="001961B1">
        <w:rPr>
          <w:rFonts w:asciiTheme="minorHAnsi" w:hAnsiTheme="minorHAnsi" w:cstheme="minorHAnsi"/>
          <w:sz w:val="22"/>
          <w:szCs w:val="22"/>
          <w:lang w:val="fr-FR" w:eastAsia="fr-FR"/>
        </w:rPr>
        <w:t xml:space="preserve">évaluer l’impact à long terme sur la conservation. Parmi les obstacles communs, </w:t>
      </w:r>
      <w:r w:rsidR="00717B78" w:rsidRPr="001961B1">
        <w:rPr>
          <w:rFonts w:asciiTheme="minorHAnsi" w:hAnsiTheme="minorHAnsi" w:cstheme="minorHAnsi"/>
          <w:sz w:val="22"/>
          <w:szCs w:val="22"/>
          <w:lang w:val="fr-FR" w:eastAsia="fr-FR"/>
        </w:rPr>
        <w:t>on peut citer</w:t>
      </w:r>
      <w:r w:rsidR="00332BA5" w:rsidRPr="001961B1">
        <w:rPr>
          <w:rFonts w:asciiTheme="minorHAnsi" w:hAnsiTheme="minorHAnsi" w:cstheme="minorHAnsi"/>
          <w:sz w:val="22"/>
          <w:szCs w:val="22"/>
          <w:lang w:val="fr-FR" w:eastAsia="fr-FR"/>
        </w:rPr>
        <w:t xml:space="preserve"> les ressources financières et techniques limitées et la coordination institutionnelle </w:t>
      </w:r>
      <w:r w:rsidR="00717B78" w:rsidRPr="001961B1">
        <w:rPr>
          <w:rFonts w:asciiTheme="minorHAnsi" w:hAnsiTheme="minorHAnsi" w:cstheme="minorHAnsi"/>
          <w:sz w:val="22"/>
          <w:szCs w:val="22"/>
          <w:lang w:val="fr-FR" w:eastAsia="fr-FR"/>
        </w:rPr>
        <w:t>insuffisante</w:t>
      </w:r>
      <w:r w:rsidR="00974CAA" w:rsidRPr="001961B1">
        <w:rPr>
          <w:rFonts w:asciiTheme="minorHAnsi" w:hAnsiTheme="minorHAnsi" w:cstheme="minorHAnsi"/>
          <w:sz w:val="22"/>
          <w:szCs w:val="22"/>
          <w:lang w:val="fr-FR" w:eastAsia="fr-FR"/>
        </w:rPr>
        <w:t>. Certaines Parties contractantes indiquent un changement progressif vers l’intégration de la CESP dans d’autres plans et stratégies. Un engagement soutenu du public dépendra de l’institutionnalisation de la CESP dans les systèmes de gouvernance nationaux pour les zones humides et l’environnement.</w:t>
      </w:r>
    </w:p>
    <w:p w14:paraId="1BEBB3A0" w14:textId="77777777" w:rsidR="003E56FD" w:rsidRPr="001961B1" w:rsidRDefault="003E56FD" w:rsidP="00CD3F6B">
      <w:pPr>
        <w:textAlignment w:val="baseline"/>
        <w:rPr>
          <w:rFonts w:asciiTheme="minorHAnsi" w:hAnsiTheme="minorHAnsi" w:cstheme="minorHAnsi"/>
          <w:sz w:val="22"/>
          <w:szCs w:val="22"/>
          <w:lang w:val="fr-FR"/>
        </w:rPr>
      </w:pPr>
    </w:p>
    <w:p w14:paraId="6111FB39" w14:textId="3056FF7F" w:rsidR="00FF5E09" w:rsidRPr="001961B1" w:rsidRDefault="00FF5E09" w:rsidP="00CD3F6B">
      <w:pPr>
        <w:textAlignment w:val="baseline"/>
        <w:rPr>
          <w:rFonts w:asciiTheme="minorHAnsi" w:hAnsiTheme="minorHAnsi" w:cstheme="minorHAnsi"/>
          <w:sz w:val="22"/>
          <w:szCs w:val="22"/>
          <w:lang w:val="fr-FR"/>
        </w:rPr>
      </w:pPr>
    </w:p>
    <w:tbl>
      <w:tblPr>
        <w:tblStyle w:val="TableGrid16"/>
        <w:tblW w:w="9354" w:type="dxa"/>
        <w:tblInd w:w="-147" w:type="dxa"/>
        <w:tblLook w:val="04A0" w:firstRow="1" w:lastRow="0" w:firstColumn="1" w:lastColumn="0" w:noHBand="0" w:noVBand="1"/>
      </w:tblPr>
      <w:tblGrid>
        <w:gridCol w:w="9354"/>
      </w:tblGrid>
      <w:tr w:rsidR="0025562A" w:rsidRPr="001961B1" w14:paraId="546084B1" w14:textId="77777777" w:rsidTr="003E56FD">
        <w:tc>
          <w:tcPr>
            <w:tcW w:w="9354" w:type="dxa"/>
            <w:vAlign w:val="center"/>
          </w:tcPr>
          <w:p w14:paraId="68FB70D5" w14:textId="21A340BF" w:rsidR="00180A86" w:rsidRPr="001961B1" w:rsidRDefault="00630F8A"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lastRenderedPageBreak/>
              <w:t>Objectif</w:t>
            </w:r>
            <w:r w:rsidR="00180A86" w:rsidRPr="001961B1">
              <w:rPr>
                <w:rFonts w:asciiTheme="minorHAnsi" w:hAnsiTheme="minorHAnsi" w:cstheme="minorHAnsi"/>
                <w:b/>
                <w:sz w:val="22"/>
                <w:szCs w:val="22"/>
                <w:lang w:val="fr-FR" w:eastAsia="fr-FR"/>
              </w:rPr>
              <w:t xml:space="preserve"> 17. </w:t>
            </w:r>
            <w:r w:rsidRPr="001961B1">
              <w:rPr>
                <w:rFonts w:asciiTheme="minorHAnsi" w:hAnsiTheme="minorHAnsi" w:cstheme="minorHAnsi"/>
                <w:b/>
                <w:sz w:val="22"/>
                <w:szCs w:val="22"/>
                <w:lang w:val="fr-FR" w:eastAsia="fr-FR"/>
              </w:rPr>
              <w:t>Des ressources financières et autres issues de toutes les sources sont mises à disposition en faveur d’une mise en œuvre effective du 4e Plan stratégique Ramsar 2016-2024</w:t>
            </w:r>
            <w:r w:rsidR="00180A86" w:rsidRPr="001961B1">
              <w:rPr>
                <w:rFonts w:asciiTheme="minorHAnsi" w:hAnsiTheme="minorHAnsi" w:cstheme="minorHAnsi"/>
                <w:b/>
                <w:sz w:val="22"/>
                <w:szCs w:val="22"/>
                <w:lang w:val="fr-FR" w:eastAsia="fr-FR"/>
              </w:rPr>
              <w:t xml:space="preserve">. </w:t>
            </w:r>
          </w:p>
          <w:p w14:paraId="706E5930" w14:textId="6CB23841" w:rsidR="00180A86" w:rsidRPr="001961B1" w:rsidRDefault="00D31C55" w:rsidP="008A3659">
            <w:pPr>
              <w:keepNext/>
              <w:spacing w:before="120" w:after="120"/>
              <w:rPr>
                <w:rFonts w:asciiTheme="minorHAnsi" w:hAnsiTheme="minorHAnsi" w:cstheme="minorHAnsi"/>
                <w:bCs/>
                <w:sz w:val="22"/>
                <w:szCs w:val="22"/>
                <w:lang w:val="fr-FR" w:eastAsia="fr-FR"/>
              </w:rPr>
            </w:pPr>
            <w:bookmarkStart w:id="9" w:name="_Hlk193809721"/>
            <w:r w:rsidRPr="001961B1">
              <w:rPr>
                <w:rFonts w:asciiTheme="minorHAnsi" w:hAnsiTheme="minorHAnsi" w:cstheme="minorHAnsi"/>
                <w:bCs/>
                <w:sz w:val="22"/>
                <w:szCs w:val="22"/>
                <w:lang w:val="fr-FR" w:eastAsia="fr-FR"/>
              </w:rPr>
              <w:t xml:space="preserve">Contribution à la cible </w:t>
            </w:r>
            <w:r w:rsidR="00C93951" w:rsidRPr="001961B1">
              <w:rPr>
                <w:rFonts w:asciiTheme="minorHAnsi" w:hAnsiTheme="minorHAnsi" w:cstheme="minorHAnsi"/>
                <w:bCs/>
                <w:sz w:val="22"/>
                <w:szCs w:val="22"/>
                <w:lang w:val="fr-FR" w:eastAsia="fr-FR"/>
              </w:rPr>
              <w:t>19 du CMB-KM</w:t>
            </w:r>
            <w:bookmarkEnd w:id="9"/>
            <w:r w:rsidR="00C93951" w:rsidRPr="001961B1">
              <w:rPr>
                <w:rFonts w:asciiTheme="minorHAnsi" w:hAnsiTheme="minorHAnsi" w:cstheme="minorHAnsi"/>
                <w:bCs/>
                <w:sz w:val="22"/>
                <w:szCs w:val="22"/>
                <w:lang w:val="fr-FR" w:eastAsia="fr-FR"/>
              </w:rPr>
              <w:t xml:space="preserve"> </w:t>
            </w:r>
            <w:r w:rsidR="00630F8A" w:rsidRPr="001961B1">
              <w:rPr>
                <w:rFonts w:asciiTheme="minorHAnsi" w:hAnsiTheme="minorHAnsi" w:cstheme="minorHAnsi"/>
                <w:bCs/>
                <w:sz w:val="22"/>
                <w:szCs w:val="22"/>
                <w:lang w:val="fr-FR" w:eastAsia="fr-FR"/>
              </w:rPr>
              <w:t>et aux</w:t>
            </w:r>
            <w:r w:rsidR="00F04D0D" w:rsidRPr="001961B1">
              <w:rPr>
                <w:rFonts w:asciiTheme="minorHAnsi" w:hAnsiTheme="minorHAnsi" w:cstheme="minorHAnsi"/>
                <w:bCs/>
                <w:sz w:val="22"/>
                <w:szCs w:val="22"/>
                <w:lang w:val="fr-FR" w:eastAsia="fr-FR"/>
              </w:rPr>
              <w:t xml:space="preserve"> </w:t>
            </w:r>
            <w:r w:rsidR="00C93951" w:rsidRPr="001961B1">
              <w:rPr>
                <w:rFonts w:asciiTheme="minorHAnsi" w:hAnsiTheme="minorHAnsi" w:cstheme="minorHAnsi"/>
                <w:bCs/>
                <w:sz w:val="22"/>
                <w:szCs w:val="22"/>
                <w:lang w:val="fr-FR" w:eastAsia="fr-FR"/>
              </w:rPr>
              <w:t>cibles</w:t>
            </w:r>
            <w:r w:rsidR="002659BD" w:rsidRPr="001961B1">
              <w:rPr>
                <w:rFonts w:asciiTheme="minorHAnsi" w:hAnsiTheme="minorHAnsi" w:cstheme="minorHAnsi"/>
                <w:bCs/>
                <w:sz w:val="22"/>
                <w:szCs w:val="22"/>
                <w:lang w:val="fr-FR" w:eastAsia="fr-FR"/>
              </w:rPr>
              <w:t xml:space="preserve"> </w:t>
            </w:r>
            <w:r w:rsidR="004D3B09" w:rsidRPr="001961B1">
              <w:rPr>
                <w:rFonts w:asciiTheme="minorHAnsi" w:hAnsiTheme="minorHAnsi" w:cstheme="minorHAnsi"/>
                <w:bCs/>
                <w:sz w:val="22"/>
                <w:szCs w:val="22"/>
                <w:lang w:val="fr-FR" w:eastAsia="fr-FR"/>
              </w:rPr>
              <w:t>9.a</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10.6</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15.a</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15.b</w:t>
            </w:r>
            <w:r w:rsidR="002659BD" w:rsidRPr="001961B1">
              <w:rPr>
                <w:rFonts w:asciiTheme="minorHAnsi" w:hAnsiTheme="minorHAnsi" w:cstheme="minorHAnsi"/>
                <w:bCs/>
                <w:sz w:val="22"/>
                <w:szCs w:val="22"/>
                <w:lang w:val="fr-FR" w:eastAsia="fr-FR"/>
              </w:rPr>
              <w:t xml:space="preserve"> </w:t>
            </w:r>
            <w:r w:rsidR="00C93951" w:rsidRPr="001961B1">
              <w:rPr>
                <w:rFonts w:asciiTheme="minorHAnsi" w:hAnsiTheme="minorHAnsi" w:cstheme="minorHAnsi"/>
                <w:bCs/>
                <w:sz w:val="22"/>
                <w:szCs w:val="22"/>
                <w:lang w:val="fr-FR" w:eastAsia="fr-FR"/>
              </w:rPr>
              <w:t>et</w:t>
            </w:r>
            <w:r w:rsidR="002659BD" w:rsidRPr="001961B1">
              <w:rPr>
                <w:rFonts w:asciiTheme="minorHAnsi" w:hAnsiTheme="minorHAnsi" w:cstheme="minorHAnsi"/>
                <w:bCs/>
                <w:sz w:val="22"/>
                <w:szCs w:val="22"/>
                <w:lang w:val="fr-FR" w:eastAsia="fr-FR"/>
              </w:rPr>
              <w:t xml:space="preserve"> </w:t>
            </w:r>
            <w:r w:rsidR="004D3B09" w:rsidRPr="001961B1">
              <w:rPr>
                <w:rFonts w:asciiTheme="minorHAnsi" w:hAnsiTheme="minorHAnsi" w:cstheme="minorHAnsi"/>
                <w:bCs/>
                <w:sz w:val="22"/>
                <w:szCs w:val="22"/>
                <w:lang w:val="fr-FR" w:eastAsia="fr-FR"/>
              </w:rPr>
              <w:t>17.3</w:t>
            </w:r>
            <w:r w:rsidR="00C93951" w:rsidRPr="001961B1">
              <w:rPr>
                <w:rFonts w:asciiTheme="minorHAnsi" w:hAnsiTheme="minorHAnsi" w:cstheme="minorHAnsi"/>
                <w:bCs/>
                <w:sz w:val="22"/>
                <w:szCs w:val="22"/>
                <w:lang w:val="fr-FR" w:eastAsia="fr-FR"/>
              </w:rPr>
              <w:t xml:space="preserve"> des ODD</w:t>
            </w:r>
            <w:r w:rsidR="002659BD" w:rsidRPr="001961B1">
              <w:rPr>
                <w:rFonts w:asciiTheme="minorHAnsi" w:hAnsiTheme="minorHAnsi" w:cstheme="minorHAnsi"/>
                <w:bCs/>
                <w:sz w:val="22"/>
                <w:szCs w:val="22"/>
                <w:lang w:val="fr-FR" w:eastAsia="fr-FR"/>
              </w:rPr>
              <w:t>.</w:t>
            </w:r>
          </w:p>
        </w:tc>
      </w:tr>
    </w:tbl>
    <w:p w14:paraId="59DEED91" w14:textId="77777777" w:rsidR="00AC0EBD" w:rsidRPr="001961B1" w:rsidRDefault="00AC0EBD" w:rsidP="000D551C">
      <w:pPr>
        <w:keepNext/>
        <w:rPr>
          <w:rFonts w:asciiTheme="minorHAnsi" w:hAnsiTheme="minorHAnsi" w:cstheme="minorHAnsi"/>
          <w:b/>
          <w:bCs/>
          <w:sz w:val="22"/>
          <w:szCs w:val="22"/>
          <w:lang w:val="fr-FR"/>
        </w:rPr>
      </w:pPr>
    </w:p>
    <w:p w14:paraId="655DAA87" w14:textId="72E8FAC9" w:rsidR="006E3DD3"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p>
    <w:p w14:paraId="3A53B77B" w14:textId="77777777" w:rsidR="00AC0EBD" w:rsidRPr="001961B1" w:rsidRDefault="00AC0EBD" w:rsidP="000D551C">
      <w:pPr>
        <w:keepNext/>
        <w:rPr>
          <w:rFonts w:asciiTheme="minorHAnsi" w:hAnsiTheme="minorHAnsi" w:cstheme="minorHAnsi"/>
          <w:sz w:val="22"/>
          <w:szCs w:val="22"/>
          <w:lang w:val="fr-FR" w:eastAsia="fr-FR"/>
        </w:rPr>
      </w:pPr>
    </w:p>
    <w:p w14:paraId="273E822C" w14:textId="3FC4F491" w:rsidR="0035473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4</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4F2BD8" w:rsidRPr="001961B1">
        <w:rPr>
          <w:rFonts w:asciiTheme="minorHAnsi" w:hAnsiTheme="minorHAnsi" w:cstheme="minorHAnsi"/>
          <w:sz w:val="22"/>
          <w:szCs w:val="22"/>
          <w:lang w:val="fr-FR" w:eastAsia="fr-FR"/>
        </w:rPr>
        <w:t>De plus en plus de Parties contractantes signalent des attributions budgétaires nationales pour la mise en œuvre de la Convention. La plupart des Parties ayant un</w:t>
      </w:r>
      <w:r w:rsidR="00C82A05" w:rsidRPr="001961B1">
        <w:rPr>
          <w:rFonts w:asciiTheme="minorHAnsi" w:hAnsiTheme="minorHAnsi" w:cstheme="minorHAnsi"/>
          <w:sz w:val="22"/>
          <w:szCs w:val="22"/>
          <w:lang w:val="fr-FR" w:eastAsia="fr-FR"/>
        </w:rPr>
        <w:t>e</w:t>
      </w:r>
      <w:r w:rsidR="004F2BD8" w:rsidRPr="001961B1">
        <w:rPr>
          <w:rFonts w:asciiTheme="minorHAnsi" w:hAnsiTheme="minorHAnsi" w:cstheme="minorHAnsi"/>
          <w:sz w:val="22"/>
          <w:szCs w:val="22"/>
          <w:lang w:val="fr-FR" w:eastAsia="fr-FR"/>
        </w:rPr>
        <w:t xml:space="preserve"> agence d’aide au développement fournissent un financement à des projets pour les zones humides dans d’autres pays mais la proportion de Parties qui reçoivent une aide au développement pour la conservation et la gestion des zones humides a diminué et se </w:t>
      </w:r>
      <w:r w:rsidR="00C82A05" w:rsidRPr="001961B1">
        <w:rPr>
          <w:rFonts w:asciiTheme="minorHAnsi" w:hAnsiTheme="minorHAnsi" w:cstheme="minorHAnsi"/>
          <w:sz w:val="22"/>
          <w:szCs w:val="22"/>
          <w:lang w:val="fr-FR" w:eastAsia="fr-FR"/>
        </w:rPr>
        <w:t>situe</w:t>
      </w:r>
      <w:r w:rsidR="004F2BD8" w:rsidRPr="001961B1">
        <w:rPr>
          <w:rFonts w:asciiTheme="minorHAnsi" w:hAnsiTheme="minorHAnsi" w:cstheme="minorHAnsi"/>
          <w:sz w:val="22"/>
          <w:szCs w:val="22"/>
          <w:lang w:val="fr-FR" w:eastAsia="fr-FR"/>
        </w:rPr>
        <w:t xml:space="preserve"> en dessous de la référence. On constate une augmentation globale de la valeur totale des contributions volontaires non administratives fournies au Secrétariat.</w:t>
      </w:r>
    </w:p>
    <w:p w14:paraId="67719FA4" w14:textId="77777777" w:rsidR="00FF5E09" w:rsidRPr="001961B1" w:rsidRDefault="00FF5E09" w:rsidP="00CD3F6B">
      <w:pPr>
        <w:pStyle w:val="ListParagraph"/>
        <w:spacing w:after="0" w:line="240" w:lineRule="auto"/>
        <w:rPr>
          <w:rFonts w:cstheme="minorHAnsi"/>
          <w:lang w:val="fr-FR"/>
        </w:rPr>
      </w:pPr>
    </w:p>
    <w:tbl>
      <w:tblPr>
        <w:tblStyle w:val="TableGrid33"/>
        <w:tblW w:w="9353" w:type="dxa"/>
        <w:tblInd w:w="-147" w:type="dxa"/>
        <w:tblLook w:val="04A0" w:firstRow="1" w:lastRow="0" w:firstColumn="1" w:lastColumn="0" w:noHBand="0" w:noVBand="1"/>
      </w:tblPr>
      <w:tblGrid>
        <w:gridCol w:w="4426"/>
        <w:gridCol w:w="1130"/>
        <w:gridCol w:w="820"/>
        <w:gridCol w:w="820"/>
        <w:gridCol w:w="820"/>
        <w:gridCol w:w="1337"/>
      </w:tblGrid>
      <w:tr w:rsidR="0091225F" w:rsidRPr="001961B1" w14:paraId="06D7778A" w14:textId="77777777" w:rsidTr="00FE33C7">
        <w:trPr>
          <w:cantSplit/>
        </w:trPr>
        <w:tc>
          <w:tcPr>
            <w:tcW w:w="0" w:type="auto"/>
            <w:vAlign w:val="center"/>
            <w:hideMark/>
          </w:tcPr>
          <w:p w14:paraId="7575F444" w14:textId="41E71528"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630F8A"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vAlign w:val="center"/>
            <w:hideMark/>
          </w:tcPr>
          <w:p w14:paraId="3C493360" w14:textId="4E2E842A" w:rsidR="0091225F" w:rsidRPr="001961B1" w:rsidRDefault="00630F8A" w:rsidP="00FE33C7">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0" w:type="auto"/>
            <w:vAlign w:val="center"/>
            <w:hideMark/>
          </w:tcPr>
          <w:p w14:paraId="5F44CC54" w14:textId="77777777" w:rsidR="0091225F" w:rsidRPr="001961B1" w:rsidRDefault="0091225F" w:rsidP="00FE33C7">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0" w:type="auto"/>
            <w:vAlign w:val="center"/>
            <w:hideMark/>
          </w:tcPr>
          <w:p w14:paraId="6D5FA647" w14:textId="77777777" w:rsidR="0091225F" w:rsidRPr="001961B1" w:rsidRDefault="0091225F" w:rsidP="00FE33C7">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0" w:type="auto"/>
            <w:vAlign w:val="center"/>
            <w:hideMark/>
          </w:tcPr>
          <w:p w14:paraId="097AE3FD" w14:textId="77777777" w:rsidR="0091225F" w:rsidRPr="001961B1" w:rsidRDefault="0091225F" w:rsidP="00FE33C7">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0" w:type="auto"/>
            <w:vAlign w:val="center"/>
            <w:hideMark/>
          </w:tcPr>
          <w:p w14:paraId="4A890D7E" w14:textId="2F0F8F85" w:rsidR="0091225F" w:rsidRPr="001961B1" w:rsidRDefault="00630F8A" w:rsidP="00FE33C7">
            <w:pPr>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Tendance</w:t>
            </w:r>
          </w:p>
        </w:tc>
      </w:tr>
      <w:tr w:rsidR="0091225F" w:rsidRPr="001961B1" w14:paraId="4D1E0D93" w14:textId="77777777" w:rsidTr="00FE33C7">
        <w:trPr>
          <w:cantSplit/>
        </w:trPr>
        <w:tc>
          <w:tcPr>
            <w:tcW w:w="0" w:type="auto"/>
          </w:tcPr>
          <w:p w14:paraId="131197AB" w14:textId="68B7D8CC" w:rsidR="00372A5E"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contractantes ayant fourni un appui financier supplémentaire sous forme de contributions volontaires aux activités de la Convention non financées par le budget administratif</w:t>
            </w:r>
            <w:r w:rsidRPr="001961B1">
              <w:rPr>
                <w:rFonts w:asciiTheme="minorHAnsi" w:eastAsia="Aptos" w:hAnsiTheme="minorHAnsi" w:cstheme="minorHAnsi"/>
                <w:sz w:val="22"/>
                <w:szCs w:val="22"/>
                <w:lang w:val="fr-FR"/>
              </w:rPr>
              <w:t>.</w:t>
            </w:r>
            <w:r w:rsidR="006C3719" w:rsidRPr="001961B1">
              <w:rPr>
                <w:rFonts w:asciiTheme="minorHAnsi" w:eastAsia="Aptos" w:hAnsiTheme="minorHAnsi" w:cstheme="minorHAnsi"/>
                <w:sz w:val="22"/>
                <w:szCs w:val="22"/>
                <w:lang w:val="fr-FR"/>
              </w:rPr>
              <w:t xml:space="preserve"> </w:t>
            </w:r>
          </w:p>
        </w:tc>
        <w:tc>
          <w:tcPr>
            <w:tcW w:w="0" w:type="auto"/>
          </w:tcPr>
          <w:p w14:paraId="45846293" w14:textId="0780001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21</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02C67D45" w14:textId="549017BE"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19</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13C067B5" w14:textId="36EBC65D"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5757419A" w14:textId="5AF3775D" w:rsidR="0091225F" w:rsidRPr="001961B1" w:rsidRDefault="002D0833"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w:t>
            </w:r>
            <w:r w:rsidR="00981F40" w:rsidRPr="001961B1">
              <w:rPr>
                <w:rFonts w:asciiTheme="minorHAnsi" w:eastAsia="Aptos" w:hAnsiTheme="minorHAnsi" w:cstheme="minorHAnsi"/>
                <w:b/>
                <w:bCs/>
                <w:sz w:val="22"/>
                <w:szCs w:val="22"/>
              </w:rPr>
              <w:t>*</w:t>
            </w:r>
          </w:p>
        </w:tc>
        <w:tc>
          <w:tcPr>
            <w:tcW w:w="0" w:type="auto"/>
            <w:vAlign w:val="center"/>
          </w:tcPr>
          <w:p w14:paraId="497CA04A" w14:textId="22E2BD49" w:rsidR="0091225F" w:rsidRPr="001961B1" w:rsidRDefault="00C67DDD" w:rsidP="00FE33C7">
            <w:pPr>
              <w:jc w:val="cente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3A4BC393" wp14:editId="02E805D1">
                  <wp:extent cx="568200" cy="432000"/>
                  <wp:effectExtent l="0" t="0" r="0" b="0"/>
                  <wp:docPr id="72892544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r w:rsidR="0091225F" w:rsidRPr="001961B1" w14:paraId="0422AD44" w14:textId="77777777" w:rsidTr="00FE33C7">
        <w:trPr>
          <w:cantSplit/>
        </w:trPr>
        <w:tc>
          <w:tcPr>
            <w:tcW w:w="0" w:type="auto"/>
          </w:tcPr>
          <w:p w14:paraId="14FBA050" w14:textId="2745BFCD"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C93951" w:rsidRPr="001961B1">
              <w:rPr>
                <w:rFonts w:asciiTheme="minorHAnsi" w:eastAsia="Aptos" w:hAnsiTheme="minorHAnsi" w:cstheme="minorHAnsi"/>
                <w:sz w:val="22"/>
                <w:szCs w:val="22"/>
                <w:lang w:val="fr-FR"/>
              </w:rPr>
              <w:t>de Parties ayant reçu un appui financier d’organismes d’aide au développement pour la conservation et la gestion de leurs zones humides</w:t>
            </w:r>
            <w:r w:rsidRPr="001961B1">
              <w:rPr>
                <w:rFonts w:asciiTheme="minorHAnsi" w:eastAsia="Aptos" w:hAnsiTheme="minorHAnsi" w:cstheme="minorHAnsi"/>
                <w:sz w:val="22"/>
                <w:szCs w:val="22"/>
                <w:lang w:val="fr-FR"/>
              </w:rPr>
              <w:t>.</w:t>
            </w:r>
          </w:p>
        </w:tc>
        <w:tc>
          <w:tcPr>
            <w:tcW w:w="0" w:type="auto"/>
          </w:tcPr>
          <w:p w14:paraId="3EC9EEB3" w14:textId="0E25BEAC"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40</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63D70F3C" w14:textId="59107AA4"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28</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4C705234" w14:textId="683DBB38"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29</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tcPr>
          <w:p w14:paraId="0C0E73D4" w14:textId="234444CA"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26</w:t>
            </w:r>
            <w:r w:rsidR="004F2BD8"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0" w:type="auto"/>
            <w:vAlign w:val="center"/>
          </w:tcPr>
          <w:p w14:paraId="217E44D0" w14:textId="2BEF1AB9" w:rsidR="0091225F" w:rsidRPr="001961B1" w:rsidRDefault="00373FE0" w:rsidP="00FE33C7">
            <w:pPr>
              <w:jc w:val="cente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470310B2" wp14:editId="11442D71">
                  <wp:extent cx="712200" cy="432000"/>
                  <wp:effectExtent l="0" t="0" r="0" b="0"/>
                  <wp:docPr id="1454484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83FE556" w14:textId="5472F01D" w:rsidR="002D0833" w:rsidRPr="001961B1" w:rsidRDefault="00981F40"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354C1A" w:rsidRPr="001961B1">
        <w:rPr>
          <w:rFonts w:asciiTheme="minorHAnsi" w:hAnsiTheme="minorHAnsi" w:cstheme="minorHAnsi"/>
          <w:sz w:val="22"/>
          <w:szCs w:val="22"/>
          <w:lang w:val="fr-FR"/>
        </w:rPr>
        <w:t>d</w:t>
      </w:r>
      <w:r w:rsidR="00C93951" w:rsidRPr="001961B1">
        <w:rPr>
          <w:rFonts w:asciiTheme="minorHAnsi" w:hAnsiTheme="minorHAnsi" w:cstheme="minorHAnsi"/>
          <w:sz w:val="22"/>
          <w:szCs w:val="22"/>
          <w:lang w:val="fr-FR"/>
        </w:rPr>
        <w:t>onnées non disponibles</w:t>
      </w:r>
      <w:r w:rsidR="26CB7D14" w:rsidRPr="001961B1">
        <w:rPr>
          <w:rFonts w:asciiTheme="minorHAnsi" w:hAnsiTheme="minorHAnsi" w:cstheme="minorHAnsi"/>
          <w:sz w:val="22"/>
          <w:szCs w:val="22"/>
          <w:lang w:val="fr-FR"/>
        </w:rPr>
        <w:t xml:space="preserve"> – </w:t>
      </w:r>
      <w:r w:rsidR="00C93951" w:rsidRPr="001961B1">
        <w:rPr>
          <w:rFonts w:asciiTheme="minorHAnsi" w:hAnsiTheme="minorHAnsi" w:cstheme="minorHAnsi"/>
          <w:sz w:val="22"/>
          <w:szCs w:val="22"/>
          <w:lang w:val="fr-FR"/>
        </w:rPr>
        <w:t xml:space="preserve">la </w:t>
      </w:r>
      <w:r w:rsidR="3D8EA396" w:rsidRPr="001961B1">
        <w:rPr>
          <w:rFonts w:asciiTheme="minorHAnsi" w:hAnsiTheme="minorHAnsi" w:cstheme="minorHAnsi"/>
          <w:sz w:val="22"/>
          <w:szCs w:val="22"/>
          <w:lang w:val="fr-FR"/>
        </w:rPr>
        <w:t>question</w:t>
      </w:r>
      <w:r w:rsidR="00B84A11" w:rsidRPr="001961B1">
        <w:rPr>
          <w:rFonts w:asciiTheme="minorHAnsi" w:hAnsiTheme="minorHAnsi" w:cstheme="minorHAnsi"/>
          <w:sz w:val="22"/>
          <w:szCs w:val="22"/>
          <w:lang w:val="fr-FR"/>
        </w:rPr>
        <w:t xml:space="preserve"> </w:t>
      </w:r>
      <w:r w:rsidR="00C93951" w:rsidRPr="001961B1">
        <w:rPr>
          <w:rFonts w:asciiTheme="minorHAnsi" w:hAnsiTheme="minorHAnsi" w:cstheme="minorHAnsi"/>
          <w:sz w:val="22"/>
          <w:szCs w:val="22"/>
          <w:lang w:val="fr-FR"/>
        </w:rPr>
        <w:t xml:space="preserve">ne figurait pas dans </w:t>
      </w:r>
      <w:r w:rsidR="00AC4205" w:rsidRPr="001961B1">
        <w:rPr>
          <w:rFonts w:asciiTheme="minorHAnsi" w:hAnsiTheme="minorHAnsi" w:cstheme="minorHAnsi"/>
          <w:sz w:val="22"/>
          <w:szCs w:val="22"/>
          <w:lang w:val="fr-FR"/>
        </w:rPr>
        <w:t xml:space="preserve">le </w:t>
      </w:r>
      <w:r w:rsidR="00C82A05" w:rsidRPr="001961B1">
        <w:rPr>
          <w:rFonts w:asciiTheme="minorHAnsi" w:hAnsiTheme="minorHAnsi" w:cstheme="minorHAnsi"/>
          <w:sz w:val="22"/>
          <w:szCs w:val="22"/>
          <w:lang w:val="fr-FR"/>
        </w:rPr>
        <w:t>Formulaire</w:t>
      </w:r>
      <w:r w:rsidR="001F478E" w:rsidRPr="001961B1">
        <w:rPr>
          <w:rFonts w:asciiTheme="minorHAnsi" w:hAnsiTheme="minorHAnsi" w:cstheme="minorHAnsi"/>
          <w:sz w:val="22"/>
          <w:szCs w:val="22"/>
          <w:lang w:val="fr-FR"/>
        </w:rPr>
        <w:t xml:space="preserve"> d</w:t>
      </w:r>
      <w:r w:rsidR="00C82A05" w:rsidRPr="001961B1">
        <w:rPr>
          <w:rFonts w:asciiTheme="minorHAnsi" w:hAnsiTheme="minorHAnsi" w:cstheme="minorHAnsi"/>
          <w:sz w:val="22"/>
          <w:szCs w:val="22"/>
          <w:lang w:val="fr-FR"/>
        </w:rPr>
        <w:t>e</w:t>
      </w:r>
      <w:r w:rsidR="001F478E" w:rsidRPr="001961B1">
        <w:rPr>
          <w:rFonts w:asciiTheme="minorHAnsi" w:hAnsiTheme="minorHAnsi" w:cstheme="minorHAnsi"/>
          <w:sz w:val="22"/>
          <w:szCs w:val="22"/>
          <w:lang w:val="fr-FR"/>
        </w:rPr>
        <w:t xml:space="preserve"> Rapport national</w:t>
      </w:r>
      <w:r w:rsidR="00AC4205" w:rsidRPr="001961B1">
        <w:rPr>
          <w:rFonts w:asciiTheme="minorHAnsi" w:hAnsiTheme="minorHAnsi" w:cstheme="minorHAnsi"/>
          <w:sz w:val="22"/>
          <w:szCs w:val="22"/>
          <w:lang w:val="fr-FR"/>
        </w:rPr>
        <w:t xml:space="preserve"> pour la</w:t>
      </w:r>
      <w:r w:rsidR="00B2218A" w:rsidRPr="001961B1">
        <w:rPr>
          <w:rFonts w:asciiTheme="minorHAnsi" w:hAnsiTheme="minorHAnsi" w:cstheme="minorHAnsi"/>
          <w:sz w:val="22"/>
          <w:szCs w:val="22"/>
          <w:lang w:val="fr-FR"/>
        </w:rPr>
        <w:t xml:space="preserve"> </w:t>
      </w:r>
      <w:r w:rsidR="26CB7D14" w:rsidRPr="001961B1">
        <w:rPr>
          <w:rFonts w:asciiTheme="minorHAnsi" w:hAnsiTheme="minorHAnsi" w:cstheme="minorHAnsi"/>
          <w:sz w:val="22"/>
          <w:szCs w:val="22"/>
          <w:lang w:val="fr-FR"/>
        </w:rPr>
        <w:t xml:space="preserve">COP15  </w:t>
      </w:r>
    </w:p>
    <w:p w14:paraId="143B6BE7" w14:textId="77777777" w:rsidR="00016373" w:rsidRPr="001961B1" w:rsidRDefault="00016373" w:rsidP="00CD3F6B">
      <w:pPr>
        <w:rPr>
          <w:rFonts w:asciiTheme="minorHAnsi" w:hAnsiTheme="minorHAnsi" w:cstheme="minorHAnsi"/>
          <w:b/>
          <w:bCs/>
          <w:sz w:val="22"/>
          <w:szCs w:val="22"/>
          <w:lang w:val="fr-FR"/>
        </w:rPr>
      </w:pPr>
    </w:p>
    <w:p w14:paraId="6EAFFDD8" w14:textId="13F5CA9F" w:rsidR="00D2049E"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F94CCD" w:rsidRPr="001961B1">
        <w:rPr>
          <w:rFonts w:asciiTheme="minorHAnsi" w:hAnsiTheme="minorHAnsi" w:cstheme="minorHAnsi"/>
          <w:i/>
          <w:iCs/>
          <w:sz w:val="22"/>
          <w:szCs w:val="22"/>
          <w:u w:val="single"/>
          <w:lang w:val="fr-FR"/>
        </w:rPr>
        <w:t xml:space="preserve"> </w:t>
      </w:r>
    </w:p>
    <w:p w14:paraId="074F914C" w14:textId="77777777" w:rsidR="00FF5E09" w:rsidRPr="001961B1" w:rsidRDefault="00FF5E09" w:rsidP="000D551C">
      <w:pPr>
        <w:keepNext/>
        <w:rPr>
          <w:rFonts w:asciiTheme="minorHAnsi" w:hAnsiTheme="minorHAnsi" w:cstheme="minorHAnsi"/>
          <w:sz w:val="22"/>
          <w:szCs w:val="22"/>
          <w:lang w:val="fr-FR" w:eastAsia="fr-FR"/>
        </w:rPr>
      </w:pPr>
    </w:p>
    <w:p w14:paraId="76E00A60" w14:textId="185B2C60" w:rsidR="00F367F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5</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F70B9C" w:rsidRPr="001961B1">
        <w:rPr>
          <w:rFonts w:asciiTheme="minorHAnsi" w:hAnsiTheme="minorHAnsi" w:cstheme="minorHAnsi"/>
          <w:sz w:val="22"/>
          <w:szCs w:val="22"/>
          <w:lang w:val="fr-FR" w:eastAsia="fr-FR"/>
        </w:rPr>
        <w:t xml:space="preserve">Dans les Rapports nationaux soumis pour la COP15, on peut observer une très forte augmentation du nombre de Parties contractantes signalant attribuer un appui financier du budget national pour faciliter la mise en œuvre de la Convention et de son Plan stratégique – de 23 % pour la COP13 à 26 % pour la COP14 et jusqu’à 70 % pour la COP15. Bien que ce soit une tendance positive, il est possible qu’elle soit due en partie au changement dans la manière dont les Parties font rapport en raison d’une formulation différente de la question dans le </w:t>
      </w:r>
      <w:r w:rsidR="000708BA" w:rsidRPr="001961B1">
        <w:rPr>
          <w:rFonts w:asciiTheme="minorHAnsi" w:hAnsiTheme="minorHAnsi" w:cstheme="minorHAnsi"/>
          <w:sz w:val="22"/>
          <w:szCs w:val="22"/>
          <w:lang w:val="fr-FR" w:eastAsia="fr-FR"/>
        </w:rPr>
        <w:t>F</w:t>
      </w:r>
      <w:r w:rsidR="00F70B9C" w:rsidRPr="001961B1">
        <w:rPr>
          <w:rFonts w:asciiTheme="minorHAnsi" w:hAnsiTheme="minorHAnsi" w:cstheme="minorHAnsi"/>
          <w:sz w:val="22"/>
          <w:szCs w:val="22"/>
          <w:lang w:val="fr-FR" w:eastAsia="fr-FR"/>
        </w:rPr>
        <w:t xml:space="preserve">ormulaire </w:t>
      </w:r>
      <w:r w:rsidR="000708BA" w:rsidRPr="001961B1">
        <w:rPr>
          <w:rFonts w:asciiTheme="minorHAnsi" w:hAnsiTheme="minorHAnsi" w:cstheme="minorHAnsi"/>
          <w:sz w:val="22"/>
          <w:szCs w:val="22"/>
          <w:lang w:val="fr-FR" w:eastAsia="fr-FR"/>
        </w:rPr>
        <w:t>de R</w:t>
      </w:r>
      <w:r w:rsidR="00936ADC" w:rsidRPr="001961B1">
        <w:rPr>
          <w:rFonts w:asciiTheme="minorHAnsi" w:hAnsiTheme="minorHAnsi" w:cstheme="minorHAnsi"/>
          <w:sz w:val="22"/>
          <w:szCs w:val="22"/>
          <w:lang w:val="fr-FR" w:eastAsia="fr-FR"/>
        </w:rPr>
        <w:t>apport nationa</w:t>
      </w:r>
      <w:r w:rsidR="000708BA" w:rsidRPr="001961B1">
        <w:rPr>
          <w:rFonts w:asciiTheme="minorHAnsi" w:hAnsiTheme="minorHAnsi" w:cstheme="minorHAnsi"/>
          <w:sz w:val="22"/>
          <w:szCs w:val="22"/>
          <w:lang w:val="fr-FR" w:eastAsia="fr-FR"/>
        </w:rPr>
        <w:t>l</w:t>
      </w:r>
      <w:r w:rsidR="00936ADC" w:rsidRPr="001961B1">
        <w:rPr>
          <w:rFonts w:asciiTheme="minorHAnsi" w:hAnsiTheme="minorHAnsi" w:cstheme="minorHAnsi"/>
          <w:sz w:val="22"/>
          <w:szCs w:val="22"/>
          <w:lang w:val="fr-FR" w:eastAsia="fr-FR"/>
        </w:rPr>
        <w:t xml:space="preserve"> à la COP15.</w:t>
      </w:r>
      <w:r w:rsidR="00212D83" w:rsidRPr="001961B1">
        <w:rPr>
          <w:rFonts w:asciiTheme="minorHAnsi" w:hAnsiTheme="minorHAnsi" w:cstheme="minorHAnsi"/>
          <w:sz w:val="22"/>
          <w:szCs w:val="22"/>
          <w:lang w:val="fr-FR" w:eastAsia="fr-FR"/>
        </w:rPr>
        <w:t xml:space="preserve"> </w:t>
      </w:r>
    </w:p>
    <w:p w14:paraId="41478E60" w14:textId="77777777" w:rsidR="00F367F2" w:rsidRPr="001961B1" w:rsidRDefault="00F367F2" w:rsidP="00257025">
      <w:pPr>
        <w:ind w:left="567" w:hanging="567"/>
        <w:rPr>
          <w:rFonts w:asciiTheme="minorHAnsi" w:hAnsiTheme="minorHAnsi" w:cstheme="minorHAnsi"/>
          <w:sz w:val="22"/>
          <w:szCs w:val="22"/>
          <w:lang w:val="fr-FR" w:eastAsia="fr-FR"/>
        </w:rPr>
      </w:pPr>
    </w:p>
    <w:p w14:paraId="4CD7F1BB" w14:textId="1A51B654" w:rsidR="00F93F94"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6</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8039EB" w:rsidRPr="001961B1">
        <w:rPr>
          <w:rFonts w:asciiTheme="minorHAnsi" w:hAnsiTheme="minorHAnsi" w:cstheme="minorHAnsi"/>
          <w:sz w:val="22"/>
          <w:szCs w:val="22"/>
          <w:lang w:val="fr-FR" w:eastAsia="fr-FR"/>
        </w:rPr>
        <w:t>L</w:t>
      </w:r>
      <w:r w:rsidR="00026992" w:rsidRPr="001961B1">
        <w:rPr>
          <w:rFonts w:asciiTheme="minorHAnsi" w:hAnsiTheme="minorHAnsi" w:cstheme="minorHAnsi"/>
          <w:sz w:val="22"/>
          <w:szCs w:val="22"/>
          <w:lang w:val="fr-FR" w:eastAsia="fr-FR"/>
        </w:rPr>
        <w:t>a proportion de Parties contractantes fournissant un financement pour soutenir la conservation et la gestion des zones humides dans d’autres pays</w:t>
      </w:r>
      <w:r w:rsidR="008039EB" w:rsidRPr="001961B1">
        <w:rPr>
          <w:rFonts w:asciiTheme="minorHAnsi" w:hAnsiTheme="minorHAnsi" w:cstheme="minorHAnsi"/>
          <w:sz w:val="22"/>
          <w:szCs w:val="22"/>
          <w:lang w:val="fr-FR" w:eastAsia="fr-FR"/>
        </w:rPr>
        <w:t xml:space="preserve"> a considérablement augmenté</w:t>
      </w:r>
      <w:r w:rsidR="00026992" w:rsidRPr="001961B1">
        <w:rPr>
          <w:rFonts w:asciiTheme="minorHAnsi" w:hAnsiTheme="minorHAnsi" w:cstheme="minorHAnsi"/>
          <w:sz w:val="22"/>
          <w:szCs w:val="22"/>
          <w:lang w:val="fr-FR" w:eastAsia="fr-FR"/>
        </w:rPr>
        <w:t xml:space="preserve">, </w:t>
      </w:r>
      <w:r w:rsidR="008039EB" w:rsidRPr="001961B1">
        <w:rPr>
          <w:rFonts w:asciiTheme="minorHAnsi" w:hAnsiTheme="minorHAnsi" w:cstheme="minorHAnsi"/>
          <w:sz w:val="22"/>
          <w:szCs w:val="22"/>
          <w:lang w:val="fr-FR" w:eastAsia="fr-FR"/>
        </w:rPr>
        <w:t>de</w:t>
      </w:r>
      <w:r w:rsidR="00026992" w:rsidRPr="001961B1">
        <w:rPr>
          <w:rFonts w:asciiTheme="minorHAnsi" w:hAnsiTheme="minorHAnsi" w:cstheme="minorHAnsi"/>
          <w:sz w:val="22"/>
          <w:szCs w:val="22"/>
          <w:lang w:val="fr-FR" w:eastAsia="fr-FR"/>
        </w:rPr>
        <w:t xml:space="preserve"> 11 % à la COP13 et 14 % à la COP14</w:t>
      </w:r>
      <w:r w:rsidR="008039EB" w:rsidRPr="001961B1">
        <w:rPr>
          <w:rFonts w:asciiTheme="minorHAnsi" w:hAnsiTheme="minorHAnsi" w:cstheme="minorHAnsi"/>
          <w:sz w:val="22"/>
          <w:szCs w:val="22"/>
          <w:lang w:val="fr-FR" w:eastAsia="fr-FR"/>
        </w:rPr>
        <w:t xml:space="preserve"> à 27 % à la COP15</w:t>
      </w:r>
      <w:r w:rsidR="00026992" w:rsidRPr="001961B1">
        <w:rPr>
          <w:rFonts w:asciiTheme="minorHAnsi" w:hAnsiTheme="minorHAnsi" w:cstheme="minorHAnsi"/>
          <w:sz w:val="22"/>
          <w:szCs w:val="22"/>
          <w:lang w:val="fr-FR" w:eastAsia="fr-FR"/>
        </w:rPr>
        <w:t xml:space="preserve">, </w:t>
      </w:r>
      <w:r w:rsidR="00C37D04" w:rsidRPr="001961B1">
        <w:rPr>
          <w:rFonts w:asciiTheme="minorHAnsi" w:hAnsiTheme="minorHAnsi" w:cstheme="minorHAnsi"/>
          <w:sz w:val="22"/>
          <w:szCs w:val="22"/>
          <w:lang w:val="fr-FR" w:eastAsia="fr-FR"/>
        </w:rPr>
        <w:t>correspondant à</w:t>
      </w:r>
      <w:r w:rsidR="00026992" w:rsidRPr="001961B1">
        <w:rPr>
          <w:rFonts w:asciiTheme="minorHAnsi" w:hAnsiTheme="minorHAnsi" w:cstheme="minorHAnsi"/>
          <w:sz w:val="22"/>
          <w:szCs w:val="22"/>
          <w:lang w:val="fr-FR" w:eastAsia="fr-FR"/>
        </w:rPr>
        <w:t xml:space="preserve"> environ 95 % des Parties à la Convention ayant une agence d’aide au développement. La plupart signalent aussi que les propositions de développement sont soumises à des </w:t>
      </w:r>
      <w:r w:rsidR="00642313" w:rsidRPr="001961B1">
        <w:rPr>
          <w:rFonts w:asciiTheme="minorHAnsi" w:hAnsiTheme="minorHAnsi" w:cstheme="minorHAnsi"/>
          <w:sz w:val="22"/>
          <w:szCs w:val="22"/>
          <w:lang w:val="fr-FR" w:eastAsia="fr-FR"/>
        </w:rPr>
        <w:t xml:space="preserve">mesures de </w:t>
      </w:r>
      <w:r w:rsidR="00026992" w:rsidRPr="001961B1">
        <w:rPr>
          <w:rFonts w:asciiTheme="minorHAnsi" w:hAnsiTheme="minorHAnsi" w:cstheme="minorHAnsi"/>
          <w:sz w:val="22"/>
          <w:szCs w:val="22"/>
          <w:lang w:val="fr-FR" w:eastAsia="fr-FR"/>
        </w:rPr>
        <w:t xml:space="preserve">sauvegarde et </w:t>
      </w:r>
      <w:r w:rsidR="00642313" w:rsidRPr="001961B1">
        <w:rPr>
          <w:rFonts w:asciiTheme="minorHAnsi" w:hAnsiTheme="minorHAnsi" w:cstheme="minorHAnsi"/>
          <w:sz w:val="22"/>
          <w:szCs w:val="22"/>
          <w:lang w:val="fr-FR" w:eastAsia="fr-FR"/>
        </w:rPr>
        <w:t>d’</w:t>
      </w:r>
      <w:r w:rsidR="00026992" w:rsidRPr="001961B1">
        <w:rPr>
          <w:rFonts w:asciiTheme="minorHAnsi" w:hAnsiTheme="minorHAnsi" w:cstheme="minorHAnsi"/>
          <w:sz w:val="22"/>
          <w:szCs w:val="22"/>
          <w:lang w:val="fr-FR" w:eastAsia="fr-FR"/>
        </w:rPr>
        <w:t>évaluation de l’environnement.</w:t>
      </w:r>
      <w:r w:rsidR="00A11A6C" w:rsidRPr="001961B1">
        <w:rPr>
          <w:rFonts w:asciiTheme="minorHAnsi" w:hAnsiTheme="minorHAnsi" w:cstheme="minorHAnsi"/>
          <w:sz w:val="22"/>
          <w:szCs w:val="22"/>
          <w:lang w:val="fr-FR" w:eastAsia="fr-FR"/>
        </w:rPr>
        <w:t xml:space="preserve"> </w:t>
      </w:r>
    </w:p>
    <w:p w14:paraId="1E22CC23" w14:textId="77777777" w:rsidR="00F93F94" w:rsidRPr="001961B1" w:rsidRDefault="00F93F94" w:rsidP="00257025">
      <w:pPr>
        <w:ind w:left="567" w:hanging="567"/>
        <w:rPr>
          <w:rFonts w:asciiTheme="minorHAnsi" w:hAnsiTheme="minorHAnsi" w:cstheme="minorHAnsi"/>
          <w:sz w:val="22"/>
          <w:szCs w:val="22"/>
          <w:lang w:val="fr-FR" w:eastAsia="fr-FR"/>
        </w:rPr>
      </w:pPr>
    </w:p>
    <w:p w14:paraId="426920EA" w14:textId="271B676D" w:rsidR="00945D5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7</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F7542D" w:rsidRPr="001961B1">
        <w:rPr>
          <w:rFonts w:asciiTheme="minorHAnsi" w:hAnsiTheme="minorHAnsi" w:cstheme="minorHAnsi"/>
          <w:sz w:val="22"/>
          <w:szCs w:val="22"/>
          <w:lang w:val="fr-FR" w:eastAsia="fr-FR"/>
        </w:rPr>
        <w:t>Cependant, la</w:t>
      </w:r>
      <w:r w:rsidR="00405B24" w:rsidRPr="001961B1">
        <w:rPr>
          <w:rFonts w:asciiTheme="minorHAnsi" w:hAnsiTheme="minorHAnsi" w:cstheme="minorHAnsi"/>
          <w:sz w:val="22"/>
          <w:szCs w:val="22"/>
          <w:lang w:val="fr-FR" w:eastAsia="fr-FR"/>
        </w:rPr>
        <w:t xml:space="preserve"> proportion </w:t>
      </w:r>
      <w:r w:rsidR="00F7542D" w:rsidRPr="001961B1">
        <w:rPr>
          <w:rFonts w:asciiTheme="minorHAnsi" w:hAnsiTheme="minorHAnsi" w:cstheme="minorHAnsi"/>
          <w:sz w:val="22"/>
          <w:szCs w:val="22"/>
          <w:lang w:val="fr-FR" w:eastAsia="fr-FR"/>
        </w:rPr>
        <w:t xml:space="preserve">de Parties contractantes signalant avoir reçu une aide au développement, en particulier pour la conservation et la gestion des zones humides du pays, a diminué légèrement, jusqu’à 26 % à la COP15. C’est bien </w:t>
      </w:r>
      <w:r w:rsidR="00CD1CA1" w:rsidRPr="001961B1">
        <w:rPr>
          <w:rFonts w:asciiTheme="minorHAnsi" w:hAnsiTheme="minorHAnsi" w:cstheme="minorHAnsi"/>
          <w:sz w:val="22"/>
          <w:szCs w:val="22"/>
          <w:lang w:val="fr-FR" w:eastAsia="fr-FR"/>
        </w:rPr>
        <w:t>inférieur à</w:t>
      </w:r>
      <w:r w:rsidR="00F7542D" w:rsidRPr="001961B1">
        <w:rPr>
          <w:rFonts w:asciiTheme="minorHAnsi" w:hAnsiTheme="minorHAnsi" w:cstheme="minorHAnsi"/>
          <w:sz w:val="22"/>
          <w:szCs w:val="22"/>
          <w:lang w:val="fr-FR" w:eastAsia="fr-FR"/>
        </w:rPr>
        <w:t xml:space="preserve"> la référence de 40 % définie dans le PS4. Un peu moins de 40 % des Parties d’Asie et d’Afrique signalent avoir reçu un financement de ce type, suivies par les Parties d’Amérique latine et Caraïbes (environ 30 %), et </w:t>
      </w:r>
      <w:r w:rsidR="00CD1CA1" w:rsidRPr="001961B1">
        <w:rPr>
          <w:rFonts w:asciiTheme="minorHAnsi" w:hAnsiTheme="minorHAnsi" w:cstheme="minorHAnsi"/>
          <w:sz w:val="22"/>
          <w:szCs w:val="22"/>
          <w:lang w:val="fr-FR" w:eastAsia="fr-FR"/>
        </w:rPr>
        <w:t>moins encore</w:t>
      </w:r>
      <w:r w:rsidR="00F7542D" w:rsidRPr="001961B1">
        <w:rPr>
          <w:rFonts w:asciiTheme="minorHAnsi" w:hAnsiTheme="minorHAnsi" w:cstheme="minorHAnsi"/>
          <w:sz w:val="22"/>
          <w:szCs w:val="22"/>
          <w:lang w:val="fr-FR" w:eastAsia="fr-FR"/>
        </w:rPr>
        <w:t xml:space="preserve"> dans d’autres régions.</w:t>
      </w:r>
      <w:r w:rsidR="008E0B83" w:rsidRPr="001961B1">
        <w:rPr>
          <w:rFonts w:asciiTheme="minorHAnsi" w:hAnsiTheme="minorHAnsi" w:cstheme="minorHAnsi"/>
          <w:sz w:val="22"/>
          <w:szCs w:val="22"/>
          <w:lang w:val="fr-FR" w:eastAsia="fr-FR"/>
        </w:rPr>
        <w:t xml:space="preserve"> </w:t>
      </w:r>
    </w:p>
    <w:p w14:paraId="6BE0D16A" w14:textId="77777777" w:rsidR="008E4BBC" w:rsidRPr="001961B1" w:rsidRDefault="008E4BBC" w:rsidP="00257025">
      <w:pPr>
        <w:ind w:left="567" w:hanging="567"/>
        <w:rPr>
          <w:rFonts w:asciiTheme="minorHAnsi" w:hAnsiTheme="minorHAnsi" w:cstheme="minorHAnsi"/>
          <w:sz w:val="22"/>
          <w:szCs w:val="22"/>
          <w:lang w:val="fr-FR" w:eastAsia="fr-FR"/>
        </w:rPr>
      </w:pPr>
    </w:p>
    <w:p w14:paraId="1198857B" w14:textId="14842B49" w:rsidR="0043351A"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10</w:t>
      </w:r>
      <w:r w:rsidR="00C32CF1" w:rsidRPr="001961B1">
        <w:rPr>
          <w:rFonts w:asciiTheme="minorHAnsi" w:hAnsiTheme="minorHAnsi" w:cstheme="minorHAnsi"/>
          <w:sz w:val="22"/>
          <w:szCs w:val="22"/>
          <w:lang w:val="fr-FR" w:eastAsia="fr-FR"/>
        </w:rPr>
        <w:t>8</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CD0FB3" w:rsidRPr="001961B1">
        <w:rPr>
          <w:rFonts w:asciiTheme="minorHAnsi" w:hAnsiTheme="minorHAnsi" w:cstheme="minorHAnsi"/>
          <w:sz w:val="22"/>
          <w:szCs w:val="22"/>
          <w:lang w:val="fr-FR" w:eastAsia="fr-FR"/>
        </w:rPr>
        <w:t>Au moment de</w:t>
      </w:r>
      <w:r w:rsidR="00BE2ACD" w:rsidRPr="001961B1">
        <w:rPr>
          <w:rFonts w:asciiTheme="minorHAnsi" w:hAnsiTheme="minorHAnsi" w:cstheme="minorHAnsi"/>
          <w:sz w:val="22"/>
          <w:szCs w:val="22"/>
          <w:lang w:val="fr-FR" w:eastAsia="fr-FR"/>
        </w:rPr>
        <w:t xml:space="preserve"> la </w:t>
      </w:r>
      <w:r w:rsidR="000A49C2" w:rsidRPr="001961B1">
        <w:rPr>
          <w:rFonts w:asciiTheme="minorHAnsi" w:hAnsiTheme="minorHAnsi" w:cstheme="minorHAnsi"/>
          <w:sz w:val="22"/>
          <w:szCs w:val="22"/>
          <w:lang w:val="fr-FR" w:eastAsia="fr-FR"/>
        </w:rPr>
        <w:t>COP15</w:t>
      </w:r>
      <w:r w:rsidR="00501596" w:rsidRPr="001961B1">
        <w:rPr>
          <w:rFonts w:asciiTheme="minorHAnsi" w:hAnsiTheme="minorHAnsi" w:cstheme="minorHAnsi"/>
          <w:sz w:val="22"/>
          <w:szCs w:val="22"/>
          <w:lang w:val="fr-FR" w:eastAsia="fr-FR"/>
        </w:rPr>
        <w:t>, 3</w:t>
      </w:r>
      <w:r w:rsidR="00806684" w:rsidRPr="001961B1">
        <w:rPr>
          <w:rFonts w:asciiTheme="minorHAnsi" w:hAnsiTheme="minorHAnsi" w:cstheme="minorHAnsi"/>
          <w:sz w:val="22"/>
          <w:szCs w:val="22"/>
          <w:lang w:val="fr-FR" w:eastAsia="fr-FR"/>
        </w:rPr>
        <w:t>0</w:t>
      </w:r>
      <w:r w:rsidR="00BE2ACD" w:rsidRPr="001961B1">
        <w:rPr>
          <w:rFonts w:asciiTheme="minorHAnsi" w:hAnsiTheme="minorHAnsi" w:cstheme="minorHAnsi"/>
          <w:sz w:val="22"/>
          <w:szCs w:val="22"/>
          <w:lang w:val="fr-FR" w:eastAsia="fr-FR"/>
        </w:rPr>
        <w:t> </w:t>
      </w:r>
      <w:r w:rsidR="00806684" w:rsidRPr="001961B1">
        <w:rPr>
          <w:rFonts w:asciiTheme="minorHAnsi" w:hAnsiTheme="minorHAnsi" w:cstheme="minorHAnsi"/>
          <w:sz w:val="22"/>
          <w:szCs w:val="22"/>
          <w:lang w:val="fr-FR" w:eastAsia="fr-FR"/>
        </w:rPr>
        <w:t xml:space="preserve">% </w:t>
      </w:r>
      <w:r w:rsidR="00BE2ACD" w:rsidRPr="001961B1">
        <w:rPr>
          <w:rFonts w:asciiTheme="minorHAnsi" w:hAnsiTheme="minorHAnsi" w:cstheme="minorHAnsi"/>
          <w:sz w:val="22"/>
          <w:szCs w:val="22"/>
          <w:lang w:val="fr-FR" w:eastAsia="fr-FR"/>
        </w:rPr>
        <w:t>des Parties contractantes signalent avoir reçu un financement pour les zones humides provenant d’agences d’aide au développement étrangères ou multilatérales.</w:t>
      </w:r>
      <w:r w:rsidR="0019483B" w:rsidRPr="001961B1">
        <w:rPr>
          <w:rFonts w:asciiTheme="minorHAnsi" w:hAnsiTheme="minorHAnsi" w:cstheme="minorHAnsi"/>
          <w:sz w:val="22"/>
          <w:szCs w:val="22"/>
          <w:lang w:val="fr-FR" w:eastAsia="fr-FR"/>
        </w:rPr>
        <w:t xml:space="preserve"> </w:t>
      </w:r>
    </w:p>
    <w:p w14:paraId="63A73AB3" w14:textId="77777777" w:rsidR="00A16A05" w:rsidRPr="001961B1" w:rsidRDefault="00A16A05" w:rsidP="00257025">
      <w:pPr>
        <w:ind w:left="567" w:hanging="567"/>
        <w:rPr>
          <w:rFonts w:asciiTheme="minorHAnsi" w:hAnsiTheme="minorHAnsi" w:cstheme="minorHAnsi"/>
          <w:sz w:val="22"/>
          <w:szCs w:val="22"/>
          <w:lang w:val="fr-FR" w:eastAsia="fr-FR"/>
        </w:rPr>
      </w:pPr>
    </w:p>
    <w:p w14:paraId="338E1802" w14:textId="7946A2E4" w:rsidR="00D2049E"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w:t>
      </w:r>
      <w:r w:rsidR="00C32CF1" w:rsidRPr="001961B1">
        <w:rPr>
          <w:rFonts w:asciiTheme="minorHAnsi" w:hAnsiTheme="minorHAnsi" w:cstheme="minorHAnsi"/>
          <w:sz w:val="22"/>
          <w:szCs w:val="22"/>
          <w:lang w:val="fr-FR" w:eastAsia="fr-FR"/>
        </w:rPr>
        <w:t>09</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BE2ACD" w:rsidRPr="001961B1">
        <w:rPr>
          <w:rFonts w:asciiTheme="minorHAnsi" w:hAnsiTheme="minorHAnsi" w:cstheme="minorHAnsi"/>
          <w:sz w:val="22"/>
          <w:szCs w:val="22"/>
          <w:lang w:val="fr-FR" w:eastAsia="fr-FR"/>
        </w:rPr>
        <w:t>Les pays en développement mentionnent des difficultés d’accès au financement externe en raison des contraintes en matière de capacité institutionnelle ainsi que des lourdeurs administratives et des exigences rigides des donateurs. Certains notent aussi des retards dans le déboursement des fonds et une mauvaise correspondance entre les possibilités de financement et les priorités nationales.</w:t>
      </w:r>
    </w:p>
    <w:p w14:paraId="2CF8B0CC" w14:textId="77777777" w:rsidR="00D2049E" w:rsidRPr="001961B1" w:rsidRDefault="00D2049E" w:rsidP="00257025">
      <w:pPr>
        <w:ind w:left="567" w:hanging="567"/>
        <w:rPr>
          <w:rFonts w:asciiTheme="minorHAnsi" w:hAnsiTheme="minorHAnsi" w:cstheme="minorHAnsi"/>
          <w:sz w:val="22"/>
          <w:szCs w:val="22"/>
          <w:lang w:val="fr-FR" w:eastAsia="fr-FR"/>
        </w:rPr>
      </w:pPr>
    </w:p>
    <w:p w14:paraId="5BA3508F" w14:textId="17C84E9A" w:rsidR="00D2049E"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0</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820F40" w:rsidRPr="001961B1">
        <w:rPr>
          <w:rFonts w:asciiTheme="minorHAnsi" w:hAnsiTheme="minorHAnsi" w:cstheme="minorHAnsi"/>
          <w:sz w:val="22"/>
          <w:szCs w:val="22"/>
          <w:lang w:val="fr-FR" w:eastAsia="fr-FR"/>
        </w:rPr>
        <w:t xml:space="preserve">Depuis la </w:t>
      </w:r>
      <w:r w:rsidR="00D2049E" w:rsidRPr="001961B1">
        <w:rPr>
          <w:rFonts w:asciiTheme="minorHAnsi" w:hAnsiTheme="minorHAnsi" w:cstheme="minorHAnsi"/>
          <w:sz w:val="22"/>
          <w:szCs w:val="22"/>
          <w:lang w:val="fr-FR" w:eastAsia="fr-FR"/>
        </w:rPr>
        <w:t xml:space="preserve">COP14, </w:t>
      </w:r>
      <w:r w:rsidR="00820F40" w:rsidRPr="001961B1">
        <w:rPr>
          <w:rFonts w:asciiTheme="minorHAnsi" w:hAnsiTheme="minorHAnsi" w:cstheme="minorHAnsi"/>
          <w:sz w:val="22"/>
          <w:szCs w:val="22"/>
          <w:lang w:val="fr-FR" w:eastAsia="fr-FR"/>
        </w:rPr>
        <w:t>le Secrétariat a mobilisé 5,2 millions CHF pour les activités non administratives</w:t>
      </w:r>
      <w:r w:rsidR="00135578" w:rsidRPr="001961B1">
        <w:rPr>
          <w:rFonts w:asciiTheme="minorHAnsi" w:hAnsiTheme="minorHAnsi" w:cstheme="minorHAnsi"/>
          <w:sz w:val="22"/>
          <w:szCs w:val="22"/>
          <w:lang w:val="fr-FR" w:eastAsia="fr-FR"/>
        </w:rPr>
        <w:t>,</w:t>
      </w:r>
      <w:r w:rsidR="00820F40" w:rsidRPr="001961B1">
        <w:rPr>
          <w:rFonts w:asciiTheme="minorHAnsi" w:hAnsiTheme="minorHAnsi" w:cstheme="minorHAnsi"/>
          <w:sz w:val="22"/>
          <w:szCs w:val="22"/>
          <w:lang w:val="fr-FR" w:eastAsia="fr-FR"/>
        </w:rPr>
        <w:t xml:space="preserve"> de 2022 à 2024</w:t>
      </w:r>
      <w:r w:rsidR="00135578" w:rsidRPr="001961B1">
        <w:rPr>
          <w:rFonts w:asciiTheme="minorHAnsi" w:hAnsiTheme="minorHAnsi" w:cstheme="minorHAnsi"/>
          <w:sz w:val="22"/>
          <w:szCs w:val="22"/>
          <w:lang w:val="fr-FR" w:eastAsia="fr-FR"/>
        </w:rPr>
        <w:t>,</w:t>
      </w:r>
      <w:r w:rsidR="00820F40" w:rsidRPr="001961B1">
        <w:rPr>
          <w:rFonts w:asciiTheme="minorHAnsi" w:hAnsiTheme="minorHAnsi" w:cstheme="minorHAnsi"/>
          <w:sz w:val="22"/>
          <w:szCs w:val="22"/>
          <w:lang w:val="fr-FR" w:eastAsia="fr-FR"/>
        </w:rPr>
        <w:t xml:space="preserve"> conformément aux Résolutions </w:t>
      </w:r>
      <w:r w:rsidR="765E751E" w:rsidRPr="001961B1">
        <w:rPr>
          <w:rFonts w:asciiTheme="minorHAnsi" w:hAnsiTheme="minorHAnsi" w:cstheme="minorHAnsi"/>
          <w:sz w:val="22"/>
          <w:szCs w:val="22"/>
          <w:lang w:val="fr-FR" w:eastAsia="fr-FR"/>
        </w:rPr>
        <w:t xml:space="preserve">ExCOP3.2 </w:t>
      </w:r>
      <w:r w:rsidR="00820F40" w:rsidRPr="001961B1">
        <w:rPr>
          <w:rFonts w:asciiTheme="minorHAnsi" w:hAnsiTheme="minorHAnsi" w:cstheme="minorHAnsi"/>
          <w:sz w:val="22"/>
          <w:szCs w:val="22"/>
          <w:lang w:val="fr-FR" w:eastAsia="fr-FR"/>
        </w:rPr>
        <w:t>et</w:t>
      </w:r>
      <w:r w:rsidR="765E751E" w:rsidRPr="001961B1">
        <w:rPr>
          <w:rFonts w:asciiTheme="minorHAnsi" w:hAnsiTheme="minorHAnsi" w:cstheme="minorHAnsi"/>
          <w:sz w:val="22"/>
          <w:szCs w:val="22"/>
          <w:lang w:val="fr-FR" w:eastAsia="fr-FR"/>
        </w:rPr>
        <w:t xml:space="preserve"> </w:t>
      </w:r>
      <w:r w:rsidR="00D2049E" w:rsidRPr="001961B1">
        <w:rPr>
          <w:rFonts w:asciiTheme="minorHAnsi" w:hAnsiTheme="minorHAnsi" w:cstheme="minorHAnsi"/>
          <w:sz w:val="22"/>
          <w:szCs w:val="22"/>
          <w:lang w:val="fr-FR" w:eastAsia="fr-FR"/>
        </w:rPr>
        <w:t xml:space="preserve">XIV.1. </w:t>
      </w:r>
      <w:r w:rsidR="00820F40" w:rsidRPr="001961B1">
        <w:rPr>
          <w:rFonts w:asciiTheme="minorHAnsi" w:hAnsiTheme="minorHAnsi" w:cstheme="minorHAnsi"/>
          <w:sz w:val="22"/>
          <w:szCs w:val="22"/>
          <w:lang w:val="fr-FR" w:eastAsia="fr-FR"/>
        </w:rPr>
        <w:t xml:space="preserve">Les Parties contractantes ont contribué à 93 % de ce montant et les donateurs comprennent l’Allemagne, l’Australie, l’Autriche, la Belgique, le Canada, la Chine, les États-Unis d’Amérique, la Finlande, le Japon, la Norvège, la République de Corée, le Royaume-Uni de Grande-Bretagne et d’Irlande du Nord, la Suisse et le </w:t>
      </w:r>
      <w:r w:rsidR="00D2049E" w:rsidRPr="001961B1">
        <w:rPr>
          <w:rFonts w:asciiTheme="minorHAnsi" w:hAnsiTheme="minorHAnsi" w:cstheme="minorHAnsi"/>
          <w:sz w:val="22"/>
          <w:szCs w:val="22"/>
          <w:lang w:val="fr-FR" w:eastAsia="fr-FR"/>
        </w:rPr>
        <w:t xml:space="preserve">Zimbabwe. </w:t>
      </w:r>
      <w:r w:rsidR="00981D49" w:rsidRPr="001961B1">
        <w:rPr>
          <w:rFonts w:asciiTheme="minorHAnsi" w:hAnsiTheme="minorHAnsi" w:cstheme="minorHAnsi"/>
          <w:sz w:val="22"/>
          <w:szCs w:val="22"/>
          <w:lang w:val="fr-FR" w:eastAsia="fr-FR"/>
        </w:rPr>
        <w:t xml:space="preserve">Le secteur privé (Danone) et les fondations </w:t>
      </w:r>
      <w:r w:rsidR="00D2049E" w:rsidRPr="001961B1">
        <w:rPr>
          <w:rFonts w:asciiTheme="minorHAnsi" w:hAnsiTheme="minorHAnsi" w:cstheme="minorHAnsi"/>
          <w:sz w:val="22"/>
          <w:szCs w:val="22"/>
          <w:lang w:val="fr-FR" w:eastAsia="fr-FR"/>
        </w:rPr>
        <w:t xml:space="preserve">(Nagao Wetland Foundation) </w:t>
      </w:r>
      <w:r w:rsidR="00981D49" w:rsidRPr="001961B1">
        <w:rPr>
          <w:rFonts w:asciiTheme="minorHAnsi" w:hAnsiTheme="minorHAnsi" w:cstheme="minorHAnsi"/>
          <w:sz w:val="22"/>
          <w:szCs w:val="22"/>
          <w:lang w:val="fr-FR" w:eastAsia="fr-FR"/>
        </w:rPr>
        <w:t>ont contribué pour un montant de 5 % et 2 %, respectivement.</w:t>
      </w:r>
    </w:p>
    <w:p w14:paraId="5A643D20" w14:textId="77777777" w:rsidR="00D2049E" w:rsidRPr="001961B1" w:rsidRDefault="00D2049E" w:rsidP="00257025">
      <w:pPr>
        <w:ind w:left="567" w:hanging="567"/>
        <w:rPr>
          <w:rFonts w:asciiTheme="minorHAnsi" w:hAnsiTheme="minorHAnsi" w:cstheme="minorHAnsi"/>
          <w:sz w:val="22"/>
          <w:szCs w:val="22"/>
          <w:lang w:val="fr-FR" w:eastAsia="fr-FR"/>
        </w:rPr>
      </w:pPr>
    </w:p>
    <w:p w14:paraId="133B35E6" w14:textId="6F7ADC19" w:rsidR="00B05B0E"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1</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981D49" w:rsidRPr="001961B1">
        <w:rPr>
          <w:rFonts w:asciiTheme="minorHAnsi" w:hAnsiTheme="minorHAnsi" w:cstheme="minorHAnsi"/>
          <w:sz w:val="22"/>
          <w:szCs w:val="22"/>
          <w:lang w:val="fr-FR" w:eastAsia="fr-FR"/>
        </w:rPr>
        <w:t xml:space="preserve">Entre la </w:t>
      </w:r>
      <w:r w:rsidR="00D2049E" w:rsidRPr="001961B1">
        <w:rPr>
          <w:rFonts w:asciiTheme="minorHAnsi" w:hAnsiTheme="minorHAnsi" w:cstheme="minorHAnsi"/>
          <w:sz w:val="22"/>
          <w:szCs w:val="22"/>
          <w:lang w:val="fr-FR" w:eastAsia="fr-FR"/>
        </w:rPr>
        <w:t xml:space="preserve">COP12 </w:t>
      </w:r>
      <w:r w:rsidR="00981D49" w:rsidRPr="001961B1">
        <w:rPr>
          <w:rFonts w:asciiTheme="minorHAnsi" w:hAnsiTheme="minorHAnsi" w:cstheme="minorHAnsi"/>
          <w:sz w:val="22"/>
          <w:szCs w:val="22"/>
          <w:lang w:val="fr-FR" w:eastAsia="fr-FR"/>
        </w:rPr>
        <w:t xml:space="preserve">et la </w:t>
      </w:r>
      <w:r w:rsidR="00D2049E" w:rsidRPr="001961B1">
        <w:rPr>
          <w:rFonts w:asciiTheme="minorHAnsi" w:hAnsiTheme="minorHAnsi" w:cstheme="minorHAnsi"/>
          <w:sz w:val="22"/>
          <w:szCs w:val="22"/>
          <w:lang w:val="fr-FR" w:eastAsia="fr-FR"/>
        </w:rPr>
        <w:t xml:space="preserve">COP15 (2016–2024), </w:t>
      </w:r>
      <w:r w:rsidR="00981D49" w:rsidRPr="001961B1">
        <w:rPr>
          <w:rFonts w:asciiTheme="minorHAnsi" w:hAnsiTheme="minorHAnsi" w:cstheme="minorHAnsi"/>
          <w:sz w:val="22"/>
          <w:szCs w:val="22"/>
          <w:lang w:val="fr-FR" w:eastAsia="fr-FR"/>
        </w:rPr>
        <w:t xml:space="preserve">le Secrétariat a obtenu 8,89 millions CHF de fonds non administratifs conformément aux Résolutions </w:t>
      </w:r>
      <w:r w:rsidR="00D2049E" w:rsidRPr="001961B1">
        <w:rPr>
          <w:rFonts w:asciiTheme="minorHAnsi" w:hAnsiTheme="minorHAnsi" w:cstheme="minorHAnsi"/>
          <w:sz w:val="22"/>
          <w:szCs w:val="22"/>
          <w:lang w:val="fr-FR" w:eastAsia="fr-FR"/>
        </w:rPr>
        <w:t xml:space="preserve">XII.1, XIII.2, </w:t>
      </w:r>
      <w:r w:rsidR="6E883117" w:rsidRPr="001961B1">
        <w:rPr>
          <w:rFonts w:asciiTheme="minorHAnsi" w:hAnsiTheme="minorHAnsi" w:cstheme="minorHAnsi"/>
          <w:sz w:val="22"/>
          <w:szCs w:val="22"/>
          <w:lang w:val="fr-FR" w:eastAsia="fr-FR"/>
        </w:rPr>
        <w:t xml:space="preserve">ExCOP3.2 </w:t>
      </w:r>
      <w:r w:rsidR="00981D49" w:rsidRPr="001961B1">
        <w:rPr>
          <w:rFonts w:asciiTheme="minorHAnsi" w:hAnsiTheme="minorHAnsi" w:cstheme="minorHAnsi"/>
          <w:sz w:val="22"/>
          <w:szCs w:val="22"/>
          <w:lang w:val="fr-FR" w:eastAsia="fr-FR"/>
        </w:rPr>
        <w:t>et</w:t>
      </w:r>
      <w:r w:rsidR="00D2049E" w:rsidRPr="001961B1">
        <w:rPr>
          <w:rFonts w:asciiTheme="minorHAnsi" w:hAnsiTheme="minorHAnsi" w:cstheme="minorHAnsi"/>
          <w:sz w:val="22"/>
          <w:szCs w:val="22"/>
          <w:lang w:val="fr-FR" w:eastAsia="fr-FR"/>
        </w:rPr>
        <w:t xml:space="preserve"> XIV.1. </w:t>
      </w:r>
      <w:r w:rsidR="00981D49" w:rsidRPr="001961B1">
        <w:rPr>
          <w:rFonts w:asciiTheme="minorHAnsi" w:hAnsiTheme="minorHAnsi" w:cstheme="minorHAnsi"/>
          <w:sz w:val="22"/>
          <w:szCs w:val="22"/>
          <w:lang w:val="fr-FR" w:eastAsia="fr-FR"/>
        </w:rPr>
        <w:t xml:space="preserve">Sur ce montant, </w:t>
      </w:r>
      <w:r w:rsidR="00D2049E" w:rsidRPr="001961B1">
        <w:rPr>
          <w:rFonts w:asciiTheme="minorHAnsi" w:hAnsiTheme="minorHAnsi" w:cstheme="minorHAnsi"/>
          <w:sz w:val="22"/>
          <w:szCs w:val="22"/>
          <w:lang w:val="fr-FR" w:eastAsia="fr-FR"/>
        </w:rPr>
        <w:t>79</w:t>
      </w:r>
      <w:r w:rsidR="00981D49" w:rsidRPr="001961B1">
        <w:rPr>
          <w:rFonts w:asciiTheme="minorHAnsi" w:hAnsiTheme="minorHAnsi" w:cstheme="minorHAnsi"/>
          <w:sz w:val="22"/>
          <w:szCs w:val="22"/>
          <w:lang w:val="fr-FR" w:eastAsia="fr-FR"/>
        </w:rPr>
        <w:t> </w:t>
      </w:r>
      <w:r w:rsidR="00D2049E" w:rsidRPr="001961B1">
        <w:rPr>
          <w:rFonts w:asciiTheme="minorHAnsi" w:hAnsiTheme="minorHAnsi" w:cstheme="minorHAnsi"/>
          <w:sz w:val="22"/>
          <w:szCs w:val="22"/>
          <w:lang w:val="fr-FR" w:eastAsia="fr-FR"/>
        </w:rPr>
        <w:t xml:space="preserve">% </w:t>
      </w:r>
      <w:r w:rsidR="00981D49" w:rsidRPr="001961B1">
        <w:rPr>
          <w:rFonts w:asciiTheme="minorHAnsi" w:hAnsiTheme="minorHAnsi" w:cstheme="minorHAnsi"/>
          <w:sz w:val="22"/>
          <w:szCs w:val="22"/>
          <w:lang w:val="fr-FR" w:eastAsia="fr-FR"/>
        </w:rPr>
        <w:t xml:space="preserve">est venu des Parties contractantes, 12 % du secteur privé, 8 % de fondations et 1 % d’autres sources, 58 % ayant été obtenu durant la dernière période triennale. </w:t>
      </w:r>
      <w:r w:rsidR="0018578C" w:rsidRPr="001961B1">
        <w:rPr>
          <w:rFonts w:asciiTheme="minorHAnsi" w:hAnsiTheme="minorHAnsi" w:cstheme="minorHAnsi"/>
          <w:sz w:val="22"/>
          <w:szCs w:val="22"/>
          <w:lang w:val="fr-FR" w:eastAsia="fr-FR"/>
        </w:rPr>
        <w:t xml:space="preserve">Il y a eu considérablement moins de </w:t>
      </w:r>
      <w:r w:rsidR="00CE065B" w:rsidRPr="001961B1">
        <w:rPr>
          <w:rFonts w:asciiTheme="minorHAnsi" w:hAnsiTheme="minorHAnsi" w:cstheme="minorHAnsi"/>
          <w:sz w:val="22"/>
          <w:szCs w:val="22"/>
          <w:lang w:val="fr-FR" w:eastAsia="fr-FR"/>
        </w:rPr>
        <w:t xml:space="preserve">Parties </w:t>
      </w:r>
      <w:r w:rsidR="0018578C" w:rsidRPr="001961B1">
        <w:rPr>
          <w:rFonts w:asciiTheme="minorHAnsi" w:hAnsiTheme="minorHAnsi" w:cstheme="minorHAnsi"/>
          <w:sz w:val="22"/>
          <w:szCs w:val="22"/>
          <w:lang w:val="fr-FR" w:eastAsia="fr-FR"/>
        </w:rPr>
        <w:t>ayant fourni</w:t>
      </w:r>
      <w:r w:rsidR="00CE065B" w:rsidRPr="001961B1">
        <w:rPr>
          <w:rFonts w:asciiTheme="minorHAnsi" w:hAnsiTheme="minorHAnsi" w:cstheme="minorHAnsi"/>
          <w:sz w:val="22"/>
          <w:szCs w:val="22"/>
          <w:lang w:val="fr-FR" w:eastAsia="fr-FR"/>
        </w:rPr>
        <w:t xml:space="preserve"> des contributions volontaires directement au Secrétariat pour la période triennale </w:t>
      </w:r>
      <w:r w:rsidR="0018578C" w:rsidRPr="001961B1">
        <w:rPr>
          <w:rFonts w:asciiTheme="minorHAnsi" w:hAnsiTheme="minorHAnsi" w:cstheme="minorHAnsi"/>
          <w:sz w:val="22"/>
          <w:szCs w:val="22"/>
          <w:lang w:val="fr-FR" w:eastAsia="fr-FR"/>
        </w:rPr>
        <w:t>qui a conduit à</w:t>
      </w:r>
      <w:r w:rsidR="00CE065B" w:rsidRPr="001961B1">
        <w:rPr>
          <w:rFonts w:asciiTheme="minorHAnsi" w:hAnsiTheme="minorHAnsi" w:cstheme="minorHAnsi"/>
          <w:sz w:val="22"/>
          <w:szCs w:val="22"/>
          <w:lang w:val="fr-FR" w:eastAsia="fr-FR"/>
        </w:rPr>
        <w:t xml:space="preserve"> la COP14 (cinq</w:t>
      </w:r>
      <w:r w:rsidR="00214E9B" w:rsidRPr="001961B1">
        <w:rPr>
          <w:rFonts w:asciiTheme="minorHAnsi" w:hAnsiTheme="minorHAnsi" w:cstheme="minorHAnsi"/>
          <w:sz w:val="22"/>
          <w:szCs w:val="22"/>
          <w:lang w:val="fr-FR" w:eastAsia="fr-FR"/>
        </w:rPr>
        <w:t xml:space="preserve"> </w:t>
      </w:r>
      <w:r w:rsidR="008D1D18" w:rsidRPr="001961B1">
        <w:rPr>
          <w:rFonts w:asciiTheme="minorHAnsi" w:hAnsiTheme="minorHAnsi" w:cstheme="minorHAnsi"/>
          <w:sz w:val="22"/>
          <w:szCs w:val="22"/>
          <w:lang w:val="fr-FR" w:eastAsia="fr-FR"/>
        </w:rPr>
        <w:t>Parties</w:t>
      </w:r>
      <w:r w:rsidR="008E39F5" w:rsidRPr="001961B1">
        <w:rPr>
          <w:rFonts w:asciiTheme="minorHAnsi" w:hAnsiTheme="minorHAnsi" w:cstheme="minorHAnsi"/>
          <w:sz w:val="22"/>
          <w:szCs w:val="22"/>
          <w:lang w:val="fr-FR" w:eastAsia="fr-FR"/>
        </w:rPr>
        <w:t>)</w:t>
      </w:r>
      <w:r w:rsidR="008D1D18" w:rsidRPr="001961B1">
        <w:rPr>
          <w:rFonts w:asciiTheme="minorHAnsi" w:hAnsiTheme="minorHAnsi" w:cstheme="minorHAnsi"/>
          <w:sz w:val="22"/>
          <w:szCs w:val="22"/>
          <w:lang w:val="fr-FR" w:eastAsia="fr-FR"/>
        </w:rPr>
        <w:t xml:space="preserve"> </w:t>
      </w:r>
      <w:r w:rsidR="00CE065B" w:rsidRPr="001961B1">
        <w:rPr>
          <w:rFonts w:asciiTheme="minorHAnsi" w:hAnsiTheme="minorHAnsi" w:cstheme="minorHAnsi"/>
          <w:sz w:val="22"/>
          <w:szCs w:val="22"/>
          <w:lang w:val="fr-FR" w:eastAsia="fr-FR"/>
        </w:rPr>
        <w:t>que pour l</w:t>
      </w:r>
      <w:r w:rsidR="0018578C" w:rsidRPr="001961B1">
        <w:rPr>
          <w:rFonts w:asciiTheme="minorHAnsi" w:hAnsiTheme="minorHAnsi" w:cstheme="minorHAnsi"/>
          <w:sz w:val="22"/>
          <w:szCs w:val="22"/>
          <w:lang w:val="fr-FR" w:eastAsia="fr-FR"/>
        </w:rPr>
        <w:t>es</w:t>
      </w:r>
      <w:r w:rsidR="00CE065B" w:rsidRPr="001961B1">
        <w:rPr>
          <w:rFonts w:asciiTheme="minorHAnsi" w:hAnsiTheme="minorHAnsi" w:cstheme="minorHAnsi"/>
          <w:sz w:val="22"/>
          <w:szCs w:val="22"/>
          <w:lang w:val="fr-FR" w:eastAsia="fr-FR"/>
        </w:rPr>
        <w:t xml:space="preserve"> période</w:t>
      </w:r>
      <w:r w:rsidR="0018578C" w:rsidRPr="001961B1">
        <w:rPr>
          <w:rFonts w:asciiTheme="minorHAnsi" w:hAnsiTheme="minorHAnsi" w:cstheme="minorHAnsi"/>
          <w:sz w:val="22"/>
          <w:szCs w:val="22"/>
          <w:lang w:val="fr-FR" w:eastAsia="fr-FR"/>
        </w:rPr>
        <w:t>s</w:t>
      </w:r>
      <w:r w:rsidR="00CE065B" w:rsidRPr="001961B1">
        <w:rPr>
          <w:rFonts w:asciiTheme="minorHAnsi" w:hAnsiTheme="minorHAnsi" w:cstheme="minorHAnsi"/>
          <w:sz w:val="22"/>
          <w:szCs w:val="22"/>
          <w:lang w:val="fr-FR" w:eastAsia="fr-FR"/>
        </w:rPr>
        <w:t xml:space="preserve"> triennale</w:t>
      </w:r>
      <w:r w:rsidR="0018578C" w:rsidRPr="001961B1">
        <w:rPr>
          <w:rFonts w:asciiTheme="minorHAnsi" w:hAnsiTheme="minorHAnsi" w:cstheme="minorHAnsi"/>
          <w:sz w:val="22"/>
          <w:szCs w:val="22"/>
          <w:lang w:val="fr-FR" w:eastAsia="fr-FR"/>
        </w:rPr>
        <w:t>s</w:t>
      </w:r>
      <w:r w:rsidR="00CE065B" w:rsidRPr="001961B1">
        <w:rPr>
          <w:rFonts w:asciiTheme="minorHAnsi" w:hAnsiTheme="minorHAnsi" w:cstheme="minorHAnsi"/>
          <w:sz w:val="22"/>
          <w:szCs w:val="22"/>
          <w:lang w:val="fr-FR" w:eastAsia="fr-FR"/>
        </w:rPr>
        <w:t xml:space="preserve"> </w:t>
      </w:r>
      <w:r w:rsidR="0018578C" w:rsidRPr="001961B1">
        <w:rPr>
          <w:rFonts w:asciiTheme="minorHAnsi" w:hAnsiTheme="minorHAnsi" w:cstheme="minorHAnsi"/>
          <w:sz w:val="22"/>
          <w:szCs w:val="22"/>
          <w:lang w:val="fr-FR" w:eastAsia="fr-FR"/>
        </w:rPr>
        <w:t>ayant précédé</w:t>
      </w:r>
      <w:r w:rsidR="00CE065B" w:rsidRPr="001961B1">
        <w:rPr>
          <w:rFonts w:asciiTheme="minorHAnsi" w:hAnsiTheme="minorHAnsi" w:cstheme="minorHAnsi"/>
          <w:sz w:val="22"/>
          <w:szCs w:val="22"/>
          <w:lang w:val="fr-FR" w:eastAsia="fr-FR"/>
        </w:rPr>
        <w:t xml:space="preserve"> la COP13 (12 Parties) et la COP15 (14 Parties ; y compris pour l’année 2022), principalement en raison d’une plus faible mise en œuvre des activités durant la pandémie de </w:t>
      </w:r>
      <w:r w:rsidR="00214E9B" w:rsidRPr="001961B1">
        <w:rPr>
          <w:rFonts w:asciiTheme="minorHAnsi" w:hAnsiTheme="minorHAnsi" w:cstheme="minorHAnsi"/>
          <w:sz w:val="22"/>
          <w:szCs w:val="22"/>
          <w:lang w:val="fr-FR" w:eastAsia="fr-FR"/>
        </w:rPr>
        <w:t>Covid-19</w:t>
      </w:r>
      <w:r w:rsidR="00055FD4" w:rsidRPr="001961B1">
        <w:rPr>
          <w:rFonts w:asciiTheme="minorHAnsi" w:hAnsiTheme="minorHAnsi" w:cstheme="minorHAnsi"/>
          <w:sz w:val="22"/>
          <w:szCs w:val="22"/>
          <w:lang w:val="fr-FR" w:eastAsia="fr-FR"/>
        </w:rPr>
        <w:t xml:space="preserve">. </w:t>
      </w:r>
    </w:p>
    <w:p w14:paraId="54E4DF99" w14:textId="77777777" w:rsidR="00375762" w:rsidRPr="001961B1" w:rsidRDefault="00375762" w:rsidP="003E56FD">
      <w:pPr>
        <w:rPr>
          <w:rFonts w:asciiTheme="minorHAnsi" w:hAnsiTheme="minorHAnsi" w:cstheme="minorHAnsi"/>
          <w:sz w:val="22"/>
          <w:szCs w:val="22"/>
          <w:lang w:val="fr-FR"/>
        </w:rPr>
      </w:pPr>
    </w:p>
    <w:p w14:paraId="2C13148A" w14:textId="77777777" w:rsidR="003E56FD" w:rsidRPr="001961B1" w:rsidRDefault="003E56FD" w:rsidP="003E56FD">
      <w:pPr>
        <w:rPr>
          <w:rFonts w:asciiTheme="minorHAnsi" w:hAnsiTheme="minorHAnsi" w:cstheme="minorHAnsi"/>
          <w:sz w:val="22"/>
          <w:szCs w:val="22"/>
          <w:lang w:val="fr-FR"/>
        </w:rPr>
      </w:pPr>
    </w:p>
    <w:tbl>
      <w:tblPr>
        <w:tblStyle w:val="TableGrid16"/>
        <w:tblW w:w="9354" w:type="dxa"/>
        <w:tblLook w:val="04A0" w:firstRow="1" w:lastRow="0" w:firstColumn="1" w:lastColumn="0" w:noHBand="0" w:noVBand="1"/>
      </w:tblPr>
      <w:tblGrid>
        <w:gridCol w:w="9354"/>
      </w:tblGrid>
      <w:tr w:rsidR="00180A86" w:rsidRPr="001961B1" w14:paraId="3CB5C024" w14:textId="77777777" w:rsidTr="003E56FD">
        <w:tc>
          <w:tcPr>
            <w:tcW w:w="9354" w:type="dxa"/>
            <w:vAlign w:val="center"/>
          </w:tcPr>
          <w:p w14:paraId="1A354306" w14:textId="6013CE60" w:rsidR="00180A86" w:rsidRPr="001961B1" w:rsidRDefault="00630F8A"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180A86" w:rsidRPr="001961B1">
              <w:rPr>
                <w:rFonts w:asciiTheme="minorHAnsi" w:hAnsiTheme="minorHAnsi" w:cstheme="minorHAnsi"/>
                <w:b/>
                <w:sz w:val="22"/>
                <w:szCs w:val="22"/>
                <w:lang w:val="fr-FR" w:eastAsia="fr-FR"/>
              </w:rPr>
              <w:t xml:space="preserve"> 18</w:t>
            </w:r>
            <w:r w:rsidRPr="001961B1">
              <w:rPr>
                <w:rFonts w:asciiTheme="minorHAnsi" w:hAnsiTheme="minorHAnsi" w:cstheme="minorHAnsi"/>
                <w:b/>
                <w:sz w:val="22"/>
                <w:szCs w:val="22"/>
                <w:lang w:val="fr-FR" w:eastAsia="fr-FR"/>
              </w:rPr>
              <w:t xml:space="preserve"> </w:t>
            </w:r>
            <w:r w:rsidR="00180A86" w:rsidRPr="001961B1">
              <w:rPr>
                <w:rFonts w:asciiTheme="minorHAnsi" w:hAnsiTheme="minorHAnsi" w:cstheme="minorHAnsi"/>
                <w:b/>
                <w:sz w:val="22"/>
                <w:szCs w:val="22"/>
                <w:lang w:val="fr-FR" w:eastAsia="fr-FR"/>
              </w:rPr>
              <w:t xml:space="preserve">: </w:t>
            </w:r>
            <w:r w:rsidRPr="001961B1">
              <w:rPr>
                <w:rFonts w:asciiTheme="minorHAnsi" w:hAnsiTheme="minorHAnsi" w:cstheme="minorHAnsi"/>
                <w:b/>
                <w:sz w:val="22"/>
                <w:szCs w:val="22"/>
                <w:lang w:val="fr-FR" w:eastAsia="fr-FR"/>
              </w:rPr>
              <w:t>La coopération internationale est renforcée à tous les niveaux</w:t>
            </w:r>
            <w:r w:rsidR="00180A86" w:rsidRPr="001961B1">
              <w:rPr>
                <w:rFonts w:asciiTheme="minorHAnsi" w:hAnsiTheme="minorHAnsi" w:cstheme="minorHAnsi"/>
                <w:b/>
                <w:sz w:val="22"/>
                <w:szCs w:val="22"/>
                <w:lang w:val="fr-FR" w:eastAsia="fr-FR"/>
              </w:rPr>
              <w:t>.</w:t>
            </w:r>
          </w:p>
          <w:p w14:paraId="691DF10F" w14:textId="585E9295" w:rsidR="00180A86"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aux cibles </w:t>
            </w:r>
            <w:r w:rsidR="004D3B09" w:rsidRPr="001961B1">
              <w:rPr>
                <w:rFonts w:asciiTheme="minorHAnsi" w:hAnsiTheme="minorHAnsi" w:cstheme="minorHAnsi"/>
                <w:bCs/>
                <w:sz w:val="22"/>
                <w:szCs w:val="22"/>
                <w:lang w:val="fr-FR" w:eastAsia="fr-FR"/>
              </w:rPr>
              <w:t>1.b</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2.5</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6.5</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6.6</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6.a</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10.6</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12.4</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14.5</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14.c</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15.1</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15.6</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16.8</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17.6</w:t>
            </w:r>
            <w:r w:rsidR="00480780" w:rsidRPr="001961B1">
              <w:rPr>
                <w:rFonts w:asciiTheme="minorHAnsi" w:hAnsiTheme="minorHAnsi" w:cstheme="minorHAnsi"/>
                <w:bCs/>
                <w:sz w:val="22"/>
                <w:szCs w:val="22"/>
                <w:lang w:val="fr-FR" w:eastAsia="fr-FR"/>
              </w:rPr>
              <w:t>,</w:t>
            </w:r>
            <w:r w:rsidR="004D3B09" w:rsidRPr="001961B1">
              <w:rPr>
                <w:rFonts w:asciiTheme="minorHAnsi" w:hAnsiTheme="minorHAnsi" w:cstheme="minorHAnsi"/>
                <w:bCs/>
                <w:sz w:val="22"/>
                <w:szCs w:val="22"/>
                <w:lang w:val="fr-FR" w:eastAsia="fr-FR"/>
              </w:rPr>
              <w:t xml:space="preserve"> 17.7</w:t>
            </w:r>
            <w:r w:rsidR="002659BD" w:rsidRPr="001961B1">
              <w:rPr>
                <w:rFonts w:asciiTheme="minorHAnsi" w:hAnsiTheme="minorHAnsi" w:cstheme="minorHAnsi"/>
                <w:bCs/>
                <w:sz w:val="22"/>
                <w:szCs w:val="22"/>
                <w:lang w:val="fr-FR" w:eastAsia="fr-FR"/>
              </w:rPr>
              <w:t xml:space="preserve"> </w:t>
            </w:r>
            <w:r w:rsidR="00AC4205" w:rsidRPr="001961B1">
              <w:rPr>
                <w:rFonts w:asciiTheme="minorHAnsi" w:hAnsiTheme="minorHAnsi" w:cstheme="minorHAnsi"/>
                <w:bCs/>
                <w:sz w:val="22"/>
                <w:szCs w:val="22"/>
                <w:lang w:val="fr-FR" w:eastAsia="fr-FR"/>
              </w:rPr>
              <w:t>et</w:t>
            </w:r>
            <w:r w:rsidR="004D3B09" w:rsidRPr="001961B1">
              <w:rPr>
                <w:rFonts w:asciiTheme="minorHAnsi" w:hAnsiTheme="minorHAnsi" w:cstheme="minorHAnsi"/>
                <w:bCs/>
                <w:sz w:val="22"/>
                <w:szCs w:val="22"/>
                <w:lang w:val="fr-FR" w:eastAsia="fr-FR"/>
              </w:rPr>
              <w:t xml:space="preserve"> 17.9</w:t>
            </w:r>
            <w:r w:rsidR="00AC4205" w:rsidRPr="001961B1">
              <w:rPr>
                <w:rFonts w:asciiTheme="minorHAnsi" w:hAnsiTheme="minorHAnsi" w:cstheme="minorHAnsi"/>
                <w:bCs/>
                <w:sz w:val="22"/>
                <w:szCs w:val="22"/>
                <w:lang w:val="fr-FR" w:eastAsia="fr-FR"/>
              </w:rPr>
              <w:t xml:space="preserve"> </w:t>
            </w:r>
            <w:r w:rsidR="0039599A" w:rsidRPr="001961B1">
              <w:rPr>
                <w:rFonts w:asciiTheme="minorHAnsi" w:hAnsiTheme="minorHAnsi" w:cstheme="minorHAnsi"/>
                <w:bCs/>
                <w:sz w:val="22"/>
                <w:szCs w:val="22"/>
                <w:lang w:val="fr-FR" w:eastAsia="fr-FR"/>
              </w:rPr>
              <w:t>des ODD</w:t>
            </w:r>
            <w:r w:rsidR="002659BD" w:rsidRPr="001961B1">
              <w:rPr>
                <w:rFonts w:asciiTheme="minorHAnsi" w:hAnsiTheme="minorHAnsi" w:cstheme="minorHAnsi"/>
                <w:bCs/>
                <w:sz w:val="22"/>
                <w:szCs w:val="22"/>
                <w:lang w:val="fr-FR" w:eastAsia="fr-FR"/>
              </w:rPr>
              <w:t>.</w:t>
            </w:r>
          </w:p>
        </w:tc>
      </w:tr>
    </w:tbl>
    <w:p w14:paraId="24A91848" w14:textId="77777777" w:rsidR="00FB380C" w:rsidRPr="001961B1" w:rsidRDefault="00FB380C" w:rsidP="000D551C">
      <w:pPr>
        <w:keepNext/>
        <w:rPr>
          <w:rFonts w:asciiTheme="minorHAnsi" w:hAnsiTheme="minorHAnsi" w:cstheme="minorHAnsi"/>
          <w:b/>
          <w:bCs/>
          <w:sz w:val="22"/>
          <w:szCs w:val="22"/>
          <w:lang w:val="fr-FR"/>
        </w:rPr>
      </w:pPr>
    </w:p>
    <w:p w14:paraId="174EE12E" w14:textId="1CE3EB65" w:rsidR="005F5BCE"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Message clé</w:t>
      </w:r>
      <w:r w:rsidR="00503B21" w:rsidRPr="001961B1">
        <w:rPr>
          <w:rFonts w:asciiTheme="minorHAnsi" w:hAnsiTheme="minorHAnsi" w:cstheme="minorHAnsi"/>
          <w:i/>
          <w:iCs/>
          <w:sz w:val="22"/>
          <w:szCs w:val="22"/>
          <w:u w:val="single"/>
          <w:lang w:val="fr-FR"/>
        </w:rPr>
        <w:t xml:space="preserve"> </w:t>
      </w:r>
    </w:p>
    <w:p w14:paraId="32090E25" w14:textId="77777777" w:rsidR="00AC0EBD" w:rsidRPr="001961B1" w:rsidRDefault="00AC0EBD" w:rsidP="000D551C">
      <w:pPr>
        <w:keepNext/>
        <w:rPr>
          <w:rFonts w:asciiTheme="minorHAnsi" w:hAnsiTheme="minorHAnsi" w:cstheme="minorHAnsi"/>
          <w:sz w:val="22"/>
          <w:szCs w:val="22"/>
          <w:lang w:val="fr-FR"/>
        </w:rPr>
      </w:pPr>
    </w:p>
    <w:p w14:paraId="2E151043" w14:textId="54ECF32F" w:rsidR="0095024B"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2</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B51B49" w:rsidRPr="001961B1">
        <w:rPr>
          <w:rFonts w:asciiTheme="minorHAnsi" w:hAnsiTheme="minorHAnsi" w:cstheme="minorHAnsi"/>
          <w:sz w:val="22"/>
          <w:szCs w:val="22"/>
          <w:lang w:val="fr-FR" w:eastAsia="fr-FR"/>
        </w:rPr>
        <w:t>La coopération internationale s’est généralement renforcée de manière régulière par la création d’IRR, la coopération pour les espèces migratrices et les systèmes de zones humides partagés et les dispositions de jumelage pour le partage des connaissances et la formation.</w:t>
      </w:r>
    </w:p>
    <w:p w14:paraId="57697408" w14:textId="77777777" w:rsidR="00FB474E" w:rsidRPr="001961B1" w:rsidRDefault="00FB474E" w:rsidP="00A338FF">
      <w:pPr>
        <w:rPr>
          <w:rFonts w:asciiTheme="minorHAnsi" w:hAnsiTheme="minorHAnsi" w:cstheme="minorHAnsi"/>
          <w:sz w:val="22"/>
          <w:szCs w:val="22"/>
          <w:lang w:val="fr-FR"/>
        </w:rPr>
      </w:pPr>
    </w:p>
    <w:tbl>
      <w:tblPr>
        <w:tblStyle w:val="TableGrid34"/>
        <w:tblW w:w="9353" w:type="dxa"/>
        <w:tblLook w:val="04A0" w:firstRow="1" w:lastRow="0" w:firstColumn="1" w:lastColumn="0" w:noHBand="0" w:noVBand="1"/>
      </w:tblPr>
      <w:tblGrid>
        <w:gridCol w:w="4337"/>
        <w:gridCol w:w="1219"/>
        <w:gridCol w:w="820"/>
        <w:gridCol w:w="820"/>
        <w:gridCol w:w="820"/>
        <w:gridCol w:w="1337"/>
      </w:tblGrid>
      <w:tr w:rsidR="0091225F" w:rsidRPr="001961B1" w14:paraId="317A9FE9" w14:textId="77777777" w:rsidTr="00FE33C7">
        <w:trPr>
          <w:cantSplit/>
        </w:trPr>
        <w:tc>
          <w:tcPr>
            <w:tcW w:w="0" w:type="auto"/>
            <w:shd w:val="clear" w:color="auto" w:fill="auto"/>
            <w:vAlign w:val="center"/>
            <w:hideMark/>
          </w:tcPr>
          <w:p w14:paraId="4A285208" w14:textId="56392040"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3B53F6"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0" w:type="auto"/>
            <w:shd w:val="clear" w:color="auto" w:fill="auto"/>
            <w:vAlign w:val="center"/>
            <w:hideMark/>
          </w:tcPr>
          <w:p w14:paraId="3001FD49" w14:textId="0A6DF04A"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 xml:space="preserve">COP12 </w:t>
            </w:r>
            <w:r w:rsidR="003B53F6" w:rsidRPr="001961B1">
              <w:rPr>
                <w:rFonts w:asciiTheme="minorHAnsi" w:eastAsia="Aptos" w:hAnsiTheme="minorHAnsi" w:cstheme="minorHAnsi"/>
                <w:b/>
                <w:bCs/>
                <w:sz w:val="22"/>
                <w:szCs w:val="22"/>
                <w:lang w:val="fr-FR"/>
              </w:rPr>
              <w:t>Référence</w:t>
            </w:r>
          </w:p>
        </w:tc>
        <w:tc>
          <w:tcPr>
            <w:tcW w:w="0" w:type="auto"/>
            <w:shd w:val="clear" w:color="auto" w:fill="auto"/>
            <w:vAlign w:val="center"/>
            <w:hideMark/>
          </w:tcPr>
          <w:p w14:paraId="575EABDD" w14:textId="77777777" w:rsidR="0091225F" w:rsidRPr="001961B1" w:rsidRDefault="0091225F"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COP13</w:t>
            </w:r>
          </w:p>
        </w:tc>
        <w:tc>
          <w:tcPr>
            <w:tcW w:w="0" w:type="auto"/>
            <w:shd w:val="clear" w:color="auto" w:fill="auto"/>
            <w:vAlign w:val="center"/>
            <w:hideMark/>
          </w:tcPr>
          <w:p w14:paraId="65F42F06" w14:textId="77777777" w:rsidR="0091225F" w:rsidRPr="001961B1" w:rsidRDefault="0091225F"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COP14</w:t>
            </w:r>
          </w:p>
        </w:tc>
        <w:tc>
          <w:tcPr>
            <w:tcW w:w="0" w:type="auto"/>
            <w:shd w:val="clear" w:color="auto" w:fill="auto"/>
            <w:vAlign w:val="center"/>
            <w:hideMark/>
          </w:tcPr>
          <w:p w14:paraId="63BCEF0A" w14:textId="77777777" w:rsidR="0091225F" w:rsidRPr="001961B1" w:rsidRDefault="0091225F"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COP15</w:t>
            </w:r>
          </w:p>
        </w:tc>
        <w:tc>
          <w:tcPr>
            <w:tcW w:w="0" w:type="auto"/>
            <w:shd w:val="clear" w:color="auto" w:fill="auto"/>
            <w:vAlign w:val="center"/>
            <w:hideMark/>
          </w:tcPr>
          <w:p w14:paraId="622B481E" w14:textId="2886F3F4" w:rsidR="0091225F" w:rsidRPr="001961B1" w:rsidRDefault="003B53F6" w:rsidP="0078307B">
            <w:pPr>
              <w:keepNext/>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Tendance</w:t>
            </w:r>
          </w:p>
        </w:tc>
      </w:tr>
      <w:tr w:rsidR="0091225F" w:rsidRPr="001961B1" w14:paraId="245F9F30" w14:textId="77777777" w:rsidTr="00FE33C7">
        <w:trPr>
          <w:cantSplit/>
        </w:trPr>
        <w:tc>
          <w:tcPr>
            <w:tcW w:w="0" w:type="auto"/>
            <w:shd w:val="clear" w:color="auto" w:fill="auto"/>
          </w:tcPr>
          <w:p w14:paraId="48556E88" w14:textId="5F83CE45" w:rsidR="0091225F" w:rsidRPr="001961B1" w:rsidRDefault="00576F6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d’initiatives régionales mises en œuvre avec succès</w:t>
            </w:r>
            <w:r w:rsidR="0091225F" w:rsidRPr="001961B1">
              <w:rPr>
                <w:rFonts w:asciiTheme="minorHAnsi" w:eastAsia="Aptos" w:hAnsiTheme="minorHAnsi" w:cstheme="minorHAnsi"/>
                <w:sz w:val="22"/>
                <w:szCs w:val="22"/>
                <w:lang w:val="fr-FR"/>
              </w:rPr>
              <w:t>.</w:t>
            </w:r>
          </w:p>
        </w:tc>
        <w:tc>
          <w:tcPr>
            <w:tcW w:w="0" w:type="auto"/>
            <w:shd w:val="clear" w:color="auto" w:fill="auto"/>
          </w:tcPr>
          <w:p w14:paraId="55EEBBA4"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15</w:t>
            </w:r>
          </w:p>
        </w:tc>
        <w:tc>
          <w:tcPr>
            <w:tcW w:w="0" w:type="auto"/>
            <w:shd w:val="clear" w:color="auto" w:fill="auto"/>
          </w:tcPr>
          <w:p w14:paraId="42A16D80"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19</w:t>
            </w:r>
          </w:p>
        </w:tc>
        <w:tc>
          <w:tcPr>
            <w:tcW w:w="0" w:type="auto"/>
            <w:shd w:val="clear" w:color="auto" w:fill="auto"/>
          </w:tcPr>
          <w:p w14:paraId="45F2A90E"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20</w:t>
            </w:r>
          </w:p>
        </w:tc>
        <w:tc>
          <w:tcPr>
            <w:tcW w:w="0" w:type="auto"/>
            <w:shd w:val="clear" w:color="auto" w:fill="auto"/>
          </w:tcPr>
          <w:p w14:paraId="094C6AF6"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22</w:t>
            </w:r>
          </w:p>
        </w:tc>
        <w:tc>
          <w:tcPr>
            <w:tcW w:w="0" w:type="auto"/>
            <w:shd w:val="clear" w:color="auto" w:fill="auto"/>
          </w:tcPr>
          <w:p w14:paraId="53B00FEB" w14:textId="0999A399" w:rsidR="0091225F" w:rsidRPr="001961B1" w:rsidRDefault="00D73A62"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32757E19" wp14:editId="2C2EA7F8">
                  <wp:extent cx="712200" cy="432000"/>
                  <wp:effectExtent l="0" t="0" r="0" b="0"/>
                  <wp:docPr id="21098159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2913A19B" w14:textId="77777777" w:rsidTr="00FE33C7">
        <w:trPr>
          <w:cantSplit/>
        </w:trPr>
        <w:tc>
          <w:tcPr>
            <w:tcW w:w="0" w:type="auto"/>
            <w:shd w:val="clear" w:color="auto" w:fill="auto"/>
          </w:tcPr>
          <w:p w14:paraId="036AAEBC" w14:textId="721EACFE"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76F6F" w:rsidRPr="001961B1">
              <w:rPr>
                <w:rFonts w:asciiTheme="minorHAnsi" w:eastAsia="Aptos" w:hAnsiTheme="minorHAnsi" w:cstheme="minorHAnsi"/>
                <w:sz w:val="22"/>
                <w:szCs w:val="22"/>
                <w:lang w:val="fr-FR"/>
              </w:rPr>
              <w:t>de Parties ayant participé à la conception et à la mise en œuvre d’une initiative régionale dans le cadre de la Convention</w:t>
            </w:r>
            <w:r w:rsidRPr="001961B1">
              <w:rPr>
                <w:rFonts w:asciiTheme="minorHAnsi" w:eastAsia="Aptos" w:hAnsiTheme="minorHAnsi" w:cstheme="minorHAnsi"/>
                <w:sz w:val="22"/>
                <w:szCs w:val="22"/>
                <w:lang w:val="fr-FR"/>
              </w:rPr>
              <w:t>.</w:t>
            </w:r>
          </w:p>
        </w:tc>
        <w:tc>
          <w:tcPr>
            <w:tcW w:w="0" w:type="auto"/>
            <w:shd w:val="clear" w:color="auto" w:fill="auto"/>
          </w:tcPr>
          <w:p w14:paraId="4F27C9A6" w14:textId="2E2F8AAA"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68</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446FD59F" w14:textId="76C30C5A"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59</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11631952" w14:textId="13091A65"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66</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21CF0920" w14:textId="2659CAA6"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67</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1E9DDC28" w14:textId="3E1C2AEA" w:rsidR="0091225F" w:rsidRPr="001961B1" w:rsidRDefault="00456211" w:rsidP="00CD3F6B">
            <w:pP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6E88B888" wp14:editId="54C0C5C7">
                  <wp:extent cx="712200" cy="432000"/>
                  <wp:effectExtent l="0" t="0" r="0" b="0"/>
                  <wp:docPr id="1555093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57362CE2" w14:textId="77777777" w:rsidTr="00FE33C7">
        <w:trPr>
          <w:cantSplit/>
        </w:trPr>
        <w:tc>
          <w:tcPr>
            <w:tcW w:w="0" w:type="auto"/>
            <w:shd w:val="clear" w:color="auto" w:fill="auto"/>
          </w:tcPr>
          <w:p w14:paraId="712B7E30" w14:textId="5AE24B0B"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lastRenderedPageBreak/>
              <w:t xml:space="preserve">% </w:t>
            </w:r>
            <w:r w:rsidR="00576F6F" w:rsidRPr="001961B1">
              <w:rPr>
                <w:rFonts w:asciiTheme="minorHAnsi" w:eastAsia="Aptos" w:hAnsiTheme="minorHAnsi" w:cstheme="minorHAnsi"/>
                <w:sz w:val="22"/>
                <w:szCs w:val="22"/>
                <w:lang w:val="fr-FR"/>
              </w:rPr>
              <w:t>de Parties ayant établi des réseaux comprenant des accords de jumelage, aux plans national et international, pour le partage des connaissances et la formation concernant des zones humides qui ont des caractéristiques communes</w:t>
            </w:r>
            <w:r w:rsidRPr="001961B1">
              <w:rPr>
                <w:rFonts w:asciiTheme="minorHAnsi" w:eastAsia="Aptos" w:hAnsiTheme="minorHAnsi" w:cstheme="minorHAnsi"/>
                <w:sz w:val="22"/>
                <w:szCs w:val="22"/>
                <w:lang w:val="fr-FR"/>
              </w:rPr>
              <w:t>.</w:t>
            </w:r>
          </w:p>
        </w:tc>
        <w:tc>
          <w:tcPr>
            <w:tcW w:w="0" w:type="auto"/>
            <w:shd w:val="clear" w:color="auto" w:fill="auto"/>
          </w:tcPr>
          <w:p w14:paraId="68F5EB72" w14:textId="2ADCCD75"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35</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3D565DEA" w14:textId="10A5A759"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29</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355DAA42" w14:textId="4ACA9E6B"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39</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65596E0E" w14:textId="71F96840"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37</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32E00540" w14:textId="37C7BA34" w:rsidR="0091225F" w:rsidRPr="001961B1" w:rsidRDefault="00960D21" w:rsidP="00CD3F6B">
            <w:pP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075E0912" wp14:editId="0095FC05">
                  <wp:extent cx="712200" cy="432000"/>
                  <wp:effectExtent l="0" t="0" r="0" b="0"/>
                  <wp:docPr id="10652062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633AB41A" w14:textId="77777777" w:rsidTr="00FE33C7">
        <w:trPr>
          <w:cantSplit/>
        </w:trPr>
        <w:tc>
          <w:tcPr>
            <w:tcW w:w="0" w:type="auto"/>
            <w:shd w:val="clear" w:color="auto" w:fill="auto"/>
          </w:tcPr>
          <w:p w14:paraId="5464C2A0" w14:textId="19BF45B2"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76F6F" w:rsidRPr="001961B1">
              <w:rPr>
                <w:rFonts w:asciiTheme="minorHAnsi" w:eastAsia="Aptos" w:hAnsiTheme="minorHAnsi" w:cstheme="minorHAnsi"/>
                <w:sz w:val="22"/>
                <w:szCs w:val="22"/>
                <w:lang w:val="fr-FR"/>
              </w:rPr>
              <w:t>de Parties ayant mis en place une gestion coopérative pour des systèmes de zones humides partagés (par exemple, dans des bassins hydrographiques et des zones humides côtières partagés)</w:t>
            </w:r>
            <w:r w:rsidRPr="001961B1">
              <w:rPr>
                <w:rFonts w:asciiTheme="minorHAnsi" w:eastAsia="Aptos" w:hAnsiTheme="minorHAnsi" w:cstheme="minorHAnsi"/>
                <w:sz w:val="22"/>
                <w:szCs w:val="22"/>
                <w:lang w:val="fr-FR"/>
              </w:rPr>
              <w:t>.</w:t>
            </w:r>
          </w:p>
        </w:tc>
        <w:tc>
          <w:tcPr>
            <w:tcW w:w="0" w:type="auto"/>
            <w:shd w:val="clear" w:color="auto" w:fill="auto"/>
          </w:tcPr>
          <w:p w14:paraId="5576D4AA" w14:textId="001BDC23"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33</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4AC96F0D" w14:textId="666EE85C"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32</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2CB611C7" w14:textId="50EFFCE1"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39</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5FD4C0C7" w14:textId="21D02B28"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38</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7FF4890D" w14:textId="5EEF61DA" w:rsidR="0091225F" w:rsidRPr="001961B1" w:rsidRDefault="000C7C46"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2379274A" wp14:editId="5CFB7DC0">
                  <wp:extent cx="712200" cy="432000"/>
                  <wp:effectExtent l="0" t="0" r="0" b="0"/>
                  <wp:docPr id="7483084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31AC7828" w14:textId="77777777" w:rsidTr="00FE33C7">
        <w:trPr>
          <w:cantSplit/>
        </w:trPr>
        <w:tc>
          <w:tcPr>
            <w:tcW w:w="0" w:type="auto"/>
            <w:shd w:val="clear" w:color="auto" w:fill="auto"/>
          </w:tcPr>
          <w:p w14:paraId="5E1C375D" w14:textId="1B0BEA15"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76F6F" w:rsidRPr="001961B1">
              <w:rPr>
                <w:rFonts w:asciiTheme="minorHAnsi" w:eastAsia="Aptos" w:hAnsiTheme="minorHAnsi" w:cstheme="minorHAnsi"/>
                <w:sz w:val="22"/>
                <w:szCs w:val="22"/>
                <w:lang w:val="fr-FR"/>
              </w:rPr>
              <w:t>de Parties ayant des mécanismes de coordination pour la mise en œuvre d’AME existants au niveau national</w:t>
            </w:r>
            <w:r w:rsidR="000153CA" w:rsidRPr="001961B1">
              <w:rPr>
                <w:rFonts w:asciiTheme="minorHAnsi" w:eastAsia="Aptos" w:hAnsiTheme="minorHAnsi" w:cstheme="minorHAnsi"/>
                <w:sz w:val="22"/>
                <w:szCs w:val="22"/>
                <w:lang w:val="fr-FR"/>
              </w:rPr>
              <w:t>*</w:t>
            </w:r>
            <w:r w:rsidR="005872D2" w:rsidRPr="001961B1">
              <w:rPr>
                <w:rFonts w:asciiTheme="minorHAnsi" w:eastAsia="Aptos" w:hAnsiTheme="minorHAnsi" w:cstheme="minorHAnsi"/>
                <w:sz w:val="22"/>
                <w:szCs w:val="22"/>
                <w:lang w:val="fr-FR"/>
              </w:rPr>
              <w:t>.</w:t>
            </w:r>
          </w:p>
        </w:tc>
        <w:tc>
          <w:tcPr>
            <w:tcW w:w="0" w:type="auto"/>
            <w:shd w:val="clear" w:color="auto" w:fill="auto"/>
          </w:tcPr>
          <w:p w14:paraId="322700E4" w14:textId="09DBDB3C" w:rsidR="0091225F" w:rsidRPr="001961B1" w:rsidRDefault="007D00C1"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46</w:t>
            </w:r>
            <w:r w:rsidR="005872D2" w:rsidRPr="001961B1">
              <w:rPr>
                <w:rFonts w:asciiTheme="minorHAnsi" w:eastAsia="Aptos" w:hAnsiTheme="minorHAnsi" w:cstheme="minorHAnsi"/>
                <w:b/>
                <w:bCs/>
                <w:sz w:val="22"/>
                <w:szCs w:val="22"/>
              </w:rPr>
              <w:t xml:space="preserve"> %</w:t>
            </w:r>
            <w:r w:rsidR="00C97984" w:rsidRPr="001961B1">
              <w:rPr>
                <w:rFonts w:asciiTheme="minorHAnsi" w:eastAsia="Aptos" w:hAnsiTheme="minorHAnsi" w:cstheme="minorHAnsi"/>
                <w:b/>
                <w:bCs/>
                <w:sz w:val="22"/>
                <w:szCs w:val="22"/>
              </w:rPr>
              <w:t>*</w:t>
            </w:r>
          </w:p>
        </w:tc>
        <w:tc>
          <w:tcPr>
            <w:tcW w:w="0" w:type="auto"/>
            <w:shd w:val="clear" w:color="auto" w:fill="auto"/>
          </w:tcPr>
          <w:p w14:paraId="1D59EA72" w14:textId="20C589FD"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42</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1D83D30F" w14:textId="48F31729"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45</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6544B067" w14:textId="2C41DFF6"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52</w:t>
            </w:r>
            <w:r w:rsidR="005872D2" w:rsidRPr="001961B1">
              <w:rPr>
                <w:rFonts w:asciiTheme="minorHAnsi" w:eastAsia="Aptos" w:hAnsiTheme="minorHAnsi" w:cstheme="minorHAnsi"/>
                <w:b/>
                <w:bCs/>
                <w:sz w:val="22"/>
                <w:szCs w:val="22"/>
              </w:rPr>
              <w:t xml:space="preserve"> %</w:t>
            </w:r>
          </w:p>
        </w:tc>
        <w:tc>
          <w:tcPr>
            <w:tcW w:w="0" w:type="auto"/>
            <w:shd w:val="clear" w:color="auto" w:fill="auto"/>
          </w:tcPr>
          <w:p w14:paraId="173043F9" w14:textId="1121AD06" w:rsidR="0091225F" w:rsidRPr="001961B1" w:rsidRDefault="00FD7078"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3756E7F4" wp14:editId="1C2A6496">
                  <wp:extent cx="712200" cy="432000"/>
                  <wp:effectExtent l="0" t="0" r="0" b="0"/>
                  <wp:docPr id="8367325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43C6B1E3" w14:textId="77777777" w:rsidTr="00FE33C7">
        <w:trPr>
          <w:cantSplit/>
        </w:trPr>
        <w:tc>
          <w:tcPr>
            <w:tcW w:w="0" w:type="auto"/>
            <w:shd w:val="clear" w:color="auto" w:fill="auto"/>
          </w:tcPr>
          <w:p w14:paraId="408A620F" w14:textId="20CE0A32" w:rsidR="0091225F" w:rsidRPr="001961B1" w:rsidRDefault="00576F6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de pays ayant adhéré à la Convention</w:t>
            </w:r>
            <w:r w:rsidR="0091225F" w:rsidRPr="001961B1">
              <w:rPr>
                <w:rFonts w:asciiTheme="minorHAnsi" w:eastAsia="Aptos" w:hAnsiTheme="minorHAnsi" w:cstheme="minorHAnsi"/>
                <w:sz w:val="22"/>
                <w:szCs w:val="22"/>
                <w:lang w:val="fr-FR"/>
              </w:rPr>
              <w:t>.</w:t>
            </w:r>
          </w:p>
        </w:tc>
        <w:tc>
          <w:tcPr>
            <w:tcW w:w="0" w:type="auto"/>
            <w:shd w:val="clear" w:color="auto" w:fill="auto"/>
          </w:tcPr>
          <w:p w14:paraId="22D4E959"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168</w:t>
            </w:r>
          </w:p>
        </w:tc>
        <w:tc>
          <w:tcPr>
            <w:tcW w:w="0" w:type="auto"/>
            <w:shd w:val="clear" w:color="auto" w:fill="auto"/>
          </w:tcPr>
          <w:p w14:paraId="5D08CEBA"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w:t>
            </w:r>
          </w:p>
        </w:tc>
        <w:tc>
          <w:tcPr>
            <w:tcW w:w="0" w:type="auto"/>
            <w:shd w:val="clear" w:color="auto" w:fill="auto"/>
          </w:tcPr>
          <w:p w14:paraId="35EF95C7"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w:t>
            </w:r>
          </w:p>
        </w:tc>
        <w:tc>
          <w:tcPr>
            <w:tcW w:w="0" w:type="auto"/>
            <w:shd w:val="clear" w:color="auto" w:fill="auto"/>
          </w:tcPr>
          <w:p w14:paraId="4351D5D3"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0</w:t>
            </w:r>
          </w:p>
        </w:tc>
        <w:tc>
          <w:tcPr>
            <w:tcW w:w="0" w:type="auto"/>
            <w:shd w:val="clear" w:color="auto" w:fill="auto"/>
          </w:tcPr>
          <w:p w14:paraId="3584D406" w14:textId="72474A26" w:rsidR="0091225F" w:rsidRPr="001961B1" w:rsidRDefault="00341DDD"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53B0EA36" wp14:editId="7167AB96">
                  <wp:extent cx="712200" cy="432000"/>
                  <wp:effectExtent l="0" t="0" r="0" b="0"/>
                  <wp:docPr id="145536455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1961B1" w14:paraId="7C5C087E" w14:textId="77777777" w:rsidTr="00FE33C7">
        <w:trPr>
          <w:cantSplit/>
        </w:trPr>
        <w:tc>
          <w:tcPr>
            <w:tcW w:w="0" w:type="auto"/>
            <w:shd w:val="clear" w:color="auto" w:fill="auto"/>
          </w:tcPr>
          <w:p w14:paraId="38A324C9" w14:textId="5E71ED5D" w:rsidR="0091225F" w:rsidRPr="001961B1" w:rsidRDefault="00576F6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Nombre total de Sites Ramsar transfrontières</w:t>
            </w:r>
            <w:r w:rsidR="00883CA3" w:rsidRPr="001961B1">
              <w:rPr>
                <w:rFonts w:asciiTheme="minorHAnsi" w:eastAsia="Aptos" w:hAnsiTheme="minorHAnsi" w:cstheme="minorHAnsi"/>
                <w:sz w:val="22"/>
                <w:szCs w:val="22"/>
                <w:lang w:val="fr-FR"/>
              </w:rPr>
              <w:t>.</w:t>
            </w:r>
          </w:p>
        </w:tc>
        <w:tc>
          <w:tcPr>
            <w:tcW w:w="0" w:type="auto"/>
            <w:shd w:val="clear" w:color="auto" w:fill="auto"/>
          </w:tcPr>
          <w:p w14:paraId="202E26A1"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16</w:t>
            </w:r>
          </w:p>
        </w:tc>
        <w:tc>
          <w:tcPr>
            <w:tcW w:w="0" w:type="auto"/>
            <w:shd w:val="clear" w:color="auto" w:fill="auto"/>
          </w:tcPr>
          <w:p w14:paraId="258CC27C"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23</w:t>
            </w:r>
          </w:p>
        </w:tc>
        <w:tc>
          <w:tcPr>
            <w:tcW w:w="0" w:type="auto"/>
            <w:shd w:val="clear" w:color="auto" w:fill="auto"/>
          </w:tcPr>
          <w:p w14:paraId="240DDA47"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25</w:t>
            </w:r>
          </w:p>
        </w:tc>
        <w:tc>
          <w:tcPr>
            <w:tcW w:w="0" w:type="auto"/>
            <w:shd w:val="clear" w:color="auto" w:fill="auto"/>
          </w:tcPr>
          <w:p w14:paraId="427B975B" w14:textId="77777777"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26</w:t>
            </w:r>
          </w:p>
        </w:tc>
        <w:tc>
          <w:tcPr>
            <w:tcW w:w="0" w:type="auto"/>
            <w:shd w:val="clear" w:color="auto" w:fill="auto"/>
          </w:tcPr>
          <w:p w14:paraId="1A6A556D" w14:textId="2596A7B0" w:rsidR="0091225F" w:rsidRPr="001961B1" w:rsidRDefault="00654E7A" w:rsidP="00CD3F6B">
            <w:pPr>
              <w:rPr>
                <w:rFonts w:asciiTheme="minorHAnsi" w:eastAsia="Aptos" w:hAnsiTheme="minorHAnsi" w:cstheme="minorHAnsi"/>
                <w:noProof/>
                <w:sz w:val="22"/>
                <w:szCs w:val="22"/>
              </w:rPr>
            </w:pPr>
            <w:r w:rsidRPr="001961B1">
              <w:rPr>
                <w:rFonts w:asciiTheme="minorHAnsi" w:hAnsiTheme="minorHAnsi" w:cstheme="minorHAnsi"/>
                <w:noProof/>
                <w:sz w:val="22"/>
                <w:szCs w:val="22"/>
                <w:lang w:val="en-CA" w:eastAsia="en-CA"/>
              </w:rPr>
              <w:drawing>
                <wp:inline distT="0" distB="0" distL="0" distR="0" wp14:anchorId="0E0FC025" wp14:editId="2145D875">
                  <wp:extent cx="712200" cy="432000"/>
                  <wp:effectExtent l="0" t="0" r="0" b="0"/>
                  <wp:docPr id="21089041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243A7647" w14:textId="1F739C62" w:rsidR="00DF29D0" w:rsidRPr="001961B1" w:rsidRDefault="00C97984"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w:t>
      </w:r>
      <w:r w:rsidR="00B51B49" w:rsidRPr="001961B1">
        <w:rPr>
          <w:rFonts w:asciiTheme="minorHAnsi" w:hAnsiTheme="minorHAnsi" w:cstheme="minorHAnsi"/>
          <w:sz w:val="22"/>
          <w:szCs w:val="22"/>
          <w:lang w:val="fr-FR"/>
        </w:rPr>
        <w:t xml:space="preserve"> Pourcentage des Parties contractantes ayant des mécanismes en place pour </w:t>
      </w:r>
      <w:r w:rsidR="00BF3B3C" w:rsidRPr="001961B1">
        <w:rPr>
          <w:rFonts w:asciiTheme="minorHAnsi" w:hAnsiTheme="minorHAnsi" w:cstheme="minorHAnsi"/>
          <w:sz w:val="22"/>
          <w:szCs w:val="22"/>
          <w:lang w:val="fr-FR"/>
        </w:rPr>
        <w:t xml:space="preserve">favoriser </w:t>
      </w:r>
      <w:r w:rsidR="00B51B49" w:rsidRPr="001961B1">
        <w:rPr>
          <w:rFonts w:asciiTheme="minorHAnsi" w:hAnsiTheme="minorHAnsi" w:cstheme="minorHAnsi"/>
          <w:sz w:val="22"/>
          <w:szCs w:val="22"/>
          <w:lang w:val="fr-FR"/>
        </w:rPr>
        <w:t xml:space="preserve">la collaboration entre les Autorités administratives de la Convention et les correspondants de l’ONU et d’autres organismes et institutions </w:t>
      </w:r>
      <w:r w:rsidR="00D01C92" w:rsidRPr="001961B1">
        <w:rPr>
          <w:rFonts w:asciiTheme="minorHAnsi" w:hAnsiTheme="minorHAnsi" w:cstheme="minorHAnsi"/>
          <w:sz w:val="22"/>
          <w:szCs w:val="22"/>
          <w:lang w:val="fr-FR"/>
        </w:rPr>
        <w:t>régiona</w:t>
      </w:r>
      <w:r w:rsidR="00704FF1" w:rsidRPr="001961B1">
        <w:rPr>
          <w:rFonts w:asciiTheme="minorHAnsi" w:hAnsiTheme="minorHAnsi" w:cstheme="minorHAnsi"/>
          <w:sz w:val="22"/>
          <w:szCs w:val="22"/>
          <w:lang w:val="fr-FR"/>
        </w:rPr>
        <w:t>ux et mondiaux. La référence est fondée sur les Rapports nationaux soumis à la COP12.</w:t>
      </w:r>
      <w:r w:rsidR="00533F59" w:rsidRPr="001961B1">
        <w:rPr>
          <w:rFonts w:asciiTheme="minorHAnsi" w:hAnsiTheme="minorHAnsi" w:cstheme="minorHAnsi"/>
          <w:sz w:val="22"/>
          <w:szCs w:val="22"/>
          <w:lang w:val="fr-FR"/>
        </w:rPr>
        <w:t xml:space="preserve"> </w:t>
      </w:r>
    </w:p>
    <w:p w14:paraId="7EF28EA0" w14:textId="77777777" w:rsidR="00C97984" w:rsidRPr="001961B1" w:rsidRDefault="00C97984" w:rsidP="00CD3F6B">
      <w:pPr>
        <w:rPr>
          <w:rFonts w:asciiTheme="minorHAnsi" w:hAnsiTheme="minorHAnsi" w:cstheme="minorHAnsi"/>
          <w:b/>
          <w:bCs/>
          <w:sz w:val="22"/>
          <w:szCs w:val="22"/>
          <w:lang w:val="fr-FR"/>
        </w:rPr>
      </w:pPr>
    </w:p>
    <w:p w14:paraId="2A2D124B" w14:textId="3BD31736" w:rsidR="00D2049E"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4C033F" w:rsidRPr="001961B1">
        <w:rPr>
          <w:rFonts w:asciiTheme="minorHAnsi" w:hAnsiTheme="minorHAnsi" w:cstheme="minorHAnsi"/>
          <w:i/>
          <w:iCs/>
          <w:sz w:val="22"/>
          <w:szCs w:val="22"/>
          <w:u w:val="single"/>
          <w:lang w:val="fr-FR"/>
        </w:rPr>
        <w:t xml:space="preserve"> </w:t>
      </w:r>
    </w:p>
    <w:p w14:paraId="12FAD6F8" w14:textId="77777777" w:rsidR="004C033F" w:rsidRPr="001961B1" w:rsidRDefault="004C033F" w:rsidP="000D551C">
      <w:pPr>
        <w:keepNext/>
        <w:rPr>
          <w:rFonts w:asciiTheme="minorHAnsi" w:hAnsiTheme="minorHAnsi" w:cstheme="minorHAnsi"/>
          <w:b/>
          <w:bCs/>
          <w:sz w:val="22"/>
          <w:szCs w:val="22"/>
          <w:lang w:val="fr-FR"/>
        </w:rPr>
      </w:pPr>
    </w:p>
    <w:p w14:paraId="6A44E0FF" w14:textId="619CCDC4" w:rsidR="004C033F"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3</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076226" w:rsidRPr="001961B1">
        <w:rPr>
          <w:rFonts w:asciiTheme="minorHAnsi" w:hAnsiTheme="minorHAnsi" w:cstheme="minorHAnsi"/>
          <w:sz w:val="22"/>
          <w:szCs w:val="22"/>
          <w:lang w:val="fr-FR" w:eastAsia="fr-FR"/>
        </w:rPr>
        <w:t xml:space="preserve">Le nombre d’IRR a augmenté tandis que l’engagement des Parties contractantes dans les IRR est resté relativement stable. </w:t>
      </w:r>
      <w:r w:rsidR="003B2AD4" w:rsidRPr="001961B1">
        <w:rPr>
          <w:rFonts w:asciiTheme="minorHAnsi" w:hAnsiTheme="minorHAnsi" w:cstheme="minorHAnsi"/>
          <w:sz w:val="22"/>
          <w:szCs w:val="22"/>
          <w:lang w:val="fr-FR" w:eastAsia="fr-FR"/>
        </w:rPr>
        <w:t>L</w:t>
      </w:r>
      <w:r w:rsidR="00076226" w:rsidRPr="001961B1">
        <w:rPr>
          <w:rFonts w:asciiTheme="minorHAnsi" w:hAnsiTheme="minorHAnsi" w:cstheme="minorHAnsi"/>
          <w:sz w:val="22"/>
          <w:szCs w:val="22"/>
          <w:lang w:val="fr-FR" w:eastAsia="fr-FR"/>
        </w:rPr>
        <w:t xml:space="preserve">a création de réseaux, y compris d’arrangements de jumelage pour le partage des connaissances et la formation ainsi que la gestion </w:t>
      </w:r>
      <w:r w:rsidR="0018578C" w:rsidRPr="001961B1">
        <w:rPr>
          <w:rFonts w:asciiTheme="minorHAnsi" w:hAnsiTheme="minorHAnsi" w:cstheme="minorHAnsi"/>
          <w:sz w:val="22"/>
          <w:szCs w:val="22"/>
          <w:lang w:val="fr-FR" w:eastAsia="fr-FR"/>
        </w:rPr>
        <w:t>collaborative des</w:t>
      </w:r>
      <w:r w:rsidR="00076226" w:rsidRPr="001961B1">
        <w:rPr>
          <w:rFonts w:asciiTheme="minorHAnsi" w:hAnsiTheme="minorHAnsi" w:cstheme="minorHAnsi"/>
          <w:sz w:val="22"/>
          <w:szCs w:val="22"/>
          <w:lang w:val="fr-FR" w:eastAsia="fr-FR"/>
        </w:rPr>
        <w:t xml:space="preserve"> systèmes de zones humides partagés</w:t>
      </w:r>
      <w:r w:rsidR="003B2AD4" w:rsidRPr="001961B1">
        <w:rPr>
          <w:rFonts w:asciiTheme="minorHAnsi" w:hAnsiTheme="minorHAnsi" w:cstheme="minorHAnsi"/>
          <w:sz w:val="22"/>
          <w:szCs w:val="22"/>
          <w:lang w:val="fr-FR" w:eastAsia="fr-FR"/>
        </w:rPr>
        <w:t xml:space="preserve"> a connu une </w:t>
      </w:r>
      <w:r w:rsidR="0018578C" w:rsidRPr="001961B1">
        <w:rPr>
          <w:rFonts w:asciiTheme="minorHAnsi" w:hAnsiTheme="minorHAnsi" w:cstheme="minorHAnsi"/>
          <w:sz w:val="22"/>
          <w:szCs w:val="22"/>
          <w:lang w:val="fr-FR" w:eastAsia="fr-FR"/>
        </w:rPr>
        <w:t xml:space="preserve">modeste </w:t>
      </w:r>
      <w:r w:rsidR="003B2AD4" w:rsidRPr="001961B1">
        <w:rPr>
          <w:rFonts w:asciiTheme="minorHAnsi" w:hAnsiTheme="minorHAnsi" w:cstheme="minorHAnsi"/>
          <w:sz w:val="22"/>
          <w:szCs w:val="22"/>
          <w:lang w:val="fr-FR" w:eastAsia="fr-FR"/>
        </w:rPr>
        <w:t>augmentation</w:t>
      </w:r>
      <w:r w:rsidR="00076226" w:rsidRPr="001961B1">
        <w:rPr>
          <w:rFonts w:asciiTheme="minorHAnsi" w:hAnsiTheme="minorHAnsi" w:cstheme="minorHAnsi"/>
          <w:sz w:val="22"/>
          <w:szCs w:val="22"/>
          <w:lang w:val="fr-FR" w:eastAsia="fr-FR"/>
        </w:rPr>
        <w:t>. La participation aux réseaux ou initiatives régionaux pour les espèces migratrices dépendant des zones humides est particulièrement élevée, et augmente progressivement à partir d’une référence de 73 % des Parties</w:t>
      </w:r>
      <w:r w:rsidR="003B2AD4" w:rsidRPr="001961B1">
        <w:rPr>
          <w:rFonts w:asciiTheme="minorHAnsi" w:hAnsiTheme="minorHAnsi" w:cstheme="minorHAnsi"/>
          <w:sz w:val="22"/>
          <w:szCs w:val="22"/>
          <w:lang w:val="fr-FR" w:eastAsia="fr-FR"/>
        </w:rPr>
        <w:t>,</w:t>
      </w:r>
      <w:r w:rsidR="00076226" w:rsidRPr="001961B1">
        <w:rPr>
          <w:rFonts w:asciiTheme="minorHAnsi" w:hAnsiTheme="minorHAnsi" w:cstheme="minorHAnsi"/>
          <w:sz w:val="22"/>
          <w:szCs w:val="22"/>
          <w:lang w:val="fr-FR" w:eastAsia="fr-FR"/>
        </w:rPr>
        <w:t xml:space="preserve"> pour atteindre 83 % à la COP15.</w:t>
      </w:r>
    </w:p>
    <w:p w14:paraId="3E34934B" w14:textId="77777777" w:rsidR="00C83DD4" w:rsidRPr="001961B1" w:rsidRDefault="00C83DD4" w:rsidP="00257025">
      <w:pPr>
        <w:ind w:left="567" w:hanging="567"/>
        <w:rPr>
          <w:rFonts w:asciiTheme="minorHAnsi" w:hAnsiTheme="minorHAnsi" w:cstheme="minorHAnsi"/>
          <w:sz w:val="22"/>
          <w:szCs w:val="22"/>
          <w:lang w:val="fr-FR" w:eastAsia="fr-FR"/>
        </w:rPr>
      </w:pPr>
    </w:p>
    <w:p w14:paraId="6F78915E" w14:textId="09D37333" w:rsidR="004C033F"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4</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383793" w:rsidRPr="001961B1">
        <w:rPr>
          <w:rFonts w:asciiTheme="minorHAnsi" w:hAnsiTheme="minorHAnsi" w:cstheme="minorHAnsi"/>
          <w:sz w:val="22"/>
          <w:szCs w:val="22"/>
          <w:lang w:val="fr-FR" w:eastAsia="fr-FR"/>
        </w:rPr>
        <w:t xml:space="preserve">Plus d’un tiers des Parties contractantes signalent qu’une gestion efficace est en place pour </w:t>
      </w:r>
      <w:r w:rsidR="0018578C" w:rsidRPr="001961B1">
        <w:rPr>
          <w:rFonts w:asciiTheme="minorHAnsi" w:hAnsiTheme="minorHAnsi" w:cstheme="minorHAnsi"/>
          <w:sz w:val="22"/>
          <w:szCs w:val="22"/>
          <w:lang w:val="fr-FR" w:eastAsia="fr-FR"/>
        </w:rPr>
        <w:t>d</w:t>
      </w:r>
      <w:r w:rsidR="00383793" w:rsidRPr="001961B1">
        <w:rPr>
          <w:rFonts w:asciiTheme="minorHAnsi" w:hAnsiTheme="minorHAnsi" w:cstheme="minorHAnsi"/>
          <w:sz w:val="22"/>
          <w:szCs w:val="22"/>
          <w:lang w:val="fr-FR" w:eastAsia="fr-FR"/>
        </w:rPr>
        <w:t xml:space="preserve">es systèmes de zones humides </w:t>
      </w:r>
      <w:r w:rsidR="0018578C" w:rsidRPr="001961B1">
        <w:rPr>
          <w:rFonts w:asciiTheme="minorHAnsi" w:hAnsiTheme="minorHAnsi" w:cstheme="minorHAnsi"/>
          <w:sz w:val="22"/>
          <w:szCs w:val="22"/>
          <w:lang w:val="fr-FR" w:eastAsia="fr-FR"/>
        </w:rPr>
        <w:t>communs</w:t>
      </w:r>
      <w:r w:rsidR="00383793" w:rsidRPr="001961B1">
        <w:rPr>
          <w:rFonts w:asciiTheme="minorHAnsi" w:hAnsiTheme="minorHAnsi" w:cstheme="minorHAnsi"/>
          <w:sz w:val="22"/>
          <w:szCs w:val="22"/>
          <w:lang w:val="fr-FR" w:eastAsia="fr-FR"/>
        </w:rPr>
        <w:t>, comme par exemple dans les bassins hydrographiques et les zones côtières partagés. C’est une légère augmentation durant la période du PS4. Plus de la moitié des Parties ont identifié tous leurs systèmes de zones humides transfrontaliers.</w:t>
      </w:r>
    </w:p>
    <w:p w14:paraId="02523CD8" w14:textId="77777777" w:rsidR="00676AE5" w:rsidRPr="001961B1" w:rsidRDefault="00676AE5" w:rsidP="00257025">
      <w:pPr>
        <w:ind w:left="567" w:hanging="567"/>
        <w:rPr>
          <w:rFonts w:asciiTheme="minorHAnsi" w:hAnsiTheme="minorHAnsi" w:cstheme="minorHAnsi"/>
          <w:sz w:val="22"/>
          <w:szCs w:val="22"/>
          <w:lang w:val="fr-FR" w:eastAsia="fr-FR"/>
        </w:rPr>
      </w:pPr>
    </w:p>
    <w:p w14:paraId="7F6DB137" w14:textId="1F536FBE" w:rsidR="004C033F"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5</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CD0FB3" w:rsidRPr="001961B1">
        <w:rPr>
          <w:rFonts w:asciiTheme="minorHAnsi" w:hAnsiTheme="minorHAnsi" w:cstheme="minorHAnsi"/>
          <w:sz w:val="22"/>
          <w:szCs w:val="22"/>
          <w:lang w:val="fr-FR" w:eastAsia="fr-FR"/>
        </w:rPr>
        <w:t>Au moment de</w:t>
      </w:r>
      <w:r w:rsidR="00094CB7" w:rsidRPr="001961B1">
        <w:rPr>
          <w:rFonts w:asciiTheme="minorHAnsi" w:hAnsiTheme="minorHAnsi" w:cstheme="minorHAnsi"/>
          <w:sz w:val="22"/>
          <w:szCs w:val="22"/>
          <w:lang w:val="fr-FR" w:eastAsia="fr-FR"/>
        </w:rPr>
        <w:t xml:space="preserve"> la </w:t>
      </w:r>
      <w:r w:rsidR="000A49C2" w:rsidRPr="001961B1">
        <w:rPr>
          <w:rFonts w:asciiTheme="minorHAnsi" w:hAnsiTheme="minorHAnsi" w:cstheme="minorHAnsi"/>
          <w:sz w:val="22"/>
          <w:szCs w:val="22"/>
          <w:lang w:val="fr-FR" w:eastAsia="fr-FR"/>
        </w:rPr>
        <w:t>COP15</w:t>
      </w:r>
      <w:r w:rsidR="004C033F" w:rsidRPr="001961B1">
        <w:rPr>
          <w:rFonts w:asciiTheme="minorHAnsi" w:hAnsiTheme="minorHAnsi" w:cstheme="minorHAnsi"/>
          <w:sz w:val="22"/>
          <w:szCs w:val="22"/>
          <w:lang w:val="fr-FR" w:eastAsia="fr-FR"/>
        </w:rPr>
        <w:t xml:space="preserve">, </w:t>
      </w:r>
      <w:r w:rsidR="00094CB7" w:rsidRPr="001961B1">
        <w:rPr>
          <w:rFonts w:asciiTheme="minorHAnsi" w:hAnsiTheme="minorHAnsi" w:cstheme="minorHAnsi"/>
          <w:sz w:val="22"/>
          <w:szCs w:val="22"/>
          <w:lang w:val="fr-FR" w:eastAsia="fr-FR"/>
        </w:rPr>
        <w:t xml:space="preserve">plus de la moitié des Parties contractantes </w:t>
      </w:r>
      <w:r w:rsidR="007B5EB1" w:rsidRPr="001961B1">
        <w:rPr>
          <w:rFonts w:asciiTheme="minorHAnsi" w:hAnsiTheme="minorHAnsi" w:cstheme="minorHAnsi"/>
          <w:sz w:val="22"/>
          <w:szCs w:val="22"/>
          <w:lang w:val="fr-FR" w:eastAsia="fr-FR"/>
        </w:rPr>
        <w:t>avaient</w:t>
      </w:r>
      <w:r w:rsidR="00094CB7" w:rsidRPr="001961B1">
        <w:rPr>
          <w:rFonts w:asciiTheme="minorHAnsi" w:hAnsiTheme="minorHAnsi" w:cstheme="minorHAnsi"/>
          <w:sz w:val="22"/>
          <w:szCs w:val="22"/>
          <w:lang w:val="fr-FR" w:eastAsia="fr-FR"/>
        </w:rPr>
        <w:t xml:space="preserve"> des mécanismes en place pour </w:t>
      </w:r>
      <w:r w:rsidR="007B5EB1" w:rsidRPr="001961B1">
        <w:rPr>
          <w:rFonts w:asciiTheme="minorHAnsi" w:hAnsiTheme="minorHAnsi" w:cstheme="minorHAnsi"/>
          <w:sz w:val="22"/>
          <w:szCs w:val="22"/>
          <w:lang w:val="fr-FR" w:eastAsia="fr-FR"/>
        </w:rPr>
        <w:t xml:space="preserve">assurer </w:t>
      </w:r>
      <w:r w:rsidR="00094CB7" w:rsidRPr="001961B1">
        <w:rPr>
          <w:rFonts w:asciiTheme="minorHAnsi" w:hAnsiTheme="minorHAnsi" w:cstheme="minorHAnsi"/>
          <w:sz w:val="22"/>
          <w:szCs w:val="22"/>
          <w:lang w:val="fr-FR" w:eastAsia="fr-FR"/>
        </w:rPr>
        <w:t xml:space="preserve">la collaboration entre les Autorités administratives de la Convention et les points focaux de l’ONU et d’autres organes et institutions mondiaux et régionaux. Il s’agit d’une augmentation de 10 % depuis la COP13. En outre, </w:t>
      </w:r>
      <w:r w:rsidR="004C033F" w:rsidRPr="001961B1">
        <w:rPr>
          <w:rFonts w:asciiTheme="minorHAnsi" w:hAnsiTheme="minorHAnsi" w:cstheme="minorHAnsi"/>
          <w:sz w:val="22"/>
          <w:szCs w:val="22"/>
          <w:lang w:val="fr-FR" w:eastAsia="fr-FR"/>
        </w:rPr>
        <w:t>24</w:t>
      </w:r>
      <w:r w:rsidR="00094CB7" w:rsidRPr="001961B1">
        <w:rPr>
          <w:rFonts w:asciiTheme="minorHAnsi" w:hAnsiTheme="minorHAnsi" w:cstheme="minorHAnsi"/>
          <w:sz w:val="22"/>
          <w:szCs w:val="22"/>
          <w:lang w:val="fr-FR" w:eastAsia="fr-FR"/>
        </w:rPr>
        <w:t> </w:t>
      </w:r>
      <w:r w:rsidR="004C033F" w:rsidRPr="001961B1">
        <w:rPr>
          <w:rFonts w:asciiTheme="minorHAnsi" w:hAnsiTheme="minorHAnsi" w:cstheme="minorHAnsi"/>
          <w:sz w:val="22"/>
          <w:szCs w:val="22"/>
          <w:lang w:val="fr-FR" w:eastAsia="fr-FR"/>
        </w:rPr>
        <w:t xml:space="preserve">% </w:t>
      </w:r>
      <w:r w:rsidR="00094CB7" w:rsidRPr="001961B1">
        <w:rPr>
          <w:rFonts w:asciiTheme="minorHAnsi" w:hAnsiTheme="minorHAnsi" w:cstheme="minorHAnsi"/>
          <w:sz w:val="22"/>
          <w:szCs w:val="22"/>
          <w:lang w:val="fr-FR" w:eastAsia="fr-FR"/>
        </w:rPr>
        <w:t>d</w:t>
      </w:r>
      <w:r w:rsidR="007B5EB1" w:rsidRPr="001961B1">
        <w:rPr>
          <w:rFonts w:asciiTheme="minorHAnsi" w:hAnsiTheme="minorHAnsi" w:cstheme="minorHAnsi"/>
          <w:sz w:val="22"/>
          <w:szCs w:val="22"/>
          <w:lang w:val="fr-FR" w:eastAsia="fr-FR"/>
        </w:rPr>
        <w:t>’autres</w:t>
      </w:r>
      <w:r w:rsidR="00094CB7" w:rsidRPr="001961B1">
        <w:rPr>
          <w:rFonts w:asciiTheme="minorHAnsi" w:hAnsiTheme="minorHAnsi" w:cstheme="minorHAnsi"/>
          <w:sz w:val="22"/>
          <w:szCs w:val="22"/>
          <w:lang w:val="fr-FR" w:eastAsia="fr-FR"/>
        </w:rPr>
        <w:t xml:space="preserve"> Parties signalent que de telles dispositions sont partiellement </w:t>
      </w:r>
      <w:r w:rsidR="00607EC9" w:rsidRPr="001961B1">
        <w:rPr>
          <w:rFonts w:asciiTheme="minorHAnsi" w:hAnsiTheme="minorHAnsi" w:cstheme="minorHAnsi"/>
          <w:sz w:val="22"/>
          <w:szCs w:val="22"/>
          <w:lang w:val="fr-FR" w:eastAsia="fr-FR"/>
        </w:rPr>
        <w:t xml:space="preserve">en vigueur. Toutefois, il y a un léger déclin dans la proportion de Parties </w:t>
      </w:r>
      <w:r w:rsidR="007B5EB1" w:rsidRPr="001961B1">
        <w:rPr>
          <w:rFonts w:asciiTheme="minorHAnsi" w:hAnsiTheme="minorHAnsi" w:cstheme="minorHAnsi"/>
          <w:sz w:val="22"/>
          <w:szCs w:val="22"/>
          <w:lang w:val="fr-FR" w:eastAsia="fr-FR"/>
        </w:rPr>
        <w:t>déclarant</w:t>
      </w:r>
      <w:r w:rsidR="00607EC9" w:rsidRPr="001961B1">
        <w:rPr>
          <w:rFonts w:asciiTheme="minorHAnsi" w:hAnsiTheme="minorHAnsi" w:cstheme="minorHAnsi"/>
          <w:sz w:val="22"/>
          <w:szCs w:val="22"/>
          <w:lang w:val="fr-FR" w:eastAsia="fr-FR"/>
        </w:rPr>
        <w:t xml:space="preserve"> que les correspondants nationaux d’autres AME sont invités à participer aux comités Ramsar/pour les zones humides, de 42 % à la COP13 à 37 % à la COP15. Le déclin est relativement important en Afrique et il est attribué à des lacunes en matière de capacités et de financement</w:t>
      </w:r>
      <w:r w:rsidR="007B5EB1" w:rsidRPr="001961B1">
        <w:rPr>
          <w:rFonts w:asciiTheme="minorHAnsi" w:hAnsiTheme="minorHAnsi" w:cstheme="minorHAnsi"/>
          <w:sz w:val="22"/>
          <w:szCs w:val="22"/>
          <w:lang w:val="fr-FR" w:eastAsia="fr-FR"/>
        </w:rPr>
        <w:t>,</w:t>
      </w:r>
      <w:r w:rsidR="00607EC9" w:rsidRPr="001961B1">
        <w:rPr>
          <w:rFonts w:asciiTheme="minorHAnsi" w:hAnsiTheme="minorHAnsi" w:cstheme="minorHAnsi"/>
          <w:sz w:val="22"/>
          <w:szCs w:val="22"/>
          <w:lang w:val="fr-FR" w:eastAsia="fr-FR"/>
        </w:rPr>
        <w:t xml:space="preserve"> tandis qu’</w:t>
      </w:r>
      <w:r w:rsidR="007B5EB1" w:rsidRPr="001961B1">
        <w:rPr>
          <w:rFonts w:asciiTheme="minorHAnsi" w:hAnsiTheme="minorHAnsi" w:cstheme="minorHAnsi"/>
          <w:sz w:val="22"/>
          <w:szCs w:val="22"/>
          <w:lang w:val="fr-FR" w:eastAsia="fr-FR"/>
        </w:rPr>
        <w:t xml:space="preserve">en Asie, on constate </w:t>
      </w:r>
      <w:r w:rsidR="00607EC9" w:rsidRPr="001961B1">
        <w:rPr>
          <w:rFonts w:asciiTheme="minorHAnsi" w:hAnsiTheme="minorHAnsi" w:cstheme="minorHAnsi"/>
          <w:sz w:val="22"/>
          <w:szCs w:val="22"/>
          <w:lang w:val="fr-FR" w:eastAsia="fr-FR"/>
        </w:rPr>
        <w:t xml:space="preserve">une augmentation significative. </w:t>
      </w:r>
    </w:p>
    <w:p w14:paraId="668616C3" w14:textId="77777777" w:rsidR="00D2049E" w:rsidRPr="001961B1" w:rsidRDefault="00D2049E" w:rsidP="00257025">
      <w:pPr>
        <w:ind w:left="567" w:hanging="567"/>
        <w:rPr>
          <w:rFonts w:asciiTheme="minorHAnsi" w:hAnsiTheme="minorHAnsi" w:cstheme="minorHAnsi"/>
          <w:sz w:val="22"/>
          <w:szCs w:val="22"/>
          <w:lang w:val="fr-FR" w:eastAsia="fr-FR"/>
        </w:rPr>
      </w:pPr>
    </w:p>
    <w:p w14:paraId="4C992847" w14:textId="7F9161B7" w:rsidR="002601E4"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lastRenderedPageBreak/>
        <w:t>11</w:t>
      </w:r>
      <w:r w:rsidR="00C32CF1" w:rsidRPr="001961B1">
        <w:rPr>
          <w:rFonts w:asciiTheme="minorHAnsi" w:hAnsiTheme="minorHAnsi" w:cstheme="minorHAnsi"/>
          <w:sz w:val="22"/>
          <w:szCs w:val="22"/>
          <w:lang w:val="fr-FR" w:eastAsia="fr-FR"/>
        </w:rPr>
        <w:t>6</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607EC9" w:rsidRPr="001961B1">
        <w:rPr>
          <w:rFonts w:asciiTheme="minorHAnsi" w:hAnsiTheme="minorHAnsi" w:cstheme="minorHAnsi"/>
          <w:sz w:val="22"/>
          <w:szCs w:val="22"/>
          <w:lang w:val="fr-FR" w:eastAsia="fr-FR"/>
        </w:rPr>
        <w:t xml:space="preserve">La </w:t>
      </w:r>
      <w:r w:rsidR="00DB7110" w:rsidRPr="001961B1">
        <w:rPr>
          <w:rFonts w:asciiTheme="minorHAnsi" w:hAnsiTheme="minorHAnsi" w:cstheme="minorHAnsi"/>
          <w:sz w:val="22"/>
          <w:szCs w:val="22"/>
          <w:lang w:val="fr-FR" w:eastAsia="fr-FR"/>
        </w:rPr>
        <w:t xml:space="preserve">proportion </w:t>
      </w:r>
      <w:r w:rsidR="00607EC9" w:rsidRPr="001961B1">
        <w:rPr>
          <w:rFonts w:asciiTheme="minorHAnsi" w:hAnsiTheme="minorHAnsi" w:cstheme="minorHAnsi"/>
          <w:sz w:val="22"/>
          <w:szCs w:val="22"/>
          <w:lang w:val="fr-FR" w:eastAsia="fr-FR"/>
        </w:rPr>
        <w:t xml:space="preserve">de Parties contractantes ayant fourni des réponses narratives dans les Rapports nationaux a généralement augmenté, fournissant un surplus d’informations qualitatives à la fois sur les progrès et les difficultés. </w:t>
      </w:r>
      <w:r w:rsidR="0045614D" w:rsidRPr="001961B1">
        <w:rPr>
          <w:rFonts w:asciiTheme="minorHAnsi" w:hAnsiTheme="minorHAnsi" w:cstheme="minorHAnsi"/>
          <w:sz w:val="22"/>
          <w:szCs w:val="22"/>
          <w:lang w:val="fr-FR" w:eastAsia="fr-FR"/>
        </w:rPr>
        <w:t>Pour renforcer la mise en œuvre, il est recommandé de mettre l’</w:t>
      </w:r>
      <w:r w:rsidR="00607EC9" w:rsidRPr="001961B1">
        <w:rPr>
          <w:rFonts w:asciiTheme="minorHAnsi" w:hAnsiTheme="minorHAnsi" w:cstheme="minorHAnsi"/>
          <w:sz w:val="22"/>
          <w:szCs w:val="22"/>
          <w:lang w:val="fr-FR" w:eastAsia="fr-FR"/>
        </w:rPr>
        <w:t xml:space="preserve">accent sur la coordination entre les correspondants des AME, y compris </w:t>
      </w:r>
      <w:r w:rsidR="0045614D" w:rsidRPr="001961B1">
        <w:rPr>
          <w:rFonts w:asciiTheme="minorHAnsi" w:hAnsiTheme="minorHAnsi" w:cstheme="minorHAnsi"/>
          <w:sz w:val="22"/>
          <w:szCs w:val="22"/>
          <w:lang w:val="fr-FR" w:eastAsia="fr-FR"/>
        </w:rPr>
        <w:t>par une</w:t>
      </w:r>
      <w:r w:rsidR="00607EC9" w:rsidRPr="001961B1">
        <w:rPr>
          <w:rFonts w:asciiTheme="minorHAnsi" w:hAnsiTheme="minorHAnsi" w:cstheme="minorHAnsi"/>
          <w:sz w:val="22"/>
          <w:szCs w:val="22"/>
          <w:lang w:val="fr-FR" w:eastAsia="fr-FR"/>
        </w:rPr>
        <w:t xml:space="preserve"> promotion de l’apprentissage </w:t>
      </w:r>
      <w:r w:rsidR="007933E7" w:rsidRPr="001961B1">
        <w:rPr>
          <w:rFonts w:asciiTheme="minorHAnsi" w:hAnsiTheme="minorHAnsi" w:cstheme="minorHAnsi"/>
          <w:sz w:val="22"/>
          <w:szCs w:val="22"/>
          <w:lang w:val="fr-FR" w:eastAsia="fr-FR"/>
        </w:rPr>
        <w:t>entre</w:t>
      </w:r>
      <w:r w:rsidR="00607EC9" w:rsidRPr="001961B1">
        <w:rPr>
          <w:rFonts w:asciiTheme="minorHAnsi" w:hAnsiTheme="minorHAnsi" w:cstheme="minorHAnsi"/>
          <w:sz w:val="22"/>
          <w:szCs w:val="22"/>
          <w:lang w:val="fr-FR" w:eastAsia="fr-FR"/>
        </w:rPr>
        <w:t xml:space="preserve"> pairs (la Suède et le Canada</w:t>
      </w:r>
      <w:r w:rsidR="0018578C" w:rsidRPr="001961B1">
        <w:rPr>
          <w:rFonts w:asciiTheme="minorHAnsi" w:hAnsiTheme="minorHAnsi" w:cstheme="minorHAnsi"/>
          <w:sz w:val="22"/>
          <w:szCs w:val="22"/>
          <w:lang w:val="fr-FR" w:eastAsia="fr-FR"/>
        </w:rPr>
        <w:t>, entre autres, ont communiqué des modèles performants</w:t>
      </w:r>
      <w:r w:rsidR="00607EC9" w:rsidRPr="001961B1">
        <w:rPr>
          <w:rFonts w:asciiTheme="minorHAnsi" w:hAnsiTheme="minorHAnsi" w:cstheme="minorHAnsi"/>
          <w:sz w:val="22"/>
          <w:szCs w:val="22"/>
          <w:lang w:val="fr-FR" w:eastAsia="fr-FR"/>
        </w:rPr>
        <w:t xml:space="preserve">) et </w:t>
      </w:r>
      <w:r w:rsidR="0045614D" w:rsidRPr="001961B1">
        <w:rPr>
          <w:rFonts w:asciiTheme="minorHAnsi" w:hAnsiTheme="minorHAnsi" w:cstheme="minorHAnsi"/>
          <w:sz w:val="22"/>
          <w:szCs w:val="22"/>
          <w:lang w:val="fr-FR" w:eastAsia="fr-FR"/>
        </w:rPr>
        <w:t>de</w:t>
      </w:r>
      <w:r w:rsidR="00607EC9" w:rsidRPr="001961B1">
        <w:rPr>
          <w:rFonts w:asciiTheme="minorHAnsi" w:hAnsiTheme="minorHAnsi" w:cstheme="minorHAnsi"/>
          <w:sz w:val="22"/>
          <w:szCs w:val="22"/>
          <w:lang w:val="fr-FR" w:eastAsia="fr-FR"/>
        </w:rPr>
        <w:t xml:space="preserve"> </w:t>
      </w:r>
      <w:r w:rsidR="0045614D" w:rsidRPr="001961B1">
        <w:rPr>
          <w:rFonts w:asciiTheme="minorHAnsi" w:hAnsiTheme="minorHAnsi" w:cstheme="minorHAnsi"/>
          <w:sz w:val="22"/>
          <w:szCs w:val="22"/>
          <w:lang w:val="fr-FR" w:eastAsia="fr-FR"/>
        </w:rPr>
        <w:t>combler</w:t>
      </w:r>
      <w:r w:rsidR="00607EC9" w:rsidRPr="001961B1">
        <w:rPr>
          <w:rFonts w:asciiTheme="minorHAnsi" w:hAnsiTheme="minorHAnsi" w:cstheme="minorHAnsi"/>
          <w:sz w:val="22"/>
          <w:szCs w:val="22"/>
          <w:lang w:val="fr-FR" w:eastAsia="fr-FR"/>
        </w:rPr>
        <w:t xml:space="preserve"> les lacunes persistantes en matière de capacités et de financement.</w:t>
      </w:r>
      <w:r w:rsidR="001F0FC3" w:rsidRPr="001961B1">
        <w:rPr>
          <w:rFonts w:asciiTheme="minorHAnsi" w:hAnsiTheme="minorHAnsi" w:cstheme="minorHAnsi"/>
          <w:sz w:val="22"/>
          <w:szCs w:val="22"/>
          <w:lang w:val="fr-FR" w:eastAsia="fr-FR"/>
        </w:rPr>
        <w:t xml:space="preserve"> </w:t>
      </w:r>
    </w:p>
    <w:p w14:paraId="41622B12" w14:textId="77777777" w:rsidR="00375762" w:rsidRPr="001961B1" w:rsidRDefault="00375762" w:rsidP="003E56FD">
      <w:pPr>
        <w:rPr>
          <w:rFonts w:asciiTheme="minorHAnsi" w:hAnsiTheme="minorHAnsi" w:cstheme="minorHAnsi"/>
          <w:sz w:val="22"/>
          <w:szCs w:val="22"/>
          <w:lang w:val="fr-FR"/>
        </w:rPr>
      </w:pPr>
    </w:p>
    <w:p w14:paraId="2452EF50" w14:textId="77777777" w:rsidR="003E56FD" w:rsidRPr="001961B1" w:rsidRDefault="003E56FD" w:rsidP="003E56FD">
      <w:pPr>
        <w:rPr>
          <w:rFonts w:asciiTheme="minorHAnsi" w:hAnsiTheme="minorHAnsi" w:cstheme="minorHAnsi"/>
          <w:sz w:val="22"/>
          <w:szCs w:val="22"/>
          <w:lang w:val="fr-FR"/>
        </w:rPr>
      </w:pPr>
    </w:p>
    <w:tbl>
      <w:tblPr>
        <w:tblStyle w:val="TableGrid16"/>
        <w:tblW w:w="9354" w:type="dxa"/>
        <w:tblLook w:val="04A0" w:firstRow="1" w:lastRow="0" w:firstColumn="1" w:lastColumn="0" w:noHBand="0" w:noVBand="1"/>
      </w:tblPr>
      <w:tblGrid>
        <w:gridCol w:w="9354"/>
      </w:tblGrid>
      <w:tr w:rsidR="00180A86" w:rsidRPr="001961B1" w14:paraId="5DF2711B" w14:textId="77777777" w:rsidTr="003E56FD">
        <w:tc>
          <w:tcPr>
            <w:tcW w:w="9354" w:type="dxa"/>
            <w:vAlign w:val="center"/>
          </w:tcPr>
          <w:p w14:paraId="1153BD7C" w14:textId="334EA0EC" w:rsidR="00A42A86" w:rsidRPr="001961B1" w:rsidRDefault="003B53F6" w:rsidP="008A3659">
            <w:pPr>
              <w:keepNext/>
              <w:spacing w:before="120" w:after="120"/>
              <w:rPr>
                <w:rFonts w:asciiTheme="minorHAnsi" w:hAnsiTheme="minorHAnsi" w:cstheme="minorHAnsi"/>
                <w:b/>
                <w:sz w:val="22"/>
                <w:szCs w:val="22"/>
                <w:lang w:val="fr-FR" w:eastAsia="fr-FR"/>
              </w:rPr>
            </w:pPr>
            <w:r w:rsidRPr="001961B1">
              <w:rPr>
                <w:rFonts w:asciiTheme="minorHAnsi" w:hAnsiTheme="minorHAnsi" w:cstheme="minorHAnsi"/>
                <w:b/>
                <w:sz w:val="22"/>
                <w:szCs w:val="22"/>
                <w:lang w:val="fr-FR" w:eastAsia="fr-FR"/>
              </w:rPr>
              <w:t>Objectif</w:t>
            </w:r>
            <w:r w:rsidR="00180A86" w:rsidRPr="001961B1">
              <w:rPr>
                <w:rFonts w:asciiTheme="minorHAnsi" w:hAnsiTheme="minorHAnsi" w:cstheme="minorHAnsi"/>
                <w:b/>
                <w:sz w:val="22"/>
                <w:szCs w:val="22"/>
                <w:lang w:val="fr-FR" w:eastAsia="fr-FR"/>
              </w:rPr>
              <w:t xml:space="preserve"> 19. </w:t>
            </w:r>
            <w:r w:rsidRPr="001961B1">
              <w:rPr>
                <w:rFonts w:asciiTheme="minorHAnsi" w:hAnsiTheme="minorHAnsi" w:cstheme="minorHAnsi"/>
                <w:b/>
                <w:sz w:val="22"/>
                <w:szCs w:val="22"/>
                <w:lang w:val="fr-FR" w:eastAsia="fr-FR"/>
              </w:rPr>
              <w:t>Le renforcement des capacités pour l’application de la Convention et du 4e Plan stratégique Ramsar 2016-2024 est amélioré.</w:t>
            </w:r>
            <w:r w:rsidR="00180A86" w:rsidRPr="001961B1">
              <w:rPr>
                <w:rFonts w:asciiTheme="minorHAnsi" w:hAnsiTheme="minorHAnsi" w:cstheme="minorHAnsi"/>
                <w:b/>
                <w:sz w:val="22"/>
                <w:szCs w:val="22"/>
                <w:lang w:val="fr-FR" w:eastAsia="fr-FR"/>
              </w:rPr>
              <w:t xml:space="preserve"> </w:t>
            </w:r>
          </w:p>
          <w:p w14:paraId="26CE9337" w14:textId="189011D6" w:rsidR="00180A86" w:rsidRPr="001961B1" w:rsidRDefault="00D31C55" w:rsidP="008A3659">
            <w:pPr>
              <w:keepNext/>
              <w:spacing w:before="120" w:after="120"/>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t xml:space="preserve">Contribution à la cible </w:t>
            </w:r>
            <w:r w:rsidR="00180A86" w:rsidRPr="001961B1">
              <w:rPr>
                <w:rFonts w:asciiTheme="minorHAnsi" w:hAnsiTheme="minorHAnsi" w:cstheme="minorHAnsi"/>
                <w:bCs/>
                <w:sz w:val="22"/>
                <w:szCs w:val="22"/>
                <w:lang w:val="fr-FR" w:eastAsia="fr-FR"/>
              </w:rPr>
              <w:t>20</w:t>
            </w:r>
            <w:r w:rsidR="00CE715E" w:rsidRPr="001961B1">
              <w:rPr>
                <w:rFonts w:asciiTheme="minorHAnsi" w:hAnsiTheme="minorHAnsi" w:cstheme="minorHAnsi"/>
                <w:bCs/>
                <w:sz w:val="22"/>
                <w:szCs w:val="22"/>
                <w:lang w:val="fr-FR" w:eastAsia="fr-FR"/>
              </w:rPr>
              <w:t xml:space="preserve"> </w:t>
            </w:r>
            <w:r w:rsidR="00583A59" w:rsidRPr="001961B1">
              <w:rPr>
                <w:rFonts w:asciiTheme="minorHAnsi" w:hAnsiTheme="minorHAnsi" w:cstheme="minorHAnsi"/>
                <w:bCs/>
                <w:sz w:val="22"/>
                <w:szCs w:val="22"/>
                <w:lang w:val="fr-FR" w:eastAsia="fr-FR"/>
              </w:rPr>
              <w:t xml:space="preserve">du CMB-KM </w:t>
            </w:r>
            <w:r w:rsidR="003B53F6" w:rsidRPr="001961B1">
              <w:rPr>
                <w:rFonts w:asciiTheme="minorHAnsi" w:hAnsiTheme="minorHAnsi" w:cstheme="minorHAnsi"/>
                <w:bCs/>
                <w:sz w:val="22"/>
                <w:szCs w:val="22"/>
                <w:lang w:val="fr-FR" w:eastAsia="fr-FR"/>
              </w:rPr>
              <w:t>et</w:t>
            </w:r>
            <w:r w:rsidR="003E7D5D" w:rsidRPr="001961B1">
              <w:rPr>
                <w:rFonts w:asciiTheme="minorHAnsi" w:hAnsiTheme="minorHAnsi" w:cstheme="minorHAnsi"/>
                <w:bCs/>
                <w:sz w:val="22"/>
                <w:szCs w:val="22"/>
                <w:lang w:val="fr-FR" w:eastAsia="fr-FR"/>
              </w:rPr>
              <w:t xml:space="preserve"> </w:t>
            </w:r>
            <w:r w:rsidR="00583A59" w:rsidRPr="001961B1">
              <w:rPr>
                <w:rFonts w:asciiTheme="minorHAnsi" w:hAnsiTheme="minorHAnsi" w:cstheme="minorHAnsi"/>
                <w:bCs/>
                <w:sz w:val="22"/>
                <w:szCs w:val="22"/>
                <w:lang w:val="fr-FR" w:eastAsia="fr-FR"/>
              </w:rPr>
              <w:t xml:space="preserve">aux cibles </w:t>
            </w:r>
            <w:r w:rsidR="007D1883" w:rsidRPr="001961B1">
              <w:rPr>
                <w:rFonts w:asciiTheme="minorHAnsi" w:hAnsiTheme="minorHAnsi" w:cstheme="minorHAnsi"/>
                <w:bCs/>
                <w:sz w:val="22"/>
                <w:szCs w:val="22"/>
                <w:lang w:val="fr-FR" w:eastAsia="fr-FR"/>
              </w:rPr>
              <w:t>2.4</w:t>
            </w:r>
            <w:r w:rsidR="00480780" w:rsidRPr="001961B1">
              <w:rPr>
                <w:rFonts w:asciiTheme="minorHAnsi" w:hAnsiTheme="minorHAnsi" w:cstheme="minorHAnsi"/>
                <w:bCs/>
                <w:sz w:val="22"/>
                <w:szCs w:val="22"/>
                <w:lang w:val="fr-FR" w:eastAsia="fr-FR"/>
              </w:rPr>
              <w:t>,</w:t>
            </w:r>
            <w:r w:rsidR="007D1883" w:rsidRPr="001961B1">
              <w:rPr>
                <w:rFonts w:asciiTheme="minorHAnsi" w:hAnsiTheme="minorHAnsi" w:cstheme="minorHAnsi"/>
                <w:bCs/>
                <w:sz w:val="22"/>
                <w:szCs w:val="22"/>
                <w:lang w:val="fr-FR" w:eastAsia="fr-FR"/>
              </w:rPr>
              <w:t xml:space="preserve"> 6.a</w:t>
            </w:r>
            <w:r w:rsidR="00480780" w:rsidRPr="001961B1">
              <w:rPr>
                <w:rFonts w:asciiTheme="minorHAnsi" w:hAnsiTheme="minorHAnsi" w:cstheme="minorHAnsi"/>
                <w:bCs/>
                <w:sz w:val="22"/>
                <w:szCs w:val="22"/>
                <w:lang w:val="fr-FR" w:eastAsia="fr-FR"/>
              </w:rPr>
              <w:t>,</w:t>
            </w:r>
            <w:r w:rsidR="007D1883" w:rsidRPr="001961B1">
              <w:rPr>
                <w:rFonts w:asciiTheme="minorHAnsi" w:hAnsiTheme="minorHAnsi" w:cstheme="minorHAnsi"/>
                <w:bCs/>
                <w:sz w:val="22"/>
                <w:szCs w:val="22"/>
                <w:lang w:val="fr-FR" w:eastAsia="fr-FR"/>
              </w:rPr>
              <w:t xml:space="preserve"> 11.3</w:t>
            </w:r>
            <w:r w:rsidR="00480780" w:rsidRPr="001961B1">
              <w:rPr>
                <w:rFonts w:asciiTheme="minorHAnsi" w:hAnsiTheme="minorHAnsi" w:cstheme="minorHAnsi"/>
                <w:bCs/>
                <w:sz w:val="22"/>
                <w:szCs w:val="22"/>
                <w:lang w:val="fr-FR" w:eastAsia="fr-FR"/>
              </w:rPr>
              <w:t>,</w:t>
            </w:r>
            <w:r w:rsidR="007D1883" w:rsidRPr="001961B1">
              <w:rPr>
                <w:rFonts w:asciiTheme="minorHAnsi" w:hAnsiTheme="minorHAnsi" w:cstheme="minorHAnsi"/>
                <w:bCs/>
                <w:sz w:val="22"/>
                <w:szCs w:val="22"/>
                <w:lang w:val="fr-FR" w:eastAsia="fr-FR"/>
              </w:rPr>
              <w:t xml:space="preserve"> 13.1</w:t>
            </w:r>
            <w:r w:rsidR="00480780" w:rsidRPr="001961B1">
              <w:rPr>
                <w:rFonts w:asciiTheme="minorHAnsi" w:hAnsiTheme="minorHAnsi" w:cstheme="minorHAnsi"/>
                <w:bCs/>
                <w:sz w:val="22"/>
                <w:szCs w:val="22"/>
                <w:lang w:val="fr-FR" w:eastAsia="fr-FR"/>
              </w:rPr>
              <w:t>,</w:t>
            </w:r>
            <w:r w:rsidR="007D1883" w:rsidRPr="001961B1">
              <w:rPr>
                <w:rFonts w:asciiTheme="minorHAnsi" w:hAnsiTheme="minorHAnsi" w:cstheme="minorHAnsi"/>
                <w:bCs/>
                <w:sz w:val="22"/>
                <w:szCs w:val="22"/>
                <w:lang w:val="fr-FR" w:eastAsia="fr-FR"/>
              </w:rPr>
              <w:t xml:space="preserve"> 13.3</w:t>
            </w:r>
            <w:r w:rsidR="00480780" w:rsidRPr="001961B1">
              <w:rPr>
                <w:rFonts w:asciiTheme="minorHAnsi" w:hAnsiTheme="minorHAnsi" w:cstheme="minorHAnsi"/>
                <w:bCs/>
                <w:sz w:val="22"/>
                <w:szCs w:val="22"/>
                <w:lang w:val="fr-FR" w:eastAsia="fr-FR"/>
              </w:rPr>
              <w:t>,</w:t>
            </w:r>
            <w:r w:rsidR="007D1883" w:rsidRPr="001961B1">
              <w:rPr>
                <w:rFonts w:asciiTheme="minorHAnsi" w:hAnsiTheme="minorHAnsi" w:cstheme="minorHAnsi"/>
                <w:bCs/>
                <w:sz w:val="22"/>
                <w:szCs w:val="22"/>
                <w:lang w:val="fr-FR" w:eastAsia="fr-FR"/>
              </w:rPr>
              <w:t xml:space="preserve"> 15.c</w:t>
            </w:r>
            <w:r w:rsidR="00CE715E" w:rsidRPr="001961B1">
              <w:rPr>
                <w:rFonts w:asciiTheme="minorHAnsi" w:hAnsiTheme="minorHAnsi" w:cstheme="minorHAnsi"/>
                <w:bCs/>
                <w:sz w:val="22"/>
                <w:szCs w:val="22"/>
                <w:lang w:val="fr-FR" w:eastAsia="fr-FR"/>
              </w:rPr>
              <w:t xml:space="preserve"> </w:t>
            </w:r>
            <w:r w:rsidR="00583A59" w:rsidRPr="001961B1">
              <w:rPr>
                <w:rFonts w:asciiTheme="minorHAnsi" w:hAnsiTheme="minorHAnsi" w:cstheme="minorHAnsi"/>
                <w:bCs/>
                <w:sz w:val="22"/>
                <w:szCs w:val="22"/>
                <w:lang w:val="fr-FR" w:eastAsia="fr-FR"/>
              </w:rPr>
              <w:t>et</w:t>
            </w:r>
            <w:r w:rsidR="007D1883" w:rsidRPr="001961B1">
              <w:rPr>
                <w:rFonts w:asciiTheme="minorHAnsi" w:hAnsiTheme="minorHAnsi" w:cstheme="minorHAnsi"/>
                <w:bCs/>
                <w:sz w:val="22"/>
                <w:szCs w:val="22"/>
                <w:lang w:val="fr-FR" w:eastAsia="fr-FR"/>
              </w:rPr>
              <w:t xml:space="preserve"> 17.9</w:t>
            </w:r>
            <w:r w:rsidR="00583A59" w:rsidRPr="001961B1">
              <w:rPr>
                <w:rFonts w:asciiTheme="minorHAnsi" w:hAnsiTheme="minorHAnsi" w:cstheme="minorHAnsi"/>
                <w:bCs/>
                <w:sz w:val="22"/>
                <w:szCs w:val="22"/>
                <w:lang w:val="fr-FR" w:eastAsia="fr-FR"/>
              </w:rPr>
              <w:t xml:space="preserve"> des ODD</w:t>
            </w:r>
            <w:r w:rsidR="00CE715E" w:rsidRPr="001961B1">
              <w:rPr>
                <w:rFonts w:asciiTheme="minorHAnsi" w:hAnsiTheme="minorHAnsi" w:cstheme="minorHAnsi"/>
                <w:bCs/>
                <w:sz w:val="22"/>
                <w:szCs w:val="22"/>
                <w:lang w:val="fr-FR" w:eastAsia="fr-FR"/>
              </w:rPr>
              <w:t>.</w:t>
            </w:r>
          </w:p>
        </w:tc>
      </w:tr>
    </w:tbl>
    <w:p w14:paraId="01308249" w14:textId="77777777" w:rsidR="003E7D5D" w:rsidRPr="001961B1" w:rsidRDefault="003E7D5D" w:rsidP="000D551C">
      <w:pPr>
        <w:keepNext/>
        <w:rPr>
          <w:rFonts w:asciiTheme="minorHAnsi" w:hAnsiTheme="minorHAnsi" w:cstheme="minorHAnsi"/>
          <w:b/>
          <w:sz w:val="22"/>
          <w:szCs w:val="22"/>
          <w:lang w:val="fr-FR" w:eastAsia="fr-FR"/>
        </w:rPr>
      </w:pPr>
    </w:p>
    <w:p w14:paraId="1908DDF9" w14:textId="5FCAF441" w:rsidR="00503B21" w:rsidRPr="001961B1" w:rsidRDefault="007251E6" w:rsidP="000D551C">
      <w:pPr>
        <w:keepNext/>
        <w:rPr>
          <w:rFonts w:asciiTheme="minorHAnsi" w:hAnsiTheme="minorHAnsi" w:cstheme="minorHAnsi"/>
          <w:bCs/>
          <w:i/>
          <w:iCs/>
          <w:sz w:val="22"/>
          <w:szCs w:val="22"/>
          <w:u w:val="single"/>
          <w:lang w:val="fr-FR" w:eastAsia="fr-FR"/>
        </w:rPr>
      </w:pPr>
      <w:r w:rsidRPr="001961B1">
        <w:rPr>
          <w:rFonts w:asciiTheme="minorHAnsi" w:hAnsiTheme="minorHAnsi" w:cstheme="minorHAnsi"/>
          <w:bCs/>
          <w:i/>
          <w:iCs/>
          <w:sz w:val="22"/>
          <w:szCs w:val="22"/>
          <w:u w:val="single"/>
          <w:lang w:val="fr-FR" w:eastAsia="fr-FR"/>
        </w:rPr>
        <w:t>Message clé</w:t>
      </w:r>
      <w:r w:rsidR="00503B21" w:rsidRPr="001961B1">
        <w:rPr>
          <w:rFonts w:asciiTheme="minorHAnsi" w:hAnsiTheme="minorHAnsi" w:cstheme="minorHAnsi"/>
          <w:bCs/>
          <w:i/>
          <w:iCs/>
          <w:sz w:val="22"/>
          <w:szCs w:val="22"/>
          <w:u w:val="single"/>
          <w:lang w:val="fr-FR" w:eastAsia="fr-FR"/>
        </w:rPr>
        <w:t xml:space="preserve"> </w:t>
      </w:r>
    </w:p>
    <w:p w14:paraId="4928D665" w14:textId="77777777" w:rsidR="00717C74" w:rsidRPr="001961B1" w:rsidRDefault="00717C74" w:rsidP="000D551C">
      <w:pPr>
        <w:keepNext/>
        <w:rPr>
          <w:rFonts w:asciiTheme="minorHAnsi" w:hAnsiTheme="minorHAnsi" w:cstheme="minorHAnsi"/>
          <w:bCs/>
          <w:sz w:val="22"/>
          <w:szCs w:val="22"/>
          <w:lang w:val="fr-FR" w:eastAsia="fr-FR"/>
        </w:rPr>
      </w:pPr>
    </w:p>
    <w:p w14:paraId="5E38CBED" w14:textId="41C23EF2" w:rsidR="0095024B"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7</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F9176A" w:rsidRPr="001961B1">
        <w:rPr>
          <w:rFonts w:asciiTheme="minorHAnsi" w:hAnsiTheme="minorHAnsi" w:cstheme="minorHAnsi"/>
          <w:sz w:val="22"/>
          <w:szCs w:val="22"/>
          <w:lang w:val="fr-FR" w:eastAsia="fr-FR"/>
        </w:rPr>
        <w:t xml:space="preserve">De nombreuses Parties contractantes et ONG ont </w:t>
      </w:r>
      <w:r w:rsidR="0045614D" w:rsidRPr="001961B1">
        <w:rPr>
          <w:rFonts w:asciiTheme="minorHAnsi" w:hAnsiTheme="minorHAnsi" w:cstheme="minorHAnsi"/>
          <w:sz w:val="22"/>
          <w:szCs w:val="22"/>
          <w:lang w:val="fr-FR" w:eastAsia="fr-FR"/>
        </w:rPr>
        <w:t>des activités de renforcement</w:t>
      </w:r>
      <w:r w:rsidR="00F9176A" w:rsidRPr="001961B1">
        <w:rPr>
          <w:rFonts w:asciiTheme="minorHAnsi" w:hAnsiTheme="minorHAnsi" w:cstheme="minorHAnsi"/>
          <w:sz w:val="22"/>
          <w:szCs w:val="22"/>
          <w:lang w:val="fr-FR" w:eastAsia="fr-FR"/>
        </w:rPr>
        <w:t xml:space="preserve"> des capacités pour la mise en œuvre de la Convention mais relativement peu de Parties ont </w:t>
      </w:r>
      <w:r w:rsidR="0045614D" w:rsidRPr="001961B1">
        <w:rPr>
          <w:rFonts w:asciiTheme="minorHAnsi" w:hAnsiTheme="minorHAnsi" w:cstheme="minorHAnsi"/>
          <w:sz w:val="22"/>
          <w:szCs w:val="22"/>
          <w:lang w:val="fr-FR" w:eastAsia="fr-FR"/>
        </w:rPr>
        <w:t>réalisé</w:t>
      </w:r>
      <w:r w:rsidR="00F9176A" w:rsidRPr="001961B1">
        <w:rPr>
          <w:rFonts w:asciiTheme="minorHAnsi" w:hAnsiTheme="minorHAnsi" w:cstheme="minorHAnsi"/>
          <w:sz w:val="22"/>
          <w:szCs w:val="22"/>
          <w:lang w:val="fr-FR" w:eastAsia="fr-FR"/>
        </w:rPr>
        <w:t xml:space="preserve"> des évaluations des besoins</w:t>
      </w:r>
      <w:r w:rsidR="0045614D" w:rsidRPr="001961B1">
        <w:rPr>
          <w:rFonts w:asciiTheme="minorHAnsi" w:hAnsiTheme="minorHAnsi" w:cstheme="minorHAnsi"/>
          <w:sz w:val="22"/>
          <w:szCs w:val="22"/>
          <w:lang w:val="fr-FR" w:eastAsia="fr-FR"/>
        </w:rPr>
        <w:t xml:space="preserve"> nationaux</w:t>
      </w:r>
      <w:r w:rsidR="00F9176A" w:rsidRPr="001961B1">
        <w:rPr>
          <w:rFonts w:asciiTheme="minorHAnsi" w:hAnsiTheme="minorHAnsi" w:cstheme="minorHAnsi"/>
          <w:sz w:val="22"/>
          <w:szCs w:val="22"/>
          <w:lang w:val="fr-FR" w:eastAsia="fr-FR"/>
        </w:rPr>
        <w:t>.</w:t>
      </w:r>
    </w:p>
    <w:p w14:paraId="3AE8CE6A" w14:textId="4B93CC66" w:rsidR="00503B21" w:rsidRPr="001961B1" w:rsidRDefault="00503B21" w:rsidP="00A338FF">
      <w:pPr>
        <w:rPr>
          <w:rFonts w:asciiTheme="minorHAnsi" w:hAnsiTheme="minorHAnsi" w:cstheme="minorHAnsi"/>
          <w:bCs/>
          <w:sz w:val="22"/>
          <w:szCs w:val="22"/>
          <w:lang w:val="fr-FR" w:eastAsia="fr-FR"/>
        </w:rPr>
      </w:pPr>
    </w:p>
    <w:tbl>
      <w:tblPr>
        <w:tblStyle w:val="TableGrid35"/>
        <w:tblW w:w="9353" w:type="dxa"/>
        <w:tblLayout w:type="fixed"/>
        <w:tblLook w:val="04A0" w:firstRow="1" w:lastRow="0" w:firstColumn="1" w:lastColumn="0" w:noHBand="0" w:noVBand="1"/>
      </w:tblPr>
      <w:tblGrid>
        <w:gridCol w:w="3681"/>
        <w:gridCol w:w="1276"/>
        <w:gridCol w:w="992"/>
        <w:gridCol w:w="992"/>
        <w:gridCol w:w="992"/>
        <w:gridCol w:w="1420"/>
      </w:tblGrid>
      <w:tr w:rsidR="0091225F" w:rsidRPr="001961B1" w14:paraId="0DA3C2D8" w14:textId="77777777" w:rsidTr="00607EC9">
        <w:trPr>
          <w:cantSplit/>
        </w:trPr>
        <w:tc>
          <w:tcPr>
            <w:tcW w:w="3681" w:type="dxa"/>
            <w:vAlign w:val="center"/>
            <w:hideMark/>
          </w:tcPr>
          <w:p w14:paraId="143C531B" w14:textId="393D2C3F"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Indicat</w:t>
            </w:r>
            <w:r w:rsidR="003B53F6" w:rsidRPr="001961B1">
              <w:rPr>
                <w:rFonts w:asciiTheme="minorHAnsi" w:eastAsia="Aptos" w:hAnsiTheme="minorHAnsi" w:cstheme="minorHAnsi"/>
                <w:b/>
                <w:bCs/>
                <w:sz w:val="22"/>
                <w:szCs w:val="22"/>
                <w:lang w:val="fr-FR"/>
              </w:rPr>
              <w:t>eu</w:t>
            </w:r>
            <w:r w:rsidRPr="001961B1">
              <w:rPr>
                <w:rFonts w:asciiTheme="minorHAnsi" w:eastAsia="Aptos" w:hAnsiTheme="minorHAnsi" w:cstheme="minorHAnsi"/>
                <w:b/>
                <w:bCs/>
                <w:sz w:val="22"/>
                <w:szCs w:val="22"/>
                <w:lang w:val="fr-FR"/>
              </w:rPr>
              <w:t>r</w:t>
            </w:r>
          </w:p>
        </w:tc>
        <w:tc>
          <w:tcPr>
            <w:tcW w:w="1276" w:type="dxa"/>
            <w:vAlign w:val="center"/>
            <w:hideMark/>
          </w:tcPr>
          <w:p w14:paraId="49902BB4" w14:textId="77777777"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COP12</w:t>
            </w:r>
          </w:p>
          <w:p w14:paraId="44D25FB6" w14:textId="3A703D9F" w:rsidR="0091225F" w:rsidRPr="001961B1" w:rsidRDefault="003B53F6"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Référence</w:t>
            </w:r>
          </w:p>
        </w:tc>
        <w:tc>
          <w:tcPr>
            <w:tcW w:w="992" w:type="dxa"/>
            <w:vAlign w:val="center"/>
            <w:hideMark/>
          </w:tcPr>
          <w:p w14:paraId="55AE9E4F" w14:textId="77777777"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COP13</w:t>
            </w:r>
          </w:p>
        </w:tc>
        <w:tc>
          <w:tcPr>
            <w:tcW w:w="992" w:type="dxa"/>
            <w:vAlign w:val="center"/>
            <w:hideMark/>
          </w:tcPr>
          <w:p w14:paraId="26FC2AB2" w14:textId="77777777"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COP14</w:t>
            </w:r>
          </w:p>
        </w:tc>
        <w:tc>
          <w:tcPr>
            <w:tcW w:w="992" w:type="dxa"/>
            <w:vAlign w:val="center"/>
            <w:hideMark/>
          </w:tcPr>
          <w:p w14:paraId="32FEBB04" w14:textId="77777777" w:rsidR="0091225F" w:rsidRPr="001961B1" w:rsidRDefault="0091225F"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COP15</w:t>
            </w:r>
          </w:p>
        </w:tc>
        <w:tc>
          <w:tcPr>
            <w:tcW w:w="1420" w:type="dxa"/>
            <w:vAlign w:val="center"/>
            <w:hideMark/>
          </w:tcPr>
          <w:p w14:paraId="715965D0" w14:textId="1156BF6A" w:rsidR="0091225F" w:rsidRPr="001961B1" w:rsidRDefault="003B53F6" w:rsidP="0078307B">
            <w:pPr>
              <w:keepNext/>
              <w:jc w:val="center"/>
              <w:rPr>
                <w:rFonts w:asciiTheme="minorHAnsi" w:eastAsia="Aptos" w:hAnsiTheme="minorHAnsi" w:cstheme="minorHAnsi"/>
                <w:b/>
                <w:bCs/>
                <w:sz w:val="22"/>
                <w:szCs w:val="22"/>
                <w:lang w:val="fr-FR"/>
              </w:rPr>
            </w:pPr>
            <w:r w:rsidRPr="001961B1">
              <w:rPr>
                <w:rFonts w:asciiTheme="minorHAnsi" w:eastAsia="Aptos" w:hAnsiTheme="minorHAnsi" w:cstheme="minorHAnsi"/>
                <w:b/>
                <w:bCs/>
                <w:sz w:val="22"/>
                <w:szCs w:val="22"/>
                <w:lang w:val="fr-FR"/>
              </w:rPr>
              <w:t>Tendance</w:t>
            </w:r>
          </w:p>
        </w:tc>
      </w:tr>
      <w:tr w:rsidR="0091225F" w:rsidRPr="001961B1" w14:paraId="1E0312A4" w14:textId="77777777" w:rsidTr="00607EC9">
        <w:trPr>
          <w:cantSplit/>
        </w:trPr>
        <w:tc>
          <w:tcPr>
            <w:tcW w:w="3681" w:type="dxa"/>
          </w:tcPr>
          <w:p w14:paraId="5E7689B2" w14:textId="3902A8FF" w:rsidR="0091225F" w:rsidRPr="001961B1" w:rsidRDefault="0091225F" w:rsidP="00CD3F6B">
            <w:pPr>
              <w:rPr>
                <w:rFonts w:asciiTheme="minorHAnsi" w:eastAsia="Aptos" w:hAnsiTheme="minorHAnsi" w:cstheme="minorHAnsi"/>
                <w:sz w:val="22"/>
                <w:szCs w:val="22"/>
                <w:lang w:val="fr-FR"/>
              </w:rPr>
            </w:pPr>
            <w:r w:rsidRPr="001961B1">
              <w:rPr>
                <w:rFonts w:asciiTheme="minorHAnsi" w:eastAsia="Aptos" w:hAnsiTheme="minorHAnsi" w:cstheme="minorHAnsi"/>
                <w:sz w:val="22"/>
                <w:szCs w:val="22"/>
                <w:lang w:val="fr-FR"/>
              </w:rPr>
              <w:t xml:space="preserve">% </w:t>
            </w:r>
            <w:r w:rsidR="00583A59" w:rsidRPr="001961B1">
              <w:rPr>
                <w:rFonts w:asciiTheme="minorHAnsi" w:eastAsia="Aptos" w:hAnsiTheme="minorHAnsi" w:cstheme="minorHAnsi"/>
                <w:sz w:val="22"/>
                <w:szCs w:val="22"/>
                <w:lang w:val="fr-FR"/>
              </w:rPr>
              <w:t>de Parties ayant évalué les besoins nationaux et locaux en matière de formation à l’application de la Convention</w:t>
            </w:r>
            <w:r w:rsidRPr="001961B1">
              <w:rPr>
                <w:rFonts w:asciiTheme="minorHAnsi" w:eastAsia="Aptos" w:hAnsiTheme="minorHAnsi" w:cstheme="minorHAnsi"/>
                <w:sz w:val="22"/>
                <w:szCs w:val="22"/>
                <w:lang w:val="fr-FR"/>
              </w:rPr>
              <w:t>.</w:t>
            </w:r>
          </w:p>
        </w:tc>
        <w:tc>
          <w:tcPr>
            <w:tcW w:w="1276" w:type="dxa"/>
          </w:tcPr>
          <w:p w14:paraId="3D87AF2A" w14:textId="0EE211D4"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20</w:t>
            </w:r>
            <w:r w:rsidR="00607EC9"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992" w:type="dxa"/>
          </w:tcPr>
          <w:p w14:paraId="1957A13F" w14:textId="11D2A618"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17</w:t>
            </w:r>
            <w:r w:rsidR="00607EC9"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992" w:type="dxa"/>
          </w:tcPr>
          <w:p w14:paraId="51D1B033" w14:textId="593AA369"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18</w:t>
            </w:r>
            <w:r w:rsidR="00607EC9"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992" w:type="dxa"/>
          </w:tcPr>
          <w:p w14:paraId="746164D9" w14:textId="399BD1EE" w:rsidR="0091225F" w:rsidRPr="001961B1" w:rsidRDefault="0091225F" w:rsidP="00FE33C7">
            <w:pPr>
              <w:jc w:val="center"/>
              <w:rPr>
                <w:rFonts w:asciiTheme="minorHAnsi" w:eastAsia="Aptos" w:hAnsiTheme="minorHAnsi" w:cstheme="minorHAnsi"/>
                <w:b/>
                <w:bCs/>
                <w:sz w:val="22"/>
                <w:szCs w:val="22"/>
              </w:rPr>
            </w:pPr>
            <w:r w:rsidRPr="001961B1">
              <w:rPr>
                <w:rFonts w:asciiTheme="minorHAnsi" w:eastAsia="Aptos" w:hAnsiTheme="minorHAnsi" w:cstheme="minorHAnsi"/>
                <w:b/>
                <w:bCs/>
                <w:sz w:val="22"/>
                <w:szCs w:val="22"/>
              </w:rPr>
              <w:t>17</w:t>
            </w:r>
            <w:r w:rsidR="00607EC9" w:rsidRPr="001961B1">
              <w:rPr>
                <w:rFonts w:asciiTheme="minorHAnsi" w:eastAsia="Aptos" w:hAnsiTheme="minorHAnsi" w:cstheme="minorHAnsi"/>
                <w:b/>
                <w:bCs/>
                <w:sz w:val="22"/>
                <w:szCs w:val="22"/>
              </w:rPr>
              <w:t xml:space="preserve"> </w:t>
            </w:r>
            <w:r w:rsidRPr="001961B1">
              <w:rPr>
                <w:rFonts w:asciiTheme="minorHAnsi" w:eastAsia="Aptos" w:hAnsiTheme="minorHAnsi" w:cstheme="minorHAnsi"/>
                <w:b/>
                <w:bCs/>
                <w:sz w:val="22"/>
                <w:szCs w:val="22"/>
              </w:rPr>
              <w:t>%</w:t>
            </w:r>
          </w:p>
        </w:tc>
        <w:tc>
          <w:tcPr>
            <w:tcW w:w="1420" w:type="dxa"/>
          </w:tcPr>
          <w:p w14:paraId="5766CE3E" w14:textId="71ED46A4" w:rsidR="0091225F" w:rsidRPr="001961B1" w:rsidRDefault="0001477F" w:rsidP="00CD3F6B">
            <w:pPr>
              <w:rPr>
                <w:rFonts w:asciiTheme="minorHAnsi" w:eastAsia="Aptos" w:hAnsiTheme="minorHAnsi" w:cstheme="minorHAnsi"/>
                <w:b/>
                <w:bCs/>
                <w:sz w:val="22"/>
                <w:szCs w:val="22"/>
              </w:rPr>
            </w:pPr>
            <w:r w:rsidRPr="001961B1">
              <w:rPr>
                <w:rFonts w:asciiTheme="minorHAnsi" w:hAnsiTheme="minorHAnsi" w:cstheme="minorHAnsi"/>
                <w:noProof/>
                <w:sz w:val="22"/>
                <w:szCs w:val="22"/>
                <w:lang w:val="en-CA" w:eastAsia="en-CA"/>
              </w:rPr>
              <w:drawing>
                <wp:inline distT="0" distB="0" distL="0" distR="0" wp14:anchorId="6BC9577E" wp14:editId="1E390E2C">
                  <wp:extent cx="712200" cy="432000"/>
                  <wp:effectExtent l="0" t="0" r="0" b="0"/>
                  <wp:docPr id="14160101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1DBB8CE" w14:textId="69682094" w:rsidR="005F6C5D" w:rsidRPr="001961B1" w:rsidRDefault="005F6C5D" w:rsidP="00CD3F6B">
      <w:pPr>
        <w:rPr>
          <w:rFonts w:asciiTheme="minorHAnsi" w:hAnsiTheme="minorHAnsi" w:cstheme="minorHAnsi"/>
          <w:bCs/>
          <w:sz w:val="22"/>
          <w:szCs w:val="22"/>
          <w:lang w:eastAsia="fr-FR"/>
        </w:rPr>
      </w:pPr>
    </w:p>
    <w:p w14:paraId="2A684128" w14:textId="071B3779" w:rsidR="00D2049E" w:rsidRPr="001961B1" w:rsidRDefault="007251E6" w:rsidP="000D551C">
      <w:pPr>
        <w:keepNext/>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Résumé des progrès</w:t>
      </w:r>
      <w:r w:rsidR="00404826" w:rsidRPr="001961B1">
        <w:rPr>
          <w:rFonts w:asciiTheme="minorHAnsi" w:hAnsiTheme="minorHAnsi" w:cstheme="minorHAnsi"/>
          <w:i/>
          <w:iCs/>
          <w:sz w:val="22"/>
          <w:szCs w:val="22"/>
          <w:u w:val="single"/>
          <w:lang w:val="fr-FR"/>
        </w:rPr>
        <w:t xml:space="preserve"> </w:t>
      </w:r>
    </w:p>
    <w:p w14:paraId="1797A3D7" w14:textId="77777777" w:rsidR="00375762" w:rsidRPr="001961B1" w:rsidRDefault="00375762" w:rsidP="000D551C">
      <w:pPr>
        <w:keepNext/>
        <w:rPr>
          <w:rFonts w:asciiTheme="minorHAnsi" w:hAnsiTheme="minorHAnsi" w:cstheme="minorHAnsi"/>
          <w:b/>
          <w:bCs/>
          <w:sz w:val="22"/>
          <w:szCs w:val="22"/>
          <w:lang w:val="fr-FR"/>
        </w:rPr>
      </w:pPr>
    </w:p>
    <w:p w14:paraId="1C573274" w14:textId="234BE42D" w:rsidR="00404826"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11</w:t>
      </w:r>
      <w:r w:rsidR="00C32CF1" w:rsidRPr="001961B1">
        <w:rPr>
          <w:rFonts w:asciiTheme="minorHAnsi" w:hAnsiTheme="minorHAnsi" w:cstheme="minorHAnsi"/>
          <w:sz w:val="22"/>
          <w:szCs w:val="22"/>
          <w:lang w:val="fr-FR" w:eastAsia="fr-FR"/>
        </w:rPr>
        <w:t>8</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D5202A" w:rsidRPr="001961B1">
        <w:rPr>
          <w:rFonts w:asciiTheme="minorHAnsi" w:hAnsiTheme="minorHAnsi" w:cstheme="minorHAnsi"/>
          <w:sz w:val="22"/>
          <w:szCs w:val="22"/>
          <w:lang w:val="fr-FR" w:eastAsia="fr-FR"/>
        </w:rPr>
        <w:t>Il n’y a pas de changement dans l</w:t>
      </w:r>
      <w:r w:rsidR="00A551CE" w:rsidRPr="001961B1">
        <w:rPr>
          <w:rFonts w:asciiTheme="minorHAnsi" w:hAnsiTheme="minorHAnsi" w:cstheme="minorHAnsi"/>
          <w:sz w:val="22"/>
          <w:szCs w:val="22"/>
          <w:lang w:val="fr-FR" w:eastAsia="fr-FR"/>
        </w:rPr>
        <w:t>a</w:t>
      </w:r>
      <w:r w:rsidR="00E84460" w:rsidRPr="001961B1">
        <w:rPr>
          <w:rFonts w:asciiTheme="minorHAnsi" w:hAnsiTheme="minorHAnsi" w:cstheme="minorHAnsi"/>
          <w:sz w:val="22"/>
          <w:szCs w:val="22"/>
          <w:lang w:val="fr-FR" w:eastAsia="fr-FR"/>
        </w:rPr>
        <w:t xml:space="preserve"> proportion </w:t>
      </w:r>
      <w:r w:rsidR="00A551CE" w:rsidRPr="001961B1">
        <w:rPr>
          <w:rFonts w:asciiTheme="minorHAnsi" w:hAnsiTheme="minorHAnsi" w:cstheme="minorHAnsi"/>
          <w:sz w:val="22"/>
          <w:szCs w:val="22"/>
          <w:lang w:val="fr-FR" w:eastAsia="fr-FR"/>
        </w:rPr>
        <w:t xml:space="preserve">de Parties contractantes ayant évalué les besoins nationaux et locaux en matière de formation pour la mise en œuvre de la Convention pendant toute la période du PS4 et </w:t>
      </w:r>
      <w:r w:rsidR="00D5202A" w:rsidRPr="001961B1">
        <w:rPr>
          <w:rFonts w:asciiTheme="minorHAnsi" w:hAnsiTheme="minorHAnsi" w:cstheme="minorHAnsi"/>
          <w:sz w:val="22"/>
          <w:szCs w:val="22"/>
          <w:lang w:val="fr-FR" w:eastAsia="fr-FR"/>
        </w:rPr>
        <w:t xml:space="preserve">cette proportion est </w:t>
      </w:r>
      <w:r w:rsidR="00A551CE" w:rsidRPr="001961B1">
        <w:rPr>
          <w:rFonts w:asciiTheme="minorHAnsi" w:hAnsiTheme="minorHAnsi" w:cstheme="minorHAnsi"/>
          <w:sz w:val="22"/>
          <w:szCs w:val="22"/>
          <w:lang w:val="fr-FR" w:eastAsia="fr-FR"/>
        </w:rPr>
        <w:t>légèrement inférieure à la référence de 20 %</w:t>
      </w:r>
      <w:r w:rsidR="001E26EC" w:rsidRPr="001961B1">
        <w:rPr>
          <w:rFonts w:asciiTheme="minorHAnsi" w:hAnsiTheme="minorHAnsi" w:cstheme="minorHAnsi"/>
          <w:sz w:val="22"/>
          <w:szCs w:val="22"/>
          <w:lang w:val="fr-FR" w:eastAsia="fr-FR"/>
        </w:rPr>
        <w:t xml:space="preserve">. Un peu plus d’un cinquième des Parties signalent avoir conduit des évaluations partielles tandis qu’environ 10 % sont à une étape de planification. </w:t>
      </w:r>
      <w:r w:rsidR="00CD0FB3" w:rsidRPr="001961B1">
        <w:rPr>
          <w:rFonts w:asciiTheme="minorHAnsi" w:hAnsiTheme="minorHAnsi" w:cstheme="minorHAnsi"/>
          <w:sz w:val="22"/>
          <w:szCs w:val="22"/>
          <w:lang w:val="fr-FR" w:eastAsia="fr-FR"/>
        </w:rPr>
        <w:t>Au moment de</w:t>
      </w:r>
      <w:r w:rsidR="001E26EC" w:rsidRPr="001961B1">
        <w:rPr>
          <w:rFonts w:asciiTheme="minorHAnsi" w:hAnsiTheme="minorHAnsi" w:cstheme="minorHAnsi"/>
          <w:sz w:val="22"/>
          <w:szCs w:val="22"/>
          <w:lang w:val="fr-FR" w:eastAsia="fr-FR"/>
        </w:rPr>
        <w:t xml:space="preserve"> la COP15, 29 % des Parties signalent avoir mis en œuvre des mesures de développement des capacités pour</w:t>
      </w:r>
      <w:r w:rsidR="00D5202A" w:rsidRPr="001961B1">
        <w:rPr>
          <w:rFonts w:asciiTheme="minorHAnsi" w:hAnsiTheme="minorHAnsi" w:cstheme="minorHAnsi"/>
          <w:sz w:val="22"/>
          <w:szCs w:val="22"/>
          <w:lang w:val="fr-FR" w:eastAsia="fr-FR"/>
        </w:rPr>
        <w:t xml:space="preserve"> l’application du</w:t>
      </w:r>
      <w:r w:rsidR="001E26EC" w:rsidRPr="001961B1">
        <w:rPr>
          <w:rFonts w:asciiTheme="minorHAnsi" w:hAnsiTheme="minorHAnsi" w:cstheme="minorHAnsi"/>
          <w:sz w:val="22"/>
          <w:szCs w:val="22"/>
          <w:lang w:val="fr-FR" w:eastAsia="fr-FR"/>
        </w:rPr>
        <w:t xml:space="preserve"> Plan stratégique de la Convention et 24 % </w:t>
      </w:r>
      <w:r w:rsidR="00D5202A" w:rsidRPr="001961B1">
        <w:rPr>
          <w:rFonts w:asciiTheme="minorHAnsi" w:hAnsiTheme="minorHAnsi" w:cstheme="minorHAnsi"/>
          <w:sz w:val="22"/>
          <w:szCs w:val="22"/>
          <w:lang w:val="fr-FR" w:eastAsia="fr-FR"/>
        </w:rPr>
        <w:t>d’autres Parties indiquent l’avoir fait</w:t>
      </w:r>
      <w:r w:rsidR="001E26EC" w:rsidRPr="001961B1">
        <w:rPr>
          <w:rFonts w:asciiTheme="minorHAnsi" w:hAnsiTheme="minorHAnsi" w:cstheme="minorHAnsi"/>
          <w:sz w:val="22"/>
          <w:szCs w:val="22"/>
          <w:lang w:val="fr-FR" w:eastAsia="fr-FR"/>
        </w:rPr>
        <w:t xml:space="preserve"> partielle</w:t>
      </w:r>
      <w:r w:rsidR="00D5202A" w:rsidRPr="001961B1">
        <w:rPr>
          <w:rFonts w:asciiTheme="minorHAnsi" w:hAnsiTheme="minorHAnsi" w:cstheme="minorHAnsi"/>
          <w:sz w:val="22"/>
          <w:szCs w:val="22"/>
          <w:lang w:val="fr-FR" w:eastAsia="fr-FR"/>
        </w:rPr>
        <w:t>ment</w:t>
      </w:r>
      <w:r w:rsidR="001E26EC" w:rsidRPr="001961B1">
        <w:rPr>
          <w:rFonts w:asciiTheme="minorHAnsi" w:hAnsiTheme="minorHAnsi" w:cstheme="minorHAnsi"/>
          <w:sz w:val="22"/>
          <w:szCs w:val="22"/>
          <w:lang w:val="fr-FR" w:eastAsia="fr-FR"/>
        </w:rPr>
        <w:t>.</w:t>
      </w:r>
      <w:r w:rsidR="00B90930" w:rsidRPr="001961B1">
        <w:rPr>
          <w:rFonts w:asciiTheme="minorHAnsi" w:hAnsiTheme="minorHAnsi" w:cstheme="minorHAnsi"/>
          <w:sz w:val="22"/>
          <w:szCs w:val="22"/>
          <w:lang w:val="fr-FR" w:eastAsia="fr-FR"/>
        </w:rPr>
        <w:t xml:space="preserve"> </w:t>
      </w:r>
    </w:p>
    <w:p w14:paraId="62874DBA" w14:textId="77777777" w:rsidR="00925C3B" w:rsidRPr="001961B1" w:rsidRDefault="00925C3B" w:rsidP="00257025">
      <w:pPr>
        <w:ind w:left="567" w:hanging="567"/>
        <w:rPr>
          <w:rFonts w:asciiTheme="minorHAnsi" w:hAnsiTheme="minorHAnsi" w:cstheme="minorHAnsi"/>
          <w:sz w:val="22"/>
          <w:szCs w:val="22"/>
          <w:lang w:val="fr-FR" w:eastAsia="fr-FR"/>
        </w:rPr>
      </w:pPr>
    </w:p>
    <w:p w14:paraId="39D0BC88" w14:textId="22CA0A4B" w:rsidR="00925C3B"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w:t>
      </w:r>
      <w:r w:rsidR="00C32CF1" w:rsidRPr="001961B1">
        <w:rPr>
          <w:rFonts w:asciiTheme="minorHAnsi" w:hAnsiTheme="minorHAnsi" w:cstheme="minorHAnsi"/>
          <w:sz w:val="22"/>
          <w:szCs w:val="22"/>
          <w:lang w:val="fr-FR" w:eastAsia="fr-FR"/>
        </w:rPr>
        <w:t>19</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1E26EC" w:rsidRPr="001961B1">
        <w:rPr>
          <w:rFonts w:asciiTheme="minorHAnsi" w:hAnsiTheme="minorHAnsi" w:cstheme="minorHAnsi"/>
          <w:sz w:val="22"/>
          <w:szCs w:val="22"/>
          <w:lang w:val="fr-FR" w:eastAsia="fr-FR"/>
        </w:rPr>
        <w:t xml:space="preserve">Trente-neuf pour cent (39 %) des Parties contractantes signalent à la COP15 avoir inclus des questions </w:t>
      </w:r>
      <w:r w:rsidR="005D337C" w:rsidRPr="001961B1">
        <w:rPr>
          <w:rFonts w:asciiTheme="minorHAnsi" w:hAnsiTheme="minorHAnsi" w:cstheme="minorHAnsi"/>
          <w:sz w:val="22"/>
          <w:szCs w:val="22"/>
          <w:lang w:val="fr-FR" w:eastAsia="fr-FR"/>
        </w:rPr>
        <w:t>relatives à la</w:t>
      </w:r>
      <w:r w:rsidR="001E26EC" w:rsidRPr="001961B1">
        <w:rPr>
          <w:rFonts w:asciiTheme="minorHAnsi" w:hAnsiTheme="minorHAnsi" w:cstheme="minorHAnsi"/>
          <w:sz w:val="22"/>
          <w:szCs w:val="22"/>
          <w:lang w:val="fr-FR" w:eastAsia="fr-FR"/>
        </w:rPr>
        <w:t xml:space="preserve"> conservation et </w:t>
      </w:r>
      <w:r w:rsidR="005D337C" w:rsidRPr="001961B1">
        <w:rPr>
          <w:rFonts w:asciiTheme="minorHAnsi" w:hAnsiTheme="minorHAnsi" w:cstheme="minorHAnsi"/>
          <w:sz w:val="22"/>
          <w:szCs w:val="22"/>
          <w:lang w:val="fr-FR" w:eastAsia="fr-FR"/>
        </w:rPr>
        <w:t>à l</w:t>
      </w:r>
      <w:r w:rsidR="001E26EC" w:rsidRPr="001961B1">
        <w:rPr>
          <w:rFonts w:asciiTheme="minorHAnsi" w:hAnsiTheme="minorHAnsi" w:cstheme="minorHAnsi"/>
          <w:sz w:val="22"/>
          <w:szCs w:val="22"/>
          <w:lang w:val="fr-FR" w:eastAsia="fr-FR"/>
        </w:rPr>
        <w:t xml:space="preserve">’utilisation rationnelle des zones humides dans les programmes pédagogiques officiels, une augmentation importante par rapport à 26 % pour la COP13. Trente-huit pour cent (38 %) </w:t>
      </w:r>
      <w:r w:rsidR="005D337C" w:rsidRPr="001961B1">
        <w:rPr>
          <w:rFonts w:asciiTheme="minorHAnsi" w:hAnsiTheme="minorHAnsi" w:cstheme="minorHAnsi"/>
          <w:sz w:val="22"/>
          <w:szCs w:val="22"/>
          <w:lang w:val="fr-FR" w:eastAsia="fr-FR"/>
        </w:rPr>
        <w:t>d’autres Parties</w:t>
      </w:r>
      <w:r w:rsidR="001E26EC" w:rsidRPr="001961B1">
        <w:rPr>
          <w:rFonts w:asciiTheme="minorHAnsi" w:hAnsiTheme="minorHAnsi" w:cstheme="minorHAnsi"/>
          <w:sz w:val="22"/>
          <w:szCs w:val="22"/>
          <w:lang w:val="fr-FR" w:eastAsia="fr-FR"/>
        </w:rPr>
        <w:t xml:space="preserve"> ont inclus partiellement </w:t>
      </w:r>
      <w:r w:rsidR="005D337C" w:rsidRPr="001961B1">
        <w:rPr>
          <w:rFonts w:asciiTheme="minorHAnsi" w:hAnsiTheme="minorHAnsi" w:cstheme="minorHAnsi"/>
          <w:sz w:val="22"/>
          <w:szCs w:val="22"/>
          <w:lang w:val="fr-FR" w:eastAsia="fr-FR"/>
        </w:rPr>
        <w:t>d</w:t>
      </w:r>
      <w:r w:rsidR="001E26EC" w:rsidRPr="001961B1">
        <w:rPr>
          <w:rFonts w:asciiTheme="minorHAnsi" w:hAnsiTheme="minorHAnsi" w:cstheme="minorHAnsi"/>
          <w:sz w:val="22"/>
          <w:szCs w:val="22"/>
          <w:lang w:val="fr-FR" w:eastAsia="fr-FR"/>
        </w:rPr>
        <w:t>es questions de conservation et d’utilisation rationnelle des zones humides dans les programmes pédagogiques officiels. Les progrès les plus remarquables ont été faits en Asie, de 26 % des Parties pour la COP13 à 63 % pour la COP15.</w:t>
      </w:r>
      <w:r w:rsidR="000A736D" w:rsidRPr="001961B1">
        <w:rPr>
          <w:rFonts w:asciiTheme="minorHAnsi" w:hAnsiTheme="minorHAnsi" w:cstheme="minorHAnsi"/>
          <w:sz w:val="22"/>
          <w:szCs w:val="22"/>
          <w:lang w:val="fr-FR" w:eastAsia="fr-FR"/>
        </w:rPr>
        <w:t xml:space="preserve"> </w:t>
      </w:r>
    </w:p>
    <w:p w14:paraId="06497943" w14:textId="0F6CD7C2" w:rsidR="00925C3B" w:rsidRPr="001961B1" w:rsidRDefault="00925C3B" w:rsidP="00257025">
      <w:pPr>
        <w:ind w:left="567" w:hanging="567"/>
        <w:rPr>
          <w:rFonts w:asciiTheme="minorHAnsi" w:hAnsiTheme="minorHAnsi" w:cstheme="minorHAnsi"/>
          <w:sz w:val="22"/>
          <w:szCs w:val="22"/>
          <w:lang w:val="fr-FR" w:eastAsia="fr-FR"/>
        </w:rPr>
      </w:pPr>
    </w:p>
    <w:p w14:paraId="76A0C02E" w14:textId="3B265486" w:rsidR="0065775E"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0</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07590A" w:rsidRPr="001961B1">
        <w:rPr>
          <w:rFonts w:asciiTheme="minorHAnsi" w:hAnsiTheme="minorHAnsi" w:cstheme="minorHAnsi"/>
          <w:sz w:val="22"/>
          <w:szCs w:val="22"/>
          <w:lang w:val="fr-FR" w:eastAsia="fr-FR"/>
        </w:rPr>
        <w:t xml:space="preserve">Les possibilités de formation pour les administrateurs de sites de zones humides </w:t>
      </w:r>
      <w:r w:rsidR="00293F30" w:rsidRPr="001961B1">
        <w:rPr>
          <w:rFonts w:asciiTheme="minorHAnsi" w:hAnsiTheme="minorHAnsi" w:cstheme="minorHAnsi"/>
          <w:sz w:val="22"/>
          <w:szCs w:val="22"/>
          <w:lang w:val="fr-FR" w:eastAsia="fr-FR"/>
        </w:rPr>
        <w:t>concernent</w:t>
      </w:r>
      <w:r w:rsidR="0007590A" w:rsidRPr="001961B1">
        <w:rPr>
          <w:rFonts w:asciiTheme="minorHAnsi" w:hAnsiTheme="minorHAnsi" w:cstheme="minorHAnsi"/>
          <w:sz w:val="22"/>
          <w:szCs w:val="22"/>
          <w:lang w:val="fr-FR" w:eastAsia="fr-FR"/>
        </w:rPr>
        <w:t xml:space="preserve"> plus </w:t>
      </w:r>
      <w:r w:rsidR="00293F30" w:rsidRPr="001961B1">
        <w:rPr>
          <w:rFonts w:asciiTheme="minorHAnsi" w:hAnsiTheme="minorHAnsi" w:cstheme="minorHAnsi"/>
          <w:sz w:val="22"/>
          <w:szCs w:val="22"/>
          <w:lang w:val="fr-FR" w:eastAsia="fr-FR"/>
        </w:rPr>
        <w:t>fréquemment</w:t>
      </w:r>
      <w:r w:rsidR="0007590A" w:rsidRPr="001961B1">
        <w:rPr>
          <w:rFonts w:asciiTheme="minorHAnsi" w:hAnsiTheme="minorHAnsi" w:cstheme="minorHAnsi"/>
          <w:sz w:val="22"/>
          <w:szCs w:val="22"/>
          <w:lang w:val="fr-FR" w:eastAsia="fr-FR"/>
        </w:rPr>
        <w:t xml:space="preserve"> les zones humides d’importance internationale </w:t>
      </w:r>
      <w:r w:rsidR="00293F30" w:rsidRPr="001961B1">
        <w:rPr>
          <w:rFonts w:asciiTheme="minorHAnsi" w:hAnsiTheme="minorHAnsi" w:cstheme="minorHAnsi"/>
          <w:sz w:val="22"/>
          <w:szCs w:val="22"/>
          <w:lang w:val="fr-FR" w:eastAsia="fr-FR"/>
        </w:rPr>
        <w:t>que les autres</w:t>
      </w:r>
      <w:r w:rsidR="0007590A" w:rsidRPr="001961B1">
        <w:rPr>
          <w:rFonts w:asciiTheme="minorHAnsi" w:hAnsiTheme="minorHAnsi" w:cstheme="minorHAnsi"/>
          <w:sz w:val="22"/>
          <w:szCs w:val="22"/>
          <w:lang w:val="fr-FR" w:eastAsia="fr-FR"/>
        </w:rPr>
        <w:t xml:space="preserve">, mais il n’y a pas de tendance claire dans le nombre de possibilités de formation signalées et environ un tiers des Parties contractantes </w:t>
      </w:r>
      <w:r w:rsidR="00E97F73" w:rsidRPr="001961B1">
        <w:rPr>
          <w:rFonts w:asciiTheme="minorHAnsi" w:hAnsiTheme="minorHAnsi" w:cstheme="minorHAnsi"/>
          <w:sz w:val="22"/>
          <w:szCs w:val="22"/>
          <w:lang w:val="fr-FR" w:eastAsia="fr-FR"/>
        </w:rPr>
        <w:t>a</w:t>
      </w:r>
      <w:r w:rsidR="0007590A" w:rsidRPr="001961B1">
        <w:rPr>
          <w:rFonts w:asciiTheme="minorHAnsi" w:hAnsiTheme="minorHAnsi" w:cstheme="minorHAnsi"/>
          <w:sz w:val="22"/>
          <w:szCs w:val="22"/>
          <w:lang w:val="fr-FR" w:eastAsia="fr-FR"/>
        </w:rPr>
        <w:t xml:space="preserve"> choisi la réponse « inconnu ». </w:t>
      </w:r>
    </w:p>
    <w:p w14:paraId="1B0DD160" w14:textId="77777777" w:rsidR="0065775E" w:rsidRPr="001961B1" w:rsidRDefault="0065775E" w:rsidP="00257025">
      <w:pPr>
        <w:ind w:left="567" w:hanging="567"/>
        <w:rPr>
          <w:rFonts w:asciiTheme="minorHAnsi" w:hAnsiTheme="minorHAnsi" w:cstheme="minorHAnsi"/>
          <w:sz w:val="22"/>
          <w:szCs w:val="22"/>
          <w:lang w:val="fr-FR" w:eastAsia="fr-FR"/>
        </w:rPr>
      </w:pPr>
    </w:p>
    <w:p w14:paraId="3AA436B0" w14:textId="74E7B642" w:rsidR="009078AA"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lastRenderedPageBreak/>
        <w:t>12</w:t>
      </w:r>
      <w:r w:rsidR="00C32CF1" w:rsidRPr="001961B1">
        <w:rPr>
          <w:rFonts w:asciiTheme="minorHAnsi" w:hAnsiTheme="minorHAnsi" w:cstheme="minorHAnsi"/>
          <w:sz w:val="22"/>
          <w:szCs w:val="22"/>
          <w:lang w:val="fr-FR" w:eastAsia="fr-FR"/>
        </w:rPr>
        <w:t>1</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07590A" w:rsidRPr="001961B1">
        <w:rPr>
          <w:rFonts w:asciiTheme="minorHAnsi" w:hAnsiTheme="minorHAnsi" w:cstheme="minorHAnsi"/>
          <w:sz w:val="22"/>
          <w:szCs w:val="22"/>
          <w:lang w:val="fr-FR" w:eastAsia="fr-FR"/>
        </w:rPr>
        <w:t xml:space="preserve">Beaucoup de Parties contractantes organisent une formation localisée ou </w:t>
      </w:r>
      <w:r w:rsidR="009E597C" w:rsidRPr="001961B1">
        <w:rPr>
          <w:rFonts w:asciiTheme="minorHAnsi" w:hAnsiTheme="minorHAnsi" w:cstheme="minorHAnsi"/>
          <w:sz w:val="22"/>
          <w:szCs w:val="22"/>
          <w:lang w:val="fr-FR" w:eastAsia="fr-FR"/>
        </w:rPr>
        <w:t>ponctuelle</w:t>
      </w:r>
      <w:r w:rsidR="0007590A" w:rsidRPr="001961B1">
        <w:rPr>
          <w:rFonts w:asciiTheme="minorHAnsi" w:hAnsiTheme="minorHAnsi" w:cstheme="minorHAnsi"/>
          <w:sz w:val="22"/>
          <w:szCs w:val="22"/>
          <w:lang w:val="fr-FR" w:eastAsia="fr-FR"/>
        </w:rPr>
        <w:t xml:space="preserve">, plutôt que des programmes nationaux et </w:t>
      </w:r>
      <w:r w:rsidR="009E597C" w:rsidRPr="001961B1">
        <w:rPr>
          <w:rFonts w:asciiTheme="minorHAnsi" w:hAnsiTheme="minorHAnsi" w:cstheme="minorHAnsi"/>
          <w:sz w:val="22"/>
          <w:szCs w:val="22"/>
          <w:lang w:val="fr-FR" w:eastAsia="fr-FR"/>
        </w:rPr>
        <w:t>utilisent de plus en plus</w:t>
      </w:r>
      <w:r w:rsidR="0007590A" w:rsidRPr="001961B1">
        <w:rPr>
          <w:rFonts w:asciiTheme="minorHAnsi" w:hAnsiTheme="minorHAnsi" w:cstheme="minorHAnsi"/>
          <w:sz w:val="22"/>
          <w:szCs w:val="22"/>
          <w:lang w:val="fr-FR" w:eastAsia="fr-FR"/>
        </w:rPr>
        <w:t xml:space="preserve"> des plateformes en ligne</w:t>
      </w:r>
      <w:r w:rsidR="009E597C" w:rsidRPr="001961B1">
        <w:rPr>
          <w:rFonts w:asciiTheme="minorHAnsi" w:hAnsiTheme="minorHAnsi" w:cstheme="minorHAnsi"/>
          <w:sz w:val="22"/>
          <w:szCs w:val="22"/>
          <w:lang w:val="fr-FR" w:eastAsia="fr-FR"/>
        </w:rPr>
        <w:t>, par exemple</w:t>
      </w:r>
      <w:r w:rsidR="0007590A" w:rsidRPr="001961B1">
        <w:rPr>
          <w:rFonts w:asciiTheme="minorHAnsi" w:hAnsiTheme="minorHAnsi" w:cstheme="minorHAnsi"/>
          <w:sz w:val="22"/>
          <w:szCs w:val="22"/>
          <w:lang w:val="fr-FR" w:eastAsia="fr-FR"/>
        </w:rPr>
        <w:t xml:space="preserve">. Les programmes publics continuent </w:t>
      </w:r>
      <w:r w:rsidR="009E597C" w:rsidRPr="001961B1">
        <w:rPr>
          <w:rFonts w:asciiTheme="minorHAnsi" w:hAnsiTheme="minorHAnsi" w:cstheme="minorHAnsi"/>
          <w:sz w:val="22"/>
          <w:szCs w:val="22"/>
          <w:lang w:val="fr-FR" w:eastAsia="fr-FR"/>
        </w:rPr>
        <w:t>à occuper une place</w:t>
      </w:r>
      <w:r w:rsidR="0007590A" w:rsidRPr="001961B1">
        <w:rPr>
          <w:rFonts w:asciiTheme="minorHAnsi" w:hAnsiTheme="minorHAnsi" w:cstheme="minorHAnsi"/>
          <w:sz w:val="22"/>
          <w:szCs w:val="22"/>
          <w:lang w:val="fr-FR" w:eastAsia="fr-FR"/>
        </w:rPr>
        <w:t xml:space="preserve"> central</w:t>
      </w:r>
      <w:r w:rsidR="009E597C" w:rsidRPr="001961B1">
        <w:rPr>
          <w:rFonts w:asciiTheme="minorHAnsi" w:hAnsiTheme="minorHAnsi" w:cstheme="minorHAnsi"/>
          <w:sz w:val="22"/>
          <w:szCs w:val="22"/>
          <w:lang w:val="fr-FR" w:eastAsia="fr-FR"/>
        </w:rPr>
        <w:t>e</w:t>
      </w:r>
      <w:r w:rsidR="0007590A" w:rsidRPr="001961B1">
        <w:rPr>
          <w:rFonts w:asciiTheme="minorHAnsi" w:hAnsiTheme="minorHAnsi" w:cstheme="minorHAnsi"/>
          <w:sz w:val="22"/>
          <w:szCs w:val="22"/>
          <w:lang w:val="fr-FR" w:eastAsia="fr-FR"/>
        </w:rPr>
        <w:t xml:space="preserve"> mais les ONG et les partenaires internationaux jouent un rôle essentiel. Plusieurs Parties notent des difficultés </w:t>
      </w:r>
      <w:r w:rsidR="009E597C" w:rsidRPr="001961B1">
        <w:rPr>
          <w:rFonts w:asciiTheme="minorHAnsi" w:hAnsiTheme="minorHAnsi" w:cstheme="minorHAnsi"/>
          <w:sz w:val="22"/>
          <w:szCs w:val="22"/>
          <w:lang w:val="fr-FR" w:eastAsia="fr-FR"/>
        </w:rPr>
        <w:t>à maintenir les</w:t>
      </w:r>
      <w:r w:rsidR="0007590A" w:rsidRPr="001961B1">
        <w:rPr>
          <w:rFonts w:asciiTheme="minorHAnsi" w:hAnsiTheme="minorHAnsi" w:cstheme="minorHAnsi"/>
          <w:sz w:val="22"/>
          <w:szCs w:val="22"/>
          <w:lang w:val="fr-FR" w:eastAsia="fr-FR"/>
        </w:rPr>
        <w:t xml:space="preserve"> programmes </w:t>
      </w:r>
      <w:r w:rsidR="009E597C" w:rsidRPr="001961B1">
        <w:rPr>
          <w:rFonts w:asciiTheme="minorHAnsi" w:hAnsiTheme="minorHAnsi" w:cstheme="minorHAnsi"/>
          <w:sz w:val="22"/>
          <w:szCs w:val="22"/>
          <w:lang w:val="fr-FR" w:eastAsia="fr-FR"/>
        </w:rPr>
        <w:t>en raison,</w:t>
      </w:r>
      <w:r w:rsidR="0007590A" w:rsidRPr="001961B1">
        <w:rPr>
          <w:rFonts w:asciiTheme="minorHAnsi" w:hAnsiTheme="minorHAnsi" w:cstheme="minorHAnsi"/>
          <w:sz w:val="22"/>
          <w:szCs w:val="22"/>
          <w:lang w:val="fr-FR" w:eastAsia="fr-FR"/>
        </w:rPr>
        <w:t xml:space="preserve"> notamment</w:t>
      </w:r>
      <w:r w:rsidR="009E597C" w:rsidRPr="001961B1">
        <w:rPr>
          <w:rFonts w:asciiTheme="minorHAnsi" w:hAnsiTheme="minorHAnsi" w:cstheme="minorHAnsi"/>
          <w:sz w:val="22"/>
          <w:szCs w:val="22"/>
          <w:lang w:val="fr-FR" w:eastAsia="fr-FR"/>
        </w:rPr>
        <w:t>,</w:t>
      </w:r>
      <w:r w:rsidR="0007590A" w:rsidRPr="001961B1">
        <w:rPr>
          <w:rFonts w:asciiTheme="minorHAnsi" w:hAnsiTheme="minorHAnsi" w:cstheme="minorHAnsi"/>
          <w:sz w:val="22"/>
          <w:szCs w:val="22"/>
          <w:lang w:val="fr-FR" w:eastAsia="fr-FR"/>
        </w:rPr>
        <w:t xml:space="preserve"> </w:t>
      </w:r>
      <w:r w:rsidR="009E597C" w:rsidRPr="001961B1">
        <w:rPr>
          <w:rFonts w:asciiTheme="minorHAnsi" w:hAnsiTheme="minorHAnsi" w:cstheme="minorHAnsi"/>
          <w:sz w:val="22"/>
          <w:szCs w:val="22"/>
          <w:lang w:val="fr-FR" w:eastAsia="fr-FR"/>
        </w:rPr>
        <w:t>des</w:t>
      </w:r>
      <w:r w:rsidR="0007590A" w:rsidRPr="001961B1">
        <w:rPr>
          <w:rFonts w:asciiTheme="minorHAnsi" w:hAnsiTheme="minorHAnsi" w:cstheme="minorHAnsi"/>
          <w:sz w:val="22"/>
          <w:szCs w:val="22"/>
          <w:lang w:val="fr-FR" w:eastAsia="fr-FR"/>
        </w:rPr>
        <w:t xml:space="preserve"> contraintes de financement et </w:t>
      </w:r>
      <w:r w:rsidR="009E597C" w:rsidRPr="001961B1">
        <w:rPr>
          <w:rFonts w:asciiTheme="minorHAnsi" w:hAnsiTheme="minorHAnsi" w:cstheme="minorHAnsi"/>
          <w:sz w:val="22"/>
          <w:szCs w:val="22"/>
          <w:lang w:val="fr-FR" w:eastAsia="fr-FR"/>
        </w:rPr>
        <w:t>de</w:t>
      </w:r>
      <w:r w:rsidR="0007590A" w:rsidRPr="001961B1">
        <w:rPr>
          <w:rFonts w:asciiTheme="minorHAnsi" w:hAnsiTheme="minorHAnsi" w:cstheme="minorHAnsi"/>
          <w:sz w:val="22"/>
          <w:szCs w:val="22"/>
          <w:lang w:val="fr-FR" w:eastAsia="fr-FR"/>
        </w:rPr>
        <w:t xml:space="preserve"> la rotation élevée du personnel qui </w:t>
      </w:r>
      <w:r w:rsidR="009E597C" w:rsidRPr="001961B1">
        <w:rPr>
          <w:rFonts w:asciiTheme="minorHAnsi" w:hAnsiTheme="minorHAnsi" w:cstheme="minorHAnsi"/>
          <w:sz w:val="22"/>
          <w:szCs w:val="22"/>
          <w:lang w:val="fr-FR" w:eastAsia="fr-FR"/>
        </w:rPr>
        <w:t>compromettent</w:t>
      </w:r>
      <w:r w:rsidR="0007590A" w:rsidRPr="001961B1">
        <w:rPr>
          <w:rFonts w:asciiTheme="minorHAnsi" w:hAnsiTheme="minorHAnsi" w:cstheme="minorHAnsi"/>
          <w:sz w:val="22"/>
          <w:szCs w:val="22"/>
          <w:lang w:val="fr-FR" w:eastAsia="fr-FR"/>
        </w:rPr>
        <w:t xml:space="preserve"> les résultats à long terme de la formation. Les Parties soulignent la nécessité d’accorder la priorité aux évaluations des besoins au niveau national comme fondement d’une meilleure mise en œuvre et </w:t>
      </w:r>
      <w:r w:rsidR="009E597C" w:rsidRPr="001961B1">
        <w:rPr>
          <w:rFonts w:asciiTheme="minorHAnsi" w:hAnsiTheme="minorHAnsi" w:cstheme="minorHAnsi"/>
          <w:sz w:val="22"/>
          <w:szCs w:val="22"/>
          <w:lang w:val="fr-FR" w:eastAsia="fr-FR"/>
        </w:rPr>
        <w:t>de</w:t>
      </w:r>
      <w:r w:rsidR="0007590A" w:rsidRPr="001961B1">
        <w:rPr>
          <w:rFonts w:asciiTheme="minorHAnsi" w:hAnsiTheme="minorHAnsi" w:cstheme="minorHAnsi"/>
          <w:sz w:val="22"/>
          <w:szCs w:val="22"/>
          <w:lang w:val="fr-FR" w:eastAsia="fr-FR"/>
        </w:rPr>
        <w:t xml:space="preserve"> faire en sorte que le développement des efforts de renforcement des capacités pour soutenir la mise en œuvre de la Convention </w:t>
      </w:r>
      <w:r w:rsidR="009E597C" w:rsidRPr="001961B1">
        <w:rPr>
          <w:rFonts w:asciiTheme="minorHAnsi" w:hAnsiTheme="minorHAnsi" w:cstheme="minorHAnsi"/>
          <w:sz w:val="22"/>
          <w:szCs w:val="22"/>
          <w:lang w:val="fr-FR" w:eastAsia="fr-FR"/>
        </w:rPr>
        <w:t>soit adapté au</w:t>
      </w:r>
      <w:r w:rsidR="0007590A" w:rsidRPr="001961B1">
        <w:rPr>
          <w:rFonts w:asciiTheme="minorHAnsi" w:hAnsiTheme="minorHAnsi" w:cstheme="minorHAnsi"/>
          <w:sz w:val="22"/>
          <w:szCs w:val="22"/>
          <w:lang w:val="fr-FR" w:eastAsia="fr-FR"/>
        </w:rPr>
        <w:t xml:space="preserve"> contexte. </w:t>
      </w:r>
      <w:r w:rsidR="00ED3881" w:rsidRPr="001961B1">
        <w:rPr>
          <w:rFonts w:asciiTheme="minorHAnsi" w:hAnsiTheme="minorHAnsi" w:cstheme="minorHAnsi"/>
          <w:sz w:val="22"/>
          <w:szCs w:val="22"/>
          <w:lang w:val="fr-FR" w:eastAsia="fr-FR"/>
        </w:rPr>
        <w:t xml:space="preserve">Il est recommandé d’adopter ou d’amplifier les bonnes pratiques telles que les réseaux scolaires nationaux et internationaux pour les zones humides </w:t>
      </w:r>
      <w:r w:rsidR="009E597C" w:rsidRPr="001961B1">
        <w:rPr>
          <w:rFonts w:asciiTheme="minorHAnsi" w:hAnsiTheme="minorHAnsi" w:cstheme="minorHAnsi"/>
          <w:sz w:val="22"/>
          <w:szCs w:val="22"/>
          <w:lang w:val="fr-FR" w:eastAsia="fr-FR"/>
        </w:rPr>
        <w:t>dans le cadre desquels</w:t>
      </w:r>
      <w:r w:rsidR="00ED3881" w:rsidRPr="001961B1">
        <w:rPr>
          <w:rFonts w:asciiTheme="minorHAnsi" w:hAnsiTheme="minorHAnsi" w:cstheme="minorHAnsi"/>
          <w:sz w:val="22"/>
          <w:szCs w:val="22"/>
          <w:lang w:val="fr-FR" w:eastAsia="fr-FR"/>
        </w:rPr>
        <w:t xml:space="preserve"> des écoles collaborent de manière à former les enseignants, préparer des </w:t>
      </w:r>
      <w:r w:rsidR="009E597C" w:rsidRPr="001961B1">
        <w:rPr>
          <w:rFonts w:asciiTheme="minorHAnsi" w:hAnsiTheme="minorHAnsi" w:cstheme="minorHAnsi"/>
          <w:sz w:val="22"/>
          <w:szCs w:val="22"/>
          <w:lang w:val="fr-FR" w:eastAsia="fr-FR"/>
        </w:rPr>
        <w:t xml:space="preserve">projets fondés sur les </w:t>
      </w:r>
      <w:r w:rsidR="00ED3881" w:rsidRPr="001961B1">
        <w:rPr>
          <w:rFonts w:asciiTheme="minorHAnsi" w:hAnsiTheme="minorHAnsi" w:cstheme="minorHAnsi"/>
          <w:sz w:val="22"/>
          <w:szCs w:val="22"/>
          <w:lang w:val="fr-FR" w:eastAsia="fr-FR"/>
        </w:rPr>
        <w:t>programmes</w:t>
      </w:r>
      <w:r w:rsidR="009E597C" w:rsidRPr="001961B1">
        <w:rPr>
          <w:rFonts w:asciiTheme="minorHAnsi" w:hAnsiTheme="minorHAnsi" w:cstheme="minorHAnsi"/>
          <w:sz w:val="22"/>
          <w:szCs w:val="22"/>
          <w:lang w:val="fr-FR" w:eastAsia="fr-FR"/>
        </w:rPr>
        <w:t xml:space="preserve"> scolaires</w:t>
      </w:r>
      <w:r w:rsidR="00ED3881" w:rsidRPr="001961B1">
        <w:rPr>
          <w:rFonts w:asciiTheme="minorHAnsi" w:hAnsiTheme="minorHAnsi" w:cstheme="minorHAnsi"/>
          <w:sz w:val="22"/>
          <w:szCs w:val="22"/>
          <w:lang w:val="fr-FR" w:eastAsia="fr-FR"/>
        </w:rPr>
        <w:t xml:space="preserve"> et partager l’expérience ainsi que des </w:t>
      </w:r>
      <w:r w:rsidR="009E597C" w:rsidRPr="001961B1">
        <w:rPr>
          <w:rFonts w:asciiTheme="minorHAnsi" w:hAnsiTheme="minorHAnsi" w:cstheme="minorHAnsi"/>
          <w:sz w:val="22"/>
          <w:szCs w:val="22"/>
          <w:lang w:val="fr-FR" w:eastAsia="fr-FR"/>
        </w:rPr>
        <w:t>exemples de réussites</w:t>
      </w:r>
      <w:r w:rsidR="00ED3881" w:rsidRPr="001961B1">
        <w:rPr>
          <w:rFonts w:asciiTheme="minorHAnsi" w:hAnsiTheme="minorHAnsi" w:cstheme="minorHAnsi"/>
          <w:sz w:val="22"/>
          <w:szCs w:val="22"/>
          <w:lang w:val="fr-FR" w:eastAsia="fr-FR"/>
        </w:rPr>
        <w:t xml:space="preserve">. Il est nécessaire de disposer d’outils de suivi améliorés pour évaluer les </w:t>
      </w:r>
      <w:r w:rsidR="008314F3" w:rsidRPr="001961B1">
        <w:rPr>
          <w:rFonts w:asciiTheme="minorHAnsi" w:hAnsiTheme="minorHAnsi" w:cstheme="minorHAnsi"/>
          <w:sz w:val="22"/>
          <w:szCs w:val="22"/>
          <w:lang w:val="fr-FR" w:eastAsia="fr-FR"/>
        </w:rPr>
        <w:t>effets</w:t>
      </w:r>
      <w:r w:rsidR="00ED3881" w:rsidRPr="001961B1">
        <w:rPr>
          <w:rFonts w:asciiTheme="minorHAnsi" w:hAnsiTheme="minorHAnsi" w:cstheme="minorHAnsi"/>
          <w:sz w:val="22"/>
          <w:szCs w:val="22"/>
          <w:lang w:val="fr-FR" w:eastAsia="fr-FR"/>
        </w:rPr>
        <w:t xml:space="preserve"> de la formation.</w:t>
      </w:r>
      <w:r w:rsidR="009078AA" w:rsidRPr="001961B1">
        <w:rPr>
          <w:rFonts w:asciiTheme="minorHAnsi" w:hAnsiTheme="minorHAnsi" w:cstheme="minorHAnsi"/>
          <w:sz w:val="22"/>
          <w:szCs w:val="22"/>
          <w:lang w:val="fr-FR" w:eastAsia="fr-FR"/>
        </w:rPr>
        <w:t xml:space="preserve"> </w:t>
      </w:r>
    </w:p>
    <w:p w14:paraId="570581BB" w14:textId="77777777" w:rsidR="007C199A" w:rsidRPr="001961B1" w:rsidRDefault="007C199A" w:rsidP="00CD3F6B">
      <w:pPr>
        <w:rPr>
          <w:rFonts w:asciiTheme="minorHAnsi" w:hAnsiTheme="minorHAnsi" w:cstheme="minorHAnsi"/>
          <w:sz w:val="22"/>
          <w:szCs w:val="22"/>
          <w:lang w:val="fr-FR"/>
        </w:rPr>
      </w:pPr>
    </w:p>
    <w:p w14:paraId="578DB823" w14:textId="77777777" w:rsidR="003E56FD" w:rsidRPr="001961B1" w:rsidRDefault="003E56FD" w:rsidP="00CD3F6B">
      <w:pPr>
        <w:rPr>
          <w:rFonts w:asciiTheme="minorHAnsi" w:hAnsiTheme="minorHAnsi" w:cstheme="minorHAnsi"/>
          <w:sz w:val="22"/>
          <w:szCs w:val="22"/>
          <w:lang w:val="fr-FR"/>
        </w:rPr>
      </w:pPr>
    </w:p>
    <w:tbl>
      <w:tblPr>
        <w:tblStyle w:val="TableGrid16"/>
        <w:tblW w:w="9354" w:type="dxa"/>
        <w:tblLook w:val="04A0" w:firstRow="1" w:lastRow="0" w:firstColumn="1" w:lastColumn="0" w:noHBand="0" w:noVBand="1"/>
      </w:tblPr>
      <w:tblGrid>
        <w:gridCol w:w="9354"/>
      </w:tblGrid>
      <w:tr w:rsidR="007C199A" w:rsidRPr="001961B1" w14:paraId="49373DE8" w14:textId="77777777" w:rsidTr="003E56FD">
        <w:tc>
          <w:tcPr>
            <w:tcW w:w="9354" w:type="dxa"/>
            <w:vAlign w:val="center"/>
          </w:tcPr>
          <w:p w14:paraId="6F2EEEF3" w14:textId="071E8DFA" w:rsidR="007C199A" w:rsidRPr="001961B1" w:rsidRDefault="005B427E" w:rsidP="008A3659">
            <w:pPr>
              <w:keepNext/>
              <w:spacing w:before="120" w:after="120"/>
              <w:rPr>
                <w:rFonts w:asciiTheme="minorHAnsi" w:eastAsia="Calibri" w:hAnsiTheme="minorHAnsi" w:cstheme="minorHAnsi"/>
                <w:b/>
                <w:sz w:val="22"/>
                <w:szCs w:val="22"/>
                <w:lang w:val="fr-FR"/>
              </w:rPr>
            </w:pPr>
            <w:r w:rsidRPr="001961B1">
              <w:rPr>
                <w:rFonts w:asciiTheme="minorHAnsi" w:eastAsia="Calibri" w:hAnsiTheme="minorHAnsi" w:cstheme="minorHAnsi"/>
                <w:b/>
                <w:sz w:val="22"/>
                <w:szCs w:val="22"/>
                <w:lang w:val="fr-FR"/>
              </w:rPr>
              <w:t>Égalité entre les sexes et jeunesse</w:t>
            </w:r>
            <w:r w:rsidR="00C931CD" w:rsidRPr="001961B1">
              <w:rPr>
                <w:rFonts w:asciiTheme="minorHAnsi" w:eastAsia="Calibri" w:hAnsiTheme="minorHAnsi" w:cstheme="minorHAnsi"/>
                <w:b/>
                <w:sz w:val="22"/>
                <w:szCs w:val="22"/>
                <w:lang w:val="fr-FR"/>
              </w:rPr>
              <w:t xml:space="preserve"> </w:t>
            </w:r>
          </w:p>
          <w:p w14:paraId="698C5F77" w14:textId="3939EA88" w:rsidR="00A74B29" w:rsidRPr="001961B1" w:rsidRDefault="00D31C55" w:rsidP="008A3659">
            <w:pPr>
              <w:keepNext/>
              <w:spacing w:before="120" w:after="120"/>
              <w:rPr>
                <w:rFonts w:asciiTheme="minorHAnsi" w:eastAsiaTheme="minorHAnsi" w:hAnsiTheme="minorHAnsi" w:cstheme="minorHAnsi"/>
                <w:sz w:val="22"/>
                <w:szCs w:val="22"/>
                <w:lang w:val="fr-FR"/>
              </w:rPr>
            </w:pPr>
            <w:r w:rsidRPr="001961B1">
              <w:rPr>
                <w:rFonts w:asciiTheme="minorHAnsi" w:hAnsiTheme="minorHAnsi" w:cstheme="minorHAnsi"/>
                <w:bCs/>
                <w:sz w:val="22"/>
                <w:szCs w:val="22"/>
                <w:lang w:val="fr-FR"/>
              </w:rPr>
              <w:t xml:space="preserve">Contribution aux cibles </w:t>
            </w:r>
            <w:r w:rsidR="00A74B29" w:rsidRPr="001961B1">
              <w:rPr>
                <w:rFonts w:asciiTheme="minorHAnsi" w:hAnsiTheme="minorHAnsi" w:cstheme="minorHAnsi"/>
                <w:sz w:val="22"/>
                <w:szCs w:val="22"/>
                <w:lang w:val="fr-FR"/>
              </w:rPr>
              <w:t xml:space="preserve">22 </w:t>
            </w:r>
            <w:r w:rsidR="005B427E" w:rsidRPr="001961B1">
              <w:rPr>
                <w:rFonts w:asciiTheme="minorHAnsi" w:hAnsiTheme="minorHAnsi" w:cstheme="minorHAnsi"/>
                <w:sz w:val="22"/>
                <w:szCs w:val="22"/>
                <w:lang w:val="fr-FR"/>
              </w:rPr>
              <w:t>et</w:t>
            </w:r>
            <w:r w:rsidR="00A74B29" w:rsidRPr="001961B1">
              <w:rPr>
                <w:rFonts w:asciiTheme="minorHAnsi" w:hAnsiTheme="minorHAnsi" w:cstheme="minorHAnsi"/>
                <w:sz w:val="22"/>
                <w:szCs w:val="22"/>
                <w:lang w:val="fr-FR"/>
              </w:rPr>
              <w:t xml:space="preserve"> 23</w:t>
            </w:r>
            <w:r w:rsidR="00583A59" w:rsidRPr="001961B1">
              <w:rPr>
                <w:rFonts w:asciiTheme="minorHAnsi" w:hAnsiTheme="minorHAnsi" w:cstheme="minorHAnsi"/>
                <w:sz w:val="22"/>
                <w:szCs w:val="22"/>
                <w:lang w:val="fr-FR"/>
              </w:rPr>
              <w:t xml:space="preserve"> du CMB-KM et aux cibles</w:t>
            </w:r>
            <w:r w:rsidR="00A74B29" w:rsidRPr="001961B1">
              <w:rPr>
                <w:rFonts w:asciiTheme="minorHAnsi" w:hAnsiTheme="minorHAnsi" w:cstheme="minorHAnsi"/>
                <w:sz w:val="22"/>
                <w:szCs w:val="22"/>
                <w:lang w:val="fr-FR"/>
              </w:rPr>
              <w:t xml:space="preserve"> 4 </w:t>
            </w:r>
            <w:r w:rsidR="00583A59" w:rsidRPr="001961B1">
              <w:rPr>
                <w:rFonts w:asciiTheme="minorHAnsi" w:hAnsiTheme="minorHAnsi" w:cstheme="minorHAnsi"/>
                <w:sz w:val="22"/>
                <w:szCs w:val="22"/>
                <w:lang w:val="fr-FR"/>
              </w:rPr>
              <w:t>et</w:t>
            </w:r>
            <w:r w:rsidR="00A74B29" w:rsidRPr="001961B1">
              <w:rPr>
                <w:rFonts w:asciiTheme="minorHAnsi" w:hAnsiTheme="minorHAnsi" w:cstheme="minorHAnsi"/>
                <w:sz w:val="22"/>
                <w:szCs w:val="22"/>
                <w:lang w:val="fr-FR"/>
              </w:rPr>
              <w:t xml:space="preserve"> 5</w:t>
            </w:r>
            <w:r w:rsidR="00583A59" w:rsidRPr="001961B1">
              <w:rPr>
                <w:rFonts w:asciiTheme="minorHAnsi" w:hAnsiTheme="minorHAnsi" w:cstheme="minorHAnsi"/>
                <w:sz w:val="22"/>
                <w:szCs w:val="22"/>
                <w:lang w:val="fr-FR"/>
              </w:rPr>
              <w:t xml:space="preserve"> des ODD</w:t>
            </w:r>
            <w:r w:rsidR="00A74B29" w:rsidRPr="001961B1">
              <w:rPr>
                <w:rFonts w:asciiTheme="minorHAnsi" w:hAnsiTheme="minorHAnsi" w:cstheme="minorHAnsi"/>
                <w:sz w:val="22"/>
                <w:szCs w:val="22"/>
                <w:lang w:val="fr-FR"/>
              </w:rPr>
              <w:t>.</w:t>
            </w:r>
          </w:p>
        </w:tc>
      </w:tr>
    </w:tbl>
    <w:p w14:paraId="693126BA" w14:textId="77777777" w:rsidR="007C199A" w:rsidRPr="001961B1" w:rsidRDefault="007C199A" w:rsidP="000D551C">
      <w:pPr>
        <w:keepNext/>
        <w:rPr>
          <w:rFonts w:asciiTheme="minorHAnsi" w:hAnsiTheme="minorHAnsi" w:cstheme="minorHAnsi"/>
          <w:sz w:val="22"/>
          <w:szCs w:val="22"/>
          <w:lang w:val="fr-FR"/>
        </w:rPr>
      </w:pPr>
    </w:p>
    <w:p w14:paraId="44855726" w14:textId="14AB9828" w:rsidR="00375762" w:rsidRPr="001961B1" w:rsidRDefault="000E3338" w:rsidP="00257025">
      <w:pPr>
        <w:ind w:left="567" w:hanging="567"/>
        <w:rPr>
          <w:rFonts w:asciiTheme="minorHAnsi" w:hAnsiTheme="minorHAnsi" w:cstheme="minorHAnsi"/>
          <w:sz w:val="22"/>
          <w:szCs w:val="22"/>
          <w:lang w:val="fr-FR" w:eastAsia="fr-FR"/>
        </w:rPr>
      </w:pPr>
      <w:bookmarkStart w:id="10" w:name="_Hlk194574492"/>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2</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583A59" w:rsidRPr="001961B1">
        <w:rPr>
          <w:rFonts w:asciiTheme="minorHAnsi" w:hAnsiTheme="minorHAnsi" w:cstheme="minorHAnsi"/>
          <w:sz w:val="22"/>
          <w:szCs w:val="22"/>
          <w:lang w:val="fr-FR" w:eastAsia="fr-FR"/>
        </w:rPr>
        <w:t>Selon le</w:t>
      </w:r>
      <w:r w:rsidR="006937C2" w:rsidRPr="001961B1">
        <w:rPr>
          <w:rFonts w:asciiTheme="minorHAnsi" w:hAnsiTheme="minorHAnsi" w:cstheme="minorHAnsi"/>
          <w:sz w:val="22"/>
          <w:szCs w:val="22"/>
          <w:lang w:val="fr-FR" w:eastAsia="fr-FR"/>
        </w:rPr>
        <w:t xml:space="preserve"> paragraph</w:t>
      </w:r>
      <w:r w:rsidR="00583A59" w:rsidRPr="001961B1">
        <w:rPr>
          <w:rFonts w:asciiTheme="minorHAnsi" w:hAnsiTheme="minorHAnsi" w:cstheme="minorHAnsi"/>
          <w:sz w:val="22"/>
          <w:szCs w:val="22"/>
          <w:lang w:val="fr-FR" w:eastAsia="fr-FR"/>
        </w:rPr>
        <w:t>e</w:t>
      </w:r>
      <w:r w:rsidR="006937C2" w:rsidRPr="001961B1">
        <w:rPr>
          <w:rFonts w:asciiTheme="minorHAnsi" w:hAnsiTheme="minorHAnsi" w:cstheme="minorHAnsi"/>
          <w:sz w:val="22"/>
          <w:szCs w:val="22"/>
          <w:lang w:val="fr-FR" w:eastAsia="fr-FR"/>
        </w:rPr>
        <w:t xml:space="preserve"> 21 </w:t>
      </w:r>
      <w:r w:rsidR="00583A59" w:rsidRPr="001961B1">
        <w:rPr>
          <w:rFonts w:asciiTheme="minorHAnsi" w:hAnsiTheme="minorHAnsi" w:cstheme="minorHAnsi"/>
          <w:sz w:val="22"/>
          <w:szCs w:val="22"/>
          <w:lang w:val="fr-FR" w:eastAsia="fr-FR"/>
        </w:rPr>
        <w:t>de la Ré</w:t>
      </w:r>
      <w:r w:rsidR="006937C2" w:rsidRPr="001961B1">
        <w:rPr>
          <w:rFonts w:asciiTheme="minorHAnsi" w:hAnsiTheme="minorHAnsi" w:cstheme="minorHAnsi"/>
          <w:sz w:val="22"/>
          <w:szCs w:val="22"/>
          <w:lang w:val="fr-FR" w:eastAsia="fr-FR"/>
        </w:rPr>
        <w:t>solution XIII.18</w:t>
      </w:r>
      <w:r w:rsidR="00583A59" w:rsidRPr="001961B1">
        <w:rPr>
          <w:rFonts w:asciiTheme="minorHAnsi" w:hAnsiTheme="minorHAnsi" w:cstheme="minorHAnsi"/>
          <w:sz w:val="22"/>
          <w:szCs w:val="22"/>
          <w:lang w:val="fr-FR" w:eastAsia="fr-FR"/>
        </w:rPr>
        <w:t>,</w:t>
      </w:r>
      <w:r w:rsidR="006937C2" w:rsidRPr="001961B1">
        <w:rPr>
          <w:rFonts w:asciiTheme="minorHAnsi" w:hAnsiTheme="minorHAnsi" w:cstheme="minorHAnsi"/>
          <w:sz w:val="22"/>
          <w:szCs w:val="22"/>
          <w:lang w:val="fr-FR" w:eastAsia="fr-FR"/>
        </w:rPr>
        <w:t xml:space="preserve"> </w:t>
      </w:r>
      <w:r w:rsidR="00583A59" w:rsidRPr="001961B1">
        <w:rPr>
          <w:rFonts w:asciiTheme="minorHAnsi" w:hAnsiTheme="minorHAnsi" w:cstheme="minorHAnsi"/>
          <w:i/>
          <w:iCs/>
          <w:sz w:val="22"/>
          <w:szCs w:val="22"/>
          <w:lang w:val="fr-FR" w:eastAsia="fr-FR"/>
        </w:rPr>
        <w:t>Égalité entre les sexes dans le contexte des zones humides</w:t>
      </w:r>
      <w:r w:rsidR="006937C2" w:rsidRPr="001961B1">
        <w:rPr>
          <w:rFonts w:asciiTheme="minorHAnsi" w:hAnsiTheme="minorHAnsi" w:cstheme="minorHAnsi"/>
          <w:sz w:val="22"/>
          <w:szCs w:val="22"/>
          <w:lang w:val="fr-FR" w:eastAsia="fr-FR"/>
        </w:rPr>
        <w:t>, 94</w:t>
      </w:r>
      <w:r w:rsidR="00046875" w:rsidRPr="001961B1">
        <w:rPr>
          <w:rFonts w:asciiTheme="minorHAnsi" w:hAnsiTheme="minorHAnsi" w:cstheme="minorHAnsi"/>
          <w:sz w:val="22"/>
          <w:szCs w:val="22"/>
          <w:lang w:val="fr-FR" w:eastAsia="fr-FR"/>
        </w:rPr>
        <w:t> </w:t>
      </w:r>
      <w:r w:rsidR="006937C2" w:rsidRPr="001961B1">
        <w:rPr>
          <w:rFonts w:asciiTheme="minorHAnsi" w:hAnsiTheme="minorHAnsi" w:cstheme="minorHAnsi"/>
          <w:sz w:val="22"/>
          <w:szCs w:val="22"/>
          <w:lang w:val="fr-FR" w:eastAsia="fr-FR"/>
        </w:rPr>
        <w:t xml:space="preserve">% </w:t>
      </w:r>
      <w:r w:rsidR="00046875" w:rsidRPr="001961B1">
        <w:rPr>
          <w:rFonts w:asciiTheme="minorHAnsi" w:hAnsiTheme="minorHAnsi" w:cstheme="minorHAnsi"/>
          <w:sz w:val="22"/>
          <w:szCs w:val="22"/>
          <w:lang w:val="fr-FR" w:eastAsia="fr-FR"/>
        </w:rPr>
        <w:t xml:space="preserve">des Parties contractantes ayant fait rapport à la COP15 citent des mesures qui encouragent l’équilibre entre les sexes dans les décisions ou les travaux de recherche relatifs aux zones humides. </w:t>
      </w:r>
      <w:r w:rsidR="008314F3" w:rsidRPr="001961B1">
        <w:rPr>
          <w:rFonts w:asciiTheme="minorHAnsi" w:hAnsiTheme="minorHAnsi" w:cstheme="minorHAnsi"/>
          <w:sz w:val="22"/>
          <w:szCs w:val="22"/>
          <w:lang w:val="fr-FR" w:eastAsia="fr-FR"/>
        </w:rPr>
        <w:t>Il s’agit d’</w:t>
      </w:r>
      <w:r w:rsidR="00046875" w:rsidRPr="001961B1">
        <w:rPr>
          <w:rFonts w:asciiTheme="minorHAnsi" w:hAnsiTheme="minorHAnsi" w:cstheme="minorHAnsi"/>
          <w:sz w:val="22"/>
          <w:szCs w:val="22"/>
          <w:lang w:val="fr-FR" w:eastAsia="fr-FR"/>
        </w:rPr>
        <w:t xml:space="preserve">une augmentation par rapport </w:t>
      </w:r>
      <w:r w:rsidR="008314F3" w:rsidRPr="001961B1">
        <w:rPr>
          <w:rFonts w:asciiTheme="minorHAnsi" w:hAnsiTheme="minorHAnsi" w:cstheme="minorHAnsi"/>
          <w:sz w:val="22"/>
          <w:szCs w:val="22"/>
          <w:lang w:val="fr-FR" w:eastAsia="fr-FR"/>
        </w:rPr>
        <w:t xml:space="preserve">à la </w:t>
      </w:r>
      <w:r w:rsidR="00046875" w:rsidRPr="001961B1">
        <w:rPr>
          <w:rFonts w:asciiTheme="minorHAnsi" w:hAnsiTheme="minorHAnsi" w:cstheme="minorHAnsi"/>
          <w:sz w:val="22"/>
          <w:szCs w:val="22"/>
          <w:lang w:val="fr-FR" w:eastAsia="fr-FR"/>
        </w:rPr>
        <w:t>COP14</w:t>
      </w:r>
      <w:r w:rsidR="008314F3" w:rsidRPr="001961B1">
        <w:rPr>
          <w:rFonts w:asciiTheme="minorHAnsi" w:hAnsiTheme="minorHAnsi" w:cstheme="minorHAnsi"/>
          <w:sz w:val="22"/>
          <w:szCs w:val="22"/>
          <w:lang w:val="fr-FR" w:eastAsia="fr-FR"/>
        </w:rPr>
        <w:t xml:space="preserve"> où le pourcentage était de 79%</w:t>
      </w:r>
      <w:r w:rsidR="00046875" w:rsidRPr="001961B1">
        <w:rPr>
          <w:rFonts w:asciiTheme="minorHAnsi" w:hAnsiTheme="minorHAnsi" w:cstheme="minorHAnsi"/>
          <w:sz w:val="22"/>
          <w:szCs w:val="22"/>
          <w:lang w:val="fr-FR" w:eastAsia="fr-FR"/>
        </w:rPr>
        <w:t xml:space="preserve">. Onze pour cent (11 %) seulement des Parties signalent recueillir des données </w:t>
      </w:r>
      <w:r w:rsidR="009E597C" w:rsidRPr="001961B1">
        <w:rPr>
          <w:rFonts w:asciiTheme="minorHAnsi" w:hAnsiTheme="minorHAnsi" w:cstheme="minorHAnsi"/>
          <w:sz w:val="22"/>
          <w:szCs w:val="22"/>
          <w:lang w:val="fr-FR" w:eastAsia="fr-FR"/>
        </w:rPr>
        <w:t>ventilée par</w:t>
      </w:r>
      <w:r w:rsidR="00046875" w:rsidRPr="001961B1">
        <w:rPr>
          <w:rFonts w:asciiTheme="minorHAnsi" w:hAnsiTheme="minorHAnsi" w:cstheme="minorHAnsi"/>
          <w:sz w:val="22"/>
          <w:szCs w:val="22"/>
          <w:lang w:val="fr-FR" w:eastAsia="fr-FR"/>
        </w:rPr>
        <w:t xml:space="preserve"> </w:t>
      </w:r>
      <w:r w:rsidR="00720F38" w:rsidRPr="001961B1">
        <w:rPr>
          <w:rFonts w:asciiTheme="minorHAnsi" w:hAnsiTheme="minorHAnsi" w:cstheme="minorHAnsi"/>
          <w:sz w:val="22"/>
          <w:szCs w:val="22"/>
          <w:lang w:val="fr-FR" w:eastAsia="fr-FR"/>
        </w:rPr>
        <w:t>sexe</w:t>
      </w:r>
      <w:r w:rsidR="00046875" w:rsidRPr="001961B1">
        <w:rPr>
          <w:rFonts w:asciiTheme="minorHAnsi" w:hAnsiTheme="minorHAnsi" w:cstheme="minorHAnsi"/>
          <w:sz w:val="22"/>
          <w:szCs w:val="22"/>
          <w:lang w:val="fr-FR" w:eastAsia="fr-FR"/>
        </w:rPr>
        <w:t xml:space="preserve"> </w:t>
      </w:r>
      <w:r w:rsidR="00720F38" w:rsidRPr="001961B1">
        <w:rPr>
          <w:rFonts w:asciiTheme="minorHAnsi" w:hAnsiTheme="minorHAnsi" w:cstheme="minorHAnsi"/>
          <w:sz w:val="22"/>
          <w:szCs w:val="22"/>
          <w:lang w:val="fr-FR" w:eastAsia="fr-FR"/>
        </w:rPr>
        <w:t>concernant</w:t>
      </w:r>
      <w:r w:rsidR="00046875" w:rsidRPr="001961B1">
        <w:rPr>
          <w:rFonts w:asciiTheme="minorHAnsi" w:hAnsiTheme="minorHAnsi" w:cstheme="minorHAnsi"/>
          <w:sz w:val="22"/>
          <w:szCs w:val="22"/>
          <w:lang w:val="fr-FR" w:eastAsia="fr-FR"/>
        </w:rPr>
        <w:t xml:space="preserve"> la participation aux décisions, programmes et travaux de recherche relatifs aux zones humides. </w:t>
      </w:r>
    </w:p>
    <w:p w14:paraId="581A1D7E" w14:textId="77777777" w:rsidR="00375762" w:rsidRPr="001961B1" w:rsidRDefault="00375762" w:rsidP="00257025">
      <w:pPr>
        <w:ind w:left="567" w:hanging="567"/>
        <w:rPr>
          <w:rFonts w:asciiTheme="minorHAnsi" w:hAnsiTheme="minorHAnsi" w:cstheme="minorHAnsi"/>
          <w:sz w:val="22"/>
          <w:szCs w:val="22"/>
          <w:lang w:val="fr-FR" w:eastAsia="fr-FR"/>
        </w:rPr>
      </w:pPr>
    </w:p>
    <w:p w14:paraId="5C0E83DE" w14:textId="79C51420" w:rsidR="00ED41D3"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3</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046875" w:rsidRPr="001961B1">
        <w:rPr>
          <w:rFonts w:asciiTheme="minorHAnsi" w:hAnsiTheme="minorHAnsi" w:cstheme="minorHAnsi"/>
          <w:sz w:val="22"/>
          <w:szCs w:val="22"/>
          <w:lang w:val="fr-FR" w:eastAsia="fr-FR"/>
        </w:rPr>
        <w:t>Quatre-vingt-trois pour cent (</w:t>
      </w:r>
      <w:r w:rsidR="00A170EE" w:rsidRPr="001961B1">
        <w:rPr>
          <w:rFonts w:asciiTheme="minorHAnsi" w:hAnsiTheme="minorHAnsi" w:cstheme="minorHAnsi"/>
          <w:sz w:val="22"/>
          <w:szCs w:val="22"/>
          <w:lang w:val="fr-FR" w:eastAsia="fr-FR"/>
        </w:rPr>
        <w:t>83%</w:t>
      </w:r>
      <w:r w:rsidR="00046875" w:rsidRPr="001961B1">
        <w:rPr>
          <w:rFonts w:asciiTheme="minorHAnsi" w:hAnsiTheme="minorHAnsi" w:cstheme="minorHAnsi"/>
          <w:sz w:val="22"/>
          <w:szCs w:val="22"/>
          <w:lang w:val="fr-FR" w:eastAsia="fr-FR"/>
        </w:rPr>
        <w:t xml:space="preserve">) des Parties contractantes </w:t>
      </w:r>
      <w:r w:rsidR="00603B6B" w:rsidRPr="001961B1">
        <w:rPr>
          <w:rFonts w:asciiTheme="minorHAnsi" w:hAnsiTheme="minorHAnsi" w:cstheme="minorHAnsi"/>
          <w:sz w:val="22"/>
          <w:szCs w:val="22"/>
          <w:lang w:val="fr-FR" w:eastAsia="fr-FR"/>
        </w:rPr>
        <w:t xml:space="preserve">ayant fait rapport à la COP15 décrivent une planification et une intégration politique sensibles au genre ainsi qu’un appui </w:t>
      </w:r>
      <w:r w:rsidR="0043199E" w:rsidRPr="001961B1">
        <w:rPr>
          <w:rFonts w:asciiTheme="minorHAnsi" w:hAnsiTheme="minorHAnsi" w:cstheme="minorHAnsi"/>
          <w:sz w:val="22"/>
          <w:szCs w:val="22"/>
          <w:lang w:val="fr-FR" w:eastAsia="fr-FR"/>
        </w:rPr>
        <w:t>au</w:t>
      </w:r>
      <w:r w:rsidR="00603B6B" w:rsidRPr="001961B1">
        <w:rPr>
          <w:rFonts w:asciiTheme="minorHAnsi" w:hAnsiTheme="minorHAnsi" w:cstheme="minorHAnsi"/>
          <w:sz w:val="22"/>
          <w:szCs w:val="22"/>
          <w:lang w:val="fr-FR" w:eastAsia="fr-FR"/>
        </w:rPr>
        <w:t xml:space="preserve"> rôle des femmes en matière de gestion, recherche et information relatives aux zones humides. Cela comprend les plans ou programmes d’action nationaux (mentionnés par 31 % des Parties), les politiques spécifiques à l’environnement ou aux zones humides (23 %), les conventions ou accords internationaux (21 %), les politiques ou stratégies d’égalité entre les sexes (15 %) et les dispositions juridiques et constitutionnelles (10 %).</w:t>
      </w:r>
      <w:r w:rsidR="00AB2083" w:rsidRPr="001961B1">
        <w:rPr>
          <w:rFonts w:asciiTheme="minorHAnsi" w:hAnsiTheme="minorHAnsi" w:cstheme="minorHAnsi"/>
          <w:sz w:val="22"/>
          <w:szCs w:val="22"/>
          <w:lang w:val="fr-FR" w:eastAsia="fr-FR"/>
        </w:rPr>
        <w:t xml:space="preserve">  </w:t>
      </w:r>
    </w:p>
    <w:p w14:paraId="599D6A44" w14:textId="77777777" w:rsidR="00375762" w:rsidRPr="001961B1" w:rsidRDefault="00375762" w:rsidP="00257025">
      <w:pPr>
        <w:ind w:left="567" w:hanging="567"/>
        <w:rPr>
          <w:rFonts w:asciiTheme="minorHAnsi" w:hAnsiTheme="minorHAnsi" w:cstheme="minorHAnsi"/>
          <w:sz w:val="22"/>
          <w:szCs w:val="22"/>
          <w:lang w:val="fr-FR" w:eastAsia="fr-FR"/>
        </w:rPr>
      </w:pPr>
    </w:p>
    <w:p w14:paraId="6FEF6FD5" w14:textId="488C79C3" w:rsidR="003E4B85"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4</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DD4BCD" w:rsidRPr="001961B1">
        <w:rPr>
          <w:rFonts w:asciiTheme="minorHAnsi" w:hAnsiTheme="minorHAnsi" w:cstheme="minorHAnsi"/>
          <w:sz w:val="22"/>
          <w:szCs w:val="22"/>
          <w:lang w:val="fr-FR" w:eastAsia="fr-FR"/>
        </w:rPr>
        <w:t>Les Parties contractantes ayant fait rapport à la COP15 suggèrent que l</w:t>
      </w:r>
      <w:r w:rsidR="00291776" w:rsidRPr="001961B1">
        <w:rPr>
          <w:rFonts w:asciiTheme="minorHAnsi" w:hAnsiTheme="minorHAnsi" w:cstheme="minorHAnsi"/>
          <w:sz w:val="22"/>
          <w:szCs w:val="22"/>
          <w:lang w:val="fr-FR" w:eastAsia="fr-FR"/>
        </w:rPr>
        <w:t>es domaines où des changements sont nécessaires pour parvenir à l’égalité entre les sexes comprennent la réforme législative et politique et l’engagement communautaire ainsi que la participation locale (</w:t>
      </w:r>
      <w:r w:rsidR="00DD4BCD" w:rsidRPr="001961B1">
        <w:rPr>
          <w:rFonts w:asciiTheme="minorHAnsi" w:hAnsiTheme="minorHAnsi" w:cstheme="minorHAnsi"/>
          <w:sz w:val="22"/>
          <w:szCs w:val="22"/>
          <w:lang w:val="fr-FR" w:eastAsia="fr-FR"/>
        </w:rPr>
        <w:t>c’est l’avis de</w:t>
      </w:r>
      <w:r w:rsidR="00291776" w:rsidRPr="001961B1">
        <w:rPr>
          <w:rFonts w:asciiTheme="minorHAnsi" w:hAnsiTheme="minorHAnsi" w:cstheme="minorHAnsi"/>
          <w:sz w:val="22"/>
          <w:szCs w:val="22"/>
          <w:lang w:val="fr-FR" w:eastAsia="fr-FR"/>
        </w:rPr>
        <w:t xml:space="preserve"> plus de 20 % des Parties) ; la planification et la gestion de l’environnement, le renforcement des capacités et la formation ainsi que le leadership et la prise de décisions </w:t>
      </w:r>
      <w:r w:rsidR="009F6BA7" w:rsidRPr="001961B1">
        <w:rPr>
          <w:rFonts w:asciiTheme="minorHAnsi" w:hAnsiTheme="minorHAnsi" w:cstheme="minorHAnsi"/>
          <w:sz w:val="22"/>
          <w:szCs w:val="22"/>
          <w:lang w:val="fr-FR" w:eastAsia="fr-FR"/>
        </w:rPr>
        <w:t>(10</w:t>
      </w:r>
      <w:r w:rsidR="00291776" w:rsidRPr="001961B1">
        <w:rPr>
          <w:rFonts w:asciiTheme="minorHAnsi" w:hAnsiTheme="minorHAnsi" w:cstheme="minorHAnsi"/>
          <w:sz w:val="22"/>
          <w:szCs w:val="22"/>
          <w:lang w:val="fr-FR" w:eastAsia="fr-FR"/>
        </w:rPr>
        <w:t>­</w:t>
      </w:r>
      <w:r w:rsidR="00C95FD2" w:rsidRPr="001961B1">
        <w:rPr>
          <w:rFonts w:asciiTheme="minorHAnsi" w:hAnsiTheme="minorHAnsi" w:cstheme="minorHAnsi"/>
          <w:sz w:val="22"/>
          <w:szCs w:val="22"/>
          <w:lang w:val="fr-FR" w:eastAsia="fr-FR"/>
        </w:rPr>
        <w:t>20</w:t>
      </w:r>
      <w:r w:rsidR="00291776" w:rsidRPr="001961B1">
        <w:rPr>
          <w:rFonts w:asciiTheme="minorHAnsi" w:hAnsiTheme="minorHAnsi" w:cstheme="minorHAnsi"/>
          <w:sz w:val="22"/>
          <w:szCs w:val="22"/>
          <w:lang w:val="fr-FR" w:eastAsia="fr-FR"/>
        </w:rPr>
        <w:t> </w:t>
      </w:r>
      <w:r w:rsidR="009F6BA7" w:rsidRPr="001961B1">
        <w:rPr>
          <w:rFonts w:asciiTheme="minorHAnsi" w:hAnsiTheme="minorHAnsi" w:cstheme="minorHAnsi"/>
          <w:sz w:val="22"/>
          <w:szCs w:val="22"/>
          <w:lang w:val="fr-FR" w:eastAsia="fr-FR"/>
        </w:rPr>
        <w:t>%)</w:t>
      </w:r>
      <w:r w:rsidR="00DD4BCD" w:rsidRPr="001961B1">
        <w:rPr>
          <w:rFonts w:asciiTheme="minorHAnsi" w:hAnsiTheme="minorHAnsi" w:cstheme="minorHAnsi"/>
          <w:sz w:val="22"/>
          <w:szCs w:val="22"/>
          <w:lang w:val="fr-FR" w:eastAsia="fr-FR"/>
        </w:rPr>
        <w:t>,</w:t>
      </w:r>
      <w:r w:rsidR="00291776" w:rsidRPr="001961B1">
        <w:rPr>
          <w:rFonts w:asciiTheme="minorHAnsi" w:hAnsiTheme="minorHAnsi" w:cstheme="minorHAnsi"/>
          <w:sz w:val="22"/>
          <w:szCs w:val="22"/>
          <w:lang w:val="fr-FR" w:eastAsia="fr-FR"/>
        </w:rPr>
        <w:t xml:space="preserve"> le recueil de données et le suivi, les changements climatiques et la réduction des risques de catastrophe (moins de 10 %). </w:t>
      </w:r>
    </w:p>
    <w:p w14:paraId="7CE54D5E" w14:textId="5B173ACA" w:rsidR="00CD656B" w:rsidRPr="001961B1" w:rsidRDefault="00CD656B" w:rsidP="00257025">
      <w:pPr>
        <w:ind w:left="567" w:hanging="567"/>
        <w:rPr>
          <w:rFonts w:asciiTheme="minorHAnsi" w:hAnsiTheme="minorHAnsi" w:cstheme="minorHAnsi"/>
          <w:sz w:val="22"/>
          <w:szCs w:val="22"/>
          <w:lang w:val="fr-FR" w:eastAsia="fr-FR"/>
        </w:rPr>
      </w:pPr>
    </w:p>
    <w:p w14:paraId="5F1A9DA5" w14:textId="32681047" w:rsidR="00375762"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5</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DD4BCD" w:rsidRPr="001961B1">
        <w:rPr>
          <w:rFonts w:asciiTheme="minorHAnsi" w:hAnsiTheme="minorHAnsi" w:cstheme="minorHAnsi"/>
          <w:sz w:val="22"/>
          <w:szCs w:val="22"/>
          <w:lang w:val="fr-FR" w:eastAsia="fr-FR"/>
        </w:rPr>
        <w:t xml:space="preserve">Depuis la COP13, pour </w:t>
      </w:r>
      <w:r w:rsidR="00291776" w:rsidRPr="001961B1">
        <w:rPr>
          <w:rFonts w:asciiTheme="minorHAnsi" w:hAnsiTheme="minorHAnsi" w:cstheme="minorHAnsi"/>
          <w:sz w:val="22"/>
          <w:szCs w:val="22"/>
          <w:lang w:val="fr-FR" w:eastAsia="fr-FR"/>
        </w:rPr>
        <w:t xml:space="preserve">faire progresser l’intégration des questions relatives au genre dans la conservation des zones humides, </w:t>
      </w:r>
      <w:r w:rsidR="00DD4BCD" w:rsidRPr="001961B1">
        <w:rPr>
          <w:rFonts w:asciiTheme="minorHAnsi" w:hAnsiTheme="minorHAnsi" w:cstheme="minorHAnsi"/>
          <w:sz w:val="22"/>
          <w:szCs w:val="22"/>
          <w:lang w:val="fr-FR" w:eastAsia="fr-FR"/>
        </w:rPr>
        <w:t>le Secrétariat a notamment préparé</w:t>
      </w:r>
      <w:r w:rsidR="00291776" w:rsidRPr="001961B1">
        <w:rPr>
          <w:rFonts w:asciiTheme="minorHAnsi" w:hAnsiTheme="minorHAnsi" w:cstheme="minorHAnsi"/>
          <w:sz w:val="22"/>
          <w:szCs w:val="22"/>
          <w:lang w:val="fr-FR" w:eastAsia="fr-FR"/>
        </w:rPr>
        <w:t xml:space="preserve"> des lignes directrices </w:t>
      </w:r>
      <w:r w:rsidR="00DD4BCD" w:rsidRPr="001961B1">
        <w:rPr>
          <w:rFonts w:asciiTheme="minorHAnsi" w:hAnsiTheme="minorHAnsi" w:cstheme="minorHAnsi"/>
          <w:sz w:val="22"/>
          <w:szCs w:val="22"/>
          <w:lang w:val="fr-FR" w:eastAsia="fr-FR"/>
        </w:rPr>
        <w:t xml:space="preserve">visant à </w:t>
      </w:r>
      <w:r w:rsidR="00291776" w:rsidRPr="001961B1">
        <w:rPr>
          <w:rFonts w:asciiTheme="minorHAnsi" w:hAnsiTheme="minorHAnsi" w:cstheme="minorHAnsi"/>
          <w:sz w:val="22"/>
          <w:szCs w:val="22"/>
          <w:lang w:val="fr-FR" w:eastAsia="fr-FR"/>
        </w:rPr>
        <w:t>aider les Parties contractantes à intégrer des considérations relatives au genre dans leurs travaux</w:t>
      </w:r>
      <w:r w:rsidR="00DD4BCD" w:rsidRPr="001961B1">
        <w:rPr>
          <w:rFonts w:asciiTheme="minorHAnsi" w:hAnsiTheme="minorHAnsi" w:cstheme="minorHAnsi"/>
          <w:sz w:val="22"/>
          <w:szCs w:val="22"/>
          <w:lang w:val="fr-FR" w:eastAsia="fr-FR"/>
        </w:rPr>
        <w:t> ; ces lignes directrices</w:t>
      </w:r>
      <w:r w:rsidR="00291776" w:rsidRPr="001961B1">
        <w:rPr>
          <w:rFonts w:asciiTheme="minorHAnsi" w:hAnsiTheme="minorHAnsi" w:cstheme="minorHAnsi"/>
          <w:sz w:val="22"/>
          <w:szCs w:val="22"/>
          <w:lang w:val="fr-FR" w:eastAsia="fr-FR"/>
        </w:rPr>
        <w:t>, publiées en 2021</w:t>
      </w:r>
      <w:r w:rsidR="00DD4BCD" w:rsidRPr="001961B1">
        <w:rPr>
          <w:rFonts w:asciiTheme="minorHAnsi" w:hAnsiTheme="minorHAnsi" w:cstheme="minorHAnsi"/>
          <w:sz w:val="22"/>
          <w:szCs w:val="22"/>
          <w:lang w:val="fr-FR" w:eastAsia="fr-FR"/>
        </w:rPr>
        <w:t>,</w:t>
      </w:r>
      <w:r w:rsidR="00291776" w:rsidRPr="001961B1">
        <w:rPr>
          <w:rFonts w:asciiTheme="minorHAnsi" w:hAnsiTheme="minorHAnsi" w:cstheme="minorHAnsi"/>
          <w:sz w:val="22"/>
          <w:szCs w:val="22"/>
          <w:lang w:val="fr-FR" w:eastAsia="fr-FR"/>
        </w:rPr>
        <w:t xml:space="preserve"> </w:t>
      </w:r>
      <w:r w:rsidR="00DD4BCD" w:rsidRPr="001961B1">
        <w:rPr>
          <w:rFonts w:asciiTheme="minorHAnsi" w:hAnsiTheme="minorHAnsi" w:cstheme="minorHAnsi"/>
          <w:sz w:val="22"/>
          <w:szCs w:val="22"/>
          <w:lang w:val="fr-FR" w:eastAsia="fr-FR"/>
        </w:rPr>
        <w:t>sont</w:t>
      </w:r>
      <w:r w:rsidR="00291776" w:rsidRPr="001961B1">
        <w:rPr>
          <w:rFonts w:asciiTheme="minorHAnsi" w:hAnsiTheme="minorHAnsi" w:cstheme="minorHAnsi"/>
          <w:sz w:val="22"/>
          <w:szCs w:val="22"/>
          <w:lang w:val="fr-FR" w:eastAsia="fr-FR"/>
        </w:rPr>
        <w:t xml:space="preserve"> disponibles dans les trois langues </w:t>
      </w:r>
      <w:r w:rsidR="00291776" w:rsidRPr="001961B1">
        <w:rPr>
          <w:rFonts w:asciiTheme="minorHAnsi" w:hAnsiTheme="minorHAnsi" w:cstheme="minorHAnsi"/>
          <w:sz w:val="22"/>
          <w:szCs w:val="22"/>
          <w:lang w:val="fr-FR" w:eastAsia="fr-FR"/>
        </w:rPr>
        <w:lastRenderedPageBreak/>
        <w:t xml:space="preserve">sur le site </w:t>
      </w:r>
      <w:r w:rsidR="00DD4BCD" w:rsidRPr="001961B1">
        <w:rPr>
          <w:rFonts w:asciiTheme="minorHAnsi" w:hAnsiTheme="minorHAnsi" w:cstheme="minorHAnsi"/>
          <w:sz w:val="22"/>
          <w:szCs w:val="22"/>
          <w:lang w:val="fr-FR" w:eastAsia="fr-FR"/>
        </w:rPr>
        <w:t>W</w:t>
      </w:r>
      <w:r w:rsidR="00291776" w:rsidRPr="001961B1">
        <w:rPr>
          <w:rFonts w:asciiTheme="minorHAnsi" w:hAnsiTheme="minorHAnsi" w:cstheme="minorHAnsi"/>
          <w:sz w:val="22"/>
          <w:szCs w:val="22"/>
          <w:lang w:val="fr-FR" w:eastAsia="fr-FR"/>
        </w:rPr>
        <w:t>eb de la Convention</w:t>
      </w:r>
      <w:r w:rsidR="008B7E13" w:rsidRPr="001961B1">
        <w:rPr>
          <w:rFonts w:asciiTheme="minorHAnsi" w:hAnsiTheme="minorHAnsi" w:cstheme="minorHAnsi"/>
          <w:sz w:val="22"/>
          <w:szCs w:val="22"/>
          <w:vertAlign w:val="superscript"/>
          <w:lang w:val="fr-FR" w:eastAsia="fr-FR"/>
        </w:rPr>
        <w:footnoteReference w:id="12"/>
      </w:r>
      <w:r w:rsidR="008B7E13" w:rsidRPr="001961B1">
        <w:rPr>
          <w:rFonts w:asciiTheme="minorHAnsi" w:hAnsiTheme="minorHAnsi" w:cstheme="minorHAnsi"/>
          <w:sz w:val="22"/>
          <w:szCs w:val="22"/>
          <w:lang w:val="fr-FR" w:eastAsia="fr-FR"/>
        </w:rPr>
        <w:t xml:space="preserve">. </w:t>
      </w:r>
      <w:r w:rsidR="00291776" w:rsidRPr="001961B1">
        <w:rPr>
          <w:rFonts w:asciiTheme="minorHAnsi" w:hAnsiTheme="minorHAnsi" w:cstheme="minorHAnsi"/>
          <w:sz w:val="22"/>
          <w:szCs w:val="22"/>
          <w:lang w:val="fr-FR" w:eastAsia="fr-FR"/>
        </w:rPr>
        <w:t>Avec un financement du Gouvernement du Canada, l’initiative « </w:t>
      </w:r>
      <w:r w:rsidR="00831E96" w:rsidRPr="001961B1">
        <w:rPr>
          <w:rFonts w:asciiTheme="minorHAnsi" w:hAnsiTheme="minorHAnsi" w:cstheme="minorHAnsi"/>
          <w:sz w:val="22"/>
          <w:szCs w:val="22"/>
          <w:lang w:val="fr-FR" w:eastAsia="fr-FR"/>
        </w:rPr>
        <w:t>Actrices du changement dans le monde des zones humides</w:t>
      </w:r>
      <w:r w:rsidR="00291776" w:rsidRPr="001961B1">
        <w:rPr>
          <w:rFonts w:asciiTheme="minorHAnsi" w:hAnsiTheme="minorHAnsi" w:cstheme="minorHAnsi"/>
          <w:sz w:val="22"/>
          <w:szCs w:val="22"/>
          <w:lang w:val="fr-FR" w:eastAsia="fr-FR"/>
        </w:rPr>
        <w:t> » a été lancée pour sensibiliser et reconnaître les contributions des femmes à la conservation des zones humides</w:t>
      </w:r>
      <w:r w:rsidR="00C931CD" w:rsidRPr="001961B1">
        <w:rPr>
          <w:rStyle w:val="FootnoteReference"/>
          <w:rFonts w:asciiTheme="minorHAnsi" w:hAnsiTheme="minorHAnsi" w:cstheme="minorHAnsi"/>
          <w:sz w:val="22"/>
          <w:szCs w:val="22"/>
          <w:lang w:val="fr-FR" w:eastAsia="fr-FR"/>
        </w:rPr>
        <w:footnoteReference w:id="13"/>
      </w:r>
      <w:r w:rsidR="00291776" w:rsidRPr="001961B1">
        <w:rPr>
          <w:rFonts w:asciiTheme="minorHAnsi" w:hAnsiTheme="minorHAnsi" w:cstheme="minorHAnsi"/>
          <w:sz w:val="22"/>
          <w:szCs w:val="22"/>
          <w:lang w:val="fr-FR" w:eastAsia="fr-FR"/>
        </w:rPr>
        <w:t>.</w:t>
      </w:r>
      <w:r w:rsidR="008B7E13" w:rsidRPr="001961B1">
        <w:rPr>
          <w:rFonts w:asciiTheme="minorHAnsi" w:hAnsiTheme="minorHAnsi" w:cstheme="minorHAnsi"/>
          <w:sz w:val="22"/>
          <w:szCs w:val="22"/>
          <w:lang w:val="fr-FR" w:eastAsia="fr-FR"/>
        </w:rPr>
        <w:t xml:space="preserve"> </w:t>
      </w:r>
    </w:p>
    <w:p w14:paraId="1B1EA9F8" w14:textId="77777777" w:rsidR="00375762" w:rsidRPr="001961B1" w:rsidRDefault="00375762" w:rsidP="00257025">
      <w:pPr>
        <w:ind w:left="567" w:hanging="567"/>
        <w:rPr>
          <w:rFonts w:asciiTheme="minorHAnsi" w:hAnsiTheme="minorHAnsi" w:cstheme="minorHAnsi"/>
          <w:sz w:val="22"/>
          <w:szCs w:val="22"/>
          <w:lang w:val="fr-FR" w:eastAsia="fr-FR"/>
        </w:rPr>
      </w:pPr>
    </w:p>
    <w:p w14:paraId="349FE730" w14:textId="09FF7EC1" w:rsidR="006226B4"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12</w:t>
      </w:r>
      <w:r w:rsidR="00C32CF1" w:rsidRPr="001961B1">
        <w:rPr>
          <w:rFonts w:asciiTheme="minorHAnsi" w:hAnsiTheme="minorHAnsi" w:cstheme="minorHAnsi"/>
          <w:sz w:val="22"/>
          <w:szCs w:val="22"/>
          <w:lang w:val="fr-FR" w:eastAsia="fr-FR"/>
        </w:rPr>
        <w:t>6</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803477" w:rsidRPr="001961B1">
        <w:rPr>
          <w:rFonts w:asciiTheme="minorHAnsi" w:hAnsiTheme="minorHAnsi" w:cstheme="minorHAnsi"/>
          <w:sz w:val="22"/>
          <w:szCs w:val="22"/>
          <w:lang w:val="fr-FR" w:eastAsia="fr-FR"/>
        </w:rPr>
        <w:t xml:space="preserve">L’équilibre entre les sexes </w:t>
      </w:r>
      <w:r w:rsidR="006C2CEB" w:rsidRPr="001961B1">
        <w:rPr>
          <w:rFonts w:asciiTheme="minorHAnsi" w:hAnsiTheme="minorHAnsi" w:cstheme="minorHAnsi"/>
          <w:sz w:val="22"/>
          <w:szCs w:val="22"/>
          <w:lang w:val="fr-FR" w:eastAsia="fr-FR"/>
        </w:rPr>
        <w:t>au sein des</w:t>
      </w:r>
      <w:r w:rsidR="00803477" w:rsidRPr="001961B1">
        <w:rPr>
          <w:rFonts w:asciiTheme="minorHAnsi" w:hAnsiTheme="minorHAnsi" w:cstheme="minorHAnsi"/>
          <w:sz w:val="22"/>
          <w:szCs w:val="22"/>
          <w:lang w:val="fr-FR" w:eastAsia="fr-FR"/>
        </w:rPr>
        <w:t xml:space="preserve"> participants aux réunions de la Convention</w:t>
      </w:r>
      <w:r w:rsidR="00802068" w:rsidRPr="001961B1">
        <w:rPr>
          <w:rFonts w:asciiTheme="minorHAnsi" w:hAnsiTheme="minorHAnsi" w:cstheme="minorHAnsi"/>
          <w:sz w:val="22"/>
          <w:szCs w:val="22"/>
          <w:lang w:val="fr-FR" w:eastAsia="fr-FR"/>
        </w:rPr>
        <w:t xml:space="preserve"> est présenté dans le tableau 4 ci­dessous et s’appuie sur des données ventilées par sexe recueillies par le Secrétariat après la COP13.</w:t>
      </w:r>
    </w:p>
    <w:p w14:paraId="2CAB2BA5" w14:textId="656F0BBC" w:rsidR="00812F93" w:rsidRPr="001961B1" w:rsidRDefault="00812F93" w:rsidP="00CD3F6B">
      <w:pPr>
        <w:rPr>
          <w:rFonts w:asciiTheme="minorHAnsi" w:hAnsiTheme="minorHAnsi" w:cstheme="minorHAnsi"/>
          <w:b/>
          <w:bCs/>
          <w:sz w:val="22"/>
          <w:szCs w:val="22"/>
          <w:lang w:val="fr-FR"/>
        </w:rPr>
      </w:pPr>
    </w:p>
    <w:p w14:paraId="31755B12" w14:textId="6E4C8E64" w:rsidR="0053206B" w:rsidRPr="001961B1" w:rsidRDefault="0053206B" w:rsidP="0053206B">
      <w:pPr>
        <w:ind w:left="426" w:hanging="426"/>
        <w:rPr>
          <w:rFonts w:asciiTheme="minorHAnsi" w:hAnsiTheme="minorHAnsi" w:cstheme="minorHAnsi"/>
          <w:i/>
          <w:iCs/>
          <w:sz w:val="22"/>
          <w:szCs w:val="22"/>
          <w:lang w:val="fr-FR"/>
        </w:rPr>
      </w:pPr>
      <w:r w:rsidRPr="001961B1">
        <w:rPr>
          <w:rFonts w:asciiTheme="minorHAnsi" w:hAnsiTheme="minorHAnsi" w:cstheme="minorHAnsi"/>
          <w:i/>
          <w:iCs/>
          <w:sz w:val="22"/>
          <w:szCs w:val="22"/>
          <w:lang w:val="fr-FR"/>
        </w:rPr>
        <w:t>Table</w:t>
      </w:r>
      <w:r w:rsidR="0089439C" w:rsidRPr="001961B1">
        <w:rPr>
          <w:rFonts w:asciiTheme="minorHAnsi" w:hAnsiTheme="minorHAnsi" w:cstheme="minorHAnsi"/>
          <w:i/>
          <w:iCs/>
          <w:sz w:val="22"/>
          <w:szCs w:val="22"/>
          <w:lang w:val="fr-FR"/>
        </w:rPr>
        <w:t>au</w:t>
      </w:r>
      <w:r w:rsidRPr="001961B1">
        <w:rPr>
          <w:rFonts w:asciiTheme="minorHAnsi" w:hAnsiTheme="minorHAnsi" w:cstheme="minorHAnsi"/>
          <w:i/>
          <w:iCs/>
          <w:sz w:val="22"/>
          <w:szCs w:val="22"/>
          <w:lang w:val="fr-FR"/>
        </w:rPr>
        <w:t xml:space="preserve"> 4</w:t>
      </w:r>
      <w:r w:rsidR="0089439C" w:rsidRPr="001961B1">
        <w:rPr>
          <w:rFonts w:asciiTheme="minorHAnsi" w:hAnsiTheme="minorHAnsi" w:cstheme="minorHAnsi"/>
          <w:i/>
          <w:iCs/>
          <w:sz w:val="22"/>
          <w:szCs w:val="22"/>
          <w:lang w:val="fr-FR"/>
        </w:rPr>
        <w:t> </w:t>
      </w:r>
      <w:r w:rsidRPr="001961B1">
        <w:rPr>
          <w:rFonts w:asciiTheme="minorHAnsi" w:hAnsiTheme="minorHAnsi" w:cstheme="minorHAnsi"/>
          <w:i/>
          <w:iCs/>
          <w:sz w:val="22"/>
          <w:szCs w:val="22"/>
          <w:lang w:val="fr-FR"/>
        </w:rPr>
        <w:t xml:space="preserve">: </w:t>
      </w:r>
      <w:r w:rsidR="0089439C" w:rsidRPr="001961B1">
        <w:rPr>
          <w:rFonts w:asciiTheme="minorHAnsi" w:hAnsiTheme="minorHAnsi" w:cstheme="minorHAnsi"/>
          <w:i/>
          <w:iCs/>
          <w:sz w:val="22"/>
          <w:szCs w:val="22"/>
          <w:lang w:val="fr-FR"/>
        </w:rPr>
        <w:t xml:space="preserve">Équilibre entre les sexes </w:t>
      </w:r>
      <w:r w:rsidR="006C2CEB" w:rsidRPr="001961B1">
        <w:rPr>
          <w:rFonts w:asciiTheme="minorHAnsi" w:hAnsiTheme="minorHAnsi" w:cstheme="minorHAnsi"/>
          <w:i/>
          <w:iCs/>
          <w:sz w:val="22"/>
          <w:szCs w:val="22"/>
          <w:lang w:val="fr-FR"/>
        </w:rPr>
        <w:t>au sein des</w:t>
      </w:r>
      <w:r w:rsidR="0089439C" w:rsidRPr="001961B1">
        <w:rPr>
          <w:rFonts w:asciiTheme="minorHAnsi" w:hAnsiTheme="minorHAnsi" w:cstheme="minorHAnsi"/>
          <w:i/>
          <w:iCs/>
          <w:sz w:val="22"/>
          <w:szCs w:val="22"/>
          <w:lang w:val="fr-FR"/>
        </w:rPr>
        <w:t xml:space="preserve"> </w:t>
      </w:r>
      <w:r w:rsidR="002D4E65" w:rsidRPr="001961B1">
        <w:rPr>
          <w:rFonts w:asciiTheme="minorHAnsi" w:hAnsiTheme="minorHAnsi" w:cstheme="minorHAnsi"/>
          <w:i/>
          <w:iCs/>
          <w:sz w:val="22"/>
          <w:szCs w:val="22"/>
          <w:lang w:val="fr-FR"/>
        </w:rPr>
        <w:t xml:space="preserve">participants </w:t>
      </w:r>
      <w:r w:rsidR="0089439C" w:rsidRPr="001961B1">
        <w:rPr>
          <w:rFonts w:asciiTheme="minorHAnsi" w:hAnsiTheme="minorHAnsi" w:cstheme="minorHAnsi"/>
          <w:i/>
          <w:iCs/>
          <w:sz w:val="22"/>
          <w:szCs w:val="22"/>
          <w:lang w:val="fr-FR"/>
        </w:rPr>
        <w:t>aux réunions de la</w:t>
      </w:r>
      <w:r w:rsidR="002D4E65" w:rsidRPr="001961B1">
        <w:rPr>
          <w:rFonts w:asciiTheme="minorHAnsi" w:hAnsiTheme="minorHAnsi" w:cstheme="minorHAnsi"/>
          <w:i/>
          <w:iCs/>
          <w:sz w:val="22"/>
          <w:szCs w:val="22"/>
          <w:lang w:val="fr-FR"/>
        </w:rPr>
        <w:t xml:space="preserve"> Convention</w:t>
      </w:r>
    </w:p>
    <w:tbl>
      <w:tblPr>
        <w:tblStyle w:val="TableGrid"/>
        <w:tblW w:w="9072" w:type="dxa"/>
        <w:tblLook w:val="04A0" w:firstRow="1" w:lastRow="0" w:firstColumn="1" w:lastColumn="0" w:noHBand="0" w:noVBand="1"/>
      </w:tblPr>
      <w:tblGrid>
        <w:gridCol w:w="5665"/>
        <w:gridCol w:w="1703"/>
        <w:gridCol w:w="1704"/>
      </w:tblGrid>
      <w:tr w:rsidR="004A747C" w:rsidRPr="001961B1" w14:paraId="3A89C647" w14:textId="77777777" w:rsidTr="00FE33C7">
        <w:tc>
          <w:tcPr>
            <w:tcW w:w="5665" w:type="dxa"/>
            <w:vAlign w:val="center"/>
          </w:tcPr>
          <w:p w14:paraId="3D7DF99B" w14:textId="343060EF" w:rsidR="004A747C" w:rsidRPr="001961B1" w:rsidRDefault="005B427E" w:rsidP="0078307B">
            <w:pPr>
              <w:keepNext/>
              <w:jc w:val="center"/>
              <w:rPr>
                <w:rFonts w:asciiTheme="minorHAnsi" w:hAnsiTheme="minorHAnsi" w:cstheme="minorHAnsi"/>
                <w:b/>
                <w:sz w:val="22"/>
                <w:szCs w:val="22"/>
              </w:rPr>
            </w:pPr>
            <w:r w:rsidRPr="001961B1">
              <w:rPr>
                <w:rFonts w:asciiTheme="minorHAnsi" w:hAnsiTheme="minorHAnsi" w:cstheme="minorHAnsi"/>
                <w:b/>
                <w:sz w:val="22"/>
                <w:szCs w:val="22"/>
              </w:rPr>
              <w:t>Réunion</w:t>
            </w:r>
          </w:p>
        </w:tc>
        <w:tc>
          <w:tcPr>
            <w:tcW w:w="1703" w:type="dxa"/>
            <w:vAlign w:val="center"/>
          </w:tcPr>
          <w:p w14:paraId="24DD76F1" w14:textId="0F3BC44D" w:rsidR="004A747C" w:rsidRPr="001961B1" w:rsidRDefault="005B427E" w:rsidP="0078307B">
            <w:pPr>
              <w:keepNext/>
              <w:jc w:val="center"/>
              <w:rPr>
                <w:rFonts w:asciiTheme="minorHAnsi" w:hAnsiTheme="minorHAnsi" w:cstheme="minorHAnsi"/>
                <w:b/>
                <w:sz w:val="22"/>
                <w:szCs w:val="22"/>
              </w:rPr>
            </w:pPr>
            <w:r w:rsidRPr="001961B1">
              <w:rPr>
                <w:rFonts w:asciiTheme="minorHAnsi" w:hAnsiTheme="minorHAnsi" w:cstheme="minorHAnsi"/>
                <w:b/>
                <w:sz w:val="22"/>
                <w:szCs w:val="22"/>
              </w:rPr>
              <w:t>Femmes</w:t>
            </w:r>
          </w:p>
        </w:tc>
        <w:tc>
          <w:tcPr>
            <w:tcW w:w="1704" w:type="dxa"/>
            <w:vAlign w:val="center"/>
          </w:tcPr>
          <w:p w14:paraId="5F28C7E7" w14:textId="033AEC5E" w:rsidR="004A747C" w:rsidRPr="001961B1" w:rsidRDefault="005B427E" w:rsidP="0078307B">
            <w:pPr>
              <w:keepNext/>
              <w:jc w:val="center"/>
              <w:rPr>
                <w:rFonts w:asciiTheme="minorHAnsi" w:hAnsiTheme="minorHAnsi" w:cstheme="minorHAnsi"/>
                <w:b/>
                <w:sz w:val="22"/>
                <w:szCs w:val="22"/>
              </w:rPr>
            </w:pPr>
            <w:r w:rsidRPr="001961B1">
              <w:rPr>
                <w:rFonts w:asciiTheme="minorHAnsi" w:hAnsiTheme="minorHAnsi" w:cstheme="minorHAnsi"/>
                <w:b/>
                <w:sz w:val="22"/>
                <w:szCs w:val="22"/>
              </w:rPr>
              <w:t>Hommes</w:t>
            </w:r>
          </w:p>
        </w:tc>
      </w:tr>
      <w:tr w:rsidR="004A747C" w:rsidRPr="001961B1" w14:paraId="78EFE76C" w14:textId="77777777" w:rsidTr="00FE33C7">
        <w:tc>
          <w:tcPr>
            <w:tcW w:w="5665" w:type="dxa"/>
          </w:tcPr>
          <w:p w14:paraId="52887812" w14:textId="68A9DFCE" w:rsidR="004A747C" w:rsidRPr="001961B1" w:rsidRDefault="00454512" w:rsidP="00CD3F6B">
            <w:pPr>
              <w:rPr>
                <w:rFonts w:asciiTheme="minorHAnsi" w:hAnsiTheme="minorHAnsi" w:cstheme="minorHAnsi"/>
                <w:sz w:val="22"/>
                <w:szCs w:val="22"/>
              </w:rPr>
            </w:pPr>
            <w:r w:rsidRPr="001961B1">
              <w:rPr>
                <w:rFonts w:asciiTheme="minorHAnsi" w:hAnsiTheme="minorHAnsi" w:cstheme="minorHAnsi"/>
                <w:sz w:val="22"/>
                <w:szCs w:val="22"/>
              </w:rPr>
              <w:t>COP14</w:t>
            </w:r>
          </w:p>
        </w:tc>
        <w:tc>
          <w:tcPr>
            <w:tcW w:w="1703" w:type="dxa"/>
          </w:tcPr>
          <w:p w14:paraId="5873220E" w14:textId="3F7C75F6" w:rsidR="004A747C" w:rsidRPr="001961B1" w:rsidRDefault="008C13C0" w:rsidP="00FE33C7">
            <w:pPr>
              <w:jc w:val="center"/>
              <w:rPr>
                <w:rFonts w:asciiTheme="minorHAnsi" w:hAnsiTheme="minorHAnsi" w:cstheme="minorHAnsi"/>
                <w:sz w:val="22"/>
                <w:szCs w:val="22"/>
              </w:rPr>
            </w:pPr>
            <w:r w:rsidRPr="001961B1">
              <w:rPr>
                <w:rFonts w:asciiTheme="minorHAnsi" w:hAnsiTheme="minorHAnsi" w:cstheme="minorHAnsi"/>
                <w:sz w:val="22"/>
                <w:szCs w:val="22"/>
              </w:rPr>
              <w:t>4</w:t>
            </w:r>
            <w:r w:rsidR="00FC7B69" w:rsidRPr="001961B1">
              <w:rPr>
                <w:rFonts w:asciiTheme="minorHAnsi" w:hAnsiTheme="minorHAnsi" w:cstheme="minorHAnsi"/>
                <w:sz w:val="22"/>
                <w:szCs w:val="22"/>
              </w:rPr>
              <w:t>1</w:t>
            </w:r>
            <w:r w:rsidR="00046875" w:rsidRPr="001961B1">
              <w:rPr>
                <w:rFonts w:asciiTheme="minorHAnsi" w:hAnsiTheme="minorHAnsi" w:cstheme="minorHAnsi"/>
                <w:sz w:val="22"/>
                <w:szCs w:val="22"/>
              </w:rPr>
              <w:t xml:space="preserve"> %</w:t>
            </w:r>
          </w:p>
        </w:tc>
        <w:tc>
          <w:tcPr>
            <w:tcW w:w="1704" w:type="dxa"/>
          </w:tcPr>
          <w:p w14:paraId="53EE52EB" w14:textId="64CB8AE3" w:rsidR="004A747C" w:rsidRPr="001961B1" w:rsidRDefault="008C13C0" w:rsidP="00FE33C7">
            <w:pPr>
              <w:jc w:val="center"/>
              <w:rPr>
                <w:rFonts w:asciiTheme="minorHAnsi" w:hAnsiTheme="minorHAnsi" w:cstheme="minorHAnsi"/>
                <w:sz w:val="22"/>
                <w:szCs w:val="22"/>
              </w:rPr>
            </w:pPr>
            <w:r w:rsidRPr="001961B1">
              <w:rPr>
                <w:rFonts w:asciiTheme="minorHAnsi" w:hAnsiTheme="minorHAnsi" w:cstheme="minorHAnsi"/>
                <w:sz w:val="22"/>
                <w:szCs w:val="22"/>
              </w:rPr>
              <w:t>5</w:t>
            </w:r>
            <w:r w:rsidR="00DD74CD" w:rsidRPr="001961B1">
              <w:rPr>
                <w:rFonts w:asciiTheme="minorHAnsi" w:hAnsiTheme="minorHAnsi" w:cstheme="minorHAnsi"/>
                <w:sz w:val="22"/>
                <w:szCs w:val="22"/>
              </w:rPr>
              <w:t>9</w:t>
            </w:r>
            <w:r w:rsidR="00046875" w:rsidRPr="001961B1">
              <w:rPr>
                <w:rFonts w:asciiTheme="minorHAnsi" w:hAnsiTheme="minorHAnsi" w:cstheme="minorHAnsi"/>
                <w:sz w:val="22"/>
                <w:szCs w:val="22"/>
              </w:rPr>
              <w:t xml:space="preserve"> %</w:t>
            </w:r>
          </w:p>
        </w:tc>
      </w:tr>
      <w:tr w:rsidR="008B2CB6" w:rsidRPr="001961B1" w14:paraId="15C88AD3" w14:textId="77777777" w:rsidTr="00FE33C7">
        <w:tc>
          <w:tcPr>
            <w:tcW w:w="5665" w:type="dxa"/>
          </w:tcPr>
          <w:p w14:paraId="268E0336" w14:textId="4A1B7456" w:rsidR="008B2CB6" w:rsidRPr="001961B1" w:rsidRDefault="0089439C"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Troisième Session extraordinaire de la</w:t>
            </w:r>
            <w:r w:rsidR="008B2CB6" w:rsidRPr="001961B1">
              <w:rPr>
                <w:rFonts w:asciiTheme="minorHAnsi" w:hAnsiTheme="minorHAnsi" w:cstheme="minorHAnsi"/>
                <w:sz w:val="22"/>
                <w:szCs w:val="22"/>
                <w:lang w:val="fr-FR"/>
              </w:rPr>
              <w:t xml:space="preserve"> COP 2021</w:t>
            </w:r>
          </w:p>
        </w:tc>
        <w:tc>
          <w:tcPr>
            <w:tcW w:w="1703" w:type="dxa"/>
          </w:tcPr>
          <w:p w14:paraId="311DF487" w14:textId="529B95C7" w:rsidR="008B2CB6" w:rsidRPr="001961B1" w:rsidRDefault="00F1440B" w:rsidP="00FE33C7">
            <w:pPr>
              <w:jc w:val="center"/>
              <w:rPr>
                <w:rFonts w:asciiTheme="minorHAnsi" w:hAnsiTheme="minorHAnsi" w:cstheme="minorHAnsi"/>
                <w:sz w:val="22"/>
                <w:szCs w:val="22"/>
              </w:rPr>
            </w:pPr>
            <w:r w:rsidRPr="001961B1">
              <w:rPr>
                <w:rFonts w:asciiTheme="minorHAnsi" w:hAnsiTheme="minorHAnsi" w:cstheme="minorHAnsi"/>
                <w:sz w:val="22"/>
                <w:szCs w:val="22"/>
              </w:rPr>
              <w:t>4</w:t>
            </w:r>
            <w:r w:rsidR="00DD74CD" w:rsidRPr="001961B1">
              <w:rPr>
                <w:rFonts w:asciiTheme="minorHAnsi" w:hAnsiTheme="minorHAnsi" w:cstheme="minorHAnsi"/>
                <w:sz w:val="22"/>
                <w:szCs w:val="22"/>
              </w:rPr>
              <w:t>4</w:t>
            </w:r>
            <w:r w:rsidR="00046875" w:rsidRPr="001961B1">
              <w:rPr>
                <w:rFonts w:asciiTheme="minorHAnsi" w:hAnsiTheme="minorHAnsi" w:cstheme="minorHAnsi"/>
                <w:sz w:val="22"/>
                <w:szCs w:val="22"/>
              </w:rPr>
              <w:t xml:space="preserve"> %</w:t>
            </w:r>
          </w:p>
        </w:tc>
        <w:tc>
          <w:tcPr>
            <w:tcW w:w="1704" w:type="dxa"/>
          </w:tcPr>
          <w:p w14:paraId="653AA493" w14:textId="34B35279" w:rsidR="008B2CB6" w:rsidRPr="001961B1" w:rsidRDefault="00F1440B" w:rsidP="00FE33C7">
            <w:pPr>
              <w:jc w:val="center"/>
              <w:rPr>
                <w:rFonts w:asciiTheme="minorHAnsi" w:hAnsiTheme="minorHAnsi" w:cstheme="minorHAnsi"/>
                <w:sz w:val="22"/>
                <w:szCs w:val="22"/>
              </w:rPr>
            </w:pPr>
            <w:r w:rsidRPr="001961B1">
              <w:rPr>
                <w:rFonts w:asciiTheme="minorHAnsi" w:hAnsiTheme="minorHAnsi" w:cstheme="minorHAnsi"/>
                <w:sz w:val="22"/>
                <w:szCs w:val="22"/>
              </w:rPr>
              <w:t>5</w:t>
            </w:r>
            <w:r w:rsidR="00DD74CD" w:rsidRPr="001961B1">
              <w:rPr>
                <w:rFonts w:asciiTheme="minorHAnsi" w:hAnsiTheme="minorHAnsi" w:cstheme="minorHAnsi"/>
                <w:sz w:val="22"/>
                <w:szCs w:val="22"/>
              </w:rPr>
              <w:t>6</w:t>
            </w:r>
            <w:r w:rsidR="00046875" w:rsidRPr="001961B1">
              <w:rPr>
                <w:rFonts w:asciiTheme="minorHAnsi" w:hAnsiTheme="minorHAnsi" w:cstheme="minorHAnsi"/>
                <w:sz w:val="22"/>
                <w:szCs w:val="22"/>
              </w:rPr>
              <w:t xml:space="preserve"> %</w:t>
            </w:r>
          </w:p>
        </w:tc>
      </w:tr>
      <w:tr w:rsidR="008B2CB6" w:rsidRPr="001961B1" w14:paraId="1BDA4297" w14:textId="77777777" w:rsidTr="00FE33C7">
        <w:tc>
          <w:tcPr>
            <w:tcW w:w="5665" w:type="dxa"/>
          </w:tcPr>
          <w:p w14:paraId="498277F3" w14:textId="205A1DBC" w:rsidR="008B2CB6" w:rsidRPr="001961B1" w:rsidRDefault="00FF3085"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59</w:t>
            </w:r>
            <w:r w:rsidR="00DB285D" w:rsidRPr="001961B1">
              <w:rPr>
                <w:rFonts w:asciiTheme="minorHAnsi" w:hAnsiTheme="minorHAnsi" w:cstheme="minorHAnsi"/>
                <w:sz w:val="22"/>
                <w:szCs w:val="22"/>
                <w:vertAlign w:val="superscript"/>
                <w:lang w:val="fr-FR"/>
              </w:rPr>
              <w:t>e</w:t>
            </w:r>
            <w:r w:rsidRPr="001961B1">
              <w:rPr>
                <w:rFonts w:asciiTheme="minorHAnsi" w:hAnsiTheme="minorHAnsi" w:cstheme="minorHAnsi"/>
                <w:sz w:val="22"/>
                <w:szCs w:val="22"/>
                <w:lang w:val="fr-FR"/>
              </w:rPr>
              <w:t xml:space="preserve"> – 64</w:t>
            </w:r>
            <w:r w:rsidR="00DB285D" w:rsidRPr="001961B1">
              <w:rPr>
                <w:rFonts w:asciiTheme="minorHAnsi" w:hAnsiTheme="minorHAnsi" w:cstheme="minorHAnsi"/>
                <w:sz w:val="22"/>
                <w:szCs w:val="22"/>
                <w:vertAlign w:val="superscript"/>
                <w:lang w:val="fr-FR"/>
              </w:rPr>
              <w:t>e</w:t>
            </w:r>
            <w:r w:rsidR="00DB285D" w:rsidRPr="001961B1">
              <w:rPr>
                <w:rFonts w:asciiTheme="minorHAnsi" w:hAnsiTheme="minorHAnsi" w:cstheme="minorHAnsi"/>
                <w:sz w:val="22"/>
                <w:szCs w:val="22"/>
                <w:lang w:val="fr-FR"/>
              </w:rPr>
              <w:t xml:space="preserve"> </w:t>
            </w:r>
            <w:r w:rsidR="00046875" w:rsidRPr="001961B1">
              <w:rPr>
                <w:rFonts w:asciiTheme="minorHAnsi" w:hAnsiTheme="minorHAnsi" w:cstheme="minorHAnsi"/>
                <w:sz w:val="22"/>
                <w:szCs w:val="22"/>
                <w:lang w:val="fr-FR"/>
              </w:rPr>
              <w:t>R</w:t>
            </w:r>
            <w:r w:rsidR="00DB285D" w:rsidRPr="001961B1">
              <w:rPr>
                <w:rFonts w:asciiTheme="minorHAnsi" w:hAnsiTheme="minorHAnsi" w:cstheme="minorHAnsi"/>
                <w:sz w:val="22"/>
                <w:szCs w:val="22"/>
                <w:lang w:val="fr-FR"/>
              </w:rPr>
              <w:t>éunions du Comité permanent</w:t>
            </w:r>
          </w:p>
        </w:tc>
        <w:tc>
          <w:tcPr>
            <w:tcW w:w="1703" w:type="dxa"/>
          </w:tcPr>
          <w:p w14:paraId="2D408111" w14:textId="7CA2E737" w:rsidR="008B2CB6" w:rsidRPr="001961B1" w:rsidRDefault="00C21EA0" w:rsidP="00FE33C7">
            <w:pPr>
              <w:jc w:val="center"/>
              <w:rPr>
                <w:rFonts w:asciiTheme="minorHAnsi" w:hAnsiTheme="minorHAnsi" w:cstheme="minorHAnsi"/>
                <w:sz w:val="22"/>
                <w:szCs w:val="22"/>
              </w:rPr>
            </w:pPr>
            <w:r w:rsidRPr="001961B1">
              <w:rPr>
                <w:rFonts w:asciiTheme="minorHAnsi" w:hAnsiTheme="minorHAnsi" w:cstheme="minorHAnsi"/>
                <w:sz w:val="22"/>
                <w:szCs w:val="22"/>
              </w:rPr>
              <w:t>44</w:t>
            </w:r>
            <w:r w:rsidR="00046875" w:rsidRPr="001961B1">
              <w:rPr>
                <w:rFonts w:asciiTheme="minorHAnsi" w:hAnsiTheme="minorHAnsi" w:cstheme="minorHAnsi"/>
                <w:sz w:val="22"/>
                <w:szCs w:val="22"/>
              </w:rPr>
              <w:t xml:space="preserve"> %</w:t>
            </w:r>
          </w:p>
        </w:tc>
        <w:tc>
          <w:tcPr>
            <w:tcW w:w="1704" w:type="dxa"/>
          </w:tcPr>
          <w:p w14:paraId="1EA43036" w14:textId="11C54995" w:rsidR="008B2CB6" w:rsidRPr="001961B1" w:rsidRDefault="00C21EA0" w:rsidP="00FE33C7">
            <w:pPr>
              <w:jc w:val="center"/>
              <w:rPr>
                <w:rFonts w:asciiTheme="minorHAnsi" w:hAnsiTheme="minorHAnsi" w:cstheme="minorHAnsi"/>
                <w:sz w:val="22"/>
                <w:szCs w:val="22"/>
              </w:rPr>
            </w:pPr>
            <w:r w:rsidRPr="001961B1">
              <w:rPr>
                <w:rFonts w:asciiTheme="minorHAnsi" w:hAnsiTheme="minorHAnsi" w:cstheme="minorHAnsi"/>
                <w:sz w:val="22"/>
                <w:szCs w:val="22"/>
              </w:rPr>
              <w:t>56</w:t>
            </w:r>
            <w:r w:rsidR="00046875" w:rsidRPr="001961B1">
              <w:rPr>
                <w:rFonts w:asciiTheme="minorHAnsi" w:hAnsiTheme="minorHAnsi" w:cstheme="minorHAnsi"/>
                <w:sz w:val="22"/>
                <w:szCs w:val="22"/>
              </w:rPr>
              <w:t xml:space="preserve"> %</w:t>
            </w:r>
          </w:p>
        </w:tc>
      </w:tr>
      <w:tr w:rsidR="008B2CB6" w:rsidRPr="001961B1" w14:paraId="71195630" w14:textId="77777777" w:rsidTr="00FE33C7">
        <w:tc>
          <w:tcPr>
            <w:tcW w:w="5665" w:type="dxa"/>
          </w:tcPr>
          <w:p w14:paraId="1F394C76" w14:textId="15F89F42" w:rsidR="008B2CB6" w:rsidRPr="001961B1" w:rsidRDefault="00A27062"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24</w:t>
            </w:r>
            <w:r w:rsidR="00DB285D" w:rsidRPr="001961B1">
              <w:rPr>
                <w:rFonts w:asciiTheme="minorHAnsi" w:hAnsiTheme="minorHAnsi" w:cstheme="minorHAnsi"/>
                <w:sz w:val="22"/>
                <w:szCs w:val="22"/>
                <w:vertAlign w:val="superscript"/>
                <w:lang w:val="fr-FR"/>
              </w:rPr>
              <w:t>e</w:t>
            </w:r>
            <w:r w:rsidRPr="001961B1">
              <w:rPr>
                <w:rFonts w:asciiTheme="minorHAnsi" w:hAnsiTheme="minorHAnsi" w:cstheme="minorHAnsi"/>
                <w:sz w:val="22"/>
                <w:szCs w:val="22"/>
                <w:lang w:val="fr-FR"/>
              </w:rPr>
              <w:t xml:space="preserve"> – 27</w:t>
            </w:r>
            <w:r w:rsidR="00DB285D" w:rsidRPr="001961B1">
              <w:rPr>
                <w:rFonts w:asciiTheme="minorHAnsi" w:hAnsiTheme="minorHAnsi" w:cstheme="minorHAnsi"/>
                <w:sz w:val="22"/>
                <w:szCs w:val="22"/>
                <w:vertAlign w:val="superscript"/>
                <w:lang w:val="fr-FR"/>
              </w:rPr>
              <w:t>e</w:t>
            </w:r>
            <w:r w:rsidRPr="001961B1">
              <w:rPr>
                <w:rFonts w:asciiTheme="minorHAnsi" w:hAnsiTheme="minorHAnsi" w:cstheme="minorHAnsi"/>
                <w:sz w:val="22"/>
                <w:szCs w:val="22"/>
                <w:lang w:val="fr-FR"/>
              </w:rPr>
              <w:t xml:space="preserve"> </w:t>
            </w:r>
            <w:r w:rsidR="00046875" w:rsidRPr="001961B1">
              <w:rPr>
                <w:rFonts w:asciiTheme="minorHAnsi" w:hAnsiTheme="minorHAnsi" w:cstheme="minorHAnsi"/>
                <w:sz w:val="22"/>
                <w:szCs w:val="22"/>
                <w:lang w:val="fr-FR"/>
              </w:rPr>
              <w:t>Réu</w:t>
            </w:r>
            <w:r w:rsidR="00DB285D" w:rsidRPr="001961B1">
              <w:rPr>
                <w:rFonts w:asciiTheme="minorHAnsi" w:hAnsiTheme="minorHAnsi" w:cstheme="minorHAnsi"/>
                <w:sz w:val="22"/>
                <w:szCs w:val="22"/>
                <w:lang w:val="fr-FR"/>
              </w:rPr>
              <w:t>nions du GEST</w:t>
            </w:r>
          </w:p>
        </w:tc>
        <w:tc>
          <w:tcPr>
            <w:tcW w:w="1703" w:type="dxa"/>
          </w:tcPr>
          <w:p w14:paraId="743707C8" w14:textId="3F3C5F3E" w:rsidR="008B2CB6" w:rsidRPr="001961B1" w:rsidRDefault="009A32E6" w:rsidP="00FE33C7">
            <w:pPr>
              <w:jc w:val="center"/>
              <w:rPr>
                <w:rFonts w:asciiTheme="minorHAnsi" w:hAnsiTheme="minorHAnsi" w:cstheme="minorHAnsi"/>
                <w:sz w:val="22"/>
                <w:szCs w:val="22"/>
              </w:rPr>
            </w:pPr>
            <w:r w:rsidRPr="001961B1">
              <w:rPr>
                <w:rFonts w:asciiTheme="minorHAnsi" w:hAnsiTheme="minorHAnsi" w:cstheme="minorHAnsi"/>
                <w:sz w:val="22"/>
                <w:szCs w:val="22"/>
              </w:rPr>
              <w:t>40</w:t>
            </w:r>
            <w:r w:rsidR="00046875" w:rsidRPr="001961B1">
              <w:rPr>
                <w:rFonts w:asciiTheme="minorHAnsi" w:hAnsiTheme="minorHAnsi" w:cstheme="minorHAnsi"/>
                <w:sz w:val="22"/>
                <w:szCs w:val="22"/>
              </w:rPr>
              <w:t xml:space="preserve"> %</w:t>
            </w:r>
          </w:p>
        </w:tc>
        <w:tc>
          <w:tcPr>
            <w:tcW w:w="1704" w:type="dxa"/>
          </w:tcPr>
          <w:p w14:paraId="7E327758" w14:textId="55E4C27F" w:rsidR="008B2CB6" w:rsidRPr="001961B1" w:rsidRDefault="009A32E6" w:rsidP="00FE33C7">
            <w:pPr>
              <w:jc w:val="center"/>
              <w:rPr>
                <w:rFonts w:asciiTheme="minorHAnsi" w:hAnsiTheme="minorHAnsi" w:cstheme="minorHAnsi"/>
                <w:sz w:val="22"/>
                <w:szCs w:val="22"/>
              </w:rPr>
            </w:pPr>
            <w:r w:rsidRPr="001961B1">
              <w:rPr>
                <w:rFonts w:asciiTheme="minorHAnsi" w:hAnsiTheme="minorHAnsi" w:cstheme="minorHAnsi"/>
                <w:sz w:val="22"/>
                <w:szCs w:val="22"/>
              </w:rPr>
              <w:t>60</w:t>
            </w:r>
            <w:r w:rsidR="00046875" w:rsidRPr="001961B1">
              <w:rPr>
                <w:rFonts w:asciiTheme="minorHAnsi" w:hAnsiTheme="minorHAnsi" w:cstheme="minorHAnsi"/>
                <w:sz w:val="22"/>
                <w:szCs w:val="22"/>
              </w:rPr>
              <w:t xml:space="preserve"> %</w:t>
            </w:r>
          </w:p>
        </w:tc>
      </w:tr>
      <w:tr w:rsidR="009A32E6" w:rsidRPr="001961B1" w14:paraId="5E5043A4" w14:textId="77777777" w:rsidTr="00FE33C7">
        <w:tc>
          <w:tcPr>
            <w:tcW w:w="5665" w:type="dxa"/>
          </w:tcPr>
          <w:p w14:paraId="1A9EC44D" w14:textId="10180978" w:rsidR="009A32E6" w:rsidRPr="001961B1" w:rsidRDefault="00CC10D0" w:rsidP="00CD3F6B">
            <w:pPr>
              <w:rPr>
                <w:rFonts w:asciiTheme="minorHAnsi" w:hAnsiTheme="minorHAnsi" w:cstheme="minorHAnsi"/>
                <w:sz w:val="22"/>
                <w:szCs w:val="22"/>
                <w:lang w:val="fr-FR"/>
              </w:rPr>
            </w:pPr>
            <w:r w:rsidRPr="001961B1">
              <w:rPr>
                <w:rFonts w:asciiTheme="minorHAnsi" w:hAnsiTheme="minorHAnsi" w:cstheme="minorHAnsi"/>
                <w:sz w:val="22"/>
                <w:szCs w:val="22"/>
                <w:lang w:val="fr-FR"/>
              </w:rPr>
              <w:t>Réunions pré-</w:t>
            </w:r>
            <w:r w:rsidR="00E9431C" w:rsidRPr="001961B1">
              <w:rPr>
                <w:rFonts w:asciiTheme="minorHAnsi" w:hAnsiTheme="minorHAnsi" w:cstheme="minorHAnsi"/>
                <w:sz w:val="22"/>
                <w:szCs w:val="22"/>
                <w:lang w:val="fr-FR"/>
              </w:rPr>
              <w:t xml:space="preserve">COP </w:t>
            </w:r>
          </w:p>
        </w:tc>
        <w:tc>
          <w:tcPr>
            <w:tcW w:w="1703" w:type="dxa"/>
          </w:tcPr>
          <w:p w14:paraId="57DD7C16" w14:textId="47224808" w:rsidR="009A32E6" w:rsidRPr="001961B1" w:rsidRDefault="00076641" w:rsidP="00FE33C7">
            <w:pPr>
              <w:jc w:val="center"/>
              <w:rPr>
                <w:rFonts w:asciiTheme="minorHAnsi" w:hAnsiTheme="minorHAnsi" w:cstheme="minorHAnsi"/>
                <w:sz w:val="22"/>
                <w:szCs w:val="22"/>
                <w:lang w:val="fr-FR"/>
              </w:rPr>
            </w:pPr>
            <w:r w:rsidRPr="001961B1">
              <w:rPr>
                <w:rFonts w:asciiTheme="minorHAnsi" w:hAnsiTheme="minorHAnsi" w:cstheme="minorHAnsi"/>
                <w:sz w:val="22"/>
                <w:szCs w:val="22"/>
                <w:lang w:val="fr-FR"/>
              </w:rPr>
              <w:t>46</w:t>
            </w:r>
            <w:r w:rsidR="00046875" w:rsidRPr="001961B1">
              <w:rPr>
                <w:rFonts w:asciiTheme="minorHAnsi" w:hAnsiTheme="minorHAnsi" w:cstheme="minorHAnsi"/>
                <w:sz w:val="22"/>
                <w:szCs w:val="22"/>
                <w:lang w:val="fr-FR"/>
              </w:rPr>
              <w:t xml:space="preserve"> %</w:t>
            </w:r>
          </w:p>
        </w:tc>
        <w:tc>
          <w:tcPr>
            <w:tcW w:w="1704" w:type="dxa"/>
          </w:tcPr>
          <w:p w14:paraId="66EE4815" w14:textId="639D51E5" w:rsidR="009A32E6" w:rsidRPr="001961B1" w:rsidRDefault="00076641" w:rsidP="00FE33C7">
            <w:pPr>
              <w:jc w:val="center"/>
              <w:rPr>
                <w:rFonts w:asciiTheme="minorHAnsi" w:hAnsiTheme="minorHAnsi" w:cstheme="minorHAnsi"/>
                <w:sz w:val="22"/>
                <w:szCs w:val="22"/>
                <w:lang w:val="fr-FR"/>
              </w:rPr>
            </w:pPr>
            <w:r w:rsidRPr="001961B1">
              <w:rPr>
                <w:rFonts w:asciiTheme="minorHAnsi" w:hAnsiTheme="minorHAnsi" w:cstheme="minorHAnsi"/>
                <w:sz w:val="22"/>
                <w:szCs w:val="22"/>
                <w:lang w:val="fr-FR"/>
              </w:rPr>
              <w:t>54</w:t>
            </w:r>
            <w:r w:rsidR="00046875" w:rsidRPr="001961B1">
              <w:rPr>
                <w:rFonts w:asciiTheme="minorHAnsi" w:hAnsiTheme="minorHAnsi" w:cstheme="minorHAnsi"/>
                <w:sz w:val="22"/>
                <w:szCs w:val="22"/>
                <w:lang w:val="fr-FR"/>
              </w:rPr>
              <w:t xml:space="preserve"> %</w:t>
            </w:r>
          </w:p>
        </w:tc>
      </w:tr>
    </w:tbl>
    <w:p w14:paraId="03F9D6D0" w14:textId="77777777" w:rsidR="00A561BC" w:rsidRPr="001961B1" w:rsidRDefault="00A561BC" w:rsidP="00CD3F6B">
      <w:pPr>
        <w:rPr>
          <w:rFonts w:asciiTheme="minorHAnsi" w:hAnsiTheme="minorHAnsi" w:cstheme="minorHAnsi"/>
          <w:sz w:val="22"/>
          <w:szCs w:val="22"/>
          <w:lang w:val="fr-FR"/>
        </w:rPr>
      </w:pPr>
    </w:p>
    <w:p w14:paraId="7B2399B3" w14:textId="77777777" w:rsidR="00B34291" w:rsidRPr="001961B1" w:rsidRDefault="00B34291" w:rsidP="00CD3F6B">
      <w:pPr>
        <w:rPr>
          <w:rFonts w:asciiTheme="minorHAnsi" w:hAnsiTheme="minorHAnsi" w:cstheme="minorHAnsi"/>
          <w:sz w:val="22"/>
          <w:szCs w:val="22"/>
        </w:rPr>
      </w:pPr>
    </w:p>
    <w:p w14:paraId="5FBCB658" w14:textId="4D32DD4B" w:rsidR="00B471E8"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w:t>
      </w:r>
      <w:r w:rsidR="0019534C" w:rsidRPr="001961B1">
        <w:rPr>
          <w:rFonts w:asciiTheme="minorHAnsi" w:hAnsiTheme="minorHAnsi" w:cstheme="minorHAnsi"/>
          <w:sz w:val="22"/>
          <w:szCs w:val="22"/>
          <w:lang w:val="fr-FR" w:eastAsia="fr-FR"/>
        </w:rPr>
        <w:t>2</w:t>
      </w:r>
      <w:r w:rsidR="00C32CF1" w:rsidRPr="001961B1">
        <w:rPr>
          <w:rFonts w:asciiTheme="minorHAnsi" w:hAnsiTheme="minorHAnsi" w:cstheme="minorHAnsi"/>
          <w:sz w:val="22"/>
          <w:szCs w:val="22"/>
          <w:lang w:val="fr-FR" w:eastAsia="fr-FR"/>
        </w:rPr>
        <w:t>7</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802068" w:rsidRPr="001961B1">
        <w:rPr>
          <w:rFonts w:asciiTheme="minorHAnsi" w:hAnsiTheme="minorHAnsi" w:cstheme="minorHAnsi"/>
          <w:sz w:val="22"/>
          <w:szCs w:val="22"/>
          <w:lang w:val="fr-FR" w:eastAsia="fr-FR"/>
        </w:rPr>
        <w:t>Quatre-vingt pour cent (</w:t>
      </w:r>
      <w:r w:rsidR="00B471E8" w:rsidRPr="001961B1">
        <w:rPr>
          <w:rFonts w:asciiTheme="minorHAnsi" w:hAnsiTheme="minorHAnsi" w:cstheme="minorHAnsi"/>
          <w:sz w:val="22"/>
          <w:szCs w:val="22"/>
          <w:lang w:val="fr-FR" w:eastAsia="fr-FR"/>
        </w:rPr>
        <w:t>80</w:t>
      </w:r>
      <w:r w:rsidR="00802068"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w:t>
      </w:r>
      <w:r w:rsidR="00802068" w:rsidRPr="001961B1">
        <w:rPr>
          <w:rFonts w:asciiTheme="minorHAnsi" w:hAnsiTheme="minorHAnsi" w:cstheme="minorHAnsi"/>
          <w:sz w:val="22"/>
          <w:szCs w:val="22"/>
          <w:lang w:val="fr-FR" w:eastAsia="fr-FR"/>
        </w:rPr>
        <w:t>)</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 xml:space="preserve">des Parties contractantes ont </w:t>
      </w:r>
      <w:r w:rsidR="00A26533" w:rsidRPr="001961B1">
        <w:rPr>
          <w:rFonts w:asciiTheme="minorHAnsi" w:hAnsiTheme="minorHAnsi" w:cstheme="minorHAnsi"/>
          <w:sz w:val="22"/>
          <w:szCs w:val="22"/>
          <w:lang w:val="fr-FR" w:eastAsia="fr-FR"/>
        </w:rPr>
        <w:t>évoqué</w:t>
      </w:r>
      <w:r w:rsidR="00B436E2" w:rsidRPr="001961B1">
        <w:rPr>
          <w:rFonts w:asciiTheme="minorHAnsi" w:hAnsiTheme="minorHAnsi" w:cstheme="minorHAnsi"/>
          <w:sz w:val="22"/>
          <w:szCs w:val="22"/>
          <w:lang w:val="fr-FR" w:eastAsia="fr-FR"/>
        </w:rPr>
        <w:t xml:space="preserve"> des stratégies soutenant la participation de la jeunesse à la mise en œuvre de la Convention, conformément au paragraphe 21 de la Résolution </w:t>
      </w:r>
      <w:r w:rsidR="0019227F" w:rsidRPr="001961B1">
        <w:rPr>
          <w:rFonts w:asciiTheme="minorHAnsi" w:hAnsiTheme="minorHAnsi" w:cstheme="minorHAnsi"/>
          <w:sz w:val="22"/>
          <w:szCs w:val="22"/>
          <w:lang w:val="fr-FR" w:eastAsia="fr-FR"/>
        </w:rPr>
        <w:t xml:space="preserve">XIV.12 </w:t>
      </w:r>
      <w:r w:rsidR="00B436E2" w:rsidRPr="001961B1">
        <w:rPr>
          <w:rFonts w:asciiTheme="minorHAnsi" w:hAnsiTheme="minorHAnsi" w:cstheme="minorHAnsi"/>
          <w:sz w:val="22"/>
          <w:szCs w:val="22"/>
          <w:lang w:val="fr-FR" w:eastAsia="fr-FR"/>
        </w:rPr>
        <w:t xml:space="preserve">sur la participation de la jeunesse. Les domaines clés comprennent la conservation ou la restauration des zones humides </w:t>
      </w:r>
      <w:r w:rsidR="00B471E8" w:rsidRPr="001961B1">
        <w:rPr>
          <w:rFonts w:asciiTheme="minorHAnsi" w:hAnsiTheme="minorHAnsi" w:cstheme="minorHAnsi"/>
          <w:sz w:val="22"/>
          <w:szCs w:val="22"/>
          <w:lang w:val="fr-FR" w:eastAsia="fr-FR"/>
        </w:rPr>
        <w:t>(28</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l’éducation à l’environnement</w:t>
      </w:r>
      <w:r w:rsidR="00B471E8" w:rsidRPr="001961B1">
        <w:rPr>
          <w:rFonts w:asciiTheme="minorHAnsi" w:hAnsiTheme="minorHAnsi" w:cstheme="minorHAnsi"/>
          <w:sz w:val="22"/>
          <w:szCs w:val="22"/>
          <w:lang w:val="fr-FR" w:eastAsia="fr-FR"/>
        </w:rPr>
        <w:t xml:space="preserve"> (20</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 xml:space="preserve">les programmes spécifiques pour la jeunesse </w:t>
      </w:r>
      <w:r w:rsidR="00B471E8" w:rsidRPr="001961B1">
        <w:rPr>
          <w:rFonts w:asciiTheme="minorHAnsi" w:hAnsiTheme="minorHAnsi" w:cstheme="minorHAnsi"/>
          <w:sz w:val="22"/>
          <w:szCs w:val="22"/>
          <w:lang w:val="fr-FR" w:eastAsia="fr-FR"/>
        </w:rPr>
        <w:t>(16</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 xml:space="preserve">la participation à la prise de décisions </w:t>
      </w:r>
      <w:r w:rsidR="00B471E8" w:rsidRPr="001961B1">
        <w:rPr>
          <w:rFonts w:asciiTheme="minorHAnsi" w:hAnsiTheme="minorHAnsi" w:cstheme="minorHAnsi"/>
          <w:sz w:val="22"/>
          <w:szCs w:val="22"/>
          <w:lang w:val="fr-FR" w:eastAsia="fr-FR"/>
        </w:rPr>
        <w:t>(15</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les partenariats</w:t>
      </w:r>
      <w:r w:rsidR="00B471E8" w:rsidRPr="001961B1">
        <w:rPr>
          <w:rFonts w:asciiTheme="minorHAnsi" w:hAnsiTheme="minorHAnsi" w:cstheme="minorHAnsi"/>
          <w:sz w:val="22"/>
          <w:szCs w:val="22"/>
          <w:lang w:val="fr-FR" w:eastAsia="fr-FR"/>
        </w:rPr>
        <w:t xml:space="preserve"> (12</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 xml:space="preserve">%) </w:t>
      </w:r>
      <w:r w:rsidR="00B436E2" w:rsidRPr="001961B1">
        <w:rPr>
          <w:rFonts w:asciiTheme="minorHAnsi" w:hAnsiTheme="minorHAnsi" w:cstheme="minorHAnsi"/>
          <w:sz w:val="22"/>
          <w:szCs w:val="22"/>
          <w:lang w:val="fr-FR" w:eastAsia="fr-FR"/>
        </w:rPr>
        <w:t>et le renforcement des capacités et la formation</w:t>
      </w:r>
      <w:r w:rsidR="00B471E8" w:rsidRPr="001961B1">
        <w:rPr>
          <w:rFonts w:asciiTheme="minorHAnsi" w:hAnsiTheme="minorHAnsi" w:cstheme="minorHAnsi"/>
          <w:sz w:val="22"/>
          <w:szCs w:val="22"/>
          <w:lang w:val="fr-FR" w:eastAsia="fr-FR"/>
        </w:rPr>
        <w:t xml:space="preserve"> (9</w:t>
      </w:r>
      <w:r w:rsidR="00B436E2" w:rsidRPr="001961B1">
        <w:rPr>
          <w:rFonts w:asciiTheme="minorHAnsi" w:hAnsiTheme="minorHAnsi" w:cstheme="minorHAnsi"/>
          <w:sz w:val="22"/>
          <w:szCs w:val="22"/>
          <w:lang w:val="fr-FR" w:eastAsia="fr-FR"/>
        </w:rPr>
        <w:t> </w:t>
      </w:r>
      <w:r w:rsidR="00B471E8" w:rsidRPr="001961B1">
        <w:rPr>
          <w:rFonts w:asciiTheme="minorHAnsi" w:hAnsiTheme="minorHAnsi" w:cstheme="minorHAnsi"/>
          <w:sz w:val="22"/>
          <w:szCs w:val="22"/>
          <w:lang w:val="fr-FR" w:eastAsia="fr-FR"/>
        </w:rPr>
        <w:t>%).</w:t>
      </w:r>
    </w:p>
    <w:p w14:paraId="2D472CE7" w14:textId="77777777" w:rsidR="00746EAC" w:rsidRPr="001961B1" w:rsidRDefault="00746EAC" w:rsidP="00257025">
      <w:pPr>
        <w:ind w:left="567" w:hanging="567"/>
        <w:rPr>
          <w:rFonts w:asciiTheme="minorHAnsi" w:hAnsiTheme="minorHAnsi" w:cstheme="minorHAnsi"/>
          <w:sz w:val="22"/>
          <w:szCs w:val="22"/>
          <w:lang w:val="fr-FR" w:eastAsia="fr-FR"/>
        </w:rPr>
      </w:pPr>
    </w:p>
    <w:p w14:paraId="009CA884" w14:textId="296CB908" w:rsidR="006226B4"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w:t>
      </w:r>
      <w:r w:rsidR="0019534C" w:rsidRPr="001961B1">
        <w:rPr>
          <w:rFonts w:asciiTheme="minorHAnsi" w:hAnsiTheme="minorHAnsi" w:cstheme="minorHAnsi"/>
          <w:sz w:val="22"/>
          <w:szCs w:val="22"/>
          <w:lang w:val="fr-FR" w:eastAsia="fr-FR"/>
        </w:rPr>
        <w:t>2</w:t>
      </w:r>
      <w:r w:rsidR="00C32CF1" w:rsidRPr="001961B1">
        <w:rPr>
          <w:rFonts w:asciiTheme="minorHAnsi" w:hAnsiTheme="minorHAnsi" w:cstheme="minorHAnsi"/>
          <w:sz w:val="22"/>
          <w:szCs w:val="22"/>
          <w:lang w:val="fr-FR" w:eastAsia="fr-FR"/>
        </w:rPr>
        <w:t>8</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CD0FB3" w:rsidRPr="001961B1">
        <w:rPr>
          <w:rFonts w:asciiTheme="minorHAnsi" w:hAnsiTheme="minorHAnsi" w:cstheme="minorHAnsi"/>
          <w:sz w:val="22"/>
          <w:szCs w:val="22"/>
          <w:lang w:val="fr-FR" w:eastAsia="fr-FR"/>
        </w:rPr>
        <w:t>Au moment de</w:t>
      </w:r>
      <w:r w:rsidR="00B436E2" w:rsidRPr="001961B1">
        <w:rPr>
          <w:rFonts w:asciiTheme="minorHAnsi" w:hAnsiTheme="minorHAnsi" w:cstheme="minorHAnsi"/>
          <w:sz w:val="22"/>
          <w:szCs w:val="22"/>
          <w:lang w:val="fr-FR" w:eastAsia="fr-FR"/>
        </w:rPr>
        <w:t xml:space="preserve"> la </w:t>
      </w:r>
      <w:r w:rsidR="00EE6EF6" w:rsidRPr="001961B1">
        <w:rPr>
          <w:rFonts w:asciiTheme="minorHAnsi" w:hAnsiTheme="minorHAnsi" w:cstheme="minorHAnsi"/>
          <w:sz w:val="22"/>
          <w:szCs w:val="22"/>
          <w:lang w:val="fr-FR" w:eastAsia="fr-FR"/>
        </w:rPr>
        <w:t xml:space="preserve">COP15, </w:t>
      </w:r>
      <w:r w:rsidR="006226B4" w:rsidRPr="001961B1">
        <w:rPr>
          <w:rFonts w:asciiTheme="minorHAnsi" w:hAnsiTheme="minorHAnsi" w:cstheme="minorHAnsi"/>
          <w:sz w:val="22"/>
          <w:szCs w:val="22"/>
          <w:lang w:val="fr-FR" w:eastAsia="fr-FR"/>
        </w:rPr>
        <w:t>49</w:t>
      </w:r>
      <w:r w:rsidR="00B436E2" w:rsidRPr="001961B1">
        <w:rPr>
          <w:rFonts w:asciiTheme="minorHAnsi" w:hAnsiTheme="minorHAnsi" w:cstheme="minorHAnsi"/>
          <w:sz w:val="22"/>
          <w:szCs w:val="22"/>
          <w:lang w:val="fr-FR" w:eastAsia="fr-FR"/>
        </w:rPr>
        <w:t xml:space="preserve"> Parties contractantes </w:t>
      </w:r>
      <w:r w:rsidR="00A26533" w:rsidRPr="001961B1">
        <w:rPr>
          <w:rFonts w:asciiTheme="minorHAnsi" w:hAnsiTheme="minorHAnsi" w:cstheme="minorHAnsi"/>
          <w:sz w:val="22"/>
          <w:szCs w:val="22"/>
          <w:lang w:val="fr-FR" w:eastAsia="fr-FR"/>
        </w:rPr>
        <w:t>indiquent</w:t>
      </w:r>
      <w:r w:rsidR="00B436E2" w:rsidRPr="001961B1">
        <w:rPr>
          <w:rFonts w:asciiTheme="minorHAnsi" w:hAnsiTheme="minorHAnsi" w:cstheme="minorHAnsi"/>
          <w:sz w:val="22"/>
          <w:szCs w:val="22"/>
          <w:lang w:val="fr-FR" w:eastAsia="fr-FR"/>
        </w:rPr>
        <w:t xml:space="preserve"> avoir nommé des Correspondants </w:t>
      </w:r>
      <w:r w:rsidR="00FF45C0" w:rsidRPr="001961B1">
        <w:rPr>
          <w:rFonts w:asciiTheme="minorHAnsi" w:hAnsiTheme="minorHAnsi" w:cstheme="minorHAnsi"/>
          <w:sz w:val="22"/>
          <w:szCs w:val="22"/>
          <w:lang w:val="fr-FR" w:eastAsia="fr-FR"/>
        </w:rPr>
        <w:t>J</w:t>
      </w:r>
      <w:r w:rsidR="00B436E2" w:rsidRPr="001961B1">
        <w:rPr>
          <w:rFonts w:asciiTheme="minorHAnsi" w:hAnsiTheme="minorHAnsi" w:cstheme="minorHAnsi"/>
          <w:sz w:val="22"/>
          <w:szCs w:val="22"/>
          <w:lang w:val="fr-FR" w:eastAsia="fr-FR"/>
        </w:rPr>
        <w:t>eunesse nationaux parmi lesquels 25 sont des femmes.</w:t>
      </w:r>
      <w:r w:rsidR="00AB2083" w:rsidRPr="001961B1">
        <w:rPr>
          <w:rFonts w:asciiTheme="minorHAnsi" w:hAnsiTheme="minorHAnsi" w:cstheme="minorHAnsi"/>
          <w:sz w:val="22"/>
          <w:szCs w:val="22"/>
          <w:lang w:val="fr-FR" w:eastAsia="fr-FR"/>
        </w:rPr>
        <w:t xml:space="preserve"> </w:t>
      </w:r>
    </w:p>
    <w:bookmarkEnd w:id="10"/>
    <w:p w14:paraId="41335564" w14:textId="77777777" w:rsidR="00ED0CDC" w:rsidRPr="001961B1" w:rsidRDefault="00ED0CDC" w:rsidP="00CD3F6B">
      <w:pPr>
        <w:rPr>
          <w:rFonts w:asciiTheme="minorHAnsi" w:eastAsia="Calibri" w:hAnsiTheme="minorHAnsi" w:cstheme="minorHAnsi"/>
          <w:sz w:val="22"/>
          <w:szCs w:val="22"/>
          <w:lang w:val="fr-FR"/>
        </w:rPr>
      </w:pPr>
    </w:p>
    <w:p w14:paraId="4CCFCE84" w14:textId="77777777" w:rsidR="003E56FD" w:rsidRPr="001961B1" w:rsidRDefault="003E56FD" w:rsidP="00CD3F6B">
      <w:pPr>
        <w:rPr>
          <w:rFonts w:asciiTheme="minorHAnsi" w:eastAsia="Calibri" w:hAnsiTheme="minorHAnsi" w:cstheme="minorHAnsi"/>
          <w:sz w:val="22"/>
          <w:szCs w:val="22"/>
          <w:lang w:val="fr-FR"/>
        </w:rPr>
      </w:pPr>
    </w:p>
    <w:p w14:paraId="039E8F24" w14:textId="6F759914" w:rsidR="00981F20" w:rsidRPr="001961B1" w:rsidRDefault="00B436E2" w:rsidP="000D551C">
      <w:pPr>
        <w:keepNext/>
        <w:rPr>
          <w:rFonts w:asciiTheme="minorHAnsi" w:eastAsia="Calibri" w:hAnsiTheme="minorHAnsi" w:cstheme="minorHAnsi"/>
          <w:b/>
          <w:bCs/>
          <w:sz w:val="22"/>
          <w:szCs w:val="22"/>
          <w:lang w:val="fr-FR"/>
        </w:rPr>
      </w:pPr>
      <w:r w:rsidRPr="001961B1">
        <w:rPr>
          <w:rFonts w:asciiTheme="minorHAnsi" w:eastAsia="Calibri" w:hAnsiTheme="minorHAnsi" w:cstheme="minorHAnsi"/>
          <w:b/>
          <w:bCs/>
          <w:sz w:val="22"/>
          <w:szCs w:val="22"/>
          <w:lang w:val="fr-FR"/>
        </w:rPr>
        <w:t xml:space="preserve">Résumé sur les progrès, difficultés et priorités d’application en vue de la mise en œuvre future </w:t>
      </w:r>
    </w:p>
    <w:p w14:paraId="132297D4" w14:textId="77777777" w:rsidR="00C478E5" w:rsidRPr="001961B1" w:rsidRDefault="00C478E5" w:rsidP="000D551C">
      <w:pPr>
        <w:keepNext/>
        <w:rPr>
          <w:rFonts w:asciiTheme="minorHAnsi" w:hAnsiTheme="minorHAnsi" w:cstheme="minorHAnsi"/>
          <w:sz w:val="22"/>
          <w:szCs w:val="22"/>
          <w:lang w:val="fr-FR" w:eastAsia="fr-FR"/>
        </w:rPr>
      </w:pPr>
    </w:p>
    <w:p w14:paraId="76442B61" w14:textId="3B230968" w:rsidR="007A342A" w:rsidRPr="001961B1" w:rsidRDefault="000E3338" w:rsidP="00257025">
      <w:pPr>
        <w:ind w:left="567" w:hanging="567"/>
        <w:rPr>
          <w:rFonts w:asciiTheme="minorHAnsi" w:hAnsiTheme="minorHAnsi" w:cstheme="minorHAnsi"/>
          <w:sz w:val="22"/>
          <w:szCs w:val="22"/>
          <w:lang w:val="fr-FR" w:eastAsia="fr-FR"/>
        </w:rPr>
      </w:pPr>
      <w:r w:rsidRPr="001961B1">
        <w:rPr>
          <w:rFonts w:asciiTheme="minorHAnsi" w:hAnsiTheme="minorHAnsi" w:cstheme="minorHAnsi"/>
          <w:sz w:val="22"/>
          <w:szCs w:val="22"/>
          <w:lang w:val="fr-FR" w:eastAsia="fr-FR"/>
        </w:rPr>
        <w:t>1</w:t>
      </w:r>
      <w:r w:rsidR="00C32CF1" w:rsidRPr="001961B1">
        <w:rPr>
          <w:rFonts w:asciiTheme="minorHAnsi" w:hAnsiTheme="minorHAnsi" w:cstheme="minorHAnsi"/>
          <w:sz w:val="22"/>
          <w:szCs w:val="22"/>
          <w:lang w:val="fr-FR" w:eastAsia="fr-FR"/>
        </w:rPr>
        <w:t>29</w:t>
      </w:r>
      <w:r w:rsidRPr="001961B1">
        <w:rPr>
          <w:rFonts w:asciiTheme="minorHAnsi" w:hAnsiTheme="minorHAnsi" w:cstheme="minorHAnsi"/>
          <w:sz w:val="22"/>
          <w:szCs w:val="22"/>
          <w:lang w:val="fr-FR" w:eastAsia="fr-FR"/>
        </w:rPr>
        <w:t>.</w:t>
      </w:r>
      <w:r w:rsidRPr="001961B1">
        <w:rPr>
          <w:rFonts w:asciiTheme="minorHAnsi" w:hAnsiTheme="minorHAnsi" w:cstheme="minorHAnsi"/>
          <w:sz w:val="22"/>
          <w:szCs w:val="22"/>
          <w:lang w:val="fr-FR" w:eastAsia="fr-FR"/>
        </w:rPr>
        <w:tab/>
      </w:r>
      <w:r w:rsidR="00B436E2" w:rsidRPr="001961B1">
        <w:rPr>
          <w:rFonts w:asciiTheme="minorHAnsi" w:hAnsiTheme="minorHAnsi" w:cstheme="minorHAnsi"/>
          <w:sz w:val="22"/>
          <w:szCs w:val="22"/>
          <w:lang w:val="fr-FR" w:eastAsia="fr-FR"/>
        </w:rPr>
        <w:t>Cette section résum</w:t>
      </w:r>
      <w:r w:rsidR="008314F3" w:rsidRPr="001961B1">
        <w:rPr>
          <w:rFonts w:asciiTheme="minorHAnsi" w:hAnsiTheme="minorHAnsi" w:cstheme="minorHAnsi"/>
          <w:sz w:val="22"/>
          <w:szCs w:val="22"/>
          <w:lang w:val="fr-FR" w:eastAsia="fr-FR"/>
        </w:rPr>
        <w:t>e</w:t>
      </w:r>
      <w:r w:rsidR="00B436E2" w:rsidRPr="001961B1">
        <w:rPr>
          <w:rFonts w:asciiTheme="minorHAnsi" w:hAnsiTheme="minorHAnsi" w:cstheme="minorHAnsi"/>
          <w:sz w:val="22"/>
          <w:szCs w:val="22"/>
          <w:lang w:val="fr-FR" w:eastAsia="fr-FR"/>
        </w:rPr>
        <w:t xml:space="preserve"> </w:t>
      </w:r>
      <w:r w:rsidR="008314F3" w:rsidRPr="001961B1">
        <w:rPr>
          <w:rFonts w:asciiTheme="minorHAnsi" w:hAnsiTheme="minorHAnsi" w:cstheme="minorHAnsi"/>
          <w:sz w:val="22"/>
          <w:szCs w:val="22"/>
          <w:lang w:val="fr-FR" w:eastAsia="fr-FR"/>
        </w:rPr>
        <w:t>l</w:t>
      </w:r>
      <w:r w:rsidR="00B436E2" w:rsidRPr="001961B1">
        <w:rPr>
          <w:rFonts w:asciiTheme="minorHAnsi" w:hAnsiTheme="minorHAnsi" w:cstheme="minorHAnsi"/>
          <w:sz w:val="22"/>
          <w:szCs w:val="22"/>
          <w:lang w:val="fr-FR" w:eastAsia="fr-FR"/>
        </w:rPr>
        <w:t xml:space="preserve">es progrès </w:t>
      </w:r>
      <w:r w:rsidR="008314F3" w:rsidRPr="001961B1">
        <w:rPr>
          <w:rFonts w:asciiTheme="minorHAnsi" w:hAnsiTheme="minorHAnsi" w:cstheme="minorHAnsi"/>
          <w:sz w:val="22"/>
          <w:szCs w:val="22"/>
          <w:lang w:val="fr-FR" w:eastAsia="fr-FR"/>
        </w:rPr>
        <w:t xml:space="preserve">généraux </w:t>
      </w:r>
      <w:r w:rsidR="00B436E2" w:rsidRPr="001961B1">
        <w:rPr>
          <w:rFonts w:asciiTheme="minorHAnsi" w:hAnsiTheme="minorHAnsi" w:cstheme="minorHAnsi"/>
          <w:sz w:val="22"/>
          <w:szCs w:val="22"/>
          <w:lang w:val="fr-FR" w:eastAsia="fr-FR"/>
        </w:rPr>
        <w:t xml:space="preserve">de mise en œuvre ainsi que </w:t>
      </w:r>
      <w:r w:rsidR="008314F3" w:rsidRPr="001961B1">
        <w:rPr>
          <w:rFonts w:asciiTheme="minorHAnsi" w:hAnsiTheme="minorHAnsi" w:cstheme="minorHAnsi"/>
          <w:sz w:val="22"/>
          <w:szCs w:val="22"/>
          <w:lang w:val="fr-FR" w:eastAsia="fr-FR"/>
        </w:rPr>
        <w:t>l</w:t>
      </w:r>
      <w:r w:rsidR="00B436E2" w:rsidRPr="001961B1">
        <w:rPr>
          <w:rFonts w:asciiTheme="minorHAnsi" w:hAnsiTheme="minorHAnsi" w:cstheme="minorHAnsi"/>
          <w:sz w:val="22"/>
          <w:szCs w:val="22"/>
          <w:lang w:val="fr-FR" w:eastAsia="fr-FR"/>
        </w:rPr>
        <w:t>es difficultés et priorités pour la mise en œuvre future, d’après les Rapports nationaux soumis à la COP15</w:t>
      </w:r>
      <w:r w:rsidR="00960513" w:rsidRPr="001961B1">
        <w:rPr>
          <w:rFonts w:asciiTheme="minorHAnsi" w:hAnsiTheme="minorHAnsi" w:cstheme="minorHAnsi"/>
          <w:sz w:val="22"/>
          <w:szCs w:val="22"/>
          <w:lang w:val="fr-FR" w:eastAsia="fr-FR"/>
        </w:rPr>
        <w:t xml:space="preserve"> (comprenant des </w:t>
      </w:r>
      <w:r w:rsidR="00A26533" w:rsidRPr="001961B1">
        <w:rPr>
          <w:rFonts w:asciiTheme="minorHAnsi" w:hAnsiTheme="minorHAnsi" w:cstheme="minorHAnsi"/>
          <w:sz w:val="22"/>
          <w:szCs w:val="22"/>
          <w:lang w:val="fr-FR" w:eastAsia="fr-FR"/>
        </w:rPr>
        <w:t>réponses d</w:t>
      </w:r>
      <w:r w:rsidR="00960513" w:rsidRPr="001961B1">
        <w:rPr>
          <w:rFonts w:asciiTheme="minorHAnsi" w:hAnsiTheme="minorHAnsi" w:cstheme="minorHAnsi"/>
          <w:sz w:val="22"/>
          <w:szCs w:val="22"/>
          <w:lang w:val="fr-FR" w:eastAsia="fr-FR"/>
        </w:rPr>
        <w:t xml:space="preserve">es Parties contractantes </w:t>
      </w:r>
      <w:r w:rsidR="00A26533" w:rsidRPr="001961B1">
        <w:rPr>
          <w:rFonts w:asciiTheme="minorHAnsi" w:hAnsiTheme="minorHAnsi" w:cstheme="minorHAnsi"/>
          <w:sz w:val="22"/>
          <w:szCs w:val="22"/>
          <w:lang w:val="fr-FR" w:eastAsia="fr-FR"/>
        </w:rPr>
        <w:t>aux</w:t>
      </w:r>
      <w:r w:rsidR="00960513" w:rsidRPr="001961B1">
        <w:rPr>
          <w:rFonts w:asciiTheme="minorHAnsi" w:hAnsiTheme="minorHAnsi" w:cstheme="minorHAnsi"/>
          <w:sz w:val="22"/>
          <w:szCs w:val="22"/>
          <w:lang w:val="fr-FR" w:eastAsia="fr-FR"/>
        </w:rPr>
        <w:t xml:space="preserve"> questions contenues dans la Section 2 du </w:t>
      </w:r>
      <w:r w:rsidR="00A26533" w:rsidRPr="001961B1">
        <w:rPr>
          <w:rFonts w:asciiTheme="minorHAnsi" w:hAnsiTheme="minorHAnsi" w:cstheme="minorHAnsi"/>
          <w:sz w:val="22"/>
          <w:szCs w:val="22"/>
          <w:lang w:val="fr-FR" w:eastAsia="fr-FR"/>
        </w:rPr>
        <w:t>F</w:t>
      </w:r>
      <w:r w:rsidR="00960513" w:rsidRPr="001961B1">
        <w:rPr>
          <w:rFonts w:asciiTheme="minorHAnsi" w:hAnsiTheme="minorHAnsi" w:cstheme="minorHAnsi"/>
          <w:sz w:val="22"/>
          <w:szCs w:val="22"/>
          <w:lang w:val="fr-FR" w:eastAsia="fr-FR"/>
        </w:rPr>
        <w:t xml:space="preserve">ormulaire de </w:t>
      </w:r>
      <w:r w:rsidR="00A26533" w:rsidRPr="001961B1">
        <w:rPr>
          <w:rFonts w:asciiTheme="minorHAnsi" w:hAnsiTheme="minorHAnsi" w:cstheme="minorHAnsi"/>
          <w:sz w:val="22"/>
          <w:szCs w:val="22"/>
          <w:lang w:val="fr-FR" w:eastAsia="fr-FR"/>
        </w:rPr>
        <w:t>R</w:t>
      </w:r>
      <w:r w:rsidR="00960513" w:rsidRPr="001961B1">
        <w:rPr>
          <w:rFonts w:asciiTheme="minorHAnsi" w:hAnsiTheme="minorHAnsi" w:cstheme="minorHAnsi"/>
          <w:sz w:val="22"/>
          <w:szCs w:val="22"/>
          <w:lang w:val="fr-FR" w:eastAsia="fr-FR"/>
        </w:rPr>
        <w:t>apport national).</w:t>
      </w:r>
      <w:r w:rsidR="00AB2083" w:rsidRPr="001961B1">
        <w:rPr>
          <w:rFonts w:asciiTheme="minorHAnsi" w:hAnsiTheme="minorHAnsi" w:cstheme="minorHAnsi"/>
          <w:sz w:val="22"/>
          <w:szCs w:val="22"/>
          <w:lang w:val="fr-FR" w:eastAsia="fr-FR"/>
        </w:rPr>
        <w:t xml:space="preserve"> </w:t>
      </w:r>
    </w:p>
    <w:p w14:paraId="69BCCE96" w14:textId="77777777" w:rsidR="008C1BAB" w:rsidRPr="001961B1" w:rsidRDefault="008C1BAB" w:rsidP="00CD3F6B">
      <w:pPr>
        <w:rPr>
          <w:rFonts w:asciiTheme="minorHAnsi" w:eastAsia="Calibri" w:hAnsiTheme="minorHAnsi" w:cstheme="minorHAnsi"/>
          <w:sz w:val="22"/>
          <w:szCs w:val="22"/>
          <w:highlight w:val="yellow"/>
          <w:lang w:val="fr-FR"/>
        </w:rPr>
      </w:pPr>
    </w:p>
    <w:p w14:paraId="5947EDE5" w14:textId="636AC05E" w:rsidR="00224C95" w:rsidRPr="001961B1" w:rsidRDefault="00960513" w:rsidP="000D551C">
      <w:pPr>
        <w:keepNext/>
        <w:rPr>
          <w:rFonts w:asciiTheme="minorHAnsi" w:eastAsia="Calibri" w:hAnsiTheme="minorHAnsi" w:cstheme="minorHAnsi"/>
          <w:i/>
          <w:iCs/>
          <w:sz w:val="22"/>
          <w:szCs w:val="22"/>
          <w:u w:val="single"/>
          <w:lang w:val="fr-FR"/>
        </w:rPr>
      </w:pPr>
      <w:r w:rsidRPr="001961B1">
        <w:rPr>
          <w:rFonts w:asciiTheme="minorHAnsi" w:eastAsia="Calibri" w:hAnsiTheme="minorHAnsi" w:cstheme="minorHAnsi"/>
          <w:i/>
          <w:iCs/>
          <w:sz w:val="22"/>
          <w:szCs w:val="22"/>
          <w:u w:val="single"/>
          <w:lang w:val="fr-FR"/>
        </w:rPr>
        <w:t xml:space="preserve">Progrès de mise en œuvre </w:t>
      </w:r>
    </w:p>
    <w:p w14:paraId="5E721F38" w14:textId="77777777" w:rsidR="000D551C" w:rsidRPr="001961B1" w:rsidRDefault="000D551C" w:rsidP="000D551C">
      <w:pPr>
        <w:keepNext/>
        <w:rPr>
          <w:rFonts w:asciiTheme="minorHAnsi" w:eastAsia="Calibri" w:hAnsiTheme="minorHAnsi" w:cstheme="minorHAnsi"/>
          <w:sz w:val="22"/>
          <w:szCs w:val="22"/>
          <w:u w:val="single"/>
          <w:lang w:val="fr-FR"/>
        </w:rPr>
      </w:pPr>
    </w:p>
    <w:p w14:paraId="5B46A1AB" w14:textId="2B7702A1" w:rsidR="00E575CB" w:rsidRPr="001961B1" w:rsidRDefault="000E3338" w:rsidP="00257025">
      <w:pPr>
        <w:ind w:left="567" w:hanging="567"/>
        <w:rPr>
          <w:rFonts w:asciiTheme="minorHAnsi" w:eastAsia="Calibri" w:hAnsiTheme="minorHAnsi" w:cstheme="minorHAnsi"/>
          <w:sz w:val="22"/>
          <w:szCs w:val="22"/>
          <w:lang w:val="fr-FR"/>
        </w:rPr>
      </w:pPr>
      <w:r w:rsidRPr="001961B1">
        <w:rPr>
          <w:rFonts w:asciiTheme="minorHAnsi" w:eastAsia="Calibri" w:hAnsiTheme="minorHAnsi" w:cstheme="minorHAnsi"/>
          <w:sz w:val="22"/>
          <w:szCs w:val="22"/>
          <w:lang w:val="fr-FR"/>
        </w:rPr>
        <w:t>1</w:t>
      </w:r>
      <w:r w:rsidR="0019534C" w:rsidRPr="001961B1">
        <w:rPr>
          <w:rFonts w:asciiTheme="minorHAnsi" w:eastAsia="Calibri" w:hAnsiTheme="minorHAnsi" w:cstheme="minorHAnsi"/>
          <w:sz w:val="22"/>
          <w:szCs w:val="22"/>
          <w:lang w:val="fr-FR"/>
        </w:rPr>
        <w:t>3</w:t>
      </w:r>
      <w:r w:rsidR="00C32CF1" w:rsidRPr="001961B1">
        <w:rPr>
          <w:rFonts w:asciiTheme="minorHAnsi" w:eastAsia="Calibri" w:hAnsiTheme="minorHAnsi" w:cstheme="minorHAnsi"/>
          <w:sz w:val="22"/>
          <w:szCs w:val="22"/>
          <w:lang w:val="fr-FR"/>
        </w:rPr>
        <w:t>0</w:t>
      </w:r>
      <w:r w:rsidRPr="001961B1">
        <w:rPr>
          <w:rFonts w:asciiTheme="minorHAnsi" w:eastAsia="Calibri" w:hAnsiTheme="minorHAnsi" w:cstheme="minorHAnsi"/>
          <w:sz w:val="22"/>
          <w:szCs w:val="22"/>
          <w:lang w:val="fr-FR"/>
        </w:rPr>
        <w:t>.</w:t>
      </w:r>
      <w:r w:rsidRPr="001961B1">
        <w:rPr>
          <w:rFonts w:asciiTheme="minorHAnsi" w:eastAsia="Calibri" w:hAnsiTheme="minorHAnsi" w:cstheme="minorHAnsi"/>
          <w:sz w:val="22"/>
          <w:szCs w:val="22"/>
          <w:lang w:val="fr-FR"/>
        </w:rPr>
        <w:tab/>
      </w:r>
      <w:r w:rsidR="00960513" w:rsidRPr="001961B1">
        <w:rPr>
          <w:rFonts w:asciiTheme="minorHAnsi" w:eastAsia="Calibri" w:hAnsiTheme="minorHAnsi" w:cstheme="minorHAnsi"/>
          <w:sz w:val="22"/>
          <w:szCs w:val="22"/>
          <w:lang w:val="fr-FR"/>
        </w:rPr>
        <w:t xml:space="preserve">Le PS4 </w:t>
      </w:r>
      <w:r w:rsidR="009116D4" w:rsidRPr="001961B1">
        <w:rPr>
          <w:rFonts w:asciiTheme="minorHAnsi" w:eastAsia="Calibri" w:hAnsiTheme="minorHAnsi" w:cstheme="minorHAnsi"/>
          <w:sz w:val="22"/>
          <w:szCs w:val="22"/>
          <w:lang w:val="fr-FR"/>
        </w:rPr>
        <w:t>comprend quatre buts</w:t>
      </w:r>
      <w:r w:rsidR="009321F0" w:rsidRPr="001961B1">
        <w:rPr>
          <w:rFonts w:asciiTheme="minorHAnsi" w:eastAsia="Calibri" w:hAnsiTheme="minorHAnsi" w:cstheme="minorHAnsi"/>
          <w:sz w:val="22"/>
          <w:szCs w:val="22"/>
          <w:lang w:val="fr-FR"/>
        </w:rPr>
        <w:t> :</w:t>
      </w:r>
      <w:r w:rsidR="009116D4" w:rsidRPr="001961B1">
        <w:rPr>
          <w:rFonts w:asciiTheme="minorHAnsi" w:eastAsia="Calibri" w:hAnsiTheme="minorHAnsi" w:cstheme="minorHAnsi"/>
          <w:sz w:val="22"/>
          <w:szCs w:val="22"/>
          <w:lang w:val="fr-FR"/>
        </w:rPr>
        <w:t xml:space="preserve"> trois buts stratégiques et un </w:t>
      </w:r>
      <w:r w:rsidR="009321F0" w:rsidRPr="001961B1">
        <w:rPr>
          <w:rFonts w:asciiTheme="minorHAnsi" w:eastAsia="Calibri" w:hAnsiTheme="minorHAnsi" w:cstheme="minorHAnsi"/>
          <w:sz w:val="22"/>
          <w:szCs w:val="22"/>
          <w:lang w:val="fr-FR"/>
        </w:rPr>
        <w:t xml:space="preserve">but </w:t>
      </w:r>
      <w:r w:rsidR="009116D4" w:rsidRPr="001961B1">
        <w:rPr>
          <w:rFonts w:asciiTheme="minorHAnsi" w:eastAsia="Calibri" w:hAnsiTheme="minorHAnsi" w:cstheme="minorHAnsi"/>
          <w:sz w:val="22"/>
          <w:szCs w:val="22"/>
          <w:lang w:val="fr-FR"/>
        </w:rPr>
        <w:t xml:space="preserve">opérationnel/d’appui. Des </w:t>
      </w:r>
      <w:r w:rsidR="008314F3" w:rsidRPr="001961B1">
        <w:rPr>
          <w:rFonts w:asciiTheme="minorHAnsi" w:eastAsia="Calibri" w:hAnsiTheme="minorHAnsi" w:cstheme="minorHAnsi"/>
          <w:sz w:val="22"/>
          <w:szCs w:val="22"/>
          <w:lang w:val="fr-FR"/>
        </w:rPr>
        <w:t>avancées</w:t>
      </w:r>
      <w:r w:rsidR="009116D4" w:rsidRPr="001961B1">
        <w:rPr>
          <w:rFonts w:asciiTheme="minorHAnsi" w:eastAsia="Calibri" w:hAnsiTheme="minorHAnsi" w:cstheme="minorHAnsi"/>
          <w:sz w:val="22"/>
          <w:szCs w:val="22"/>
          <w:lang w:val="fr-FR"/>
        </w:rPr>
        <w:t xml:space="preserve"> important</w:t>
      </w:r>
      <w:r w:rsidR="008314F3" w:rsidRPr="001961B1">
        <w:rPr>
          <w:rFonts w:asciiTheme="minorHAnsi" w:eastAsia="Calibri" w:hAnsiTheme="minorHAnsi" w:cstheme="minorHAnsi"/>
          <w:sz w:val="22"/>
          <w:szCs w:val="22"/>
          <w:lang w:val="fr-FR"/>
        </w:rPr>
        <w:t>e</w:t>
      </w:r>
      <w:r w:rsidR="009116D4" w:rsidRPr="001961B1">
        <w:rPr>
          <w:rFonts w:asciiTheme="minorHAnsi" w:eastAsia="Calibri" w:hAnsiTheme="minorHAnsi" w:cstheme="minorHAnsi"/>
          <w:sz w:val="22"/>
          <w:szCs w:val="22"/>
          <w:lang w:val="fr-FR"/>
        </w:rPr>
        <w:t xml:space="preserve">s </w:t>
      </w:r>
      <w:r w:rsidR="009321F0" w:rsidRPr="001961B1">
        <w:rPr>
          <w:rFonts w:asciiTheme="minorHAnsi" w:eastAsia="Calibri" w:hAnsiTheme="minorHAnsi" w:cstheme="minorHAnsi"/>
          <w:sz w:val="22"/>
          <w:szCs w:val="22"/>
          <w:lang w:val="fr-FR"/>
        </w:rPr>
        <w:t>quoique</w:t>
      </w:r>
      <w:r w:rsidR="009116D4" w:rsidRPr="001961B1">
        <w:rPr>
          <w:rFonts w:asciiTheme="minorHAnsi" w:eastAsia="Calibri" w:hAnsiTheme="minorHAnsi" w:cstheme="minorHAnsi"/>
          <w:sz w:val="22"/>
          <w:szCs w:val="22"/>
          <w:lang w:val="fr-FR"/>
        </w:rPr>
        <w:t xml:space="preserve"> surtout progressi</w:t>
      </w:r>
      <w:r w:rsidR="008314F3" w:rsidRPr="001961B1">
        <w:rPr>
          <w:rFonts w:asciiTheme="minorHAnsi" w:eastAsia="Calibri" w:hAnsiTheme="minorHAnsi" w:cstheme="minorHAnsi"/>
          <w:sz w:val="22"/>
          <w:szCs w:val="22"/>
          <w:lang w:val="fr-FR"/>
        </w:rPr>
        <w:t>ve</w:t>
      </w:r>
      <w:r w:rsidR="009116D4" w:rsidRPr="001961B1">
        <w:rPr>
          <w:rFonts w:asciiTheme="minorHAnsi" w:eastAsia="Calibri" w:hAnsiTheme="minorHAnsi" w:cstheme="minorHAnsi"/>
          <w:sz w:val="22"/>
          <w:szCs w:val="22"/>
          <w:lang w:val="fr-FR"/>
        </w:rPr>
        <w:t>s ont été fait</w:t>
      </w:r>
      <w:r w:rsidR="008314F3" w:rsidRPr="001961B1">
        <w:rPr>
          <w:rFonts w:asciiTheme="minorHAnsi" w:eastAsia="Calibri" w:hAnsiTheme="minorHAnsi" w:cstheme="minorHAnsi"/>
          <w:sz w:val="22"/>
          <w:szCs w:val="22"/>
          <w:lang w:val="fr-FR"/>
        </w:rPr>
        <w:t>e</w:t>
      </w:r>
      <w:r w:rsidR="009116D4" w:rsidRPr="001961B1">
        <w:rPr>
          <w:rFonts w:asciiTheme="minorHAnsi" w:eastAsia="Calibri" w:hAnsiTheme="minorHAnsi" w:cstheme="minorHAnsi"/>
          <w:sz w:val="22"/>
          <w:szCs w:val="22"/>
          <w:lang w:val="fr-FR"/>
        </w:rPr>
        <w:t xml:space="preserve">s </w:t>
      </w:r>
      <w:r w:rsidR="00685776" w:rsidRPr="001961B1">
        <w:rPr>
          <w:rFonts w:asciiTheme="minorHAnsi" w:eastAsia="Calibri" w:hAnsiTheme="minorHAnsi" w:cstheme="minorHAnsi"/>
          <w:sz w:val="22"/>
          <w:szCs w:val="22"/>
          <w:lang w:val="fr-FR"/>
        </w:rPr>
        <w:t>pour atteindre le</w:t>
      </w:r>
      <w:r w:rsidR="009116D4" w:rsidRPr="001961B1">
        <w:rPr>
          <w:rFonts w:asciiTheme="minorHAnsi" w:eastAsia="Calibri" w:hAnsiTheme="minorHAnsi" w:cstheme="minorHAnsi"/>
          <w:sz w:val="22"/>
          <w:szCs w:val="22"/>
          <w:lang w:val="fr-FR"/>
        </w:rPr>
        <w:t>s quatre buts</w:t>
      </w:r>
      <w:r w:rsidR="008314F3" w:rsidRPr="001961B1">
        <w:rPr>
          <w:rFonts w:asciiTheme="minorHAnsi" w:eastAsia="Calibri" w:hAnsiTheme="minorHAnsi" w:cstheme="minorHAnsi"/>
          <w:sz w:val="22"/>
          <w:szCs w:val="22"/>
          <w:lang w:val="fr-FR"/>
        </w:rPr>
        <w:t>,</w:t>
      </w:r>
      <w:r w:rsidR="00685776" w:rsidRPr="001961B1">
        <w:rPr>
          <w:rFonts w:asciiTheme="minorHAnsi" w:eastAsia="Calibri" w:hAnsiTheme="minorHAnsi" w:cstheme="minorHAnsi"/>
          <w:sz w:val="22"/>
          <w:szCs w:val="22"/>
          <w:lang w:val="fr-FR"/>
        </w:rPr>
        <w:t xml:space="preserve"> mais</w:t>
      </w:r>
      <w:r w:rsidR="009116D4" w:rsidRPr="001961B1">
        <w:rPr>
          <w:rFonts w:asciiTheme="minorHAnsi" w:eastAsia="Calibri" w:hAnsiTheme="minorHAnsi" w:cstheme="minorHAnsi"/>
          <w:sz w:val="22"/>
          <w:szCs w:val="22"/>
          <w:lang w:val="fr-FR"/>
        </w:rPr>
        <w:t xml:space="preserve"> les progrès restent limités </w:t>
      </w:r>
      <w:r w:rsidR="00685776" w:rsidRPr="001961B1">
        <w:rPr>
          <w:rFonts w:asciiTheme="minorHAnsi" w:eastAsia="Calibri" w:hAnsiTheme="minorHAnsi" w:cstheme="minorHAnsi"/>
          <w:sz w:val="22"/>
          <w:szCs w:val="22"/>
          <w:lang w:val="fr-FR"/>
        </w:rPr>
        <w:t>pour</w:t>
      </w:r>
      <w:r w:rsidR="009116D4" w:rsidRPr="001961B1">
        <w:rPr>
          <w:rFonts w:asciiTheme="minorHAnsi" w:eastAsia="Calibri" w:hAnsiTheme="minorHAnsi" w:cstheme="minorHAnsi"/>
          <w:sz w:val="22"/>
          <w:szCs w:val="22"/>
          <w:lang w:val="fr-FR"/>
        </w:rPr>
        <w:t xml:space="preserve"> </w:t>
      </w:r>
      <w:r w:rsidR="00756DBA" w:rsidRPr="001961B1">
        <w:rPr>
          <w:rFonts w:asciiTheme="minorHAnsi" w:eastAsia="Calibri" w:hAnsiTheme="minorHAnsi" w:cstheme="minorHAnsi"/>
          <w:sz w:val="22"/>
          <w:szCs w:val="22"/>
          <w:lang w:val="fr-FR"/>
        </w:rPr>
        <w:t xml:space="preserve">certains </w:t>
      </w:r>
      <w:r w:rsidR="009116D4" w:rsidRPr="001961B1">
        <w:rPr>
          <w:rFonts w:asciiTheme="minorHAnsi" w:eastAsia="Calibri" w:hAnsiTheme="minorHAnsi" w:cstheme="minorHAnsi"/>
          <w:sz w:val="22"/>
          <w:szCs w:val="22"/>
          <w:lang w:val="fr-FR"/>
        </w:rPr>
        <w:t>aspects de chaque but, comme décrit ci­dessous. Concernant l’état des caractéristiques écologiques des zones humides, la proportion de Parties contractantes n’indiquant aucun changement est restée relativement stable</w:t>
      </w:r>
      <w:r w:rsidR="00A3285C" w:rsidRPr="001961B1">
        <w:rPr>
          <w:rFonts w:asciiTheme="minorHAnsi" w:eastAsia="Calibri" w:hAnsiTheme="minorHAnsi" w:cstheme="minorHAnsi"/>
          <w:sz w:val="22"/>
          <w:szCs w:val="22"/>
          <w:lang w:val="fr-FR"/>
        </w:rPr>
        <w:t>,</w:t>
      </w:r>
      <w:r w:rsidR="009116D4" w:rsidRPr="001961B1">
        <w:rPr>
          <w:rFonts w:asciiTheme="minorHAnsi" w:eastAsia="Calibri" w:hAnsiTheme="minorHAnsi" w:cstheme="minorHAnsi"/>
          <w:sz w:val="22"/>
          <w:szCs w:val="22"/>
          <w:lang w:val="fr-FR"/>
        </w:rPr>
        <w:t xml:space="preserve"> aussi bien pour les zones humides d’importance internationale que pour les zones </w:t>
      </w:r>
      <w:r w:rsidR="009116D4" w:rsidRPr="001961B1">
        <w:rPr>
          <w:rFonts w:asciiTheme="minorHAnsi" w:eastAsia="Calibri" w:hAnsiTheme="minorHAnsi" w:cstheme="minorHAnsi"/>
          <w:sz w:val="22"/>
          <w:szCs w:val="22"/>
          <w:lang w:val="fr-FR"/>
        </w:rPr>
        <w:lastRenderedPageBreak/>
        <w:t>humides en général</w:t>
      </w:r>
      <w:r w:rsidR="00A3285C" w:rsidRPr="001961B1">
        <w:rPr>
          <w:rFonts w:asciiTheme="minorHAnsi" w:eastAsia="Calibri" w:hAnsiTheme="minorHAnsi" w:cstheme="minorHAnsi"/>
          <w:sz w:val="22"/>
          <w:szCs w:val="22"/>
          <w:lang w:val="fr-FR"/>
        </w:rPr>
        <w:t>,</w:t>
      </w:r>
      <w:r w:rsidR="009116D4" w:rsidRPr="001961B1">
        <w:rPr>
          <w:rFonts w:asciiTheme="minorHAnsi" w:eastAsia="Calibri" w:hAnsiTheme="minorHAnsi" w:cstheme="minorHAnsi"/>
          <w:sz w:val="22"/>
          <w:szCs w:val="22"/>
          <w:lang w:val="fr-FR"/>
        </w:rPr>
        <w:t xml:space="preserve"> et </w:t>
      </w:r>
      <w:r w:rsidR="00A3285C" w:rsidRPr="001961B1">
        <w:rPr>
          <w:rFonts w:asciiTheme="minorHAnsi" w:eastAsia="Calibri" w:hAnsiTheme="minorHAnsi" w:cstheme="minorHAnsi"/>
          <w:sz w:val="22"/>
          <w:szCs w:val="22"/>
          <w:lang w:val="fr-FR"/>
        </w:rPr>
        <w:t>l’</w:t>
      </w:r>
      <w:r w:rsidR="009116D4" w:rsidRPr="001961B1">
        <w:rPr>
          <w:rFonts w:asciiTheme="minorHAnsi" w:eastAsia="Calibri" w:hAnsiTheme="minorHAnsi" w:cstheme="minorHAnsi"/>
          <w:sz w:val="22"/>
          <w:szCs w:val="22"/>
          <w:lang w:val="fr-FR"/>
        </w:rPr>
        <w:t>on constate une diminution de la proportion de Parties signal</w:t>
      </w:r>
      <w:r w:rsidR="00A3285C" w:rsidRPr="001961B1">
        <w:rPr>
          <w:rFonts w:asciiTheme="minorHAnsi" w:eastAsia="Calibri" w:hAnsiTheme="minorHAnsi" w:cstheme="minorHAnsi"/>
          <w:sz w:val="22"/>
          <w:szCs w:val="22"/>
          <w:lang w:val="fr-FR"/>
        </w:rPr>
        <w:t>a</w:t>
      </w:r>
      <w:r w:rsidR="009116D4" w:rsidRPr="001961B1">
        <w:rPr>
          <w:rFonts w:asciiTheme="minorHAnsi" w:eastAsia="Calibri" w:hAnsiTheme="minorHAnsi" w:cstheme="minorHAnsi"/>
          <w:sz w:val="22"/>
          <w:szCs w:val="22"/>
          <w:lang w:val="fr-FR"/>
        </w:rPr>
        <w:t xml:space="preserve">nt une détérioration. </w:t>
      </w:r>
      <w:r w:rsidR="00A3285C" w:rsidRPr="001961B1">
        <w:rPr>
          <w:rFonts w:asciiTheme="minorHAnsi" w:eastAsia="Calibri" w:hAnsiTheme="minorHAnsi" w:cstheme="minorHAnsi"/>
          <w:sz w:val="22"/>
          <w:szCs w:val="22"/>
          <w:lang w:val="fr-FR"/>
        </w:rPr>
        <w:t>Selon l</w:t>
      </w:r>
      <w:r w:rsidR="009116D4" w:rsidRPr="001961B1">
        <w:rPr>
          <w:rFonts w:asciiTheme="minorHAnsi" w:eastAsia="Calibri" w:hAnsiTheme="minorHAnsi" w:cstheme="minorHAnsi"/>
          <w:sz w:val="22"/>
          <w:szCs w:val="22"/>
          <w:lang w:val="fr-FR"/>
        </w:rPr>
        <w:t>es Perspectives mondiales des zones humides</w:t>
      </w:r>
      <w:r w:rsidR="00A3285C" w:rsidRPr="001961B1">
        <w:rPr>
          <w:rFonts w:asciiTheme="minorHAnsi" w:eastAsia="Calibri" w:hAnsiTheme="minorHAnsi" w:cstheme="minorHAnsi"/>
          <w:sz w:val="22"/>
          <w:szCs w:val="22"/>
          <w:lang w:val="fr-FR"/>
        </w:rPr>
        <w:t>,</w:t>
      </w:r>
      <w:r w:rsidR="009116D4" w:rsidRPr="001961B1">
        <w:rPr>
          <w:rFonts w:asciiTheme="minorHAnsi" w:eastAsia="Calibri" w:hAnsiTheme="minorHAnsi" w:cstheme="minorHAnsi"/>
          <w:sz w:val="22"/>
          <w:szCs w:val="22"/>
          <w:lang w:val="fr-FR"/>
        </w:rPr>
        <w:t xml:space="preserve"> les zones humides disparaissent à un </w:t>
      </w:r>
      <w:r w:rsidR="00A3285C" w:rsidRPr="001961B1">
        <w:rPr>
          <w:rFonts w:asciiTheme="minorHAnsi" w:eastAsia="Calibri" w:hAnsiTheme="minorHAnsi" w:cstheme="minorHAnsi"/>
          <w:sz w:val="22"/>
          <w:szCs w:val="22"/>
          <w:lang w:val="fr-FR"/>
        </w:rPr>
        <w:t>rythme</w:t>
      </w:r>
      <w:r w:rsidR="009116D4" w:rsidRPr="001961B1">
        <w:rPr>
          <w:rFonts w:asciiTheme="minorHAnsi" w:eastAsia="Calibri" w:hAnsiTheme="minorHAnsi" w:cstheme="minorHAnsi"/>
          <w:sz w:val="22"/>
          <w:szCs w:val="22"/>
          <w:lang w:val="fr-FR"/>
        </w:rPr>
        <w:t xml:space="preserve"> situé entre 0,5 % et 1 % par an au plan mondial.</w:t>
      </w:r>
    </w:p>
    <w:p w14:paraId="28E36BCD" w14:textId="77777777" w:rsidR="00AF4EE0" w:rsidRPr="001961B1" w:rsidRDefault="00AF4EE0" w:rsidP="00257025">
      <w:pPr>
        <w:ind w:left="567" w:hanging="567"/>
        <w:rPr>
          <w:rFonts w:asciiTheme="minorHAnsi" w:eastAsia="Calibri" w:hAnsiTheme="minorHAnsi" w:cstheme="minorHAnsi"/>
          <w:sz w:val="22"/>
          <w:szCs w:val="22"/>
          <w:lang w:val="fr-FR"/>
        </w:rPr>
      </w:pPr>
    </w:p>
    <w:p w14:paraId="78E7AC71" w14:textId="19B80FA1" w:rsidR="006A2995"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bCs/>
          <w:sz w:val="22"/>
          <w:szCs w:val="22"/>
          <w:lang w:val="fr-FR" w:eastAsia="fr-FR"/>
        </w:rPr>
        <w:t>1</w:t>
      </w:r>
      <w:r w:rsidR="0019534C" w:rsidRPr="001961B1">
        <w:rPr>
          <w:rFonts w:asciiTheme="minorHAnsi" w:hAnsiTheme="minorHAnsi" w:cstheme="minorHAnsi"/>
          <w:bCs/>
          <w:sz w:val="22"/>
          <w:szCs w:val="22"/>
          <w:lang w:val="fr-FR" w:eastAsia="fr-FR"/>
        </w:rPr>
        <w:t>3</w:t>
      </w:r>
      <w:r w:rsidR="00C32CF1" w:rsidRPr="001961B1">
        <w:rPr>
          <w:rFonts w:asciiTheme="minorHAnsi" w:hAnsiTheme="minorHAnsi" w:cstheme="minorHAnsi"/>
          <w:bCs/>
          <w:sz w:val="22"/>
          <w:szCs w:val="22"/>
          <w:lang w:val="fr-FR" w:eastAsia="fr-FR"/>
        </w:rPr>
        <w:t>1</w:t>
      </w:r>
      <w:r w:rsidRPr="001961B1">
        <w:rPr>
          <w:rFonts w:asciiTheme="minorHAnsi" w:hAnsiTheme="minorHAnsi" w:cstheme="minorHAnsi"/>
          <w:bCs/>
          <w:i/>
          <w:iCs/>
          <w:sz w:val="22"/>
          <w:szCs w:val="22"/>
          <w:lang w:val="fr-FR" w:eastAsia="fr-FR"/>
        </w:rPr>
        <w:t>.</w:t>
      </w:r>
      <w:r w:rsidRPr="001961B1">
        <w:rPr>
          <w:rFonts w:asciiTheme="minorHAnsi" w:hAnsiTheme="minorHAnsi" w:cstheme="minorHAnsi"/>
          <w:bCs/>
          <w:i/>
          <w:iCs/>
          <w:sz w:val="22"/>
          <w:szCs w:val="22"/>
          <w:lang w:val="fr-FR" w:eastAsia="fr-FR"/>
        </w:rPr>
        <w:tab/>
      </w:r>
      <w:r w:rsidR="005B427E" w:rsidRPr="001961B1">
        <w:rPr>
          <w:rFonts w:asciiTheme="minorHAnsi" w:hAnsiTheme="minorHAnsi" w:cstheme="minorHAnsi"/>
          <w:bCs/>
          <w:i/>
          <w:iCs/>
          <w:sz w:val="22"/>
          <w:szCs w:val="22"/>
          <w:lang w:val="fr-FR" w:eastAsia="fr-FR"/>
        </w:rPr>
        <w:t>But</w:t>
      </w:r>
      <w:r w:rsidR="005A1274" w:rsidRPr="001961B1">
        <w:rPr>
          <w:rFonts w:asciiTheme="minorHAnsi" w:hAnsiTheme="minorHAnsi" w:cstheme="minorHAnsi"/>
          <w:bCs/>
          <w:i/>
          <w:iCs/>
          <w:sz w:val="22"/>
          <w:szCs w:val="22"/>
          <w:lang w:val="fr-FR" w:eastAsia="fr-FR"/>
        </w:rPr>
        <w:t xml:space="preserve"> 1</w:t>
      </w:r>
      <w:r w:rsidR="005B427E" w:rsidRPr="001961B1">
        <w:rPr>
          <w:rFonts w:asciiTheme="minorHAnsi" w:hAnsiTheme="minorHAnsi" w:cstheme="minorHAnsi"/>
          <w:bCs/>
          <w:i/>
          <w:iCs/>
          <w:sz w:val="22"/>
          <w:szCs w:val="22"/>
          <w:lang w:val="fr-FR" w:eastAsia="fr-FR"/>
        </w:rPr>
        <w:t> </w:t>
      </w:r>
      <w:r w:rsidR="005A1274" w:rsidRPr="001961B1">
        <w:rPr>
          <w:rFonts w:asciiTheme="minorHAnsi" w:hAnsiTheme="minorHAnsi" w:cstheme="minorHAnsi"/>
          <w:bCs/>
          <w:i/>
          <w:iCs/>
          <w:sz w:val="22"/>
          <w:szCs w:val="22"/>
          <w:lang w:val="fr-FR" w:eastAsia="fr-FR"/>
        </w:rPr>
        <w:t xml:space="preserve">: </w:t>
      </w:r>
      <w:r w:rsidR="005B427E" w:rsidRPr="001961B1">
        <w:rPr>
          <w:rFonts w:asciiTheme="minorHAnsi" w:hAnsiTheme="minorHAnsi" w:cstheme="minorHAnsi"/>
          <w:bCs/>
          <w:i/>
          <w:iCs/>
          <w:sz w:val="22"/>
          <w:szCs w:val="22"/>
          <w:lang w:val="fr-FR" w:eastAsia="fr-FR"/>
        </w:rPr>
        <w:t>S’attaquer aux moteurs de la perte et de la dégradation des zones humides</w:t>
      </w:r>
      <w:r w:rsidR="009116D4" w:rsidRPr="001961B1">
        <w:rPr>
          <w:rFonts w:asciiTheme="minorHAnsi" w:hAnsiTheme="minorHAnsi" w:cstheme="minorHAnsi"/>
          <w:bCs/>
          <w:i/>
          <w:iCs/>
          <w:sz w:val="22"/>
          <w:szCs w:val="22"/>
          <w:lang w:val="fr-FR" w:eastAsia="fr-FR"/>
        </w:rPr>
        <w:t> </w:t>
      </w:r>
      <w:r w:rsidR="005917FB" w:rsidRPr="001961B1">
        <w:rPr>
          <w:rFonts w:asciiTheme="minorHAnsi" w:hAnsiTheme="minorHAnsi" w:cstheme="minorHAnsi"/>
          <w:bCs/>
          <w:i/>
          <w:iCs/>
          <w:sz w:val="22"/>
          <w:szCs w:val="22"/>
          <w:lang w:val="fr-FR" w:eastAsia="fr-FR"/>
        </w:rPr>
        <w:t xml:space="preserve">: </w:t>
      </w:r>
      <w:r w:rsidR="002E1EBA" w:rsidRPr="001961B1">
        <w:rPr>
          <w:rFonts w:asciiTheme="minorHAnsi" w:hAnsiTheme="minorHAnsi" w:cstheme="minorHAnsi"/>
          <w:sz w:val="22"/>
          <w:szCs w:val="22"/>
          <w:lang w:val="fr-FR"/>
        </w:rPr>
        <w:t>Généralement</w:t>
      </w:r>
      <w:r w:rsidR="009116D4" w:rsidRPr="001961B1">
        <w:rPr>
          <w:rFonts w:asciiTheme="minorHAnsi" w:hAnsiTheme="minorHAnsi" w:cstheme="minorHAnsi"/>
          <w:sz w:val="22"/>
          <w:szCs w:val="22"/>
          <w:lang w:val="fr-FR"/>
        </w:rPr>
        <w:t xml:space="preserve">, </w:t>
      </w:r>
      <w:r w:rsidR="00291456" w:rsidRPr="001961B1">
        <w:rPr>
          <w:rFonts w:asciiTheme="minorHAnsi" w:hAnsiTheme="minorHAnsi" w:cstheme="minorHAnsi"/>
          <w:sz w:val="22"/>
          <w:szCs w:val="22"/>
          <w:lang w:val="fr-FR"/>
        </w:rPr>
        <w:t xml:space="preserve">il y a eu </w:t>
      </w:r>
      <w:r w:rsidR="009116D4" w:rsidRPr="001961B1">
        <w:rPr>
          <w:rFonts w:asciiTheme="minorHAnsi" w:hAnsiTheme="minorHAnsi" w:cstheme="minorHAnsi"/>
          <w:sz w:val="22"/>
          <w:szCs w:val="22"/>
          <w:lang w:val="fr-FR"/>
        </w:rPr>
        <w:t xml:space="preserve">des </w:t>
      </w:r>
      <w:r w:rsidR="00291456" w:rsidRPr="001961B1">
        <w:rPr>
          <w:rFonts w:asciiTheme="minorHAnsi" w:hAnsiTheme="minorHAnsi" w:cstheme="minorHAnsi"/>
          <w:sz w:val="22"/>
          <w:szCs w:val="22"/>
          <w:lang w:val="fr-FR"/>
        </w:rPr>
        <w:t>avancées progressives dans la lutte</w:t>
      </w:r>
      <w:r w:rsidR="00901048" w:rsidRPr="001961B1">
        <w:rPr>
          <w:rFonts w:asciiTheme="minorHAnsi" w:hAnsiTheme="minorHAnsi" w:cstheme="minorHAnsi"/>
          <w:sz w:val="22"/>
          <w:szCs w:val="22"/>
          <w:lang w:val="fr-FR"/>
        </w:rPr>
        <w:t xml:space="preserve"> contre les facteurs de la perte et de </w:t>
      </w:r>
      <w:r w:rsidR="008314F3" w:rsidRPr="001961B1">
        <w:rPr>
          <w:rFonts w:asciiTheme="minorHAnsi" w:hAnsiTheme="minorHAnsi" w:cstheme="minorHAnsi"/>
          <w:sz w:val="22"/>
          <w:szCs w:val="22"/>
          <w:lang w:val="fr-FR"/>
        </w:rPr>
        <w:t xml:space="preserve">la </w:t>
      </w:r>
      <w:r w:rsidR="00901048" w:rsidRPr="001961B1">
        <w:rPr>
          <w:rFonts w:asciiTheme="minorHAnsi" w:hAnsiTheme="minorHAnsi" w:cstheme="minorHAnsi"/>
          <w:sz w:val="22"/>
          <w:szCs w:val="22"/>
          <w:lang w:val="fr-FR"/>
        </w:rPr>
        <w:t xml:space="preserve">dégradation des zones humides tout au long de la période du PS4. </w:t>
      </w:r>
      <w:r w:rsidR="00291456" w:rsidRPr="001961B1">
        <w:rPr>
          <w:rFonts w:asciiTheme="minorHAnsi" w:hAnsiTheme="minorHAnsi" w:cstheme="minorHAnsi"/>
          <w:sz w:val="22"/>
          <w:szCs w:val="22"/>
          <w:lang w:val="fr-FR"/>
        </w:rPr>
        <w:t xml:space="preserve">L’intégration des zones humides </w:t>
      </w:r>
      <w:r w:rsidR="00B003CF" w:rsidRPr="001961B1">
        <w:rPr>
          <w:rFonts w:asciiTheme="minorHAnsi" w:hAnsiTheme="minorHAnsi" w:cstheme="minorHAnsi"/>
          <w:sz w:val="22"/>
          <w:szCs w:val="22"/>
          <w:lang w:val="fr-FR"/>
        </w:rPr>
        <w:t xml:space="preserve">a tout particulièrement progressé </w:t>
      </w:r>
      <w:r w:rsidR="00291456" w:rsidRPr="001961B1">
        <w:rPr>
          <w:rFonts w:asciiTheme="minorHAnsi" w:hAnsiTheme="minorHAnsi" w:cstheme="minorHAnsi"/>
          <w:sz w:val="22"/>
          <w:szCs w:val="22"/>
          <w:lang w:val="fr-FR"/>
        </w:rPr>
        <w:t xml:space="preserve">dans les stratégies et plans relatifs à la biodiversité et à l’eau </w:t>
      </w:r>
      <w:r w:rsidR="00901048" w:rsidRPr="001961B1">
        <w:rPr>
          <w:rFonts w:asciiTheme="minorHAnsi" w:hAnsiTheme="minorHAnsi" w:cstheme="minorHAnsi"/>
          <w:sz w:val="22"/>
          <w:szCs w:val="22"/>
          <w:lang w:val="fr-FR"/>
        </w:rPr>
        <w:t>mais</w:t>
      </w:r>
      <w:r w:rsidR="00BB1E20" w:rsidRPr="001961B1">
        <w:rPr>
          <w:rFonts w:asciiTheme="minorHAnsi" w:hAnsiTheme="minorHAnsi" w:cstheme="minorHAnsi"/>
          <w:sz w:val="22"/>
          <w:szCs w:val="22"/>
          <w:lang w:val="fr-FR"/>
        </w:rPr>
        <w:t xml:space="preserve"> moins</w:t>
      </w:r>
      <w:r w:rsidR="00901048" w:rsidRPr="001961B1">
        <w:rPr>
          <w:rFonts w:asciiTheme="minorHAnsi" w:hAnsiTheme="minorHAnsi" w:cstheme="minorHAnsi"/>
          <w:sz w:val="22"/>
          <w:szCs w:val="22"/>
          <w:lang w:val="fr-FR"/>
        </w:rPr>
        <w:t xml:space="preserve"> </w:t>
      </w:r>
      <w:r w:rsidR="00BB1E20" w:rsidRPr="001961B1">
        <w:rPr>
          <w:rFonts w:asciiTheme="minorHAnsi" w:hAnsiTheme="minorHAnsi" w:cstheme="minorHAnsi"/>
          <w:sz w:val="22"/>
          <w:szCs w:val="22"/>
          <w:lang w:val="fr-FR"/>
        </w:rPr>
        <w:t xml:space="preserve">dans </w:t>
      </w:r>
      <w:r w:rsidR="00901048" w:rsidRPr="001961B1">
        <w:rPr>
          <w:rFonts w:asciiTheme="minorHAnsi" w:hAnsiTheme="minorHAnsi" w:cstheme="minorHAnsi"/>
          <w:sz w:val="22"/>
          <w:szCs w:val="22"/>
          <w:lang w:val="fr-FR"/>
        </w:rPr>
        <w:t xml:space="preserve">la gestion des ressources en eau et les plans d’économie d’eau et dans certains secteurs qui ont un impact important sur les zones humides. </w:t>
      </w:r>
      <w:r w:rsidR="00B003CF" w:rsidRPr="001961B1">
        <w:rPr>
          <w:rFonts w:asciiTheme="minorHAnsi" w:hAnsiTheme="minorHAnsi" w:cstheme="minorHAnsi"/>
          <w:sz w:val="22"/>
          <w:szCs w:val="22"/>
          <w:lang w:val="fr-FR"/>
        </w:rPr>
        <w:t>Quelques</w:t>
      </w:r>
      <w:r w:rsidR="00901048" w:rsidRPr="001961B1">
        <w:rPr>
          <w:rFonts w:asciiTheme="minorHAnsi" w:hAnsiTheme="minorHAnsi" w:cstheme="minorHAnsi"/>
          <w:sz w:val="22"/>
          <w:szCs w:val="22"/>
          <w:lang w:val="fr-FR"/>
        </w:rPr>
        <w:t xml:space="preserve"> progrès ont été faits </w:t>
      </w:r>
      <w:r w:rsidR="004A34C1" w:rsidRPr="001961B1">
        <w:rPr>
          <w:rFonts w:asciiTheme="minorHAnsi" w:hAnsiTheme="minorHAnsi" w:cstheme="minorHAnsi"/>
          <w:sz w:val="22"/>
          <w:szCs w:val="22"/>
          <w:lang w:val="fr-FR"/>
        </w:rPr>
        <w:t xml:space="preserve">en vue de réformer les programmes de subventions/incitations </w:t>
      </w:r>
      <w:r w:rsidR="00B003CF" w:rsidRPr="001961B1">
        <w:rPr>
          <w:rFonts w:asciiTheme="minorHAnsi" w:hAnsiTheme="minorHAnsi" w:cstheme="minorHAnsi"/>
          <w:sz w:val="22"/>
          <w:szCs w:val="22"/>
          <w:lang w:val="fr-FR"/>
        </w:rPr>
        <w:t>pour</w:t>
      </w:r>
      <w:r w:rsidR="004A34C1" w:rsidRPr="001961B1">
        <w:rPr>
          <w:rFonts w:asciiTheme="minorHAnsi" w:hAnsiTheme="minorHAnsi" w:cstheme="minorHAnsi"/>
          <w:sz w:val="22"/>
          <w:szCs w:val="22"/>
          <w:lang w:val="fr-FR"/>
        </w:rPr>
        <w:t xml:space="preserve"> réduire les pressions et promouvoir l’utilisation rationnelle des zones humides, mais les efforts sont freinés par des difficultés en matière de gouvernance</w:t>
      </w:r>
      <w:r w:rsidR="00B003CF" w:rsidRPr="001961B1">
        <w:rPr>
          <w:rFonts w:asciiTheme="minorHAnsi" w:hAnsiTheme="minorHAnsi" w:cstheme="minorHAnsi"/>
          <w:sz w:val="22"/>
          <w:szCs w:val="22"/>
          <w:lang w:val="fr-FR"/>
        </w:rPr>
        <w:t xml:space="preserve"> et de</w:t>
      </w:r>
      <w:r w:rsidR="004A34C1" w:rsidRPr="001961B1">
        <w:rPr>
          <w:rFonts w:asciiTheme="minorHAnsi" w:hAnsiTheme="minorHAnsi" w:cstheme="minorHAnsi"/>
          <w:sz w:val="22"/>
          <w:szCs w:val="22"/>
          <w:lang w:val="fr-FR"/>
        </w:rPr>
        <w:t xml:space="preserve"> coordination </w:t>
      </w:r>
      <w:r w:rsidR="00B003CF" w:rsidRPr="001961B1">
        <w:rPr>
          <w:rFonts w:asciiTheme="minorHAnsi" w:hAnsiTheme="minorHAnsi" w:cstheme="minorHAnsi"/>
          <w:sz w:val="22"/>
          <w:szCs w:val="22"/>
          <w:lang w:val="fr-FR"/>
        </w:rPr>
        <w:t>et des problèmes économiques</w:t>
      </w:r>
      <w:r w:rsidR="004A34C1" w:rsidRPr="001961B1">
        <w:rPr>
          <w:rFonts w:asciiTheme="minorHAnsi" w:hAnsiTheme="minorHAnsi" w:cstheme="minorHAnsi"/>
          <w:sz w:val="22"/>
          <w:szCs w:val="22"/>
          <w:lang w:val="fr-FR"/>
        </w:rPr>
        <w:t xml:space="preserve">. </w:t>
      </w:r>
      <w:r w:rsidR="00291180" w:rsidRPr="001961B1">
        <w:rPr>
          <w:rFonts w:asciiTheme="minorHAnsi" w:hAnsiTheme="minorHAnsi" w:cstheme="minorHAnsi"/>
          <w:sz w:val="22"/>
          <w:szCs w:val="22"/>
          <w:lang w:val="fr-FR"/>
        </w:rPr>
        <w:t>Les</w:t>
      </w:r>
      <w:r w:rsidR="004A34C1" w:rsidRPr="001961B1">
        <w:rPr>
          <w:rFonts w:asciiTheme="minorHAnsi" w:hAnsiTheme="minorHAnsi" w:cstheme="minorHAnsi"/>
          <w:sz w:val="22"/>
          <w:szCs w:val="22"/>
          <w:lang w:val="fr-FR"/>
        </w:rPr>
        <w:t xml:space="preserve"> progrès </w:t>
      </w:r>
      <w:r w:rsidR="00291180" w:rsidRPr="001961B1">
        <w:rPr>
          <w:rFonts w:asciiTheme="minorHAnsi" w:hAnsiTheme="minorHAnsi" w:cstheme="minorHAnsi"/>
          <w:sz w:val="22"/>
          <w:szCs w:val="22"/>
          <w:lang w:val="fr-FR"/>
        </w:rPr>
        <w:t xml:space="preserve">sont </w:t>
      </w:r>
      <w:r w:rsidR="004A34C1" w:rsidRPr="001961B1">
        <w:rPr>
          <w:rFonts w:asciiTheme="minorHAnsi" w:hAnsiTheme="minorHAnsi" w:cstheme="minorHAnsi"/>
          <w:sz w:val="22"/>
          <w:szCs w:val="22"/>
          <w:lang w:val="fr-FR"/>
        </w:rPr>
        <w:t xml:space="preserve">notables concernant les mesures politiques relatives à la maîtrise et à la gestion des espèces exotiques envahissantes mais </w:t>
      </w:r>
      <w:r w:rsidR="00291180" w:rsidRPr="001961B1">
        <w:rPr>
          <w:rFonts w:asciiTheme="minorHAnsi" w:hAnsiTheme="minorHAnsi" w:cstheme="minorHAnsi"/>
          <w:sz w:val="22"/>
          <w:szCs w:val="22"/>
          <w:lang w:val="fr-FR"/>
        </w:rPr>
        <w:t>l</w:t>
      </w:r>
      <w:r w:rsidR="004A34C1" w:rsidRPr="001961B1">
        <w:rPr>
          <w:rFonts w:asciiTheme="minorHAnsi" w:hAnsiTheme="minorHAnsi" w:cstheme="minorHAnsi"/>
          <w:sz w:val="22"/>
          <w:szCs w:val="22"/>
          <w:lang w:val="fr-FR"/>
        </w:rPr>
        <w:t>es évaluations de l’efficacité des programmes de maîtrise des EEE</w:t>
      </w:r>
      <w:r w:rsidR="00291180" w:rsidRPr="001961B1">
        <w:rPr>
          <w:rFonts w:asciiTheme="minorHAnsi" w:hAnsiTheme="minorHAnsi" w:cstheme="minorHAnsi"/>
          <w:sz w:val="22"/>
          <w:szCs w:val="22"/>
          <w:lang w:val="fr-FR"/>
        </w:rPr>
        <w:t xml:space="preserve"> sont limitées</w:t>
      </w:r>
      <w:r w:rsidR="004A34C1" w:rsidRPr="001961B1">
        <w:rPr>
          <w:rFonts w:asciiTheme="minorHAnsi" w:hAnsiTheme="minorHAnsi" w:cstheme="minorHAnsi"/>
          <w:sz w:val="22"/>
          <w:szCs w:val="22"/>
          <w:lang w:val="fr-FR"/>
        </w:rPr>
        <w:t>.</w:t>
      </w:r>
      <w:r w:rsidR="00AB2083" w:rsidRPr="001961B1">
        <w:rPr>
          <w:rFonts w:asciiTheme="minorHAnsi" w:hAnsiTheme="minorHAnsi" w:cstheme="minorHAnsi"/>
          <w:sz w:val="22"/>
          <w:szCs w:val="22"/>
          <w:lang w:val="fr-FR"/>
        </w:rPr>
        <w:t xml:space="preserve"> </w:t>
      </w:r>
      <w:r w:rsidR="006A2995" w:rsidRPr="001961B1">
        <w:rPr>
          <w:rFonts w:asciiTheme="minorHAnsi" w:hAnsiTheme="minorHAnsi" w:cstheme="minorHAnsi"/>
          <w:sz w:val="22"/>
          <w:szCs w:val="22"/>
          <w:lang w:val="fr-FR"/>
        </w:rPr>
        <w:t xml:space="preserve"> </w:t>
      </w:r>
    </w:p>
    <w:p w14:paraId="688C1F65" w14:textId="77777777" w:rsidR="005A1274" w:rsidRPr="001961B1" w:rsidRDefault="005A1274" w:rsidP="00257025">
      <w:pPr>
        <w:ind w:left="567" w:hanging="567"/>
        <w:rPr>
          <w:rFonts w:asciiTheme="minorHAnsi" w:hAnsiTheme="minorHAnsi" w:cstheme="minorHAnsi"/>
          <w:sz w:val="22"/>
          <w:szCs w:val="22"/>
          <w:lang w:val="fr-FR"/>
        </w:rPr>
      </w:pPr>
    </w:p>
    <w:p w14:paraId="463F05B6" w14:textId="7A1371F3" w:rsidR="005A1274"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bCs/>
          <w:sz w:val="22"/>
          <w:szCs w:val="22"/>
          <w:lang w:val="fr-FR" w:eastAsia="fr-FR"/>
        </w:rPr>
        <w:t>1</w:t>
      </w:r>
      <w:r w:rsidR="0019534C" w:rsidRPr="001961B1">
        <w:rPr>
          <w:rFonts w:asciiTheme="minorHAnsi" w:hAnsiTheme="minorHAnsi" w:cstheme="minorHAnsi"/>
          <w:bCs/>
          <w:sz w:val="22"/>
          <w:szCs w:val="22"/>
          <w:lang w:val="fr-FR" w:eastAsia="fr-FR"/>
        </w:rPr>
        <w:t>3</w:t>
      </w:r>
      <w:r w:rsidR="00C32CF1" w:rsidRPr="001961B1">
        <w:rPr>
          <w:rFonts w:asciiTheme="minorHAnsi" w:hAnsiTheme="minorHAnsi" w:cstheme="minorHAnsi"/>
          <w:bCs/>
          <w:sz w:val="22"/>
          <w:szCs w:val="22"/>
          <w:lang w:val="fr-FR" w:eastAsia="fr-FR"/>
        </w:rPr>
        <w:t>2</w:t>
      </w:r>
      <w:r w:rsidRPr="001961B1">
        <w:rPr>
          <w:rFonts w:asciiTheme="minorHAnsi" w:hAnsiTheme="minorHAnsi" w:cstheme="minorHAnsi"/>
          <w:bCs/>
          <w:sz w:val="22"/>
          <w:szCs w:val="22"/>
          <w:lang w:val="fr-FR" w:eastAsia="fr-FR"/>
        </w:rPr>
        <w:t>.</w:t>
      </w:r>
      <w:r w:rsidRPr="001961B1">
        <w:rPr>
          <w:rFonts w:asciiTheme="minorHAnsi" w:hAnsiTheme="minorHAnsi" w:cstheme="minorHAnsi"/>
          <w:bCs/>
          <w:sz w:val="22"/>
          <w:szCs w:val="22"/>
          <w:lang w:val="fr-FR" w:eastAsia="fr-FR"/>
        </w:rPr>
        <w:tab/>
      </w:r>
      <w:r w:rsidR="005B427E" w:rsidRPr="001961B1">
        <w:rPr>
          <w:rFonts w:asciiTheme="minorHAnsi" w:hAnsiTheme="minorHAnsi" w:cstheme="minorHAnsi"/>
          <w:bCs/>
          <w:i/>
          <w:iCs/>
          <w:sz w:val="22"/>
          <w:szCs w:val="22"/>
          <w:lang w:val="fr-FR" w:eastAsia="fr-FR"/>
        </w:rPr>
        <w:t>But</w:t>
      </w:r>
      <w:r w:rsidR="005A1274" w:rsidRPr="001961B1">
        <w:rPr>
          <w:rFonts w:asciiTheme="minorHAnsi" w:hAnsiTheme="minorHAnsi" w:cstheme="minorHAnsi"/>
          <w:bCs/>
          <w:i/>
          <w:iCs/>
          <w:sz w:val="22"/>
          <w:szCs w:val="22"/>
          <w:lang w:val="fr-FR" w:eastAsia="fr-FR"/>
        </w:rPr>
        <w:t xml:space="preserve"> 2</w:t>
      </w:r>
      <w:r w:rsidR="005B427E" w:rsidRPr="001961B1">
        <w:rPr>
          <w:rFonts w:asciiTheme="minorHAnsi" w:hAnsiTheme="minorHAnsi" w:cstheme="minorHAnsi"/>
          <w:bCs/>
          <w:i/>
          <w:iCs/>
          <w:sz w:val="22"/>
          <w:szCs w:val="22"/>
          <w:lang w:val="fr-FR" w:eastAsia="fr-FR"/>
        </w:rPr>
        <w:t> </w:t>
      </w:r>
      <w:r w:rsidR="005A1274" w:rsidRPr="001961B1">
        <w:rPr>
          <w:rFonts w:asciiTheme="minorHAnsi" w:hAnsiTheme="minorHAnsi" w:cstheme="minorHAnsi"/>
          <w:bCs/>
          <w:i/>
          <w:iCs/>
          <w:sz w:val="22"/>
          <w:szCs w:val="22"/>
          <w:lang w:val="fr-FR" w:eastAsia="fr-FR"/>
        </w:rPr>
        <w:t xml:space="preserve">: </w:t>
      </w:r>
      <w:r w:rsidR="005B427E" w:rsidRPr="001961B1">
        <w:rPr>
          <w:rFonts w:asciiTheme="minorHAnsi" w:hAnsiTheme="minorHAnsi" w:cstheme="minorHAnsi"/>
          <w:bCs/>
          <w:i/>
          <w:iCs/>
          <w:sz w:val="22"/>
          <w:szCs w:val="22"/>
          <w:lang w:val="fr-FR" w:eastAsia="fr-FR"/>
        </w:rPr>
        <w:t>Conserver et gérer efficacement le réseau de zones humides d’importance internationale </w:t>
      </w:r>
      <w:r w:rsidR="005917FB" w:rsidRPr="001961B1">
        <w:rPr>
          <w:rFonts w:asciiTheme="minorHAnsi" w:hAnsiTheme="minorHAnsi" w:cstheme="minorHAnsi"/>
          <w:bCs/>
          <w:i/>
          <w:iCs/>
          <w:sz w:val="22"/>
          <w:szCs w:val="22"/>
          <w:lang w:val="fr-FR" w:eastAsia="fr-FR"/>
        </w:rPr>
        <w:t xml:space="preserve">: </w:t>
      </w:r>
      <w:r w:rsidR="004A34C1" w:rsidRPr="001961B1">
        <w:rPr>
          <w:rFonts w:asciiTheme="minorHAnsi" w:hAnsiTheme="minorHAnsi" w:cstheme="minorHAnsi"/>
          <w:sz w:val="22"/>
          <w:szCs w:val="22"/>
          <w:lang w:val="fr-FR"/>
        </w:rPr>
        <w:t xml:space="preserve">Le réseau des zones humides d’importance internationale a pris de l’ampleur aussi bien </w:t>
      </w:r>
      <w:r w:rsidR="006B7CA8" w:rsidRPr="001961B1">
        <w:rPr>
          <w:rFonts w:asciiTheme="minorHAnsi" w:hAnsiTheme="minorHAnsi" w:cstheme="minorHAnsi"/>
          <w:sz w:val="22"/>
          <w:szCs w:val="22"/>
          <w:lang w:val="fr-FR"/>
        </w:rPr>
        <w:t>en</w:t>
      </w:r>
      <w:r w:rsidR="004A34C1" w:rsidRPr="001961B1">
        <w:rPr>
          <w:rFonts w:asciiTheme="minorHAnsi" w:hAnsiTheme="minorHAnsi" w:cstheme="minorHAnsi"/>
          <w:sz w:val="22"/>
          <w:szCs w:val="22"/>
          <w:lang w:val="fr-FR"/>
        </w:rPr>
        <w:t xml:space="preserve"> nombre de sites qu</w:t>
      </w:r>
      <w:r w:rsidR="006B7CA8" w:rsidRPr="001961B1">
        <w:rPr>
          <w:rFonts w:asciiTheme="minorHAnsi" w:hAnsiTheme="minorHAnsi" w:cstheme="minorHAnsi"/>
          <w:sz w:val="22"/>
          <w:szCs w:val="22"/>
          <w:lang w:val="fr-FR"/>
        </w:rPr>
        <w:t>’en</w:t>
      </w:r>
      <w:r w:rsidR="004A34C1" w:rsidRPr="001961B1">
        <w:rPr>
          <w:rFonts w:asciiTheme="minorHAnsi" w:hAnsiTheme="minorHAnsi" w:cstheme="minorHAnsi"/>
          <w:sz w:val="22"/>
          <w:szCs w:val="22"/>
          <w:lang w:val="fr-FR"/>
        </w:rPr>
        <w:t xml:space="preserve"> superficie et beaucoup de désignations récentes comprennent des types de zones humides sous-représentés. Globalement, </w:t>
      </w:r>
      <w:r w:rsidR="006B7CA8" w:rsidRPr="001961B1">
        <w:rPr>
          <w:rFonts w:asciiTheme="minorHAnsi" w:hAnsiTheme="minorHAnsi" w:cstheme="minorHAnsi"/>
          <w:sz w:val="22"/>
          <w:szCs w:val="22"/>
          <w:lang w:val="fr-FR"/>
        </w:rPr>
        <w:t>l’état d</w:t>
      </w:r>
      <w:r w:rsidR="004A34C1" w:rsidRPr="001961B1">
        <w:rPr>
          <w:rFonts w:asciiTheme="minorHAnsi" w:hAnsiTheme="minorHAnsi" w:cstheme="minorHAnsi"/>
          <w:sz w:val="22"/>
          <w:szCs w:val="22"/>
          <w:lang w:val="fr-FR"/>
        </w:rPr>
        <w:t xml:space="preserve">es caractéristiques écologiques des zones humides d’importance internationale </w:t>
      </w:r>
      <w:r w:rsidR="006B7CA8" w:rsidRPr="001961B1">
        <w:rPr>
          <w:rFonts w:asciiTheme="minorHAnsi" w:hAnsiTheme="minorHAnsi" w:cstheme="minorHAnsi"/>
          <w:sz w:val="22"/>
          <w:szCs w:val="22"/>
          <w:lang w:val="fr-FR"/>
        </w:rPr>
        <w:t>est</w:t>
      </w:r>
      <w:r w:rsidR="004A34C1" w:rsidRPr="001961B1">
        <w:rPr>
          <w:rFonts w:asciiTheme="minorHAnsi" w:hAnsiTheme="minorHAnsi" w:cstheme="minorHAnsi"/>
          <w:sz w:val="22"/>
          <w:szCs w:val="22"/>
          <w:lang w:val="fr-FR"/>
        </w:rPr>
        <w:t xml:space="preserve"> resté relativement inchangé durant la période du PS4 mais on constate une </w:t>
      </w:r>
      <w:r w:rsidR="006B7CA8" w:rsidRPr="001961B1">
        <w:rPr>
          <w:rFonts w:asciiTheme="minorHAnsi" w:hAnsiTheme="minorHAnsi" w:cstheme="minorHAnsi"/>
          <w:sz w:val="22"/>
          <w:szCs w:val="22"/>
          <w:lang w:val="fr-FR"/>
        </w:rPr>
        <w:t xml:space="preserve">diminution </w:t>
      </w:r>
      <w:r w:rsidR="004A34C1" w:rsidRPr="001961B1">
        <w:rPr>
          <w:rFonts w:asciiTheme="minorHAnsi" w:hAnsiTheme="minorHAnsi" w:cstheme="minorHAnsi"/>
          <w:sz w:val="22"/>
          <w:szCs w:val="22"/>
          <w:lang w:val="fr-FR"/>
        </w:rPr>
        <w:t xml:space="preserve">du nombre de Parties contractantes indiquant que l’état des sites s’est amélioré. </w:t>
      </w:r>
      <w:r w:rsidR="001F4D84" w:rsidRPr="001961B1">
        <w:rPr>
          <w:rFonts w:asciiTheme="minorHAnsi" w:hAnsiTheme="minorHAnsi" w:cstheme="minorHAnsi"/>
          <w:sz w:val="22"/>
          <w:szCs w:val="22"/>
          <w:lang w:val="fr-FR"/>
        </w:rPr>
        <w:t>L</w:t>
      </w:r>
      <w:r w:rsidR="004A34C1" w:rsidRPr="001961B1">
        <w:rPr>
          <w:rFonts w:asciiTheme="minorHAnsi" w:hAnsiTheme="minorHAnsi" w:cstheme="minorHAnsi"/>
          <w:sz w:val="22"/>
          <w:szCs w:val="22"/>
          <w:lang w:val="fr-FR"/>
        </w:rPr>
        <w:t>e nombre de zones humides d’importance internationale disposant d’une gestion efficace</w:t>
      </w:r>
      <w:r w:rsidR="001F4D84" w:rsidRPr="001961B1">
        <w:rPr>
          <w:rFonts w:asciiTheme="minorHAnsi" w:hAnsiTheme="minorHAnsi" w:cstheme="minorHAnsi"/>
          <w:sz w:val="22"/>
          <w:szCs w:val="22"/>
          <w:lang w:val="fr-FR"/>
        </w:rPr>
        <w:t xml:space="preserve"> a augmenté</w:t>
      </w:r>
      <w:r w:rsidR="004A34C1" w:rsidRPr="001961B1">
        <w:rPr>
          <w:rFonts w:asciiTheme="minorHAnsi" w:hAnsiTheme="minorHAnsi" w:cstheme="minorHAnsi"/>
          <w:sz w:val="22"/>
          <w:szCs w:val="22"/>
          <w:lang w:val="fr-FR"/>
        </w:rPr>
        <w:t xml:space="preserve"> mais l’efficacité de la gestion </w:t>
      </w:r>
      <w:r w:rsidR="001F4D84" w:rsidRPr="001961B1">
        <w:rPr>
          <w:rFonts w:asciiTheme="minorHAnsi" w:hAnsiTheme="minorHAnsi" w:cstheme="minorHAnsi"/>
          <w:sz w:val="22"/>
          <w:szCs w:val="22"/>
          <w:lang w:val="fr-FR"/>
        </w:rPr>
        <w:t>de quelques sites seulement a été évaluée</w:t>
      </w:r>
      <w:r w:rsidR="004A34C1" w:rsidRPr="001961B1">
        <w:rPr>
          <w:rFonts w:asciiTheme="minorHAnsi" w:hAnsiTheme="minorHAnsi" w:cstheme="minorHAnsi"/>
          <w:sz w:val="22"/>
          <w:szCs w:val="22"/>
          <w:lang w:val="fr-FR"/>
        </w:rPr>
        <w:t xml:space="preserve">. Une très grande proportion de Fiches descriptives Ramsar </w:t>
      </w:r>
      <w:r w:rsidR="00084492" w:rsidRPr="001961B1">
        <w:rPr>
          <w:rFonts w:asciiTheme="minorHAnsi" w:hAnsiTheme="minorHAnsi" w:cstheme="minorHAnsi"/>
          <w:sz w:val="22"/>
          <w:szCs w:val="22"/>
          <w:lang w:val="fr-FR"/>
        </w:rPr>
        <w:t>est</w:t>
      </w:r>
      <w:r w:rsidR="004A34C1" w:rsidRPr="001961B1">
        <w:rPr>
          <w:rFonts w:asciiTheme="minorHAnsi" w:hAnsiTheme="minorHAnsi" w:cstheme="minorHAnsi"/>
          <w:sz w:val="22"/>
          <w:szCs w:val="22"/>
          <w:lang w:val="fr-FR"/>
        </w:rPr>
        <w:t xml:space="preserve"> </w:t>
      </w:r>
      <w:r w:rsidR="002A4F27" w:rsidRPr="001961B1">
        <w:rPr>
          <w:rFonts w:asciiTheme="minorHAnsi" w:hAnsiTheme="minorHAnsi" w:cstheme="minorHAnsi"/>
          <w:sz w:val="22"/>
          <w:szCs w:val="22"/>
          <w:lang w:val="fr-FR"/>
        </w:rPr>
        <w:t xml:space="preserve">obsolète et l’utilisation des processus clés </w:t>
      </w:r>
      <w:r w:rsidR="001F4D84" w:rsidRPr="001961B1">
        <w:rPr>
          <w:rFonts w:asciiTheme="minorHAnsi" w:hAnsiTheme="minorHAnsi" w:cstheme="minorHAnsi"/>
          <w:sz w:val="22"/>
          <w:szCs w:val="22"/>
          <w:lang w:val="fr-FR"/>
        </w:rPr>
        <w:t>permettant de réagir</w:t>
      </w:r>
      <w:r w:rsidR="00D90C5A" w:rsidRPr="001961B1">
        <w:rPr>
          <w:rFonts w:asciiTheme="minorHAnsi" w:hAnsiTheme="minorHAnsi" w:cstheme="minorHAnsi"/>
          <w:sz w:val="22"/>
          <w:szCs w:val="22"/>
          <w:lang w:val="fr-FR"/>
        </w:rPr>
        <w:t xml:space="preserve"> aux changements négatifs dans les caractéristiques écologiques des zones humides d’importance internationale, y compris le Registre de Montreux, est limitée.</w:t>
      </w:r>
      <w:r w:rsidR="005A1274" w:rsidRPr="001961B1">
        <w:rPr>
          <w:rFonts w:asciiTheme="minorHAnsi" w:hAnsiTheme="minorHAnsi" w:cstheme="minorHAnsi"/>
          <w:sz w:val="22"/>
          <w:szCs w:val="22"/>
          <w:lang w:val="fr-FR"/>
        </w:rPr>
        <w:t xml:space="preserve"> </w:t>
      </w:r>
    </w:p>
    <w:p w14:paraId="7ACAE2B7" w14:textId="77777777" w:rsidR="005A1274" w:rsidRPr="001961B1" w:rsidRDefault="005A1274" w:rsidP="00257025">
      <w:pPr>
        <w:ind w:left="567" w:hanging="567"/>
        <w:rPr>
          <w:rFonts w:asciiTheme="minorHAnsi" w:hAnsiTheme="minorHAnsi" w:cstheme="minorHAnsi"/>
          <w:sz w:val="22"/>
          <w:szCs w:val="22"/>
          <w:lang w:val="fr-FR"/>
        </w:rPr>
      </w:pPr>
    </w:p>
    <w:p w14:paraId="4A990703" w14:textId="39C6352D" w:rsidR="005A1274"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bCs/>
          <w:sz w:val="22"/>
          <w:szCs w:val="22"/>
          <w:lang w:val="fr-FR" w:eastAsia="fr-FR"/>
        </w:rPr>
        <w:t>1</w:t>
      </w:r>
      <w:r w:rsidR="0019534C" w:rsidRPr="001961B1">
        <w:rPr>
          <w:rFonts w:asciiTheme="minorHAnsi" w:hAnsiTheme="minorHAnsi" w:cstheme="minorHAnsi"/>
          <w:bCs/>
          <w:sz w:val="22"/>
          <w:szCs w:val="22"/>
          <w:lang w:val="fr-FR" w:eastAsia="fr-FR"/>
        </w:rPr>
        <w:t>3</w:t>
      </w:r>
      <w:r w:rsidR="00C32CF1" w:rsidRPr="001961B1">
        <w:rPr>
          <w:rFonts w:asciiTheme="minorHAnsi" w:hAnsiTheme="minorHAnsi" w:cstheme="minorHAnsi"/>
          <w:bCs/>
          <w:sz w:val="22"/>
          <w:szCs w:val="22"/>
          <w:lang w:val="fr-FR" w:eastAsia="fr-FR"/>
        </w:rPr>
        <w:t>3</w:t>
      </w:r>
      <w:r w:rsidRPr="001961B1">
        <w:rPr>
          <w:rFonts w:asciiTheme="minorHAnsi" w:hAnsiTheme="minorHAnsi" w:cstheme="minorHAnsi"/>
          <w:bCs/>
          <w:sz w:val="22"/>
          <w:szCs w:val="22"/>
          <w:lang w:val="fr-FR" w:eastAsia="fr-FR"/>
        </w:rPr>
        <w:t>.</w:t>
      </w:r>
      <w:r w:rsidRPr="001961B1">
        <w:rPr>
          <w:rFonts w:asciiTheme="minorHAnsi" w:hAnsiTheme="minorHAnsi" w:cstheme="minorHAnsi"/>
          <w:bCs/>
          <w:i/>
          <w:iCs/>
          <w:sz w:val="22"/>
          <w:szCs w:val="22"/>
          <w:lang w:val="fr-FR" w:eastAsia="fr-FR"/>
        </w:rPr>
        <w:tab/>
      </w:r>
      <w:r w:rsidR="005B427E" w:rsidRPr="001961B1">
        <w:rPr>
          <w:rFonts w:asciiTheme="minorHAnsi" w:hAnsiTheme="minorHAnsi" w:cstheme="minorHAnsi"/>
          <w:bCs/>
          <w:i/>
          <w:iCs/>
          <w:sz w:val="22"/>
          <w:szCs w:val="22"/>
          <w:lang w:val="fr-FR" w:eastAsia="fr-FR"/>
        </w:rPr>
        <w:t>But</w:t>
      </w:r>
      <w:r w:rsidR="005A1274" w:rsidRPr="001961B1">
        <w:rPr>
          <w:rFonts w:asciiTheme="minorHAnsi" w:hAnsiTheme="minorHAnsi" w:cstheme="minorHAnsi"/>
          <w:bCs/>
          <w:i/>
          <w:iCs/>
          <w:sz w:val="22"/>
          <w:szCs w:val="22"/>
          <w:lang w:val="fr-FR" w:eastAsia="fr-FR"/>
        </w:rPr>
        <w:t xml:space="preserve"> 3</w:t>
      </w:r>
      <w:r w:rsidR="005B427E" w:rsidRPr="001961B1">
        <w:rPr>
          <w:rFonts w:asciiTheme="minorHAnsi" w:hAnsiTheme="minorHAnsi" w:cstheme="minorHAnsi"/>
          <w:bCs/>
          <w:i/>
          <w:iCs/>
          <w:sz w:val="22"/>
          <w:szCs w:val="22"/>
          <w:lang w:val="fr-FR" w:eastAsia="fr-FR"/>
        </w:rPr>
        <w:t> </w:t>
      </w:r>
      <w:r w:rsidR="005A1274" w:rsidRPr="001961B1">
        <w:rPr>
          <w:rFonts w:asciiTheme="minorHAnsi" w:hAnsiTheme="minorHAnsi" w:cstheme="minorHAnsi"/>
          <w:bCs/>
          <w:i/>
          <w:iCs/>
          <w:sz w:val="22"/>
          <w:szCs w:val="22"/>
          <w:lang w:val="fr-FR" w:eastAsia="fr-FR"/>
        </w:rPr>
        <w:t xml:space="preserve">: </w:t>
      </w:r>
      <w:r w:rsidR="005B427E" w:rsidRPr="001961B1">
        <w:rPr>
          <w:rFonts w:asciiTheme="minorHAnsi" w:hAnsiTheme="minorHAnsi" w:cstheme="minorHAnsi"/>
          <w:bCs/>
          <w:i/>
          <w:iCs/>
          <w:sz w:val="22"/>
          <w:szCs w:val="22"/>
          <w:lang w:val="fr-FR" w:eastAsia="fr-FR"/>
        </w:rPr>
        <w:t>Utiliser toutes les zones humides de façon rationnelle </w:t>
      </w:r>
      <w:r w:rsidR="001A03EB" w:rsidRPr="001961B1">
        <w:rPr>
          <w:rFonts w:asciiTheme="minorHAnsi" w:hAnsiTheme="minorHAnsi" w:cstheme="minorHAnsi"/>
          <w:bCs/>
          <w:i/>
          <w:iCs/>
          <w:sz w:val="22"/>
          <w:szCs w:val="22"/>
          <w:lang w:val="fr-FR" w:eastAsia="fr-FR"/>
        </w:rPr>
        <w:t xml:space="preserve">: </w:t>
      </w:r>
      <w:r w:rsidR="0020212C" w:rsidRPr="001961B1">
        <w:rPr>
          <w:rFonts w:asciiTheme="minorHAnsi" w:hAnsiTheme="minorHAnsi" w:cstheme="minorHAnsi"/>
          <w:sz w:val="22"/>
          <w:szCs w:val="22"/>
          <w:lang w:val="fr-FR" w:eastAsia="fr-FR"/>
        </w:rPr>
        <w:t xml:space="preserve">La promotion de l’utilisation rationnelle des zones humides par des ressources intégrées en matière de gestion, y compris dans le cadre de politiques pour les zones humides ou instruments équivalents fait </w:t>
      </w:r>
      <w:r w:rsidR="00234157" w:rsidRPr="001961B1">
        <w:rPr>
          <w:rFonts w:asciiTheme="minorHAnsi" w:hAnsiTheme="minorHAnsi" w:cstheme="minorHAnsi"/>
          <w:sz w:val="22"/>
          <w:szCs w:val="22"/>
          <w:lang w:val="fr-FR" w:eastAsia="fr-FR"/>
        </w:rPr>
        <w:t xml:space="preserve">des progrès constants. Les outils clés </w:t>
      </w:r>
      <w:r w:rsidR="0020212C" w:rsidRPr="001961B1">
        <w:rPr>
          <w:rFonts w:asciiTheme="minorHAnsi" w:hAnsiTheme="minorHAnsi" w:cstheme="minorHAnsi"/>
          <w:sz w:val="22"/>
          <w:szCs w:val="22"/>
          <w:lang w:val="fr-FR" w:eastAsia="fr-FR"/>
        </w:rPr>
        <w:t>pour la</w:t>
      </w:r>
      <w:r w:rsidR="00234157" w:rsidRPr="001961B1">
        <w:rPr>
          <w:rFonts w:asciiTheme="minorHAnsi" w:hAnsiTheme="minorHAnsi" w:cstheme="minorHAnsi"/>
          <w:sz w:val="22"/>
          <w:szCs w:val="22"/>
          <w:lang w:val="fr-FR" w:eastAsia="fr-FR"/>
        </w:rPr>
        <w:t xml:space="preserve"> planification et </w:t>
      </w:r>
      <w:r w:rsidR="0020212C" w:rsidRPr="001961B1">
        <w:rPr>
          <w:rFonts w:asciiTheme="minorHAnsi" w:hAnsiTheme="minorHAnsi" w:cstheme="minorHAnsi"/>
          <w:sz w:val="22"/>
          <w:szCs w:val="22"/>
          <w:lang w:val="fr-FR" w:eastAsia="fr-FR"/>
        </w:rPr>
        <w:t>l</w:t>
      </w:r>
      <w:r w:rsidR="00234157" w:rsidRPr="001961B1">
        <w:rPr>
          <w:rFonts w:asciiTheme="minorHAnsi" w:hAnsiTheme="minorHAnsi" w:cstheme="minorHAnsi"/>
          <w:sz w:val="22"/>
          <w:szCs w:val="22"/>
          <w:lang w:val="fr-FR" w:eastAsia="fr-FR"/>
        </w:rPr>
        <w:t xml:space="preserve">’appui aux décisions tels que les évaluations d’impact sur l’environnement (EIE) et les évaluations stratégiques </w:t>
      </w:r>
      <w:r w:rsidR="00234157" w:rsidRPr="001961B1">
        <w:rPr>
          <w:rFonts w:asciiTheme="minorHAnsi" w:hAnsiTheme="minorHAnsi" w:cstheme="minorHAnsi"/>
          <w:sz w:val="22"/>
          <w:szCs w:val="22"/>
          <w:lang w:val="fr-FR"/>
        </w:rPr>
        <w:t xml:space="preserve">environnementales (ESE) sont très largement utilisés, soutenant les mesures </w:t>
      </w:r>
      <w:r w:rsidR="0020212C" w:rsidRPr="001961B1">
        <w:rPr>
          <w:rFonts w:asciiTheme="minorHAnsi" w:hAnsiTheme="minorHAnsi" w:cstheme="minorHAnsi"/>
          <w:sz w:val="22"/>
          <w:szCs w:val="22"/>
          <w:lang w:val="fr-FR"/>
        </w:rPr>
        <w:t>visant à la</w:t>
      </w:r>
      <w:r w:rsidR="00234157" w:rsidRPr="001961B1">
        <w:rPr>
          <w:rFonts w:asciiTheme="minorHAnsi" w:hAnsiTheme="minorHAnsi" w:cstheme="minorHAnsi"/>
          <w:sz w:val="22"/>
          <w:szCs w:val="22"/>
          <w:lang w:val="fr-FR"/>
        </w:rPr>
        <w:t xml:space="preserve"> durabilité dans des secteurs qui affectent les zones humides. Toutefois, l’évaluation des services écosystémiques des zones humides pour soutenir les considérations relatives à leurs valeurs socioéconomiques et culturelles dans les politiques et plans pertinents et autres mesures</w:t>
      </w:r>
      <w:r w:rsidR="0020212C" w:rsidRPr="001961B1">
        <w:rPr>
          <w:rFonts w:asciiTheme="minorHAnsi" w:hAnsiTheme="minorHAnsi" w:cstheme="minorHAnsi"/>
          <w:sz w:val="22"/>
          <w:szCs w:val="22"/>
          <w:lang w:val="fr-FR"/>
        </w:rPr>
        <w:t xml:space="preserve"> a peu progressé</w:t>
      </w:r>
      <w:r w:rsidR="00234157" w:rsidRPr="001961B1">
        <w:rPr>
          <w:rFonts w:asciiTheme="minorHAnsi" w:hAnsiTheme="minorHAnsi" w:cstheme="minorHAnsi"/>
          <w:sz w:val="22"/>
          <w:szCs w:val="22"/>
          <w:lang w:val="fr-FR"/>
        </w:rPr>
        <w:t xml:space="preserve">. </w:t>
      </w:r>
      <w:r w:rsidR="0020212C" w:rsidRPr="001961B1">
        <w:rPr>
          <w:rFonts w:asciiTheme="minorHAnsi" w:hAnsiTheme="minorHAnsi" w:cstheme="minorHAnsi"/>
          <w:sz w:val="22"/>
          <w:szCs w:val="22"/>
          <w:lang w:val="fr-FR"/>
        </w:rPr>
        <w:t xml:space="preserve">C’est aussi le cas de l’élaboration et de la mise </w:t>
      </w:r>
      <w:r w:rsidR="00234157" w:rsidRPr="001961B1">
        <w:rPr>
          <w:rFonts w:asciiTheme="minorHAnsi" w:hAnsiTheme="minorHAnsi" w:cstheme="minorHAnsi"/>
          <w:sz w:val="22"/>
          <w:szCs w:val="22"/>
          <w:lang w:val="fr-FR"/>
        </w:rPr>
        <w:t>à jour des inventaires nationaux des zones humides, une contrainte importante lorsqu’il s’agit de soutenir la gestion et l’utilisation rationnelle des zones humides</w:t>
      </w:r>
      <w:r w:rsidR="0020212C" w:rsidRPr="001961B1">
        <w:rPr>
          <w:rFonts w:asciiTheme="minorHAnsi" w:hAnsiTheme="minorHAnsi" w:cstheme="minorHAnsi"/>
          <w:sz w:val="22"/>
          <w:szCs w:val="22"/>
          <w:lang w:val="fr-FR"/>
        </w:rPr>
        <w:t xml:space="preserve"> sur la base d’éléments concrets</w:t>
      </w:r>
      <w:r w:rsidR="00234157" w:rsidRPr="001961B1">
        <w:rPr>
          <w:rFonts w:asciiTheme="minorHAnsi" w:hAnsiTheme="minorHAnsi" w:cstheme="minorHAnsi"/>
          <w:sz w:val="22"/>
          <w:szCs w:val="22"/>
          <w:lang w:val="fr-FR"/>
        </w:rPr>
        <w:t xml:space="preserve">, ainsi que d’établir des rapports dans le cadre de la Convention et </w:t>
      </w:r>
      <w:r w:rsidR="0020212C" w:rsidRPr="001961B1">
        <w:rPr>
          <w:rFonts w:asciiTheme="minorHAnsi" w:hAnsiTheme="minorHAnsi" w:cstheme="minorHAnsi"/>
          <w:sz w:val="22"/>
          <w:szCs w:val="22"/>
          <w:lang w:val="fr-FR"/>
        </w:rPr>
        <w:t>pour</w:t>
      </w:r>
      <w:r w:rsidR="00234157" w:rsidRPr="001961B1">
        <w:rPr>
          <w:rFonts w:asciiTheme="minorHAnsi" w:hAnsiTheme="minorHAnsi" w:cstheme="minorHAnsi"/>
          <w:sz w:val="22"/>
          <w:szCs w:val="22"/>
          <w:lang w:val="fr-FR"/>
        </w:rPr>
        <w:t xml:space="preserve"> d’autres objectifs et cibles mondiaux.</w:t>
      </w:r>
      <w:r w:rsidR="005A1274" w:rsidRPr="001961B1">
        <w:rPr>
          <w:rFonts w:asciiTheme="minorHAnsi" w:hAnsiTheme="minorHAnsi" w:cstheme="minorHAnsi"/>
          <w:sz w:val="22"/>
          <w:szCs w:val="22"/>
          <w:lang w:val="fr-FR"/>
        </w:rPr>
        <w:t xml:space="preserve"> </w:t>
      </w:r>
    </w:p>
    <w:p w14:paraId="6BAED1DB" w14:textId="77777777" w:rsidR="005A1274" w:rsidRPr="001961B1" w:rsidRDefault="005A1274" w:rsidP="00257025">
      <w:pPr>
        <w:ind w:left="567" w:hanging="567"/>
        <w:rPr>
          <w:rFonts w:asciiTheme="minorHAnsi" w:hAnsiTheme="minorHAnsi" w:cstheme="minorHAnsi"/>
          <w:sz w:val="22"/>
          <w:szCs w:val="22"/>
          <w:lang w:val="fr-FR"/>
        </w:rPr>
      </w:pPr>
    </w:p>
    <w:p w14:paraId="53D14BAC" w14:textId="2FD1CA54" w:rsidR="005A1274"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bCs/>
          <w:sz w:val="22"/>
          <w:szCs w:val="22"/>
          <w:lang w:val="fr-FR" w:eastAsia="fr-FR"/>
        </w:rPr>
        <w:t>1</w:t>
      </w:r>
      <w:r w:rsidR="0019534C" w:rsidRPr="001961B1">
        <w:rPr>
          <w:rFonts w:asciiTheme="minorHAnsi" w:hAnsiTheme="minorHAnsi" w:cstheme="minorHAnsi"/>
          <w:bCs/>
          <w:sz w:val="22"/>
          <w:szCs w:val="22"/>
          <w:lang w:val="fr-FR" w:eastAsia="fr-FR"/>
        </w:rPr>
        <w:t>3</w:t>
      </w:r>
      <w:r w:rsidR="00C32CF1" w:rsidRPr="001961B1">
        <w:rPr>
          <w:rFonts w:asciiTheme="minorHAnsi" w:hAnsiTheme="minorHAnsi" w:cstheme="minorHAnsi"/>
          <w:bCs/>
          <w:sz w:val="22"/>
          <w:szCs w:val="22"/>
          <w:lang w:val="fr-FR" w:eastAsia="fr-FR"/>
        </w:rPr>
        <w:t>4</w:t>
      </w:r>
      <w:r w:rsidRPr="001961B1">
        <w:rPr>
          <w:rFonts w:asciiTheme="minorHAnsi" w:hAnsiTheme="minorHAnsi" w:cstheme="minorHAnsi"/>
          <w:bCs/>
          <w:sz w:val="22"/>
          <w:szCs w:val="22"/>
          <w:lang w:val="fr-FR" w:eastAsia="fr-FR"/>
        </w:rPr>
        <w:t>.</w:t>
      </w:r>
      <w:r w:rsidRPr="001961B1">
        <w:rPr>
          <w:rFonts w:asciiTheme="minorHAnsi" w:hAnsiTheme="minorHAnsi" w:cstheme="minorHAnsi"/>
          <w:bCs/>
          <w:sz w:val="22"/>
          <w:szCs w:val="22"/>
          <w:lang w:val="fr-FR" w:eastAsia="fr-FR"/>
        </w:rPr>
        <w:tab/>
      </w:r>
      <w:r w:rsidR="005B427E" w:rsidRPr="001961B1">
        <w:rPr>
          <w:rFonts w:asciiTheme="minorHAnsi" w:hAnsiTheme="minorHAnsi" w:cstheme="minorHAnsi"/>
          <w:bCs/>
          <w:i/>
          <w:iCs/>
          <w:sz w:val="22"/>
          <w:szCs w:val="22"/>
          <w:lang w:val="fr-FR" w:eastAsia="fr-FR"/>
        </w:rPr>
        <w:t>But</w:t>
      </w:r>
      <w:r w:rsidR="005A1274" w:rsidRPr="001961B1">
        <w:rPr>
          <w:rFonts w:asciiTheme="minorHAnsi" w:hAnsiTheme="minorHAnsi" w:cstheme="minorHAnsi"/>
          <w:bCs/>
          <w:i/>
          <w:iCs/>
          <w:sz w:val="22"/>
          <w:szCs w:val="22"/>
          <w:lang w:val="fr-FR" w:eastAsia="fr-FR"/>
        </w:rPr>
        <w:t xml:space="preserve"> 4</w:t>
      </w:r>
      <w:r w:rsidR="005B427E" w:rsidRPr="001961B1">
        <w:rPr>
          <w:rFonts w:asciiTheme="minorHAnsi" w:hAnsiTheme="minorHAnsi" w:cstheme="minorHAnsi"/>
          <w:bCs/>
          <w:i/>
          <w:iCs/>
          <w:sz w:val="22"/>
          <w:szCs w:val="22"/>
          <w:lang w:val="fr-FR" w:eastAsia="fr-FR"/>
        </w:rPr>
        <w:t> </w:t>
      </w:r>
      <w:r w:rsidR="005A1274" w:rsidRPr="001961B1">
        <w:rPr>
          <w:rFonts w:asciiTheme="minorHAnsi" w:hAnsiTheme="minorHAnsi" w:cstheme="minorHAnsi"/>
          <w:bCs/>
          <w:i/>
          <w:iCs/>
          <w:sz w:val="22"/>
          <w:szCs w:val="22"/>
          <w:lang w:val="fr-FR" w:eastAsia="fr-FR"/>
        </w:rPr>
        <w:t xml:space="preserve">: </w:t>
      </w:r>
      <w:r w:rsidR="005B427E" w:rsidRPr="001961B1">
        <w:rPr>
          <w:rFonts w:asciiTheme="minorHAnsi" w:hAnsiTheme="minorHAnsi" w:cstheme="minorHAnsi"/>
          <w:bCs/>
          <w:i/>
          <w:iCs/>
          <w:sz w:val="22"/>
          <w:szCs w:val="22"/>
          <w:lang w:val="fr-FR" w:eastAsia="fr-FR"/>
        </w:rPr>
        <w:t>Améliorer la mise en œuvre </w:t>
      </w:r>
      <w:r w:rsidR="00C01DD8" w:rsidRPr="001961B1">
        <w:rPr>
          <w:rFonts w:asciiTheme="minorHAnsi" w:hAnsiTheme="minorHAnsi" w:cstheme="minorHAnsi"/>
          <w:bCs/>
          <w:i/>
          <w:iCs/>
          <w:sz w:val="22"/>
          <w:szCs w:val="22"/>
          <w:lang w:val="fr-FR" w:eastAsia="fr-FR"/>
        </w:rPr>
        <w:t xml:space="preserve">: </w:t>
      </w:r>
      <w:r w:rsidR="00234157" w:rsidRPr="001961B1">
        <w:rPr>
          <w:rFonts w:asciiTheme="minorHAnsi" w:hAnsiTheme="minorHAnsi" w:cstheme="minorHAnsi"/>
          <w:sz w:val="22"/>
          <w:szCs w:val="22"/>
          <w:lang w:val="fr-FR"/>
        </w:rPr>
        <w:t xml:space="preserve">La coopération internationale </w:t>
      </w:r>
      <w:r w:rsidR="00701765" w:rsidRPr="001961B1">
        <w:rPr>
          <w:rFonts w:asciiTheme="minorHAnsi" w:hAnsiTheme="minorHAnsi" w:cstheme="minorHAnsi"/>
          <w:sz w:val="22"/>
          <w:szCs w:val="22"/>
          <w:lang w:val="fr-FR"/>
        </w:rPr>
        <w:t xml:space="preserve">fait généralement des progrès, notamment grâce à la création d’Initiatives régionales Ramsar et à la coopération relative aux espèces migratrices et </w:t>
      </w:r>
      <w:r w:rsidR="007A304A" w:rsidRPr="001961B1">
        <w:rPr>
          <w:rFonts w:asciiTheme="minorHAnsi" w:hAnsiTheme="minorHAnsi" w:cstheme="minorHAnsi"/>
          <w:sz w:val="22"/>
          <w:szCs w:val="22"/>
          <w:lang w:val="fr-FR"/>
        </w:rPr>
        <w:t>dans le cadre de</w:t>
      </w:r>
      <w:r w:rsidR="00701765" w:rsidRPr="001961B1">
        <w:rPr>
          <w:rFonts w:asciiTheme="minorHAnsi" w:hAnsiTheme="minorHAnsi" w:cstheme="minorHAnsi"/>
          <w:sz w:val="22"/>
          <w:szCs w:val="22"/>
          <w:lang w:val="fr-FR"/>
        </w:rPr>
        <w:t xml:space="preserve"> systèmes de zones humides partagés. Toutefois, les progrès de mise en œuvre varient selon les IRR et certaines ont </w:t>
      </w:r>
      <w:r w:rsidR="007A304A" w:rsidRPr="001961B1">
        <w:rPr>
          <w:rFonts w:asciiTheme="minorHAnsi" w:hAnsiTheme="minorHAnsi" w:cstheme="minorHAnsi"/>
          <w:sz w:val="22"/>
          <w:szCs w:val="22"/>
          <w:lang w:val="fr-FR"/>
        </w:rPr>
        <w:t>éprouvé</w:t>
      </w:r>
      <w:r w:rsidR="00701765" w:rsidRPr="001961B1">
        <w:rPr>
          <w:rFonts w:asciiTheme="minorHAnsi" w:hAnsiTheme="minorHAnsi" w:cstheme="minorHAnsi"/>
          <w:sz w:val="22"/>
          <w:szCs w:val="22"/>
          <w:lang w:val="fr-FR"/>
        </w:rPr>
        <w:t xml:space="preserve"> des difficultés </w:t>
      </w:r>
      <w:r w:rsidR="007A304A" w:rsidRPr="001961B1">
        <w:rPr>
          <w:rFonts w:asciiTheme="minorHAnsi" w:hAnsiTheme="minorHAnsi" w:cstheme="minorHAnsi"/>
          <w:sz w:val="22"/>
          <w:szCs w:val="22"/>
          <w:lang w:val="fr-FR"/>
        </w:rPr>
        <w:t>à maintenir</w:t>
      </w:r>
      <w:r w:rsidR="00701765" w:rsidRPr="001961B1">
        <w:rPr>
          <w:rFonts w:asciiTheme="minorHAnsi" w:hAnsiTheme="minorHAnsi" w:cstheme="minorHAnsi"/>
          <w:sz w:val="22"/>
          <w:szCs w:val="22"/>
          <w:lang w:val="fr-FR"/>
        </w:rPr>
        <w:t xml:space="preserve"> leurs opérations. La Journée mondiale des zones humides contribue de manière significative à l’amélioration de la visibilité de la Convention et l’engagement des </w:t>
      </w:r>
      <w:r w:rsidR="00701765" w:rsidRPr="001961B1">
        <w:rPr>
          <w:rFonts w:asciiTheme="minorHAnsi" w:hAnsiTheme="minorHAnsi" w:cstheme="minorHAnsi"/>
          <w:sz w:val="22"/>
          <w:szCs w:val="22"/>
          <w:lang w:val="fr-FR"/>
        </w:rPr>
        <w:lastRenderedPageBreak/>
        <w:t>Parties contractes est constamment élevé. Toutefois, l’impact de l’information, de la sensibilisation et du renforcement des capacités est peut-être compromis par un développement limité de plans d’action nationaux en matière de CESP. Il y a certes quelques progrès en matière de financement pour la mise en œuvre de la Convention grâce à des attributions de budg</w:t>
      </w:r>
      <w:r w:rsidR="008314F3" w:rsidRPr="001961B1">
        <w:rPr>
          <w:rFonts w:asciiTheme="minorHAnsi" w:hAnsiTheme="minorHAnsi" w:cstheme="minorHAnsi"/>
          <w:sz w:val="22"/>
          <w:szCs w:val="22"/>
          <w:lang w:val="fr-FR"/>
        </w:rPr>
        <w:t>étaires nationales</w:t>
      </w:r>
      <w:r w:rsidR="00701765" w:rsidRPr="001961B1">
        <w:rPr>
          <w:rFonts w:asciiTheme="minorHAnsi" w:hAnsiTheme="minorHAnsi" w:cstheme="minorHAnsi"/>
          <w:sz w:val="22"/>
          <w:szCs w:val="22"/>
          <w:lang w:val="fr-FR"/>
        </w:rPr>
        <w:t xml:space="preserve"> ainsi que par des subventions apportées par des pays donateurs mais de nombreuses Parties </w:t>
      </w:r>
      <w:r w:rsidR="007A304A" w:rsidRPr="001961B1">
        <w:rPr>
          <w:rFonts w:asciiTheme="minorHAnsi" w:hAnsiTheme="minorHAnsi" w:cstheme="minorHAnsi"/>
          <w:sz w:val="22"/>
          <w:szCs w:val="22"/>
          <w:lang w:val="fr-FR"/>
        </w:rPr>
        <w:t>estiment le</w:t>
      </w:r>
      <w:r w:rsidR="00701765" w:rsidRPr="001961B1">
        <w:rPr>
          <w:rFonts w:asciiTheme="minorHAnsi" w:hAnsiTheme="minorHAnsi" w:cstheme="minorHAnsi"/>
          <w:sz w:val="22"/>
          <w:szCs w:val="22"/>
          <w:lang w:val="fr-FR"/>
        </w:rPr>
        <w:t xml:space="preserve"> financement inadéquat</w:t>
      </w:r>
      <w:r w:rsidR="007A304A" w:rsidRPr="001961B1">
        <w:rPr>
          <w:rFonts w:asciiTheme="minorHAnsi" w:hAnsiTheme="minorHAnsi" w:cstheme="minorHAnsi"/>
          <w:sz w:val="22"/>
          <w:szCs w:val="22"/>
          <w:lang w:val="fr-FR"/>
        </w:rPr>
        <w:t>, ce</w:t>
      </w:r>
      <w:r w:rsidR="00701765" w:rsidRPr="001961B1">
        <w:rPr>
          <w:rFonts w:asciiTheme="minorHAnsi" w:hAnsiTheme="minorHAnsi" w:cstheme="minorHAnsi"/>
          <w:sz w:val="22"/>
          <w:szCs w:val="22"/>
          <w:lang w:val="fr-FR"/>
        </w:rPr>
        <w:t xml:space="preserve"> qui est une contrainte </w:t>
      </w:r>
      <w:r w:rsidR="007A304A" w:rsidRPr="001961B1">
        <w:rPr>
          <w:rFonts w:asciiTheme="minorHAnsi" w:hAnsiTheme="minorHAnsi" w:cstheme="minorHAnsi"/>
          <w:sz w:val="22"/>
          <w:szCs w:val="22"/>
          <w:lang w:val="fr-FR"/>
        </w:rPr>
        <w:t>essentielle</w:t>
      </w:r>
      <w:r w:rsidR="00701765" w:rsidRPr="001961B1">
        <w:rPr>
          <w:rFonts w:asciiTheme="minorHAnsi" w:hAnsiTheme="minorHAnsi" w:cstheme="minorHAnsi"/>
          <w:sz w:val="22"/>
          <w:szCs w:val="22"/>
          <w:lang w:val="fr-FR"/>
        </w:rPr>
        <w:t xml:space="preserve"> </w:t>
      </w:r>
      <w:r w:rsidR="007A304A" w:rsidRPr="001961B1">
        <w:rPr>
          <w:rFonts w:asciiTheme="minorHAnsi" w:hAnsiTheme="minorHAnsi" w:cstheme="minorHAnsi"/>
          <w:sz w:val="22"/>
          <w:szCs w:val="22"/>
          <w:lang w:val="fr-FR"/>
        </w:rPr>
        <w:t>pour</w:t>
      </w:r>
      <w:r w:rsidR="00701765" w:rsidRPr="001961B1">
        <w:rPr>
          <w:rFonts w:asciiTheme="minorHAnsi" w:hAnsiTheme="minorHAnsi" w:cstheme="minorHAnsi"/>
          <w:sz w:val="22"/>
          <w:szCs w:val="22"/>
          <w:lang w:val="fr-FR"/>
        </w:rPr>
        <w:t xml:space="preserve"> la mise en œuvre de la Convention.</w:t>
      </w:r>
      <w:r w:rsidR="005A1274" w:rsidRPr="001961B1">
        <w:rPr>
          <w:rFonts w:asciiTheme="minorHAnsi" w:hAnsiTheme="minorHAnsi" w:cstheme="minorHAnsi"/>
          <w:sz w:val="22"/>
          <w:szCs w:val="22"/>
          <w:lang w:val="fr-FR"/>
        </w:rPr>
        <w:t xml:space="preserve"> </w:t>
      </w:r>
    </w:p>
    <w:p w14:paraId="241F6BBB" w14:textId="77777777" w:rsidR="000944F7" w:rsidRPr="001961B1" w:rsidRDefault="000944F7" w:rsidP="00257025">
      <w:pPr>
        <w:ind w:left="567" w:hanging="567"/>
        <w:rPr>
          <w:rFonts w:asciiTheme="minorHAnsi" w:hAnsiTheme="minorHAnsi" w:cstheme="minorHAnsi"/>
          <w:sz w:val="22"/>
          <w:szCs w:val="22"/>
          <w:lang w:val="fr-FR"/>
        </w:rPr>
      </w:pPr>
    </w:p>
    <w:p w14:paraId="5F8DB9DB" w14:textId="6295D459" w:rsidR="00FC4C4B"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0019534C" w:rsidRPr="001961B1">
        <w:rPr>
          <w:rFonts w:asciiTheme="minorHAnsi" w:hAnsiTheme="minorHAnsi" w:cstheme="minorHAnsi"/>
          <w:sz w:val="22"/>
          <w:szCs w:val="22"/>
          <w:lang w:val="fr-FR"/>
        </w:rPr>
        <w:t>3</w:t>
      </w:r>
      <w:r w:rsidR="00C32CF1" w:rsidRPr="001961B1">
        <w:rPr>
          <w:rFonts w:asciiTheme="minorHAnsi" w:hAnsiTheme="minorHAnsi" w:cstheme="minorHAnsi"/>
          <w:sz w:val="22"/>
          <w:szCs w:val="22"/>
          <w:lang w:val="fr-FR"/>
        </w:rPr>
        <w:t>5</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6415B1" w:rsidRPr="001961B1">
        <w:rPr>
          <w:rFonts w:asciiTheme="minorHAnsi" w:hAnsiTheme="minorHAnsi" w:cstheme="minorHAnsi"/>
          <w:i/>
          <w:iCs/>
          <w:sz w:val="22"/>
          <w:szCs w:val="22"/>
          <w:lang w:val="fr-FR"/>
        </w:rPr>
        <w:t xml:space="preserve">Domaines de progrès clés, indiqués par les Parties contractantes dans leurs réponses narratives : </w:t>
      </w:r>
    </w:p>
    <w:p w14:paraId="067AFC33" w14:textId="092ECFC6" w:rsidR="009E6604" w:rsidRPr="001961B1" w:rsidRDefault="006415B1" w:rsidP="00257025">
      <w:pPr>
        <w:pStyle w:val="ListParagraph"/>
        <w:numPr>
          <w:ilvl w:val="0"/>
          <w:numId w:val="108"/>
        </w:numPr>
        <w:tabs>
          <w:tab w:val="clear" w:pos="1154"/>
        </w:tabs>
        <w:spacing w:after="0" w:line="240" w:lineRule="auto"/>
        <w:ind w:left="993" w:hanging="425"/>
        <w:rPr>
          <w:rFonts w:eastAsia="Times New Roman" w:cstheme="minorHAnsi"/>
          <w:lang w:val="fr-FR" w:eastAsia="en-GB"/>
        </w:rPr>
      </w:pPr>
      <w:r w:rsidRPr="001961B1">
        <w:rPr>
          <w:rFonts w:eastAsia="Times New Roman" w:cstheme="minorHAnsi"/>
          <w:lang w:val="fr-FR" w:eastAsia="en-GB"/>
        </w:rPr>
        <w:t>cadres juridiques et politiques renforcés, notamment : adoption de stratégies nationales pour les zones humides ; développement institutionnel et amélioration de la gouvernance, par exemple, par la création d’observatoires des zones humides, d’organes de coordination et d’unités de conservation spécialisées ; et progrès dans l’intégration des zones humides dans les politiques environnementales ou sectorielles plus larges ;</w:t>
      </w:r>
    </w:p>
    <w:p w14:paraId="7FC373AF" w14:textId="27811787" w:rsidR="002F17EE" w:rsidRPr="001961B1" w:rsidRDefault="0035397F"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lang w:val="fr-FR"/>
        </w:rPr>
        <w:t>progrès dans le suivi comprenant la capacité technique, par exemple, pour la mise en œuvre de recensements des zones humides et l’utilisation de données géospatiales ainsi que progrès dans la modernisation des systèmes de données ;</w:t>
      </w:r>
    </w:p>
    <w:p w14:paraId="40EB26CE" w14:textId="2AAD9A5D" w:rsidR="00E67A1C" w:rsidRPr="001961B1" w:rsidRDefault="0035397F"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lang w:val="fr-FR"/>
        </w:rPr>
        <w:t xml:space="preserve">progrès dans la participation des peuples autochtones et des communautés locales à la planification de la conservation ; et </w:t>
      </w:r>
    </w:p>
    <w:p w14:paraId="096035B1" w14:textId="5D9BAE88" w:rsidR="009B4471" w:rsidRPr="001961B1" w:rsidRDefault="0035397F"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lang w:val="fr-FR"/>
        </w:rPr>
        <w:t>élaboration et mise en œuvre de projets de restauration innovants.</w:t>
      </w:r>
    </w:p>
    <w:p w14:paraId="1D205803" w14:textId="77777777" w:rsidR="00F809BE" w:rsidRPr="001961B1" w:rsidRDefault="00F809BE" w:rsidP="00D1463B">
      <w:pPr>
        <w:pStyle w:val="ListParagraph"/>
        <w:spacing w:after="0" w:line="240" w:lineRule="auto"/>
        <w:ind w:left="426" w:hanging="426"/>
        <w:rPr>
          <w:rFonts w:eastAsia="Times New Roman" w:cstheme="minorHAnsi"/>
          <w:lang w:val="fr-FR" w:eastAsia="en-GB"/>
        </w:rPr>
      </w:pPr>
    </w:p>
    <w:p w14:paraId="2B31EE6B" w14:textId="6EDC7B69" w:rsidR="002D3968" w:rsidRPr="001961B1" w:rsidRDefault="000E3338" w:rsidP="00257025">
      <w:pPr>
        <w:ind w:left="567" w:hanging="567"/>
        <w:outlineLvl w:val="2"/>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0019534C" w:rsidRPr="001961B1">
        <w:rPr>
          <w:rFonts w:asciiTheme="minorHAnsi" w:hAnsiTheme="minorHAnsi" w:cstheme="minorHAnsi"/>
          <w:sz w:val="22"/>
          <w:szCs w:val="22"/>
          <w:lang w:val="fr-FR"/>
        </w:rPr>
        <w:t>3</w:t>
      </w:r>
      <w:r w:rsidR="00C32CF1" w:rsidRPr="001961B1">
        <w:rPr>
          <w:rFonts w:asciiTheme="minorHAnsi" w:hAnsiTheme="minorHAnsi" w:cstheme="minorHAnsi"/>
          <w:sz w:val="22"/>
          <w:szCs w:val="22"/>
          <w:lang w:val="fr-FR"/>
        </w:rPr>
        <w:t>6</w:t>
      </w:r>
      <w:r w:rsidRPr="001961B1">
        <w:rPr>
          <w:rFonts w:asciiTheme="minorHAnsi" w:hAnsiTheme="minorHAnsi" w:cstheme="minorHAnsi"/>
          <w:sz w:val="22"/>
          <w:szCs w:val="22"/>
          <w:lang w:val="fr-FR"/>
        </w:rPr>
        <w:t>.</w:t>
      </w:r>
      <w:r w:rsidRPr="001961B1">
        <w:rPr>
          <w:rFonts w:asciiTheme="minorHAnsi" w:hAnsiTheme="minorHAnsi" w:cstheme="minorHAnsi"/>
          <w:i/>
          <w:iCs/>
          <w:sz w:val="22"/>
          <w:szCs w:val="22"/>
          <w:lang w:val="fr-FR"/>
        </w:rPr>
        <w:tab/>
      </w:r>
      <w:r w:rsidR="00127A06" w:rsidRPr="001961B1">
        <w:rPr>
          <w:rFonts w:asciiTheme="minorHAnsi" w:hAnsiTheme="minorHAnsi" w:cstheme="minorHAnsi"/>
          <w:i/>
          <w:iCs/>
          <w:sz w:val="22"/>
          <w:szCs w:val="22"/>
          <w:lang w:val="fr-FR"/>
        </w:rPr>
        <w:t>Principales difficultés entravant la mise en œuvre décrites par les Parties contractantes dans leurs réponses narratives :</w:t>
      </w:r>
      <w:r w:rsidR="002D3968" w:rsidRPr="001961B1">
        <w:rPr>
          <w:rFonts w:asciiTheme="minorHAnsi" w:hAnsiTheme="minorHAnsi" w:cstheme="minorHAnsi"/>
          <w:sz w:val="22"/>
          <w:szCs w:val="22"/>
          <w:lang w:val="fr-FR"/>
        </w:rPr>
        <w:t xml:space="preserve"> </w:t>
      </w:r>
    </w:p>
    <w:p w14:paraId="026FCD27" w14:textId="461D8A55" w:rsidR="00167E17" w:rsidRPr="001961B1" w:rsidRDefault="00127A06" w:rsidP="00257025">
      <w:pPr>
        <w:pStyle w:val="ListParagraph"/>
        <w:numPr>
          <w:ilvl w:val="0"/>
          <w:numId w:val="108"/>
        </w:numPr>
        <w:tabs>
          <w:tab w:val="clear" w:pos="1154"/>
        </w:tabs>
        <w:spacing w:after="0" w:line="240" w:lineRule="auto"/>
        <w:ind w:left="993" w:hanging="425"/>
        <w:rPr>
          <w:rFonts w:eastAsia="Times New Roman" w:cstheme="minorHAnsi"/>
          <w:lang w:val="fr-FR" w:eastAsia="en-GB"/>
        </w:rPr>
      </w:pPr>
      <w:r w:rsidRPr="001961B1">
        <w:rPr>
          <w:rFonts w:eastAsia="Times New Roman" w:cstheme="minorHAnsi"/>
          <w:lang w:val="fr-FR" w:eastAsia="en-GB"/>
        </w:rPr>
        <w:t xml:space="preserve">objectifs conflictuels </w:t>
      </w:r>
      <w:r w:rsidR="006E0080" w:rsidRPr="001961B1">
        <w:rPr>
          <w:rFonts w:eastAsia="Times New Roman" w:cstheme="minorHAnsi"/>
          <w:lang w:val="fr-FR" w:eastAsia="en-GB"/>
        </w:rPr>
        <w:t>de</w:t>
      </w:r>
      <w:r w:rsidRPr="001961B1">
        <w:rPr>
          <w:rFonts w:eastAsia="Times New Roman" w:cstheme="minorHAnsi"/>
          <w:lang w:val="fr-FR" w:eastAsia="en-GB"/>
        </w:rPr>
        <w:t xml:space="preserve"> la conservation et </w:t>
      </w:r>
      <w:r w:rsidR="006E0080" w:rsidRPr="001961B1">
        <w:rPr>
          <w:rFonts w:eastAsia="Times New Roman" w:cstheme="minorHAnsi"/>
          <w:lang w:val="fr-FR" w:eastAsia="en-GB"/>
        </w:rPr>
        <w:t>du</w:t>
      </w:r>
      <w:r w:rsidRPr="001961B1">
        <w:rPr>
          <w:rFonts w:eastAsia="Times New Roman" w:cstheme="minorHAnsi"/>
          <w:lang w:val="fr-FR" w:eastAsia="en-GB"/>
        </w:rPr>
        <w:t xml:space="preserve"> développement avec des pressions sur les écosystèmes de zones humides dues à </w:t>
      </w:r>
      <w:r w:rsidR="006E0080" w:rsidRPr="001961B1">
        <w:rPr>
          <w:rFonts w:eastAsia="Times New Roman" w:cstheme="minorHAnsi"/>
          <w:lang w:val="fr-FR" w:eastAsia="en-GB"/>
        </w:rPr>
        <w:t>l’expansion</w:t>
      </w:r>
      <w:r w:rsidRPr="001961B1">
        <w:rPr>
          <w:rFonts w:eastAsia="Times New Roman" w:cstheme="minorHAnsi"/>
          <w:lang w:val="fr-FR" w:eastAsia="en-GB"/>
        </w:rPr>
        <w:t xml:space="preserve"> de l’infrastructure, de l’urbanisation et de l’industrie ;</w:t>
      </w:r>
    </w:p>
    <w:p w14:paraId="68144BF4" w14:textId="05E23E0F" w:rsidR="00EC57EB" w:rsidRPr="001961B1" w:rsidRDefault="00127A06"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lang w:val="fr-FR"/>
        </w:rPr>
        <w:t xml:space="preserve">contraintes financières </w:t>
      </w:r>
      <w:r w:rsidR="008314F3" w:rsidRPr="001961B1">
        <w:rPr>
          <w:rFonts w:cstheme="minorHAnsi"/>
          <w:lang w:val="fr-FR"/>
        </w:rPr>
        <w:t>faute</w:t>
      </w:r>
      <w:r w:rsidRPr="001961B1">
        <w:rPr>
          <w:rFonts w:cstheme="minorHAnsi"/>
          <w:lang w:val="fr-FR"/>
        </w:rPr>
        <w:t xml:space="preserve"> de budget gouvernementa</w:t>
      </w:r>
      <w:r w:rsidR="008314F3" w:rsidRPr="001961B1">
        <w:rPr>
          <w:rFonts w:cstheme="minorHAnsi"/>
          <w:lang w:val="fr-FR"/>
        </w:rPr>
        <w:t>l</w:t>
      </w:r>
      <w:r w:rsidRPr="001961B1">
        <w:rPr>
          <w:rFonts w:cstheme="minorHAnsi"/>
          <w:lang w:val="fr-FR"/>
        </w:rPr>
        <w:t xml:space="preserve"> adéquat ou d’accès au financement international, ce qui limite la capacité de soutenir les efforts de conservation des zones humides ;</w:t>
      </w:r>
    </w:p>
    <w:p w14:paraId="4A9E4E53" w14:textId="44F66C76" w:rsidR="0030122E" w:rsidRPr="001961B1" w:rsidRDefault="00825E99" w:rsidP="00257025">
      <w:pPr>
        <w:pStyle w:val="ListParagraph"/>
        <w:numPr>
          <w:ilvl w:val="0"/>
          <w:numId w:val="96"/>
        </w:numPr>
        <w:tabs>
          <w:tab w:val="clear" w:pos="1154"/>
        </w:tabs>
        <w:spacing w:after="0" w:line="240" w:lineRule="auto"/>
        <w:ind w:left="993" w:hanging="425"/>
        <w:rPr>
          <w:rFonts w:cstheme="minorHAnsi"/>
          <w:lang w:val="fr-FR" w:eastAsia="en-GB"/>
        </w:rPr>
      </w:pPr>
      <w:r w:rsidRPr="001961B1">
        <w:rPr>
          <w:rFonts w:cstheme="minorHAnsi"/>
          <w:lang w:val="fr-FR" w:eastAsia="en-GB"/>
        </w:rPr>
        <w:t xml:space="preserve">lacunes en matière de politique et de législation et mécanismes d’application </w:t>
      </w:r>
      <w:r w:rsidR="006E0080" w:rsidRPr="001961B1">
        <w:rPr>
          <w:rFonts w:cstheme="minorHAnsi"/>
          <w:lang w:val="fr-FR" w:eastAsia="en-GB"/>
        </w:rPr>
        <w:t>insuffisants</w:t>
      </w:r>
      <w:r w:rsidRPr="001961B1">
        <w:rPr>
          <w:rFonts w:cstheme="minorHAnsi"/>
          <w:lang w:val="fr-FR" w:eastAsia="en-GB"/>
        </w:rPr>
        <w:t xml:space="preserve">, y compris mauvaise coordination interagences, fragmentation administrative et mandats qui se </w:t>
      </w:r>
      <w:r w:rsidR="006E0080" w:rsidRPr="001961B1">
        <w:rPr>
          <w:rFonts w:cstheme="minorHAnsi"/>
          <w:lang w:val="fr-FR" w:eastAsia="en-GB"/>
        </w:rPr>
        <w:t>recouvrent</w:t>
      </w:r>
      <w:r w:rsidRPr="001961B1">
        <w:rPr>
          <w:rFonts w:cstheme="minorHAnsi"/>
          <w:lang w:val="fr-FR" w:eastAsia="en-GB"/>
        </w:rPr>
        <w:t xml:space="preserve"> ; </w:t>
      </w:r>
      <w:r w:rsidR="006E0080" w:rsidRPr="001961B1">
        <w:rPr>
          <w:rFonts w:cstheme="minorHAnsi"/>
          <w:lang w:val="fr-FR" w:eastAsia="en-GB"/>
        </w:rPr>
        <w:t xml:space="preserve">faible </w:t>
      </w:r>
      <w:r w:rsidRPr="001961B1">
        <w:rPr>
          <w:rFonts w:cstheme="minorHAnsi"/>
          <w:lang w:val="fr-FR" w:eastAsia="en-GB"/>
        </w:rPr>
        <w:t xml:space="preserve">intégration </w:t>
      </w:r>
      <w:r w:rsidR="006E0080" w:rsidRPr="001961B1">
        <w:rPr>
          <w:rFonts w:cstheme="minorHAnsi"/>
          <w:lang w:val="fr-FR" w:eastAsia="en-GB"/>
        </w:rPr>
        <w:t>d</w:t>
      </w:r>
      <w:r w:rsidRPr="001961B1">
        <w:rPr>
          <w:rFonts w:cstheme="minorHAnsi"/>
          <w:lang w:val="fr-FR" w:eastAsia="en-GB"/>
        </w:rPr>
        <w:t xml:space="preserve">es zones humides dans les politiques de développement ou sectorielles plus larges ; et </w:t>
      </w:r>
    </w:p>
    <w:p w14:paraId="2CC46671" w14:textId="6F1E2F06" w:rsidR="007F00BF" w:rsidRPr="001961B1" w:rsidRDefault="00825E99" w:rsidP="00257025">
      <w:pPr>
        <w:pStyle w:val="ListParagraph"/>
        <w:numPr>
          <w:ilvl w:val="0"/>
          <w:numId w:val="96"/>
        </w:numPr>
        <w:tabs>
          <w:tab w:val="clear" w:pos="1154"/>
        </w:tabs>
        <w:spacing w:after="0" w:line="240" w:lineRule="auto"/>
        <w:ind w:left="993" w:hanging="425"/>
        <w:rPr>
          <w:rFonts w:cstheme="minorHAnsi"/>
          <w:lang w:val="fr-FR" w:eastAsia="en-GB"/>
        </w:rPr>
      </w:pPr>
      <w:r w:rsidRPr="001961B1">
        <w:rPr>
          <w:rFonts w:cstheme="minorHAnsi"/>
          <w:lang w:val="fr-FR" w:eastAsia="en-GB"/>
        </w:rPr>
        <w:t xml:space="preserve">systèmes de suivi insuffisants, manque de données fiables, difficultés à réaliser des </w:t>
      </w:r>
      <w:r w:rsidR="006E0080" w:rsidRPr="001961B1">
        <w:rPr>
          <w:rFonts w:cstheme="minorHAnsi"/>
          <w:lang w:val="fr-FR" w:eastAsia="en-GB"/>
        </w:rPr>
        <w:t>études</w:t>
      </w:r>
      <w:r w:rsidRPr="001961B1">
        <w:rPr>
          <w:rFonts w:cstheme="minorHAnsi"/>
          <w:lang w:val="fr-FR" w:eastAsia="en-GB"/>
        </w:rPr>
        <w:t xml:space="preserve"> sur les zones humides et l’utilisation de nouvelles technologies ; et participation limitée des parties prenantes.</w:t>
      </w:r>
    </w:p>
    <w:p w14:paraId="247A32CD" w14:textId="77777777" w:rsidR="0001560A" w:rsidRPr="001961B1" w:rsidRDefault="0001560A" w:rsidP="00CD3F6B">
      <w:pPr>
        <w:rPr>
          <w:rFonts w:asciiTheme="minorHAnsi" w:hAnsiTheme="minorHAnsi" w:cstheme="minorHAnsi"/>
          <w:sz w:val="22"/>
          <w:szCs w:val="22"/>
          <w:lang w:val="fr-FR"/>
        </w:rPr>
      </w:pPr>
    </w:p>
    <w:p w14:paraId="521D9FA5" w14:textId="49D0D6A9" w:rsidR="00FF6F60" w:rsidRPr="001961B1" w:rsidRDefault="0089616D" w:rsidP="00257025">
      <w:pPr>
        <w:keepNext/>
        <w:ind w:left="567" w:hanging="567"/>
        <w:rPr>
          <w:rFonts w:asciiTheme="minorHAnsi" w:hAnsiTheme="minorHAnsi" w:cstheme="minorHAnsi"/>
          <w:i/>
          <w:iCs/>
          <w:sz w:val="22"/>
          <w:szCs w:val="22"/>
          <w:u w:val="single"/>
          <w:lang w:val="fr-FR"/>
        </w:rPr>
      </w:pPr>
      <w:r w:rsidRPr="001961B1">
        <w:rPr>
          <w:rFonts w:asciiTheme="minorHAnsi" w:hAnsiTheme="minorHAnsi" w:cstheme="minorHAnsi"/>
          <w:i/>
          <w:iCs/>
          <w:sz w:val="22"/>
          <w:szCs w:val="22"/>
          <w:u w:val="single"/>
          <w:lang w:val="fr-FR"/>
        </w:rPr>
        <w:t>Priorit</w:t>
      </w:r>
      <w:r w:rsidR="00825E99" w:rsidRPr="001961B1">
        <w:rPr>
          <w:rFonts w:asciiTheme="minorHAnsi" w:hAnsiTheme="minorHAnsi" w:cstheme="minorHAnsi"/>
          <w:i/>
          <w:iCs/>
          <w:sz w:val="22"/>
          <w:szCs w:val="22"/>
          <w:u w:val="single"/>
          <w:lang w:val="fr-FR"/>
        </w:rPr>
        <w:t>é</w:t>
      </w:r>
      <w:r w:rsidRPr="001961B1">
        <w:rPr>
          <w:rFonts w:asciiTheme="minorHAnsi" w:hAnsiTheme="minorHAnsi" w:cstheme="minorHAnsi"/>
          <w:i/>
          <w:iCs/>
          <w:sz w:val="22"/>
          <w:szCs w:val="22"/>
          <w:u w:val="single"/>
          <w:lang w:val="fr-FR"/>
        </w:rPr>
        <w:t xml:space="preserve">s </w:t>
      </w:r>
      <w:r w:rsidR="00825E99" w:rsidRPr="001961B1">
        <w:rPr>
          <w:rFonts w:asciiTheme="minorHAnsi" w:hAnsiTheme="minorHAnsi" w:cstheme="minorHAnsi"/>
          <w:i/>
          <w:iCs/>
          <w:sz w:val="22"/>
          <w:szCs w:val="22"/>
          <w:u w:val="single"/>
          <w:lang w:val="fr-FR"/>
        </w:rPr>
        <w:t xml:space="preserve">pour la mise en œuvre future de la </w:t>
      </w:r>
      <w:r w:rsidR="00EB6D9E" w:rsidRPr="001961B1">
        <w:rPr>
          <w:rFonts w:asciiTheme="minorHAnsi" w:hAnsiTheme="minorHAnsi" w:cstheme="minorHAnsi"/>
          <w:i/>
          <w:iCs/>
          <w:sz w:val="22"/>
          <w:szCs w:val="22"/>
          <w:u w:val="single"/>
          <w:lang w:val="fr-FR"/>
        </w:rPr>
        <w:t>Convention</w:t>
      </w:r>
    </w:p>
    <w:p w14:paraId="3CB96234" w14:textId="77777777" w:rsidR="00395175" w:rsidRPr="001961B1" w:rsidRDefault="00395175" w:rsidP="00257025">
      <w:pPr>
        <w:keepNext/>
        <w:ind w:left="567" w:hanging="567"/>
        <w:rPr>
          <w:rFonts w:asciiTheme="minorHAnsi" w:hAnsiTheme="minorHAnsi" w:cstheme="minorHAnsi"/>
          <w:sz w:val="22"/>
          <w:szCs w:val="22"/>
          <w:u w:val="single"/>
          <w:lang w:val="fr-FR"/>
        </w:rPr>
      </w:pPr>
    </w:p>
    <w:p w14:paraId="09991E52" w14:textId="741FA620" w:rsidR="00041012" w:rsidRPr="001961B1" w:rsidRDefault="00B52C1D"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137</w:t>
      </w:r>
      <w:r w:rsidR="000E3338" w:rsidRPr="001961B1">
        <w:rPr>
          <w:rFonts w:asciiTheme="minorHAnsi" w:hAnsiTheme="minorHAnsi" w:cstheme="minorHAnsi"/>
          <w:sz w:val="22"/>
          <w:szCs w:val="22"/>
          <w:lang w:val="fr-FR"/>
        </w:rPr>
        <w:t>.</w:t>
      </w:r>
      <w:r w:rsidR="000E3338" w:rsidRPr="001961B1">
        <w:rPr>
          <w:rFonts w:asciiTheme="minorHAnsi" w:hAnsiTheme="minorHAnsi" w:cstheme="minorHAnsi"/>
          <w:sz w:val="22"/>
          <w:szCs w:val="22"/>
          <w:lang w:val="fr-FR"/>
        </w:rPr>
        <w:tab/>
      </w:r>
      <w:r w:rsidR="005D75BD" w:rsidRPr="001961B1">
        <w:rPr>
          <w:rFonts w:asciiTheme="minorHAnsi" w:hAnsiTheme="minorHAnsi" w:cstheme="minorHAnsi"/>
          <w:sz w:val="22"/>
          <w:szCs w:val="22"/>
          <w:lang w:val="fr-FR"/>
        </w:rPr>
        <w:t xml:space="preserve">Les priorités </w:t>
      </w:r>
      <w:r w:rsidR="00FE277A" w:rsidRPr="001961B1">
        <w:rPr>
          <w:rFonts w:asciiTheme="minorHAnsi" w:hAnsiTheme="minorHAnsi" w:cstheme="minorHAnsi"/>
          <w:sz w:val="22"/>
          <w:szCs w:val="22"/>
          <w:lang w:val="fr-FR"/>
        </w:rPr>
        <w:t>concernant la</w:t>
      </w:r>
      <w:r w:rsidR="005D75BD" w:rsidRPr="001961B1">
        <w:rPr>
          <w:rFonts w:asciiTheme="minorHAnsi" w:hAnsiTheme="minorHAnsi" w:cstheme="minorHAnsi"/>
          <w:sz w:val="22"/>
          <w:szCs w:val="22"/>
          <w:lang w:val="fr-FR"/>
        </w:rPr>
        <w:t xml:space="preserve"> mise en œuvre future de la Convention le plus fréquemment identifiées par les Parties contractantes dans les Rapports nationaux comprennent :</w:t>
      </w:r>
    </w:p>
    <w:p w14:paraId="522CE776" w14:textId="2F983F2D" w:rsidR="00041012" w:rsidRPr="001961B1" w:rsidRDefault="005D75BD" w:rsidP="00257025">
      <w:pPr>
        <w:numPr>
          <w:ilvl w:val="0"/>
          <w:numId w:val="111"/>
        </w:numPr>
        <w:tabs>
          <w:tab w:val="clear" w:pos="720"/>
        </w:tabs>
        <w:ind w:left="993" w:hanging="425"/>
        <w:rPr>
          <w:rFonts w:asciiTheme="minorHAnsi" w:hAnsiTheme="minorHAnsi" w:cstheme="minorHAnsi"/>
          <w:sz w:val="22"/>
          <w:szCs w:val="22"/>
          <w:lang w:val="fr-FR"/>
        </w:rPr>
      </w:pPr>
      <w:r w:rsidRPr="001961B1">
        <w:rPr>
          <w:rFonts w:asciiTheme="minorHAnsi" w:hAnsiTheme="minorHAnsi" w:cstheme="minorHAnsi"/>
          <w:i/>
          <w:sz w:val="22"/>
          <w:szCs w:val="22"/>
          <w:lang w:val="fr-FR"/>
        </w:rPr>
        <w:t>Réformes juridiques et de la gouvernance</w:t>
      </w:r>
      <w:r w:rsidR="00D16EC1" w:rsidRPr="001961B1">
        <w:rPr>
          <w:rFonts w:asciiTheme="minorHAnsi" w:hAnsiTheme="minorHAnsi" w:cstheme="minorHAnsi"/>
          <w:sz w:val="22"/>
          <w:szCs w:val="22"/>
          <w:lang w:val="fr-FR"/>
        </w:rPr>
        <w:t xml:space="preserve">, </w:t>
      </w:r>
      <w:r w:rsidRPr="001961B1">
        <w:rPr>
          <w:rFonts w:asciiTheme="minorHAnsi" w:hAnsiTheme="minorHAnsi" w:cstheme="minorHAnsi"/>
          <w:sz w:val="22"/>
          <w:szCs w:val="22"/>
          <w:lang w:val="fr-FR"/>
        </w:rPr>
        <w:t>y compris renforcement et mise à jour des cadres juridiques nationaux, et officialisation des politiques stratégiques pour les zones humides et la biodiversité</w:t>
      </w:r>
      <w:r w:rsidR="00833908" w:rsidRPr="001961B1">
        <w:rPr>
          <w:rFonts w:asciiTheme="minorHAnsi" w:hAnsiTheme="minorHAnsi" w:cstheme="minorHAnsi"/>
          <w:sz w:val="22"/>
          <w:szCs w:val="22"/>
          <w:lang w:val="fr-FR"/>
        </w:rPr>
        <w:t>.</w:t>
      </w:r>
      <w:r w:rsidR="00AB2083" w:rsidRPr="001961B1">
        <w:rPr>
          <w:rFonts w:asciiTheme="minorHAnsi" w:hAnsiTheme="minorHAnsi" w:cstheme="minorHAnsi"/>
          <w:sz w:val="22"/>
          <w:szCs w:val="22"/>
          <w:lang w:val="fr-FR"/>
        </w:rPr>
        <w:t xml:space="preserve"> </w:t>
      </w:r>
    </w:p>
    <w:p w14:paraId="1FB87223" w14:textId="03B2A5F3" w:rsidR="00041012" w:rsidRPr="001961B1" w:rsidRDefault="00F15DF7" w:rsidP="00257025">
      <w:pPr>
        <w:numPr>
          <w:ilvl w:val="0"/>
          <w:numId w:val="111"/>
        </w:numPr>
        <w:tabs>
          <w:tab w:val="clear" w:pos="720"/>
        </w:tabs>
        <w:ind w:left="993" w:hanging="425"/>
        <w:rPr>
          <w:rFonts w:asciiTheme="minorHAnsi" w:hAnsiTheme="minorHAnsi" w:cstheme="minorHAnsi"/>
          <w:sz w:val="22"/>
          <w:szCs w:val="22"/>
          <w:lang w:val="fr-FR"/>
        </w:rPr>
      </w:pPr>
      <w:r w:rsidRPr="001961B1">
        <w:rPr>
          <w:rFonts w:asciiTheme="minorHAnsi" w:hAnsiTheme="minorHAnsi" w:cstheme="minorHAnsi"/>
          <w:i/>
          <w:sz w:val="22"/>
          <w:szCs w:val="22"/>
          <w:lang w:val="fr-FR"/>
        </w:rPr>
        <w:t xml:space="preserve">Intégration, </w:t>
      </w:r>
      <w:r w:rsidRPr="001961B1">
        <w:rPr>
          <w:rFonts w:asciiTheme="minorHAnsi" w:hAnsiTheme="minorHAnsi" w:cstheme="minorHAnsi"/>
          <w:iCs/>
          <w:sz w:val="22"/>
          <w:szCs w:val="22"/>
          <w:lang w:val="fr-FR"/>
        </w:rPr>
        <w:t xml:space="preserve">y compris intégration de la conservation, la restauration et l’utilisation rationnelle des zones humides </w:t>
      </w:r>
      <w:r w:rsidRPr="001961B1">
        <w:rPr>
          <w:rFonts w:asciiTheme="minorHAnsi" w:hAnsiTheme="minorHAnsi" w:cstheme="minorHAnsi"/>
          <w:sz w:val="22"/>
          <w:szCs w:val="22"/>
          <w:lang w:val="fr-FR"/>
        </w:rPr>
        <w:t>dans d’autres politiques ou des politiques sectorielles telles que le développement, l’utilisation des terres et le climat ; et promotion d’une coordination intersectorielle à tous les niveaux de gouvernance</w:t>
      </w:r>
      <w:r w:rsidR="00833908" w:rsidRPr="001961B1">
        <w:rPr>
          <w:rFonts w:asciiTheme="minorHAnsi" w:hAnsiTheme="minorHAnsi" w:cstheme="minorHAnsi"/>
          <w:sz w:val="22"/>
          <w:szCs w:val="22"/>
          <w:lang w:val="fr-FR"/>
        </w:rPr>
        <w:t>.</w:t>
      </w:r>
    </w:p>
    <w:p w14:paraId="01FF5B25" w14:textId="61D005F2" w:rsidR="00041012" w:rsidRPr="001961B1" w:rsidRDefault="00041012" w:rsidP="00257025">
      <w:pPr>
        <w:numPr>
          <w:ilvl w:val="0"/>
          <w:numId w:val="111"/>
        </w:numPr>
        <w:tabs>
          <w:tab w:val="clear" w:pos="720"/>
        </w:tabs>
        <w:ind w:left="993" w:hanging="425"/>
        <w:rPr>
          <w:rFonts w:asciiTheme="minorHAnsi" w:hAnsiTheme="minorHAnsi" w:cstheme="minorHAnsi"/>
          <w:sz w:val="22"/>
          <w:szCs w:val="22"/>
          <w:lang w:val="fr-FR"/>
        </w:rPr>
      </w:pPr>
      <w:r w:rsidRPr="001961B1">
        <w:rPr>
          <w:rFonts w:asciiTheme="minorHAnsi" w:hAnsiTheme="minorHAnsi" w:cstheme="minorHAnsi"/>
          <w:i/>
          <w:sz w:val="22"/>
          <w:szCs w:val="22"/>
          <w:lang w:val="fr-FR"/>
        </w:rPr>
        <w:lastRenderedPageBreak/>
        <w:t>D</w:t>
      </w:r>
      <w:r w:rsidR="00EF4E8B" w:rsidRPr="001961B1">
        <w:rPr>
          <w:rFonts w:asciiTheme="minorHAnsi" w:hAnsiTheme="minorHAnsi" w:cstheme="minorHAnsi"/>
          <w:i/>
          <w:sz w:val="22"/>
          <w:szCs w:val="22"/>
          <w:lang w:val="fr-FR"/>
        </w:rPr>
        <w:t>onnées, recherche et suivi</w:t>
      </w:r>
      <w:r w:rsidR="009C70C4" w:rsidRPr="001961B1">
        <w:rPr>
          <w:rFonts w:asciiTheme="minorHAnsi" w:hAnsiTheme="minorHAnsi" w:cstheme="minorHAnsi"/>
          <w:sz w:val="22"/>
          <w:szCs w:val="22"/>
          <w:lang w:val="fr-FR"/>
        </w:rPr>
        <w:t xml:space="preserve">, </w:t>
      </w:r>
      <w:r w:rsidR="00EF4E8B" w:rsidRPr="001961B1">
        <w:rPr>
          <w:rFonts w:asciiTheme="minorHAnsi" w:hAnsiTheme="minorHAnsi" w:cstheme="minorHAnsi"/>
          <w:sz w:val="22"/>
          <w:szCs w:val="22"/>
          <w:lang w:val="fr-FR"/>
        </w:rPr>
        <w:t xml:space="preserve">y compris </w:t>
      </w:r>
      <w:r w:rsidR="00833908" w:rsidRPr="001961B1">
        <w:rPr>
          <w:rFonts w:asciiTheme="minorHAnsi" w:hAnsiTheme="minorHAnsi" w:cstheme="minorHAnsi"/>
          <w:sz w:val="22"/>
          <w:szCs w:val="22"/>
          <w:lang w:val="fr-FR"/>
        </w:rPr>
        <w:t xml:space="preserve">élaboration et mise à jour des inventaires des zones humides, renforcement du suivi des zones humides, y compris </w:t>
      </w:r>
      <w:r w:rsidR="001A3D22" w:rsidRPr="001961B1">
        <w:rPr>
          <w:rFonts w:asciiTheme="minorHAnsi" w:hAnsiTheme="minorHAnsi" w:cstheme="minorHAnsi"/>
          <w:sz w:val="22"/>
          <w:szCs w:val="22"/>
          <w:lang w:val="fr-FR"/>
        </w:rPr>
        <w:t>d</w:t>
      </w:r>
      <w:r w:rsidR="00833908" w:rsidRPr="001961B1">
        <w:rPr>
          <w:rFonts w:asciiTheme="minorHAnsi" w:hAnsiTheme="minorHAnsi" w:cstheme="minorHAnsi"/>
          <w:sz w:val="22"/>
          <w:szCs w:val="22"/>
          <w:lang w:val="fr-FR"/>
        </w:rPr>
        <w:t>es zones humides d’importance internationale et développement d</w:t>
      </w:r>
      <w:r w:rsidR="001A3D22" w:rsidRPr="001961B1">
        <w:rPr>
          <w:rFonts w:asciiTheme="minorHAnsi" w:hAnsiTheme="minorHAnsi" w:cstheme="minorHAnsi"/>
          <w:sz w:val="22"/>
          <w:szCs w:val="22"/>
          <w:lang w:val="fr-FR"/>
        </w:rPr>
        <w:t>’</w:t>
      </w:r>
      <w:r w:rsidR="00833908" w:rsidRPr="001961B1">
        <w:rPr>
          <w:rFonts w:asciiTheme="minorHAnsi" w:hAnsiTheme="minorHAnsi" w:cstheme="minorHAnsi"/>
          <w:sz w:val="22"/>
          <w:szCs w:val="22"/>
          <w:lang w:val="fr-FR"/>
        </w:rPr>
        <w:t xml:space="preserve">outils et </w:t>
      </w:r>
      <w:r w:rsidR="001A3D22" w:rsidRPr="001961B1">
        <w:rPr>
          <w:rFonts w:asciiTheme="minorHAnsi" w:hAnsiTheme="minorHAnsi" w:cstheme="minorHAnsi"/>
          <w:sz w:val="22"/>
          <w:szCs w:val="22"/>
          <w:lang w:val="fr-FR"/>
        </w:rPr>
        <w:t xml:space="preserve">de </w:t>
      </w:r>
      <w:r w:rsidR="00833908" w:rsidRPr="001961B1">
        <w:rPr>
          <w:rFonts w:asciiTheme="minorHAnsi" w:hAnsiTheme="minorHAnsi" w:cstheme="minorHAnsi"/>
          <w:sz w:val="22"/>
          <w:szCs w:val="22"/>
          <w:lang w:val="fr-FR"/>
        </w:rPr>
        <w:t>méthodologies pertinents.</w:t>
      </w:r>
    </w:p>
    <w:p w14:paraId="6DAE8379" w14:textId="01F23EB7" w:rsidR="00C17491" w:rsidRPr="001961B1" w:rsidRDefault="00833908" w:rsidP="00257025">
      <w:pPr>
        <w:numPr>
          <w:ilvl w:val="0"/>
          <w:numId w:val="111"/>
        </w:numPr>
        <w:tabs>
          <w:tab w:val="clear" w:pos="720"/>
        </w:tabs>
        <w:ind w:left="993" w:hanging="425"/>
        <w:rPr>
          <w:rFonts w:asciiTheme="minorHAnsi" w:hAnsiTheme="minorHAnsi" w:cstheme="minorHAnsi"/>
          <w:sz w:val="22"/>
          <w:szCs w:val="22"/>
          <w:lang w:val="fr-FR"/>
        </w:rPr>
      </w:pPr>
      <w:r w:rsidRPr="001961B1">
        <w:rPr>
          <w:rFonts w:asciiTheme="minorHAnsi" w:hAnsiTheme="minorHAnsi" w:cstheme="minorHAnsi"/>
          <w:i/>
          <w:sz w:val="22"/>
          <w:szCs w:val="22"/>
          <w:lang w:val="fr-FR"/>
        </w:rPr>
        <w:t>Renforcement des capacités et renforcement institutionnel</w:t>
      </w:r>
      <w:r w:rsidR="00C03D9D" w:rsidRPr="001961B1">
        <w:rPr>
          <w:rFonts w:asciiTheme="minorHAnsi" w:hAnsiTheme="minorHAnsi" w:cstheme="minorHAnsi"/>
          <w:sz w:val="22"/>
          <w:szCs w:val="22"/>
          <w:lang w:val="fr-FR"/>
        </w:rPr>
        <w:t xml:space="preserve">, </w:t>
      </w:r>
      <w:r w:rsidRPr="001961B1">
        <w:rPr>
          <w:rFonts w:asciiTheme="minorHAnsi" w:hAnsiTheme="minorHAnsi" w:cstheme="minorHAnsi"/>
          <w:sz w:val="22"/>
          <w:szCs w:val="22"/>
          <w:lang w:val="fr-FR"/>
        </w:rPr>
        <w:t>y compris investissement dans la formation technique, augmentation des effectifs du personnel dans différentes institutions et renforcement de la collaboration interagences.</w:t>
      </w:r>
      <w:r w:rsidR="00A30C7F" w:rsidRPr="001961B1">
        <w:rPr>
          <w:rFonts w:asciiTheme="minorHAnsi" w:hAnsiTheme="minorHAnsi" w:cstheme="minorHAnsi"/>
          <w:sz w:val="22"/>
          <w:szCs w:val="22"/>
          <w:lang w:val="fr-FR"/>
        </w:rPr>
        <w:t xml:space="preserve"> </w:t>
      </w:r>
    </w:p>
    <w:p w14:paraId="241951E2" w14:textId="661D4CB2" w:rsidR="00041012" w:rsidRPr="001961B1" w:rsidRDefault="00833908" w:rsidP="00257025">
      <w:pPr>
        <w:numPr>
          <w:ilvl w:val="0"/>
          <w:numId w:val="111"/>
        </w:numPr>
        <w:tabs>
          <w:tab w:val="clear" w:pos="720"/>
        </w:tabs>
        <w:ind w:left="993" w:hanging="425"/>
        <w:rPr>
          <w:rFonts w:asciiTheme="minorHAnsi" w:hAnsiTheme="minorHAnsi" w:cstheme="minorHAnsi"/>
          <w:sz w:val="22"/>
          <w:szCs w:val="22"/>
          <w:lang w:val="fr-FR"/>
        </w:rPr>
      </w:pPr>
      <w:r w:rsidRPr="001961B1">
        <w:rPr>
          <w:rStyle w:val="Strong"/>
          <w:rFonts w:asciiTheme="minorHAnsi" w:hAnsiTheme="minorHAnsi" w:cstheme="minorHAnsi"/>
          <w:b w:val="0"/>
          <w:i/>
          <w:sz w:val="22"/>
          <w:szCs w:val="22"/>
          <w:lang w:val="fr-FR"/>
        </w:rPr>
        <w:t>Mobilisation des ressources financières</w:t>
      </w:r>
      <w:r w:rsidR="007500C2" w:rsidRPr="001961B1">
        <w:rPr>
          <w:rFonts w:asciiTheme="minorHAnsi" w:hAnsiTheme="minorHAnsi" w:cstheme="minorHAnsi"/>
          <w:sz w:val="22"/>
          <w:szCs w:val="22"/>
          <w:lang w:val="fr-FR"/>
        </w:rPr>
        <w:t xml:space="preserve">, </w:t>
      </w:r>
      <w:r w:rsidR="00E82CF2" w:rsidRPr="001961B1">
        <w:rPr>
          <w:rFonts w:asciiTheme="minorHAnsi" w:hAnsiTheme="minorHAnsi" w:cstheme="minorHAnsi"/>
          <w:sz w:val="22"/>
          <w:szCs w:val="22"/>
          <w:lang w:val="fr-FR"/>
        </w:rPr>
        <w:t xml:space="preserve">y compris pour résoudre les problèmes de budgets nationaux inadéquats pour la mise en œuvre de la Convention et amélioration importante du financement international de sources multiples, y compris développement de nouveaux mécanismes à cet effet. </w:t>
      </w:r>
    </w:p>
    <w:p w14:paraId="4A7EFDD2" w14:textId="77777777" w:rsidR="0064616A" w:rsidRPr="001961B1" w:rsidRDefault="0064616A" w:rsidP="00CD3F6B">
      <w:pPr>
        <w:rPr>
          <w:rFonts w:asciiTheme="minorHAnsi" w:hAnsiTheme="minorHAnsi" w:cstheme="minorHAnsi"/>
          <w:iCs/>
          <w:sz w:val="22"/>
          <w:szCs w:val="22"/>
          <w:lang w:val="fr-FR"/>
        </w:rPr>
      </w:pPr>
    </w:p>
    <w:p w14:paraId="1B4A7716" w14:textId="0B5360FC" w:rsidR="006E28CC"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00B52C1D" w:rsidRPr="001961B1">
        <w:rPr>
          <w:rFonts w:asciiTheme="minorHAnsi" w:hAnsiTheme="minorHAnsi" w:cstheme="minorHAnsi"/>
          <w:sz w:val="22"/>
          <w:szCs w:val="22"/>
          <w:lang w:val="fr-FR"/>
        </w:rPr>
        <w:t>38</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344470" w:rsidRPr="001961B1">
        <w:rPr>
          <w:rFonts w:asciiTheme="minorHAnsi" w:hAnsiTheme="minorHAnsi" w:cstheme="minorHAnsi"/>
          <w:sz w:val="22"/>
          <w:szCs w:val="22"/>
          <w:lang w:val="fr-FR"/>
        </w:rPr>
        <w:t>Recomm</w:t>
      </w:r>
      <w:r w:rsidR="00E82CF2" w:rsidRPr="001961B1">
        <w:rPr>
          <w:rFonts w:asciiTheme="minorHAnsi" w:hAnsiTheme="minorHAnsi" w:cstheme="minorHAnsi"/>
          <w:sz w:val="22"/>
          <w:szCs w:val="22"/>
          <w:lang w:val="fr-FR"/>
        </w:rPr>
        <w:t>a</w:t>
      </w:r>
      <w:r w:rsidR="00344470" w:rsidRPr="001961B1">
        <w:rPr>
          <w:rFonts w:asciiTheme="minorHAnsi" w:hAnsiTheme="minorHAnsi" w:cstheme="minorHAnsi"/>
          <w:sz w:val="22"/>
          <w:szCs w:val="22"/>
          <w:lang w:val="fr-FR"/>
        </w:rPr>
        <w:t xml:space="preserve">ndations </w:t>
      </w:r>
      <w:r w:rsidR="00E82CF2" w:rsidRPr="001961B1">
        <w:rPr>
          <w:rFonts w:asciiTheme="minorHAnsi" w:hAnsiTheme="minorHAnsi" w:cstheme="minorHAnsi"/>
          <w:sz w:val="22"/>
          <w:szCs w:val="22"/>
          <w:lang w:val="fr-FR"/>
        </w:rPr>
        <w:t xml:space="preserve">concernant l’aide du Secrétariat, faites par les Parties contractantes : </w:t>
      </w:r>
    </w:p>
    <w:p w14:paraId="5AA578F6" w14:textId="07D27B6D" w:rsidR="009C659C" w:rsidRPr="001961B1" w:rsidRDefault="00E82CF2"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i/>
          <w:iCs/>
          <w:lang w:val="fr-FR"/>
        </w:rPr>
        <w:t>Appui technique et consultatif</w:t>
      </w:r>
      <w:r w:rsidR="00FD34EE" w:rsidRPr="001961B1">
        <w:rPr>
          <w:rFonts w:cstheme="minorHAnsi"/>
          <w:i/>
          <w:lang w:val="fr-FR"/>
        </w:rPr>
        <w:t xml:space="preserve">, </w:t>
      </w:r>
      <w:r w:rsidRPr="001961B1">
        <w:rPr>
          <w:rFonts w:cstheme="minorHAnsi"/>
          <w:lang w:val="fr-FR"/>
        </w:rPr>
        <w:t xml:space="preserve">y compris </w:t>
      </w:r>
      <w:r w:rsidR="008314F3" w:rsidRPr="001961B1">
        <w:rPr>
          <w:rFonts w:cstheme="minorHAnsi"/>
          <w:lang w:val="fr-FR"/>
        </w:rPr>
        <w:t>pour</w:t>
      </w:r>
      <w:r w:rsidRPr="001961B1">
        <w:rPr>
          <w:rFonts w:cstheme="minorHAnsi"/>
          <w:lang w:val="fr-FR"/>
        </w:rPr>
        <w:t xml:space="preserve"> les réformes juridiques, la formulation de plans stratégiques et </w:t>
      </w:r>
      <w:r w:rsidR="002917D4" w:rsidRPr="001961B1">
        <w:rPr>
          <w:rFonts w:cstheme="minorHAnsi"/>
          <w:lang w:val="fr-FR"/>
        </w:rPr>
        <w:t>d’</w:t>
      </w:r>
      <w:r w:rsidRPr="001961B1">
        <w:rPr>
          <w:rFonts w:cstheme="minorHAnsi"/>
          <w:lang w:val="fr-FR"/>
        </w:rPr>
        <w:t xml:space="preserve">évaluations et les avis </w:t>
      </w:r>
      <w:r w:rsidR="001A3D22" w:rsidRPr="001961B1">
        <w:rPr>
          <w:rFonts w:cstheme="minorHAnsi"/>
          <w:lang w:val="fr-FR"/>
        </w:rPr>
        <w:t>sur les</w:t>
      </w:r>
      <w:r w:rsidRPr="001961B1">
        <w:rPr>
          <w:rFonts w:cstheme="minorHAnsi"/>
          <w:lang w:val="fr-FR"/>
        </w:rPr>
        <w:t xml:space="preserve"> outils, manuels techniques et modèles.</w:t>
      </w:r>
    </w:p>
    <w:p w14:paraId="04A75C9D" w14:textId="4652663B" w:rsidR="009C659C" w:rsidRPr="001961B1" w:rsidRDefault="00E82CF2"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i/>
          <w:iCs/>
          <w:lang w:val="fr-FR"/>
        </w:rPr>
        <w:t>Développement des capacités</w:t>
      </w:r>
      <w:r w:rsidR="005F48F7" w:rsidRPr="001961B1">
        <w:rPr>
          <w:rFonts w:cstheme="minorHAnsi"/>
          <w:lang w:val="fr-FR"/>
        </w:rPr>
        <w:t xml:space="preserve">, </w:t>
      </w:r>
      <w:r w:rsidRPr="001961B1">
        <w:rPr>
          <w:rFonts w:cstheme="minorHAnsi"/>
          <w:lang w:val="fr-FR"/>
        </w:rPr>
        <w:t xml:space="preserve">y compris une offre améliorée de formations, ateliers techniques et échanges professionnels, et un renforcement de l’accent </w:t>
      </w:r>
      <w:r w:rsidR="001A3D22" w:rsidRPr="001961B1">
        <w:rPr>
          <w:rFonts w:cstheme="minorHAnsi"/>
          <w:lang w:val="fr-FR"/>
        </w:rPr>
        <w:t xml:space="preserve">mis </w:t>
      </w:r>
      <w:r w:rsidRPr="001961B1">
        <w:rPr>
          <w:rFonts w:cstheme="minorHAnsi"/>
          <w:lang w:val="fr-FR"/>
        </w:rPr>
        <w:t>sur l’apprentissage et le partage des capacités Sud-Sud.</w:t>
      </w:r>
    </w:p>
    <w:p w14:paraId="19B679BB" w14:textId="68B2EF0D" w:rsidR="009C659C" w:rsidRPr="001961B1" w:rsidRDefault="006E28CC" w:rsidP="00257025">
      <w:pPr>
        <w:pStyle w:val="ListParagraph"/>
        <w:numPr>
          <w:ilvl w:val="0"/>
          <w:numId w:val="108"/>
        </w:numPr>
        <w:tabs>
          <w:tab w:val="clear" w:pos="1154"/>
        </w:tabs>
        <w:spacing w:after="0" w:line="240" w:lineRule="auto"/>
        <w:ind w:left="993" w:hanging="425"/>
        <w:rPr>
          <w:rFonts w:cstheme="minorHAnsi"/>
          <w:lang w:val="fr-FR"/>
        </w:rPr>
      </w:pPr>
      <w:r w:rsidRPr="001961B1">
        <w:rPr>
          <w:rFonts w:cstheme="minorHAnsi"/>
          <w:i/>
          <w:iCs/>
          <w:lang w:val="fr-FR"/>
        </w:rPr>
        <w:t>Facilitation</w:t>
      </w:r>
      <w:r w:rsidR="000C0E7F" w:rsidRPr="001961B1">
        <w:rPr>
          <w:rFonts w:cstheme="minorHAnsi"/>
          <w:lang w:val="fr-FR"/>
        </w:rPr>
        <w:t xml:space="preserve">, </w:t>
      </w:r>
      <w:r w:rsidR="00E82CF2" w:rsidRPr="001961B1">
        <w:rPr>
          <w:rFonts w:cstheme="minorHAnsi"/>
          <w:lang w:val="fr-FR"/>
        </w:rPr>
        <w:t xml:space="preserve">y compris du point de vue des initiatives régionales ou transfrontalières, et planification collaborative entre Parties contractantes et avec les parties prenantes. </w:t>
      </w:r>
    </w:p>
    <w:p w14:paraId="6CA8688C" w14:textId="6F6EFF66" w:rsidR="006E28CC" w:rsidRPr="001961B1" w:rsidRDefault="00E82CF2" w:rsidP="00257025">
      <w:pPr>
        <w:pStyle w:val="ListParagraph"/>
        <w:numPr>
          <w:ilvl w:val="1"/>
          <w:numId w:val="121"/>
        </w:numPr>
        <w:spacing w:after="0" w:line="240" w:lineRule="auto"/>
        <w:ind w:left="993" w:hanging="426"/>
        <w:rPr>
          <w:rFonts w:cstheme="minorHAnsi"/>
          <w:b/>
          <w:bCs/>
          <w:lang w:val="fr-FR"/>
        </w:rPr>
      </w:pPr>
      <w:r w:rsidRPr="001961B1">
        <w:rPr>
          <w:rFonts w:cstheme="minorHAnsi"/>
          <w:i/>
          <w:lang w:val="fr-FR"/>
        </w:rPr>
        <w:t>Partage de l’information et visibilité</w:t>
      </w:r>
      <w:r w:rsidR="00B40E0D" w:rsidRPr="001961B1">
        <w:rPr>
          <w:rFonts w:cstheme="minorHAnsi"/>
          <w:i/>
          <w:iCs/>
          <w:lang w:val="fr-FR"/>
        </w:rPr>
        <w:t xml:space="preserve">, </w:t>
      </w:r>
      <w:r w:rsidRPr="001961B1">
        <w:rPr>
          <w:rFonts w:cstheme="minorHAnsi"/>
          <w:lang w:val="fr-FR"/>
        </w:rPr>
        <w:t>y compris diffusion des meilleures pratiques, innovations et exemples de réussite, et promotion de campagnes mondiales pour améliorer la visibilité des zones humides et l’engagement.</w:t>
      </w:r>
    </w:p>
    <w:p w14:paraId="077DCC34" w14:textId="77777777" w:rsidR="00395175" w:rsidRPr="001961B1" w:rsidRDefault="00395175" w:rsidP="00CD3F6B">
      <w:pPr>
        <w:rPr>
          <w:rFonts w:asciiTheme="minorHAnsi" w:hAnsiTheme="minorHAnsi" w:cstheme="minorHAnsi"/>
          <w:sz w:val="22"/>
          <w:szCs w:val="22"/>
          <w:u w:val="single"/>
          <w:lang w:val="fr-FR"/>
        </w:rPr>
      </w:pPr>
    </w:p>
    <w:p w14:paraId="741B1030" w14:textId="44F44A12" w:rsidR="000C73B7" w:rsidRPr="001961B1" w:rsidRDefault="000E3338" w:rsidP="00257025">
      <w:pPr>
        <w:ind w:left="567" w:hanging="567"/>
        <w:rPr>
          <w:rFonts w:asciiTheme="minorHAnsi" w:eastAsiaTheme="minorHAnsi" w:hAnsiTheme="minorHAnsi" w:cstheme="minorHAnsi"/>
          <w:sz w:val="22"/>
          <w:szCs w:val="22"/>
          <w:lang w:val="fr-FR"/>
        </w:rPr>
      </w:pPr>
      <w:r w:rsidRPr="001961B1">
        <w:rPr>
          <w:rFonts w:asciiTheme="minorHAnsi" w:hAnsiTheme="minorHAnsi" w:cstheme="minorHAnsi"/>
          <w:sz w:val="22"/>
          <w:szCs w:val="22"/>
          <w:lang w:val="fr-FR"/>
        </w:rPr>
        <w:t>1</w:t>
      </w:r>
      <w:r w:rsidR="00B52C1D" w:rsidRPr="001961B1">
        <w:rPr>
          <w:rFonts w:asciiTheme="minorHAnsi" w:hAnsiTheme="minorHAnsi" w:cstheme="minorHAnsi"/>
          <w:sz w:val="22"/>
          <w:szCs w:val="22"/>
          <w:lang w:val="fr-FR"/>
        </w:rPr>
        <w:t>39</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D02B0E" w:rsidRPr="001961B1">
        <w:rPr>
          <w:rFonts w:asciiTheme="minorHAnsi" w:hAnsiTheme="minorHAnsi" w:cstheme="minorHAnsi"/>
          <w:sz w:val="22"/>
          <w:szCs w:val="22"/>
          <w:lang w:val="fr-FR"/>
        </w:rPr>
        <w:t>Recomm</w:t>
      </w:r>
      <w:r w:rsidR="00E82CF2" w:rsidRPr="001961B1">
        <w:rPr>
          <w:rFonts w:asciiTheme="minorHAnsi" w:hAnsiTheme="minorHAnsi" w:cstheme="minorHAnsi"/>
          <w:sz w:val="22"/>
          <w:szCs w:val="22"/>
          <w:lang w:val="fr-FR"/>
        </w:rPr>
        <w:t>an</w:t>
      </w:r>
      <w:r w:rsidR="00D02B0E" w:rsidRPr="001961B1">
        <w:rPr>
          <w:rFonts w:asciiTheme="minorHAnsi" w:hAnsiTheme="minorHAnsi" w:cstheme="minorHAnsi"/>
          <w:sz w:val="22"/>
          <w:szCs w:val="22"/>
          <w:lang w:val="fr-FR"/>
        </w:rPr>
        <w:t xml:space="preserve">dations </w:t>
      </w:r>
      <w:r w:rsidR="00101F98" w:rsidRPr="001961B1">
        <w:rPr>
          <w:rFonts w:asciiTheme="minorHAnsi" w:hAnsiTheme="minorHAnsi" w:cstheme="minorHAnsi"/>
          <w:sz w:val="22"/>
          <w:szCs w:val="22"/>
          <w:lang w:val="fr-FR"/>
        </w:rPr>
        <w:t>concernant l’aide des OIP :</w:t>
      </w:r>
    </w:p>
    <w:p w14:paraId="5BE3368A" w14:textId="10099957" w:rsidR="00E0147B" w:rsidRPr="001961B1" w:rsidRDefault="00101F98" w:rsidP="00257025">
      <w:pPr>
        <w:pStyle w:val="ListParagraph"/>
        <w:numPr>
          <w:ilvl w:val="0"/>
          <w:numId w:val="108"/>
        </w:numPr>
        <w:tabs>
          <w:tab w:val="clear" w:pos="1154"/>
        </w:tabs>
        <w:spacing w:after="0" w:line="240" w:lineRule="auto"/>
        <w:ind w:left="993" w:hanging="425"/>
        <w:outlineLvl w:val="3"/>
        <w:rPr>
          <w:rFonts w:cstheme="minorHAnsi"/>
          <w:bCs/>
          <w:lang w:val="fr-FR"/>
        </w:rPr>
      </w:pPr>
      <w:r w:rsidRPr="001961B1">
        <w:rPr>
          <w:rFonts w:cstheme="minorHAnsi"/>
          <w:bCs/>
          <w:i/>
          <w:iCs/>
          <w:lang w:val="fr-FR"/>
        </w:rPr>
        <w:t>Appui, y compris financier et logistique</w:t>
      </w:r>
      <w:r w:rsidR="00E545E3" w:rsidRPr="001961B1">
        <w:rPr>
          <w:rFonts w:cstheme="minorHAnsi"/>
          <w:bCs/>
          <w:lang w:val="fr-FR"/>
        </w:rPr>
        <w:t>,</w:t>
      </w:r>
      <w:r w:rsidR="00A30C7F" w:rsidRPr="001961B1">
        <w:rPr>
          <w:rFonts w:cstheme="minorHAnsi"/>
          <w:bCs/>
          <w:lang w:val="fr-FR"/>
        </w:rPr>
        <w:t xml:space="preserve"> </w:t>
      </w:r>
      <w:r w:rsidRPr="001961B1">
        <w:rPr>
          <w:rFonts w:cstheme="minorHAnsi"/>
          <w:bCs/>
          <w:lang w:val="fr-FR"/>
        </w:rPr>
        <w:t xml:space="preserve">comprenant un financement pour la mise en œuvre des projets </w:t>
      </w:r>
      <w:r w:rsidR="00A5341D" w:rsidRPr="001961B1">
        <w:rPr>
          <w:rFonts w:cstheme="minorHAnsi"/>
          <w:bCs/>
          <w:lang w:val="fr-FR"/>
        </w:rPr>
        <w:t>sur la</w:t>
      </w:r>
      <w:r w:rsidRPr="001961B1">
        <w:rPr>
          <w:rFonts w:cstheme="minorHAnsi"/>
          <w:bCs/>
          <w:lang w:val="fr-FR"/>
        </w:rPr>
        <w:t xml:space="preserve"> gestion et </w:t>
      </w:r>
      <w:r w:rsidR="00A5341D" w:rsidRPr="001961B1">
        <w:rPr>
          <w:rFonts w:cstheme="minorHAnsi"/>
          <w:bCs/>
          <w:lang w:val="fr-FR"/>
        </w:rPr>
        <w:t>la</w:t>
      </w:r>
      <w:r w:rsidRPr="001961B1">
        <w:rPr>
          <w:rFonts w:cstheme="minorHAnsi"/>
          <w:bCs/>
          <w:lang w:val="fr-FR"/>
        </w:rPr>
        <w:t xml:space="preserve"> restauration des zones humides ainsi que mobilisation d’un financement nouveau et additionnel de sources multiples pour la protection, la restauration et l’utilisation rationnelle des zones humides.</w:t>
      </w:r>
    </w:p>
    <w:p w14:paraId="0D59B3FF" w14:textId="46B71CF0" w:rsidR="00FF2A6F" w:rsidRPr="001961B1" w:rsidRDefault="00101F98" w:rsidP="00257025">
      <w:pPr>
        <w:pStyle w:val="ListParagraph"/>
        <w:numPr>
          <w:ilvl w:val="0"/>
          <w:numId w:val="108"/>
        </w:numPr>
        <w:tabs>
          <w:tab w:val="clear" w:pos="1154"/>
        </w:tabs>
        <w:spacing w:after="0" w:line="240" w:lineRule="auto"/>
        <w:ind w:left="993" w:hanging="425"/>
        <w:outlineLvl w:val="3"/>
        <w:rPr>
          <w:rFonts w:cstheme="minorHAnsi"/>
          <w:bCs/>
          <w:lang w:val="fr-FR"/>
        </w:rPr>
      </w:pPr>
      <w:r w:rsidRPr="001961B1">
        <w:rPr>
          <w:rFonts w:cstheme="minorHAnsi"/>
          <w:bCs/>
          <w:i/>
          <w:iCs/>
          <w:lang w:val="fr-FR"/>
        </w:rPr>
        <w:t>Partenariats pour la mise en œuvre</w:t>
      </w:r>
      <w:r w:rsidR="00FF2A6F" w:rsidRPr="001961B1">
        <w:rPr>
          <w:rFonts w:cstheme="minorHAnsi"/>
          <w:bCs/>
          <w:lang w:val="fr-FR"/>
        </w:rPr>
        <w:t xml:space="preserve">, </w:t>
      </w:r>
      <w:r w:rsidR="00A5341D" w:rsidRPr="001961B1">
        <w:rPr>
          <w:rFonts w:cstheme="minorHAnsi"/>
          <w:bCs/>
          <w:lang w:val="fr-FR"/>
        </w:rPr>
        <w:t>par exemple</w:t>
      </w:r>
      <w:r w:rsidR="002917D4" w:rsidRPr="001961B1">
        <w:rPr>
          <w:rFonts w:cstheme="minorHAnsi"/>
          <w:bCs/>
          <w:lang w:val="fr-FR"/>
        </w:rPr>
        <w:t> :</w:t>
      </w:r>
      <w:r w:rsidRPr="001961B1">
        <w:rPr>
          <w:rFonts w:cstheme="minorHAnsi"/>
          <w:bCs/>
          <w:lang w:val="fr-FR"/>
        </w:rPr>
        <w:t xml:space="preserve"> collaboration à l’élaboration et à la mise en œuvre de projets cofinancés, soutenant et encourageant l’inclusion des ONG et de la société civile dans les efforts de conservation des zones humides sur le terrain et fourniture de l’équipement et de l’infrastructure, </w:t>
      </w:r>
      <w:r w:rsidR="00682F3E" w:rsidRPr="001961B1">
        <w:rPr>
          <w:rFonts w:cstheme="minorHAnsi"/>
          <w:bCs/>
          <w:lang w:val="fr-FR"/>
        </w:rPr>
        <w:t>par exemple</w:t>
      </w:r>
      <w:r w:rsidRPr="001961B1">
        <w:rPr>
          <w:rFonts w:cstheme="minorHAnsi"/>
          <w:bCs/>
          <w:lang w:val="fr-FR"/>
        </w:rPr>
        <w:t xml:space="preserve"> pour la collecte de données et la protection de sites.</w:t>
      </w:r>
    </w:p>
    <w:p w14:paraId="2891CBBF" w14:textId="28C0D8CD" w:rsidR="00FF2A6F" w:rsidRPr="001961B1" w:rsidRDefault="00101F98" w:rsidP="00257025">
      <w:pPr>
        <w:pStyle w:val="ListParagraph"/>
        <w:numPr>
          <w:ilvl w:val="0"/>
          <w:numId w:val="108"/>
        </w:numPr>
        <w:tabs>
          <w:tab w:val="clear" w:pos="1154"/>
        </w:tabs>
        <w:spacing w:after="0" w:line="240" w:lineRule="auto"/>
        <w:ind w:left="993" w:hanging="425"/>
        <w:outlineLvl w:val="3"/>
        <w:rPr>
          <w:rFonts w:cstheme="minorHAnsi"/>
          <w:bCs/>
          <w:lang w:val="fr-FR"/>
        </w:rPr>
      </w:pPr>
      <w:r w:rsidRPr="001961B1">
        <w:rPr>
          <w:rFonts w:cstheme="minorHAnsi"/>
          <w:bCs/>
          <w:i/>
          <w:iCs/>
          <w:lang w:val="fr-FR"/>
        </w:rPr>
        <w:t>Recherche scientifique et innovation</w:t>
      </w:r>
      <w:r w:rsidR="00AE5F95" w:rsidRPr="001961B1">
        <w:rPr>
          <w:rFonts w:cstheme="minorHAnsi"/>
          <w:bCs/>
          <w:lang w:val="fr-FR"/>
        </w:rPr>
        <w:t xml:space="preserve">, </w:t>
      </w:r>
      <w:r w:rsidR="0059482F" w:rsidRPr="001961B1">
        <w:rPr>
          <w:rFonts w:cstheme="minorHAnsi"/>
          <w:bCs/>
          <w:lang w:val="fr-FR"/>
        </w:rPr>
        <w:t xml:space="preserve">y compris collaboration pour élaborer des solutions </w:t>
      </w:r>
      <w:r w:rsidR="00A5341D" w:rsidRPr="001961B1">
        <w:rPr>
          <w:rFonts w:cstheme="minorHAnsi"/>
          <w:bCs/>
          <w:lang w:val="fr-FR"/>
        </w:rPr>
        <w:t>fondées sur des éléments probants,</w:t>
      </w:r>
      <w:r w:rsidR="0059482F" w:rsidRPr="001961B1">
        <w:rPr>
          <w:rFonts w:cstheme="minorHAnsi"/>
          <w:bCs/>
          <w:lang w:val="fr-FR"/>
        </w:rPr>
        <w:t xml:space="preserve"> la science de la restauration, l’innovation en matière d’évaluation des services écosystémiques et les outils d’appui aux décisions, ainsi que le renforcement des systèmes de données. </w:t>
      </w:r>
    </w:p>
    <w:p w14:paraId="5DACC962" w14:textId="05D3FDC4" w:rsidR="00FF2A6F" w:rsidRPr="001961B1" w:rsidRDefault="00A5341D" w:rsidP="00257025">
      <w:pPr>
        <w:pStyle w:val="ListParagraph"/>
        <w:numPr>
          <w:ilvl w:val="0"/>
          <w:numId w:val="108"/>
        </w:numPr>
        <w:tabs>
          <w:tab w:val="clear" w:pos="1154"/>
        </w:tabs>
        <w:spacing w:after="0" w:line="240" w:lineRule="auto"/>
        <w:ind w:left="993" w:hanging="425"/>
        <w:outlineLvl w:val="3"/>
        <w:rPr>
          <w:rFonts w:cstheme="minorHAnsi"/>
          <w:lang w:val="fr-FR"/>
        </w:rPr>
      </w:pPr>
      <w:r w:rsidRPr="001961B1">
        <w:rPr>
          <w:rFonts w:cstheme="minorHAnsi"/>
          <w:bCs/>
          <w:i/>
          <w:iCs/>
          <w:lang w:val="fr-FR"/>
        </w:rPr>
        <w:t>Promotion</w:t>
      </w:r>
      <w:r w:rsidR="0059482F" w:rsidRPr="001961B1">
        <w:rPr>
          <w:rFonts w:cstheme="minorHAnsi"/>
          <w:bCs/>
          <w:i/>
          <w:iCs/>
          <w:lang w:val="fr-FR"/>
        </w:rPr>
        <w:t xml:space="preserve"> et information</w:t>
      </w:r>
      <w:r w:rsidR="00DB73A6" w:rsidRPr="001961B1">
        <w:rPr>
          <w:rFonts w:cstheme="minorHAnsi"/>
          <w:bCs/>
          <w:lang w:val="fr-FR"/>
        </w:rPr>
        <w:t xml:space="preserve">, </w:t>
      </w:r>
      <w:r w:rsidR="0059482F" w:rsidRPr="001961B1">
        <w:rPr>
          <w:rFonts w:cstheme="minorHAnsi"/>
          <w:bCs/>
          <w:lang w:val="fr-FR"/>
        </w:rPr>
        <w:t xml:space="preserve">y compris </w:t>
      </w:r>
      <w:r w:rsidRPr="001961B1">
        <w:rPr>
          <w:rFonts w:cstheme="minorHAnsi"/>
          <w:bCs/>
          <w:lang w:val="fr-FR"/>
        </w:rPr>
        <w:t xml:space="preserve">par </w:t>
      </w:r>
      <w:r w:rsidR="0059482F" w:rsidRPr="001961B1">
        <w:rPr>
          <w:rFonts w:cstheme="minorHAnsi"/>
          <w:bCs/>
          <w:lang w:val="fr-FR"/>
        </w:rPr>
        <w:t xml:space="preserve">l’utilisation des plateformes des OIP pour améliorer la visibilité des questions relatives aux zones humides à l’échelon mondial, et </w:t>
      </w:r>
      <w:r w:rsidRPr="001961B1">
        <w:rPr>
          <w:rFonts w:cstheme="minorHAnsi"/>
          <w:bCs/>
          <w:lang w:val="fr-FR"/>
        </w:rPr>
        <w:t xml:space="preserve">des </w:t>
      </w:r>
      <w:r w:rsidR="0059482F" w:rsidRPr="001961B1">
        <w:rPr>
          <w:rFonts w:cstheme="minorHAnsi"/>
          <w:bCs/>
          <w:lang w:val="fr-FR"/>
        </w:rPr>
        <w:t>efforts conjoints de promotion de l’intégration des zones humides dans les dialogues relatifs au climat et à la biodiversité.</w:t>
      </w:r>
    </w:p>
    <w:p w14:paraId="2B827F73" w14:textId="77777777" w:rsidR="000C73B7" w:rsidRPr="001961B1" w:rsidRDefault="000C73B7" w:rsidP="00CD3F6B">
      <w:pPr>
        <w:rPr>
          <w:rFonts w:asciiTheme="minorHAnsi" w:hAnsiTheme="minorHAnsi" w:cstheme="minorHAnsi"/>
          <w:sz w:val="22"/>
          <w:szCs w:val="22"/>
          <w:lang w:val="fr-FR"/>
        </w:rPr>
      </w:pPr>
    </w:p>
    <w:p w14:paraId="32D5FA36" w14:textId="2B94C3D9" w:rsidR="008D3554" w:rsidRPr="001961B1" w:rsidRDefault="009A483D" w:rsidP="000D551C">
      <w:pPr>
        <w:keepNext/>
        <w:rPr>
          <w:rFonts w:asciiTheme="minorHAnsi" w:eastAsia="Calibri" w:hAnsiTheme="minorHAnsi" w:cstheme="minorHAnsi"/>
          <w:i/>
          <w:iCs/>
          <w:sz w:val="22"/>
          <w:szCs w:val="22"/>
          <w:u w:val="single"/>
          <w:lang w:val="fr-FR"/>
        </w:rPr>
      </w:pPr>
      <w:r w:rsidRPr="001961B1">
        <w:rPr>
          <w:rFonts w:asciiTheme="minorHAnsi" w:eastAsia="Calibri" w:hAnsiTheme="minorHAnsi" w:cstheme="minorHAnsi"/>
          <w:i/>
          <w:iCs/>
          <w:sz w:val="22"/>
          <w:szCs w:val="22"/>
          <w:u w:val="single"/>
          <w:lang w:val="fr-FR"/>
        </w:rPr>
        <w:t xml:space="preserve">Renforcement </w:t>
      </w:r>
      <w:r w:rsidR="00C60652" w:rsidRPr="001961B1">
        <w:rPr>
          <w:rFonts w:asciiTheme="minorHAnsi" w:eastAsia="Calibri" w:hAnsiTheme="minorHAnsi" w:cstheme="minorHAnsi"/>
          <w:i/>
          <w:iCs/>
          <w:sz w:val="22"/>
          <w:szCs w:val="22"/>
          <w:u w:val="single"/>
          <w:lang w:val="fr-FR"/>
        </w:rPr>
        <w:t xml:space="preserve">du processus </w:t>
      </w:r>
      <w:r w:rsidRPr="001961B1">
        <w:rPr>
          <w:rFonts w:asciiTheme="minorHAnsi" w:eastAsia="Calibri" w:hAnsiTheme="minorHAnsi" w:cstheme="minorHAnsi"/>
          <w:i/>
          <w:iCs/>
          <w:sz w:val="22"/>
          <w:szCs w:val="22"/>
          <w:u w:val="single"/>
          <w:lang w:val="fr-FR"/>
        </w:rPr>
        <w:t>des rapports</w:t>
      </w:r>
      <w:r w:rsidR="00702C56" w:rsidRPr="001961B1">
        <w:rPr>
          <w:rFonts w:asciiTheme="minorHAnsi" w:eastAsia="Calibri" w:hAnsiTheme="minorHAnsi" w:cstheme="minorHAnsi"/>
          <w:i/>
          <w:iCs/>
          <w:sz w:val="22"/>
          <w:szCs w:val="22"/>
          <w:u w:val="single"/>
          <w:lang w:val="fr-FR"/>
        </w:rPr>
        <w:t xml:space="preserve"> </w:t>
      </w:r>
    </w:p>
    <w:p w14:paraId="55ECA82E" w14:textId="77777777" w:rsidR="008D3554" w:rsidRPr="001961B1" w:rsidRDefault="008D3554" w:rsidP="000D551C">
      <w:pPr>
        <w:pStyle w:val="ListParagraph"/>
        <w:keepNext/>
        <w:spacing w:after="0" w:line="240" w:lineRule="auto"/>
        <w:ind w:left="0"/>
        <w:contextualSpacing w:val="0"/>
        <w:rPr>
          <w:rFonts w:eastAsia="Times New Roman" w:cstheme="minorHAnsi"/>
          <w:bCs/>
          <w:lang w:val="fr-FR" w:eastAsia="fr-FR"/>
        </w:rPr>
      </w:pPr>
    </w:p>
    <w:p w14:paraId="4E5CBCC9" w14:textId="0A469139" w:rsidR="00CE1C94"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0019534C" w:rsidRPr="001961B1">
        <w:rPr>
          <w:rFonts w:asciiTheme="minorHAnsi" w:hAnsiTheme="minorHAnsi" w:cstheme="minorHAnsi"/>
          <w:sz w:val="22"/>
          <w:szCs w:val="22"/>
          <w:lang w:val="fr-FR"/>
        </w:rPr>
        <w:t>4</w:t>
      </w:r>
      <w:r w:rsidR="00B52C1D" w:rsidRPr="001961B1">
        <w:rPr>
          <w:rFonts w:asciiTheme="minorHAnsi" w:hAnsiTheme="minorHAnsi" w:cstheme="minorHAnsi"/>
          <w:sz w:val="22"/>
          <w:szCs w:val="22"/>
          <w:lang w:val="fr-FR"/>
        </w:rPr>
        <w:t>0</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87CD6" w:rsidRPr="001961B1">
        <w:rPr>
          <w:rFonts w:asciiTheme="minorHAnsi" w:hAnsiTheme="minorHAnsi" w:cstheme="minorHAnsi"/>
          <w:sz w:val="22"/>
          <w:szCs w:val="22"/>
          <w:lang w:val="fr-FR"/>
        </w:rPr>
        <w:t xml:space="preserve">Le nombre de Parties contractantes ayant soumis </w:t>
      </w:r>
      <w:r w:rsidR="00833326" w:rsidRPr="001961B1">
        <w:rPr>
          <w:rFonts w:asciiTheme="minorHAnsi" w:hAnsiTheme="minorHAnsi" w:cstheme="minorHAnsi"/>
          <w:sz w:val="22"/>
          <w:szCs w:val="22"/>
          <w:lang w:val="fr-FR"/>
        </w:rPr>
        <w:t>des</w:t>
      </w:r>
      <w:r w:rsidR="00E87CD6" w:rsidRPr="001961B1">
        <w:rPr>
          <w:rFonts w:asciiTheme="minorHAnsi" w:hAnsiTheme="minorHAnsi" w:cstheme="minorHAnsi"/>
          <w:sz w:val="22"/>
          <w:szCs w:val="22"/>
          <w:lang w:val="fr-FR"/>
        </w:rPr>
        <w:t xml:space="preserve"> Rapport</w:t>
      </w:r>
      <w:r w:rsidR="00833326" w:rsidRPr="001961B1">
        <w:rPr>
          <w:rFonts w:asciiTheme="minorHAnsi" w:hAnsiTheme="minorHAnsi" w:cstheme="minorHAnsi"/>
          <w:sz w:val="22"/>
          <w:szCs w:val="22"/>
          <w:lang w:val="fr-FR"/>
        </w:rPr>
        <w:t>s</w:t>
      </w:r>
      <w:r w:rsidR="00E87CD6" w:rsidRPr="001961B1">
        <w:rPr>
          <w:rFonts w:asciiTheme="minorHAnsi" w:hAnsiTheme="minorHAnsi" w:cstheme="minorHAnsi"/>
          <w:sz w:val="22"/>
          <w:szCs w:val="22"/>
          <w:lang w:val="fr-FR"/>
        </w:rPr>
        <w:t xml:space="preserve"> nationa</w:t>
      </w:r>
      <w:r w:rsidR="00833326" w:rsidRPr="001961B1">
        <w:rPr>
          <w:rFonts w:asciiTheme="minorHAnsi" w:hAnsiTheme="minorHAnsi" w:cstheme="minorHAnsi"/>
          <w:sz w:val="22"/>
          <w:szCs w:val="22"/>
          <w:lang w:val="fr-FR"/>
        </w:rPr>
        <w:t>ux</w:t>
      </w:r>
      <w:r w:rsidR="00E87CD6" w:rsidRPr="001961B1">
        <w:rPr>
          <w:rFonts w:asciiTheme="minorHAnsi" w:hAnsiTheme="minorHAnsi" w:cstheme="minorHAnsi"/>
          <w:sz w:val="22"/>
          <w:szCs w:val="22"/>
          <w:lang w:val="fr-FR"/>
        </w:rPr>
        <w:t xml:space="preserve"> a diminué durant la période triennale, mais la proportion de Parties </w:t>
      </w:r>
      <w:r w:rsidR="00833326" w:rsidRPr="001961B1">
        <w:rPr>
          <w:rFonts w:asciiTheme="minorHAnsi" w:hAnsiTheme="minorHAnsi" w:cstheme="minorHAnsi"/>
          <w:sz w:val="22"/>
          <w:szCs w:val="22"/>
          <w:lang w:val="fr-FR"/>
        </w:rPr>
        <w:t xml:space="preserve">ayant </w:t>
      </w:r>
      <w:r w:rsidR="00BC608A" w:rsidRPr="001961B1">
        <w:rPr>
          <w:rFonts w:asciiTheme="minorHAnsi" w:hAnsiTheme="minorHAnsi" w:cstheme="minorHAnsi"/>
          <w:sz w:val="22"/>
          <w:szCs w:val="22"/>
          <w:lang w:val="fr-FR"/>
        </w:rPr>
        <w:t>donné</w:t>
      </w:r>
      <w:r w:rsidR="00E87CD6" w:rsidRPr="001961B1">
        <w:rPr>
          <w:rFonts w:asciiTheme="minorHAnsi" w:hAnsiTheme="minorHAnsi" w:cstheme="minorHAnsi"/>
          <w:sz w:val="22"/>
          <w:szCs w:val="22"/>
          <w:lang w:val="fr-FR"/>
        </w:rPr>
        <w:t xml:space="preserve"> des réponses narratives a généralement augmenté, </w:t>
      </w:r>
      <w:r w:rsidR="00C60652" w:rsidRPr="001961B1">
        <w:rPr>
          <w:rFonts w:asciiTheme="minorHAnsi" w:hAnsiTheme="minorHAnsi" w:cstheme="minorHAnsi"/>
          <w:sz w:val="22"/>
          <w:szCs w:val="22"/>
          <w:lang w:val="fr-FR"/>
        </w:rPr>
        <w:t>de sorte que les</w:t>
      </w:r>
      <w:r w:rsidR="00E87CD6" w:rsidRPr="001961B1">
        <w:rPr>
          <w:rFonts w:asciiTheme="minorHAnsi" w:hAnsiTheme="minorHAnsi" w:cstheme="minorHAnsi"/>
          <w:sz w:val="22"/>
          <w:szCs w:val="22"/>
          <w:lang w:val="fr-FR"/>
        </w:rPr>
        <w:t xml:space="preserve"> informations </w:t>
      </w:r>
      <w:r w:rsidR="00C60652" w:rsidRPr="001961B1">
        <w:rPr>
          <w:rFonts w:asciiTheme="minorHAnsi" w:hAnsiTheme="minorHAnsi" w:cstheme="minorHAnsi"/>
          <w:sz w:val="22"/>
          <w:szCs w:val="22"/>
          <w:lang w:val="fr-FR"/>
        </w:rPr>
        <w:t xml:space="preserve">sont </w:t>
      </w:r>
      <w:r w:rsidR="00E87CD6" w:rsidRPr="001961B1">
        <w:rPr>
          <w:rFonts w:asciiTheme="minorHAnsi" w:hAnsiTheme="minorHAnsi" w:cstheme="minorHAnsi"/>
          <w:sz w:val="22"/>
          <w:szCs w:val="22"/>
          <w:lang w:val="fr-FR"/>
        </w:rPr>
        <w:t>plus qualitatives</w:t>
      </w:r>
      <w:r w:rsidR="00C60652" w:rsidRPr="001961B1">
        <w:rPr>
          <w:rFonts w:asciiTheme="minorHAnsi" w:hAnsiTheme="minorHAnsi" w:cstheme="minorHAnsi"/>
          <w:sz w:val="22"/>
          <w:szCs w:val="22"/>
          <w:lang w:val="fr-FR"/>
        </w:rPr>
        <w:t>,</w:t>
      </w:r>
      <w:r w:rsidR="00E87CD6" w:rsidRPr="001961B1">
        <w:rPr>
          <w:rFonts w:asciiTheme="minorHAnsi" w:hAnsiTheme="minorHAnsi" w:cstheme="minorHAnsi"/>
          <w:sz w:val="22"/>
          <w:szCs w:val="22"/>
          <w:lang w:val="fr-FR"/>
        </w:rPr>
        <w:t xml:space="preserve"> </w:t>
      </w:r>
      <w:r w:rsidR="00C60652" w:rsidRPr="001961B1">
        <w:rPr>
          <w:rFonts w:asciiTheme="minorHAnsi" w:hAnsiTheme="minorHAnsi" w:cstheme="minorHAnsi"/>
          <w:sz w:val="22"/>
          <w:szCs w:val="22"/>
          <w:lang w:val="fr-FR"/>
        </w:rPr>
        <w:t>tant</w:t>
      </w:r>
      <w:r w:rsidR="00E87CD6" w:rsidRPr="001961B1">
        <w:rPr>
          <w:rFonts w:asciiTheme="minorHAnsi" w:hAnsiTheme="minorHAnsi" w:cstheme="minorHAnsi"/>
          <w:sz w:val="22"/>
          <w:szCs w:val="22"/>
          <w:lang w:val="fr-FR"/>
        </w:rPr>
        <w:t xml:space="preserve"> sur les progrès</w:t>
      </w:r>
      <w:r w:rsidR="00833326" w:rsidRPr="001961B1">
        <w:rPr>
          <w:rFonts w:asciiTheme="minorHAnsi" w:hAnsiTheme="minorHAnsi" w:cstheme="minorHAnsi"/>
          <w:sz w:val="22"/>
          <w:szCs w:val="22"/>
          <w:lang w:val="fr-FR"/>
        </w:rPr>
        <w:t xml:space="preserve"> et</w:t>
      </w:r>
      <w:r w:rsidR="00E87CD6" w:rsidRPr="001961B1">
        <w:rPr>
          <w:rFonts w:asciiTheme="minorHAnsi" w:hAnsiTheme="minorHAnsi" w:cstheme="minorHAnsi"/>
          <w:sz w:val="22"/>
          <w:szCs w:val="22"/>
          <w:lang w:val="fr-FR"/>
        </w:rPr>
        <w:t xml:space="preserve"> les difficultés que </w:t>
      </w:r>
      <w:r w:rsidR="00833326" w:rsidRPr="001961B1">
        <w:rPr>
          <w:rFonts w:asciiTheme="minorHAnsi" w:hAnsiTheme="minorHAnsi" w:cstheme="minorHAnsi"/>
          <w:sz w:val="22"/>
          <w:szCs w:val="22"/>
          <w:lang w:val="fr-FR"/>
        </w:rPr>
        <w:t xml:space="preserve">sur </w:t>
      </w:r>
      <w:r w:rsidR="00E87CD6" w:rsidRPr="001961B1">
        <w:rPr>
          <w:rFonts w:asciiTheme="minorHAnsi" w:hAnsiTheme="minorHAnsi" w:cstheme="minorHAnsi"/>
          <w:sz w:val="22"/>
          <w:szCs w:val="22"/>
          <w:lang w:val="fr-FR"/>
        </w:rPr>
        <w:t>les priorités.</w:t>
      </w:r>
      <w:r w:rsidR="00841B53" w:rsidRPr="001961B1">
        <w:rPr>
          <w:rFonts w:asciiTheme="minorHAnsi" w:hAnsiTheme="minorHAnsi" w:cstheme="minorHAnsi"/>
          <w:sz w:val="22"/>
          <w:szCs w:val="22"/>
          <w:lang w:val="fr-FR"/>
        </w:rPr>
        <w:t xml:space="preserve"> </w:t>
      </w:r>
    </w:p>
    <w:p w14:paraId="00A0DEE5" w14:textId="77777777" w:rsidR="00CE1C94" w:rsidRPr="001961B1" w:rsidRDefault="00CE1C94" w:rsidP="00257025">
      <w:pPr>
        <w:pStyle w:val="ListParagraph"/>
        <w:spacing w:after="0" w:line="240" w:lineRule="auto"/>
        <w:ind w:left="567" w:hanging="567"/>
        <w:rPr>
          <w:rFonts w:eastAsia="Times New Roman" w:cstheme="minorHAnsi"/>
          <w:bCs/>
          <w:lang w:val="fr-FR" w:eastAsia="fr-FR"/>
        </w:rPr>
      </w:pPr>
    </w:p>
    <w:p w14:paraId="72FCE03F" w14:textId="423A3BD1" w:rsidR="008D3554" w:rsidRPr="001961B1" w:rsidRDefault="000E3338" w:rsidP="00257025">
      <w:pPr>
        <w:ind w:left="567" w:hanging="567"/>
        <w:rPr>
          <w:rFonts w:asciiTheme="minorHAnsi" w:hAnsiTheme="minorHAnsi" w:cstheme="minorHAnsi"/>
          <w:bCs/>
          <w:sz w:val="22"/>
          <w:szCs w:val="22"/>
          <w:lang w:val="fr-FR" w:eastAsia="fr-FR"/>
        </w:rPr>
      </w:pPr>
      <w:r w:rsidRPr="001961B1">
        <w:rPr>
          <w:rFonts w:asciiTheme="minorHAnsi" w:hAnsiTheme="minorHAnsi" w:cstheme="minorHAnsi"/>
          <w:bCs/>
          <w:sz w:val="22"/>
          <w:szCs w:val="22"/>
          <w:lang w:val="fr-FR" w:eastAsia="fr-FR"/>
        </w:rPr>
        <w:lastRenderedPageBreak/>
        <w:t>1</w:t>
      </w:r>
      <w:r w:rsidR="0019534C" w:rsidRPr="001961B1">
        <w:rPr>
          <w:rFonts w:asciiTheme="minorHAnsi" w:hAnsiTheme="minorHAnsi" w:cstheme="minorHAnsi"/>
          <w:bCs/>
          <w:sz w:val="22"/>
          <w:szCs w:val="22"/>
          <w:lang w:val="fr-FR" w:eastAsia="fr-FR"/>
        </w:rPr>
        <w:t>4</w:t>
      </w:r>
      <w:r w:rsidR="00B52C1D" w:rsidRPr="001961B1">
        <w:rPr>
          <w:rFonts w:asciiTheme="minorHAnsi" w:hAnsiTheme="minorHAnsi" w:cstheme="minorHAnsi"/>
          <w:bCs/>
          <w:sz w:val="22"/>
          <w:szCs w:val="22"/>
          <w:lang w:val="fr-FR" w:eastAsia="fr-FR"/>
        </w:rPr>
        <w:t>1</w:t>
      </w:r>
      <w:r w:rsidRPr="001961B1">
        <w:rPr>
          <w:rFonts w:asciiTheme="minorHAnsi" w:hAnsiTheme="minorHAnsi" w:cstheme="minorHAnsi"/>
          <w:bCs/>
          <w:sz w:val="22"/>
          <w:szCs w:val="22"/>
          <w:lang w:val="fr-FR" w:eastAsia="fr-FR"/>
        </w:rPr>
        <w:t>.</w:t>
      </w:r>
      <w:r w:rsidRPr="001961B1">
        <w:rPr>
          <w:rFonts w:asciiTheme="minorHAnsi" w:hAnsiTheme="minorHAnsi" w:cstheme="minorHAnsi"/>
          <w:bCs/>
          <w:sz w:val="22"/>
          <w:szCs w:val="22"/>
          <w:lang w:val="fr-FR" w:eastAsia="fr-FR"/>
        </w:rPr>
        <w:tab/>
      </w:r>
      <w:r w:rsidR="00084492" w:rsidRPr="001961B1">
        <w:rPr>
          <w:rFonts w:asciiTheme="minorHAnsi" w:hAnsiTheme="minorHAnsi" w:cstheme="minorHAnsi"/>
          <w:bCs/>
          <w:sz w:val="22"/>
          <w:szCs w:val="22"/>
          <w:lang w:val="fr-FR" w:eastAsia="fr-FR"/>
        </w:rPr>
        <w:t xml:space="preserve">Un certain nombre de facteurs compliquent l’analyse des données contenues dans les Rapports nationaux, l’identification des tendances et comparaisons entre les régions, notamment : </w:t>
      </w:r>
    </w:p>
    <w:p w14:paraId="6A33D489" w14:textId="79DDF528" w:rsidR="008D3554" w:rsidRPr="001961B1" w:rsidRDefault="007A0B10"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 xml:space="preserve">Le nombre d’indicateurs varie de manière significative selon les objectifs du PS4, </w:t>
      </w:r>
      <w:r w:rsidR="00833326" w:rsidRPr="001961B1">
        <w:rPr>
          <w:rFonts w:cstheme="minorHAnsi"/>
          <w:lang w:val="fr-FR" w:eastAsia="fr-FR"/>
        </w:rPr>
        <w:t>la plupart</w:t>
      </w:r>
      <w:r w:rsidRPr="001961B1">
        <w:rPr>
          <w:rFonts w:cstheme="minorHAnsi"/>
          <w:lang w:val="fr-FR" w:eastAsia="fr-FR"/>
        </w:rPr>
        <w:t xml:space="preserve"> étant des indicateurs de procédure et de résultat. </w:t>
      </w:r>
      <w:r w:rsidR="00833326" w:rsidRPr="001961B1">
        <w:rPr>
          <w:rFonts w:cstheme="minorHAnsi"/>
          <w:lang w:val="fr-FR" w:eastAsia="fr-FR"/>
        </w:rPr>
        <w:t>Sous deux des objectifs (objectifs 10 et 13), l</w:t>
      </w:r>
      <w:r w:rsidRPr="001961B1">
        <w:rPr>
          <w:rFonts w:cstheme="minorHAnsi"/>
          <w:lang w:val="fr-FR" w:eastAsia="fr-FR"/>
        </w:rPr>
        <w:t>es indicateurs ne figuraient pas dans le PS4 ou ont été développés et adoptés</w:t>
      </w:r>
      <w:r w:rsidR="00833326" w:rsidRPr="001961B1">
        <w:rPr>
          <w:rFonts w:cstheme="minorHAnsi"/>
          <w:lang w:val="fr-FR" w:eastAsia="fr-FR"/>
        </w:rPr>
        <w:t xml:space="preserve"> par la suite.</w:t>
      </w:r>
    </w:p>
    <w:p w14:paraId="616D6B27" w14:textId="05434477" w:rsidR="008D3554" w:rsidRPr="001961B1" w:rsidRDefault="00BC608A" w:rsidP="00257025">
      <w:pPr>
        <w:pStyle w:val="ListParagraph"/>
        <w:numPr>
          <w:ilvl w:val="0"/>
          <w:numId w:val="120"/>
        </w:numPr>
        <w:spacing w:after="0" w:line="240" w:lineRule="auto"/>
        <w:ind w:left="993" w:hanging="425"/>
        <w:rPr>
          <w:rFonts w:cstheme="minorHAnsi"/>
          <w:lang w:val="fr-FR" w:eastAsia="fr-FR"/>
        </w:rPr>
      </w:pPr>
      <w:r w:rsidRPr="001961B1">
        <w:rPr>
          <w:rFonts w:eastAsia="Times New Roman" w:cstheme="minorHAnsi"/>
          <w:bCs/>
          <w:lang w:val="fr-FR" w:eastAsia="fr-FR"/>
        </w:rPr>
        <w:t>Entre les COP, u</w:t>
      </w:r>
      <w:r w:rsidR="007A0B10" w:rsidRPr="001961B1">
        <w:rPr>
          <w:rFonts w:eastAsia="Times New Roman" w:cstheme="minorHAnsi"/>
          <w:bCs/>
          <w:lang w:val="fr-FR" w:eastAsia="fr-FR"/>
        </w:rPr>
        <w:t xml:space="preserve">n certain nombre de modifications ont été </w:t>
      </w:r>
      <w:r w:rsidRPr="001961B1">
        <w:rPr>
          <w:rFonts w:eastAsia="Times New Roman" w:cstheme="minorHAnsi"/>
          <w:bCs/>
          <w:lang w:val="fr-FR" w:eastAsia="fr-FR"/>
        </w:rPr>
        <w:t>apportées,</w:t>
      </w:r>
      <w:r w:rsidR="007A0B10" w:rsidRPr="001961B1">
        <w:rPr>
          <w:rFonts w:eastAsia="Times New Roman" w:cstheme="minorHAnsi"/>
          <w:bCs/>
          <w:lang w:val="fr-FR" w:eastAsia="fr-FR"/>
        </w:rPr>
        <w:t xml:space="preserve"> </w:t>
      </w:r>
      <w:r w:rsidRPr="001961B1">
        <w:rPr>
          <w:rFonts w:eastAsia="Times New Roman" w:cstheme="minorHAnsi"/>
          <w:bCs/>
          <w:lang w:val="fr-FR" w:eastAsia="fr-FR"/>
        </w:rPr>
        <w:t xml:space="preserve">dans le Formulaire de Rapport national, </w:t>
      </w:r>
      <w:r w:rsidR="007A0B10" w:rsidRPr="001961B1">
        <w:rPr>
          <w:rFonts w:eastAsia="Times New Roman" w:cstheme="minorHAnsi"/>
          <w:bCs/>
          <w:lang w:val="fr-FR" w:eastAsia="fr-FR"/>
        </w:rPr>
        <w:t xml:space="preserve">aux questions relatives aux indicateurs. Dans la plupart des cas, les séries temporelles ont été préservées mais </w:t>
      </w:r>
      <w:r w:rsidR="00682F3E" w:rsidRPr="001961B1">
        <w:rPr>
          <w:rFonts w:eastAsia="Times New Roman" w:cstheme="minorHAnsi"/>
          <w:bCs/>
          <w:lang w:val="fr-FR" w:eastAsia="fr-FR"/>
        </w:rPr>
        <w:t>une fois</w:t>
      </w:r>
      <w:r w:rsidR="007A0B10" w:rsidRPr="001961B1">
        <w:rPr>
          <w:rFonts w:eastAsia="Times New Roman" w:cstheme="minorHAnsi"/>
          <w:bCs/>
          <w:lang w:val="fr-FR" w:eastAsia="fr-FR"/>
        </w:rPr>
        <w:t xml:space="preserve"> au moins cela n’a pas été le cas et </w:t>
      </w:r>
      <w:r w:rsidRPr="001961B1">
        <w:rPr>
          <w:rFonts w:eastAsia="Times New Roman" w:cstheme="minorHAnsi"/>
          <w:bCs/>
          <w:lang w:val="fr-FR" w:eastAsia="fr-FR"/>
        </w:rPr>
        <w:t>parfois,</w:t>
      </w:r>
      <w:r w:rsidR="007A0B10" w:rsidRPr="001961B1">
        <w:rPr>
          <w:rFonts w:eastAsia="Times New Roman" w:cstheme="minorHAnsi"/>
          <w:bCs/>
          <w:lang w:val="fr-FR" w:eastAsia="fr-FR"/>
        </w:rPr>
        <w:t xml:space="preserve"> cela pourrait avoir </w:t>
      </w:r>
      <w:r w:rsidR="00682F3E" w:rsidRPr="001961B1">
        <w:rPr>
          <w:rFonts w:eastAsia="Times New Roman" w:cstheme="minorHAnsi"/>
          <w:bCs/>
          <w:lang w:val="fr-FR" w:eastAsia="fr-FR"/>
        </w:rPr>
        <w:t>influé sur</w:t>
      </w:r>
      <w:r w:rsidR="007A0B10" w:rsidRPr="001961B1">
        <w:rPr>
          <w:rFonts w:eastAsia="Times New Roman" w:cstheme="minorHAnsi"/>
          <w:bCs/>
          <w:lang w:val="fr-FR" w:eastAsia="fr-FR"/>
        </w:rPr>
        <w:t xml:space="preserve"> la réponse des Parties contractantes, et donc faussé les résultats.</w:t>
      </w:r>
      <w:r w:rsidR="008D3554" w:rsidRPr="001961B1">
        <w:rPr>
          <w:rFonts w:eastAsia="Times New Roman" w:cstheme="minorHAnsi"/>
          <w:bCs/>
          <w:lang w:val="fr-FR" w:eastAsia="fr-FR"/>
        </w:rPr>
        <w:t xml:space="preserve"> </w:t>
      </w:r>
    </w:p>
    <w:p w14:paraId="3DB499C6" w14:textId="646FC62D" w:rsidR="008D3554" w:rsidRPr="001961B1" w:rsidRDefault="00682F3E" w:rsidP="00257025">
      <w:pPr>
        <w:pStyle w:val="ListParagraph"/>
        <w:numPr>
          <w:ilvl w:val="0"/>
          <w:numId w:val="120"/>
        </w:numPr>
        <w:spacing w:after="0" w:line="240" w:lineRule="auto"/>
        <w:ind w:left="993" w:hanging="425"/>
        <w:rPr>
          <w:rFonts w:cstheme="minorHAnsi"/>
          <w:lang w:val="fr-FR" w:eastAsia="fr-FR"/>
        </w:rPr>
      </w:pPr>
      <w:r w:rsidRPr="001961B1">
        <w:rPr>
          <w:rFonts w:eastAsia="Times New Roman" w:cstheme="minorHAnsi"/>
          <w:bCs/>
          <w:lang w:val="fr-FR" w:eastAsia="fr-FR"/>
        </w:rPr>
        <w:t>Il y a parfois des incohérences</w:t>
      </w:r>
      <w:r w:rsidR="00565AA7" w:rsidRPr="001961B1">
        <w:rPr>
          <w:rFonts w:eastAsia="Times New Roman" w:cstheme="minorHAnsi"/>
          <w:bCs/>
          <w:lang w:val="fr-FR" w:eastAsia="fr-FR"/>
        </w:rPr>
        <w:t xml:space="preserve">, aussi bien dans le nombre de Parties contractantes ayant soumis des Rapports nationaux </w:t>
      </w:r>
      <w:r w:rsidRPr="001961B1">
        <w:rPr>
          <w:rFonts w:eastAsia="Times New Roman" w:cstheme="minorHAnsi"/>
          <w:bCs/>
          <w:lang w:val="fr-FR" w:eastAsia="fr-FR"/>
        </w:rPr>
        <w:t>que</w:t>
      </w:r>
      <w:r w:rsidR="00565AA7" w:rsidRPr="001961B1">
        <w:rPr>
          <w:rFonts w:eastAsia="Times New Roman" w:cstheme="minorHAnsi"/>
          <w:bCs/>
          <w:lang w:val="fr-FR" w:eastAsia="fr-FR"/>
        </w:rPr>
        <w:t xml:space="preserve"> dans les données fournies dans les rapports.</w:t>
      </w:r>
    </w:p>
    <w:p w14:paraId="547C1C44" w14:textId="77777777" w:rsidR="008D3554" w:rsidRPr="001961B1" w:rsidRDefault="008D3554" w:rsidP="00CD3F6B">
      <w:pPr>
        <w:rPr>
          <w:rFonts w:asciiTheme="minorHAnsi" w:hAnsiTheme="minorHAnsi" w:cstheme="minorHAnsi"/>
          <w:bCs/>
          <w:sz w:val="22"/>
          <w:szCs w:val="22"/>
          <w:lang w:val="fr-FR" w:eastAsia="fr-FR"/>
        </w:rPr>
      </w:pPr>
    </w:p>
    <w:p w14:paraId="385546A7" w14:textId="2F12A6EF" w:rsidR="008D3554" w:rsidRPr="001961B1" w:rsidRDefault="000E3338" w:rsidP="00257025">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0019534C" w:rsidRPr="001961B1">
        <w:rPr>
          <w:rFonts w:asciiTheme="minorHAnsi" w:hAnsiTheme="minorHAnsi" w:cstheme="minorHAnsi"/>
          <w:sz w:val="22"/>
          <w:szCs w:val="22"/>
          <w:lang w:val="fr-FR"/>
        </w:rPr>
        <w:t>4</w:t>
      </w:r>
      <w:r w:rsidR="00B52C1D"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w:t>
      </w:r>
      <w:r w:rsidRPr="001961B1">
        <w:rPr>
          <w:rFonts w:asciiTheme="minorHAnsi" w:hAnsiTheme="minorHAnsi" w:cstheme="minorHAnsi"/>
          <w:sz w:val="22"/>
          <w:szCs w:val="22"/>
          <w:lang w:val="fr-FR"/>
        </w:rPr>
        <w:tab/>
      </w:r>
      <w:r w:rsidR="00EB1C24" w:rsidRPr="001961B1">
        <w:rPr>
          <w:rFonts w:asciiTheme="minorHAnsi" w:hAnsiTheme="minorHAnsi" w:cstheme="minorHAnsi"/>
          <w:sz w:val="22"/>
          <w:szCs w:val="22"/>
          <w:lang w:val="fr-FR"/>
        </w:rPr>
        <w:t>Régler ces</w:t>
      </w:r>
      <w:r w:rsidR="0016661E" w:rsidRPr="001961B1">
        <w:rPr>
          <w:rFonts w:asciiTheme="minorHAnsi" w:hAnsiTheme="minorHAnsi" w:cstheme="minorHAnsi"/>
          <w:sz w:val="22"/>
          <w:szCs w:val="22"/>
          <w:lang w:val="fr-FR"/>
        </w:rPr>
        <w:t xml:space="preserve"> problèmes</w:t>
      </w:r>
      <w:r w:rsidR="00EB1C24" w:rsidRPr="001961B1">
        <w:rPr>
          <w:rFonts w:asciiTheme="minorHAnsi" w:hAnsiTheme="minorHAnsi" w:cstheme="minorHAnsi"/>
          <w:sz w:val="22"/>
          <w:szCs w:val="22"/>
          <w:lang w:val="fr-FR"/>
        </w:rPr>
        <w:t xml:space="preserve"> permettra de </w:t>
      </w:r>
      <w:r w:rsidR="0016661E" w:rsidRPr="001961B1">
        <w:rPr>
          <w:rFonts w:asciiTheme="minorHAnsi" w:hAnsiTheme="minorHAnsi" w:cstheme="minorHAnsi"/>
          <w:sz w:val="22"/>
          <w:szCs w:val="22"/>
          <w:lang w:val="fr-FR"/>
        </w:rPr>
        <w:t xml:space="preserve">renforcer le suivi des progrès par rapport aux buts et objectifs et </w:t>
      </w:r>
      <w:r w:rsidR="00EB1C24" w:rsidRPr="001961B1">
        <w:rPr>
          <w:rFonts w:asciiTheme="minorHAnsi" w:hAnsiTheme="minorHAnsi" w:cstheme="minorHAnsi"/>
          <w:sz w:val="22"/>
          <w:szCs w:val="22"/>
          <w:lang w:val="fr-FR"/>
        </w:rPr>
        <w:t xml:space="preserve">de </w:t>
      </w:r>
      <w:r w:rsidR="0016661E" w:rsidRPr="001961B1">
        <w:rPr>
          <w:rFonts w:asciiTheme="minorHAnsi" w:hAnsiTheme="minorHAnsi" w:cstheme="minorHAnsi"/>
          <w:sz w:val="22"/>
          <w:szCs w:val="22"/>
          <w:lang w:val="fr-FR"/>
        </w:rPr>
        <w:t>sout</w:t>
      </w:r>
      <w:r w:rsidR="00EB1C24" w:rsidRPr="001961B1">
        <w:rPr>
          <w:rFonts w:asciiTheme="minorHAnsi" w:hAnsiTheme="minorHAnsi" w:cstheme="minorHAnsi"/>
          <w:sz w:val="22"/>
          <w:szCs w:val="22"/>
          <w:lang w:val="fr-FR"/>
        </w:rPr>
        <w:t>enir</w:t>
      </w:r>
      <w:r w:rsidR="0016661E" w:rsidRPr="001961B1">
        <w:rPr>
          <w:rFonts w:asciiTheme="minorHAnsi" w:hAnsiTheme="minorHAnsi" w:cstheme="minorHAnsi"/>
          <w:sz w:val="22"/>
          <w:szCs w:val="22"/>
          <w:lang w:val="fr-FR"/>
        </w:rPr>
        <w:t xml:space="preserve"> </w:t>
      </w:r>
      <w:r w:rsidR="00EB1C24" w:rsidRPr="001961B1">
        <w:rPr>
          <w:rFonts w:asciiTheme="minorHAnsi" w:hAnsiTheme="minorHAnsi" w:cstheme="minorHAnsi"/>
          <w:sz w:val="22"/>
          <w:szCs w:val="22"/>
          <w:lang w:val="fr-FR"/>
        </w:rPr>
        <w:t>d</w:t>
      </w:r>
      <w:r w:rsidR="0016661E" w:rsidRPr="001961B1">
        <w:rPr>
          <w:rFonts w:asciiTheme="minorHAnsi" w:hAnsiTheme="minorHAnsi" w:cstheme="minorHAnsi"/>
          <w:sz w:val="22"/>
          <w:szCs w:val="22"/>
          <w:lang w:val="fr-FR"/>
        </w:rPr>
        <w:t xml:space="preserve">es décisions </w:t>
      </w:r>
      <w:r w:rsidR="00EB1C24" w:rsidRPr="001961B1">
        <w:rPr>
          <w:rFonts w:asciiTheme="minorHAnsi" w:hAnsiTheme="minorHAnsi" w:cstheme="minorHAnsi"/>
          <w:sz w:val="22"/>
          <w:szCs w:val="22"/>
          <w:lang w:val="fr-FR"/>
        </w:rPr>
        <w:t xml:space="preserve">fondées sur des éléments </w:t>
      </w:r>
      <w:r w:rsidR="00CA4E5B" w:rsidRPr="001961B1">
        <w:rPr>
          <w:rFonts w:asciiTheme="minorHAnsi" w:hAnsiTheme="minorHAnsi" w:cstheme="minorHAnsi"/>
          <w:sz w:val="22"/>
          <w:szCs w:val="22"/>
          <w:lang w:val="fr-FR"/>
        </w:rPr>
        <w:t>concrets</w:t>
      </w:r>
      <w:r w:rsidR="0016661E" w:rsidRPr="001961B1">
        <w:rPr>
          <w:rFonts w:asciiTheme="minorHAnsi" w:hAnsiTheme="minorHAnsi" w:cstheme="minorHAnsi"/>
          <w:sz w:val="22"/>
          <w:szCs w:val="22"/>
          <w:lang w:val="fr-FR"/>
        </w:rPr>
        <w:t xml:space="preserve"> dans le cadre de la Convention. Lors de l’établissement du cadre des indicateurs pour le PS5, il</w:t>
      </w:r>
      <w:r w:rsidR="00EB1C24" w:rsidRPr="001961B1">
        <w:rPr>
          <w:rFonts w:asciiTheme="minorHAnsi" w:hAnsiTheme="minorHAnsi" w:cstheme="minorHAnsi"/>
          <w:sz w:val="22"/>
          <w:szCs w:val="22"/>
          <w:lang w:val="fr-FR"/>
        </w:rPr>
        <w:t xml:space="preserve"> convient de tenir compte des points suivants</w:t>
      </w:r>
      <w:r w:rsidR="0016661E" w:rsidRPr="001961B1">
        <w:rPr>
          <w:rFonts w:asciiTheme="minorHAnsi" w:hAnsiTheme="minorHAnsi" w:cstheme="minorHAnsi"/>
          <w:sz w:val="22"/>
          <w:szCs w:val="22"/>
          <w:lang w:val="fr-FR"/>
        </w:rPr>
        <w:t xml:space="preserve"> : </w:t>
      </w:r>
    </w:p>
    <w:p w14:paraId="3A84485D" w14:textId="68450EE2" w:rsidR="008D3554" w:rsidRPr="001961B1" w:rsidRDefault="00C351ED"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 xml:space="preserve">établir un nombre limité et bien défini d’indicateurs pour chaque objectif, en </w:t>
      </w:r>
      <w:r w:rsidR="00EB1C24" w:rsidRPr="001961B1">
        <w:rPr>
          <w:rFonts w:cstheme="minorHAnsi"/>
          <w:lang w:val="fr-FR" w:eastAsia="fr-FR"/>
        </w:rPr>
        <w:t>reprenant, dans le PS5,</w:t>
      </w:r>
      <w:r w:rsidRPr="001961B1">
        <w:rPr>
          <w:rFonts w:cstheme="minorHAnsi"/>
          <w:lang w:val="fr-FR" w:eastAsia="fr-FR"/>
        </w:rPr>
        <w:t xml:space="preserve"> les indicateurs pertinents du PS4</w:t>
      </w:r>
      <w:r w:rsidR="00EB1C24" w:rsidRPr="001961B1">
        <w:rPr>
          <w:rFonts w:cstheme="minorHAnsi"/>
          <w:lang w:val="fr-FR" w:eastAsia="fr-FR"/>
        </w:rPr>
        <w:t> ;</w:t>
      </w:r>
      <w:r w:rsidR="008D3554" w:rsidRPr="001961B1">
        <w:rPr>
          <w:rFonts w:cstheme="minorHAnsi"/>
          <w:lang w:val="fr-FR" w:eastAsia="fr-FR"/>
        </w:rPr>
        <w:t xml:space="preserve"> </w:t>
      </w:r>
    </w:p>
    <w:p w14:paraId="7FD8ED80" w14:textId="38FD8E9B" w:rsidR="008D3554" w:rsidRPr="001961B1" w:rsidRDefault="00EB1C24"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dans toute la mesure du possible, préserver/maintenir les</w:t>
      </w:r>
      <w:r w:rsidR="00C351ED" w:rsidRPr="001961B1">
        <w:rPr>
          <w:rFonts w:cstheme="minorHAnsi"/>
          <w:lang w:val="fr-FR" w:eastAsia="fr-FR"/>
        </w:rPr>
        <w:t xml:space="preserve"> séries temporelles</w:t>
      </w:r>
      <w:r w:rsidRPr="001961B1">
        <w:rPr>
          <w:rFonts w:cstheme="minorHAnsi"/>
          <w:lang w:val="fr-FR" w:eastAsia="fr-FR"/>
        </w:rPr>
        <w:t xml:space="preserve"> </w:t>
      </w:r>
      <w:r w:rsidR="00C351ED" w:rsidRPr="001961B1">
        <w:rPr>
          <w:rFonts w:cstheme="minorHAnsi"/>
          <w:lang w:val="fr-FR" w:eastAsia="fr-FR"/>
        </w:rPr>
        <w:t>pour les indicateurs</w:t>
      </w:r>
      <w:r w:rsidRPr="001961B1">
        <w:rPr>
          <w:rFonts w:cstheme="minorHAnsi"/>
          <w:lang w:val="fr-FR" w:eastAsia="fr-FR"/>
        </w:rPr>
        <w:t xml:space="preserve"> </w:t>
      </w:r>
      <w:r w:rsidR="00C351ED" w:rsidRPr="001961B1">
        <w:rPr>
          <w:rFonts w:cstheme="minorHAnsi"/>
          <w:lang w:val="fr-FR" w:eastAsia="fr-FR"/>
        </w:rPr>
        <w:t xml:space="preserve">ainsi que pour d’autres questions </w:t>
      </w:r>
      <w:r w:rsidRPr="001961B1">
        <w:rPr>
          <w:rFonts w:cstheme="minorHAnsi"/>
          <w:lang w:val="fr-FR" w:eastAsia="fr-FR"/>
        </w:rPr>
        <w:t>du</w:t>
      </w:r>
      <w:r w:rsidR="00C351ED" w:rsidRPr="001961B1">
        <w:rPr>
          <w:rFonts w:cstheme="minorHAnsi"/>
          <w:lang w:val="fr-FR" w:eastAsia="fr-FR"/>
        </w:rPr>
        <w:t xml:space="preserve"> </w:t>
      </w:r>
      <w:r w:rsidRPr="001961B1">
        <w:rPr>
          <w:rFonts w:cstheme="minorHAnsi"/>
          <w:lang w:val="fr-FR" w:eastAsia="fr-FR"/>
        </w:rPr>
        <w:t>F</w:t>
      </w:r>
      <w:r w:rsidR="00C351ED" w:rsidRPr="001961B1">
        <w:rPr>
          <w:rFonts w:cstheme="minorHAnsi"/>
          <w:lang w:val="fr-FR" w:eastAsia="fr-FR"/>
        </w:rPr>
        <w:t xml:space="preserve">ormulaire de </w:t>
      </w:r>
      <w:r w:rsidRPr="001961B1">
        <w:rPr>
          <w:rFonts w:cstheme="minorHAnsi"/>
          <w:lang w:val="fr-FR" w:eastAsia="fr-FR"/>
        </w:rPr>
        <w:t>R</w:t>
      </w:r>
      <w:r w:rsidR="00C351ED" w:rsidRPr="001961B1">
        <w:rPr>
          <w:rFonts w:cstheme="minorHAnsi"/>
          <w:lang w:val="fr-FR" w:eastAsia="fr-FR"/>
        </w:rPr>
        <w:t>apport national</w:t>
      </w:r>
      <w:r w:rsidRPr="001961B1">
        <w:rPr>
          <w:rFonts w:cstheme="minorHAnsi"/>
          <w:lang w:val="fr-FR" w:eastAsia="fr-FR"/>
        </w:rPr>
        <w:t> ;</w:t>
      </w:r>
      <w:r w:rsidR="00C351ED" w:rsidRPr="001961B1">
        <w:rPr>
          <w:rFonts w:cstheme="minorHAnsi"/>
          <w:lang w:val="fr-FR" w:eastAsia="fr-FR"/>
        </w:rPr>
        <w:t xml:space="preserve"> </w:t>
      </w:r>
    </w:p>
    <w:p w14:paraId="401C3FE9" w14:textId="743DF54D" w:rsidR="008D3554" w:rsidRPr="001961B1" w:rsidRDefault="00EB1C24"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préserver la</w:t>
      </w:r>
      <w:r w:rsidR="009E0FA1" w:rsidRPr="001961B1">
        <w:rPr>
          <w:rFonts w:cstheme="minorHAnsi"/>
          <w:lang w:val="fr-FR" w:eastAsia="fr-FR"/>
        </w:rPr>
        <w:t xml:space="preserve"> cohérence dans la formulation des questions utilisées pour mesurer les indicateurs dans le </w:t>
      </w:r>
      <w:r w:rsidRPr="001961B1">
        <w:rPr>
          <w:rFonts w:cstheme="minorHAnsi"/>
          <w:lang w:val="fr-FR" w:eastAsia="fr-FR"/>
        </w:rPr>
        <w:t>F</w:t>
      </w:r>
      <w:r w:rsidR="009E0FA1" w:rsidRPr="001961B1">
        <w:rPr>
          <w:rFonts w:cstheme="minorHAnsi"/>
          <w:lang w:val="fr-FR" w:eastAsia="fr-FR"/>
        </w:rPr>
        <w:t xml:space="preserve">ormulaire de </w:t>
      </w:r>
      <w:r w:rsidRPr="001961B1">
        <w:rPr>
          <w:rFonts w:cstheme="minorHAnsi"/>
          <w:lang w:val="fr-FR" w:eastAsia="fr-FR"/>
        </w:rPr>
        <w:t>R</w:t>
      </w:r>
      <w:r w:rsidR="009E0FA1" w:rsidRPr="001961B1">
        <w:rPr>
          <w:rFonts w:cstheme="minorHAnsi"/>
          <w:lang w:val="fr-FR" w:eastAsia="fr-FR"/>
        </w:rPr>
        <w:t>apport national tout au long de la période triennale.</w:t>
      </w:r>
    </w:p>
    <w:p w14:paraId="16CCA397" w14:textId="3911D535" w:rsidR="008D3554" w:rsidRPr="001961B1" w:rsidRDefault="00EB1C24"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combiner l</w:t>
      </w:r>
      <w:r w:rsidR="003C1281" w:rsidRPr="001961B1">
        <w:rPr>
          <w:rFonts w:cstheme="minorHAnsi"/>
          <w:lang w:val="fr-FR" w:eastAsia="fr-FR"/>
        </w:rPr>
        <w:t xml:space="preserve">es indicateurs de résultats pour la réalisation des objectifs généraux du </w:t>
      </w:r>
      <w:r w:rsidR="00854277" w:rsidRPr="001961B1">
        <w:rPr>
          <w:rFonts w:cstheme="minorHAnsi"/>
          <w:lang w:val="fr-FR" w:eastAsia="fr-FR"/>
        </w:rPr>
        <w:t>P</w:t>
      </w:r>
      <w:r w:rsidR="003C1281" w:rsidRPr="001961B1">
        <w:rPr>
          <w:rFonts w:cstheme="minorHAnsi"/>
          <w:lang w:val="fr-FR" w:eastAsia="fr-FR"/>
        </w:rPr>
        <w:t>lan stratégique à long terme avec les indicateurs de proc</w:t>
      </w:r>
      <w:r w:rsidR="00CA4E5B" w:rsidRPr="001961B1">
        <w:rPr>
          <w:rFonts w:cstheme="minorHAnsi"/>
          <w:lang w:val="fr-FR" w:eastAsia="fr-FR"/>
        </w:rPr>
        <w:t>essus et de</w:t>
      </w:r>
      <w:r w:rsidR="003C1281" w:rsidRPr="001961B1">
        <w:rPr>
          <w:rFonts w:cstheme="minorHAnsi"/>
          <w:lang w:val="fr-FR" w:eastAsia="fr-FR"/>
        </w:rPr>
        <w:t xml:space="preserve"> résultats pour les objectifs individuels qui permettent une évaluation des progrès entre les périodes triennales</w:t>
      </w:r>
      <w:r w:rsidRPr="001961B1">
        <w:rPr>
          <w:rFonts w:cstheme="minorHAnsi"/>
          <w:lang w:val="fr-FR" w:eastAsia="fr-FR"/>
        </w:rPr>
        <w:t> ;</w:t>
      </w:r>
      <w:r w:rsidR="003C1281" w:rsidRPr="001961B1">
        <w:rPr>
          <w:rFonts w:cstheme="minorHAnsi"/>
          <w:lang w:val="fr-FR" w:eastAsia="fr-FR"/>
        </w:rPr>
        <w:t xml:space="preserve"> </w:t>
      </w:r>
    </w:p>
    <w:p w14:paraId="43AC9872" w14:textId="03647786" w:rsidR="008D3554" w:rsidRPr="001961B1" w:rsidRDefault="00EB1C24" w:rsidP="00257025">
      <w:pPr>
        <w:pStyle w:val="ListParagraph"/>
        <w:numPr>
          <w:ilvl w:val="0"/>
          <w:numId w:val="120"/>
        </w:numPr>
        <w:spacing w:after="0" w:line="240" w:lineRule="auto"/>
        <w:ind w:left="993" w:hanging="425"/>
        <w:rPr>
          <w:rFonts w:cstheme="minorHAnsi"/>
          <w:lang w:val="fr-FR" w:eastAsia="fr-FR"/>
        </w:rPr>
      </w:pPr>
      <w:r w:rsidRPr="001961B1">
        <w:rPr>
          <w:rFonts w:cstheme="minorHAnsi"/>
          <w:lang w:val="fr-FR" w:eastAsia="fr-FR"/>
        </w:rPr>
        <w:t xml:space="preserve">préparer des </w:t>
      </w:r>
      <w:r w:rsidR="003C1281" w:rsidRPr="001961B1">
        <w:rPr>
          <w:rFonts w:cstheme="minorHAnsi"/>
          <w:lang w:val="fr-FR" w:eastAsia="fr-FR"/>
        </w:rPr>
        <w:t xml:space="preserve">orientations brèves et claires pour les indicateurs pour promouvoir l’harmonisation de la collecte de données ainsi que </w:t>
      </w:r>
      <w:r w:rsidRPr="001961B1">
        <w:rPr>
          <w:rFonts w:cstheme="minorHAnsi"/>
          <w:lang w:val="fr-FR" w:eastAsia="fr-FR"/>
        </w:rPr>
        <w:t>d</w:t>
      </w:r>
      <w:r w:rsidR="003C1281" w:rsidRPr="001961B1">
        <w:rPr>
          <w:rFonts w:cstheme="minorHAnsi"/>
          <w:lang w:val="fr-FR" w:eastAsia="fr-FR"/>
        </w:rPr>
        <w:t>es rapports. Cela pourrait comprendre de simples feuilles de métadonnées pour les indicateurs.</w:t>
      </w:r>
      <w:r w:rsidR="008D3554" w:rsidRPr="001961B1">
        <w:rPr>
          <w:rFonts w:cstheme="minorHAnsi"/>
          <w:lang w:val="fr-FR" w:eastAsia="fr-FR"/>
        </w:rPr>
        <w:t xml:space="preserve"> </w:t>
      </w:r>
    </w:p>
    <w:p w14:paraId="4F6116EB" w14:textId="77777777" w:rsidR="008D3554" w:rsidRPr="001961B1" w:rsidRDefault="008D3554" w:rsidP="00CD3F6B">
      <w:pPr>
        <w:rPr>
          <w:rFonts w:asciiTheme="minorHAnsi" w:hAnsiTheme="minorHAnsi" w:cstheme="minorHAnsi"/>
          <w:b/>
          <w:bCs/>
          <w:sz w:val="22"/>
          <w:szCs w:val="22"/>
          <w:lang w:val="fr-FR"/>
        </w:rPr>
      </w:pPr>
    </w:p>
    <w:p w14:paraId="5433FF8B" w14:textId="77777777" w:rsidR="00B52C1D" w:rsidRPr="001961B1" w:rsidRDefault="00B52C1D">
      <w:pPr>
        <w:spacing w:after="160" w:line="259" w:lineRule="auto"/>
        <w:rPr>
          <w:rFonts w:asciiTheme="minorHAnsi" w:eastAsia="Calibri" w:hAnsiTheme="minorHAnsi" w:cstheme="minorHAnsi"/>
          <w:b/>
          <w:bCs/>
          <w:color w:val="000000"/>
          <w:sz w:val="22"/>
          <w:szCs w:val="22"/>
          <w:lang w:val="fr-FR"/>
        </w:rPr>
      </w:pPr>
      <w:r w:rsidRPr="001961B1">
        <w:rPr>
          <w:rFonts w:asciiTheme="minorHAnsi" w:eastAsia="Calibri" w:hAnsiTheme="minorHAnsi" w:cstheme="minorHAnsi"/>
          <w:b/>
          <w:bCs/>
          <w:color w:val="000000"/>
          <w:sz w:val="22"/>
          <w:szCs w:val="22"/>
          <w:lang w:val="fr-FR"/>
        </w:rPr>
        <w:br w:type="page"/>
      </w:r>
    </w:p>
    <w:p w14:paraId="7F22CDC7" w14:textId="790A6184" w:rsidR="008A3659" w:rsidRPr="006C0C53" w:rsidRDefault="006B4580" w:rsidP="00CD3F6B">
      <w:pPr>
        <w:autoSpaceDE w:val="0"/>
        <w:autoSpaceDN w:val="0"/>
        <w:adjustRightInd w:val="0"/>
        <w:rPr>
          <w:rFonts w:asciiTheme="minorHAnsi" w:eastAsia="Calibri" w:hAnsiTheme="minorHAnsi" w:cstheme="minorHAnsi"/>
          <w:b/>
          <w:bCs/>
          <w:color w:val="000000"/>
          <w:lang w:val="fr-FR"/>
        </w:rPr>
      </w:pPr>
      <w:r w:rsidRPr="006C0C53">
        <w:rPr>
          <w:rFonts w:asciiTheme="minorHAnsi" w:eastAsia="Calibri" w:hAnsiTheme="minorHAnsi" w:cstheme="minorHAnsi"/>
          <w:b/>
          <w:bCs/>
          <w:color w:val="000000"/>
          <w:lang w:val="fr-FR"/>
        </w:rPr>
        <w:lastRenderedPageBreak/>
        <w:t>Annex</w:t>
      </w:r>
      <w:r w:rsidR="005B427E" w:rsidRPr="006C0C53">
        <w:rPr>
          <w:rFonts w:asciiTheme="minorHAnsi" w:eastAsia="Calibri" w:hAnsiTheme="minorHAnsi" w:cstheme="minorHAnsi"/>
          <w:b/>
          <w:bCs/>
          <w:color w:val="000000"/>
          <w:lang w:val="fr-FR"/>
        </w:rPr>
        <w:t>e</w:t>
      </w:r>
      <w:r w:rsidR="00812F93" w:rsidRPr="006C0C53">
        <w:rPr>
          <w:rFonts w:asciiTheme="minorHAnsi" w:eastAsia="Calibri" w:hAnsiTheme="minorHAnsi" w:cstheme="minorHAnsi"/>
          <w:b/>
          <w:bCs/>
          <w:color w:val="000000"/>
          <w:lang w:val="fr-FR"/>
        </w:rPr>
        <w:t xml:space="preserve"> </w:t>
      </w:r>
      <w:r w:rsidR="00BA7E02" w:rsidRPr="006C0C53">
        <w:rPr>
          <w:rFonts w:asciiTheme="minorHAnsi" w:eastAsia="Calibri" w:hAnsiTheme="minorHAnsi" w:cstheme="minorHAnsi"/>
          <w:b/>
          <w:bCs/>
          <w:color w:val="000000"/>
          <w:lang w:val="fr-FR"/>
        </w:rPr>
        <w:t>1</w:t>
      </w:r>
    </w:p>
    <w:p w14:paraId="07689708" w14:textId="4D59F78E" w:rsidR="008F5054" w:rsidRPr="006C0C53" w:rsidRDefault="00124EBF" w:rsidP="00CD3F6B">
      <w:pPr>
        <w:autoSpaceDE w:val="0"/>
        <w:autoSpaceDN w:val="0"/>
        <w:adjustRightInd w:val="0"/>
        <w:rPr>
          <w:rFonts w:asciiTheme="minorHAnsi" w:eastAsia="Calibri" w:hAnsiTheme="minorHAnsi" w:cstheme="minorHAnsi"/>
          <w:b/>
          <w:bCs/>
          <w:color w:val="000000"/>
          <w:lang w:val="fr-FR"/>
        </w:rPr>
      </w:pPr>
      <w:r w:rsidRPr="006C0C53">
        <w:rPr>
          <w:rFonts w:asciiTheme="minorHAnsi" w:eastAsia="Calibri" w:hAnsiTheme="minorHAnsi" w:cstheme="minorHAnsi"/>
          <w:b/>
          <w:bCs/>
          <w:color w:val="000000"/>
          <w:lang w:val="fr-FR"/>
        </w:rPr>
        <w:t xml:space="preserve">Résumé </w:t>
      </w:r>
      <w:r w:rsidR="005409E2" w:rsidRPr="006C0C53">
        <w:rPr>
          <w:rFonts w:asciiTheme="minorHAnsi" w:eastAsia="Calibri" w:hAnsiTheme="minorHAnsi" w:cstheme="minorHAnsi"/>
          <w:b/>
          <w:bCs/>
          <w:color w:val="000000"/>
          <w:lang w:val="fr-FR"/>
        </w:rPr>
        <w:t xml:space="preserve">des rapports volontaires concernant l’établissement d’objectifs nationaux </w:t>
      </w:r>
    </w:p>
    <w:p w14:paraId="0815073D" w14:textId="77777777" w:rsidR="00597EE8" w:rsidRPr="001961B1" w:rsidRDefault="00597EE8" w:rsidP="00CD3F6B">
      <w:pPr>
        <w:rPr>
          <w:rFonts w:asciiTheme="minorHAnsi" w:hAnsiTheme="minorHAnsi" w:cstheme="minorHAnsi"/>
          <w:sz w:val="22"/>
          <w:szCs w:val="22"/>
          <w:lang w:val="fr-FR"/>
        </w:rPr>
      </w:pPr>
    </w:p>
    <w:p w14:paraId="29423959" w14:textId="77777777" w:rsidR="008A3659" w:rsidRPr="001961B1" w:rsidRDefault="008A3659" w:rsidP="00CD3F6B">
      <w:pPr>
        <w:rPr>
          <w:rFonts w:asciiTheme="minorHAnsi" w:hAnsiTheme="minorHAnsi" w:cstheme="minorHAnsi"/>
          <w:sz w:val="22"/>
          <w:szCs w:val="22"/>
          <w:lang w:val="fr-FR"/>
        </w:rPr>
      </w:pPr>
    </w:p>
    <w:p w14:paraId="2E219C44" w14:textId="3682CF6C" w:rsidR="00D57DC5" w:rsidRPr="001961B1" w:rsidRDefault="000E3338"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1.</w:t>
      </w:r>
      <w:r w:rsidRPr="001961B1">
        <w:rPr>
          <w:rFonts w:asciiTheme="minorHAnsi" w:hAnsiTheme="minorHAnsi" w:cstheme="minorHAnsi"/>
          <w:sz w:val="22"/>
          <w:szCs w:val="22"/>
          <w:lang w:val="fr-FR"/>
        </w:rPr>
        <w:tab/>
      </w:r>
      <w:r w:rsidR="005F2CD5" w:rsidRPr="001961B1">
        <w:rPr>
          <w:rFonts w:asciiTheme="minorHAnsi" w:hAnsiTheme="minorHAnsi" w:cstheme="minorHAnsi"/>
          <w:sz w:val="22"/>
          <w:szCs w:val="22"/>
          <w:lang w:val="fr-FR"/>
        </w:rPr>
        <w:t xml:space="preserve">Sur les 112 Parties contractantes </w:t>
      </w:r>
      <w:r w:rsidR="00A82565" w:rsidRPr="001961B1">
        <w:rPr>
          <w:rFonts w:asciiTheme="minorHAnsi" w:hAnsiTheme="minorHAnsi" w:cstheme="minorHAnsi"/>
          <w:sz w:val="22"/>
          <w:szCs w:val="22"/>
          <w:lang w:val="fr-FR"/>
        </w:rPr>
        <w:t>qui ont soumis</w:t>
      </w:r>
      <w:r w:rsidR="005F2CD5" w:rsidRPr="001961B1">
        <w:rPr>
          <w:rFonts w:asciiTheme="minorHAnsi" w:hAnsiTheme="minorHAnsi" w:cstheme="minorHAnsi"/>
          <w:sz w:val="22"/>
          <w:szCs w:val="22"/>
          <w:lang w:val="fr-FR"/>
        </w:rPr>
        <w:t xml:space="preserve"> des Rapports nationaux pour la COP15, 48 Parties (en Afrique, Asie, Europe et Amérique latine et Caraïbes) ont donné au moins quelques informations sur les objectifs nationaux établis </w:t>
      </w:r>
      <w:r w:rsidR="00A82565" w:rsidRPr="001961B1">
        <w:rPr>
          <w:rFonts w:asciiTheme="minorHAnsi" w:hAnsiTheme="minorHAnsi" w:cstheme="minorHAnsi"/>
          <w:sz w:val="22"/>
          <w:szCs w:val="22"/>
          <w:lang w:val="fr-FR"/>
        </w:rPr>
        <w:t>pour soutenir</w:t>
      </w:r>
      <w:r w:rsidR="005F2CD5" w:rsidRPr="001961B1">
        <w:rPr>
          <w:rFonts w:asciiTheme="minorHAnsi" w:hAnsiTheme="minorHAnsi" w:cstheme="minorHAnsi"/>
          <w:sz w:val="22"/>
          <w:szCs w:val="22"/>
          <w:lang w:val="fr-FR"/>
        </w:rPr>
        <w:t xml:space="preserve"> la mise en œuvre du PS4. </w:t>
      </w:r>
    </w:p>
    <w:p w14:paraId="1E576C19" w14:textId="77777777" w:rsidR="00D1463B" w:rsidRPr="001961B1" w:rsidRDefault="00D1463B" w:rsidP="000E3338">
      <w:pPr>
        <w:ind w:left="567" w:hanging="567"/>
        <w:rPr>
          <w:rFonts w:asciiTheme="minorHAnsi" w:hAnsiTheme="minorHAnsi" w:cstheme="minorHAnsi"/>
          <w:sz w:val="22"/>
          <w:szCs w:val="22"/>
          <w:lang w:val="fr-FR"/>
        </w:rPr>
      </w:pPr>
    </w:p>
    <w:p w14:paraId="2A38F63E" w14:textId="18DEFD6B" w:rsidR="00187580" w:rsidRPr="001961B1" w:rsidRDefault="000E3338"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2.</w:t>
      </w:r>
      <w:r w:rsidRPr="001961B1">
        <w:rPr>
          <w:rFonts w:asciiTheme="minorHAnsi" w:hAnsiTheme="minorHAnsi" w:cstheme="minorHAnsi"/>
          <w:sz w:val="22"/>
          <w:szCs w:val="22"/>
          <w:lang w:val="fr-FR"/>
        </w:rPr>
        <w:tab/>
      </w:r>
      <w:r w:rsidR="005F2CD5" w:rsidRPr="001961B1">
        <w:rPr>
          <w:rFonts w:asciiTheme="minorHAnsi" w:hAnsiTheme="minorHAnsi" w:cstheme="minorHAnsi"/>
          <w:sz w:val="22"/>
          <w:szCs w:val="22"/>
          <w:lang w:val="fr-FR"/>
        </w:rPr>
        <w:t xml:space="preserve">Le tableau illustre le nombre d’objectifs nationaux identifiés pour chaque objectif du PS4, </w:t>
      </w:r>
      <w:r w:rsidR="00A82565" w:rsidRPr="001961B1">
        <w:rPr>
          <w:rFonts w:asciiTheme="minorHAnsi" w:hAnsiTheme="minorHAnsi" w:cstheme="minorHAnsi"/>
          <w:sz w:val="22"/>
          <w:szCs w:val="22"/>
          <w:lang w:val="fr-FR"/>
        </w:rPr>
        <w:t>combien</w:t>
      </w:r>
      <w:r w:rsidR="005F2CD5" w:rsidRPr="001961B1">
        <w:rPr>
          <w:rFonts w:asciiTheme="minorHAnsi" w:hAnsiTheme="minorHAnsi" w:cstheme="minorHAnsi"/>
          <w:sz w:val="22"/>
          <w:szCs w:val="22"/>
          <w:lang w:val="fr-FR"/>
        </w:rPr>
        <w:t xml:space="preserve"> sont </w:t>
      </w:r>
      <w:r w:rsidR="00682F3E" w:rsidRPr="001961B1">
        <w:rPr>
          <w:rFonts w:asciiTheme="minorHAnsi" w:hAnsiTheme="minorHAnsi" w:cstheme="minorHAnsi"/>
          <w:sz w:val="22"/>
          <w:szCs w:val="22"/>
          <w:lang w:val="fr-FR"/>
        </w:rPr>
        <w:t>considérés</w:t>
      </w:r>
      <w:r w:rsidR="00A82565" w:rsidRPr="001961B1">
        <w:rPr>
          <w:rFonts w:asciiTheme="minorHAnsi" w:hAnsiTheme="minorHAnsi" w:cstheme="minorHAnsi"/>
          <w:sz w:val="22"/>
          <w:szCs w:val="22"/>
          <w:lang w:val="fr-FR"/>
        </w:rPr>
        <w:t xml:space="preserve"> prioritaires</w:t>
      </w:r>
      <w:r w:rsidR="005F2CD5" w:rsidRPr="001961B1">
        <w:rPr>
          <w:rFonts w:asciiTheme="minorHAnsi" w:hAnsiTheme="minorHAnsi" w:cstheme="minorHAnsi"/>
          <w:sz w:val="22"/>
          <w:szCs w:val="22"/>
          <w:lang w:val="fr-FR"/>
        </w:rPr>
        <w:t xml:space="preserve">, combien ont des ressources adéquates et combien </w:t>
      </w:r>
      <w:r w:rsidR="005B51DE" w:rsidRPr="001961B1">
        <w:rPr>
          <w:rFonts w:asciiTheme="minorHAnsi" w:hAnsiTheme="minorHAnsi" w:cstheme="minorHAnsi"/>
          <w:sz w:val="22"/>
          <w:szCs w:val="22"/>
          <w:lang w:val="fr-FR"/>
        </w:rPr>
        <w:t>ont des</w:t>
      </w:r>
      <w:r w:rsidR="005F2CD5" w:rsidRPr="001961B1">
        <w:rPr>
          <w:rFonts w:asciiTheme="minorHAnsi" w:hAnsiTheme="minorHAnsi" w:cstheme="minorHAnsi"/>
          <w:sz w:val="22"/>
          <w:szCs w:val="22"/>
          <w:lang w:val="fr-FR"/>
        </w:rPr>
        <w:t xml:space="preserve"> ressources limitant</w:t>
      </w:r>
      <w:r w:rsidR="005B51DE" w:rsidRPr="001961B1">
        <w:rPr>
          <w:rFonts w:asciiTheme="minorHAnsi" w:hAnsiTheme="minorHAnsi" w:cstheme="minorHAnsi"/>
          <w:sz w:val="22"/>
          <w:szCs w:val="22"/>
          <w:lang w:val="fr-FR"/>
        </w:rPr>
        <w:t>e</w:t>
      </w:r>
      <w:r w:rsidR="005F2CD5" w:rsidRPr="001961B1">
        <w:rPr>
          <w:rFonts w:asciiTheme="minorHAnsi" w:hAnsiTheme="minorHAnsi" w:cstheme="minorHAnsi"/>
          <w:sz w:val="22"/>
          <w:szCs w:val="22"/>
          <w:lang w:val="fr-FR"/>
        </w:rPr>
        <w:t>s ou gravement limitant</w:t>
      </w:r>
      <w:r w:rsidR="005B51DE" w:rsidRPr="001961B1">
        <w:rPr>
          <w:rFonts w:asciiTheme="minorHAnsi" w:hAnsiTheme="minorHAnsi" w:cstheme="minorHAnsi"/>
          <w:sz w:val="22"/>
          <w:szCs w:val="22"/>
          <w:lang w:val="fr-FR"/>
        </w:rPr>
        <w:t>e</w:t>
      </w:r>
      <w:r w:rsidR="005F2CD5" w:rsidRPr="001961B1">
        <w:rPr>
          <w:rFonts w:asciiTheme="minorHAnsi" w:hAnsiTheme="minorHAnsi" w:cstheme="minorHAnsi"/>
          <w:sz w:val="22"/>
          <w:szCs w:val="22"/>
          <w:lang w:val="fr-FR"/>
        </w:rPr>
        <w:t>s.</w:t>
      </w:r>
      <w:r w:rsidR="009829F7" w:rsidRPr="001961B1">
        <w:rPr>
          <w:rFonts w:asciiTheme="minorHAnsi" w:hAnsiTheme="minorHAnsi" w:cstheme="minorHAnsi"/>
          <w:sz w:val="22"/>
          <w:szCs w:val="22"/>
          <w:lang w:val="fr-FR"/>
        </w:rPr>
        <w:t xml:space="preserve"> </w:t>
      </w:r>
    </w:p>
    <w:p w14:paraId="20248539" w14:textId="77777777" w:rsidR="00D1463B" w:rsidRPr="001961B1" w:rsidRDefault="00D1463B" w:rsidP="000E3338">
      <w:pPr>
        <w:ind w:left="567" w:hanging="567"/>
        <w:rPr>
          <w:rFonts w:asciiTheme="minorHAnsi" w:hAnsiTheme="minorHAnsi" w:cstheme="minorHAnsi"/>
          <w:sz w:val="22"/>
          <w:szCs w:val="22"/>
          <w:lang w:val="fr-FR"/>
        </w:rPr>
      </w:pPr>
    </w:p>
    <w:p w14:paraId="53474E6A" w14:textId="17E52597" w:rsidR="00E22800" w:rsidRPr="001961B1" w:rsidRDefault="000E3338" w:rsidP="000E3338">
      <w:pPr>
        <w:ind w:left="567" w:hanging="567"/>
        <w:rPr>
          <w:rFonts w:asciiTheme="minorHAnsi" w:hAnsiTheme="minorHAnsi" w:cstheme="minorHAnsi"/>
          <w:sz w:val="22"/>
          <w:szCs w:val="22"/>
          <w:lang w:val="fr-FR"/>
        </w:rPr>
      </w:pPr>
      <w:r w:rsidRPr="001961B1">
        <w:rPr>
          <w:rFonts w:asciiTheme="minorHAnsi" w:hAnsiTheme="minorHAnsi" w:cstheme="minorHAnsi"/>
          <w:sz w:val="22"/>
          <w:szCs w:val="22"/>
          <w:lang w:val="fr-FR"/>
        </w:rPr>
        <w:t>3.</w:t>
      </w:r>
      <w:r w:rsidRPr="001961B1">
        <w:rPr>
          <w:rFonts w:asciiTheme="minorHAnsi" w:hAnsiTheme="minorHAnsi" w:cstheme="minorHAnsi"/>
          <w:sz w:val="22"/>
          <w:szCs w:val="22"/>
          <w:lang w:val="fr-FR"/>
        </w:rPr>
        <w:tab/>
      </w:r>
      <w:r w:rsidR="005F2CD5" w:rsidRPr="001961B1">
        <w:rPr>
          <w:rFonts w:asciiTheme="minorHAnsi" w:hAnsiTheme="minorHAnsi" w:cstheme="minorHAnsi"/>
          <w:sz w:val="22"/>
          <w:szCs w:val="22"/>
          <w:lang w:val="fr-FR"/>
        </w:rPr>
        <w:t xml:space="preserve">Il convient de noter que les informations fournies par les Parties contractantes sont extrêmement variables et comprennent </w:t>
      </w:r>
      <w:r w:rsidR="00A82565" w:rsidRPr="001961B1">
        <w:rPr>
          <w:rFonts w:asciiTheme="minorHAnsi" w:hAnsiTheme="minorHAnsi" w:cstheme="minorHAnsi"/>
          <w:sz w:val="22"/>
          <w:szCs w:val="22"/>
          <w:lang w:val="fr-FR"/>
        </w:rPr>
        <w:t xml:space="preserve">aussi bien des </w:t>
      </w:r>
      <w:r w:rsidR="005F2CD5" w:rsidRPr="001961B1">
        <w:rPr>
          <w:rFonts w:asciiTheme="minorHAnsi" w:hAnsiTheme="minorHAnsi" w:cstheme="minorHAnsi"/>
          <w:sz w:val="22"/>
          <w:szCs w:val="22"/>
          <w:lang w:val="fr-FR"/>
        </w:rPr>
        <w:t xml:space="preserve">objectifs quantitatifs </w:t>
      </w:r>
      <w:r w:rsidR="009C1376" w:rsidRPr="001961B1">
        <w:rPr>
          <w:rFonts w:asciiTheme="minorHAnsi" w:hAnsiTheme="minorHAnsi" w:cstheme="minorHAnsi"/>
          <w:sz w:val="22"/>
          <w:szCs w:val="22"/>
          <w:lang w:val="fr-FR"/>
        </w:rPr>
        <w:t>précis</w:t>
      </w:r>
      <w:r w:rsidR="005F2CD5" w:rsidRPr="001961B1">
        <w:rPr>
          <w:rFonts w:asciiTheme="minorHAnsi" w:hAnsiTheme="minorHAnsi" w:cstheme="minorHAnsi"/>
          <w:sz w:val="22"/>
          <w:szCs w:val="22"/>
          <w:lang w:val="fr-FR"/>
        </w:rPr>
        <w:t xml:space="preserve"> que des informations exprimant une aspiration générale plutôt qu’un objectif spécifique. Les informations présentées doivent donc être considérées comme « indicatives ».</w:t>
      </w:r>
      <w:r w:rsidR="00FF3B64" w:rsidRPr="001961B1">
        <w:rPr>
          <w:rFonts w:asciiTheme="minorHAnsi" w:hAnsiTheme="minorHAnsi" w:cstheme="minorHAnsi"/>
          <w:sz w:val="22"/>
          <w:szCs w:val="22"/>
          <w:lang w:val="fr-FR"/>
        </w:rPr>
        <w:t xml:space="preserve"> </w:t>
      </w:r>
    </w:p>
    <w:p w14:paraId="1D764538" w14:textId="77777777" w:rsidR="0088477B" w:rsidRPr="001961B1" w:rsidRDefault="0088477B" w:rsidP="0078307B">
      <w:pPr>
        <w:keepNext/>
        <w:rPr>
          <w:rFonts w:asciiTheme="minorHAnsi" w:hAnsiTheme="minorHAnsi" w:cstheme="minorHAnsi"/>
          <w:b/>
          <w:bCs/>
          <w:sz w:val="22"/>
          <w:szCs w:val="22"/>
          <w:lang w:val="fr-FR"/>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5"/>
        <w:gridCol w:w="1481"/>
        <w:gridCol w:w="1482"/>
        <w:gridCol w:w="1482"/>
        <w:gridCol w:w="1482"/>
      </w:tblGrid>
      <w:tr w:rsidR="0078307B" w:rsidRPr="006C0C53" w14:paraId="0FD1C58B" w14:textId="77777777" w:rsidTr="00C97402">
        <w:trPr>
          <w:trHeight w:val="280"/>
          <w:tblHeader/>
        </w:trPr>
        <w:tc>
          <w:tcPr>
            <w:tcW w:w="3145" w:type="dxa"/>
            <w:shd w:val="clear" w:color="auto" w:fill="auto"/>
            <w:noWrap/>
            <w:vAlign w:val="center"/>
            <w:hideMark/>
          </w:tcPr>
          <w:p w14:paraId="153FC9D9" w14:textId="44B49D1F" w:rsidR="00577BF2" w:rsidRPr="006C0C53" w:rsidRDefault="005B427E" w:rsidP="0078307B">
            <w:pPr>
              <w:keepNext/>
              <w:jc w:val="center"/>
              <w:rPr>
                <w:rFonts w:asciiTheme="minorHAnsi" w:hAnsiTheme="minorHAnsi" w:cstheme="minorHAnsi"/>
                <w:b/>
                <w:bCs/>
                <w:sz w:val="20"/>
                <w:szCs w:val="20"/>
                <w:lang w:val="fr-FR"/>
              </w:rPr>
            </w:pPr>
            <w:r w:rsidRPr="006C0C53">
              <w:rPr>
                <w:rFonts w:asciiTheme="minorHAnsi" w:hAnsiTheme="minorHAnsi" w:cstheme="minorHAnsi"/>
                <w:b/>
                <w:bCs/>
                <w:sz w:val="20"/>
                <w:szCs w:val="20"/>
                <w:lang w:val="fr-FR"/>
              </w:rPr>
              <w:t>Buts et objectifs</w:t>
            </w:r>
            <w:r w:rsidR="00E97353" w:rsidRPr="006C0C53">
              <w:rPr>
                <w:rFonts w:asciiTheme="minorHAnsi" w:hAnsiTheme="minorHAnsi" w:cstheme="minorHAnsi"/>
                <w:b/>
                <w:bCs/>
                <w:sz w:val="20"/>
                <w:szCs w:val="20"/>
                <w:lang w:val="fr-FR"/>
              </w:rPr>
              <w:t xml:space="preserve"> du PS4</w:t>
            </w:r>
          </w:p>
        </w:tc>
        <w:tc>
          <w:tcPr>
            <w:tcW w:w="1481" w:type="dxa"/>
            <w:shd w:val="clear" w:color="auto" w:fill="auto"/>
            <w:noWrap/>
            <w:vAlign w:val="center"/>
            <w:hideMark/>
          </w:tcPr>
          <w:p w14:paraId="010DFF65" w14:textId="4F4C8053" w:rsidR="00577BF2" w:rsidRPr="006C0C53" w:rsidRDefault="00EB5E19" w:rsidP="0078307B">
            <w:pPr>
              <w:keepNext/>
              <w:jc w:val="center"/>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Nombre t</w:t>
            </w:r>
            <w:r w:rsidR="00577BF2" w:rsidRPr="006C0C53">
              <w:rPr>
                <w:rFonts w:asciiTheme="minorHAnsi" w:hAnsiTheme="minorHAnsi" w:cstheme="minorHAnsi"/>
                <w:b/>
                <w:bCs/>
                <w:color w:val="000000"/>
                <w:sz w:val="20"/>
                <w:szCs w:val="20"/>
                <w:lang w:val="fr-FR"/>
              </w:rPr>
              <w:t xml:space="preserve">otal </w:t>
            </w:r>
            <w:r w:rsidRPr="006C0C53">
              <w:rPr>
                <w:rFonts w:asciiTheme="minorHAnsi" w:hAnsiTheme="minorHAnsi" w:cstheme="minorHAnsi"/>
                <w:b/>
                <w:bCs/>
                <w:color w:val="000000"/>
                <w:sz w:val="20"/>
                <w:szCs w:val="20"/>
                <w:lang w:val="fr-FR"/>
              </w:rPr>
              <w:t>d’objectifs nationaux</w:t>
            </w:r>
          </w:p>
        </w:tc>
        <w:tc>
          <w:tcPr>
            <w:tcW w:w="1482" w:type="dxa"/>
            <w:shd w:val="clear" w:color="auto" w:fill="auto"/>
            <w:noWrap/>
            <w:vAlign w:val="center"/>
            <w:hideMark/>
          </w:tcPr>
          <w:p w14:paraId="110B67C9" w14:textId="3EC6C867" w:rsidR="00577BF2" w:rsidRPr="006C0C53" w:rsidRDefault="00EB5E19" w:rsidP="0078307B">
            <w:pPr>
              <w:keepNext/>
              <w:jc w:val="center"/>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 xml:space="preserve">Nombre d’objectifs </w:t>
            </w:r>
            <w:r w:rsidR="00A82565" w:rsidRPr="006C0C53">
              <w:rPr>
                <w:rFonts w:asciiTheme="minorHAnsi" w:hAnsiTheme="minorHAnsi" w:cstheme="minorHAnsi"/>
                <w:b/>
                <w:bCs/>
                <w:color w:val="000000"/>
                <w:sz w:val="20"/>
                <w:szCs w:val="20"/>
                <w:lang w:val="fr-FR"/>
              </w:rPr>
              <w:t>hautement</w:t>
            </w:r>
            <w:r w:rsidRPr="006C0C53">
              <w:rPr>
                <w:rFonts w:asciiTheme="minorHAnsi" w:hAnsiTheme="minorHAnsi" w:cstheme="minorHAnsi"/>
                <w:b/>
                <w:bCs/>
                <w:color w:val="000000"/>
                <w:sz w:val="20"/>
                <w:szCs w:val="20"/>
                <w:lang w:val="fr-FR"/>
              </w:rPr>
              <w:t xml:space="preserve"> </w:t>
            </w:r>
            <w:r w:rsidR="00577BF2" w:rsidRPr="006C0C53">
              <w:rPr>
                <w:rFonts w:asciiTheme="minorHAnsi" w:hAnsiTheme="minorHAnsi" w:cstheme="minorHAnsi"/>
                <w:b/>
                <w:bCs/>
                <w:color w:val="000000"/>
                <w:sz w:val="20"/>
                <w:szCs w:val="20"/>
                <w:lang w:val="fr-FR"/>
              </w:rPr>
              <w:t>priorit</w:t>
            </w:r>
            <w:r w:rsidRPr="006C0C53">
              <w:rPr>
                <w:rFonts w:asciiTheme="minorHAnsi" w:hAnsiTheme="minorHAnsi" w:cstheme="minorHAnsi"/>
                <w:b/>
                <w:bCs/>
                <w:color w:val="000000"/>
                <w:sz w:val="20"/>
                <w:szCs w:val="20"/>
                <w:lang w:val="fr-FR"/>
              </w:rPr>
              <w:t>aires</w:t>
            </w:r>
          </w:p>
        </w:tc>
        <w:tc>
          <w:tcPr>
            <w:tcW w:w="1482" w:type="dxa"/>
            <w:shd w:val="clear" w:color="auto" w:fill="auto"/>
            <w:noWrap/>
            <w:vAlign w:val="center"/>
            <w:hideMark/>
          </w:tcPr>
          <w:p w14:paraId="7D99564B" w14:textId="2B4FFB19" w:rsidR="00577BF2" w:rsidRPr="006C0C53" w:rsidRDefault="00EB5E19" w:rsidP="0078307B">
            <w:pPr>
              <w:keepNext/>
              <w:jc w:val="center"/>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 xml:space="preserve">Objectifs </w:t>
            </w:r>
            <w:r w:rsidR="00682F3E" w:rsidRPr="006C0C53">
              <w:rPr>
                <w:rFonts w:asciiTheme="minorHAnsi" w:hAnsiTheme="minorHAnsi" w:cstheme="minorHAnsi"/>
                <w:b/>
                <w:bCs/>
                <w:color w:val="000000"/>
                <w:sz w:val="20"/>
                <w:szCs w:val="20"/>
                <w:lang w:val="fr-FR"/>
              </w:rPr>
              <w:t xml:space="preserve">pour lesquels les ressources sont </w:t>
            </w:r>
            <w:r w:rsidR="005B51DE" w:rsidRPr="006C0C53">
              <w:rPr>
                <w:rFonts w:asciiTheme="minorHAnsi" w:hAnsiTheme="minorHAnsi" w:cstheme="minorHAnsi"/>
                <w:b/>
                <w:bCs/>
                <w:color w:val="000000"/>
                <w:sz w:val="20"/>
                <w:szCs w:val="20"/>
                <w:lang w:val="fr-FR"/>
              </w:rPr>
              <w:t>satisfaisantes ou</w:t>
            </w:r>
            <w:r w:rsidRPr="006C0C53">
              <w:rPr>
                <w:rFonts w:asciiTheme="minorHAnsi" w:hAnsiTheme="minorHAnsi" w:cstheme="minorHAnsi"/>
                <w:b/>
                <w:bCs/>
                <w:color w:val="000000"/>
                <w:sz w:val="20"/>
                <w:szCs w:val="20"/>
                <w:lang w:val="fr-FR"/>
              </w:rPr>
              <w:t xml:space="preserve"> adéquat</w:t>
            </w:r>
            <w:r w:rsidR="00682F3E" w:rsidRPr="006C0C53">
              <w:rPr>
                <w:rFonts w:asciiTheme="minorHAnsi" w:hAnsiTheme="minorHAnsi" w:cstheme="minorHAnsi"/>
                <w:b/>
                <w:bCs/>
                <w:color w:val="000000"/>
                <w:sz w:val="20"/>
                <w:szCs w:val="20"/>
                <w:lang w:val="fr-FR"/>
              </w:rPr>
              <w:t>es</w:t>
            </w:r>
          </w:p>
        </w:tc>
        <w:tc>
          <w:tcPr>
            <w:tcW w:w="1482" w:type="dxa"/>
            <w:shd w:val="clear" w:color="auto" w:fill="auto"/>
            <w:noWrap/>
            <w:vAlign w:val="center"/>
            <w:hideMark/>
          </w:tcPr>
          <w:p w14:paraId="7E908380" w14:textId="2484DB0C" w:rsidR="00577BF2" w:rsidRPr="006C0C53" w:rsidRDefault="00EB5E19" w:rsidP="0078307B">
            <w:pPr>
              <w:keepNext/>
              <w:jc w:val="center"/>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 xml:space="preserve">Objectifs </w:t>
            </w:r>
            <w:r w:rsidR="00682F3E" w:rsidRPr="006C0C53">
              <w:rPr>
                <w:rFonts w:asciiTheme="minorHAnsi" w:hAnsiTheme="minorHAnsi" w:cstheme="minorHAnsi"/>
                <w:b/>
                <w:bCs/>
                <w:color w:val="000000"/>
                <w:sz w:val="20"/>
                <w:szCs w:val="20"/>
                <w:lang w:val="fr-FR"/>
              </w:rPr>
              <w:t xml:space="preserve">pour lesquels les ressources sont </w:t>
            </w:r>
            <w:r w:rsidRPr="006C0C53">
              <w:rPr>
                <w:rFonts w:asciiTheme="minorHAnsi" w:hAnsiTheme="minorHAnsi" w:cstheme="minorHAnsi"/>
                <w:b/>
                <w:bCs/>
                <w:color w:val="000000"/>
                <w:sz w:val="20"/>
                <w:szCs w:val="20"/>
                <w:lang w:val="fr-FR"/>
              </w:rPr>
              <w:t>limitant</w:t>
            </w:r>
            <w:r w:rsidR="00682F3E" w:rsidRPr="006C0C53">
              <w:rPr>
                <w:rFonts w:asciiTheme="minorHAnsi" w:hAnsiTheme="minorHAnsi" w:cstheme="minorHAnsi"/>
                <w:b/>
                <w:bCs/>
                <w:color w:val="000000"/>
                <w:sz w:val="20"/>
                <w:szCs w:val="20"/>
                <w:lang w:val="fr-FR"/>
              </w:rPr>
              <w:t>es</w:t>
            </w:r>
            <w:r w:rsidRPr="006C0C53">
              <w:rPr>
                <w:rFonts w:asciiTheme="minorHAnsi" w:hAnsiTheme="minorHAnsi" w:cstheme="minorHAnsi"/>
                <w:b/>
                <w:bCs/>
                <w:color w:val="000000"/>
                <w:sz w:val="20"/>
                <w:szCs w:val="20"/>
                <w:lang w:val="fr-FR"/>
              </w:rPr>
              <w:t xml:space="preserve"> ou gravement limitant</w:t>
            </w:r>
            <w:r w:rsidR="00682F3E" w:rsidRPr="006C0C53">
              <w:rPr>
                <w:rFonts w:asciiTheme="minorHAnsi" w:hAnsiTheme="minorHAnsi" w:cstheme="minorHAnsi"/>
                <w:b/>
                <w:bCs/>
                <w:color w:val="000000"/>
                <w:sz w:val="20"/>
                <w:szCs w:val="20"/>
                <w:lang w:val="fr-FR"/>
              </w:rPr>
              <w:t>es</w:t>
            </w:r>
          </w:p>
        </w:tc>
      </w:tr>
      <w:tr w:rsidR="004C1163" w:rsidRPr="006C0C53" w14:paraId="6F228EA4" w14:textId="77777777" w:rsidTr="00D9452F">
        <w:trPr>
          <w:trHeight w:val="280"/>
        </w:trPr>
        <w:tc>
          <w:tcPr>
            <w:tcW w:w="9072" w:type="dxa"/>
            <w:gridSpan w:val="5"/>
            <w:shd w:val="clear" w:color="auto" w:fill="auto"/>
            <w:noWrap/>
          </w:tcPr>
          <w:p w14:paraId="296F0978" w14:textId="5FFC7897" w:rsidR="004C1163" w:rsidRPr="006C0C53" w:rsidRDefault="005B427E" w:rsidP="004C1163">
            <w:pPr>
              <w:keepNext/>
              <w:spacing w:before="120" w:after="120"/>
              <w:rPr>
                <w:rFonts w:asciiTheme="minorHAnsi" w:hAnsiTheme="minorHAnsi" w:cstheme="minorHAnsi"/>
                <w:color w:val="000000"/>
                <w:sz w:val="20"/>
                <w:szCs w:val="20"/>
                <w:lang w:val="fr-FR"/>
              </w:rPr>
            </w:pPr>
            <w:r w:rsidRPr="006C0C53">
              <w:rPr>
                <w:rFonts w:asciiTheme="minorHAnsi" w:hAnsiTheme="minorHAnsi" w:cstheme="minorHAnsi"/>
                <w:b/>
                <w:bCs/>
                <w:color w:val="000000"/>
                <w:sz w:val="20"/>
                <w:szCs w:val="20"/>
                <w:lang w:val="fr-FR"/>
              </w:rPr>
              <w:t>But</w:t>
            </w:r>
            <w:r w:rsidR="004C1163" w:rsidRPr="006C0C53">
              <w:rPr>
                <w:rFonts w:asciiTheme="minorHAnsi" w:hAnsiTheme="minorHAnsi" w:cstheme="minorHAnsi"/>
                <w:b/>
                <w:bCs/>
                <w:color w:val="000000"/>
                <w:sz w:val="20"/>
                <w:szCs w:val="20"/>
                <w:lang w:val="fr-FR"/>
              </w:rPr>
              <w:t xml:space="preserve"> 1</w:t>
            </w:r>
            <w:r w:rsidR="00E97353" w:rsidRPr="006C0C53">
              <w:rPr>
                <w:rFonts w:asciiTheme="minorHAnsi" w:hAnsiTheme="minorHAnsi" w:cstheme="minorHAnsi"/>
                <w:b/>
                <w:bCs/>
                <w:color w:val="000000"/>
                <w:sz w:val="20"/>
                <w:szCs w:val="20"/>
                <w:lang w:val="fr-FR"/>
              </w:rPr>
              <w:t> </w:t>
            </w:r>
            <w:r w:rsidR="004C1163" w:rsidRPr="006C0C53">
              <w:rPr>
                <w:rFonts w:asciiTheme="minorHAnsi" w:hAnsiTheme="minorHAnsi" w:cstheme="minorHAnsi"/>
                <w:b/>
                <w:bCs/>
                <w:color w:val="000000"/>
                <w:sz w:val="20"/>
                <w:szCs w:val="20"/>
                <w:lang w:val="fr-FR"/>
              </w:rPr>
              <w:t xml:space="preserve">: </w:t>
            </w:r>
            <w:r w:rsidRPr="006C0C53">
              <w:rPr>
                <w:rFonts w:asciiTheme="minorHAnsi" w:hAnsiTheme="minorHAnsi" w:cstheme="minorHAnsi"/>
                <w:b/>
                <w:bCs/>
                <w:color w:val="000000"/>
                <w:sz w:val="20"/>
                <w:szCs w:val="20"/>
                <w:lang w:val="fr-FR"/>
              </w:rPr>
              <w:t>S’attaquer aux moteurs de la perte et de la dégradation des zones humides</w:t>
            </w:r>
          </w:p>
        </w:tc>
      </w:tr>
      <w:tr w:rsidR="00D1463B" w:rsidRPr="006C0C53" w14:paraId="554D53C1" w14:textId="77777777" w:rsidTr="00D9452F">
        <w:trPr>
          <w:trHeight w:val="280"/>
        </w:trPr>
        <w:tc>
          <w:tcPr>
            <w:tcW w:w="3145" w:type="dxa"/>
            <w:shd w:val="clear" w:color="auto" w:fill="auto"/>
            <w:noWrap/>
            <w:vAlign w:val="bottom"/>
            <w:hideMark/>
          </w:tcPr>
          <w:p w14:paraId="08C6688E" w14:textId="433313EA"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Objectif</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1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Intégrer les avantages des zones humides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25DDAF6F"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28</w:t>
            </w:r>
          </w:p>
        </w:tc>
        <w:tc>
          <w:tcPr>
            <w:tcW w:w="1482" w:type="dxa"/>
            <w:shd w:val="clear" w:color="auto" w:fill="auto"/>
            <w:noWrap/>
            <w:vAlign w:val="bottom"/>
            <w:hideMark/>
          </w:tcPr>
          <w:p w14:paraId="449FECFF"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18</w:t>
            </w:r>
          </w:p>
        </w:tc>
        <w:tc>
          <w:tcPr>
            <w:tcW w:w="1482" w:type="dxa"/>
            <w:shd w:val="clear" w:color="auto" w:fill="auto"/>
            <w:noWrap/>
            <w:vAlign w:val="bottom"/>
            <w:hideMark/>
          </w:tcPr>
          <w:p w14:paraId="4653CAE7"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c>
          <w:tcPr>
            <w:tcW w:w="1482" w:type="dxa"/>
            <w:shd w:val="clear" w:color="auto" w:fill="auto"/>
            <w:noWrap/>
            <w:vAlign w:val="bottom"/>
            <w:hideMark/>
          </w:tcPr>
          <w:p w14:paraId="179BD8B6"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r>
      <w:tr w:rsidR="00D1463B" w:rsidRPr="006C0C53" w14:paraId="280DC22A" w14:textId="77777777" w:rsidTr="00D9452F">
        <w:trPr>
          <w:trHeight w:val="280"/>
        </w:trPr>
        <w:tc>
          <w:tcPr>
            <w:tcW w:w="3145" w:type="dxa"/>
            <w:shd w:val="clear" w:color="auto" w:fill="auto"/>
            <w:noWrap/>
            <w:vAlign w:val="bottom"/>
            <w:hideMark/>
          </w:tcPr>
          <w:p w14:paraId="7311A98C" w14:textId="33A57DA8"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2</w:t>
            </w:r>
            <w:r w:rsidR="00E97353"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Utilisation de l’eau</w:t>
            </w:r>
          </w:p>
        </w:tc>
        <w:tc>
          <w:tcPr>
            <w:tcW w:w="1481" w:type="dxa"/>
            <w:shd w:val="clear" w:color="auto" w:fill="auto"/>
            <w:noWrap/>
            <w:vAlign w:val="bottom"/>
            <w:hideMark/>
          </w:tcPr>
          <w:p w14:paraId="19A349E7"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28</w:t>
            </w:r>
          </w:p>
        </w:tc>
        <w:tc>
          <w:tcPr>
            <w:tcW w:w="1482" w:type="dxa"/>
            <w:shd w:val="clear" w:color="auto" w:fill="auto"/>
            <w:noWrap/>
            <w:vAlign w:val="bottom"/>
            <w:hideMark/>
          </w:tcPr>
          <w:p w14:paraId="2856DD4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19</w:t>
            </w:r>
          </w:p>
        </w:tc>
        <w:tc>
          <w:tcPr>
            <w:tcW w:w="1482" w:type="dxa"/>
            <w:shd w:val="clear" w:color="auto" w:fill="auto"/>
            <w:noWrap/>
            <w:vAlign w:val="bottom"/>
            <w:hideMark/>
          </w:tcPr>
          <w:p w14:paraId="27742678"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15</w:t>
            </w:r>
          </w:p>
        </w:tc>
        <w:tc>
          <w:tcPr>
            <w:tcW w:w="1482" w:type="dxa"/>
            <w:shd w:val="clear" w:color="auto" w:fill="auto"/>
            <w:noWrap/>
            <w:vAlign w:val="bottom"/>
            <w:hideMark/>
          </w:tcPr>
          <w:p w14:paraId="2DF4811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11</w:t>
            </w:r>
          </w:p>
        </w:tc>
      </w:tr>
      <w:tr w:rsidR="00D1463B" w:rsidRPr="006C0C53" w14:paraId="34BB8465" w14:textId="77777777" w:rsidTr="00D9452F">
        <w:trPr>
          <w:trHeight w:val="280"/>
        </w:trPr>
        <w:tc>
          <w:tcPr>
            <w:tcW w:w="3145" w:type="dxa"/>
            <w:shd w:val="clear" w:color="auto" w:fill="auto"/>
            <w:noWrap/>
            <w:vAlign w:val="bottom"/>
            <w:hideMark/>
          </w:tcPr>
          <w:p w14:paraId="5D98A7E6" w14:textId="3C91CB1F"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E97353" w:rsidRPr="006C0C53">
              <w:rPr>
                <w:rFonts w:asciiTheme="minorHAnsi" w:hAnsiTheme="minorHAnsi" w:cstheme="minorHAnsi"/>
                <w:color w:val="000000"/>
                <w:sz w:val="20"/>
                <w:szCs w:val="20"/>
                <w:lang w:val="fr-FR"/>
              </w:rPr>
              <w:t>3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Secteurs public et privé</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170C675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22</w:t>
            </w:r>
          </w:p>
        </w:tc>
        <w:tc>
          <w:tcPr>
            <w:tcW w:w="1482" w:type="dxa"/>
            <w:shd w:val="clear" w:color="auto" w:fill="auto"/>
            <w:noWrap/>
            <w:vAlign w:val="bottom"/>
            <w:hideMark/>
          </w:tcPr>
          <w:p w14:paraId="51E577BB"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8</w:t>
            </w:r>
          </w:p>
        </w:tc>
        <w:tc>
          <w:tcPr>
            <w:tcW w:w="1482" w:type="dxa"/>
            <w:shd w:val="clear" w:color="auto" w:fill="auto"/>
            <w:noWrap/>
            <w:vAlign w:val="bottom"/>
            <w:hideMark/>
          </w:tcPr>
          <w:p w14:paraId="6B2F15D3"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8</w:t>
            </w:r>
          </w:p>
        </w:tc>
        <w:tc>
          <w:tcPr>
            <w:tcW w:w="1482" w:type="dxa"/>
            <w:shd w:val="clear" w:color="auto" w:fill="auto"/>
            <w:noWrap/>
            <w:vAlign w:val="bottom"/>
            <w:hideMark/>
          </w:tcPr>
          <w:p w14:paraId="08653824"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r>
      <w:tr w:rsidR="00D1463B" w:rsidRPr="006C0C53" w14:paraId="11D21902" w14:textId="77777777" w:rsidTr="00D9452F">
        <w:trPr>
          <w:trHeight w:val="280"/>
        </w:trPr>
        <w:tc>
          <w:tcPr>
            <w:tcW w:w="3145" w:type="dxa"/>
            <w:shd w:val="clear" w:color="auto" w:fill="auto"/>
            <w:noWrap/>
            <w:vAlign w:val="bottom"/>
            <w:hideMark/>
          </w:tcPr>
          <w:p w14:paraId="2BD74DFE" w14:textId="6ED275DD"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4</w:t>
            </w:r>
            <w:r w:rsidR="00E97353"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Espèces exotiques envahissantes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6D05E4CC"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28</w:t>
            </w:r>
          </w:p>
        </w:tc>
        <w:tc>
          <w:tcPr>
            <w:tcW w:w="1482" w:type="dxa"/>
            <w:shd w:val="clear" w:color="auto" w:fill="auto"/>
            <w:noWrap/>
            <w:vAlign w:val="bottom"/>
            <w:hideMark/>
          </w:tcPr>
          <w:p w14:paraId="16274C2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17</w:t>
            </w:r>
          </w:p>
        </w:tc>
        <w:tc>
          <w:tcPr>
            <w:tcW w:w="1482" w:type="dxa"/>
            <w:shd w:val="clear" w:color="auto" w:fill="auto"/>
            <w:noWrap/>
            <w:vAlign w:val="bottom"/>
            <w:hideMark/>
          </w:tcPr>
          <w:p w14:paraId="7CA1A9D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11</w:t>
            </w:r>
          </w:p>
        </w:tc>
        <w:tc>
          <w:tcPr>
            <w:tcW w:w="1482" w:type="dxa"/>
            <w:shd w:val="clear" w:color="auto" w:fill="auto"/>
            <w:noWrap/>
            <w:vAlign w:val="bottom"/>
            <w:hideMark/>
          </w:tcPr>
          <w:p w14:paraId="60FE95D8"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r>
      <w:tr w:rsidR="00D1463B" w:rsidRPr="006C0C53" w14:paraId="6CFA6C28" w14:textId="77777777" w:rsidTr="00D9452F">
        <w:trPr>
          <w:trHeight w:val="280"/>
        </w:trPr>
        <w:tc>
          <w:tcPr>
            <w:tcW w:w="3145" w:type="dxa"/>
            <w:shd w:val="clear" w:color="auto" w:fill="auto"/>
            <w:noWrap/>
            <w:vAlign w:val="bottom"/>
          </w:tcPr>
          <w:p w14:paraId="6879D90F" w14:textId="0502FD2C" w:rsidR="00D1463B" w:rsidRPr="006C0C53" w:rsidRDefault="00D1463B" w:rsidP="00CD3F6B">
            <w:pPr>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S</w:t>
            </w:r>
            <w:r w:rsidR="00E97353" w:rsidRPr="006C0C53">
              <w:rPr>
                <w:rFonts w:asciiTheme="minorHAnsi" w:hAnsiTheme="minorHAnsi" w:cstheme="minorHAnsi"/>
                <w:i/>
                <w:iCs/>
                <w:color w:val="000000"/>
                <w:sz w:val="20"/>
                <w:szCs w:val="20"/>
                <w:lang w:val="fr-FR"/>
              </w:rPr>
              <w:t>ous-total But</w:t>
            </w:r>
            <w:r w:rsidRPr="006C0C53">
              <w:rPr>
                <w:rFonts w:asciiTheme="minorHAnsi" w:hAnsiTheme="minorHAnsi" w:cstheme="minorHAnsi"/>
                <w:i/>
                <w:iCs/>
                <w:color w:val="000000"/>
                <w:sz w:val="20"/>
                <w:szCs w:val="20"/>
                <w:lang w:val="fr-FR"/>
              </w:rPr>
              <w:t xml:space="preserve"> 1</w:t>
            </w:r>
          </w:p>
        </w:tc>
        <w:tc>
          <w:tcPr>
            <w:tcW w:w="1481" w:type="dxa"/>
            <w:shd w:val="clear" w:color="auto" w:fill="auto"/>
            <w:noWrap/>
            <w:vAlign w:val="bottom"/>
          </w:tcPr>
          <w:p w14:paraId="25890F69" w14:textId="6BF5DEA1"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106</w:t>
            </w:r>
          </w:p>
        </w:tc>
        <w:tc>
          <w:tcPr>
            <w:tcW w:w="1482" w:type="dxa"/>
            <w:shd w:val="clear" w:color="auto" w:fill="auto"/>
            <w:noWrap/>
            <w:vAlign w:val="bottom"/>
          </w:tcPr>
          <w:p w14:paraId="1620E565" w14:textId="526AB30F"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62</w:t>
            </w:r>
          </w:p>
        </w:tc>
        <w:tc>
          <w:tcPr>
            <w:tcW w:w="1482" w:type="dxa"/>
            <w:shd w:val="clear" w:color="auto" w:fill="auto"/>
            <w:noWrap/>
            <w:vAlign w:val="bottom"/>
          </w:tcPr>
          <w:p w14:paraId="070D1AA7" w14:textId="626427EE"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48</w:t>
            </w:r>
          </w:p>
        </w:tc>
        <w:tc>
          <w:tcPr>
            <w:tcW w:w="1482" w:type="dxa"/>
            <w:shd w:val="clear" w:color="auto" w:fill="auto"/>
            <w:noWrap/>
            <w:vAlign w:val="bottom"/>
          </w:tcPr>
          <w:p w14:paraId="1CC42CAC" w14:textId="375CBB5D"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49</w:t>
            </w:r>
          </w:p>
        </w:tc>
      </w:tr>
      <w:tr w:rsidR="004C1163" w:rsidRPr="006C0C53" w14:paraId="27DEA2BD" w14:textId="77777777" w:rsidTr="00D9452F">
        <w:trPr>
          <w:trHeight w:val="280"/>
        </w:trPr>
        <w:tc>
          <w:tcPr>
            <w:tcW w:w="9072" w:type="dxa"/>
            <w:gridSpan w:val="5"/>
            <w:shd w:val="clear" w:color="auto" w:fill="auto"/>
            <w:noWrap/>
          </w:tcPr>
          <w:p w14:paraId="2C9F6930" w14:textId="73AB19E3" w:rsidR="004C1163" w:rsidRPr="006C0C53" w:rsidRDefault="005B427E" w:rsidP="004C1163">
            <w:pPr>
              <w:keepNext/>
              <w:spacing w:before="120" w:after="120"/>
              <w:rPr>
                <w:rFonts w:asciiTheme="minorHAnsi" w:hAnsiTheme="minorHAnsi" w:cstheme="minorHAnsi"/>
                <w:color w:val="000000"/>
                <w:sz w:val="20"/>
                <w:szCs w:val="20"/>
                <w:lang w:val="fr-FR"/>
              </w:rPr>
            </w:pPr>
            <w:r w:rsidRPr="006C0C53">
              <w:rPr>
                <w:rFonts w:asciiTheme="minorHAnsi" w:hAnsiTheme="minorHAnsi" w:cstheme="minorHAnsi"/>
                <w:b/>
                <w:bCs/>
                <w:color w:val="000000"/>
                <w:sz w:val="20"/>
                <w:szCs w:val="20"/>
                <w:lang w:val="fr-FR"/>
              </w:rPr>
              <w:t>But</w:t>
            </w:r>
            <w:r w:rsidR="004C1163" w:rsidRPr="006C0C53">
              <w:rPr>
                <w:rFonts w:asciiTheme="minorHAnsi" w:hAnsiTheme="minorHAnsi" w:cstheme="minorHAnsi"/>
                <w:b/>
                <w:bCs/>
                <w:color w:val="000000"/>
                <w:sz w:val="20"/>
                <w:szCs w:val="20"/>
                <w:lang w:val="fr-FR"/>
              </w:rPr>
              <w:t xml:space="preserve"> 2</w:t>
            </w:r>
            <w:r w:rsidR="00E97353" w:rsidRPr="006C0C53">
              <w:rPr>
                <w:rFonts w:asciiTheme="minorHAnsi" w:hAnsiTheme="minorHAnsi" w:cstheme="minorHAnsi"/>
                <w:b/>
                <w:bCs/>
                <w:color w:val="000000"/>
                <w:sz w:val="20"/>
                <w:szCs w:val="20"/>
                <w:lang w:val="fr-FR"/>
              </w:rPr>
              <w:t> </w:t>
            </w:r>
            <w:r w:rsidR="004C1163" w:rsidRPr="006C0C53">
              <w:rPr>
                <w:rFonts w:asciiTheme="minorHAnsi" w:hAnsiTheme="minorHAnsi" w:cstheme="minorHAnsi"/>
                <w:b/>
                <w:bCs/>
                <w:color w:val="000000"/>
                <w:sz w:val="20"/>
                <w:szCs w:val="20"/>
                <w:lang w:val="fr-FR"/>
              </w:rPr>
              <w:t xml:space="preserve">: </w:t>
            </w:r>
            <w:r w:rsidRPr="006C0C53">
              <w:rPr>
                <w:rFonts w:asciiTheme="minorHAnsi" w:hAnsiTheme="minorHAnsi" w:cstheme="minorHAnsi"/>
                <w:b/>
                <w:bCs/>
                <w:color w:val="000000"/>
                <w:sz w:val="20"/>
                <w:szCs w:val="20"/>
                <w:lang w:val="fr-FR"/>
              </w:rPr>
              <w:t>Conserver et gérer efficacement le réseau de zones humides d’importance internationale</w:t>
            </w:r>
          </w:p>
        </w:tc>
      </w:tr>
      <w:tr w:rsidR="00D1463B" w:rsidRPr="006C0C53" w14:paraId="570097BC" w14:textId="77777777" w:rsidTr="00D9452F">
        <w:trPr>
          <w:trHeight w:val="280"/>
        </w:trPr>
        <w:tc>
          <w:tcPr>
            <w:tcW w:w="3145" w:type="dxa"/>
            <w:shd w:val="clear" w:color="auto" w:fill="auto"/>
            <w:noWrap/>
            <w:vAlign w:val="bottom"/>
            <w:hideMark/>
          </w:tcPr>
          <w:p w14:paraId="75EF36B7" w14:textId="0C71ED74"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5</w:t>
            </w:r>
            <w:r w:rsidR="00E97353"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Caractéristiques écologiques des s</w:t>
            </w:r>
            <w:r w:rsidR="00D1463B" w:rsidRPr="006C0C53">
              <w:rPr>
                <w:rFonts w:asciiTheme="minorHAnsi" w:hAnsiTheme="minorHAnsi" w:cstheme="minorHAnsi"/>
                <w:color w:val="000000"/>
                <w:sz w:val="20"/>
                <w:szCs w:val="20"/>
                <w:lang w:val="fr-FR"/>
              </w:rPr>
              <w:t xml:space="preserve">ites </w:t>
            </w:r>
          </w:p>
        </w:tc>
        <w:tc>
          <w:tcPr>
            <w:tcW w:w="1481" w:type="dxa"/>
            <w:shd w:val="clear" w:color="auto" w:fill="auto"/>
            <w:noWrap/>
            <w:vAlign w:val="bottom"/>
            <w:hideMark/>
          </w:tcPr>
          <w:p w14:paraId="14999F22"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23</w:t>
            </w:r>
          </w:p>
        </w:tc>
        <w:tc>
          <w:tcPr>
            <w:tcW w:w="1482" w:type="dxa"/>
            <w:shd w:val="clear" w:color="auto" w:fill="auto"/>
            <w:noWrap/>
            <w:vAlign w:val="bottom"/>
            <w:hideMark/>
          </w:tcPr>
          <w:p w14:paraId="647AA1DB"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16</w:t>
            </w:r>
          </w:p>
        </w:tc>
        <w:tc>
          <w:tcPr>
            <w:tcW w:w="1482" w:type="dxa"/>
            <w:shd w:val="clear" w:color="auto" w:fill="auto"/>
            <w:noWrap/>
            <w:vAlign w:val="bottom"/>
            <w:hideMark/>
          </w:tcPr>
          <w:p w14:paraId="4FA04BD7"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8</w:t>
            </w:r>
          </w:p>
        </w:tc>
        <w:tc>
          <w:tcPr>
            <w:tcW w:w="1482" w:type="dxa"/>
            <w:shd w:val="clear" w:color="auto" w:fill="auto"/>
            <w:noWrap/>
            <w:vAlign w:val="bottom"/>
            <w:hideMark/>
          </w:tcPr>
          <w:p w14:paraId="538A458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r>
      <w:tr w:rsidR="00D1463B" w:rsidRPr="006C0C53" w14:paraId="2606ABDD" w14:textId="77777777" w:rsidTr="00D9452F">
        <w:trPr>
          <w:trHeight w:val="280"/>
        </w:trPr>
        <w:tc>
          <w:tcPr>
            <w:tcW w:w="3145" w:type="dxa"/>
            <w:shd w:val="clear" w:color="auto" w:fill="auto"/>
            <w:noWrap/>
            <w:vAlign w:val="bottom"/>
            <w:hideMark/>
          </w:tcPr>
          <w:p w14:paraId="21444195" w14:textId="456D0A11" w:rsidR="00D1463B" w:rsidRPr="006C0C53" w:rsidRDefault="005B427E" w:rsidP="00CD3F6B">
            <w:pPr>
              <w:rPr>
                <w:rFonts w:asciiTheme="minorHAnsi" w:hAnsiTheme="minorHAnsi" w:cstheme="minorHAnsi"/>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sz w:val="20"/>
                <w:szCs w:val="20"/>
                <w:lang w:val="fr-FR"/>
              </w:rPr>
              <w:t>6</w:t>
            </w:r>
            <w:r w:rsidR="00E97353" w:rsidRPr="006C0C53">
              <w:rPr>
                <w:rFonts w:asciiTheme="minorHAnsi" w:hAnsiTheme="minorHAnsi" w:cstheme="minorHAnsi"/>
                <w:sz w:val="20"/>
                <w:szCs w:val="20"/>
                <w:lang w:val="fr-FR"/>
              </w:rPr>
              <w:t xml:space="preserve"> </w:t>
            </w:r>
            <w:r w:rsidR="00D1463B" w:rsidRPr="006C0C53">
              <w:rPr>
                <w:rFonts w:asciiTheme="minorHAnsi" w:hAnsiTheme="minorHAnsi" w:cstheme="minorHAnsi"/>
                <w:sz w:val="20"/>
                <w:szCs w:val="20"/>
                <w:lang w:val="fr-FR"/>
              </w:rPr>
              <w:t xml:space="preserve">: </w:t>
            </w:r>
            <w:r w:rsidR="00E97353" w:rsidRPr="006C0C53">
              <w:rPr>
                <w:rFonts w:asciiTheme="minorHAnsi" w:hAnsiTheme="minorHAnsi" w:cstheme="minorHAnsi"/>
                <w:sz w:val="20"/>
                <w:szCs w:val="20"/>
                <w:lang w:val="fr-FR"/>
              </w:rPr>
              <w:t>Surface, nombre et connectivité des s</w:t>
            </w:r>
            <w:r w:rsidR="00D1463B" w:rsidRPr="006C0C53">
              <w:rPr>
                <w:rFonts w:asciiTheme="minorHAnsi" w:hAnsiTheme="minorHAnsi" w:cstheme="minorHAnsi"/>
                <w:sz w:val="20"/>
                <w:szCs w:val="20"/>
                <w:lang w:val="fr-FR"/>
              </w:rPr>
              <w:t xml:space="preserve">ites </w:t>
            </w:r>
          </w:p>
        </w:tc>
        <w:tc>
          <w:tcPr>
            <w:tcW w:w="1481" w:type="dxa"/>
            <w:shd w:val="clear" w:color="auto" w:fill="auto"/>
            <w:noWrap/>
            <w:vAlign w:val="bottom"/>
            <w:hideMark/>
          </w:tcPr>
          <w:p w14:paraId="0ACDC89B" w14:textId="77777777" w:rsidR="00D1463B" w:rsidRPr="006C0C53" w:rsidRDefault="00D1463B" w:rsidP="00CD3F6B">
            <w:pPr>
              <w:jc w:val="right"/>
              <w:rPr>
                <w:rFonts w:asciiTheme="minorHAnsi" w:hAnsiTheme="minorHAnsi" w:cstheme="minorHAnsi"/>
                <w:sz w:val="20"/>
                <w:szCs w:val="20"/>
                <w:lang w:val="fr-FR"/>
              </w:rPr>
            </w:pPr>
          </w:p>
        </w:tc>
        <w:tc>
          <w:tcPr>
            <w:tcW w:w="1482" w:type="dxa"/>
            <w:shd w:val="clear" w:color="auto" w:fill="auto"/>
            <w:noWrap/>
            <w:vAlign w:val="bottom"/>
            <w:hideMark/>
          </w:tcPr>
          <w:p w14:paraId="1395AA51" w14:textId="77777777" w:rsidR="00D1463B" w:rsidRPr="006C0C53" w:rsidRDefault="00D1463B" w:rsidP="00CD3F6B">
            <w:pPr>
              <w:jc w:val="right"/>
              <w:rPr>
                <w:rFonts w:asciiTheme="minorHAnsi" w:hAnsiTheme="minorHAnsi" w:cstheme="minorHAnsi"/>
                <w:sz w:val="20"/>
                <w:szCs w:val="20"/>
                <w:lang w:val="fr-FR"/>
              </w:rPr>
            </w:pPr>
          </w:p>
        </w:tc>
        <w:tc>
          <w:tcPr>
            <w:tcW w:w="1482" w:type="dxa"/>
            <w:shd w:val="clear" w:color="auto" w:fill="auto"/>
            <w:noWrap/>
            <w:vAlign w:val="bottom"/>
            <w:hideMark/>
          </w:tcPr>
          <w:p w14:paraId="6FB3AE41" w14:textId="77777777" w:rsidR="00D1463B" w:rsidRPr="006C0C53" w:rsidRDefault="00D1463B" w:rsidP="00CD3F6B">
            <w:pPr>
              <w:jc w:val="right"/>
              <w:rPr>
                <w:rFonts w:asciiTheme="minorHAnsi" w:hAnsiTheme="minorHAnsi" w:cstheme="minorHAnsi"/>
                <w:sz w:val="20"/>
                <w:szCs w:val="20"/>
                <w:lang w:val="fr-FR"/>
              </w:rPr>
            </w:pPr>
          </w:p>
        </w:tc>
        <w:tc>
          <w:tcPr>
            <w:tcW w:w="1482" w:type="dxa"/>
            <w:shd w:val="clear" w:color="auto" w:fill="auto"/>
            <w:noWrap/>
            <w:vAlign w:val="bottom"/>
            <w:hideMark/>
          </w:tcPr>
          <w:p w14:paraId="5B30E2BB" w14:textId="77777777" w:rsidR="00D1463B" w:rsidRPr="006C0C53" w:rsidRDefault="00D1463B" w:rsidP="00CD3F6B">
            <w:pPr>
              <w:jc w:val="right"/>
              <w:rPr>
                <w:rFonts w:asciiTheme="minorHAnsi" w:hAnsiTheme="minorHAnsi" w:cstheme="minorHAnsi"/>
                <w:sz w:val="20"/>
                <w:szCs w:val="20"/>
                <w:lang w:val="fr-FR"/>
              </w:rPr>
            </w:pPr>
          </w:p>
        </w:tc>
      </w:tr>
      <w:tr w:rsidR="00D1463B" w:rsidRPr="006C0C53" w14:paraId="5E56DD03" w14:textId="77777777" w:rsidTr="00D9452F">
        <w:trPr>
          <w:trHeight w:val="280"/>
        </w:trPr>
        <w:tc>
          <w:tcPr>
            <w:tcW w:w="3145" w:type="dxa"/>
            <w:shd w:val="clear" w:color="auto" w:fill="auto"/>
            <w:noWrap/>
            <w:vAlign w:val="bottom"/>
            <w:hideMark/>
          </w:tcPr>
          <w:p w14:paraId="1C2F4258" w14:textId="649748E9"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7</w:t>
            </w:r>
            <w:r w:rsidR="00E97353"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Sites </w:t>
            </w:r>
            <w:r w:rsidR="00E97353" w:rsidRPr="006C0C53">
              <w:rPr>
                <w:rFonts w:asciiTheme="minorHAnsi" w:hAnsiTheme="minorHAnsi" w:cstheme="minorHAnsi"/>
                <w:color w:val="000000"/>
                <w:sz w:val="20"/>
                <w:szCs w:val="20"/>
                <w:lang w:val="fr-FR"/>
              </w:rPr>
              <w:t>à risque</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3B34C75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20</w:t>
            </w:r>
          </w:p>
        </w:tc>
        <w:tc>
          <w:tcPr>
            <w:tcW w:w="1482" w:type="dxa"/>
            <w:shd w:val="clear" w:color="auto" w:fill="auto"/>
            <w:noWrap/>
            <w:vAlign w:val="bottom"/>
            <w:hideMark/>
          </w:tcPr>
          <w:p w14:paraId="72D06A3C"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408875E2"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5</w:t>
            </w:r>
          </w:p>
        </w:tc>
        <w:tc>
          <w:tcPr>
            <w:tcW w:w="1482" w:type="dxa"/>
            <w:shd w:val="clear" w:color="auto" w:fill="auto"/>
            <w:noWrap/>
            <w:vAlign w:val="bottom"/>
            <w:hideMark/>
          </w:tcPr>
          <w:p w14:paraId="4E1F432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r>
      <w:tr w:rsidR="00D1463B" w:rsidRPr="006C0C53" w14:paraId="6A0F4C0F" w14:textId="77777777" w:rsidTr="00D9452F">
        <w:trPr>
          <w:trHeight w:val="280"/>
        </w:trPr>
        <w:tc>
          <w:tcPr>
            <w:tcW w:w="3145" w:type="dxa"/>
            <w:shd w:val="clear" w:color="auto" w:fill="auto"/>
            <w:noWrap/>
            <w:vAlign w:val="bottom"/>
          </w:tcPr>
          <w:p w14:paraId="3B086BAF" w14:textId="0D92426C" w:rsidR="00D1463B" w:rsidRPr="006C0C53" w:rsidRDefault="00E97353" w:rsidP="00CD3F6B">
            <w:pPr>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 xml:space="preserve">Sous-total But </w:t>
            </w:r>
            <w:r w:rsidR="00D1463B" w:rsidRPr="006C0C53">
              <w:rPr>
                <w:rFonts w:asciiTheme="minorHAnsi" w:hAnsiTheme="minorHAnsi" w:cstheme="minorHAnsi"/>
                <w:i/>
                <w:iCs/>
                <w:color w:val="000000"/>
                <w:sz w:val="20"/>
                <w:szCs w:val="20"/>
                <w:lang w:val="fr-FR"/>
              </w:rPr>
              <w:t>2</w:t>
            </w:r>
          </w:p>
        </w:tc>
        <w:tc>
          <w:tcPr>
            <w:tcW w:w="1481" w:type="dxa"/>
            <w:shd w:val="clear" w:color="auto" w:fill="auto"/>
            <w:noWrap/>
            <w:vAlign w:val="bottom"/>
          </w:tcPr>
          <w:p w14:paraId="4D17E11B" w14:textId="107D5B35"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43</w:t>
            </w:r>
          </w:p>
        </w:tc>
        <w:tc>
          <w:tcPr>
            <w:tcW w:w="1482" w:type="dxa"/>
            <w:shd w:val="clear" w:color="auto" w:fill="auto"/>
            <w:noWrap/>
            <w:vAlign w:val="bottom"/>
          </w:tcPr>
          <w:p w14:paraId="28239C0E" w14:textId="3420BA53"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28</w:t>
            </w:r>
          </w:p>
        </w:tc>
        <w:tc>
          <w:tcPr>
            <w:tcW w:w="1482" w:type="dxa"/>
            <w:shd w:val="clear" w:color="auto" w:fill="auto"/>
            <w:noWrap/>
            <w:vAlign w:val="bottom"/>
          </w:tcPr>
          <w:p w14:paraId="7926975B" w14:textId="6698D339"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13</w:t>
            </w:r>
          </w:p>
        </w:tc>
        <w:tc>
          <w:tcPr>
            <w:tcW w:w="1482" w:type="dxa"/>
            <w:shd w:val="clear" w:color="auto" w:fill="auto"/>
            <w:noWrap/>
            <w:vAlign w:val="bottom"/>
          </w:tcPr>
          <w:p w14:paraId="588968D5" w14:textId="0FEC2014"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26</w:t>
            </w:r>
          </w:p>
        </w:tc>
      </w:tr>
      <w:tr w:rsidR="004C1163" w:rsidRPr="006C0C53" w14:paraId="0491C095" w14:textId="77777777" w:rsidTr="00D9452F">
        <w:trPr>
          <w:trHeight w:val="280"/>
        </w:trPr>
        <w:tc>
          <w:tcPr>
            <w:tcW w:w="9072" w:type="dxa"/>
            <w:gridSpan w:val="5"/>
            <w:shd w:val="clear" w:color="auto" w:fill="auto"/>
            <w:noWrap/>
          </w:tcPr>
          <w:p w14:paraId="31DE7091" w14:textId="5009074F" w:rsidR="004C1163" w:rsidRPr="006C0C53" w:rsidRDefault="005B427E" w:rsidP="004C1163">
            <w:pPr>
              <w:keepNext/>
              <w:spacing w:before="120" w:after="120"/>
              <w:rPr>
                <w:rFonts w:asciiTheme="minorHAnsi" w:hAnsiTheme="minorHAnsi" w:cstheme="minorHAnsi"/>
                <w:color w:val="000000"/>
                <w:sz w:val="20"/>
                <w:szCs w:val="20"/>
                <w:lang w:val="fr-FR"/>
              </w:rPr>
            </w:pPr>
            <w:r w:rsidRPr="006C0C53">
              <w:rPr>
                <w:rFonts w:asciiTheme="minorHAnsi" w:hAnsiTheme="minorHAnsi" w:cstheme="minorHAnsi"/>
                <w:b/>
                <w:bCs/>
                <w:color w:val="000000"/>
                <w:sz w:val="20"/>
                <w:szCs w:val="20"/>
                <w:lang w:val="fr-FR"/>
              </w:rPr>
              <w:t>But</w:t>
            </w:r>
            <w:r w:rsidR="004C1163" w:rsidRPr="006C0C53">
              <w:rPr>
                <w:rFonts w:asciiTheme="minorHAnsi" w:hAnsiTheme="minorHAnsi" w:cstheme="minorHAnsi"/>
                <w:b/>
                <w:bCs/>
                <w:color w:val="000000"/>
                <w:sz w:val="20"/>
                <w:szCs w:val="20"/>
                <w:lang w:val="fr-FR"/>
              </w:rPr>
              <w:t xml:space="preserve"> </w:t>
            </w:r>
            <w:r w:rsidR="00E97353" w:rsidRPr="006C0C53">
              <w:rPr>
                <w:rFonts w:asciiTheme="minorHAnsi" w:hAnsiTheme="minorHAnsi" w:cstheme="minorHAnsi"/>
                <w:b/>
                <w:bCs/>
                <w:color w:val="000000"/>
                <w:sz w:val="20"/>
                <w:szCs w:val="20"/>
                <w:lang w:val="fr-FR"/>
              </w:rPr>
              <w:t>3 :</w:t>
            </w:r>
            <w:r w:rsidR="004C1163" w:rsidRPr="006C0C53">
              <w:rPr>
                <w:rFonts w:asciiTheme="minorHAnsi" w:hAnsiTheme="minorHAnsi" w:cstheme="minorHAnsi"/>
                <w:b/>
                <w:bCs/>
                <w:color w:val="000000"/>
                <w:sz w:val="20"/>
                <w:szCs w:val="20"/>
                <w:lang w:val="fr-FR"/>
              </w:rPr>
              <w:t xml:space="preserve"> </w:t>
            </w:r>
            <w:r w:rsidRPr="006C0C53">
              <w:rPr>
                <w:rFonts w:asciiTheme="minorHAnsi" w:hAnsiTheme="minorHAnsi" w:cstheme="minorHAnsi"/>
                <w:b/>
                <w:bCs/>
                <w:color w:val="000000"/>
                <w:sz w:val="20"/>
                <w:szCs w:val="20"/>
                <w:lang w:val="fr-FR"/>
              </w:rPr>
              <w:t>Utiliser toutes les zones humides de façon rationnelle</w:t>
            </w:r>
          </w:p>
        </w:tc>
      </w:tr>
      <w:tr w:rsidR="00D1463B" w:rsidRPr="006C0C53" w14:paraId="34FD3BA6" w14:textId="77777777" w:rsidTr="00D9452F">
        <w:trPr>
          <w:trHeight w:val="280"/>
        </w:trPr>
        <w:tc>
          <w:tcPr>
            <w:tcW w:w="3145" w:type="dxa"/>
            <w:shd w:val="clear" w:color="auto" w:fill="auto"/>
            <w:noWrap/>
            <w:vAlign w:val="bottom"/>
            <w:hideMark/>
          </w:tcPr>
          <w:p w14:paraId="3C733BE2" w14:textId="10B0B55B"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8</w:t>
            </w:r>
            <w:r w:rsidR="00E97353"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Inventaires nationaux des zones humides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2F5E7CC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21</w:t>
            </w:r>
          </w:p>
        </w:tc>
        <w:tc>
          <w:tcPr>
            <w:tcW w:w="1482" w:type="dxa"/>
            <w:shd w:val="clear" w:color="auto" w:fill="auto"/>
            <w:noWrap/>
            <w:vAlign w:val="bottom"/>
            <w:hideMark/>
          </w:tcPr>
          <w:p w14:paraId="56E615CB"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c>
          <w:tcPr>
            <w:tcW w:w="1482" w:type="dxa"/>
            <w:shd w:val="clear" w:color="auto" w:fill="auto"/>
            <w:noWrap/>
            <w:vAlign w:val="bottom"/>
            <w:hideMark/>
          </w:tcPr>
          <w:p w14:paraId="53DEE05D"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5</w:t>
            </w:r>
          </w:p>
        </w:tc>
        <w:tc>
          <w:tcPr>
            <w:tcW w:w="1482" w:type="dxa"/>
            <w:shd w:val="clear" w:color="auto" w:fill="auto"/>
            <w:noWrap/>
            <w:vAlign w:val="bottom"/>
            <w:hideMark/>
          </w:tcPr>
          <w:p w14:paraId="285244E6"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r>
      <w:tr w:rsidR="00D1463B" w:rsidRPr="006C0C53" w14:paraId="6C6EC65C" w14:textId="77777777" w:rsidTr="00D9452F">
        <w:trPr>
          <w:trHeight w:val="280"/>
        </w:trPr>
        <w:tc>
          <w:tcPr>
            <w:tcW w:w="3145" w:type="dxa"/>
            <w:shd w:val="clear" w:color="auto" w:fill="auto"/>
            <w:noWrap/>
            <w:vAlign w:val="bottom"/>
            <w:hideMark/>
          </w:tcPr>
          <w:p w14:paraId="4FAF159B" w14:textId="4000A46E" w:rsidR="00D1463B" w:rsidRPr="006C0C53" w:rsidRDefault="00E97353"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Objectif</w:t>
            </w:r>
            <w:r w:rsidR="00D1463B" w:rsidRPr="006C0C53">
              <w:rPr>
                <w:rFonts w:asciiTheme="minorHAnsi" w:hAnsiTheme="minorHAnsi" w:cstheme="minorHAnsi"/>
                <w:color w:val="000000"/>
                <w:sz w:val="20"/>
                <w:szCs w:val="20"/>
                <w:lang w:val="fr-FR"/>
              </w:rPr>
              <w:t xml:space="preserve"> 9</w:t>
            </w:r>
            <w:r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Pr="006C0C53">
              <w:rPr>
                <w:rFonts w:asciiTheme="minorHAnsi" w:hAnsiTheme="minorHAnsi" w:cstheme="minorHAnsi"/>
                <w:color w:val="000000"/>
                <w:sz w:val="20"/>
                <w:szCs w:val="20"/>
                <w:lang w:val="fr-FR"/>
              </w:rPr>
              <w:t>Utilisation rationnelle</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0298A14D" w14:textId="68316DCD" w:rsidR="00D1463B" w:rsidRPr="006C0C53" w:rsidRDefault="002C333D"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28</w:t>
            </w:r>
          </w:p>
        </w:tc>
        <w:tc>
          <w:tcPr>
            <w:tcW w:w="1482" w:type="dxa"/>
            <w:shd w:val="clear" w:color="auto" w:fill="auto"/>
            <w:noWrap/>
            <w:vAlign w:val="bottom"/>
            <w:hideMark/>
          </w:tcPr>
          <w:p w14:paraId="3470AEE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c>
          <w:tcPr>
            <w:tcW w:w="1482" w:type="dxa"/>
            <w:shd w:val="clear" w:color="auto" w:fill="auto"/>
            <w:noWrap/>
            <w:vAlign w:val="bottom"/>
            <w:hideMark/>
          </w:tcPr>
          <w:p w14:paraId="61F2F35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4</w:t>
            </w:r>
          </w:p>
        </w:tc>
        <w:tc>
          <w:tcPr>
            <w:tcW w:w="1482" w:type="dxa"/>
            <w:shd w:val="clear" w:color="auto" w:fill="auto"/>
            <w:noWrap/>
            <w:vAlign w:val="bottom"/>
            <w:hideMark/>
          </w:tcPr>
          <w:p w14:paraId="406F3C02"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r>
      <w:tr w:rsidR="00D1463B" w:rsidRPr="006C0C53" w14:paraId="723B5B15" w14:textId="77777777" w:rsidTr="00D9452F">
        <w:trPr>
          <w:trHeight w:val="280"/>
        </w:trPr>
        <w:tc>
          <w:tcPr>
            <w:tcW w:w="3145" w:type="dxa"/>
            <w:shd w:val="clear" w:color="auto" w:fill="auto"/>
            <w:noWrap/>
            <w:vAlign w:val="bottom"/>
            <w:hideMark/>
          </w:tcPr>
          <w:p w14:paraId="06CEF421" w14:textId="1245AF98"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10</w:t>
            </w:r>
            <w:r w:rsidR="008F1667"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Connaissances traditionnelles</w:t>
            </w:r>
          </w:p>
        </w:tc>
        <w:tc>
          <w:tcPr>
            <w:tcW w:w="1481" w:type="dxa"/>
            <w:shd w:val="clear" w:color="auto" w:fill="auto"/>
            <w:noWrap/>
            <w:vAlign w:val="bottom"/>
            <w:hideMark/>
          </w:tcPr>
          <w:p w14:paraId="373C414D"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18</w:t>
            </w:r>
          </w:p>
        </w:tc>
        <w:tc>
          <w:tcPr>
            <w:tcW w:w="1482" w:type="dxa"/>
            <w:shd w:val="clear" w:color="auto" w:fill="auto"/>
            <w:noWrap/>
            <w:vAlign w:val="bottom"/>
            <w:hideMark/>
          </w:tcPr>
          <w:p w14:paraId="1DA20503"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8</w:t>
            </w:r>
          </w:p>
        </w:tc>
        <w:tc>
          <w:tcPr>
            <w:tcW w:w="1482" w:type="dxa"/>
            <w:shd w:val="clear" w:color="auto" w:fill="auto"/>
            <w:noWrap/>
            <w:vAlign w:val="bottom"/>
            <w:hideMark/>
          </w:tcPr>
          <w:p w14:paraId="6BA6F5FD"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6</w:t>
            </w:r>
          </w:p>
        </w:tc>
        <w:tc>
          <w:tcPr>
            <w:tcW w:w="1482" w:type="dxa"/>
            <w:shd w:val="clear" w:color="auto" w:fill="auto"/>
            <w:noWrap/>
            <w:vAlign w:val="bottom"/>
            <w:hideMark/>
          </w:tcPr>
          <w:p w14:paraId="7F37EA0F"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9</w:t>
            </w:r>
          </w:p>
        </w:tc>
      </w:tr>
      <w:tr w:rsidR="00D1463B" w:rsidRPr="006C0C53" w14:paraId="567B026F" w14:textId="77777777" w:rsidTr="00D9452F">
        <w:trPr>
          <w:trHeight w:val="280"/>
        </w:trPr>
        <w:tc>
          <w:tcPr>
            <w:tcW w:w="3145" w:type="dxa"/>
            <w:shd w:val="clear" w:color="auto" w:fill="auto"/>
            <w:noWrap/>
            <w:vAlign w:val="bottom"/>
            <w:hideMark/>
          </w:tcPr>
          <w:p w14:paraId="66F76216" w14:textId="15DC0B82"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11</w:t>
            </w:r>
            <w:r w:rsidR="00E97353"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00E97353" w:rsidRPr="006C0C53">
              <w:rPr>
                <w:rFonts w:asciiTheme="minorHAnsi" w:hAnsiTheme="minorHAnsi" w:cstheme="minorHAnsi"/>
                <w:color w:val="000000"/>
                <w:sz w:val="20"/>
                <w:szCs w:val="20"/>
                <w:lang w:val="fr-FR"/>
              </w:rPr>
              <w:t>Fonctions des zones humides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5D462630"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19</w:t>
            </w:r>
          </w:p>
        </w:tc>
        <w:tc>
          <w:tcPr>
            <w:tcW w:w="1482" w:type="dxa"/>
            <w:shd w:val="clear" w:color="auto" w:fill="auto"/>
            <w:noWrap/>
            <w:vAlign w:val="bottom"/>
            <w:hideMark/>
          </w:tcPr>
          <w:p w14:paraId="6733F7FF"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4FBDD57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7</w:t>
            </w:r>
          </w:p>
        </w:tc>
        <w:tc>
          <w:tcPr>
            <w:tcW w:w="1482" w:type="dxa"/>
            <w:shd w:val="clear" w:color="auto" w:fill="auto"/>
            <w:noWrap/>
            <w:vAlign w:val="bottom"/>
            <w:hideMark/>
          </w:tcPr>
          <w:p w14:paraId="40B227CB"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11</w:t>
            </w:r>
          </w:p>
        </w:tc>
      </w:tr>
      <w:tr w:rsidR="00D1463B" w:rsidRPr="006C0C53" w14:paraId="1E6E2C1E" w14:textId="77777777" w:rsidTr="00D9452F">
        <w:trPr>
          <w:trHeight w:val="280"/>
        </w:trPr>
        <w:tc>
          <w:tcPr>
            <w:tcW w:w="3145" w:type="dxa"/>
            <w:shd w:val="clear" w:color="auto" w:fill="auto"/>
            <w:noWrap/>
            <w:vAlign w:val="bottom"/>
            <w:hideMark/>
          </w:tcPr>
          <w:p w14:paraId="24F56761" w14:textId="2874076B"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12</w:t>
            </w:r>
            <w:r w:rsidR="002C333D"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Rest</w:t>
            </w:r>
            <w:r w:rsidR="002C333D" w:rsidRPr="006C0C53">
              <w:rPr>
                <w:rFonts w:asciiTheme="minorHAnsi" w:hAnsiTheme="minorHAnsi" w:cstheme="minorHAnsi"/>
                <w:color w:val="000000"/>
                <w:sz w:val="20"/>
                <w:szCs w:val="20"/>
                <w:lang w:val="fr-FR"/>
              </w:rPr>
              <w:t>au</w:t>
            </w:r>
            <w:r w:rsidR="00D1463B" w:rsidRPr="006C0C53">
              <w:rPr>
                <w:rFonts w:asciiTheme="minorHAnsi" w:hAnsiTheme="minorHAnsi" w:cstheme="minorHAnsi"/>
                <w:color w:val="000000"/>
                <w:sz w:val="20"/>
                <w:szCs w:val="20"/>
                <w:lang w:val="fr-FR"/>
              </w:rPr>
              <w:t xml:space="preserve">ration </w:t>
            </w:r>
          </w:p>
        </w:tc>
        <w:tc>
          <w:tcPr>
            <w:tcW w:w="1481" w:type="dxa"/>
            <w:shd w:val="clear" w:color="auto" w:fill="auto"/>
            <w:noWrap/>
            <w:vAlign w:val="bottom"/>
            <w:hideMark/>
          </w:tcPr>
          <w:p w14:paraId="3C715B30"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23</w:t>
            </w:r>
          </w:p>
        </w:tc>
        <w:tc>
          <w:tcPr>
            <w:tcW w:w="1482" w:type="dxa"/>
            <w:shd w:val="clear" w:color="auto" w:fill="auto"/>
            <w:noWrap/>
            <w:vAlign w:val="bottom"/>
            <w:hideMark/>
          </w:tcPr>
          <w:p w14:paraId="63C40F43"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c>
          <w:tcPr>
            <w:tcW w:w="1482" w:type="dxa"/>
            <w:shd w:val="clear" w:color="auto" w:fill="auto"/>
            <w:noWrap/>
            <w:vAlign w:val="bottom"/>
            <w:hideMark/>
          </w:tcPr>
          <w:p w14:paraId="738A5A7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7</w:t>
            </w:r>
          </w:p>
        </w:tc>
        <w:tc>
          <w:tcPr>
            <w:tcW w:w="1482" w:type="dxa"/>
            <w:shd w:val="clear" w:color="auto" w:fill="auto"/>
            <w:noWrap/>
            <w:vAlign w:val="bottom"/>
            <w:hideMark/>
          </w:tcPr>
          <w:p w14:paraId="1DBDCBB2"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r>
      <w:tr w:rsidR="00D1463B" w:rsidRPr="006C0C53" w14:paraId="7945DF87" w14:textId="77777777" w:rsidTr="00D9452F">
        <w:trPr>
          <w:trHeight w:val="280"/>
        </w:trPr>
        <w:tc>
          <w:tcPr>
            <w:tcW w:w="3145" w:type="dxa"/>
            <w:shd w:val="clear" w:color="auto" w:fill="auto"/>
            <w:noWrap/>
            <w:vAlign w:val="bottom"/>
            <w:hideMark/>
          </w:tcPr>
          <w:p w14:paraId="0DBE017E" w14:textId="13B5C48E"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13</w:t>
            </w:r>
            <w:r w:rsidR="002C333D"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Durabilité renforcée</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60E23ECB"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20</w:t>
            </w:r>
          </w:p>
        </w:tc>
        <w:tc>
          <w:tcPr>
            <w:tcW w:w="1482" w:type="dxa"/>
            <w:shd w:val="clear" w:color="auto" w:fill="auto"/>
            <w:noWrap/>
            <w:vAlign w:val="bottom"/>
            <w:hideMark/>
          </w:tcPr>
          <w:p w14:paraId="628FE775"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45AF5B0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4</w:t>
            </w:r>
          </w:p>
        </w:tc>
        <w:tc>
          <w:tcPr>
            <w:tcW w:w="1482" w:type="dxa"/>
            <w:shd w:val="clear" w:color="auto" w:fill="auto"/>
            <w:noWrap/>
            <w:vAlign w:val="bottom"/>
            <w:hideMark/>
          </w:tcPr>
          <w:p w14:paraId="734502F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r>
      <w:tr w:rsidR="00D1463B" w:rsidRPr="006C0C53" w14:paraId="6851D6E2" w14:textId="77777777" w:rsidTr="00D9452F">
        <w:trPr>
          <w:trHeight w:val="280"/>
        </w:trPr>
        <w:tc>
          <w:tcPr>
            <w:tcW w:w="3145" w:type="dxa"/>
            <w:shd w:val="clear" w:color="auto" w:fill="auto"/>
            <w:noWrap/>
            <w:vAlign w:val="bottom"/>
          </w:tcPr>
          <w:p w14:paraId="500C1887" w14:textId="5FDE578A" w:rsidR="00D1463B" w:rsidRPr="006C0C53" w:rsidRDefault="002C333D" w:rsidP="00CD3F6B">
            <w:pPr>
              <w:rPr>
                <w:rFonts w:asciiTheme="minorHAnsi" w:hAnsiTheme="minorHAnsi" w:cstheme="minorHAnsi"/>
                <w:i/>
                <w:iCs/>
                <w:sz w:val="20"/>
                <w:szCs w:val="20"/>
                <w:lang w:val="fr-FR"/>
              </w:rPr>
            </w:pPr>
            <w:r w:rsidRPr="006C0C53">
              <w:rPr>
                <w:rFonts w:asciiTheme="minorHAnsi" w:hAnsiTheme="minorHAnsi" w:cstheme="minorHAnsi"/>
                <w:i/>
                <w:iCs/>
                <w:color w:val="000000"/>
                <w:sz w:val="20"/>
                <w:szCs w:val="20"/>
                <w:lang w:val="fr-FR"/>
              </w:rPr>
              <w:t xml:space="preserve">Sous-total But </w:t>
            </w:r>
            <w:r w:rsidR="00D1463B" w:rsidRPr="006C0C53">
              <w:rPr>
                <w:rFonts w:asciiTheme="minorHAnsi" w:hAnsiTheme="minorHAnsi" w:cstheme="minorHAnsi"/>
                <w:i/>
                <w:iCs/>
                <w:color w:val="000000"/>
                <w:sz w:val="20"/>
                <w:szCs w:val="20"/>
                <w:lang w:val="fr-FR"/>
              </w:rPr>
              <w:t>3</w:t>
            </w:r>
          </w:p>
        </w:tc>
        <w:tc>
          <w:tcPr>
            <w:tcW w:w="1481" w:type="dxa"/>
            <w:shd w:val="clear" w:color="auto" w:fill="auto"/>
            <w:noWrap/>
            <w:vAlign w:val="bottom"/>
          </w:tcPr>
          <w:p w14:paraId="7B15C23D" w14:textId="079D7E05" w:rsidR="00D1463B" w:rsidRPr="006C0C53" w:rsidRDefault="00D1463B" w:rsidP="00CD3F6B">
            <w:pPr>
              <w:jc w:val="right"/>
              <w:rPr>
                <w:rFonts w:asciiTheme="minorHAnsi" w:hAnsiTheme="minorHAnsi" w:cstheme="minorHAnsi"/>
                <w:i/>
                <w:iCs/>
                <w:sz w:val="20"/>
                <w:szCs w:val="20"/>
                <w:lang w:val="fr-FR"/>
              </w:rPr>
            </w:pPr>
            <w:r w:rsidRPr="006C0C53">
              <w:rPr>
                <w:rFonts w:asciiTheme="minorHAnsi" w:hAnsiTheme="minorHAnsi" w:cstheme="minorHAnsi"/>
                <w:i/>
                <w:iCs/>
                <w:color w:val="000000"/>
                <w:sz w:val="20"/>
                <w:szCs w:val="20"/>
                <w:lang w:val="fr-FR"/>
              </w:rPr>
              <w:t>121</w:t>
            </w:r>
          </w:p>
        </w:tc>
        <w:tc>
          <w:tcPr>
            <w:tcW w:w="1482" w:type="dxa"/>
            <w:shd w:val="clear" w:color="auto" w:fill="auto"/>
            <w:noWrap/>
            <w:vAlign w:val="bottom"/>
          </w:tcPr>
          <w:p w14:paraId="0CC99E24" w14:textId="3FF833AC" w:rsidR="00D1463B" w:rsidRPr="006C0C53" w:rsidRDefault="00D1463B" w:rsidP="00CD3F6B">
            <w:pPr>
              <w:jc w:val="right"/>
              <w:rPr>
                <w:rFonts w:asciiTheme="minorHAnsi" w:hAnsiTheme="minorHAnsi" w:cstheme="minorHAnsi"/>
                <w:i/>
                <w:iCs/>
                <w:sz w:val="20"/>
                <w:szCs w:val="20"/>
                <w:lang w:val="fr-FR"/>
              </w:rPr>
            </w:pPr>
            <w:r w:rsidRPr="006C0C53">
              <w:rPr>
                <w:rFonts w:asciiTheme="minorHAnsi" w:hAnsiTheme="minorHAnsi" w:cstheme="minorHAnsi"/>
                <w:i/>
                <w:iCs/>
                <w:color w:val="000000"/>
                <w:sz w:val="20"/>
                <w:szCs w:val="20"/>
                <w:lang w:val="fr-FR"/>
              </w:rPr>
              <w:t>73</w:t>
            </w:r>
          </w:p>
        </w:tc>
        <w:tc>
          <w:tcPr>
            <w:tcW w:w="1482" w:type="dxa"/>
            <w:shd w:val="clear" w:color="auto" w:fill="auto"/>
            <w:noWrap/>
            <w:vAlign w:val="bottom"/>
          </w:tcPr>
          <w:p w14:paraId="2DC487D9" w14:textId="2FE32D9E" w:rsidR="00D1463B" w:rsidRPr="006C0C53" w:rsidRDefault="00D1463B" w:rsidP="00CD3F6B">
            <w:pPr>
              <w:jc w:val="right"/>
              <w:rPr>
                <w:rFonts w:asciiTheme="minorHAnsi" w:hAnsiTheme="minorHAnsi" w:cstheme="minorHAnsi"/>
                <w:i/>
                <w:iCs/>
                <w:sz w:val="20"/>
                <w:szCs w:val="20"/>
                <w:lang w:val="fr-FR"/>
              </w:rPr>
            </w:pPr>
            <w:r w:rsidRPr="006C0C53">
              <w:rPr>
                <w:rFonts w:asciiTheme="minorHAnsi" w:hAnsiTheme="minorHAnsi" w:cstheme="minorHAnsi"/>
                <w:i/>
                <w:iCs/>
                <w:color w:val="000000"/>
                <w:sz w:val="20"/>
                <w:szCs w:val="20"/>
                <w:lang w:val="fr-FR"/>
              </w:rPr>
              <w:t>33</w:t>
            </w:r>
          </w:p>
        </w:tc>
        <w:tc>
          <w:tcPr>
            <w:tcW w:w="1482" w:type="dxa"/>
            <w:shd w:val="clear" w:color="auto" w:fill="auto"/>
            <w:noWrap/>
            <w:vAlign w:val="bottom"/>
          </w:tcPr>
          <w:p w14:paraId="679C4F38" w14:textId="3959E1F6" w:rsidR="00D1463B" w:rsidRPr="006C0C53" w:rsidRDefault="00D1463B" w:rsidP="00CD3F6B">
            <w:pPr>
              <w:jc w:val="right"/>
              <w:rPr>
                <w:rFonts w:asciiTheme="minorHAnsi" w:hAnsiTheme="minorHAnsi" w:cstheme="minorHAnsi"/>
                <w:i/>
                <w:iCs/>
                <w:sz w:val="20"/>
                <w:szCs w:val="20"/>
                <w:lang w:val="fr-FR"/>
              </w:rPr>
            </w:pPr>
            <w:r w:rsidRPr="006C0C53">
              <w:rPr>
                <w:rFonts w:asciiTheme="minorHAnsi" w:hAnsiTheme="minorHAnsi" w:cstheme="minorHAnsi"/>
                <w:i/>
                <w:iCs/>
                <w:color w:val="000000"/>
                <w:sz w:val="20"/>
                <w:szCs w:val="20"/>
                <w:lang w:val="fr-FR"/>
              </w:rPr>
              <w:t>72</w:t>
            </w:r>
          </w:p>
        </w:tc>
      </w:tr>
      <w:tr w:rsidR="004C1163" w:rsidRPr="006C0C53" w14:paraId="683DCE39" w14:textId="77777777" w:rsidTr="00D9452F">
        <w:trPr>
          <w:trHeight w:val="280"/>
        </w:trPr>
        <w:tc>
          <w:tcPr>
            <w:tcW w:w="9072" w:type="dxa"/>
            <w:gridSpan w:val="5"/>
            <w:shd w:val="clear" w:color="auto" w:fill="auto"/>
            <w:noWrap/>
            <w:hideMark/>
          </w:tcPr>
          <w:p w14:paraId="31E92C0E" w14:textId="4B4E417D" w:rsidR="004C1163" w:rsidRPr="006C0C53" w:rsidRDefault="005B427E" w:rsidP="004C1163">
            <w:pPr>
              <w:keepNext/>
              <w:spacing w:before="120" w:after="120"/>
              <w:rPr>
                <w:rFonts w:asciiTheme="minorHAnsi" w:hAnsiTheme="minorHAnsi" w:cstheme="minorHAnsi"/>
                <w:sz w:val="20"/>
                <w:szCs w:val="20"/>
                <w:lang w:val="fr-FR"/>
              </w:rPr>
            </w:pPr>
            <w:r w:rsidRPr="006C0C53">
              <w:rPr>
                <w:rFonts w:asciiTheme="minorHAnsi" w:hAnsiTheme="minorHAnsi" w:cstheme="minorHAnsi"/>
                <w:b/>
                <w:bCs/>
                <w:color w:val="000000"/>
                <w:sz w:val="20"/>
                <w:szCs w:val="20"/>
                <w:lang w:val="fr-FR"/>
              </w:rPr>
              <w:lastRenderedPageBreak/>
              <w:t>But</w:t>
            </w:r>
            <w:r w:rsidR="004C1163" w:rsidRPr="006C0C53">
              <w:rPr>
                <w:rFonts w:asciiTheme="minorHAnsi" w:hAnsiTheme="minorHAnsi" w:cstheme="minorHAnsi"/>
                <w:b/>
                <w:bCs/>
                <w:color w:val="000000"/>
                <w:sz w:val="20"/>
                <w:szCs w:val="20"/>
                <w:lang w:val="fr-FR"/>
              </w:rPr>
              <w:t xml:space="preserve"> 4</w:t>
            </w:r>
            <w:r w:rsidR="002C333D" w:rsidRPr="006C0C53">
              <w:rPr>
                <w:rFonts w:asciiTheme="minorHAnsi" w:hAnsiTheme="minorHAnsi" w:cstheme="minorHAnsi"/>
                <w:b/>
                <w:bCs/>
                <w:color w:val="000000"/>
                <w:sz w:val="20"/>
                <w:szCs w:val="20"/>
                <w:lang w:val="fr-FR"/>
              </w:rPr>
              <w:t> </w:t>
            </w:r>
            <w:r w:rsidR="004C1163" w:rsidRPr="006C0C53">
              <w:rPr>
                <w:rFonts w:asciiTheme="minorHAnsi" w:hAnsiTheme="minorHAnsi" w:cstheme="minorHAnsi"/>
                <w:b/>
                <w:bCs/>
                <w:color w:val="000000"/>
                <w:sz w:val="20"/>
                <w:szCs w:val="20"/>
                <w:lang w:val="fr-FR"/>
              </w:rPr>
              <w:t xml:space="preserve">: </w:t>
            </w:r>
            <w:r w:rsidRPr="006C0C53">
              <w:rPr>
                <w:rFonts w:asciiTheme="minorHAnsi" w:hAnsiTheme="minorHAnsi" w:cstheme="minorHAnsi"/>
                <w:b/>
                <w:bCs/>
                <w:color w:val="000000"/>
                <w:sz w:val="20"/>
                <w:szCs w:val="20"/>
                <w:lang w:val="fr-FR"/>
              </w:rPr>
              <w:t>Améliorer la mise en œuvre</w:t>
            </w:r>
          </w:p>
        </w:tc>
      </w:tr>
      <w:tr w:rsidR="00D1463B" w:rsidRPr="006C0C53" w14:paraId="7D846537" w14:textId="77777777" w:rsidTr="00D9452F">
        <w:trPr>
          <w:trHeight w:val="280"/>
        </w:trPr>
        <w:tc>
          <w:tcPr>
            <w:tcW w:w="3145" w:type="dxa"/>
            <w:shd w:val="clear" w:color="auto" w:fill="auto"/>
            <w:noWrap/>
            <w:vAlign w:val="bottom"/>
            <w:hideMark/>
          </w:tcPr>
          <w:p w14:paraId="5410A4F4" w14:textId="04ED9D66"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15</w:t>
            </w:r>
            <w:r w:rsidR="002C333D" w:rsidRPr="006C0C53">
              <w:rPr>
                <w:rFonts w:asciiTheme="minorHAnsi" w:hAnsiTheme="minorHAnsi" w:cstheme="minorHAnsi"/>
                <w:color w:val="000000"/>
                <w:sz w:val="20"/>
                <w:szCs w:val="20"/>
                <w:lang w:val="fr-FR"/>
              </w:rPr>
              <w:t xml:space="preserve">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Initiatives ré</w:t>
            </w:r>
            <w:r w:rsidR="00D1463B" w:rsidRPr="006C0C53">
              <w:rPr>
                <w:rFonts w:asciiTheme="minorHAnsi" w:hAnsiTheme="minorHAnsi" w:cstheme="minorHAnsi"/>
                <w:color w:val="000000"/>
                <w:sz w:val="20"/>
                <w:szCs w:val="20"/>
                <w:lang w:val="fr-FR"/>
              </w:rPr>
              <w:t>gional</w:t>
            </w:r>
            <w:r w:rsidR="002C333D" w:rsidRPr="006C0C53">
              <w:rPr>
                <w:rFonts w:asciiTheme="minorHAnsi" w:hAnsiTheme="minorHAnsi" w:cstheme="minorHAnsi"/>
                <w:color w:val="000000"/>
                <w:sz w:val="20"/>
                <w:szCs w:val="20"/>
                <w:lang w:val="fr-FR"/>
              </w:rPr>
              <w:t>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44A37867"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19</w:t>
            </w:r>
          </w:p>
        </w:tc>
        <w:tc>
          <w:tcPr>
            <w:tcW w:w="1482" w:type="dxa"/>
            <w:shd w:val="clear" w:color="auto" w:fill="auto"/>
            <w:noWrap/>
            <w:vAlign w:val="bottom"/>
            <w:hideMark/>
          </w:tcPr>
          <w:p w14:paraId="4E4EE38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10</w:t>
            </w:r>
          </w:p>
        </w:tc>
        <w:tc>
          <w:tcPr>
            <w:tcW w:w="1482" w:type="dxa"/>
            <w:shd w:val="clear" w:color="auto" w:fill="auto"/>
            <w:noWrap/>
            <w:vAlign w:val="bottom"/>
            <w:hideMark/>
          </w:tcPr>
          <w:p w14:paraId="437AAEC5"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4</w:t>
            </w:r>
          </w:p>
        </w:tc>
        <w:tc>
          <w:tcPr>
            <w:tcW w:w="1482" w:type="dxa"/>
            <w:shd w:val="clear" w:color="auto" w:fill="auto"/>
            <w:noWrap/>
            <w:vAlign w:val="bottom"/>
            <w:hideMark/>
          </w:tcPr>
          <w:p w14:paraId="548F8C6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13</w:t>
            </w:r>
          </w:p>
        </w:tc>
      </w:tr>
      <w:tr w:rsidR="00D1463B" w:rsidRPr="006C0C53" w14:paraId="1E1EBD93" w14:textId="77777777" w:rsidTr="00D9452F">
        <w:trPr>
          <w:trHeight w:val="280"/>
        </w:trPr>
        <w:tc>
          <w:tcPr>
            <w:tcW w:w="3145" w:type="dxa"/>
            <w:shd w:val="clear" w:color="auto" w:fill="auto"/>
            <w:noWrap/>
            <w:vAlign w:val="bottom"/>
            <w:hideMark/>
          </w:tcPr>
          <w:p w14:paraId="22A6CE4D" w14:textId="1C447B84"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16</w:t>
            </w:r>
            <w:r w:rsidR="002C333D"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Conservation et utilisation rationnelle des zones humides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648B0CDD"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21</w:t>
            </w:r>
          </w:p>
        </w:tc>
        <w:tc>
          <w:tcPr>
            <w:tcW w:w="1482" w:type="dxa"/>
            <w:shd w:val="clear" w:color="auto" w:fill="auto"/>
            <w:noWrap/>
            <w:vAlign w:val="bottom"/>
            <w:hideMark/>
          </w:tcPr>
          <w:p w14:paraId="4579782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6003C317"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5</w:t>
            </w:r>
          </w:p>
        </w:tc>
        <w:tc>
          <w:tcPr>
            <w:tcW w:w="1482" w:type="dxa"/>
            <w:shd w:val="clear" w:color="auto" w:fill="auto"/>
            <w:noWrap/>
            <w:vAlign w:val="bottom"/>
            <w:hideMark/>
          </w:tcPr>
          <w:p w14:paraId="0B602F6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14</w:t>
            </w:r>
          </w:p>
        </w:tc>
      </w:tr>
      <w:tr w:rsidR="00D1463B" w:rsidRPr="006C0C53" w14:paraId="641C4956" w14:textId="77777777" w:rsidTr="00D9452F">
        <w:trPr>
          <w:trHeight w:val="280"/>
        </w:trPr>
        <w:tc>
          <w:tcPr>
            <w:tcW w:w="3145" w:type="dxa"/>
            <w:shd w:val="clear" w:color="auto" w:fill="auto"/>
            <w:noWrap/>
            <w:vAlign w:val="bottom"/>
            <w:hideMark/>
          </w:tcPr>
          <w:p w14:paraId="1E5A0CA1" w14:textId="544523FE"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17</w:t>
            </w:r>
            <w:r w:rsidR="002C333D"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Ressources financières et autres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63FF716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19</w:t>
            </w:r>
          </w:p>
        </w:tc>
        <w:tc>
          <w:tcPr>
            <w:tcW w:w="1482" w:type="dxa"/>
            <w:shd w:val="clear" w:color="auto" w:fill="auto"/>
            <w:noWrap/>
            <w:vAlign w:val="bottom"/>
            <w:hideMark/>
          </w:tcPr>
          <w:p w14:paraId="59AD78D8"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10</w:t>
            </w:r>
          </w:p>
        </w:tc>
        <w:tc>
          <w:tcPr>
            <w:tcW w:w="1482" w:type="dxa"/>
            <w:shd w:val="clear" w:color="auto" w:fill="auto"/>
            <w:noWrap/>
            <w:vAlign w:val="bottom"/>
            <w:hideMark/>
          </w:tcPr>
          <w:p w14:paraId="6F01D1CE"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w:t>
            </w:r>
          </w:p>
        </w:tc>
        <w:tc>
          <w:tcPr>
            <w:tcW w:w="1482" w:type="dxa"/>
            <w:shd w:val="clear" w:color="auto" w:fill="auto"/>
            <w:noWrap/>
            <w:vAlign w:val="bottom"/>
            <w:hideMark/>
          </w:tcPr>
          <w:p w14:paraId="33DAB5C9"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r>
      <w:tr w:rsidR="00D1463B" w:rsidRPr="006C0C53" w14:paraId="3304DFEA" w14:textId="77777777" w:rsidTr="00D9452F">
        <w:trPr>
          <w:trHeight w:val="280"/>
        </w:trPr>
        <w:tc>
          <w:tcPr>
            <w:tcW w:w="3145" w:type="dxa"/>
            <w:shd w:val="clear" w:color="auto" w:fill="auto"/>
            <w:noWrap/>
            <w:vAlign w:val="bottom"/>
            <w:hideMark/>
          </w:tcPr>
          <w:p w14:paraId="198FFB94" w14:textId="233CD0AE"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18</w:t>
            </w:r>
            <w:r w:rsidR="002C333D"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C</w:t>
            </w:r>
            <w:r w:rsidR="00D1463B" w:rsidRPr="006C0C53">
              <w:rPr>
                <w:rFonts w:asciiTheme="minorHAnsi" w:hAnsiTheme="minorHAnsi" w:cstheme="minorHAnsi"/>
                <w:color w:val="000000"/>
                <w:sz w:val="20"/>
                <w:szCs w:val="20"/>
                <w:lang w:val="fr-FR"/>
              </w:rPr>
              <w:t>oop</w:t>
            </w:r>
            <w:r w:rsidR="002C333D" w:rsidRPr="006C0C53">
              <w:rPr>
                <w:rFonts w:asciiTheme="minorHAnsi" w:hAnsiTheme="minorHAnsi" w:cstheme="minorHAnsi"/>
                <w:color w:val="000000"/>
                <w:sz w:val="20"/>
                <w:szCs w:val="20"/>
                <w:lang w:val="fr-FR"/>
              </w:rPr>
              <w:t>é</w:t>
            </w:r>
            <w:r w:rsidR="00D1463B" w:rsidRPr="006C0C53">
              <w:rPr>
                <w:rFonts w:asciiTheme="minorHAnsi" w:hAnsiTheme="minorHAnsi" w:cstheme="minorHAnsi"/>
                <w:color w:val="000000"/>
                <w:sz w:val="20"/>
                <w:szCs w:val="20"/>
                <w:lang w:val="fr-FR"/>
              </w:rPr>
              <w:t xml:space="preserve">ration </w:t>
            </w:r>
            <w:r w:rsidR="002C333D" w:rsidRPr="006C0C53">
              <w:rPr>
                <w:rFonts w:asciiTheme="minorHAnsi" w:hAnsiTheme="minorHAnsi" w:cstheme="minorHAnsi"/>
                <w:color w:val="000000"/>
                <w:sz w:val="20"/>
                <w:szCs w:val="20"/>
                <w:lang w:val="fr-FR"/>
              </w:rPr>
              <w:t>internationale</w:t>
            </w:r>
          </w:p>
        </w:tc>
        <w:tc>
          <w:tcPr>
            <w:tcW w:w="1481" w:type="dxa"/>
            <w:shd w:val="clear" w:color="auto" w:fill="auto"/>
            <w:noWrap/>
            <w:vAlign w:val="bottom"/>
            <w:hideMark/>
          </w:tcPr>
          <w:p w14:paraId="3018275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18</w:t>
            </w:r>
          </w:p>
        </w:tc>
        <w:tc>
          <w:tcPr>
            <w:tcW w:w="1482" w:type="dxa"/>
            <w:shd w:val="clear" w:color="auto" w:fill="auto"/>
            <w:noWrap/>
            <w:vAlign w:val="bottom"/>
            <w:hideMark/>
          </w:tcPr>
          <w:p w14:paraId="29AA621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0880ECC3"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7</w:t>
            </w:r>
          </w:p>
        </w:tc>
        <w:tc>
          <w:tcPr>
            <w:tcW w:w="1482" w:type="dxa"/>
            <w:shd w:val="clear" w:color="auto" w:fill="auto"/>
            <w:noWrap/>
            <w:vAlign w:val="bottom"/>
            <w:hideMark/>
          </w:tcPr>
          <w:p w14:paraId="5507AC5C"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9</w:t>
            </w:r>
          </w:p>
        </w:tc>
      </w:tr>
      <w:tr w:rsidR="00D1463B" w:rsidRPr="006C0C53" w14:paraId="4C3E988F" w14:textId="77777777" w:rsidTr="00D9452F">
        <w:trPr>
          <w:trHeight w:val="280"/>
        </w:trPr>
        <w:tc>
          <w:tcPr>
            <w:tcW w:w="3145" w:type="dxa"/>
            <w:shd w:val="clear" w:color="auto" w:fill="auto"/>
            <w:noWrap/>
            <w:vAlign w:val="bottom"/>
            <w:hideMark/>
          </w:tcPr>
          <w:p w14:paraId="33AEB822" w14:textId="74F3475F" w:rsidR="00D1463B" w:rsidRPr="006C0C53" w:rsidRDefault="005B427E" w:rsidP="00CD3F6B">
            <w:pPr>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 xml:space="preserve">Objectif </w:t>
            </w:r>
            <w:r w:rsidR="00D1463B" w:rsidRPr="006C0C53">
              <w:rPr>
                <w:rFonts w:asciiTheme="minorHAnsi" w:hAnsiTheme="minorHAnsi" w:cstheme="minorHAnsi"/>
                <w:color w:val="000000"/>
                <w:sz w:val="20"/>
                <w:szCs w:val="20"/>
                <w:lang w:val="fr-FR"/>
              </w:rPr>
              <w:t>19</w:t>
            </w:r>
            <w:r w:rsidR="002C333D" w:rsidRPr="006C0C53">
              <w:rPr>
                <w:rFonts w:asciiTheme="minorHAnsi" w:hAnsiTheme="minorHAnsi" w:cstheme="minorHAnsi"/>
                <w:color w:val="000000"/>
                <w:sz w:val="20"/>
                <w:szCs w:val="20"/>
                <w:lang w:val="fr-FR"/>
              </w:rPr>
              <w:t> </w:t>
            </w:r>
            <w:r w:rsidR="00D1463B" w:rsidRPr="006C0C53">
              <w:rPr>
                <w:rFonts w:asciiTheme="minorHAnsi" w:hAnsiTheme="minorHAnsi" w:cstheme="minorHAnsi"/>
                <w:color w:val="000000"/>
                <w:sz w:val="20"/>
                <w:szCs w:val="20"/>
                <w:lang w:val="fr-FR"/>
              </w:rPr>
              <w:t xml:space="preserve">: </w:t>
            </w:r>
            <w:r w:rsidR="002C333D" w:rsidRPr="006C0C53">
              <w:rPr>
                <w:rFonts w:asciiTheme="minorHAnsi" w:hAnsiTheme="minorHAnsi" w:cstheme="minorHAnsi"/>
                <w:color w:val="000000"/>
                <w:sz w:val="20"/>
                <w:szCs w:val="20"/>
                <w:lang w:val="fr-FR"/>
              </w:rPr>
              <w:t>Renforcement des capacités</w:t>
            </w:r>
            <w:r w:rsidR="00D1463B" w:rsidRPr="006C0C53">
              <w:rPr>
                <w:rFonts w:asciiTheme="minorHAnsi" w:hAnsiTheme="minorHAnsi" w:cstheme="minorHAnsi"/>
                <w:color w:val="000000"/>
                <w:sz w:val="20"/>
                <w:szCs w:val="20"/>
                <w:lang w:val="fr-FR"/>
              </w:rPr>
              <w:t xml:space="preserve"> </w:t>
            </w:r>
          </w:p>
        </w:tc>
        <w:tc>
          <w:tcPr>
            <w:tcW w:w="1481" w:type="dxa"/>
            <w:shd w:val="clear" w:color="auto" w:fill="auto"/>
            <w:noWrap/>
            <w:vAlign w:val="bottom"/>
            <w:hideMark/>
          </w:tcPr>
          <w:p w14:paraId="26C9D080"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20</w:t>
            </w:r>
          </w:p>
        </w:tc>
        <w:tc>
          <w:tcPr>
            <w:tcW w:w="1482" w:type="dxa"/>
            <w:shd w:val="clear" w:color="auto" w:fill="auto"/>
            <w:noWrap/>
            <w:vAlign w:val="bottom"/>
            <w:hideMark/>
          </w:tcPr>
          <w:p w14:paraId="275074F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12</w:t>
            </w:r>
          </w:p>
        </w:tc>
        <w:tc>
          <w:tcPr>
            <w:tcW w:w="1482" w:type="dxa"/>
            <w:shd w:val="clear" w:color="auto" w:fill="auto"/>
            <w:noWrap/>
            <w:vAlign w:val="bottom"/>
            <w:hideMark/>
          </w:tcPr>
          <w:p w14:paraId="54A45051"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3</w:t>
            </w:r>
          </w:p>
        </w:tc>
        <w:tc>
          <w:tcPr>
            <w:tcW w:w="1482" w:type="dxa"/>
            <w:shd w:val="clear" w:color="auto" w:fill="auto"/>
            <w:noWrap/>
            <w:vAlign w:val="bottom"/>
            <w:hideMark/>
          </w:tcPr>
          <w:p w14:paraId="3EAA27CA" w14:textId="77777777" w:rsidR="00D1463B" w:rsidRPr="006C0C53" w:rsidRDefault="00D1463B" w:rsidP="00CD3F6B">
            <w:pPr>
              <w:jc w:val="right"/>
              <w:rPr>
                <w:rFonts w:asciiTheme="minorHAnsi" w:hAnsiTheme="minorHAnsi" w:cstheme="minorHAnsi"/>
                <w:color w:val="000000"/>
                <w:sz w:val="20"/>
                <w:szCs w:val="20"/>
                <w:lang w:val="fr-FR"/>
              </w:rPr>
            </w:pPr>
            <w:r w:rsidRPr="006C0C53">
              <w:rPr>
                <w:rFonts w:asciiTheme="minorHAnsi" w:hAnsiTheme="minorHAnsi" w:cstheme="minorHAnsi"/>
                <w:color w:val="000000"/>
                <w:sz w:val="20"/>
                <w:szCs w:val="20"/>
                <w:lang w:val="fr-FR"/>
              </w:rPr>
              <w:t>15</w:t>
            </w:r>
          </w:p>
        </w:tc>
      </w:tr>
      <w:tr w:rsidR="00D1463B" w:rsidRPr="006C0C53" w14:paraId="339F2999" w14:textId="77777777" w:rsidTr="00D9452F">
        <w:trPr>
          <w:trHeight w:val="280"/>
        </w:trPr>
        <w:tc>
          <w:tcPr>
            <w:tcW w:w="3145" w:type="dxa"/>
            <w:shd w:val="clear" w:color="auto" w:fill="auto"/>
            <w:noWrap/>
            <w:vAlign w:val="bottom"/>
          </w:tcPr>
          <w:p w14:paraId="17A62A33" w14:textId="45D2B525" w:rsidR="00D1463B" w:rsidRPr="006C0C53" w:rsidRDefault="002C333D" w:rsidP="00CD3F6B">
            <w:pPr>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 xml:space="preserve">Sous-total But </w:t>
            </w:r>
            <w:r w:rsidR="00D1463B" w:rsidRPr="006C0C53">
              <w:rPr>
                <w:rFonts w:asciiTheme="minorHAnsi" w:hAnsiTheme="minorHAnsi" w:cstheme="minorHAnsi"/>
                <w:i/>
                <w:iCs/>
                <w:color w:val="000000"/>
                <w:sz w:val="20"/>
                <w:szCs w:val="20"/>
                <w:lang w:val="fr-FR"/>
              </w:rPr>
              <w:t>4</w:t>
            </w:r>
          </w:p>
        </w:tc>
        <w:tc>
          <w:tcPr>
            <w:tcW w:w="1481" w:type="dxa"/>
            <w:shd w:val="clear" w:color="auto" w:fill="auto"/>
            <w:noWrap/>
            <w:vAlign w:val="bottom"/>
          </w:tcPr>
          <w:p w14:paraId="5CAD9E46" w14:textId="34ADEA6A"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97</w:t>
            </w:r>
          </w:p>
        </w:tc>
        <w:tc>
          <w:tcPr>
            <w:tcW w:w="1482" w:type="dxa"/>
            <w:shd w:val="clear" w:color="auto" w:fill="auto"/>
            <w:noWrap/>
            <w:vAlign w:val="bottom"/>
          </w:tcPr>
          <w:p w14:paraId="0B9DC2AB" w14:textId="0F06C4F2"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56</w:t>
            </w:r>
          </w:p>
        </w:tc>
        <w:tc>
          <w:tcPr>
            <w:tcW w:w="1482" w:type="dxa"/>
            <w:shd w:val="clear" w:color="auto" w:fill="auto"/>
            <w:noWrap/>
            <w:vAlign w:val="bottom"/>
          </w:tcPr>
          <w:p w14:paraId="3E41C86D" w14:textId="11BE22A0"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21</w:t>
            </w:r>
          </w:p>
        </w:tc>
        <w:tc>
          <w:tcPr>
            <w:tcW w:w="1482" w:type="dxa"/>
            <w:shd w:val="clear" w:color="auto" w:fill="auto"/>
            <w:noWrap/>
            <w:vAlign w:val="bottom"/>
          </w:tcPr>
          <w:p w14:paraId="7CB2E12D" w14:textId="46431C22" w:rsidR="00D1463B" w:rsidRPr="006C0C53" w:rsidRDefault="00D1463B" w:rsidP="00CD3F6B">
            <w:pPr>
              <w:jc w:val="right"/>
              <w:rPr>
                <w:rFonts w:asciiTheme="minorHAnsi" w:hAnsiTheme="minorHAnsi" w:cstheme="minorHAnsi"/>
                <w:i/>
                <w:iCs/>
                <w:color w:val="000000"/>
                <w:sz w:val="20"/>
                <w:szCs w:val="20"/>
                <w:lang w:val="fr-FR"/>
              </w:rPr>
            </w:pPr>
            <w:r w:rsidRPr="006C0C53">
              <w:rPr>
                <w:rFonts w:asciiTheme="minorHAnsi" w:hAnsiTheme="minorHAnsi" w:cstheme="minorHAnsi"/>
                <w:i/>
                <w:iCs/>
                <w:color w:val="000000"/>
                <w:sz w:val="20"/>
                <w:szCs w:val="20"/>
                <w:lang w:val="fr-FR"/>
              </w:rPr>
              <w:t>63</w:t>
            </w:r>
          </w:p>
        </w:tc>
      </w:tr>
      <w:tr w:rsidR="00D1463B" w:rsidRPr="006C0C53" w14:paraId="5BDF638E" w14:textId="77777777" w:rsidTr="00D9452F">
        <w:trPr>
          <w:trHeight w:val="280"/>
        </w:trPr>
        <w:tc>
          <w:tcPr>
            <w:tcW w:w="3145" w:type="dxa"/>
            <w:shd w:val="clear" w:color="auto" w:fill="auto"/>
            <w:noWrap/>
            <w:vAlign w:val="bottom"/>
          </w:tcPr>
          <w:p w14:paraId="4BE6C415" w14:textId="43F140BC" w:rsidR="00D1463B" w:rsidRPr="006C0C53" w:rsidRDefault="00D1463B" w:rsidP="004C1163">
            <w:pPr>
              <w:keepNext/>
              <w:spacing w:before="120" w:after="120"/>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 xml:space="preserve">TOTAL </w:t>
            </w:r>
          </w:p>
        </w:tc>
        <w:tc>
          <w:tcPr>
            <w:tcW w:w="1481" w:type="dxa"/>
            <w:shd w:val="clear" w:color="auto" w:fill="auto"/>
            <w:noWrap/>
            <w:vAlign w:val="bottom"/>
          </w:tcPr>
          <w:p w14:paraId="6EFD3B1C" w14:textId="33414165" w:rsidR="00D1463B" w:rsidRPr="006C0C53" w:rsidRDefault="00D1463B" w:rsidP="004C1163">
            <w:pPr>
              <w:keepNext/>
              <w:spacing w:before="120" w:after="120"/>
              <w:jc w:val="right"/>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367</w:t>
            </w:r>
          </w:p>
        </w:tc>
        <w:tc>
          <w:tcPr>
            <w:tcW w:w="1482" w:type="dxa"/>
            <w:shd w:val="clear" w:color="auto" w:fill="auto"/>
            <w:noWrap/>
            <w:vAlign w:val="bottom"/>
          </w:tcPr>
          <w:p w14:paraId="03D18714" w14:textId="697687D8" w:rsidR="00D1463B" w:rsidRPr="006C0C53" w:rsidRDefault="00D1463B" w:rsidP="004C1163">
            <w:pPr>
              <w:keepNext/>
              <w:spacing w:before="120" w:after="120"/>
              <w:jc w:val="right"/>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219</w:t>
            </w:r>
          </w:p>
        </w:tc>
        <w:tc>
          <w:tcPr>
            <w:tcW w:w="1482" w:type="dxa"/>
            <w:shd w:val="clear" w:color="auto" w:fill="auto"/>
            <w:noWrap/>
            <w:vAlign w:val="bottom"/>
          </w:tcPr>
          <w:p w14:paraId="1837BEF1" w14:textId="0346669A" w:rsidR="00D1463B" w:rsidRPr="006C0C53" w:rsidRDefault="00D1463B" w:rsidP="004C1163">
            <w:pPr>
              <w:keepNext/>
              <w:spacing w:before="120" w:after="120"/>
              <w:jc w:val="right"/>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115</w:t>
            </w:r>
          </w:p>
        </w:tc>
        <w:tc>
          <w:tcPr>
            <w:tcW w:w="1482" w:type="dxa"/>
            <w:shd w:val="clear" w:color="auto" w:fill="auto"/>
            <w:noWrap/>
            <w:vAlign w:val="bottom"/>
          </w:tcPr>
          <w:p w14:paraId="2DA4F1A1" w14:textId="3EDAE275" w:rsidR="00D1463B" w:rsidRPr="006C0C53" w:rsidRDefault="00D1463B" w:rsidP="004C1163">
            <w:pPr>
              <w:keepNext/>
              <w:spacing w:before="120" w:after="120"/>
              <w:jc w:val="right"/>
              <w:rPr>
                <w:rFonts w:asciiTheme="minorHAnsi" w:hAnsiTheme="minorHAnsi" w:cstheme="minorHAnsi"/>
                <w:b/>
                <w:bCs/>
                <w:color w:val="000000"/>
                <w:sz w:val="20"/>
                <w:szCs w:val="20"/>
                <w:lang w:val="fr-FR"/>
              </w:rPr>
            </w:pPr>
            <w:r w:rsidRPr="006C0C53">
              <w:rPr>
                <w:rFonts w:asciiTheme="minorHAnsi" w:hAnsiTheme="minorHAnsi" w:cstheme="minorHAnsi"/>
                <w:b/>
                <w:bCs/>
                <w:color w:val="000000"/>
                <w:sz w:val="20"/>
                <w:szCs w:val="20"/>
                <w:lang w:val="fr-FR"/>
              </w:rPr>
              <w:t>210</w:t>
            </w:r>
          </w:p>
        </w:tc>
      </w:tr>
    </w:tbl>
    <w:p w14:paraId="718C9E27" w14:textId="77777777" w:rsidR="008F5054" w:rsidRPr="001961B1" w:rsidRDefault="008F5054" w:rsidP="00CD3F6B">
      <w:pPr>
        <w:rPr>
          <w:rFonts w:asciiTheme="minorHAnsi" w:eastAsia="Calibri" w:hAnsiTheme="minorHAnsi" w:cstheme="minorHAnsi"/>
          <w:sz w:val="22"/>
          <w:szCs w:val="22"/>
        </w:rPr>
      </w:pPr>
    </w:p>
    <w:sectPr w:rsidR="008F5054" w:rsidRPr="001961B1" w:rsidSect="005F4A4C">
      <w:footerReference w:type="default" r:id="rId6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80CB" w14:textId="77777777" w:rsidR="00440D6C" w:rsidRDefault="00440D6C" w:rsidP="00C15C1D">
      <w:r>
        <w:separator/>
      </w:r>
    </w:p>
  </w:endnote>
  <w:endnote w:type="continuationSeparator" w:id="0">
    <w:p w14:paraId="65721B4C" w14:textId="77777777" w:rsidR="00440D6C" w:rsidRDefault="00440D6C" w:rsidP="00C15C1D">
      <w:r>
        <w:continuationSeparator/>
      </w:r>
    </w:p>
  </w:endnote>
  <w:endnote w:type="continuationNotice" w:id="1">
    <w:p w14:paraId="159A484A" w14:textId="77777777" w:rsidR="00440D6C" w:rsidRDefault="00440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F041" w14:textId="73F0F15F" w:rsidR="00DF16B8" w:rsidRPr="005F4A4C" w:rsidRDefault="00DF16B8">
    <w:pPr>
      <w:pStyle w:val="Footer"/>
      <w:rPr>
        <w:sz w:val="20"/>
        <w:szCs w:val="20"/>
      </w:rPr>
    </w:pPr>
    <w:r>
      <w:rPr>
        <w:sz w:val="20"/>
        <w:szCs w:val="20"/>
      </w:rPr>
      <w:t>COP15</w:t>
    </w:r>
    <w:r w:rsidRPr="00F30A19">
      <w:rPr>
        <w:sz w:val="20"/>
        <w:szCs w:val="20"/>
      </w:rPr>
      <w:t xml:space="preserve"> Doc.</w:t>
    </w:r>
    <w:r>
      <w:rPr>
        <w:sz w:val="20"/>
        <w:szCs w:val="20"/>
      </w:rPr>
      <w:t>8.1</w:t>
    </w:r>
    <w:r w:rsidRPr="00F30A19">
      <w:rPr>
        <w:sz w:val="20"/>
        <w:szCs w:val="20"/>
      </w:rPr>
      <w:tab/>
    </w:r>
    <w:r w:rsidRPr="00F30A19">
      <w:rPr>
        <w:sz w:val="20"/>
        <w:szCs w:val="20"/>
      </w:rPr>
      <w:tab/>
    </w:r>
    <w:r w:rsidRPr="00F30A19">
      <w:rPr>
        <w:sz w:val="20"/>
        <w:szCs w:val="20"/>
      </w:rPr>
      <w:fldChar w:fldCharType="begin"/>
    </w:r>
    <w:r w:rsidRPr="00F30A19">
      <w:rPr>
        <w:sz w:val="20"/>
        <w:szCs w:val="20"/>
      </w:rPr>
      <w:instrText xml:space="preserve"> PAGE   \* MERGEFORMAT </w:instrText>
    </w:r>
    <w:r w:rsidRPr="00F30A19">
      <w:rPr>
        <w:sz w:val="20"/>
        <w:szCs w:val="20"/>
      </w:rPr>
      <w:fldChar w:fldCharType="separate"/>
    </w:r>
    <w:r w:rsidR="000344B7">
      <w:rPr>
        <w:noProof/>
        <w:sz w:val="20"/>
        <w:szCs w:val="20"/>
      </w:rPr>
      <w:t>21</w:t>
    </w:r>
    <w:r w:rsidRPr="00F30A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69E93" w14:textId="77777777" w:rsidR="00440D6C" w:rsidRDefault="00440D6C" w:rsidP="00C15C1D">
      <w:r>
        <w:separator/>
      </w:r>
    </w:p>
  </w:footnote>
  <w:footnote w:type="continuationSeparator" w:id="0">
    <w:p w14:paraId="6C94F064" w14:textId="77777777" w:rsidR="00440D6C" w:rsidRDefault="00440D6C" w:rsidP="00C15C1D">
      <w:r>
        <w:continuationSeparator/>
      </w:r>
    </w:p>
  </w:footnote>
  <w:footnote w:type="continuationNotice" w:id="1">
    <w:p w14:paraId="609DD40C" w14:textId="77777777" w:rsidR="00440D6C" w:rsidRDefault="00440D6C"/>
  </w:footnote>
  <w:footnote w:id="2">
    <w:p w14:paraId="25ACC374" w14:textId="403832DC" w:rsidR="00DF16B8" w:rsidRPr="005565ED" w:rsidRDefault="00DF16B8">
      <w:pPr>
        <w:pStyle w:val="FootnoteText"/>
        <w:rPr>
          <w:lang w:val="fr-FR"/>
        </w:rPr>
      </w:pPr>
      <w:r>
        <w:rPr>
          <w:rStyle w:val="FootnoteReference"/>
        </w:rPr>
        <w:footnoteRef/>
      </w:r>
      <w:r w:rsidRPr="005565ED">
        <w:rPr>
          <w:lang w:val="fr-FR"/>
        </w:rPr>
        <w:t xml:space="preserve"> </w:t>
      </w:r>
      <w:r w:rsidR="005565ED" w:rsidRPr="005565ED">
        <w:rPr>
          <w:lang w:val="fr-FR"/>
        </w:rPr>
        <w:t>Voir</w:t>
      </w:r>
      <w:r w:rsidRPr="005565ED">
        <w:rPr>
          <w:lang w:val="fr-FR"/>
        </w:rPr>
        <w:t xml:space="preserve"> </w:t>
      </w:r>
      <w:hyperlink r:id="rId1" w:history="1">
        <w:r w:rsidR="001961B1" w:rsidRPr="00222477">
          <w:rPr>
            <w:rStyle w:val="Hyperlink"/>
            <w:lang w:val="fr-FR"/>
          </w:rPr>
          <w:t>https://www.ramsar.org/fr/document/le-4e-plan-strategique-2016-2024-mise-jour-2022</w:t>
        </w:r>
      </w:hyperlink>
      <w:r w:rsidRPr="005565ED">
        <w:rPr>
          <w:lang w:val="fr-FR"/>
        </w:rPr>
        <w:t xml:space="preserve">. </w:t>
      </w:r>
    </w:p>
  </w:footnote>
  <w:footnote w:id="3">
    <w:p w14:paraId="722872A2" w14:textId="77777777" w:rsidR="001D68B3" w:rsidRPr="001403F2" w:rsidRDefault="001D68B3" w:rsidP="001D68B3">
      <w:pPr>
        <w:pStyle w:val="FootnoteText"/>
        <w:rPr>
          <w:lang w:val="fr-FR"/>
        </w:rPr>
      </w:pPr>
      <w:r w:rsidRPr="00B24E31">
        <w:rPr>
          <w:rStyle w:val="FootnoteReference"/>
        </w:rPr>
        <w:footnoteRef/>
      </w:r>
      <w:r w:rsidRPr="00B24E31">
        <w:rPr>
          <w:lang w:val="fr-FR"/>
        </w:rPr>
        <w:t xml:space="preserve"> Sur la base des </w:t>
      </w:r>
      <w:r w:rsidRPr="00B24E31">
        <w:rPr>
          <w:rFonts w:cstheme="minorHAnsi"/>
          <w:bCs/>
          <w:lang w:val="fr-FR" w:eastAsia="fr-FR"/>
        </w:rPr>
        <w:t xml:space="preserve">Annexes 2 et 3 du PS4 ; voir aussi document COP15 Doc.15 </w:t>
      </w:r>
      <w:r w:rsidRPr="00B24E31">
        <w:rPr>
          <w:rFonts w:cstheme="minorHAnsi"/>
          <w:bCs/>
          <w:i/>
          <w:iCs/>
          <w:lang w:val="fr-FR" w:eastAsia="fr-FR"/>
        </w:rPr>
        <w:t>Rapport du Secrétariat sur les possibilités pour la Convention de renforcer encore sa contribution au Programme de développement durable à l’horizon 2030 et aux Objectifs de développement durable</w:t>
      </w:r>
      <w:r w:rsidRPr="00B24E31">
        <w:rPr>
          <w:rFonts w:cstheme="minorHAnsi"/>
          <w:bCs/>
          <w:lang w:val="fr-FR" w:eastAsia="fr-FR"/>
        </w:rPr>
        <w:t>.</w:t>
      </w:r>
    </w:p>
  </w:footnote>
  <w:footnote w:id="4">
    <w:p w14:paraId="524FBCCD" w14:textId="2C722EAC" w:rsidR="00DF16B8" w:rsidRPr="00264A3F" w:rsidRDefault="00DF16B8" w:rsidP="00367834">
      <w:pPr>
        <w:pStyle w:val="FootnoteText"/>
        <w:rPr>
          <w:lang w:val="fr-FR"/>
        </w:rPr>
      </w:pPr>
      <w:r w:rsidRPr="0075701F">
        <w:rPr>
          <w:rStyle w:val="FootnoteReference"/>
          <w:lang w:val="fr-FR"/>
        </w:rPr>
        <w:footnoteRef/>
      </w:r>
      <w:r w:rsidRPr="0075701F">
        <w:rPr>
          <w:lang w:val="fr-FR"/>
        </w:rPr>
        <w:t xml:space="preserve"> Actions </w:t>
      </w:r>
      <w:r w:rsidR="0075701F" w:rsidRPr="0075701F">
        <w:rPr>
          <w:lang w:val="fr-FR"/>
        </w:rPr>
        <w:t xml:space="preserve">pour une gestion appropriée des zones humides qui ne sont pas nécessairement </w:t>
      </w:r>
      <w:r w:rsidR="006F1E00">
        <w:rPr>
          <w:lang w:val="fr-FR"/>
        </w:rPr>
        <w:t xml:space="preserve">inscrites </w:t>
      </w:r>
      <w:r w:rsidR="0075701F" w:rsidRPr="0075701F">
        <w:rPr>
          <w:lang w:val="fr-FR"/>
        </w:rPr>
        <w:t xml:space="preserve">dans le contexte d’un plan de gestion officiel – Résolution </w:t>
      </w:r>
      <w:r w:rsidRPr="0075701F">
        <w:rPr>
          <w:lang w:val="fr-FR"/>
        </w:rPr>
        <w:t>VIII.14</w:t>
      </w:r>
    </w:p>
  </w:footnote>
  <w:footnote w:id="5">
    <w:p w14:paraId="06F70A67" w14:textId="3D3FFAD6" w:rsidR="00DF16B8" w:rsidRPr="001B6A7B" w:rsidRDefault="00DF16B8">
      <w:pPr>
        <w:pStyle w:val="FootnoteText"/>
        <w:rPr>
          <w:lang w:val="fr-FR"/>
        </w:rPr>
      </w:pPr>
      <w:r w:rsidRPr="001B6A7B">
        <w:rPr>
          <w:rStyle w:val="FootnoteReference"/>
          <w:lang w:val="fr-FR"/>
        </w:rPr>
        <w:footnoteRef/>
      </w:r>
      <w:r w:rsidRPr="001B6A7B">
        <w:rPr>
          <w:lang w:val="fr-FR"/>
        </w:rPr>
        <w:t xml:space="preserve"> </w:t>
      </w:r>
      <w:r w:rsidR="001B6A7B" w:rsidRPr="001B6A7B">
        <w:rPr>
          <w:lang w:val="fr-FR"/>
        </w:rPr>
        <w:t xml:space="preserve">La référence s’appuie sur la question figurant </w:t>
      </w:r>
      <w:r w:rsidR="001B6A7B">
        <w:rPr>
          <w:lang w:val="fr-FR"/>
        </w:rPr>
        <w:t xml:space="preserve">dans le </w:t>
      </w:r>
      <w:r w:rsidR="00B22FE8">
        <w:rPr>
          <w:lang w:val="fr-FR"/>
        </w:rPr>
        <w:t>F</w:t>
      </w:r>
      <w:r w:rsidR="001B6A7B">
        <w:rPr>
          <w:lang w:val="fr-FR"/>
        </w:rPr>
        <w:t xml:space="preserve">ormulaire de </w:t>
      </w:r>
      <w:r w:rsidR="00B22FE8">
        <w:rPr>
          <w:lang w:val="fr-FR"/>
        </w:rPr>
        <w:t>R</w:t>
      </w:r>
      <w:r w:rsidR="001B6A7B">
        <w:rPr>
          <w:lang w:val="fr-FR"/>
        </w:rPr>
        <w:t>apport national à la COP12 « </w:t>
      </w:r>
      <w:r w:rsidR="001B6A7B" w:rsidRPr="00044199">
        <w:rPr>
          <w:lang w:val="fr-FR"/>
        </w:rPr>
        <w:t xml:space="preserve">Des évaluations de l’efficacité de la gestion des Sites Ramsar ont-elles été faites ? ». </w:t>
      </w:r>
      <w:r w:rsidR="000919FB" w:rsidRPr="00044199">
        <w:rPr>
          <w:lang w:val="fr-FR"/>
        </w:rPr>
        <w:t>À partir de la COP13, la question a été légèrement modifiée et se lit comme suit : « </w:t>
      </w:r>
      <w:r w:rsidR="00C344E5" w:rsidRPr="00044199">
        <w:rPr>
          <w:lang w:val="fr-FR"/>
        </w:rPr>
        <w:t>L’efficacité de la gestion a-t-elle été évaluée dans tous les Sites Ramsar (par des plans de gestion officiels, lorsqu’ils existent, ou par d’autres mesures prises pour une gestion appropriée des zones humides</w:t>
      </w:r>
      <w:r w:rsidR="000919FB" w:rsidRPr="00044199">
        <w:rPr>
          <w:lang w:val="fr-FR"/>
        </w:rPr>
        <w:t> </w:t>
      </w:r>
      <w:r w:rsidRPr="00044199">
        <w:rPr>
          <w:lang w:val="fr-FR"/>
        </w:rPr>
        <w:t>?</w:t>
      </w:r>
      <w:r w:rsidR="000919FB" w:rsidRPr="00044199">
        <w:rPr>
          <w:lang w:val="fr-FR"/>
        </w:rPr>
        <w:t> »</w:t>
      </w:r>
      <w:r w:rsidRPr="00044199">
        <w:rPr>
          <w:lang w:val="fr-FR"/>
        </w:rPr>
        <w:t>.</w:t>
      </w:r>
    </w:p>
  </w:footnote>
  <w:footnote w:id="6">
    <w:p w14:paraId="57948647" w14:textId="157228EA" w:rsidR="00DF16B8" w:rsidRPr="00A17D68" w:rsidRDefault="00DF16B8">
      <w:pPr>
        <w:pStyle w:val="FootnoteText"/>
        <w:rPr>
          <w:lang w:val="fr-FR"/>
        </w:rPr>
      </w:pPr>
      <w:r w:rsidRPr="00CA770D">
        <w:rPr>
          <w:rStyle w:val="FootnoteReference"/>
        </w:rPr>
        <w:footnoteRef/>
      </w:r>
      <w:r w:rsidRPr="00CA770D">
        <w:rPr>
          <w:lang w:val="fr-FR"/>
        </w:rPr>
        <w:t xml:space="preserve"> </w:t>
      </w:r>
      <w:r w:rsidR="00A17D68" w:rsidRPr="00CA770D">
        <w:rPr>
          <w:lang w:val="fr-FR"/>
        </w:rPr>
        <w:t>Pour d’autres détails, voir</w:t>
      </w:r>
      <w:r w:rsidRPr="00CA770D">
        <w:rPr>
          <w:lang w:val="fr-FR"/>
        </w:rPr>
        <w:t xml:space="preserve"> document </w:t>
      </w:r>
      <w:r w:rsidRPr="00CA770D">
        <w:rPr>
          <w:rFonts w:cstheme="minorHAnsi"/>
          <w:lang w:val="fr-FR"/>
        </w:rPr>
        <w:t xml:space="preserve">COP15 Doc.9 </w:t>
      </w:r>
      <w:r w:rsidR="00A17D68" w:rsidRPr="00CA770D">
        <w:rPr>
          <w:rFonts w:cstheme="minorHAnsi"/>
          <w:bCs/>
          <w:i/>
          <w:iCs/>
          <w:lang w:val="fr-CH"/>
        </w:rPr>
        <w:t>Rapport du Secrétariat conformément à l’Article 8.2 sur la Liste des zones humides d’importance internationale</w:t>
      </w:r>
      <w:r w:rsidRPr="00CA770D">
        <w:rPr>
          <w:rFonts w:cstheme="minorHAnsi"/>
          <w:lang w:val="fr-FR"/>
        </w:rPr>
        <w:t xml:space="preserve"> </w:t>
      </w:r>
      <w:r w:rsidR="00A17D68" w:rsidRPr="00CA770D">
        <w:rPr>
          <w:rFonts w:cstheme="minorHAnsi"/>
          <w:lang w:val="fr-FR"/>
        </w:rPr>
        <w:t>à l’adresse</w:t>
      </w:r>
      <w:r w:rsidRPr="00CA770D">
        <w:rPr>
          <w:rFonts w:cstheme="minorHAnsi"/>
          <w:lang w:val="fr-FR"/>
        </w:rPr>
        <w:t xml:space="preserve"> </w:t>
      </w:r>
      <w:hyperlink r:id="rId2" w:history="1">
        <w:r w:rsidR="001961B1" w:rsidRPr="00222477">
          <w:rPr>
            <w:rStyle w:val="Hyperlink"/>
            <w:lang w:val="fr-FR"/>
          </w:rPr>
          <w:t>https://www.ramsar.org/fr/document/cop15-doc9-rapport-du-secretariat-conformement-larticle-82-sur-la-liste-des-zones-humides</w:t>
        </w:r>
      </w:hyperlink>
      <w:r w:rsidRPr="00A17D68">
        <w:rPr>
          <w:rFonts w:cstheme="minorHAnsi"/>
          <w:lang w:val="fr-FR"/>
        </w:rPr>
        <w:t>.</w:t>
      </w:r>
    </w:p>
  </w:footnote>
  <w:footnote w:id="7">
    <w:p w14:paraId="5D4F9D4D" w14:textId="5C1F6A03" w:rsidR="00DF16B8" w:rsidRPr="00F622B7" w:rsidRDefault="00DF16B8">
      <w:pPr>
        <w:pStyle w:val="FootnoteText"/>
        <w:rPr>
          <w:lang w:val="fr-FR"/>
        </w:rPr>
      </w:pPr>
      <w:r>
        <w:rPr>
          <w:rStyle w:val="FootnoteReference"/>
        </w:rPr>
        <w:footnoteRef/>
      </w:r>
      <w:r w:rsidRPr="00F622B7">
        <w:rPr>
          <w:lang w:val="fr-FR"/>
        </w:rPr>
        <w:t xml:space="preserve"> </w:t>
      </w:r>
      <w:r w:rsidR="00F622B7" w:rsidRPr="00F622B7">
        <w:rPr>
          <w:lang w:val="fr-FR"/>
        </w:rPr>
        <w:t xml:space="preserve">Pour d’autres </w:t>
      </w:r>
      <w:r w:rsidRPr="00F622B7">
        <w:rPr>
          <w:lang w:val="fr-FR"/>
        </w:rPr>
        <w:t>d</w:t>
      </w:r>
      <w:r w:rsidR="00F622B7" w:rsidRPr="00F622B7">
        <w:rPr>
          <w:lang w:val="fr-FR"/>
        </w:rPr>
        <w:t>é</w:t>
      </w:r>
      <w:r w:rsidRPr="00F622B7">
        <w:rPr>
          <w:lang w:val="fr-FR"/>
        </w:rPr>
        <w:t>tails</w:t>
      </w:r>
      <w:r w:rsidR="00435555">
        <w:rPr>
          <w:lang w:val="fr-FR"/>
        </w:rPr>
        <w:t>,</w:t>
      </w:r>
      <w:r w:rsidRPr="00F622B7">
        <w:rPr>
          <w:lang w:val="fr-FR"/>
        </w:rPr>
        <w:t xml:space="preserve"> </w:t>
      </w:r>
      <w:r w:rsidR="00F622B7" w:rsidRPr="00F622B7">
        <w:rPr>
          <w:lang w:val="fr-FR"/>
        </w:rPr>
        <w:t>voir</w:t>
      </w:r>
      <w:r w:rsidRPr="00F622B7">
        <w:rPr>
          <w:lang w:val="fr-FR"/>
        </w:rPr>
        <w:t xml:space="preserve"> document </w:t>
      </w:r>
      <w:r w:rsidRPr="00F622B7">
        <w:rPr>
          <w:rFonts w:cstheme="minorHAnsi"/>
          <w:lang w:val="fr-FR"/>
        </w:rPr>
        <w:t xml:space="preserve">COP15 Doc.9 </w:t>
      </w:r>
      <w:r w:rsidR="00F622B7" w:rsidRPr="00F622B7">
        <w:rPr>
          <w:rFonts w:cstheme="minorHAnsi"/>
          <w:bCs/>
          <w:i/>
          <w:iCs/>
          <w:lang w:val="fr-CH"/>
        </w:rPr>
        <w:t>Rapport du Secrétariat conformément à l’Article 8.2 sur la Liste des zones humides d’importance internationale</w:t>
      </w:r>
      <w:r w:rsidR="00F622B7" w:rsidRPr="00F622B7">
        <w:rPr>
          <w:rFonts w:cstheme="minorHAnsi"/>
          <w:i/>
          <w:iCs/>
          <w:lang w:val="fr-FR"/>
        </w:rPr>
        <w:t xml:space="preserve"> </w:t>
      </w:r>
      <w:r w:rsidR="00F622B7" w:rsidRPr="00F622B7">
        <w:rPr>
          <w:rFonts w:cstheme="minorHAnsi"/>
          <w:lang w:val="fr-FR"/>
        </w:rPr>
        <w:t>à l’adresse</w:t>
      </w:r>
      <w:r w:rsidRPr="00F622B7">
        <w:rPr>
          <w:rFonts w:cstheme="minorHAnsi"/>
          <w:lang w:val="fr-FR"/>
        </w:rPr>
        <w:t xml:space="preserve"> </w:t>
      </w:r>
      <w:hyperlink r:id="rId3" w:history="1">
        <w:r w:rsidR="001961B1" w:rsidRPr="00222477">
          <w:rPr>
            <w:rStyle w:val="Hyperlink"/>
            <w:lang w:val="fr-FR"/>
          </w:rPr>
          <w:t>https://www.ramsar.org/fr/document/cop15-doc9-rapport-du-secretariat-conformement-larticle-82-sur-la-liste-des-zones-humides</w:t>
        </w:r>
      </w:hyperlink>
      <w:r w:rsidRPr="00F622B7">
        <w:rPr>
          <w:rFonts w:cstheme="minorHAnsi"/>
          <w:lang w:val="fr-FR"/>
        </w:rPr>
        <w:t>.</w:t>
      </w:r>
    </w:p>
  </w:footnote>
  <w:footnote w:id="8">
    <w:p w14:paraId="186CF9FC" w14:textId="66A7C29F" w:rsidR="00DF16B8" w:rsidRPr="007251E6" w:rsidRDefault="00DF16B8">
      <w:pPr>
        <w:pStyle w:val="FootnoteText"/>
        <w:rPr>
          <w:lang w:val="fr-FR"/>
        </w:rPr>
      </w:pPr>
      <w:r w:rsidRPr="00FE4641">
        <w:rPr>
          <w:rStyle w:val="FootnoteReference"/>
        </w:rPr>
        <w:footnoteRef/>
      </w:r>
      <w:r w:rsidRPr="007251E6">
        <w:rPr>
          <w:lang w:val="fr-FR"/>
        </w:rPr>
        <w:t xml:space="preserve"> </w:t>
      </w:r>
      <w:r w:rsidR="007251E6" w:rsidRPr="007251E6">
        <w:rPr>
          <w:rFonts w:cstheme="minorHAnsi"/>
          <w:lang w:val="fr-FR"/>
        </w:rPr>
        <w:t>Voir aussi</w:t>
      </w:r>
      <w:r w:rsidRPr="007251E6">
        <w:rPr>
          <w:rFonts w:cstheme="minorHAnsi"/>
          <w:lang w:val="fr-FR"/>
        </w:rPr>
        <w:t xml:space="preserve"> document COP15 Doc.15 </w:t>
      </w:r>
      <w:r w:rsidR="007251E6" w:rsidRPr="007251E6">
        <w:rPr>
          <w:rFonts w:cstheme="minorHAnsi"/>
          <w:i/>
          <w:iCs/>
          <w:lang w:val="fr-FR"/>
        </w:rPr>
        <w:t xml:space="preserve">Rapport du Secrétariat sur les possibilités pour la Convention de renforcer encore sa contribution au Programme de développement durable à l’horizon 2030 et aux Objectifs de développement durable </w:t>
      </w:r>
      <w:r w:rsidR="007251E6">
        <w:rPr>
          <w:rFonts w:cstheme="minorHAnsi"/>
          <w:lang w:val="fr-FR"/>
        </w:rPr>
        <w:t>à l’adresse</w:t>
      </w:r>
      <w:r w:rsidRPr="007251E6">
        <w:rPr>
          <w:rFonts w:cstheme="minorHAnsi"/>
          <w:lang w:val="fr-FR"/>
        </w:rPr>
        <w:t xml:space="preserve"> </w:t>
      </w:r>
      <w:hyperlink r:id="rId4" w:history="1">
        <w:r w:rsidR="00B50CB7" w:rsidRPr="00222477">
          <w:rPr>
            <w:rStyle w:val="Hyperlink"/>
            <w:lang w:val="fr-FR"/>
          </w:rPr>
          <w:t>https://www.ramsar.org/fr/document/cop15-doc15-rapport-du-secretariat-sur-les-possibilites-de-renforcer-encore-la</w:t>
        </w:r>
      </w:hyperlink>
      <w:r w:rsidRPr="007251E6">
        <w:rPr>
          <w:rFonts w:cstheme="minorHAnsi"/>
          <w:lang w:val="fr-FR"/>
        </w:rPr>
        <w:t>.</w:t>
      </w:r>
    </w:p>
  </w:footnote>
  <w:footnote w:id="9">
    <w:p w14:paraId="67F83B5C" w14:textId="77777777" w:rsidR="00322B42" w:rsidRPr="007251E6" w:rsidRDefault="00322B42" w:rsidP="00322B42">
      <w:pPr>
        <w:pStyle w:val="FootnoteText"/>
        <w:rPr>
          <w:lang w:val="fr-FR"/>
        </w:rPr>
      </w:pPr>
      <w:r>
        <w:rPr>
          <w:rStyle w:val="FootnoteReference"/>
        </w:rPr>
        <w:footnoteRef/>
      </w:r>
      <w:r w:rsidRPr="007251E6">
        <w:rPr>
          <w:lang w:val="fr-FR"/>
        </w:rPr>
        <w:t xml:space="preserve"> Voir documents SC62 Doc.9, SC63 Doc.10 et SC64 Doc.10 pour les rapports du Secrétariat au</w:t>
      </w:r>
      <w:r>
        <w:rPr>
          <w:lang w:val="fr-FR"/>
        </w:rPr>
        <w:t xml:space="preserve"> Comité permanent durant la période triennale écoulée</w:t>
      </w:r>
      <w:r w:rsidRPr="007251E6">
        <w:rPr>
          <w:lang w:val="fr-FR"/>
        </w:rPr>
        <w:t>.</w:t>
      </w:r>
    </w:p>
  </w:footnote>
  <w:footnote w:id="10">
    <w:p w14:paraId="73B97639" w14:textId="121B05F8" w:rsidR="00DF16B8" w:rsidRPr="00A9235E" w:rsidRDefault="00DF16B8" w:rsidP="009049EA">
      <w:pPr>
        <w:pStyle w:val="FootnoteText"/>
        <w:rPr>
          <w:lang w:val="fr-FR"/>
        </w:rPr>
      </w:pPr>
      <w:r>
        <w:rPr>
          <w:rStyle w:val="FootnoteReference"/>
        </w:rPr>
        <w:footnoteRef/>
      </w:r>
      <w:r w:rsidRPr="00A9235E">
        <w:rPr>
          <w:lang w:val="fr-FR"/>
        </w:rPr>
        <w:t xml:space="preserve"> </w:t>
      </w:r>
      <w:r w:rsidR="00A9235E" w:rsidRPr="00A9235E">
        <w:rPr>
          <w:lang w:val="fr-FR"/>
        </w:rPr>
        <w:t>Voir</w:t>
      </w:r>
      <w:r w:rsidRPr="00A9235E">
        <w:rPr>
          <w:lang w:val="fr-FR"/>
        </w:rPr>
        <w:t xml:space="preserve"> </w:t>
      </w:r>
      <w:hyperlink r:id="rId5" w:history="1">
        <w:r w:rsidRPr="00A9235E">
          <w:rPr>
            <w:rStyle w:val="Hyperlink"/>
            <w:lang w:val="fr-FR"/>
          </w:rPr>
          <w:t>https://www.cbd.int/doc/c/80</w:t>
        </w:r>
        <w:r w:rsidRPr="00A9235E">
          <w:rPr>
            <w:rStyle w:val="Hyperlink"/>
            <w:lang w:val="fr-FR"/>
          </w:rPr>
          <w:t>9</w:t>
        </w:r>
        <w:r w:rsidRPr="00A9235E">
          <w:rPr>
            <w:rStyle w:val="Hyperlink"/>
            <w:lang w:val="fr-FR"/>
          </w:rPr>
          <w:t>7/1f19/e37995d6157e799d83afa77a/cop-16-inf-13-en.pdf</w:t>
        </w:r>
      </w:hyperlink>
      <w:r w:rsidRPr="00A9235E">
        <w:rPr>
          <w:lang w:val="fr-FR"/>
        </w:rPr>
        <w:t xml:space="preserve">. </w:t>
      </w:r>
    </w:p>
  </w:footnote>
  <w:footnote w:id="11">
    <w:p w14:paraId="16728DEA" w14:textId="5993E60D" w:rsidR="00DF16B8" w:rsidRPr="0073229A" w:rsidRDefault="00DF16B8">
      <w:pPr>
        <w:pStyle w:val="FootnoteText"/>
        <w:rPr>
          <w:lang w:val="fr-FR"/>
        </w:rPr>
      </w:pPr>
      <w:r w:rsidRPr="009E2587">
        <w:rPr>
          <w:rStyle w:val="FootnoteReference"/>
        </w:rPr>
        <w:footnoteRef/>
      </w:r>
      <w:r w:rsidRPr="009E2587">
        <w:rPr>
          <w:lang w:val="fr-FR"/>
        </w:rPr>
        <w:t xml:space="preserve"> </w:t>
      </w:r>
      <w:r w:rsidR="00630F8A" w:rsidRPr="009E2587">
        <w:rPr>
          <w:lang w:val="fr-FR"/>
        </w:rPr>
        <w:t>Voir aussi</w:t>
      </w:r>
      <w:r w:rsidRPr="009E2587">
        <w:rPr>
          <w:lang w:val="fr-FR"/>
        </w:rPr>
        <w:t xml:space="preserve"> document </w:t>
      </w:r>
      <w:r w:rsidRPr="009E2587">
        <w:rPr>
          <w:rFonts w:cstheme="minorHAnsi"/>
          <w:lang w:val="fr-FR" w:eastAsia="fr-FR"/>
        </w:rPr>
        <w:t xml:space="preserve">COP15 Doc.12 </w:t>
      </w:r>
      <w:r w:rsidR="0073229A" w:rsidRPr="009E2587">
        <w:rPr>
          <w:rFonts w:cstheme="minorHAnsi"/>
          <w:bCs/>
          <w:i/>
          <w:iCs/>
          <w:lang w:val="fr-FR" w:eastAsia="fr-FR"/>
        </w:rPr>
        <w:t>Rapport du Secrétariat sur les Initiatives régionales Ramsar</w:t>
      </w:r>
      <w:r w:rsidR="0073229A" w:rsidRPr="009E2587">
        <w:rPr>
          <w:rFonts w:cstheme="minorHAnsi"/>
          <w:i/>
          <w:iCs/>
          <w:lang w:val="fr-FR" w:eastAsia="fr-FR"/>
        </w:rPr>
        <w:t xml:space="preserve"> </w:t>
      </w:r>
      <w:r w:rsidR="0073229A" w:rsidRPr="009E2587">
        <w:rPr>
          <w:rFonts w:cstheme="minorHAnsi"/>
          <w:lang w:val="fr-FR" w:eastAsia="fr-FR"/>
        </w:rPr>
        <w:t>à l’adresse</w:t>
      </w:r>
      <w:r w:rsidRPr="009E2587">
        <w:rPr>
          <w:rFonts w:cstheme="minorHAnsi"/>
          <w:lang w:val="fr-FR" w:eastAsia="fr-FR"/>
        </w:rPr>
        <w:t xml:space="preserve"> </w:t>
      </w:r>
      <w:hyperlink r:id="rId6" w:history="1">
        <w:r w:rsidR="00E23A98" w:rsidRPr="00222477">
          <w:rPr>
            <w:rStyle w:val="Hyperlink"/>
            <w:lang w:val="fr-FR"/>
          </w:rPr>
          <w:t>https://www.ramsar.org/fr/document/cop15-doc12-rapport-du-secretariat-sur-les-initiatives-regionales-ramsar</w:t>
        </w:r>
      </w:hyperlink>
      <w:r w:rsidRPr="0073229A">
        <w:rPr>
          <w:rFonts w:cstheme="minorHAnsi"/>
          <w:lang w:val="fr-FR" w:eastAsia="fr-FR"/>
        </w:rPr>
        <w:t>.</w:t>
      </w:r>
    </w:p>
  </w:footnote>
  <w:footnote w:id="12">
    <w:p w14:paraId="5E812C8E" w14:textId="5089D3A2" w:rsidR="00DF16B8" w:rsidRPr="00831E96" w:rsidRDefault="00DF16B8">
      <w:pPr>
        <w:pStyle w:val="FootnoteText"/>
        <w:rPr>
          <w:lang w:val="fr-FR"/>
        </w:rPr>
      </w:pPr>
      <w:r w:rsidRPr="00831E96">
        <w:rPr>
          <w:rStyle w:val="FootnoteReference"/>
        </w:rPr>
        <w:footnoteRef/>
      </w:r>
      <w:r w:rsidRPr="00831E96">
        <w:rPr>
          <w:lang w:val="fr-FR"/>
        </w:rPr>
        <w:t xml:space="preserve"> </w:t>
      </w:r>
      <w:r w:rsidR="005B427E" w:rsidRPr="00831E96">
        <w:rPr>
          <w:lang w:val="fr-FR"/>
        </w:rPr>
        <w:t>Voir</w:t>
      </w:r>
      <w:r w:rsidRPr="00831E96">
        <w:rPr>
          <w:lang w:val="fr-FR"/>
        </w:rPr>
        <w:t xml:space="preserve"> </w:t>
      </w:r>
      <w:hyperlink r:id="rId7" w:history="1">
        <w:r w:rsidR="006C0C53" w:rsidRPr="00222477">
          <w:rPr>
            <w:rStyle w:val="Hyperlink"/>
            <w:lang w:val="fr-FR"/>
          </w:rPr>
          <w:t>https://www.ramsar.org/fr/document/orientations-sur-lintegration-des-questions-de-genre-dans-le-contexte-de-la-convention-de</w:t>
        </w:r>
      </w:hyperlink>
      <w:r w:rsidRPr="00831E96">
        <w:rPr>
          <w:lang w:val="fr-FR"/>
        </w:rPr>
        <w:t>.</w:t>
      </w:r>
    </w:p>
  </w:footnote>
  <w:footnote w:id="13">
    <w:p w14:paraId="25B3DF23" w14:textId="03789756" w:rsidR="00DF16B8" w:rsidRPr="00DB285D" w:rsidRDefault="00DF16B8">
      <w:pPr>
        <w:pStyle w:val="FootnoteText"/>
        <w:rPr>
          <w:lang w:val="fr-FR"/>
        </w:rPr>
      </w:pPr>
      <w:r w:rsidRPr="00831E96">
        <w:rPr>
          <w:rStyle w:val="FootnoteReference"/>
        </w:rPr>
        <w:footnoteRef/>
      </w:r>
      <w:r w:rsidRPr="00831E96">
        <w:rPr>
          <w:lang w:val="fr-FR"/>
        </w:rPr>
        <w:t xml:space="preserve"> </w:t>
      </w:r>
      <w:r w:rsidR="00DB285D" w:rsidRPr="00831E96">
        <w:rPr>
          <w:lang w:val="fr-FR"/>
        </w:rPr>
        <w:t>Pour d’autres i</w:t>
      </w:r>
      <w:r w:rsidRPr="00831E96">
        <w:rPr>
          <w:lang w:val="fr-FR"/>
        </w:rPr>
        <w:t>nformation</w:t>
      </w:r>
      <w:r w:rsidR="00DB285D" w:rsidRPr="00831E96">
        <w:rPr>
          <w:lang w:val="fr-FR"/>
        </w:rPr>
        <w:t>s</w:t>
      </w:r>
      <w:r w:rsidR="00291776" w:rsidRPr="00831E96">
        <w:rPr>
          <w:lang w:val="fr-FR"/>
        </w:rPr>
        <w:t>,</w:t>
      </w:r>
      <w:r w:rsidRPr="00831E96">
        <w:rPr>
          <w:lang w:val="fr-FR"/>
        </w:rPr>
        <w:t xml:space="preserve"> </w:t>
      </w:r>
      <w:r w:rsidR="00DB285D" w:rsidRPr="00831E96">
        <w:rPr>
          <w:lang w:val="fr-FR"/>
        </w:rPr>
        <w:t>voir le</w:t>
      </w:r>
      <w:r w:rsidRPr="00831E96">
        <w:rPr>
          <w:lang w:val="fr-FR"/>
        </w:rPr>
        <w:t xml:space="preserve"> </w:t>
      </w:r>
      <w:r w:rsidRPr="00831E96">
        <w:rPr>
          <w:rFonts w:cstheme="minorHAnsi"/>
          <w:lang w:val="fr-FR" w:eastAsia="fr-FR"/>
        </w:rPr>
        <w:t xml:space="preserve">document COP15 Doc.8.2 </w:t>
      </w:r>
      <w:r w:rsidR="00DB285D" w:rsidRPr="00831E96">
        <w:rPr>
          <w:rFonts w:cstheme="minorHAnsi"/>
          <w:bCs/>
          <w:i/>
          <w:iCs/>
          <w:lang w:val="fr-CH" w:eastAsia="fr-FR"/>
        </w:rPr>
        <w:t>Rapport de la Secrétaire générale sur l’application de la Convention </w:t>
      </w:r>
      <w:r w:rsidRPr="00831E96">
        <w:rPr>
          <w:rFonts w:cstheme="minorHAnsi"/>
          <w:i/>
          <w:iCs/>
          <w:lang w:val="fr-FR" w:eastAsia="fr-FR"/>
        </w:rPr>
        <w:t xml:space="preserve">: </w:t>
      </w:r>
      <w:r w:rsidR="00DB285D" w:rsidRPr="00831E96">
        <w:rPr>
          <w:rFonts w:cstheme="minorHAnsi"/>
          <w:i/>
          <w:iCs/>
          <w:lang w:val="fr-FR" w:eastAsia="fr-FR"/>
        </w:rPr>
        <w:t>Travaux du Secrétariat</w:t>
      </w:r>
      <w:r w:rsidRPr="00831E96">
        <w:rPr>
          <w:rFonts w:cstheme="minorHAnsi"/>
          <w:lang w:val="fr-FR" w:eastAsia="fr-FR"/>
        </w:rPr>
        <w:t xml:space="preserve"> </w:t>
      </w:r>
      <w:r w:rsidR="00DB285D" w:rsidRPr="00831E96">
        <w:rPr>
          <w:rFonts w:cstheme="minorHAnsi"/>
          <w:lang w:val="fr-FR" w:eastAsia="fr-FR"/>
        </w:rPr>
        <w:t>à l’adresse</w:t>
      </w:r>
      <w:r w:rsidRPr="00831E96">
        <w:rPr>
          <w:rFonts w:cstheme="minorHAnsi"/>
          <w:lang w:val="fr-FR" w:eastAsia="fr-FR"/>
        </w:rPr>
        <w:t xml:space="preserve"> </w:t>
      </w:r>
      <w:hyperlink r:id="rId8" w:history="1">
        <w:r w:rsidR="006C0C53" w:rsidRPr="00222477">
          <w:rPr>
            <w:rStyle w:val="Hyperlink"/>
            <w:lang w:val="fr-FR"/>
          </w:rPr>
          <w:t>https://www.ramsar.org/fr/document/cop15-doc82-rapport-de-la-secretaire-generale-sur-lapplication-de-la-convention-travaux-du</w:t>
        </w:r>
      </w:hyperlink>
      <w:r w:rsidRPr="00DB285D">
        <w:rPr>
          <w:rFonts w:cstheme="minorHAnsi"/>
          <w:lang w:val="fr-FR"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76"/>
    <w:multiLevelType w:val="multilevel"/>
    <w:tmpl w:val="86D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95"/>
    <w:multiLevelType w:val="multilevel"/>
    <w:tmpl w:val="090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6CDE"/>
    <w:multiLevelType w:val="multilevel"/>
    <w:tmpl w:val="BCE6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14C3B"/>
    <w:multiLevelType w:val="multilevel"/>
    <w:tmpl w:val="6B5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E7008"/>
    <w:multiLevelType w:val="hybridMultilevel"/>
    <w:tmpl w:val="70AAC75A"/>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D0892"/>
    <w:multiLevelType w:val="hybridMultilevel"/>
    <w:tmpl w:val="06C8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44507"/>
    <w:multiLevelType w:val="multilevel"/>
    <w:tmpl w:val="DD2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D2E7F"/>
    <w:multiLevelType w:val="hybridMultilevel"/>
    <w:tmpl w:val="FE86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4703C"/>
    <w:multiLevelType w:val="multilevel"/>
    <w:tmpl w:val="1EF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24AE"/>
    <w:multiLevelType w:val="multilevel"/>
    <w:tmpl w:val="AC9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3234F"/>
    <w:multiLevelType w:val="multilevel"/>
    <w:tmpl w:val="8E4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91E99"/>
    <w:multiLevelType w:val="multilevel"/>
    <w:tmpl w:val="2D50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02AD2"/>
    <w:multiLevelType w:val="multilevel"/>
    <w:tmpl w:val="FD1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606CD"/>
    <w:multiLevelType w:val="multilevel"/>
    <w:tmpl w:val="4D3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35E81"/>
    <w:multiLevelType w:val="multilevel"/>
    <w:tmpl w:val="8F3A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0221B"/>
    <w:multiLevelType w:val="multilevel"/>
    <w:tmpl w:val="2B3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D4B09"/>
    <w:multiLevelType w:val="multilevel"/>
    <w:tmpl w:val="CACE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553F9"/>
    <w:multiLevelType w:val="multilevel"/>
    <w:tmpl w:val="750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0A6453"/>
    <w:multiLevelType w:val="multilevel"/>
    <w:tmpl w:val="4538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F6AC2"/>
    <w:multiLevelType w:val="multilevel"/>
    <w:tmpl w:val="B30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1640B3"/>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2" w15:restartNumberingAfterBreak="0">
    <w:nsid w:val="1B3B6C3C"/>
    <w:multiLevelType w:val="hybridMultilevel"/>
    <w:tmpl w:val="EC2AC95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C1ABD"/>
    <w:multiLevelType w:val="multilevel"/>
    <w:tmpl w:val="0AD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B765E"/>
    <w:multiLevelType w:val="multilevel"/>
    <w:tmpl w:val="75DE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A3E2B"/>
    <w:multiLevelType w:val="hybridMultilevel"/>
    <w:tmpl w:val="4DC4BD04"/>
    <w:lvl w:ilvl="0" w:tplc="A85A16F4">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9D343A"/>
    <w:multiLevelType w:val="multilevel"/>
    <w:tmpl w:val="8EFCEFF2"/>
    <w:lvl w:ilvl="0">
      <w:start w:val="1"/>
      <w:numFmt w:val="lowerLetter"/>
      <w:lvlText w:val="(%1)"/>
      <w:lvlJc w:val="left"/>
      <w:pPr>
        <w:tabs>
          <w:tab w:val="left" w:pos="720"/>
        </w:tabs>
        <w:ind w:left="720" w:hanging="360"/>
      </w:pPr>
      <w:rPr>
        <w:rFonts w:asciiTheme="minorHAnsi" w:eastAsia="Times New Roman" w:hAnsiTheme="minorHAnsi" w:cstheme="minorHAnsi"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1FD7411A"/>
    <w:multiLevelType w:val="multilevel"/>
    <w:tmpl w:val="9C3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13B66"/>
    <w:multiLevelType w:val="multilevel"/>
    <w:tmpl w:val="0256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2C4E90"/>
    <w:multiLevelType w:val="hybridMultilevel"/>
    <w:tmpl w:val="78C8FB5E"/>
    <w:lvl w:ilvl="0" w:tplc="625CC0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503772"/>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1" w15:restartNumberingAfterBreak="0">
    <w:nsid w:val="22024E3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2" w15:restartNumberingAfterBreak="0">
    <w:nsid w:val="22BB0B50"/>
    <w:multiLevelType w:val="multilevel"/>
    <w:tmpl w:val="7CC2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93704F"/>
    <w:multiLevelType w:val="multilevel"/>
    <w:tmpl w:val="98C2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4410B"/>
    <w:multiLevelType w:val="multilevel"/>
    <w:tmpl w:val="13D2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7B436B"/>
    <w:multiLevelType w:val="hybridMultilevel"/>
    <w:tmpl w:val="4CB4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BA341D"/>
    <w:multiLevelType w:val="multilevel"/>
    <w:tmpl w:val="FB4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A25FCD"/>
    <w:multiLevelType w:val="multilevel"/>
    <w:tmpl w:val="EF9A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C345D0"/>
    <w:multiLevelType w:val="multilevel"/>
    <w:tmpl w:val="FBB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EB7039"/>
    <w:multiLevelType w:val="multilevel"/>
    <w:tmpl w:val="F2A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F7127"/>
    <w:multiLevelType w:val="hybridMultilevel"/>
    <w:tmpl w:val="73FCEB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4F5770"/>
    <w:multiLevelType w:val="multilevel"/>
    <w:tmpl w:val="3B7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ED7849"/>
    <w:multiLevelType w:val="multilevel"/>
    <w:tmpl w:val="A4E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825ADF"/>
    <w:multiLevelType w:val="multilevel"/>
    <w:tmpl w:val="EEF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F75FE5"/>
    <w:multiLevelType w:val="multilevel"/>
    <w:tmpl w:val="4AC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58426A"/>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6" w15:restartNumberingAfterBreak="0">
    <w:nsid w:val="2D7654AE"/>
    <w:multiLevelType w:val="multilevel"/>
    <w:tmpl w:val="9AB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DF3011"/>
    <w:multiLevelType w:val="multilevel"/>
    <w:tmpl w:val="659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0E3E78"/>
    <w:multiLevelType w:val="multilevel"/>
    <w:tmpl w:val="9BCA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B53EED"/>
    <w:multiLevelType w:val="multilevel"/>
    <w:tmpl w:val="740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DE6ADF"/>
    <w:multiLevelType w:val="hybridMultilevel"/>
    <w:tmpl w:val="37DAFD5C"/>
    <w:lvl w:ilvl="0" w:tplc="08090001">
      <w:start w:val="1"/>
      <w:numFmt w:val="bullet"/>
      <w:lvlText w:val=""/>
      <w:lvlJc w:val="left"/>
      <w:pPr>
        <w:ind w:left="720" w:hanging="360"/>
      </w:pPr>
      <w:rPr>
        <w:rFonts w:ascii="Symbol" w:hAnsi="Symbol" w:hint="default"/>
      </w:rPr>
    </w:lvl>
    <w:lvl w:ilvl="1" w:tplc="514E6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CC64F4"/>
    <w:multiLevelType w:val="multilevel"/>
    <w:tmpl w:val="68B2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1B079D"/>
    <w:multiLevelType w:val="multilevel"/>
    <w:tmpl w:val="A02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EB2540"/>
    <w:multiLevelType w:val="hybridMultilevel"/>
    <w:tmpl w:val="823A8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E27D80"/>
    <w:multiLevelType w:val="multilevel"/>
    <w:tmpl w:val="F69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565B73"/>
    <w:multiLevelType w:val="hybridMultilevel"/>
    <w:tmpl w:val="50F66718"/>
    <w:lvl w:ilvl="0" w:tplc="A5FE74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3638E7"/>
    <w:multiLevelType w:val="multilevel"/>
    <w:tmpl w:val="5D3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B82F19"/>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58" w15:restartNumberingAfterBreak="0">
    <w:nsid w:val="3F491A6F"/>
    <w:multiLevelType w:val="multilevel"/>
    <w:tmpl w:val="AC62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750B0F"/>
    <w:multiLevelType w:val="hybridMultilevel"/>
    <w:tmpl w:val="873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802C4D"/>
    <w:multiLevelType w:val="hybridMultilevel"/>
    <w:tmpl w:val="8A1A9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D139D2"/>
    <w:multiLevelType w:val="multilevel"/>
    <w:tmpl w:val="FD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E6F7A"/>
    <w:multiLevelType w:val="hybridMultilevel"/>
    <w:tmpl w:val="DEEC9CC8"/>
    <w:lvl w:ilvl="0" w:tplc="86A61458">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32F3616"/>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64" w15:restartNumberingAfterBreak="0">
    <w:nsid w:val="43803E39"/>
    <w:multiLevelType w:val="multilevel"/>
    <w:tmpl w:val="A68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DB3FFB"/>
    <w:multiLevelType w:val="multilevel"/>
    <w:tmpl w:val="842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4B023D"/>
    <w:multiLevelType w:val="hybridMultilevel"/>
    <w:tmpl w:val="84B0D0EE"/>
    <w:lvl w:ilvl="0" w:tplc="E65E1FC6">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B333CF"/>
    <w:multiLevelType w:val="hybridMultilevel"/>
    <w:tmpl w:val="076E6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88E2C18"/>
    <w:multiLevelType w:val="multilevel"/>
    <w:tmpl w:val="A61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700DA3"/>
    <w:multiLevelType w:val="multilevel"/>
    <w:tmpl w:val="D1B83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D11C63"/>
    <w:multiLevelType w:val="multilevel"/>
    <w:tmpl w:val="7ED4EC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3E3DAB"/>
    <w:multiLevelType w:val="hybridMultilevel"/>
    <w:tmpl w:val="C97AC84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CAE7E9A"/>
    <w:multiLevelType w:val="hybridMultilevel"/>
    <w:tmpl w:val="4300A9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EDC07F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4" w15:restartNumberingAfterBreak="0">
    <w:nsid w:val="50F209ED"/>
    <w:multiLevelType w:val="multilevel"/>
    <w:tmpl w:val="D38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4865BC"/>
    <w:multiLevelType w:val="multilevel"/>
    <w:tmpl w:val="71E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5A77C9"/>
    <w:multiLevelType w:val="hybridMultilevel"/>
    <w:tmpl w:val="47B416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36924E9"/>
    <w:multiLevelType w:val="multilevel"/>
    <w:tmpl w:val="65E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B21200"/>
    <w:multiLevelType w:val="multilevel"/>
    <w:tmpl w:val="65A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2C533B"/>
    <w:multiLevelType w:val="hybridMultilevel"/>
    <w:tmpl w:val="9418E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7CF5ACA"/>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B010A7"/>
    <w:multiLevelType w:val="multilevel"/>
    <w:tmpl w:val="340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2911C1"/>
    <w:multiLevelType w:val="hybridMultilevel"/>
    <w:tmpl w:val="9FD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896E64"/>
    <w:multiLevelType w:val="hybridMultilevel"/>
    <w:tmpl w:val="EC2AC958"/>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EB34B75"/>
    <w:multiLevelType w:val="hybridMultilevel"/>
    <w:tmpl w:val="DCA09B00"/>
    <w:lvl w:ilvl="0" w:tplc="08090001">
      <w:start w:val="1"/>
      <w:numFmt w:val="bullet"/>
      <w:lvlText w:val=""/>
      <w:lvlJc w:val="left"/>
      <w:pPr>
        <w:ind w:left="36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EB457FF"/>
    <w:multiLevelType w:val="hybridMultilevel"/>
    <w:tmpl w:val="1632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BB4E2A"/>
    <w:multiLevelType w:val="multilevel"/>
    <w:tmpl w:val="B17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770A06"/>
    <w:multiLevelType w:val="multilevel"/>
    <w:tmpl w:val="60BC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B925C5"/>
    <w:multiLevelType w:val="multilevel"/>
    <w:tmpl w:val="7E0C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B26F7A"/>
    <w:multiLevelType w:val="hybridMultilevel"/>
    <w:tmpl w:val="D9C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0963AF"/>
    <w:multiLevelType w:val="multilevel"/>
    <w:tmpl w:val="DE7A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E55D5E"/>
    <w:multiLevelType w:val="multilevel"/>
    <w:tmpl w:val="1BE44F42"/>
    <w:numStyleLink w:val="Style1"/>
  </w:abstractNum>
  <w:abstractNum w:abstractNumId="92" w15:restartNumberingAfterBreak="0">
    <w:nsid w:val="66355740"/>
    <w:multiLevelType w:val="multilevel"/>
    <w:tmpl w:val="14B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A426E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4" w15:restartNumberingAfterBreak="0">
    <w:nsid w:val="6B2248ED"/>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5" w15:restartNumberingAfterBreak="0">
    <w:nsid w:val="6B574370"/>
    <w:multiLevelType w:val="multilevel"/>
    <w:tmpl w:val="E8E6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C11944"/>
    <w:multiLevelType w:val="multilevel"/>
    <w:tmpl w:val="D75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6869BE"/>
    <w:multiLevelType w:val="multilevel"/>
    <w:tmpl w:val="D31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70EB390A"/>
    <w:multiLevelType w:val="multilevel"/>
    <w:tmpl w:val="E4F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893E00"/>
    <w:multiLevelType w:val="multilevel"/>
    <w:tmpl w:val="ADD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C84307"/>
    <w:multiLevelType w:val="multilevel"/>
    <w:tmpl w:val="320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652BE"/>
    <w:multiLevelType w:val="multilevel"/>
    <w:tmpl w:val="FC7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37AC8"/>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04" w15:restartNumberingAfterBreak="0">
    <w:nsid w:val="73666978"/>
    <w:multiLevelType w:val="multilevel"/>
    <w:tmpl w:val="C6C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677E3E"/>
    <w:multiLevelType w:val="multilevel"/>
    <w:tmpl w:val="BC3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687DFD"/>
    <w:multiLevelType w:val="multilevel"/>
    <w:tmpl w:val="5650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240832"/>
    <w:multiLevelType w:val="hybridMultilevel"/>
    <w:tmpl w:val="1ED2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892F38"/>
    <w:multiLevelType w:val="multilevel"/>
    <w:tmpl w:val="707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5969D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10" w15:restartNumberingAfterBreak="0">
    <w:nsid w:val="77A30C8F"/>
    <w:multiLevelType w:val="multilevel"/>
    <w:tmpl w:val="1BE44F42"/>
    <w:styleLink w:val="Style1"/>
    <w:lvl w:ilvl="0">
      <w:start w:val="1"/>
      <w:numFmt w:val="decimal"/>
      <w:lvlText w:val="%1."/>
      <w:lvlJc w:val="left"/>
      <w:pPr>
        <w:ind w:left="720" w:hanging="360"/>
      </w:pPr>
      <w:rPr>
        <w:rFonts w:ascii="Calibri" w:eastAsia="Calibri" w:hAnsi="Calibri" w:cs="Calibr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AE745E"/>
    <w:multiLevelType w:val="multilevel"/>
    <w:tmpl w:val="23D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F82207"/>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92F4846"/>
    <w:multiLevelType w:val="hybridMultilevel"/>
    <w:tmpl w:val="F4445E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79AE56B1"/>
    <w:multiLevelType w:val="hybridMultilevel"/>
    <w:tmpl w:val="1BE44F42"/>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BF952C0"/>
    <w:multiLevelType w:val="multilevel"/>
    <w:tmpl w:val="AA8C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B91DFC"/>
    <w:multiLevelType w:val="multilevel"/>
    <w:tmpl w:val="0ABC4D0C"/>
    <w:lvl w:ilvl="0">
      <w:start w:val="1"/>
      <w:numFmt w:val="bullet"/>
      <w:lvlText w:val=""/>
      <w:lvlJc w:val="left"/>
      <w:pPr>
        <w:tabs>
          <w:tab w:val="num" w:pos="1154"/>
        </w:tabs>
        <w:ind w:left="1154" w:hanging="360"/>
      </w:pPr>
      <w:rPr>
        <w:rFonts w:ascii="Symbol" w:hAnsi="Symbol" w:hint="default"/>
        <w:sz w:val="20"/>
      </w:rPr>
    </w:lvl>
    <w:lvl w:ilvl="1">
      <w:start w:val="1"/>
      <w:numFmt w:val="bullet"/>
      <w:lvlText w:val=""/>
      <w:lvlJc w:val="left"/>
      <w:pPr>
        <w:ind w:left="1874" w:hanging="360"/>
      </w:pPr>
      <w:rPr>
        <w:rFonts w:ascii="Symbol" w:hAnsi="Symbol" w:hint="default"/>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17" w15:restartNumberingAfterBreak="0">
    <w:nsid w:val="7D0F022D"/>
    <w:multiLevelType w:val="multilevel"/>
    <w:tmpl w:val="4CD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382790"/>
    <w:multiLevelType w:val="hybridMultilevel"/>
    <w:tmpl w:val="5AD87292"/>
    <w:lvl w:ilvl="0" w:tplc="C610EC2E">
      <w:start w:val="2"/>
      <w:numFmt w:val="bullet"/>
      <w:lvlText w:val="-"/>
      <w:lvlJc w:val="left"/>
      <w:pPr>
        <w:ind w:left="360" w:firstLine="0"/>
      </w:pPr>
      <w:rPr>
        <w:rFonts w:asciiTheme="minorHAnsi" w:eastAsia="Times New Roma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7662EF"/>
    <w:multiLevelType w:val="hybridMultilevel"/>
    <w:tmpl w:val="7C2AE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DE51815"/>
    <w:multiLevelType w:val="hybridMultilevel"/>
    <w:tmpl w:val="DE003A6A"/>
    <w:lvl w:ilvl="0" w:tplc="9ECC77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D61618"/>
    <w:multiLevelType w:val="multilevel"/>
    <w:tmpl w:val="901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27403">
    <w:abstractNumId w:val="70"/>
  </w:num>
  <w:num w:numId="2" w16cid:durableId="1481387171">
    <w:abstractNumId w:val="15"/>
  </w:num>
  <w:num w:numId="3" w16cid:durableId="1297221269">
    <w:abstractNumId w:val="6"/>
  </w:num>
  <w:num w:numId="4" w16cid:durableId="759913105">
    <w:abstractNumId w:val="53"/>
  </w:num>
  <w:num w:numId="5" w16cid:durableId="1766882011">
    <w:abstractNumId w:val="60"/>
  </w:num>
  <w:num w:numId="6" w16cid:durableId="1337417759">
    <w:abstractNumId w:val="67"/>
  </w:num>
  <w:num w:numId="7" w16cid:durableId="567959601">
    <w:abstractNumId w:val="85"/>
  </w:num>
  <w:num w:numId="8" w16cid:durableId="2093509231">
    <w:abstractNumId w:val="89"/>
  </w:num>
  <w:num w:numId="9" w16cid:durableId="2017077672">
    <w:abstractNumId w:val="66"/>
  </w:num>
  <w:num w:numId="10" w16cid:durableId="1855341203">
    <w:abstractNumId w:val="119"/>
  </w:num>
  <w:num w:numId="11" w16cid:durableId="793525688">
    <w:abstractNumId w:val="113"/>
  </w:num>
  <w:num w:numId="12" w16cid:durableId="1362314765">
    <w:abstractNumId w:val="102"/>
  </w:num>
  <w:num w:numId="13" w16cid:durableId="1956790534">
    <w:abstractNumId w:val="47"/>
  </w:num>
  <w:num w:numId="14" w16cid:durableId="1563716549">
    <w:abstractNumId w:val="33"/>
  </w:num>
  <w:num w:numId="15" w16cid:durableId="1682128072">
    <w:abstractNumId w:val="90"/>
  </w:num>
  <w:num w:numId="16" w16cid:durableId="228999809">
    <w:abstractNumId w:val="97"/>
  </w:num>
  <w:num w:numId="17" w16cid:durableId="1005982398">
    <w:abstractNumId w:val="2"/>
  </w:num>
  <w:num w:numId="18" w16cid:durableId="1486973909">
    <w:abstractNumId w:val="87"/>
  </w:num>
  <w:num w:numId="19" w16cid:durableId="624241262">
    <w:abstractNumId w:val="115"/>
  </w:num>
  <w:num w:numId="20" w16cid:durableId="995570086">
    <w:abstractNumId w:val="37"/>
  </w:num>
  <w:num w:numId="21" w16cid:durableId="851188590">
    <w:abstractNumId w:val="92"/>
  </w:num>
  <w:num w:numId="22" w16cid:durableId="1265110526">
    <w:abstractNumId w:val="74"/>
  </w:num>
  <w:num w:numId="23" w16cid:durableId="1355689643">
    <w:abstractNumId w:val="46"/>
  </w:num>
  <w:num w:numId="24" w16cid:durableId="552543180">
    <w:abstractNumId w:val="68"/>
  </w:num>
  <w:num w:numId="25" w16cid:durableId="1492602205">
    <w:abstractNumId w:val="7"/>
  </w:num>
  <w:num w:numId="26" w16cid:durableId="1519541611">
    <w:abstractNumId w:val="3"/>
  </w:num>
  <w:num w:numId="27" w16cid:durableId="72625548">
    <w:abstractNumId w:val="65"/>
  </w:num>
  <w:num w:numId="28" w16cid:durableId="514463468">
    <w:abstractNumId w:val="17"/>
  </w:num>
  <w:num w:numId="29" w16cid:durableId="1602955402">
    <w:abstractNumId w:val="34"/>
  </w:num>
  <w:num w:numId="30" w16cid:durableId="1893805633">
    <w:abstractNumId w:val="95"/>
  </w:num>
  <w:num w:numId="31" w16cid:durableId="1495216549">
    <w:abstractNumId w:val="54"/>
  </w:num>
  <w:num w:numId="32" w16cid:durableId="370231273">
    <w:abstractNumId w:val="39"/>
  </w:num>
  <w:num w:numId="33" w16cid:durableId="152987810">
    <w:abstractNumId w:val="48"/>
  </w:num>
  <w:num w:numId="34" w16cid:durableId="2040885507">
    <w:abstractNumId w:val="108"/>
  </w:num>
  <w:num w:numId="35" w16cid:durableId="1327171927">
    <w:abstractNumId w:val="100"/>
  </w:num>
  <w:num w:numId="36" w16cid:durableId="827474876">
    <w:abstractNumId w:val="23"/>
  </w:num>
  <w:num w:numId="37" w16cid:durableId="662586624">
    <w:abstractNumId w:val="104"/>
  </w:num>
  <w:num w:numId="38" w16cid:durableId="616255396">
    <w:abstractNumId w:val="61"/>
  </w:num>
  <w:num w:numId="39" w16cid:durableId="479466740">
    <w:abstractNumId w:val="117"/>
  </w:num>
  <w:num w:numId="40" w16cid:durableId="570777687">
    <w:abstractNumId w:val="35"/>
  </w:num>
  <w:num w:numId="41" w16cid:durableId="1410349670">
    <w:abstractNumId w:val="24"/>
  </w:num>
  <w:num w:numId="42" w16cid:durableId="792939320">
    <w:abstractNumId w:val="14"/>
  </w:num>
  <w:num w:numId="43" w16cid:durableId="628898963">
    <w:abstractNumId w:val="50"/>
  </w:num>
  <w:num w:numId="44" w16cid:durableId="457837500">
    <w:abstractNumId w:val="8"/>
  </w:num>
  <w:num w:numId="45" w16cid:durableId="1201938471">
    <w:abstractNumId w:val="32"/>
  </w:num>
  <w:num w:numId="46" w16cid:durableId="294914734">
    <w:abstractNumId w:val="12"/>
  </w:num>
  <w:num w:numId="47" w16cid:durableId="156267161">
    <w:abstractNumId w:val="121"/>
  </w:num>
  <w:num w:numId="48" w16cid:durableId="1510440073">
    <w:abstractNumId w:val="49"/>
  </w:num>
  <w:num w:numId="49" w16cid:durableId="1414811499">
    <w:abstractNumId w:val="101"/>
  </w:num>
  <w:num w:numId="50" w16cid:durableId="1290739485">
    <w:abstractNumId w:val="42"/>
  </w:num>
  <w:num w:numId="51" w16cid:durableId="806778039">
    <w:abstractNumId w:val="18"/>
  </w:num>
  <w:num w:numId="52" w16cid:durableId="1481385003">
    <w:abstractNumId w:val="81"/>
  </w:num>
  <w:num w:numId="53" w16cid:durableId="1781951193">
    <w:abstractNumId w:val="106"/>
  </w:num>
  <w:num w:numId="54" w16cid:durableId="1184175583">
    <w:abstractNumId w:val="36"/>
  </w:num>
  <w:num w:numId="55" w16cid:durableId="245767452">
    <w:abstractNumId w:val="64"/>
  </w:num>
  <w:num w:numId="56" w16cid:durableId="1396587821">
    <w:abstractNumId w:val="86"/>
  </w:num>
  <w:num w:numId="57" w16cid:durableId="1190528968">
    <w:abstractNumId w:val="111"/>
  </w:num>
  <w:num w:numId="58" w16cid:durableId="850536213">
    <w:abstractNumId w:val="78"/>
  </w:num>
  <w:num w:numId="59" w16cid:durableId="846746452">
    <w:abstractNumId w:val="77"/>
  </w:num>
  <w:num w:numId="60" w16cid:durableId="922035602">
    <w:abstractNumId w:val="75"/>
  </w:num>
  <w:num w:numId="61" w16cid:durableId="1834183192">
    <w:abstractNumId w:val="9"/>
  </w:num>
  <w:num w:numId="62" w16cid:durableId="1947498439">
    <w:abstractNumId w:val="19"/>
  </w:num>
  <w:num w:numId="63" w16cid:durableId="1872302507">
    <w:abstractNumId w:val="28"/>
  </w:num>
  <w:num w:numId="64" w16cid:durableId="2046517980">
    <w:abstractNumId w:val="105"/>
  </w:num>
  <w:num w:numId="65" w16cid:durableId="459735632">
    <w:abstractNumId w:val="1"/>
  </w:num>
  <w:num w:numId="66" w16cid:durableId="822937081">
    <w:abstractNumId w:val="13"/>
  </w:num>
  <w:num w:numId="67" w16cid:durableId="527061325">
    <w:abstractNumId w:val="11"/>
  </w:num>
  <w:num w:numId="68" w16cid:durableId="1411389519">
    <w:abstractNumId w:val="51"/>
  </w:num>
  <w:num w:numId="69" w16cid:durableId="1675259794">
    <w:abstractNumId w:val="27"/>
  </w:num>
  <w:num w:numId="70" w16cid:durableId="1479961446">
    <w:abstractNumId w:val="88"/>
  </w:num>
  <w:num w:numId="71" w16cid:durableId="2133010017">
    <w:abstractNumId w:val="69"/>
  </w:num>
  <w:num w:numId="72" w16cid:durableId="1793206835">
    <w:abstractNumId w:val="43"/>
  </w:num>
  <w:num w:numId="73" w16cid:durableId="1934588658">
    <w:abstractNumId w:val="52"/>
  </w:num>
  <w:num w:numId="74" w16cid:durableId="2048676268">
    <w:abstractNumId w:val="26"/>
  </w:num>
  <w:num w:numId="75" w16cid:durableId="1445491681">
    <w:abstractNumId w:val="10"/>
  </w:num>
  <w:num w:numId="76" w16cid:durableId="1670906611">
    <w:abstractNumId w:val="71"/>
  </w:num>
  <w:num w:numId="77" w16cid:durableId="1223367857">
    <w:abstractNumId w:val="59"/>
  </w:num>
  <w:num w:numId="78" w16cid:durableId="1418673939">
    <w:abstractNumId w:val="25"/>
  </w:num>
  <w:num w:numId="79" w16cid:durableId="2100641784">
    <w:abstractNumId w:val="110"/>
  </w:num>
  <w:num w:numId="80" w16cid:durableId="1988632086">
    <w:abstractNumId w:val="91"/>
  </w:num>
  <w:num w:numId="81" w16cid:durableId="483354682">
    <w:abstractNumId w:val="55"/>
  </w:num>
  <w:num w:numId="82" w16cid:durableId="918901152">
    <w:abstractNumId w:val="76"/>
  </w:num>
  <w:num w:numId="83" w16cid:durableId="1195466189">
    <w:abstractNumId w:val="4"/>
  </w:num>
  <w:num w:numId="84" w16cid:durableId="2094279408">
    <w:abstractNumId w:val="98"/>
  </w:num>
  <w:num w:numId="85" w16cid:durableId="1495301059">
    <w:abstractNumId w:val="82"/>
  </w:num>
  <w:num w:numId="86" w16cid:durableId="1335651510">
    <w:abstractNumId w:val="93"/>
  </w:num>
  <w:num w:numId="87" w16cid:durableId="1278562651">
    <w:abstractNumId w:val="114"/>
  </w:num>
  <w:num w:numId="88" w16cid:durableId="698312648">
    <w:abstractNumId w:val="73"/>
  </w:num>
  <w:num w:numId="89" w16cid:durableId="1317690361">
    <w:abstractNumId w:val="45"/>
  </w:num>
  <w:num w:numId="90" w16cid:durableId="1064375156">
    <w:abstractNumId w:val="31"/>
  </w:num>
  <w:num w:numId="91" w16cid:durableId="2017734030">
    <w:abstractNumId w:val="94"/>
  </w:num>
  <w:num w:numId="92" w16cid:durableId="1345789854">
    <w:abstractNumId w:val="62"/>
  </w:num>
  <w:num w:numId="93" w16cid:durableId="844592151">
    <w:abstractNumId w:val="29"/>
  </w:num>
  <w:num w:numId="94" w16cid:durableId="335155655">
    <w:abstractNumId w:val="120"/>
  </w:num>
  <w:num w:numId="95" w16cid:durableId="1562014395">
    <w:abstractNumId w:val="118"/>
  </w:num>
  <w:num w:numId="96" w16cid:durableId="1312364517">
    <w:abstractNumId w:val="103"/>
  </w:num>
  <w:num w:numId="97" w16cid:durableId="1807897297">
    <w:abstractNumId w:val="21"/>
  </w:num>
  <w:num w:numId="98" w16cid:durableId="382218760">
    <w:abstractNumId w:val="109"/>
  </w:num>
  <w:num w:numId="99" w16cid:durableId="64957321">
    <w:abstractNumId w:val="40"/>
  </w:num>
  <w:num w:numId="100" w16cid:durableId="1081758988">
    <w:abstractNumId w:val="22"/>
  </w:num>
  <w:num w:numId="101" w16cid:durableId="1877499973">
    <w:abstractNumId w:val="83"/>
  </w:num>
  <w:num w:numId="102" w16cid:durableId="530916087">
    <w:abstractNumId w:val="72"/>
  </w:num>
  <w:num w:numId="103" w16cid:durableId="1949198123">
    <w:abstractNumId w:val="80"/>
  </w:num>
  <w:num w:numId="104" w16cid:durableId="135220702">
    <w:abstractNumId w:val="112"/>
  </w:num>
  <w:num w:numId="105" w16cid:durableId="2022195771">
    <w:abstractNumId w:val="5"/>
  </w:num>
  <w:num w:numId="106" w16cid:durableId="1471482443">
    <w:abstractNumId w:val="57"/>
  </w:num>
  <w:num w:numId="107" w16cid:durableId="1824158605">
    <w:abstractNumId w:val="30"/>
  </w:num>
  <w:num w:numId="108" w16cid:durableId="641808942">
    <w:abstractNumId w:val="63"/>
  </w:num>
  <w:num w:numId="109" w16cid:durableId="1580670289">
    <w:abstractNumId w:val="58"/>
  </w:num>
  <w:num w:numId="110" w16cid:durableId="432745548">
    <w:abstractNumId w:val="96"/>
  </w:num>
  <w:num w:numId="111" w16cid:durableId="891506117">
    <w:abstractNumId w:val="44"/>
  </w:num>
  <w:num w:numId="112" w16cid:durableId="1883856602">
    <w:abstractNumId w:val="99"/>
  </w:num>
  <w:num w:numId="113" w16cid:durableId="1190141989">
    <w:abstractNumId w:val="16"/>
  </w:num>
  <w:num w:numId="114" w16cid:durableId="455561286">
    <w:abstractNumId w:val="56"/>
  </w:num>
  <w:num w:numId="115" w16cid:durableId="715394287">
    <w:abstractNumId w:val="20"/>
  </w:num>
  <w:num w:numId="116" w16cid:durableId="1042168236">
    <w:abstractNumId w:val="38"/>
  </w:num>
  <w:num w:numId="117" w16cid:durableId="1620141336">
    <w:abstractNumId w:val="0"/>
  </w:num>
  <w:num w:numId="118" w16cid:durableId="2131700656">
    <w:abstractNumId w:val="107"/>
  </w:num>
  <w:num w:numId="119" w16cid:durableId="197789219">
    <w:abstractNumId w:val="79"/>
  </w:num>
  <w:num w:numId="120" w16cid:durableId="1179464907">
    <w:abstractNumId w:val="84"/>
  </w:num>
  <w:num w:numId="121" w16cid:durableId="302121050">
    <w:abstractNumId w:val="116"/>
  </w:num>
  <w:num w:numId="122" w16cid:durableId="872575153">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9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xMDU1MTQ0NzUxMLVU0lEKTi0uzszPAykwNqoFADi1sMYtAAAA"/>
  </w:docVars>
  <w:rsids>
    <w:rsidRoot w:val="003A6671"/>
    <w:rsid w:val="00000EA8"/>
    <w:rsid w:val="0000101E"/>
    <w:rsid w:val="00002AF5"/>
    <w:rsid w:val="00002F08"/>
    <w:rsid w:val="000033B4"/>
    <w:rsid w:val="000037C1"/>
    <w:rsid w:val="00003A42"/>
    <w:rsid w:val="0000401C"/>
    <w:rsid w:val="00004358"/>
    <w:rsid w:val="00004826"/>
    <w:rsid w:val="00004953"/>
    <w:rsid w:val="00004E72"/>
    <w:rsid w:val="000053E9"/>
    <w:rsid w:val="00005658"/>
    <w:rsid w:val="00005B32"/>
    <w:rsid w:val="00005B4E"/>
    <w:rsid w:val="00005CFB"/>
    <w:rsid w:val="00005F95"/>
    <w:rsid w:val="00006151"/>
    <w:rsid w:val="00006BCA"/>
    <w:rsid w:val="00006F12"/>
    <w:rsid w:val="000077E9"/>
    <w:rsid w:val="00007933"/>
    <w:rsid w:val="00007DC5"/>
    <w:rsid w:val="000100D2"/>
    <w:rsid w:val="000102FC"/>
    <w:rsid w:val="000110B8"/>
    <w:rsid w:val="00011357"/>
    <w:rsid w:val="00011556"/>
    <w:rsid w:val="0001164D"/>
    <w:rsid w:val="000116A7"/>
    <w:rsid w:val="0001203C"/>
    <w:rsid w:val="00012398"/>
    <w:rsid w:val="000128AF"/>
    <w:rsid w:val="00012C3F"/>
    <w:rsid w:val="00012F88"/>
    <w:rsid w:val="000137ED"/>
    <w:rsid w:val="00013DC8"/>
    <w:rsid w:val="00013F7D"/>
    <w:rsid w:val="00014294"/>
    <w:rsid w:val="00014398"/>
    <w:rsid w:val="000143C6"/>
    <w:rsid w:val="000143DF"/>
    <w:rsid w:val="000145B1"/>
    <w:rsid w:val="000145B2"/>
    <w:rsid w:val="000145E3"/>
    <w:rsid w:val="0001477F"/>
    <w:rsid w:val="00014AE9"/>
    <w:rsid w:val="00014BBD"/>
    <w:rsid w:val="00014F64"/>
    <w:rsid w:val="000150E9"/>
    <w:rsid w:val="00015140"/>
    <w:rsid w:val="000151EB"/>
    <w:rsid w:val="000153BB"/>
    <w:rsid w:val="000153CA"/>
    <w:rsid w:val="0001547D"/>
    <w:rsid w:val="0001560A"/>
    <w:rsid w:val="00015705"/>
    <w:rsid w:val="00016373"/>
    <w:rsid w:val="00017534"/>
    <w:rsid w:val="00017760"/>
    <w:rsid w:val="00017C36"/>
    <w:rsid w:val="00017E4E"/>
    <w:rsid w:val="00017FFA"/>
    <w:rsid w:val="0002012B"/>
    <w:rsid w:val="00020AAB"/>
    <w:rsid w:val="000210F0"/>
    <w:rsid w:val="000213EA"/>
    <w:rsid w:val="00021874"/>
    <w:rsid w:val="00021D83"/>
    <w:rsid w:val="00021D88"/>
    <w:rsid w:val="00021F70"/>
    <w:rsid w:val="000226CC"/>
    <w:rsid w:val="000228B4"/>
    <w:rsid w:val="000233B5"/>
    <w:rsid w:val="00024353"/>
    <w:rsid w:val="00024B5C"/>
    <w:rsid w:val="00024D91"/>
    <w:rsid w:val="000251DF"/>
    <w:rsid w:val="00025814"/>
    <w:rsid w:val="000264E0"/>
    <w:rsid w:val="00026992"/>
    <w:rsid w:val="00026E84"/>
    <w:rsid w:val="0002725F"/>
    <w:rsid w:val="0003051A"/>
    <w:rsid w:val="00030905"/>
    <w:rsid w:val="00030AB5"/>
    <w:rsid w:val="00030C99"/>
    <w:rsid w:val="00030CD7"/>
    <w:rsid w:val="0003198E"/>
    <w:rsid w:val="000327CE"/>
    <w:rsid w:val="00033D4D"/>
    <w:rsid w:val="000344B7"/>
    <w:rsid w:val="000345D0"/>
    <w:rsid w:val="00034D08"/>
    <w:rsid w:val="000351CA"/>
    <w:rsid w:val="000357A0"/>
    <w:rsid w:val="00035BA6"/>
    <w:rsid w:val="00036562"/>
    <w:rsid w:val="00037E37"/>
    <w:rsid w:val="00040101"/>
    <w:rsid w:val="0004011D"/>
    <w:rsid w:val="00040FE1"/>
    <w:rsid w:val="00041012"/>
    <w:rsid w:val="0004235D"/>
    <w:rsid w:val="00042988"/>
    <w:rsid w:val="00043572"/>
    <w:rsid w:val="00044199"/>
    <w:rsid w:val="00044B5F"/>
    <w:rsid w:val="00046148"/>
    <w:rsid w:val="00046272"/>
    <w:rsid w:val="00046875"/>
    <w:rsid w:val="000469E8"/>
    <w:rsid w:val="00046A38"/>
    <w:rsid w:val="00047B94"/>
    <w:rsid w:val="0005037C"/>
    <w:rsid w:val="00050499"/>
    <w:rsid w:val="00050E3B"/>
    <w:rsid w:val="00050E4C"/>
    <w:rsid w:val="000515F8"/>
    <w:rsid w:val="00051C91"/>
    <w:rsid w:val="00052161"/>
    <w:rsid w:val="0005281C"/>
    <w:rsid w:val="00052FF6"/>
    <w:rsid w:val="000530A1"/>
    <w:rsid w:val="0005462E"/>
    <w:rsid w:val="00054801"/>
    <w:rsid w:val="000549D5"/>
    <w:rsid w:val="00054DC8"/>
    <w:rsid w:val="000557DA"/>
    <w:rsid w:val="00055FD4"/>
    <w:rsid w:val="000568AA"/>
    <w:rsid w:val="00056CD0"/>
    <w:rsid w:val="00057279"/>
    <w:rsid w:val="000573CE"/>
    <w:rsid w:val="000576DA"/>
    <w:rsid w:val="00060135"/>
    <w:rsid w:val="000603BF"/>
    <w:rsid w:val="00060DDA"/>
    <w:rsid w:val="00063314"/>
    <w:rsid w:val="00063CA6"/>
    <w:rsid w:val="000658B5"/>
    <w:rsid w:val="00065E31"/>
    <w:rsid w:val="000661AE"/>
    <w:rsid w:val="0006686D"/>
    <w:rsid w:val="00066C84"/>
    <w:rsid w:val="0006734B"/>
    <w:rsid w:val="000703D9"/>
    <w:rsid w:val="00070705"/>
    <w:rsid w:val="000708BA"/>
    <w:rsid w:val="00070A15"/>
    <w:rsid w:val="00070EE5"/>
    <w:rsid w:val="0007102C"/>
    <w:rsid w:val="00071CF6"/>
    <w:rsid w:val="000729A9"/>
    <w:rsid w:val="000729C0"/>
    <w:rsid w:val="00072EE5"/>
    <w:rsid w:val="000741C6"/>
    <w:rsid w:val="0007436D"/>
    <w:rsid w:val="0007459B"/>
    <w:rsid w:val="00074AB9"/>
    <w:rsid w:val="000753A8"/>
    <w:rsid w:val="000753B8"/>
    <w:rsid w:val="000754B1"/>
    <w:rsid w:val="0007590A"/>
    <w:rsid w:val="0007599D"/>
    <w:rsid w:val="00075DE5"/>
    <w:rsid w:val="00076158"/>
    <w:rsid w:val="00076226"/>
    <w:rsid w:val="000765FE"/>
    <w:rsid w:val="00076641"/>
    <w:rsid w:val="00076741"/>
    <w:rsid w:val="00076B0D"/>
    <w:rsid w:val="00076B9C"/>
    <w:rsid w:val="00076F64"/>
    <w:rsid w:val="00077D3A"/>
    <w:rsid w:val="00080FC0"/>
    <w:rsid w:val="000816C7"/>
    <w:rsid w:val="00081B64"/>
    <w:rsid w:val="00081D99"/>
    <w:rsid w:val="00082760"/>
    <w:rsid w:val="000828A9"/>
    <w:rsid w:val="00084134"/>
    <w:rsid w:val="000843AF"/>
    <w:rsid w:val="00084492"/>
    <w:rsid w:val="00084AA1"/>
    <w:rsid w:val="00085934"/>
    <w:rsid w:val="00085A8E"/>
    <w:rsid w:val="00086102"/>
    <w:rsid w:val="00086277"/>
    <w:rsid w:val="00086584"/>
    <w:rsid w:val="000867F8"/>
    <w:rsid w:val="00087E05"/>
    <w:rsid w:val="00090DE0"/>
    <w:rsid w:val="000911D9"/>
    <w:rsid w:val="000919FB"/>
    <w:rsid w:val="00092165"/>
    <w:rsid w:val="000928D9"/>
    <w:rsid w:val="000934E4"/>
    <w:rsid w:val="000935AE"/>
    <w:rsid w:val="000936DE"/>
    <w:rsid w:val="00093B1D"/>
    <w:rsid w:val="00093D0F"/>
    <w:rsid w:val="00093D45"/>
    <w:rsid w:val="000944F7"/>
    <w:rsid w:val="00094CB7"/>
    <w:rsid w:val="00095443"/>
    <w:rsid w:val="000961D2"/>
    <w:rsid w:val="0009622F"/>
    <w:rsid w:val="0009645F"/>
    <w:rsid w:val="000965C8"/>
    <w:rsid w:val="00096F5C"/>
    <w:rsid w:val="000973CC"/>
    <w:rsid w:val="00097EC7"/>
    <w:rsid w:val="000A13FE"/>
    <w:rsid w:val="000A153E"/>
    <w:rsid w:val="000A1A49"/>
    <w:rsid w:val="000A293A"/>
    <w:rsid w:val="000A33D8"/>
    <w:rsid w:val="000A49C2"/>
    <w:rsid w:val="000A535B"/>
    <w:rsid w:val="000A5541"/>
    <w:rsid w:val="000A5634"/>
    <w:rsid w:val="000A6378"/>
    <w:rsid w:val="000A68C4"/>
    <w:rsid w:val="000A6BA1"/>
    <w:rsid w:val="000A700F"/>
    <w:rsid w:val="000A736D"/>
    <w:rsid w:val="000B01E8"/>
    <w:rsid w:val="000B14A0"/>
    <w:rsid w:val="000B2295"/>
    <w:rsid w:val="000B250B"/>
    <w:rsid w:val="000B2817"/>
    <w:rsid w:val="000B2DCE"/>
    <w:rsid w:val="000B34B5"/>
    <w:rsid w:val="000B3741"/>
    <w:rsid w:val="000B3E51"/>
    <w:rsid w:val="000B499E"/>
    <w:rsid w:val="000B504B"/>
    <w:rsid w:val="000B53F2"/>
    <w:rsid w:val="000B5480"/>
    <w:rsid w:val="000B5B87"/>
    <w:rsid w:val="000B61E2"/>
    <w:rsid w:val="000B6A7B"/>
    <w:rsid w:val="000B72F6"/>
    <w:rsid w:val="000B7BC4"/>
    <w:rsid w:val="000C0781"/>
    <w:rsid w:val="000C0B17"/>
    <w:rsid w:val="000C0D64"/>
    <w:rsid w:val="000C0E7F"/>
    <w:rsid w:val="000C2A15"/>
    <w:rsid w:val="000C2F8D"/>
    <w:rsid w:val="000C3572"/>
    <w:rsid w:val="000C453E"/>
    <w:rsid w:val="000C47EE"/>
    <w:rsid w:val="000C4AD6"/>
    <w:rsid w:val="000C4AD7"/>
    <w:rsid w:val="000C4B35"/>
    <w:rsid w:val="000C4C3C"/>
    <w:rsid w:val="000C4D47"/>
    <w:rsid w:val="000C5316"/>
    <w:rsid w:val="000C6BC6"/>
    <w:rsid w:val="000C716D"/>
    <w:rsid w:val="000C7222"/>
    <w:rsid w:val="000C73B7"/>
    <w:rsid w:val="000C75D4"/>
    <w:rsid w:val="000C7ADF"/>
    <w:rsid w:val="000C7C46"/>
    <w:rsid w:val="000C7E48"/>
    <w:rsid w:val="000D057F"/>
    <w:rsid w:val="000D0B9D"/>
    <w:rsid w:val="000D1131"/>
    <w:rsid w:val="000D1D8F"/>
    <w:rsid w:val="000D28EB"/>
    <w:rsid w:val="000D2956"/>
    <w:rsid w:val="000D30E4"/>
    <w:rsid w:val="000D33FA"/>
    <w:rsid w:val="000D34F5"/>
    <w:rsid w:val="000D3877"/>
    <w:rsid w:val="000D40D7"/>
    <w:rsid w:val="000D4663"/>
    <w:rsid w:val="000D4963"/>
    <w:rsid w:val="000D551C"/>
    <w:rsid w:val="000D57BE"/>
    <w:rsid w:val="000D58D2"/>
    <w:rsid w:val="000D59A5"/>
    <w:rsid w:val="000D5B00"/>
    <w:rsid w:val="000D5E8C"/>
    <w:rsid w:val="000D6D30"/>
    <w:rsid w:val="000D7290"/>
    <w:rsid w:val="000D7AEE"/>
    <w:rsid w:val="000E002F"/>
    <w:rsid w:val="000E005C"/>
    <w:rsid w:val="000E0647"/>
    <w:rsid w:val="000E0F58"/>
    <w:rsid w:val="000E0F7A"/>
    <w:rsid w:val="000E1368"/>
    <w:rsid w:val="000E153E"/>
    <w:rsid w:val="000E2B23"/>
    <w:rsid w:val="000E3338"/>
    <w:rsid w:val="000E338B"/>
    <w:rsid w:val="000E3EE4"/>
    <w:rsid w:val="000E404A"/>
    <w:rsid w:val="000E41D3"/>
    <w:rsid w:val="000E432D"/>
    <w:rsid w:val="000E4449"/>
    <w:rsid w:val="000E4849"/>
    <w:rsid w:val="000E4B63"/>
    <w:rsid w:val="000E540B"/>
    <w:rsid w:val="000E6469"/>
    <w:rsid w:val="000E7B20"/>
    <w:rsid w:val="000F0799"/>
    <w:rsid w:val="000F08CC"/>
    <w:rsid w:val="000F0E0B"/>
    <w:rsid w:val="000F1033"/>
    <w:rsid w:val="000F1284"/>
    <w:rsid w:val="000F12FE"/>
    <w:rsid w:val="000F15AB"/>
    <w:rsid w:val="000F1F6B"/>
    <w:rsid w:val="000F26F8"/>
    <w:rsid w:val="000F2A79"/>
    <w:rsid w:val="000F2BC4"/>
    <w:rsid w:val="000F2BEE"/>
    <w:rsid w:val="000F2CB8"/>
    <w:rsid w:val="000F3038"/>
    <w:rsid w:val="000F37DC"/>
    <w:rsid w:val="000F3D5F"/>
    <w:rsid w:val="000F4236"/>
    <w:rsid w:val="000F4459"/>
    <w:rsid w:val="000F493E"/>
    <w:rsid w:val="000F4CCE"/>
    <w:rsid w:val="000F4D3B"/>
    <w:rsid w:val="000F4FA6"/>
    <w:rsid w:val="000F579B"/>
    <w:rsid w:val="000F591B"/>
    <w:rsid w:val="000F5E2A"/>
    <w:rsid w:val="000F5F36"/>
    <w:rsid w:val="000F615C"/>
    <w:rsid w:val="000F6620"/>
    <w:rsid w:val="000F70EE"/>
    <w:rsid w:val="000F7182"/>
    <w:rsid w:val="000F7264"/>
    <w:rsid w:val="000F7C41"/>
    <w:rsid w:val="00100115"/>
    <w:rsid w:val="00100155"/>
    <w:rsid w:val="00101F98"/>
    <w:rsid w:val="00102288"/>
    <w:rsid w:val="001023ED"/>
    <w:rsid w:val="00102A35"/>
    <w:rsid w:val="00102CF5"/>
    <w:rsid w:val="00102D09"/>
    <w:rsid w:val="001037CE"/>
    <w:rsid w:val="001037F7"/>
    <w:rsid w:val="00103ABA"/>
    <w:rsid w:val="00103BC1"/>
    <w:rsid w:val="00104048"/>
    <w:rsid w:val="00104057"/>
    <w:rsid w:val="0010418D"/>
    <w:rsid w:val="0010419C"/>
    <w:rsid w:val="001042AD"/>
    <w:rsid w:val="001045D9"/>
    <w:rsid w:val="00104C5A"/>
    <w:rsid w:val="00104CBE"/>
    <w:rsid w:val="00104F88"/>
    <w:rsid w:val="00105279"/>
    <w:rsid w:val="0010534C"/>
    <w:rsid w:val="0010566A"/>
    <w:rsid w:val="00105E06"/>
    <w:rsid w:val="00105E62"/>
    <w:rsid w:val="0010601F"/>
    <w:rsid w:val="00106C82"/>
    <w:rsid w:val="00106DF7"/>
    <w:rsid w:val="00106FBF"/>
    <w:rsid w:val="00107172"/>
    <w:rsid w:val="00107207"/>
    <w:rsid w:val="00107E09"/>
    <w:rsid w:val="00110006"/>
    <w:rsid w:val="00110133"/>
    <w:rsid w:val="00110144"/>
    <w:rsid w:val="00110988"/>
    <w:rsid w:val="00110F4A"/>
    <w:rsid w:val="00111096"/>
    <w:rsid w:val="0011203E"/>
    <w:rsid w:val="00112D65"/>
    <w:rsid w:val="00112E0E"/>
    <w:rsid w:val="001132F0"/>
    <w:rsid w:val="00113870"/>
    <w:rsid w:val="00113B05"/>
    <w:rsid w:val="00113B64"/>
    <w:rsid w:val="00114119"/>
    <w:rsid w:val="00114272"/>
    <w:rsid w:val="00114489"/>
    <w:rsid w:val="0011495C"/>
    <w:rsid w:val="00114A2A"/>
    <w:rsid w:val="00114DEC"/>
    <w:rsid w:val="00114EE7"/>
    <w:rsid w:val="0011573D"/>
    <w:rsid w:val="001159B3"/>
    <w:rsid w:val="00115DA5"/>
    <w:rsid w:val="001171A3"/>
    <w:rsid w:val="00117513"/>
    <w:rsid w:val="00117857"/>
    <w:rsid w:val="00117C4E"/>
    <w:rsid w:val="00120020"/>
    <w:rsid w:val="001206E6"/>
    <w:rsid w:val="001209F6"/>
    <w:rsid w:val="00120B7D"/>
    <w:rsid w:val="00120D31"/>
    <w:rsid w:val="00121FE1"/>
    <w:rsid w:val="001222DF"/>
    <w:rsid w:val="00122750"/>
    <w:rsid w:val="00122833"/>
    <w:rsid w:val="00122CFE"/>
    <w:rsid w:val="00122EE0"/>
    <w:rsid w:val="00123473"/>
    <w:rsid w:val="00123A8C"/>
    <w:rsid w:val="00123E79"/>
    <w:rsid w:val="001241E6"/>
    <w:rsid w:val="001241E7"/>
    <w:rsid w:val="001249C9"/>
    <w:rsid w:val="00124CD3"/>
    <w:rsid w:val="00124EBF"/>
    <w:rsid w:val="001258A8"/>
    <w:rsid w:val="00125C1D"/>
    <w:rsid w:val="00126588"/>
    <w:rsid w:val="001266FB"/>
    <w:rsid w:val="00126AA1"/>
    <w:rsid w:val="00126C22"/>
    <w:rsid w:val="001272A2"/>
    <w:rsid w:val="00127839"/>
    <w:rsid w:val="0012795C"/>
    <w:rsid w:val="00127A06"/>
    <w:rsid w:val="001303F3"/>
    <w:rsid w:val="001306F6"/>
    <w:rsid w:val="001309F8"/>
    <w:rsid w:val="001311A4"/>
    <w:rsid w:val="0013136F"/>
    <w:rsid w:val="00131415"/>
    <w:rsid w:val="001317F9"/>
    <w:rsid w:val="00131A36"/>
    <w:rsid w:val="00131D4B"/>
    <w:rsid w:val="00131E7D"/>
    <w:rsid w:val="00132086"/>
    <w:rsid w:val="0013252B"/>
    <w:rsid w:val="00132567"/>
    <w:rsid w:val="0013318A"/>
    <w:rsid w:val="00133513"/>
    <w:rsid w:val="00134D60"/>
    <w:rsid w:val="00135578"/>
    <w:rsid w:val="001356DF"/>
    <w:rsid w:val="00135DC9"/>
    <w:rsid w:val="00136A9D"/>
    <w:rsid w:val="00136E2A"/>
    <w:rsid w:val="00137056"/>
    <w:rsid w:val="00137433"/>
    <w:rsid w:val="00137552"/>
    <w:rsid w:val="001375E8"/>
    <w:rsid w:val="0013798A"/>
    <w:rsid w:val="00140091"/>
    <w:rsid w:val="001403F2"/>
    <w:rsid w:val="00140707"/>
    <w:rsid w:val="0014113D"/>
    <w:rsid w:val="00141D72"/>
    <w:rsid w:val="00141D7C"/>
    <w:rsid w:val="0014204B"/>
    <w:rsid w:val="001422D8"/>
    <w:rsid w:val="001430CE"/>
    <w:rsid w:val="00143601"/>
    <w:rsid w:val="0014383A"/>
    <w:rsid w:val="001440FB"/>
    <w:rsid w:val="00144D7C"/>
    <w:rsid w:val="001452FE"/>
    <w:rsid w:val="001471B3"/>
    <w:rsid w:val="001477C5"/>
    <w:rsid w:val="00147AAC"/>
    <w:rsid w:val="00147B41"/>
    <w:rsid w:val="00147CAB"/>
    <w:rsid w:val="00150B7A"/>
    <w:rsid w:val="00151459"/>
    <w:rsid w:val="00151C5C"/>
    <w:rsid w:val="00151CB3"/>
    <w:rsid w:val="00152288"/>
    <w:rsid w:val="001528C0"/>
    <w:rsid w:val="0015318E"/>
    <w:rsid w:val="001533CC"/>
    <w:rsid w:val="00153C5D"/>
    <w:rsid w:val="00154429"/>
    <w:rsid w:val="001546E0"/>
    <w:rsid w:val="00154A0C"/>
    <w:rsid w:val="00154D1B"/>
    <w:rsid w:val="00155E07"/>
    <w:rsid w:val="001564F6"/>
    <w:rsid w:val="0015693F"/>
    <w:rsid w:val="00156AAC"/>
    <w:rsid w:val="00157433"/>
    <w:rsid w:val="00157B45"/>
    <w:rsid w:val="00157D73"/>
    <w:rsid w:val="00157DEF"/>
    <w:rsid w:val="00157E42"/>
    <w:rsid w:val="001602F8"/>
    <w:rsid w:val="00160485"/>
    <w:rsid w:val="00160535"/>
    <w:rsid w:val="00160ADE"/>
    <w:rsid w:val="00160CC9"/>
    <w:rsid w:val="00161271"/>
    <w:rsid w:val="001612FC"/>
    <w:rsid w:val="001615BC"/>
    <w:rsid w:val="00161A82"/>
    <w:rsid w:val="00161E5E"/>
    <w:rsid w:val="00162308"/>
    <w:rsid w:val="00162425"/>
    <w:rsid w:val="0016271E"/>
    <w:rsid w:val="0016278A"/>
    <w:rsid w:val="00162A80"/>
    <w:rsid w:val="00162ED1"/>
    <w:rsid w:val="00163315"/>
    <w:rsid w:val="00163D7C"/>
    <w:rsid w:val="00164792"/>
    <w:rsid w:val="00165364"/>
    <w:rsid w:val="0016573D"/>
    <w:rsid w:val="0016661E"/>
    <w:rsid w:val="00166733"/>
    <w:rsid w:val="0016687B"/>
    <w:rsid w:val="001676E1"/>
    <w:rsid w:val="00167BFA"/>
    <w:rsid w:val="00167DDF"/>
    <w:rsid w:val="00167E17"/>
    <w:rsid w:val="00167EAD"/>
    <w:rsid w:val="00170230"/>
    <w:rsid w:val="00170400"/>
    <w:rsid w:val="001715AB"/>
    <w:rsid w:val="00172188"/>
    <w:rsid w:val="00172636"/>
    <w:rsid w:val="00172CA0"/>
    <w:rsid w:val="0017311D"/>
    <w:rsid w:val="001736AF"/>
    <w:rsid w:val="0017426B"/>
    <w:rsid w:val="001751C6"/>
    <w:rsid w:val="00175422"/>
    <w:rsid w:val="00175CB0"/>
    <w:rsid w:val="00175E7E"/>
    <w:rsid w:val="001766D5"/>
    <w:rsid w:val="0017723B"/>
    <w:rsid w:val="00180A86"/>
    <w:rsid w:val="00180DAC"/>
    <w:rsid w:val="00180E0D"/>
    <w:rsid w:val="00180E32"/>
    <w:rsid w:val="00180E37"/>
    <w:rsid w:val="0018104D"/>
    <w:rsid w:val="0018123F"/>
    <w:rsid w:val="00181EAC"/>
    <w:rsid w:val="00181FBE"/>
    <w:rsid w:val="001823C9"/>
    <w:rsid w:val="001823E8"/>
    <w:rsid w:val="00182C11"/>
    <w:rsid w:val="00183093"/>
    <w:rsid w:val="00183900"/>
    <w:rsid w:val="00183BC4"/>
    <w:rsid w:val="001847BE"/>
    <w:rsid w:val="00184BBD"/>
    <w:rsid w:val="00184FAF"/>
    <w:rsid w:val="00185397"/>
    <w:rsid w:val="0018578C"/>
    <w:rsid w:val="00185CDF"/>
    <w:rsid w:val="00186346"/>
    <w:rsid w:val="00186ABC"/>
    <w:rsid w:val="00186DF9"/>
    <w:rsid w:val="0018709C"/>
    <w:rsid w:val="00187231"/>
    <w:rsid w:val="00187580"/>
    <w:rsid w:val="00187DC9"/>
    <w:rsid w:val="001904A2"/>
    <w:rsid w:val="00190A00"/>
    <w:rsid w:val="00190D01"/>
    <w:rsid w:val="00190DDE"/>
    <w:rsid w:val="00190F84"/>
    <w:rsid w:val="00190FF0"/>
    <w:rsid w:val="00191211"/>
    <w:rsid w:val="00191D9A"/>
    <w:rsid w:val="0019227F"/>
    <w:rsid w:val="0019287B"/>
    <w:rsid w:val="0019293C"/>
    <w:rsid w:val="0019358E"/>
    <w:rsid w:val="001939AA"/>
    <w:rsid w:val="00193A48"/>
    <w:rsid w:val="00193B49"/>
    <w:rsid w:val="00193B6E"/>
    <w:rsid w:val="0019483B"/>
    <w:rsid w:val="0019491E"/>
    <w:rsid w:val="00195100"/>
    <w:rsid w:val="0019534C"/>
    <w:rsid w:val="00195B3D"/>
    <w:rsid w:val="00195D2D"/>
    <w:rsid w:val="00196086"/>
    <w:rsid w:val="001961B1"/>
    <w:rsid w:val="00196714"/>
    <w:rsid w:val="00196BC9"/>
    <w:rsid w:val="00196C9B"/>
    <w:rsid w:val="00196D68"/>
    <w:rsid w:val="00196DE0"/>
    <w:rsid w:val="00197064"/>
    <w:rsid w:val="0019707B"/>
    <w:rsid w:val="00197180"/>
    <w:rsid w:val="00197523"/>
    <w:rsid w:val="001A02E7"/>
    <w:rsid w:val="001A03EB"/>
    <w:rsid w:val="001A0485"/>
    <w:rsid w:val="001A069D"/>
    <w:rsid w:val="001A0B1A"/>
    <w:rsid w:val="001A11FB"/>
    <w:rsid w:val="001A1DC6"/>
    <w:rsid w:val="001A1F56"/>
    <w:rsid w:val="001A2006"/>
    <w:rsid w:val="001A26D6"/>
    <w:rsid w:val="001A27F2"/>
    <w:rsid w:val="001A363A"/>
    <w:rsid w:val="001A3945"/>
    <w:rsid w:val="001A39E6"/>
    <w:rsid w:val="001A3D22"/>
    <w:rsid w:val="001A3D71"/>
    <w:rsid w:val="001A411A"/>
    <w:rsid w:val="001A44F0"/>
    <w:rsid w:val="001A4C02"/>
    <w:rsid w:val="001A4CD1"/>
    <w:rsid w:val="001A5345"/>
    <w:rsid w:val="001A5897"/>
    <w:rsid w:val="001A5D9D"/>
    <w:rsid w:val="001A6A32"/>
    <w:rsid w:val="001A6AF3"/>
    <w:rsid w:val="001A6B00"/>
    <w:rsid w:val="001A70E2"/>
    <w:rsid w:val="001A7416"/>
    <w:rsid w:val="001A76C3"/>
    <w:rsid w:val="001A79F4"/>
    <w:rsid w:val="001B07C2"/>
    <w:rsid w:val="001B0ADB"/>
    <w:rsid w:val="001B1BC8"/>
    <w:rsid w:val="001B1C1A"/>
    <w:rsid w:val="001B2396"/>
    <w:rsid w:val="001B2B90"/>
    <w:rsid w:val="001B2D51"/>
    <w:rsid w:val="001B3279"/>
    <w:rsid w:val="001B3523"/>
    <w:rsid w:val="001B39A5"/>
    <w:rsid w:val="001B3F71"/>
    <w:rsid w:val="001B48CA"/>
    <w:rsid w:val="001B4BC2"/>
    <w:rsid w:val="001B51AA"/>
    <w:rsid w:val="001B68A1"/>
    <w:rsid w:val="001B68AA"/>
    <w:rsid w:val="001B6A7B"/>
    <w:rsid w:val="001B7167"/>
    <w:rsid w:val="001C037F"/>
    <w:rsid w:val="001C0CC4"/>
    <w:rsid w:val="001C126C"/>
    <w:rsid w:val="001C164F"/>
    <w:rsid w:val="001C18E3"/>
    <w:rsid w:val="001C190F"/>
    <w:rsid w:val="001C25FE"/>
    <w:rsid w:val="001C301F"/>
    <w:rsid w:val="001C3071"/>
    <w:rsid w:val="001C3812"/>
    <w:rsid w:val="001C3B4B"/>
    <w:rsid w:val="001C426D"/>
    <w:rsid w:val="001C4617"/>
    <w:rsid w:val="001C4E02"/>
    <w:rsid w:val="001C52C3"/>
    <w:rsid w:val="001C544A"/>
    <w:rsid w:val="001C6494"/>
    <w:rsid w:val="001C64D3"/>
    <w:rsid w:val="001C6A59"/>
    <w:rsid w:val="001C6E89"/>
    <w:rsid w:val="001C6EBA"/>
    <w:rsid w:val="001C700C"/>
    <w:rsid w:val="001C79CE"/>
    <w:rsid w:val="001D005E"/>
    <w:rsid w:val="001D0961"/>
    <w:rsid w:val="001D1AD8"/>
    <w:rsid w:val="001D1D5E"/>
    <w:rsid w:val="001D2492"/>
    <w:rsid w:val="001D24A9"/>
    <w:rsid w:val="001D2CDF"/>
    <w:rsid w:val="001D3B7E"/>
    <w:rsid w:val="001D3CD4"/>
    <w:rsid w:val="001D3F7C"/>
    <w:rsid w:val="001D41E3"/>
    <w:rsid w:val="001D52E2"/>
    <w:rsid w:val="001D5D71"/>
    <w:rsid w:val="001D639A"/>
    <w:rsid w:val="001D6831"/>
    <w:rsid w:val="001D68B3"/>
    <w:rsid w:val="001D6C00"/>
    <w:rsid w:val="001D6C41"/>
    <w:rsid w:val="001D6EDB"/>
    <w:rsid w:val="001D7A4F"/>
    <w:rsid w:val="001D7EE4"/>
    <w:rsid w:val="001E029F"/>
    <w:rsid w:val="001E02E2"/>
    <w:rsid w:val="001E243D"/>
    <w:rsid w:val="001E26EC"/>
    <w:rsid w:val="001E2AF6"/>
    <w:rsid w:val="001E3334"/>
    <w:rsid w:val="001E4189"/>
    <w:rsid w:val="001E41DA"/>
    <w:rsid w:val="001E426B"/>
    <w:rsid w:val="001E4829"/>
    <w:rsid w:val="001E4D18"/>
    <w:rsid w:val="001E4E55"/>
    <w:rsid w:val="001E52A8"/>
    <w:rsid w:val="001E5422"/>
    <w:rsid w:val="001E5576"/>
    <w:rsid w:val="001E5A23"/>
    <w:rsid w:val="001E5CE9"/>
    <w:rsid w:val="001E609D"/>
    <w:rsid w:val="001E6572"/>
    <w:rsid w:val="001E7024"/>
    <w:rsid w:val="001E70D1"/>
    <w:rsid w:val="001E718D"/>
    <w:rsid w:val="001E7E08"/>
    <w:rsid w:val="001F04F8"/>
    <w:rsid w:val="001F0AE5"/>
    <w:rsid w:val="001F0C85"/>
    <w:rsid w:val="001F0D25"/>
    <w:rsid w:val="001F0FC3"/>
    <w:rsid w:val="001F1400"/>
    <w:rsid w:val="001F150A"/>
    <w:rsid w:val="001F17E1"/>
    <w:rsid w:val="001F1D37"/>
    <w:rsid w:val="001F1ED6"/>
    <w:rsid w:val="001F1FD9"/>
    <w:rsid w:val="001F1FF5"/>
    <w:rsid w:val="001F2427"/>
    <w:rsid w:val="001F35D1"/>
    <w:rsid w:val="001F386E"/>
    <w:rsid w:val="001F3A4C"/>
    <w:rsid w:val="001F41A4"/>
    <w:rsid w:val="001F478E"/>
    <w:rsid w:val="001F4ACE"/>
    <w:rsid w:val="001F4CFA"/>
    <w:rsid w:val="001F4D45"/>
    <w:rsid w:val="001F4D84"/>
    <w:rsid w:val="001F4E03"/>
    <w:rsid w:val="001F4F0F"/>
    <w:rsid w:val="001F5122"/>
    <w:rsid w:val="001F52B1"/>
    <w:rsid w:val="001F570D"/>
    <w:rsid w:val="001F57FE"/>
    <w:rsid w:val="001F60BC"/>
    <w:rsid w:val="001F61DB"/>
    <w:rsid w:val="001F6522"/>
    <w:rsid w:val="001F66E4"/>
    <w:rsid w:val="001F6D1B"/>
    <w:rsid w:val="001F72A9"/>
    <w:rsid w:val="001F7CB4"/>
    <w:rsid w:val="00200312"/>
    <w:rsid w:val="00201234"/>
    <w:rsid w:val="00201376"/>
    <w:rsid w:val="0020212C"/>
    <w:rsid w:val="002027E7"/>
    <w:rsid w:val="00203344"/>
    <w:rsid w:val="0020363C"/>
    <w:rsid w:val="002037CC"/>
    <w:rsid w:val="00204275"/>
    <w:rsid w:val="0020494D"/>
    <w:rsid w:val="00204954"/>
    <w:rsid w:val="00204DD0"/>
    <w:rsid w:val="00205300"/>
    <w:rsid w:val="002054DB"/>
    <w:rsid w:val="00205978"/>
    <w:rsid w:val="00206B32"/>
    <w:rsid w:val="00207180"/>
    <w:rsid w:val="00207585"/>
    <w:rsid w:val="00207F40"/>
    <w:rsid w:val="00210152"/>
    <w:rsid w:val="0021044D"/>
    <w:rsid w:val="002109C9"/>
    <w:rsid w:val="00210BC4"/>
    <w:rsid w:val="00210EB3"/>
    <w:rsid w:val="0021104C"/>
    <w:rsid w:val="00211299"/>
    <w:rsid w:val="00212116"/>
    <w:rsid w:val="00212736"/>
    <w:rsid w:val="00212D0C"/>
    <w:rsid w:val="00212D26"/>
    <w:rsid w:val="00212D83"/>
    <w:rsid w:val="00212E11"/>
    <w:rsid w:val="002132E4"/>
    <w:rsid w:val="0021374A"/>
    <w:rsid w:val="00213760"/>
    <w:rsid w:val="00213FA4"/>
    <w:rsid w:val="002142B5"/>
    <w:rsid w:val="00214738"/>
    <w:rsid w:val="00214E9B"/>
    <w:rsid w:val="00215186"/>
    <w:rsid w:val="0021573F"/>
    <w:rsid w:val="00215940"/>
    <w:rsid w:val="00215952"/>
    <w:rsid w:val="00216425"/>
    <w:rsid w:val="0021653C"/>
    <w:rsid w:val="00216A4E"/>
    <w:rsid w:val="00216D22"/>
    <w:rsid w:val="00216ECB"/>
    <w:rsid w:val="00217302"/>
    <w:rsid w:val="0021753D"/>
    <w:rsid w:val="002205A2"/>
    <w:rsid w:val="00221182"/>
    <w:rsid w:val="00221C37"/>
    <w:rsid w:val="00221EE7"/>
    <w:rsid w:val="00221F10"/>
    <w:rsid w:val="00221F4C"/>
    <w:rsid w:val="00222372"/>
    <w:rsid w:val="0022275F"/>
    <w:rsid w:val="00222FF4"/>
    <w:rsid w:val="00223699"/>
    <w:rsid w:val="0022397A"/>
    <w:rsid w:val="002242B1"/>
    <w:rsid w:val="002244E9"/>
    <w:rsid w:val="00224C95"/>
    <w:rsid w:val="00224DE0"/>
    <w:rsid w:val="002251BE"/>
    <w:rsid w:val="00225667"/>
    <w:rsid w:val="0022596A"/>
    <w:rsid w:val="002259A5"/>
    <w:rsid w:val="00225C37"/>
    <w:rsid w:val="00226023"/>
    <w:rsid w:val="0022618B"/>
    <w:rsid w:val="00226278"/>
    <w:rsid w:val="0022631D"/>
    <w:rsid w:val="00226D3E"/>
    <w:rsid w:val="002272A3"/>
    <w:rsid w:val="00227585"/>
    <w:rsid w:val="00227625"/>
    <w:rsid w:val="00227C97"/>
    <w:rsid w:val="00227DA0"/>
    <w:rsid w:val="00227E5D"/>
    <w:rsid w:val="00227EB2"/>
    <w:rsid w:val="00227F9D"/>
    <w:rsid w:val="002304B2"/>
    <w:rsid w:val="002313CA"/>
    <w:rsid w:val="002314B8"/>
    <w:rsid w:val="0023179C"/>
    <w:rsid w:val="00231E16"/>
    <w:rsid w:val="00232D04"/>
    <w:rsid w:val="00232E45"/>
    <w:rsid w:val="002333CA"/>
    <w:rsid w:val="002339A4"/>
    <w:rsid w:val="00234157"/>
    <w:rsid w:val="002341CC"/>
    <w:rsid w:val="0023473F"/>
    <w:rsid w:val="00234914"/>
    <w:rsid w:val="0023497D"/>
    <w:rsid w:val="00234C23"/>
    <w:rsid w:val="00234DBC"/>
    <w:rsid w:val="00235084"/>
    <w:rsid w:val="002353E2"/>
    <w:rsid w:val="00235411"/>
    <w:rsid w:val="00235421"/>
    <w:rsid w:val="002362CA"/>
    <w:rsid w:val="00236D6D"/>
    <w:rsid w:val="00237808"/>
    <w:rsid w:val="002400EF"/>
    <w:rsid w:val="0024087B"/>
    <w:rsid w:val="0024270B"/>
    <w:rsid w:val="002427B3"/>
    <w:rsid w:val="002427F8"/>
    <w:rsid w:val="00243303"/>
    <w:rsid w:val="00243A84"/>
    <w:rsid w:val="0024445F"/>
    <w:rsid w:val="00244464"/>
    <w:rsid w:val="0024459D"/>
    <w:rsid w:val="00244BC5"/>
    <w:rsid w:val="00245609"/>
    <w:rsid w:val="0024585E"/>
    <w:rsid w:val="00246A97"/>
    <w:rsid w:val="00246FFC"/>
    <w:rsid w:val="002470CF"/>
    <w:rsid w:val="0024753D"/>
    <w:rsid w:val="00247638"/>
    <w:rsid w:val="00247D29"/>
    <w:rsid w:val="0025010B"/>
    <w:rsid w:val="002505C5"/>
    <w:rsid w:val="00251392"/>
    <w:rsid w:val="00251671"/>
    <w:rsid w:val="00251CBB"/>
    <w:rsid w:val="00252BBE"/>
    <w:rsid w:val="00252E2A"/>
    <w:rsid w:val="0025360C"/>
    <w:rsid w:val="00253E07"/>
    <w:rsid w:val="0025413C"/>
    <w:rsid w:val="00254285"/>
    <w:rsid w:val="002549FB"/>
    <w:rsid w:val="0025562A"/>
    <w:rsid w:val="002556C0"/>
    <w:rsid w:val="002558C4"/>
    <w:rsid w:val="002560B3"/>
    <w:rsid w:val="00256598"/>
    <w:rsid w:val="00257025"/>
    <w:rsid w:val="00257784"/>
    <w:rsid w:val="00257E9A"/>
    <w:rsid w:val="002601E4"/>
    <w:rsid w:val="002607DD"/>
    <w:rsid w:val="00260D9D"/>
    <w:rsid w:val="00261ECE"/>
    <w:rsid w:val="002620A0"/>
    <w:rsid w:val="00262821"/>
    <w:rsid w:val="002629ED"/>
    <w:rsid w:val="00264533"/>
    <w:rsid w:val="00264801"/>
    <w:rsid w:val="00264A3F"/>
    <w:rsid w:val="002659BD"/>
    <w:rsid w:val="002662DB"/>
    <w:rsid w:val="00266990"/>
    <w:rsid w:val="00267338"/>
    <w:rsid w:val="002709F2"/>
    <w:rsid w:val="00270C86"/>
    <w:rsid w:val="0027121C"/>
    <w:rsid w:val="00271672"/>
    <w:rsid w:val="00271917"/>
    <w:rsid w:val="002719C0"/>
    <w:rsid w:val="0027242E"/>
    <w:rsid w:val="00272556"/>
    <w:rsid w:val="0027278C"/>
    <w:rsid w:val="00272A3A"/>
    <w:rsid w:val="00273400"/>
    <w:rsid w:val="00273CD9"/>
    <w:rsid w:val="002752C5"/>
    <w:rsid w:val="00275AFF"/>
    <w:rsid w:val="00275B19"/>
    <w:rsid w:val="00275DCC"/>
    <w:rsid w:val="0027601A"/>
    <w:rsid w:val="00277907"/>
    <w:rsid w:val="00277C5A"/>
    <w:rsid w:val="00280BA2"/>
    <w:rsid w:val="00280CDE"/>
    <w:rsid w:val="0028118C"/>
    <w:rsid w:val="002817CE"/>
    <w:rsid w:val="00281949"/>
    <w:rsid w:val="00282133"/>
    <w:rsid w:val="00282E14"/>
    <w:rsid w:val="00283004"/>
    <w:rsid w:val="002833B0"/>
    <w:rsid w:val="002839A4"/>
    <w:rsid w:val="0028437A"/>
    <w:rsid w:val="002847FB"/>
    <w:rsid w:val="00284B33"/>
    <w:rsid w:val="00284E29"/>
    <w:rsid w:val="00284EC8"/>
    <w:rsid w:val="00285799"/>
    <w:rsid w:val="00286BB7"/>
    <w:rsid w:val="00287576"/>
    <w:rsid w:val="00287D70"/>
    <w:rsid w:val="002909A1"/>
    <w:rsid w:val="00291158"/>
    <w:rsid w:val="00291180"/>
    <w:rsid w:val="00291456"/>
    <w:rsid w:val="00291776"/>
    <w:rsid w:val="00291778"/>
    <w:rsid w:val="002917D4"/>
    <w:rsid w:val="002927A4"/>
    <w:rsid w:val="0029309E"/>
    <w:rsid w:val="002934E8"/>
    <w:rsid w:val="0029370C"/>
    <w:rsid w:val="00293DB2"/>
    <w:rsid w:val="00293F30"/>
    <w:rsid w:val="002943D2"/>
    <w:rsid w:val="00294473"/>
    <w:rsid w:val="0029574E"/>
    <w:rsid w:val="002959C3"/>
    <w:rsid w:val="002961FB"/>
    <w:rsid w:val="0029666A"/>
    <w:rsid w:val="002966D2"/>
    <w:rsid w:val="0029688D"/>
    <w:rsid w:val="00296FDB"/>
    <w:rsid w:val="00297D7C"/>
    <w:rsid w:val="00297E2A"/>
    <w:rsid w:val="002A01E1"/>
    <w:rsid w:val="002A0202"/>
    <w:rsid w:val="002A06C1"/>
    <w:rsid w:val="002A0734"/>
    <w:rsid w:val="002A0974"/>
    <w:rsid w:val="002A0E43"/>
    <w:rsid w:val="002A1693"/>
    <w:rsid w:val="002A1C95"/>
    <w:rsid w:val="002A1EA3"/>
    <w:rsid w:val="002A1F73"/>
    <w:rsid w:val="002A201F"/>
    <w:rsid w:val="002A23D3"/>
    <w:rsid w:val="002A2D91"/>
    <w:rsid w:val="002A2FB1"/>
    <w:rsid w:val="002A3213"/>
    <w:rsid w:val="002A328B"/>
    <w:rsid w:val="002A37A9"/>
    <w:rsid w:val="002A3996"/>
    <w:rsid w:val="002A3AE1"/>
    <w:rsid w:val="002A4EE1"/>
    <w:rsid w:val="002A4F27"/>
    <w:rsid w:val="002A58C5"/>
    <w:rsid w:val="002A5ABB"/>
    <w:rsid w:val="002A5E81"/>
    <w:rsid w:val="002A638C"/>
    <w:rsid w:val="002A64E0"/>
    <w:rsid w:val="002A6998"/>
    <w:rsid w:val="002A6C83"/>
    <w:rsid w:val="002A733A"/>
    <w:rsid w:val="002A74A7"/>
    <w:rsid w:val="002A7A98"/>
    <w:rsid w:val="002A7E89"/>
    <w:rsid w:val="002B06EA"/>
    <w:rsid w:val="002B107A"/>
    <w:rsid w:val="002B10AE"/>
    <w:rsid w:val="002B12C3"/>
    <w:rsid w:val="002B138C"/>
    <w:rsid w:val="002B19BE"/>
    <w:rsid w:val="002B1D28"/>
    <w:rsid w:val="002B2260"/>
    <w:rsid w:val="002B2415"/>
    <w:rsid w:val="002B25FC"/>
    <w:rsid w:val="002B3103"/>
    <w:rsid w:val="002B3440"/>
    <w:rsid w:val="002B405B"/>
    <w:rsid w:val="002B453D"/>
    <w:rsid w:val="002B5224"/>
    <w:rsid w:val="002B5A5C"/>
    <w:rsid w:val="002B5BD0"/>
    <w:rsid w:val="002B612F"/>
    <w:rsid w:val="002B6616"/>
    <w:rsid w:val="002B6621"/>
    <w:rsid w:val="002B6B2B"/>
    <w:rsid w:val="002B6E99"/>
    <w:rsid w:val="002B7041"/>
    <w:rsid w:val="002B7264"/>
    <w:rsid w:val="002B73C7"/>
    <w:rsid w:val="002B754B"/>
    <w:rsid w:val="002B799B"/>
    <w:rsid w:val="002B7E51"/>
    <w:rsid w:val="002B7EC1"/>
    <w:rsid w:val="002C0383"/>
    <w:rsid w:val="002C0632"/>
    <w:rsid w:val="002C0A55"/>
    <w:rsid w:val="002C0A85"/>
    <w:rsid w:val="002C0BC7"/>
    <w:rsid w:val="002C0BEA"/>
    <w:rsid w:val="002C11A4"/>
    <w:rsid w:val="002C1930"/>
    <w:rsid w:val="002C1E22"/>
    <w:rsid w:val="002C2C7A"/>
    <w:rsid w:val="002C321A"/>
    <w:rsid w:val="002C333D"/>
    <w:rsid w:val="002C3357"/>
    <w:rsid w:val="002C33CC"/>
    <w:rsid w:val="002C3629"/>
    <w:rsid w:val="002C39F5"/>
    <w:rsid w:val="002C3B03"/>
    <w:rsid w:val="002C3C00"/>
    <w:rsid w:val="002C3D84"/>
    <w:rsid w:val="002C4547"/>
    <w:rsid w:val="002C4840"/>
    <w:rsid w:val="002C4922"/>
    <w:rsid w:val="002C5E48"/>
    <w:rsid w:val="002C6863"/>
    <w:rsid w:val="002C7202"/>
    <w:rsid w:val="002C76B6"/>
    <w:rsid w:val="002C7BC8"/>
    <w:rsid w:val="002C7C15"/>
    <w:rsid w:val="002D055E"/>
    <w:rsid w:val="002D0833"/>
    <w:rsid w:val="002D0A69"/>
    <w:rsid w:val="002D0E6A"/>
    <w:rsid w:val="002D1003"/>
    <w:rsid w:val="002D10A7"/>
    <w:rsid w:val="002D1875"/>
    <w:rsid w:val="002D18E5"/>
    <w:rsid w:val="002D1A9E"/>
    <w:rsid w:val="002D2292"/>
    <w:rsid w:val="002D2553"/>
    <w:rsid w:val="002D2C6B"/>
    <w:rsid w:val="002D30B6"/>
    <w:rsid w:val="002D3968"/>
    <w:rsid w:val="002D3972"/>
    <w:rsid w:val="002D3A36"/>
    <w:rsid w:val="002D3C9A"/>
    <w:rsid w:val="002D3CEE"/>
    <w:rsid w:val="002D48D7"/>
    <w:rsid w:val="002D4E65"/>
    <w:rsid w:val="002D5A81"/>
    <w:rsid w:val="002D5FE0"/>
    <w:rsid w:val="002D636C"/>
    <w:rsid w:val="002D644F"/>
    <w:rsid w:val="002D675E"/>
    <w:rsid w:val="002D75A8"/>
    <w:rsid w:val="002D76F9"/>
    <w:rsid w:val="002E000E"/>
    <w:rsid w:val="002E0AD1"/>
    <w:rsid w:val="002E0C16"/>
    <w:rsid w:val="002E0C4B"/>
    <w:rsid w:val="002E1023"/>
    <w:rsid w:val="002E130F"/>
    <w:rsid w:val="002E1396"/>
    <w:rsid w:val="002E17C0"/>
    <w:rsid w:val="002E1951"/>
    <w:rsid w:val="002E1E29"/>
    <w:rsid w:val="002E1EBA"/>
    <w:rsid w:val="002E28E1"/>
    <w:rsid w:val="002E3827"/>
    <w:rsid w:val="002E3CC2"/>
    <w:rsid w:val="002E3DE7"/>
    <w:rsid w:val="002E47DF"/>
    <w:rsid w:val="002E612A"/>
    <w:rsid w:val="002E629D"/>
    <w:rsid w:val="002E711A"/>
    <w:rsid w:val="002E7873"/>
    <w:rsid w:val="002E7B92"/>
    <w:rsid w:val="002F010B"/>
    <w:rsid w:val="002F07BC"/>
    <w:rsid w:val="002F0B1F"/>
    <w:rsid w:val="002F12E7"/>
    <w:rsid w:val="002F158F"/>
    <w:rsid w:val="002F16BF"/>
    <w:rsid w:val="002F17EE"/>
    <w:rsid w:val="002F183A"/>
    <w:rsid w:val="002F1BED"/>
    <w:rsid w:val="002F24FF"/>
    <w:rsid w:val="002F2CA8"/>
    <w:rsid w:val="002F2EC7"/>
    <w:rsid w:val="002F352B"/>
    <w:rsid w:val="002F3591"/>
    <w:rsid w:val="002F373C"/>
    <w:rsid w:val="002F4100"/>
    <w:rsid w:val="002F4261"/>
    <w:rsid w:val="002F4351"/>
    <w:rsid w:val="002F4C24"/>
    <w:rsid w:val="002F5516"/>
    <w:rsid w:val="002F55A7"/>
    <w:rsid w:val="002F57A6"/>
    <w:rsid w:val="002F589A"/>
    <w:rsid w:val="002F5E1A"/>
    <w:rsid w:val="002F5E65"/>
    <w:rsid w:val="002F6A5C"/>
    <w:rsid w:val="002F7239"/>
    <w:rsid w:val="002F7E28"/>
    <w:rsid w:val="002F7EE0"/>
    <w:rsid w:val="00300242"/>
    <w:rsid w:val="0030047C"/>
    <w:rsid w:val="00300945"/>
    <w:rsid w:val="003010C2"/>
    <w:rsid w:val="003011E0"/>
    <w:rsid w:val="0030122E"/>
    <w:rsid w:val="003013E7"/>
    <w:rsid w:val="0030149B"/>
    <w:rsid w:val="003018AB"/>
    <w:rsid w:val="00301B56"/>
    <w:rsid w:val="00302347"/>
    <w:rsid w:val="0030298D"/>
    <w:rsid w:val="00302C3A"/>
    <w:rsid w:val="003031E6"/>
    <w:rsid w:val="00303627"/>
    <w:rsid w:val="0030379A"/>
    <w:rsid w:val="003045F9"/>
    <w:rsid w:val="00304D9A"/>
    <w:rsid w:val="003054D4"/>
    <w:rsid w:val="00305762"/>
    <w:rsid w:val="00305888"/>
    <w:rsid w:val="0030701E"/>
    <w:rsid w:val="003070C2"/>
    <w:rsid w:val="00307431"/>
    <w:rsid w:val="0030770E"/>
    <w:rsid w:val="00310E7E"/>
    <w:rsid w:val="00311587"/>
    <w:rsid w:val="003115CF"/>
    <w:rsid w:val="00311788"/>
    <w:rsid w:val="00311926"/>
    <w:rsid w:val="003122D4"/>
    <w:rsid w:val="0031247E"/>
    <w:rsid w:val="003124E6"/>
    <w:rsid w:val="003127E2"/>
    <w:rsid w:val="003128D4"/>
    <w:rsid w:val="00312B30"/>
    <w:rsid w:val="00312C32"/>
    <w:rsid w:val="0031342C"/>
    <w:rsid w:val="00313770"/>
    <w:rsid w:val="00313D5B"/>
    <w:rsid w:val="00314518"/>
    <w:rsid w:val="00314BB0"/>
    <w:rsid w:val="00314EFC"/>
    <w:rsid w:val="003151B5"/>
    <w:rsid w:val="003160EE"/>
    <w:rsid w:val="00316631"/>
    <w:rsid w:val="0031670F"/>
    <w:rsid w:val="003170B3"/>
    <w:rsid w:val="003200C2"/>
    <w:rsid w:val="003200C7"/>
    <w:rsid w:val="0032040D"/>
    <w:rsid w:val="00320A17"/>
    <w:rsid w:val="00320C8D"/>
    <w:rsid w:val="003214A1"/>
    <w:rsid w:val="00321762"/>
    <w:rsid w:val="00321E24"/>
    <w:rsid w:val="00322B42"/>
    <w:rsid w:val="003236CF"/>
    <w:rsid w:val="00324497"/>
    <w:rsid w:val="00324B18"/>
    <w:rsid w:val="00324C0F"/>
    <w:rsid w:val="00325090"/>
    <w:rsid w:val="00325C45"/>
    <w:rsid w:val="00325CC8"/>
    <w:rsid w:val="00325F4D"/>
    <w:rsid w:val="00326299"/>
    <w:rsid w:val="003268BC"/>
    <w:rsid w:val="0032761B"/>
    <w:rsid w:val="00327DCF"/>
    <w:rsid w:val="00327EE2"/>
    <w:rsid w:val="003302CB"/>
    <w:rsid w:val="00330365"/>
    <w:rsid w:val="0033095C"/>
    <w:rsid w:val="00330CC1"/>
    <w:rsid w:val="00330E21"/>
    <w:rsid w:val="00330EC9"/>
    <w:rsid w:val="00331113"/>
    <w:rsid w:val="003316D2"/>
    <w:rsid w:val="00331950"/>
    <w:rsid w:val="003321BD"/>
    <w:rsid w:val="003325CD"/>
    <w:rsid w:val="00332BA5"/>
    <w:rsid w:val="00332EB1"/>
    <w:rsid w:val="00333402"/>
    <w:rsid w:val="003334AF"/>
    <w:rsid w:val="00334656"/>
    <w:rsid w:val="00334854"/>
    <w:rsid w:val="00334DB5"/>
    <w:rsid w:val="00335386"/>
    <w:rsid w:val="00336355"/>
    <w:rsid w:val="003364AE"/>
    <w:rsid w:val="003365F7"/>
    <w:rsid w:val="003367CF"/>
    <w:rsid w:val="003370C5"/>
    <w:rsid w:val="0033714C"/>
    <w:rsid w:val="00337200"/>
    <w:rsid w:val="00337726"/>
    <w:rsid w:val="0034078F"/>
    <w:rsid w:val="00340843"/>
    <w:rsid w:val="00340962"/>
    <w:rsid w:val="00341DDD"/>
    <w:rsid w:val="00342B1A"/>
    <w:rsid w:val="00343915"/>
    <w:rsid w:val="00344139"/>
    <w:rsid w:val="00344470"/>
    <w:rsid w:val="00345358"/>
    <w:rsid w:val="00345C9B"/>
    <w:rsid w:val="00345CAB"/>
    <w:rsid w:val="00345EC7"/>
    <w:rsid w:val="003460B9"/>
    <w:rsid w:val="003461ED"/>
    <w:rsid w:val="0034646E"/>
    <w:rsid w:val="0034648D"/>
    <w:rsid w:val="00346619"/>
    <w:rsid w:val="00346D8F"/>
    <w:rsid w:val="00347588"/>
    <w:rsid w:val="003476A0"/>
    <w:rsid w:val="00347AD2"/>
    <w:rsid w:val="00347ED4"/>
    <w:rsid w:val="0035070A"/>
    <w:rsid w:val="003508BD"/>
    <w:rsid w:val="00350968"/>
    <w:rsid w:val="00350FA0"/>
    <w:rsid w:val="003514E1"/>
    <w:rsid w:val="00351DA3"/>
    <w:rsid w:val="0035397F"/>
    <w:rsid w:val="003543F2"/>
    <w:rsid w:val="003545EB"/>
    <w:rsid w:val="0035467F"/>
    <w:rsid w:val="00354732"/>
    <w:rsid w:val="00354979"/>
    <w:rsid w:val="00354C1A"/>
    <w:rsid w:val="00354D39"/>
    <w:rsid w:val="00355408"/>
    <w:rsid w:val="003558B2"/>
    <w:rsid w:val="00355960"/>
    <w:rsid w:val="0035629E"/>
    <w:rsid w:val="00356859"/>
    <w:rsid w:val="00356AF1"/>
    <w:rsid w:val="00356D50"/>
    <w:rsid w:val="00356DFF"/>
    <w:rsid w:val="003571B2"/>
    <w:rsid w:val="003571FE"/>
    <w:rsid w:val="00357290"/>
    <w:rsid w:val="00357530"/>
    <w:rsid w:val="003578B9"/>
    <w:rsid w:val="00357F2D"/>
    <w:rsid w:val="003604A7"/>
    <w:rsid w:val="003605DB"/>
    <w:rsid w:val="0036082E"/>
    <w:rsid w:val="00360897"/>
    <w:rsid w:val="00360CE8"/>
    <w:rsid w:val="00360FA9"/>
    <w:rsid w:val="0036118F"/>
    <w:rsid w:val="00361C36"/>
    <w:rsid w:val="00361F61"/>
    <w:rsid w:val="003625D4"/>
    <w:rsid w:val="00363F1A"/>
    <w:rsid w:val="003642A3"/>
    <w:rsid w:val="0036539F"/>
    <w:rsid w:val="003653DB"/>
    <w:rsid w:val="003657C9"/>
    <w:rsid w:val="00366264"/>
    <w:rsid w:val="003662DD"/>
    <w:rsid w:val="003665A9"/>
    <w:rsid w:val="00366BC2"/>
    <w:rsid w:val="003675D5"/>
    <w:rsid w:val="00367834"/>
    <w:rsid w:val="00367AC3"/>
    <w:rsid w:val="00367ED6"/>
    <w:rsid w:val="00370E74"/>
    <w:rsid w:val="00371106"/>
    <w:rsid w:val="00371162"/>
    <w:rsid w:val="00371313"/>
    <w:rsid w:val="00371898"/>
    <w:rsid w:val="00371F52"/>
    <w:rsid w:val="003721BF"/>
    <w:rsid w:val="00372406"/>
    <w:rsid w:val="00372A5E"/>
    <w:rsid w:val="00372E22"/>
    <w:rsid w:val="00373430"/>
    <w:rsid w:val="00373FE0"/>
    <w:rsid w:val="0037455C"/>
    <w:rsid w:val="00374599"/>
    <w:rsid w:val="0037467D"/>
    <w:rsid w:val="0037530D"/>
    <w:rsid w:val="00375762"/>
    <w:rsid w:val="00375A68"/>
    <w:rsid w:val="00376300"/>
    <w:rsid w:val="003764A4"/>
    <w:rsid w:val="00376901"/>
    <w:rsid w:val="003770FD"/>
    <w:rsid w:val="003773F5"/>
    <w:rsid w:val="003801CD"/>
    <w:rsid w:val="00380FF5"/>
    <w:rsid w:val="00381012"/>
    <w:rsid w:val="003812A1"/>
    <w:rsid w:val="00381807"/>
    <w:rsid w:val="0038218D"/>
    <w:rsid w:val="0038228C"/>
    <w:rsid w:val="003828FB"/>
    <w:rsid w:val="0038293B"/>
    <w:rsid w:val="003829CA"/>
    <w:rsid w:val="00382BAE"/>
    <w:rsid w:val="00382BD4"/>
    <w:rsid w:val="0038376B"/>
    <w:rsid w:val="00383793"/>
    <w:rsid w:val="003839F9"/>
    <w:rsid w:val="00384926"/>
    <w:rsid w:val="003849DC"/>
    <w:rsid w:val="00384C13"/>
    <w:rsid w:val="00387536"/>
    <w:rsid w:val="00387B96"/>
    <w:rsid w:val="00387C57"/>
    <w:rsid w:val="00387DC6"/>
    <w:rsid w:val="00390925"/>
    <w:rsid w:val="00390B37"/>
    <w:rsid w:val="00391505"/>
    <w:rsid w:val="003916B6"/>
    <w:rsid w:val="00391B1F"/>
    <w:rsid w:val="00392035"/>
    <w:rsid w:val="003927DF"/>
    <w:rsid w:val="00392F33"/>
    <w:rsid w:val="00393187"/>
    <w:rsid w:val="003932CF"/>
    <w:rsid w:val="0039388B"/>
    <w:rsid w:val="00393AD1"/>
    <w:rsid w:val="00393DCD"/>
    <w:rsid w:val="003943BE"/>
    <w:rsid w:val="00394702"/>
    <w:rsid w:val="00394834"/>
    <w:rsid w:val="00395175"/>
    <w:rsid w:val="003955D3"/>
    <w:rsid w:val="0039599A"/>
    <w:rsid w:val="003969E8"/>
    <w:rsid w:val="003974C9"/>
    <w:rsid w:val="00397589"/>
    <w:rsid w:val="003979D5"/>
    <w:rsid w:val="00397F97"/>
    <w:rsid w:val="00397FA1"/>
    <w:rsid w:val="003A074C"/>
    <w:rsid w:val="003A0ABD"/>
    <w:rsid w:val="003A0EDF"/>
    <w:rsid w:val="003A1119"/>
    <w:rsid w:val="003A14CF"/>
    <w:rsid w:val="003A2523"/>
    <w:rsid w:val="003A2B17"/>
    <w:rsid w:val="003A326A"/>
    <w:rsid w:val="003A381A"/>
    <w:rsid w:val="003A3A6E"/>
    <w:rsid w:val="003A4121"/>
    <w:rsid w:val="003A423F"/>
    <w:rsid w:val="003A430E"/>
    <w:rsid w:val="003A4460"/>
    <w:rsid w:val="003A4637"/>
    <w:rsid w:val="003A4A10"/>
    <w:rsid w:val="003A4D35"/>
    <w:rsid w:val="003A5FF0"/>
    <w:rsid w:val="003A6671"/>
    <w:rsid w:val="003A68AA"/>
    <w:rsid w:val="003A6B48"/>
    <w:rsid w:val="003A6CC3"/>
    <w:rsid w:val="003A7044"/>
    <w:rsid w:val="003A7826"/>
    <w:rsid w:val="003B0396"/>
    <w:rsid w:val="003B03B4"/>
    <w:rsid w:val="003B0BB5"/>
    <w:rsid w:val="003B0E16"/>
    <w:rsid w:val="003B1C0E"/>
    <w:rsid w:val="003B1F7F"/>
    <w:rsid w:val="003B2031"/>
    <w:rsid w:val="003B2629"/>
    <w:rsid w:val="003B2924"/>
    <w:rsid w:val="003B2AD4"/>
    <w:rsid w:val="003B2B7F"/>
    <w:rsid w:val="003B2CB3"/>
    <w:rsid w:val="003B2E04"/>
    <w:rsid w:val="003B312A"/>
    <w:rsid w:val="003B3745"/>
    <w:rsid w:val="003B43B0"/>
    <w:rsid w:val="003B47F6"/>
    <w:rsid w:val="003B53F6"/>
    <w:rsid w:val="003B590A"/>
    <w:rsid w:val="003B5E68"/>
    <w:rsid w:val="003B664C"/>
    <w:rsid w:val="003B694A"/>
    <w:rsid w:val="003B6DB1"/>
    <w:rsid w:val="003B77FF"/>
    <w:rsid w:val="003B7EAD"/>
    <w:rsid w:val="003C05F7"/>
    <w:rsid w:val="003C067A"/>
    <w:rsid w:val="003C0924"/>
    <w:rsid w:val="003C0FFF"/>
    <w:rsid w:val="003C1281"/>
    <w:rsid w:val="003C1C3B"/>
    <w:rsid w:val="003C2466"/>
    <w:rsid w:val="003C267F"/>
    <w:rsid w:val="003C3003"/>
    <w:rsid w:val="003C407F"/>
    <w:rsid w:val="003C4C69"/>
    <w:rsid w:val="003C4CEC"/>
    <w:rsid w:val="003C5235"/>
    <w:rsid w:val="003C5E25"/>
    <w:rsid w:val="003C633B"/>
    <w:rsid w:val="003C6B0F"/>
    <w:rsid w:val="003C6C1A"/>
    <w:rsid w:val="003C72E8"/>
    <w:rsid w:val="003C7619"/>
    <w:rsid w:val="003C772C"/>
    <w:rsid w:val="003C7938"/>
    <w:rsid w:val="003C7B86"/>
    <w:rsid w:val="003D1648"/>
    <w:rsid w:val="003D208B"/>
    <w:rsid w:val="003D2243"/>
    <w:rsid w:val="003D240C"/>
    <w:rsid w:val="003D27EE"/>
    <w:rsid w:val="003D3891"/>
    <w:rsid w:val="003D4137"/>
    <w:rsid w:val="003D4359"/>
    <w:rsid w:val="003D448F"/>
    <w:rsid w:val="003D566E"/>
    <w:rsid w:val="003D5A58"/>
    <w:rsid w:val="003D618E"/>
    <w:rsid w:val="003D6348"/>
    <w:rsid w:val="003D66D3"/>
    <w:rsid w:val="003D6BD8"/>
    <w:rsid w:val="003D73AA"/>
    <w:rsid w:val="003D78A8"/>
    <w:rsid w:val="003D7D99"/>
    <w:rsid w:val="003D7FDD"/>
    <w:rsid w:val="003E04DF"/>
    <w:rsid w:val="003E0F37"/>
    <w:rsid w:val="003E1637"/>
    <w:rsid w:val="003E22CF"/>
    <w:rsid w:val="003E2703"/>
    <w:rsid w:val="003E2AB6"/>
    <w:rsid w:val="003E2CDC"/>
    <w:rsid w:val="003E2E85"/>
    <w:rsid w:val="003E31DC"/>
    <w:rsid w:val="003E31F8"/>
    <w:rsid w:val="003E32B3"/>
    <w:rsid w:val="003E3472"/>
    <w:rsid w:val="003E35DA"/>
    <w:rsid w:val="003E47ED"/>
    <w:rsid w:val="003E4B47"/>
    <w:rsid w:val="003E4B85"/>
    <w:rsid w:val="003E4B8A"/>
    <w:rsid w:val="003E4D5E"/>
    <w:rsid w:val="003E4EAF"/>
    <w:rsid w:val="003E51AE"/>
    <w:rsid w:val="003E56FD"/>
    <w:rsid w:val="003E5956"/>
    <w:rsid w:val="003E59AF"/>
    <w:rsid w:val="003E59B6"/>
    <w:rsid w:val="003E5ABF"/>
    <w:rsid w:val="003E5E3C"/>
    <w:rsid w:val="003E6690"/>
    <w:rsid w:val="003E67E0"/>
    <w:rsid w:val="003E6FE2"/>
    <w:rsid w:val="003E778A"/>
    <w:rsid w:val="003E79CA"/>
    <w:rsid w:val="003E7D5D"/>
    <w:rsid w:val="003F02B6"/>
    <w:rsid w:val="003F0542"/>
    <w:rsid w:val="003F11C7"/>
    <w:rsid w:val="003F1DE0"/>
    <w:rsid w:val="003F1E52"/>
    <w:rsid w:val="003F21AD"/>
    <w:rsid w:val="003F2B29"/>
    <w:rsid w:val="003F325B"/>
    <w:rsid w:val="003F3299"/>
    <w:rsid w:val="003F340E"/>
    <w:rsid w:val="003F3646"/>
    <w:rsid w:val="003F399B"/>
    <w:rsid w:val="003F3BC1"/>
    <w:rsid w:val="003F40CA"/>
    <w:rsid w:val="003F42D6"/>
    <w:rsid w:val="003F49DF"/>
    <w:rsid w:val="003F5BA0"/>
    <w:rsid w:val="003F5DE2"/>
    <w:rsid w:val="003F684A"/>
    <w:rsid w:val="003F6D04"/>
    <w:rsid w:val="003F761F"/>
    <w:rsid w:val="003F76C8"/>
    <w:rsid w:val="003F77EE"/>
    <w:rsid w:val="003F7CD9"/>
    <w:rsid w:val="003F7EC3"/>
    <w:rsid w:val="004009A1"/>
    <w:rsid w:val="00400A2A"/>
    <w:rsid w:val="00400EFF"/>
    <w:rsid w:val="0040111A"/>
    <w:rsid w:val="0040157A"/>
    <w:rsid w:val="004022A0"/>
    <w:rsid w:val="0040235B"/>
    <w:rsid w:val="00402580"/>
    <w:rsid w:val="00403218"/>
    <w:rsid w:val="0040393F"/>
    <w:rsid w:val="00403B0E"/>
    <w:rsid w:val="00404227"/>
    <w:rsid w:val="004043F8"/>
    <w:rsid w:val="0040468E"/>
    <w:rsid w:val="00404803"/>
    <w:rsid w:val="00404826"/>
    <w:rsid w:val="00404D73"/>
    <w:rsid w:val="00404ED6"/>
    <w:rsid w:val="00404F57"/>
    <w:rsid w:val="00405B24"/>
    <w:rsid w:val="00405B76"/>
    <w:rsid w:val="00406021"/>
    <w:rsid w:val="0040625E"/>
    <w:rsid w:val="0040653F"/>
    <w:rsid w:val="004068E6"/>
    <w:rsid w:val="0040700F"/>
    <w:rsid w:val="00407D16"/>
    <w:rsid w:val="00407ECA"/>
    <w:rsid w:val="00411860"/>
    <w:rsid w:val="00411AAB"/>
    <w:rsid w:val="0041238A"/>
    <w:rsid w:val="00412BAA"/>
    <w:rsid w:val="00413F18"/>
    <w:rsid w:val="00414084"/>
    <w:rsid w:val="0041478D"/>
    <w:rsid w:val="00414B73"/>
    <w:rsid w:val="0041505B"/>
    <w:rsid w:val="00415A0B"/>
    <w:rsid w:val="0041653F"/>
    <w:rsid w:val="00416A37"/>
    <w:rsid w:val="00416B4E"/>
    <w:rsid w:val="00416DF3"/>
    <w:rsid w:val="0041766E"/>
    <w:rsid w:val="00417777"/>
    <w:rsid w:val="0042042A"/>
    <w:rsid w:val="004204A2"/>
    <w:rsid w:val="0042069D"/>
    <w:rsid w:val="00420859"/>
    <w:rsid w:val="00420B39"/>
    <w:rsid w:val="004213D7"/>
    <w:rsid w:val="004223E7"/>
    <w:rsid w:val="004227C3"/>
    <w:rsid w:val="00422A3A"/>
    <w:rsid w:val="00422C52"/>
    <w:rsid w:val="00422E02"/>
    <w:rsid w:val="00422F13"/>
    <w:rsid w:val="004233E2"/>
    <w:rsid w:val="004234EC"/>
    <w:rsid w:val="00423A43"/>
    <w:rsid w:val="004251BA"/>
    <w:rsid w:val="00425C0F"/>
    <w:rsid w:val="004261EC"/>
    <w:rsid w:val="00426EFB"/>
    <w:rsid w:val="00426EFD"/>
    <w:rsid w:val="00427176"/>
    <w:rsid w:val="004276AF"/>
    <w:rsid w:val="004278C4"/>
    <w:rsid w:val="00427EDB"/>
    <w:rsid w:val="0043011A"/>
    <w:rsid w:val="004310A2"/>
    <w:rsid w:val="00431896"/>
    <w:rsid w:val="0043190E"/>
    <w:rsid w:val="0043199E"/>
    <w:rsid w:val="00431ABF"/>
    <w:rsid w:val="00431EF6"/>
    <w:rsid w:val="00432A3D"/>
    <w:rsid w:val="0043351A"/>
    <w:rsid w:val="00433D68"/>
    <w:rsid w:val="00434734"/>
    <w:rsid w:val="00434A74"/>
    <w:rsid w:val="00434B71"/>
    <w:rsid w:val="00434E0E"/>
    <w:rsid w:val="00434F73"/>
    <w:rsid w:val="00435148"/>
    <w:rsid w:val="00435494"/>
    <w:rsid w:val="00435555"/>
    <w:rsid w:val="00435C72"/>
    <w:rsid w:val="004361D2"/>
    <w:rsid w:val="00436425"/>
    <w:rsid w:val="00437913"/>
    <w:rsid w:val="00440149"/>
    <w:rsid w:val="004404A7"/>
    <w:rsid w:val="004405DA"/>
    <w:rsid w:val="00440B0E"/>
    <w:rsid w:val="00440D6C"/>
    <w:rsid w:val="004434BD"/>
    <w:rsid w:val="00443971"/>
    <w:rsid w:val="004440D1"/>
    <w:rsid w:val="00444AE6"/>
    <w:rsid w:val="00445BED"/>
    <w:rsid w:val="004462CE"/>
    <w:rsid w:val="004463E0"/>
    <w:rsid w:val="004466BD"/>
    <w:rsid w:val="00446B35"/>
    <w:rsid w:val="00446BDD"/>
    <w:rsid w:val="00446D1D"/>
    <w:rsid w:val="00446D73"/>
    <w:rsid w:val="00446D78"/>
    <w:rsid w:val="0044708A"/>
    <w:rsid w:val="004475F7"/>
    <w:rsid w:val="00447A93"/>
    <w:rsid w:val="00447BE9"/>
    <w:rsid w:val="004504BD"/>
    <w:rsid w:val="00450C5B"/>
    <w:rsid w:val="00450EB5"/>
    <w:rsid w:val="0045139F"/>
    <w:rsid w:val="0045173C"/>
    <w:rsid w:val="00451C91"/>
    <w:rsid w:val="00451F2D"/>
    <w:rsid w:val="00452439"/>
    <w:rsid w:val="0045278A"/>
    <w:rsid w:val="00452F44"/>
    <w:rsid w:val="00452FC5"/>
    <w:rsid w:val="0045314F"/>
    <w:rsid w:val="00454512"/>
    <w:rsid w:val="004546BE"/>
    <w:rsid w:val="00454931"/>
    <w:rsid w:val="00454A50"/>
    <w:rsid w:val="00455E1B"/>
    <w:rsid w:val="0045614D"/>
    <w:rsid w:val="00456211"/>
    <w:rsid w:val="00456CC0"/>
    <w:rsid w:val="00456F4A"/>
    <w:rsid w:val="0045754B"/>
    <w:rsid w:val="00457EDC"/>
    <w:rsid w:val="00460460"/>
    <w:rsid w:val="00460592"/>
    <w:rsid w:val="00461504"/>
    <w:rsid w:val="00461A6A"/>
    <w:rsid w:val="0046344E"/>
    <w:rsid w:val="00463698"/>
    <w:rsid w:val="00463B73"/>
    <w:rsid w:val="00463EDB"/>
    <w:rsid w:val="0046508F"/>
    <w:rsid w:val="00465883"/>
    <w:rsid w:val="00465A96"/>
    <w:rsid w:val="00466C35"/>
    <w:rsid w:val="00466FA1"/>
    <w:rsid w:val="004678E9"/>
    <w:rsid w:val="00467A14"/>
    <w:rsid w:val="00467B0D"/>
    <w:rsid w:val="00470026"/>
    <w:rsid w:val="0047018A"/>
    <w:rsid w:val="00470654"/>
    <w:rsid w:val="00471115"/>
    <w:rsid w:val="00471360"/>
    <w:rsid w:val="0047151D"/>
    <w:rsid w:val="004719A5"/>
    <w:rsid w:val="00471B67"/>
    <w:rsid w:val="00471F42"/>
    <w:rsid w:val="00471F6F"/>
    <w:rsid w:val="00472CEB"/>
    <w:rsid w:val="00472D8C"/>
    <w:rsid w:val="00473733"/>
    <w:rsid w:val="0047378C"/>
    <w:rsid w:val="00473A47"/>
    <w:rsid w:val="00473AF1"/>
    <w:rsid w:val="00473B32"/>
    <w:rsid w:val="00474960"/>
    <w:rsid w:val="00474B52"/>
    <w:rsid w:val="00474DD5"/>
    <w:rsid w:val="00475429"/>
    <w:rsid w:val="00475D0E"/>
    <w:rsid w:val="00475D8E"/>
    <w:rsid w:val="00476833"/>
    <w:rsid w:val="00477547"/>
    <w:rsid w:val="00477718"/>
    <w:rsid w:val="00477AF4"/>
    <w:rsid w:val="00477DB3"/>
    <w:rsid w:val="0048007A"/>
    <w:rsid w:val="00480780"/>
    <w:rsid w:val="00481343"/>
    <w:rsid w:val="00481B0A"/>
    <w:rsid w:val="00481FD0"/>
    <w:rsid w:val="00482580"/>
    <w:rsid w:val="00482D28"/>
    <w:rsid w:val="00482EBB"/>
    <w:rsid w:val="00482F15"/>
    <w:rsid w:val="00483296"/>
    <w:rsid w:val="004833E6"/>
    <w:rsid w:val="00483943"/>
    <w:rsid w:val="00483CA9"/>
    <w:rsid w:val="004845F8"/>
    <w:rsid w:val="004850A6"/>
    <w:rsid w:val="00485232"/>
    <w:rsid w:val="00485348"/>
    <w:rsid w:val="0048537E"/>
    <w:rsid w:val="00485857"/>
    <w:rsid w:val="00485D3C"/>
    <w:rsid w:val="00486552"/>
    <w:rsid w:val="0048655C"/>
    <w:rsid w:val="004865F1"/>
    <w:rsid w:val="004866AE"/>
    <w:rsid w:val="00486F73"/>
    <w:rsid w:val="00490350"/>
    <w:rsid w:val="0049156E"/>
    <w:rsid w:val="004918C0"/>
    <w:rsid w:val="004921BD"/>
    <w:rsid w:val="00492B03"/>
    <w:rsid w:val="00492DF6"/>
    <w:rsid w:val="004935D9"/>
    <w:rsid w:val="00493B13"/>
    <w:rsid w:val="00494128"/>
    <w:rsid w:val="00494478"/>
    <w:rsid w:val="00494558"/>
    <w:rsid w:val="004950FA"/>
    <w:rsid w:val="004953CB"/>
    <w:rsid w:val="004953CC"/>
    <w:rsid w:val="004961E6"/>
    <w:rsid w:val="00497160"/>
    <w:rsid w:val="004978ED"/>
    <w:rsid w:val="00497B81"/>
    <w:rsid w:val="004A0292"/>
    <w:rsid w:val="004A0487"/>
    <w:rsid w:val="004A0859"/>
    <w:rsid w:val="004A14FD"/>
    <w:rsid w:val="004A1593"/>
    <w:rsid w:val="004A15CF"/>
    <w:rsid w:val="004A164E"/>
    <w:rsid w:val="004A1B25"/>
    <w:rsid w:val="004A23A9"/>
    <w:rsid w:val="004A23C7"/>
    <w:rsid w:val="004A2651"/>
    <w:rsid w:val="004A285E"/>
    <w:rsid w:val="004A34C1"/>
    <w:rsid w:val="004A4592"/>
    <w:rsid w:val="004A484D"/>
    <w:rsid w:val="004A4E13"/>
    <w:rsid w:val="004A512B"/>
    <w:rsid w:val="004A534C"/>
    <w:rsid w:val="004A53C0"/>
    <w:rsid w:val="004A597E"/>
    <w:rsid w:val="004A5A39"/>
    <w:rsid w:val="004A6545"/>
    <w:rsid w:val="004A747C"/>
    <w:rsid w:val="004B0148"/>
    <w:rsid w:val="004B0894"/>
    <w:rsid w:val="004B154F"/>
    <w:rsid w:val="004B19AF"/>
    <w:rsid w:val="004B22DB"/>
    <w:rsid w:val="004B2443"/>
    <w:rsid w:val="004B2AF2"/>
    <w:rsid w:val="004B3287"/>
    <w:rsid w:val="004B32BD"/>
    <w:rsid w:val="004B377D"/>
    <w:rsid w:val="004B3B2E"/>
    <w:rsid w:val="004B3C1A"/>
    <w:rsid w:val="004B4153"/>
    <w:rsid w:val="004B4881"/>
    <w:rsid w:val="004B4BA3"/>
    <w:rsid w:val="004B534F"/>
    <w:rsid w:val="004B5A31"/>
    <w:rsid w:val="004B6CE0"/>
    <w:rsid w:val="004B72E6"/>
    <w:rsid w:val="004B776F"/>
    <w:rsid w:val="004C033F"/>
    <w:rsid w:val="004C0578"/>
    <w:rsid w:val="004C0C02"/>
    <w:rsid w:val="004C1163"/>
    <w:rsid w:val="004C1AC4"/>
    <w:rsid w:val="004C23CB"/>
    <w:rsid w:val="004C2A43"/>
    <w:rsid w:val="004C2C75"/>
    <w:rsid w:val="004C30E7"/>
    <w:rsid w:val="004C3DD9"/>
    <w:rsid w:val="004C3E9C"/>
    <w:rsid w:val="004C4407"/>
    <w:rsid w:val="004C4BF9"/>
    <w:rsid w:val="004C502F"/>
    <w:rsid w:val="004C534E"/>
    <w:rsid w:val="004C6E1C"/>
    <w:rsid w:val="004D034E"/>
    <w:rsid w:val="004D0AA7"/>
    <w:rsid w:val="004D0B62"/>
    <w:rsid w:val="004D1083"/>
    <w:rsid w:val="004D17C7"/>
    <w:rsid w:val="004D1935"/>
    <w:rsid w:val="004D1B26"/>
    <w:rsid w:val="004D1E0F"/>
    <w:rsid w:val="004D229D"/>
    <w:rsid w:val="004D2402"/>
    <w:rsid w:val="004D2700"/>
    <w:rsid w:val="004D330C"/>
    <w:rsid w:val="004D3B09"/>
    <w:rsid w:val="004D4511"/>
    <w:rsid w:val="004D6512"/>
    <w:rsid w:val="004D676B"/>
    <w:rsid w:val="004D7029"/>
    <w:rsid w:val="004D73CB"/>
    <w:rsid w:val="004D73D9"/>
    <w:rsid w:val="004D79FE"/>
    <w:rsid w:val="004D7E0E"/>
    <w:rsid w:val="004E0614"/>
    <w:rsid w:val="004E07DC"/>
    <w:rsid w:val="004E1D5D"/>
    <w:rsid w:val="004E2167"/>
    <w:rsid w:val="004E25FC"/>
    <w:rsid w:val="004E261F"/>
    <w:rsid w:val="004E2930"/>
    <w:rsid w:val="004E2E56"/>
    <w:rsid w:val="004E3724"/>
    <w:rsid w:val="004E506C"/>
    <w:rsid w:val="004E52DD"/>
    <w:rsid w:val="004E5DE7"/>
    <w:rsid w:val="004E6572"/>
    <w:rsid w:val="004E6832"/>
    <w:rsid w:val="004E70D9"/>
    <w:rsid w:val="004E79E2"/>
    <w:rsid w:val="004F0108"/>
    <w:rsid w:val="004F01A7"/>
    <w:rsid w:val="004F0C4D"/>
    <w:rsid w:val="004F1E89"/>
    <w:rsid w:val="004F2886"/>
    <w:rsid w:val="004F2BD8"/>
    <w:rsid w:val="004F32A2"/>
    <w:rsid w:val="004F39DC"/>
    <w:rsid w:val="004F4626"/>
    <w:rsid w:val="004F490C"/>
    <w:rsid w:val="004F491E"/>
    <w:rsid w:val="004F4B1C"/>
    <w:rsid w:val="004F4C99"/>
    <w:rsid w:val="004F4F86"/>
    <w:rsid w:val="004F69DE"/>
    <w:rsid w:val="004F6EE6"/>
    <w:rsid w:val="004F7149"/>
    <w:rsid w:val="004F7629"/>
    <w:rsid w:val="004F7971"/>
    <w:rsid w:val="004F7D04"/>
    <w:rsid w:val="004F7F51"/>
    <w:rsid w:val="00500370"/>
    <w:rsid w:val="0050087A"/>
    <w:rsid w:val="00501596"/>
    <w:rsid w:val="0050185B"/>
    <w:rsid w:val="00501ACE"/>
    <w:rsid w:val="00501FD3"/>
    <w:rsid w:val="00502409"/>
    <w:rsid w:val="00502782"/>
    <w:rsid w:val="00502EF0"/>
    <w:rsid w:val="00503B21"/>
    <w:rsid w:val="00503DB6"/>
    <w:rsid w:val="00504A74"/>
    <w:rsid w:val="00504C93"/>
    <w:rsid w:val="00504D5F"/>
    <w:rsid w:val="00505564"/>
    <w:rsid w:val="0050578C"/>
    <w:rsid w:val="00506589"/>
    <w:rsid w:val="00507608"/>
    <w:rsid w:val="00510B7F"/>
    <w:rsid w:val="00511278"/>
    <w:rsid w:val="0051189A"/>
    <w:rsid w:val="005128B2"/>
    <w:rsid w:val="00513FF5"/>
    <w:rsid w:val="0051429C"/>
    <w:rsid w:val="0051463A"/>
    <w:rsid w:val="00514E23"/>
    <w:rsid w:val="00515041"/>
    <w:rsid w:val="005160A2"/>
    <w:rsid w:val="00516654"/>
    <w:rsid w:val="0051666F"/>
    <w:rsid w:val="005167DB"/>
    <w:rsid w:val="00516AC3"/>
    <w:rsid w:val="005175D9"/>
    <w:rsid w:val="00517B16"/>
    <w:rsid w:val="00517DCA"/>
    <w:rsid w:val="00517F20"/>
    <w:rsid w:val="0052037B"/>
    <w:rsid w:val="00520D65"/>
    <w:rsid w:val="00520F75"/>
    <w:rsid w:val="00521366"/>
    <w:rsid w:val="00521748"/>
    <w:rsid w:val="00521BA8"/>
    <w:rsid w:val="00521E96"/>
    <w:rsid w:val="00522130"/>
    <w:rsid w:val="00522DE4"/>
    <w:rsid w:val="00522E0C"/>
    <w:rsid w:val="00523103"/>
    <w:rsid w:val="00523DDD"/>
    <w:rsid w:val="00524ABE"/>
    <w:rsid w:val="005254D5"/>
    <w:rsid w:val="0052580D"/>
    <w:rsid w:val="00525816"/>
    <w:rsid w:val="005258DA"/>
    <w:rsid w:val="0052592A"/>
    <w:rsid w:val="00525A8E"/>
    <w:rsid w:val="005262D6"/>
    <w:rsid w:val="00526397"/>
    <w:rsid w:val="005269B1"/>
    <w:rsid w:val="00526C34"/>
    <w:rsid w:val="005276AD"/>
    <w:rsid w:val="0052777E"/>
    <w:rsid w:val="00527FBE"/>
    <w:rsid w:val="0053012A"/>
    <w:rsid w:val="00530436"/>
    <w:rsid w:val="00530AC4"/>
    <w:rsid w:val="00530D87"/>
    <w:rsid w:val="00531F00"/>
    <w:rsid w:val="00531F8E"/>
    <w:rsid w:val="0053206B"/>
    <w:rsid w:val="00532325"/>
    <w:rsid w:val="0053254C"/>
    <w:rsid w:val="00532917"/>
    <w:rsid w:val="00532DD7"/>
    <w:rsid w:val="0053305D"/>
    <w:rsid w:val="00533F59"/>
    <w:rsid w:val="00533F82"/>
    <w:rsid w:val="0053435F"/>
    <w:rsid w:val="00534589"/>
    <w:rsid w:val="00534AF4"/>
    <w:rsid w:val="00535320"/>
    <w:rsid w:val="005360CC"/>
    <w:rsid w:val="0053617A"/>
    <w:rsid w:val="005361DB"/>
    <w:rsid w:val="00536C9A"/>
    <w:rsid w:val="00537AA2"/>
    <w:rsid w:val="0054021A"/>
    <w:rsid w:val="00540421"/>
    <w:rsid w:val="005406E6"/>
    <w:rsid w:val="005409E2"/>
    <w:rsid w:val="005411D3"/>
    <w:rsid w:val="0054132A"/>
    <w:rsid w:val="00541820"/>
    <w:rsid w:val="00541A63"/>
    <w:rsid w:val="00541B22"/>
    <w:rsid w:val="00542435"/>
    <w:rsid w:val="00542A5B"/>
    <w:rsid w:val="00542FEB"/>
    <w:rsid w:val="005431DD"/>
    <w:rsid w:val="00543948"/>
    <w:rsid w:val="005439EC"/>
    <w:rsid w:val="00543A0A"/>
    <w:rsid w:val="00543ACB"/>
    <w:rsid w:val="00543DB4"/>
    <w:rsid w:val="0054411A"/>
    <w:rsid w:val="00544638"/>
    <w:rsid w:val="00545031"/>
    <w:rsid w:val="00545661"/>
    <w:rsid w:val="0054588C"/>
    <w:rsid w:val="0054617B"/>
    <w:rsid w:val="005461FB"/>
    <w:rsid w:val="0054668E"/>
    <w:rsid w:val="00546AFA"/>
    <w:rsid w:val="005472B0"/>
    <w:rsid w:val="00547BA8"/>
    <w:rsid w:val="00547F0B"/>
    <w:rsid w:val="00547FD9"/>
    <w:rsid w:val="005508E0"/>
    <w:rsid w:val="00550ADA"/>
    <w:rsid w:val="00550FCA"/>
    <w:rsid w:val="00551C18"/>
    <w:rsid w:val="005527C1"/>
    <w:rsid w:val="005529E5"/>
    <w:rsid w:val="00552C14"/>
    <w:rsid w:val="00552F21"/>
    <w:rsid w:val="005537DD"/>
    <w:rsid w:val="00553C97"/>
    <w:rsid w:val="005540A8"/>
    <w:rsid w:val="0055412D"/>
    <w:rsid w:val="005546B4"/>
    <w:rsid w:val="005548B7"/>
    <w:rsid w:val="00555F51"/>
    <w:rsid w:val="00556065"/>
    <w:rsid w:val="005565ED"/>
    <w:rsid w:val="005568AC"/>
    <w:rsid w:val="00556B84"/>
    <w:rsid w:val="00557316"/>
    <w:rsid w:val="0055760D"/>
    <w:rsid w:val="0056030E"/>
    <w:rsid w:val="005604EE"/>
    <w:rsid w:val="005606CF"/>
    <w:rsid w:val="00560BD3"/>
    <w:rsid w:val="00560CAF"/>
    <w:rsid w:val="00561841"/>
    <w:rsid w:val="0056197B"/>
    <w:rsid w:val="0056212B"/>
    <w:rsid w:val="00562F7E"/>
    <w:rsid w:val="00563AF8"/>
    <w:rsid w:val="00564943"/>
    <w:rsid w:val="0056495A"/>
    <w:rsid w:val="00564DCF"/>
    <w:rsid w:val="00564E97"/>
    <w:rsid w:val="0056529B"/>
    <w:rsid w:val="00565530"/>
    <w:rsid w:val="00565A9D"/>
    <w:rsid w:val="00565AA7"/>
    <w:rsid w:val="00566E0E"/>
    <w:rsid w:val="00566F0D"/>
    <w:rsid w:val="00566FD7"/>
    <w:rsid w:val="00567061"/>
    <w:rsid w:val="0056792F"/>
    <w:rsid w:val="00567A60"/>
    <w:rsid w:val="00567C62"/>
    <w:rsid w:val="00567D50"/>
    <w:rsid w:val="00567D78"/>
    <w:rsid w:val="00567FDB"/>
    <w:rsid w:val="00570BB8"/>
    <w:rsid w:val="00570DFB"/>
    <w:rsid w:val="00571110"/>
    <w:rsid w:val="00571A15"/>
    <w:rsid w:val="005720F0"/>
    <w:rsid w:val="00572C52"/>
    <w:rsid w:val="0057303A"/>
    <w:rsid w:val="00573473"/>
    <w:rsid w:val="00573655"/>
    <w:rsid w:val="00574862"/>
    <w:rsid w:val="005754CC"/>
    <w:rsid w:val="00576360"/>
    <w:rsid w:val="005764BE"/>
    <w:rsid w:val="00576527"/>
    <w:rsid w:val="00576ADD"/>
    <w:rsid w:val="00576F6F"/>
    <w:rsid w:val="0057784F"/>
    <w:rsid w:val="00577BF2"/>
    <w:rsid w:val="0058010F"/>
    <w:rsid w:val="00580D6F"/>
    <w:rsid w:val="0058117C"/>
    <w:rsid w:val="005811DE"/>
    <w:rsid w:val="0058162A"/>
    <w:rsid w:val="00581E97"/>
    <w:rsid w:val="005824E5"/>
    <w:rsid w:val="005826F3"/>
    <w:rsid w:val="00582B42"/>
    <w:rsid w:val="00582B98"/>
    <w:rsid w:val="00583144"/>
    <w:rsid w:val="00583A59"/>
    <w:rsid w:val="005842D4"/>
    <w:rsid w:val="005843F2"/>
    <w:rsid w:val="00584853"/>
    <w:rsid w:val="00584A9F"/>
    <w:rsid w:val="00584E9F"/>
    <w:rsid w:val="00585882"/>
    <w:rsid w:val="005859A1"/>
    <w:rsid w:val="00585BEF"/>
    <w:rsid w:val="00585BF6"/>
    <w:rsid w:val="005862B0"/>
    <w:rsid w:val="005862B4"/>
    <w:rsid w:val="00586395"/>
    <w:rsid w:val="00586557"/>
    <w:rsid w:val="00586AE0"/>
    <w:rsid w:val="005872D2"/>
    <w:rsid w:val="00587356"/>
    <w:rsid w:val="00587989"/>
    <w:rsid w:val="00587B59"/>
    <w:rsid w:val="00590284"/>
    <w:rsid w:val="00590E51"/>
    <w:rsid w:val="0059112F"/>
    <w:rsid w:val="00591188"/>
    <w:rsid w:val="00591297"/>
    <w:rsid w:val="0059146E"/>
    <w:rsid w:val="0059168F"/>
    <w:rsid w:val="00591693"/>
    <w:rsid w:val="005917A6"/>
    <w:rsid w:val="005917FB"/>
    <w:rsid w:val="005919ED"/>
    <w:rsid w:val="00591EE3"/>
    <w:rsid w:val="00592145"/>
    <w:rsid w:val="00592C49"/>
    <w:rsid w:val="00592F7B"/>
    <w:rsid w:val="00593AEA"/>
    <w:rsid w:val="0059430A"/>
    <w:rsid w:val="00594412"/>
    <w:rsid w:val="0059482F"/>
    <w:rsid w:val="00594BFF"/>
    <w:rsid w:val="00595282"/>
    <w:rsid w:val="00595358"/>
    <w:rsid w:val="00595937"/>
    <w:rsid w:val="00595973"/>
    <w:rsid w:val="00595CAD"/>
    <w:rsid w:val="0059616C"/>
    <w:rsid w:val="00596659"/>
    <w:rsid w:val="00597226"/>
    <w:rsid w:val="005972E2"/>
    <w:rsid w:val="005973A8"/>
    <w:rsid w:val="00597EE8"/>
    <w:rsid w:val="005A0246"/>
    <w:rsid w:val="005A0307"/>
    <w:rsid w:val="005A0B1E"/>
    <w:rsid w:val="005A0BEB"/>
    <w:rsid w:val="005A125B"/>
    <w:rsid w:val="005A1274"/>
    <w:rsid w:val="005A1783"/>
    <w:rsid w:val="005A1C86"/>
    <w:rsid w:val="005A2D79"/>
    <w:rsid w:val="005A3C78"/>
    <w:rsid w:val="005A3E31"/>
    <w:rsid w:val="005A4A1A"/>
    <w:rsid w:val="005A4B95"/>
    <w:rsid w:val="005A4BE7"/>
    <w:rsid w:val="005A4F4A"/>
    <w:rsid w:val="005A512C"/>
    <w:rsid w:val="005A5629"/>
    <w:rsid w:val="005A579B"/>
    <w:rsid w:val="005A5D18"/>
    <w:rsid w:val="005A5DB7"/>
    <w:rsid w:val="005A717D"/>
    <w:rsid w:val="005A7236"/>
    <w:rsid w:val="005A7CEB"/>
    <w:rsid w:val="005B01EB"/>
    <w:rsid w:val="005B0401"/>
    <w:rsid w:val="005B16C5"/>
    <w:rsid w:val="005B1B1F"/>
    <w:rsid w:val="005B1BD0"/>
    <w:rsid w:val="005B1DC4"/>
    <w:rsid w:val="005B24AD"/>
    <w:rsid w:val="005B2B7A"/>
    <w:rsid w:val="005B2CA0"/>
    <w:rsid w:val="005B31CE"/>
    <w:rsid w:val="005B427E"/>
    <w:rsid w:val="005B4428"/>
    <w:rsid w:val="005B47C6"/>
    <w:rsid w:val="005B4A87"/>
    <w:rsid w:val="005B51DE"/>
    <w:rsid w:val="005B5996"/>
    <w:rsid w:val="005B5E81"/>
    <w:rsid w:val="005B6308"/>
    <w:rsid w:val="005B6557"/>
    <w:rsid w:val="005B70C4"/>
    <w:rsid w:val="005B713A"/>
    <w:rsid w:val="005B77E2"/>
    <w:rsid w:val="005C0040"/>
    <w:rsid w:val="005C03DE"/>
    <w:rsid w:val="005C0D5C"/>
    <w:rsid w:val="005C11A5"/>
    <w:rsid w:val="005C125A"/>
    <w:rsid w:val="005C168C"/>
    <w:rsid w:val="005C1A10"/>
    <w:rsid w:val="005C1C6F"/>
    <w:rsid w:val="005C2117"/>
    <w:rsid w:val="005C2296"/>
    <w:rsid w:val="005C22E8"/>
    <w:rsid w:val="005C2912"/>
    <w:rsid w:val="005C2953"/>
    <w:rsid w:val="005C2B24"/>
    <w:rsid w:val="005C2BB4"/>
    <w:rsid w:val="005C46D3"/>
    <w:rsid w:val="005C4788"/>
    <w:rsid w:val="005C4932"/>
    <w:rsid w:val="005C4A7D"/>
    <w:rsid w:val="005C4B8C"/>
    <w:rsid w:val="005C5318"/>
    <w:rsid w:val="005C556B"/>
    <w:rsid w:val="005C5D3F"/>
    <w:rsid w:val="005C5DD5"/>
    <w:rsid w:val="005C5EAD"/>
    <w:rsid w:val="005C6335"/>
    <w:rsid w:val="005C6547"/>
    <w:rsid w:val="005C6878"/>
    <w:rsid w:val="005C70DB"/>
    <w:rsid w:val="005C75D7"/>
    <w:rsid w:val="005C7895"/>
    <w:rsid w:val="005D011F"/>
    <w:rsid w:val="005D1368"/>
    <w:rsid w:val="005D1620"/>
    <w:rsid w:val="005D1B39"/>
    <w:rsid w:val="005D2014"/>
    <w:rsid w:val="005D25AE"/>
    <w:rsid w:val="005D2898"/>
    <w:rsid w:val="005D337C"/>
    <w:rsid w:val="005D3C87"/>
    <w:rsid w:val="005D4090"/>
    <w:rsid w:val="005D433C"/>
    <w:rsid w:val="005D4781"/>
    <w:rsid w:val="005D5070"/>
    <w:rsid w:val="005D5818"/>
    <w:rsid w:val="005D5B36"/>
    <w:rsid w:val="005D5BB3"/>
    <w:rsid w:val="005D602E"/>
    <w:rsid w:val="005D61F4"/>
    <w:rsid w:val="005D631A"/>
    <w:rsid w:val="005D67FA"/>
    <w:rsid w:val="005D7049"/>
    <w:rsid w:val="005D73BE"/>
    <w:rsid w:val="005D75BD"/>
    <w:rsid w:val="005D7CD6"/>
    <w:rsid w:val="005E057C"/>
    <w:rsid w:val="005E0EE4"/>
    <w:rsid w:val="005E1C75"/>
    <w:rsid w:val="005E2AA9"/>
    <w:rsid w:val="005E2B7C"/>
    <w:rsid w:val="005E2C86"/>
    <w:rsid w:val="005E36F2"/>
    <w:rsid w:val="005E3C9B"/>
    <w:rsid w:val="005E434C"/>
    <w:rsid w:val="005E4447"/>
    <w:rsid w:val="005E4531"/>
    <w:rsid w:val="005E4618"/>
    <w:rsid w:val="005E4996"/>
    <w:rsid w:val="005E4D5E"/>
    <w:rsid w:val="005E5DF8"/>
    <w:rsid w:val="005E5E27"/>
    <w:rsid w:val="005E6454"/>
    <w:rsid w:val="005E66A1"/>
    <w:rsid w:val="005E7056"/>
    <w:rsid w:val="005E745D"/>
    <w:rsid w:val="005E75A7"/>
    <w:rsid w:val="005F0458"/>
    <w:rsid w:val="005F1780"/>
    <w:rsid w:val="005F1861"/>
    <w:rsid w:val="005F1961"/>
    <w:rsid w:val="005F1DA3"/>
    <w:rsid w:val="005F20D1"/>
    <w:rsid w:val="005F222C"/>
    <w:rsid w:val="005F273F"/>
    <w:rsid w:val="005F28DE"/>
    <w:rsid w:val="005F2CD5"/>
    <w:rsid w:val="005F387C"/>
    <w:rsid w:val="005F3DC4"/>
    <w:rsid w:val="005F40C6"/>
    <w:rsid w:val="005F48F7"/>
    <w:rsid w:val="005F4A4C"/>
    <w:rsid w:val="005F4DAE"/>
    <w:rsid w:val="005F4F90"/>
    <w:rsid w:val="005F56B9"/>
    <w:rsid w:val="005F5A49"/>
    <w:rsid w:val="005F5B1F"/>
    <w:rsid w:val="005F5BCE"/>
    <w:rsid w:val="005F6639"/>
    <w:rsid w:val="005F6C5D"/>
    <w:rsid w:val="005F6E87"/>
    <w:rsid w:val="005F74CC"/>
    <w:rsid w:val="00600157"/>
    <w:rsid w:val="006001E3"/>
    <w:rsid w:val="00600325"/>
    <w:rsid w:val="00600DAC"/>
    <w:rsid w:val="00601271"/>
    <w:rsid w:val="006018E1"/>
    <w:rsid w:val="00601D2B"/>
    <w:rsid w:val="006023D2"/>
    <w:rsid w:val="006028CB"/>
    <w:rsid w:val="00602ABF"/>
    <w:rsid w:val="00602B37"/>
    <w:rsid w:val="00603B6B"/>
    <w:rsid w:val="00603C1E"/>
    <w:rsid w:val="00604080"/>
    <w:rsid w:val="006044CC"/>
    <w:rsid w:val="00605005"/>
    <w:rsid w:val="006060FB"/>
    <w:rsid w:val="0060652D"/>
    <w:rsid w:val="006069C6"/>
    <w:rsid w:val="00606C68"/>
    <w:rsid w:val="006072EA"/>
    <w:rsid w:val="006073B0"/>
    <w:rsid w:val="00607B06"/>
    <w:rsid w:val="00607B87"/>
    <w:rsid w:val="00607EC9"/>
    <w:rsid w:val="006103B0"/>
    <w:rsid w:val="00610A60"/>
    <w:rsid w:val="00610C4F"/>
    <w:rsid w:val="006112FB"/>
    <w:rsid w:val="00611714"/>
    <w:rsid w:val="006117D4"/>
    <w:rsid w:val="0061237F"/>
    <w:rsid w:val="0061328F"/>
    <w:rsid w:val="00613416"/>
    <w:rsid w:val="00613C51"/>
    <w:rsid w:val="00614386"/>
    <w:rsid w:val="00614A4D"/>
    <w:rsid w:val="00615155"/>
    <w:rsid w:val="006153F6"/>
    <w:rsid w:val="00615CD2"/>
    <w:rsid w:val="0061665F"/>
    <w:rsid w:val="00616661"/>
    <w:rsid w:val="00616B5C"/>
    <w:rsid w:val="00616F3E"/>
    <w:rsid w:val="00617041"/>
    <w:rsid w:val="0061766E"/>
    <w:rsid w:val="00617791"/>
    <w:rsid w:val="0062051E"/>
    <w:rsid w:val="006205BD"/>
    <w:rsid w:val="00620921"/>
    <w:rsid w:val="00620BEA"/>
    <w:rsid w:val="00620CF9"/>
    <w:rsid w:val="00621BF0"/>
    <w:rsid w:val="006221EE"/>
    <w:rsid w:val="006226B4"/>
    <w:rsid w:val="00622C27"/>
    <w:rsid w:val="00623282"/>
    <w:rsid w:val="006237FD"/>
    <w:rsid w:val="00623B7F"/>
    <w:rsid w:val="00623F10"/>
    <w:rsid w:val="00624070"/>
    <w:rsid w:val="006253AF"/>
    <w:rsid w:val="0062581C"/>
    <w:rsid w:val="00625BAE"/>
    <w:rsid w:val="00627144"/>
    <w:rsid w:val="006275F5"/>
    <w:rsid w:val="00627675"/>
    <w:rsid w:val="00627E73"/>
    <w:rsid w:val="00627F31"/>
    <w:rsid w:val="00630268"/>
    <w:rsid w:val="006309EB"/>
    <w:rsid w:val="00630BF4"/>
    <w:rsid w:val="00630CD6"/>
    <w:rsid w:val="00630F8A"/>
    <w:rsid w:val="0063105A"/>
    <w:rsid w:val="00631ECE"/>
    <w:rsid w:val="0063228C"/>
    <w:rsid w:val="00632B93"/>
    <w:rsid w:val="0063303E"/>
    <w:rsid w:val="00633854"/>
    <w:rsid w:val="00633CB4"/>
    <w:rsid w:val="00633F57"/>
    <w:rsid w:val="00633FA2"/>
    <w:rsid w:val="006343CA"/>
    <w:rsid w:val="0063449F"/>
    <w:rsid w:val="00634692"/>
    <w:rsid w:val="00634894"/>
    <w:rsid w:val="0063499D"/>
    <w:rsid w:val="00635156"/>
    <w:rsid w:val="00635192"/>
    <w:rsid w:val="0063542A"/>
    <w:rsid w:val="006355BB"/>
    <w:rsid w:val="00636240"/>
    <w:rsid w:val="006366E4"/>
    <w:rsid w:val="00637084"/>
    <w:rsid w:val="0063767E"/>
    <w:rsid w:val="00637688"/>
    <w:rsid w:val="00637761"/>
    <w:rsid w:val="0063784A"/>
    <w:rsid w:val="006378FD"/>
    <w:rsid w:val="00637946"/>
    <w:rsid w:val="00637E4E"/>
    <w:rsid w:val="00637EA4"/>
    <w:rsid w:val="00640166"/>
    <w:rsid w:val="00640A19"/>
    <w:rsid w:val="00640B4B"/>
    <w:rsid w:val="00640E86"/>
    <w:rsid w:val="006415B1"/>
    <w:rsid w:val="0064162F"/>
    <w:rsid w:val="006416EE"/>
    <w:rsid w:val="00641B93"/>
    <w:rsid w:val="00641DDB"/>
    <w:rsid w:val="00641F4C"/>
    <w:rsid w:val="00642313"/>
    <w:rsid w:val="00642696"/>
    <w:rsid w:val="0064314D"/>
    <w:rsid w:val="006433F8"/>
    <w:rsid w:val="0064369E"/>
    <w:rsid w:val="00643851"/>
    <w:rsid w:val="00643D44"/>
    <w:rsid w:val="00643E92"/>
    <w:rsid w:val="00644360"/>
    <w:rsid w:val="00645856"/>
    <w:rsid w:val="00645AD7"/>
    <w:rsid w:val="00645B80"/>
    <w:rsid w:val="0064616A"/>
    <w:rsid w:val="00646371"/>
    <w:rsid w:val="0064738E"/>
    <w:rsid w:val="006473F2"/>
    <w:rsid w:val="0064784D"/>
    <w:rsid w:val="00647A6E"/>
    <w:rsid w:val="00647E2C"/>
    <w:rsid w:val="006500A9"/>
    <w:rsid w:val="006520B8"/>
    <w:rsid w:val="00653D95"/>
    <w:rsid w:val="00653DC4"/>
    <w:rsid w:val="0065422B"/>
    <w:rsid w:val="00654C4B"/>
    <w:rsid w:val="00654D76"/>
    <w:rsid w:val="00654E7A"/>
    <w:rsid w:val="00654E87"/>
    <w:rsid w:val="00655929"/>
    <w:rsid w:val="006559E3"/>
    <w:rsid w:val="00655A03"/>
    <w:rsid w:val="0065631D"/>
    <w:rsid w:val="006564DB"/>
    <w:rsid w:val="006565F5"/>
    <w:rsid w:val="00656992"/>
    <w:rsid w:val="0065775E"/>
    <w:rsid w:val="006579BA"/>
    <w:rsid w:val="00657C92"/>
    <w:rsid w:val="00657F5A"/>
    <w:rsid w:val="00660C4F"/>
    <w:rsid w:val="00661C1F"/>
    <w:rsid w:val="00661E66"/>
    <w:rsid w:val="0066207A"/>
    <w:rsid w:val="00662458"/>
    <w:rsid w:val="0066252E"/>
    <w:rsid w:val="00663361"/>
    <w:rsid w:val="00664260"/>
    <w:rsid w:val="00664D9F"/>
    <w:rsid w:val="00665062"/>
    <w:rsid w:val="00665FDE"/>
    <w:rsid w:val="00666F7B"/>
    <w:rsid w:val="00667ED5"/>
    <w:rsid w:val="006700F1"/>
    <w:rsid w:val="0067026D"/>
    <w:rsid w:val="006708B1"/>
    <w:rsid w:val="00670DE6"/>
    <w:rsid w:val="00670F2B"/>
    <w:rsid w:val="00671322"/>
    <w:rsid w:val="0067409B"/>
    <w:rsid w:val="00674253"/>
    <w:rsid w:val="006742B2"/>
    <w:rsid w:val="00674437"/>
    <w:rsid w:val="006745A3"/>
    <w:rsid w:val="00674B06"/>
    <w:rsid w:val="00674C2B"/>
    <w:rsid w:val="006751A0"/>
    <w:rsid w:val="006756B2"/>
    <w:rsid w:val="00675700"/>
    <w:rsid w:val="00675931"/>
    <w:rsid w:val="00675BAC"/>
    <w:rsid w:val="00675D4B"/>
    <w:rsid w:val="00675D58"/>
    <w:rsid w:val="00675EF2"/>
    <w:rsid w:val="00676068"/>
    <w:rsid w:val="006765BB"/>
    <w:rsid w:val="006767E5"/>
    <w:rsid w:val="00676AE5"/>
    <w:rsid w:val="00676E3F"/>
    <w:rsid w:val="00677043"/>
    <w:rsid w:val="006772C3"/>
    <w:rsid w:val="006774B5"/>
    <w:rsid w:val="00677D3B"/>
    <w:rsid w:val="00680344"/>
    <w:rsid w:val="00681144"/>
    <w:rsid w:val="00681234"/>
    <w:rsid w:val="00682C13"/>
    <w:rsid w:val="00682F3E"/>
    <w:rsid w:val="0068304A"/>
    <w:rsid w:val="006836AA"/>
    <w:rsid w:val="0068381F"/>
    <w:rsid w:val="00683B00"/>
    <w:rsid w:val="00683C13"/>
    <w:rsid w:val="00684632"/>
    <w:rsid w:val="006849D1"/>
    <w:rsid w:val="0068576F"/>
    <w:rsid w:val="00685776"/>
    <w:rsid w:val="006858C0"/>
    <w:rsid w:val="00686262"/>
    <w:rsid w:val="0068639F"/>
    <w:rsid w:val="00686A0F"/>
    <w:rsid w:val="00687332"/>
    <w:rsid w:val="0069012E"/>
    <w:rsid w:val="006904F7"/>
    <w:rsid w:val="00690658"/>
    <w:rsid w:val="00690AA7"/>
    <w:rsid w:val="0069136C"/>
    <w:rsid w:val="006917A4"/>
    <w:rsid w:val="00691BCE"/>
    <w:rsid w:val="00691C7C"/>
    <w:rsid w:val="00691D10"/>
    <w:rsid w:val="00691E01"/>
    <w:rsid w:val="0069201C"/>
    <w:rsid w:val="0069269B"/>
    <w:rsid w:val="006933E0"/>
    <w:rsid w:val="00693498"/>
    <w:rsid w:val="006937C2"/>
    <w:rsid w:val="00693874"/>
    <w:rsid w:val="0069398C"/>
    <w:rsid w:val="006939DF"/>
    <w:rsid w:val="00693BB1"/>
    <w:rsid w:val="00693DAF"/>
    <w:rsid w:val="00693E5A"/>
    <w:rsid w:val="00693F0B"/>
    <w:rsid w:val="00695F20"/>
    <w:rsid w:val="006960BA"/>
    <w:rsid w:val="00696549"/>
    <w:rsid w:val="00696E28"/>
    <w:rsid w:val="006970F3"/>
    <w:rsid w:val="006A0FA0"/>
    <w:rsid w:val="006A14C5"/>
    <w:rsid w:val="006A255F"/>
    <w:rsid w:val="006A2995"/>
    <w:rsid w:val="006A2DA0"/>
    <w:rsid w:val="006A3121"/>
    <w:rsid w:val="006A3302"/>
    <w:rsid w:val="006A39B7"/>
    <w:rsid w:val="006A3AC7"/>
    <w:rsid w:val="006A3AEF"/>
    <w:rsid w:val="006A4929"/>
    <w:rsid w:val="006A4957"/>
    <w:rsid w:val="006A4D19"/>
    <w:rsid w:val="006A52E0"/>
    <w:rsid w:val="006A559E"/>
    <w:rsid w:val="006A592E"/>
    <w:rsid w:val="006A5EAC"/>
    <w:rsid w:val="006A64A3"/>
    <w:rsid w:val="006A6848"/>
    <w:rsid w:val="006A6876"/>
    <w:rsid w:val="006A6DD6"/>
    <w:rsid w:val="006A710A"/>
    <w:rsid w:val="006A7157"/>
    <w:rsid w:val="006A7B02"/>
    <w:rsid w:val="006A7E20"/>
    <w:rsid w:val="006B065F"/>
    <w:rsid w:val="006B09C0"/>
    <w:rsid w:val="006B0A42"/>
    <w:rsid w:val="006B1471"/>
    <w:rsid w:val="006B14A8"/>
    <w:rsid w:val="006B1C5B"/>
    <w:rsid w:val="006B204A"/>
    <w:rsid w:val="006B2775"/>
    <w:rsid w:val="006B27B0"/>
    <w:rsid w:val="006B2BF3"/>
    <w:rsid w:val="006B2F97"/>
    <w:rsid w:val="006B33AE"/>
    <w:rsid w:val="006B39E9"/>
    <w:rsid w:val="006B4580"/>
    <w:rsid w:val="006B58B8"/>
    <w:rsid w:val="006B5CE0"/>
    <w:rsid w:val="006B628D"/>
    <w:rsid w:val="006B63AB"/>
    <w:rsid w:val="006B63B1"/>
    <w:rsid w:val="006B6E2F"/>
    <w:rsid w:val="006B7134"/>
    <w:rsid w:val="006B74E8"/>
    <w:rsid w:val="006B755D"/>
    <w:rsid w:val="006B7CA8"/>
    <w:rsid w:val="006C0467"/>
    <w:rsid w:val="006C0B0A"/>
    <w:rsid w:val="006C0C53"/>
    <w:rsid w:val="006C0D62"/>
    <w:rsid w:val="006C0D79"/>
    <w:rsid w:val="006C1A53"/>
    <w:rsid w:val="006C20CB"/>
    <w:rsid w:val="006C2115"/>
    <w:rsid w:val="006C2168"/>
    <w:rsid w:val="006C2195"/>
    <w:rsid w:val="006C2252"/>
    <w:rsid w:val="006C267A"/>
    <w:rsid w:val="006C26C0"/>
    <w:rsid w:val="006C26D5"/>
    <w:rsid w:val="006C2781"/>
    <w:rsid w:val="006C2899"/>
    <w:rsid w:val="006C2CEB"/>
    <w:rsid w:val="006C3109"/>
    <w:rsid w:val="006C32A2"/>
    <w:rsid w:val="006C3719"/>
    <w:rsid w:val="006C3CA6"/>
    <w:rsid w:val="006C3E6C"/>
    <w:rsid w:val="006C40A1"/>
    <w:rsid w:val="006C4282"/>
    <w:rsid w:val="006C4804"/>
    <w:rsid w:val="006C4D36"/>
    <w:rsid w:val="006C5701"/>
    <w:rsid w:val="006C58E5"/>
    <w:rsid w:val="006C5A9E"/>
    <w:rsid w:val="006C6198"/>
    <w:rsid w:val="006C6AED"/>
    <w:rsid w:val="006C6B05"/>
    <w:rsid w:val="006C7521"/>
    <w:rsid w:val="006C7F23"/>
    <w:rsid w:val="006D04A3"/>
    <w:rsid w:val="006D0613"/>
    <w:rsid w:val="006D0771"/>
    <w:rsid w:val="006D097D"/>
    <w:rsid w:val="006D16D3"/>
    <w:rsid w:val="006D1B90"/>
    <w:rsid w:val="006D1E09"/>
    <w:rsid w:val="006D2231"/>
    <w:rsid w:val="006D2380"/>
    <w:rsid w:val="006D2F61"/>
    <w:rsid w:val="006D43B0"/>
    <w:rsid w:val="006D5587"/>
    <w:rsid w:val="006D6421"/>
    <w:rsid w:val="006D6554"/>
    <w:rsid w:val="006D7F62"/>
    <w:rsid w:val="006E0080"/>
    <w:rsid w:val="006E00BA"/>
    <w:rsid w:val="006E061E"/>
    <w:rsid w:val="006E0BCE"/>
    <w:rsid w:val="006E17FD"/>
    <w:rsid w:val="006E1BE3"/>
    <w:rsid w:val="006E1E1B"/>
    <w:rsid w:val="006E1F62"/>
    <w:rsid w:val="006E200A"/>
    <w:rsid w:val="006E25DE"/>
    <w:rsid w:val="006E25E0"/>
    <w:rsid w:val="006E28BE"/>
    <w:rsid w:val="006E28CC"/>
    <w:rsid w:val="006E3432"/>
    <w:rsid w:val="006E34BF"/>
    <w:rsid w:val="006E3DD3"/>
    <w:rsid w:val="006E3EB1"/>
    <w:rsid w:val="006E4088"/>
    <w:rsid w:val="006E41F1"/>
    <w:rsid w:val="006E4610"/>
    <w:rsid w:val="006E47CD"/>
    <w:rsid w:val="006E48E0"/>
    <w:rsid w:val="006E4DD6"/>
    <w:rsid w:val="006E535D"/>
    <w:rsid w:val="006E5BA2"/>
    <w:rsid w:val="006E66DB"/>
    <w:rsid w:val="006E68AE"/>
    <w:rsid w:val="006E6C1F"/>
    <w:rsid w:val="006E6CC3"/>
    <w:rsid w:val="006E6F5C"/>
    <w:rsid w:val="006E7097"/>
    <w:rsid w:val="006E7A78"/>
    <w:rsid w:val="006E7D21"/>
    <w:rsid w:val="006E7E95"/>
    <w:rsid w:val="006F0FBB"/>
    <w:rsid w:val="006F1377"/>
    <w:rsid w:val="006F1BAD"/>
    <w:rsid w:val="006F1E00"/>
    <w:rsid w:val="006F1EAC"/>
    <w:rsid w:val="006F226E"/>
    <w:rsid w:val="006F29C2"/>
    <w:rsid w:val="006F2BB9"/>
    <w:rsid w:val="006F2E84"/>
    <w:rsid w:val="006F3171"/>
    <w:rsid w:val="006F3437"/>
    <w:rsid w:val="006F3671"/>
    <w:rsid w:val="006F3ABB"/>
    <w:rsid w:val="006F41E3"/>
    <w:rsid w:val="006F463D"/>
    <w:rsid w:val="006F4821"/>
    <w:rsid w:val="006F4D59"/>
    <w:rsid w:val="006F5735"/>
    <w:rsid w:val="006F59E9"/>
    <w:rsid w:val="006F5FD6"/>
    <w:rsid w:val="006F61B0"/>
    <w:rsid w:val="006F61DC"/>
    <w:rsid w:val="006F6297"/>
    <w:rsid w:val="006F6378"/>
    <w:rsid w:val="006F6B76"/>
    <w:rsid w:val="006F6F54"/>
    <w:rsid w:val="006F7B7E"/>
    <w:rsid w:val="0070019C"/>
    <w:rsid w:val="00701561"/>
    <w:rsid w:val="00701579"/>
    <w:rsid w:val="00701765"/>
    <w:rsid w:val="00701898"/>
    <w:rsid w:val="00701F89"/>
    <w:rsid w:val="007020D2"/>
    <w:rsid w:val="00702496"/>
    <w:rsid w:val="00702529"/>
    <w:rsid w:val="00702A9A"/>
    <w:rsid w:val="00702BC2"/>
    <w:rsid w:val="00702C56"/>
    <w:rsid w:val="00702F42"/>
    <w:rsid w:val="007038ED"/>
    <w:rsid w:val="007038FC"/>
    <w:rsid w:val="00703A83"/>
    <w:rsid w:val="00703C09"/>
    <w:rsid w:val="00704612"/>
    <w:rsid w:val="0070478C"/>
    <w:rsid w:val="00704BA1"/>
    <w:rsid w:val="00704FF1"/>
    <w:rsid w:val="00705DDB"/>
    <w:rsid w:val="00707702"/>
    <w:rsid w:val="00707CD3"/>
    <w:rsid w:val="00710662"/>
    <w:rsid w:val="00710D7A"/>
    <w:rsid w:val="007113CA"/>
    <w:rsid w:val="007117DF"/>
    <w:rsid w:val="00712760"/>
    <w:rsid w:val="00712818"/>
    <w:rsid w:val="00712B83"/>
    <w:rsid w:val="007133E8"/>
    <w:rsid w:val="00713C0F"/>
    <w:rsid w:val="00713D87"/>
    <w:rsid w:val="00713E35"/>
    <w:rsid w:val="007148F8"/>
    <w:rsid w:val="0071498C"/>
    <w:rsid w:val="00714ABC"/>
    <w:rsid w:val="00714BC5"/>
    <w:rsid w:val="0071526B"/>
    <w:rsid w:val="007154A8"/>
    <w:rsid w:val="00715518"/>
    <w:rsid w:val="00715A34"/>
    <w:rsid w:val="00715E29"/>
    <w:rsid w:val="0071600E"/>
    <w:rsid w:val="00716104"/>
    <w:rsid w:val="007164F5"/>
    <w:rsid w:val="0071675F"/>
    <w:rsid w:val="00716A8C"/>
    <w:rsid w:val="00716A94"/>
    <w:rsid w:val="00716D77"/>
    <w:rsid w:val="00717B49"/>
    <w:rsid w:val="00717B78"/>
    <w:rsid w:val="00717C74"/>
    <w:rsid w:val="0072018A"/>
    <w:rsid w:val="00720C60"/>
    <w:rsid w:val="00720F38"/>
    <w:rsid w:val="00720FF2"/>
    <w:rsid w:val="00721087"/>
    <w:rsid w:val="0072151A"/>
    <w:rsid w:val="0072160E"/>
    <w:rsid w:val="00721B70"/>
    <w:rsid w:val="007222FF"/>
    <w:rsid w:val="00722494"/>
    <w:rsid w:val="00722882"/>
    <w:rsid w:val="00722913"/>
    <w:rsid w:val="00722B4E"/>
    <w:rsid w:val="00722C87"/>
    <w:rsid w:val="00722E78"/>
    <w:rsid w:val="00722F06"/>
    <w:rsid w:val="00723431"/>
    <w:rsid w:val="007235C0"/>
    <w:rsid w:val="0072387A"/>
    <w:rsid w:val="00723B5C"/>
    <w:rsid w:val="00723C81"/>
    <w:rsid w:val="00723DE0"/>
    <w:rsid w:val="00724369"/>
    <w:rsid w:val="00724F75"/>
    <w:rsid w:val="007250A2"/>
    <w:rsid w:val="007251E6"/>
    <w:rsid w:val="007257C8"/>
    <w:rsid w:val="00725846"/>
    <w:rsid w:val="00725D3B"/>
    <w:rsid w:val="00725F36"/>
    <w:rsid w:val="007268B8"/>
    <w:rsid w:val="00726F30"/>
    <w:rsid w:val="0072795F"/>
    <w:rsid w:val="00727BB3"/>
    <w:rsid w:val="00727F4E"/>
    <w:rsid w:val="007301C6"/>
    <w:rsid w:val="0073033D"/>
    <w:rsid w:val="00730500"/>
    <w:rsid w:val="007307A8"/>
    <w:rsid w:val="00731114"/>
    <w:rsid w:val="00731175"/>
    <w:rsid w:val="00731583"/>
    <w:rsid w:val="007317E1"/>
    <w:rsid w:val="0073229A"/>
    <w:rsid w:val="0073238A"/>
    <w:rsid w:val="007325D8"/>
    <w:rsid w:val="00732979"/>
    <w:rsid w:val="00732D6C"/>
    <w:rsid w:val="00732F2C"/>
    <w:rsid w:val="007334F0"/>
    <w:rsid w:val="00733DE1"/>
    <w:rsid w:val="0073403F"/>
    <w:rsid w:val="00734164"/>
    <w:rsid w:val="00735336"/>
    <w:rsid w:val="007354A9"/>
    <w:rsid w:val="00735D06"/>
    <w:rsid w:val="00735EC3"/>
    <w:rsid w:val="0073601F"/>
    <w:rsid w:val="007366BE"/>
    <w:rsid w:val="00736A90"/>
    <w:rsid w:val="00736B32"/>
    <w:rsid w:val="00736CFA"/>
    <w:rsid w:val="0073703C"/>
    <w:rsid w:val="007370FF"/>
    <w:rsid w:val="007379A9"/>
    <w:rsid w:val="007404F6"/>
    <w:rsid w:val="00740A71"/>
    <w:rsid w:val="00740CC9"/>
    <w:rsid w:val="00741058"/>
    <w:rsid w:val="00741722"/>
    <w:rsid w:val="00741970"/>
    <w:rsid w:val="00742178"/>
    <w:rsid w:val="007427B0"/>
    <w:rsid w:val="00743AF2"/>
    <w:rsid w:val="00744A2E"/>
    <w:rsid w:val="00745038"/>
    <w:rsid w:val="00745BD7"/>
    <w:rsid w:val="0074622B"/>
    <w:rsid w:val="0074648D"/>
    <w:rsid w:val="0074653A"/>
    <w:rsid w:val="00746AA4"/>
    <w:rsid w:val="00746B16"/>
    <w:rsid w:val="00746EAC"/>
    <w:rsid w:val="007471FC"/>
    <w:rsid w:val="00747243"/>
    <w:rsid w:val="0074797C"/>
    <w:rsid w:val="00747981"/>
    <w:rsid w:val="007500C2"/>
    <w:rsid w:val="00750ECB"/>
    <w:rsid w:val="007512CB"/>
    <w:rsid w:val="00751A97"/>
    <w:rsid w:val="00752883"/>
    <w:rsid w:val="00752917"/>
    <w:rsid w:val="00752958"/>
    <w:rsid w:val="00752DFE"/>
    <w:rsid w:val="00752E97"/>
    <w:rsid w:val="0075302B"/>
    <w:rsid w:val="0075427C"/>
    <w:rsid w:val="00754873"/>
    <w:rsid w:val="00755188"/>
    <w:rsid w:val="0075571D"/>
    <w:rsid w:val="00755E4B"/>
    <w:rsid w:val="0075603D"/>
    <w:rsid w:val="0075679A"/>
    <w:rsid w:val="00756DBA"/>
    <w:rsid w:val="0075701F"/>
    <w:rsid w:val="0075711B"/>
    <w:rsid w:val="0075732B"/>
    <w:rsid w:val="00757E0B"/>
    <w:rsid w:val="007600C5"/>
    <w:rsid w:val="007601B8"/>
    <w:rsid w:val="00760C18"/>
    <w:rsid w:val="00761440"/>
    <w:rsid w:val="007614C4"/>
    <w:rsid w:val="00761646"/>
    <w:rsid w:val="007620D2"/>
    <w:rsid w:val="00762429"/>
    <w:rsid w:val="00762A2D"/>
    <w:rsid w:val="00762D24"/>
    <w:rsid w:val="00763569"/>
    <w:rsid w:val="00763B98"/>
    <w:rsid w:val="00764371"/>
    <w:rsid w:val="0076498A"/>
    <w:rsid w:val="00764D43"/>
    <w:rsid w:val="007659BD"/>
    <w:rsid w:val="00765F0C"/>
    <w:rsid w:val="00766169"/>
    <w:rsid w:val="00766301"/>
    <w:rsid w:val="00766BC9"/>
    <w:rsid w:val="00766C8C"/>
    <w:rsid w:val="00766F6A"/>
    <w:rsid w:val="00767014"/>
    <w:rsid w:val="00767C6A"/>
    <w:rsid w:val="00767EAB"/>
    <w:rsid w:val="007708DF"/>
    <w:rsid w:val="00770C49"/>
    <w:rsid w:val="00770E5B"/>
    <w:rsid w:val="00770F87"/>
    <w:rsid w:val="00772313"/>
    <w:rsid w:val="007724F8"/>
    <w:rsid w:val="007728D1"/>
    <w:rsid w:val="00772A23"/>
    <w:rsid w:val="00772AA4"/>
    <w:rsid w:val="00772D31"/>
    <w:rsid w:val="007731A2"/>
    <w:rsid w:val="007736D6"/>
    <w:rsid w:val="007737A2"/>
    <w:rsid w:val="00773CF1"/>
    <w:rsid w:val="0077428E"/>
    <w:rsid w:val="0077499B"/>
    <w:rsid w:val="007749B4"/>
    <w:rsid w:val="00774C3D"/>
    <w:rsid w:val="00775128"/>
    <w:rsid w:val="007757A1"/>
    <w:rsid w:val="007758BA"/>
    <w:rsid w:val="00775FC1"/>
    <w:rsid w:val="00776042"/>
    <w:rsid w:val="007760E1"/>
    <w:rsid w:val="00776287"/>
    <w:rsid w:val="007765CC"/>
    <w:rsid w:val="00776CC0"/>
    <w:rsid w:val="007771A9"/>
    <w:rsid w:val="007775E4"/>
    <w:rsid w:val="007776E8"/>
    <w:rsid w:val="0077783D"/>
    <w:rsid w:val="00777E13"/>
    <w:rsid w:val="00777F9A"/>
    <w:rsid w:val="007809B5"/>
    <w:rsid w:val="00780A24"/>
    <w:rsid w:val="00780B07"/>
    <w:rsid w:val="007816BF"/>
    <w:rsid w:val="00781B5E"/>
    <w:rsid w:val="007820FE"/>
    <w:rsid w:val="00782797"/>
    <w:rsid w:val="00782A17"/>
    <w:rsid w:val="00782D58"/>
    <w:rsid w:val="00782E84"/>
    <w:rsid w:val="0078307B"/>
    <w:rsid w:val="007834CA"/>
    <w:rsid w:val="00783AD9"/>
    <w:rsid w:val="0078456D"/>
    <w:rsid w:val="0078462E"/>
    <w:rsid w:val="00784B3F"/>
    <w:rsid w:val="0078508E"/>
    <w:rsid w:val="00785342"/>
    <w:rsid w:val="0078546B"/>
    <w:rsid w:val="00785AB8"/>
    <w:rsid w:val="00785B1B"/>
    <w:rsid w:val="00785BB2"/>
    <w:rsid w:val="00786344"/>
    <w:rsid w:val="0079009B"/>
    <w:rsid w:val="007901AC"/>
    <w:rsid w:val="0079097D"/>
    <w:rsid w:val="00790C5C"/>
    <w:rsid w:val="00790F0D"/>
    <w:rsid w:val="007912C4"/>
    <w:rsid w:val="00791527"/>
    <w:rsid w:val="007915A9"/>
    <w:rsid w:val="007921EC"/>
    <w:rsid w:val="00792D12"/>
    <w:rsid w:val="007933E7"/>
    <w:rsid w:val="00793F78"/>
    <w:rsid w:val="007945BD"/>
    <w:rsid w:val="007945F6"/>
    <w:rsid w:val="007946DC"/>
    <w:rsid w:val="0079471A"/>
    <w:rsid w:val="00794891"/>
    <w:rsid w:val="00794B0D"/>
    <w:rsid w:val="00794C43"/>
    <w:rsid w:val="0079561B"/>
    <w:rsid w:val="00795A6F"/>
    <w:rsid w:val="00796013"/>
    <w:rsid w:val="007969E7"/>
    <w:rsid w:val="00796A1C"/>
    <w:rsid w:val="00796AA5"/>
    <w:rsid w:val="00796FA3"/>
    <w:rsid w:val="00796FF3"/>
    <w:rsid w:val="00797263"/>
    <w:rsid w:val="007A0130"/>
    <w:rsid w:val="007A022F"/>
    <w:rsid w:val="007A03D7"/>
    <w:rsid w:val="007A08F6"/>
    <w:rsid w:val="007A0B10"/>
    <w:rsid w:val="007A0BF5"/>
    <w:rsid w:val="007A1712"/>
    <w:rsid w:val="007A1A60"/>
    <w:rsid w:val="007A1B0D"/>
    <w:rsid w:val="007A28FB"/>
    <w:rsid w:val="007A304A"/>
    <w:rsid w:val="007A342A"/>
    <w:rsid w:val="007A3670"/>
    <w:rsid w:val="007A3922"/>
    <w:rsid w:val="007A448D"/>
    <w:rsid w:val="007A46BD"/>
    <w:rsid w:val="007A519D"/>
    <w:rsid w:val="007A55A4"/>
    <w:rsid w:val="007A5729"/>
    <w:rsid w:val="007A62AA"/>
    <w:rsid w:val="007A63CB"/>
    <w:rsid w:val="007A641B"/>
    <w:rsid w:val="007A68DD"/>
    <w:rsid w:val="007A6EA8"/>
    <w:rsid w:val="007A71E1"/>
    <w:rsid w:val="007A772D"/>
    <w:rsid w:val="007A7C7F"/>
    <w:rsid w:val="007B064D"/>
    <w:rsid w:val="007B097D"/>
    <w:rsid w:val="007B0CBB"/>
    <w:rsid w:val="007B0E18"/>
    <w:rsid w:val="007B15F4"/>
    <w:rsid w:val="007B1A35"/>
    <w:rsid w:val="007B2642"/>
    <w:rsid w:val="007B2711"/>
    <w:rsid w:val="007B2ACD"/>
    <w:rsid w:val="007B2B2A"/>
    <w:rsid w:val="007B2E4F"/>
    <w:rsid w:val="007B421F"/>
    <w:rsid w:val="007B4429"/>
    <w:rsid w:val="007B48C2"/>
    <w:rsid w:val="007B4D07"/>
    <w:rsid w:val="007B5D83"/>
    <w:rsid w:val="007B5EB1"/>
    <w:rsid w:val="007B5EC2"/>
    <w:rsid w:val="007B5F50"/>
    <w:rsid w:val="007B5F64"/>
    <w:rsid w:val="007B6D24"/>
    <w:rsid w:val="007B6DF5"/>
    <w:rsid w:val="007B77A4"/>
    <w:rsid w:val="007B7C0B"/>
    <w:rsid w:val="007C00E5"/>
    <w:rsid w:val="007C064A"/>
    <w:rsid w:val="007C110B"/>
    <w:rsid w:val="007C199A"/>
    <w:rsid w:val="007C26AD"/>
    <w:rsid w:val="007C2CC5"/>
    <w:rsid w:val="007C32D3"/>
    <w:rsid w:val="007C463D"/>
    <w:rsid w:val="007C469D"/>
    <w:rsid w:val="007C4B72"/>
    <w:rsid w:val="007C4F44"/>
    <w:rsid w:val="007C51A7"/>
    <w:rsid w:val="007C555E"/>
    <w:rsid w:val="007C5A04"/>
    <w:rsid w:val="007C633F"/>
    <w:rsid w:val="007C6824"/>
    <w:rsid w:val="007C6FF4"/>
    <w:rsid w:val="007C7659"/>
    <w:rsid w:val="007C785B"/>
    <w:rsid w:val="007C793D"/>
    <w:rsid w:val="007C7A1F"/>
    <w:rsid w:val="007C7D56"/>
    <w:rsid w:val="007D00C1"/>
    <w:rsid w:val="007D0A71"/>
    <w:rsid w:val="007D0E6B"/>
    <w:rsid w:val="007D1883"/>
    <w:rsid w:val="007D209F"/>
    <w:rsid w:val="007D2323"/>
    <w:rsid w:val="007D2471"/>
    <w:rsid w:val="007D256D"/>
    <w:rsid w:val="007D2600"/>
    <w:rsid w:val="007D2D9B"/>
    <w:rsid w:val="007D2DE0"/>
    <w:rsid w:val="007D30FD"/>
    <w:rsid w:val="007D3434"/>
    <w:rsid w:val="007D3448"/>
    <w:rsid w:val="007D36B9"/>
    <w:rsid w:val="007D3B68"/>
    <w:rsid w:val="007D410E"/>
    <w:rsid w:val="007D4885"/>
    <w:rsid w:val="007D48DF"/>
    <w:rsid w:val="007D4A8F"/>
    <w:rsid w:val="007D652B"/>
    <w:rsid w:val="007D6B2F"/>
    <w:rsid w:val="007D73EA"/>
    <w:rsid w:val="007D79E4"/>
    <w:rsid w:val="007D7D9E"/>
    <w:rsid w:val="007D7ECF"/>
    <w:rsid w:val="007E120A"/>
    <w:rsid w:val="007E1880"/>
    <w:rsid w:val="007E1A8D"/>
    <w:rsid w:val="007E2029"/>
    <w:rsid w:val="007E2077"/>
    <w:rsid w:val="007E2CDB"/>
    <w:rsid w:val="007E2E68"/>
    <w:rsid w:val="007E3002"/>
    <w:rsid w:val="007E3BD0"/>
    <w:rsid w:val="007E3BEF"/>
    <w:rsid w:val="007E496E"/>
    <w:rsid w:val="007E50FC"/>
    <w:rsid w:val="007E58A3"/>
    <w:rsid w:val="007E606F"/>
    <w:rsid w:val="007E6165"/>
    <w:rsid w:val="007E6DBE"/>
    <w:rsid w:val="007E7537"/>
    <w:rsid w:val="007E776E"/>
    <w:rsid w:val="007E7A65"/>
    <w:rsid w:val="007E7F0A"/>
    <w:rsid w:val="007F00BF"/>
    <w:rsid w:val="007F069D"/>
    <w:rsid w:val="007F0F1C"/>
    <w:rsid w:val="007F1043"/>
    <w:rsid w:val="007F1065"/>
    <w:rsid w:val="007F1229"/>
    <w:rsid w:val="007F135D"/>
    <w:rsid w:val="007F36E5"/>
    <w:rsid w:val="007F4AFD"/>
    <w:rsid w:val="007F4CDE"/>
    <w:rsid w:val="007F546D"/>
    <w:rsid w:val="007F611A"/>
    <w:rsid w:val="007F61D5"/>
    <w:rsid w:val="007F7EDB"/>
    <w:rsid w:val="008002DB"/>
    <w:rsid w:val="008005E0"/>
    <w:rsid w:val="0080060D"/>
    <w:rsid w:val="0080095C"/>
    <w:rsid w:val="008013DE"/>
    <w:rsid w:val="00801638"/>
    <w:rsid w:val="00801734"/>
    <w:rsid w:val="008019CE"/>
    <w:rsid w:val="00802068"/>
    <w:rsid w:val="00802193"/>
    <w:rsid w:val="00802999"/>
    <w:rsid w:val="00803477"/>
    <w:rsid w:val="008037C4"/>
    <w:rsid w:val="008039EB"/>
    <w:rsid w:val="00804457"/>
    <w:rsid w:val="008044F9"/>
    <w:rsid w:val="00804A51"/>
    <w:rsid w:val="00804F01"/>
    <w:rsid w:val="00804F28"/>
    <w:rsid w:val="00805307"/>
    <w:rsid w:val="008054D0"/>
    <w:rsid w:val="00805F00"/>
    <w:rsid w:val="00806142"/>
    <w:rsid w:val="00806525"/>
    <w:rsid w:val="00806684"/>
    <w:rsid w:val="00806C5F"/>
    <w:rsid w:val="008070CD"/>
    <w:rsid w:val="0080796C"/>
    <w:rsid w:val="00810F30"/>
    <w:rsid w:val="00811F0F"/>
    <w:rsid w:val="008122F1"/>
    <w:rsid w:val="00812EFA"/>
    <w:rsid w:val="00812F93"/>
    <w:rsid w:val="00813365"/>
    <w:rsid w:val="00813594"/>
    <w:rsid w:val="008137F0"/>
    <w:rsid w:val="00813988"/>
    <w:rsid w:val="00813F91"/>
    <w:rsid w:val="008149F5"/>
    <w:rsid w:val="00815668"/>
    <w:rsid w:val="00815F97"/>
    <w:rsid w:val="008162E5"/>
    <w:rsid w:val="00816325"/>
    <w:rsid w:val="008163B8"/>
    <w:rsid w:val="008171CE"/>
    <w:rsid w:val="00817214"/>
    <w:rsid w:val="00820BFA"/>
    <w:rsid w:val="00820F40"/>
    <w:rsid w:val="00821AFA"/>
    <w:rsid w:val="00821BA9"/>
    <w:rsid w:val="00821D47"/>
    <w:rsid w:val="0082358E"/>
    <w:rsid w:val="00823E4E"/>
    <w:rsid w:val="00824137"/>
    <w:rsid w:val="00824B41"/>
    <w:rsid w:val="0082546E"/>
    <w:rsid w:val="008258BB"/>
    <w:rsid w:val="00825E99"/>
    <w:rsid w:val="00825F54"/>
    <w:rsid w:val="008260FE"/>
    <w:rsid w:val="0082684D"/>
    <w:rsid w:val="008271AB"/>
    <w:rsid w:val="008278E5"/>
    <w:rsid w:val="008278F9"/>
    <w:rsid w:val="00830242"/>
    <w:rsid w:val="008302AD"/>
    <w:rsid w:val="00830994"/>
    <w:rsid w:val="008314F3"/>
    <w:rsid w:val="0083196F"/>
    <w:rsid w:val="00831E96"/>
    <w:rsid w:val="0083212C"/>
    <w:rsid w:val="00832265"/>
    <w:rsid w:val="00832309"/>
    <w:rsid w:val="00832477"/>
    <w:rsid w:val="00832602"/>
    <w:rsid w:val="008328A2"/>
    <w:rsid w:val="00832B9C"/>
    <w:rsid w:val="00832EE7"/>
    <w:rsid w:val="00833326"/>
    <w:rsid w:val="008334EC"/>
    <w:rsid w:val="00833679"/>
    <w:rsid w:val="00833908"/>
    <w:rsid w:val="00833AF9"/>
    <w:rsid w:val="00833D08"/>
    <w:rsid w:val="00834B06"/>
    <w:rsid w:val="0083517C"/>
    <w:rsid w:val="00835532"/>
    <w:rsid w:val="00835639"/>
    <w:rsid w:val="008357B4"/>
    <w:rsid w:val="008359D3"/>
    <w:rsid w:val="00835DD8"/>
    <w:rsid w:val="0083603A"/>
    <w:rsid w:val="00836302"/>
    <w:rsid w:val="00836996"/>
    <w:rsid w:val="00836A2E"/>
    <w:rsid w:val="00836D5D"/>
    <w:rsid w:val="00837881"/>
    <w:rsid w:val="00837A1D"/>
    <w:rsid w:val="00837D0C"/>
    <w:rsid w:val="00840024"/>
    <w:rsid w:val="00840467"/>
    <w:rsid w:val="008419BF"/>
    <w:rsid w:val="00841B53"/>
    <w:rsid w:val="00841D47"/>
    <w:rsid w:val="0084277A"/>
    <w:rsid w:val="00842B0F"/>
    <w:rsid w:val="00843775"/>
    <w:rsid w:val="00843E3B"/>
    <w:rsid w:val="008440A6"/>
    <w:rsid w:val="0084460A"/>
    <w:rsid w:val="008447BE"/>
    <w:rsid w:val="00845071"/>
    <w:rsid w:val="0084518F"/>
    <w:rsid w:val="00845613"/>
    <w:rsid w:val="00845E56"/>
    <w:rsid w:val="00846805"/>
    <w:rsid w:val="00846D1C"/>
    <w:rsid w:val="00846E34"/>
    <w:rsid w:val="008471D7"/>
    <w:rsid w:val="0084725B"/>
    <w:rsid w:val="00847389"/>
    <w:rsid w:val="00847667"/>
    <w:rsid w:val="00847A08"/>
    <w:rsid w:val="00847EF7"/>
    <w:rsid w:val="0085018A"/>
    <w:rsid w:val="008502DD"/>
    <w:rsid w:val="008507C6"/>
    <w:rsid w:val="00850A46"/>
    <w:rsid w:val="00850BAD"/>
    <w:rsid w:val="00851707"/>
    <w:rsid w:val="00851832"/>
    <w:rsid w:val="0085247F"/>
    <w:rsid w:val="00852550"/>
    <w:rsid w:val="008525D6"/>
    <w:rsid w:val="00852BA5"/>
    <w:rsid w:val="008534F2"/>
    <w:rsid w:val="00853ADB"/>
    <w:rsid w:val="00853D31"/>
    <w:rsid w:val="00853FA6"/>
    <w:rsid w:val="00854277"/>
    <w:rsid w:val="00854BEC"/>
    <w:rsid w:val="00854D83"/>
    <w:rsid w:val="008551E6"/>
    <w:rsid w:val="00855E07"/>
    <w:rsid w:val="00855F8F"/>
    <w:rsid w:val="00855FC2"/>
    <w:rsid w:val="0085679C"/>
    <w:rsid w:val="00856E25"/>
    <w:rsid w:val="0085769A"/>
    <w:rsid w:val="00857CF9"/>
    <w:rsid w:val="008601D3"/>
    <w:rsid w:val="00860472"/>
    <w:rsid w:val="0086137D"/>
    <w:rsid w:val="008613A5"/>
    <w:rsid w:val="00861C44"/>
    <w:rsid w:val="00861CCE"/>
    <w:rsid w:val="0086240B"/>
    <w:rsid w:val="00862E1B"/>
    <w:rsid w:val="008633BA"/>
    <w:rsid w:val="00863628"/>
    <w:rsid w:val="00863D08"/>
    <w:rsid w:val="0086537A"/>
    <w:rsid w:val="00865591"/>
    <w:rsid w:val="00865701"/>
    <w:rsid w:val="00865C39"/>
    <w:rsid w:val="00865F29"/>
    <w:rsid w:val="0086675F"/>
    <w:rsid w:val="008667F5"/>
    <w:rsid w:val="008668C5"/>
    <w:rsid w:val="00866E94"/>
    <w:rsid w:val="008677BA"/>
    <w:rsid w:val="0086780D"/>
    <w:rsid w:val="008704F6"/>
    <w:rsid w:val="0087052D"/>
    <w:rsid w:val="0087081D"/>
    <w:rsid w:val="00870B54"/>
    <w:rsid w:val="0087153A"/>
    <w:rsid w:val="008717F8"/>
    <w:rsid w:val="00871E20"/>
    <w:rsid w:val="00872846"/>
    <w:rsid w:val="008729B4"/>
    <w:rsid w:val="00872F38"/>
    <w:rsid w:val="008731BB"/>
    <w:rsid w:val="00873231"/>
    <w:rsid w:val="00873523"/>
    <w:rsid w:val="008741D9"/>
    <w:rsid w:val="008742E3"/>
    <w:rsid w:val="0087476E"/>
    <w:rsid w:val="0087524A"/>
    <w:rsid w:val="0087543D"/>
    <w:rsid w:val="00875881"/>
    <w:rsid w:val="00875AAE"/>
    <w:rsid w:val="0087685D"/>
    <w:rsid w:val="00876E0D"/>
    <w:rsid w:val="008774AB"/>
    <w:rsid w:val="00877B75"/>
    <w:rsid w:val="00877C80"/>
    <w:rsid w:val="00880020"/>
    <w:rsid w:val="00880113"/>
    <w:rsid w:val="00880387"/>
    <w:rsid w:val="008804E2"/>
    <w:rsid w:val="00880622"/>
    <w:rsid w:val="008807B8"/>
    <w:rsid w:val="00880E4C"/>
    <w:rsid w:val="008810E6"/>
    <w:rsid w:val="0088135E"/>
    <w:rsid w:val="00881E8D"/>
    <w:rsid w:val="00882612"/>
    <w:rsid w:val="00882714"/>
    <w:rsid w:val="00882824"/>
    <w:rsid w:val="00882E48"/>
    <w:rsid w:val="00882EFD"/>
    <w:rsid w:val="00883016"/>
    <w:rsid w:val="0088322D"/>
    <w:rsid w:val="00883646"/>
    <w:rsid w:val="0088395A"/>
    <w:rsid w:val="008839DD"/>
    <w:rsid w:val="00883A43"/>
    <w:rsid w:val="00883CA3"/>
    <w:rsid w:val="00884291"/>
    <w:rsid w:val="008842C5"/>
    <w:rsid w:val="00884447"/>
    <w:rsid w:val="0088477B"/>
    <w:rsid w:val="00884D4A"/>
    <w:rsid w:val="0088592D"/>
    <w:rsid w:val="00885D46"/>
    <w:rsid w:val="00886399"/>
    <w:rsid w:val="00886518"/>
    <w:rsid w:val="0088689B"/>
    <w:rsid w:val="008868C5"/>
    <w:rsid w:val="00886C3E"/>
    <w:rsid w:val="008878F1"/>
    <w:rsid w:val="00887B48"/>
    <w:rsid w:val="00890833"/>
    <w:rsid w:val="00890A0C"/>
    <w:rsid w:val="0089152C"/>
    <w:rsid w:val="00892D19"/>
    <w:rsid w:val="008942AC"/>
    <w:rsid w:val="008942C9"/>
    <w:rsid w:val="0089439C"/>
    <w:rsid w:val="00895089"/>
    <w:rsid w:val="00895240"/>
    <w:rsid w:val="00895BB9"/>
    <w:rsid w:val="0089616D"/>
    <w:rsid w:val="0089679E"/>
    <w:rsid w:val="00896877"/>
    <w:rsid w:val="00896E47"/>
    <w:rsid w:val="008970C9"/>
    <w:rsid w:val="00897529"/>
    <w:rsid w:val="00897613"/>
    <w:rsid w:val="00897636"/>
    <w:rsid w:val="008978A2"/>
    <w:rsid w:val="00897E78"/>
    <w:rsid w:val="008A06DD"/>
    <w:rsid w:val="008A0850"/>
    <w:rsid w:val="008A0DDE"/>
    <w:rsid w:val="008A0E88"/>
    <w:rsid w:val="008A0F50"/>
    <w:rsid w:val="008A0F99"/>
    <w:rsid w:val="008A158C"/>
    <w:rsid w:val="008A25D2"/>
    <w:rsid w:val="008A2BE9"/>
    <w:rsid w:val="008A2DC0"/>
    <w:rsid w:val="008A32A4"/>
    <w:rsid w:val="008A3560"/>
    <w:rsid w:val="008A3659"/>
    <w:rsid w:val="008A3800"/>
    <w:rsid w:val="008A4100"/>
    <w:rsid w:val="008A440F"/>
    <w:rsid w:val="008A4688"/>
    <w:rsid w:val="008A498F"/>
    <w:rsid w:val="008A4C38"/>
    <w:rsid w:val="008A4C62"/>
    <w:rsid w:val="008A5A22"/>
    <w:rsid w:val="008A5E8C"/>
    <w:rsid w:val="008A5F2E"/>
    <w:rsid w:val="008A62E5"/>
    <w:rsid w:val="008A6305"/>
    <w:rsid w:val="008A6DBB"/>
    <w:rsid w:val="008A6EAB"/>
    <w:rsid w:val="008A7203"/>
    <w:rsid w:val="008A79B2"/>
    <w:rsid w:val="008A7AA8"/>
    <w:rsid w:val="008B004B"/>
    <w:rsid w:val="008B0112"/>
    <w:rsid w:val="008B01F3"/>
    <w:rsid w:val="008B05D7"/>
    <w:rsid w:val="008B09E2"/>
    <w:rsid w:val="008B09FD"/>
    <w:rsid w:val="008B0CD4"/>
    <w:rsid w:val="008B1CE4"/>
    <w:rsid w:val="008B1D7A"/>
    <w:rsid w:val="008B214A"/>
    <w:rsid w:val="008B271C"/>
    <w:rsid w:val="008B2CB6"/>
    <w:rsid w:val="008B3BAF"/>
    <w:rsid w:val="008B3EA3"/>
    <w:rsid w:val="008B3FDB"/>
    <w:rsid w:val="008B4619"/>
    <w:rsid w:val="008B54BE"/>
    <w:rsid w:val="008B56E5"/>
    <w:rsid w:val="008B58E8"/>
    <w:rsid w:val="008B5A6A"/>
    <w:rsid w:val="008B5C71"/>
    <w:rsid w:val="008B68D1"/>
    <w:rsid w:val="008B76DD"/>
    <w:rsid w:val="008B7E13"/>
    <w:rsid w:val="008C0A02"/>
    <w:rsid w:val="008C1034"/>
    <w:rsid w:val="008C1063"/>
    <w:rsid w:val="008C115B"/>
    <w:rsid w:val="008C13C0"/>
    <w:rsid w:val="008C163A"/>
    <w:rsid w:val="008C17F2"/>
    <w:rsid w:val="008C1AF3"/>
    <w:rsid w:val="008C1BAB"/>
    <w:rsid w:val="008C23BF"/>
    <w:rsid w:val="008C2A35"/>
    <w:rsid w:val="008C2F34"/>
    <w:rsid w:val="008C336B"/>
    <w:rsid w:val="008C4292"/>
    <w:rsid w:val="008C484A"/>
    <w:rsid w:val="008C4859"/>
    <w:rsid w:val="008C5263"/>
    <w:rsid w:val="008C5D55"/>
    <w:rsid w:val="008C5DAD"/>
    <w:rsid w:val="008C60B2"/>
    <w:rsid w:val="008C6B23"/>
    <w:rsid w:val="008C6C0C"/>
    <w:rsid w:val="008C6D65"/>
    <w:rsid w:val="008C724A"/>
    <w:rsid w:val="008C7511"/>
    <w:rsid w:val="008D025A"/>
    <w:rsid w:val="008D0D33"/>
    <w:rsid w:val="008D1D18"/>
    <w:rsid w:val="008D3554"/>
    <w:rsid w:val="008D38B1"/>
    <w:rsid w:val="008D3F2A"/>
    <w:rsid w:val="008D4426"/>
    <w:rsid w:val="008D4EEB"/>
    <w:rsid w:val="008D5CD9"/>
    <w:rsid w:val="008D6091"/>
    <w:rsid w:val="008D6140"/>
    <w:rsid w:val="008D6F63"/>
    <w:rsid w:val="008D72B6"/>
    <w:rsid w:val="008D7913"/>
    <w:rsid w:val="008E02C2"/>
    <w:rsid w:val="008E0353"/>
    <w:rsid w:val="008E0B83"/>
    <w:rsid w:val="008E14B5"/>
    <w:rsid w:val="008E15DA"/>
    <w:rsid w:val="008E1CF9"/>
    <w:rsid w:val="008E233D"/>
    <w:rsid w:val="008E26CD"/>
    <w:rsid w:val="008E30B4"/>
    <w:rsid w:val="008E3166"/>
    <w:rsid w:val="008E378A"/>
    <w:rsid w:val="008E39F5"/>
    <w:rsid w:val="008E3CFA"/>
    <w:rsid w:val="008E4130"/>
    <w:rsid w:val="008E4845"/>
    <w:rsid w:val="008E48DF"/>
    <w:rsid w:val="008E4973"/>
    <w:rsid w:val="008E4A1E"/>
    <w:rsid w:val="008E4BBC"/>
    <w:rsid w:val="008E4E12"/>
    <w:rsid w:val="008E5002"/>
    <w:rsid w:val="008E52EA"/>
    <w:rsid w:val="008E533F"/>
    <w:rsid w:val="008E5AAA"/>
    <w:rsid w:val="008E6599"/>
    <w:rsid w:val="008E6853"/>
    <w:rsid w:val="008E6A1F"/>
    <w:rsid w:val="008E7663"/>
    <w:rsid w:val="008E779F"/>
    <w:rsid w:val="008E7B9F"/>
    <w:rsid w:val="008E7CAE"/>
    <w:rsid w:val="008E7DDF"/>
    <w:rsid w:val="008E7E82"/>
    <w:rsid w:val="008F0567"/>
    <w:rsid w:val="008F099C"/>
    <w:rsid w:val="008F0E7D"/>
    <w:rsid w:val="008F10E9"/>
    <w:rsid w:val="008F1667"/>
    <w:rsid w:val="008F2296"/>
    <w:rsid w:val="008F2666"/>
    <w:rsid w:val="008F2D79"/>
    <w:rsid w:val="008F390E"/>
    <w:rsid w:val="008F3BA0"/>
    <w:rsid w:val="008F3EE3"/>
    <w:rsid w:val="008F43D4"/>
    <w:rsid w:val="008F44A5"/>
    <w:rsid w:val="008F498A"/>
    <w:rsid w:val="008F4BC8"/>
    <w:rsid w:val="008F5054"/>
    <w:rsid w:val="008F52F4"/>
    <w:rsid w:val="008F5A42"/>
    <w:rsid w:val="008F6046"/>
    <w:rsid w:val="008F69CC"/>
    <w:rsid w:val="008F6C4F"/>
    <w:rsid w:val="008F717A"/>
    <w:rsid w:val="009002E1"/>
    <w:rsid w:val="00900565"/>
    <w:rsid w:val="009005F1"/>
    <w:rsid w:val="00900A93"/>
    <w:rsid w:val="00900C13"/>
    <w:rsid w:val="00901048"/>
    <w:rsid w:val="009010F2"/>
    <w:rsid w:val="009012ED"/>
    <w:rsid w:val="009015F3"/>
    <w:rsid w:val="00901B20"/>
    <w:rsid w:val="009031B9"/>
    <w:rsid w:val="00903764"/>
    <w:rsid w:val="00903DFE"/>
    <w:rsid w:val="009049EA"/>
    <w:rsid w:val="0090599E"/>
    <w:rsid w:val="009061E7"/>
    <w:rsid w:val="00906376"/>
    <w:rsid w:val="009069F2"/>
    <w:rsid w:val="00906BB9"/>
    <w:rsid w:val="0090711E"/>
    <w:rsid w:val="00907287"/>
    <w:rsid w:val="009078AA"/>
    <w:rsid w:val="00907944"/>
    <w:rsid w:val="00907AC2"/>
    <w:rsid w:val="0091014C"/>
    <w:rsid w:val="0091053B"/>
    <w:rsid w:val="00910651"/>
    <w:rsid w:val="00910EDE"/>
    <w:rsid w:val="00911589"/>
    <w:rsid w:val="009116D4"/>
    <w:rsid w:val="0091225F"/>
    <w:rsid w:val="009122D3"/>
    <w:rsid w:val="00912456"/>
    <w:rsid w:val="0091269E"/>
    <w:rsid w:val="00913E46"/>
    <w:rsid w:val="00913ECC"/>
    <w:rsid w:val="00914E1E"/>
    <w:rsid w:val="0091533F"/>
    <w:rsid w:val="009155D9"/>
    <w:rsid w:val="00915851"/>
    <w:rsid w:val="00915B29"/>
    <w:rsid w:val="00915E13"/>
    <w:rsid w:val="0091652A"/>
    <w:rsid w:val="00916B98"/>
    <w:rsid w:val="00916C8E"/>
    <w:rsid w:val="00916DCB"/>
    <w:rsid w:val="009174E2"/>
    <w:rsid w:val="009207C5"/>
    <w:rsid w:val="00921210"/>
    <w:rsid w:val="00921B70"/>
    <w:rsid w:val="00921E1C"/>
    <w:rsid w:val="0092226F"/>
    <w:rsid w:val="00922BAC"/>
    <w:rsid w:val="00923178"/>
    <w:rsid w:val="00923311"/>
    <w:rsid w:val="00923930"/>
    <w:rsid w:val="00923F17"/>
    <w:rsid w:val="00924053"/>
    <w:rsid w:val="00924ACB"/>
    <w:rsid w:val="00924C8C"/>
    <w:rsid w:val="00925479"/>
    <w:rsid w:val="00925562"/>
    <w:rsid w:val="0092564D"/>
    <w:rsid w:val="00925917"/>
    <w:rsid w:val="00925B34"/>
    <w:rsid w:val="00925C3B"/>
    <w:rsid w:val="009267FD"/>
    <w:rsid w:val="009271F9"/>
    <w:rsid w:val="0093005B"/>
    <w:rsid w:val="009303E0"/>
    <w:rsid w:val="00931B5D"/>
    <w:rsid w:val="009321F0"/>
    <w:rsid w:val="0093226A"/>
    <w:rsid w:val="009322B5"/>
    <w:rsid w:val="00932438"/>
    <w:rsid w:val="00932550"/>
    <w:rsid w:val="009326A3"/>
    <w:rsid w:val="00932F79"/>
    <w:rsid w:val="0093313F"/>
    <w:rsid w:val="0093336B"/>
    <w:rsid w:val="009337C8"/>
    <w:rsid w:val="00933BB6"/>
    <w:rsid w:val="009342B9"/>
    <w:rsid w:val="00934545"/>
    <w:rsid w:val="00934820"/>
    <w:rsid w:val="00934AA9"/>
    <w:rsid w:val="0093519E"/>
    <w:rsid w:val="0093542A"/>
    <w:rsid w:val="0093545B"/>
    <w:rsid w:val="0093580C"/>
    <w:rsid w:val="00935A71"/>
    <w:rsid w:val="00935CD1"/>
    <w:rsid w:val="00935DEE"/>
    <w:rsid w:val="009364DD"/>
    <w:rsid w:val="00936808"/>
    <w:rsid w:val="00936936"/>
    <w:rsid w:val="00936ADC"/>
    <w:rsid w:val="00936FAE"/>
    <w:rsid w:val="00937AFA"/>
    <w:rsid w:val="0094235E"/>
    <w:rsid w:val="00942B2B"/>
    <w:rsid w:val="00942E26"/>
    <w:rsid w:val="0094316A"/>
    <w:rsid w:val="00943444"/>
    <w:rsid w:val="00943BBF"/>
    <w:rsid w:val="00943CBB"/>
    <w:rsid w:val="0094572F"/>
    <w:rsid w:val="00945D52"/>
    <w:rsid w:val="0094606A"/>
    <w:rsid w:val="00946228"/>
    <w:rsid w:val="00946837"/>
    <w:rsid w:val="009471FA"/>
    <w:rsid w:val="00947B9A"/>
    <w:rsid w:val="00950183"/>
    <w:rsid w:val="0095024B"/>
    <w:rsid w:val="00951004"/>
    <w:rsid w:val="00951165"/>
    <w:rsid w:val="00951458"/>
    <w:rsid w:val="00951679"/>
    <w:rsid w:val="00951728"/>
    <w:rsid w:val="00951948"/>
    <w:rsid w:val="009523F7"/>
    <w:rsid w:val="00952EFB"/>
    <w:rsid w:val="00953797"/>
    <w:rsid w:val="00953F80"/>
    <w:rsid w:val="00954447"/>
    <w:rsid w:val="0095444C"/>
    <w:rsid w:val="009549EA"/>
    <w:rsid w:val="009552B5"/>
    <w:rsid w:val="00955D6A"/>
    <w:rsid w:val="00955DE5"/>
    <w:rsid w:val="0095638B"/>
    <w:rsid w:val="00956802"/>
    <w:rsid w:val="00956BDA"/>
    <w:rsid w:val="00956D96"/>
    <w:rsid w:val="00957520"/>
    <w:rsid w:val="00957EFA"/>
    <w:rsid w:val="00960513"/>
    <w:rsid w:val="00960836"/>
    <w:rsid w:val="00960A41"/>
    <w:rsid w:val="00960D21"/>
    <w:rsid w:val="00961930"/>
    <w:rsid w:val="00961F54"/>
    <w:rsid w:val="00962603"/>
    <w:rsid w:val="0096354E"/>
    <w:rsid w:val="009636E5"/>
    <w:rsid w:val="00963784"/>
    <w:rsid w:val="00963B91"/>
    <w:rsid w:val="00963F5E"/>
    <w:rsid w:val="00964019"/>
    <w:rsid w:val="00965960"/>
    <w:rsid w:val="00965979"/>
    <w:rsid w:val="00965AD1"/>
    <w:rsid w:val="00965E77"/>
    <w:rsid w:val="0096603D"/>
    <w:rsid w:val="0096614B"/>
    <w:rsid w:val="00966CBF"/>
    <w:rsid w:val="00966CEE"/>
    <w:rsid w:val="0096732F"/>
    <w:rsid w:val="00967FAB"/>
    <w:rsid w:val="00970267"/>
    <w:rsid w:val="00971001"/>
    <w:rsid w:val="00971218"/>
    <w:rsid w:val="009715E8"/>
    <w:rsid w:val="00971965"/>
    <w:rsid w:val="00971D63"/>
    <w:rsid w:val="00973100"/>
    <w:rsid w:val="00973C4E"/>
    <w:rsid w:val="009744B7"/>
    <w:rsid w:val="009747A5"/>
    <w:rsid w:val="00974844"/>
    <w:rsid w:val="00974B9D"/>
    <w:rsid w:val="00974C6D"/>
    <w:rsid w:val="00974CAA"/>
    <w:rsid w:val="009756FA"/>
    <w:rsid w:val="009760CC"/>
    <w:rsid w:val="0097650D"/>
    <w:rsid w:val="0097665A"/>
    <w:rsid w:val="00976CA8"/>
    <w:rsid w:val="00976FD0"/>
    <w:rsid w:val="00977600"/>
    <w:rsid w:val="0097769C"/>
    <w:rsid w:val="00977986"/>
    <w:rsid w:val="00977B32"/>
    <w:rsid w:val="00977BA1"/>
    <w:rsid w:val="00980132"/>
    <w:rsid w:val="009804F2"/>
    <w:rsid w:val="009807B2"/>
    <w:rsid w:val="00980ACD"/>
    <w:rsid w:val="0098121B"/>
    <w:rsid w:val="00981553"/>
    <w:rsid w:val="0098195E"/>
    <w:rsid w:val="00981D49"/>
    <w:rsid w:val="00981F20"/>
    <w:rsid w:val="00981F40"/>
    <w:rsid w:val="009829F7"/>
    <w:rsid w:val="00983416"/>
    <w:rsid w:val="00983A15"/>
    <w:rsid w:val="0098423E"/>
    <w:rsid w:val="009846B4"/>
    <w:rsid w:val="00984A18"/>
    <w:rsid w:val="00985B57"/>
    <w:rsid w:val="009860B6"/>
    <w:rsid w:val="00986909"/>
    <w:rsid w:val="00986D74"/>
    <w:rsid w:val="009903F3"/>
    <w:rsid w:val="009904B3"/>
    <w:rsid w:val="0099057C"/>
    <w:rsid w:val="0099080D"/>
    <w:rsid w:val="00990BAA"/>
    <w:rsid w:val="00990C5B"/>
    <w:rsid w:val="00991231"/>
    <w:rsid w:val="00991441"/>
    <w:rsid w:val="00991695"/>
    <w:rsid w:val="009918C7"/>
    <w:rsid w:val="00991B14"/>
    <w:rsid w:val="00991F7B"/>
    <w:rsid w:val="0099325D"/>
    <w:rsid w:val="009934BB"/>
    <w:rsid w:val="00993E4D"/>
    <w:rsid w:val="00993E7E"/>
    <w:rsid w:val="0099422D"/>
    <w:rsid w:val="009942E1"/>
    <w:rsid w:val="00995C9A"/>
    <w:rsid w:val="00996665"/>
    <w:rsid w:val="0099674D"/>
    <w:rsid w:val="00996C6E"/>
    <w:rsid w:val="00996FC0"/>
    <w:rsid w:val="0099742F"/>
    <w:rsid w:val="0099785F"/>
    <w:rsid w:val="009A0420"/>
    <w:rsid w:val="009A0610"/>
    <w:rsid w:val="009A1343"/>
    <w:rsid w:val="009A1804"/>
    <w:rsid w:val="009A1D0B"/>
    <w:rsid w:val="009A22F9"/>
    <w:rsid w:val="009A2437"/>
    <w:rsid w:val="009A2B8B"/>
    <w:rsid w:val="009A2C20"/>
    <w:rsid w:val="009A30B8"/>
    <w:rsid w:val="009A3145"/>
    <w:rsid w:val="009A32E6"/>
    <w:rsid w:val="009A36C0"/>
    <w:rsid w:val="009A3A27"/>
    <w:rsid w:val="009A3AA2"/>
    <w:rsid w:val="009A3CFD"/>
    <w:rsid w:val="009A3F66"/>
    <w:rsid w:val="009A483D"/>
    <w:rsid w:val="009A5115"/>
    <w:rsid w:val="009A5DED"/>
    <w:rsid w:val="009A6537"/>
    <w:rsid w:val="009A65AF"/>
    <w:rsid w:val="009A6777"/>
    <w:rsid w:val="009A6B23"/>
    <w:rsid w:val="009A7298"/>
    <w:rsid w:val="009A78CB"/>
    <w:rsid w:val="009A7B71"/>
    <w:rsid w:val="009B0B3F"/>
    <w:rsid w:val="009B0D74"/>
    <w:rsid w:val="009B142F"/>
    <w:rsid w:val="009B151C"/>
    <w:rsid w:val="009B1765"/>
    <w:rsid w:val="009B1AA0"/>
    <w:rsid w:val="009B1AD0"/>
    <w:rsid w:val="009B1DBC"/>
    <w:rsid w:val="009B1E2F"/>
    <w:rsid w:val="009B2090"/>
    <w:rsid w:val="009B217D"/>
    <w:rsid w:val="009B270C"/>
    <w:rsid w:val="009B2E13"/>
    <w:rsid w:val="009B3C5F"/>
    <w:rsid w:val="009B3FA7"/>
    <w:rsid w:val="009B40A0"/>
    <w:rsid w:val="009B4471"/>
    <w:rsid w:val="009B450B"/>
    <w:rsid w:val="009B4535"/>
    <w:rsid w:val="009B51FD"/>
    <w:rsid w:val="009B5571"/>
    <w:rsid w:val="009B5828"/>
    <w:rsid w:val="009B5BD9"/>
    <w:rsid w:val="009B6150"/>
    <w:rsid w:val="009B6DEA"/>
    <w:rsid w:val="009B7288"/>
    <w:rsid w:val="009B7844"/>
    <w:rsid w:val="009B7F45"/>
    <w:rsid w:val="009C1376"/>
    <w:rsid w:val="009C198C"/>
    <w:rsid w:val="009C1E74"/>
    <w:rsid w:val="009C2295"/>
    <w:rsid w:val="009C2697"/>
    <w:rsid w:val="009C2838"/>
    <w:rsid w:val="009C2AC1"/>
    <w:rsid w:val="009C2EA7"/>
    <w:rsid w:val="009C3157"/>
    <w:rsid w:val="009C3910"/>
    <w:rsid w:val="009C394E"/>
    <w:rsid w:val="009C3A26"/>
    <w:rsid w:val="009C40E4"/>
    <w:rsid w:val="009C417E"/>
    <w:rsid w:val="009C437D"/>
    <w:rsid w:val="009C4BC9"/>
    <w:rsid w:val="009C4FC9"/>
    <w:rsid w:val="009C52E8"/>
    <w:rsid w:val="009C5A53"/>
    <w:rsid w:val="009C627B"/>
    <w:rsid w:val="009C6380"/>
    <w:rsid w:val="009C659C"/>
    <w:rsid w:val="009C681B"/>
    <w:rsid w:val="009C6AC8"/>
    <w:rsid w:val="009C6D11"/>
    <w:rsid w:val="009C70C4"/>
    <w:rsid w:val="009C79D6"/>
    <w:rsid w:val="009D0308"/>
    <w:rsid w:val="009D04DF"/>
    <w:rsid w:val="009D058C"/>
    <w:rsid w:val="009D13A0"/>
    <w:rsid w:val="009D15FC"/>
    <w:rsid w:val="009D189A"/>
    <w:rsid w:val="009D194E"/>
    <w:rsid w:val="009D1D1F"/>
    <w:rsid w:val="009D2604"/>
    <w:rsid w:val="009D2E7B"/>
    <w:rsid w:val="009D35A8"/>
    <w:rsid w:val="009D3D19"/>
    <w:rsid w:val="009D4120"/>
    <w:rsid w:val="009D45FE"/>
    <w:rsid w:val="009D4BA8"/>
    <w:rsid w:val="009D4E2A"/>
    <w:rsid w:val="009D4EE0"/>
    <w:rsid w:val="009D5632"/>
    <w:rsid w:val="009D5B57"/>
    <w:rsid w:val="009D5BAA"/>
    <w:rsid w:val="009D64C6"/>
    <w:rsid w:val="009D65BF"/>
    <w:rsid w:val="009D6D86"/>
    <w:rsid w:val="009D7810"/>
    <w:rsid w:val="009D7BCB"/>
    <w:rsid w:val="009E000D"/>
    <w:rsid w:val="009E02A8"/>
    <w:rsid w:val="009E02F4"/>
    <w:rsid w:val="009E0721"/>
    <w:rsid w:val="009E0BA5"/>
    <w:rsid w:val="009E0FA1"/>
    <w:rsid w:val="009E1259"/>
    <w:rsid w:val="009E142F"/>
    <w:rsid w:val="009E20B4"/>
    <w:rsid w:val="009E2587"/>
    <w:rsid w:val="009E3898"/>
    <w:rsid w:val="009E39DE"/>
    <w:rsid w:val="009E3A18"/>
    <w:rsid w:val="009E3BA5"/>
    <w:rsid w:val="009E4137"/>
    <w:rsid w:val="009E4785"/>
    <w:rsid w:val="009E4D87"/>
    <w:rsid w:val="009E5489"/>
    <w:rsid w:val="009E54AC"/>
    <w:rsid w:val="009E597C"/>
    <w:rsid w:val="009E5FDC"/>
    <w:rsid w:val="009E60F7"/>
    <w:rsid w:val="009E6604"/>
    <w:rsid w:val="009E6C20"/>
    <w:rsid w:val="009F0190"/>
    <w:rsid w:val="009F15F9"/>
    <w:rsid w:val="009F1A04"/>
    <w:rsid w:val="009F1E1B"/>
    <w:rsid w:val="009F2061"/>
    <w:rsid w:val="009F2941"/>
    <w:rsid w:val="009F3114"/>
    <w:rsid w:val="009F43F7"/>
    <w:rsid w:val="009F4943"/>
    <w:rsid w:val="009F4B1A"/>
    <w:rsid w:val="009F5283"/>
    <w:rsid w:val="009F52C1"/>
    <w:rsid w:val="009F645B"/>
    <w:rsid w:val="009F669D"/>
    <w:rsid w:val="009F685B"/>
    <w:rsid w:val="009F6BA7"/>
    <w:rsid w:val="009F733E"/>
    <w:rsid w:val="009F7E0D"/>
    <w:rsid w:val="009F7E6E"/>
    <w:rsid w:val="00A005C7"/>
    <w:rsid w:val="00A00BE2"/>
    <w:rsid w:val="00A0156D"/>
    <w:rsid w:val="00A01E41"/>
    <w:rsid w:val="00A0217C"/>
    <w:rsid w:val="00A025C3"/>
    <w:rsid w:val="00A02FAF"/>
    <w:rsid w:val="00A03715"/>
    <w:rsid w:val="00A03D66"/>
    <w:rsid w:val="00A05415"/>
    <w:rsid w:val="00A061C2"/>
    <w:rsid w:val="00A068AD"/>
    <w:rsid w:val="00A06B2B"/>
    <w:rsid w:val="00A06FFB"/>
    <w:rsid w:val="00A07597"/>
    <w:rsid w:val="00A10155"/>
    <w:rsid w:val="00A10488"/>
    <w:rsid w:val="00A105E3"/>
    <w:rsid w:val="00A11A6C"/>
    <w:rsid w:val="00A11C28"/>
    <w:rsid w:val="00A12172"/>
    <w:rsid w:val="00A12AED"/>
    <w:rsid w:val="00A12B40"/>
    <w:rsid w:val="00A12C17"/>
    <w:rsid w:val="00A1336E"/>
    <w:rsid w:val="00A13B80"/>
    <w:rsid w:val="00A13CC5"/>
    <w:rsid w:val="00A140A1"/>
    <w:rsid w:val="00A14342"/>
    <w:rsid w:val="00A14480"/>
    <w:rsid w:val="00A14F01"/>
    <w:rsid w:val="00A14F8C"/>
    <w:rsid w:val="00A15794"/>
    <w:rsid w:val="00A15993"/>
    <w:rsid w:val="00A162FF"/>
    <w:rsid w:val="00A16354"/>
    <w:rsid w:val="00A16A05"/>
    <w:rsid w:val="00A170EE"/>
    <w:rsid w:val="00A17D68"/>
    <w:rsid w:val="00A20F89"/>
    <w:rsid w:val="00A217FA"/>
    <w:rsid w:val="00A21879"/>
    <w:rsid w:val="00A224B8"/>
    <w:rsid w:val="00A22CA7"/>
    <w:rsid w:val="00A23526"/>
    <w:rsid w:val="00A240BA"/>
    <w:rsid w:val="00A24199"/>
    <w:rsid w:val="00A24722"/>
    <w:rsid w:val="00A24E62"/>
    <w:rsid w:val="00A263B3"/>
    <w:rsid w:val="00A263FF"/>
    <w:rsid w:val="00A26533"/>
    <w:rsid w:val="00A2691D"/>
    <w:rsid w:val="00A26D43"/>
    <w:rsid w:val="00A27062"/>
    <w:rsid w:val="00A272F3"/>
    <w:rsid w:val="00A2735C"/>
    <w:rsid w:val="00A276CF"/>
    <w:rsid w:val="00A277FC"/>
    <w:rsid w:val="00A27A89"/>
    <w:rsid w:val="00A30498"/>
    <w:rsid w:val="00A309D0"/>
    <w:rsid w:val="00A30C7F"/>
    <w:rsid w:val="00A3148C"/>
    <w:rsid w:val="00A31730"/>
    <w:rsid w:val="00A31DA7"/>
    <w:rsid w:val="00A3244F"/>
    <w:rsid w:val="00A3285C"/>
    <w:rsid w:val="00A32DA3"/>
    <w:rsid w:val="00A32ED5"/>
    <w:rsid w:val="00A331A1"/>
    <w:rsid w:val="00A33603"/>
    <w:rsid w:val="00A338F1"/>
    <w:rsid w:val="00A338FF"/>
    <w:rsid w:val="00A33C59"/>
    <w:rsid w:val="00A34962"/>
    <w:rsid w:val="00A34DD7"/>
    <w:rsid w:val="00A35781"/>
    <w:rsid w:val="00A35BF4"/>
    <w:rsid w:val="00A3617E"/>
    <w:rsid w:val="00A366C7"/>
    <w:rsid w:val="00A36863"/>
    <w:rsid w:val="00A3787F"/>
    <w:rsid w:val="00A37C93"/>
    <w:rsid w:val="00A37E2E"/>
    <w:rsid w:val="00A37E63"/>
    <w:rsid w:val="00A4022D"/>
    <w:rsid w:val="00A403BF"/>
    <w:rsid w:val="00A4054F"/>
    <w:rsid w:val="00A40F17"/>
    <w:rsid w:val="00A40F8F"/>
    <w:rsid w:val="00A41C0D"/>
    <w:rsid w:val="00A41E3A"/>
    <w:rsid w:val="00A428B7"/>
    <w:rsid w:val="00A42A86"/>
    <w:rsid w:val="00A437E4"/>
    <w:rsid w:val="00A44537"/>
    <w:rsid w:val="00A446A1"/>
    <w:rsid w:val="00A446B3"/>
    <w:rsid w:val="00A44D52"/>
    <w:rsid w:val="00A451A0"/>
    <w:rsid w:val="00A45233"/>
    <w:rsid w:val="00A45E1C"/>
    <w:rsid w:val="00A4773F"/>
    <w:rsid w:val="00A4777C"/>
    <w:rsid w:val="00A50269"/>
    <w:rsid w:val="00A50306"/>
    <w:rsid w:val="00A50CD8"/>
    <w:rsid w:val="00A50F52"/>
    <w:rsid w:val="00A51606"/>
    <w:rsid w:val="00A51793"/>
    <w:rsid w:val="00A51974"/>
    <w:rsid w:val="00A51AF7"/>
    <w:rsid w:val="00A521FC"/>
    <w:rsid w:val="00A52227"/>
    <w:rsid w:val="00A5249E"/>
    <w:rsid w:val="00A52D63"/>
    <w:rsid w:val="00A530E5"/>
    <w:rsid w:val="00A5341D"/>
    <w:rsid w:val="00A54834"/>
    <w:rsid w:val="00A54D83"/>
    <w:rsid w:val="00A5511B"/>
    <w:rsid w:val="00A551CE"/>
    <w:rsid w:val="00A552AC"/>
    <w:rsid w:val="00A552B7"/>
    <w:rsid w:val="00A56139"/>
    <w:rsid w:val="00A561BC"/>
    <w:rsid w:val="00A5634C"/>
    <w:rsid w:val="00A56393"/>
    <w:rsid w:val="00A56640"/>
    <w:rsid w:val="00A605F8"/>
    <w:rsid w:val="00A60AE8"/>
    <w:rsid w:val="00A60B86"/>
    <w:rsid w:val="00A60CB9"/>
    <w:rsid w:val="00A61551"/>
    <w:rsid w:val="00A61C63"/>
    <w:rsid w:val="00A62046"/>
    <w:rsid w:val="00A620C3"/>
    <w:rsid w:val="00A628ED"/>
    <w:rsid w:val="00A62CA0"/>
    <w:rsid w:val="00A633E7"/>
    <w:rsid w:val="00A65444"/>
    <w:rsid w:val="00A65AAE"/>
    <w:rsid w:val="00A65B15"/>
    <w:rsid w:val="00A65B17"/>
    <w:rsid w:val="00A6767F"/>
    <w:rsid w:val="00A67ADA"/>
    <w:rsid w:val="00A7053C"/>
    <w:rsid w:val="00A7123E"/>
    <w:rsid w:val="00A71A64"/>
    <w:rsid w:val="00A7260E"/>
    <w:rsid w:val="00A72740"/>
    <w:rsid w:val="00A73604"/>
    <w:rsid w:val="00A73807"/>
    <w:rsid w:val="00A738B3"/>
    <w:rsid w:val="00A73D31"/>
    <w:rsid w:val="00A7440F"/>
    <w:rsid w:val="00A745ED"/>
    <w:rsid w:val="00A74B29"/>
    <w:rsid w:val="00A74C24"/>
    <w:rsid w:val="00A75200"/>
    <w:rsid w:val="00A75401"/>
    <w:rsid w:val="00A75611"/>
    <w:rsid w:val="00A758CE"/>
    <w:rsid w:val="00A75C0E"/>
    <w:rsid w:val="00A76165"/>
    <w:rsid w:val="00A76656"/>
    <w:rsid w:val="00A769B8"/>
    <w:rsid w:val="00A76BCC"/>
    <w:rsid w:val="00A7759E"/>
    <w:rsid w:val="00A8076F"/>
    <w:rsid w:val="00A8088B"/>
    <w:rsid w:val="00A80CC9"/>
    <w:rsid w:val="00A80E96"/>
    <w:rsid w:val="00A81B08"/>
    <w:rsid w:val="00A82565"/>
    <w:rsid w:val="00A8262C"/>
    <w:rsid w:val="00A82E0E"/>
    <w:rsid w:val="00A833D9"/>
    <w:rsid w:val="00A837AD"/>
    <w:rsid w:val="00A839EC"/>
    <w:rsid w:val="00A84AC7"/>
    <w:rsid w:val="00A8528F"/>
    <w:rsid w:val="00A857C6"/>
    <w:rsid w:val="00A85A60"/>
    <w:rsid w:val="00A85BDC"/>
    <w:rsid w:val="00A85CAB"/>
    <w:rsid w:val="00A8681E"/>
    <w:rsid w:val="00A868D3"/>
    <w:rsid w:val="00A86D74"/>
    <w:rsid w:val="00A872BA"/>
    <w:rsid w:val="00A872DE"/>
    <w:rsid w:val="00A87521"/>
    <w:rsid w:val="00A90ADB"/>
    <w:rsid w:val="00A91638"/>
    <w:rsid w:val="00A916EE"/>
    <w:rsid w:val="00A91A46"/>
    <w:rsid w:val="00A91BAD"/>
    <w:rsid w:val="00A922BA"/>
    <w:rsid w:val="00A9235E"/>
    <w:rsid w:val="00A9247D"/>
    <w:rsid w:val="00A947CD"/>
    <w:rsid w:val="00A94DA2"/>
    <w:rsid w:val="00A94F75"/>
    <w:rsid w:val="00A9552D"/>
    <w:rsid w:val="00A95EA2"/>
    <w:rsid w:val="00A95EC9"/>
    <w:rsid w:val="00A962C6"/>
    <w:rsid w:val="00A96FB3"/>
    <w:rsid w:val="00A97321"/>
    <w:rsid w:val="00A97A1E"/>
    <w:rsid w:val="00A97D0D"/>
    <w:rsid w:val="00AA080A"/>
    <w:rsid w:val="00AA0895"/>
    <w:rsid w:val="00AA142F"/>
    <w:rsid w:val="00AA1B8B"/>
    <w:rsid w:val="00AA23DC"/>
    <w:rsid w:val="00AA23F3"/>
    <w:rsid w:val="00AA362F"/>
    <w:rsid w:val="00AA46CC"/>
    <w:rsid w:val="00AA4878"/>
    <w:rsid w:val="00AA4896"/>
    <w:rsid w:val="00AA48C1"/>
    <w:rsid w:val="00AA48D7"/>
    <w:rsid w:val="00AA4C2B"/>
    <w:rsid w:val="00AA4C5A"/>
    <w:rsid w:val="00AA4E24"/>
    <w:rsid w:val="00AA52A8"/>
    <w:rsid w:val="00AA5542"/>
    <w:rsid w:val="00AA6248"/>
    <w:rsid w:val="00AA6403"/>
    <w:rsid w:val="00AA6720"/>
    <w:rsid w:val="00AA68D2"/>
    <w:rsid w:val="00AA7C09"/>
    <w:rsid w:val="00AA7DF7"/>
    <w:rsid w:val="00AB003C"/>
    <w:rsid w:val="00AB0290"/>
    <w:rsid w:val="00AB075A"/>
    <w:rsid w:val="00AB0882"/>
    <w:rsid w:val="00AB093B"/>
    <w:rsid w:val="00AB0BC6"/>
    <w:rsid w:val="00AB111F"/>
    <w:rsid w:val="00AB155F"/>
    <w:rsid w:val="00AB2083"/>
    <w:rsid w:val="00AB2877"/>
    <w:rsid w:val="00AB2934"/>
    <w:rsid w:val="00AB2C33"/>
    <w:rsid w:val="00AB390C"/>
    <w:rsid w:val="00AB3BCC"/>
    <w:rsid w:val="00AB4599"/>
    <w:rsid w:val="00AB476E"/>
    <w:rsid w:val="00AB47AE"/>
    <w:rsid w:val="00AB5734"/>
    <w:rsid w:val="00AB5868"/>
    <w:rsid w:val="00AB605D"/>
    <w:rsid w:val="00AB6562"/>
    <w:rsid w:val="00AB67F7"/>
    <w:rsid w:val="00AB726B"/>
    <w:rsid w:val="00AB739E"/>
    <w:rsid w:val="00AB77BD"/>
    <w:rsid w:val="00AB7DDB"/>
    <w:rsid w:val="00AB7E63"/>
    <w:rsid w:val="00AC0406"/>
    <w:rsid w:val="00AC0528"/>
    <w:rsid w:val="00AC0EBD"/>
    <w:rsid w:val="00AC13F8"/>
    <w:rsid w:val="00AC2278"/>
    <w:rsid w:val="00AC2764"/>
    <w:rsid w:val="00AC2949"/>
    <w:rsid w:val="00AC2C90"/>
    <w:rsid w:val="00AC36FD"/>
    <w:rsid w:val="00AC381E"/>
    <w:rsid w:val="00AC3A36"/>
    <w:rsid w:val="00AC4205"/>
    <w:rsid w:val="00AC44C9"/>
    <w:rsid w:val="00AC46AA"/>
    <w:rsid w:val="00AC4713"/>
    <w:rsid w:val="00AC4CE2"/>
    <w:rsid w:val="00AC4FDF"/>
    <w:rsid w:val="00AC57B6"/>
    <w:rsid w:val="00AC57EA"/>
    <w:rsid w:val="00AC587E"/>
    <w:rsid w:val="00AC5B5A"/>
    <w:rsid w:val="00AC5DE9"/>
    <w:rsid w:val="00AC5E54"/>
    <w:rsid w:val="00AC68A8"/>
    <w:rsid w:val="00AC73B4"/>
    <w:rsid w:val="00AC74B3"/>
    <w:rsid w:val="00AC7520"/>
    <w:rsid w:val="00AC7A9B"/>
    <w:rsid w:val="00AC7B08"/>
    <w:rsid w:val="00AD003F"/>
    <w:rsid w:val="00AD02AC"/>
    <w:rsid w:val="00AD030E"/>
    <w:rsid w:val="00AD04FE"/>
    <w:rsid w:val="00AD079A"/>
    <w:rsid w:val="00AD0A3E"/>
    <w:rsid w:val="00AD0B13"/>
    <w:rsid w:val="00AD0E12"/>
    <w:rsid w:val="00AD1260"/>
    <w:rsid w:val="00AD1525"/>
    <w:rsid w:val="00AD1F31"/>
    <w:rsid w:val="00AD21BC"/>
    <w:rsid w:val="00AD3AC9"/>
    <w:rsid w:val="00AD3C1E"/>
    <w:rsid w:val="00AD3EDB"/>
    <w:rsid w:val="00AD43C5"/>
    <w:rsid w:val="00AD4686"/>
    <w:rsid w:val="00AD47A1"/>
    <w:rsid w:val="00AD4BBA"/>
    <w:rsid w:val="00AD4BD0"/>
    <w:rsid w:val="00AD4CA2"/>
    <w:rsid w:val="00AD5385"/>
    <w:rsid w:val="00AD55A4"/>
    <w:rsid w:val="00AD585D"/>
    <w:rsid w:val="00AD596C"/>
    <w:rsid w:val="00AD5B57"/>
    <w:rsid w:val="00AD5C34"/>
    <w:rsid w:val="00AD602D"/>
    <w:rsid w:val="00AD63B5"/>
    <w:rsid w:val="00AD6A25"/>
    <w:rsid w:val="00AD771F"/>
    <w:rsid w:val="00AE03FD"/>
    <w:rsid w:val="00AE0574"/>
    <w:rsid w:val="00AE0C9E"/>
    <w:rsid w:val="00AE1572"/>
    <w:rsid w:val="00AE1E15"/>
    <w:rsid w:val="00AE2B7A"/>
    <w:rsid w:val="00AE370A"/>
    <w:rsid w:val="00AE3E4B"/>
    <w:rsid w:val="00AE459F"/>
    <w:rsid w:val="00AE492D"/>
    <w:rsid w:val="00AE4982"/>
    <w:rsid w:val="00AE4B36"/>
    <w:rsid w:val="00AE4C3C"/>
    <w:rsid w:val="00AE5163"/>
    <w:rsid w:val="00AE53CD"/>
    <w:rsid w:val="00AE5C17"/>
    <w:rsid w:val="00AE5C9B"/>
    <w:rsid w:val="00AE5D7E"/>
    <w:rsid w:val="00AE5F95"/>
    <w:rsid w:val="00AE6A89"/>
    <w:rsid w:val="00AE6BF2"/>
    <w:rsid w:val="00AE6C79"/>
    <w:rsid w:val="00AE6D83"/>
    <w:rsid w:val="00AE6E35"/>
    <w:rsid w:val="00AE6F2F"/>
    <w:rsid w:val="00AE7523"/>
    <w:rsid w:val="00AE7B6A"/>
    <w:rsid w:val="00AE7DF0"/>
    <w:rsid w:val="00AE7EDA"/>
    <w:rsid w:val="00AF0494"/>
    <w:rsid w:val="00AF04AA"/>
    <w:rsid w:val="00AF0A38"/>
    <w:rsid w:val="00AF1BE5"/>
    <w:rsid w:val="00AF225E"/>
    <w:rsid w:val="00AF2F2B"/>
    <w:rsid w:val="00AF3857"/>
    <w:rsid w:val="00AF3B81"/>
    <w:rsid w:val="00AF478D"/>
    <w:rsid w:val="00AF4A00"/>
    <w:rsid w:val="00AF4BBB"/>
    <w:rsid w:val="00AF4EE0"/>
    <w:rsid w:val="00AF4F64"/>
    <w:rsid w:val="00AF521E"/>
    <w:rsid w:val="00AF5229"/>
    <w:rsid w:val="00AF533F"/>
    <w:rsid w:val="00AF5990"/>
    <w:rsid w:val="00AF5B7D"/>
    <w:rsid w:val="00AF6CED"/>
    <w:rsid w:val="00AF770D"/>
    <w:rsid w:val="00B003CF"/>
    <w:rsid w:val="00B00405"/>
    <w:rsid w:val="00B006C4"/>
    <w:rsid w:val="00B01A02"/>
    <w:rsid w:val="00B0214F"/>
    <w:rsid w:val="00B0247B"/>
    <w:rsid w:val="00B0296D"/>
    <w:rsid w:val="00B02F37"/>
    <w:rsid w:val="00B03589"/>
    <w:rsid w:val="00B0362C"/>
    <w:rsid w:val="00B0382A"/>
    <w:rsid w:val="00B04103"/>
    <w:rsid w:val="00B044A9"/>
    <w:rsid w:val="00B045D2"/>
    <w:rsid w:val="00B046F7"/>
    <w:rsid w:val="00B04F3D"/>
    <w:rsid w:val="00B05541"/>
    <w:rsid w:val="00B05902"/>
    <w:rsid w:val="00B05B0E"/>
    <w:rsid w:val="00B0646A"/>
    <w:rsid w:val="00B06607"/>
    <w:rsid w:val="00B07725"/>
    <w:rsid w:val="00B07D71"/>
    <w:rsid w:val="00B10215"/>
    <w:rsid w:val="00B10B4F"/>
    <w:rsid w:val="00B10DBE"/>
    <w:rsid w:val="00B11581"/>
    <w:rsid w:val="00B11F6D"/>
    <w:rsid w:val="00B12553"/>
    <w:rsid w:val="00B13225"/>
    <w:rsid w:val="00B138D2"/>
    <w:rsid w:val="00B13F17"/>
    <w:rsid w:val="00B1400A"/>
    <w:rsid w:val="00B143D4"/>
    <w:rsid w:val="00B14696"/>
    <w:rsid w:val="00B14882"/>
    <w:rsid w:val="00B15201"/>
    <w:rsid w:val="00B15922"/>
    <w:rsid w:val="00B16063"/>
    <w:rsid w:val="00B16935"/>
    <w:rsid w:val="00B169F7"/>
    <w:rsid w:val="00B16AFA"/>
    <w:rsid w:val="00B16FE5"/>
    <w:rsid w:val="00B2004E"/>
    <w:rsid w:val="00B205CD"/>
    <w:rsid w:val="00B20645"/>
    <w:rsid w:val="00B207BD"/>
    <w:rsid w:val="00B20EA6"/>
    <w:rsid w:val="00B21D32"/>
    <w:rsid w:val="00B21DA2"/>
    <w:rsid w:val="00B2218A"/>
    <w:rsid w:val="00B2223D"/>
    <w:rsid w:val="00B22299"/>
    <w:rsid w:val="00B222CF"/>
    <w:rsid w:val="00B2297F"/>
    <w:rsid w:val="00B22E89"/>
    <w:rsid w:val="00B22FE8"/>
    <w:rsid w:val="00B232F9"/>
    <w:rsid w:val="00B23A78"/>
    <w:rsid w:val="00B242D0"/>
    <w:rsid w:val="00B2490A"/>
    <w:rsid w:val="00B249AC"/>
    <w:rsid w:val="00B24E31"/>
    <w:rsid w:val="00B2500A"/>
    <w:rsid w:val="00B25AA5"/>
    <w:rsid w:val="00B25C68"/>
    <w:rsid w:val="00B26628"/>
    <w:rsid w:val="00B26766"/>
    <w:rsid w:val="00B268A3"/>
    <w:rsid w:val="00B26AA5"/>
    <w:rsid w:val="00B274FE"/>
    <w:rsid w:val="00B30506"/>
    <w:rsid w:val="00B305E4"/>
    <w:rsid w:val="00B30D0F"/>
    <w:rsid w:val="00B31EC0"/>
    <w:rsid w:val="00B32513"/>
    <w:rsid w:val="00B32830"/>
    <w:rsid w:val="00B32B6D"/>
    <w:rsid w:val="00B32F9A"/>
    <w:rsid w:val="00B33910"/>
    <w:rsid w:val="00B3413A"/>
    <w:rsid w:val="00B34291"/>
    <w:rsid w:val="00B34370"/>
    <w:rsid w:val="00B34ABC"/>
    <w:rsid w:val="00B34B60"/>
    <w:rsid w:val="00B3541A"/>
    <w:rsid w:val="00B3582C"/>
    <w:rsid w:val="00B3616B"/>
    <w:rsid w:val="00B36280"/>
    <w:rsid w:val="00B3689B"/>
    <w:rsid w:val="00B36C80"/>
    <w:rsid w:val="00B37111"/>
    <w:rsid w:val="00B372A2"/>
    <w:rsid w:val="00B372C0"/>
    <w:rsid w:val="00B37380"/>
    <w:rsid w:val="00B378D3"/>
    <w:rsid w:val="00B37C4A"/>
    <w:rsid w:val="00B402EC"/>
    <w:rsid w:val="00B40E0D"/>
    <w:rsid w:val="00B410A5"/>
    <w:rsid w:val="00B412D7"/>
    <w:rsid w:val="00B4171B"/>
    <w:rsid w:val="00B417AA"/>
    <w:rsid w:val="00B41E60"/>
    <w:rsid w:val="00B41E7D"/>
    <w:rsid w:val="00B4251D"/>
    <w:rsid w:val="00B428B2"/>
    <w:rsid w:val="00B42B75"/>
    <w:rsid w:val="00B435FE"/>
    <w:rsid w:val="00B436E2"/>
    <w:rsid w:val="00B44C3E"/>
    <w:rsid w:val="00B44FDF"/>
    <w:rsid w:val="00B45508"/>
    <w:rsid w:val="00B45769"/>
    <w:rsid w:val="00B459DC"/>
    <w:rsid w:val="00B45B35"/>
    <w:rsid w:val="00B466F4"/>
    <w:rsid w:val="00B471E8"/>
    <w:rsid w:val="00B47456"/>
    <w:rsid w:val="00B47A92"/>
    <w:rsid w:val="00B47C26"/>
    <w:rsid w:val="00B47C8E"/>
    <w:rsid w:val="00B47DDD"/>
    <w:rsid w:val="00B505DC"/>
    <w:rsid w:val="00B506A3"/>
    <w:rsid w:val="00B50CB7"/>
    <w:rsid w:val="00B50D62"/>
    <w:rsid w:val="00B51413"/>
    <w:rsid w:val="00B515D8"/>
    <w:rsid w:val="00B5199D"/>
    <w:rsid w:val="00B51B49"/>
    <w:rsid w:val="00B51B8C"/>
    <w:rsid w:val="00B52012"/>
    <w:rsid w:val="00B5224E"/>
    <w:rsid w:val="00B52C1D"/>
    <w:rsid w:val="00B535A4"/>
    <w:rsid w:val="00B53764"/>
    <w:rsid w:val="00B543C3"/>
    <w:rsid w:val="00B54A6A"/>
    <w:rsid w:val="00B54C2B"/>
    <w:rsid w:val="00B54E97"/>
    <w:rsid w:val="00B54EAE"/>
    <w:rsid w:val="00B54FA0"/>
    <w:rsid w:val="00B55619"/>
    <w:rsid w:val="00B55E72"/>
    <w:rsid w:val="00B578FF"/>
    <w:rsid w:val="00B57A37"/>
    <w:rsid w:val="00B57E13"/>
    <w:rsid w:val="00B57F5A"/>
    <w:rsid w:val="00B6176E"/>
    <w:rsid w:val="00B61EB8"/>
    <w:rsid w:val="00B621FF"/>
    <w:rsid w:val="00B62DC3"/>
    <w:rsid w:val="00B64109"/>
    <w:rsid w:val="00B6420A"/>
    <w:rsid w:val="00B6464E"/>
    <w:rsid w:val="00B64702"/>
    <w:rsid w:val="00B64D3F"/>
    <w:rsid w:val="00B64EA8"/>
    <w:rsid w:val="00B64F60"/>
    <w:rsid w:val="00B65234"/>
    <w:rsid w:val="00B65678"/>
    <w:rsid w:val="00B65700"/>
    <w:rsid w:val="00B65B3E"/>
    <w:rsid w:val="00B65BE9"/>
    <w:rsid w:val="00B65D68"/>
    <w:rsid w:val="00B66023"/>
    <w:rsid w:val="00B6653B"/>
    <w:rsid w:val="00B66877"/>
    <w:rsid w:val="00B66994"/>
    <w:rsid w:val="00B66B51"/>
    <w:rsid w:val="00B66F76"/>
    <w:rsid w:val="00B67E0C"/>
    <w:rsid w:val="00B67FE8"/>
    <w:rsid w:val="00B704A3"/>
    <w:rsid w:val="00B709E7"/>
    <w:rsid w:val="00B70D00"/>
    <w:rsid w:val="00B7174F"/>
    <w:rsid w:val="00B71E1C"/>
    <w:rsid w:val="00B71E5F"/>
    <w:rsid w:val="00B71F04"/>
    <w:rsid w:val="00B72B8D"/>
    <w:rsid w:val="00B72DC5"/>
    <w:rsid w:val="00B74CFF"/>
    <w:rsid w:val="00B754C5"/>
    <w:rsid w:val="00B7564A"/>
    <w:rsid w:val="00B75948"/>
    <w:rsid w:val="00B76434"/>
    <w:rsid w:val="00B7648B"/>
    <w:rsid w:val="00B77878"/>
    <w:rsid w:val="00B80017"/>
    <w:rsid w:val="00B80BA3"/>
    <w:rsid w:val="00B825DC"/>
    <w:rsid w:val="00B82ACD"/>
    <w:rsid w:val="00B831AF"/>
    <w:rsid w:val="00B837F9"/>
    <w:rsid w:val="00B83B99"/>
    <w:rsid w:val="00B841FC"/>
    <w:rsid w:val="00B848A8"/>
    <w:rsid w:val="00B84A11"/>
    <w:rsid w:val="00B84A38"/>
    <w:rsid w:val="00B84AF5"/>
    <w:rsid w:val="00B851BF"/>
    <w:rsid w:val="00B85733"/>
    <w:rsid w:val="00B85798"/>
    <w:rsid w:val="00B858B6"/>
    <w:rsid w:val="00B85999"/>
    <w:rsid w:val="00B864A4"/>
    <w:rsid w:val="00B865D7"/>
    <w:rsid w:val="00B86E76"/>
    <w:rsid w:val="00B8714F"/>
    <w:rsid w:val="00B87336"/>
    <w:rsid w:val="00B87E61"/>
    <w:rsid w:val="00B90930"/>
    <w:rsid w:val="00B914CC"/>
    <w:rsid w:val="00B91DD3"/>
    <w:rsid w:val="00B91FF9"/>
    <w:rsid w:val="00B92CD8"/>
    <w:rsid w:val="00B93AC5"/>
    <w:rsid w:val="00B942FD"/>
    <w:rsid w:val="00B94C07"/>
    <w:rsid w:val="00B94D82"/>
    <w:rsid w:val="00B95156"/>
    <w:rsid w:val="00B95321"/>
    <w:rsid w:val="00B954C3"/>
    <w:rsid w:val="00B95520"/>
    <w:rsid w:val="00B958A1"/>
    <w:rsid w:val="00B95B5C"/>
    <w:rsid w:val="00B96B48"/>
    <w:rsid w:val="00B96F6E"/>
    <w:rsid w:val="00B97051"/>
    <w:rsid w:val="00B97840"/>
    <w:rsid w:val="00B97BA0"/>
    <w:rsid w:val="00B97DAE"/>
    <w:rsid w:val="00BA0A1B"/>
    <w:rsid w:val="00BA0FA5"/>
    <w:rsid w:val="00BA1201"/>
    <w:rsid w:val="00BA121A"/>
    <w:rsid w:val="00BA1713"/>
    <w:rsid w:val="00BA178B"/>
    <w:rsid w:val="00BA2401"/>
    <w:rsid w:val="00BA2A5D"/>
    <w:rsid w:val="00BA2D4A"/>
    <w:rsid w:val="00BA2FE9"/>
    <w:rsid w:val="00BA325E"/>
    <w:rsid w:val="00BA36BD"/>
    <w:rsid w:val="00BA3DC5"/>
    <w:rsid w:val="00BA3F16"/>
    <w:rsid w:val="00BA4CBC"/>
    <w:rsid w:val="00BA4FF0"/>
    <w:rsid w:val="00BA5092"/>
    <w:rsid w:val="00BA585C"/>
    <w:rsid w:val="00BA5943"/>
    <w:rsid w:val="00BA5D58"/>
    <w:rsid w:val="00BA5E31"/>
    <w:rsid w:val="00BA607A"/>
    <w:rsid w:val="00BA68FA"/>
    <w:rsid w:val="00BA6EF2"/>
    <w:rsid w:val="00BA7129"/>
    <w:rsid w:val="00BA789C"/>
    <w:rsid w:val="00BA7E02"/>
    <w:rsid w:val="00BB007C"/>
    <w:rsid w:val="00BB013D"/>
    <w:rsid w:val="00BB0419"/>
    <w:rsid w:val="00BB0836"/>
    <w:rsid w:val="00BB0C48"/>
    <w:rsid w:val="00BB1624"/>
    <w:rsid w:val="00BB17B7"/>
    <w:rsid w:val="00BB17F2"/>
    <w:rsid w:val="00BB191C"/>
    <w:rsid w:val="00BB1E20"/>
    <w:rsid w:val="00BB1F22"/>
    <w:rsid w:val="00BB21A4"/>
    <w:rsid w:val="00BB28FA"/>
    <w:rsid w:val="00BB3327"/>
    <w:rsid w:val="00BB34AD"/>
    <w:rsid w:val="00BB3D72"/>
    <w:rsid w:val="00BB3E16"/>
    <w:rsid w:val="00BB49B0"/>
    <w:rsid w:val="00BB4B9C"/>
    <w:rsid w:val="00BB4C56"/>
    <w:rsid w:val="00BB53C8"/>
    <w:rsid w:val="00BB552B"/>
    <w:rsid w:val="00BB5D29"/>
    <w:rsid w:val="00BB616A"/>
    <w:rsid w:val="00BB68A8"/>
    <w:rsid w:val="00BB6DF3"/>
    <w:rsid w:val="00BB7734"/>
    <w:rsid w:val="00BC00E9"/>
    <w:rsid w:val="00BC0526"/>
    <w:rsid w:val="00BC08B3"/>
    <w:rsid w:val="00BC0CF1"/>
    <w:rsid w:val="00BC1BDF"/>
    <w:rsid w:val="00BC1FD6"/>
    <w:rsid w:val="00BC20C1"/>
    <w:rsid w:val="00BC266C"/>
    <w:rsid w:val="00BC27DB"/>
    <w:rsid w:val="00BC2A6D"/>
    <w:rsid w:val="00BC30DB"/>
    <w:rsid w:val="00BC319D"/>
    <w:rsid w:val="00BC330F"/>
    <w:rsid w:val="00BC3865"/>
    <w:rsid w:val="00BC40A2"/>
    <w:rsid w:val="00BC4F04"/>
    <w:rsid w:val="00BC520E"/>
    <w:rsid w:val="00BC54D8"/>
    <w:rsid w:val="00BC574A"/>
    <w:rsid w:val="00BC5774"/>
    <w:rsid w:val="00BC5DBB"/>
    <w:rsid w:val="00BC5FC1"/>
    <w:rsid w:val="00BC608A"/>
    <w:rsid w:val="00BC6299"/>
    <w:rsid w:val="00BC6385"/>
    <w:rsid w:val="00BC658C"/>
    <w:rsid w:val="00BC6C9C"/>
    <w:rsid w:val="00BC6CD4"/>
    <w:rsid w:val="00BC742A"/>
    <w:rsid w:val="00BC793A"/>
    <w:rsid w:val="00BD0174"/>
    <w:rsid w:val="00BD0612"/>
    <w:rsid w:val="00BD09F9"/>
    <w:rsid w:val="00BD0DBC"/>
    <w:rsid w:val="00BD1647"/>
    <w:rsid w:val="00BD196C"/>
    <w:rsid w:val="00BD2336"/>
    <w:rsid w:val="00BD2EFB"/>
    <w:rsid w:val="00BD3755"/>
    <w:rsid w:val="00BD4719"/>
    <w:rsid w:val="00BD4934"/>
    <w:rsid w:val="00BD5349"/>
    <w:rsid w:val="00BD55E4"/>
    <w:rsid w:val="00BD6015"/>
    <w:rsid w:val="00BD61E3"/>
    <w:rsid w:val="00BD65BF"/>
    <w:rsid w:val="00BD73F6"/>
    <w:rsid w:val="00BD7477"/>
    <w:rsid w:val="00BD748B"/>
    <w:rsid w:val="00BD78AA"/>
    <w:rsid w:val="00BE01BF"/>
    <w:rsid w:val="00BE0409"/>
    <w:rsid w:val="00BE0D0A"/>
    <w:rsid w:val="00BE0DAA"/>
    <w:rsid w:val="00BE12A0"/>
    <w:rsid w:val="00BE1431"/>
    <w:rsid w:val="00BE1C4F"/>
    <w:rsid w:val="00BE20CF"/>
    <w:rsid w:val="00BE2ACD"/>
    <w:rsid w:val="00BE2AD1"/>
    <w:rsid w:val="00BE3040"/>
    <w:rsid w:val="00BE356E"/>
    <w:rsid w:val="00BE43A2"/>
    <w:rsid w:val="00BE451B"/>
    <w:rsid w:val="00BE4B7C"/>
    <w:rsid w:val="00BE5E81"/>
    <w:rsid w:val="00BE6045"/>
    <w:rsid w:val="00BE6702"/>
    <w:rsid w:val="00BE7D83"/>
    <w:rsid w:val="00BF01CD"/>
    <w:rsid w:val="00BF062F"/>
    <w:rsid w:val="00BF0809"/>
    <w:rsid w:val="00BF14E6"/>
    <w:rsid w:val="00BF1A85"/>
    <w:rsid w:val="00BF1F29"/>
    <w:rsid w:val="00BF21D7"/>
    <w:rsid w:val="00BF2532"/>
    <w:rsid w:val="00BF288F"/>
    <w:rsid w:val="00BF2C23"/>
    <w:rsid w:val="00BF2C2D"/>
    <w:rsid w:val="00BF351B"/>
    <w:rsid w:val="00BF37B3"/>
    <w:rsid w:val="00BF3B3C"/>
    <w:rsid w:val="00BF3D73"/>
    <w:rsid w:val="00BF3ECE"/>
    <w:rsid w:val="00BF4367"/>
    <w:rsid w:val="00BF441E"/>
    <w:rsid w:val="00BF4DBA"/>
    <w:rsid w:val="00BF56A5"/>
    <w:rsid w:val="00BF585B"/>
    <w:rsid w:val="00BF64ED"/>
    <w:rsid w:val="00BF65F8"/>
    <w:rsid w:val="00BF66BD"/>
    <w:rsid w:val="00BF66DA"/>
    <w:rsid w:val="00BF6742"/>
    <w:rsid w:val="00BF73A4"/>
    <w:rsid w:val="00BF7E2B"/>
    <w:rsid w:val="00BF7FDE"/>
    <w:rsid w:val="00C00893"/>
    <w:rsid w:val="00C00AA4"/>
    <w:rsid w:val="00C017C2"/>
    <w:rsid w:val="00C01DD8"/>
    <w:rsid w:val="00C0232D"/>
    <w:rsid w:val="00C02DB1"/>
    <w:rsid w:val="00C03729"/>
    <w:rsid w:val="00C03886"/>
    <w:rsid w:val="00C03C7E"/>
    <w:rsid w:val="00C03D9D"/>
    <w:rsid w:val="00C03F00"/>
    <w:rsid w:val="00C0442A"/>
    <w:rsid w:val="00C04C36"/>
    <w:rsid w:val="00C0542C"/>
    <w:rsid w:val="00C05759"/>
    <w:rsid w:val="00C0609E"/>
    <w:rsid w:val="00C062B6"/>
    <w:rsid w:val="00C069C6"/>
    <w:rsid w:val="00C069FB"/>
    <w:rsid w:val="00C06AE5"/>
    <w:rsid w:val="00C06D93"/>
    <w:rsid w:val="00C07C80"/>
    <w:rsid w:val="00C07DC8"/>
    <w:rsid w:val="00C10250"/>
    <w:rsid w:val="00C1030A"/>
    <w:rsid w:val="00C10F24"/>
    <w:rsid w:val="00C114B9"/>
    <w:rsid w:val="00C11C61"/>
    <w:rsid w:val="00C1233A"/>
    <w:rsid w:val="00C13234"/>
    <w:rsid w:val="00C1371B"/>
    <w:rsid w:val="00C14817"/>
    <w:rsid w:val="00C15AC2"/>
    <w:rsid w:val="00C15C1D"/>
    <w:rsid w:val="00C15C85"/>
    <w:rsid w:val="00C15E04"/>
    <w:rsid w:val="00C161EC"/>
    <w:rsid w:val="00C162A1"/>
    <w:rsid w:val="00C165BC"/>
    <w:rsid w:val="00C17346"/>
    <w:rsid w:val="00C17491"/>
    <w:rsid w:val="00C2029F"/>
    <w:rsid w:val="00C21796"/>
    <w:rsid w:val="00C21A0E"/>
    <w:rsid w:val="00C21E4D"/>
    <w:rsid w:val="00C21EA0"/>
    <w:rsid w:val="00C22112"/>
    <w:rsid w:val="00C22EB6"/>
    <w:rsid w:val="00C232D8"/>
    <w:rsid w:val="00C2346C"/>
    <w:rsid w:val="00C23F81"/>
    <w:rsid w:val="00C243E0"/>
    <w:rsid w:val="00C2462B"/>
    <w:rsid w:val="00C24F7B"/>
    <w:rsid w:val="00C251F0"/>
    <w:rsid w:val="00C2577B"/>
    <w:rsid w:val="00C25925"/>
    <w:rsid w:val="00C25C94"/>
    <w:rsid w:val="00C25E7E"/>
    <w:rsid w:val="00C2647A"/>
    <w:rsid w:val="00C26D66"/>
    <w:rsid w:val="00C276CC"/>
    <w:rsid w:val="00C27B73"/>
    <w:rsid w:val="00C27CA4"/>
    <w:rsid w:val="00C302D6"/>
    <w:rsid w:val="00C31696"/>
    <w:rsid w:val="00C32CF1"/>
    <w:rsid w:val="00C334EB"/>
    <w:rsid w:val="00C33683"/>
    <w:rsid w:val="00C3376B"/>
    <w:rsid w:val="00C344E5"/>
    <w:rsid w:val="00C3485C"/>
    <w:rsid w:val="00C34CA2"/>
    <w:rsid w:val="00C351ED"/>
    <w:rsid w:val="00C3536E"/>
    <w:rsid w:val="00C355A2"/>
    <w:rsid w:val="00C35ABE"/>
    <w:rsid w:val="00C35CD9"/>
    <w:rsid w:val="00C35FB7"/>
    <w:rsid w:val="00C36023"/>
    <w:rsid w:val="00C36BCB"/>
    <w:rsid w:val="00C37594"/>
    <w:rsid w:val="00C37CFD"/>
    <w:rsid w:val="00C37D04"/>
    <w:rsid w:val="00C40C21"/>
    <w:rsid w:val="00C410A7"/>
    <w:rsid w:val="00C413B8"/>
    <w:rsid w:val="00C41757"/>
    <w:rsid w:val="00C41A41"/>
    <w:rsid w:val="00C41EE7"/>
    <w:rsid w:val="00C42090"/>
    <w:rsid w:val="00C426BF"/>
    <w:rsid w:val="00C427A2"/>
    <w:rsid w:val="00C42886"/>
    <w:rsid w:val="00C42AF8"/>
    <w:rsid w:val="00C42E56"/>
    <w:rsid w:val="00C42F73"/>
    <w:rsid w:val="00C43555"/>
    <w:rsid w:val="00C438E8"/>
    <w:rsid w:val="00C439FD"/>
    <w:rsid w:val="00C43FAC"/>
    <w:rsid w:val="00C441E3"/>
    <w:rsid w:val="00C44316"/>
    <w:rsid w:val="00C44326"/>
    <w:rsid w:val="00C44E3C"/>
    <w:rsid w:val="00C45A74"/>
    <w:rsid w:val="00C461B6"/>
    <w:rsid w:val="00C46746"/>
    <w:rsid w:val="00C46A12"/>
    <w:rsid w:val="00C46F1B"/>
    <w:rsid w:val="00C4714C"/>
    <w:rsid w:val="00C478E5"/>
    <w:rsid w:val="00C47C23"/>
    <w:rsid w:val="00C47FD6"/>
    <w:rsid w:val="00C500A4"/>
    <w:rsid w:val="00C513E2"/>
    <w:rsid w:val="00C5154D"/>
    <w:rsid w:val="00C5158E"/>
    <w:rsid w:val="00C518CD"/>
    <w:rsid w:val="00C51E35"/>
    <w:rsid w:val="00C52202"/>
    <w:rsid w:val="00C52376"/>
    <w:rsid w:val="00C52499"/>
    <w:rsid w:val="00C52653"/>
    <w:rsid w:val="00C52D46"/>
    <w:rsid w:val="00C532AE"/>
    <w:rsid w:val="00C53368"/>
    <w:rsid w:val="00C53637"/>
    <w:rsid w:val="00C536B3"/>
    <w:rsid w:val="00C53786"/>
    <w:rsid w:val="00C539DF"/>
    <w:rsid w:val="00C53C74"/>
    <w:rsid w:val="00C548F2"/>
    <w:rsid w:val="00C54FCA"/>
    <w:rsid w:val="00C555F8"/>
    <w:rsid w:val="00C56305"/>
    <w:rsid w:val="00C56632"/>
    <w:rsid w:val="00C57915"/>
    <w:rsid w:val="00C57D56"/>
    <w:rsid w:val="00C60652"/>
    <w:rsid w:val="00C6089D"/>
    <w:rsid w:val="00C609AF"/>
    <w:rsid w:val="00C60A68"/>
    <w:rsid w:val="00C60C1C"/>
    <w:rsid w:val="00C61079"/>
    <w:rsid w:val="00C614B0"/>
    <w:rsid w:val="00C62291"/>
    <w:rsid w:val="00C629A0"/>
    <w:rsid w:val="00C63365"/>
    <w:rsid w:val="00C635AD"/>
    <w:rsid w:val="00C63F3F"/>
    <w:rsid w:val="00C64004"/>
    <w:rsid w:val="00C64584"/>
    <w:rsid w:val="00C6472C"/>
    <w:rsid w:val="00C650E2"/>
    <w:rsid w:val="00C654DF"/>
    <w:rsid w:val="00C660E6"/>
    <w:rsid w:val="00C66695"/>
    <w:rsid w:val="00C67DDD"/>
    <w:rsid w:val="00C67F98"/>
    <w:rsid w:val="00C704E4"/>
    <w:rsid w:val="00C70743"/>
    <w:rsid w:val="00C70FDE"/>
    <w:rsid w:val="00C71118"/>
    <w:rsid w:val="00C713BC"/>
    <w:rsid w:val="00C71667"/>
    <w:rsid w:val="00C72283"/>
    <w:rsid w:val="00C72571"/>
    <w:rsid w:val="00C72BDC"/>
    <w:rsid w:val="00C72F38"/>
    <w:rsid w:val="00C73135"/>
    <w:rsid w:val="00C73A18"/>
    <w:rsid w:val="00C73CBD"/>
    <w:rsid w:val="00C74080"/>
    <w:rsid w:val="00C740FC"/>
    <w:rsid w:val="00C74300"/>
    <w:rsid w:val="00C74511"/>
    <w:rsid w:val="00C74AF9"/>
    <w:rsid w:val="00C76214"/>
    <w:rsid w:val="00C766D2"/>
    <w:rsid w:val="00C76A55"/>
    <w:rsid w:val="00C76D82"/>
    <w:rsid w:val="00C77634"/>
    <w:rsid w:val="00C776CA"/>
    <w:rsid w:val="00C777F7"/>
    <w:rsid w:val="00C7784A"/>
    <w:rsid w:val="00C77D93"/>
    <w:rsid w:val="00C77FF8"/>
    <w:rsid w:val="00C8062E"/>
    <w:rsid w:val="00C80C44"/>
    <w:rsid w:val="00C818AD"/>
    <w:rsid w:val="00C81D9A"/>
    <w:rsid w:val="00C82961"/>
    <w:rsid w:val="00C82A05"/>
    <w:rsid w:val="00C82E05"/>
    <w:rsid w:val="00C82E8F"/>
    <w:rsid w:val="00C83DD4"/>
    <w:rsid w:val="00C8467B"/>
    <w:rsid w:val="00C84E2B"/>
    <w:rsid w:val="00C85010"/>
    <w:rsid w:val="00C85644"/>
    <w:rsid w:val="00C8583A"/>
    <w:rsid w:val="00C863F4"/>
    <w:rsid w:val="00C867AB"/>
    <w:rsid w:val="00C867EE"/>
    <w:rsid w:val="00C87296"/>
    <w:rsid w:val="00C8738F"/>
    <w:rsid w:val="00C8771C"/>
    <w:rsid w:val="00C87DEA"/>
    <w:rsid w:val="00C87F2A"/>
    <w:rsid w:val="00C90027"/>
    <w:rsid w:val="00C905C1"/>
    <w:rsid w:val="00C9076E"/>
    <w:rsid w:val="00C90B1F"/>
    <w:rsid w:val="00C90F34"/>
    <w:rsid w:val="00C914CB"/>
    <w:rsid w:val="00C915ED"/>
    <w:rsid w:val="00C91FE2"/>
    <w:rsid w:val="00C9226D"/>
    <w:rsid w:val="00C92307"/>
    <w:rsid w:val="00C931CD"/>
    <w:rsid w:val="00C9344A"/>
    <w:rsid w:val="00C93951"/>
    <w:rsid w:val="00C94298"/>
    <w:rsid w:val="00C943EA"/>
    <w:rsid w:val="00C94879"/>
    <w:rsid w:val="00C9499E"/>
    <w:rsid w:val="00C94A2F"/>
    <w:rsid w:val="00C954B6"/>
    <w:rsid w:val="00C95FD2"/>
    <w:rsid w:val="00C968CD"/>
    <w:rsid w:val="00C96BB6"/>
    <w:rsid w:val="00C970C5"/>
    <w:rsid w:val="00C97402"/>
    <w:rsid w:val="00C97984"/>
    <w:rsid w:val="00C979F5"/>
    <w:rsid w:val="00C97ACB"/>
    <w:rsid w:val="00CA014B"/>
    <w:rsid w:val="00CA0298"/>
    <w:rsid w:val="00CA1023"/>
    <w:rsid w:val="00CA1405"/>
    <w:rsid w:val="00CA1E22"/>
    <w:rsid w:val="00CA1EAE"/>
    <w:rsid w:val="00CA29C1"/>
    <w:rsid w:val="00CA2C7B"/>
    <w:rsid w:val="00CA2F75"/>
    <w:rsid w:val="00CA3823"/>
    <w:rsid w:val="00CA399A"/>
    <w:rsid w:val="00CA44E1"/>
    <w:rsid w:val="00CA4718"/>
    <w:rsid w:val="00CA48C7"/>
    <w:rsid w:val="00CA4CBC"/>
    <w:rsid w:val="00CA4E5B"/>
    <w:rsid w:val="00CA4F82"/>
    <w:rsid w:val="00CA5EA3"/>
    <w:rsid w:val="00CA6846"/>
    <w:rsid w:val="00CA6AED"/>
    <w:rsid w:val="00CA6CAE"/>
    <w:rsid w:val="00CA6DA7"/>
    <w:rsid w:val="00CA770D"/>
    <w:rsid w:val="00CA7729"/>
    <w:rsid w:val="00CA779B"/>
    <w:rsid w:val="00CA7F4B"/>
    <w:rsid w:val="00CB16E0"/>
    <w:rsid w:val="00CB17FB"/>
    <w:rsid w:val="00CB2402"/>
    <w:rsid w:val="00CB2BE7"/>
    <w:rsid w:val="00CB2C66"/>
    <w:rsid w:val="00CB2D98"/>
    <w:rsid w:val="00CB2E8E"/>
    <w:rsid w:val="00CB31C0"/>
    <w:rsid w:val="00CB3257"/>
    <w:rsid w:val="00CB4AF1"/>
    <w:rsid w:val="00CB5B9A"/>
    <w:rsid w:val="00CB69DC"/>
    <w:rsid w:val="00CB6B96"/>
    <w:rsid w:val="00CB6BF3"/>
    <w:rsid w:val="00CB74F5"/>
    <w:rsid w:val="00CB751E"/>
    <w:rsid w:val="00CC10D0"/>
    <w:rsid w:val="00CC1104"/>
    <w:rsid w:val="00CC156A"/>
    <w:rsid w:val="00CC22C0"/>
    <w:rsid w:val="00CC2541"/>
    <w:rsid w:val="00CC262A"/>
    <w:rsid w:val="00CC31F4"/>
    <w:rsid w:val="00CC35AC"/>
    <w:rsid w:val="00CC4B2E"/>
    <w:rsid w:val="00CC51C3"/>
    <w:rsid w:val="00CC5AFA"/>
    <w:rsid w:val="00CC5D24"/>
    <w:rsid w:val="00CC6FE4"/>
    <w:rsid w:val="00CC74CB"/>
    <w:rsid w:val="00CC756D"/>
    <w:rsid w:val="00CC7804"/>
    <w:rsid w:val="00CC7845"/>
    <w:rsid w:val="00CD0030"/>
    <w:rsid w:val="00CD032B"/>
    <w:rsid w:val="00CD055C"/>
    <w:rsid w:val="00CD0CC8"/>
    <w:rsid w:val="00CD0FB3"/>
    <w:rsid w:val="00CD11ED"/>
    <w:rsid w:val="00CD121B"/>
    <w:rsid w:val="00CD13CB"/>
    <w:rsid w:val="00CD14DC"/>
    <w:rsid w:val="00CD18C7"/>
    <w:rsid w:val="00CD1920"/>
    <w:rsid w:val="00CD1CA1"/>
    <w:rsid w:val="00CD1FA5"/>
    <w:rsid w:val="00CD2678"/>
    <w:rsid w:val="00CD279B"/>
    <w:rsid w:val="00CD28C6"/>
    <w:rsid w:val="00CD3496"/>
    <w:rsid w:val="00CD35E8"/>
    <w:rsid w:val="00CD3F6B"/>
    <w:rsid w:val="00CD48A1"/>
    <w:rsid w:val="00CD5873"/>
    <w:rsid w:val="00CD5CB0"/>
    <w:rsid w:val="00CD5D9B"/>
    <w:rsid w:val="00CD656B"/>
    <w:rsid w:val="00CD69E4"/>
    <w:rsid w:val="00CD6B91"/>
    <w:rsid w:val="00CD6D8E"/>
    <w:rsid w:val="00CD6DF3"/>
    <w:rsid w:val="00CD6EF2"/>
    <w:rsid w:val="00CD72DB"/>
    <w:rsid w:val="00CD740F"/>
    <w:rsid w:val="00CD7791"/>
    <w:rsid w:val="00CD77BE"/>
    <w:rsid w:val="00CD78C5"/>
    <w:rsid w:val="00CD7EBD"/>
    <w:rsid w:val="00CE0062"/>
    <w:rsid w:val="00CE0203"/>
    <w:rsid w:val="00CE032A"/>
    <w:rsid w:val="00CE057A"/>
    <w:rsid w:val="00CE065B"/>
    <w:rsid w:val="00CE0E68"/>
    <w:rsid w:val="00CE131C"/>
    <w:rsid w:val="00CE15D4"/>
    <w:rsid w:val="00CE19A1"/>
    <w:rsid w:val="00CE1C94"/>
    <w:rsid w:val="00CE22EC"/>
    <w:rsid w:val="00CE281D"/>
    <w:rsid w:val="00CE2A0A"/>
    <w:rsid w:val="00CE3BFC"/>
    <w:rsid w:val="00CE3E0A"/>
    <w:rsid w:val="00CE4FD7"/>
    <w:rsid w:val="00CE53EC"/>
    <w:rsid w:val="00CE586F"/>
    <w:rsid w:val="00CE6901"/>
    <w:rsid w:val="00CE715E"/>
    <w:rsid w:val="00CE74AC"/>
    <w:rsid w:val="00CE7B4B"/>
    <w:rsid w:val="00CE7CDD"/>
    <w:rsid w:val="00CF060D"/>
    <w:rsid w:val="00CF0ADB"/>
    <w:rsid w:val="00CF13B3"/>
    <w:rsid w:val="00CF1954"/>
    <w:rsid w:val="00CF1BBB"/>
    <w:rsid w:val="00CF1DE8"/>
    <w:rsid w:val="00CF28B7"/>
    <w:rsid w:val="00CF2A70"/>
    <w:rsid w:val="00CF2BD7"/>
    <w:rsid w:val="00CF2CB4"/>
    <w:rsid w:val="00CF2EFC"/>
    <w:rsid w:val="00CF2FF9"/>
    <w:rsid w:val="00CF329F"/>
    <w:rsid w:val="00CF34DD"/>
    <w:rsid w:val="00CF36EF"/>
    <w:rsid w:val="00CF3701"/>
    <w:rsid w:val="00CF3860"/>
    <w:rsid w:val="00CF3E74"/>
    <w:rsid w:val="00CF4014"/>
    <w:rsid w:val="00CF4F3F"/>
    <w:rsid w:val="00CF51C8"/>
    <w:rsid w:val="00CF53FF"/>
    <w:rsid w:val="00CF5D19"/>
    <w:rsid w:val="00CF5E6B"/>
    <w:rsid w:val="00CF6625"/>
    <w:rsid w:val="00CF6CC5"/>
    <w:rsid w:val="00CF7367"/>
    <w:rsid w:val="00CF7827"/>
    <w:rsid w:val="00D0021D"/>
    <w:rsid w:val="00D00FEA"/>
    <w:rsid w:val="00D018E4"/>
    <w:rsid w:val="00D01B40"/>
    <w:rsid w:val="00D01C92"/>
    <w:rsid w:val="00D0290C"/>
    <w:rsid w:val="00D02A11"/>
    <w:rsid w:val="00D02B0E"/>
    <w:rsid w:val="00D035BE"/>
    <w:rsid w:val="00D03DAD"/>
    <w:rsid w:val="00D04267"/>
    <w:rsid w:val="00D042D4"/>
    <w:rsid w:val="00D048B5"/>
    <w:rsid w:val="00D04C56"/>
    <w:rsid w:val="00D04F25"/>
    <w:rsid w:val="00D056BA"/>
    <w:rsid w:val="00D069F2"/>
    <w:rsid w:val="00D07225"/>
    <w:rsid w:val="00D07C01"/>
    <w:rsid w:val="00D100E8"/>
    <w:rsid w:val="00D10130"/>
    <w:rsid w:val="00D1092E"/>
    <w:rsid w:val="00D10DC2"/>
    <w:rsid w:val="00D11F65"/>
    <w:rsid w:val="00D12819"/>
    <w:rsid w:val="00D12841"/>
    <w:rsid w:val="00D1295D"/>
    <w:rsid w:val="00D12A03"/>
    <w:rsid w:val="00D12C92"/>
    <w:rsid w:val="00D12D10"/>
    <w:rsid w:val="00D135E4"/>
    <w:rsid w:val="00D13804"/>
    <w:rsid w:val="00D1384A"/>
    <w:rsid w:val="00D13C61"/>
    <w:rsid w:val="00D1410F"/>
    <w:rsid w:val="00D1463B"/>
    <w:rsid w:val="00D148F3"/>
    <w:rsid w:val="00D14D5E"/>
    <w:rsid w:val="00D15437"/>
    <w:rsid w:val="00D15800"/>
    <w:rsid w:val="00D160D4"/>
    <w:rsid w:val="00D16C98"/>
    <w:rsid w:val="00D16EC1"/>
    <w:rsid w:val="00D171A4"/>
    <w:rsid w:val="00D17443"/>
    <w:rsid w:val="00D17836"/>
    <w:rsid w:val="00D17984"/>
    <w:rsid w:val="00D203EE"/>
    <w:rsid w:val="00D2049E"/>
    <w:rsid w:val="00D206BC"/>
    <w:rsid w:val="00D20CE6"/>
    <w:rsid w:val="00D20FF4"/>
    <w:rsid w:val="00D21FA4"/>
    <w:rsid w:val="00D22133"/>
    <w:rsid w:val="00D2230F"/>
    <w:rsid w:val="00D2275B"/>
    <w:rsid w:val="00D22961"/>
    <w:rsid w:val="00D239C6"/>
    <w:rsid w:val="00D247FF"/>
    <w:rsid w:val="00D249EF"/>
    <w:rsid w:val="00D24DB1"/>
    <w:rsid w:val="00D253D0"/>
    <w:rsid w:val="00D25799"/>
    <w:rsid w:val="00D26562"/>
    <w:rsid w:val="00D26B2B"/>
    <w:rsid w:val="00D26D07"/>
    <w:rsid w:val="00D272AF"/>
    <w:rsid w:val="00D27328"/>
    <w:rsid w:val="00D27537"/>
    <w:rsid w:val="00D3005E"/>
    <w:rsid w:val="00D302BE"/>
    <w:rsid w:val="00D3056E"/>
    <w:rsid w:val="00D30993"/>
    <w:rsid w:val="00D30A72"/>
    <w:rsid w:val="00D30EB9"/>
    <w:rsid w:val="00D310C7"/>
    <w:rsid w:val="00D318EE"/>
    <w:rsid w:val="00D31A65"/>
    <w:rsid w:val="00D31C55"/>
    <w:rsid w:val="00D31CEC"/>
    <w:rsid w:val="00D32081"/>
    <w:rsid w:val="00D3239A"/>
    <w:rsid w:val="00D3239D"/>
    <w:rsid w:val="00D3277B"/>
    <w:rsid w:val="00D3375B"/>
    <w:rsid w:val="00D33C13"/>
    <w:rsid w:val="00D34322"/>
    <w:rsid w:val="00D34470"/>
    <w:rsid w:val="00D34714"/>
    <w:rsid w:val="00D3520C"/>
    <w:rsid w:val="00D369BE"/>
    <w:rsid w:val="00D374AC"/>
    <w:rsid w:val="00D407E2"/>
    <w:rsid w:val="00D4103D"/>
    <w:rsid w:val="00D41082"/>
    <w:rsid w:val="00D417C5"/>
    <w:rsid w:val="00D4183C"/>
    <w:rsid w:val="00D42996"/>
    <w:rsid w:val="00D42D7E"/>
    <w:rsid w:val="00D42DAF"/>
    <w:rsid w:val="00D43254"/>
    <w:rsid w:val="00D43667"/>
    <w:rsid w:val="00D436A2"/>
    <w:rsid w:val="00D44B29"/>
    <w:rsid w:val="00D44CA8"/>
    <w:rsid w:val="00D44D4E"/>
    <w:rsid w:val="00D44DBA"/>
    <w:rsid w:val="00D44E25"/>
    <w:rsid w:val="00D453D4"/>
    <w:rsid w:val="00D45B9A"/>
    <w:rsid w:val="00D470D0"/>
    <w:rsid w:val="00D500F1"/>
    <w:rsid w:val="00D51D34"/>
    <w:rsid w:val="00D5202A"/>
    <w:rsid w:val="00D524FA"/>
    <w:rsid w:val="00D52662"/>
    <w:rsid w:val="00D52EAD"/>
    <w:rsid w:val="00D534A1"/>
    <w:rsid w:val="00D53B8D"/>
    <w:rsid w:val="00D5460D"/>
    <w:rsid w:val="00D54856"/>
    <w:rsid w:val="00D54976"/>
    <w:rsid w:val="00D555C8"/>
    <w:rsid w:val="00D5575D"/>
    <w:rsid w:val="00D55DD7"/>
    <w:rsid w:val="00D5665F"/>
    <w:rsid w:val="00D56DB1"/>
    <w:rsid w:val="00D56E19"/>
    <w:rsid w:val="00D57395"/>
    <w:rsid w:val="00D576A5"/>
    <w:rsid w:val="00D57B4A"/>
    <w:rsid w:val="00D57DC5"/>
    <w:rsid w:val="00D57FE1"/>
    <w:rsid w:val="00D60569"/>
    <w:rsid w:val="00D607A1"/>
    <w:rsid w:val="00D61FFE"/>
    <w:rsid w:val="00D6243D"/>
    <w:rsid w:val="00D6290A"/>
    <w:rsid w:val="00D63068"/>
    <w:rsid w:val="00D647F7"/>
    <w:rsid w:val="00D64B3D"/>
    <w:rsid w:val="00D64BF3"/>
    <w:rsid w:val="00D64DC1"/>
    <w:rsid w:val="00D65280"/>
    <w:rsid w:val="00D65778"/>
    <w:rsid w:val="00D659FC"/>
    <w:rsid w:val="00D65FD4"/>
    <w:rsid w:val="00D66FC5"/>
    <w:rsid w:val="00D66FDE"/>
    <w:rsid w:val="00D6798D"/>
    <w:rsid w:val="00D67B88"/>
    <w:rsid w:val="00D70045"/>
    <w:rsid w:val="00D7004F"/>
    <w:rsid w:val="00D704D7"/>
    <w:rsid w:val="00D70644"/>
    <w:rsid w:val="00D706E3"/>
    <w:rsid w:val="00D70F33"/>
    <w:rsid w:val="00D72303"/>
    <w:rsid w:val="00D7331A"/>
    <w:rsid w:val="00D73A62"/>
    <w:rsid w:val="00D7478C"/>
    <w:rsid w:val="00D756DE"/>
    <w:rsid w:val="00D75D08"/>
    <w:rsid w:val="00D75F29"/>
    <w:rsid w:val="00D76157"/>
    <w:rsid w:val="00D76480"/>
    <w:rsid w:val="00D76749"/>
    <w:rsid w:val="00D767BF"/>
    <w:rsid w:val="00D7783C"/>
    <w:rsid w:val="00D77FC4"/>
    <w:rsid w:val="00D77FF1"/>
    <w:rsid w:val="00D800F6"/>
    <w:rsid w:val="00D805DB"/>
    <w:rsid w:val="00D806CA"/>
    <w:rsid w:val="00D807B5"/>
    <w:rsid w:val="00D81100"/>
    <w:rsid w:val="00D81326"/>
    <w:rsid w:val="00D8141A"/>
    <w:rsid w:val="00D81D87"/>
    <w:rsid w:val="00D828E8"/>
    <w:rsid w:val="00D829A6"/>
    <w:rsid w:val="00D82B30"/>
    <w:rsid w:val="00D835E6"/>
    <w:rsid w:val="00D8399F"/>
    <w:rsid w:val="00D8415B"/>
    <w:rsid w:val="00D847A6"/>
    <w:rsid w:val="00D84DC8"/>
    <w:rsid w:val="00D84F2F"/>
    <w:rsid w:val="00D85136"/>
    <w:rsid w:val="00D85F43"/>
    <w:rsid w:val="00D85FDB"/>
    <w:rsid w:val="00D8612D"/>
    <w:rsid w:val="00D871DA"/>
    <w:rsid w:val="00D874E7"/>
    <w:rsid w:val="00D877CE"/>
    <w:rsid w:val="00D90157"/>
    <w:rsid w:val="00D90369"/>
    <w:rsid w:val="00D905C9"/>
    <w:rsid w:val="00D905EE"/>
    <w:rsid w:val="00D90B8E"/>
    <w:rsid w:val="00D90C5A"/>
    <w:rsid w:val="00D91A79"/>
    <w:rsid w:val="00D91D43"/>
    <w:rsid w:val="00D924C6"/>
    <w:rsid w:val="00D924DA"/>
    <w:rsid w:val="00D92515"/>
    <w:rsid w:val="00D93761"/>
    <w:rsid w:val="00D93E1D"/>
    <w:rsid w:val="00D940AC"/>
    <w:rsid w:val="00D9452F"/>
    <w:rsid w:val="00D94B70"/>
    <w:rsid w:val="00D94EBF"/>
    <w:rsid w:val="00D95653"/>
    <w:rsid w:val="00D95FC3"/>
    <w:rsid w:val="00D968F5"/>
    <w:rsid w:val="00D96908"/>
    <w:rsid w:val="00D96F1E"/>
    <w:rsid w:val="00D97C79"/>
    <w:rsid w:val="00DA05DB"/>
    <w:rsid w:val="00DA2450"/>
    <w:rsid w:val="00DA286C"/>
    <w:rsid w:val="00DA28BB"/>
    <w:rsid w:val="00DA2E62"/>
    <w:rsid w:val="00DA3845"/>
    <w:rsid w:val="00DA3DB1"/>
    <w:rsid w:val="00DA3E13"/>
    <w:rsid w:val="00DA3F91"/>
    <w:rsid w:val="00DA4081"/>
    <w:rsid w:val="00DA4408"/>
    <w:rsid w:val="00DA4D2A"/>
    <w:rsid w:val="00DA531A"/>
    <w:rsid w:val="00DA56CD"/>
    <w:rsid w:val="00DA5FD8"/>
    <w:rsid w:val="00DA6178"/>
    <w:rsid w:val="00DA61C4"/>
    <w:rsid w:val="00DA62D0"/>
    <w:rsid w:val="00DA68A1"/>
    <w:rsid w:val="00DA6E6A"/>
    <w:rsid w:val="00DA739F"/>
    <w:rsid w:val="00DA74DE"/>
    <w:rsid w:val="00DB0E8D"/>
    <w:rsid w:val="00DB15CD"/>
    <w:rsid w:val="00DB16A4"/>
    <w:rsid w:val="00DB1C9E"/>
    <w:rsid w:val="00DB2098"/>
    <w:rsid w:val="00DB285D"/>
    <w:rsid w:val="00DB326F"/>
    <w:rsid w:val="00DB357C"/>
    <w:rsid w:val="00DB39E2"/>
    <w:rsid w:val="00DB3E9D"/>
    <w:rsid w:val="00DB42C6"/>
    <w:rsid w:val="00DB458C"/>
    <w:rsid w:val="00DB46BF"/>
    <w:rsid w:val="00DB60F6"/>
    <w:rsid w:val="00DB64CA"/>
    <w:rsid w:val="00DB6927"/>
    <w:rsid w:val="00DB6E7A"/>
    <w:rsid w:val="00DB7110"/>
    <w:rsid w:val="00DB73A6"/>
    <w:rsid w:val="00DB74EA"/>
    <w:rsid w:val="00DC0335"/>
    <w:rsid w:val="00DC0883"/>
    <w:rsid w:val="00DC10EE"/>
    <w:rsid w:val="00DC14E7"/>
    <w:rsid w:val="00DC193E"/>
    <w:rsid w:val="00DC3351"/>
    <w:rsid w:val="00DC3B45"/>
    <w:rsid w:val="00DC46E6"/>
    <w:rsid w:val="00DC472E"/>
    <w:rsid w:val="00DC4E6E"/>
    <w:rsid w:val="00DC51D4"/>
    <w:rsid w:val="00DC586E"/>
    <w:rsid w:val="00DC5B41"/>
    <w:rsid w:val="00DC621C"/>
    <w:rsid w:val="00DC6297"/>
    <w:rsid w:val="00DC7115"/>
    <w:rsid w:val="00DC7D59"/>
    <w:rsid w:val="00DC7E90"/>
    <w:rsid w:val="00DD0A34"/>
    <w:rsid w:val="00DD144B"/>
    <w:rsid w:val="00DD146D"/>
    <w:rsid w:val="00DD1529"/>
    <w:rsid w:val="00DD17DB"/>
    <w:rsid w:val="00DD187D"/>
    <w:rsid w:val="00DD19A5"/>
    <w:rsid w:val="00DD202B"/>
    <w:rsid w:val="00DD21F9"/>
    <w:rsid w:val="00DD2444"/>
    <w:rsid w:val="00DD3445"/>
    <w:rsid w:val="00DD3B8A"/>
    <w:rsid w:val="00DD4078"/>
    <w:rsid w:val="00DD457D"/>
    <w:rsid w:val="00DD485F"/>
    <w:rsid w:val="00DD4BCD"/>
    <w:rsid w:val="00DD51CA"/>
    <w:rsid w:val="00DD5319"/>
    <w:rsid w:val="00DD5504"/>
    <w:rsid w:val="00DD5A48"/>
    <w:rsid w:val="00DD5AED"/>
    <w:rsid w:val="00DD5C30"/>
    <w:rsid w:val="00DD6189"/>
    <w:rsid w:val="00DD74CD"/>
    <w:rsid w:val="00DD7A83"/>
    <w:rsid w:val="00DE028C"/>
    <w:rsid w:val="00DE0536"/>
    <w:rsid w:val="00DE0E32"/>
    <w:rsid w:val="00DE10B0"/>
    <w:rsid w:val="00DE1FD9"/>
    <w:rsid w:val="00DE222F"/>
    <w:rsid w:val="00DE26B6"/>
    <w:rsid w:val="00DE29FA"/>
    <w:rsid w:val="00DE2F07"/>
    <w:rsid w:val="00DE31BF"/>
    <w:rsid w:val="00DE32CD"/>
    <w:rsid w:val="00DE3BD7"/>
    <w:rsid w:val="00DE40F1"/>
    <w:rsid w:val="00DE4682"/>
    <w:rsid w:val="00DE4A28"/>
    <w:rsid w:val="00DE5521"/>
    <w:rsid w:val="00DE5795"/>
    <w:rsid w:val="00DE659F"/>
    <w:rsid w:val="00DE6AF4"/>
    <w:rsid w:val="00DE6EF4"/>
    <w:rsid w:val="00DE7708"/>
    <w:rsid w:val="00DE7754"/>
    <w:rsid w:val="00DE7B50"/>
    <w:rsid w:val="00DF0571"/>
    <w:rsid w:val="00DF0682"/>
    <w:rsid w:val="00DF16B8"/>
    <w:rsid w:val="00DF1ECC"/>
    <w:rsid w:val="00DF1F99"/>
    <w:rsid w:val="00DF29D0"/>
    <w:rsid w:val="00DF2A68"/>
    <w:rsid w:val="00DF2B0A"/>
    <w:rsid w:val="00DF3472"/>
    <w:rsid w:val="00DF34EE"/>
    <w:rsid w:val="00DF3C97"/>
    <w:rsid w:val="00DF4004"/>
    <w:rsid w:val="00DF454A"/>
    <w:rsid w:val="00DF4699"/>
    <w:rsid w:val="00DF4993"/>
    <w:rsid w:val="00DF4A98"/>
    <w:rsid w:val="00DF53A4"/>
    <w:rsid w:val="00DF55C3"/>
    <w:rsid w:val="00DF5730"/>
    <w:rsid w:val="00DF6247"/>
    <w:rsid w:val="00DF6507"/>
    <w:rsid w:val="00DF659E"/>
    <w:rsid w:val="00DF66FF"/>
    <w:rsid w:val="00DF6790"/>
    <w:rsid w:val="00E00447"/>
    <w:rsid w:val="00E005B0"/>
    <w:rsid w:val="00E00622"/>
    <w:rsid w:val="00E00F56"/>
    <w:rsid w:val="00E00F7F"/>
    <w:rsid w:val="00E0147B"/>
    <w:rsid w:val="00E01AE9"/>
    <w:rsid w:val="00E0239C"/>
    <w:rsid w:val="00E02888"/>
    <w:rsid w:val="00E02A69"/>
    <w:rsid w:val="00E02B71"/>
    <w:rsid w:val="00E03246"/>
    <w:rsid w:val="00E03B0D"/>
    <w:rsid w:val="00E045DE"/>
    <w:rsid w:val="00E04785"/>
    <w:rsid w:val="00E04993"/>
    <w:rsid w:val="00E05B78"/>
    <w:rsid w:val="00E05FA5"/>
    <w:rsid w:val="00E07FAF"/>
    <w:rsid w:val="00E103AB"/>
    <w:rsid w:val="00E10638"/>
    <w:rsid w:val="00E10ACD"/>
    <w:rsid w:val="00E11D4C"/>
    <w:rsid w:val="00E11DB0"/>
    <w:rsid w:val="00E11F4F"/>
    <w:rsid w:val="00E121AB"/>
    <w:rsid w:val="00E122CB"/>
    <w:rsid w:val="00E1277C"/>
    <w:rsid w:val="00E13018"/>
    <w:rsid w:val="00E13434"/>
    <w:rsid w:val="00E13DC9"/>
    <w:rsid w:val="00E14979"/>
    <w:rsid w:val="00E14A6D"/>
    <w:rsid w:val="00E1521E"/>
    <w:rsid w:val="00E153EE"/>
    <w:rsid w:val="00E16BEB"/>
    <w:rsid w:val="00E17D82"/>
    <w:rsid w:val="00E2034D"/>
    <w:rsid w:val="00E20B32"/>
    <w:rsid w:val="00E20BDF"/>
    <w:rsid w:val="00E20D53"/>
    <w:rsid w:val="00E20F7C"/>
    <w:rsid w:val="00E21A85"/>
    <w:rsid w:val="00E21B72"/>
    <w:rsid w:val="00E222B5"/>
    <w:rsid w:val="00E222D1"/>
    <w:rsid w:val="00E22737"/>
    <w:rsid w:val="00E2275E"/>
    <w:rsid w:val="00E22800"/>
    <w:rsid w:val="00E22CBA"/>
    <w:rsid w:val="00E23070"/>
    <w:rsid w:val="00E23687"/>
    <w:rsid w:val="00E23A98"/>
    <w:rsid w:val="00E2461F"/>
    <w:rsid w:val="00E2501A"/>
    <w:rsid w:val="00E25478"/>
    <w:rsid w:val="00E25901"/>
    <w:rsid w:val="00E25EF1"/>
    <w:rsid w:val="00E267AB"/>
    <w:rsid w:val="00E26826"/>
    <w:rsid w:val="00E269F0"/>
    <w:rsid w:val="00E26AD5"/>
    <w:rsid w:val="00E27AD2"/>
    <w:rsid w:val="00E301CC"/>
    <w:rsid w:val="00E30A93"/>
    <w:rsid w:val="00E30BDD"/>
    <w:rsid w:val="00E30BE2"/>
    <w:rsid w:val="00E3106B"/>
    <w:rsid w:val="00E324B1"/>
    <w:rsid w:val="00E33012"/>
    <w:rsid w:val="00E35566"/>
    <w:rsid w:val="00E361B1"/>
    <w:rsid w:val="00E36364"/>
    <w:rsid w:val="00E369A7"/>
    <w:rsid w:val="00E36B36"/>
    <w:rsid w:val="00E36DC4"/>
    <w:rsid w:val="00E3736E"/>
    <w:rsid w:val="00E37A87"/>
    <w:rsid w:val="00E37B70"/>
    <w:rsid w:val="00E405F0"/>
    <w:rsid w:val="00E4061C"/>
    <w:rsid w:val="00E40F96"/>
    <w:rsid w:val="00E41314"/>
    <w:rsid w:val="00E41B6A"/>
    <w:rsid w:val="00E42323"/>
    <w:rsid w:val="00E423EF"/>
    <w:rsid w:val="00E425D9"/>
    <w:rsid w:val="00E4381D"/>
    <w:rsid w:val="00E44196"/>
    <w:rsid w:val="00E44C0B"/>
    <w:rsid w:val="00E44D5D"/>
    <w:rsid w:val="00E45205"/>
    <w:rsid w:val="00E45311"/>
    <w:rsid w:val="00E45AA8"/>
    <w:rsid w:val="00E45B68"/>
    <w:rsid w:val="00E45F72"/>
    <w:rsid w:val="00E45FC6"/>
    <w:rsid w:val="00E46377"/>
    <w:rsid w:val="00E463E1"/>
    <w:rsid w:val="00E4647D"/>
    <w:rsid w:val="00E469C4"/>
    <w:rsid w:val="00E46BDE"/>
    <w:rsid w:val="00E46CD3"/>
    <w:rsid w:val="00E474E5"/>
    <w:rsid w:val="00E5064D"/>
    <w:rsid w:val="00E527B5"/>
    <w:rsid w:val="00E528E8"/>
    <w:rsid w:val="00E52FBF"/>
    <w:rsid w:val="00E53857"/>
    <w:rsid w:val="00E53ED2"/>
    <w:rsid w:val="00E53F4E"/>
    <w:rsid w:val="00E545E3"/>
    <w:rsid w:val="00E54763"/>
    <w:rsid w:val="00E548DE"/>
    <w:rsid w:val="00E54944"/>
    <w:rsid w:val="00E54B31"/>
    <w:rsid w:val="00E54C83"/>
    <w:rsid w:val="00E55949"/>
    <w:rsid w:val="00E559A8"/>
    <w:rsid w:val="00E561FE"/>
    <w:rsid w:val="00E567F5"/>
    <w:rsid w:val="00E56D4B"/>
    <w:rsid w:val="00E56D51"/>
    <w:rsid w:val="00E56EE5"/>
    <w:rsid w:val="00E5718F"/>
    <w:rsid w:val="00E57240"/>
    <w:rsid w:val="00E57595"/>
    <w:rsid w:val="00E575CB"/>
    <w:rsid w:val="00E578E5"/>
    <w:rsid w:val="00E612A1"/>
    <w:rsid w:val="00E612BC"/>
    <w:rsid w:val="00E612EB"/>
    <w:rsid w:val="00E61D43"/>
    <w:rsid w:val="00E630BD"/>
    <w:rsid w:val="00E631CF"/>
    <w:rsid w:val="00E63461"/>
    <w:rsid w:val="00E63622"/>
    <w:rsid w:val="00E641E3"/>
    <w:rsid w:val="00E645AD"/>
    <w:rsid w:val="00E64C25"/>
    <w:rsid w:val="00E65112"/>
    <w:rsid w:val="00E6563D"/>
    <w:rsid w:val="00E65A37"/>
    <w:rsid w:val="00E65BD3"/>
    <w:rsid w:val="00E66878"/>
    <w:rsid w:val="00E6702D"/>
    <w:rsid w:val="00E671AC"/>
    <w:rsid w:val="00E67434"/>
    <w:rsid w:val="00E67531"/>
    <w:rsid w:val="00E677E1"/>
    <w:rsid w:val="00E67A1C"/>
    <w:rsid w:val="00E67E23"/>
    <w:rsid w:val="00E708DE"/>
    <w:rsid w:val="00E71231"/>
    <w:rsid w:val="00E71606"/>
    <w:rsid w:val="00E7175D"/>
    <w:rsid w:val="00E72490"/>
    <w:rsid w:val="00E72804"/>
    <w:rsid w:val="00E72B8E"/>
    <w:rsid w:val="00E73030"/>
    <w:rsid w:val="00E73D92"/>
    <w:rsid w:val="00E73EE4"/>
    <w:rsid w:val="00E74242"/>
    <w:rsid w:val="00E74348"/>
    <w:rsid w:val="00E74AA0"/>
    <w:rsid w:val="00E74DAC"/>
    <w:rsid w:val="00E75198"/>
    <w:rsid w:val="00E751D6"/>
    <w:rsid w:val="00E752DC"/>
    <w:rsid w:val="00E75373"/>
    <w:rsid w:val="00E75408"/>
    <w:rsid w:val="00E7544B"/>
    <w:rsid w:val="00E75635"/>
    <w:rsid w:val="00E75C77"/>
    <w:rsid w:val="00E7627D"/>
    <w:rsid w:val="00E801CA"/>
    <w:rsid w:val="00E809A6"/>
    <w:rsid w:val="00E80A6D"/>
    <w:rsid w:val="00E8115E"/>
    <w:rsid w:val="00E81496"/>
    <w:rsid w:val="00E81DAF"/>
    <w:rsid w:val="00E829BC"/>
    <w:rsid w:val="00E82CF2"/>
    <w:rsid w:val="00E837B6"/>
    <w:rsid w:val="00E83AEB"/>
    <w:rsid w:val="00E8401B"/>
    <w:rsid w:val="00E84460"/>
    <w:rsid w:val="00E84DE6"/>
    <w:rsid w:val="00E84FDA"/>
    <w:rsid w:val="00E8510C"/>
    <w:rsid w:val="00E85A70"/>
    <w:rsid w:val="00E86016"/>
    <w:rsid w:val="00E87574"/>
    <w:rsid w:val="00E87CD6"/>
    <w:rsid w:val="00E904F5"/>
    <w:rsid w:val="00E90763"/>
    <w:rsid w:val="00E909B8"/>
    <w:rsid w:val="00E90B53"/>
    <w:rsid w:val="00E91009"/>
    <w:rsid w:val="00E916D8"/>
    <w:rsid w:val="00E9291B"/>
    <w:rsid w:val="00E92AC1"/>
    <w:rsid w:val="00E93539"/>
    <w:rsid w:val="00E939FA"/>
    <w:rsid w:val="00E9431C"/>
    <w:rsid w:val="00E94584"/>
    <w:rsid w:val="00E94915"/>
    <w:rsid w:val="00E94916"/>
    <w:rsid w:val="00E94A24"/>
    <w:rsid w:val="00E94DD7"/>
    <w:rsid w:val="00E95CAC"/>
    <w:rsid w:val="00E95CDE"/>
    <w:rsid w:val="00E95EC9"/>
    <w:rsid w:val="00E96D69"/>
    <w:rsid w:val="00E97353"/>
    <w:rsid w:val="00E97545"/>
    <w:rsid w:val="00E97F73"/>
    <w:rsid w:val="00EA053B"/>
    <w:rsid w:val="00EA154E"/>
    <w:rsid w:val="00EA227E"/>
    <w:rsid w:val="00EA289D"/>
    <w:rsid w:val="00EA2960"/>
    <w:rsid w:val="00EA30CB"/>
    <w:rsid w:val="00EA35ED"/>
    <w:rsid w:val="00EA376D"/>
    <w:rsid w:val="00EA37EE"/>
    <w:rsid w:val="00EA4217"/>
    <w:rsid w:val="00EA4A30"/>
    <w:rsid w:val="00EA4F1A"/>
    <w:rsid w:val="00EA4FCA"/>
    <w:rsid w:val="00EA4FF4"/>
    <w:rsid w:val="00EA57FB"/>
    <w:rsid w:val="00EA5984"/>
    <w:rsid w:val="00EA5987"/>
    <w:rsid w:val="00EA5A37"/>
    <w:rsid w:val="00EA6E3D"/>
    <w:rsid w:val="00EA6FED"/>
    <w:rsid w:val="00EA7531"/>
    <w:rsid w:val="00EA75BF"/>
    <w:rsid w:val="00EA79C4"/>
    <w:rsid w:val="00EB0519"/>
    <w:rsid w:val="00EB07B0"/>
    <w:rsid w:val="00EB09ED"/>
    <w:rsid w:val="00EB0DA1"/>
    <w:rsid w:val="00EB0E04"/>
    <w:rsid w:val="00EB195C"/>
    <w:rsid w:val="00EB1B1A"/>
    <w:rsid w:val="00EB1B8C"/>
    <w:rsid w:val="00EB1C24"/>
    <w:rsid w:val="00EB21AA"/>
    <w:rsid w:val="00EB2796"/>
    <w:rsid w:val="00EB2998"/>
    <w:rsid w:val="00EB2FB6"/>
    <w:rsid w:val="00EB2FCB"/>
    <w:rsid w:val="00EB31B4"/>
    <w:rsid w:val="00EB4359"/>
    <w:rsid w:val="00EB4564"/>
    <w:rsid w:val="00EB4948"/>
    <w:rsid w:val="00EB52A9"/>
    <w:rsid w:val="00EB5617"/>
    <w:rsid w:val="00EB5E19"/>
    <w:rsid w:val="00EB622F"/>
    <w:rsid w:val="00EB6833"/>
    <w:rsid w:val="00EB6D87"/>
    <w:rsid w:val="00EB6D9E"/>
    <w:rsid w:val="00EB6EAA"/>
    <w:rsid w:val="00EB71D3"/>
    <w:rsid w:val="00EB72CC"/>
    <w:rsid w:val="00EB7CD1"/>
    <w:rsid w:val="00EC03FC"/>
    <w:rsid w:val="00EC07FB"/>
    <w:rsid w:val="00EC0846"/>
    <w:rsid w:val="00EC0B78"/>
    <w:rsid w:val="00EC19ED"/>
    <w:rsid w:val="00EC1CB8"/>
    <w:rsid w:val="00EC1D30"/>
    <w:rsid w:val="00EC1ED7"/>
    <w:rsid w:val="00EC200D"/>
    <w:rsid w:val="00EC2223"/>
    <w:rsid w:val="00EC2329"/>
    <w:rsid w:val="00EC3B50"/>
    <w:rsid w:val="00EC412B"/>
    <w:rsid w:val="00EC418B"/>
    <w:rsid w:val="00EC467E"/>
    <w:rsid w:val="00EC57EB"/>
    <w:rsid w:val="00EC5D7C"/>
    <w:rsid w:val="00EC648E"/>
    <w:rsid w:val="00EC6592"/>
    <w:rsid w:val="00EC6792"/>
    <w:rsid w:val="00EC74ED"/>
    <w:rsid w:val="00ED018A"/>
    <w:rsid w:val="00ED051E"/>
    <w:rsid w:val="00ED07B6"/>
    <w:rsid w:val="00ED0AB9"/>
    <w:rsid w:val="00ED0CDC"/>
    <w:rsid w:val="00ED14A9"/>
    <w:rsid w:val="00ED1ACE"/>
    <w:rsid w:val="00ED1CA7"/>
    <w:rsid w:val="00ED28E3"/>
    <w:rsid w:val="00ED299F"/>
    <w:rsid w:val="00ED3239"/>
    <w:rsid w:val="00ED3583"/>
    <w:rsid w:val="00ED3881"/>
    <w:rsid w:val="00ED3AF9"/>
    <w:rsid w:val="00ED3D77"/>
    <w:rsid w:val="00ED3E2D"/>
    <w:rsid w:val="00ED41A5"/>
    <w:rsid w:val="00ED41D3"/>
    <w:rsid w:val="00ED431B"/>
    <w:rsid w:val="00ED544E"/>
    <w:rsid w:val="00ED614F"/>
    <w:rsid w:val="00ED6A28"/>
    <w:rsid w:val="00ED731D"/>
    <w:rsid w:val="00ED75A4"/>
    <w:rsid w:val="00ED7B16"/>
    <w:rsid w:val="00ED7BA4"/>
    <w:rsid w:val="00ED7BF6"/>
    <w:rsid w:val="00EE015E"/>
    <w:rsid w:val="00EE0811"/>
    <w:rsid w:val="00EE0F0E"/>
    <w:rsid w:val="00EE1001"/>
    <w:rsid w:val="00EE1175"/>
    <w:rsid w:val="00EE1180"/>
    <w:rsid w:val="00EE16DE"/>
    <w:rsid w:val="00EE1718"/>
    <w:rsid w:val="00EE2169"/>
    <w:rsid w:val="00EE255A"/>
    <w:rsid w:val="00EE25B8"/>
    <w:rsid w:val="00EE2E3B"/>
    <w:rsid w:val="00EE369B"/>
    <w:rsid w:val="00EE3865"/>
    <w:rsid w:val="00EE3B93"/>
    <w:rsid w:val="00EE5F3B"/>
    <w:rsid w:val="00EE63A6"/>
    <w:rsid w:val="00EE6476"/>
    <w:rsid w:val="00EE6EF6"/>
    <w:rsid w:val="00EE6F10"/>
    <w:rsid w:val="00EE7337"/>
    <w:rsid w:val="00EE74C3"/>
    <w:rsid w:val="00EE79EE"/>
    <w:rsid w:val="00EF03F4"/>
    <w:rsid w:val="00EF0AAA"/>
    <w:rsid w:val="00EF0B69"/>
    <w:rsid w:val="00EF0C96"/>
    <w:rsid w:val="00EF0E54"/>
    <w:rsid w:val="00EF165F"/>
    <w:rsid w:val="00EF21BA"/>
    <w:rsid w:val="00EF23A6"/>
    <w:rsid w:val="00EF26FE"/>
    <w:rsid w:val="00EF376E"/>
    <w:rsid w:val="00EF3BCA"/>
    <w:rsid w:val="00EF3C27"/>
    <w:rsid w:val="00EF3F02"/>
    <w:rsid w:val="00EF495B"/>
    <w:rsid w:val="00EF4DB7"/>
    <w:rsid w:val="00EF4E8B"/>
    <w:rsid w:val="00EF5843"/>
    <w:rsid w:val="00EF58EE"/>
    <w:rsid w:val="00EF5AAB"/>
    <w:rsid w:val="00EF5FDD"/>
    <w:rsid w:val="00EF6CE3"/>
    <w:rsid w:val="00EF6F4E"/>
    <w:rsid w:val="00EF7EB7"/>
    <w:rsid w:val="00F00494"/>
    <w:rsid w:val="00F007FF"/>
    <w:rsid w:val="00F00D97"/>
    <w:rsid w:val="00F00E08"/>
    <w:rsid w:val="00F00F3F"/>
    <w:rsid w:val="00F0168A"/>
    <w:rsid w:val="00F01D27"/>
    <w:rsid w:val="00F028E6"/>
    <w:rsid w:val="00F02AAF"/>
    <w:rsid w:val="00F02B20"/>
    <w:rsid w:val="00F02FB2"/>
    <w:rsid w:val="00F03018"/>
    <w:rsid w:val="00F03188"/>
    <w:rsid w:val="00F031A7"/>
    <w:rsid w:val="00F03392"/>
    <w:rsid w:val="00F03576"/>
    <w:rsid w:val="00F03A78"/>
    <w:rsid w:val="00F03AF2"/>
    <w:rsid w:val="00F03EF4"/>
    <w:rsid w:val="00F049F9"/>
    <w:rsid w:val="00F04D0D"/>
    <w:rsid w:val="00F0536D"/>
    <w:rsid w:val="00F0542E"/>
    <w:rsid w:val="00F05542"/>
    <w:rsid w:val="00F0591F"/>
    <w:rsid w:val="00F05A9E"/>
    <w:rsid w:val="00F06538"/>
    <w:rsid w:val="00F065DD"/>
    <w:rsid w:val="00F06BE3"/>
    <w:rsid w:val="00F0741B"/>
    <w:rsid w:val="00F075A0"/>
    <w:rsid w:val="00F07DF8"/>
    <w:rsid w:val="00F104A8"/>
    <w:rsid w:val="00F1097C"/>
    <w:rsid w:val="00F10A8D"/>
    <w:rsid w:val="00F10EE0"/>
    <w:rsid w:val="00F1146B"/>
    <w:rsid w:val="00F11DD0"/>
    <w:rsid w:val="00F11E0F"/>
    <w:rsid w:val="00F12AF9"/>
    <w:rsid w:val="00F1305F"/>
    <w:rsid w:val="00F13BA9"/>
    <w:rsid w:val="00F13D30"/>
    <w:rsid w:val="00F13E42"/>
    <w:rsid w:val="00F14228"/>
    <w:rsid w:val="00F14295"/>
    <w:rsid w:val="00F1440B"/>
    <w:rsid w:val="00F1468E"/>
    <w:rsid w:val="00F14FD8"/>
    <w:rsid w:val="00F15057"/>
    <w:rsid w:val="00F159E8"/>
    <w:rsid w:val="00F15DF7"/>
    <w:rsid w:val="00F160DA"/>
    <w:rsid w:val="00F16473"/>
    <w:rsid w:val="00F16A78"/>
    <w:rsid w:val="00F16AF7"/>
    <w:rsid w:val="00F16ECF"/>
    <w:rsid w:val="00F171B7"/>
    <w:rsid w:val="00F1752C"/>
    <w:rsid w:val="00F206DC"/>
    <w:rsid w:val="00F207B9"/>
    <w:rsid w:val="00F20A52"/>
    <w:rsid w:val="00F20E47"/>
    <w:rsid w:val="00F20EE6"/>
    <w:rsid w:val="00F210A3"/>
    <w:rsid w:val="00F2156D"/>
    <w:rsid w:val="00F21B77"/>
    <w:rsid w:val="00F22312"/>
    <w:rsid w:val="00F223F6"/>
    <w:rsid w:val="00F22B41"/>
    <w:rsid w:val="00F22D19"/>
    <w:rsid w:val="00F23BB3"/>
    <w:rsid w:val="00F23D65"/>
    <w:rsid w:val="00F23DAF"/>
    <w:rsid w:val="00F24ECF"/>
    <w:rsid w:val="00F25B0D"/>
    <w:rsid w:val="00F25EF6"/>
    <w:rsid w:val="00F26B3C"/>
    <w:rsid w:val="00F26FB2"/>
    <w:rsid w:val="00F26FEF"/>
    <w:rsid w:val="00F278AB"/>
    <w:rsid w:val="00F305F4"/>
    <w:rsid w:val="00F30BE2"/>
    <w:rsid w:val="00F312F4"/>
    <w:rsid w:val="00F318EF"/>
    <w:rsid w:val="00F32B3B"/>
    <w:rsid w:val="00F3343C"/>
    <w:rsid w:val="00F33471"/>
    <w:rsid w:val="00F3370D"/>
    <w:rsid w:val="00F33AD9"/>
    <w:rsid w:val="00F33EEC"/>
    <w:rsid w:val="00F3490A"/>
    <w:rsid w:val="00F3493B"/>
    <w:rsid w:val="00F34DFC"/>
    <w:rsid w:val="00F358FA"/>
    <w:rsid w:val="00F35D6A"/>
    <w:rsid w:val="00F3627E"/>
    <w:rsid w:val="00F363C1"/>
    <w:rsid w:val="00F367ED"/>
    <w:rsid w:val="00F367F2"/>
    <w:rsid w:val="00F3694F"/>
    <w:rsid w:val="00F36962"/>
    <w:rsid w:val="00F36D35"/>
    <w:rsid w:val="00F374AB"/>
    <w:rsid w:val="00F37551"/>
    <w:rsid w:val="00F3756F"/>
    <w:rsid w:val="00F403BE"/>
    <w:rsid w:val="00F40B0A"/>
    <w:rsid w:val="00F41CBB"/>
    <w:rsid w:val="00F4210F"/>
    <w:rsid w:val="00F421A1"/>
    <w:rsid w:val="00F42DC6"/>
    <w:rsid w:val="00F43592"/>
    <w:rsid w:val="00F435F4"/>
    <w:rsid w:val="00F44236"/>
    <w:rsid w:val="00F4453F"/>
    <w:rsid w:val="00F456CF"/>
    <w:rsid w:val="00F46C97"/>
    <w:rsid w:val="00F4789D"/>
    <w:rsid w:val="00F47A37"/>
    <w:rsid w:val="00F47A72"/>
    <w:rsid w:val="00F50237"/>
    <w:rsid w:val="00F5029C"/>
    <w:rsid w:val="00F519BE"/>
    <w:rsid w:val="00F51FA6"/>
    <w:rsid w:val="00F52408"/>
    <w:rsid w:val="00F52505"/>
    <w:rsid w:val="00F53456"/>
    <w:rsid w:val="00F538A4"/>
    <w:rsid w:val="00F53994"/>
    <w:rsid w:val="00F53F83"/>
    <w:rsid w:val="00F5439F"/>
    <w:rsid w:val="00F54581"/>
    <w:rsid w:val="00F54A1A"/>
    <w:rsid w:val="00F54AC0"/>
    <w:rsid w:val="00F54F5B"/>
    <w:rsid w:val="00F55629"/>
    <w:rsid w:val="00F5609C"/>
    <w:rsid w:val="00F565F4"/>
    <w:rsid w:val="00F56BD4"/>
    <w:rsid w:val="00F56FA1"/>
    <w:rsid w:val="00F57540"/>
    <w:rsid w:val="00F60809"/>
    <w:rsid w:val="00F615F5"/>
    <w:rsid w:val="00F6176F"/>
    <w:rsid w:val="00F61918"/>
    <w:rsid w:val="00F62074"/>
    <w:rsid w:val="00F622B7"/>
    <w:rsid w:val="00F62601"/>
    <w:rsid w:val="00F62610"/>
    <w:rsid w:val="00F629A3"/>
    <w:rsid w:val="00F62C5D"/>
    <w:rsid w:val="00F62EA0"/>
    <w:rsid w:val="00F62F8B"/>
    <w:rsid w:val="00F630EA"/>
    <w:rsid w:val="00F630FB"/>
    <w:rsid w:val="00F63213"/>
    <w:rsid w:val="00F640F1"/>
    <w:rsid w:val="00F6495B"/>
    <w:rsid w:val="00F65637"/>
    <w:rsid w:val="00F65865"/>
    <w:rsid w:val="00F65C23"/>
    <w:rsid w:val="00F663DB"/>
    <w:rsid w:val="00F668CB"/>
    <w:rsid w:val="00F67037"/>
    <w:rsid w:val="00F67C48"/>
    <w:rsid w:val="00F70B9C"/>
    <w:rsid w:val="00F70D9D"/>
    <w:rsid w:val="00F716E2"/>
    <w:rsid w:val="00F71B9C"/>
    <w:rsid w:val="00F73843"/>
    <w:rsid w:val="00F7386E"/>
    <w:rsid w:val="00F738B8"/>
    <w:rsid w:val="00F73A84"/>
    <w:rsid w:val="00F74503"/>
    <w:rsid w:val="00F74805"/>
    <w:rsid w:val="00F748E9"/>
    <w:rsid w:val="00F74BE1"/>
    <w:rsid w:val="00F74DAC"/>
    <w:rsid w:val="00F74E77"/>
    <w:rsid w:val="00F75053"/>
    <w:rsid w:val="00F7542D"/>
    <w:rsid w:val="00F75752"/>
    <w:rsid w:val="00F76661"/>
    <w:rsid w:val="00F7673C"/>
    <w:rsid w:val="00F7680E"/>
    <w:rsid w:val="00F76A06"/>
    <w:rsid w:val="00F76B2E"/>
    <w:rsid w:val="00F76D36"/>
    <w:rsid w:val="00F770CE"/>
    <w:rsid w:val="00F77316"/>
    <w:rsid w:val="00F77545"/>
    <w:rsid w:val="00F77636"/>
    <w:rsid w:val="00F77A3B"/>
    <w:rsid w:val="00F803B3"/>
    <w:rsid w:val="00F80681"/>
    <w:rsid w:val="00F809BE"/>
    <w:rsid w:val="00F80E07"/>
    <w:rsid w:val="00F81354"/>
    <w:rsid w:val="00F8200C"/>
    <w:rsid w:val="00F82963"/>
    <w:rsid w:val="00F82CE8"/>
    <w:rsid w:val="00F83C4E"/>
    <w:rsid w:val="00F844AC"/>
    <w:rsid w:val="00F84A0B"/>
    <w:rsid w:val="00F85099"/>
    <w:rsid w:val="00F854F9"/>
    <w:rsid w:val="00F86286"/>
    <w:rsid w:val="00F86409"/>
    <w:rsid w:val="00F8672B"/>
    <w:rsid w:val="00F86779"/>
    <w:rsid w:val="00F86A43"/>
    <w:rsid w:val="00F86F76"/>
    <w:rsid w:val="00F8747E"/>
    <w:rsid w:val="00F8755F"/>
    <w:rsid w:val="00F87CCE"/>
    <w:rsid w:val="00F905B8"/>
    <w:rsid w:val="00F90C4F"/>
    <w:rsid w:val="00F90D7A"/>
    <w:rsid w:val="00F91397"/>
    <w:rsid w:val="00F916E2"/>
    <w:rsid w:val="00F9176A"/>
    <w:rsid w:val="00F917F5"/>
    <w:rsid w:val="00F91B06"/>
    <w:rsid w:val="00F92761"/>
    <w:rsid w:val="00F92A8C"/>
    <w:rsid w:val="00F93567"/>
    <w:rsid w:val="00F937C9"/>
    <w:rsid w:val="00F93F94"/>
    <w:rsid w:val="00F9479B"/>
    <w:rsid w:val="00F94CCD"/>
    <w:rsid w:val="00F951EA"/>
    <w:rsid w:val="00F9588E"/>
    <w:rsid w:val="00F96017"/>
    <w:rsid w:val="00F972D4"/>
    <w:rsid w:val="00F97677"/>
    <w:rsid w:val="00F977C6"/>
    <w:rsid w:val="00F97852"/>
    <w:rsid w:val="00FA070B"/>
    <w:rsid w:val="00FA0845"/>
    <w:rsid w:val="00FA0B43"/>
    <w:rsid w:val="00FA1105"/>
    <w:rsid w:val="00FA19CA"/>
    <w:rsid w:val="00FA1B00"/>
    <w:rsid w:val="00FA1B49"/>
    <w:rsid w:val="00FA1C87"/>
    <w:rsid w:val="00FA1F12"/>
    <w:rsid w:val="00FA21A4"/>
    <w:rsid w:val="00FA222C"/>
    <w:rsid w:val="00FA22F8"/>
    <w:rsid w:val="00FA25A6"/>
    <w:rsid w:val="00FA3289"/>
    <w:rsid w:val="00FA355F"/>
    <w:rsid w:val="00FA3BEC"/>
    <w:rsid w:val="00FA43DA"/>
    <w:rsid w:val="00FA5625"/>
    <w:rsid w:val="00FA6843"/>
    <w:rsid w:val="00FA69C8"/>
    <w:rsid w:val="00FA6AC4"/>
    <w:rsid w:val="00FA6E11"/>
    <w:rsid w:val="00FA71A5"/>
    <w:rsid w:val="00FA738D"/>
    <w:rsid w:val="00FA7AD8"/>
    <w:rsid w:val="00FB108E"/>
    <w:rsid w:val="00FB18E7"/>
    <w:rsid w:val="00FB243E"/>
    <w:rsid w:val="00FB2694"/>
    <w:rsid w:val="00FB271F"/>
    <w:rsid w:val="00FB380C"/>
    <w:rsid w:val="00FB43DD"/>
    <w:rsid w:val="00FB449D"/>
    <w:rsid w:val="00FB455C"/>
    <w:rsid w:val="00FB456F"/>
    <w:rsid w:val="00FB474E"/>
    <w:rsid w:val="00FB4C17"/>
    <w:rsid w:val="00FB4E75"/>
    <w:rsid w:val="00FB5003"/>
    <w:rsid w:val="00FB5A01"/>
    <w:rsid w:val="00FB6628"/>
    <w:rsid w:val="00FB6C1E"/>
    <w:rsid w:val="00FB70CF"/>
    <w:rsid w:val="00FB7C4C"/>
    <w:rsid w:val="00FC020B"/>
    <w:rsid w:val="00FC02CE"/>
    <w:rsid w:val="00FC0A18"/>
    <w:rsid w:val="00FC0FB8"/>
    <w:rsid w:val="00FC1F5A"/>
    <w:rsid w:val="00FC2149"/>
    <w:rsid w:val="00FC2662"/>
    <w:rsid w:val="00FC26A0"/>
    <w:rsid w:val="00FC2872"/>
    <w:rsid w:val="00FC46E9"/>
    <w:rsid w:val="00FC48FB"/>
    <w:rsid w:val="00FC4AD3"/>
    <w:rsid w:val="00FC4BBE"/>
    <w:rsid w:val="00FC4C4B"/>
    <w:rsid w:val="00FC52E9"/>
    <w:rsid w:val="00FC54B6"/>
    <w:rsid w:val="00FC5700"/>
    <w:rsid w:val="00FC5EF3"/>
    <w:rsid w:val="00FC6AD3"/>
    <w:rsid w:val="00FC6DB4"/>
    <w:rsid w:val="00FC6FD5"/>
    <w:rsid w:val="00FC6FF4"/>
    <w:rsid w:val="00FC729D"/>
    <w:rsid w:val="00FC7A27"/>
    <w:rsid w:val="00FC7B69"/>
    <w:rsid w:val="00FC7ECB"/>
    <w:rsid w:val="00FD11C5"/>
    <w:rsid w:val="00FD12B3"/>
    <w:rsid w:val="00FD1636"/>
    <w:rsid w:val="00FD19AD"/>
    <w:rsid w:val="00FD1F16"/>
    <w:rsid w:val="00FD20D0"/>
    <w:rsid w:val="00FD21AA"/>
    <w:rsid w:val="00FD2206"/>
    <w:rsid w:val="00FD239B"/>
    <w:rsid w:val="00FD34EE"/>
    <w:rsid w:val="00FD3D44"/>
    <w:rsid w:val="00FD4028"/>
    <w:rsid w:val="00FD4378"/>
    <w:rsid w:val="00FD6AA3"/>
    <w:rsid w:val="00FD7078"/>
    <w:rsid w:val="00FD74CB"/>
    <w:rsid w:val="00FD7763"/>
    <w:rsid w:val="00FD7A29"/>
    <w:rsid w:val="00FE0490"/>
    <w:rsid w:val="00FE09A1"/>
    <w:rsid w:val="00FE09A9"/>
    <w:rsid w:val="00FE0DAC"/>
    <w:rsid w:val="00FE138F"/>
    <w:rsid w:val="00FE2154"/>
    <w:rsid w:val="00FE277A"/>
    <w:rsid w:val="00FE277C"/>
    <w:rsid w:val="00FE2B7E"/>
    <w:rsid w:val="00FE33C7"/>
    <w:rsid w:val="00FE3660"/>
    <w:rsid w:val="00FE38AF"/>
    <w:rsid w:val="00FE3C41"/>
    <w:rsid w:val="00FE4439"/>
    <w:rsid w:val="00FE4563"/>
    <w:rsid w:val="00FE4641"/>
    <w:rsid w:val="00FE4F6A"/>
    <w:rsid w:val="00FE5B83"/>
    <w:rsid w:val="00FE5C47"/>
    <w:rsid w:val="00FE6FCF"/>
    <w:rsid w:val="00FE71B8"/>
    <w:rsid w:val="00FE71B9"/>
    <w:rsid w:val="00FE7216"/>
    <w:rsid w:val="00FE750A"/>
    <w:rsid w:val="00FE7935"/>
    <w:rsid w:val="00FE7ADE"/>
    <w:rsid w:val="00FF0475"/>
    <w:rsid w:val="00FF05E2"/>
    <w:rsid w:val="00FF198F"/>
    <w:rsid w:val="00FF24C6"/>
    <w:rsid w:val="00FF2A6F"/>
    <w:rsid w:val="00FF2DFB"/>
    <w:rsid w:val="00FF2F2A"/>
    <w:rsid w:val="00FF3070"/>
    <w:rsid w:val="00FF3085"/>
    <w:rsid w:val="00FF3B64"/>
    <w:rsid w:val="00FF4133"/>
    <w:rsid w:val="00FF45C0"/>
    <w:rsid w:val="00FF4A3C"/>
    <w:rsid w:val="00FF4B83"/>
    <w:rsid w:val="00FF4E0D"/>
    <w:rsid w:val="00FF53A8"/>
    <w:rsid w:val="00FF591A"/>
    <w:rsid w:val="00FF5AE0"/>
    <w:rsid w:val="00FF5E09"/>
    <w:rsid w:val="00FF630E"/>
    <w:rsid w:val="00FF6F60"/>
    <w:rsid w:val="00FF71BE"/>
    <w:rsid w:val="00FF7564"/>
    <w:rsid w:val="00FF766C"/>
    <w:rsid w:val="0140FE5C"/>
    <w:rsid w:val="01D637BF"/>
    <w:rsid w:val="020A1802"/>
    <w:rsid w:val="03CEA22A"/>
    <w:rsid w:val="03E5D326"/>
    <w:rsid w:val="0427BC4E"/>
    <w:rsid w:val="04851A52"/>
    <w:rsid w:val="048F03A3"/>
    <w:rsid w:val="0553D187"/>
    <w:rsid w:val="055BECFC"/>
    <w:rsid w:val="058C1386"/>
    <w:rsid w:val="060637DE"/>
    <w:rsid w:val="061ACABA"/>
    <w:rsid w:val="066D656C"/>
    <w:rsid w:val="07739A88"/>
    <w:rsid w:val="0792F570"/>
    <w:rsid w:val="08310310"/>
    <w:rsid w:val="08C74713"/>
    <w:rsid w:val="09AFD872"/>
    <w:rsid w:val="09BE4AAB"/>
    <w:rsid w:val="0A91E7BB"/>
    <w:rsid w:val="0B5292BF"/>
    <w:rsid w:val="0B9A5FD3"/>
    <w:rsid w:val="0C5EAA95"/>
    <w:rsid w:val="0C843441"/>
    <w:rsid w:val="0CFAFBD0"/>
    <w:rsid w:val="0EC8344B"/>
    <w:rsid w:val="0EDCB57D"/>
    <w:rsid w:val="0F138170"/>
    <w:rsid w:val="1040B7B8"/>
    <w:rsid w:val="108E38F6"/>
    <w:rsid w:val="10915092"/>
    <w:rsid w:val="10BA972F"/>
    <w:rsid w:val="11B76BE2"/>
    <w:rsid w:val="1233CA86"/>
    <w:rsid w:val="129570F1"/>
    <w:rsid w:val="129CE672"/>
    <w:rsid w:val="13032349"/>
    <w:rsid w:val="139654EA"/>
    <w:rsid w:val="14450E3B"/>
    <w:rsid w:val="144D92F9"/>
    <w:rsid w:val="14562EEF"/>
    <w:rsid w:val="158AE6E0"/>
    <w:rsid w:val="1627DEE8"/>
    <w:rsid w:val="162E8C9D"/>
    <w:rsid w:val="162EADA4"/>
    <w:rsid w:val="180A1147"/>
    <w:rsid w:val="192EBCB7"/>
    <w:rsid w:val="195CED8D"/>
    <w:rsid w:val="1971B2A6"/>
    <w:rsid w:val="1A724F05"/>
    <w:rsid w:val="1B2BBC42"/>
    <w:rsid w:val="1C547814"/>
    <w:rsid w:val="1D67BDD8"/>
    <w:rsid w:val="1D7DE5D0"/>
    <w:rsid w:val="1DAAFD13"/>
    <w:rsid w:val="1E4652A1"/>
    <w:rsid w:val="1F2A4021"/>
    <w:rsid w:val="1F4813FF"/>
    <w:rsid w:val="1F5DF49F"/>
    <w:rsid w:val="212B43D9"/>
    <w:rsid w:val="22B9F450"/>
    <w:rsid w:val="241424A3"/>
    <w:rsid w:val="24463051"/>
    <w:rsid w:val="24F65C84"/>
    <w:rsid w:val="253B41E7"/>
    <w:rsid w:val="267AA6CA"/>
    <w:rsid w:val="26CB7D14"/>
    <w:rsid w:val="2782870B"/>
    <w:rsid w:val="280A6A66"/>
    <w:rsid w:val="2816F560"/>
    <w:rsid w:val="2C4254B8"/>
    <w:rsid w:val="2E593960"/>
    <w:rsid w:val="2EE1B632"/>
    <w:rsid w:val="2FA11A00"/>
    <w:rsid w:val="300D5F43"/>
    <w:rsid w:val="3032A135"/>
    <w:rsid w:val="30FB14F6"/>
    <w:rsid w:val="3112C721"/>
    <w:rsid w:val="315E94CB"/>
    <w:rsid w:val="317F328B"/>
    <w:rsid w:val="31B1684D"/>
    <w:rsid w:val="3323E834"/>
    <w:rsid w:val="332FCFE6"/>
    <w:rsid w:val="349A73BC"/>
    <w:rsid w:val="34CAF6C0"/>
    <w:rsid w:val="3556402E"/>
    <w:rsid w:val="35732DF4"/>
    <w:rsid w:val="3645A722"/>
    <w:rsid w:val="37094643"/>
    <w:rsid w:val="377D9066"/>
    <w:rsid w:val="39523D89"/>
    <w:rsid w:val="39992A19"/>
    <w:rsid w:val="3A978870"/>
    <w:rsid w:val="3B12E30C"/>
    <w:rsid w:val="3B23DEF8"/>
    <w:rsid w:val="3C0D7A51"/>
    <w:rsid w:val="3C3C581C"/>
    <w:rsid w:val="3C42B3E7"/>
    <w:rsid w:val="3C6CF1D8"/>
    <w:rsid w:val="3CA0BB5C"/>
    <w:rsid w:val="3CEC82AC"/>
    <w:rsid w:val="3D74FDFA"/>
    <w:rsid w:val="3D7EF658"/>
    <w:rsid w:val="3D892BF7"/>
    <w:rsid w:val="3D8BED1B"/>
    <w:rsid w:val="3D8EA396"/>
    <w:rsid w:val="3DE7DF71"/>
    <w:rsid w:val="3E444156"/>
    <w:rsid w:val="3E4DC656"/>
    <w:rsid w:val="3E5CECD9"/>
    <w:rsid w:val="3EACC2C2"/>
    <w:rsid w:val="3EC7D848"/>
    <w:rsid w:val="3EFBF5F3"/>
    <w:rsid w:val="3FE78C69"/>
    <w:rsid w:val="407191BC"/>
    <w:rsid w:val="40821620"/>
    <w:rsid w:val="41349DD6"/>
    <w:rsid w:val="414955E7"/>
    <w:rsid w:val="417F8226"/>
    <w:rsid w:val="41E4E59F"/>
    <w:rsid w:val="422B8A8E"/>
    <w:rsid w:val="42ED4F3E"/>
    <w:rsid w:val="43767A76"/>
    <w:rsid w:val="4397BE3B"/>
    <w:rsid w:val="43A07D8F"/>
    <w:rsid w:val="452BB94B"/>
    <w:rsid w:val="45C26A79"/>
    <w:rsid w:val="47094D08"/>
    <w:rsid w:val="47439315"/>
    <w:rsid w:val="4866E763"/>
    <w:rsid w:val="488F99C8"/>
    <w:rsid w:val="4A0AC8D4"/>
    <w:rsid w:val="4A4C79AD"/>
    <w:rsid w:val="4C146B90"/>
    <w:rsid w:val="4C547095"/>
    <w:rsid w:val="4C9F8B52"/>
    <w:rsid w:val="4D29A072"/>
    <w:rsid w:val="4D30818D"/>
    <w:rsid w:val="4E3C5104"/>
    <w:rsid w:val="4E85B6EC"/>
    <w:rsid w:val="4EDFDEA9"/>
    <w:rsid w:val="4F1FCAF9"/>
    <w:rsid w:val="502026C0"/>
    <w:rsid w:val="506F125D"/>
    <w:rsid w:val="50B6FD24"/>
    <w:rsid w:val="50CAD5B4"/>
    <w:rsid w:val="5228E632"/>
    <w:rsid w:val="530EE755"/>
    <w:rsid w:val="532FC8DE"/>
    <w:rsid w:val="5336A085"/>
    <w:rsid w:val="5341D06B"/>
    <w:rsid w:val="53ED7EAD"/>
    <w:rsid w:val="53F51359"/>
    <w:rsid w:val="54AAEDC7"/>
    <w:rsid w:val="54E3B434"/>
    <w:rsid w:val="5518139B"/>
    <w:rsid w:val="55B56C80"/>
    <w:rsid w:val="55C6A012"/>
    <w:rsid w:val="562AA40D"/>
    <w:rsid w:val="56FA202C"/>
    <w:rsid w:val="5780741D"/>
    <w:rsid w:val="57E190A5"/>
    <w:rsid w:val="58304C92"/>
    <w:rsid w:val="590E4593"/>
    <w:rsid w:val="59A3B6F9"/>
    <w:rsid w:val="59E4748D"/>
    <w:rsid w:val="5A0DE6B7"/>
    <w:rsid w:val="5A7BB9EB"/>
    <w:rsid w:val="5AD5CDA1"/>
    <w:rsid w:val="5B539356"/>
    <w:rsid w:val="5B6B0E19"/>
    <w:rsid w:val="5C7E3202"/>
    <w:rsid w:val="5D3B7CF5"/>
    <w:rsid w:val="5D458A6F"/>
    <w:rsid w:val="5D8E3C03"/>
    <w:rsid w:val="5DECF004"/>
    <w:rsid w:val="5DF7D440"/>
    <w:rsid w:val="5E43E428"/>
    <w:rsid w:val="5F0FC98C"/>
    <w:rsid w:val="615B2B6A"/>
    <w:rsid w:val="61697EB6"/>
    <w:rsid w:val="623AD7B8"/>
    <w:rsid w:val="62570BDF"/>
    <w:rsid w:val="6351200B"/>
    <w:rsid w:val="64AD30B5"/>
    <w:rsid w:val="65B42F16"/>
    <w:rsid w:val="6667B9DC"/>
    <w:rsid w:val="679933FC"/>
    <w:rsid w:val="68DE4CE3"/>
    <w:rsid w:val="697FCE06"/>
    <w:rsid w:val="6A873AEE"/>
    <w:rsid w:val="6D2546D7"/>
    <w:rsid w:val="6E32CF1E"/>
    <w:rsid w:val="6E555929"/>
    <w:rsid w:val="6E883117"/>
    <w:rsid w:val="6EFD1765"/>
    <w:rsid w:val="6FC54988"/>
    <w:rsid w:val="7038B36B"/>
    <w:rsid w:val="70A44599"/>
    <w:rsid w:val="714E4C00"/>
    <w:rsid w:val="71799C31"/>
    <w:rsid w:val="7210E48A"/>
    <w:rsid w:val="72D6196D"/>
    <w:rsid w:val="73402C24"/>
    <w:rsid w:val="73FF39D0"/>
    <w:rsid w:val="74302EF1"/>
    <w:rsid w:val="7574DFF4"/>
    <w:rsid w:val="758B020A"/>
    <w:rsid w:val="765E751E"/>
    <w:rsid w:val="7690E9C1"/>
    <w:rsid w:val="76AE09BD"/>
    <w:rsid w:val="76EA7A2A"/>
    <w:rsid w:val="774600F9"/>
    <w:rsid w:val="778D9E90"/>
    <w:rsid w:val="779F4C09"/>
    <w:rsid w:val="77D47C82"/>
    <w:rsid w:val="77F8A7DF"/>
    <w:rsid w:val="785C1370"/>
    <w:rsid w:val="7890DC10"/>
    <w:rsid w:val="794C6CC5"/>
    <w:rsid w:val="794EF8A5"/>
    <w:rsid w:val="79750CFF"/>
    <w:rsid w:val="7978EFA9"/>
    <w:rsid w:val="797E43C4"/>
    <w:rsid w:val="7A080B9B"/>
    <w:rsid w:val="7A179507"/>
    <w:rsid w:val="7A410224"/>
    <w:rsid w:val="7A970734"/>
    <w:rsid w:val="7AD9E235"/>
    <w:rsid w:val="7B5C4C49"/>
    <w:rsid w:val="7BC51FA2"/>
    <w:rsid w:val="7C952CDB"/>
    <w:rsid w:val="7D219FAA"/>
    <w:rsid w:val="7D738C88"/>
    <w:rsid w:val="7D96ACFB"/>
    <w:rsid w:val="7E253FA8"/>
    <w:rsid w:val="7E6F3870"/>
    <w:rsid w:val="7EC6C5AF"/>
    <w:rsid w:val="7ECDE059"/>
    <w:rsid w:val="7EDAE188"/>
    <w:rsid w:val="7EE9BBCB"/>
    <w:rsid w:val="7F978D47"/>
    <w:rsid w:val="7FFBD4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4F5"/>
  <w15:chartTrackingRefBased/>
  <w15:docId w15:val="{70A79770-A59E-41B7-9C9B-B66D4C5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F47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8C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541B2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1E02E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86"/>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1748"/>
    <w:rPr>
      <w:b/>
      <w:bCs/>
    </w:rPr>
  </w:style>
  <w:style w:type="paragraph" w:styleId="NormalWeb">
    <w:name w:val="Normal (Web)"/>
    <w:basedOn w:val="Normal"/>
    <w:uiPriority w:val="99"/>
    <w:unhideWhenUsed/>
    <w:rsid w:val="00046A38"/>
    <w:pPr>
      <w:spacing w:after="160" w:line="259" w:lineRule="auto"/>
    </w:pPr>
    <w:rPr>
      <w:rFonts w:eastAsiaTheme="minorHAnsi"/>
      <w:lang w:eastAsia="en-US"/>
    </w:rPr>
  </w:style>
  <w:style w:type="character" w:customStyle="1" w:styleId="Heading2Char">
    <w:name w:val="Heading 2 Char"/>
    <w:basedOn w:val="DefaultParagraphFont"/>
    <w:link w:val="Heading2"/>
    <w:uiPriority w:val="9"/>
    <w:rsid w:val="008668C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8668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2E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541B2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5F66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60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15C1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15C1D"/>
    <w:rPr>
      <w:sz w:val="20"/>
      <w:szCs w:val="20"/>
    </w:rPr>
  </w:style>
  <w:style w:type="character" w:styleId="FootnoteReference">
    <w:name w:val="footnote reference"/>
    <w:basedOn w:val="DefaultParagraphFont"/>
    <w:uiPriority w:val="99"/>
    <w:semiHidden/>
    <w:unhideWhenUsed/>
    <w:rsid w:val="00C15C1D"/>
    <w:rPr>
      <w:vertAlign w:val="superscript"/>
    </w:rPr>
  </w:style>
  <w:style w:type="character" w:customStyle="1" w:styleId="Hyperlink1">
    <w:name w:val="Hyperlink1"/>
    <w:basedOn w:val="DefaultParagraphFont"/>
    <w:uiPriority w:val="99"/>
    <w:unhideWhenUsed/>
    <w:rsid w:val="00054DC8"/>
    <w:rPr>
      <w:rFonts w:ascii="Calibri" w:hAnsi="Calibri" w:hint="default"/>
      <w:b w:val="0"/>
      <w:bCs w:val="0"/>
      <w:strike w:val="0"/>
      <w:dstrike w:val="0"/>
      <w:color w:val="3333FF"/>
      <w:sz w:val="22"/>
      <w:szCs w:val="18"/>
      <w:u w:val="single"/>
      <w:effect w:val="none"/>
    </w:rPr>
  </w:style>
  <w:style w:type="character" w:styleId="Hyperlink">
    <w:name w:val="Hyperlink"/>
    <w:basedOn w:val="DefaultParagraphFont"/>
    <w:uiPriority w:val="99"/>
    <w:unhideWhenUsed/>
    <w:rsid w:val="00305762"/>
    <w:rPr>
      <w:color w:val="0000FF"/>
      <w:u w:val="single"/>
    </w:rPr>
  </w:style>
  <w:style w:type="table" w:customStyle="1" w:styleId="TableGrid4">
    <w:name w:val="Table Grid4"/>
    <w:basedOn w:val="TableNormal"/>
    <w:next w:val="TableGrid"/>
    <w:rsid w:val="00117C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86A43"/>
    <w:pPr>
      <w:spacing w:after="0" w:line="240" w:lineRule="auto"/>
    </w:pPr>
    <w:rPr>
      <w:rFonts w:ascii="Cambria" w:eastAsia="Times New Roman"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51D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33C"/>
    <w:rPr>
      <w:sz w:val="16"/>
      <w:szCs w:val="16"/>
    </w:rPr>
  </w:style>
  <w:style w:type="paragraph" w:styleId="CommentText">
    <w:name w:val="annotation text"/>
    <w:basedOn w:val="Normal"/>
    <w:link w:val="CommentTextChar"/>
    <w:uiPriority w:val="99"/>
    <w:unhideWhenUsed/>
    <w:rsid w:val="005D433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D433C"/>
    <w:rPr>
      <w:sz w:val="20"/>
      <w:szCs w:val="20"/>
    </w:rPr>
  </w:style>
  <w:style w:type="paragraph" w:styleId="CommentSubject">
    <w:name w:val="annotation subject"/>
    <w:basedOn w:val="CommentText"/>
    <w:next w:val="CommentText"/>
    <w:link w:val="CommentSubjectChar"/>
    <w:uiPriority w:val="99"/>
    <w:semiHidden/>
    <w:unhideWhenUsed/>
    <w:rsid w:val="005D433C"/>
    <w:rPr>
      <w:b/>
      <w:bCs/>
    </w:rPr>
  </w:style>
  <w:style w:type="character" w:customStyle="1" w:styleId="CommentSubjectChar">
    <w:name w:val="Comment Subject Char"/>
    <w:basedOn w:val="CommentTextChar"/>
    <w:link w:val="CommentSubject"/>
    <w:uiPriority w:val="99"/>
    <w:semiHidden/>
    <w:rsid w:val="005D433C"/>
    <w:rPr>
      <w:b/>
      <w:bCs/>
      <w:sz w:val="20"/>
      <w:szCs w:val="20"/>
    </w:rPr>
  </w:style>
  <w:style w:type="table" w:customStyle="1" w:styleId="TableGrid19">
    <w:name w:val="Table Grid19"/>
    <w:basedOn w:val="TableNormal"/>
    <w:next w:val="TableGrid"/>
    <w:uiPriority w:val="39"/>
    <w:rsid w:val="00C762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F14FD8"/>
    <w:pPr>
      <w:numPr>
        <w:numId w:val="79"/>
      </w:numPr>
    </w:pPr>
  </w:style>
  <w:style w:type="paragraph" w:styleId="NoSpacing">
    <w:name w:val="No Spacing"/>
    <w:uiPriority w:val="1"/>
    <w:qFormat/>
    <w:rsid w:val="00371313"/>
    <w:pPr>
      <w:spacing w:after="0" w:line="240" w:lineRule="auto"/>
    </w:pPr>
  </w:style>
  <w:style w:type="paragraph" w:styleId="PlainText">
    <w:name w:val="Plain Text"/>
    <w:basedOn w:val="Normal"/>
    <w:link w:val="PlainTextChar"/>
    <w:uiPriority w:val="99"/>
    <w:unhideWhenUsed/>
    <w:rsid w:val="002B704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B7041"/>
    <w:rPr>
      <w:rFonts w:ascii="Consolas" w:hAnsi="Consolas"/>
      <w:sz w:val="21"/>
      <w:szCs w:val="21"/>
    </w:rPr>
  </w:style>
  <w:style w:type="table" w:customStyle="1" w:styleId="TableGrid20">
    <w:name w:val="Table Grid20"/>
    <w:basedOn w:val="TableNormal"/>
    <w:next w:val="TableGrid"/>
    <w:uiPriority w:val="39"/>
    <w:rsid w:val="00AD58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914"/>
    <w:pPr>
      <w:spacing w:after="0" w:line="240" w:lineRule="auto"/>
    </w:pPr>
  </w:style>
  <w:style w:type="paragraph" w:styleId="Header">
    <w:name w:val="header"/>
    <w:basedOn w:val="Normal"/>
    <w:link w:val="Head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49EF"/>
  </w:style>
  <w:style w:type="paragraph" w:styleId="Footer">
    <w:name w:val="footer"/>
    <w:basedOn w:val="Normal"/>
    <w:link w:val="Foot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49EF"/>
  </w:style>
  <w:style w:type="paragraph" w:customStyle="1" w:styleId="p1">
    <w:name w:val="p1"/>
    <w:basedOn w:val="Normal"/>
    <w:rsid w:val="00394702"/>
    <w:rPr>
      <w:rFonts w:ascii="Helvetica" w:hAnsi="Helvetica"/>
      <w:color w:val="000000"/>
      <w:sz w:val="14"/>
      <w:szCs w:val="14"/>
    </w:rPr>
  </w:style>
  <w:style w:type="character" w:customStyle="1" w:styleId="Mentionnonrsolue1">
    <w:name w:val="Mention non résolue1"/>
    <w:basedOn w:val="DefaultParagraphFont"/>
    <w:uiPriority w:val="99"/>
    <w:semiHidden/>
    <w:unhideWhenUsed/>
    <w:rsid w:val="008D4426"/>
    <w:rPr>
      <w:color w:val="605E5C"/>
      <w:shd w:val="clear" w:color="auto" w:fill="E1DFDD"/>
    </w:rPr>
  </w:style>
  <w:style w:type="character" w:customStyle="1" w:styleId="Mention1">
    <w:name w:val="Mention1"/>
    <w:basedOn w:val="DefaultParagraphFont"/>
    <w:uiPriority w:val="99"/>
    <w:unhideWhenUsed/>
    <w:rsid w:val="001440FB"/>
    <w:rPr>
      <w:color w:val="2B579A"/>
      <w:shd w:val="clear" w:color="auto" w:fill="E1DFDD"/>
    </w:rPr>
  </w:style>
  <w:style w:type="character" w:styleId="FollowedHyperlink">
    <w:name w:val="FollowedHyperlink"/>
    <w:basedOn w:val="DefaultParagraphFont"/>
    <w:uiPriority w:val="99"/>
    <w:semiHidden/>
    <w:unhideWhenUsed/>
    <w:rsid w:val="00140707"/>
    <w:rPr>
      <w:color w:val="954F72" w:themeColor="followedHyperlink"/>
      <w:u w:val="single"/>
    </w:rPr>
  </w:style>
  <w:style w:type="character" w:customStyle="1" w:styleId="Heading1Char">
    <w:name w:val="Heading 1 Char"/>
    <w:basedOn w:val="DefaultParagraphFont"/>
    <w:link w:val="Heading1"/>
    <w:uiPriority w:val="9"/>
    <w:rsid w:val="001F478E"/>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196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689">
      <w:bodyDiv w:val="1"/>
      <w:marLeft w:val="0"/>
      <w:marRight w:val="0"/>
      <w:marTop w:val="0"/>
      <w:marBottom w:val="0"/>
      <w:divBdr>
        <w:top w:val="none" w:sz="0" w:space="0" w:color="auto"/>
        <w:left w:val="none" w:sz="0" w:space="0" w:color="auto"/>
        <w:bottom w:val="none" w:sz="0" w:space="0" w:color="auto"/>
        <w:right w:val="none" w:sz="0" w:space="0" w:color="auto"/>
      </w:divBdr>
    </w:div>
    <w:div w:id="68968933">
      <w:bodyDiv w:val="1"/>
      <w:marLeft w:val="0"/>
      <w:marRight w:val="0"/>
      <w:marTop w:val="0"/>
      <w:marBottom w:val="0"/>
      <w:divBdr>
        <w:top w:val="none" w:sz="0" w:space="0" w:color="auto"/>
        <w:left w:val="none" w:sz="0" w:space="0" w:color="auto"/>
        <w:bottom w:val="none" w:sz="0" w:space="0" w:color="auto"/>
        <w:right w:val="none" w:sz="0" w:space="0" w:color="auto"/>
      </w:divBdr>
    </w:div>
    <w:div w:id="117920208">
      <w:bodyDiv w:val="1"/>
      <w:marLeft w:val="0"/>
      <w:marRight w:val="0"/>
      <w:marTop w:val="0"/>
      <w:marBottom w:val="0"/>
      <w:divBdr>
        <w:top w:val="none" w:sz="0" w:space="0" w:color="auto"/>
        <w:left w:val="none" w:sz="0" w:space="0" w:color="auto"/>
        <w:bottom w:val="none" w:sz="0" w:space="0" w:color="auto"/>
        <w:right w:val="none" w:sz="0" w:space="0" w:color="auto"/>
      </w:divBdr>
    </w:div>
    <w:div w:id="127476319">
      <w:bodyDiv w:val="1"/>
      <w:marLeft w:val="0"/>
      <w:marRight w:val="0"/>
      <w:marTop w:val="0"/>
      <w:marBottom w:val="0"/>
      <w:divBdr>
        <w:top w:val="none" w:sz="0" w:space="0" w:color="auto"/>
        <w:left w:val="none" w:sz="0" w:space="0" w:color="auto"/>
        <w:bottom w:val="none" w:sz="0" w:space="0" w:color="auto"/>
        <w:right w:val="none" w:sz="0" w:space="0" w:color="auto"/>
      </w:divBdr>
      <w:divsChild>
        <w:div w:id="640038872">
          <w:marLeft w:val="0"/>
          <w:marRight w:val="0"/>
          <w:marTop w:val="0"/>
          <w:marBottom w:val="0"/>
          <w:divBdr>
            <w:top w:val="none" w:sz="0" w:space="0" w:color="auto"/>
            <w:left w:val="none" w:sz="0" w:space="0" w:color="auto"/>
            <w:bottom w:val="none" w:sz="0" w:space="0" w:color="auto"/>
            <w:right w:val="none" w:sz="0" w:space="0" w:color="auto"/>
          </w:divBdr>
        </w:div>
        <w:div w:id="1777746294">
          <w:marLeft w:val="0"/>
          <w:marRight w:val="0"/>
          <w:marTop w:val="0"/>
          <w:marBottom w:val="0"/>
          <w:divBdr>
            <w:top w:val="none" w:sz="0" w:space="0" w:color="auto"/>
            <w:left w:val="none" w:sz="0" w:space="0" w:color="auto"/>
            <w:bottom w:val="none" w:sz="0" w:space="0" w:color="auto"/>
            <w:right w:val="none" w:sz="0" w:space="0" w:color="auto"/>
          </w:divBdr>
        </w:div>
      </w:divsChild>
    </w:div>
    <w:div w:id="136068565">
      <w:bodyDiv w:val="1"/>
      <w:marLeft w:val="0"/>
      <w:marRight w:val="0"/>
      <w:marTop w:val="0"/>
      <w:marBottom w:val="0"/>
      <w:divBdr>
        <w:top w:val="none" w:sz="0" w:space="0" w:color="auto"/>
        <w:left w:val="none" w:sz="0" w:space="0" w:color="auto"/>
        <w:bottom w:val="none" w:sz="0" w:space="0" w:color="auto"/>
        <w:right w:val="none" w:sz="0" w:space="0" w:color="auto"/>
      </w:divBdr>
    </w:div>
    <w:div w:id="176625935">
      <w:bodyDiv w:val="1"/>
      <w:marLeft w:val="0"/>
      <w:marRight w:val="0"/>
      <w:marTop w:val="0"/>
      <w:marBottom w:val="0"/>
      <w:divBdr>
        <w:top w:val="none" w:sz="0" w:space="0" w:color="auto"/>
        <w:left w:val="none" w:sz="0" w:space="0" w:color="auto"/>
        <w:bottom w:val="none" w:sz="0" w:space="0" w:color="auto"/>
        <w:right w:val="none" w:sz="0" w:space="0" w:color="auto"/>
      </w:divBdr>
    </w:div>
    <w:div w:id="335040328">
      <w:bodyDiv w:val="1"/>
      <w:marLeft w:val="0"/>
      <w:marRight w:val="0"/>
      <w:marTop w:val="0"/>
      <w:marBottom w:val="0"/>
      <w:divBdr>
        <w:top w:val="none" w:sz="0" w:space="0" w:color="auto"/>
        <w:left w:val="none" w:sz="0" w:space="0" w:color="auto"/>
        <w:bottom w:val="none" w:sz="0" w:space="0" w:color="auto"/>
        <w:right w:val="none" w:sz="0" w:space="0" w:color="auto"/>
      </w:divBdr>
    </w:div>
    <w:div w:id="350685961">
      <w:bodyDiv w:val="1"/>
      <w:marLeft w:val="0"/>
      <w:marRight w:val="0"/>
      <w:marTop w:val="0"/>
      <w:marBottom w:val="0"/>
      <w:divBdr>
        <w:top w:val="none" w:sz="0" w:space="0" w:color="auto"/>
        <w:left w:val="none" w:sz="0" w:space="0" w:color="auto"/>
        <w:bottom w:val="none" w:sz="0" w:space="0" w:color="auto"/>
        <w:right w:val="none" w:sz="0" w:space="0" w:color="auto"/>
      </w:divBdr>
    </w:div>
    <w:div w:id="391536732">
      <w:bodyDiv w:val="1"/>
      <w:marLeft w:val="0"/>
      <w:marRight w:val="0"/>
      <w:marTop w:val="0"/>
      <w:marBottom w:val="0"/>
      <w:divBdr>
        <w:top w:val="none" w:sz="0" w:space="0" w:color="auto"/>
        <w:left w:val="none" w:sz="0" w:space="0" w:color="auto"/>
        <w:bottom w:val="none" w:sz="0" w:space="0" w:color="auto"/>
        <w:right w:val="none" w:sz="0" w:space="0" w:color="auto"/>
      </w:divBdr>
    </w:div>
    <w:div w:id="535850570">
      <w:bodyDiv w:val="1"/>
      <w:marLeft w:val="0"/>
      <w:marRight w:val="0"/>
      <w:marTop w:val="0"/>
      <w:marBottom w:val="0"/>
      <w:divBdr>
        <w:top w:val="none" w:sz="0" w:space="0" w:color="auto"/>
        <w:left w:val="none" w:sz="0" w:space="0" w:color="auto"/>
        <w:bottom w:val="none" w:sz="0" w:space="0" w:color="auto"/>
        <w:right w:val="none" w:sz="0" w:space="0" w:color="auto"/>
      </w:divBdr>
    </w:div>
    <w:div w:id="558177536">
      <w:bodyDiv w:val="1"/>
      <w:marLeft w:val="0"/>
      <w:marRight w:val="0"/>
      <w:marTop w:val="0"/>
      <w:marBottom w:val="0"/>
      <w:divBdr>
        <w:top w:val="none" w:sz="0" w:space="0" w:color="auto"/>
        <w:left w:val="none" w:sz="0" w:space="0" w:color="auto"/>
        <w:bottom w:val="none" w:sz="0" w:space="0" w:color="auto"/>
        <w:right w:val="none" w:sz="0" w:space="0" w:color="auto"/>
      </w:divBdr>
    </w:div>
    <w:div w:id="633944373">
      <w:bodyDiv w:val="1"/>
      <w:marLeft w:val="0"/>
      <w:marRight w:val="0"/>
      <w:marTop w:val="0"/>
      <w:marBottom w:val="0"/>
      <w:divBdr>
        <w:top w:val="none" w:sz="0" w:space="0" w:color="auto"/>
        <w:left w:val="none" w:sz="0" w:space="0" w:color="auto"/>
        <w:bottom w:val="none" w:sz="0" w:space="0" w:color="auto"/>
        <w:right w:val="none" w:sz="0" w:space="0" w:color="auto"/>
      </w:divBdr>
    </w:div>
    <w:div w:id="654182414">
      <w:bodyDiv w:val="1"/>
      <w:marLeft w:val="0"/>
      <w:marRight w:val="0"/>
      <w:marTop w:val="0"/>
      <w:marBottom w:val="0"/>
      <w:divBdr>
        <w:top w:val="none" w:sz="0" w:space="0" w:color="auto"/>
        <w:left w:val="none" w:sz="0" w:space="0" w:color="auto"/>
        <w:bottom w:val="none" w:sz="0" w:space="0" w:color="auto"/>
        <w:right w:val="none" w:sz="0" w:space="0" w:color="auto"/>
      </w:divBdr>
    </w:div>
    <w:div w:id="691492887">
      <w:bodyDiv w:val="1"/>
      <w:marLeft w:val="0"/>
      <w:marRight w:val="0"/>
      <w:marTop w:val="0"/>
      <w:marBottom w:val="0"/>
      <w:divBdr>
        <w:top w:val="none" w:sz="0" w:space="0" w:color="auto"/>
        <w:left w:val="none" w:sz="0" w:space="0" w:color="auto"/>
        <w:bottom w:val="none" w:sz="0" w:space="0" w:color="auto"/>
        <w:right w:val="none" w:sz="0" w:space="0" w:color="auto"/>
      </w:divBdr>
    </w:div>
    <w:div w:id="709304051">
      <w:bodyDiv w:val="1"/>
      <w:marLeft w:val="0"/>
      <w:marRight w:val="0"/>
      <w:marTop w:val="0"/>
      <w:marBottom w:val="0"/>
      <w:divBdr>
        <w:top w:val="none" w:sz="0" w:space="0" w:color="auto"/>
        <w:left w:val="none" w:sz="0" w:space="0" w:color="auto"/>
        <w:bottom w:val="none" w:sz="0" w:space="0" w:color="auto"/>
        <w:right w:val="none" w:sz="0" w:space="0" w:color="auto"/>
      </w:divBdr>
    </w:div>
    <w:div w:id="717896958">
      <w:bodyDiv w:val="1"/>
      <w:marLeft w:val="0"/>
      <w:marRight w:val="0"/>
      <w:marTop w:val="0"/>
      <w:marBottom w:val="0"/>
      <w:divBdr>
        <w:top w:val="none" w:sz="0" w:space="0" w:color="auto"/>
        <w:left w:val="none" w:sz="0" w:space="0" w:color="auto"/>
        <w:bottom w:val="none" w:sz="0" w:space="0" w:color="auto"/>
        <w:right w:val="none" w:sz="0" w:space="0" w:color="auto"/>
      </w:divBdr>
    </w:div>
    <w:div w:id="744843083">
      <w:bodyDiv w:val="1"/>
      <w:marLeft w:val="0"/>
      <w:marRight w:val="0"/>
      <w:marTop w:val="0"/>
      <w:marBottom w:val="0"/>
      <w:divBdr>
        <w:top w:val="none" w:sz="0" w:space="0" w:color="auto"/>
        <w:left w:val="none" w:sz="0" w:space="0" w:color="auto"/>
        <w:bottom w:val="none" w:sz="0" w:space="0" w:color="auto"/>
        <w:right w:val="none" w:sz="0" w:space="0" w:color="auto"/>
      </w:divBdr>
    </w:div>
    <w:div w:id="765885250">
      <w:bodyDiv w:val="1"/>
      <w:marLeft w:val="0"/>
      <w:marRight w:val="0"/>
      <w:marTop w:val="0"/>
      <w:marBottom w:val="0"/>
      <w:divBdr>
        <w:top w:val="none" w:sz="0" w:space="0" w:color="auto"/>
        <w:left w:val="none" w:sz="0" w:space="0" w:color="auto"/>
        <w:bottom w:val="none" w:sz="0" w:space="0" w:color="auto"/>
        <w:right w:val="none" w:sz="0" w:space="0" w:color="auto"/>
      </w:divBdr>
    </w:div>
    <w:div w:id="782844481">
      <w:bodyDiv w:val="1"/>
      <w:marLeft w:val="0"/>
      <w:marRight w:val="0"/>
      <w:marTop w:val="0"/>
      <w:marBottom w:val="0"/>
      <w:divBdr>
        <w:top w:val="none" w:sz="0" w:space="0" w:color="auto"/>
        <w:left w:val="none" w:sz="0" w:space="0" w:color="auto"/>
        <w:bottom w:val="none" w:sz="0" w:space="0" w:color="auto"/>
        <w:right w:val="none" w:sz="0" w:space="0" w:color="auto"/>
      </w:divBdr>
    </w:div>
    <w:div w:id="838272195">
      <w:bodyDiv w:val="1"/>
      <w:marLeft w:val="0"/>
      <w:marRight w:val="0"/>
      <w:marTop w:val="0"/>
      <w:marBottom w:val="0"/>
      <w:divBdr>
        <w:top w:val="none" w:sz="0" w:space="0" w:color="auto"/>
        <w:left w:val="none" w:sz="0" w:space="0" w:color="auto"/>
        <w:bottom w:val="none" w:sz="0" w:space="0" w:color="auto"/>
        <w:right w:val="none" w:sz="0" w:space="0" w:color="auto"/>
      </w:divBdr>
    </w:div>
    <w:div w:id="877427906">
      <w:bodyDiv w:val="1"/>
      <w:marLeft w:val="0"/>
      <w:marRight w:val="0"/>
      <w:marTop w:val="0"/>
      <w:marBottom w:val="0"/>
      <w:divBdr>
        <w:top w:val="none" w:sz="0" w:space="0" w:color="auto"/>
        <w:left w:val="none" w:sz="0" w:space="0" w:color="auto"/>
        <w:bottom w:val="none" w:sz="0" w:space="0" w:color="auto"/>
        <w:right w:val="none" w:sz="0" w:space="0" w:color="auto"/>
      </w:divBdr>
    </w:div>
    <w:div w:id="879974352">
      <w:bodyDiv w:val="1"/>
      <w:marLeft w:val="0"/>
      <w:marRight w:val="0"/>
      <w:marTop w:val="0"/>
      <w:marBottom w:val="0"/>
      <w:divBdr>
        <w:top w:val="none" w:sz="0" w:space="0" w:color="auto"/>
        <w:left w:val="none" w:sz="0" w:space="0" w:color="auto"/>
        <w:bottom w:val="none" w:sz="0" w:space="0" w:color="auto"/>
        <w:right w:val="none" w:sz="0" w:space="0" w:color="auto"/>
      </w:divBdr>
      <w:divsChild>
        <w:div w:id="36585444">
          <w:marLeft w:val="0"/>
          <w:marRight w:val="0"/>
          <w:marTop w:val="0"/>
          <w:marBottom w:val="0"/>
          <w:divBdr>
            <w:top w:val="none" w:sz="0" w:space="0" w:color="auto"/>
            <w:left w:val="none" w:sz="0" w:space="0" w:color="auto"/>
            <w:bottom w:val="none" w:sz="0" w:space="0" w:color="auto"/>
            <w:right w:val="none" w:sz="0" w:space="0" w:color="auto"/>
          </w:divBdr>
        </w:div>
        <w:div w:id="1760515786">
          <w:marLeft w:val="0"/>
          <w:marRight w:val="0"/>
          <w:marTop w:val="0"/>
          <w:marBottom w:val="0"/>
          <w:divBdr>
            <w:top w:val="none" w:sz="0" w:space="0" w:color="auto"/>
            <w:left w:val="none" w:sz="0" w:space="0" w:color="auto"/>
            <w:bottom w:val="none" w:sz="0" w:space="0" w:color="auto"/>
            <w:right w:val="none" w:sz="0" w:space="0" w:color="auto"/>
          </w:divBdr>
        </w:div>
      </w:divsChild>
    </w:div>
    <w:div w:id="902762468">
      <w:bodyDiv w:val="1"/>
      <w:marLeft w:val="0"/>
      <w:marRight w:val="0"/>
      <w:marTop w:val="0"/>
      <w:marBottom w:val="0"/>
      <w:divBdr>
        <w:top w:val="none" w:sz="0" w:space="0" w:color="auto"/>
        <w:left w:val="none" w:sz="0" w:space="0" w:color="auto"/>
        <w:bottom w:val="none" w:sz="0" w:space="0" w:color="auto"/>
        <w:right w:val="none" w:sz="0" w:space="0" w:color="auto"/>
      </w:divBdr>
    </w:div>
    <w:div w:id="907426106">
      <w:bodyDiv w:val="1"/>
      <w:marLeft w:val="0"/>
      <w:marRight w:val="0"/>
      <w:marTop w:val="0"/>
      <w:marBottom w:val="0"/>
      <w:divBdr>
        <w:top w:val="none" w:sz="0" w:space="0" w:color="auto"/>
        <w:left w:val="none" w:sz="0" w:space="0" w:color="auto"/>
        <w:bottom w:val="none" w:sz="0" w:space="0" w:color="auto"/>
        <w:right w:val="none" w:sz="0" w:space="0" w:color="auto"/>
      </w:divBdr>
    </w:div>
    <w:div w:id="909584326">
      <w:bodyDiv w:val="1"/>
      <w:marLeft w:val="0"/>
      <w:marRight w:val="0"/>
      <w:marTop w:val="0"/>
      <w:marBottom w:val="0"/>
      <w:divBdr>
        <w:top w:val="none" w:sz="0" w:space="0" w:color="auto"/>
        <w:left w:val="none" w:sz="0" w:space="0" w:color="auto"/>
        <w:bottom w:val="none" w:sz="0" w:space="0" w:color="auto"/>
        <w:right w:val="none" w:sz="0" w:space="0" w:color="auto"/>
      </w:divBdr>
    </w:div>
    <w:div w:id="968241513">
      <w:bodyDiv w:val="1"/>
      <w:marLeft w:val="0"/>
      <w:marRight w:val="0"/>
      <w:marTop w:val="0"/>
      <w:marBottom w:val="0"/>
      <w:divBdr>
        <w:top w:val="none" w:sz="0" w:space="0" w:color="auto"/>
        <w:left w:val="none" w:sz="0" w:space="0" w:color="auto"/>
        <w:bottom w:val="none" w:sz="0" w:space="0" w:color="auto"/>
        <w:right w:val="none" w:sz="0" w:space="0" w:color="auto"/>
      </w:divBdr>
    </w:div>
    <w:div w:id="976032114">
      <w:bodyDiv w:val="1"/>
      <w:marLeft w:val="0"/>
      <w:marRight w:val="0"/>
      <w:marTop w:val="0"/>
      <w:marBottom w:val="0"/>
      <w:divBdr>
        <w:top w:val="none" w:sz="0" w:space="0" w:color="auto"/>
        <w:left w:val="none" w:sz="0" w:space="0" w:color="auto"/>
        <w:bottom w:val="none" w:sz="0" w:space="0" w:color="auto"/>
        <w:right w:val="none" w:sz="0" w:space="0" w:color="auto"/>
      </w:divBdr>
      <w:divsChild>
        <w:div w:id="483205020">
          <w:marLeft w:val="0"/>
          <w:marRight w:val="0"/>
          <w:marTop w:val="0"/>
          <w:marBottom w:val="0"/>
          <w:divBdr>
            <w:top w:val="none" w:sz="0" w:space="0" w:color="auto"/>
            <w:left w:val="none" w:sz="0" w:space="0" w:color="auto"/>
            <w:bottom w:val="none" w:sz="0" w:space="0" w:color="auto"/>
            <w:right w:val="none" w:sz="0" w:space="0" w:color="auto"/>
          </w:divBdr>
          <w:divsChild>
            <w:div w:id="1318535103">
              <w:marLeft w:val="0"/>
              <w:marRight w:val="0"/>
              <w:marTop w:val="0"/>
              <w:marBottom w:val="0"/>
              <w:divBdr>
                <w:top w:val="none" w:sz="0" w:space="0" w:color="auto"/>
                <w:left w:val="none" w:sz="0" w:space="0" w:color="auto"/>
                <w:bottom w:val="none" w:sz="0" w:space="0" w:color="auto"/>
                <w:right w:val="none" w:sz="0" w:space="0" w:color="auto"/>
              </w:divBdr>
              <w:divsChild>
                <w:div w:id="500393146">
                  <w:marLeft w:val="0"/>
                  <w:marRight w:val="0"/>
                  <w:marTop w:val="0"/>
                  <w:marBottom w:val="0"/>
                  <w:divBdr>
                    <w:top w:val="none" w:sz="0" w:space="0" w:color="auto"/>
                    <w:left w:val="none" w:sz="0" w:space="0" w:color="auto"/>
                    <w:bottom w:val="none" w:sz="0" w:space="0" w:color="auto"/>
                    <w:right w:val="none" w:sz="0" w:space="0" w:color="auto"/>
                  </w:divBdr>
                  <w:divsChild>
                    <w:div w:id="1265459878">
                      <w:marLeft w:val="0"/>
                      <w:marRight w:val="0"/>
                      <w:marTop w:val="0"/>
                      <w:marBottom w:val="0"/>
                      <w:divBdr>
                        <w:top w:val="none" w:sz="0" w:space="0" w:color="auto"/>
                        <w:left w:val="none" w:sz="0" w:space="0" w:color="auto"/>
                        <w:bottom w:val="none" w:sz="0" w:space="0" w:color="auto"/>
                        <w:right w:val="none" w:sz="0" w:space="0" w:color="auto"/>
                      </w:divBdr>
                      <w:divsChild>
                        <w:div w:id="1031609047">
                          <w:marLeft w:val="0"/>
                          <w:marRight w:val="0"/>
                          <w:marTop w:val="0"/>
                          <w:marBottom w:val="0"/>
                          <w:divBdr>
                            <w:top w:val="none" w:sz="0" w:space="0" w:color="auto"/>
                            <w:left w:val="none" w:sz="0" w:space="0" w:color="auto"/>
                            <w:bottom w:val="none" w:sz="0" w:space="0" w:color="auto"/>
                            <w:right w:val="none" w:sz="0" w:space="0" w:color="auto"/>
                          </w:divBdr>
                          <w:divsChild>
                            <w:div w:id="1196456610">
                              <w:marLeft w:val="0"/>
                              <w:marRight w:val="0"/>
                              <w:marTop w:val="0"/>
                              <w:marBottom w:val="0"/>
                              <w:divBdr>
                                <w:top w:val="none" w:sz="0" w:space="0" w:color="auto"/>
                                <w:left w:val="none" w:sz="0" w:space="0" w:color="auto"/>
                                <w:bottom w:val="none" w:sz="0" w:space="0" w:color="auto"/>
                                <w:right w:val="none" w:sz="0" w:space="0" w:color="auto"/>
                              </w:divBdr>
                              <w:divsChild>
                                <w:div w:id="1010061670">
                                  <w:marLeft w:val="0"/>
                                  <w:marRight w:val="0"/>
                                  <w:marTop w:val="0"/>
                                  <w:marBottom w:val="0"/>
                                  <w:divBdr>
                                    <w:top w:val="none" w:sz="0" w:space="0" w:color="auto"/>
                                    <w:left w:val="none" w:sz="0" w:space="0" w:color="auto"/>
                                    <w:bottom w:val="none" w:sz="0" w:space="0" w:color="auto"/>
                                    <w:right w:val="none" w:sz="0" w:space="0" w:color="auto"/>
                                  </w:divBdr>
                                  <w:divsChild>
                                    <w:div w:id="767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321387">
      <w:bodyDiv w:val="1"/>
      <w:marLeft w:val="0"/>
      <w:marRight w:val="0"/>
      <w:marTop w:val="0"/>
      <w:marBottom w:val="0"/>
      <w:divBdr>
        <w:top w:val="none" w:sz="0" w:space="0" w:color="auto"/>
        <w:left w:val="none" w:sz="0" w:space="0" w:color="auto"/>
        <w:bottom w:val="none" w:sz="0" w:space="0" w:color="auto"/>
        <w:right w:val="none" w:sz="0" w:space="0" w:color="auto"/>
      </w:divBdr>
    </w:div>
    <w:div w:id="1068771720">
      <w:bodyDiv w:val="1"/>
      <w:marLeft w:val="0"/>
      <w:marRight w:val="0"/>
      <w:marTop w:val="0"/>
      <w:marBottom w:val="0"/>
      <w:divBdr>
        <w:top w:val="none" w:sz="0" w:space="0" w:color="auto"/>
        <w:left w:val="none" w:sz="0" w:space="0" w:color="auto"/>
        <w:bottom w:val="none" w:sz="0" w:space="0" w:color="auto"/>
        <w:right w:val="none" w:sz="0" w:space="0" w:color="auto"/>
      </w:divBdr>
    </w:div>
    <w:div w:id="1079257574">
      <w:bodyDiv w:val="1"/>
      <w:marLeft w:val="0"/>
      <w:marRight w:val="0"/>
      <w:marTop w:val="0"/>
      <w:marBottom w:val="0"/>
      <w:divBdr>
        <w:top w:val="none" w:sz="0" w:space="0" w:color="auto"/>
        <w:left w:val="none" w:sz="0" w:space="0" w:color="auto"/>
        <w:bottom w:val="none" w:sz="0" w:space="0" w:color="auto"/>
        <w:right w:val="none" w:sz="0" w:space="0" w:color="auto"/>
      </w:divBdr>
    </w:div>
    <w:div w:id="1104882889">
      <w:bodyDiv w:val="1"/>
      <w:marLeft w:val="0"/>
      <w:marRight w:val="0"/>
      <w:marTop w:val="0"/>
      <w:marBottom w:val="0"/>
      <w:divBdr>
        <w:top w:val="none" w:sz="0" w:space="0" w:color="auto"/>
        <w:left w:val="none" w:sz="0" w:space="0" w:color="auto"/>
        <w:bottom w:val="none" w:sz="0" w:space="0" w:color="auto"/>
        <w:right w:val="none" w:sz="0" w:space="0" w:color="auto"/>
      </w:divBdr>
    </w:div>
    <w:div w:id="1105659022">
      <w:bodyDiv w:val="1"/>
      <w:marLeft w:val="0"/>
      <w:marRight w:val="0"/>
      <w:marTop w:val="0"/>
      <w:marBottom w:val="0"/>
      <w:divBdr>
        <w:top w:val="none" w:sz="0" w:space="0" w:color="auto"/>
        <w:left w:val="none" w:sz="0" w:space="0" w:color="auto"/>
        <w:bottom w:val="none" w:sz="0" w:space="0" w:color="auto"/>
        <w:right w:val="none" w:sz="0" w:space="0" w:color="auto"/>
      </w:divBdr>
      <w:divsChild>
        <w:div w:id="1836457541">
          <w:marLeft w:val="0"/>
          <w:marRight w:val="0"/>
          <w:marTop w:val="0"/>
          <w:marBottom w:val="0"/>
          <w:divBdr>
            <w:top w:val="none" w:sz="0" w:space="0" w:color="auto"/>
            <w:left w:val="none" w:sz="0" w:space="0" w:color="auto"/>
            <w:bottom w:val="none" w:sz="0" w:space="0" w:color="auto"/>
            <w:right w:val="none" w:sz="0" w:space="0" w:color="auto"/>
          </w:divBdr>
          <w:divsChild>
            <w:div w:id="1438528105">
              <w:marLeft w:val="0"/>
              <w:marRight w:val="0"/>
              <w:marTop w:val="0"/>
              <w:marBottom w:val="0"/>
              <w:divBdr>
                <w:top w:val="none" w:sz="0" w:space="0" w:color="auto"/>
                <w:left w:val="none" w:sz="0" w:space="0" w:color="auto"/>
                <w:bottom w:val="none" w:sz="0" w:space="0" w:color="auto"/>
                <w:right w:val="none" w:sz="0" w:space="0" w:color="auto"/>
              </w:divBdr>
              <w:divsChild>
                <w:div w:id="704141003">
                  <w:marLeft w:val="0"/>
                  <w:marRight w:val="0"/>
                  <w:marTop w:val="0"/>
                  <w:marBottom w:val="0"/>
                  <w:divBdr>
                    <w:top w:val="none" w:sz="0" w:space="0" w:color="auto"/>
                    <w:left w:val="none" w:sz="0" w:space="0" w:color="auto"/>
                    <w:bottom w:val="none" w:sz="0" w:space="0" w:color="auto"/>
                    <w:right w:val="none" w:sz="0" w:space="0" w:color="auto"/>
                  </w:divBdr>
                  <w:divsChild>
                    <w:div w:id="1843085114">
                      <w:marLeft w:val="0"/>
                      <w:marRight w:val="0"/>
                      <w:marTop w:val="0"/>
                      <w:marBottom w:val="0"/>
                      <w:divBdr>
                        <w:top w:val="none" w:sz="0" w:space="0" w:color="auto"/>
                        <w:left w:val="none" w:sz="0" w:space="0" w:color="auto"/>
                        <w:bottom w:val="none" w:sz="0" w:space="0" w:color="auto"/>
                        <w:right w:val="none" w:sz="0" w:space="0" w:color="auto"/>
                      </w:divBdr>
                      <w:divsChild>
                        <w:div w:id="218323657">
                          <w:marLeft w:val="0"/>
                          <w:marRight w:val="0"/>
                          <w:marTop w:val="0"/>
                          <w:marBottom w:val="0"/>
                          <w:divBdr>
                            <w:top w:val="none" w:sz="0" w:space="0" w:color="auto"/>
                            <w:left w:val="none" w:sz="0" w:space="0" w:color="auto"/>
                            <w:bottom w:val="none" w:sz="0" w:space="0" w:color="auto"/>
                            <w:right w:val="none" w:sz="0" w:space="0" w:color="auto"/>
                          </w:divBdr>
                          <w:divsChild>
                            <w:div w:id="1363555432">
                              <w:marLeft w:val="0"/>
                              <w:marRight w:val="0"/>
                              <w:marTop w:val="0"/>
                              <w:marBottom w:val="0"/>
                              <w:divBdr>
                                <w:top w:val="none" w:sz="0" w:space="0" w:color="auto"/>
                                <w:left w:val="none" w:sz="0" w:space="0" w:color="auto"/>
                                <w:bottom w:val="none" w:sz="0" w:space="0" w:color="auto"/>
                                <w:right w:val="none" w:sz="0" w:space="0" w:color="auto"/>
                              </w:divBdr>
                              <w:divsChild>
                                <w:div w:id="9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385">
                          <w:marLeft w:val="0"/>
                          <w:marRight w:val="0"/>
                          <w:marTop w:val="0"/>
                          <w:marBottom w:val="0"/>
                          <w:divBdr>
                            <w:top w:val="none" w:sz="0" w:space="0" w:color="auto"/>
                            <w:left w:val="none" w:sz="0" w:space="0" w:color="auto"/>
                            <w:bottom w:val="none" w:sz="0" w:space="0" w:color="auto"/>
                            <w:right w:val="none" w:sz="0" w:space="0" w:color="auto"/>
                          </w:divBdr>
                          <w:divsChild>
                            <w:div w:id="510339381">
                              <w:marLeft w:val="0"/>
                              <w:marRight w:val="0"/>
                              <w:marTop w:val="0"/>
                              <w:marBottom w:val="0"/>
                              <w:divBdr>
                                <w:top w:val="none" w:sz="0" w:space="0" w:color="auto"/>
                                <w:left w:val="none" w:sz="0" w:space="0" w:color="auto"/>
                                <w:bottom w:val="none" w:sz="0" w:space="0" w:color="auto"/>
                                <w:right w:val="none" w:sz="0" w:space="0" w:color="auto"/>
                              </w:divBdr>
                              <w:divsChild>
                                <w:div w:id="74665687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315173">
      <w:bodyDiv w:val="1"/>
      <w:marLeft w:val="0"/>
      <w:marRight w:val="0"/>
      <w:marTop w:val="0"/>
      <w:marBottom w:val="0"/>
      <w:divBdr>
        <w:top w:val="none" w:sz="0" w:space="0" w:color="auto"/>
        <w:left w:val="none" w:sz="0" w:space="0" w:color="auto"/>
        <w:bottom w:val="none" w:sz="0" w:space="0" w:color="auto"/>
        <w:right w:val="none" w:sz="0" w:space="0" w:color="auto"/>
      </w:divBdr>
    </w:div>
    <w:div w:id="1119837665">
      <w:bodyDiv w:val="1"/>
      <w:marLeft w:val="0"/>
      <w:marRight w:val="0"/>
      <w:marTop w:val="0"/>
      <w:marBottom w:val="0"/>
      <w:divBdr>
        <w:top w:val="none" w:sz="0" w:space="0" w:color="auto"/>
        <w:left w:val="none" w:sz="0" w:space="0" w:color="auto"/>
        <w:bottom w:val="none" w:sz="0" w:space="0" w:color="auto"/>
        <w:right w:val="none" w:sz="0" w:space="0" w:color="auto"/>
      </w:divBdr>
    </w:div>
    <w:div w:id="1187527834">
      <w:bodyDiv w:val="1"/>
      <w:marLeft w:val="0"/>
      <w:marRight w:val="0"/>
      <w:marTop w:val="0"/>
      <w:marBottom w:val="0"/>
      <w:divBdr>
        <w:top w:val="none" w:sz="0" w:space="0" w:color="auto"/>
        <w:left w:val="none" w:sz="0" w:space="0" w:color="auto"/>
        <w:bottom w:val="none" w:sz="0" w:space="0" w:color="auto"/>
        <w:right w:val="none" w:sz="0" w:space="0" w:color="auto"/>
      </w:divBdr>
    </w:div>
    <w:div w:id="1188524432">
      <w:bodyDiv w:val="1"/>
      <w:marLeft w:val="0"/>
      <w:marRight w:val="0"/>
      <w:marTop w:val="0"/>
      <w:marBottom w:val="0"/>
      <w:divBdr>
        <w:top w:val="none" w:sz="0" w:space="0" w:color="auto"/>
        <w:left w:val="none" w:sz="0" w:space="0" w:color="auto"/>
        <w:bottom w:val="none" w:sz="0" w:space="0" w:color="auto"/>
        <w:right w:val="none" w:sz="0" w:space="0" w:color="auto"/>
      </w:divBdr>
    </w:div>
    <w:div w:id="1226337246">
      <w:bodyDiv w:val="1"/>
      <w:marLeft w:val="0"/>
      <w:marRight w:val="0"/>
      <w:marTop w:val="0"/>
      <w:marBottom w:val="0"/>
      <w:divBdr>
        <w:top w:val="none" w:sz="0" w:space="0" w:color="auto"/>
        <w:left w:val="none" w:sz="0" w:space="0" w:color="auto"/>
        <w:bottom w:val="none" w:sz="0" w:space="0" w:color="auto"/>
        <w:right w:val="none" w:sz="0" w:space="0" w:color="auto"/>
      </w:divBdr>
    </w:div>
    <w:div w:id="1247499366">
      <w:bodyDiv w:val="1"/>
      <w:marLeft w:val="0"/>
      <w:marRight w:val="0"/>
      <w:marTop w:val="0"/>
      <w:marBottom w:val="0"/>
      <w:divBdr>
        <w:top w:val="none" w:sz="0" w:space="0" w:color="auto"/>
        <w:left w:val="none" w:sz="0" w:space="0" w:color="auto"/>
        <w:bottom w:val="none" w:sz="0" w:space="0" w:color="auto"/>
        <w:right w:val="none" w:sz="0" w:space="0" w:color="auto"/>
      </w:divBdr>
    </w:div>
    <w:div w:id="1277446640">
      <w:bodyDiv w:val="1"/>
      <w:marLeft w:val="0"/>
      <w:marRight w:val="0"/>
      <w:marTop w:val="0"/>
      <w:marBottom w:val="0"/>
      <w:divBdr>
        <w:top w:val="none" w:sz="0" w:space="0" w:color="auto"/>
        <w:left w:val="none" w:sz="0" w:space="0" w:color="auto"/>
        <w:bottom w:val="none" w:sz="0" w:space="0" w:color="auto"/>
        <w:right w:val="none" w:sz="0" w:space="0" w:color="auto"/>
      </w:divBdr>
    </w:div>
    <w:div w:id="1284532132">
      <w:bodyDiv w:val="1"/>
      <w:marLeft w:val="0"/>
      <w:marRight w:val="0"/>
      <w:marTop w:val="0"/>
      <w:marBottom w:val="0"/>
      <w:divBdr>
        <w:top w:val="none" w:sz="0" w:space="0" w:color="auto"/>
        <w:left w:val="none" w:sz="0" w:space="0" w:color="auto"/>
        <w:bottom w:val="none" w:sz="0" w:space="0" w:color="auto"/>
        <w:right w:val="none" w:sz="0" w:space="0" w:color="auto"/>
      </w:divBdr>
    </w:div>
    <w:div w:id="1402557814">
      <w:bodyDiv w:val="1"/>
      <w:marLeft w:val="0"/>
      <w:marRight w:val="0"/>
      <w:marTop w:val="0"/>
      <w:marBottom w:val="0"/>
      <w:divBdr>
        <w:top w:val="none" w:sz="0" w:space="0" w:color="auto"/>
        <w:left w:val="none" w:sz="0" w:space="0" w:color="auto"/>
        <w:bottom w:val="none" w:sz="0" w:space="0" w:color="auto"/>
        <w:right w:val="none" w:sz="0" w:space="0" w:color="auto"/>
      </w:divBdr>
    </w:div>
    <w:div w:id="1411150266">
      <w:bodyDiv w:val="1"/>
      <w:marLeft w:val="0"/>
      <w:marRight w:val="0"/>
      <w:marTop w:val="0"/>
      <w:marBottom w:val="0"/>
      <w:divBdr>
        <w:top w:val="none" w:sz="0" w:space="0" w:color="auto"/>
        <w:left w:val="none" w:sz="0" w:space="0" w:color="auto"/>
        <w:bottom w:val="none" w:sz="0" w:space="0" w:color="auto"/>
        <w:right w:val="none" w:sz="0" w:space="0" w:color="auto"/>
      </w:divBdr>
    </w:div>
    <w:div w:id="1426339684">
      <w:bodyDiv w:val="1"/>
      <w:marLeft w:val="0"/>
      <w:marRight w:val="0"/>
      <w:marTop w:val="0"/>
      <w:marBottom w:val="0"/>
      <w:divBdr>
        <w:top w:val="none" w:sz="0" w:space="0" w:color="auto"/>
        <w:left w:val="none" w:sz="0" w:space="0" w:color="auto"/>
        <w:bottom w:val="none" w:sz="0" w:space="0" w:color="auto"/>
        <w:right w:val="none" w:sz="0" w:space="0" w:color="auto"/>
      </w:divBdr>
    </w:div>
    <w:div w:id="1427113811">
      <w:bodyDiv w:val="1"/>
      <w:marLeft w:val="0"/>
      <w:marRight w:val="0"/>
      <w:marTop w:val="0"/>
      <w:marBottom w:val="0"/>
      <w:divBdr>
        <w:top w:val="none" w:sz="0" w:space="0" w:color="auto"/>
        <w:left w:val="none" w:sz="0" w:space="0" w:color="auto"/>
        <w:bottom w:val="none" w:sz="0" w:space="0" w:color="auto"/>
        <w:right w:val="none" w:sz="0" w:space="0" w:color="auto"/>
      </w:divBdr>
      <w:divsChild>
        <w:div w:id="119148219">
          <w:marLeft w:val="0"/>
          <w:marRight w:val="0"/>
          <w:marTop w:val="0"/>
          <w:marBottom w:val="0"/>
          <w:divBdr>
            <w:top w:val="none" w:sz="0" w:space="0" w:color="auto"/>
            <w:left w:val="none" w:sz="0" w:space="0" w:color="auto"/>
            <w:bottom w:val="none" w:sz="0" w:space="0" w:color="auto"/>
            <w:right w:val="none" w:sz="0" w:space="0" w:color="auto"/>
          </w:divBdr>
        </w:div>
        <w:div w:id="307056161">
          <w:marLeft w:val="0"/>
          <w:marRight w:val="0"/>
          <w:marTop w:val="0"/>
          <w:marBottom w:val="0"/>
          <w:divBdr>
            <w:top w:val="none" w:sz="0" w:space="0" w:color="auto"/>
            <w:left w:val="none" w:sz="0" w:space="0" w:color="auto"/>
            <w:bottom w:val="none" w:sz="0" w:space="0" w:color="auto"/>
            <w:right w:val="none" w:sz="0" w:space="0" w:color="auto"/>
          </w:divBdr>
        </w:div>
        <w:div w:id="531110160">
          <w:marLeft w:val="0"/>
          <w:marRight w:val="0"/>
          <w:marTop w:val="0"/>
          <w:marBottom w:val="0"/>
          <w:divBdr>
            <w:top w:val="none" w:sz="0" w:space="0" w:color="auto"/>
            <w:left w:val="none" w:sz="0" w:space="0" w:color="auto"/>
            <w:bottom w:val="none" w:sz="0" w:space="0" w:color="auto"/>
            <w:right w:val="none" w:sz="0" w:space="0" w:color="auto"/>
          </w:divBdr>
        </w:div>
        <w:div w:id="667369467">
          <w:marLeft w:val="0"/>
          <w:marRight w:val="0"/>
          <w:marTop w:val="0"/>
          <w:marBottom w:val="0"/>
          <w:divBdr>
            <w:top w:val="none" w:sz="0" w:space="0" w:color="auto"/>
            <w:left w:val="none" w:sz="0" w:space="0" w:color="auto"/>
            <w:bottom w:val="none" w:sz="0" w:space="0" w:color="auto"/>
            <w:right w:val="none" w:sz="0" w:space="0" w:color="auto"/>
          </w:divBdr>
        </w:div>
        <w:div w:id="816528910">
          <w:marLeft w:val="0"/>
          <w:marRight w:val="0"/>
          <w:marTop w:val="0"/>
          <w:marBottom w:val="0"/>
          <w:divBdr>
            <w:top w:val="none" w:sz="0" w:space="0" w:color="auto"/>
            <w:left w:val="none" w:sz="0" w:space="0" w:color="auto"/>
            <w:bottom w:val="none" w:sz="0" w:space="0" w:color="auto"/>
            <w:right w:val="none" w:sz="0" w:space="0" w:color="auto"/>
          </w:divBdr>
        </w:div>
        <w:div w:id="944187764">
          <w:marLeft w:val="0"/>
          <w:marRight w:val="0"/>
          <w:marTop w:val="0"/>
          <w:marBottom w:val="0"/>
          <w:divBdr>
            <w:top w:val="none" w:sz="0" w:space="0" w:color="auto"/>
            <w:left w:val="none" w:sz="0" w:space="0" w:color="auto"/>
            <w:bottom w:val="none" w:sz="0" w:space="0" w:color="auto"/>
            <w:right w:val="none" w:sz="0" w:space="0" w:color="auto"/>
          </w:divBdr>
        </w:div>
        <w:div w:id="975913369">
          <w:marLeft w:val="0"/>
          <w:marRight w:val="0"/>
          <w:marTop w:val="0"/>
          <w:marBottom w:val="0"/>
          <w:divBdr>
            <w:top w:val="none" w:sz="0" w:space="0" w:color="auto"/>
            <w:left w:val="none" w:sz="0" w:space="0" w:color="auto"/>
            <w:bottom w:val="none" w:sz="0" w:space="0" w:color="auto"/>
            <w:right w:val="none" w:sz="0" w:space="0" w:color="auto"/>
          </w:divBdr>
        </w:div>
        <w:div w:id="991178844">
          <w:marLeft w:val="0"/>
          <w:marRight w:val="0"/>
          <w:marTop w:val="0"/>
          <w:marBottom w:val="0"/>
          <w:divBdr>
            <w:top w:val="none" w:sz="0" w:space="0" w:color="auto"/>
            <w:left w:val="none" w:sz="0" w:space="0" w:color="auto"/>
            <w:bottom w:val="none" w:sz="0" w:space="0" w:color="auto"/>
            <w:right w:val="none" w:sz="0" w:space="0" w:color="auto"/>
          </w:divBdr>
        </w:div>
        <w:div w:id="993948545">
          <w:marLeft w:val="0"/>
          <w:marRight w:val="0"/>
          <w:marTop w:val="0"/>
          <w:marBottom w:val="0"/>
          <w:divBdr>
            <w:top w:val="none" w:sz="0" w:space="0" w:color="auto"/>
            <w:left w:val="none" w:sz="0" w:space="0" w:color="auto"/>
            <w:bottom w:val="none" w:sz="0" w:space="0" w:color="auto"/>
            <w:right w:val="none" w:sz="0" w:space="0" w:color="auto"/>
          </w:divBdr>
        </w:div>
        <w:div w:id="1016887096">
          <w:marLeft w:val="0"/>
          <w:marRight w:val="0"/>
          <w:marTop w:val="0"/>
          <w:marBottom w:val="0"/>
          <w:divBdr>
            <w:top w:val="none" w:sz="0" w:space="0" w:color="auto"/>
            <w:left w:val="none" w:sz="0" w:space="0" w:color="auto"/>
            <w:bottom w:val="none" w:sz="0" w:space="0" w:color="auto"/>
            <w:right w:val="none" w:sz="0" w:space="0" w:color="auto"/>
          </w:divBdr>
        </w:div>
        <w:div w:id="1201699679">
          <w:marLeft w:val="0"/>
          <w:marRight w:val="0"/>
          <w:marTop w:val="0"/>
          <w:marBottom w:val="0"/>
          <w:divBdr>
            <w:top w:val="none" w:sz="0" w:space="0" w:color="auto"/>
            <w:left w:val="none" w:sz="0" w:space="0" w:color="auto"/>
            <w:bottom w:val="none" w:sz="0" w:space="0" w:color="auto"/>
            <w:right w:val="none" w:sz="0" w:space="0" w:color="auto"/>
          </w:divBdr>
        </w:div>
        <w:div w:id="1353798208">
          <w:marLeft w:val="0"/>
          <w:marRight w:val="0"/>
          <w:marTop w:val="0"/>
          <w:marBottom w:val="0"/>
          <w:divBdr>
            <w:top w:val="none" w:sz="0" w:space="0" w:color="auto"/>
            <w:left w:val="none" w:sz="0" w:space="0" w:color="auto"/>
            <w:bottom w:val="none" w:sz="0" w:space="0" w:color="auto"/>
            <w:right w:val="none" w:sz="0" w:space="0" w:color="auto"/>
          </w:divBdr>
        </w:div>
        <w:div w:id="1460756634">
          <w:marLeft w:val="0"/>
          <w:marRight w:val="0"/>
          <w:marTop w:val="0"/>
          <w:marBottom w:val="0"/>
          <w:divBdr>
            <w:top w:val="none" w:sz="0" w:space="0" w:color="auto"/>
            <w:left w:val="none" w:sz="0" w:space="0" w:color="auto"/>
            <w:bottom w:val="none" w:sz="0" w:space="0" w:color="auto"/>
            <w:right w:val="none" w:sz="0" w:space="0" w:color="auto"/>
          </w:divBdr>
          <w:divsChild>
            <w:div w:id="1436100356">
              <w:marLeft w:val="-75"/>
              <w:marRight w:val="0"/>
              <w:marTop w:val="30"/>
              <w:marBottom w:val="30"/>
              <w:divBdr>
                <w:top w:val="none" w:sz="0" w:space="0" w:color="auto"/>
                <w:left w:val="none" w:sz="0" w:space="0" w:color="auto"/>
                <w:bottom w:val="none" w:sz="0" w:space="0" w:color="auto"/>
                <w:right w:val="none" w:sz="0" w:space="0" w:color="auto"/>
              </w:divBdr>
              <w:divsChild>
                <w:div w:id="10032853">
                  <w:marLeft w:val="0"/>
                  <w:marRight w:val="0"/>
                  <w:marTop w:val="0"/>
                  <w:marBottom w:val="0"/>
                  <w:divBdr>
                    <w:top w:val="none" w:sz="0" w:space="0" w:color="auto"/>
                    <w:left w:val="none" w:sz="0" w:space="0" w:color="auto"/>
                    <w:bottom w:val="none" w:sz="0" w:space="0" w:color="auto"/>
                    <w:right w:val="none" w:sz="0" w:space="0" w:color="auto"/>
                  </w:divBdr>
                  <w:divsChild>
                    <w:div w:id="707222991">
                      <w:marLeft w:val="0"/>
                      <w:marRight w:val="0"/>
                      <w:marTop w:val="0"/>
                      <w:marBottom w:val="0"/>
                      <w:divBdr>
                        <w:top w:val="none" w:sz="0" w:space="0" w:color="auto"/>
                        <w:left w:val="none" w:sz="0" w:space="0" w:color="auto"/>
                        <w:bottom w:val="none" w:sz="0" w:space="0" w:color="auto"/>
                        <w:right w:val="none" w:sz="0" w:space="0" w:color="auto"/>
                      </w:divBdr>
                    </w:div>
                    <w:div w:id="2121872832">
                      <w:marLeft w:val="0"/>
                      <w:marRight w:val="0"/>
                      <w:marTop w:val="0"/>
                      <w:marBottom w:val="0"/>
                      <w:divBdr>
                        <w:top w:val="none" w:sz="0" w:space="0" w:color="auto"/>
                        <w:left w:val="none" w:sz="0" w:space="0" w:color="auto"/>
                        <w:bottom w:val="none" w:sz="0" w:space="0" w:color="auto"/>
                        <w:right w:val="none" w:sz="0" w:space="0" w:color="auto"/>
                      </w:divBdr>
                    </w:div>
                  </w:divsChild>
                </w:div>
                <w:div w:id="170341807">
                  <w:marLeft w:val="0"/>
                  <w:marRight w:val="0"/>
                  <w:marTop w:val="0"/>
                  <w:marBottom w:val="0"/>
                  <w:divBdr>
                    <w:top w:val="none" w:sz="0" w:space="0" w:color="auto"/>
                    <w:left w:val="none" w:sz="0" w:space="0" w:color="auto"/>
                    <w:bottom w:val="none" w:sz="0" w:space="0" w:color="auto"/>
                    <w:right w:val="none" w:sz="0" w:space="0" w:color="auto"/>
                  </w:divBdr>
                  <w:divsChild>
                    <w:div w:id="459373603">
                      <w:marLeft w:val="0"/>
                      <w:marRight w:val="0"/>
                      <w:marTop w:val="0"/>
                      <w:marBottom w:val="0"/>
                      <w:divBdr>
                        <w:top w:val="none" w:sz="0" w:space="0" w:color="auto"/>
                        <w:left w:val="none" w:sz="0" w:space="0" w:color="auto"/>
                        <w:bottom w:val="none" w:sz="0" w:space="0" w:color="auto"/>
                        <w:right w:val="none" w:sz="0" w:space="0" w:color="auto"/>
                      </w:divBdr>
                    </w:div>
                  </w:divsChild>
                </w:div>
                <w:div w:id="198864252">
                  <w:marLeft w:val="0"/>
                  <w:marRight w:val="0"/>
                  <w:marTop w:val="0"/>
                  <w:marBottom w:val="0"/>
                  <w:divBdr>
                    <w:top w:val="none" w:sz="0" w:space="0" w:color="auto"/>
                    <w:left w:val="none" w:sz="0" w:space="0" w:color="auto"/>
                    <w:bottom w:val="none" w:sz="0" w:space="0" w:color="auto"/>
                    <w:right w:val="none" w:sz="0" w:space="0" w:color="auto"/>
                  </w:divBdr>
                  <w:divsChild>
                    <w:div w:id="1819108226">
                      <w:marLeft w:val="0"/>
                      <w:marRight w:val="0"/>
                      <w:marTop w:val="0"/>
                      <w:marBottom w:val="0"/>
                      <w:divBdr>
                        <w:top w:val="none" w:sz="0" w:space="0" w:color="auto"/>
                        <w:left w:val="none" w:sz="0" w:space="0" w:color="auto"/>
                        <w:bottom w:val="none" w:sz="0" w:space="0" w:color="auto"/>
                        <w:right w:val="none" w:sz="0" w:space="0" w:color="auto"/>
                      </w:divBdr>
                    </w:div>
                  </w:divsChild>
                </w:div>
                <w:div w:id="220217135">
                  <w:marLeft w:val="0"/>
                  <w:marRight w:val="0"/>
                  <w:marTop w:val="0"/>
                  <w:marBottom w:val="0"/>
                  <w:divBdr>
                    <w:top w:val="none" w:sz="0" w:space="0" w:color="auto"/>
                    <w:left w:val="none" w:sz="0" w:space="0" w:color="auto"/>
                    <w:bottom w:val="none" w:sz="0" w:space="0" w:color="auto"/>
                    <w:right w:val="none" w:sz="0" w:space="0" w:color="auto"/>
                  </w:divBdr>
                  <w:divsChild>
                    <w:div w:id="276453432">
                      <w:marLeft w:val="0"/>
                      <w:marRight w:val="0"/>
                      <w:marTop w:val="0"/>
                      <w:marBottom w:val="0"/>
                      <w:divBdr>
                        <w:top w:val="none" w:sz="0" w:space="0" w:color="auto"/>
                        <w:left w:val="none" w:sz="0" w:space="0" w:color="auto"/>
                        <w:bottom w:val="none" w:sz="0" w:space="0" w:color="auto"/>
                        <w:right w:val="none" w:sz="0" w:space="0" w:color="auto"/>
                      </w:divBdr>
                    </w:div>
                  </w:divsChild>
                </w:div>
                <w:div w:id="221521255">
                  <w:marLeft w:val="0"/>
                  <w:marRight w:val="0"/>
                  <w:marTop w:val="0"/>
                  <w:marBottom w:val="0"/>
                  <w:divBdr>
                    <w:top w:val="none" w:sz="0" w:space="0" w:color="auto"/>
                    <w:left w:val="none" w:sz="0" w:space="0" w:color="auto"/>
                    <w:bottom w:val="none" w:sz="0" w:space="0" w:color="auto"/>
                    <w:right w:val="none" w:sz="0" w:space="0" w:color="auto"/>
                  </w:divBdr>
                  <w:divsChild>
                    <w:div w:id="125246363">
                      <w:marLeft w:val="0"/>
                      <w:marRight w:val="0"/>
                      <w:marTop w:val="0"/>
                      <w:marBottom w:val="0"/>
                      <w:divBdr>
                        <w:top w:val="none" w:sz="0" w:space="0" w:color="auto"/>
                        <w:left w:val="none" w:sz="0" w:space="0" w:color="auto"/>
                        <w:bottom w:val="none" w:sz="0" w:space="0" w:color="auto"/>
                        <w:right w:val="none" w:sz="0" w:space="0" w:color="auto"/>
                      </w:divBdr>
                    </w:div>
                  </w:divsChild>
                </w:div>
                <w:div w:id="239146511">
                  <w:marLeft w:val="0"/>
                  <w:marRight w:val="0"/>
                  <w:marTop w:val="0"/>
                  <w:marBottom w:val="0"/>
                  <w:divBdr>
                    <w:top w:val="none" w:sz="0" w:space="0" w:color="auto"/>
                    <w:left w:val="none" w:sz="0" w:space="0" w:color="auto"/>
                    <w:bottom w:val="none" w:sz="0" w:space="0" w:color="auto"/>
                    <w:right w:val="none" w:sz="0" w:space="0" w:color="auto"/>
                  </w:divBdr>
                  <w:divsChild>
                    <w:div w:id="1878664995">
                      <w:marLeft w:val="0"/>
                      <w:marRight w:val="0"/>
                      <w:marTop w:val="0"/>
                      <w:marBottom w:val="0"/>
                      <w:divBdr>
                        <w:top w:val="none" w:sz="0" w:space="0" w:color="auto"/>
                        <w:left w:val="none" w:sz="0" w:space="0" w:color="auto"/>
                        <w:bottom w:val="none" w:sz="0" w:space="0" w:color="auto"/>
                        <w:right w:val="none" w:sz="0" w:space="0" w:color="auto"/>
                      </w:divBdr>
                    </w:div>
                  </w:divsChild>
                </w:div>
                <w:div w:id="269707851">
                  <w:marLeft w:val="0"/>
                  <w:marRight w:val="0"/>
                  <w:marTop w:val="0"/>
                  <w:marBottom w:val="0"/>
                  <w:divBdr>
                    <w:top w:val="none" w:sz="0" w:space="0" w:color="auto"/>
                    <w:left w:val="none" w:sz="0" w:space="0" w:color="auto"/>
                    <w:bottom w:val="none" w:sz="0" w:space="0" w:color="auto"/>
                    <w:right w:val="none" w:sz="0" w:space="0" w:color="auto"/>
                  </w:divBdr>
                  <w:divsChild>
                    <w:div w:id="1659456701">
                      <w:marLeft w:val="0"/>
                      <w:marRight w:val="0"/>
                      <w:marTop w:val="0"/>
                      <w:marBottom w:val="0"/>
                      <w:divBdr>
                        <w:top w:val="none" w:sz="0" w:space="0" w:color="auto"/>
                        <w:left w:val="none" w:sz="0" w:space="0" w:color="auto"/>
                        <w:bottom w:val="none" w:sz="0" w:space="0" w:color="auto"/>
                        <w:right w:val="none" w:sz="0" w:space="0" w:color="auto"/>
                      </w:divBdr>
                    </w:div>
                  </w:divsChild>
                </w:div>
                <w:div w:id="307706353">
                  <w:marLeft w:val="0"/>
                  <w:marRight w:val="0"/>
                  <w:marTop w:val="0"/>
                  <w:marBottom w:val="0"/>
                  <w:divBdr>
                    <w:top w:val="none" w:sz="0" w:space="0" w:color="auto"/>
                    <w:left w:val="none" w:sz="0" w:space="0" w:color="auto"/>
                    <w:bottom w:val="none" w:sz="0" w:space="0" w:color="auto"/>
                    <w:right w:val="none" w:sz="0" w:space="0" w:color="auto"/>
                  </w:divBdr>
                  <w:divsChild>
                    <w:div w:id="1291283357">
                      <w:marLeft w:val="0"/>
                      <w:marRight w:val="0"/>
                      <w:marTop w:val="0"/>
                      <w:marBottom w:val="0"/>
                      <w:divBdr>
                        <w:top w:val="none" w:sz="0" w:space="0" w:color="auto"/>
                        <w:left w:val="none" w:sz="0" w:space="0" w:color="auto"/>
                        <w:bottom w:val="none" w:sz="0" w:space="0" w:color="auto"/>
                        <w:right w:val="none" w:sz="0" w:space="0" w:color="auto"/>
                      </w:divBdr>
                    </w:div>
                  </w:divsChild>
                </w:div>
                <w:div w:id="396130029">
                  <w:marLeft w:val="0"/>
                  <w:marRight w:val="0"/>
                  <w:marTop w:val="0"/>
                  <w:marBottom w:val="0"/>
                  <w:divBdr>
                    <w:top w:val="none" w:sz="0" w:space="0" w:color="auto"/>
                    <w:left w:val="none" w:sz="0" w:space="0" w:color="auto"/>
                    <w:bottom w:val="none" w:sz="0" w:space="0" w:color="auto"/>
                    <w:right w:val="none" w:sz="0" w:space="0" w:color="auto"/>
                  </w:divBdr>
                  <w:divsChild>
                    <w:div w:id="1693798413">
                      <w:marLeft w:val="0"/>
                      <w:marRight w:val="0"/>
                      <w:marTop w:val="0"/>
                      <w:marBottom w:val="0"/>
                      <w:divBdr>
                        <w:top w:val="none" w:sz="0" w:space="0" w:color="auto"/>
                        <w:left w:val="none" w:sz="0" w:space="0" w:color="auto"/>
                        <w:bottom w:val="none" w:sz="0" w:space="0" w:color="auto"/>
                        <w:right w:val="none" w:sz="0" w:space="0" w:color="auto"/>
                      </w:divBdr>
                    </w:div>
                  </w:divsChild>
                </w:div>
                <w:div w:id="547257239">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1985623968">
                      <w:marLeft w:val="0"/>
                      <w:marRight w:val="0"/>
                      <w:marTop w:val="0"/>
                      <w:marBottom w:val="0"/>
                      <w:divBdr>
                        <w:top w:val="none" w:sz="0" w:space="0" w:color="auto"/>
                        <w:left w:val="none" w:sz="0" w:space="0" w:color="auto"/>
                        <w:bottom w:val="none" w:sz="0" w:space="0" w:color="auto"/>
                        <w:right w:val="none" w:sz="0" w:space="0" w:color="auto"/>
                      </w:divBdr>
                    </w:div>
                  </w:divsChild>
                </w:div>
                <w:div w:id="578639721">
                  <w:marLeft w:val="0"/>
                  <w:marRight w:val="0"/>
                  <w:marTop w:val="0"/>
                  <w:marBottom w:val="0"/>
                  <w:divBdr>
                    <w:top w:val="none" w:sz="0" w:space="0" w:color="auto"/>
                    <w:left w:val="none" w:sz="0" w:space="0" w:color="auto"/>
                    <w:bottom w:val="none" w:sz="0" w:space="0" w:color="auto"/>
                    <w:right w:val="none" w:sz="0" w:space="0" w:color="auto"/>
                  </w:divBdr>
                  <w:divsChild>
                    <w:div w:id="1625581596">
                      <w:marLeft w:val="0"/>
                      <w:marRight w:val="0"/>
                      <w:marTop w:val="0"/>
                      <w:marBottom w:val="0"/>
                      <w:divBdr>
                        <w:top w:val="none" w:sz="0" w:space="0" w:color="auto"/>
                        <w:left w:val="none" w:sz="0" w:space="0" w:color="auto"/>
                        <w:bottom w:val="none" w:sz="0" w:space="0" w:color="auto"/>
                        <w:right w:val="none" w:sz="0" w:space="0" w:color="auto"/>
                      </w:divBdr>
                    </w:div>
                  </w:divsChild>
                </w:div>
                <w:div w:id="591549425">
                  <w:marLeft w:val="0"/>
                  <w:marRight w:val="0"/>
                  <w:marTop w:val="0"/>
                  <w:marBottom w:val="0"/>
                  <w:divBdr>
                    <w:top w:val="none" w:sz="0" w:space="0" w:color="auto"/>
                    <w:left w:val="none" w:sz="0" w:space="0" w:color="auto"/>
                    <w:bottom w:val="none" w:sz="0" w:space="0" w:color="auto"/>
                    <w:right w:val="none" w:sz="0" w:space="0" w:color="auto"/>
                  </w:divBdr>
                  <w:divsChild>
                    <w:div w:id="731197281">
                      <w:marLeft w:val="0"/>
                      <w:marRight w:val="0"/>
                      <w:marTop w:val="0"/>
                      <w:marBottom w:val="0"/>
                      <w:divBdr>
                        <w:top w:val="none" w:sz="0" w:space="0" w:color="auto"/>
                        <w:left w:val="none" w:sz="0" w:space="0" w:color="auto"/>
                        <w:bottom w:val="none" w:sz="0" w:space="0" w:color="auto"/>
                        <w:right w:val="none" w:sz="0" w:space="0" w:color="auto"/>
                      </w:divBdr>
                    </w:div>
                  </w:divsChild>
                </w:div>
                <w:div w:id="669723070">
                  <w:marLeft w:val="0"/>
                  <w:marRight w:val="0"/>
                  <w:marTop w:val="0"/>
                  <w:marBottom w:val="0"/>
                  <w:divBdr>
                    <w:top w:val="none" w:sz="0" w:space="0" w:color="auto"/>
                    <w:left w:val="none" w:sz="0" w:space="0" w:color="auto"/>
                    <w:bottom w:val="none" w:sz="0" w:space="0" w:color="auto"/>
                    <w:right w:val="none" w:sz="0" w:space="0" w:color="auto"/>
                  </w:divBdr>
                  <w:divsChild>
                    <w:div w:id="1794328519">
                      <w:marLeft w:val="0"/>
                      <w:marRight w:val="0"/>
                      <w:marTop w:val="0"/>
                      <w:marBottom w:val="0"/>
                      <w:divBdr>
                        <w:top w:val="none" w:sz="0" w:space="0" w:color="auto"/>
                        <w:left w:val="none" w:sz="0" w:space="0" w:color="auto"/>
                        <w:bottom w:val="none" w:sz="0" w:space="0" w:color="auto"/>
                        <w:right w:val="none" w:sz="0" w:space="0" w:color="auto"/>
                      </w:divBdr>
                    </w:div>
                  </w:divsChild>
                </w:div>
                <w:div w:id="860893498">
                  <w:marLeft w:val="0"/>
                  <w:marRight w:val="0"/>
                  <w:marTop w:val="0"/>
                  <w:marBottom w:val="0"/>
                  <w:divBdr>
                    <w:top w:val="none" w:sz="0" w:space="0" w:color="auto"/>
                    <w:left w:val="none" w:sz="0" w:space="0" w:color="auto"/>
                    <w:bottom w:val="none" w:sz="0" w:space="0" w:color="auto"/>
                    <w:right w:val="none" w:sz="0" w:space="0" w:color="auto"/>
                  </w:divBdr>
                  <w:divsChild>
                    <w:div w:id="2080203978">
                      <w:marLeft w:val="0"/>
                      <w:marRight w:val="0"/>
                      <w:marTop w:val="0"/>
                      <w:marBottom w:val="0"/>
                      <w:divBdr>
                        <w:top w:val="none" w:sz="0" w:space="0" w:color="auto"/>
                        <w:left w:val="none" w:sz="0" w:space="0" w:color="auto"/>
                        <w:bottom w:val="none" w:sz="0" w:space="0" w:color="auto"/>
                        <w:right w:val="none" w:sz="0" w:space="0" w:color="auto"/>
                      </w:divBdr>
                    </w:div>
                  </w:divsChild>
                </w:div>
                <w:div w:id="895043761">
                  <w:marLeft w:val="0"/>
                  <w:marRight w:val="0"/>
                  <w:marTop w:val="0"/>
                  <w:marBottom w:val="0"/>
                  <w:divBdr>
                    <w:top w:val="none" w:sz="0" w:space="0" w:color="auto"/>
                    <w:left w:val="none" w:sz="0" w:space="0" w:color="auto"/>
                    <w:bottom w:val="none" w:sz="0" w:space="0" w:color="auto"/>
                    <w:right w:val="none" w:sz="0" w:space="0" w:color="auto"/>
                  </w:divBdr>
                  <w:divsChild>
                    <w:div w:id="1814328483">
                      <w:marLeft w:val="0"/>
                      <w:marRight w:val="0"/>
                      <w:marTop w:val="0"/>
                      <w:marBottom w:val="0"/>
                      <w:divBdr>
                        <w:top w:val="none" w:sz="0" w:space="0" w:color="auto"/>
                        <w:left w:val="none" w:sz="0" w:space="0" w:color="auto"/>
                        <w:bottom w:val="none" w:sz="0" w:space="0" w:color="auto"/>
                        <w:right w:val="none" w:sz="0" w:space="0" w:color="auto"/>
                      </w:divBdr>
                    </w:div>
                  </w:divsChild>
                </w:div>
                <w:div w:id="913467649">
                  <w:marLeft w:val="0"/>
                  <w:marRight w:val="0"/>
                  <w:marTop w:val="0"/>
                  <w:marBottom w:val="0"/>
                  <w:divBdr>
                    <w:top w:val="none" w:sz="0" w:space="0" w:color="auto"/>
                    <w:left w:val="none" w:sz="0" w:space="0" w:color="auto"/>
                    <w:bottom w:val="none" w:sz="0" w:space="0" w:color="auto"/>
                    <w:right w:val="none" w:sz="0" w:space="0" w:color="auto"/>
                  </w:divBdr>
                  <w:divsChild>
                    <w:div w:id="1419017426">
                      <w:marLeft w:val="0"/>
                      <w:marRight w:val="0"/>
                      <w:marTop w:val="0"/>
                      <w:marBottom w:val="0"/>
                      <w:divBdr>
                        <w:top w:val="none" w:sz="0" w:space="0" w:color="auto"/>
                        <w:left w:val="none" w:sz="0" w:space="0" w:color="auto"/>
                        <w:bottom w:val="none" w:sz="0" w:space="0" w:color="auto"/>
                        <w:right w:val="none" w:sz="0" w:space="0" w:color="auto"/>
                      </w:divBdr>
                    </w:div>
                  </w:divsChild>
                </w:div>
                <w:div w:id="951784477">
                  <w:marLeft w:val="0"/>
                  <w:marRight w:val="0"/>
                  <w:marTop w:val="0"/>
                  <w:marBottom w:val="0"/>
                  <w:divBdr>
                    <w:top w:val="none" w:sz="0" w:space="0" w:color="auto"/>
                    <w:left w:val="none" w:sz="0" w:space="0" w:color="auto"/>
                    <w:bottom w:val="none" w:sz="0" w:space="0" w:color="auto"/>
                    <w:right w:val="none" w:sz="0" w:space="0" w:color="auto"/>
                  </w:divBdr>
                  <w:divsChild>
                    <w:div w:id="1574318665">
                      <w:marLeft w:val="0"/>
                      <w:marRight w:val="0"/>
                      <w:marTop w:val="0"/>
                      <w:marBottom w:val="0"/>
                      <w:divBdr>
                        <w:top w:val="none" w:sz="0" w:space="0" w:color="auto"/>
                        <w:left w:val="none" w:sz="0" w:space="0" w:color="auto"/>
                        <w:bottom w:val="none" w:sz="0" w:space="0" w:color="auto"/>
                        <w:right w:val="none" w:sz="0" w:space="0" w:color="auto"/>
                      </w:divBdr>
                    </w:div>
                  </w:divsChild>
                </w:div>
                <w:div w:id="1160538164">
                  <w:marLeft w:val="0"/>
                  <w:marRight w:val="0"/>
                  <w:marTop w:val="0"/>
                  <w:marBottom w:val="0"/>
                  <w:divBdr>
                    <w:top w:val="none" w:sz="0" w:space="0" w:color="auto"/>
                    <w:left w:val="none" w:sz="0" w:space="0" w:color="auto"/>
                    <w:bottom w:val="none" w:sz="0" w:space="0" w:color="auto"/>
                    <w:right w:val="none" w:sz="0" w:space="0" w:color="auto"/>
                  </w:divBdr>
                  <w:divsChild>
                    <w:div w:id="40902747">
                      <w:marLeft w:val="0"/>
                      <w:marRight w:val="0"/>
                      <w:marTop w:val="0"/>
                      <w:marBottom w:val="0"/>
                      <w:divBdr>
                        <w:top w:val="none" w:sz="0" w:space="0" w:color="auto"/>
                        <w:left w:val="none" w:sz="0" w:space="0" w:color="auto"/>
                        <w:bottom w:val="none" w:sz="0" w:space="0" w:color="auto"/>
                        <w:right w:val="none" w:sz="0" w:space="0" w:color="auto"/>
                      </w:divBdr>
                    </w:div>
                  </w:divsChild>
                </w:div>
                <w:div w:id="1166094859">
                  <w:marLeft w:val="0"/>
                  <w:marRight w:val="0"/>
                  <w:marTop w:val="0"/>
                  <w:marBottom w:val="0"/>
                  <w:divBdr>
                    <w:top w:val="none" w:sz="0" w:space="0" w:color="auto"/>
                    <w:left w:val="none" w:sz="0" w:space="0" w:color="auto"/>
                    <w:bottom w:val="none" w:sz="0" w:space="0" w:color="auto"/>
                    <w:right w:val="none" w:sz="0" w:space="0" w:color="auto"/>
                  </w:divBdr>
                  <w:divsChild>
                    <w:div w:id="709379525">
                      <w:marLeft w:val="0"/>
                      <w:marRight w:val="0"/>
                      <w:marTop w:val="0"/>
                      <w:marBottom w:val="0"/>
                      <w:divBdr>
                        <w:top w:val="none" w:sz="0" w:space="0" w:color="auto"/>
                        <w:left w:val="none" w:sz="0" w:space="0" w:color="auto"/>
                        <w:bottom w:val="none" w:sz="0" w:space="0" w:color="auto"/>
                        <w:right w:val="none" w:sz="0" w:space="0" w:color="auto"/>
                      </w:divBdr>
                    </w:div>
                  </w:divsChild>
                </w:div>
                <w:div w:id="1262760103">
                  <w:marLeft w:val="0"/>
                  <w:marRight w:val="0"/>
                  <w:marTop w:val="0"/>
                  <w:marBottom w:val="0"/>
                  <w:divBdr>
                    <w:top w:val="none" w:sz="0" w:space="0" w:color="auto"/>
                    <w:left w:val="none" w:sz="0" w:space="0" w:color="auto"/>
                    <w:bottom w:val="none" w:sz="0" w:space="0" w:color="auto"/>
                    <w:right w:val="none" w:sz="0" w:space="0" w:color="auto"/>
                  </w:divBdr>
                  <w:divsChild>
                    <w:div w:id="1867861797">
                      <w:marLeft w:val="0"/>
                      <w:marRight w:val="0"/>
                      <w:marTop w:val="0"/>
                      <w:marBottom w:val="0"/>
                      <w:divBdr>
                        <w:top w:val="none" w:sz="0" w:space="0" w:color="auto"/>
                        <w:left w:val="none" w:sz="0" w:space="0" w:color="auto"/>
                        <w:bottom w:val="none" w:sz="0" w:space="0" w:color="auto"/>
                        <w:right w:val="none" w:sz="0" w:space="0" w:color="auto"/>
                      </w:divBdr>
                    </w:div>
                  </w:divsChild>
                </w:div>
                <w:div w:id="1330907964">
                  <w:marLeft w:val="0"/>
                  <w:marRight w:val="0"/>
                  <w:marTop w:val="0"/>
                  <w:marBottom w:val="0"/>
                  <w:divBdr>
                    <w:top w:val="none" w:sz="0" w:space="0" w:color="auto"/>
                    <w:left w:val="none" w:sz="0" w:space="0" w:color="auto"/>
                    <w:bottom w:val="none" w:sz="0" w:space="0" w:color="auto"/>
                    <w:right w:val="none" w:sz="0" w:space="0" w:color="auto"/>
                  </w:divBdr>
                  <w:divsChild>
                    <w:div w:id="1143766757">
                      <w:marLeft w:val="0"/>
                      <w:marRight w:val="0"/>
                      <w:marTop w:val="0"/>
                      <w:marBottom w:val="0"/>
                      <w:divBdr>
                        <w:top w:val="none" w:sz="0" w:space="0" w:color="auto"/>
                        <w:left w:val="none" w:sz="0" w:space="0" w:color="auto"/>
                        <w:bottom w:val="none" w:sz="0" w:space="0" w:color="auto"/>
                        <w:right w:val="none" w:sz="0" w:space="0" w:color="auto"/>
                      </w:divBdr>
                    </w:div>
                    <w:div w:id="1180777375">
                      <w:marLeft w:val="0"/>
                      <w:marRight w:val="0"/>
                      <w:marTop w:val="0"/>
                      <w:marBottom w:val="0"/>
                      <w:divBdr>
                        <w:top w:val="none" w:sz="0" w:space="0" w:color="auto"/>
                        <w:left w:val="none" w:sz="0" w:space="0" w:color="auto"/>
                        <w:bottom w:val="none" w:sz="0" w:space="0" w:color="auto"/>
                        <w:right w:val="none" w:sz="0" w:space="0" w:color="auto"/>
                      </w:divBdr>
                    </w:div>
                  </w:divsChild>
                </w:div>
                <w:div w:id="1421367686">
                  <w:marLeft w:val="0"/>
                  <w:marRight w:val="0"/>
                  <w:marTop w:val="0"/>
                  <w:marBottom w:val="0"/>
                  <w:divBdr>
                    <w:top w:val="none" w:sz="0" w:space="0" w:color="auto"/>
                    <w:left w:val="none" w:sz="0" w:space="0" w:color="auto"/>
                    <w:bottom w:val="none" w:sz="0" w:space="0" w:color="auto"/>
                    <w:right w:val="none" w:sz="0" w:space="0" w:color="auto"/>
                  </w:divBdr>
                  <w:divsChild>
                    <w:div w:id="1603301249">
                      <w:marLeft w:val="0"/>
                      <w:marRight w:val="0"/>
                      <w:marTop w:val="0"/>
                      <w:marBottom w:val="0"/>
                      <w:divBdr>
                        <w:top w:val="none" w:sz="0" w:space="0" w:color="auto"/>
                        <w:left w:val="none" w:sz="0" w:space="0" w:color="auto"/>
                        <w:bottom w:val="none" w:sz="0" w:space="0" w:color="auto"/>
                        <w:right w:val="none" w:sz="0" w:space="0" w:color="auto"/>
                      </w:divBdr>
                    </w:div>
                  </w:divsChild>
                </w:div>
                <w:div w:id="1460489543">
                  <w:marLeft w:val="0"/>
                  <w:marRight w:val="0"/>
                  <w:marTop w:val="0"/>
                  <w:marBottom w:val="0"/>
                  <w:divBdr>
                    <w:top w:val="none" w:sz="0" w:space="0" w:color="auto"/>
                    <w:left w:val="none" w:sz="0" w:space="0" w:color="auto"/>
                    <w:bottom w:val="none" w:sz="0" w:space="0" w:color="auto"/>
                    <w:right w:val="none" w:sz="0" w:space="0" w:color="auto"/>
                  </w:divBdr>
                  <w:divsChild>
                    <w:div w:id="360671534">
                      <w:marLeft w:val="0"/>
                      <w:marRight w:val="0"/>
                      <w:marTop w:val="0"/>
                      <w:marBottom w:val="0"/>
                      <w:divBdr>
                        <w:top w:val="none" w:sz="0" w:space="0" w:color="auto"/>
                        <w:left w:val="none" w:sz="0" w:space="0" w:color="auto"/>
                        <w:bottom w:val="none" w:sz="0" w:space="0" w:color="auto"/>
                        <w:right w:val="none" w:sz="0" w:space="0" w:color="auto"/>
                      </w:divBdr>
                    </w:div>
                    <w:div w:id="544609610">
                      <w:marLeft w:val="0"/>
                      <w:marRight w:val="0"/>
                      <w:marTop w:val="0"/>
                      <w:marBottom w:val="0"/>
                      <w:divBdr>
                        <w:top w:val="none" w:sz="0" w:space="0" w:color="auto"/>
                        <w:left w:val="none" w:sz="0" w:space="0" w:color="auto"/>
                        <w:bottom w:val="none" w:sz="0" w:space="0" w:color="auto"/>
                        <w:right w:val="none" w:sz="0" w:space="0" w:color="auto"/>
                      </w:divBdr>
                    </w:div>
                  </w:divsChild>
                </w:div>
                <w:div w:id="1495608616">
                  <w:marLeft w:val="0"/>
                  <w:marRight w:val="0"/>
                  <w:marTop w:val="0"/>
                  <w:marBottom w:val="0"/>
                  <w:divBdr>
                    <w:top w:val="none" w:sz="0" w:space="0" w:color="auto"/>
                    <w:left w:val="none" w:sz="0" w:space="0" w:color="auto"/>
                    <w:bottom w:val="none" w:sz="0" w:space="0" w:color="auto"/>
                    <w:right w:val="none" w:sz="0" w:space="0" w:color="auto"/>
                  </w:divBdr>
                  <w:divsChild>
                    <w:div w:id="2142382268">
                      <w:marLeft w:val="0"/>
                      <w:marRight w:val="0"/>
                      <w:marTop w:val="0"/>
                      <w:marBottom w:val="0"/>
                      <w:divBdr>
                        <w:top w:val="none" w:sz="0" w:space="0" w:color="auto"/>
                        <w:left w:val="none" w:sz="0" w:space="0" w:color="auto"/>
                        <w:bottom w:val="none" w:sz="0" w:space="0" w:color="auto"/>
                        <w:right w:val="none" w:sz="0" w:space="0" w:color="auto"/>
                      </w:divBdr>
                    </w:div>
                  </w:divsChild>
                </w:div>
                <w:div w:id="1601520795">
                  <w:marLeft w:val="0"/>
                  <w:marRight w:val="0"/>
                  <w:marTop w:val="0"/>
                  <w:marBottom w:val="0"/>
                  <w:divBdr>
                    <w:top w:val="none" w:sz="0" w:space="0" w:color="auto"/>
                    <w:left w:val="none" w:sz="0" w:space="0" w:color="auto"/>
                    <w:bottom w:val="none" w:sz="0" w:space="0" w:color="auto"/>
                    <w:right w:val="none" w:sz="0" w:space="0" w:color="auto"/>
                  </w:divBdr>
                  <w:divsChild>
                    <w:div w:id="392890544">
                      <w:marLeft w:val="0"/>
                      <w:marRight w:val="0"/>
                      <w:marTop w:val="0"/>
                      <w:marBottom w:val="0"/>
                      <w:divBdr>
                        <w:top w:val="none" w:sz="0" w:space="0" w:color="auto"/>
                        <w:left w:val="none" w:sz="0" w:space="0" w:color="auto"/>
                        <w:bottom w:val="none" w:sz="0" w:space="0" w:color="auto"/>
                        <w:right w:val="none" w:sz="0" w:space="0" w:color="auto"/>
                      </w:divBdr>
                    </w:div>
                  </w:divsChild>
                </w:div>
                <w:div w:id="1990860221">
                  <w:marLeft w:val="0"/>
                  <w:marRight w:val="0"/>
                  <w:marTop w:val="0"/>
                  <w:marBottom w:val="0"/>
                  <w:divBdr>
                    <w:top w:val="none" w:sz="0" w:space="0" w:color="auto"/>
                    <w:left w:val="none" w:sz="0" w:space="0" w:color="auto"/>
                    <w:bottom w:val="none" w:sz="0" w:space="0" w:color="auto"/>
                    <w:right w:val="none" w:sz="0" w:space="0" w:color="auto"/>
                  </w:divBdr>
                  <w:divsChild>
                    <w:div w:id="607859929">
                      <w:marLeft w:val="0"/>
                      <w:marRight w:val="0"/>
                      <w:marTop w:val="0"/>
                      <w:marBottom w:val="0"/>
                      <w:divBdr>
                        <w:top w:val="none" w:sz="0" w:space="0" w:color="auto"/>
                        <w:left w:val="none" w:sz="0" w:space="0" w:color="auto"/>
                        <w:bottom w:val="none" w:sz="0" w:space="0" w:color="auto"/>
                        <w:right w:val="none" w:sz="0" w:space="0" w:color="auto"/>
                      </w:divBdr>
                    </w:div>
                  </w:divsChild>
                </w:div>
                <w:div w:id="2027100478">
                  <w:marLeft w:val="0"/>
                  <w:marRight w:val="0"/>
                  <w:marTop w:val="0"/>
                  <w:marBottom w:val="0"/>
                  <w:divBdr>
                    <w:top w:val="none" w:sz="0" w:space="0" w:color="auto"/>
                    <w:left w:val="none" w:sz="0" w:space="0" w:color="auto"/>
                    <w:bottom w:val="none" w:sz="0" w:space="0" w:color="auto"/>
                    <w:right w:val="none" w:sz="0" w:space="0" w:color="auto"/>
                  </w:divBdr>
                  <w:divsChild>
                    <w:div w:id="99298283">
                      <w:marLeft w:val="0"/>
                      <w:marRight w:val="0"/>
                      <w:marTop w:val="0"/>
                      <w:marBottom w:val="0"/>
                      <w:divBdr>
                        <w:top w:val="none" w:sz="0" w:space="0" w:color="auto"/>
                        <w:left w:val="none" w:sz="0" w:space="0" w:color="auto"/>
                        <w:bottom w:val="none" w:sz="0" w:space="0" w:color="auto"/>
                        <w:right w:val="none" w:sz="0" w:space="0" w:color="auto"/>
                      </w:divBdr>
                    </w:div>
                  </w:divsChild>
                </w:div>
                <w:div w:id="2040088196">
                  <w:marLeft w:val="0"/>
                  <w:marRight w:val="0"/>
                  <w:marTop w:val="0"/>
                  <w:marBottom w:val="0"/>
                  <w:divBdr>
                    <w:top w:val="none" w:sz="0" w:space="0" w:color="auto"/>
                    <w:left w:val="none" w:sz="0" w:space="0" w:color="auto"/>
                    <w:bottom w:val="none" w:sz="0" w:space="0" w:color="auto"/>
                    <w:right w:val="none" w:sz="0" w:space="0" w:color="auto"/>
                  </w:divBdr>
                  <w:divsChild>
                    <w:div w:id="2048486357">
                      <w:marLeft w:val="0"/>
                      <w:marRight w:val="0"/>
                      <w:marTop w:val="0"/>
                      <w:marBottom w:val="0"/>
                      <w:divBdr>
                        <w:top w:val="none" w:sz="0" w:space="0" w:color="auto"/>
                        <w:left w:val="none" w:sz="0" w:space="0" w:color="auto"/>
                        <w:bottom w:val="none" w:sz="0" w:space="0" w:color="auto"/>
                        <w:right w:val="none" w:sz="0" w:space="0" w:color="auto"/>
                      </w:divBdr>
                    </w:div>
                  </w:divsChild>
                </w:div>
                <w:div w:id="2117561138">
                  <w:marLeft w:val="0"/>
                  <w:marRight w:val="0"/>
                  <w:marTop w:val="0"/>
                  <w:marBottom w:val="0"/>
                  <w:divBdr>
                    <w:top w:val="none" w:sz="0" w:space="0" w:color="auto"/>
                    <w:left w:val="none" w:sz="0" w:space="0" w:color="auto"/>
                    <w:bottom w:val="none" w:sz="0" w:space="0" w:color="auto"/>
                    <w:right w:val="none" w:sz="0" w:space="0" w:color="auto"/>
                  </w:divBdr>
                  <w:divsChild>
                    <w:div w:id="1817992128">
                      <w:marLeft w:val="0"/>
                      <w:marRight w:val="0"/>
                      <w:marTop w:val="0"/>
                      <w:marBottom w:val="0"/>
                      <w:divBdr>
                        <w:top w:val="none" w:sz="0" w:space="0" w:color="auto"/>
                        <w:left w:val="none" w:sz="0" w:space="0" w:color="auto"/>
                        <w:bottom w:val="none" w:sz="0" w:space="0" w:color="auto"/>
                        <w:right w:val="none" w:sz="0" w:space="0" w:color="auto"/>
                      </w:divBdr>
                    </w:div>
                  </w:divsChild>
                </w:div>
                <w:div w:id="2136095620">
                  <w:marLeft w:val="0"/>
                  <w:marRight w:val="0"/>
                  <w:marTop w:val="0"/>
                  <w:marBottom w:val="0"/>
                  <w:divBdr>
                    <w:top w:val="none" w:sz="0" w:space="0" w:color="auto"/>
                    <w:left w:val="none" w:sz="0" w:space="0" w:color="auto"/>
                    <w:bottom w:val="none" w:sz="0" w:space="0" w:color="auto"/>
                    <w:right w:val="none" w:sz="0" w:space="0" w:color="auto"/>
                  </w:divBdr>
                  <w:divsChild>
                    <w:div w:id="593632455">
                      <w:marLeft w:val="0"/>
                      <w:marRight w:val="0"/>
                      <w:marTop w:val="0"/>
                      <w:marBottom w:val="0"/>
                      <w:divBdr>
                        <w:top w:val="none" w:sz="0" w:space="0" w:color="auto"/>
                        <w:left w:val="none" w:sz="0" w:space="0" w:color="auto"/>
                        <w:bottom w:val="none" w:sz="0" w:space="0" w:color="auto"/>
                        <w:right w:val="none" w:sz="0" w:space="0" w:color="auto"/>
                      </w:divBdr>
                    </w:div>
                    <w:div w:id="1286154197">
                      <w:marLeft w:val="0"/>
                      <w:marRight w:val="0"/>
                      <w:marTop w:val="0"/>
                      <w:marBottom w:val="0"/>
                      <w:divBdr>
                        <w:top w:val="none" w:sz="0" w:space="0" w:color="auto"/>
                        <w:left w:val="none" w:sz="0" w:space="0" w:color="auto"/>
                        <w:bottom w:val="none" w:sz="0" w:space="0" w:color="auto"/>
                        <w:right w:val="none" w:sz="0" w:space="0" w:color="auto"/>
                      </w:divBdr>
                    </w:div>
                    <w:div w:id="1831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7036">
          <w:marLeft w:val="0"/>
          <w:marRight w:val="0"/>
          <w:marTop w:val="0"/>
          <w:marBottom w:val="0"/>
          <w:divBdr>
            <w:top w:val="none" w:sz="0" w:space="0" w:color="auto"/>
            <w:left w:val="none" w:sz="0" w:space="0" w:color="auto"/>
            <w:bottom w:val="none" w:sz="0" w:space="0" w:color="auto"/>
            <w:right w:val="none" w:sz="0" w:space="0" w:color="auto"/>
          </w:divBdr>
        </w:div>
        <w:div w:id="1546480046">
          <w:marLeft w:val="0"/>
          <w:marRight w:val="0"/>
          <w:marTop w:val="0"/>
          <w:marBottom w:val="0"/>
          <w:divBdr>
            <w:top w:val="none" w:sz="0" w:space="0" w:color="auto"/>
            <w:left w:val="none" w:sz="0" w:space="0" w:color="auto"/>
            <w:bottom w:val="none" w:sz="0" w:space="0" w:color="auto"/>
            <w:right w:val="none" w:sz="0" w:space="0" w:color="auto"/>
          </w:divBdr>
        </w:div>
        <w:div w:id="1791706512">
          <w:marLeft w:val="0"/>
          <w:marRight w:val="0"/>
          <w:marTop w:val="0"/>
          <w:marBottom w:val="0"/>
          <w:divBdr>
            <w:top w:val="none" w:sz="0" w:space="0" w:color="auto"/>
            <w:left w:val="none" w:sz="0" w:space="0" w:color="auto"/>
            <w:bottom w:val="none" w:sz="0" w:space="0" w:color="auto"/>
            <w:right w:val="none" w:sz="0" w:space="0" w:color="auto"/>
          </w:divBdr>
        </w:div>
        <w:div w:id="1914462133">
          <w:marLeft w:val="0"/>
          <w:marRight w:val="0"/>
          <w:marTop w:val="0"/>
          <w:marBottom w:val="0"/>
          <w:divBdr>
            <w:top w:val="none" w:sz="0" w:space="0" w:color="auto"/>
            <w:left w:val="none" w:sz="0" w:space="0" w:color="auto"/>
            <w:bottom w:val="none" w:sz="0" w:space="0" w:color="auto"/>
            <w:right w:val="none" w:sz="0" w:space="0" w:color="auto"/>
          </w:divBdr>
        </w:div>
        <w:div w:id="2022125390">
          <w:marLeft w:val="0"/>
          <w:marRight w:val="0"/>
          <w:marTop w:val="0"/>
          <w:marBottom w:val="0"/>
          <w:divBdr>
            <w:top w:val="none" w:sz="0" w:space="0" w:color="auto"/>
            <w:left w:val="none" w:sz="0" w:space="0" w:color="auto"/>
            <w:bottom w:val="none" w:sz="0" w:space="0" w:color="auto"/>
            <w:right w:val="none" w:sz="0" w:space="0" w:color="auto"/>
          </w:divBdr>
        </w:div>
      </w:divsChild>
    </w:div>
    <w:div w:id="1445923367">
      <w:bodyDiv w:val="1"/>
      <w:marLeft w:val="0"/>
      <w:marRight w:val="0"/>
      <w:marTop w:val="0"/>
      <w:marBottom w:val="0"/>
      <w:divBdr>
        <w:top w:val="none" w:sz="0" w:space="0" w:color="auto"/>
        <w:left w:val="none" w:sz="0" w:space="0" w:color="auto"/>
        <w:bottom w:val="none" w:sz="0" w:space="0" w:color="auto"/>
        <w:right w:val="none" w:sz="0" w:space="0" w:color="auto"/>
      </w:divBdr>
    </w:div>
    <w:div w:id="1483426043">
      <w:bodyDiv w:val="1"/>
      <w:marLeft w:val="0"/>
      <w:marRight w:val="0"/>
      <w:marTop w:val="0"/>
      <w:marBottom w:val="0"/>
      <w:divBdr>
        <w:top w:val="none" w:sz="0" w:space="0" w:color="auto"/>
        <w:left w:val="none" w:sz="0" w:space="0" w:color="auto"/>
        <w:bottom w:val="none" w:sz="0" w:space="0" w:color="auto"/>
        <w:right w:val="none" w:sz="0" w:space="0" w:color="auto"/>
      </w:divBdr>
    </w:div>
    <w:div w:id="1546286956">
      <w:bodyDiv w:val="1"/>
      <w:marLeft w:val="0"/>
      <w:marRight w:val="0"/>
      <w:marTop w:val="0"/>
      <w:marBottom w:val="0"/>
      <w:divBdr>
        <w:top w:val="none" w:sz="0" w:space="0" w:color="auto"/>
        <w:left w:val="none" w:sz="0" w:space="0" w:color="auto"/>
        <w:bottom w:val="none" w:sz="0" w:space="0" w:color="auto"/>
        <w:right w:val="none" w:sz="0" w:space="0" w:color="auto"/>
      </w:divBdr>
    </w:div>
    <w:div w:id="1546596384">
      <w:bodyDiv w:val="1"/>
      <w:marLeft w:val="0"/>
      <w:marRight w:val="0"/>
      <w:marTop w:val="0"/>
      <w:marBottom w:val="0"/>
      <w:divBdr>
        <w:top w:val="none" w:sz="0" w:space="0" w:color="auto"/>
        <w:left w:val="none" w:sz="0" w:space="0" w:color="auto"/>
        <w:bottom w:val="none" w:sz="0" w:space="0" w:color="auto"/>
        <w:right w:val="none" w:sz="0" w:space="0" w:color="auto"/>
      </w:divBdr>
    </w:div>
    <w:div w:id="1594317182">
      <w:bodyDiv w:val="1"/>
      <w:marLeft w:val="0"/>
      <w:marRight w:val="0"/>
      <w:marTop w:val="0"/>
      <w:marBottom w:val="0"/>
      <w:divBdr>
        <w:top w:val="none" w:sz="0" w:space="0" w:color="auto"/>
        <w:left w:val="none" w:sz="0" w:space="0" w:color="auto"/>
        <w:bottom w:val="none" w:sz="0" w:space="0" w:color="auto"/>
        <w:right w:val="none" w:sz="0" w:space="0" w:color="auto"/>
      </w:divBdr>
    </w:div>
    <w:div w:id="1637098346">
      <w:bodyDiv w:val="1"/>
      <w:marLeft w:val="0"/>
      <w:marRight w:val="0"/>
      <w:marTop w:val="0"/>
      <w:marBottom w:val="0"/>
      <w:divBdr>
        <w:top w:val="none" w:sz="0" w:space="0" w:color="auto"/>
        <w:left w:val="none" w:sz="0" w:space="0" w:color="auto"/>
        <w:bottom w:val="none" w:sz="0" w:space="0" w:color="auto"/>
        <w:right w:val="none" w:sz="0" w:space="0" w:color="auto"/>
      </w:divBdr>
    </w:div>
    <w:div w:id="1686664789">
      <w:bodyDiv w:val="1"/>
      <w:marLeft w:val="0"/>
      <w:marRight w:val="0"/>
      <w:marTop w:val="0"/>
      <w:marBottom w:val="0"/>
      <w:divBdr>
        <w:top w:val="none" w:sz="0" w:space="0" w:color="auto"/>
        <w:left w:val="none" w:sz="0" w:space="0" w:color="auto"/>
        <w:bottom w:val="none" w:sz="0" w:space="0" w:color="auto"/>
        <w:right w:val="none" w:sz="0" w:space="0" w:color="auto"/>
      </w:divBdr>
    </w:div>
    <w:div w:id="1751462314">
      <w:bodyDiv w:val="1"/>
      <w:marLeft w:val="0"/>
      <w:marRight w:val="0"/>
      <w:marTop w:val="0"/>
      <w:marBottom w:val="0"/>
      <w:divBdr>
        <w:top w:val="none" w:sz="0" w:space="0" w:color="auto"/>
        <w:left w:val="none" w:sz="0" w:space="0" w:color="auto"/>
        <w:bottom w:val="none" w:sz="0" w:space="0" w:color="auto"/>
        <w:right w:val="none" w:sz="0" w:space="0" w:color="auto"/>
      </w:divBdr>
    </w:div>
    <w:div w:id="1755274892">
      <w:bodyDiv w:val="1"/>
      <w:marLeft w:val="0"/>
      <w:marRight w:val="0"/>
      <w:marTop w:val="0"/>
      <w:marBottom w:val="0"/>
      <w:divBdr>
        <w:top w:val="none" w:sz="0" w:space="0" w:color="auto"/>
        <w:left w:val="none" w:sz="0" w:space="0" w:color="auto"/>
        <w:bottom w:val="none" w:sz="0" w:space="0" w:color="auto"/>
        <w:right w:val="none" w:sz="0" w:space="0" w:color="auto"/>
      </w:divBdr>
    </w:div>
    <w:div w:id="1763069177">
      <w:bodyDiv w:val="1"/>
      <w:marLeft w:val="0"/>
      <w:marRight w:val="0"/>
      <w:marTop w:val="0"/>
      <w:marBottom w:val="0"/>
      <w:divBdr>
        <w:top w:val="none" w:sz="0" w:space="0" w:color="auto"/>
        <w:left w:val="none" w:sz="0" w:space="0" w:color="auto"/>
        <w:bottom w:val="none" w:sz="0" w:space="0" w:color="auto"/>
        <w:right w:val="none" w:sz="0" w:space="0" w:color="auto"/>
      </w:divBdr>
    </w:div>
    <w:div w:id="1769883000">
      <w:bodyDiv w:val="1"/>
      <w:marLeft w:val="0"/>
      <w:marRight w:val="0"/>
      <w:marTop w:val="0"/>
      <w:marBottom w:val="0"/>
      <w:divBdr>
        <w:top w:val="none" w:sz="0" w:space="0" w:color="auto"/>
        <w:left w:val="none" w:sz="0" w:space="0" w:color="auto"/>
        <w:bottom w:val="none" w:sz="0" w:space="0" w:color="auto"/>
        <w:right w:val="none" w:sz="0" w:space="0" w:color="auto"/>
      </w:divBdr>
    </w:div>
    <w:div w:id="1776360868">
      <w:bodyDiv w:val="1"/>
      <w:marLeft w:val="0"/>
      <w:marRight w:val="0"/>
      <w:marTop w:val="0"/>
      <w:marBottom w:val="0"/>
      <w:divBdr>
        <w:top w:val="none" w:sz="0" w:space="0" w:color="auto"/>
        <w:left w:val="none" w:sz="0" w:space="0" w:color="auto"/>
        <w:bottom w:val="none" w:sz="0" w:space="0" w:color="auto"/>
        <w:right w:val="none" w:sz="0" w:space="0" w:color="auto"/>
      </w:divBdr>
    </w:div>
    <w:div w:id="1816143439">
      <w:bodyDiv w:val="1"/>
      <w:marLeft w:val="0"/>
      <w:marRight w:val="0"/>
      <w:marTop w:val="0"/>
      <w:marBottom w:val="0"/>
      <w:divBdr>
        <w:top w:val="none" w:sz="0" w:space="0" w:color="auto"/>
        <w:left w:val="none" w:sz="0" w:space="0" w:color="auto"/>
        <w:bottom w:val="none" w:sz="0" w:space="0" w:color="auto"/>
        <w:right w:val="none" w:sz="0" w:space="0" w:color="auto"/>
      </w:divBdr>
    </w:div>
    <w:div w:id="1853105714">
      <w:bodyDiv w:val="1"/>
      <w:marLeft w:val="0"/>
      <w:marRight w:val="0"/>
      <w:marTop w:val="0"/>
      <w:marBottom w:val="0"/>
      <w:divBdr>
        <w:top w:val="none" w:sz="0" w:space="0" w:color="auto"/>
        <w:left w:val="none" w:sz="0" w:space="0" w:color="auto"/>
        <w:bottom w:val="none" w:sz="0" w:space="0" w:color="auto"/>
        <w:right w:val="none" w:sz="0" w:space="0" w:color="auto"/>
      </w:divBdr>
    </w:div>
    <w:div w:id="1870491234">
      <w:bodyDiv w:val="1"/>
      <w:marLeft w:val="0"/>
      <w:marRight w:val="0"/>
      <w:marTop w:val="0"/>
      <w:marBottom w:val="0"/>
      <w:divBdr>
        <w:top w:val="none" w:sz="0" w:space="0" w:color="auto"/>
        <w:left w:val="none" w:sz="0" w:space="0" w:color="auto"/>
        <w:bottom w:val="none" w:sz="0" w:space="0" w:color="auto"/>
        <w:right w:val="none" w:sz="0" w:space="0" w:color="auto"/>
      </w:divBdr>
    </w:div>
    <w:div w:id="1892811032">
      <w:bodyDiv w:val="1"/>
      <w:marLeft w:val="0"/>
      <w:marRight w:val="0"/>
      <w:marTop w:val="0"/>
      <w:marBottom w:val="0"/>
      <w:divBdr>
        <w:top w:val="none" w:sz="0" w:space="0" w:color="auto"/>
        <w:left w:val="none" w:sz="0" w:space="0" w:color="auto"/>
        <w:bottom w:val="none" w:sz="0" w:space="0" w:color="auto"/>
        <w:right w:val="none" w:sz="0" w:space="0" w:color="auto"/>
      </w:divBdr>
    </w:div>
    <w:div w:id="1947808428">
      <w:bodyDiv w:val="1"/>
      <w:marLeft w:val="0"/>
      <w:marRight w:val="0"/>
      <w:marTop w:val="0"/>
      <w:marBottom w:val="0"/>
      <w:divBdr>
        <w:top w:val="none" w:sz="0" w:space="0" w:color="auto"/>
        <w:left w:val="none" w:sz="0" w:space="0" w:color="auto"/>
        <w:bottom w:val="none" w:sz="0" w:space="0" w:color="auto"/>
        <w:right w:val="none" w:sz="0" w:space="0" w:color="auto"/>
      </w:divBdr>
    </w:div>
    <w:div w:id="1956056598">
      <w:bodyDiv w:val="1"/>
      <w:marLeft w:val="0"/>
      <w:marRight w:val="0"/>
      <w:marTop w:val="0"/>
      <w:marBottom w:val="0"/>
      <w:divBdr>
        <w:top w:val="none" w:sz="0" w:space="0" w:color="auto"/>
        <w:left w:val="none" w:sz="0" w:space="0" w:color="auto"/>
        <w:bottom w:val="none" w:sz="0" w:space="0" w:color="auto"/>
        <w:right w:val="none" w:sz="0" w:space="0" w:color="auto"/>
      </w:divBdr>
    </w:div>
    <w:div w:id="1983998427">
      <w:bodyDiv w:val="1"/>
      <w:marLeft w:val="0"/>
      <w:marRight w:val="0"/>
      <w:marTop w:val="0"/>
      <w:marBottom w:val="0"/>
      <w:divBdr>
        <w:top w:val="none" w:sz="0" w:space="0" w:color="auto"/>
        <w:left w:val="none" w:sz="0" w:space="0" w:color="auto"/>
        <w:bottom w:val="none" w:sz="0" w:space="0" w:color="auto"/>
        <w:right w:val="none" w:sz="0" w:space="0" w:color="auto"/>
      </w:divBdr>
    </w:div>
    <w:div w:id="1996108187">
      <w:bodyDiv w:val="1"/>
      <w:marLeft w:val="0"/>
      <w:marRight w:val="0"/>
      <w:marTop w:val="0"/>
      <w:marBottom w:val="0"/>
      <w:divBdr>
        <w:top w:val="none" w:sz="0" w:space="0" w:color="auto"/>
        <w:left w:val="none" w:sz="0" w:space="0" w:color="auto"/>
        <w:bottom w:val="none" w:sz="0" w:space="0" w:color="auto"/>
        <w:right w:val="none" w:sz="0" w:space="0" w:color="auto"/>
      </w:divBdr>
    </w:div>
    <w:div w:id="2001348718">
      <w:bodyDiv w:val="1"/>
      <w:marLeft w:val="0"/>
      <w:marRight w:val="0"/>
      <w:marTop w:val="0"/>
      <w:marBottom w:val="0"/>
      <w:divBdr>
        <w:top w:val="none" w:sz="0" w:space="0" w:color="auto"/>
        <w:left w:val="none" w:sz="0" w:space="0" w:color="auto"/>
        <w:bottom w:val="none" w:sz="0" w:space="0" w:color="auto"/>
        <w:right w:val="none" w:sz="0" w:space="0" w:color="auto"/>
      </w:divBdr>
    </w:div>
    <w:div w:id="2051491355">
      <w:bodyDiv w:val="1"/>
      <w:marLeft w:val="0"/>
      <w:marRight w:val="0"/>
      <w:marTop w:val="0"/>
      <w:marBottom w:val="0"/>
      <w:divBdr>
        <w:top w:val="none" w:sz="0" w:space="0" w:color="auto"/>
        <w:left w:val="none" w:sz="0" w:space="0" w:color="auto"/>
        <w:bottom w:val="none" w:sz="0" w:space="0" w:color="auto"/>
        <w:right w:val="none" w:sz="0" w:space="0" w:color="auto"/>
      </w:divBdr>
    </w:div>
    <w:div w:id="2073304612">
      <w:bodyDiv w:val="1"/>
      <w:marLeft w:val="0"/>
      <w:marRight w:val="0"/>
      <w:marTop w:val="0"/>
      <w:marBottom w:val="0"/>
      <w:divBdr>
        <w:top w:val="none" w:sz="0" w:space="0" w:color="auto"/>
        <w:left w:val="none" w:sz="0" w:space="0" w:color="auto"/>
        <w:bottom w:val="none" w:sz="0" w:space="0" w:color="auto"/>
        <w:right w:val="none" w:sz="0" w:space="0" w:color="auto"/>
      </w:divBdr>
    </w:div>
    <w:div w:id="2075741040">
      <w:bodyDiv w:val="1"/>
      <w:marLeft w:val="0"/>
      <w:marRight w:val="0"/>
      <w:marTop w:val="0"/>
      <w:marBottom w:val="0"/>
      <w:divBdr>
        <w:top w:val="none" w:sz="0" w:space="0" w:color="auto"/>
        <w:left w:val="none" w:sz="0" w:space="0" w:color="auto"/>
        <w:bottom w:val="none" w:sz="0" w:space="0" w:color="auto"/>
        <w:right w:val="none" w:sz="0" w:space="0" w:color="auto"/>
      </w:divBdr>
    </w:div>
    <w:div w:id="21234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5" Type="http://schemas.openxmlformats.org/officeDocument/2006/relationships/numbering" Target="numbering.xml"/><Relationship Id="rId61" Type="http://schemas.openxmlformats.org/officeDocument/2006/relationships/image" Target="media/image50.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hyperlink" Target="https://www.ramsar.org/fr/search?f%5B0%5D=document_type%3A2904&amp;f%5B1%5D=search_date%3A2025&amp;f%5B2%5D=search_item_type%3Adocument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fr/document/cop15-doc82-rapport-de-la-secretaire-generale-sur-lapplication-de-la-convention-travaux-du" TargetMode="External"/><Relationship Id="rId3" Type="http://schemas.openxmlformats.org/officeDocument/2006/relationships/hyperlink" Target="https://www.ramsar.org/fr/document/cop15-doc9-rapport-du-secretariat-conformement-larticle-82-sur-la-liste-des-zones-humides" TargetMode="External"/><Relationship Id="rId7" Type="http://schemas.openxmlformats.org/officeDocument/2006/relationships/hyperlink" Target="https://www.ramsar.org/fr/document/orientations-sur-lintegration-des-questions-de-genre-dans-le-contexte-de-la-convention-de" TargetMode="External"/><Relationship Id="rId2" Type="http://schemas.openxmlformats.org/officeDocument/2006/relationships/hyperlink" Target="https://www.ramsar.org/fr/document/cop15-doc9-rapport-du-secretariat-conformement-larticle-82-sur-la-liste-des-zones-humides" TargetMode="External"/><Relationship Id="rId1" Type="http://schemas.openxmlformats.org/officeDocument/2006/relationships/hyperlink" Target="https://www.ramsar.org/fr/document/le-4e-plan-strategique-2016-2024-mise-jour-2022" TargetMode="External"/><Relationship Id="rId6" Type="http://schemas.openxmlformats.org/officeDocument/2006/relationships/hyperlink" Target="https://www.ramsar.org/fr/document/cop15-doc12-rapport-du-secretariat-sur-les-initiatives-regionales-ramsar" TargetMode="External"/><Relationship Id="rId5" Type="http://schemas.openxmlformats.org/officeDocument/2006/relationships/hyperlink" Target="https://www.cbd.int/doc/c/8097/1f19/e37995d6157e799d83afa77a/cop-16-inf-13-en.pdf" TargetMode="External"/><Relationship Id="rId4" Type="http://schemas.openxmlformats.org/officeDocument/2006/relationships/hyperlink" Target="https://www.ramsar.org/fr/document/cop15-doc15-rapport-du-secretariat-sur-les-possibilites-de-renforcer-encor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3f93dc-3645-43c8-8c1d-9c1b66155e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5713275E3C649963C7F1EE6DB2755" ma:contentTypeVersion="16" ma:contentTypeDescription="Create a new document." ma:contentTypeScope="" ma:versionID="6bd849d292ddf33d933c4c3f7789fba8">
  <xsd:schema xmlns:xsd="http://www.w3.org/2001/XMLSchema" xmlns:xs="http://www.w3.org/2001/XMLSchema" xmlns:p="http://schemas.microsoft.com/office/2006/metadata/properties" xmlns:ns3="9b3f93dc-3645-43c8-8c1d-9c1b66155e85" xmlns:ns4="795d2b27-b8f4-4778-b9b4-dbae60ad4ef2" targetNamespace="http://schemas.microsoft.com/office/2006/metadata/properties" ma:root="true" ma:fieldsID="8dcaf21a3d19d8b67455258c0845fd64" ns3:_="" ns4:_="">
    <xsd:import namespace="9b3f93dc-3645-43c8-8c1d-9c1b66155e85"/>
    <xsd:import namespace="795d2b27-b8f4-4778-b9b4-dbae60ad4e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93dc-3645-43c8-8c1d-9c1b66155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d2b27-b8f4-4778-b9b4-dbae60ad4e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0180-CD4E-478B-B45C-16FE3DE5384A}">
  <ds:schemaRefs>
    <ds:schemaRef ds:uri="http://schemas.microsoft.com/office/2006/metadata/properties"/>
    <ds:schemaRef ds:uri="http://schemas.microsoft.com/office/infopath/2007/PartnerControls"/>
    <ds:schemaRef ds:uri="9b3f93dc-3645-43c8-8c1d-9c1b66155e85"/>
  </ds:schemaRefs>
</ds:datastoreItem>
</file>

<file path=customXml/itemProps2.xml><?xml version="1.0" encoding="utf-8"?>
<ds:datastoreItem xmlns:ds="http://schemas.openxmlformats.org/officeDocument/2006/customXml" ds:itemID="{18119A36-6648-4CF7-9E2C-7DF992D1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93dc-3645-43c8-8c1d-9c1b66155e85"/>
    <ds:schemaRef ds:uri="795d2b27-b8f4-4778-b9b4-dbae60ad4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F1F70-DC72-43A6-86F2-F4FF9A41CE19}">
  <ds:schemaRefs>
    <ds:schemaRef ds:uri="http://schemas.microsoft.com/sharepoint/v3/contenttype/forms"/>
  </ds:schemaRefs>
</ds:datastoreItem>
</file>

<file path=customXml/itemProps4.xml><?xml version="1.0" encoding="utf-8"?>
<ds:datastoreItem xmlns:ds="http://schemas.openxmlformats.org/officeDocument/2006/customXml" ds:itemID="{A4E6F906-95C1-4D01-B42D-56F14C6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Pages>
  <Words>16625</Words>
  <Characters>94765</Characters>
  <Application>Microsoft Office Word</Application>
  <DocSecurity>0</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111168</CharactersWithSpaces>
  <SharedDoc>false</SharedDoc>
  <HLinks>
    <vt:vector size="144" baseType="variant">
      <vt:variant>
        <vt:i4>8060981</vt:i4>
      </vt:variant>
      <vt:variant>
        <vt:i4>0</vt:i4>
      </vt:variant>
      <vt:variant>
        <vt:i4>0</vt:i4>
      </vt:variant>
      <vt:variant>
        <vt:i4>5</vt:i4>
      </vt:variant>
      <vt:variant>
        <vt:lpwstr>https://www.ramsar.org/search?f%5B0%5D=document_type%3A2904&amp;f%5B1%5D=search_date%3A2025&amp;f%5B2%5D=search_item_type%3Adocuments</vt:lpwstr>
      </vt:variant>
      <vt:variant>
        <vt:lpwstr/>
      </vt:variant>
      <vt:variant>
        <vt:i4>7667771</vt:i4>
      </vt:variant>
      <vt:variant>
        <vt:i4>21</vt:i4>
      </vt:variant>
      <vt:variant>
        <vt:i4>0</vt:i4>
      </vt:variant>
      <vt:variant>
        <vt:i4>5</vt:i4>
      </vt:variant>
      <vt:variant>
        <vt:lpwstr>https://www.ramsar.org/document/cop15-doc82-report-secretary-general-implementation-convention-work-secretariat</vt:lpwstr>
      </vt:variant>
      <vt:variant>
        <vt:lpwstr/>
      </vt:variant>
      <vt:variant>
        <vt:i4>3539042</vt:i4>
      </vt:variant>
      <vt:variant>
        <vt:i4>18</vt:i4>
      </vt:variant>
      <vt:variant>
        <vt:i4>0</vt:i4>
      </vt:variant>
      <vt:variant>
        <vt:i4>5</vt:i4>
      </vt:variant>
      <vt:variant>
        <vt:lpwstr>https://www.ramsar.org/document/guidance-mainstreaming-gender-under-ramsar-convention-wetlands</vt:lpwstr>
      </vt:variant>
      <vt:variant>
        <vt:lpwstr/>
      </vt:variant>
      <vt:variant>
        <vt:i4>3735668</vt:i4>
      </vt:variant>
      <vt:variant>
        <vt:i4>15</vt:i4>
      </vt:variant>
      <vt:variant>
        <vt:i4>0</vt:i4>
      </vt:variant>
      <vt:variant>
        <vt:i4>5</vt:i4>
      </vt:variant>
      <vt:variant>
        <vt:lpwstr>https://www.ramsar.org/document/cop15-doc12-report-secretariat-ramsar-regional-initiatives</vt:lpwstr>
      </vt:variant>
      <vt:variant>
        <vt:lpwstr/>
      </vt:variant>
      <vt:variant>
        <vt:i4>5570577</vt:i4>
      </vt:variant>
      <vt:variant>
        <vt:i4>12</vt:i4>
      </vt:variant>
      <vt:variant>
        <vt:i4>0</vt:i4>
      </vt:variant>
      <vt:variant>
        <vt:i4>5</vt:i4>
      </vt:variant>
      <vt:variant>
        <vt:lpwstr>https://www.cbd.int/doc/c/8097/1f19/e37995d6157e799d83afa77a/cop-16-inf-13-en.pdf</vt:lpwstr>
      </vt:variant>
      <vt:variant>
        <vt:lpwstr/>
      </vt:variant>
      <vt:variant>
        <vt:i4>1507412</vt:i4>
      </vt:variant>
      <vt:variant>
        <vt:i4>9</vt:i4>
      </vt:variant>
      <vt:variant>
        <vt:i4>0</vt:i4>
      </vt:variant>
      <vt:variant>
        <vt:i4>5</vt:i4>
      </vt:variant>
      <vt:variant>
        <vt:lpwstr>https://www.ramsar.org/document/cop15-doc15-report-secretariat-opportunities-further-strengthen-conventions-contribution</vt:lpwstr>
      </vt:variant>
      <vt:variant>
        <vt:lpwstr/>
      </vt:variant>
      <vt:variant>
        <vt:i4>4325451</vt:i4>
      </vt:variant>
      <vt:variant>
        <vt:i4>6</vt:i4>
      </vt:variant>
      <vt:variant>
        <vt:i4>0</vt:i4>
      </vt:variant>
      <vt:variant>
        <vt:i4>5</vt:i4>
      </vt:variant>
      <vt:variant>
        <vt:lpwstr>https://www.ramsar.org/document/cop15-doc9-report-secretariat-pursuant-article-82-list-wetlands-international-importance</vt:lpwstr>
      </vt:variant>
      <vt:variant>
        <vt:lpwstr/>
      </vt:variant>
      <vt:variant>
        <vt:i4>4325451</vt:i4>
      </vt:variant>
      <vt:variant>
        <vt:i4>3</vt:i4>
      </vt:variant>
      <vt:variant>
        <vt:i4>0</vt:i4>
      </vt:variant>
      <vt:variant>
        <vt:i4>5</vt:i4>
      </vt:variant>
      <vt:variant>
        <vt:lpwstr>https://www.ramsar.org/document/cop15-doc9-report-secretariat-pursuant-article-82-list-wetlands-international-importance</vt:lpwstr>
      </vt:variant>
      <vt:variant>
        <vt:lpwstr/>
      </vt:variant>
      <vt:variant>
        <vt:i4>1507355</vt:i4>
      </vt:variant>
      <vt:variant>
        <vt:i4>0</vt:i4>
      </vt:variant>
      <vt:variant>
        <vt:i4>0</vt:i4>
      </vt:variant>
      <vt:variant>
        <vt:i4>5</vt:i4>
      </vt:variant>
      <vt:variant>
        <vt:lpwstr>https://www.ramsar.org/document/4th-strategic-plan-2016-2024-2022-update</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3080211</vt:i4>
      </vt:variant>
      <vt:variant>
        <vt:i4>39</vt:i4>
      </vt:variant>
      <vt:variant>
        <vt:i4>0</vt:i4>
      </vt:variant>
      <vt:variant>
        <vt:i4>5</vt:i4>
      </vt:variant>
      <vt:variant>
        <vt:lpwstr>mailto:JenningsE@ramsar.org</vt:lpwstr>
      </vt:variant>
      <vt:variant>
        <vt:lpwstr/>
      </vt:variant>
      <vt:variant>
        <vt:i4>4718708</vt:i4>
      </vt:variant>
      <vt:variant>
        <vt:i4>36</vt:i4>
      </vt:variant>
      <vt:variant>
        <vt:i4>0</vt:i4>
      </vt:variant>
      <vt:variant>
        <vt:i4>5</vt:i4>
      </vt:variant>
      <vt:variant>
        <vt:lpwstr>mailto:NjisuhZ@ramsar.org</vt:lpwstr>
      </vt:variant>
      <vt:variant>
        <vt:lpwstr/>
      </vt:variant>
      <vt:variant>
        <vt:i4>4718708</vt:i4>
      </vt:variant>
      <vt:variant>
        <vt:i4>33</vt:i4>
      </vt:variant>
      <vt:variant>
        <vt:i4>0</vt:i4>
      </vt:variant>
      <vt:variant>
        <vt:i4>5</vt:i4>
      </vt:variant>
      <vt:variant>
        <vt:lpwstr>mailto:NjisuhZ@ramsar.org</vt:lpwstr>
      </vt:variant>
      <vt:variant>
        <vt:lpwstr/>
      </vt:variant>
      <vt:variant>
        <vt:i4>3276830</vt:i4>
      </vt:variant>
      <vt:variant>
        <vt:i4>30</vt:i4>
      </vt:variant>
      <vt:variant>
        <vt:i4>0</vt:i4>
      </vt:variant>
      <vt:variant>
        <vt:i4>5</vt:i4>
      </vt:variant>
      <vt:variant>
        <vt:lpwstr>mailto:AggestamF@ramsar.org</vt:lpwstr>
      </vt:variant>
      <vt:variant>
        <vt:lpwstr/>
      </vt:variant>
      <vt:variant>
        <vt:i4>3407886</vt:i4>
      </vt:variant>
      <vt:variant>
        <vt:i4>27</vt:i4>
      </vt:variant>
      <vt:variant>
        <vt:i4>0</vt:i4>
      </vt:variant>
      <vt:variant>
        <vt:i4>5</vt:i4>
      </vt:variant>
      <vt:variant>
        <vt:lpwstr>mailto:KernM@ramsar.org</vt:lpwstr>
      </vt:variant>
      <vt:variant>
        <vt:lpwstr/>
      </vt:variant>
      <vt:variant>
        <vt:i4>3276830</vt:i4>
      </vt:variant>
      <vt:variant>
        <vt:i4>24</vt:i4>
      </vt:variant>
      <vt:variant>
        <vt:i4>0</vt:i4>
      </vt:variant>
      <vt:variant>
        <vt:i4>5</vt:i4>
      </vt:variant>
      <vt:variant>
        <vt:lpwstr>mailto:AggestamF@ramsar.org</vt:lpwstr>
      </vt:variant>
      <vt:variant>
        <vt:lpwstr/>
      </vt:variant>
      <vt:variant>
        <vt:i4>3407886</vt:i4>
      </vt:variant>
      <vt:variant>
        <vt:i4>21</vt:i4>
      </vt:variant>
      <vt:variant>
        <vt:i4>0</vt:i4>
      </vt:variant>
      <vt:variant>
        <vt:i4>5</vt:i4>
      </vt:variant>
      <vt:variant>
        <vt:lpwstr>mailto:KernM@ramsar.org</vt:lpwstr>
      </vt:variant>
      <vt:variant>
        <vt:lpwstr/>
      </vt:variant>
      <vt:variant>
        <vt:i4>3276830</vt:i4>
      </vt:variant>
      <vt:variant>
        <vt:i4>18</vt:i4>
      </vt:variant>
      <vt:variant>
        <vt:i4>0</vt:i4>
      </vt:variant>
      <vt:variant>
        <vt:i4>5</vt:i4>
      </vt:variant>
      <vt:variant>
        <vt:lpwstr>mailto:AggestamF@ramsar.org</vt:lpwstr>
      </vt:variant>
      <vt:variant>
        <vt:lpwstr/>
      </vt:variant>
      <vt:variant>
        <vt:i4>6291468</vt:i4>
      </vt:variant>
      <vt:variant>
        <vt:i4>15</vt:i4>
      </vt:variant>
      <vt:variant>
        <vt:i4>0</vt:i4>
      </vt:variant>
      <vt:variant>
        <vt:i4>5</vt:i4>
      </vt:variant>
      <vt:variant>
        <vt:lpwstr>https://rsis.ramsar.org/?f%5B0%5D=wetlandTypes_l0_en_ss%3AInland+wetlands</vt:lpwstr>
      </vt:variant>
      <vt:variant>
        <vt:lpwstr/>
      </vt:variant>
      <vt:variant>
        <vt:i4>4718708</vt:i4>
      </vt:variant>
      <vt:variant>
        <vt:i4>12</vt:i4>
      </vt:variant>
      <vt:variant>
        <vt:i4>0</vt:i4>
      </vt:variant>
      <vt:variant>
        <vt:i4>5</vt:i4>
      </vt:variant>
      <vt:variant>
        <vt:lpwstr>mailto:NjisuhZ@ramsar.org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4718708</vt:i4>
      </vt:variant>
      <vt:variant>
        <vt:i4>0</vt:i4>
      </vt:variant>
      <vt:variant>
        <vt:i4>0</vt:i4>
      </vt:variant>
      <vt:variant>
        <vt:i4>5</vt:i4>
      </vt:variant>
      <vt:variant>
        <vt:lpwstr>mailto:NjisuhZ@ramsar.org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7</cp:revision>
  <cp:lastPrinted>2025-05-01T13:53:00Z</cp:lastPrinted>
  <dcterms:created xsi:type="dcterms:W3CDTF">2025-05-12T07:57:00Z</dcterms:created>
  <dcterms:modified xsi:type="dcterms:W3CDTF">2025-05-12T09:32:00Z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0x010100E755713275E3C649963C7F1EE6DB2755</vt:lpwstr>
  </property>
</Properties>
</file>