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EC46" w14:textId="77777777" w:rsidR="000942C1" w:rsidRPr="000942C1" w:rsidRDefault="000942C1" w:rsidP="000942C1">
      <w:pPr>
        <w:spacing w:after="0" w:line="240" w:lineRule="auto"/>
        <w:jc w:val="center"/>
        <w:outlineLvl w:val="0"/>
        <w:rPr>
          <w:rFonts w:ascii="Calibri" w:eastAsia="Times New Roman" w:hAnsi="Calibri" w:cs="Calibri"/>
          <w:b/>
          <w:bCs/>
          <w:sz w:val="24"/>
          <w:szCs w:val="24"/>
          <w:lang w:val="es-ES_tradnl"/>
        </w:rPr>
      </w:pPr>
      <w:r w:rsidRPr="000942C1">
        <w:rPr>
          <w:rFonts w:ascii="Arial" w:eastAsia="Times New Roman" w:hAnsi="Arial" w:cs="Aptos Display"/>
          <w:b/>
          <w:bCs/>
          <w:noProof/>
          <w:sz w:val="20"/>
          <w:lang w:val="es-ES_tradnl"/>
        </w:rPr>
        <w:drawing>
          <wp:anchor distT="0" distB="0" distL="114300" distR="114300" simplePos="0" relativeHeight="251659264" behindDoc="0" locked="0" layoutInCell="1" allowOverlap="1" wp14:anchorId="1C3FAA52" wp14:editId="5175BA52">
            <wp:simplePos x="0" y="0"/>
            <wp:positionH relativeFrom="margin">
              <wp:posOffset>0</wp:posOffset>
            </wp:positionH>
            <wp:positionV relativeFrom="margin">
              <wp:posOffset>-244313</wp:posOffset>
            </wp:positionV>
            <wp:extent cx="1733550" cy="1708150"/>
            <wp:effectExtent l="0" t="0" r="0" b="6350"/>
            <wp:wrapSquare wrapText="bothSides"/>
            <wp:docPr id="1652772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7"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E6E7E3" w14:textId="77777777" w:rsidR="000942C1" w:rsidRPr="000942C1" w:rsidRDefault="000942C1" w:rsidP="000942C1">
      <w:pPr>
        <w:spacing w:after="0" w:line="240" w:lineRule="auto"/>
        <w:jc w:val="center"/>
        <w:outlineLvl w:val="0"/>
        <w:rPr>
          <w:rFonts w:ascii="Calibri" w:eastAsia="Times New Roman" w:hAnsi="Calibri" w:cs="Calibri Light"/>
          <w:b/>
          <w:bCs/>
          <w:sz w:val="24"/>
          <w:szCs w:val="24"/>
          <w:lang w:val="es-ES_tradnl"/>
        </w:rPr>
      </w:pPr>
      <w:r w:rsidRPr="000942C1">
        <w:rPr>
          <w:rFonts w:ascii="Calibri" w:eastAsia="Times New Roman" w:hAnsi="Calibri" w:cs="Calibri"/>
          <w:b/>
          <w:bCs/>
          <w:sz w:val="24"/>
          <w:szCs w:val="24"/>
          <w:lang w:val="es-ES_tradnl"/>
        </w:rPr>
        <w:t>15ª reunión de la Conferencia de las Partes Contratantes en la Convención sobre los Humedales</w:t>
      </w:r>
    </w:p>
    <w:p w14:paraId="565ABA9E" w14:textId="77777777" w:rsidR="000942C1" w:rsidRPr="000942C1" w:rsidRDefault="000942C1" w:rsidP="000942C1">
      <w:pPr>
        <w:spacing w:after="0" w:line="240" w:lineRule="auto"/>
        <w:jc w:val="center"/>
        <w:outlineLvl w:val="0"/>
        <w:rPr>
          <w:rFonts w:ascii="Calibri" w:eastAsia="Times New Roman" w:hAnsi="Calibri" w:cs="Calibri"/>
          <w:b/>
          <w:bCs/>
          <w:sz w:val="24"/>
          <w:szCs w:val="24"/>
          <w:lang w:val="es-ES_tradnl"/>
        </w:rPr>
      </w:pPr>
    </w:p>
    <w:p w14:paraId="71B6205A" w14:textId="77777777" w:rsidR="000942C1" w:rsidRPr="000942C1" w:rsidRDefault="000942C1" w:rsidP="000942C1">
      <w:pPr>
        <w:spacing w:after="0" w:line="240" w:lineRule="auto"/>
        <w:jc w:val="center"/>
        <w:outlineLvl w:val="0"/>
        <w:rPr>
          <w:rFonts w:ascii="Calibri" w:eastAsia="Times New Roman" w:hAnsi="Calibri" w:cs="Calibri"/>
          <w:b/>
          <w:bCs/>
          <w:sz w:val="24"/>
          <w:szCs w:val="24"/>
          <w:lang w:val="es-ES_tradnl"/>
        </w:rPr>
      </w:pPr>
      <w:r w:rsidRPr="000942C1">
        <w:rPr>
          <w:rFonts w:ascii="Calibri" w:eastAsia="Times New Roman" w:hAnsi="Calibri" w:cs="Calibri"/>
          <w:b/>
          <w:bCs/>
          <w:sz w:val="24"/>
          <w:szCs w:val="24"/>
          <w:lang w:val="es-ES_tradnl"/>
        </w:rPr>
        <w:t xml:space="preserve">“Proteger los humedales para nuestro futuro común” </w:t>
      </w:r>
    </w:p>
    <w:p w14:paraId="73041E8B" w14:textId="77777777" w:rsidR="000942C1" w:rsidRPr="000942C1" w:rsidRDefault="000942C1" w:rsidP="000942C1">
      <w:pPr>
        <w:spacing w:after="0" w:line="240" w:lineRule="auto"/>
        <w:jc w:val="center"/>
        <w:outlineLvl w:val="0"/>
        <w:rPr>
          <w:rFonts w:ascii="Calibri" w:eastAsia="Times New Roman" w:hAnsi="Calibri" w:cs="Calibri"/>
          <w:b/>
          <w:bCs/>
          <w:sz w:val="24"/>
          <w:szCs w:val="24"/>
          <w:lang w:val="es-ES_tradnl"/>
        </w:rPr>
      </w:pPr>
      <w:r w:rsidRPr="000942C1">
        <w:rPr>
          <w:rFonts w:ascii="Calibri" w:eastAsia="Times New Roman" w:hAnsi="Calibri" w:cs="Calibri"/>
          <w:b/>
          <w:bCs/>
          <w:sz w:val="24"/>
          <w:szCs w:val="24"/>
          <w:lang w:val="es-ES_tradnl"/>
        </w:rPr>
        <w:t>Victoria Falls, Zimbabwe, 23 a 31 de julio de 2025</w:t>
      </w:r>
    </w:p>
    <w:p w14:paraId="0014B276" w14:textId="77777777" w:rsidR="000942C1" w:rsidRPr="000942C1" w:rsidRDefault="000942C1" w:rsidP="000942C1">
      <w:pPr>
        <w:spacing w:after="0" w:line="240" w:lineRule="auto"/>
        <w:jc w:val="center"/>
        <w:outlineLvl w:val="0"/>
        <w:rPr>
          <w:rFonts w:ascii="Calibri" w:eastAsia="Times New Roman" w:hAnsi="Calibri" w:cs="Calibri Light"/>
          <w:b/>
          <w:bCs/>
          <w:sz w:val="24"/>
          <w:szCs w:val="24"/>
          <w:lang w:val="es-ES_tradnl"/>
        </w:rPr>
      </w:pPr>
    </w:p>
    <w:p w14:paraId="350F0500" w14:textId="77777777" w:rsidR="000942C1" w:rsidRPr="000942C1" w:rsidRDefault="000942C1" w:rsidP="000942C1">
      <w:pPr>
        <w:spacing w:after="0" w:line="240" w:lineRule="auto"/>
        <w:jc w:val="center"/>
        <w:outlineLvl w:val="0"/>
        <w:rPr>
          <w:rFonts w:ascii="Calibri" w:eastAsia="Times New Roman" w:hAnsi="Calibri" w:cs="Calibri Light"/>
          <w:b/>
          <w:bCs/>
          <w:sz w:val="24"/>
          <w:szCs w:val="24"/>
          <w:lang w:val="es-ES_tradnl"/>
        </w:rPr>
      </w:pPr>
    </w:p>
    <w:p w14:paraId="720338B5" w14:textId="77777777" w:rsidR="009936E3" w:rsidRPr="000942C1" w:rsidRDefault="009936E3" w:rsidP="009936E3">
      <w:pPr>
        <w:spacing w:after="0" w:line="240" w:lineRule="auto"/>
        <w:jc w:val="center"/>
        <w:outlineLvl w:val="0"/>
        <w:rPr>
          <w:rFonts w:eastAsia="Times New Roman" w:cs="Calibri Light"/>
          <w:b/>
          <w:bCs/>
          <w:sz w:val="24"/>
          <w:szCs w:val="24"/>
          <w:lang w:val="es-ES_tradnl"/>
        </w:rPr>
      </w:pPr>
    </w:p>
    <w:p w14:paraId="1863792B" w14:textId="3F126BBC" w:rsidR="009936E3" w:rsidRPr="00321BB8" w:rsidRDefault="009936E3" w:rsidP="009936E3">
      <w:pPr>
        <w:spacing w:after="0" w:line="240" w:lineRule="auto"/>
        <w:jc w:val="right"/>
        <w:rPr>
          <w:rFonts w:eastAsia="Calibri" w:cs="Calibri"/>
        </w:rPr>
      </w:pPr>
      <w:r>
        <w:rPr>
          <w:b/>
          <w:sz w:val="28"/>
          <w:szCs w:val="28"/>
        </w:rPr>
        <w:t>COP15 Doc.8.2</w:t>
      </w:r>
    </w:p>
    <w:p w14:paraId="3B2C1D05" w14:textId="77777777" w:rsidR="009936E3" w:rsidRDefault="009936E3" w:rsidP="009936E3">
      <w:pPr>
        <w:spacing w:after="0" w:line="240" w:lineRule="auto"/>
        <w:ind w:right="16"/>
        <w:rPr>
          <w:rFonts w:eastAsia="Times New Roman" w:cstheme="minorHAnsi"/>
          <w:iCs/>
          <w:sz w:val="28"/>
          <w:szCs w:val="28"/>
        </w:rPr>
      </w:pPr>
    </w:p>
    <w:p w14:paraId="124BA9A0" w14:textId="77777777" w:rsidR="009936E3" w:rsidRPr="007A6684" w:rsidRDefault="009936E3" w:rsidP="009936E3">
      <w:pPr>
        <w:spacing w:after="0" w:line="240" w:lineRule="auto"/>
        <w:ind w:right="16"/>
        <w:rPr>
          <w:rFonts w:eastAsia="Times New Roman" w:cstheme="minorHAnsi"/>
          <w:iCs/>
          <w:sz w:val="28"/>
          <w:szCs w:val="28"/>
        </w:rPr>
      </w:pPr>
    </w:p>
    <w:p w14:paraId="1A9871A3" w14:textId="43AEC21B" w:rsidR="001724A7" w:rsidRDefault="001724A7" w:rsidP="001724A7">
      <w:pPr>
        <w:spacing w:after="0" w:line="240" w:lineRule="auto"/>
        <w:jc w:val="center"/>
        <w:rPr>
          <w:rFonts w:cstheme="minorHAnsi"/>
          <w:b/>
          <w:sz w:val="28"/>
          <w:szCs w:val="28"/>
        </w:rPr>
      </w:pPr>
      <w:r>
        <w:rPr>
          <w:b/>
          <w:sz w:val="28"/>
          <w:szCs w:val="28"/>
        </w:rPr>
        <w:t xml:space="preserve">Informe de la Secretaria General </w:t>
      </w:r>
      <w:r>
        <w:rPr>
          <w:b/>
          <w:sz w:val="28"/>
          <w:szCs w:val="28"/>
        </w:rPr>
        <w:br/>
        <w:t>sobre la aplicación de la Convención:</w:t>
      </w:r>
    </w:p>
    <w:p w14:paraId="3324E332" w14:textId="709D4DC6" w:rsidR="009455A9" w:rsidRPr="00FC4BB8" w:rsidRDefault="009455A9" w:rsidP="001724A7">
      <w:pPr>
        <w:spacing w:after="0" w:line="240" w:lineRule="auto"/>
        <w:jc w:val="center"/>
        <w:rPr>
          <w:rFonts w:cstheme="minorHAnsi"/>
          <w:b/>
          <w:sz w:val="28"/>
          <w:szCs w:val="28"/>
        </w:rPr>
      </w:pPr>
      <w:r>
        <w:rPr>
          <w:b/>
          <w:sz w:val="28"/>
          <w:szCs w:val="28"/>
        </w:rPr>
        <w:t>Trabajo de la Secretaría</w:t>
      </w:r>
    </w:p>
    <w:p w14:paraId="38507C27" w14:textId="77777777" w:rsidR="001724A7" w:rsidRDefault="001724A7" w:rsidP="001724A7">
      <w:pPr>
        <w:spacing w:after="0" w:line="240" w:lineRule="auto"/>
        <w:rPr>
          <w:rFonts w:eastAsia="Times New Roman" w:cstheme="minorHAnsi"/>
          <w:lang w:eastAsia="fr-FR"/>
        </w:rPr>
      </w:pPr>
    </w:p>
    <w:p w14:paraId="2F66831E" w14:textId="77777777" w:rsidR="009936E3" w:rsidRPr="00FC4BB8" w:rsidRDefault="009936E3" w:rsidP="001724A7">
      <w:pPr>
        <w:spacing w:after="0" w:line="240" w:lineRule="auto"/>
        <w:rPr>
          <w:rFonts w:eastAsia="Times New Roman" w:cstheme="minorHAnsi"/>
          <w:lang w:eastAsia="fr-FR"/>
        </w:rPr>
      </w:pPr>
    </w:p>
    <w:p w14:paraId="02B7B23F" w14:textId="77777777" w:rsidR="001724A7" w:rsidRPr="00BF35A0" w:rsidRDefault="001724A7" w:rsidP="00BF35A0">
      <w:pPr>
        <w:pStyle w:val="BodyText3"/>
        <w:keepNext/>
        <w:spacing w:after="0" w:line="240" w:lineRule="auto"/>
        <w:ind w:left="425" w:hanging="425"/>
        <w:rPr>
          <w:rFonts w:cstheme="minorHAnsi"/>
          <w:b/>
          <w:color w:val="000000"/>
          <w:sz w:val="22"/>
          <w:szCs w:val="22"/>
        </w:rPr>
      </w:pPr>
      <w:r>
        <w:rPr>
          <w:b/>
          <w:color w:val="000000"/>
          <w:sz w:val="22"/>
          <w:szCs w:val="22"/>
        </w:rPr>
        <w:t>Introducción</w:t>
      </w:r>
    </w:p>
    <w:p w14:paraId="5C3DD8B3" w14:textId="77777777" w:rsidR="001724A7" w:rsidRPr="000942C1" w:rsidRDefault="001724A7" w:rsidP="00BF35A0">
      <w:pPr>
        <w:pStyle w:val="NRFTitle3"/>
        <w:keepNext/>
        <w:numPr>
          <w:ilvl w:val="0"/>
          <w:numId w:val="0"/>
        </w:numPr>
        <w:tabs>
          <w:tab w:val="clear" w:pos="-743"/>
          <w:tab w:val="clear" w:pos="-2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rPr>
      </w:pPr>
    </w:p>
    <w:p w14:paraId="4BAF459D" w14:textId="46F2D8B4" w:rsidR="001724A7" w:rsidRPr="00BF35A0" w:rsidRDefault="001724A7" w:rsidP="00BF35A0">
      <w:pPr>
        <w:pStyle w:val="BodyText"/>
        <w:ind w:left="425" w:hanging="425"/>
        <w:rPr>
          <w:rFonts w:asciiTheme="minorHAnsi" w:eastAsia="Carlito" w:hAnsiTheme="minorHAnsi" w:cstheme="minorHAnsi"/>
          <w:szCs w:val="22"/>
        </w:rPr>
      </w:pPr>
      <w:r>
        <w:rPr>
          <w:rFonts w:asciiTheme="minorHAnsi" w:hAnsiTheme="minorHAnsi"/>
          <w:szCs w:val="22"/>
        </w:rPr>
        <w:t>1.</w:t>
      </w:r>
      <w:r>
        <w:rPr>
          <w:rFonts w:asciiTheme="minorHAnsi" w:hAnsiTheme="minorHAnsi"/>
          <w:szCs w:val="22"/>
        </w:rPr>
        <w:tab/>
        <w:t>El presente informe abarca las actividades de la Secretaría desde el 14 de noviembre de 2022, tras la clausura de la 14</w:t>
      </w:r>
      <w:r>
        <w:rPr>
          <w:rFonts w:asciiTheme="minorHAnsi" w:hAnsiTheme="minorHAnsi"/>
          <w:szCs w:val="22"/>
          <w:vertAlign w:val="superscript"/>
        </w:rPr>
        <w:t>a</w:t>
      </w:r>
      <w:r>
        <w:rPr>
          <w:rFonts w:asciiTheme="minorHAnsi" w:hAnsiTheme="minorHAnsi"/>
          <w:szCs w:val="22"/>
        </w:rPr>
        <w:t xml:space="preserve"> reunión de la Conferencia de las Partes Contratantes (COP14), hasta el 1 de abril de 2025, y proporciona tanto una visión general como</w:t>
      </w:r>
      <w:r w:rsidR="00B659F9">
        <w:rPr>
          <w:rFonts w:asciiTheme="minorHAnsi" w:hAnsiTheme="minorHAnsi"/>
          <w:szCs w:val="22"/>
        </w:rPr>
        <w:t xml:space="preserve"> una descripción</w:t>
      </w:r>
      <w:r>
        <w:rPr>
          <w:rFonts w:asciiTheme="minorHAnsi" w:hAnsiTheme="minorHAnsi"/>
          <w:szCs w:val="22"/>
        </w:rPr>
        <w:t xml:space="preserve"> los aspectos más destacados del trabajo realizado durante este trienio.</w:t>
      </w:r>
    </w:p>
    <w:p w14:paraId="1E0E68CF" w14:textId="77777777" w:rsidR="001724A7" w:rsidRPr="000942C1" w:rsidRDefault="001724A7" w:rsidP="00BF35A0">
      <w:pPr>
        <w:pStyle w:val="NRFBody"/>
        <w:numPr>
          <w:ilvl w:val="0"/>
          <w:numId w:val="0"/>
        </w:numPr>
        <w:rPr>
          <w:rFonts w:asciiTheme="minorHAnsi" w:hAnsiTheme="minorHAnsi" w:cstheme="minorHAnsi"/>
          <w:sz w:val="22"/>
          <w:szCs w:val="22"/>
        </w:rPr>
      </w:pPr>
    </w:p>
    <w:p w14:paraId="29D79FB2" w14:textId="77777777" w:rsidR="001724A7" w:rsidRPr="00BF35A0" w:rsidRDefault="001724A7" w:rsidP="00BF35A0">
      <w:pPr>
        <w:spacing w:after="0" w:line="240" w:lineRule="auto"/>
        <w:ind w:left="425" w:hanging="425"/>
        <w:rPr>
          <w:rFonts w:cstheme="minorHAnsi"/>
        </w:rPr>
      </w:pPr>
      <w:r>
        <w:t>2.</w:t>
      </w:r>
      <w:r>
        <w:tab/>
        <w:t>La Secretaria General ha reafirmado su compromiso de reforzar el trabajo de la Secretaría para cumplir eficazmente su mandato, tal como se establece en el artículo 8 de la Convención, y aplicar las instrucciones recibidas de la Conferencia de las Partes Contratantes y del Comité Permanente, con el fin de prestar un mayor apoyo a las Partes Contratantes en la ejecución del Plan Estratégico de la Convención. Este informe se estructura en torno a las siguientes áreas clave:</w:t>
      </w:r>
    </w:p>
    <w:p w14:paraId="501648FA"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garantizar la excelencia operativa para apoyar a las Partes Contratantes;</w:t>
      </w:r>
    </w:p>
    <w:p w14:paraId="01FA8C72"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aumentar la visibilidad y la concienciación en lo que se refiere al carácter central de los humedales en los procesos mundiales;</w:t>
      </w:r>
    </w:p>
    <w:p w14:paraId="03EA9AEE"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colaborar para lograr los Objetivos de Desarrollo Sostenible (ODS) y otros objetivos mundiales, y fomentar el multilateralismo; y</w:t>
      </w:r>
    </w:p>
    <w:p w14:paraId="5A4641B4" w14:textId="7777777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movilizar recursos para apoyar la aplicación de la Convención.</w:t>
      </w:r>
    </w:p>
    <w:p w14:paraId="54536B6D" w14:textId="77777777" w:rsidR="001724A7" w:rsidRPr="00BF35A0" w:rsidRDefault="001724A7" w:rsidP="00BF35A0">
      <w:pPr>
        <w:tabs>
          <w:tab w:val="left" w:pos="1072"/>
        </w:tabs>
        <w:autoSpaceDE w:val="0"/>
        <w:autoSpaceDN w:val="0"/>
        <w:spacing w:after="0" w:line="240" w:lineRule="auto"/>
        <w:rPr>
          <w:rFonts w:cstheme="minorHAnsi"/>
        </w:rPr>
      </w:pPr>
    </w:p>
    <w:p w14:paraId="1F4D055F" w14:textId="77777777" w:rsidR="001724A7" w:rsidRPr="00BF35A0" w:rsidRDefault="001724A7" w:rsidP="00BF35A0">
      <w:pPr>
        <w:keepNext/>
        <w:autoSpaceDE w:val="0"/>
        <w:autoSpaceDN w:val="0"/>
        <w:spacing w:after="0" w:line="240" w:lineRule="auto"/>
        <w:ind w:left="425" w:hanging="425"/>
        <w:outlineLvl w:val="0"/>
        <w:rPr>
          <w:rFonts w:eastAsia="Carlito" w:cstheme="minorHAnsi"/>
          <w:b/>
          <w:bCs/>
        </w:rPr>
      </w:pPr>
      <w:r>
        <w:rPr>
          <w:b/>
          <w:bCs/>
        </w:rPr>
        <w:t>Garantizar la excelencia operativa para apoyar a las Partes Contratantes</w:t>
      </w:r>
    </w:p>
    <w:p w14:paraId="68D3E001" w14:textId="77777777" w:rsidR="001724A7" w:rsidRPr="000942C1" w:rsidRDefault="001724A7" w:rsidP="00BF35A0">
      <w:pPr>
        <w:pStyle w:val="NRFTitle3"/>
        <w:keepNext/>
        <w:numPr>
          <w:ilvl w:val="0"/>
          <w:numId w:val="0"/>
        </w:numPr>
        <w:tabs>
          <w:tab w:val="clear" w:pos="-743"/>
          <w:tab w:val="clear" w:pos="2137"/>
          <w:tab w:val="clear" w:pos="2857"/>
          <w:tab w:val="clear" w:pos="3577"/>
          <w:tab w:val="clear" w:pos="4297"/>
          <w:tab w:val="clear" w:pos="5017"/>
          <w:tab w:val="clear" w:pos="5737"/>
          <w:tab w:val="clear" w:pos="6457"/>
          <w:tab w:val="clear" w:pos="7177"/>
          <w:tab w:val="clear" w:pos="7897"/>
          <w:tab w:val="clear" w:pos="8617"/>
        </w:tabs>
        <w:suppressAutoHyphens w:val="0"/>
        <w:ind w:left="425" w:hanging="425"/>
        <w:rPr>
          <w:rFonts w:asciiTheme="minorHAnsi" w:hAnsiTheme="minorHAnsi" w:cstheme="minorHAnsi"/>
          <w:sz w:val="22"/>
          <w:szCs w:val="22"/>
        </w:rPr>
      </w:pPr>
    </w:p>
    <w:p w14:paraId="2C09FB4F" w14:textId="5FD5A933" w:rsidR="00763CFF" w:rsidRPr="00BF35A0" w:rsidRDefault="001724A7" w:rsidP="00BF35A0">
      <w:pPr>
        <w:pStyle w:val="BodyText3"/>
        <w:spacing w:after="0" w:line="240" w:lineRule="auto"/>
        <w:ind w:left="426" w:hanging="426"/>
        <w:rPr>
          <w:rFonts w:cstheme="minorHAnsi"/>
          <w:sz w:val="22"/>
          <w:szCs w:val="22"/>
        </w:rPr>
      </w:pPr>
      <w:r>
        <w:rPr>
          <w:sz w:val="22"/>
          <w:szCs w:val="22"/>
        </w:rPr>
        <w:t>3.</w:t>
      </w:r>
      <w:r>
        <w:rPr>
          <w:sz w:val="22"/>
          <w:szCs w:val="22"/>
        </w:rPr>
        <w:tab/>
        <w:t>El desempeño de la función principal de la Secretaría para apoyar a las Partes Contratantes incluye la organización de las reuniones de los órganos rectores y subsidiarios, incluidos la COP, el Comité Permanente y el Grupo de Examen Científico y Técnico (GECT).</w:t>
      </w:r>
      <w:r>
        <w:rPr>
          <w:color w:val="000000" w:themeColor="text1"/>
          <w:sz w:val="22"/>
          <w:szCs w:val="22"/>
        </w:rPr>
        <w:t xml:space="preserve"> Durante el periodo que abarca este informe, la Secretaría ha supervisado las disposiciones logísticas, ha preparado los documentos de las reuniones y ha facilitado la organización de las reuniones 62</w:t>
      </w:r>
      <w:r>
        <w:rPr>
          <w:color w:val="000000" w:themeColor="text1"/>
          <w:sz w:val="22"/>
          <w:szCs w:val="22"/>
          <w:vertAlign w:val="superscript"/>
        </w:rPr>
        <w:t>a</w:t>
      </w:r>
      <w:r>
        <w:rPr>
          <w:color w:val="000000" w:themeColor="text1"/>
          <w:sz w:val="22"/>
          <w:szCs w:val="22"/>
        </w:rPr>
        <w:t>, 63</w:t>
      </w:r>
      <w:r>
        <w:rPr>
          <w:color w:val="000000" w:themeColor="text1"/>
          <w:sz w:val="22"/>
          <w:szCs w:val="22"/>
          <w:vertAlign w:val="superscript"/>
        </w:rPr>
        <w:t>a</w:t>
      </w:r>
      <w:r>
        <w:rPr>
          <w:color w:val="000000" w:themeColor="text1"/>
          <w:sz w:val="22"/>
          <w:szCs w:val="22"/>
        </w:rPr>
        <w:t xml:space="preserve"> y 64</w:t>
      </w:r>
      <w:r>
        <w:rPr>
          <w:color w:val="000000" w:themeColor="text1"/>
          <w:sz w:val="22"/>
          <w:szCs w:val="22"/>
          <w:vertAlign w:val="superscript"/>
        </w:rPr>
        <w:t>a</w:t>
      </w:r>
      <w:r>
        <w:rPr>
          <w:color w:val="000000" w:themeColor="text1"/>
          <w:sz w:val="22"/>
          <w:szCs w:val="22"/>
        </w:rPr>
        <w:t xml:space="preserve"> del Comité Permanente.</w:t>
      </w:r>
    </w:p>
    <w:p w14:paraId="7616F303" w14:textId="0B22DA6E" w:rsidR="001724A7" w:rsidRPr="00BF35A0" w:rsidRDefault="00763CFF" w:rsidP="00BF35A0">
      <w:pPr>
        <w:pStyle w:val="NRFTitle3"/>
        <w:numPr>
          <w:ilvl w:val="2"/>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rPr>
      </w:pPr>
      <w:r>
        <w:rPr>
          <w:rFonts w:asciiTheme="minorHAnsi" w:hAnsiTheme="minorHAnsi"/>
          <w:color w:val="auto"/>
          <w:sz w:val="22"/>
          <w:szCs w:val="22"/>
        </w:rPr>
        <w:t xml:space="preserve"> </w:t>
      </w:r>
    </w:p>
    <w:p w14:paraId="31370EDB" w14:textId="26D92916" w:rsidR="001724A7" w:rsidRPr="00BF35A0" w:rsidRDefault="005C192B" w:rsidP="00BF35A0">
      <w:pPr>
        <w:pStyle w:val="NRFBody"/>
        <w:numPr>
          <w:ilvl w:val="0"/>
          <w:numId w:val="0"/>
        </w:numPr>
        <w:ind w:left="426" w:hanging="426"/>
        <w:rPr>
          <w:rFonts w:asciiTheme="minorHAnsi" w:hAnsiTheme="minorHAnsi" w:cstheme="minorHAnsi"/>
          <w:sz w:val="22"/>
          <w:szCs w:val="22"/>
        </w:rPr>
      </w:pPr>
      <w:r>
        <w:rPr>
          <w:rFonts w:asciiTheme="minorHAnsi" w:hAnsiTheme="minorHAnsi"/>
          <w:sz w:val="22"/>
          <w:szCs w:val="22"/>
        </w:rPr>
        <w:t>4.</w:t>
      </w:r>
      <w:r>
        <w:rPr>
          <w:rFonts w:asciiTheme="minorHAnsi" w:hAnsiTheme="minorHAnsi"/>
          <w:sz w:val="22"/>
          <w:szCs w:val="22"/>
        </w:rPr>
        <w:tab/>
      </w:r>
      <w:r>
        <w:rPr>
          <w:rFonts w:asciiTheme="minorHAnsi" w:hAnsiTheme="minorHAnsi"/>
          <w:color w:val="000000" w:themeColor="text1"/>
          <w:sz w:val="22"/>
          <w:szCs w:val="22"/>
        </w:rPr>
        <w:t>La Secretaría organizó las reuniones SC62, SC63, SC64 y SC65 entre 2023 y 2025. Las Partes Contratantes y los observadores participaron activamente en estas reuniones.</w:t>
      </w:r>
      <w:r>
        <w:rPr>
          <w:rFonts w:asciiTheme="minorHAnsi" w:hAnsiTheme="minorHAnsi"/>
          <w:sz w:val="22"/>
          <w:szCs w:val="22"/>
        </w:rPr>
        <w:t xml:space="preserve"> </w:t>
      </w:r>
      <w:r>
        <w:rPr>
          <w:rFonts w:asciiTheme="minorHAnsi" w:hAnsiTheme="minorHAnsi"/>
          <w:sz w:val="22"/>
          <w:szCs w:val="22"/>
        </w:rPr>
        <w:br/>
      </w:r>
    </w:p>
    <w:p w14:paraId="5EFB1941" w14:textId="61B354B2" w:rsidR="005A6AE0" w:rsidRPr="00BF35A0" w:rsidRDefault="001724A7" w:rsidP="00BF35A0">
      <w:pPr>
        <w:pStyle w:val="ListParagraph"/>
        <w:numPr>
          <w:ilvl w:val="0"/>
          <w:numId w:val="3"/>
        </w:numPr>
        <w:autoSpaceDE w:val="0"/>
        <w:autoSpaceDN w:val="0"/>
        <w:spacing w:after="0" w:line="240" w:lineRule="auto"/>
        <w:ind w:left="851" w:hanging="425"/>
        <w:rPr>
          <w:rFonts w:cstheme="minorHAnsi"/>
        </w:rPr>
      </w:pPr>
      <w:r>
        <w:lastRenderedPageBreak/>
        <w:t xml:space="preserve">En la reunión SC62, en septiembre de 2023, participaron de manera presencial 147 delegados de 45 Partes Contratantes y 21 organizaciones observadoras, además de 130 participantes diarios en línea. </w:t>
      </w:r>
      <w:r>
        <w:br/>
      </w:r>
    </w:p>
    <w:p w14:paraId="6141C0CA" w14:textId="19960ADE" w:rsidR="005A6AE0" w:rsidRPr="00BF35A0" w:rsidRDefault="00E2491B" w:rsidP="00BF35A0">
      <w:pPr>
        <w:pStyle w:val="ListParagraph"/>
        <w:numPr>
          <w:ilvl w:val="0"/>
          <w:numId w:val="3"/>
        </w:numPr>
        <w:autoSpaceDE w:val="0"/>
        <w:autoSpaceDN w:val="0"/>
        <w:spacing w:after="0" w:line="240" w:lineRule="auto"/>
        <w:ind w:left="851" w:hanging="425"/>
        <w:rPr>
          <w:rFonts w:cstheme="minorHAnsi"/>
        </w:rPr>
      </w:pPr>
      <w:r>
        <w:t>A la reunión SC63, en junio de 2024, asistieron 126 delegados de 48 Partes Contratantes y 23 organizaciones observadoras, a los que se sumaron 112 participantes diarios en línea. En ambas reuniones se introdujeron mejoras logísticas para reforzar la participación, como la creación de una configuración híbrida gracias a la cual se pudo disponer de una sala auxiliar para los observadores, la visualización del punto del orden del día que se estaba debatiendo en la pantalla de la reunión plenaria y la actualización de las placas de identificación.</w:t>
      </w:r>
      <w:r>
        <w:br/>
      </w:r>
    </w:p>
    <w:p w14:paraId="2460A27C" w14:textId="6B9846CB"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La reunión SC64, en enero de 2025, mantuvo altos niveles de participación, atrayendo a 113 delegados de 52 Partes Contratantes, nueve organizaciones observadoras y hasta 76 participantes en línea diarios. Una encuesta realizada entre los participantes de las tres reuniones puso de manifiesto la satisfacción con las disposiciones logísticas y la organización de las reuniones, lo que demuestra el compromiso de la Secretaría con la excelencia operativa en su apoyo a las Partes Contratantes.</w:t>
      </w:r>
    </w:p>
    <w:p w14:paraId="6372D4A3" w14:textId="77777777" w:rsidR="001724A7" w:rsidRPr="000942C1" w:rsidRDefault="001724A7" w:rsidP="00BF35A0">
      <w:pPr>
        <w:pStyle w:val="NRFBody"/>
        <w:numPr>
          <w:ilvl w:val="0"/>
          <w:numId w:val="0"/>
        </w:numPr>
        <w:ind w:left="426" w:hanging="426"/>
        <w:rPr>
          <w:rFonts w:asciiTheme="minorHAnsi" w:hAnsiTheme="minorHAnsi" w:cstheme="minorHAnsi"/>
          <w:sz w:val="22"/>
          <w:szCs w:val="22"/>
        </w:rPr>
      </w:pPr>
    </w:p>
    <w:p w14:paraId="35E0DFF5" w14:textId="62FC5268" w:rsidR="001724A7" w:rsidRPr="00BF35A0" w:rsidRDefault="005C192B" w:rsidP="00BF35A0">
      <w:pPr>
        <w:pStyle w:val="NRFBody"/>
        <w:numPr>
          <w:ilvl w:val="0"/>
          <w:numId w:val="0"/>
        </w:numPr>
        <w:ind w:left="426" w:hanging="426"/>
        <w:rPr>
          <w:rFonts w:asciiTheme="minorHAnsi" w:hAnsiTheme="minorHAnsi" w:cstheme="minorHAnsi"/>
          <w:sz w:val="22"/>
          <w:szCs w:val="22"/>
        </w:rPr>
      </w:pPr>
      <w:r>
        <w:rPr>
          <w:rFonts w:asciiTheme="minorHAnsi" w:hAnsiTheme="minorHAnsi"/>
          <w:sz w:val="22"/>
          <w:szCs w:val="22"/>
        </w:rPr>
        <w:t>5.</w:t>
      </w:r>
      <w:r>
        <w:rPr>
          <w:rFonts w:asciiTheme="minorHAnsi" w:hAnsiTheme="minorHAnsi"/>
          <w:sz w:val="22"/>
          <w:szCs w:val="22"/>
        </w:rPr>
        <w:tab/>
        <w:t>Durante el periodo abarcado por el informe se llevaron a cabo los preparativos para la COP15 en Victoria Falls, Zimbabwe, del 23 al 31 de julio de 2025. Se firmó el acuerdo de país anfitrión con la República de Zimbabwe, la Secretaría realizó tres visitas</w:t>
      </w:r>
      <w:r w:rsidR="00B659F9">
        <w:rPr>
          <w:rFonts w:asciiTheme="minorHAnsi" w:hAnsiTheme="minorHAnsi"/>
          <w:sz w:val="22"/>
          <w:szCs w:val="22"/>
        </w:rPr>
        <w:t xml:space="preserve"> a la sede de la reunión </w:t>
      </w:r>
      <w:r>
        <w:rPr>
          <w:rFonts w:asciiTheme="minorHAnsi" w:hAnsiTheme="minorHAnsi"/>
          <w:sz w:val="22"/>
          <w:szCs w:val="22"/>
        </w:rPr>
        <w:t xml:space="preserve">para preparar y evaluar el nivel de preparación de las instalaciones y la logística de la reunión, y se puso en marcha un plan de comunicación para dar visibilidad a la COP y señalar su importancia. </w:t>
      </w:r>
    </w:p>
    <w:p w14:paraId="0EFC987E" w14:textId="77777777" w:rsidR="001724A7" w:rsidRPr="000942C1" w:rsidRDefault="001724A7" w:rsidP="00BF35A0">
      <w:pPr>
        <w:pStyle w:val="NRFBody"/>
        <w:numPr>
          <w:ilvl w:val="0"/>
          <w:numId w:val="0"/>
        </w:numPr>
        <w:ind w:left="426" w:hanging="426"/>
        <w:rPr>
          <w:rFonts w:asciiTheme="minorHAnsi" w:hAnsiTheme="minorHAnsi" w:cstheme="minorHAnsi"/>
          <w:sz w:val="22"/>
          <w:szCs w:val="22"/>
        </w:rPr>
      </w:pPr>
    </w:p>
    <w:p w14:paraId="0B72CF20" w14:textId="2B641DF8" w:rsidR="001724A7" w:rsidRPr="00BF35A0" w:rsidRDefault="005C192B" w:rsidP="00BF35A0">
      <w:pPr>
        <w:pStyle w:val="BodyText3"/>
        <w:spacing w:after="0" w:line="240" w:lineRule="auto"/>
        <w:ind w:left="426" w:hanging="426"/>
        <w:rPr>
          <w:rFonts w:cstheme="minorHAnsi"/>
          <w:sz w:val="22"/>
          <w:szCs w:val="22"/>
        </w:rPr>
      </w:pPr>
      <w:r>
        <w:rPr>
          <w:sz w:val="22"/>
          <w:szCs w:val="22"/>
        </w:rPr>
        <w:t>6.</w:t>
      </w:r>
      <w:r>
        <w:rPr>
          <w:sz w:val="22"/>
          <w:szCs w:val="22"/>
        </w:rPr>
        <w:tab/>
        <w:t>La Secretaría organizó las reuniones 25</w:t>
      </w:r>
      <w:r>
        <w:rPr>
          <w:sz w:val="22"/>
          <w:szCs w:val="22"/>
          <w:vertAlign w:val="superscript"/>
        </w:rPr>
        <w:t>a</w:t>
      </w:r>
      <w:r>
        <w:rPr>
          <w:sz w:val="22"/>
          <w:szCs w:val="22"/>
        </w:rPr>
        <w:t>, 26</w:t>
      </w:r>
      <w:r>
        <w:rPr>
          <w:sz w:val="22"/>
          <w:szCs w:val="22"/>
          <w:vertAlign w:val="superscript"/>
        </w:rPr>
        <w:t>a</w:t>
      </w:r>
      <w:r>
        <w:rPr>
          <w:sz w:val="22"/>
          <w:szCs w:val="22"/>
        </w:rPr>
        <w:t xml:space="preserve"> y 27</w:t>
      </w:r>
      <w:r>
        <w:rPr>
          <w:sz w:val="22"/>
          <w:szCs w:val="22"/>
          <w:vertAlign w:val="superscript"/>
        </w:rPr>
        <w:t>a</w:t>
      </w:r>
      <w:r>
        <w:rPr>
          <w:sz w:val="22"/>
          <w:szCs w:val="22"/>
        </w:rPr>
        <w:t xml:space="preserve"> del GECT entre 2023 y 2024.</w:t>
      </w:r>
      <w:r>
        <w:rPr>
          <w:sz w:val="22"/>
          <w:szCs w:val="22"/>
        </w:rPr>
        <w:br/>
      </w:r>
    </w:p>
    <w:p w14:paraId="4E80BEB0" w14:textId="079A4507"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La asistencia a la reunión GECT25, en mayo de 2023, fue de 49 participantes, incluidos los 18 miembros del Grupo, representantes de seis Partes Contratantes y 12 organizaciones observadoras del GECT. Se habilitó la participación virtual en las sesiones plenarias, a las que asistieron a distancia 12 de los participantes.</w:t>
      </w:r>
      <w:r>
        <w:br/>
        <w:t xml:space="preserve"> </w:t>
      </w:r>
    </w:p>
    <w:p w14:paraId="3C204B64" w14:textId="7736B721" w:rsidR="001724A7" w:rsidRPr="00BF35A0" w:rsidRDefault="008268A2" w:rsidP="00BF35A0">
      <w:pPr>
        <w:pStyle w:val="ListParagraph"/>
        <w:numPr>
          <w:ilvl w:val="0"/>
          <w:numId w:val="3"/>
        </w:numPr>
        <w:autoSpaceDE w:val="0"/>
        <w:autoSpaceDN w:val="0"/>
        <w:spacing w:after="0" w:line="240" w:lineRule="auto"/>
        <w:ind w:left="851" w:hanging="425"/>
        <w:rPr>
          <w:rFonts w:cstheme="minorHAnsi"/>
        </w:rPr>
      </w:pPr>
      <w:r>
        <w:t>La reunión GECT26, celebrada en febrero de 2024, contó con 45 participantes presenciales, incluidos miembros del Grupo, coordinadores nacionales del GECT, organizaciones observadoras y organizaciones internacionales asociadas (OIA), y otros 52 participantes a distancia que asistieron a las sesiones plenarias y a las sesiones paralelas.</w:t>
      </w:r>
      <w:r>
        <w:br/>
      </w:r>
    </w:p>
    <w:p w14:paraId="3DF912EB" w14:textId="29619D21" w:rsidR="001724A7" w:rsidRPr="00BF35A0" w:rsidRDefault="001724A7" w:rsidP="00BF35A0">
      <w:pPr>
        <w:pStyle w:val="ListParagraph"/>
        <w:numPr>
          <w:ilvl w:val="0"/>
          <w:numId w:val="3"/>
        </w:numPr>
        <w:autoSpaceDE w:val="0"/>
        <w:autoSpaceDN w:val="0"/>
        <w:spacing w:after="0" w:line="240" w:lineRule="auto"/>
        <w:ind w:left="851" w:hanging="425"/>
        <w:rPr>
          <w:rFonts w:cstheme="minorHAnsi"/>
        </w:rPr>
      </w:pPr>
      <w:r>
        <w:t>La reunión GECT27, celebrada en diciembre de 2024, se centró en la finalización de los productos clave de conformidad con el plan de trabajo para 2023-2025, reforzando así el compromiso de la Secretaría de ofrecer productos científicos viables. La reunión también incluyó un día dedicado a la consulta con la comunidad de observación de la Tierra, en consonancia con la Decisión SC63-30 del Comité Permanente.</w:t>
      </w:r>
    </w:p>
    <w:p w14:paraId="1757A82D" w14:textId="77777777" w:rsidR="001724A7" w:rsidRPr="00BF35A0" w:rsidRDefault="001724A7" w:rsidP="00BF35A0">
      <w:pPr>
        <w:pStyle w:val="BodyText3"/>
        <w:spacing w:after="0" w:line="240" w:lineRule="auto"/>
        <w:rPr>
          <w:rFonts w:cstheme="minorHAnsi"/>
          <w:b/>
          <w:color w:val="000000"/>
          <w:sz w:val="22"/>
          <w:szCs w:val="22"/>
        </w:rPr>
      </w:pPr>
    </w:p>
    <w:p w14:paraId="18DB81EB" w14:textId="57BA5D56" w:rsidR="001724A7" w:rsidRPr="00BF35A0" w:rsidRDefault="005C192B" w:rsidP="00BF35A0">
      <w:pPr>
        <w:pStyle w:val="NRFTitle3"/>
        <w:numPr>
          <w:ilvl w:val="0"/>
          <w:numId w:val="0"/>
        </w:numPr>
        <w:tabs>
          <w:tab w:val="clear" w:pos="2137"/>
          <w:tab w:val="clear" w:pos="2857"/>
          <w:tab w:val="clear" w:pos="3577"/>
          <w:tab w:val="clear" w:pos="4297"/>
          <w:tab w:val="clear" w:pos="5017"/>
          <w:tab w:val="clear" w:pos="5737"/>
          <w:tab w:val="clear" w:pos="6457"/>
          <w:tab w:val="clear" w:pos="7177"/>
          <w:tab w:val="clear" w:pos="7897"/>
          <w:tab w:val="clear" w:pos="8617"/>
        </w:tabs>
        <w:ind w:left="426" w:hanging="426"/>
        <w:rPr>
          <w:rFonts w:asciiTheme="minorHAnsi" w:hAnsiTheme="minorHAnsi" w:cstheme="minorHAnsi"/>
          <w:sz w:val="22"/>
          <w:szCs w:val="22"/>
        </w:rPr>
      </w:pPr>
      <w:r>
        <w:rPr>
          <w:rFonts w:asciiTheme="minorHAnsi" w:hAnsiTheme="minorHAnsi"/>
          <w:sz w:val="22"/>
          <w:szCs w:val="22"/>
        </w:rPr>
        <w:t>7.</w:t>
      </w:r>
      <w:r>
        <w:rPr>
          <w:rFonts w:asciiTheme="minorHAnsi" w:hAnsiTheme="minorHAnsi"/>
          <w:sz w:val="22"/>
          <w:szCs w:val="22"/>
        </w:rPr>
        <w:tab/>
        <w:t xml:space="preserve">Durante el trienio, la Secretaría prestó apoyo a varios grupos de trabajo y subgrupos del Comité Permanente, entre ellos, el Grupo de Trabajo Administrativo, el Grupo de Trabajo sobre el Plan Estratégico, el Subgrupo sobre Finanzas, el Grupo de Supervisión de las Actividades de CECoP, el Grupo de Trabajo sobre Fortalecimiento Institucional y el Grupo de Trabajo sobre la Juventud (GTJ). Además, facilitó el establecimiento del Subgrupo sobre la COP15 y el Comité Asesor Independiente sobre la Acreditación de Ciudades de Humedal durante la 62ª reunión del Comité Permanente. La Secretaría también apoyó las reuniones virtuales del recién creado Grupo de Trabajo sobre la Actualización de las FIR y del grupo de Partes interesadas en </w:t>
      </w:r>
      <w:r>
        <w:rPr>
          <w:rFonts w:asciiTheme="minorHAnsi" w:hAnsiTheme="minorHAnsi"/>
          <w:sz w:val="22"/>
          <w:szCs w:val="22"/>
        </w:rPr>
        <w:lastRenderedPageBreak/>
        <w:t>fortalecer el proceso de inscripción de sitios en la Lista de Humedales de Importancia Internacional, según lo establecido en las Decisiones SC63-33 y SC63-34.</w:t>
      </w:r>
    </w:p>
    <w:p w14:paraId="6C39A6BB" w14:textId="77777777" w:rsidR="001724A7" w:rsidRPr="00BF35A0" w:rsidRDefault="001724A7" w:rsidP="00BF35A0">
      <w:pPr>
        <w:spacing w:after="0" w:line="240" w:lineRule="auto"/>
        <w:rPr>
          <w:rFonts w:cstheme="minorHAnsi"/>
        </w:rPr>
      </w:pPr>
    </w:p>
    <w:p w14:paraId="47B2F889" w14:textId="64DB83B3" w:rsidR="001724A7" w:rsidRPr="00BF35A0" w:rsidRDefault="005C192B" w:rsidP="00BF35A0">
      <w:pPr>
        <w:pStyle w:val="Default"/>
        <w:ind w:left="426" w:hanging="426"/>
        <w:rPr>
          <w:rFonts w:asciiTheme="minorHAnsi" w:eastAsia="Times New Roman" w:hAnsiTheme="minorHAnsi" w:cstheme="minorHAnsi"/>
          <w:sz w:val="22"/>
          <w:szCs w:val="22"/>
        </w:rPr>
      </w:pPr>
      <w:r>
        <w:rPr>
          <w:rFonts w:asciiTheme="minorHAnsi" w:hAnsiTheme="minorHAnsi"/>
          <w:sz w:val="22"/>
          <w:szCs w:val="22"/>
        </w:rPr>
        <w:t>8.</w:t>
      </w:r>
      <w:r>
        <w:rPr>
          <w:rFonts w:asciiTheme="minorHAnsi" w:hAnsiTheme="minorHAnsi"/>
          <w:sz w:val="22"/>
          <w:szCs w:val="22"/>
        </w:rPr>
        <w:tab/>
      </w:r>
      <w:r>
        <w:rPr>
          <w:rFonts w:asciiTheme="minorHAnsi" w:hAnsiTheme="minorHAnsi"/>
          <w:color w:val="000000" w:themeColor="text1"/>
          <w:sz w:val="22"/>
          <w:szCs w:val="22"/>
        </w:rPr>
        <w:t xml:space="preserve">La participación de los jóvenes es una prioridad clave para la Secretaria General, que se pone de relieve a través del apoyo continuo al GTJ y a la aplicación de la Resolución XIV.12, </w:t>
      </w:r>
      <w:r>
        <w:rPr>
          <w:rFonts w:asciiTheme="minorHAnsi" w:hAnsiTheme="minorHAnsi"/>
          <w:i/>
          <w:iCs/>
          <w:color w:val="000000" w:themeColor="text1"/>
          <w:sz w:val="22"/>
          <w:szCs w:val="22"/>
        </w:rPr>
        <w:t>Fortalecimiento de las conexiones de Ramsar a través de la juventud</w:t>
      </w:r>
      <w:r>
        <w:rPr>
          <w:rFonts w:asciiTheme="minorHAnsi" w:hAnsiTheme="minorHAnsi"/>
          <w:color w:val="000000" w:themeColor="text1"/>
          <w:sz w:val="22"/>
          <w:szCs w:val="22"/>
        </w:rPr>
        <w:t>. El 21 de marzo de 2023, el GTJ organizó dos talleres mundiales titulados "Los jóvenes dan forma a la conservación de los humedales", que reunieron a más de 100 participantes para debatir sobre el papel de los jóvenes en la conservación de los humedales.</w:t>
      </w:r>
    </w:p>
    <w:p w14:paraId="618FE2B4" w14:textId="60F594DF" w:rsidR="001724A7" w:rsidRPr="000942C1" w:rsidRDefault="001724A7" w:rsidP="00BF35A0">
      <w:pPr>
        <w:pStyle w:val="Default"/>
        <w:ind w:left="426" w:hanging="426"/>
        <w:rPr>
          <w:rFonts w:asciiTheme="minorHAnsi" w:eastAsia="Times New Roman" w:hAnsiTheme="minorHAnsi" w:cstheme="minorHAnsi"/>
          <w:sz w:val="22"/>
          <w:szCs w:val="22"/>
          <w:lang w:eastAsia="en-GB"/>
        </w:rPr>
      </w:pPr>
    </w:p>
    <w:p w14:paraId="70B0A45E" w14:textId="1B91AB9C" w:rsidR="001724A7" w:rsidRPr="00BF35A0" w:rsidRDefault="00201C38" w:rsidP="0057161F">
      <w:pPr>
        <w:pStyle w:val="Default"/>
        <w:ind w:left="426" w:hanging="426"/>
        <w:rPr>
          <w:rFonts w:asciiTheme="minorHAnsi" w:eastAsia="Times New Roman" w:hAnsiTheme="minorHAnsi" w:cstheme="minorHAnsi"/>
          <w:sz w:val="22"/>
          <w:szCs w:val="22"/>
        </w:rPr>
      </w:pPr>
      <w:r>
        <w:rPr>
          <w:rFonts w:asciiTheme="minorHAnsi" w:hAnsiTheme="minorHAnsi"/>
          <w:sz w:val="22"/>
          <w:szCs w:val="22"/>
        </w:rPr>
        <w:t>9.</w:t>
      </w:r>
      <w:r>
        <w:rPr>
          <w:rFonts w:asciiTheme="minorHAnsi" w:hAnsiTheme="minorHAnsi"/>
          <w:sz w:val="22"/>
          <w:szCs w:val="22"/>
        </w:rPr>
        <w:tab/>
        <w:t>A lo largo del pasado trienio, la participación de los jóvenes ocupó un lugar destacado en las misiones de la Secretaria General y de los eventos mundiales a los que asistió. En la reunión SC62, se reunió con la Presidencia y los miembros del GTJ para debatir sobre los avances del Grupo en relación con lo dispuesto en la Resolución. En la 28</w:t>
      </w:r>
      <w:r>
        <w:rPr>
          <w:rFonts w:asciiTheme="minorHAnsi" w:hAnsiTheme="minorHAnsi"/>
          <w:sz w:val="22"/>
          <w:szCs w:val="22"/>
          <w:vertAlign w:val="superscript"/>
        </w:rPr>
        <w:t>a</w:t>
      </w:r>
      <w:r>
        <w:rPr>
          <w:rFonts w:asciiTheme="minorHAnsi" w:hAnsiTheme="minorHAnsi"/>
          <w:sz w:val="22"/>
          <w:szCs w:val="22"/>
        </w:rPr>
        <w:t xml:space="preserve"> reunión de la Conferencia de las Partes en la Convención Marco de las Naciones Unidas sobre el Cambio Climático (COP28 de la CMNUCC), celebrada en los Emiratos Árabes Unidos, coorganizó un evento paralelo con la Secretaría del Programa Regional del Pacífico para el Medio Ambiente (SPREP), en el que participó en un panel de alto nivel junto a ministros, embajadores y representantes de la juventud para hacer hincapié en la necesidad de empoderar a los jóvenes en la conservación de los humedales del Pacífico. Además, pronunció discursos de apertura en el Instituto IHE de Delft, en los Países Bajos, y en la Universidad Jawaharlal Nehru, en la India, en los que destacó la importancia de la juventud para la consecución de la Agenda 2030 para el Desarrollo Sostenible. También se reunió con la Coalición de Jóvenes Africanos por los Humedales en la sexta reunión de la Asamblea de las Naciones Unidas para el Medioambiente (UNEA-6) en Kenya, con jóvenes activistas de Fujiame-higata y Team Spoon en Japón, y con jóvenes delegados del Consejo Mundial del Agua en el 10º Foro Mundial del Agua en Indonesia, donde participó en una reunión dirigida por jóvenes y en un taller sobre el avance del plan de trabajo del GTJ.</w:t>
      </w:r>
    </w:p>
    <w:p w14:paraId="4792D9CF" w14:textId="5B82F92F" w:rsidR="001724A7" w:rsidRPr="000942C1" w:rsidRDefault="001724A7" w:rsidP="00BF35A0">
      <w:pPr>
        <w:pStyle w:val="Default"/>
        <w:ind w:left="426" w:hanging="426"/>
        <w:rPr>
          <w:rFonts w:asciiTheme="minorHAnsi" w:eastAsia="Times New Roman" w:hAnsiTheme="minorHAnsi" w:cstheme="minorHAnsi"/>
          <w:sz w:val="22"/>
          <w:szCs w:val="22"/>
          <w:lang w:eastAsia="en-GB"/>
        </w:rPr>
      </w:pPr>
    </w:p>
    <w:p w14:paraId="16E359A1" w14:textId="2133CD5E" w:rsidR="001724A7" w:rsidRPr="00BF35A0" w:rsidRDefault="00201C38" w:rsidP="00201C38">
      <w:pPr>
        <w:pStyle w:val="Default"/>
        <w:ind w:left="426" w:hanging="426"/>
        <w:rPr>
          <w:rFonts w:asciiTheme="minorHAnsi" w:eastAsia="Times New Roman" w:hAnsiTheme="minorHAnsi" w:cstheme="minorHAnsi"/>
          <w:sz w:val="22"/>
          <w:szCs w:val="22"/>
        </w:rPr>
      </w:pPr>
      <w:r>
        <w:rPr>
          <w:rFonts w:asciiTheme="minorHAnsi" w:hAnsiTheme="minorHAnsi"/>
          <w:sz w:val="22"/>
          <w:szCs w:val="22"/>
        </w:rPr>
        <w:t>10.</w:t>
      </w:r>
      <w:r>
        <w:rPr>
          <w:rFonts w:asciiTheme="minorHAnsi" w:hAnsiTheme="minorHAnsi"/>
          <w:sz w:val="22"/>
          <w:szCs w:val="22"/>
        </w:rPr>
        <w:tab/>
        <w:t>Una iniciativa clave como parte de los preparativos para la COP15 en julio de 2025 es la serie de seminarios web dirigidos por el GTJ, "Allanando el camino hacia Victoria Falls - Inspirando la acción para la COP15 de la Convención sobre los Humedales". Organizada en colaboración con Youth Engaged in Wetlands, la SPREP, la UICN, Wetlands International y otros, esta serie de seminarios explora la conservación, la restauración, los conocimientos tradicionales, la capacitación de los jóvenes y las oportunidades profesionales relacionadas con las soluciones basadas en la naturaleza.</w:t>
      </w:r>
    </w:p>
    <w:p w14:paraId="714184CF" w14:textId="77777777" w:rsidR="001724A7" w:rsidRPr="00BF35A0" w:rsidRDefault="001724A7" w:rsidP="00BF35A0">
      <w:pPr>
        <w:pStyle w:val="Default"/>
        <w:rPr>
          <w:rFonts w:asciiTheme="minorHAnsi" w:eastAsia="Times New Roman" w:hAnsiTheme="minorHAnsi" w:cstheme="minorHAnsi"/>
          <w:sz w:val="22"/>
          <w:szCs w:val="22"/>
          <w:lang w:eastAsia="en-GB"/>
        </w:rPr>
      </w:pPr>
    </w:p>
    <w:p w14:paraId="7990EB50" w14:textId="3410BE6A"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sz w:val="22"/>
          <w:szCs w:val="22"/>
        </w:rPr>
        <w:t>11.</w:t>
      </w:r>
      <w:r>
        <w:rPr>
          <w:rFonts w:asciiTheme="minorHAnsi" w:hAnsiTheme="minorHAnsi"/>
          <w:sz w:val="22"/>
          <w:szCs w:val="22"/>
        </w:rPr>
        <w:tab/>
        <w:t>Durante este periodo, la Secretaría llevó a cabo cuatro Misiones Ramsar de Asesoramiento (MRA) para ayudar a las Partes Contratantes a superar los retos en materia de conservación a los que se enfrentan los Humedales de Importancia Internacional ("sitios Ramsar"). Estas fueron: una misión conjunta con el Centro del Patrimonio Mundial (UNESCO) al Paisaje Cultural de Fertö/Neusiedlersee (Austria y Hungría), una misión al estuario del río Sierra Leona (Sierra Leona), una misión al Lago Poopó y Uru Uru (Bolivia) para estudiar medidas de conservación de sus características ecológicas, y una misión a Basse Vallée du Couffo, Lagune Côtière Chenal Aho, Lac Ahémé (Benin) para evaluar las amenazas que representan los proyectos de desarrollo y las actividades humanas que están provocando un aumento de la mortalidad anual de los peces. Estas RAM ayudaron a los países a identificar soluciones a una serie de amenazas que afectan a las características ecológicas de estos sitios, entre ellas la urbanización y otros impactos causados por el hombre, como los parques eólicos, el desarrollo turístico y el suministro de agua.</w:t>
      </w:r>
    </w:p>
    <w:p w14:paraId="47A04E7A" w14:textId="77777777" w:rsidR="001724A7" w:rsidRPr="000942C1" w:rsidRDefault="001724A7" w:rsidP="00BF35A0">
      <w:pPr>
        <w:pStyle w:val="BodyText"/>
        <w:widowControl w:val="0"/>
        <w:rPr>
          <w:rFonts w:asciiTheme="minorHAnsi" w:hAnsiTheme="minorHAnsi" w:cstheme="minorHAnsi"/>
          <w:szCs w:val="22"/>
        </w:rPr>
      </w:pPr>
    </w:p>
    <w:p w14:paraId="0D6A0F40" w14:textId="166A363E" w:rsidR="001724A7" w:rsidRPr="00BF35A0" w:rsidRDefault="00201C38" w:rsidP="00BF35A0">
      <w:pPr>
        <w:pStyle w:val="Default"/>
        <w:ind w:left="426" w:hanging="426"/>
        <w:rPr>
          <w:rFonts w:asciiTheme="minorHAnsi" w:eastAsia="Times New Roman" w:hAnsiTheme="minorHAnsi" w:cstheme="minorHAnsi"/>
          <w:sz w:val="22"/>
          <w:szCs w:val="22"/>
        </w:rPr>
      </w:pPr>
      <w:r>
        <w:rPr>
          <w:rFonts w:asciiTheme="minorHAnsi" w:hAnsiTheme="minorHAnsi"/>
          <w:sz w:val="22"/>
          <w:szCs w:val="22"/>
        </w:rPr>
        <w:lastRenderedPageBreak/>
        <w:t>12.</w:t>
      </w:r>
      <w:r>
        <w:rPr>
          <w:rFonts w:asciiTheme="minorHAnsi" w:hAnsiTheme="minorHAnsi"/>
          <w:sz w:val="22"/>
          <w:szCs w:val="22"/>
        </w:rPr>
        <w:tab/>
      </w:r>
      <w:r>
        <w:rPr>
          <w:rFonts w:asciiTheme="minorHAnsi" w:hAnsiTheme="minorHAnsi"/>
          <w:color w:val="000000" w:themeColor="text1"/>
          <w:sz w:val="22"/>
          <w:szCs w:val="22"/>
        </w:rPr>
        <w:t>La Secretaria General ha hecho hincapié en la necesidad de reforzar la colaboración con las Iniciativas Regionales de Ramsar (IRR) mediante la mejora de la comunicación y la planificación conjunta. Un paso clave fue organizar reuniones anuales de planificación a partir de 2023 para fomentar la cooperación. Estas reuniones han dado lugar a planes coordinados para la COP15, incluido un evento paralelo compartido y un puesto de exposición en el que participarán todas las IRR.</w:t>
      </w:r>
    </w:p>
    <w:p w14:paraId="464E919F" w14:textId="30B4D1B9" w:rsidR="001724A7" w:rsidRPr="00BF35A0" w:rsidRDefault="001724A7" w:rsidP="00BF35A0">
      <w:pPr>
        <w:pStyle w:val="Default"/>
        <w:ind w:left="426" w:hanging="426"/>
        <w:rPr>
          <w:rFonts w:asciiTheme="minorHAnsi" w:eastAsia="Times New Roman" w:hAnsiTheme="minorHAnsi" w:cstheme="minorHAnsi"/>
          <w:sz w:val="22"/>
          <w:szCs w:val="22"/>
          <w:lang w:eastAsia="en-GB"/>
        </w:rPr>
      </w:pPr>
    </w:p>
    <w:p w14:paraId="6BEF863E" w14:textId="48DD02B7" w:rsidR="001724A7" w:rsidRPr="00BF35A0" w:rsidRDefault="00201C38" w:rsidP="0057161F">
      <w:pPr>
        <w:pStyle w:val="Default"/>
        <w:ind w:left="426" w:hanging="426"/>
        <w:rPr>
          <w:rFonts w:asciiTheme="minorHAnsi" w:hAnsiTheme="minorHAnsi" w:cstheme="minorHAnsi"/>
          <w:sz w:val="22"/>
          <w:szCs w:val="22"/>
          <w:highlight w:val="yellow"/>
        </w:rPr>
      </w:pPr>
      <w:r>
        <w:rPr>
          <w:rFonts w:asciiTheme="minorHAnsi" w:hAnsiTheme="minorHAnsi"/>
          <w:sz w:val="22"/>
          <w:szCs w:val="22"/>
        </w:rPr>
        <w:t>13.</w:t>
      </w:r>
      <w:r>
        <w:rPr>
          <w:rFonts w:asciiTheme="minorHAnsi" w:hAnsiTheme="minorHAnsi"/>
          <w:sz w:val="22"/>
          <w:szCs w:val="22"/>
        </w:rPr>
        <w:tab/>
        <w:t>La Secretaría ha seguido apoyando las IRR, a través de la facilitación del intercambio de conocimientos y la movilización de recursos. En particular, puso en contacto a la Agencia Francesa de Biodiversidad (OFB) con NigerWet y la Iniciativa Regional de Ramsar para África Austral (SARRI), lo que tuvo como resultado el compromiso de la OFB de apoyar el desarrollo organizativo y la planificación estratégica de la SARRI. La Secretaria General también promovió las actividades de las IRR durante las misiones internacionales. El 14 de mayo de 2024, en la República de Corea, participó en las celebraciones del Día Mundial de los Humedales asistiendo a un partido de béisbol organizado por el Centro Regional de Ramsar para Asia Oriental en el que realizó el primer lanzamiento del partido. Posteriormente, el 28 de junio, participó en la celebración organizada por MedWet del 70 aniversario de Tour du Valat en Arles (Francia), reforzando aún más su apoyo a las IRR en todo el mundo.</w:t>
      </w:r>
    </w:p>
    <w:p w14:paraId="5EFDF640" w14:textId="77777777" w:rsidR="001724A7" w:rsidRPr="000942C1" w:rsidRDefault="001724A7" w:rsidP="00BF35A0">
      <w:pPr>
        <w:pStyle w:val="BodyText"/>
        <w:widowControl w:val="0"/>
        <w:ind w:left="426" w:hanging="426"/>
        <w:rPr>
          <w:rFonts w:asciiTheme="minorHAnsi" w:hAnsiTheme="minorHAnsi" w:cstheme="minorHAnsi"/>
          <w:szCs w:val="22"/>
        </w:rPr>
      </w:pPr>
    </w:p>
    <w:p w14:paraId="4FDCEDA9" w14:textId="3C1039C2" w:rsidR="001724A7" w:rsidRPr="00BF35A0" w:rsidRDefault="00201C38" w:rsidP="00BF35A0">
      <w:pPr>
        <w:pStyle w:val="BodyText"/>
        <w:widowControl w:val="0"/>
        <w:ind w:left="426" w:hanging="426"/>
        <w:rPr>
          <w:rFonts w:asciiTheme="minorHAnsi" w:hAnsiTheme="minorHAnsi" w:cstheme="minorHAnsi"/>
          <w:szCs w:val="22"/>
        </w:rPr>
      </w:pPr>
      <w:r>
        <w:rPr>
          <w:rFonts w:asciiTheme="minorHAnsi" w:hAnsiTheme="minorHAnsi"/>
          <w:szCs w:val="22"/>
        </w:rPr>
        <w:t>14.</w:t>
      </w:r>
      <w:r>
        <w:rPr>
          <w:rFonts w:asciiTheme="minorHAnsi" w:hAnsiTheme="minorHAnsi"/>
          <w:szCs w:val="22"/>
        </w:rPr>
        <w:tab/>
        <w:t>Durante el trienio, la Secretaría lanzó la tercera convocatoria de candidaturas para la Acreditación de Ciudad de Humedal, proporcionó apoyo administrativo al Comité Asesor Independiente (CAI) para el ciclo 2023-2025 y contribuyó a varias reuniones organizadas por dicho Comité</w:t>
      </w:r>
      <w:r w:rsidR="00A45788">
        <w:rPr>
          <w:rFonts w:asciiTheme="minorHAnsi" w:hAnsiTheme="minorHAnsi"/>
          <w:szCs w:val="22"/>
        </w:rPr>
        <w:t>.</w:t>
      </w:r>
      <w:r>
        <w:rPr>
          <w:rFonts w:asciiTheme="minorHAnsi" w:hAnsiTheme="minorHAnsi"/>
          <w:szCs w:val="22"/>
        </w:rPr>
        <w:t xml:space="preserve"> Este proceso culminó con la acreditación de 31 nuevas Ciudades de Humedal en 16 países, anunciada en la reunión SC64 en enero de 2025.</w:t>
      </w:r>
    </w:p>
    <w:p w14:paraId="69964243" w14:textId="77777777" w:rsidR="001724A7" w:rsidRPr="00BF35A0" w:rsidRDefault="001724A7" w:rsidP="00BF35A0">
      <w:pPr>
        <w:pStyle w:val="BodyText3"/>
        <w:spacing w:after="0" w:line="240" w:lineRule="auto"/>
        <w:rPr>
          <w:rFonts w:eastAsia="Times New Roman" w:cstheme="minorHAnsi"/>
          <w:b/>
          <w:sz w:val="22"/>
          <w:szCs w:val="22"/>
          <w:lang w:eastAsia="fr-FR"/>
        </w:rPr>
      </w:pPr>
    </w:p>
    <w:p w14:paraId="4478E453" w14:textId="4AE39AB8"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rPr>
        <w:t>15.</w:t>
      </w:r>
      <w:r>
        <w:rPr>
          <w:color w:val="000000"/>
        </w:rPr>
        <w:tab/>
        <w:t>La Secretaría sigue perfeccionando las plataformas informáticas para mejorar la eficacia operativa y prestar un apoyo eficaz a las Partes Contratantes.</w:t>
      </w:r>
      <w:r>
        <w:t xml:space="preserve"> </w:t>
      </w:r>
      <w:r>
        <w:rPr>
          <w:color w:val="000000"/>
        </w:rPr>
        <w:t>Se llevó a cabo una actualización del sistema central del Servicio de Información sobre Sitios Ramsar (SISR) para garantizar su seguridad y fiabilidad. Se rediseño el sitio web de la Convención con una versión disponible desde mediados de 2023, mejorando su accesibilidad y facilidad de uso. El sistema de gestión de las relaciones con los grupos integrantes de la Convención (CRM) sigue siendo una herramienta clave para gestionar los contactos, el correo, las inscripciones a reuniones, las designaciones y los informes, con actualizaciones continuas para ajustarse a las normas de seguridad. Además, la Secretaría está desarrollando un sistema de datos de informes nacionales para facilitar la recopilación, visualización y análisis de datos. Para que la colaboración entre períodos de sesiones tenga lugar de manera racionalizada se están utilizando diversas herramientas digitales, como CRM, SharePoint, Zoom, Teams y Adobe online, y en la reunión SC63 se presentará una propuesta de mejora.</w:t>
      </w:r>
    </w:p>
    <w:p w14:paraId="6CDC11C7" w14:textId="77777777" w:rsidR="001724A7" w:rsidRPr="00BF35A0" w:rsidRDefault="001724A7" w:rsidP="00BF35A0">
      <w:pPr>
        <w:autoSpaceDE w:val="0"/>
        <w:autoSpaceDN w:val="0"/>
        <w:adjustRightInd w:val="0"/>
        <w:spacing w:after="0" w:line="240" w:lineRule="auto"/>
        <w:ind w:left="426" w:hanging="426"/>
        <w:rPr>
          <w:rFonts w:cstheme="minorHAnsi"/>
          <w:color w:val="000000"/>
          <w:highlight w:val="yellow"/>
        </w:rPr>
      </w:pPr>
    </w:p>
    <w:p w14:paraId="51A2E006" w14:textId="3DDEE5F1"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rPr>
        <w:t>16.</w:t>
      </w:r>
      <w:r>
        <w:rPr>
          <w:color w:val="000000"/>
        </w:rPr>
        <w:tab/>
        <w:t>La Secretaría mantuvo una sólida estabilidad financiera en 2023, 2024 y 2025 mediante una gestión financiera eficaz y una supervisión rigurosa, en consonancia con las prácticas financieras establecidas, que han sido validadas por los auditores externos. Los importantes ahorros registrados a finales de 2024 son el resultado de los fondos acumulados no utilizados transferidos del trienio anterior. Se pueden consultar los estados financieros auditados en el sitio web de la Convención y estos se incluyen en los informes financieros al Comité Permanente.</w:t>
      </w:r>
    </w:p>
    <w:p w14:paraId="70793333"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74AE1061" w14:textId="3013FF92"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themeColor="text1"/>
        </w:rPr>
        <w:t>17.</w:t>
      </w:r>
      <w:r>
        <w:tab/>
      </w:r>
      <w:r>
        <w:rPr>
          <w:color w:val="000000" w:themeColor="text1"/>
        </w:rPr>
        <w:t xml:space="preserve">Durante el período abarcado por el informe, la Secretaría concluyó exitosamente el proceso de contratación de cinco miembros del personal, entre ellos un asesor principal para las Américas, tres profesionales subalternos para Asia y Oceanía, Europa y las Américas, y un oficial de apoyo financiero para los humedales financiado a través de un acuerdo de cooperación con el </w:t>
      </w:r>
      <w:r>
        <w:rPr>
          <w:color w:val="000000" w:themeColor="text1"/>
        </w:rPr>
        <w:lastRenderedPageBreak/>
        <w:t>Ministerio de Medioambiente de la República de Corea. Un ejercicio de examen salarial puso de manifiesto disparidades entre la remuneración del personal de la Secretaría y de la UICN, lo que condujo a algunos ajustes salariales dentro de las limitaciones presupuestarias. Además, en 2024 se organizó un retiro del personal utilizando la metodología MBTI para reforzar la colaboración en equipo y mejorar la eficacia del trabajo.</w:t>
      </w:r>
    </w:p>
    <w:p w14:paraId="54B745F5"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1603B76D" w14:textId="77777777" w:rsidR="001724A7" w:rsidRPr="00BF35A0" w:rsidRDefault="001724A7" w:rsidP="00BF35A0">
      <w:pPr>
        <w:keepNext/>
        <w:autoSpaceDE w:val="0"/>
        <w:autoSpaceDN w:val="0"/>
        <w:spacing w:after="0" w:line="240" w:lineRule="auto"/>
        <w:ind w:left="425" w:hanging="425"/>
        <w:outlineLvl w:val="0"/>
        <w:rPr>
          <w:rFonts w:eastAsia="Carlito" w:cstheme="minorHAnsi"/>
          <w:b/>
          <w:bCs/>
        </w:rPr>
      </w:pPr>
      <w:r>
        <w:rPr>
          <w:b/>
          <w:bCs/>
        </w:rPr>
        <w:t>Aumentar la visibilidad y la concienciación en lo que se refiere al carácter central de los humedales en los procesos mundiales</w:t>
      </w:r>
    </w:p>
    <w:p w14:paraId="27A087E6" w14:textId="77777777" w:rsidR="001724A7" w:rsidRPr="00BF35A0" w:rsidRDefault="001724A7" w:rsidP="00BF35A0">
      <w:pPr>
        <w:keepNext/>
        <w:spacing w:after="0" w:line="240" w:lineRule="auto"/>
        <w:ind w:left="425" w:hanging="425"/>
        <w:rPr>
          <w:rFonts w:cstheme="minorHAnsi"/>
          <w:color w:val="000000"/>
        </w:rPr>
      </w:pPr>
    </w:p>
    <w:p w14:paraId="1CE757F2" w14:textId="2A98FA2B" w:rsidR="008A658C" w:rsidRPr="00BF35A0" w:rsidRDefault="00201C38" w:rsidP="00BF35A0">
      <w:pPr>
        <w:autoSpaceDE w:val="0"/>
        <w:autoSpaceDN w:val="0"/>
        <w:adjustRightInd w:val="0"/>
        <w:spacing w:after="0" w:line="240" w:lineRule="auto"/>
        <w:ind w:left="426" w:hanging="426"/>
        <w:rPr>
          <w:rFonts w:cstheme="minorHAnsi"/>
          <w:color w:val="000000"/>
        </w:rPr>
      </w:pPr>
      <w:r>
        <w:rPr>
          <w:color w:val="000000"/>
        </w:rPr>
        <w:t>18.</w:t>
      </w:r>
      <w:r>
        <w:rPr>
          <w:color w:val="000000"/>
        </w:rPr>
        <w:tab/>
        <w:t>Aumentar la visibilidad y la concienciación en relación con el papel vital de los humedales en los procesos a escala mundial es esencial para abordar las crisis interconectadas del cambio climático, la pérdida de biodiversidad y la contaminación. Por consiguiente, es indispensable promover la importancia de proteger, conservar y restaurar los humedales a fin de impulsar las acciones urgentes necesarias para hacer frente a todos estos retos.</w:t>
      </w:r>
    </w:p>
    <w:p w14:paraId="113679D7" w14:textId="77777777" w:rsidR="008A658C" w:rsidRPr="00BF35A0" w:rsidRDefault="008A658C" w:rsidP="00BF35A0">
      <w:pPr>
        <w:autoSpaceDE w:val="0"/>
        <w:autoSpaceDN w:val="0"/>
        <w:adjustRightInd w:val="0"/>
        <w:spacing w:after="0" w:line="240" w:lineRule="auto"/>
        <w:ind w:left="426" w:hanging="426"/>
        <w:rPr>
          <w:rFonts w:cstheme="minorHAnsi"/>
          <w:color w:val="000000"/>
        </w:rPr>
      </w:pPr>
    </w:p>
    <w:p w14:paraId="1B27B7EF" w14:textId="6348E5F0" w:rsidR="00510930" w:rsidRPr="00BF35A0" w:rsidRDefault="00201C38" w:rsidP="00BF35A0">
      <w:pPr>
        <w:autoSpaceDE w:val="0"/>
        <w:autoSpaceDN w:val="0"/>
        <w:adjustRightInd w:val="0"/>
        <w:spacing w:after="0" w:line="240" w:lineRule="auto"/>
        <w:ind w:left="426" w:hanging="426"/>
        <w:rPr>
          <w:rFonts w:cstheme="minorHAnsi"/>
          <w:color w:val="000000"/>
        </w:rPr>
      </w:pPr>
      <w:r>
        <w:rPr>
          <w:color w:val="000000"/>
        </w:rPr>
        <w:t>19.</w:t>
      </w:r>
      <w:r>
        <w:rPr>
          <w:color w:val="000000"/>
        </w:rPr>
        <w:tab/>
        <w:t xml:space="preserve">Durante sus misiones, la Secretaria General tuvo la oportunidad de reunirse con varios Jefes de Estado. </w:t>
      </w:r>
      <w:r>
        <w:t>En agosto de 2023, al margen de la Décima Sesión Especial de la Conferencia Ministerial Africana sobre el Medioambiente (AMCEN) en Etiopía, mantuvo una reunión protocolar con el entonces Presidente de Etiopía, S.E.</w:t>
      </w:r>
      <w:r>
        <w:rPr>
          <w:color w:val="000000"/>
        </w:rPr>
        <w:t xml:space="preserve"> Sahle-Work Zewde. El intercambio se centró en la importancia de los humedales en Etiopía, a pesar de que el país aún no es Parte Contratante en la Convención.</w:t>
      </w:r>
      <w:r>
        <w:t xml:space="preserve"> </w:t>
      </w:r>
      <w:r>
        <w:rPr>
          <w:color w:val="000000"/>
        </w:rPr>
        <w:t>En la UNEA-6 también se organizó una reunión protocolar con el Presidente del Gabón, S.E. Brice Clotaire Oligui Nguema. Habida cuenta de que el Gabón ocupa la Vicepresidencia del Comité Permanente, la reunión brindó la oportunidad de reforzar la colaboración y reafirmar el compromiso a alto nivel.</w:t>
      </w:r>
    </w:p>
    <w:p w14:paraId="79194A49" w14:textId="77777777" w:rsidR="00510930" w:rsidRPr="00BF35A0" w:rsidRDefault="00510930" w:rsidP="00BF35A0">
      <w:pPr>
        <w:autoSpaceDE w:val="0"/>
        <w:autoSpaceDN w:val="0"/>
        <w:adjustRightInd w:val="0"/>
        <w:spacing w:after="0" w:line="240" w:lineRule="auto"/>
        <w:ind w:left="426" w:hanging="426"/>
        <w:rPr>
          <w:rFonts w:cstheme="minorHAnsi"/>
          <w:color w:val="000000"/>
        </w:rPr>
      </w:pPr>
    </w:p>
    <w:p w14:paraId="609BC411" w14:textId="5FCADF79" w:rsidR="00E33086" w:rsidRPr="00BF35A0" w:rsidRDefault="00201C38" w:rsidP="00BF35A0">
      <w:pPr>
        <w:autoSpaceDE w:val="0"/>
        <w:autoSpaceDN w:val="0"/>
        <w:adjustRightInd w:val="0"/>
        <w:spacing w:after="0" w:line="240" w:lineRule="auto"/>
        <w:ind w:left="426" w:hanging="426"/>
        <w:rPr>
          <w:rFonts w:cstheme="minorHAnsi"/>
          <w:color w:val="000000"/>
        </w:rPr>
      </w:pPr>
      <w:r>
        <w:rPr>
          <w:color w:val="000000"/>
        </w:rPr>
        <w:t>20.</w:t>
      </w:r>
      <w:r>
        <w:rPr>
          <w:color w:val="000000"/>
        </w:rPr>
        <w:tab/>
        <w:t>En el 10º Foro Mundial del Agua celebrado en Indonesia, en mayo de 2024, la Secretaria General fue invitada por el Presidente de Indonesia, S.E. Joko Widodo, a formar parte de una delegación de alto nivel que visitó el mayor vivero de manglares del país, en la isla de Bali. En junio de 2024, al margen de la Conferencia del Agua de Dushanbe (Tayikistán), también mantuvo una reunión con S. E. Kanat Bozumbayev, Viceprimer Ministro de la República de Kazajstán.</w:t>
      </w:r>
    </w:p>
    <w:p w14:paraId="61E24954" w14:textId="77777777" w:rsidR="00E33086" w:rsidRPr="00BF35A0" w:rsidRDefault="00E33086" w:rsidP="00BF35A0">
      <w:pPr>
        <w:autoSpaceDE w:val="0"/>
        <w:autoSpaceDN w:val="0"/>
        <w:adjustRightInd w:val="0"/>
        <w:spacing w:after="0" w:line="240" w:lineRule="auto"/>
        <w:ind w:left="426" w:hanging="426"/>
        <w:rPr>
          <w:rFonts w:cstheme="minorHAnsi"/>
          <w:color w:val="000000"/>
        </w:rPr>
      </w:pPr>
    </w:p>
    <w:p w14:paraId="6C409276" w14:textId="569AE588" w:rsidR="00D61186" w:rsidRPr="00BF35A0" w:rsidRDefault="00201C38" w:rsidP="00BF35A0">
      <w:pPr>
        <w:autoSpaceDE w:val="0"/>
        <w:autoSpaceDN w:val="0"/>
        <w:adjustRightInd w:val="0"/>
        <w:spacing w:after="0" w:line="240" w:lineRule="auto"/>
        <w:ind w:left="426" w:hanging="426"/>
        <w:rPr>
          <w:rFonts w:cstheme="minorHAnsi"/>
          <w:color w:val="000000"/>
        </w:rPr>
      </w:pPr>
      <w:r>
        <w:rPr>
          <w:color w:val="000000"/>
        </w:rPr>
        <w:t>21.</w:t>
      </w:r>
      <w:r>
        <w:rPr>
          <w:color w:val="000000"/>
        </w:rPr>
        <w:tab/>
        <w:t xml:space="preserve">Para reforzar la conexión entre los ministerios en los que se encuentran las autoridades administrativas y los coordinadores nacionales de la Convención y los Ministerios de Asuntos Exteriores que impulsan la diplomacia, desde 2023 la Secretaría comparte información con los Embajadores y Representantes Permanentes con sede en Suiza. En los últimos 18 meses, 24 embajadores han visitado la sede de la Secretaría en Gland, y se han celebrado tres importantes sesiones informativas en las oficinas de la ONU en Ginebra, dirigidas a embajadores y jefes de organismos de las Naciones Unidas. Estos esfuerzos han mejorado las sinergias entre los ministerios y han aumentado la visibilidad de la Convención. </w:t>
      </w:r>
    </w:p>
    <w:p w14:paraId="55925F37"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6B5BA24F" w14:textId="641305A4"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rPr>
        <w:t>22.</w:t>
      </w:r>
      <w:r>
        <w:rPr>
          <w:color w:val="000000"/>
        </w:rPr>
        <w:tab/>
        <w:t>Lanzado en julio de 2023, el sitio web actualizado de la Convención se caracteriza por una mayor accesibilidad, velocidad y seguridad, al tiempo que mantiene un diseño moderno y fácil de usar, optimizado para diversos dispositivos. Construido con la última versión del sistema de gestión de contenidos Drupal, el nuevo sitio permite una gestión eficaz de los contenidos y un mantenimiento a largo plazo. La Secretaría ha ampliado la sección de noticias con artículos dedicados a temas relacionados con los humedales, publicando actualizaciones semanales para ofrecer información en profundidad. Las Partes Contratantes han valorado positivamente el sitio web.</w:t>
      </w:r>
    </w:p>
    <w:p w14:paraId="356EAF08"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723D82F8" w14:textId="450EE893"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rPr>
        <w:lastRenderedPageBreak/>
        <w:t>23.</w:t>
      </w:r>
      <w:r>
        <w:rPr>
          <w:color w:val="000000"/>
        </w:rPr>
        <w:tab/>
      </w:r>
      <w:r>
        <w:t>A lo largo del periodo cubierto por el informe, la Convención ha mantenido una presencia activa en las redes sociales, con 34 980 seguidores en X, 12 894 en Instagram, 156 000 en Facebook y 18 720 en LinkedIn.</w:t>
      </w:r>
      <w:r>
        <w:rPr>
          <w:color w:val="000000"/>
        </w:rPr>
        <w:t xml:space="preserve"> Además, recientemente se ha expandido su presencia a Bluesky, consiguiendo 1 800 seguidores, mientras que su canal de YouTube cuenta con 4 400 suscriptores. La Secretaria General es especialmente activa en X, LinkedIn y Facebook, donde cuenta con 12 486 seguidores y comparte periódicamente información actualizada sobre reuniones y perspectivas sobre los humedales en la agenda mundial. Con el objetivo de mejorar la conservación de los humedales, la Convención publica a diario contenidos, que comparten regularmente otras Convenciones, organismos de las Naciones Unidas, así como ONG. </w:t>
      </w:r>
    </w:p>
    <w:p w14:paraId="3CD665B8" w14:textId="77777777" w:rsidR="001724A7" w:rsidRPr="00BF35A0" w:rsidRDefault="001724A7" w:rsidP="00BF35A0">
      <w:pPr>
        <w:autoSpaceDE w:val="0"/>
        <w:autoSpaceDN w:val="0"/>
        <w:adjustRightInd w:val="0"/>
        <w:spacing w:after="0" w:line="240" w:lineRule="auto"/>
        <w:ind w:left="426" w:hanging="426"/>
        <w:rPr>
          <w:rFonts w:cstheme="minorHAnsi"/>
          <w:color w:val="000000"/>
        </w:rPr>
      </w:pPr>
    </w:p>
    <w:p w14:paraId="16BD9B59" w14:textId="3C448242" w:rsidR="00BF35A0" w:rsidRDefault="00201C38" w:rsidP="00BF35A0">
      <w:pPr>
        <w:autoSpaceDE w:val="0"/>
        <w:autoSpaceDN w:val="0"/>
        <w:adjustRightInd w:val="0"/>
        <w:spacing w:after="0" w:line="240" w:lineRule="auto"/>
        <w:ind w:left="426" w:hanging="426"/>
        <w:rPr>
          <w:rFonts w:cstheme="minorHAnsi"/>
          <w:color w:val="000000"/>
        </w:rPr>
      </w:pPr>
      <w:r>
        <w:rPr>
          <w:color w:val="000000"/>
        </w:rPr>
        <w:t>24.</w:t>
      </w:r>
      <w:r>
        <w:rPr>
          <w:color w:val="000000"/>
        </w:rPr>
        <w:tab/>
        <w:t>Las celebraciones del Día Mundial de los Humedales (DMH) siguen centrando la atención en importantes cuestiones relacionadas con los humedales. Entre los temas tratados durante el periodo abarcado por el informe figuran: "Es hora de restaurar los humedales" (2023) "Los humedales y el bienestar humano" (2024) y "Proteger los humedales para nuestro futuro común" (2025).</w:t>
      </w:r>
      <w:r>
        <w:t xml:space="preserve"> </w:t>
      </w:r>
      <w:r>
        <w:rPr>
          <w:color w:val="000000"/>
        </w:rPr>
        <w:t xml:space="preserve">A lo largo de este período, se registró el siguiente número de eventos en el mapa que les está dedicado: </w:t>
      </w:r>
    </w:p>
    <w:p w14:paraId="29B7D232" w14:textId="4263E895"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2025: 1 975 eventos en 80 países;</w:t>
      </w:r>
    </w:p>
    <w:p w14:paraId="50519AF0" w14:textId="36333124"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2024: 1 570 eventos en 81 países;</w:t>
      </w:r>
    </w:p>
    <w:p w14:paraId="63871AB9" w14:textId="257A2277" w:rsidR="00BF35A0" w:rsidRPr="00BF35A0" w:rsidRDefault="00702937" w:rsidP="00BF35A0">
      <w:pPr>
        <w:pStyle w:val="ListParagraph"/>
        <w:numPr>
          <w:ilvl w:val="0"/>
          <w:numId w:val="9"/>
        </w:numPr>
        <w:autoSpaceDE w:val="0"/>
        <w:autoSpaceDN w:val="0"/>
        <w:adjustRightInd w:val="0"/>
        <w:spacing w:after="0" w:line="240" w:lineRule="auto"/>
        <w:ind w:left="851" w:hanging="425"/>
        <w:rPr>
          <w:rFonts w:cstheme="minorHAnsi"/>
          <w:color w:val="000000"/>
        </w:rPr>
      </w:pPr>
      <w:r>
        <w:rPr>
          <w:color w:val="000000"/>
        </w:rPr>
        <w:t>2023: 1 817 eventos en 81 países.</w:t>
      </w:r>
    </w:p>
    <w:p w14:paraId="6EC51E0E" w14:textId="77777777" w:rsidR="00BF35A0" w:rsidRDefault="00BF35A0" w:rsidP="00BF35A0">
      <w:pPr>
        <w:autoSpaceDE w:val="0"/>
        <w:autoSpaceDN w:val="0"/>
        <w:adjustRightInd w:val="0"/>
        <w:spacing w:after="0" w:line="240" w:lineRule="auto"/>
        <w:ind w:left="426" w:hanging="426"/>
        <w:rPr>
          <w:rFonts w:cstheme="minorHAnsi"/>
          <w:color w:val="000000"/>
        </w:rPr>
      </w:pPr>
    </w:p>
    <w:p w14:paraId="080926FA" w14:textId="61622668" w:rsidR="001724A7" w:rsidRPr="00BF35A0" w:rsidRDefault="00201C38" w:rsidP="00BF35A0">
      <w:pPr>
        <w:autoSpaceDE w:val="0"/>
        <w:autoSpaceDN w:val="0"/>
        <w:adjustRightInd w:val="0"/>
        <w:spacing w:after="0" w:line="240" w:lineRule="auto"/>
        <w:ind w:left="426" w:hanging="426"/>
        <w:rPr>
          <w:rFonts w:cstheme="minorHAnsi"/>
          <w:color w:val="000000"/>
        </w:rPr>
      </w:pPr>
      <w:r>
        <w:rPr>
          <w:color w:val="000000"/>
        </w:rPr>
        <w:t>25.</w:t>
      </w:r>
      <w:r>
        <w:rPr>
          <w:color w:val="000000"/>
        </w:rPr>
        <w:tab/>
        <w:t>De 2023 a 2025, se desplegó estratégicamente la campaña del DMH a través de plataformas de medios sociales, logrando un éxito notable. En 2023, esta campaña alcanzó la impresionante cifra de 3 130 millones de usuarios potenciales, en 2024 llegó a los 2 500 millones de usuarios potenciales y en 2025 esta cifra se disparó hasta alcanzar los 6 720 millones, ampliando significativamente la concienciación y la involucración en la misma. Además, el 2 de febrero de 2025, el Día Mundial de los Humedales fue tendencia en plataformas como X e Instagram, generando visibilidad.</w:t>
      </w:r>
    </w:p>
    <w:p w14:paraId="62290435" w14:textId="77777777" w:rsidR="001724A7" w:rsidRPr="00BF35A0" w:rsidRDefault="001724A7" w:rsidP="00BF35A0">
      <w:pPr>
        <w:spacing w:after="0" w:line="240" w:lineRule="auto"/>
        <w:ind w:left="426" w:hanging="426"/>
        <w:rPr>
          <w:rFonts w:cstheme="minorHAnsi"/>
          <w:color w:val="000000"/>
        </w:rPr>
      </w:pPr>
    </w:p>
    <w:p w14:paraId="5A9358B8" w14:textId="42FDFB4B" w:rsidR="001724A7" w:rsidRPr="00BF35A0" w:rsidRDefault="00201C38" w:rsidP="00BF35A0">
      <w:pPr>
        <w:spacing w:after="0" w:line="240" w:lineRule="auto"/>
        <w:ind w:left="426" w:hanging="426"/>
        <w:rPr>
          <w:rFonts w:eastAsia="Times New Roman" w:cstheme="minorHAnsi"/>
        </w:rPr>
      </w:pPr>
      <w:r>
        <w:rPr>
          <w:color w:val="000000"/>
        </w:rPr>
        <w:t>26.</w:t>
      </w:r>
      <w:r>
        <w:rPr>
          <w:color w:val="000000"/>
        </w:rPr>
        <w:tab/>
      </w:r>
      <w:r>
        <w:t xml:space="preserve">La Secretaría sigue aprovechando eficazmente los días internacionales anuales para poner de relieve la importancia crítica de los humedales tanto para el planeta como para sus habitantes. Con motivo de los días internacionales, como el Día Internacional de la Mujer (8 de marzo), el Día Mundial del Agua (22 de marzo), el Día Internacional de la Diversidad Biológica (22 de mayo), el Día Mundial del Medioambiente (5 de junio), el Día Mundial de los Océanos (8 de junio) y el Día Mundial de Lucha contra la Desertificación y la Sequía (17 de junio), la Secretaría compartió declaraciones de la Secretaria General en vídeo y textos y elaboró contenidos específicos para cada evento en las redes sociales. Además, la Secretaria General fue invitada a varias sesiones, en las que tuvo el honor de inaugurar las celebraciones como oradora invitada. En particular, la Secretaria General busca activamente oportunidades de colaborar con los medios de comunicación internacionales para concienciar sobre los humedales. </w:t>
      </w:r>
    </w:p>
    <w:p w14:paraId="61BF6129" w14:textId="77777777" w:rsidR="001724A7" w:rsidRPr="00BF35A0" w:rsidRDefault="001724A7" w:rsidP="00BF35A0">
      <w:pPr>
        <w:spacing w:after="0" w:line="240" w:lineRule="auto"/>
        <w:rPr>
          <w:rFonts w:eastAsia="Times New Roman" w:cstheme="minorHAnsi"/>
          <w:b/>
          <w:lang w:eastAsia="fr-FR"/>
        </w:rPr>
      </w:pPr>
    </w:p>
    <w:p w14:paraId="05FF4554" w14:textId="3CEFF720" w:rsidR="001724A7" w:rsidRPr="00BF35A0" w:rsidRDefault="00201C38" w:rsidP="00BF35A0">
      <w:pPr>
        <w:spacing w:after="0" w:line="240" w:lineRule="auto"/>
        <w:ind w:left="426" w:hanging="426"/>
        <w:rPr>
          <w:rFonts w:eastAsia="Times New Roman" w:cstheme="minorHAnsi"/>
        </w:rPr>
      </w:pPr>
      <w:r>
        <w:t>27.</w:t>
      </w:r>
      <w:r>
        <w:tab/>
        <w:t>En 2024, se solicitaron candidaturas para los Premios Ramsar a la Conservación de los Humedales, que se entregarán en la COP15 para reconocer y honrar los logros de personas en favor de la conservación y el uso racional de los humedales. El Grupo Danone ha concedido un Premio Especial Evian de 10 000 dólares de los EE. UU. para cada una de las tres categorías premiadas:</w:t>
      </w:r>
      <w:r>
        <w:br/>
      </w:r>
    </w:p>
    <w:p w14:paraId="2D135C6B" w14:textId="2CE6C9A0" w:rsidR="001724A7" w:rsidRPr="00BF35A0" w:rsidRDefault="001724A7" w:rsidP="00BF35A0">
      <w:pPr>
        <w:pStyle w:val="ListParagraph"/>
        <w:numPr>
          <w:ilvl w:val="0"/>
          <w:numId w:val="5"/>
        </w:numPr>
        <w:spacing w:after="0" w:line="240" w:lineRule="auto"/>
        <w:rPr>
          <w:rFonts w:eastAsia="Times New Roman" w:cstheme="minorHAnsi"/>
        </w:rPr>
      </w:pPr>
      <w:r>
        <w:rPr>
          <w:b/>
          <w:bCs/>
        </w:rPr>
        <w:t>Premio Ramsar a la Innovación en la Conservación de los Humedales: Laura González (Panamá)</w:t>
      </w:r>
      <w:r>
        <w:t>, Directora Ejecutiva de Marea Verde, por ser pionera del Sistema Wanda, un sistema fluvial de captura de residuos que ha evitado que más de 240 000 kilogramos de plástico contaminante lleguen a la bahía de Panamá.</w:t>
      </w:r>
      <w:r>
        <w:br/>
      </w:r>
    </w:p>
    <w:p w14:paraId="5ACD317D" w14:textId="2A3F9189" w:rsidR="001724A7" w:rsidRPr="00BF35A0" w:rsidRDefault="001724A7" w:rsidP="00BF35A0">
      <w:pPr>
        <w:numPr>
          <w:ilvl w:val="0"/>
          <w:numId w:val="4"/>
        </w:numPr>
        <w:spacing w:after="0" w:line="240" w:lineRule="auto"/>
        <w:rPr>
          <w:rFonts w:eastAsia="Times New Roman" w:cstheme="minorHAnsi"/>
        </w:rPr>
      </w:pPr>
      <w:r>
        <w:rPr>
          <w:b/>
          <w:bCs/>
        </w:rPr>
        <w:lastRenderedPageBreak/>
        <w:t>Premio Ramsar a la Conservación de los Humedales a Jóvenes Defensores de los Humedales: Iman Ebrahimi (Irán [República Islámica del])</w:t>
      </w:r>
      <w:r>
        <w:t>, fundador de la Avaye Boom Bird Conservation Society, por su liderazgo en la implicación de las comunidades y la conservación de humedales clave, como Arjan, Shidvar y Gavkhouni.</w:t>
      </w:r>
      <w:r>
        <w:br/>
      </w:r>
    </w:p>
    <w:p w14:paraId="0CF0603B" w14:textId="0258ADC3" w:rsidR="001724A7" w:rsidRPr="00BF35A0" w:rsidRDefault="001724A7" w:rsidP="00BF35A0">
      <w:pPr>
        <w:numPr>
          <w:ilvl w:val="0"/>
          <w:numId w:val="4"/>
        </w:numPr>
        <w:spacing w:after="0" w:line="240" w:lineRule="auto"/>
        <w:rPr>
          <w:rFonts w:eastAsia="Times New Roman" w:cstheme="minorHAnsi"/>
        </w:rPr>
      </w:pPr>
      <w:r>
        <w:rPr>
          <w:b/>
          <w:bCs/>
        </w:rPr>
        <w:t>Premio Ramsar a la Conservación y el Uso Racional de los Humedales por los Pueblos Indígenas: Dayana Blanco Quiroga (Bolivia [Estado Plurinacional de])</w:t>
      </w:r>
      <w:r>
        <w:t>, por su destacada labor de restauración del lago Uru Uru utilizando conocimientos indígenas y soluciones basadas en la naturaleza, al tiempo que se empodera a las mujeres y los jóvenes a nivel local.</w:t>
      </w:r>
    </w:p>
    <w:p w14:paraId="7CA86669" w14:textId="77777777" w:rsidR="001724A7" w:rsidRPr="00BF35A0" w:rsidRDefault="001724A7" w:rsidP="00BF35A0">
      <w:pPr>
        <w:spacing w:after="0" w:line="240" w:lineRule="auto"/>
        <w:ind w:left="426" w:hanging="426"/>
        <w:rPr>
          <w:rFonts w:eastAsia="Times New Roman" w:cstheme="minorHAnsi"/>
          <w:lang w:eastAsia="fr-FR"/>
        </w:rPr>
      </w:pPr>
    </w:p>
    <w:p w14:paraId="636DC613" w14:textId="33A99165" w:rsidR="001724A7" w:rsidRPr="00BF35A0" w:rsidRDefault="00201C38" w:rsidP="00BF35A0">
      <w:pPr>
        <w:spacing w:after="0" w:line="240" w:lineRule="auto"/>
        <w:ind w:left="426" w:hanging="426"/>
        <w:rPr>
          <w:rFonts w:eastAsia="Times New Roman" w:cstheme="minorHAnsi"/>
        </w:rPr>
      </w:pPr>
      <w:r>
        <w:t>28.</w:t>
      </w:r>
      <w:r>
        <w:tab/>
        <w:t>La Secretaría participa activamente en las reuniones en línea de la “Flotilla de Comunicaciones” organizada por la Secretaría del Convenio sobre la Diversidad Biológica (CDB). El objetivo de esta iniciativa es coordinar las comunicaciones y crear sinergias entre las distintas convenciones y organizaciones relacionadas con la biodiversidad. El grupo desempeña un papel decisivo en el apoyo y el avance de las actividades de divulgación en relación con el DMH y la COP15. Además, la Secretaría ha creado un grupo participativo en materia de comunicación en colaboración con las OIA.</w:t>
      </w:r>
    </w:p>
    <w:p w14:paraId="0554B187" w14:textId="77777777" w:rsidR="001724A7" w:rsidRPr="00BF35A0" w:rsidRDefault="001724A7" w:rsidP="00BF35A0">
      <w:pPr>
        <w:spacing w:after="0" w:line="240" w:lineRule="auto"/>
        <w:ind w:left="426" w:hanging="426"/>
        <w:rPr>
          <w:rFonts w:eastAsia="Times New Roman" w:cstheme="minorHAnsi"/>
          <w:lang w:eastAsia="fr-FR"/>
        </w:rPr>
      </w:pPr>
    </w:p>
    <w:p w14:paraId="1D2B4DBB" w14:textId="4447EC60" w:rsidR="001724A7" w:rsidRPr="00BF35A0" w:rsidRDefault="00201C38" w:rsidP="00BF35A0">
      <w:pPr>
        <w:spacing w:after="0" w:line="240" w:lineRule="auto"/>
        <w:ind w:left="426" w:hanging="426"/>
        <w:rPr>
          <w:rFonts w:eastAsia="Carlito" w:cstheme="minorHAnsi"/>
        </w:rPr>
      </w:pPr>
      <w:r>
        <w:t>29.</w:t>
      </w:r>
      <w:r>
        <w:tab/>
        <w:t xml:space="preserve">Mediante la implementación de su estrategia de comunicación, la Secretaría produce contenidos informativos, actuales y pertinentes que los asociados y las partes interesadas pueden difundir eficazmente. Un elemento central de este enfoque es la creación de relatos impactantes, dando visibilidad a los "campeones de los humedales" para fomentar la comprensión e inspirar la acción en favor de la conservación de los humedales. </w:t>
      </w:r>
    </w:p>
    <w:p w14:paraId="2151AF90" w14:textId="77777777" w:rsidR="001724A7" w:rsidRPr="00BF35A0" w:rsidRDefault="001724A7" w:rsidP="00BF35A0">
      <w:pPr>
        <w:spacing w:after="0" w:line="240" w:lineRule="auto"/>
        <w:rPr>
          <w:rFonts w:cstheme="minorHAnsi"/>
        </w:rPr>
      </w:pPr>
    </w:p>
    <w:p w14:paraId="55C8FCBB" w14:textId="0DFBE259" w:rsidR="001724A7" w:rsidRPr="00BF35A0" w:rsidRDefault="00201C38" w:rsidP="00BF35A0">
      <w:pPr>
        <w:spacing w:after="0" w:line="240" w:lineRule="auto"/>
        <w:ind w:left="426" w:hanging="426"/>
        <w:rPr>
          <w:rFonts w:eastAsia="Times New Roman" w:cstheme="minorHAnsi"/>
        </w:rPr>
      </w:pPr>
      <w:r>
        <w:t>30.</w:t>
      </w:r>
      <w:r>
        <w:tab/>
        <w:t>Como parte de este compromiso, la Secretaría está compartiendo activamente historias a través de la campaña "Mujeres artífices del cambio en el ámbito de los humedales", que celebra el importante papel que desempeñan las mujeres en la conservación de los humedales. Presentado el Día Internacional de la Mujer 2024, el grupo inaugural incluía a 12 mujeres notables cuyos esfuerzos han contribuido significativamente a la conservación y el uso sostenible de los humedales. En 2025, se ha continuado esta campaña para rendir homenaje a mujeres líderes destacadas. Esta iniciativa pone de manifiesto el compromiso de la Secretaría de destacar la contribución esencial de las mujeres a la salvaguardia de los ecosistemas de humedales.</w:t>
      </w:r>
    </w:p>
    <w:p w14:paraId="1A946E79" w14:textId="77777777" w:rsidR="001724A7" w:rsidRPr="00BF35A0" w:rsidRDefault="001724A7" w:rsidP="00BF35A0">
      <w:pPr>
        <w:spacing w:after="0" w:line="240" w:lineRule="auto"/>
        <w:rPr>
          <w:rFonts w:eastAsia="Times New Roman" w:cstheme="minorHAnsi"/>
          <w:lang w:eastAsia="fr-FR"/>
        </w:rPr>
      </w:pPr>
    </w:p>
    <w:p w14:paraId="4B5ED7F2" w14:textId="77777777" w:rsidR="001724A7" w:rsidRDefault="001724A7" w:rsidP="00BF35A0">
      <w:pPr>
        <w:keepNext/>
        <w:tabs>
          <w:tab w:val="left" w:pos="647"/>
        </w:tabs>
        <w:spacing w:after="0" w:line="240" w:lineRule="auto"/>
        <w:rPr>
          <w:rFonts w:cstheme="minorHAnsi"/>
          <w:b/>
          <w:bCs/>
        </w:rPr>
      </w:pPr>
      <w:r>
        <w:rPr>
          <w:b/>
          <w:bCs/>
        </w:rPr>
        <w:t>Colaborar para lograr los Objetivos de Desarrollo Sostenible (ODS) y otros objetivos mundiales, y fomentar el multilateralismo.</w:t>
      </w:r>
    </w:p>
    <w:p w14:paraId="0F792516" w14:textId="77777777" w:rsidR="00BF35A0" w:rsidRPr="00BF35A0" w:rsidRDefault="00BF35A0" w:rsidP="00BF35A0">
      <w:pPr>
        <w:keepNext/>
        <w:tabs>
          <w:tab w:val="left" w:pos="647"/>
        </w:tabs>
        <w:spacing w:after="0" w:line="240" w:lineRule="auto"/>
        <w:rPr>
          <w:rFonts w:cstheme="minorHAnsi"/>
          <w:b/>
          <w:bCs/>
        </w:rPr>
      </w:pPr>
    </w:p>
    <w:p w14:paraId="108F3D67" w14:textId="25987FF6"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sz w:val="22"/>
          <w:szCs w:val="22"/>
        </w:rPr>
        <w:t>31.</w:t>
      </w:r>
      <w:r>
        <w:rPr>
          <w:rFonts w:asciiTheme="minorHAnsi" w:hAnsiTheme="minorHAnsi"/>
          <w:sz w:val="22"/>
          <w:szCs w:val="22"/>
        </w:rPr>
        <w:tab/>
        <w:t>Las Partes Contratantes han manifestado su deseo de que la Secretaría, en representación de la Convención, participe activamente en la agenda política mundial más amplia. Esto está en consonancia con la aplicación de la Resolución XIV.6, que se centra en mejorar la visibilidad de la Convención y reforzar las sinergias con otros acuerdos ambientales multilaterales e instituciones internacionales. Con este fin, la Secretaría sigue priorizando su trabajo para apoyar la cooperación internacional y realzar la importancia de los humedales y de la Convención en la agenda política mundial. La Agenda 2030 para el Desarrollo Sostenible y sus Objetivos de Desarrollo Sostenible (ODS), el Acuerdo de París sobre el cambio climático y el Marco Mundial de Biodiversidad de Kunming-Montreal están impulsando los esfuerzos nacionales e internacionales de planificación y financiación. El creciente interés garantiza que los humedales y la labor de las Partes Contratantes en el marco de la Convención contribuyan a estos marcos normativos.</w:t>
      </w:r>
    </w:p>
    <w:p w14:paraId="62334DC4" w14:textId="77777777" w:rsidR="001724A7" w:rsidRPr="00BF35A0" w:rsidRDefault="001724A7" w:rsidP="00BF35A0">
      <w:pPr>
        <w:pStyle w:val="Default"/>
        <w:ind w:left="426" w:hanging="426"/>
        <w:rPr>
          <w:rFonts w:asciiTheme="minorHAnsi" w:hAnsiTheme="minorHAnsi" w:cstheme="minorHAnsi"/>
          <w:sz w:val="22"/>
          <w:szCs w:val="22"/>
        </w:rPr>
      </w:pPr>
    </w:p>
    <w:p w14:paraId="653B3EA1" w14:textId="7ECE01FF"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sz w:val="22"/>
          <w:szCs w:val="22"/>
        </w:rPr>
        <w:lastRenderedPageBreak/>
        <w:t>32.</w:t>
      </w:r>
      <w:r>
        <w:rPr>
          <w:rFonts w:asciiTheme="minorHAnsi" w:hAnsiTheme="minorHAnsi"/>
          <w:sz w:val="22"/>
          <w:szCs w:val="22"/>
        </w:rPr>
        <w:tab/>
        <w:t>La Secretaría sigue reforzando su implicación en la agenda política mundial, defendiendo el papel fundamental de los humedales para hacer frente al cambio climático, la pérdida de biodiversidad y la seguridad hídrica. La Secretaria General encabezó las delegaciones que asistieron a los principales eventos internacionales, como la UNEA-6, la COP28 de la CMNUCC, el 10° Foro Mundial del Agua y la Décima Sesión Especial de la AMCEN. En estos eventos, destacó las contribuciones de la Convención al desarrollo sostenible e instó a una mayor integración de los humedales en las políticas medioambientales mundiales.</w:t>
      </w:r>
    </w:p>
    <w:p w14:paraId="2CDE8BF1" w14:textId="77777777" w:rsidR="001724A7" w:rsidRPr="00BF35A0" w:rsidRDefault="001724A7" w:rsidP="00BF35A0">
      <w:pPr>
        <w:pStyle w:val="Default"/>
        <w:ind w:left="426" w:hanging="426"/>
        <w:rPr>
          <w:rFonts w:asciiTheme="minorHAnsi" w:eastAsia="Times New Roman" w:hAnsiTheme="minorHAnsi" w:cstheme="minorHAnsi"/>
          <w:color w:val="auto"/>
          <w:sz w:val="22"/>
          <w:szCs w:val="22"/>
          <w:lang w:eastAsia="fr-FR"/>
        </w:rPr>
      </w:pPr>
    </w:p>
    <w:p w14:paraId="70AB7424" w14:textId="5FBA37DA"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sz w:val="22"/>
          <w:szCs w:val="22"/>
        </w:rPr>
        <w:t>33.</w:t>
      </w:r>
      <w:r>
        <w:rPr>
          <w:rFonts w:asciiTheme="minorHAnsi" w:hAnsiTheme="minorHAnsi"/>
          <w:sz w:val="22"/>
          <w:szCs w:val="22"/>
        </w:rPr>
        <w:tab/>
        <w:t>En mayo de 2024, la Secretaria General llevó a cabo una misión de alto nivel en Asia Oriental, en la que se reunió con los principales interesados de Japón, Indonesia y la República de Corea para reforzar la colaboración regional en materia de conservación de humedales. En junio de 2024, visitó la sede de la Unión Europea en Bruselas (Bélgica) para abogar por un mayor número de asociaciones de colaboración entre la Convención sobre los Humedales y las instituciones de la UE.</w:t>
      </w:r>
      <w:r w:rsidR="00A45788">
        <w:rPr>
          <w:rFonts w:asciiTheme="minorHAnsi" w:hAnsiTheme="minorHAnsi"/>
          <w:sz w:val="22"/>
          <w:szCs w:val="22"/>
        </w:rPr>
        <w:t xml:space="preserve"> </w:t>
      </w:r>
      <w:r>
        <w:rPr>
          <w:rFonts w:asciiTheme="minorHAnsi" w:hAnsiTheme="minorHAnsi"/>
          <w:sz w:val="22"/>
          <w:szCs w:val="22"/>
        </w:rPr>
        <w:t>La Secretaría también sigue estrechando su relación con las Misiones Permanentes ante las Naciones Unidas con sede en Ginebra y sus organismos mediante sesiones informativas y reuniones bilaterales, garantizando que los humedales sigan siendo una prioridad en la agenda mundial.</w:t>
      </w:r>
    </w:p>
    <w:p w14:paraId="7C936FE0" w14:textId="77777777" w:rsidR="001724A7" w:rsidRPr="00BF35A0" w:rsidRDefault="001724A7" w:rsidP="00BF35A0">
      <w:pPr>
        <w:pStyle w:val="Default"/>
        <w:ind w:left="426" w:hanging="426"/>
        <w:rPr>
          <w:rFonts w:asciiTheme="minorHAnsi" w:hAnsiTheme="minorHAnsi" w:cstheme="minorHAnsi"/>
          <w:sz w:val="22"/>
          <w:szCs w:val="22"/>
        </w:rPr>
      </w:pPr>
    </w:p>
    <w:p w14:paraId="3F37ECAC" w14:textId="7BC9E54C" w:rsidR="001724A7" w:rsidRPr="00BF35A0" w:rsidRDefault="00201C38" w:rsidP="00BF35A0">
      <w:pPr>
        <w:spacing w:after="0" w:line="240" w:lineRule="auto"/>
        <w:ind w:left="426" w:hanging="426"/>
        <w:rPr>
          <w:rFonts w:cstheme="minorHAnsi"/>
        </w:rPr>
      </w:pPr>
      <w:r>
        <w:t>34.</w:t>
      </w:r>
      <w:r>
        <w:tab/>
        <w:t>La Secretaría colabora activamente con los acuerdos ambientales multilaterales (AAM), como el Convenio sobre la Diversidad Biológica (CDB), la Convención de las Naciones Unidas de Lucha contra la Desertificación (CNULD), la Convención sobre la Conservación de las Especies Migratorias de Animales Silvestres (CMS) y la Convención del Patrimonio Mundial (CPM). También contribuye al Decenio de las Naciones Unidas sobre la Restauración de los Ecosistemas y colabora estrechamente con ONU-Agua en relación con el ODS 6, que se centra en garantizar el acceso al agua y el saneamiento para todos. Estos esfuerzos refuerzan el papel de la Secretaría en el fomento de la cooperación internacional y el posicionamiento de los humedales como solución clave frente a los retos medioambientales mundiales.</w:t>
      </w:r>
    </w:p>
    <w:p w14:paraId="5F7F458B" w14:textId="77777777" w:rsidR="001724A7" w:rsidRPr="00BF35A0" w:rsidRDefault="001724A7" w:rsidP="00BF35A0">
      <w:pPr>
        <w:spacing w:after="0" w:line="240" w:lineRule="auto"/>
        <w:rPr>
          <w:rFonts w:eastAsia="Times New Roman" w:cstheme="minorHAnsi"/>
          <w:lang w:eastAsia="fr-FR"/>
        </w:rPr>
      </w:pPr>
    </w:p>
    <w:p w14:paraId="309BD524" w14:textId="77777777" w:rsidR="001724A7" w:rsidRPr="00BF35A0" w:rsidRDefault="001724A7" w:rsidP="00BF35A0">
      <w:pPr>
        <w:keepNext/>
        <w:spacing w:after="0" w:line="240" w:lineRule="auto"/>
        <w:rPr>
          <w:rFonts w:eastAsia="Times New Roman" w:cstheme="minorHAnsi"/>
          <w:b/>
        </w:rPr>
      </w:pPr>
      <w:r>
        <w:rPr>
          <w:b/>
        </w:rPr>
        <w:t>Movilizar recursos para apoyar la aplicación de la Convención</w:t>
      </w:r>
    </w:p>
    <w:p w14:paraId="654C9247" w14:textId="77777777" w:rsidR="001724A7" w:rsidRPr="00BF35A0" w:rsidRDefault="001724A7" w:rsidP="00BF35A0">
      <w:pPr>
        <w:keepNext/>
        <w:spacing w:after="0" w:line="240" w:lineRule="auto"/>
        <w:rPr>
          <w:rFonts w:eastAsia="Times New Roman" w:cstheme="minorHAnsi"/>
          <w:lang w:eastAsia="fr-FR"/>
        </w:rPr>
      </w:pPr>
    </w:p>
    <w:p w14:paraId="4594A395" w14:textId="2E46CAC1" w:rsidR="001724A7" w:rsidRPr="00BF35A0" w:rsidRDefault="00201C38" w:rsidP="00BF35A0">
      <w:pPr>
        <w:spacing w:after="0" w:line="240" w:lineRule="auto"/>
        <w:ind w:left="426" w:hanging="426"/>
        <w:rPr>
          <w:rFonts w:eastAsia="Times New Roman" w:cstheme="minorHAnsi"/>
        </w:rPr>
      </w:pPr>
      <w:r>
        <w:t>35.</w:t>
      </w:r>
      <w:r>
        <w:tab/>
        <w:t xml:space="preserve">Es imprescindible disponer de financiación suficiente y previsible para la aplicación efectiva de la Convención. La Secretaría ha tomado medidas para fomentar el pago puntual de las contribuciones de las Partes Contratantes al presupuesto básico y para obtener fondos para las prioridades de recaudación de fondos complementarios indicadas en el anexo 4 de la Resolución XIV.1, </w:t>
      </w:r>
      <w:r>
        <w:rPr>
          <w:i/>
          <w:iCs/>
        </w:rPr>
        <w:t>Cuestiones financieras y presupuestarias</w:t>
      </w:r>
      <w:r>
        <w:t>.</w:t>
      </w:r>
    </w:p>
    <w:p w14:paraId="72545348" w14:textId="77777777" w:rsidR="001724A7" w:rsidRPr="00BF35A0" w:rsidRDefault="001724A7" w:rsidP="00BF35A0">
      <w:pPr>
        <w:autoSpaceDE w:val="0"/>
        <w:autoSpaceDN w:val="0"/>
        <w:adjustRightInd w:val="0"/>
        <w:spacing w:after="0" w:line="240" w:lineRule="auto"/>
        <w:ind w:left="426" w:hanging="426"/>
        <w:rPr>
          <w:rFonts w:eastAsia="Calibri" w:cstheme="minorHAnsi"/>
        </w:rPr>
      </w:pPr>
    </w:p>
    <w:p w14:paraId="280BEE4A" w14:textId="5975C259" w:rsidR="001724A7" w:rsidRPr="009A7389" w:rsidRDefault="00201C38" w:rsidP="00BF35A0">
      <w:pPr>
        <w:autoSpaceDE w:val="0"/>
        <w:autoSpaceDN w:val="0"/>
        <w:adjustRightInd w:val="0"/>
        <w:spacing w:after="0" w:line="240" w:lineRule="auto"/>
        <w:ind w:left="426" w:hanging="426"/>
        <w:rPr>
          <w:rFonts w:eastAsia="Calibri" w:cstheme="minorHAnsi"/>
        </w:rPr>
      </w:pPr>
      <w:r>
        <w:t>36.</w:t>
      </w:r>
      <w:r>
        <w:tab/>
        <w:t>El Plan de Trabajo sobre la Movilización de Recursos</w:t>
      </w:r>
      <w:r w:rsidR="001724A7" w:rsidRPr="00BF35A0">
        <w:rPr>
          <w:rFonts w:eastAsia="Calibri" w:cstheme="minorHAnsi"/>
          <w:vertAlign w:val="superscript"/>
          <w:lang w:val="en-US"/>
        </w:rPr>
        <w:footnoteReference w:id="2"/>
      </w:r>
      <w:r>
        <w:t>, aprobado por el Comité Permanente en la reunión SC62, en septiembre de 2023, describe la estrategia de la Secretaría para garantizar la financiación de las prioridades no financiadas con cargo al presupuesto básico para este trienio. La Secretaría agradece las contribuciones voluntarias recibidas durante el período abarcado por este informe de los gobiernos de Alemania, Austria, Canadá, China, Estados Unidos, Finlandia, Noruega, Reino Unido de Gran Bretaña e Irlanda del Norte, República de Corea, Suiza, Zimbabwe, Danone y la Nagao Natural Environment Foundation.</w:t>
      </w:r>
    </w:p>
    <w:p w14:paraId="6CC14D8B" w14:textId="77777777" w:rsidR="001724A7" w:rsidRPr="009A7389" w:rsidRDefault="001724A7" w:rsidP="00BF35A0">
      <w:pPr>
        <w:autoSpaceDE w:val="0"/>
        <w:autoSpaceDN w:val="0"/>
        <w:adjustRightInd w:val="0"/>
        <w:spacing w:after="0" w:line="240" w:lineRule="auto"/>
        <w:ind w:left="426" w:hanging="426"/>
        <w:rPr>
          <w:rFonts w:eastAsia="Calibri" w:cstheme="minorHAnsi"/>
        </w:rPr>
      </w:pPr>
    </w:p>
    <w:p w14:paraId="4EC8C455" w14:textId="6BDF4042" w:rsidR="001724A7" w:rsidRPr="00BF35A0" w:rsidRDefault="00201C38" w:rsidP="00BF35A0">
      <w:pPr>
        <w:spacing w:after="0" w:line="240" w:lineRule="auto"/>
        <w:ind w:left="426" w:hanging="426"/>
        <w:rPr>
          <w:rFonts w:eastAsia="Calibri" w:cstheme="minorHAnsi"/>
        </w:rPr>
      </w:pPr>
      <w:r>
        <w:t>37.</w:t>
      </w:r>
      <w:r>
        <w:tab/>
        <w:t xml:space="preserve">En respuesta a una solicitud del Gobierno de Marruecos, la Secretaría realizó actividades de recaudación de fondos para financiar el viaje de delegados a Marrakech (Marruecos) para participar en la reunión regional africana previa a la reunión SC64. Se recibieron contribuciones para los viajes de los delegados por parte del Gobierno de Suiza y el Gobierno de Francia a </w:t>
      </w:r>
      <w:r>
        <w:lastRenderedPageBreak/>
        <w:t>través de la Agencia Francesa de Biodiversidad (OFB), así como de NatureXpairs, junto con el apoyo en especie del Gobierno de Marruecos.</w:t>
      </w:r>
    </w:p>
    <w:p w14:paraId="0720CE05" w14:textId="77777777" w:rsidR="001724A7" w:rsidRPr="00BF35A0" w:rsidRDefault="001724A7" w:rsidP="00BF35A0">
      <w:pPr>
        <w:spacing w:after="0" w:line="240" w:lineRule="auto"/>
        <w:ind w:left="426" w:hanging="426"/>
        <w:rPr>
          <w:rFonts w:eastAsia="Calibri" w:cstheme="minorHAnsi"/>
        </w:rPr>
      </w:pPr>
    </w:p>
    <w:p w14:paraId="108C40D4" w14:textId="614B5BF8" w:rsidR="001724A7" w:rsidRPr="00BF35A0" w:rsidRDefault="00201C38" w:rsidP="00BF35A0">
      <w:pPr>
        <w:pStyle w:val="Default"/>
        <w:ind w:left="426" w:hanging="426"/>
        <w:rPr>
          <w:rFonts w:asciiTheme="minorHAnsi" w:hAnsiTheme="minorHAnsi" w:cstheme="minorHAnsi"/>
          <w:sz w:val="22"/>
          <w:szCs w:val="22"/>
        </w:rPr>
      </w:pPr>
      <w:r>
        <w:rPr>
          <w:rFonts w:asciiTheme="minorHAnsi" w:hAnsiTheme="minorHAnsi"/>
          <w:sz w:val="22"/>
          <w:szCs w:val="22"/>
        </w:rPr>
        <w:t>38.</w:t>
      </w:r>
      <w:r>
        <w:rPr>
          <w:rFonts w:asciiTheme="minorHAnsi" w:hAnsiTheme="minorHAnsi"/>
          <w:sz w:val="22"/>
          <w:szCs w:val="22"/>
        </w:rPr>
        <w:tab/>
        <w:t>En la perspectiva de la COP15 de Zimbabwe, la Secretaría está procurando activamente contribuciones voluntarias por valor de 584 040 francos suizos para sufragar los vuelos, el alojamiento y las dietas de 124 delegados de países en desarrollo, economías en transición y pequeños Estados insulares en desarrollo. No hay financiación con cargo al presupuesto básico para que los delegados participen en la reunión, por lo que las contribuciones voluntarias son esenciales para garantizar una participación plena. Esto es importante para hacer posible la toma de decisiones basadas en el consenso y es necesario, ya que al menos un tercio de las Partes Contratantes deben estar presentes para celebrar la reunión, y dos tercios para que se puedan tomar decisiones. La Secretaría expresa su agradecimiento a los gobiernos de Australia, Austria, Canadá, Suiza y el Reino Unido de Gran Bretaña e Irlanda del Norte por sus contribuciones voluntarias y alienta a más Partes Contratantes a apoyar esta iniciativa fundamental de recaudación de fondos.</w:t>
      </w:r>
    </w:p>
    <w:p w14:paraId="6F9FC287" w14:textId="77777777" w:rsidR="001724A7" w:rsidRPr="00BF35A0" w:rsidRDefault="001724A7" w:rsidP="00BF35A0">
      <w:pPr>
        <w:spacing w:after="0" w:line="240" w:lineRule="auto"/>
        <w:ind w:left="426" w:hanging="426"/>
        <w:rPr>
          <w:rFonts w:eastAsia="Times New Roman" w:cstheme="minorHAnsi"/>
          <w:lang w:eastAsia="fr-FR"/>
        </w:rPr>
      </w:pPr>
    </w:p>
    <w:p w14:paraId="5EF6BA1D" w14:textId="0D5773AB" w:rsidR="001724A7" w:rsidRPr="00BF35A0" w:rsidRDefault="00201C38" w:rsidP="00BF35A0">
      <w:pPr>
        <w:spacing w:after="0" w:line="240" w:lineRule="auto"/>
        <w:ind w:left="426" w:hanging="426"/>
        <w:rPr>
          <w:rFonts w:cstheme="minorHAnsi"/>
        </w:rPr>
      </w:pPr>
      <w:r>
        <w:t>39.</w:t>
      </w:r>
      <w:r>
        <w:tab/>
        <w:t>En la actualidad, la financiación de las prioridades no financiadas con cargo al presupuesto básico depende de un grupo limitado de donantes regulares, y más del 70% procede de fuentes gubernamentales. La Secretaría ha constatado que las prioridades administrativas, como facilitar los viajes de los delegados, tienden a atraer poco interés de los donantes en comparación con áreas como el fomento de capacidad y la sensibilización o las actividades del GECT. En respuesta a estos retos, la Secretaría está explorando enfoques destinados a diversificar la base de donantes y aumentar la financiación de las prioridades no financiadas con cargo al presupuesto básico.</w:t>
      </w:r>
    </w:p>
    <w:p w14:paraId="3A4EDB27" w14:textId="77777777" w:rsidR="001724A7" w:rsidRPr="00BF35A0" w:rsidRDefault="001724A7" w:rsidP="00BF35A0">
      <w:pPr>
        <w:spacing w:after="0" w:line="240" w:lineRule="auto"/>
        <w:ind w:left="426" w:hanging="426"/>
        <w:rPr>
          <w:rFonts w:cstheme="minorHAnsi"/>
        </w:rPr>
      </w:pPr>
    </w:p>
    <w:p w14:paraId="1BE21B5B" w14:textId="58293F24" w:rsidR="00B44E41" w:rsidRPr="00BF35A0" w:rsidRDefault="00201C38" w:rsidP="00BF35A0">
      <w:pPr>
        <w:spacing w:after="0" w:line="240" w:lineRule="auto"/>
        <w:ind w:left="426" w:hanging="426"/>
        <w:rPr>
          <w:rFonts w:cstheme="minorHAnsi"/>
        </w:rPr>
      </w:pPr>
      <w:r>
        <w:t>40.</w:t>
      </w:r>
      <w:r>
        <w:tab/>
        <w:t>En conclusión, la Secretaría ha hecho notables progresos entre el 14 de noviembre de 2022 y el 1 de abril de 2025 en el apoyo a las Partes Contratantes, la mejora de la eficiencia operativa y el fortalecimiento de la sensibilización mundial en relación con los humedales. A través de una mayor colaboración, movilización de recursos e iniciativas estratégicas, sigue avanzando en la consecución de los objetivos de la Convención, al tiempo que armoniza su labor con los ODS y otros compromisos internacionales. Comprometida con su mandato, la Secretaría sigue dedicada a fomentar la cooperación multilateral y a garantizar la conservación y la gestión sostenible de los humedales.</w:t>
      </w:r>
    </w:p>
    <w:sectPr w:rsidR="00B44E41" w:rsidRPr="00BF35A0" w:rsidSect="001724A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2025E" w14:textId="77777777" w:rsidR="00B81D91" w:rsidRDefault="00B81D91" w:rsidP="001724A7">
      <w:pPr>
        <w:spacing w:after="0" w:line="240" w:lineRule="auto"/>
      </w:pPr>
      <w:r>
        <w:separator/>
      </w:r>
    </w:p>
  </w:endnote>
  <w:endnote w:type="continuationSeparator" w:id="0">
    <w:p w14:paraId="1067D2C3" w14:textId="77777777" w:rsidR="00B81D91" w:rsidRDefault="00B81D91" w:rsidP="001724A7">
      <w:pPr>
        <w:spacing w:after="0" w:line="240" w:lineRule="auto"/>
      </w:pPr>
      <w:r>
        <w:continuationSeparator/>
      </w:r>
    </w:p>
  </w:endnote>
  <w:endnote w:type="continuationNotice" w:id="1">
    <w:p w14:paraId="6BC0A6DE" w14:textId="77777777" w:rsidR="00B81D91" w:rsidRDefault="00B81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196D" w14:textId="2121ED19" w:rsidR="009955F9" w:rsidRPr="000942C1" w:rsidRDefault="009936E3" w:rsidP="00FC4BB8">
    <w:pPr>
      <w:pStyle w:val="Footer"/>
      <w:tabs>
        <w:tab w:val="clear" w:pos="8306"/>
        <w:tab w:val="right" w:pos="9000"/>
      </w:tabs>
      <w:rPr>
        <w:rFonts w:asciiTheme="minorHAnsi" w:hAnsiTheme="minorHAnsi" w:cstheme="minorHAnsi"/>
      </w:rPr>
    </w:pPr>
    <w:r w:rsidRPr="000942C1">
      <w:rPr>
        <w:rFonts w:asciiTheme="minorHAnsi" w:hAnsiTheme="minorHAnsi" w:cstheme="minorHAnsi"/>
        <w:sz w:val="20"/>
      </w:rPr>
      <w:t>COP15 Doc.8.2</w:t>
    </w:r>
    <w:r w:rsidRPr="000942C1">
      <w:rPr>
        <w:rFonts w:asciiTheme="minorHAnsi" w:hAnsiTheme="minorHAnsi" w:cstheme="minorHAnsi"/>
        <w:sz w:val="20"/>
      </w:rPr>
      <w:tab/>
    </w:r>
    <w:r w:rsidRPr="000942C1">
      <w:rPr>
        <w:rFonts w:asciiTheme="minorHAnsi" w:hAnsiTheme="minorHAnsi" w:cstheme="minorHAnsi"/>
        <w:sz w:val="20"/>
      </w:rPr>
      <w:tab/>
    </w:r>
    <w:r w:rsidR="00210B8B" w:rsidRPr="000942C1">
      <w:rPr>
        <w:rFonts w:asciiTheme="minorHAnsi" w:hAnsiTheme="minorHAnsi" w:cstheme="minorHAnsi"/>
        <w:sz w:val="20"/>
      </w:rPr>
      <w:fldChar w:fldCharType="begin"/>
    </w:r>
    <w:r w:rsidR="00210B8B" w:rsidRPr="000942C1">
      <w:rPr>
        <w:rFonts w:asciiTheme="minorHAnsi" w:hAnsiTheme="minorHAnsi" w:cstheme="minorHAnsi"/>
        <w:sz w:val="20"/>
      </w:rPr>
      <w:instrText xml:space="preserve"> PAGE   \* MERGEFORMAT </w:instrText>
    </w:r>
    <w:r w:rsidR="00210B8B" w:rsidRPr="000942C1">
      <w:rPr>
        <w:rFonts w:asciiTheme="minorHAnsi" w:hAnsiTheme="minorHAnsi" w:cstheme="minorHAnsi"/>
        <w:sz w:val="20"/>
      </w:rPr>
      <w:fldChar w:fldCharType="separate"/>
    </w:r>
    <w:r w:rsidR="00210B8B" w:rsidRPr="000942C1">
      <w:rPr>
        <w:rFonts w:asciiTheme="minorHAnsi" w:hAnsiTheme="minorHAnsi" w:cstheme="minorHAnsi"/>
        <w:sz w:val="20"/>
      </w:rPr>
      <w:t>40</w:t>
    </w:r>
    <w:r w:rsidR="00210B8B" w:rsidRPr="000942C1">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422F" w14:textId="77777777" w:rsidR="00B81D91" w:rsidRDefault="00B81D91" w:rsidP="001724A7">
      <w:pPr>
        <w:spacing w:after="0" w:line="240" w:lineRule="auto"/>
      </w:pPr>
      <w:r>
        <w:separator/>
      </w:r>
    </w:p>
  </w:footnote>
  <w:footnote w:type="continuationSeparator" w:id="0">
    <w:p w14:paraId="2272AE0A" w14:textId="77777777" w:rsidR="00B81D91" w:rsidRDefault="00B81D91" w:rsidP="001724A7">
      <w:pPr>
        <w:spacing w:after="0" w:line="240" w:lineRule="auto"/>
      </w:pPr>
      <w:r>
        <w:continuationSeparator/>
      </w:r>
    </w:p>
  </w:footnote>
  <w:footnote w:type="continuationNotice" w:id="1">
    <w:p w14:paraId="183CEFF1" w14:textId="77777777" w:rsidR="00B81D91" w:rsidRDefault="00B81D91">
      <w:pPr>
        <w:spacing w:after="0" w:line="240" w:lineRule="auto"/>
      </w:pPr>
    </w:p>
  </w:footnote>
  <w:footnote w:id="2">
    <w:p w14:paraId="0EE2B4C8" w14:textId="77777777" w:rsidR="001724A7" w:rsidRPr="00F9194D" w:rsidRDefault="001724A7" w:rsidP="001724A7">
      <w:pPr>
        <w:pStyle w:val="FootnoteText"/>
        <w:rPr>
          <w:lang w:val="fr-FR"/>
        </w:rPr>
      </w:pPr>
      <w:r w:rsidRPr="00F9194D">
        <w:rPr>
          <w:rStyle w:val="FootnoteReference"/>
        </w:rPr>
        <w:footnoteRef/>
      </w:r>
      <w:r w:rsidRPr="00F9194D">
        <w:rPr>
          <w:lang w:val="fr-FR"/>
        </w:rPr>
        <w:t xml:space="preserve">Véase </w:t>
      </w:r>
      <w:hyperlink r:id="rId1" w:history="1">
        <w:r w:rsidRPr="00F9194D">
          <w:rPr>
            <w:rStyle w:val="Hyperlink"/>
            <w:sz w:val="20"/>
            <w:szCs w:val="20"/>
            <w:lang w:val="fr-FR"/>
          </w:rPr>
          <w:t>https://www.ramsar.org/es/document/sc62-doc18-plan-de-trabajo-sobre-la-movilizacion-de-recursos-2023-2025</w:t>
        </w:r>
      </w:hyperlink>
      <w:r w:rsidRPr="00F9194D">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15F74"/>
    <w:multiLevelType w:val="hybridMultilevel"/>
    <w:tmpl w:val="79E26EBA"/>
    <w:lvl w:ilvl="0" w:tplc="61FC654A">
      <w:start w:val="1"/>
      <w:numFmt w:val="decimal"/>
      <w:pStyle w:val="NRFBody"/>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93131"/>
    <w:multiLevelType w:val="hybridMultilevel"/>
    <w:tmpl w:val="CF1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33043"/>
    <w:multiLevelType w:val="multilevel"/>
    <w:tmpl w:val="54B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A1AB6"/>
    <w:multiLevelType w:val="hybridMultilevel"/>
    <w:tmpl w:val="FEC8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01B6"/>
    <w:multiLevelType w:val="hybridMultilevel"/>
    <w:tmpl w:val="A9D610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0B4729E"/>
    <w:multiLevelType w:val="hybridMultilevel"/>
    <w:tmpl w:val="E0DA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2B092D"/>
    <w:multiLevelType w:val="hybridMultilevel"/>
    <w:tmpl w:val="603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47913"/>
    <w:multiLevelType w:val="hybridMultilevel"/>
    <w:tmpl w:val="6684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658848">
    <w:abstractNumId w:val="6"/>
  </w:num>
  <w:num w:numId="2" w16cid:durableId="416294983">
    <w:abstractNumId w:val="0"/>
  </w:num>
  <w:num w:numId="3" w16cid:durableId="797911701">
    <w:abstractNumId w:val="3"/>
  </w:num>
  <w:num w:numId="4" w16cid:durableId="789053525">
    <w:abstractNumId w:val="2"/>
  </w:num>
  <w:num w:numId="5" w16cid:durableId="489560272">
    <w:abstractNumId w:val="1"/>
  </w:num>
  <w:num w:numId="6" w16cid:durableId="455679318">
    <w:abstractNumId w:val="4"/>
  </w:num>
  <w:num w:numId="7" w16cid:durableId="1357542191">
    <w:abstractNumId w:val="8"/>
  </w:num>
  <w:num w:numId="8" w16cid:durableId="1178740543">
    <w:abstractNumId w:val="7"/>
  </w:num>
  <w:num w:numId="9" w16cid:durableId="1869370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MDQyNjM3NjYwMzdR0lEKTi0uzszPAykwrAUAeups8CwAAAA="/>
  </w:docVars>
  <w:rsids>
    <w:rsidRoot w:val="001724A7"/>
    <w:rsid w:val="00027F21"/>
    <w:rsid w:val="00045567"/>
    <w:rsid w:val="000719C2"/>
    <w:rsid w:val="000871D9"/>
    <w:rsid w:val="000942C1"/>
    <w:rsid w:val="000A3087"/>
    <w:rsid w:val="000C035E"/>
    <w:rsid w:val="00166083"/>
    <w:rsid w:val="001724A7"/>
    <w:rsid w:val="0017488B"/>
    <w:rsid w:val="001936AC"/>
    <w:rsid w:val="001A33FC"/>
    <w:rsid w:val="001A5A0A"/>
    <w:rsid w:val="001B7B1B"/>
    <w:rsid w:val="00201C38"/>
    <w:rsid w:val="00210B8B"/>
    <w:rsid w:val="00222762"/>
    <w:rsid w:val="00227F43"/>
    <w:rsid w:val="00237DB7"/>
    <w:rsid w:val="0025780E"/>
    <w:rsid w:val="002625F1"/>
    <w:rsid w:val="00293D95"/>
    <w:rsid w:val="002D004A"/>
    <w:rsid w:val="002D13E2"/>
    <w:rsid w:val="002E6CB7"/>
    <w:rsid w:val="00311B63"/>
    <w:rsid w:val="003176B6"/>
    <w:rsid w:val="00341089"/>
    <w:rsid w:val="003727A6"/>
    <w:rsid w:val="003859E9"/>
    <w:rsid w:val="0039155C"/>
    <w:rsid w:val="00391706"/>
    <w:rsid w:val="003C44C6"/>
    <w:rsid w:val="003E15A5"/>
    <w:rsid w:val="00423F63"/>
    <w:rsid w:val="004316B9"/>
    <w:rsid w:val="00467A59"/>
    <w:rsid w:val="004A3676"/>
    <w:rsid w:val="004D047F"/>
    <w:rsid w:val="004E34A7"/>
    <w:rsid w:val="00510684"/>
    <w:rsid w:val="00510930"/>
    <w:rsid w:val="005478BC"/>
    <w:rsid w:val="00566E02"/>
    <w:rsid w:val="0057161F"/>
    <w:rsid w:val="0057507B"/>
    <w:rsid w:val="005A6AE0"/>
    <w:rsid w:val="005B397D"/>
    <w:rsid w:val="005C192B"/>
    <w:rsid w:val="005D0048"/>
    <w:rsid w:val="005D67D8"/>
    <w:rsid w:val="00631346"/>
    <w:rsid w:val="00631564"/>
    <w:rsid w:val="006374E0"/>
    <w:rsid w:val="00652D8D"/>
    <w:rsid w:val="00687E60"/>
    <w:rsid w:val="006C4F2B"/>
    <w:rsid w:val="006C540E"/>
    <w:rsid w:val="006C54C0"/>
    <w:rsid w:val="006D0660"/>
    <w:rsid w:val="006D6E27"/>
    <w:rsid w:val="006E18E6"/>
    <w:rsid w:val="006F4B1C"/>
    <w:rsid w:val="00702937"/>
    <w:rsid w:val="00746CB0"/>
    <w:rsid w:val="00763CFF"/>
    <w:rsid w:val="0077117D"/>
    <w:rsid w:val="007C60CF"/>
    <w:rsid w:val="007D7A9A"/>
    <w:rsid w:val="0082403A"/>
    <w:rsid w:val="008268A2"/>
    <w:rsid w:val="0083068C"/>
    <w:rsid w:val="00847EA6"/>
    <w:rsid w:val="00854A64"/>
    <w:rsid w:val="00857476"/>
    <w:rsid w:val="008633A8"/>
    <w:rsid w:val="008808A6"/>
    <w:rsid w:val="00885529"/>
    <w:rsid w:val="008A5063"/>
    <w:rsid w:val="008A658C"/>
    <w:rsid w:val="008A65F1"/>
    <w:rsid w:val="008E492A"/>
    <w:rsid w:val="009009DF"/>
    <w:rsid w:val="00931DC3"/>
    <w:rsid w:val="00935164"/>
    <w:rsid w:val="00940DF4"/>
    <w:rsid w:val="009455A9"/>
    <w:rsid w:val="0095679A"/>
    <w:rsid w:val="00963BD4"/>
    <w:rsid w:val="009749C5"/>
    <w:rsid w:val="00985CF6"/>
    <w:rsid w:val="009936E3"/>
    <w:rsid w:val="009944BC"/>
    <w:rsid w:val="009955F9"/>
    <w:rsid w:val="009A7389"/>
    <w:rsid w:val="00A039E8"/>
    <w:rsid w:val="00A23297"/>
    <w:rsid w:val="00A270DA"/>
    <w:rsid w:val="00A4199D"/>
    <w:rsid w:val="00A45788"/>
    <w:rsid w:val="00A47645"/>
    <w:rsid w:val="00A54D46"/>
    <w:rsid w:val="00A55B4B"/>
    <w:rsid w:val="00A7212C"/>
    <w:rsid w:val="00A94235"/>
    <w:rsid w:val="00AB6FB7"/>
    <w:rsid w:val="00AC7AB3"/>
    <w:rsid w:val="00AD6A4A"/>
    <w:rsid w:val="00AE5342"/>
    <w:rsid w:val="00AE7954"/>
    <w:rsid w:val="00B0413F"/>
    <w:rsid w:val="00B44E41"/>
    <w:rsid w:val="00B659F9"/>
    <w:rsid w:val="00B81D91"/>
    <w:rsid w:val="00BA4CBC"/>
    <w:rsid w:val="00BB1D13"/>
    <w:rsid w:val="00BC050A"/>
    <w:rsid w:val="00BC1094"/>
    <w:rsid w:val="00BC53D9"/>
    <w:rsid w:val="00BC60FF"/>
    <w:rsid w:val="00BE5725"/>
    <w:rsid w:val="00BF35A0"/>
    <w:rsid w:val="00C36E15"/>
    <w:rsid w:val="00C921CB"/>
    <w:rsid w:val="00C94F4D"/>
    <w:rsid w:val="00CB423D"/>
    <w:rsid w:val="00CC1E4D"/>
    <w:rsid w:val="00CC488F"/>
    <w:rsid w:val="00CE2712"/>
    <w:rsid w:val="00CE5C59"/>
    <w:rsid w:val="00D27893"/>
    <w:rsid w:val="00D345E6"/>
    <w:rsid w:val="00D42BE8"/>
    <w:rsid w:val="00D61186"/>
    <w:rsid w:val="00D6572F"/>
    <w:rsid w:val="00D73F67"/>
    <w:rsid w:val="00D903AB"/>
    <w:rsid w:val="00D91CC0"/>
    <w:rsid w:val="00D93D19"/>
    <w:rsid w:val="00DC633C"/>
    <w:rsid w:val="00E11415"/>
    <w:rsid w:val="00E2491B"/>
    <w:rsid w:val="00E33086"/>
    <w:rsid w:val="00E60433"/>
    <w:rsid w:val="00E7254E"/>
    <w:rsid w:val="00E73399"/>
    <w:rsid w:val="00E81E5C"/>
    <w:rsid w:val="00E83C0E"/>
    <w:rsid w:val="00EB4DEE"/>
    <w:rsid w:val="00EF0161"/>
    <w:rsid w:val="00F03C92"/>
    <w:rsid w:val="00F3168D"/>
    <w:rsid w:val="00F33FE3"/>
    <w:rsid w:val="00F77EBD"/>
    <w:rsid w:val="00F9194D"/>
    <w:rsid w:val="00FA3639"/>
    <w:rsid w:val="00FA452D"/>
    <w:rsid w:val="00FA5AF1"/>
    <w:rsid w:val="00FB3CB4"/>
    <w:rsid w:val="00FE3476"/>
    <w:rsid w:val="00FF5979"/>
    <w:rsid w:val="00FF7EFE"/>
    <w:rsid w:val="035ACC2F"/>
    <w:rsid w:val="06A9A113"/>
    <w:rsid w:val="08AE2F67"/>
    <w:rsid w:val="0F044F13"/>
    <w:rsid w:val="124CE59A"/>
    <w:rsid w:val="13BC69E5"/>
    <w:rsid w:val="141FCAA9"/>
    <w:rsid w:val="1B24A561"/>
    <w:rsid w:val="1CED93A2"/>
    <w:rsid w:val="2028821E"/>
    <w:rsid w:val="32B19D94"/>
    <w:rsid w:val="354CA415"/>
    <w:rsid w:val="36D5D880"/>
    <w:rsid w:val="3C5C8A8C"/>
    <w:rsid w:val="3D5EC805"/>
    <w:rsid w:val="49B62B42"/>
    <w:rsid w:val="4DA8E297"/>
    <w:rsid w:val="5206C63C"/>
    <w:rsid w:val="62823CB5"/>
    <w:rsid w:val="6766F6D8"/>
    <w:rsid w:val="6B841255"/>
    <w:rsid w:val="6D061F45"/>
    <w:rsid w:val="75C33C5B"/>
    <w:rsid w:val="77FAB9A2"/>
    <w:rsid w:val="7A5A3FC2"/>
    <w:rsid w:val="7B304B30"/>
    <w:rsid w:val="7EDA4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9446"/>
  <w15:chartTrackingRefBased/>
  <w15:docId w15:val="{DBE4E456-6F82-420A-ADCA-977C582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A7"/>
    <w:pPr>
      <w:spacing w:after="200" w:line="276" w:lineRule="auto"/>
    </w:pPr>
    <w:rPr>
      <w:kern w:val="0"/>
      <w14:ligatures w14:val="none"/>
    </w:rPr>
  </w:style>
  <w:style w:type="paragraph" w:styleId="Heading1">
    <w:name w:val="heading 1"/>
    <w:basedOn w:val="Normal"/>
    <w:next w:val="Normal"/>
    <w:link w:val="Heading1Char"/>
    <w:uiPriority w:val="9"/>
    <w:qFormat/>
    <w:rsid w:val="001724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4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4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24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24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24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4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4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4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4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4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4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4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24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24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4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4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4A7"/>
    <w:rPr>
      <w:rFonts w:eastAsiaTheme="majorEastAsia" w:cstheme="majorBidi"/>
      <w:color w:val="272727" w:themeColor="text1" w:themeTint="D8"/>
    </w:rPr>
  </w:style>
  <w:style w:type="paragraph" w:styleId="Title">
    <w:name w:val="Title"/>
    <w:basedOn w:val="Normal"/>
    <w:next w:val="Normal"/>
    <w:link w:val="TitleChar"/>
    <w:uiPriority w:val="10"/>
    <w:qFormat/>
    <w:rsid w:val="00172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4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4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4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4A7"/>
    <w:pPr>
      <w:spacing w:before="160"/>
      <w:jc w:val="center"/>
    </w:pPr>
    <w:rPr>
      <w:i/>
      <w:iCs/>
      <w:color w:val="404040" w:themeColor="text1" w:themeTint="BF"/>
    </w:rPr>
  </w:style>
  <w:style w:type="character" w:customStyle="1" w:styleId="QuoteChar">
    <w:name w:val="Quote Char"/>
    <w:basedOn w:val="DefaultParagraphFont"/>
    <w:link w:val="Quote"/>
    <w:uiPriority w:val="29"/>
    <w:rsid w:val="001724A7"/>
    <w:rPr>
      <w:i/>
      <w:iCs/>
      <w:color w:val="404040" w:themeColor="text1" w:themeTint="BF"/>
    </w:rPr>
  </w:style>
  <w:style w:type="paragraph" w:styleId="ListParagraph">
    <w:name w:val="List Paragraph"/>
    <w:basedOn w:val="Normal"/>
    <w:uiPriority w:val="1"/>
    <w:qFormat/>
    <w:rsid w:val="001724A7"/>
    <w:pPr>
      <w:ind w:left="720"/>
      <w:contextualSpacing/>
    </w:pPr>
  </w:style>
  <w:style w:type="character" w:styleId="IntenseEmphasis">
    <w:name w:val="Intense Emphasis"/>
    <w:basedOn w:val="DefaultParagraphFont"/>
    <w:uiPriority w:val="21"/>
    <w:qFormat/>
    <w:rsid w:val="001724A7"/>
    <w:rPr>
      <w:i/>
      <w:iCs/>
      <w:color w:val="2F5496" w:themeColor="accent1" w:themeShade="BF"/>
    </w:rPr>
  </w:style>
  <w:style w:type="paragraph" w:styleId="IntenseQuote">
    <w:name w:val="Intense Quote"/>
    <w:basedOn w:val="Normal"/>
    <w:next w:val="Normal"/>
    <w:link w:val="IntenseQuoteChar"/>
    <w:uiPriority w:val="30"/>
    <w:qFormat/>
    <w:rsid w:val="00172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4A7"/>
    <w:rPr>
      <w:i/>
      <w:iCs/>
      <w:color w:val="2F5496" w:themeColor="accent1" w:themeShade="BF"/>
    </w:rPr>
  </w:style>
  <w:style w:type="character" w:styleId="IntenseReference">
    <w:name w:val="Intense Reference"/>
    <w:basedOn w:val="DefaultParagraphFont"/>
    <w:uiPriority w:val="32"/>
    <w:qFormat/>
    <w:rsid w:val="001724A7"/>
    <w:rPr>
      <w:b/>
      <w:bCs/>
      <w:smallCaps/>
      <w:color w:val="2F5496" w:themeColor="accent1" w:themeShade="BF"/>
      <w:spacing w:val="5"/>
    </w:rPr>
  </w:style>
  <w:style w:type="paragraph" w:styleId="FootnoteText">
    <w:name w:val="footnote text"/>
    <w:basedOn w:val="Normal"/>
    <w:link w:val="FootnoteTextChar"/>
    <w:uiPriority w:val="99"/>
    <w:unhideWhenUsed/>
    <w:rsid w:val="001724A7"/>
    <w:pPr>
      <w:spacing w:after="0" w:line="240" w:lineRule="auto"/>
    </w:pPr>
    <w:rPr>
      <w:sz w:val="20"/>
      <w:szCs w:val="20"/>
    </w:rPr>
  </w:style>
  <w:style w:type="character" w:customStyle="1" w:styleId="FootnoteTextChar">
    <w:name w:val="Footnote Text Char"/>
    <w:basedOn w:val="DefaultParagraphFont"/>
    <w:link w:val="FootnoteText"/>
    <w:uiPriority w:val="99"/>
    <w:rsid w:val="001724A7"/>
    <w:rPr>
      <w:kern w:val="0"/>
      <w:sz w:val="20"/>
      <w:szCs w:val="20"/>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nhideWhenUsed/>
    <w:qFormat/>
    <w:rsid w:val="001724A7"/>
    <w:rPr>
      <w:rFonts w:cs="Times New Roman"/>
      <w:vertAlign w:val="superscript"/>
    </w:rPr>
  </w:style>
  <w:style w:type="paragraph" w:styleId="Footer">
    <w:name w:val="footer"/>
    <w:basedOn w:val="Normal"/>
    <w:link w:val="FooterChar"/>
    <w:uiPriority w:val="99"/>
    <w:rsid w:val="001724A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724A7"/>
    <w:rPr>
      <w:rFonts w:ascii="Times New Roman" w:eastAsia="Times New Roman" w:hAnsi="Times New Roman" w:cs="Times New Roman"/>
      <w:kern w:val="0"/>
      <w:sz w:val="24"/>
      <w:szCs w:val="20"/>
      <w14:ligatures w14:val="none"/>
    </w:rPr>
  </w:style>
  <w:style w:type="paragraph" w:customStyle="1" w:styleId="NRFTitle1">
    <w:name w:val="NRF Title1"/>
    <w:next w:val="NRFBody"/>
    <w:rsid w:val="001724A7"/>
    <w:pPr>
      <w:numPr>
        <w:numId w:val="1"/>
      </w:numPr>
      <w:tabs>
        <w:tab w:val="left" w:pos="567"/>
      </w:tabs>
      <w:spacing w:before="120" w:after="80" w:line="240" w:lineRule="auto"/>
      <w:ind w:left="357" w:hanging="357"/>
    </w:pPr>
    <w:rPr>
      <w:rFonts w:ascii="Garamond" w:eastAsia="Times New Roman" w:hAnsi="Garamond" w:cs="Times New Roman"/>
      <w:b/>
      <w:color w:val="000000"/>
      <w:kern w:val="0"/>
      <w:sz w:val="28"/>
      <w:szCs w:val="28"/>
      <w14:ligatures w14:val="none"/>
    </w:rPr>
  </w:style>
  <w:style w:type="paragraph" w:customStyle="1" w:styleId="NRFTitle2">
    <w:name w:val="NRF Title2"/>
    <w:basedOn w:val="Normal"/>
    <w:next w:val="NRFBody"/>
    <w:rsid w:val="001724A7"/>
    <w:pPr>
      <w:numPr>
        <w:ilvl w:val="1"/>
        <w:numId w:val="1"/>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RFBody"/>
    <w:rsid w:val="001724A7"/>
    <w:pPr>
      <w:numPr>
        <w:ilvl w:val="2"/>
        <w:numId w:val="1"/>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 w:type="paragraph" w:customStyle="1" w:styleId="NRFBody">
    <w:name w:val="NRF Body"/>
    <w:rsid w:val="001724A7"/>
    <w:pPr>
      <w:numPr>
        <w:numId w:val="2"/>
      </w:numPr>
      <w:tabs>
        <w:tab w:val="left" w:pos="-743"/>
        <w:tab w:val="left" w:pos="-23"/>
        <w:tab w:val="left" w:pos="1417"/>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kern w:val="0"/>
      <w:sz w:val="24"/>
      <w:szCs w:val="24"/>
      <w14:ligatures w14:val="none"/>
    </w:rPr>
  </w:style>
  <w:style w:type="paragraph" w:styleId="BodyText">
    <w:name w:val="Body Text"/>
    <w:basedOn w:val="Normal"/>
    <w:link w:val="BodyTextChar"/>
    <w:rsid w:val="001724A7"/>
    <w:pPr>
      <w:spacing w:after="0" w:line="240" w:lineRule="auto"/>
    </w:pPr>
    <w:rPr>
      <w:rFonts w:ascii="Garamond" w:eastAsia="Times New Roman" w:hAnsi="Garamond" w:cs="Times New Roman"/>
      <w:szCs w:val="20"/>
    </w:rPr>
  </w:style>
  <w:style w:type="character" w:customStyle="1" w:styleId="BodyTextChar">
    <w:name w:val="Body Text Char"/>
    <w:basedOn w:val="DefaultParagraphFont"/>
    <w:link w:val="BodyText"/>
    <w:rsid w:val="001724A7"/>
    <w:rPr>
      <w:rFonts w:ascii="Garamond" w:eastAsia="Times New Roman" w:hAnsi="Garamond" w:cs="Times New Roman"/>
      <w:kern w:val="0"/>
      <w:szCs w:val="20"/>
      <w:lang w:val="es-ES"/>
      <w14:ligatures w14:val="none"/>
    </w:rPr>
  </w:style>
  <w:style w:type="paragraph" w:styleId="BodyText3">
    <w:name w:val="Body Text 3"/>
    <w:basedOn w:val="Normal"/>
    <w:link w:val="BodyText3Char"/>
    <w:uiPriority w:val="99"/>
    <w:unhideWhenUsed/>
    <w:rsid w:val="001724A7"/>
    <w:pPr>
      <w:spacing w:after="120"/>
    </w:pPr>
    <w:rPr>
      <w:sz w:val="16"/>
      <w:szCs w:val="16"/>
    </w:rPr>
  </w:style>
  <w:style w:type="character" w:customStyle="1" w:styleId="BodyText3Char">
    <w:name w:val="Body Text 3 Char"/>
    <w:basedOn w:val="DefaultParagraphFont"/>
    <w:link w:val="BodyText3"/>
    <w:uiPriority w:val="99"/>
    <w:rsid w:val="001724A7"/>
    <w:rPr>
      <w:kern w:val="0"/>
      <w:sz w:val="16"/>
      <w:szCs w:val="16"/>
      <w14:ligatures w14:val="none"/>
    </w:rPr>
  </w:style>
  <w:style w:type="character" w:styleId="CommentReference">
    <w:name w:val="annotation reference"/>
    <w:basedOn w:val="DefaultParagraphFont"/>
    <w:uiPriority w:val="99"/>
    <w:semiHidden/>
    <w:unhideWhenUsed/>
    <w:rsid w:val="001724A7"/>
    <w:rPr>
      <w:sz w:val="16"/>
      <w:szCs w:val="16"/>
    </w:rPr>
  </w:style>
  <w:style w:type="paragraph" w:styleId="CommentText">
    <w:name w:val="annotation text"/>
    <w:basedOn w:val="Normal"/>
    <w:link w:val="CommentTextChar"/>
    <w:uiPriority w:val="99"/>
    <w:unhideWhenUsed/>
    <w:rsid w:val="001724A7"/>
    <w:pPr>
      <w:spacing w:line="240" w:lineRule="auto"/>
    </w:pPr>
    <w:rPr>
      <w:sz w:val="20"/>
      <w:szCs w:val="20"/>
    </w:rPr>
  </w:style>
  <w:style w:type="character" w:customStyle="1" w:styleId="CommentTextChar">
    <w:name w:val="Comment Text Char"/>
    <w:basedOn w:val="DefaultParagraphFont"/>
    <w:link w:val="CommentText"/>
    <w:uiPriority w:val="99"/>
    <w:rsid w:val="001724A7"/>
    <w:rPr>
      <w:kern w:val="0"/>
      <w:sz w:val="20"/>
      <w:szCs w:val="20"/>
      <w14:ligatures w14:val="none"/>
    </w:rPr>
  </w:style>
  <w:style w:type="paragraph" w:customStyle="1" w:styleId="Default">
    <w:name w:val="Default"/>
    <w:rsid w:val="001724A7"/>
    <w:pPr>
      <w:autoSpaceDE w:val="0"/>
      <w:autoSpaceDN w:val="0"/>
      <w:adjustRightInd w:val="0"/>
      <w:spacing w:after="0" w:line="240" w:lineRule="auto"/>
    </w:pPr>
    <w:rPr>
      <w:rFonts w:ascii="Garamond" w:hAnsi="Garamond" w:cs="Garamond"/>
      <w:color w:val="000000"/>
      <w:kern w:val="0"/>
      <w:sz w:val="24"/>
      <w:szCs w:val="24"/>
      <w14:ligatures w14:val="none"/>
    </w:rPr>
  </w:style>
  <w:style w:type="character" w:styleId="Hyperlink">
    <w:name w:val="Hyperlink"/>
    <w:basedOn w:val="DefaultParagraphFont"/>
    <w:uiPriority w:val="99"/>
    <w:unhideWhenUsed/>
    <w:rsid w:val="001724A7"/>
    <w:rPr>
      <w:rFonts w:asciiTheme="minorHAnsi" w:hAnsiTheme="minorHAnsi" w:hint="default"/>
      <w:b w:val="0"/>
      <w:bCs w:val="0"/>
      <w:strike w:val="0"/>
      <w:dstrike w:val="0"/>
      <w:color w:val="3333FF"/>
      <w:sz w:val="22"/>
      <w:szCs w:val="18"/>
      <w:u w:val="single"/>
      <w:effect w:val="none"/>
    </w:rPr>
  </w:style>
  <w:style w:type="paragraph" w:styleId="Revision">
    <w:name w:val="Revision"/>
    <w:hidden/>
    <w:uiPriority w:val="99"/>
    <w:semiHidden/>
    <w:rsid w:val="008633A8"/>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631346"/>
    <w:rPr>
      <w:b/>
      <w:bCs/>
    </w:rPr>
  </w:style>
  <w:style w:type="character" w:customStyle="1" w:styleId="CommentSubjectChar">
    <w:name w:val="Comment Subject Char"/>
    <w:basedOn w:val="CommentTextChar"/>
    <w:link w:val="CommentSubject"/>
    <w:uiPriority w:val="99"/>
    <w:semiHidden/>
    <w:rsid w:val="00631346"/>
    <w:rPr>
      <w:b/>
      <w:bCs/>
      <w:kern w:val="0"/>
      <w:sz w:val="20"/>
      <w:szCs w:val="20"/>
      <w14:ligatures w14:val="none"/>
    </w:rPr>
  </w:style>
  <w:style w:type="paragraph" w:styleId="Header">
    <w:name w:val="header"/>
    <w:basedOn w:val="Normal"/>
    <w:link w:val="HeaderChar"/>
    <w:uiPriority w:val="99"/>
    <w:unhideWhenUsed/>
    <w:rsid w:val="00467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A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019840">
      <w:bodyDiv w:val="1"/>
      <w:marLeft w:val="0"/>
      <w:marRight w:val="0"/>
      <w:marTop w:val="0"/>
      <w:marBottom w:val="0"/>
      <w:divBdr>
        <w:top w:val="none" w:sz="0" w:space="0" w:color="auto"/>
        <w:left w:val="none" w:sz="0" w:space="0" w:color="auto"/>
        <w:bottom w:val="none" w:sz="0" w:space="0" w:color="auto"/>
        <w:right w:val="none" w:sz="0" w:space="0" w:color="auto"/>
      </w:divBdr>
    </w:div>
    <w:div w:id="18687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document/sc62-doc18-resource-mobilization-work-plan-20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4623</Words>
  <Characters>26355</Characters>
  <Application>Microsoft Office Word</Application>
  <DocSecurity>0</DocSecurity>
  <Lines>219</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dcterms:created xsi:type="dcterms:W3CDTF">2025-05-02T14:48:00Z</dcterms:created>
  <dcterms:modified xsi:type="dcterms:W3CDTF">2025-05-02T14:48:00Z</dcterms:modified>
</cp:coreProperties>
</file>